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07.040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A76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江</w:t>
      </w:r>
      <w:r>
        <w:rPr>
          <w:rFonts w:hint="eastAsia" w:ascii="黑体" w:eastAsia="黑体"/>
          <w:b w:val="0"/>
          <w:w w:val="100"/>
          <w:sz w:val="48"/>
        </w:rPr>
        <w:t>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区域现代测绘基准维持与协同服务</w:t>
      </w:r>
    </w:p>
    <w:p>
      <w:pPr>
        <w:pStyle w:val="197"/>
        <w:framePr w:h="6974" w:hRule="exact" w:wrap="around" w:x="1419" w:anchorLock="1"/>
      </w:pPr>
      <w:r>
        <w:t>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Specifications for maintenance and co-service of modern surveying and mapping reference in Provincial domain</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江</w:t>
      </w:r>
      <w:r>
        <w:rPr>
          <w:rFonts w:hint="eastAsia" w:hAnsi="黑体"/>
          <w:w w:val="100"/>
          <w:sz w:val="28"/>
        </w:rPr>
        <w:t>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57164072"/>
      <w:bookmarkStart w:id="23" w:name="_Toc157588454"/>
      <w:bookmarkStart w:id="24" w:name="_Toc163633685"/>
      <w:bookmarkStart w:id="25" w:name="_Toc163766621"/>
      <w:bookmarkStart w:id="26" w:name="_Toc157162077"/>
      <w:bookmarkStart w:id="27" w:name="_Toc163504356"/>
      <w:bookmarkStart w:id="28" w:name="_Toc163834007"/>
      <w:bookmarkStart w:id="29" w:name="_Toc16376206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"_Toc164001196" </w:instrText>
      </w:r>
      <w:r>
        <w:fldChar w:fldCharType="separate"/>
      </w:r>
      <w:r>
        <w:rPr>
          <w:rStyle w:val="32"/>
        </w:rPr>
        <w:t>前言</w:t>
      </w:r>
      <w:r>
        <w:tab/>
      </w:r>
      <w:r>
        <w:fldChar w:fldCharType="begin"/>
      </w:r>
      <w:r>
        <w:instrText xml:space="preserve"> PAGEREF _Toc164001196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"_Toc164001197" </w:instrText>
      </w:r>
      <w:r>
        <w:fldChar w:fldCharType="separate"/>
      </w:r>
      <w:r>
        <w:rPr>
          <w:rStyle w:val="32"/>
        </w:rPr>
        <w:t>1  范围</w:t>
      </w:r>
      <w:r>
        <w:tab/>
      </w:r>
      <w:r>
        <w:fldChar w:fldCharType="begin"/>
      </w:r>
      <w:r>
        <w:instrText xml:space="preserve"> PAGEREF _Toc164001197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"_Toc164001198" </w:instrText>
      </w:r>
      <w:r>
        <w:fldChar w:fldCharType="separate"/>
      </w:r>
      <w:r>
        <w:rPr>
          <w:rStyle w:val="32"/>
        </w:rPr>
        <w:t>2  规范性引用文件</w:t>
      </w:r>
      <w:r>
        <w:tab/>
      </w:r>
      <w:r>
        <w:fldChar w:fldCharType="begin"/>
      </w:r>
      <w:r>
        <w:instrText xml:space="preserve"> PAGEREF _Toc164001198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"_Toc164001199" </w:instrText>
      </w:r>
      <w:r>
        <w:fldChar w:fldCharType="separate"/>
      </w:r>
      <w:r>
        <w:rPr>
          <w:rStyle w:val="32"/>
        </w:rPr>
        <w:t>3  术语和定义</w:t>
      </w:r>
      <w:r>
        <w:tab/>
      </w:r>
      <w:r>
        <w:fldChar w:fldCharType="begin"/>
      </w:r>
      <w:r>
        <w:instrText xml:space="preserve"> PAGEREF _Toc164001199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"_Toc164001200" </w:instrText>
      </w:r>
      <w:r>
        <w:fldChar w:fldCharType="separate"/>
      </w:r>
      <w:r>
        <w:rPr>
          <w:rStyle w:val="32"/>
        </w:rPr>
        <w:t>4  缩略语</w:t>
      </w:r>
      <w:r>
        <w:tab/>
      </w:r>
      <w:r>
        <w:fldChar w:fldCharType="begin"/>
      </w:r>
      <w:r>
        <w:instrText xml:space="preserve"> PAGEREF _Toc164001200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"_Toc164001201" </w:instrText>
      </w:r>
      <w:r>
        <w:fldChar w:fldCharType="separate"/>
      </w:r>
      <w:r>
        <w:rPr>
          <w:rStyle w:val="32"/>
        </w:rPr>
        <w:t>5  基本要求</w:t>
      </w:r>
      <w:r>
        <w:tab/>
      </w:r>
      <w:r>
        <w:fldChar w:fldCharType="begin"/>
      </w:r>
      <w:r>
        <w:instrText xml:space="preserve"> PAGEREF _Toc164001201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"_Toc164001202" </w:instrText>
      </w:r>
      <w:r>
        <w:fldChar w:fldCharType="separate"/>
      </w:r>
      <w:r>
        <w:rPr>
          <w:rStyle w:val="32"/>
        </w:rPr>
        <w:t>6  基准构成与分类</w:t>
      </w:r>
      <w:r>
        <w:tab/>
      </w:r>
      <w:r>
        <w:fldChar w:fldCharType="begin"/>
      </w:r>
      <w:r>
        <w:instrText xml:space="preserve"> PAGEREF _Toc164001202 \h </w:instrText>
      </w:r>
      <w:r>
        <w:fldChar w:fldCharType="separate"/>
      </w:r>
      <w:r>
        <w:t>2</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"_Toc164001203" </w:instrText>
      </w:r>
      <w:r>
        <w:fldChar w:fldCharType="separate"/>
      </w:r>
      <w:r>
        <w:rPr>
          <w:rStyle w:val="32"/>
          <w14:scene3d w14:prst="orthographicFront">
            <w14:lightRig w14:rig="threePt" w14:dir="t">
              <w14:rot w14:lat="0" w14:lon="0" w14:rev="0"/>
            </w14:lightRig>
          </w14:scene3d>
        </w:rPr>
        <w:t xml:space="preserve">6.1 </w:t>
      </w:r>
      <w:r>
        <w:rPr>
          <w:rStyle w:val="32"/>
        </w:rPr>
        <w:t xml:space="preserve"> 基准构成及要求</w:t>
      </w:r>
      <w:r>
        <w:tab/>
      </w:r>
      <w:r>
        <w:fldChar w:fldCharType="begin"/>
      </w:r>
      <w:r>
        <w:instrText xml:space="preserve"> PAGEREF _Toc164001203 \h </w:instrText>
      </w:r>
      <w:r>
        <w:fldChar w:fldCharType="separate"/>
      </w:r>
      <w:r>
        <w:t>2</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"_Toc164001204" </w:instrText>
      </w:r>
      <w:r>
        <w:fldChar w:fldCharType="separate"/>
      </w:r>
      <w:r>
        <w:rPr>
          <w:rStyle w:val="32"/>
          <w14:scene3d w14:prst="orthographicFront">
            <w14:lightRig w14:rig="threePt" w14:dir="t">
              <w14:rot w14:lat="0" w14:lon="0" w14:rev="0"/>
            </w14:lightRig>
          </w14:scene3d>
        </w:rPr>
        <w:t xml:space="preserve">6.2 </w:t>
      </w:r>
      <w:r>
        <w:rPr>
          <w:rStyle w:val="32"/>
        </w:rPr>
        <w:t xml:space="preserve"> 类别划分</w:t>
      </w:r>
      <w:r>
        <w:tab/>
      </w:r>
      <w:r>
        <w:fldChar w:fldCharType="begin"/>
      </w:r>
      <w:r>
        <w:instrText xml:space="preserve"> PAGEREF _Toc164001204 \h </w:instrText>
      </w:r>
      <w:r>
        <w:fldChar w:fldCharType="separate"/>
      </w:r>
      <w:r>
        <w:t>3</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"_Toc164001205" </w:instrText>
      </w:r>
      <w:r>
        <w:fldChar w:fldCharType="separate"/>
      </w:r>
      <w:r>
        <w:rPr>
          <w:rStyle w:val="32"/>
          <w14:scene3d w14:prst="orthographicFront">
            <w14:lightRig w14:rig="threePt" w14:dir="t">
              <w14:rot w14:lat="0" w14:lon="0" w14:rev="0"/>
            </w14:lightRig>
          </w14:scene3d>
        </w:rPr>
        <w:t xml:space="preserve">6.3 </w:t>
      </w:r>
      <w:r>
        <w:rPr>
          <w:rStyle w:val="32"/>
        </w:rPr>
        <w:t xml:space="preserve"> 服务分类</w:t>
      </w:r>
      <w:r>
        <w:tab/>
      </w:r>
      <w:r>
        <w:fldChar w:fldCharType="begin"/>
      </w:r>
      <w:r>
        <w:instrText xml:space="preserve"> PAGEREF _Toc164001205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"_Toc164001206" </w:instrText>
      </w:r>
      <w:r>
        <w:fldChar w:fldCharType="separate"/>
      </w:r>
      <w:r>
        <w:rPr>
          <w:rStyle w:val="32"/>
        </w:rPr>
        <w:t>7  区域基准维持</w:t>
      </w:r>
      <w:r>
        <w:tab/>
      </w:r>
      <w:r>
        <w:fldChar w:fldCharType="begin"/>
      </w:r>
      <w:r>
        <w:instrText xml:space="preserve"> PAGEREF _Toc164001206 \h </w:instrText>
      </w:r>
      <w:r>
        <w:fldChar w:fldCharType="separate"/>
      </w:r>
      <w:r>
        <w:t>3</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"_Toc164001207" </w:instrText>
      </w:r>
      <w:r>
        <w:fldChar w:fldCharType="separate"/>
      </w:r>
      <w:r>
        <w:rPr>
          <w:rStyle w:val="32"/>
          <w14:scene3d w14:prst="orthographicFront">
            <w14:lightRig w14:rig="threePt" w14:dir="t">
              <w14:rot w14:lat="0" w14:lon="0" w14:rev="0"/>
            </w14:lightRig>
          </w14:scene3d>
        </w:rPr>
        <w:t xml:space="preserve">7.1 </w:t>
      </w:r>
      <w:r>
        <w:rPr>
          <w:rStyle w:val="32"/>
        </w:rPr>
        <w:t xml:space="preserve"> 维持内容</w:t>
      </w:r>
      <w:r>
        <w:tab/>
      </w:r>
      <w:r>
        <w:fldChar w:fldCharType="begin"/>
      </w:r>
      <w:r>
        <w:instrText xml:space="preserve"> PAGEREF _Toc164001207 \h </w:instrText>
      </w:r>
      <w:r>
        <w:fldChar w:fldCharType="separate"/>
      </w:r>
      <w:r>
        <w:t>4</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"_Toc164001208" </w:instrText>
      </w:r>
      <w:r>
        <w:fldChar w:fldCharType="separate"/>
      </w:r>
      <w:r>
        <w:rPr>
          <w:rStyle w:val="32"/>
          <w14:scene3d w14:prst="orthographicFront">
            <w14:lightRig w14:rig="threePt" w14:dir="t">
              <w14:rot w14:lat="0" w14:lon="0" w14:rev="0"/>
            </w14:lightRig>
          </w14:scene3d>
        </w:rPr>
        <w:t xml:space="preserve">7.2 </w:t>
      </w:r>
      <w:r>
        <w:rPr>
          <w:rStyle w:val="32"/>
        </w:rPr>
        <w:t xml:space="preserve"> 时空基准</w:t>
      </w:r>
      <w:r>
        <w:tab/>
      </w:r>
      <w:r>
        <w:fldChar w:fldCharType="begin"/>
      </w:r>
      <w:r>
        <w:instrText xml:space="preserve"> PAGEREF _Toc164001208 \h </w:instrText>
      </w:r>
      <w:r>
        <w:fldChar w:fldCharType="separate"/>
      </w:r>
      <w:r>
        <w:t>4</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"_Toc164001209" </w:instrText>
      </w:r>
      <w:r>
        <w:fldChar w:fldCharType="separate"/>
      </w:r>
      <w:r>
        <w:rPr>
          <w:rStyle w:val="32"/>
          <w14:scene3d w14:prst="orthographicFront">
            <w14:lightRig w14:rig="threePt" w14:dir="t">
              <w14:rot w14:lat="0" w14:lon="0" w14:rev="0"/>
            </w14:lightRig>
          </w14:scene3d>
        </w:rPr>
        <w:t xml:space="preserve">7.3 </w:t>
      </w:r>
      <w:r>
        <w:rPr>
          <w:rStyle w:val="32"/>
        </w:rPr>
        <w:t xml:space="preserve"> 数据处理</w:t>
      </w:r>
      <w:r>
        <w:tab/>
      </w:r>
      <w:r>
        <w:fldChar w:fldCharType="begin"/>
      </w:r>
      <w:r>
        <w:instrText xml:space="preserve"> PAGEREF _Toc164001209 \h </w:instrText>
      </w:r>
      <w:r>
        <w:fldChar w:fldCharType="separate"/>
      </w:r>
      <w:r>
        <w:t>4</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"_Toc164001210" </w:instrText>
      </w:r>
      <w:r>
        <w:fldChar w:fldCharType="separate"/>
      </w:r>
      <w:r>
        <w:rPr>
          <w:rStyle w:val="32"/>
          <w14:scene3d w14:prst="orthographicFront">
            <w14:lightRig w14:rig="threePt" w14:dir="t">
              <w14:rot w14:lat="0" w14:lon="0" w14:rev="0"/>
            </w14:lightRig>
          </w14:scene3d>
        </w:rPr>
        <w:t xml:space="preserve">7.4 </w:t>
      </w:r>
      <w:r>
        <w:rPr>
          <w:rStyle w:val="32"/>
        </w:rPr>
        <w:t xml:space="preserve"> 一体化建设</w:t>
      </w:r>
      <w:r>
        <w:tab/>
      </w:r>
      <w:r>
        <w:fldChar w:fldCharType="begin"/>
      </w:r>
      <w:r>
        <w:instrText xml:space="preserve"> PAGEREF _Toc164001210 \h </w:instrText>
      </w:r>
      <w:r>
        <w:fldChar w:fldCharType="separate"/>
      </w:r>
      <w:r>
        <w:t>5</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"_Toc164001211" </w:instrText>
      </w:r>
      <w:r>
        <w:fldChar w:fldCharType="separate"/>
      </w:r>
      <w:r>
        <w:rPr>
          <w:rStyle w:val="32"/>
          <w14:scene3d w14:prst="orthographicFront">
            <w14:lightRig w14:rig="threePt" w14:dir="t">
              <w14:rot w14:lat="0" w14:lon="0" w14:rev="0"/>
            </w14:lightRig>
          </w14:scene3d>
        </w:rPr>
        <w:t xml:space="preserve">7.5 </w:t>
      </w:r>
      <w:r>
        <w:rPr>
          <w:rStyle w:val="32"/>
        </w:rPr>
        <w:t xml:space="preserve"> 维持方法</w:t>
      </w:r>
      <w:r>
        <w:tab/>
      </w:r>
      <w:r>
        <w:fldChar w:fldCharType="begin"/>
      </w:r>
      <w:r>
        <w:instrText xml:space="preserve"> PAGEREF _Toc164001211 \h </w:instrText>
      </w:r>
      <w:r>
        <w:fldChar w:fldCharType="separate"/>
      </w:r>
      <w:r>
        <w:t>6</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"_Toc164001212" </w:instrText>
      </w:r>
      <w:r>
        <w:fldChar w:fldCharType="separate"/>
      </w:r>
      <w:r>
        <w:rPr>
          <w:rStyle w:val="32"/>
          <w14:scene3d w14:prst="orthographicFront">
            <w14:lightRig w14:rig="threePt" w14:dir="t">
              <w14:rot w14:lat="0" w14:lon="0" w14:rev="0"/>
            </w14:lightRig>
          </w14:scene3d>
        </w:rPr>
        <w:t xml:space="preserve">7.6 </w:t>
      </w:r>
      <w:r>
        <w:rPr>
          <w:rStyle w:val="32"/>
        </w:rPr>
        <w:t xml:space="preserve"> 基本成果</w:t>
      </w:r>
      <w:r>
        <w:tab/>
      </w:r>
      <w:r>
        <w:fldChar w:fldCharType="begin"/>
      </w:r>
      <w:r>
        <w:instrText xml:space="preserve"> PAGEREF _Toc164001212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"_Toc164001213" </w:instrText>
      </w:r>
      <w:r>
        <w:fldChar w:fldCharType="separate"/>
      </w:r>
      <w:r>
        <w:rPr>
          <w:rStyle w:val="32"/>
        </w:rPr>
        <w:t>8  协同服务</w:t>
      </w:r>
      <w:r>
        <w:tab/>
      </w:r>
      <w:r>
        <w:fldChar w:fldCharType="begin"/>
      </w:r>
      <w:r>
        <w:instrText xml:space="preserve"> PAGEREF _Toc164001213 \h </w:instrText>
      </w:r>
      <w:r>
        <w:fldChar w:fldCharType="separate"/>
      </w:r>
      <w:r>
        <w:t>7</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"_Toc164001214" </w:instrText>
      </w:r>
      <w:r>
        <w:fldChar w:fldCharType="separate"/>
      </w:r>
      <w:r>
        <w:rPr>
          <w:rStyle w:val="32"/>
          <w14:scene3d w14:prst="orthographicFront">
            <w14:lightRig w14:rig="threePt" w14:dir="t">
              <w14:rot w14:lat="0" w14:lon="0" w14:rev="0"/>
            </w14:lightRig>
          </w14:scene3d>
        </w:rPr>
        <w:t xml:space="preserve">8.1 </w:t>
      </w:r>
      <w:r>
        <w:rPr>
          <w:rStyle w:val="32"/>
        </w:rPr>
        <w:t xml:space="preserve"> 协同内容</w:t>
      </w:r>
      <w:r>
        <w:tab/>
      </w:r>
      <w:r>
        <w:fldChar w:fldCharType="begin"/>
      </w:r>
      <w:r>
        <w:instrText xml:space="preserve"> PAGEREF _Toc164001214 \h </w:instrText>
      </w:r>
      <w:r>
        <w:fldChar w:fldCharType="separate"/>
      </w:r>
      <w:r>
        <w:t>7</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"_Toc164001215" </w:instrText>
      </w:r>
      <w:r>
        <w:fldChar w:fldCharType="separate"/>
      </w:r>
      <w:r>
        <w:rPr>
          <w:rStyle w:val="32"/>
          <w14:scene3d w14:prst="orthographicFront">
            <w14:lightRig w14:rig="threePt" w14:dir="t">
              <w14:rot w14:lat="0" w14:lon="0" w14:rev="0"/>
            </w14:lightRig>
          </w14:scene3d>
        </w:rPr>
        <w:t xml:space="preserve">8.2 </w:t>
      </w:r>
      <w:r>
        <w:rPr>
          <w:rStyle w:val="32"/>
        </w:rPr>
        <w:t xml:space="preserve"> 服务提供</w:t>
      </w:r>
      <w:r>
        <w:tab/>
      </w:r>
      <w:r>
        <w:fldChar w:fldCharType="begin"/>
      </w:r>
      <w:r>
        <w:instrText xml:space="preserve"> PAGEREF _Toc164001215 \h </w:instrText>
      </w:r>
      <w:r>
        <w:fldChar w:fldCharType="separate"/>
      </w:r>
      <w:r>
        <w:t>8</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"_Toc164001216" </w:instrText>
      </w:r>
      <w:r>
        <w:fldChar w:fldCharType="separate"/>
      </w:r>
      <w:r>
        <w:rPr>
          <w:rStyle w:val="32"/>
          <w14:scene3d w14:prst="orthographicFront">
            <w14:lightRig w14:rig="threePt" w14:dir="t">
              <w14:rot w14:lat="0" w14:lon="0" w14:rev="0"/>
            </w14:lightRig>
          </w14:scene3d>
        </w:rPr>
        <w:t xml:space="preserve">8.3 </w:t>
      </w:r>
      <w:r>
        <w:rPr>
          <w:rStyle w:val="32"/>
        </w:rPr>
        <w:t xml:space="preserve"> 服务指标</w:t>
      </w:r>
      <w:r>
        <w:tab/>
      </w:r>
      <w:r>
        <w:fldChar w:fldCharType="begin"/>
      </w:r>
      <w:r>
        <w:instrText xml:space="preserve"> PAGEREF _Toc164001216 \h </w:instrText>
      </w:r>
      <w:r>
        <w:fldChar w:fldCharType="separate"/>
      </w:r>
      <w:r>
        <w:t>8</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"_Toc164001217" </w:instrText>
      </w:r>
      <w:r>
        <w:fldChar w:fldCharType="separate"/>
      </w:r>
      <w:r>
        <w:rPr>
          <w:rStyle w:val="32"/>
          <w14:scene3d w14:prst="orthographicFront">
            <w14:lightRig w14:rig="threePt" w14:dir="t">
              <w14:rot w14:lat="0" w14:lon="0" w14:rev="0"/>
            </w14:lightRig>
          </w14:scene3d>
        </w:rPr>
        <w:t xml:space="preserve">8.4 </w:t>
      </w:r>
      <w:r>
        <w:rPr>
          <w:rStyle w:val="32"/>
        </w:rPr>
        <w:t xml:space="preserve"> 服务机制</w:t>
      </w:r>
      <w:r>
        <w:tab/>
      </w:r>
      <w:r>
        <w:fldChar w:fldCharType="begin"/>
      </w:r>
      <w:r>
        <w:instrText xml:space="preserve"> PAGEREF _Toc164001217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"_Toc164001218" </w:instrText>
      </w:r>
      <w:r>
        <w:fldChar w:fldCharType="separate"/>
      </w:r>
      <w:r>
        <w:rPr>
          <w:rStyle w:val="32"/>
        </w:rPr>
        <w:t>9  评价</w:t>
      </w:r>
      <w:r>
        <w:tab/>
      </w:r>
      <w:r>
        <w:fldChar w:fldCharType="begin"/>
      </w:r>
      <w:r>
        <w:instrText xml:space="preserve"> PAGEREF _Toc164001218 \h </w:instrText>
      </w:r>
      <w:r>
        <w:fldChar w:fldCharType="separate"/>
      </w:r>
      <w:r>
        <w:t>9</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"_Toc164001219" </w:instrText>
      </w:r>
      <w:r>
        <w:fldChar w:fldCharType="separate"/>
      </w:r>
      <w:r>
        <w:rPr>
          <w:rStyle w:val="32"/>
          <w14:scene3d w14:prst="orthographicFront">
            <w14:lightRig w14:rig="threePt" w14:dir="t">
              <w14:rot w14:lat="0" w14:lon="0" w14:rev="0"/>
            </w14:lightRig>
          </w14:scene3d>
        </w:rPr>
        <w:t xml:space="preserve">9.1 </w:t>
      </w:r>
      <w:r>
        <w:rPr>
          <w:rStyle w:val="32"/>
        </w:rPr>
        <w:t xml:space="preserve"> 测绘基准维持评价</w:t>
      </w:r>
      <w:r>
        <w:tab/>
      </w:r>
      <w:r>
        <w:fldChar w:fldCharType="begin"/>
      </w:r>
      <w:r>
        <w:instrText xml:space="preserve"> PAGEREF _Toc164001219 \h </w:instrText>
      </w:r>
      <w:r>
        <w:fldChar w:fldCharType="separate"/>
      </w:r>
      <w:r>
        <w:t>9</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"_Toc164001220" </w:instrText>
      </w:r>
      <w:r>
        <w:fldChar w:fldCharType="separate"/>
      </w:r>
      <w:r>
        <w:rPr>
          <w:rStyle w:val="32"/>
          <w14:scene3d w14:prst="orthographicFront">
            <w14:lightRig w14:rig="threePt" w14:dir="t">
              <w14:rot w14:lat="0" w14:lon="0" w14:rev="0"/>
            </w14:lightRig>
          </w14:scene3d>
        </w:rPr>
        <w:t xml:space="preserve">9.2 </w:t>
      </w:r>
      <w:r>
        <w:rPr>
          <w:rStyle w:val="32"/>
        </w:rPr>
        <w:t xml:space="preserve"> 协同服务评价</w:t>
      </w:r>
      <w:r>
        <w:tab/>
      </w:r>
      <w:r>
        <w:fldChar w:fldCharType="begin"/>
      </w:r>
      <w:r>
        <w:instrText xml:space="preserve"> PAGEREF _Toc164001220 \h </w:instrText>
      </w:r>
      <w:r>
        <w:fldChar w:fldCharType="separate"/>
      </w:r>
      <w:r>
        <w:t>9</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"_Toc164001221" </w:instrText>
      </w:r>
      <w:r>
        <w:fldChar w:fldCharType="separate"/>
      </w:r>
      <w:r>
        <w:rPr>
          <w:rStyle w:val="32"/>
        </w:rPr>
        <w:t>参考文献</w:t>
      </w:r>
      <w:r>
        <w:tab/>
      </w:r>
      <w:r>
        <w:fldChar w:fldCharType="begin"/>
      </w:r>
      <w:r>
        <w:instrText xml:space="preserve"> PAGEREF _Toc164001221 \h </w:instrText>
      </w:r>
      <w:r>
        <w:fldChar w:fldCharType="separate"/>
      </w:r>
      <w:r>
        <w:t>10</w:t>
      </w:r>
      <w:r>
        <w:fldChar w:fldCharType="end"/>
      </w:r>
      <w: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after="468"/>
      </w:pPr>
      <w:bookmarkStart w:id="30" w:name="_Toc164001196"/>
      <w:bookmarkStart w:id="31" w:name="BookMark2"/>
      <w:r>
        <w:rPr>
          <w:spacing w:val="320"/>
        </w:rPr>
        <w:t>前</w:t>
      </w:r>
      <w:r>
        <w:t>言</w:t>
      </w:r>
      <w:bookmarkEnd w:id="22"/>
      <w:bookmarkEnd w:id="23"/>
      <w:bookmarkEnd w:id="24"/>
      <w:bookmarkEnd w:id="25"/>
      <w:bookmarkEnd w:id="26"/>
      <w:bookmarkEnd w:id="27"/>
      <w:bookmarkEnd w:id="28"/>
      <w:bookmarkEnd w:id="29"/>
      <w:bookmarkEnd w:id="30"/>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本文件由江苏省自然资源厅提出并</w:t>
      </w:r>
      <w:r>
        <w:rPr>
          <w:rFonts w:hint="eastAsia"/>
          <w:lang w:eastAsia="zh-CN"/>
        </w:rPr>
        <w:t>组织</w:t>
      </w:r>
      <w:r>
        <w:rPr>
          <w:rFonts w:hint="eastAsia"/>
        </w:rPr>
        <w:t>实施。</w:t>
      </w:r>
    </w:p>
    <w:p>
      <w:pPr>
        <w:pStyle w:val="56"/>
        <w:ind w:firstLine="420"/>
      </w:pPr>
      <w:r>
        <w:rPr>
          <w:rFonts w:hint="eastAsia"/>
        </w:rPr>
        <w:t>本文件由江苏省自然资源标准化技术委员会归口。</w:t>
      </w:r>
    </w:p>
    <w:p>
      <w:pPr>
        <w:pStyle w:val="56"/>
        <w:ind w:firstLine="420"/>
      </w:pPr>
      <w:r>
        <w:rPr>
          <w:rFonts w:hint="eastAsia"/>
        </w:rPr>
        <w:t>本文件起草单位：</w:t>
      </w:r>
      <w:bookmarkStart w:id="284" w:name="_GoBack"/>
      <w:r>
        <w:rPr>
          <w:rFonts w:hint="eastAsia"/>
        </w:rPr>
        <w:t>江苏省测绘工程院、武汉大学、国家基础地理信息中心、江苏省测绘产品质量监督检验站、浙江省测绘科学研究院、安徽省基础测绘信息中心</w:t>
      </w:r>
      <w:bookmarkEnd w:id="284"/>
      <w:r>
        <w:rPr>
          <w:rFonts w:hint="eastAsia"/>
        </w:rPr>
        <w:t>。</w:t>
      </w:r>
    </w:p>
    <w:p>
      <w:pPr>
        <w:pStyle w:val="56"/>
        <w:ind w:firstLine="420"/>
      </w:pPr>
      <w:r>
        <w:rPr>
          <w:rFonts w:hint="eastAsia"/>
        </w:rPr>
        <w:t>本文件主要起草人：王勇、安艳辉、武军郦、孔宪森、沈骁、王剑、高建东、廖安生、冯杨民、王开锋、刘磊、沈蕾、朱晋哲、杨璐璐、戴志强。</w:t>
      </w:r>
    </w:p>
    <w:p>
      <w:pPr>
        <w:pStyle w:val="56"/>
        <w:ind w:firstLine="420"/>
      </w:pP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31"/>
    <w:p>
      <w:pPr>
        <w:spacing w:line="20" w:lineRule="exact"/>
        <w:jc w:val="center"/>
        <w:rPr>
          <w:rFonts w:ascii="黑体" w:hAnsi="黑体" w:eastAsia="黑体"/>
          <w:sz w:val="32"/>
          <w:szCs w:val="32"/>
        </w:rPr>
      </w:pPr>
      <w:bookmarkStart w:id="32" w:name="BookMark4"/>
    </w:p>
    <w:p>
      <w:pPr>
        <w:spacing w:line="20" w:lineRule="exact"/>
        <w:jc w:val="center"/>
        <w:rPr>
          <w:rFonts w:ascii="黑体" w:hAnsi="黑体" w:eastAsia="黑体"/>
          <w:sz w:val="32"/>
          <w:szCs w:val="32"/>
        </w:rPr>
      </w:pPr>
    </w:p>
    <w:sdt>
      <w:sdtPr>
        <w:tag w:val="NEW_STAND_NAME"/>
        <w:id w:val="595910757"/>
        <w:lock w:val="sdtLocked"/>
        <w:placeholder>
          <w:docPart w:val="6A333ABC480843BA8949D78A7F4DBF57"/>
        </w:placeholder>
      </w:sdtPr>
      <w:sdtContent>
        <w:p>
          <w:pPr>
            <w:pStyle w:val="177"/>
            <w:spacing w:before="312" w:beforeLines="100" w:after="3" w:afterLines="1"/>
          </w:pPr>
          <w:bookmarkStart w:id="33" w:name="NEW_STAND_NAME"/>
          <w:r>
            <w:rPr>
              <w:rFonts w:hint="eastAsia"/>
            </w:rPr>
            <w:t>区域现代测绘基准维持与协同服务</w:t>
          </w:r>
        </w:p>
        <w:p>
          <w:pPr>
            <w:pStyle w:val="177"/>
            <w:spacing w:before="3" w:beforeLines="1" w:after="680"/>
          </w:pPr>
          <w:r>
            <w:rPr>
              <w:rFonts w:hint="eastAsia"/>
            </w:rPr>
            <w:t>技术规范</w:t>
          </w:r>
        </w:p>
      </w:sdtContent>
    </w:sdt>
    <w:bookmarkEnd w:id="33"/>
    <w:p>
      <w:pPr>
        <w:pStyle w:val="104"/>
        <w:spacing w:before="312" w:after="312"/>
      </w:pPr>
      <w:bookmarkStart w:id="34" w:name="_Toc17233325"/>
      <w:bookmarkStart w:id="35" w:name="_Toc17233333"/>
      <w:bookmarkStart w:id="36" w:name="_Toc24884211"/>
      <w:bookmarkStart w:id="37" w:name="_Toc24884218"/>
      <w:bookmarkStart w:id="38" w:name="_Toc26648465"/>
      <w:bookmarkStart w:id="39" w:name="_Toc157164073"/>
      <w:bookmarkStart w:id="40" w:name="_Toc26986771"/>
      <w:bookmarkStart w:id="41" w:name="_Toc157588455"/>
      <w:bookmarkStart w:id="42" w:name="_Toc97191423"/>
      <w:bookmarkStart w:id="43" w:name="_Toc163762062"/>
      <w:bookmarkStart w:id="44" w:name="_Toc163766622"/>
      <w:bookmarkStart w:id="45" w:name="_Toc163504357"/>
      <w:bookmarkStart w:id="46" w:name="_Toc163834008"/>
      <w:bookmarkStart w:id="47" w:name="_Toc26718930"/>
      <w:bookmarkStart w:id="48" w:name="_Toc163633686"/>
      <w:bookmarkStart w:id="49" w:name="_Toc157162078"/>
      <w:bookmarkStart w:id="50" w:name="_Toc164001197"/>
      <w:bookmarkStart w:id="51" w:name="_Toc26986530"/>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56"/>
        <w:ind w:firstLine="420"/>
      </w:pPr>
      <w:bookmarkStart w:id="52" w:name="_Toc17233326"/>
      <w:bookmarkStart w:id="53" w:name="_Toc17233334"/>
      <w:bookmarkStart w:id="54" w:name="_Toc26648466"/>
      <w:bookmarkStart w:id="55" w:name="_Toc24884219"/>
      <w:bookmarkStart w:id="56" w:name="_Toc24884212"/>
      <w:r>
        <w:rPr>
          <w:rFonts w:hint="eastAsia"/>
        </w:rPr>
        <w:t>本文件规定了以卫星导航定位基准站网等基础设施开展区域现代测绘基准维持与协同服务有关的指标、方法、系统建设等内容。</w:t>
      </w:r>
    </w:p>
    <w:p>
      <w:pPr>
        <w:pStyle w:val="56"/>
        <w:ind w:firstLine="420"/>
      </w:pPr>
      <w:r>
        <w:rPr>
          <w:rFonts w:hint="eastAsia"/>
        </w:rPr>
        <w:t>本文件适用于江苏省区域现代测绘基准的维持与协同服务，其他区域可参照本规范。</w:t>
      </w:r>
    </w:p>
    <w:p>
      <w:pPr>
        <w:pStyle w:val="104"/>
        <w:spacing w:before="312" w:after="312"/>
      </w:pPr>
      <w:bookmarkStart w:id="57" w:name="_Toc157164074"/>
      <w:bookmarkStart w:id="58" w:name="_Toc97191424"/>
      <w:bookmarkStart w:id="59" w:name="_Toc26718931"/>
      <w:bookmarkStart w:id="60" w:name="_Toc26986531"/>
      <w:bookmarkStart w:id="61" w:name="_Toc163633687"/>
      <w:bookmarkStart w:id="62" w:name="_Toc163762063"/>
      <w:bookmarkStart w:id="63" w:name="_Toc163766623"/>
      <w:bookmarkStart w:id="64" w:name="_Toc26986772"/>
      <w:bookmarkStart w:id="65" w:name="_Toc157588456"/>
      <w:bookmarkStart w:id="66" w:name="_Toc157162079"/>
      <w:bookmarkStart w:id="67" w:name="_Toc163834009"/>
      <w:bookmarkStart w:id="68" w:name="_Toc163504358"/>
      <w:bookmarkStart w:id="69" w:name="_Toc164001198"/>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8B0AC4BBD12740238F818AB4B86B359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bookmarkStart w:id="70" w:name="_Hlk163574487"/>
      <w:r>
        <w:rPr>
          <w:rFonts w:hint="eastAsia"/>
        </w:rPr>
        <w:t>GB/T 17944  加密重力测量规范</w:t>
      </w:r>
    </w:p>
    <w:p>
      <w:pPr>
        <w:pStyle w:val="56"/>
        <w:ind w:firstLine="420"/>
      </w:pPr>
      <w:r>
        <w:rPr>
          <w:rFonts w:hint="eastAsia"/>
        </w:rPr>
        <w:t>GB/T 18314  全球定位系统(GPS)测量规范</w:t>
      </w:r>
    </w:p>
    <w:p>
      <w:pPr>
        <w:pStyle w:val="56"/>
        <w:ind w:firstLine="420"/>
      </w:pPr>
      <w:r>
        <w:rPr>
          <w:rFonts w:hint="eastAsia"/>
        </w:rPr>
        <w:t>GB/T 20256  国家重力控制测量规范</w:t>
      </w:r>
    </w:p>
    <w:p>
      <w:pPr>
        <w:pStyle w:val="56"/>
        <w:ind w:firstLine="420"/>
      </w:pPr>
      <w:r>
        <w:rPr>
          <w:rFonts w:hint="eastAsia"/>
        </w:rPr>
        <w:t xml:space="preserve">GB/T 23709  区域似大地水准面精化基本技术规定 </w:t>
      </w:r>
    </w:p>
    <w:p>
      <w:pPr>
        <w:pStyle w:val="56"/>
        <w:ind w:firstLine="420"/>
      </w:pPr>
      <w:r>
        <w:rPr>
          <w:rFonts w:hint="eastAsia"/>
        </w:rPr>
        <w:t>GB/T 28588  全球导航卫星系统连续运行基准站网技术规范</w:t>
      </w:r>
    </w:p>
    <w:p>
      <w:pPr>
        <w:pStyle w:val="56"/>
        <w:ind w:firstLine="420"/>
        <w:rPr>
          <w:rStyle w:val="32"/>
        </w:rPr>
      </w:pPr>
      <w:bookmarkStart w:id="71" w:name="_Hlk163573601"/>
      <w:r>
        <w:fldChar w:fldCharType="begin"/>
      </w:r>
      <w:r>
        <w:instrText xml:space="preserve">HYPERLINK "https://std.samr.gov.cn/gb/search/gbDetailed?id=71F772D82481D3A7E05397BE0A0AB82A" \t "_blank"</w:instrText>
      </w:r>
      <w:r>
        <w:fldChar w:fldCharType="separate"/>
      </w:r>
      <w:r>
        <w:rPr>
          <w:rStyle w:val="32"/>
        </w:rPr>
        <w:t>GB/T 35767</w:t>
      </w:r>
      <w:r>
        <w:rPr>
          <w:rStyle w:val="32"/>
          <w:rFonts w:hint="eastAsia"/>
        </w:rPr>
        <w:t xml:space="preserve">  </w:t>
      </w:r>
      <w:r>
        <w:rPr>
          <w:rStyle w:val="32"/>
        </w:rPr>
        <w:t>卫星导航定位基准站网基本产品规范</w:t>
      </w:r>
      <w:r>
        <w:rPr>
          <w:rStyle w:val="32"/>
        </w:rPr>
        <w:fldChar w:fldCharType="end"/>
      </w:r>
    </w:p>
    <w:p>
      <w:pPr>
        <w:pStyle w:val="56"/>
        <w:ind w:firstLine="420"/>
        <w:rPr>
          <w:rStyle w:val="32"/>
        </w:rPr>
      </w:pPr>
      <w:r>
        <w:fldChar w:fldCharType="begin"/>
      </w:r>
      <w:r>
        <w:instrText xml:space="preserve"> HYPERLINK "https://std.samr.gov.cn/gb/search/gbDetailed?id=71F772D82483D3A7E05397BE0A0AB82A" \t "_blank" </w:instrText>
      </w:r>
      <w:r>
        <w:fldChar w:fldCharType="separate"/>
      </w:r>
      <w:r>
        <w:rPr>
          <w:rStyle w:val="32"/>
        </w:rPr>
        <w:t>GB/T 35768</w:t>
      </w:r>
      <w:r>
        <w:rPr>
          <w:rStyle w:val="32"/>
          <w:rFonts w:hint="eastAsia"/>
        </w:rPr>
        <w:t xml:space="preserve">  </w:t>
      </w:r>
      <w:r>
        <w:rPr>
          <w:rStyle w:val="32"/>
        </w:rPr>
        <w:t>卫星导航定位基准站网服务管理系统规范</w:t>
      </w:r>
      <w:r>
        <w:rPr>
          <w:rStyle w:val="32"/>
        </w:rPr>
        <w:fldChar w:fldCharType="end"/>
      </w:r>
    </w:p>
    <w:bookmarkEnd w:id="71"/>
    <w:p>
      <w:pPr>
        <w:pStyle w:val="56"/>
        <w:ind w:firstLine="420"/>
      </w:pPr>
      <w:r>
        <w:rPr>
          <w:rFonts w:hint="eastAsia"/>
        </w:rPr>
        <w:t>GB/T 39615  卫星导航定位基准站网测试技术规范</w:t>
      </w:r>
    </w:p>
    <w:p>
      <w:pPr>
        <w:pStyle w:val="56"/>
        <w:ind w:firstLine="420"/>
      </w:pPr>
      <w:r>
        <w:rPr>
          <w:rFonts w:hint="eastAsia"/>
        </w:rPr>
        <w:t>GB/T 39616  卫星导航定位基准站网络实时动态测量（RTK）规范</w:t>
      </w:r>
    </w:p>
    <w:p>
      <w:pPr>
        <w:pStyle w:val="56"/>
        <w:ind w:firstLine="420"/>
      </w:pPr>
      <w:r>
        <w:rPr>
          <w:rFonts w:hint="eastAsia"/>
        </w:rPr>
        <w:t>CH/T 2014  大地测量控制点坐标转换技术规范</w:t>
      </w:r>
    </w:p>
    <w:p>
      <w:pPr>
        <w:pStyle w:val="56"/>
        <w:ind w:firstLine="420"/>
      </w:pPr>
      <w:r>
        <w:rPr>
          <w:rFonts w:hint="eastAsia"/>
        </w:rPr>
        <w:t>CH/T 6006  时间序列InSAR地表形变监测数据处理规范</w:t>
      </w:r>
    </w:p>
    <w:p>
      <w:pPr>
        <w:pStyle w:val="56"/>
        <w:ind w:firstLine="420"/>
      </w:pPr>
      <w:r>
        <w:rPr>
          <w:rFonts w:hint="eastAsia"/>
        </w:rPr>
        <w:t>DB32/T 3868  卫星导航定位基准站网数据处理规范</w:t>
      </w:r>
    </w:p>
    <w:bookmarkEnd w:id="70"/>
    <w:p>
      <w:pPr>
        <w:pStyle w:val="104"/>
        <w:spacing w:before="312" w:after="312"/>
      </w:pPr>
      <w:bookmarkStart w:id="72" w:name="_Toc97191425"/>
      <w:bookmarkStart w:id="73" w:name="_Toc157162080"/>
      <w:bookmarkStart w:id="74" w:name="_Toc157588457"/>
      <w:bookmarkStart w:id="75" w:name="_Toc163504359"/>
      <w:bookmarkStart w:id="76" w:name="_Toc157164075"/>
      <w:bookmarkStart w:id="77" w:name="_Toc163633688"/>
      <w:bookmarkStart w:id="78" w:name="_Toc163762064"/>
      <w:bookmarkStart w:id="79" w:name="_Toc163766624"/>
      <w:bookmarkStart w:id="80" w:name="_Toc163834010"/>
      <w:bookmarkStart w:id="81" w:name="_Toc164001199"/>
      <w:r>
        <w:rPr>
          <w:rFonts w:hint="eastAsia"/>
          <w:szCs w:val="21"/>
        </w:rPr>
        <w:t>术语和定义</w:t>
      </w:r>
      <w:bookmarkEnd w:id="72"/>
      <w:bookmarkEnd w:id="73"/>
      <w:bookmarkEnd w:id="74"/>
      <w:bookmarkEnd w:id="75"/>
      <w:bookmarkEnd w:id="76"/>
      <w:bookmarkEnd w:id="77"/>
      <w:bookmarkEnd w:id="78"/>
      <w:bookmarkEnd w:id="79"/>
      <w:bookmarkEnd w:id="80"/>
      <w:bookmarkEnd w:id="81"/>
    </w:p>
    <w:sdt>
      <w:sdtPr>
        <w:id w:val="-1909835108"/>
        <w:placeholder>
          <w:docPart w:val="A55DF06DB1004D2EB3A891F230A3178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82" w:name="_Toc26986532"/>
          <w:bookmarkEnd w:id="82"/>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测绘基准 s</w:t>
      </w:r>
      <w:r>
        <w:rPr>
          <w:rFonts w:ascii="黑体" w:hAnsi="黑体" w:eastAsia="黑体"/>
        </w:rPr>
        <w:t xml:space="preserve">urvey </w:t>
      </w:r>
      <w:r>
        <w:rPr>
          <w:rFonts w:hint="eastAsia" w:ascii="黑体" w:hAnsi="黑体" w:eastAsia="黑体"/>
        </w:rPr>
        <w:t>d</w:t>
      </w:r>
      <w:r>
        <w:rPr>
          <w:rFonts w:ascii="黑体" w:hAnsi="黑体" w:eastAsia="黑体"/>
        </w:rPr>
        <w:t>atum</w:t>
      </w:r>
    </w:p>
    <w:p>
      <w:pPr>
        <w:pStyle w:val="56"/>
        <w:ind w:firstLine="420"/>
      </w:pPr>
      <w:r>
        <w:rPr>
          <w:rFonts w:hint="eastAsia"/>
        </w:rPr>
        <w:t>为开展测绘工作所确定和建立的各类起算点、起算面及其参数。</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卫星导航定位基准站 gnss</w:t>
      </w:r>
      <w:r>
        <w:rPr>
          <w:rFonts w:ascii="黑体" w:hAnsi="黑体" w:eastAsia="黑体"/>
        </w:rPr>
        <w:t xml:space="preserve"> </w:t>
      </w:r>
      <w:r>
        <w:rPr>
          <w:rFonts w:hint="eastAsia" w:ascii="黑体" w:hAnsi="黑体" w:eastAsia="黑体"/>
        </w:rPr>
        <w:t>con</w:t>
      </w:r>
      <w:r>
        <w:rPr>
          <w:rFonts w:ascii="黑体" w:hAnsi="黑体" w:eastAsia="黑体"/>
        </w:rPr>
        <w:t xml:space="preserve">tinuously </w:t>
      </w:r>
      <w:r>
        <w:rPr>
          <w:rFonts w:hint="eastAsia" w:ascii="黑体" w:hAnsi="黑体" w:eastAsia="黑体"/>
        </w:rPr>
        <w:t>o</w:t>
      </w:r>
      <w:r>
        <w:rPr>
          <w:rFonts w:ascii="黑体" w:hAnsi="黑体" w:eastAsia="黑体"/>
        </w:rPr>
        <w:t xml:space="preserve">perating </w:t>
      </w:r>
      <w:r>
        <w:rPr>
          <w:rFonts w:hint="eastAsia" w:ascii="黑体" w:hAnsi="黑体" w:eastAsia="黑体"/>
        </w:rPr>
        <w:t>r</w:t>
      </w:r>
      <w:r>
        <w:rPr>
          <w:rFonts w:ascii="黑体" w:hAnsi="黑体" w:eastAsia="黑体"/>
        </w:rPr>
        <w:t xml:space="preserve">eference </w:t>
      </w:r>
      <w:r>
        <w:rPr>
          <w:rFonts w:hint="eastAsia" w:ascii="黑体" w:hAnsi="黑体" w:eastAsia="黑体"/>
        </w:rPr>
        <w:t>s</w:t>
      </w:r>
      <w:r>
        <w:rPr>
          <w:rFonts w:ascii="黑体" w:hAnsi="黑体" w:eastAsia="黑体"/>
        </w:rPr>
        <w:t>tation</w:t>
      </w:r>
    </w:p>
    <w:p>
      <w:pPr>
        <w:pStyle w:val="56"/>
        <w:ind w:firstLine="420"/>
      </w:pPr>
      <w:r>
        <w:rPr>
          <w:rFonts w:hint="eastAsia"/>
        </w:rPr>
        <w:t>对北斗、G</w:t>
      </w:r>
      <w:r>
        <w:t>PS</w:t>
      </w:r>
      <w:r>
        <w:rPr>
          <w:rFonts w:hint="eastAsia"/>
        </w:rPr>
        <w:t>、G</w:t>
      </w:r>
      <w:r>
        <w:t>LONASS</w:t>
      </w:r>
      <w:r>
        <w:rPr>
          <w:rFonts w:hint="eastAsia"/>
        </w:rPr>
        <w:t>、G</w:t>
      </w:r>
      <w:r>
        <w:t>ALIEO</w:t>
      </w:r>
      <w:r>
        <w:rPr>
          <w:rFonts w:hint="eastAsia"/>
        </w:rPr>
        <w:t>等导航卫星信号进行长期连续观测，获取观测数据，并通过通信设施将观测数据实时或者定时传送至数据中心的地面固定观测站，也称基准站。</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现代测绘基准 modern surveying and mapping reference</w:t>
      </w:r>
    </w:p>
    <w:p>
      <w:pPr>
        <w:pStyle w:val="56"/>
        <w:ind w:firstLine="420"/>
      </w:pPr>
      <w:r>
        <w:rPr>
          <w:rFonts w:hint="eastAsia"/>
        </w:rPr>
        <w:t>利用现代空间技术，建立统一的、高精度、地心、动态测绘基准基础设施，赋予空间位置、水准高程和重力场等属性，由大地基准、高程基准、重力基准、深度基准以及基准服务系统等组成。</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协同服务 co</w:t>
      </w:r>
      <w:r>
        <w:rPr>
          <w:rFonts w:ascii="黑体" w:hAnsi="黑体" w:eastAsia="黑体"/>
        </w:rPr>
        <w:t xml:space="preserve">llaborative </w:t>
      </w:r>
      <w:r>
        <w:rPr>
          <w:rFonts w:hint="eastAsia" w:ascii="黑体" w:hAnsi="黑体" w:eastAsia="黑体"/>
        </w:rPr>
        <w:t>s</w:t>
      </w:r>
      <w:r>
        <w:rPr>
          <w:rFonts w:ascii="黑体" w:hAnsi="黑体" w:eastAsia="黑体"/>
        </w:rPr>
        <w:t>ervice</w:t>
      </w:r>
    </w:p>
    <w:p>
      <w:pPr>
        <w:pStyle w:val="56"/>
        <w:ind w:firstLine="420"/>
      </w:pPr>
      <w:r>
        <w:rPr>
          <w:rFonts w:hint="eastAsia"/>
        </w:rPr>
        <w:t>由不同的单位、测绘基准基础设施和系统联合起来，共同提供的或者实现的服务。</w:t>
      </w:r>
    </w:p>
    <w:p>
      <w:pPr>
        <w:pStyle w:val="104"/>
        <w:spacing w:before="312" w:after="312"/>
      </w:pPr>
      <w:bookmarkStart w:id="83" w:name="_Toc163766625"/>
      <w:bookmarkStart w:id="84" w:name="_Toc157162081"/>
      <w:bookmarkStart w:id="85" w:name="_Toc163633689"/>
      <w:bookmarkStart w:id="86" w:name="_Toc157588458"/>
      <w:bookmarkStart w:id="87" w:name="_Toc163834011"/>
      <w:bookmarkStart w:id="88" w:name="_Toc163762065"/>
      <w:bookmarkStart w:id="89" w:name="_Toc163504360"/>
      <w:bookmarkStart w:id="90" w:name="_Toc157164076"/>
      <w:bookmarkStart w:id="91" w:name="_Toc164001200"/>
      <w:r>
        <w:rPr>
          <w:rFonts w:hint="eastAsia"/>
        </w:rPr>
        <w:t>缩略语</w:t>
      </w:r>
      <w:bookmarkEnd w:id="83"/>
      <w:bookmarkEnd w:id="84"/>
      <w:bookmarkEnd w:id="85"/>
      <w:bookmarkEnd w:id="86"/>
      <w:bookmarkEnd w:id="87"/>
      <w:bookmarkEnd w:id="88"/>
      <w:bookmarkEnd w:id="89"/>
      <w:bookmarkEnd w:id="90"/>
      <w:bookmarkEnd w:id="91"/>
    </w:p>
    <w:p>
      <w:pPr>
        <w:pStyle w:val="56"/>
        <w:ind w:firstLine="420"/>
      </w:pPr>
      <w:r>
        <w:rPr>
          <w:rFonts w:hint="eastAsia"/>
        </w:rPr>
        <w:t>下列缩略语适用于本文件。</w:t>
      </w:r>
    </w:p>
    <w:p>
      <w:pPr>
        <w:pStyle w:val="56"/>
        <w:ind w:firstLine="420"/>
      </w:pPr>
      <w:r>
        <w:rPr>
          <w:rFonts w:hint="eastAsia"/>
        </w:rPr>
        <w:t>CGCS2000:2000国家大地坐标系统(China Geodetic Coordinate System 2000)</w:t>
      </w:r>
    </w:p>
    <w:p>
      <w:pPr>
        <w:pStyle w:val="56"/>
        <w:ind w:firstLine="420"/>
      </w:pPr>
      <w:r>
        <w:rPr>
          <w:rFonts w:hint="eastAsia"/>
        </w:rPr>
        <w:t>GNSS:全球导航卫星系统(Global Navigation Satellite System)</w:t>
      </w:r>
    </w:p>
    <w:p>
      <w:pPr>
        <w:pStyle w:val="56"/>
        <w:ind w:firstLine="420"/>
      </w:pPr>
      <w:r>
        <w:rPr>
          <w:rFonts w:hint="eastAsia"/>
        </w:rPr>
        <w:t>IGS:国际导航卫星系统服务组织(International</w:t>
      </w:r>
      <w:r>
        <w:t xml:space="preserve"> </w:t>
      </w:r>
      <w:r>
        <w:rPr>
          <w:rFonts w:hint="eastAsia"/>
        </w:rPr>
        <w:t>Navigation Satellite System Service Organization)</w:t>
      </w:r>
    </w:p>
    <w:p>
      <w:pPr>
        <w:pStyle w:val="56"/>
        <w:ind w:firstLine="420"/>
      </w:pPr>
      <w:r>
        <w:t>InSAR:</w:t>
      </w:r>
      <w:r>
        <w:rPr>
          <w:rFonts w:hint="eastAsia"/>
        </w:rPr>
        <w:t>合成孔径雷达干涉测量</w:t>
      </w:r>
      <w:r>
        <w:t>(Interferometric Synthetic Aperture Radar)</w:t>
      </w:r>
    </w:p>
    <w:p>
      <w:pPr>
        <w:pStyle w:val="56"/>
        <w:ind w:firstLine="420"/>
      </w:pPr>
      <w:r>
        <w:rPr>
          <w:rFonts w:hint="eastAsia"/>
        </w:rPr>
        <w:t>ITRF:国际地球参考框架(International Terrestrial Reference Frame)</w:t>
      </w:r>
    </w:p>
    <w:p>
      <w:pPr>
        <w:pStyle w:val="56"/>
        <w:ind w:firstLine="420"/>
      </w:pPr>
      <w:r>
        <w:rPr>
          <w:rFonts w:hint="eastAsia"/>
        </w:rPr>
        <w:t>POS:定位测姿系统（Position and Orientation System）</w:t>
      </w:r>
    </w:p>
    <w:p>
      <w:pPr>
        <w:pStyle w:val="56"/>
        <w:ind w:firstLine="420"/>
      </w:pPr>
      <w:r>
        <w:rPr>
          <w:rFonts w:hint="eastAsia"/>
        </w:rPr>
        <w:t>RTD:实时伪距相位差分技术(Real Time Differential)</w:t>
      </w:r>
    </w:p>
    <w:p>
      <w:pPr>
        <w:pStyle w:val="56"/>
        <w:ind w:firstLine="420"/>
      </w:pPr>
      <w:r>
        <w:rPr>
          <w:rFonts w:hint="eastAsia"/>
        </w:rPr>
        <w:t>RTK:实时载波相位差分技术(Real Time Kinematic)</w:t>
      </w:r>
    </w:p>
    <w:p>
      <w:pPr>
        <w:pStyle w:val="56"/>
        <w:ind w:firstLine="420"/>
      </w:pPr>
      <w:r>
        <w:rPr>
          <w:rFonts w:hint="eastAsia"/>
        </w:rPr>
        <w:t>UTC:协调世界时(Coordinated Universal Time)</w:t>
      </w:r>
    </w:p>
    <w:p>
      <w:pPr>
        <w:pStyle w:val="104"/>
        <w:spacing w:before="312" w:after="312"/>
      </w:pPr>
      <w:bookmarkStart w:id="92" w:name="_Toc163633690"/>
      <w:bookmarkStart w:id="93" w:name="_Toc163762066"/>
      <w:bookmarkStart w:id="94" w:name="_Toc163766626"/>
      <w:bookmarkStart w:id="95" w:name="_Toc157588459"/>
      <w:bookmarkStart w:id="96" w:name="_Toc157164077"/>
      <w:bookmarkStart w:id="97" w:name="_Toc163504361"/>
      <w:bookmarkStart w:id="98" w:name="_Toc157162082"/>
      <w:bookmarkStart w:id="99" w:name="_Toc163834012"/>
      <w:bookmarkStart w:id="100" w:name="_Toc164001201"/>
      <w:r>
        <w:rPr>
          <w:rFonts w:hint="eastAsia"/>
        </w:rPr>
        <w:t>基本要求</w:t>
      </w:r>
      <w:bookmarkEnd w:id="92"/>
      <w:bookmarkEnd w:id="93"/>
      <w:bookmarkEnd w:id="94"/>
      <w:bookmarkEnd w:id="95"/>
      <w:bookmarkEnd w:id="96"/>
      <w:bookmarkEnd w:id="97"/>
      <w:bookmarkEnd w:id="98"/>
      <w:bookmarkEnd w:id="99"/>
      <w:bookmarkEnd w:id="100"/>
    </w:p>
    <w:p>
      <w:pPr>
        <w:pStyle w:val="56"/>
        <w:ind w:firstLine="420"/>
      </w:pPr>
      <w:r>
        <w:rPr>
          <w:rFonts w:hint="eastAsia"/>
        </w:rPr>
        <w:t>区域现代测绘基准维持与协同服务的基本要求如下：</w:t>
      </w:r>
    </w:p>
    <w:p>
      <w:pPr>
        <w:pStyle w:val="174"/>
      </w:pPr>
      <w:r>
        <w:rPr>
          <w:rFonts w:hint="eastAsia"/>
        </w:rPr>
        <w:t>提供服务的基准站网应符合GB/T 28588的规定；</w:t>
      </w:r>
    </w:p>
    <w:p>
      <w:pPr>
        <w:pStyle w:val="174"/>
      </w:pPr>
      <w:r>
        <w:rPr>
          <w:rFonts w:hint="eastAsia"/>
        </w:rPr>
        <w:t>服务单位应建有测绘基准协同服务平台，应具有用户共享与认证、信息数据同步与管理、数据接口服务、数据服务监控与管理、数据源加密与播发等功能，并符合</w:t>
      </w:r>
      <w:r>
        <w:t>GB/T 35768</w:t>
      </w:r>
      <w:r>
        <w:rPr>
          <w:rFonts w:hint="eastAsia"/>
        </w:rPr>
        <w:t>的规定；</w:t>
      </w:r>
    </w:p>
    <w:p>
      <w:pPr>
        <w:pStyle w:val="174"/>
      </w:pPr>
      <w:r>
        <w:rPr>
          <w:rFonts w:hint="eastAsia"/>
        </w:rPr>
        <w:t>服务单位应具有完整的地理信息安全管理方案，并完成相应的信息安全等级保护测评；</w:t>
      </w:r>
    </w:p>
    <w:p>
      <w:pPr>
        <w:pStyle w:val="174"/>
      </w:pPr>
      <w:r>
        <w:rPr>
          <w:rFonts w:hint="eastAsia"/>
        </w:rPr>
        <w:t>跨区域的测绘基准应完成一体化建设；</w:t>
      </w:r>
    </w:p>
    <w:p>
      <w:pPr>
        <w:pStyle w:val="174"/>
      </w:pPr>
      <w:r>
        <w:rPr>
          <w:rFonts w:hint="eastAsia"/>
        </w:rPr>
        <w:t>服务产品应满足</w:t>
      </w:r>
      <w:r>
        <w:fldChar w:fldCharType="begin"/>
      </w:r>
      <w:r>
        <w:instrText xml:space="preserve"> HYPERLINK "https://std.samr.gov.cn/gb/search/gbDetailed?id=71F772D82481D3A7E05397BE0A0AB82A" \t "_blank" </w:instrText>
      </w:r>
      <w:r>
        <w:fldChar w:fldCharType="separate"/>
      </w:r>
      <w:r>
        <w:t>GB/T 35767</w:t>
      </w:r>
      <w:r>
        <w:fldChar w:fldCharType="end"/>
      </w:r>
      <w:r>
        <w:rPr>
          <w:rFonts w:hint="eastAsia"/>
        </w:rPr>
        <w:t>的规定；</w:t>
      </w:r>
    </w:p>
    <w:p>
      <w:pPr>
        <w:pStyle w:val="174"/>
      </w:pPr>
      <w:r>
        <w:rPr>
          <w:rFonts w:hint="eastAsia"/>
        </w:rPr>
        <w:t>区域协同服务的测绘基准产品成果更新周期应小于1年。</w:t>
      </w:r>
    </w:p>
    <w:p>
      <w:pPr>
        <w:pStyle w:val="104"/>
        <w:spacing w:before="312" w:after="312"/>
      </w:pPr>
      <w:bookmarkStart w:id="101" w:name="_Toc163633691"/>
      <w:bookmarkStart w:id="102" w:name="_Toc157164078"/>
      <w:bookmarkStart w:id="103" w:name="_Toc164001202"/>
      <w:bookmarkStart w:id="104" w:name="_Toc157588460"/>
      <w:bookmarkStart w:id="105" w:name="_Toc163762067"/>
      <w:bookmarkStart w:id="106" w:name="_Toc163766627"/>
      <w:bookmarkStart w:id="107" w:name="_Toc163834013"/>
      <w:bookmarkStart w:id="108" w:name="_Toc157162083"/>
      <w:bookmarkStart w:id="109" w:name="_Toc163504362"/>
      <w:r>
        <w:rPr>
          <w:rFonts w:hint="eastAsia"/>
        </w:rPr>
        <w:t>基准构成与分类</w:t>
      </w:r>
      <w:bookmarkEnd w:id="101"/>
      <w:bookmarkEnd w:id="102"/>
      <w:bookmarkEnd w:id="103"/>
      <w:bookmarkEnd w:id="104"/>
      <w:bookmarkEnd w:id="105"/>
      <w:bookmarkEnd w:id="106"/>
      <w:bookmarkEnd w:id="107"/>
      <w:bookmarkEnd w:id="108"/>
      <w:bookmarkEnd w:id="109"/>
    </w:p>
    <w:p>
      <w:pPr>
        <w:pStyle w:val="105"/>
        <w:spacing w:before="156" w:after="156"/>
      </w:pPr>
      <w:bookmarkStart w:id="110" w:name="_Toc163633692"/>
      <w:bookmarkStart w:id="111" w:name="_Toc163762068"/>
      <w:bookmarkStart w:id="112" w:name="_Toc157164079"/>
      <w:bookmarkStart w:id="113" w:name="_Toc157588461"/>
      <w:bookmarkStart w:id="114" w:name="_Toc163504363"/>
      <w:bookmarkStart w:id="115" w:name="_Toc163766628"/>
      <w:bookmarkStart w:id="116" w:name="_Toc164001203"/>
      <w:bookmarkStart w:id="117" w:name="_Toc157162084"/>
      <w:bookmarkStart w:id="118" w:name="_Toc163834014"/>
      <w:r>
        <w:rPr>
          <w:rFonts w:hint="eastAsia"/>
        </w:rPr>
        <w:t>基准构成及要求</w:t>
      </w:r>
      <w:bookmarkEnd w:id="110"/>
      <w:bookmarkEnd w:id="111"/>
      <w:bookmarkEnd w:id="112"/>
      <w:bookmarkEnd w:id="113"/>
      <w:bookmarkEnd w:id="114"/>
      <w:bookmarkEnd w:id="115"/>
      <w:bookmarkEnd w:id="116"/>
      <w:bookmarkEnd w:id="117"/>
      <w:bookmarkEnd w:id="118"/>
    </w:p>
    <w:p>
      <w:pPr>
        <w:pStyle w:val="65"/>
        <w:spacing w:before="156" w:after="156"/>
      </w:pPr>
      <w:r>
        <w:rPr>
          <w:rFonts w:hint="eastAsia"/>
        </w:rPr>
        <w:t>大地基准</w:t>
      </w:r>
    </w:p>
    <w:p>
      <w:pPr>
        <w:pStyle w:val="56"/>
        <w:ind w:firstLine="420"/>
      </w:pPr>
      <w:r>
        <w:rPr>
          <w:rFonts w:hint="eastAsia"/>
        </w:rPr>
        <w:t>大地基准构成及要求如下：</w:t>
      </w:r>
    </w:p>
    <w:p>
      <w:pPr>
        <w:pStyle w:val="174"/>
        <w:numPr>
          <w:ilvl w:val="0"/>
          <w:numId w:val="32"/>
        </w:numPr>
      </w:pPr>
      <w:r>
        <w:rPr>
          <w:rFonts w:hint="eastAsia"/>
        </w:rPr>
        <w:t>大地基准应由区域范围内及周边的框架网和基本网等组成和维持；</w:t>
      </w:r>
    </w:p>
    <w:p>
      <w:pPr>
        <w:pStyle w:val="174"/>
        <w:numPr>
          <w:ilvl w:val="0"/>
          <w:numId w:val="32"/>
        </w:numPr>
      </w:pPr>
      <w:r>
        <w:rPr>
          <w:rFonts w:hint="eastAsia"/>
        </w:rPr>
        <w:t>框架网应由区域内均匀分布且稳定的国家或省级基准站组成；</w:t>
      </w:r>
    </w:p>
    <w:p>
      <w:pPr>
        <w:pStyle w:val="174"/>
        <w:numPr>
          <w:ilvl w:val="0"/>
          <w:numId w:val="32"/>
        </w:numPr>
      </w:pPr>
      <w:r>
        <w:rPr>
          <w:rFonts w:hint="eastAsia"/>
        </w:rPr>
        <w:t>基本网应由区域内省级基准站、B级GNSS点及其他高等级控制点构成；</w:t>
      </w:r>
    </w:p>
    <w:p>
      <w:pPr>
        <w:pStyle w:val="174"/>
        <w:numPr>
          <w:ilvl w:val="0"/>
          <w:numId w:val="32"/>
        </w:numPr>
      </w:pPr>
      <w:r>
        <w:rPr>
          <w:rFonts w:hint="eastAsia"/>
        </w:rPr>
        <w:t>框架网应采用国家基准站进行起算，基本网应采用框架网点进行起算。</w:t>
      </w:r>
    </w:p>
    <w:p>
      <w:pPr>
        <w:pStyle w:val="65"/>
        <w:spacing w:before="156" w:after="156"/>
      </w:pPr>
      <w:r>
        <w:rPr>
          <w:rFonts w:hint="eastAsia"/>
        </w:rPr>
        <w:t>高程基准</w:t>
      </w:r>
    </w:p>
    <w:p>
      <w:pPr>
        <w:pStyle w:val="56"/>
        <w:ind w:firstLine="420"/>
      </w:pPr>
      <w:r>
        <w:rPr>
          <w:rFonts w:hint="eastAsia"/>
        </w:rPr>
        <w:t>高程基准构成及要求如下：</w:t>
      </w:r>
    </w:p>
    <w:p>
      <w:pPr>
        <w:pStyle w:val="174"/>
        <w:numPr>
          <w:ilvl w:val="0"/>
          <w:numId w:val="33"/>
        </w:numPr>
      </w:pPr>
      <w:r>
        <w:rPr>
          <w:rFonts w:hint="eastAsia"/>
        </w:rPr>
        <w:t>高程基准应由区域范围及周边的高等级水准线路（点）和区域似大地水准面模型实现维持；</w:t>
      </w:r>
    </w:p>
    <w:p>
      <w:pPr>
        <w:pStyle w:val="174"/>
        <w:numPr>
          <w:ilvl w:val="0"/>
          <w:numId w:val="33"/>
        </w:numPr>
      </w:pPr>
      <w:r>
        <w:rPr>
          <w:rFonts w:hint="eastAsia"/>
        </w:rPr>
        <w:t>应由区域内现有的一、二等水准线路（点）组成，构建区域统一的高程基准控制网；</w:t>
      </w:r>
    </w:p>
    <w:p>
      <w:pPr>
        <w:pStyle w:val="174"/>
        <w:numPr>
          <w:ilvl w:val="0"/>
          <w:numId w:val="33"/>
        </w:numPr>
      </w:pPr>
      <w:r>
        <w:rPr>
          <w:rFonts w:hint="eastAsia"/>
        </w:rPr>
        <w:t>区域似大地水准面模型应综合利用区域内测绘大地基准成果、精密水准成果、重力基础数据和地形数据确定。</w:t>
      </w:r>
    </w:p>
    <w:p>
      <w:pPr>
        <w:pStyle w:val="65"/>
        <w:spacing w:before="156" w:after="156"/>
      </w:pPr>
      <w:r>
        <w:rPr>
          <w:rFonts w:hint="eastAsia"/>
        </w:rPr>
        <w:t>重力基准</w:t>
      </w:r>
    </w:p>
    <w:p>
      <w:pPr>
        <w:pStyle w:val="56"/>
        <w:ind w:firstLine="420"/>
      </w:pPr>
      <w:r>
        <w:rPr>
          <w:rFonts w:hint="eastAsia"/>
        </w:rPr>
        <w:t>重力基准构成及要求如下：</w:t>
      </w:r>
    </w:p>
    <w:p>
      <w:pPr>
        <w:pStyle w:val="174"/>
        <w:numPr>
          <w:ilvl w:val="0"/>
          <w:numId w:val="34"/>
        </w:numPr>
      </w:pPr>
      <w:r>
        <w:rPr>
          <w:rFonts w:hint="eastAsia"/>
        </w:rPr>
        <w:t>应由区域范围内的重力基准点和基本点共同构成区域统一的重力基准网；</w:t>
      </w:r>
    </w:p>
    <w:p>
      <w:pPr>
        <w:pStyle w:val="174"/>
        <w:numPr>
          <w:ilvl w:val="0"/>
          <w:numId w:val="34"/>
        </w:numPr>
      </w:pPr>
      <w:r>
        <w:rPr>
          <w:rFonts w:hint="eastAsia"/>
        </w:rPr>
        <w:t>重力基准点拥有绝对重力值，并作为重力加密点和其他重力点的起算点。</w:t>
      </w:r>
    </w:p>
    <w:p>
      <w:pPr>
        <w:pStyle w:val="65"/>
        <w:spacing w:before="156" w:after="156"/>
      </w:pPr>
      <w:r>
        <w:rPr>
          <w:rFonts w:hint="eastAsia"/>
        </w:rPr>
        <w:t>深度基准</w:t>
      </w:r>
    </w:p>
    <w:p>
      <w:pPr>
        <w:pStyle w:val="56"/>
        <w:ind w:firstLine="420"/>
      </w:pPr>
      <w:r>
        <w:rPr>
          <w:rFonts w:hint="eastAsia"/>
        </w:rPr>
        <w:t>深度基准构成及要求如下：</w:t>
      </w:r>
    </w:p>
    <w:p>
      <w:pPr>
        <w:pStyle w:val="174"/>
        <w:numPr>
          <w:ilvl w:val="0"/>
          <w:numId w:val="35"/>
        </w:numPr>
      </w:pPr>
      <w:r>
        <w:rPr>
          <w:rFonts w:hint="eastAsia"/>
        </w:rPr>
        <w:t>深度基准由区域及周边的验潮站和深度基准面模型实现维持；</w:t>
      </w:r>
    </w:p>
    <w:p>
      <w:pPr>
        <w:pStyle w:val="174"/>
        <w:numPr>
          <w:ilvl w:val="0"/>
          <w:numId w:val="35"/>
        </w:numPr>
      </w:pPr>
      <w:r>
        <w:rPr>
          <w:rFonts w:hint="eastAsia"/>
        </w:rPr>
        <w:t>综合利用区域内测绘大地基准成果、精密水准成果、地形数据、区域似大地水准面模型，结合验潮站验潮资料建立区域深度基准面模型。</w:t>
      </w:r>
    </w:p>
    <w:p>
      <w:pPr>
        <w:pStyle w:val="105"/>
        <w:spacing w:before="156" w:after="156"/>
      </w:pPr>
      <w:bookmarkStart w:id="119" w:name="_Toc163762069"/>
      <w:bookmarkStart w:id="120" w:name="_Toc163633693"/>
      <w:bookmarkStart w:id="121" w:name="_Toc163766629"/>
      <w:bookmarkStart w:id="122" w:name="_Toc163834015"/>
      <w:bookmarkStart w:id="123" w:name="_Toc157164080"/>
      <w:bookmarkStart w:id="124" w:name="_Toc157162085"/>
      <w:bookmarkStart w:id="125" w:name="_Toc157588462"/>
      <w:bookmarkStart w:id="126" w:name="_Toc164001204"/>
      <w:bookmarkStart w:id="127" w:name="_Toc163504364"/>
      <w:r>
        <w:rPr>
          <w:rFonts w:hint="eastAsia"/>
        </w:rPr>
        <w:t>类别划分</w:t>
      </w:r>
      <w:bookmarkEnd w:id="119"/>
      <w:bookmarkEnd w:id="120"/>
      <w:bookmarkEnd w:id="121"/>
      <w:bookmarkEnd w:id="122"/>
      <w:bookmarkEnd w:id="123"/>
      <w:bookmarkEnd w:id="124"/>
      <w:bookmarkEnd w:id="125"/>
      <w:bookmarkEnd w:id="126"/>
      <w:bookmarkEnd w:id="127"/>
    </w:p>
    <w:p>
      <w:pPr>
        <w:pStyle w:val="56"/>
        <w:ind w:firstLine="420"/>
      </w:pPr>
      <w:r>
        <w:rPr>
          <w:rFonts w:hint="eastAsia"/>
        </w:rPr>
        <w:t>依据基准维持和服务的区域范围，可划分为：</w:t>
      </w:r>
    </w:p>
    <w:p>
      <w:pPr>
        <w:pStyle w:val="174"/>
        <w:numPr>
          <w:ilvl w:val="0"/>
          <w:numId w:val="36"/>
        </w:numPr>
      </w:pPr>
      <w:r>
        <w:rPr>
          <w:rFonts w:hint="eastAsia"/>
        </w:rPr>
        <w:t>跨省区域一体化测绘基准维持与服务，主要用于跨省域的区域测绘基准框架维持和服务，并在此区域范围内提供高精度测绘基准信息和位置服务；</w:t>
      </w:r>
    </w:p>
    <w:p>
      <w:pPr>
        <w:pStyle w:val="174"/>
      </w:pPr>
      <w:r>
        <w:rPr>
          <w:rFonts w:hint="eastAsia"/>
        </w:rPr>
        <w:t>省级一体化测绘基准维持与服务，主要用于我省测绘基准框架维持和服务，并在本省范围提供高精度测绘基准信息和位置服务；</w:t>
      </w:r>
    </w:p>
    <w:p>
      <w:pPr>
        <w:pStyle w:val="174"/>
      </w:pPr>
      <w:r>
        <w:rPr>
          <w:rFonts w:hint="eastAsia"/>
        </w:rPr>
        <w:t>市县级一体化测绘基准维持与服务，基于省级测绘基准框架，开展市县级测绘基准框架维护和服务，并在省级一体化测绘基准信息和位置服务的基础上，提供特定的高精度测绘基准和位置服务。</w:t>
      </w:r>
    </w:p>
    <w:p>
      <w:pPr>
        <w:pStyle w:val="105"/>
        <w:spacing w:before="156" w:after="156"/>
      </w:pPr>
      <w:bookmarkStart w:id="128" w:name="_Toc163762070"/>
      <w:bookmarkStart w:id="129" w:name="_Toc163766630"/>
      <w:bookmarkStart w:id="130" w:name="_Toc164001205"/>
      <w:bookmarkStart w:id="131" w:name="_Toc157164081"/>
      <w:bookmarkStart w:id="132" w:name="_Toc163834016"/>
      <w:bookmarkStart w:id="133" w:name="_Toc157162086"/>
      <w:bookmarkStart w:id="134" w:name="_Toc157588463"/>
      <w:bookmarkStart w:id="135" w:name="_Toc163504365"/>
      <w:bookmarkStart w:id="136" w:name="_Toc163633694"/>
      <w:r>
        <w:rPr>
          <w:rFonts w:hint="eastAsia"/>
        </w:rPr>
        <w:t>服务分类</w:t>
      </w:r>
      <w:bookmarkEnd w:id="128"/>
      <w:bookmarkEnd w:id="129"/>
      <w:bookmarkEnd w:id="130"/>
      <w:bookmarkEnd w:id="131"/>
      <w:bookmarkEnd w:id="132"/>
      <w:bookmarkEnd w:id="133"/>
      <w:bookmarkEnd w:id="134"/>
      <w:bookmarkEnd w:id="135"/>
      <w:bookmarkEnd w:id="136"/>
    </w:p>
    <w:p>
      <w:pPr>
        <w:pStyle w:val="65"/>
        <w:spacing w:before="156" w:after="156"/>
      </w:pPr>
      <w:r>
        <w:rPr>
          <w:rFonts w:hint="eastAsia"/>
        </w:rPr>
        <w:t>测绘基准服务</w:t>
      </w:r>
    </w:p>
    <w:p>
      <w:pPr>
        <w:pStyle w:val="56"/>
        <w:ind w:firstLine="420"/>
      </w:pPr>
      <w:r>
        <w:rPr>
          <w:rFonts w:hint="eastAsia"/>
        </w:rPr>
        <w:t>测绘基准服务包括：</w:t>
      </w:r>
    </w:p>
    <w:p>
      <w:pPr>
        <w:pStyle w:val="174"/>
        <w:numPr>
          <w:ilvl w:val="0"/>
          <w:numId w:val="37"/>
        </w:numPr>
      </w:pPr>
      <w:r>
        <w:rPr>
          <w:rFonts w:hint="eastAsia"/>
        </w:rPr>
        <w:t>基于省级卫星导航定位基准站网服务平台提供的测绘基准实时服务；</w:t>
      </w:r>
      <w:r>
        <w:t xml:space="preserve"> </w:t>
      </w:r>
    </w:p>
    <w:p>
      <w:pPr>
        <w:pStyle w:val="174"/>
        <w:numPr>
          <w:ilvl w:val="0"/>
          <w:numId w:val="37"/>
        </w:numPr>
      </w:pPr>
      <w:r>
        <w:rPr>
          <w:rFonts w:hint="eastAsia"/>
        </w:rPr>
        <w:t>基于省级测绘基准公共服务平台开展的等级GNSS控制网静态解算、POS数据处理等服务；</w:t>
      </w:r>
    </w:p>
    <w:p>
      <w:pPr>
        <w:pStyle w:val="174"/>
        <w:numPr>
          <w:ilvl w:val="0"/>
          <w:numId w:val="37"/>
        </w:numPr>
      </w:pPr>
      <w:r>
        <w:rPr>
          <w:rFonts w:hint="eastAsia"/>
        </w:rPr>
        <w:t>基于省级卫星导航定位基准站或高等级GNSS控制点实现的时间序列；</w:t>
      </w:r>
    </w:p>
    <w:p>
      <w:pPr>
        <w:pStyle w:val="174"/>
        <w:numPr>
          <w:ilvl w:val="0"/>
          <w:numId w:val="37"/>
        </w:numPr>
      </w:pPr>
      <w:r>
        <w:rPr>
          <w:rFonts w:hint="eastAsia"/>
        </w:rPr>
        <w:t>基于省级卫星导航定位基准站连续高精度数据处理的区域速度场。</w:t>
      </w:r>
    </w:p>
    <w:p>
      <w:pPr>
        <w:pStyle w:val="65"/>
        <w:spacing w:before="156" w:after="156"/>
      </w:pPr>
      <w:r>
        <w:rPr>
          <w:rFonts w:hint="eastAsia"/>
        </w:rPr>
        <w:t>其他服务</w:t>
      </w:r>
    </w:p>
    <w:p>
      <w:pPr>
        <w:pStyle w:val="56"/>
        <w:ind w:firstLine="420"/>
      </w:pPr>
      <w:r>
        <w:rPr>
          <w:rFonts w:hint="eastAsia"/>
        </w:rPr>
        <w:t>其他服务包括：</w:t>
      </w:r>
    </w:p>
    <w:p>
      <w:pPr>
        <w:pStyle w:val="174"/>
        <w:numPr>
          <w:ilvl w:val="0"/>
          <w:numId w:val="38"/>
        </w:numPr>
      </w:pPr>
      <w:r>
        <w:rPr>
          <w:rFonts w:hint="eastAsia"/>
        </w:rPr>
        <w:t>基于省级卫星导航定位基准站网提供的网络R</w:t>
      </w:r>
      <w:r>
        <w:t>TK</w:t>
      </w:r>
      <w:r>
        <w:rPr>
          <w:rFonts w:hint="eastAsia"/>
        </w:rPr>
        <w:t>和RTD服务；</w:t>
      </w:r>
    </w:p>
    <w:p>
      <w:pPr>
        <w:pStyle w:val="174"/>
        <w:numPr>
          <w:ilvl w:val="0"/>
          <w:numId w:val="38"/>
        </w:numPr>
      </w:pPr>
      <w:r>
        <w:rPr>
          <w:rFonts w:hint="eastAsia"/>
        </w:rPr>
        <w:t>基于省级卫星导航定位基准站网的区域电离层和对流层高精度预报模型发布服务；</w:t>
      </w:r>
    </w:p>
    <w:p>
      <w:pPr>
        <w:pStyle w:val="174"/>
        <w:numPr>
          <w:ilvl w:val="0"/>
          <w:numId w:val="38"/>
        </w:numPr>
      </w:pPr>
      <w:r>
        <w:rPr>
          <w:rFonts w:hint="eastAsia"/>
        </w:rPr>
        <w:t>基于省级测绘基准公共服务平台开展的测绘基准框架和地方坐标系维持、坐标转换等服务。</w:t>
      </w:r>
    </w:p>
    <w:p>
      <w:pPr>
        <w:pStyle w:val="104"/>
        <w:spacing w:before="312" w:after="312"/>
      </w:pPr>
      <w:bookmarkStart w:id="137" w:name="_Toc157164082"/>
      <w:bookmarkStart w:id="138" w:name="_Toc163504366"/>
      <w:bookmarkStart w:id="139" w:name="_Toc163762071"/>
      <w:bookmarkStart w:id="140" w:name="_Toc163766631"/>
      <w:bookmarkStart w:id="141" w:name="_Toc163633695"/>
      <w:bookmarkStart w:id="142" w:name="_Toc157588464"/>
      <w:bookmarkStart w:id="143" w:name="_Toc157162087"/>
      <w:bookmarkStart w:id="144" w:name="_Toc164001206"/>
      <w:bookmarkStart w:id="145" w:name="_Toc163834017"/>
      <w:r>
        <w:rPr>
          <w:rFonts w:hint="eastAsia"/>
        </w:rPr>
        <w:t>区域基准维持</w:t>
      </w:r>
      <w:bookmarkEnd w:id="137"/>
      <w:bookmarkEnd w:id="138"/>
      <w:bookmarkEnd w:id="139"/>
      <w:bookmarkEnd w:id="140"/>
      <w:bookmarkEnd w:id="141"/>
      <w:bookmarkEnd w:id="142"/>
      <w:bookmarkEnd w:id="143"/>
      <w:bookmarkEnd w:id="144"/>
      <w:bookmarkEnd w:id="145"/>
    </w:p>
    <w:p>
      <w:pPr>
        <w:pStyle w:val="105"/>
        <w:spacing w:before="156" w:after="156"/>
      </w:pPr>
      <w:bookmarkStart w:id="146" w:name="_Toc163762072"/>
      <w:bookmarkStart w:id="147" w:name="_Toc157588465"/>
      <w:bookmarkStart w:id="148" w:name="_Toc157162088"/>
      <w:bookmarkStart w:id="149" w:name="_Toc157164083"/>
      <w:bookmarkStart w:id="150" w:name="_Toc163633696"/>
      <w:bookmarkStart w:id="151" w:name="_Toc163766632"/>
      <w:bookmarkStart w:id="152" w:name="_Toc163834018"/>
      <w:bookmarkStart w:id="153" w:name="_Toc164001207"/>
      <w:bookmarkStart w:id="154" w:name="_Toc163504367"/>
      <w:r>
        <w:rPr>
          <w:rFonts w:hint="eastAsia"/>
        </w:rPr>
        <w:t>维持内容</w:t>
      </w:r>
      <w:bookmarkEnd w:id="146"/>
      <w:bookmarkEnd w:id="147"/>
      <w:bookmarkEnd w:id="148"/>
      <w:bookmarkEnd w:id="149"/>
      <w:bookmarkEnd w:id="150"/>
      <w:bookmarkEnd w:id="151"/>
      <w:bookmarkEnd w:id="152"/>
      <w:bookmarkEnd w:id="153"/>
      <w:bookmarkEnd w:id="154"/>
    </w:p>
    <w:p>
      <w:pPr>
        <w:pStyle w:val="65"/>
        <w:spacing w:before="156" w:after="156"/>
      </w:pPr>
      <w:r>
        <w:rPr>
          <w:rFonts w:hint="eastAsia"/>
        </w:rPr>
        <w:t>框架</w:t>
      </w:r>
    </w:p>
    <w:p>
      <w:pPr>
        <w:pStyle w:val="56"/>
        <w:ind w:firstLine="420"/>
      </w:pPr>
      <w:r>
        <w:rPr>
          <w:rFonts w:hint="eastAsia"/>
        </w:rPr>
        <w:t>框架维持要求如下：</w:t>
      </w:r>
    </w:p>
    <w:p>
      <w:pPr>
        <w:pStyle w:val="174"/>
        <w:numPr>
          <w:ilvl w:val="0"/>
          <w:numId w:val="39"/>
        </w:numPr>
      </w:pPr>
      <w:r>
        <w:rPr>
          <w:rFonts w:hint="eastAsia"/>
        </w:rPr>
        <w:t>定期对区域范围内框架网进行高精度静态数据处理；</w:t>
      </w:r>
    </w:p>
    <w:p>
      <w:pPr>
        <w:pStyle w:val="174"/>
        <w:numPr>
          <w:ilvl w:val="0"/>
          <w:numId w:val="39"/>
        </w:numPr>
      </w:pPr>
      <w:r>
        <w:rPr>
          <w:rFonts w:hint="eastAsia"/>
        </w:rPr>
        <w:t>与国家级基准站或IGS站进行联测。</w:t>
      </w:r>
    </w:p>
    <w:p>
      <w:pPr>
        <w:pStyle w:val="65"/>
        <w:spacing w:before="156" w:after="156"/>
      </w:pPr>
      <w:r>
        <w:rPr>
          <w:rFonts w:hint="eastAsia"/>
        </w:rPr>
        <w:t>坐标</w:t>
      </w:r>
    </w:p>
    <w:p>
      <w:pPr>
        <w:pStyle w:val="56"/>
        <w:ind w:firstLine="420"/>
      </w:pPr>
      <w:r>
        <w:rPr>
          <w:rFonts w:hint="eastAsia"/>
        </w:rPr>
        <w:t>框架网和基本网的坐标维持要求如下：</w:t>
      </w:r>
    </w:p>
    <w:p>
      <w:pPr>
        <w:pStyle w:val="174"/>
        <w:numPr>
          <w:ilvl w:val="0"/>
          <w:numId w:val="40"/>
        </w:numPr>
      </w:pPr>
      <w:r>
        <w:rPr>
          <w:rFonts w:hint="eastAsia"/>
        </w:rPr>
        <w:t>定期对区域范围内框架网和基本网进行高精度静态数据处理；</w:t>
      </w:r>
    </w:p>
    <w:p>
      <w:pPr>
        <w:pStyle w:val="174"/>
        <w:numPr>
          <w:ilvl w:val="0"/>
          <w:numId w:val="40"/>
        </w:numPr>
      </w:pPr>
      <w:r>
        <w:rPr>
          <w:rFonts w:hint="eastAsia"/>
        </w:rPr>
        <w:t>与国家级基准站、长期（不少于三年）稳定省级基准站或IGS站进行联测；</w:t>
      </w:r>
    </w:p>
    <w:p>
      <w:pPr>
        <w:pStyle w:val="174"/>
        <w:numPr>
          <w:ilvl w:val="0"/>
          <w:numId w:val="40"/>
        </w:numPr>
      </w:pPr>
      <w:r>
        <w:rPr>
          <w:rFonts w:hint="eastAsia"/>
        </w:rPr>
        <w:t>采用国家公布的最新CGCS2000成果进行平差计算。</w:t>
      </w:r>
    </w:p>
    <w:p>
      <w:pPr>
        <w:pStyle w:val="65"/>
        <w:spacing w:before="156" w:after="156"/>
      </w:pPr>
      <w:r>
        <w:rPr>
          <w:rFonts w:hint="eastAsia"/>
        </w:rPr>
        <w:t>速度场</w:t>
      </w:r>
    </w:p>
    <w:p>
      <w:pPr>
        <w:pStyle w:val="56"/>
        <w:ind w:firstLine="420"/>
      </w:pPr>
      <w:r>
        <w:rPr>
          <w:rFonts w:hint="eastAsia"/>
        </w:rPr>
        <w:t>速度场维持要求如下：</w:t>
      </w:r>
    </w:p>
    <w:p>
      <w:pPr>
        <w:pStyle w:val="174"/>
        <w:numPr>
          <w:ilvl w:val="0"/>
          <w:numId w:val="41"/>
        </w:numPr>
      </w:pPr>
      <w:r>
        <w:rPr>
          <w:rFonts w:hint="eastAsia"/>
        </w:rPr>
        <w:t>参与速度场维持的基准站应有不低于五年的持续观测数据；</w:t>
      </w:r>
    </w:p>
    <w:p>
      <w:pPr>
        <w:pStyle w:val="174"/>
        <w:numPr>
          <w:ilvl w:val="0"/>
          <w:numId w:val="41"/>
        </w:numPr>
      </w:pPr>
      <w:r>
        <w:rPr>
          <w:rFonts w:hint="eastAsia"/>
        </w:rPr>
        <w:t>对相关基准站采用相同数据处理策略实施高精度静态数据处理；</w:t>
      </w:r>
    </w:p>
    <w:p>
      <w:pPr>
        <w:pStyle w:val="174"/>
        <w:numPr>
          <w:ilvl w:val="0"/>
          <w:numId w:val="41"/>
        </w:numPr>
      </w:pPr>
      <w:r>
        <w:rPr>
          <w:rFonts w:hint="eastAsia"/>
        </w:rPr>
        <w:t>基于最新的ITRF框架。</w:t>
      </w:r>
    </w:p>
    <w:p>
      <w:pPr>
        <w:pStyle w:val="65"/>
        <w:spacing w:before="156" w:after="156"/>
      </w:pPr>
      <w:r>
        <w:rPr>
          <w:rFonts w:hint="eastAsia"/>
        </w:rPr>
        <w:t>现势性</w:t>
      </w:r>
    </w:p>
    <w:p>
      <w:pPr>
        <w:pStyle w:val="56"/>
        <w:ind w:firstLine="420"/>
      </w:pPr>
      <w:r>
        <w:rPr>
          <w:rFonts w:hint="eastAsia"/>
        </w:rPr>
        <w:t>现势性要求如下：</w:t>
      </w:r>
    </w:p>
    <w:p>
      <w:pPr>
        <w:pStyle w:val="174"/>
        <w:numPr>
          <w:ilvl w:val="0"/>
          <w:numId w:val="42"/>
        </w:numPr>
      </w:pPr>
      <w:r>
        <w:rPr>
          <w:rFonts w:hint="eastAsia"/>
        </w:rPr>
        <w:t>对区域内卫星导航定位基准站或者框架网和基本网坐标成果的定期计算和稳定性监测；</w:t>
      </w:r>
    </w:p>
    <w:p>
      <w:pPr>
        <w:pStyle w:val="174"/>
        <w:numPr>
          <w:ilvl w:val="0"/>
          <w:numId w:val="42"/>
        </w:numPr>
      </w:pPr>
      <w:r>
        <w:rPr>
          <w:rFonts w:hint="eastAsia"/>
        </w:rPr>
        <w:t>采用I</w:t>
      </w:r>
      <w:r>
        <w:t>nSAR</w:t>
      </w:r>
      <w:r>
        <w:rPr>
          <w:rFonts w:hint="eastAsia"/>
        </w:rPr>
        <w:t>数据处理等手段开展区域现代测绘基准现势性的辅助分析；</w:t>
      </w:r>
    </w:p>
    <w:p>
      <w:pPr>
        <w:pStyle w:val="174"/>
        <w:numPr>
          <w:ilvl w:val="0"/>
          <w:numId w:val="42"/>
        </w:numPr>
      </w:pPr>
      <w:r>
        <w:rPr>
          <w:rFonts w:hint="eastAsia"/>
        </w:rPr>
        <w:t>及时更新区域内卫星导航定位基准站的坐标，以确保区域基准服务成果的时效性。</w:t>
      </w:r>
    </w:p>
    <w:p>
      <w:pPr>
        <w:pStyle w:val="105"/>
        <w:spacing w:before="156" w:after="156"/>
      </w:pPr>
      <w:bookmarkStart w:id="155" w:name="_Toc157162089"/>
      <w:bookmarkStart w:id="156" w:name="_Toc157588466"/>
      <w:bookmarkStart w:id="157" w:name="_Toc163504368"/>
      <w:bookmarkStart w:id="158" w:name="_Toc163633697"/>
      <w:bookmarkStart w:id="159" w:name="_Toc157164084"/>
      <w:bookmarkStart w:id="160" w:name="_Toc163762073"/>
      <w:bookmarkStart w:id="161" w:name="_Toc163766633"/>
      <w:bookmarkStart w:id="162" w:name="_Toc164001208"/>
      <w:bookmarkStart w:id="163" w:name="_Toc163834019"/>
      <w:r>
        <w:rPr>
          <w:rFonts w:hint="eastAsia"/>
        </w:rPr>
        <w:t>时空基准</w:t>
      </w:r>
      <w:bookmarkEnd w:id="155"/>
      <w:bookmarkEnd w:id="156"/>
      <w:bookmarkEnd w:id="157"/>
      <w:bookmarkEnd w:id="158"/>
      <w:bookmarkEnd w:id="159"/>
      <w:bookmarkEnd w:id="160"/>
      <w:bookmarkEnd w:id="161"/>
      <w:bookmarkEnd w:id="162"/>
      <w:bookmarkEnd w:id="163"/>
    </w:p>
    <w:p>
      <w:pPr>
        <w:pStyle w:val="65"/>
        <w:spacing w:before="156" w:after="156"/>
      </w:pPr>
      <w:r>
        <w:rPr>
          <w:rFonts w:hint="eastAsia"/>
        </w:rPr>
        <w:t>测绘基准</w:t>
      </w:r>
    </w:p>
    <w:p>
      <w:pPr>
        <w:pStyle w:val="56"/>
        <w:ind w:firstLine="420"/>
      </w:pPr>
      <w:r>
        <w:rPr>
          <w:rFonts w:hint="eastAsia"/>
        </w:rPr>
        <w:t>测绘基准应符合以下要求：</w:t>
      </w:r>
    </w:p>
    <w:p>
      <w:pPr>
        <w:pStyle w:val="174"/>
        <w:numPr>
          <w:ilvl w:val="0"/>
          <w:numId w:val="43"/>
        </w:numPr>
      </w:pPr>
      <w:r>
        <w:rPr>
          <w:rFonts w:hint="eastAsia" w:hAnsi="宋体"/>
        </w:rPr>
        <w:t>大地基准采用CGCS</w:t>
      </w:r>
      <w:r>
        <w:rPr>
          <w:rFonts w:hAnsi="宋体"/>
        </w:rPr>
        <w:t>2000</w:t>
      </w:r>
      <w:r>
        <w:rPr>
          <w:rFonts w:hint="eastAsia" w:hAnsi="宋体"/>
        </w:rPr>
        <w:t>；</w:t>
      </w:r>
    </w:p>
    <w:p>
      <w:pPr>
        <w:pStyle w:val="174"/>
        <w:numPr>
          <w:ilvl w:val="0"/>
          <w:numId w:val="43"/>
        </w:numPr>
      </w:pPr>
      <w:r>
        <w:rPr>
          <w:rFonts w:hint="eastAsia"/>
        </w:rPr>
        <w:t>高程基准采用1985国家高程基准；</w:t>
      </w:r>
    </w:p>
    <w:p>
      <w:pPr>
        <w:pStyle w:val="174"/>
        <w:numPr>
          <w:ilvl w:val="0"/>
          <w:numId w:val="43"/>
        </w:numPr>
      </w:pPr>
      <w:r>
        <w:rPr>
          <w:rFonts w:hint="eastAsia"/>
        </w:rPr>
        <w:t>重力基准采用2000国家重力基准；</w:t>
      </w:r>
    </w:p>
    <w:p>
      <w:pPr>
        <w:pStyle w:val="174"/>
        <w:numPr>
          <w:ilvl w:val="0"/>
          <w:numId w:val="43"/>
        </w:numPr>
      </w:pPr>
      <w:r>
        <w:rPr>
          <w:rFonts w:hint="eastAsia"/>
        </w:rPr>
        <w:t>深度基准采用理论最低潮位面。</w:t>
      </w:r>
    </w:p>
    <w:p>
      <w:pPr>
        <w:pStyle w:val="65"/>
        <w:spacing w:before="156" w:after="156"/>
      </w:pPr>
      <w:r>
        <w:rPr>
          <w:rFonts w:hint="eastAsia"/>
        </w:rPr>
        <w:t>时间系统</w:t>
      </w:r>
    </w:p>
    <w:p>
      <w:pPr>
        <w:pStyle w:val="56"/>
        <w:ind w:firstLine="420"/>
      </w:pPr>
      <w:r>
        <w:rPr>
          <w:rFonts w:hint="eastAsia"/>
        </w:rPr>
        <w:t>时间系统应符合以下要求：</w:t>
      </w:r>
    </w:p>
    <w:p>
      <w:pPr>
        <w:pStyle w:val="174"/>
        <w:numPr>
          <w:ilvl w:val="0"/>
          <w:numId w:val="44"/>
        </w:numPr>
      </w:pPr>
      <w:r>
        <w:rPr>
          <w:rFonts w:hint="eastAsia"/>
        </w:rPr>
        <w:t>G</w:t>
      </w:r>
      <w:r>
        <w:t>NSS</w:t>
      </w:r>
      <w:r>
        <w:rPr>
          <w:rFonts w:hint="eastAsia"/>
        </w:rPr>
        <w:t>观测时间采用协调世界时（UTC），观测记录需同时记录北京时（UTC+8）；</w:t>
      </w:r>
    </w:p>
    <w:p>
      <w:pPr>
        <w:pStyle w:val="174"/>
        <w:numPr>
          <w:ilvl w:val="0"/>
          <w:numId w:val="44"/>
        </w:numPr>
      </w:pPr>
      <w:r>
        <w:rPr>
          <w:rFonts w:hint="eastAsia"/>
        </w:rPr>
        <w:t>其他观测活动采用北京时（UTC+8）。</w:t>
      </w:r>
    </w:p>
    <w:p>
      <w:pPr>
        <w:pStyle w:val="105"/>
        <w:spacing w:before="156" w:after="156"/>
      </w:pPr>
      <w:bookmarkStart w:id="164" w:name="_Toc157162090"/>
      <w:bookmarkStart w:id="165" w:name="_Toc157164085"/>
      <w:bookmarkStart w:id="166" w:name="_Toc157588467"/>
      <w:bookmarkStart w:id="167" w:name="_Toc163504369"/>
      <w:bookmarkStart w:id="168" w:name="_Toc163633698"/>
      <w:bookmarkStart w:id="169" w:name="_Toc163766634"/>
      <w:bookmarkStart w:id="170" w:name="_Toc163762074"/>
      <w:bookmarkStart w:id="171" w:name="_Toc163834020"/>
      <w:bookmarkStart w:id="172" w:name="_Toc164001209"/>
      <w:r>
        <w:rPr>
          <w:rFonts w:hint="eastAsia"/>
        </w:rPr>
        <w:t>数据处理</w:t>
      </w:r>
      <w:bookmarkEnd w:id="164"/>
      <w:bookmarkEnd w:id="165"/>
      <w:bookmarkEnd w:id="166"/>
      <w:bookmarkEnd w:id="167"/>
      <w:bookmarkEnd w:id="168"/>
      <w:bookmarkEnd w:id="169"/>
      <w:bookmarkEnd w:id="170"/>
      <w:bookmarkEnd w:id="171"/>
      <w:bookmarkEnd w:id="172"/>
    </w:p>
    <w:p>
      <w:pPr>
        <w:pStyle w:val="65"/>
        <w:spacing w:before="156" w:after="156"/>
      </w:pPr>
      <w:r>
        <w:rPr>
          <w:rFonts w:hint="eastAsia"/>
        </w:rPr>
        <w:t>G</w:t>
      </w:r>
      <w:r>
        <w:t>NSS</w:t>
      </w:r>
      <w:r>
        <w:rPr>
          <w:rFonts w:hint="eastAsia"/>
        </w:rPr>
        <w:t>数据处理</w:t>
      </w:r>
    </w:p>
    <w:p>
      <w:pPr>
        <w:pStyle w:val="56"/>
        <w:ind w:firstLine="420"/>
      </w:pPr>
      <w:r>
        <w:rPr>
          <w:rFonts w:hint="eastAsia"/>
        </w:rPr>
        <w:t>G</w:t>
      </w:r>
      <w:r>
        <w:t>NSS</w:t>
      </w:r>
      <w:r>
        <w:rPr>
          <w:rFonts w:hint="eastAsia"/>
        </w:rPr>
        <w:t>数据处理指标应满足如下要求：</w:t>
      </w:r>
    </w:p>
    <w:p>
      <w:pPr>
        <w:pStyle w:val="174"/>
        <w:numPr>
          <w:ilvl w:val="0"/>
          <w:numId w:val="45"/>
        </w:numPr>
      </w:pPr>
      <w:r>
        <w:rPr>
          <w:rFonts w:hint="eastAsia"/>
        </w:rPr>
        <w:t>框架网相邻GNSS控制点基线水平分量中误差优于±3.0mm，垂直分量中误差优于±5.0mm；</w:t>
      </w:r>
    </w:p>
    <w:p>
      <w:pPr>
        <w:pStyle w:val="174"/>
        <w:numPr>
          <w:ilvl w:val="0"/>
          <w:numId w:val="45"/>
        </w:numPr>
      </w:pPr>
      <w:r>
        <w:rPr>
          <w:rFonts w:hint="eastAsia"/>
        </w:rPr>
        <w:t>基本网相邻GNSS控制点基线水平分量中误差优于±5.0mm，垂直分量中误差优于±10.0mm；</w:t>
      </w:r>
    </w:p>
    <w:p>
      <w:pPr>
        <w:pStyle w:val="174"/>
        <w:numPr>
          <w:ilvl w:val="0"/>
          <w:numId w:val="45"/>
        </w:numPr>
      </w:pPr>
      <w:r>
        <w:rPr>
          <w:rFonts w:hint="eastAsia"/>
        </w:rPr>
        <w:t>边长相对精度优于1×10</w:t>
      </w:r>
      <w:r>
        <w:rPr>
          <w:rFonts w:hint="eastAsia"/>
          <w:vertAlign w:val="superscript"/>
        </w:rPr>
        <w:t>-8</w:t>
      </w:r>
      <w:r>
        <w:rPr>
          <w:rFonts w:hint="eastAsia"/>
        </w:rPr>
        <w:t>；</w:t>
      </w:r>
    </w:p>
    <w:p>
      <w:pPr>
        <w:pStyle w:val="174"/>
        <w:numPr>
          <w:ilvl w:val="0"/>
          <w:numId w:val="45"/>
        </w:numPr>
      </w:pPr>
      <w:r>
        <w:rPr>
          <w:rFonts w:hint="eastAsia"/>
        </w:rPr>
        <w:t>框架网数据处理周期不大于1周，基本网中的基准站数据处理周期不大于1个月，大地控制点处理周期不大于5年；</w:t>
      </w:r>
    </w:p>
    <w:p>
      <w:pPr>
        <w:pStyle w:val="174"/>
        <w:numPr>
          <w:ilvl w:val="0"/>
          <w:numId w:val="45"/>
        </w:numPr>
      </w:pPr>
      <w:r>
        <w:rPr>
          <w:rFonts w:hint="eastAsia"/>
        </w:rPr>
        <w:t>框架网数据处理应同时满足DB32/T 3868要求。</w:t>
      </w:r>
    </w:p>
    <w:p>
      <w:pPr>
        <w:pStyle w:val="65"/>
        <w:spacing w:before="156" w:after="156"/>
      </w:pPr>
      <w:r>
        <w:rPr>
          <w:rFonts w:hint="eastAsia"/>
        </w:rPr>
        <w:t>高程基准数据处理</w:t>
      </w:r>
    </w:p>
    <w:p>
      <w:pPr>
        <w:pStyle w:val="56"/>
        <w:ind w:firstLine="420"/>
      </w:pPr>
      <w:r>
        <w:rPr>
          <w:rFonts w:hint="eastAsia"/>
        </w:rPr>
        <w:t>高程基准数据处理精度指标应满足表1的规定。</w:t>
      </w:r>
    </w:p>
    <w:p>
      <w:pPr>
        <w:pStyle w:val="112"/>
        <w:spacing w:before="156" w:after="156"/>
        <w:rPr>
          <w:color w:val="FF0000"/>
        </w:rPr>
      </w:pPr>
      <w:r>
        <w:rPr>
          <w:rFonts w:hint="eastAsia"/>
        </w:rPr>
        <w:t>高程基准数据处理精度指标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vMerge w:val="restart"/>
            <w:tcBorders>
              <w:top w:val="single" w:color="auto" w:sz="8" w:space="0"/>
            </w:tcBorders>
            <w:shd w:val="clear" w:color="auto" w:fill="auto"/>
            <w:vAlign w:val="center"/>
          </w:tcPr>
          <w:p>
            <w:pPr>
              <w:pStyle w:val="178"/>
            </w:pPr>
            <w:r>
              <w:rPr>
                <w:rFonts w:hint="eastAsia"/>
              </w:rPr>
              <w:t>中误差</w:t>
            </w:r>
          </w:p>
        </w:tc>
        <w:tc>
          <w:tcPr>
            <w:tcW w:w="6224" w:type="dxa"/>
            <w:gridSpan w:val="2"/>
            <w:tcBorders>
              <w:top w:val="single" w:color="auto" w:sz="8" w:space="0"/>
              <w:bottom w:val="single" w:color="auto" w:sz="8" w:space="0"/>
            </w:tcBorders>
            <w:shd w:val="clear" w:color="auto" w:fill="auto"/>
            <w:vAlign w:val="center"/>
          </w:tcPr>
          <w:p>
            <w:pPr>
              <w:pStyle w:val="178"/>
            </w:pPr>
            <w:r>
              <w:rPr>
                <w:rFonts w:hint="eastAsia"/>
              </w:rPr>
              <w:t>测量等级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vMerge w:val="continue"/>
            <w:tcBorders>
              <w:bottom w:val="single" w:color="auto" w:sz="8" w:space="0"/>
            </w:tcBorders>
            <w:shd w:val="clear" w:color="auto" w:fill="auto"/>
            <w:vAlign w:val="center"/>
          </w:tcPr>
          <w:p>
            <w:pPr>
              <w:pStyle w:val="178"/>
            </w:pPr>
          </w:p>
        </w:tc>
        <w:tc>
          <w:tcPr>
            <w:tcW w:w="3112" w:type="dxa"/>
            <w:tcBorders>
              <w:top w:val="single" w:color="auto" w:sz="8" w:space="0"/>
              <w:bottom w:val="single" w:color="auto" w:sz="8" w:space="0"/>
            </w:tcBorders>
            <w:shd w:val="clear" w:color="auto" w:fill="auto"/>
            <w:vAlign w:val="center"/>
          </w:tcPr>
          <w:p>
            <w:pPr>
              <w:pStyle w:val="178"/>
            </w:pPr>
            <w:r>
              <w:rPr>
                <w:rFonts w:hint="eastAsia" w:asciiTheme="minorEastAsia" w:hAnsiTheme="minorEastAsia" w:eastAsiaTheme="minorEastAsia"/>
              </w:rPr>
              <w:t>一等（</w:t>
            </w:r>
            <w:r>
              <w:rPr>
                <w:rFonts w:asciiTheme="minorEastAsia" w:hAnsiTheme="minorEastAsia" w:eastAsiaTheme="minorEastAsia"/>
              </w:rPr>
              <w:t>mm</w:t>
            </w:r>
            <w:r>
              <w:rPr>
                <w:rFonts w:hint="eastAsia" w:asciiTheme="minorEastAsia" w:hAnsiTheme="minorEastAsia" w:eastAsiaTheme="minorEastAsia"/>
              </w:rPr>
              <w:t>）</w:t>
            </w:r>
          </w:p>
        </w:tc>
        <w:tc>
          <w:tcPr>
            <w:tcW w:w="3112" w:type="dxa"/>
            <w:tcBorders>
              <w:top w:val="single" w:color="auto" w:sz="8" w:space="0"/>
              <w:bottom w:val="single" w:color="auto" w:sz="8" w:space="0"/>
            </w:tcBorders>
            <w:shd w:val="clear" w:color="auto" w:fill="auto"/>
            <w:vAlign w:val="center"/>
          </w:tcPr>
          <w:p>
            <w:pPr>
              <w:pStyle w:val="178"/>
            </w:pPr>
            <w:r>
              <w:rPr>
                <w:rFonts w:hint="eastAsia" w:asciiTheme="minorEastAsia" w:hAnsiTheme="minorEastAsia" w:eastAsiaTheme="minorEastAsia"/>
              </w:rPr>
              <w:t>二等（</w:t>
            </w:r>
            <w:r>
              <w:rPr>
                <w:rFonts w:asciiTheme="minorEastAsia" w:hAnsiTheme="minorEastAsia" w:eastAsiaTheme="minorEastAsia"/>
              </w:rPr>
              <w:t>mm</w:t>
            </w:r>
            <w:r>
              <w:rPr>
                <w:rFonts w:hint="eastAsia" w:asciiTheme="minorEastAsia" w:hAnsiTheme="minorEastAsia" w:eastAsiaTheme="minor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pPr>
              <w:pStyle w:val="178"/>
            </w:pPr>
            <w:r>
              <w:rPr>
                <w:rFonts w:hint="eastAsia" w:asciiTheme="minorEastAsia" w:hAnsiTheme="minorEastAsia" w:eastAsiaTheme="minorEastAsia"/>
              </w:rPr>
              <w:t>每千米水准测量的偶然中误差M</w:t>
            </w:r>
            <w:r>
              <w:rPr>
                <w:rFonts w:hint="eastAsia" w:asciiTheme="minorEastAsia" w:hAnsiTheme="minorEastAsia" w:eastAsiaTheme="minorEastAsia"/>
                <w:vertAlign w:val="subscript"/>
              </w:rPr>
              <w:t>Δ</w:t>
            </w:r>
          </w:p>
        </w:tc>
        <w:tc>
          <w:tcPr>
            <w:tcW w:w="3112" w:type="dxa"/>
            <w:tcBorders>
              <w:top w:val="single" w:color="auto" w:sz="8" w:space="0"/>
            </w:tcBorders>
            <w:shd w:val="clear" w:color="auto" w:fill="auto"/>
            <w:vAlign w:val="center"/>
          </w:tcPr>
          <w:p>
            <w:pPr>
              <w:pStyle w:val="178"/>
            </w:pPr>
            <w:r>
              <w:rPr>
                <w:rFonts w:hint="eastAsia" w:asciiTheme="minorEastAsia" w:hAnsiTheme="minorEastAsia" w:eastAsiaTheme="minorEastAsia"/>
              </w:rPr>
              <w:t>±</w:t>
            </w:r>
            <w:r>
              <w:rPr>
                <w:rFonts w:asciiTheme="minorEastAsia" w:hAnsiTheme="minorEastAsia" w:eastAsiaTheme="minorEastAsia"/>
              </w:rPr>
              <w:t>0.45</w:t>
            </w:r>
          </w:p>
        </w:tc>
        <w:tc>
          <w:tcPr>
            <w:tcW w:w="3112" w:type="dxa"/>
            <w:tcBorders>
              <w:top w:val="single" w:color="auto" w:sz="8" w:space="0"/>
            </w:tcBorders>
            <w:shd w:val="clear" w:color="auto" w:fill="auto"/>
            <w:vAlign w:val="center"/>
          </w:tcPr>
          <w:p>
            <w:pPr>
              <w:pStyle w:val="178"/>
            </w:pPr>
            <w:r>
              <w:rPr>
                <w:rFonts w:hint="eastAsia" w:asciiTheme="minorEastAsia" w:hAnsiTheme="minorEastAsia" w:eastAsiaTheme="minorEastAsia"/>
              </w:rPr>
              <w:t>±</w:t>
            </w:r>
            <w:r>
              <w:rPr>
                <w:rFonts w:asciiTheme="minorEastAsia" w:hAnsiTheme="minorEastAsia" w:eastAsiaTheme="minorEastAsia"/>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pPr>
            <w:r>
              <w:rPr>
                <w:rFonts w:hint="eastAsia" w:asciiTheme="minorEastAsia" w:hAnsiTheme="minorEastAsia" w:eastAsiaTheme="minorEastAsia"/>
              </w:rPr>
              <w:t>每千米水准测量的全中误差M</w:t>
            </w:r>
            <w:r>
              <w:rPr>
                <w:rFonts w:hint="eastAsia" w:asciiTheme="minorEastAsia" w:hAnsiTheme="minorEastAsia" w:eastAsiaTheme="minorEastAsia"/>
                <w:vertAlign w:val="subscript"/>
              </w:rPr>
              <w:t>w</w:t>
            </w:r>
          </w:p>
        </w:tc>
        <w:tc>
          <w:tcPr>
            <w:tcW w:w="3112" w:type="dxa"/>
            <w:shd w:val="clear" w:color="auto" w:fill="auto"/>
            <w:vAlign w:val="center"/>
          </w:tcPr>
          <w:p>
            <w:pPr>
              <w:pStyle w:val="178"/>
            </w:pPr>
            <w:r>
              <w:rPr>
                <w:rFonts w:hint="eastAsia" w:asciiTheme="minorEastAsia" w:hAnsiTheme="minorEastAsia" w:eastAsiaTheme="minorEastAsia"/>
              </w:rPr>
              <w:t>±</w:t>
            </w:r>
            <w:r>
              <w:rPr>
                <w:rFonts w:asciiTheme="minorEastAsia" w:hAnsiTheme="minorEastAsia" w:eastAsiaTheme="minorEastAsia"/>
              </w:rPr>
              <w:t>1.0</w:t>
            </w:r>
          </w:p>
        </w:tc>
        <w:tc>
          <w:tcPr>
            <w:tcW w:w="3112" w:type="dxa"/>
            <w:shd w:val="clear" w:color="auto" w:fill="auto"/>
            <w:vAlign w:val="center"/>
          </w:tcPr>
          <w:p>
            <w:pPr>
              <w:pStyle w:val="178"/>
            </w:pPr>
            <w:r>
              <w:rPr>
                <w:rFonts w:hint="eastAsia" w:asciiTheme="minorEastAsia" w:hAnsiTheme="minorEastAsia" w:eastAsiaTheme="minorEastAsia"/>
              </w:rPr>
              <w:t>±</w:t>
            </w:r>
            <w:r>
              <w:rPr>
                <w:rFonts w:asciiTheme="minorEastAsia" w:hAnsiTheme="minorEastAsia" w:eastAsiaTheme="minorEastAsia"/>
              </w:rPr>
              <w:t>2.0</w:t>
            </w:r>
          </w:p>
        </w:tc>
      </w:tr>
    </w:tbl>
    <w:p>
      <w:pPr>
        <w:pStyle w:val="65"/>
        <w:spacing w:before="156" w:after="156"/>
      </w:pPr>
      <w:r>
        <w:rPr>
          <w:rFonts w:hint="eastAsia"/>
        </w:rPr>
        <w:t>似大地水准面模型建立</w:t>
      </w:r>
    </w:p>
    <w:p>
      <w:pPr>
        <w:pStyle w:val="56"/>
        <w:ind w:firstLine="420"/>
      </w:pPr>
      <w:r>
        <w:rPr>
          <w:rFonts w:hint="eastAsia"/>
        </w:rPr>
        <w:t>似大地水准面模型建立包括但不限于如下要求：</w:t>
      </w:r>
      <w:r>
        <w:t xml:space="preserve"> </w:t>
      </w:r>
    </w:p>
    <w:p>
      <w:pPr>
        <w:pStyle w:val="174"/>
        <w:numPr>
          <w:ilvl w:val="0"/>
          <w:numId w:val="46"/>
        </w:numPr>
      </w:pPr>
      <w:r>
        <w:rPr>
          <w:rFonts w:hint="eastAsia"/>
        </w:rPr>
        <w:t>应采用全省统一的大地基准、高程基准和框架成果；</w:t>
      </w:r>
    </w:p>
    <w:p>
      <w:pPr>
        <w:pStyle w:val="174"/>
        <w:numPr>
          <w:ilvl w:val="0"/>
          <w:numId w:val="46"/>
        </w:numPr>
      </w:pPr>
      <w:r>
        <w:rPr>
          <w:rFonts w:hint="eastAsia"/>
        </w:rPr>
        <w:t>分辨率应优于2′×2′；</w:t>
      </w:r>
    </w:p>
    <w:p>
      <w:pPr>
        <w:pStyle w:val="174"/>
        <w:numPr>
          <w:ilvl w:val="0"/>
          <w:numId w:val="46"/>
        </w:numPr>
      </w:pPr>
      <w:r>
        <w:rPr>
          <w:rFonts w:hint="eastAsia"/>
        </w:rPr>
        <w:t>省级模型整体精度应优于±2cm；</w:t>
      </w:r>
    </w:p>
    <w:p>
      <w:pPr>
        <w:pStyle w:val="174"/>
        <w:numPr>
          <w:ilvl w:val="0"/>
          <w:numId w:val="46"/>
        </w:numPr>
      </w:pPr>
      <w:r>
        <w:rPr>
          <w:rFonts w:hint="eastAsia"/>
        </w:rPr>
        <w:t>市县级模型整体精度应优于±1cm；</w:t>
      </w:r>
    </w:p>
    <w:p>
      <w:pPr>
        <w:pStyle w:val="174"/>
        <w:numPr>
          <w:ilvl w:val="0"/>
          <w:numId w:val="46"/>
        </w:numPr>
      </w:pPr>
      <w:r>
        <w:rPr>
          <w:rFonts w:hint="eastAsia"/>
        </w:rPr>
        <w:t>应完整覆盖行政区域及边界，并外拓5</w:t>
      </w:r>
      <w:r>
        <w:t>km</w:t>
      </w:r>
      <w:r>
        <w:rPr>
          <w:rFonts w:hint="eastAsia"/>
        </w:rPr>
        <w:t>；</w:t>
      </w:r>
    </w:p>
    <w:p>
      <w:pPr>
        <w:pStyle w:val="174"/>
        <w:numPr>
          <w:ilvl w:val="0"/>
          <w:numId w:val="46"/>
        </w:numPr>
      </w:pPr>
      <w:r>
        <w:rPr>
          <w:rFonts w:hint="eastAsia"/>
        </w:rPr>
        <w:t>应根据</w:t>
      </w:r>
      <w:r>
        <w:t>GB/T 23709</w:t>
      </w:r>
      <w:r>
        <w:rPr>
          <w:rFonts w:hint="eastAsia"/>
        </w:rPr>
        <w:t>要求，对平地、丘陵及山地等情况采用相应的方法和技术路线；</w:t>
      </w:r>
    </w:p>
    <w:p>
      <w:pPr>
        <w:pStyle w:val="174"/>
        <w:numPr>
          <w:ilvl w:val="0"/>
          <w:numId w:val="46"/>
        </w:numPr>
      </w:pPr>
      <w:r>
        <w:rPr>
          <w:rFonts w:hint="eastAsia"/>
        </w:rPr>
        <w:t>似大地水准面模型更新周期宜小于5年。</w:t>
      </w:r>
    </w:p>
    <w:p>
      <w:pPr>
        <w:pStyle w:val="105"/>
        <w:spacing w:before="156" w:after="156"/>
      </w:pPr>
      <w:bookmarkStart w:id="173" w:name="_Toc163504371"/>
      <w:bookmarkStart w:id="174" w:name="_Toc163633700"/>
      <w:bookmarkStart w:id="175" w:name="_Toc157162092"/>
      <w:bookmarkStart w:id="176" w:name="_Toc157164087"/>
      <w:bookmarkStart w:id="177" w:name="_Toc163834021"/>
      <w:bookmarkStart w:id="178" w:name="_Toc163762076"/>
      <w:bookmarkStart w:id="179" w:name="_Toc157588469"/>
      <w:bookmarkStart w:id="180" w:name="_Toc163766635"/>
      <w:bookmarkStart w:id="181" w:name="_Toc164001210"/>
      <w:bookmarkStart w:id="182" w:name="_Toc157588468"/>
      <w:bookmarkStart w:id="183" w:name="_Toc157164086"/>
      <w:bookmarkStart w:id="184" w:name="_Toc157162091"/>
      <w:bookmarkStart w:id="185" w:name="_Toc163504370"/>
      <w:bookmarkStart w:id="186" w:name="_Toc163633699"/>
      <w:bookmarkStart w:id="187" w:name="_Toc163762075"/>
      <w:r>
        <w:rPr>
          <w:rFonts w:hint="eastAsia"/>
        </w:rPr>
        <w:t>一体化建设</w:t>
      </w:r>
      <w:bookmarkEnd w:id="173"/>
      <w:bookmarkEnd w:id="174"/>
      <w:bookmarkEnd w:id="175"/>
      <w:bookmarkEnd w:id="176"/>
      <w:bookmarkEnd w:id="177"/>
      <w:bookmarkEnd w:id="178"/>
      <w:bookmarkEnd w:id="179"/>
      <w:bookmarkEnd w:id="180"/>
      <w:bookmarkEnd w:id="181"/>
    </w:p>
    <w:p>
      <w:pPr>
        <w:pStyle w:val="65"/>
        <w:spacing w:before="156" w:after="156"/>
      </w:pPr>
      <w:r>
        <w:rPr>
          <w:rFonts w:hint="eastAsia"/>
        </w:rPr>
        <w:t>大地基准</w:t>
      </w:r>
    </w:p>
    <w:p>
      <w:pPr>
        <w:pStyle w:val="56"/>
        <w:ind w:firstLine="420"/>
      </w:pPr>
      <w:r>
        <w:rPr>
          <w:rFonts w:hint="eastAsia"/>
        </w:rPr>
        <w:t>大地基准一体化的要求如下：</w:t>
      </w:r>
    </w:p>
    <w:p>
      <w:pPr>
        <w:pStyle w:val="174"/>
        <w:numPr>
          <w:ilvl w:val="0"/>
          <w:numId w:val="47"/>
        </w:numPr>
      </w:pPr>
      <w:r>
        <w:rPr>
          <w:rFonts w:hint="eastAsia"/>
        </w:rPr>
        <w:t>应统筹收集、整理、分析区域内现有的卫星导航定位基准站、各类等级控制点资料及成果；</w:t>
      </w:r>
    </w:p>
    <w:p>
      <w:pPr>
        <w:pStyle w:val="174"/>
        <w:numPr>
          <w:ilvl w:val="0"/>
          <w:numId w:val="47"/>
        </w:numPr>
      </w:pPr>
      <w:r>
        <w:rPr>
          <w:rFonts w:hint="eastAsia"/>
        </w:rPr>
        <w:t>应采用整体平差、框架历元转换、坐标转换等方式建立大地基准成果间的关系；</w:t>
      </w:r>
    </w:p>
    <w:p>
      <w:pPr>
        <w:pStyle w:val="174"/>
        <w:numPr>
          <w:ilvl w:val="0"/>
          <w:numId w:val="47"/>
        </w:numPr>
      </w:pPr>
      <w:r>
        <w:rPr>
          <w:rFonts w:hint="eastAsia"/>
        </w:rPr>
        <w:t>卫星定位等级点数据处理应满足GB</w:t>
      </w:r>
      <w:r>
        <w:t>/T</w:t>
      </w:r>
      <w:r>
        <w:rPr>
          <w:rFonts w:hint="eastAsia"/>
        </w:rPr>
        <w:t xml:space="preserve"> 18314的相关规定；</w:t>
      </w:r>
    </w:p>
    <w:p>
      <w:pPr>
        <w:pStyle w:val="174"/>
        <w:numPr>
          <w:ilvl w:val="0"/>
          <w:numId w:val="47"/>
        </w:numPr>
      </w:pPr>
      <w:r>
        <w:rPr>
          <w:rFonts w:hint="eastAsia"/>
        </w:rPr>
        <w:t>坐标转换应满足CH/T 2014相关规定。</w:t>
      </w:r>
    </w:p>
    <w:p>
      <w:pPr>
        <w:pStyle w:val="65"/>
        <w:spacing w:before="156" w:after="156"/>
      </w:pPr>
      <w:r>
        <w:rPr>
          <w:rFonts w:hint="eastAsia"/>
        </w:rPr>
        <w:t>高程基准</w:t>
      </w:r>
    </w:p>
    <w:p>
      <w:pPr>
        <w:pStyle w:val="56"/>
        <w:ind w:firstLine="420"/>
      </w:pPr>
      <w:r>
        <w:rPr>
          <w:rFonts w:hint="eastAsia"/>
        </w:rPr>
        <w:t>高程基准一体化的要求如下：</w:t>
      </w:r>
    </w:p>
    <w:p>
      <w:pPr>
        <w:pStyle w:val="174"/>
        <w:numPr>
          <w:ilvl w:val="0"/>
          <w:numId w:val="48"/>
        </w:numPr>
      </w:pPr>
      <w:r>
        <w:rPr>
          <w:rFonts w:hint="eastAsia"/>
        </w:rPr>
        <w:t>应统筹收集、整理、分析区域内现有最新的高程基准资料和成果；</w:t>
      </w:r>
    </w:p>
    <w:p>
      <w:pPr>
        <w:pStyle w:val="174"/>
        <w:numPr>
          <w:ilvl w:val="0"/>
          <w:numId w:val="48"/>
        </w:numPr>
      </w:pPr>
      <w:r>
        <w:rPr>
          <w:rFonts w:hint="eastAsia"/>
        </w:rPr>
        <w:t>应通过水准联测、整体平差、线路更新、线路整合等方式构建一体化高程基准；</w:t>
      </w:r>
    </w:p>
    <w:p>
      <w:pPr>
        <w:pStyle w:val="174"/>
      </w:pPr>
      <w:r>
        <w:rPr>
          <w:rFonts w:hint="eastAsia"/>
        </w:rPr>
        <w:t>应统筹、分析区域内现有最新的区域似大地水准面成果；</w:t>
      </w:r>
    </w:p>
    <w:p>
      <w:pPr>
        <w:pStyle w:val="174"/>
      </w:pPr>
      <w:r>
        <w:rPr>
          <w:rFonts w:hint="eastAsia"/>
        </w:rPr>
        <w:t>应采用模型拼接、模型更新、重新构建等方式，更新区域似大地水准面精化模型。</w:t>
      </w:r>
    </w:p>
    <w:p>
      <w:pPr>
        <w:pStyle w:val="65"/>
        <w:spacing w:before="156" w:after="156"/>
      </w:pPr>
      <w:r>
        <w:rPr>
          <w:rFonts w:hint="eastAsia"/>
        </w:rPr>
        <w:t>重力基准</w:t>
      </w:r>
    </w:p>
    <w:p>
      <w:pPr>
        <w:pStyle w:val="56"/>
        <w:ind w:firstLine="420"/>
      </w:pPr>
      <w:r>
        <w:rPr>
          <w:rFonts w:hint="eastAsia"/>
        </w:rPr>
        <w:t>重力基准一体化的要求如下：</w:t>
      </w:r>
    </w:p>
    <w:p>
      <w:pPr>
        <w:pStyle w:val="174"/>
        <w:numPr>
          <w:ilvl w:val="0"/>
          <w:numId w:val="49"/>
        </w:numPr>
      </w:pPr>
      <w:r>
        <w:rPr>
          <w:rFonts w:hint="eastAsia"/>
        </w:rPr>
        <w:t>应统筹收集、整理、分析区域内现有最新的重力基准基础数据；</w:t>
      </w:r>
    </w:p>
    <w:p>
      <w:pPr>
        <w:pStyle w:val="174"/>
        <w:numPr>
          <w:ilvl w:val="0"/>
          <w:numId w:val="49"/>
        </w:numPr>
      </w:pPr>
      <w:r>
        <w:rPr>
          <w:rFonts w:hint="eastAsia"/>
        </w:rPr>
        <w:t>应采用重力联测、整体平差、线路更新、线路整合等方式，构建区域重力基准；</w:t>
      </w:r>
    </w:p>
    <w:p>
      <w:pPr>
        <w:pStyle w:val="174"/>
        <w:numPr>
          <w:ilvl w:val="0"/>
          <w:numId w:val="49"/>
        </w:numPr>
      </w:pPr>
      <w:r>
        <w:rPr>
          <w:rFonts w:hint="eastAsia"/>
        </w:rPr>
        <w:t>重力测量应满足GB/T 20256和GB/T 17944相关规定。</w:t>
      </w:r>
    </w:p>
    <w:p>
      <w:pPr>
        <w:pStyle w:val="105"/>
        <w:spacing w:before="156" w:after="156"/>
      </w:pPr>
      <w:bookmarkStart w:id="188" w:name="_Toc163834022"/>
      <w:bookmarkStart w:id="189" w:name="_Toc164001211"/>
      <w:bookmarkStart w:id="190" w:name="_Toc163766636"/>
      <w:r>
        <w:rPr>
          <w:rFonts w:hint="eastAsia"/>
        </w:rPr>
        <w:t>维持方法</w:t>
      </w:r>
      <w:bookmarkEnd w:id="182"/>
      <w:bookmarkEnd w:id="183"/>
      <w:bookmarkEnd w:id="184"/>
      <w:bookmarkEnd w:id="185"/>
      <w:bookmarkEnd w:id="186"/>
      <w:bookmarkEnd w:id="187"/>
      <w:bookmarkEnd w:id="188"/>
      <w:bookmarkEnd w:id="189"/>
      <w:bookmarkEnd w:id="190"/>
    </w:p>
    <w:p>
      <w:pPr>
        <w:pStyle w:val="65"/>
        <w:spacing w:before="156" w:after="156"/>
      </w:pPr>
      <w:r>
        <w:rPr>
          <w:rFonts w:hint="eastAsia"/>
        </w:rPr>
        <w:t>技术路线</w:t>
      </w:r>
    </w:p>
    <w:p>
      <w:pPr>
        <w:pStyle w:val="56"/>
        <w:ind w:firstLine="420"/>
      </w:pPr>
      <w:r>
        <w:rPr>
          <w:rFonts w:hint="eastAsia"/>
        </w:rPr>
        <w:t>区域现代测绘基准维持技术路线图见图1。</w:t>
      </w:r>
    </w:p>
    <w:p>
      <w:pPr>
        <w:pStyle w:val="56"/>
        <w:ind w:firstLine="420"/>
      </w:pPr>
      <w:r>
        <w:rPr>
          <w:rFonts w:hint="eastAsia"/>
          <w:color w:val="FF0000"/>
        </w:rPr>
        <w:drawing>
          <wp:inline distT="0" distB="0" distL="114300" distR="114300">
            <wp:extent cx="5307965" cy="3632200"/>
            <wp:effectExtent l="0" t="0" r="0" b="0"/>
            <wp:docPr id="1" name="图片 1" descr="未命名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命名文件"/>
                    <pic:cNvPicPr>
                      <a:picLocks noChangeAspect="1"/>
                    </pic:cNvPicPr>
                  </pic:nvPicPr>
                  <pic:blipFill>
                    <a:blip r:embed="rId29"/>
                    <a:stretch>
                      <a:fillRect/>
                    </a:stretch>
                  </pic:blipFill>
                  <pic:spPr>
                    <a:xfrm>
                      <a:off x="0" y="0"/>
                      <a:ext cx="5307965" cy="3632200"/>
                    </a:xfrm>
                    <a:prstGeom prst="rect">
                      <a:avLst/>
                    </a:prstGeom>
                  </pic:spPr>
                </pic:pic>
              </a:graphicData>
            </a:graphic>
          </wp:inline>
        </w:drawing>
      </w:r>
    </w:p>
    <w:p>
      <w:pPr>
        <w:pStyle w:val="114"/>
        <w:spacing w:before="156" w:after="156"/>
      </w:pPr>
      <w:r>
        <w:rPr>
          <w:rFonts w:hint="eastAsia"/>
        </w:rPr>
        <w:t>区域现代测绘基准维持技术路线图</w:t>
      </w:r>
    </w:p>
    <w:p>
      <w:pPr>
        <w:pStyle w:val="65"/>
        <w:spacing w:before="156" w:after="156"/>
      </w:pPr>
      <w:r>
        <w:rPr>
          <w:rFonts w:hint="eastAsia"/>
        </w:rPr>
        <w:t>大地基准维持</w:t>
      </w:r>
    </w:p>
    <w:p>
      <w:pPr>
        <w:pStyle w:val="56"/>
        <w:ind w:firstLine="420"/>
      </w:pPr>
      <w:r>
        <w:rPr>
          <w:rFonts w:hint="eastAsia"/>
        </w:rPr>
        <w:t>大地基准维持的方法和要求如下：</w:t>
      </w:r>
    </w:p>
    <w:p>
      <w:pPr>
        <w:pStyle w:val="174"/>
        <w:numPr>
          <w:ilvl w:val="0"/>
          <w:numId w:val="50"/>
        </w:numPr>
      </w:pPr>
      <w:r>
        <w:rPr>
          <w:rFonts w:hint="eastAsia"/>
        </w:rPr>
        <w:t>应优先采用最新的全国基准站网CGCS2000成果构建大地基准框架网；</w:t>
      </w:r>
    </w:p>
    <w:p>
      <w:pPr>
        <w:pStyle w:val="174"/>
        <w:numPr>
          <w:ilvl w:val="0"/>
          <w:numId w:val="50"/>
        </w:numPr>
      </w:pPr>
      <w:r>
        <w:rPr>
          <w:rFonts w:hint="eastAsia"/>
        </w:rPr>
        <w:t>框架网应联测国家GNSS基准网、有最新成果且站点稳定的省级基准站；</w:t>
      </w:r>
    </w:p>
    <w:p>
      <w:pPr>
        <w:pStyle w:val="174"/>
        <w:numPr>
          <w:ilvl w:val="0"/>
          <w:numId w:val="50"/>
        </w:numPr>
      </w:pPr>
      <w:r>
        <w:rPr>
          <w:rFonts w:hint="eastAsia"/>
        </w:rPr>
        <w:t>框架网按周解解算，全年周解的平均值作为年解；</w:t>
      </w:r>
    </w:p>
    <w:p>
      <w:pPr>
        <w:pStyle w:val="174"/>
        <w:numPr>
          <w:ilvl w:val="0"/>
          <w:numId w:val="50"/>
        </w:numPr>
      </w:pPr>
      <w:r>
        <w:rPr>
          <w:rFonts w:hint="eastAsia"/>
        </w:rPr>
        <w:t>基本网应联测框架网，并以框架网最新成果作为起算成果，平差获得基本网坐标。</w:t>
      </w:r>
    </w:p>
    <w:p>
      <w:pPr>
        <w:pStyle w:val="65"/>
        <w:spacing w:before="156" w:after="156"/>
      </w:pPr>
      <w:r>
        <w:rPr>
          <w:rFonts w:hint="eastAsia"/>
        </w:rPr>
        <w:t>高程基准维持</w:t>
      </w:r>
    </w:p>
    <w:p>
      <w:pPr>
        <w:pStyle w:val="56"/>
        <w:ind w:firstLine="420"/>
      </w:pPr>
      <w:r>
        <w:rPr>
          <w:rFonts w:hint="eastAsia"/>
        </w:rPr>
        <w:t>高程基准维持的方法和要求如下：</w:t>
      </w:r>
    </w:p>
    <w:p>
      <w:pPr>
        <w:pStyle w:val="174"/>
        <w:numPr>
          <w:ilvl w:val="0"/>
          <w:numId w:val="51"/>
        </w:numPr>
      </w:pPr>
      <w:r>
        <w:rPr>
          <w:rFonts w:hint="eastAsia"/>
        </w:rPr>
        <w:t>优先采用区域内最新的水准测量成果构建区域内统一的高程基准；</w:t>
      </w:r>
    </w:p>
    <w:p>
      <w:pPr>
        <w:pStyle w:val="174"/>
        <w:numPr>
          <w:ilvl w:val="0"/>
          <w:numId w:val="51"/>
        </w:numPr>
      </w:pPr>
      <w:r>
        <w:rPr>
          <w:rFonts w:hint="eastAsia"/>
        </w:rPr>
        <w:t>无法满足7.5.3 a)要求的，可综合区域内现有水准成果进行优化设计，并开展一、二等水准联测，通过区域联测、整体平差，构建区域高程基准；</w:t>
      </w:r>
    </w:p>
    <w:p>
      <w:pPr>
        <w:pStyle w:val="174"/>
        <w:numPr>
          <w:ilvl w:val="0"/>
          <w:numId w:val="51"/>
        </w:numPr>
      </w:pPr>
      <w:r>
        <w:rPr>
          <w:rFonts w:hint="eastAsia"/>
        </w:rPr>
        <w:t>综合区域内最新的区域似大地水准面成果，优先进行模型的拼接，或者综合利用现有资料重新构建区域似大地水准面模型。</w:t>
      </w:r>
    </w:p>
    <w:p>
      <w:pPr>
        <w:pStyle w:val="65"/>
        <w:spacing w:before="156" w:after="156"/>
      </w:pPr>
      <w:r>
        <w:rPr>
          <w:rFonts w:hint="eastAsia"/>
        </w:rPr>
        <w:t>重力基准维持</w:t>
      </w:r>
    </w:p>
    <w:p>
      <w:pPr>
        <w:pStyle w:val="56"/>
        <w:ind w:firstLine="420"/>
      </w:pPr>
      <w:r>
        <w:rPr>
          <w:rFonts w:hint="eastAsia"/>
        </w:rPr>
        <w:t>重力基准维持的方法和要求如下：</w:t>
      </w:r>
    </w:p>
    <w:p>
      <w:pPr>
        <w:pStyle w:val="174"/>
        <w:numPr>
          <w:ilvl w:val="0"/>
          <w:numId w:val="52"/>
        </w:numPr>
      </w:pPr>
      <w:r>
        <w:rPr>
          <w:rFonts w:hint="eastAsia"/>
        </w:rPr>
        <w:t>按照逐级控制的原则，重力基准点采用绝对重力仪观测，作为基本重力网的平差起算点；</w:t>
      </w:r>
    </w:p>
    <w:p>
      <w:pPr>
        <w:pStyle w:val="174"/>
        <w:numPr>
          <w:ilvl w:val="0"/>
          <w:numId w:val="52"/>
        </w:numPr>
      </w:pPr>
      <w:r>
        <w:rPr>
          <w:rFonts w:hint="eastAsia"/>
        </w:rPr>
        <w:t>重力基准点和重力基本点共同作为重力加密网的平差起算点；</w:t>
      </w:r>
    </w:p>
    <w:p>
      <w:pPr>
        <w:pStyle w:val="174"/>
        <w:numPr>
          <w:ilvl w:val="0"/>
          <w:numId w:val="52"/>
        </w:numPr>
      </w:pPr>
      <w:r>
        <w:rPr>
          <w:rFonts w:hint="eastAsia"/>
        </w:rPr>
        <w:t>重力复测应满足GB/T 20256和GB/T 17944 相关规定。</w:t>
      </w:r>
    </w:p>
    <w:p>
      <w:pPr>
        <w:pStyle w:val="65"/>
        <w:spacing w:before="156" w:after="156"/>
      </w:pPr>
      <w:r>
        <w:rPr>
          <w:rFonts w:hint="eastAsia"/>
        </w:rPr>
        <w:t>深度基准维持</w:t>
      </w:r>
    </w:p>
    <w:p>
      <w:pPr>
        <w:pStyle w:val="56"/>
        <w:ind w:firstLine="420"/>
      </w:pPr>
      <w:r>
        <w:rPr>
          <w:rFonts w:hint="eastAsia"/>
        </w:rPr>
        <w:t>深度基准维持的方法和要求如下：</w:t>
      </w:r>
    </w:p>
    <w:p>
      <w:pPr>
        <w:pStyle w:val="174"/>
        <w:numPr>
          <w:ilvl w:val="0"/>
          <w:numId w:val="53"/>
        </w:numPr>
      </w:pPr>
      <w:r>
        <w:rPr>
          <w:rFonts w:hint="eastAsia"/>
        </w:rPr>
        <w:t>应对验潮站数据、水位计数据和潮汐参数等进行质量控制；</w:t>
      </w:r>
    </w:p>
    <w:p>
      <w:pPr>
        <w:pStyle w:val="174"/>
        <w:numPr>
          <w:ilvl w:val="0"/>
          <w:numId w:val="53"/>
        </w:numPr>
      </w:pPr>
      <w:r>
        <w:rPr>
          <w:rFonts w:hint="eastAsia"/>
        </w:rPr>
        <w:t>可根据观测数据约束潮波流体动力学方程,确定高分辨率潮汐场参数模型；</w:t>
      </w:r>
    </w:p>
    <w:p>
      <w:pPr>
        <w:pStyle w:val="174"/>
        <w:numPr>
          <w:ilvl w:val="0"/>
          <w:numId w:val="53"/>
        </w:numPr>
      </w:pPr>
      <w:r>
        <w:rPr>
          <w:rFonts w:hint="eastAsia"/>
        </w:rPr>
        <w:t>可采用潮汐参数建立相对于平均海面的深度基准离散数值模型；</w:t>
      </w:r>
    </w:p>
    <w:p>
      <w:pPr>
        <w:pStyle w:val="174"/>
        <w:numPr>
          <w:ilvl w:val="0"/>
          <w:numId w:val="53"/>
        </w:numPr>
      </w:pPr>
      <w:r>
        <w:rPr>
          <w:rFonts w:hint="eastAsia"/>
        </w:rPr>
        <w:t>采用大地水准面、海面地形和重力异常等模型和高程基准等资料，建立深度基准转换模型。</w:t>
      </w:r>
    </w:p>
    <w:p>
      <w:pPr>
        <w:pStyle w:val="65"/>
        <w:spacing w:before="156" w:after="156"/>
      </w:pPr>
      <w:r>
        <w:rPr>
          <w:rFonts w:hint="eastAsia"/>
        </w:rPr>
        <w:t>In</w:t>
      </w:r>
      <w:r>
        <w:t>SAR</w:t>
      </w:r>
      <w:r>
        <w:rPr>
          <w:rFonts w:hint="eastAsia"/>
        </w:rPr>
        <w:t>数据处理</w:t>
      </w:r>
    </w:p>
    <w:p>
      <w:pPr>
        <w:pStyle w:val="56"/>
        <w:ind w:firstLine="420"/>
      </w:pPr>
      <w:r>
        <w:rPr>
          <w:rFonts w:hint="eastAsia"/>
        </w:rPr>
        <w:t>In</w:t>
      </w:r>
      <w:r>
        <w:t>SAR</w:t>
      </w:r>
      <w:r>
        <w:rPr>
          <w:rFonts w:hint="eastAsia"/>
        </w:rPr>
        <w:t>数据处理的方法和要求如下：</w:t>
      </w:r>
    </w:p>
    <w:p>
      <w:pPr>
        <w:pStyle w:val="174"/>
        <w:numPr>
          <w:ilvl w:val="0"/>
          <w:numId w:val="54"/>
        </w:numPr>
      </w:pPr>
      <w:r>
        <w:rPr>
          <w:rFonts w:hint="eastAsia"/>
        </w:rPr>
        <w:t>数据源应选用每年同期数据，并覆盖测绘基准维持区域及周边50km；</w:t>
      </w:r>
    </w:p>
    <w:p>
      <w:pPr>
        <w:pStyle w:val="174"/>
        <w:numPr>
          <w:ilvl w:val="0"/>
          <w:numId w:val="54"/>
        </w:numPr>
      </w:pPr>
      <w:r>
        <w:rPr>
          <w:rFonts w:hint="eastAsia"/>
        </w:rPr>
        <w:t>数据处理应满足CH/T 6006 相关规定。</w:t>
      </w:r>
    </w:p>
    <w:p>
      <w:pPr>
        <w:pStyle w:val="65"/>
        <w:spacing w:before="156" w:after="156"/>
      </w:pPr>
      <w:r>
        <w:rPr>
          <w:rFonts w:hint="eastAsia"/>
        </w:rPr>
        <w:t>基准稳定性分析</w:t>
      </w:r>
    </w:p>
    <w:p>
      <w:pPr>
        <w:pStyle w:val="56"/>
        <w:ind w:firstLine="420"/>
      </w:pPr>
      <w:r>
        <w:rPr>
          <w:rFonts w:hint="eastAsia"/>
        </w:rPr>
        <w:t>稳定性分析的方法和要求如下：</w:t>
      </w:r>
    </w:p>
    <w:p>
      <w:pPr>
        <w:pStyle w:val="174"/>
        <w:numPr>
          <w:ilvl w:val="0"/>
          <w:numId w:val="55"/>
        </w:numPr>
      </w:pPr>
      <w:r>
        <w:rPr>
          <w:rFonts w:hint="eastAsia"/>
        </w:rPr>
        <w:t>应在区域内进行框架网点和基准网点的平面、高程方向的稳定性分析；</w:t>
      </w:r>
    </w:p>
    <w:p>
      <w:pPr>
        <w:pStyle w:val="174"/>
        <w:numPr>
          <w:ilvl w:val="0"/>
          <w:numId w:val="55"/>
        </w:numPr>
      </w:pPr>
      <w:r>
        <w:rPr>
          <w:rFonts w:hint="eastAsia"/>
        </w:rPr>
        <w:t>应在区域边界、基准网交叉处、模型接边处等进行精度一致性检测；</w:t>
      </w:r>
    </w:p>
    <w:p>
      <w:pPr>
        <w:pStyle w:val="174"/>
        <w:numPr>
          <w:ilvl w:val="0"/>
          <w:numId w:val="55"/>
        </w:numPr>
      </w:pPr>
      <w:r>
        <w:rPr>
          <w:rFonts w:hint="eastAsia"/>
        </w:rPr>
        <w:t>根据时间序列和In</w:t>
      </w:r>
      <w:r>
        <w:t>SAR</w:t>
      </w:r>
      <w:r>
        <w:rPr>
          <w:rFonts w:hint="eastAsia"/>
        </w:rPr>
        <w:t>数据分析结果，确定区域内稳定点组，选取框架网。</w:t>
      </w:r>
    </w:p>
    <w:p>
      <w:pPr>
        <w:pStyle w:val="105"/>
        <w:spacing w:before="156" w:after="156"/>
      </w:pPr>
      <w:bookmarkStart w:id="191" w:name="_Toc157162093"/>
      <w:bookmarkStart w:id="192" w:name="_Toc157164088"/>
      <w:bookmarkStart w:id="193" w:name="_Toc163504372"/>
      <w:bookmarkStart w:id="194" w:name="_Toc157588470"/>
      <w:bookmarkStart w:id="195" w:name="_Toc163766637"/>
      <w:bookmarkStart w:id="196" w:name="_Toc163834023"/>
      <w:bookmarkStart w:id="197" w:name="_Toc164001212"/>
      <w:bookmarkStart w:id="198" w:name="_Toc163762077"/>
      <w:bookmarkStart w:id="199" w:name="_Toc163633701"/>
      <w:r>
        <w:rPr>
          <w:rFonts w:hint="eastAsia"/>
        </w:rPr>
        <w:t>基本成果</w:t>
      </w:r>
      <w:bookmarkEnd w:id="191"/>
      <w:bookmarkEnd w:id="192"/>
      <w:bookmarkEnd w:id="193"/>
      <w:bookmarkEnd w:id="194"/>
      <w:bookmarkEnd w:id="195"/>
      <w:bookmarkEnd w:id="196"/>
      <w:bookmarkEnd w:id="197"/>
      <w:bookmarkEnd w:id="198"/>
      <w:bookmarkEnd w:id="199"/>
    </w:p>
    <w:p>
      <w:pPr>
        <w:pStyle w:val="56"/>
        <w:ind w:firstLine="420"/>
      </w:pPr>
      <w:r>
        <w:rPr>
          <w:rFonts w:hint="eastAsia"/>
        </w:rPr>
        <w:t>区域基准维持的基本成果要求如下：</w:t>
      </w:r>
    </w:p>
    <w:p>
      <w:pPr>
        <w:pStyle w:val="174"/>
        <w:numPr>
          <w:ilvl w:val="0"/>
          <w:numId w:val="56"/>
        </w:numPr>
      </w:pPr>
      <w:r>
        <w:rPr>
          <w:rFonts w:hint="eastAsia"/>
        </w:rPr>
        <w:t>坐标成果应包含大地基准网点的大地坐标、平面坐标；</w:t>
      </w:r>
    </w:p>
    <w:p>
      <w:pPr>
        <w:pStyle w:val="174"/>
        <w:numPr>
          <w:ilvl w:val="0"/>
          <w:numId w:val="56"/>
        </w:numPr>
      </w:pPr>
      <w:r>
        <w:rPr>
          <w:rFonts w:hint="eastAsia"/>
        </w:rPr>
        <w:t>高程成果应包含水准测量数据、高差数据、高程数据；</w:t>
      </w:r>
    </w:p>
    <w:p>
      <w:pPr>
        <w:pStyle w:val="174"/>
        <w:numPr>
          <w:ilvl w:val="0"/>
          <w:numId w:val="56"/>
        </w:numPr>
      </w:pPr>
      <w:r>
        <w:rPr>
          <w:rFonts w:hint="eastAsia"/>
        </w:rPr>
        <w:t>应包含时间序列和区域速度场；</w:t>
      </w:r>
    </w:p>
    <w:p>
      <w:pPr>
        <w:pStyle w:val="174"/>
        <w:numPr>
          <w:ilvl w:val="0"/>
          <w:numId w:val="56"/>
        </w:numPr>
      </w:pPr>
      <w:r>
        <w:rPr>
          <w:rFonts w:hint="eastAsia"/>
        </w:rPr>
        <w:t>应包含似大地水准面模型。</w:t>
      </w:r>
    </w:p>
    <w:p>
      <w:pPr>
        <w:pStyle w:val="104"/>
        <w:spacing w:before="312" w:after="312"/>
      </w:pPr>
      <w:bookmarkStart w:id="200" w:name="_Toc157162094"/>
      <w:bookmarkStart w:id="201" w:name="_Toc157164089"/>
      <w:bookmarkStart w:id="202" w:name="_Toc157588471"/>
      <w:bookmarkStart w:id="203" w:name="_Toc163504373"/>
      <w:bookmarkStart w:id="204" w:name="_Toc163633702"/>
      <w:bookmarkStart w:id="205" w:name="_Toc163762078"/>
      <w:bookmarkStart w:id="206" w:name="_Toc164001213"/>
      <w:bookmarkStart w:id="207" w:name="_Toc163766638"/>
      <w:bookmarkStart w:id="208" w:name="_Toc163834024"/>
      <w:r>
        <w:rPr>
          <w:rFonts w:hint="eastAsia"/>
        </w:rPr>
        <w:t>协同服务</w:t>
      </w:r>
      <w:bookmarkEnd w:id="200"/>
      <w:bookmarkEnd w:id="201"/>
      <w:bookmarkEnd w:id="202"/>
      <w:bookmarkEnd w:id="203"/>
      <w:bookmarkEnd w:id="204"/>
      <w:bookmarkEnd w:id="205"/>
      <w:bookmarkEnd w:id="206"/>
      <w:bookmarkEnd w:id="207"/>
      <w:bookmarkEnd w:id="208"/>
    </w:p>
    <w:p>
      <w:pPr>
        <w:pStyle w:val="105"/>
        <w:spacing w:before="156" w:after="156"/>
      </w:pPr>
      <w:bookmarkStart w:id="209" w:name="_Toc157162096"/>
      <w:bookmarkStart w:id="210" w:name="_Toc157164091"/>
      <w:bookmarkStart w:id="211" w:name="_Toc163504374"/>
      <w:bookmarkStart w:id="212" w:name="_Toc163633703"/>
      <w:bookmarkStart w:id="213" w:name="_Toc163762079"/>
      <w:bookmarkStart w:id="214" w:name="_Toc163766639"/>
      <w:bookmarkStart w:id="215" w:name="_Toc163834025"/>
      <w:bookmarkStart w:id="216" w:name="_Toc164001214"/>
      <w:bookmarkStart w:id="217" w:name="_Toc157588473"/>
      <w:r>
        <w:rPr>
          <w:rFonts w:hint="eastAsia"/>
        </w:rPr>
        <w:t>协同内容</w:t>
      </w:r>
      <w:bookmarkEnd w:id="209"/>
      <w:bookmarkEnd w:id="210"/>
      <w:bookmarkEnd w:id="211"/>
      <w:bookmarkEnd w:id="212"/>
      <w:bookmarkEnd w:id="213"/>
      <w:bookmarkEnd w:id="214"/>
      <w:bookmarkEnd w:id="215"/>
      <w:bookmarkEnd w:id="216"/>
      <w:bookmarkEnd w:id="217"/>
    </w:p>
    <w:p>
      <w:pPr>
        <w:pStyle w:val="65"/>
        <w:spacing w:before="156" w:after="156"/>
      </w:pPr>
      <w:r>
        <w:rPr>
          <w:rFonts w:hint="eastAsia"/>
        </w:rPr>
        <w:t>资源协同</w:t>
      </w:r>
    </w:p>
    <w:p>
      <w:pPr>
        <w:pStyle w:val="56"/>
        <w:ind w:firstLine="420"/>
      </w:pPr>
      <w:r>
        <w:rPr>
          <w:rFonts w:hint="eastAsia"/>
        </w:rPr>
        <w:t>资源协同应满足如下要求：</w:t>
      </w:r>
    </w:p>
    <w:p>
      <w:pPr>
        <w:pStyle w:val="174"/>
        <w:numPr>
          <w:ilvl w:val="0"/>
          <w:numId w:val="57"/>
        </w:numPr>
      </w:pPr>
      <w:r>
        <w:rPr>
          <w:rFonts w:hint="eastAsia"/>
        </w:rPr>
        <w:t>整合协同现有基准站网、数据中心、数据和服务网络、用户管理、服务管理等资源；</w:t>
      </w:r>
    </w:p>
    <w:p>
      <w:pPr>
        <w:pStyle w:val="174"/>
        <w:numPr>
          <w:ilvl w:val="0"/>
          <w:numId w:val="57"/>
        </w:numPr>
      </w:pPr>
      <w:r>
        <w:rPr>
          <w:rFonts w:hint="eastAsia"/>
        </w:rPr>
        <w:t>实现服务协同、用户协同、数据中心管理协同和信息协同；</w:t>
      </w:r>
    </w:p>
    <w:p>
      <w:pPr>
        <w:pStyle w:val="174"/>
        <w:numPr>
          <w:ilvl w:val="0"/>
          <w:numId w:val="57"/>
        </w:numPr>
      </w:pPr>
      <w:r>
        <w:rPr>
          <w:rFonts w:hint="eastAsia"/>
        </w:rPr>
        <w:t>形成国家/省级/市县级数据中心联动、分工协作的服务模式。</w:t>
      </w:r>
    </w:p>
    <w:p>
      <w:pPr>
        <w:pStyle w:val="65"/>
        <w:spacing w:before="156" w:after="156"/>
      </w:pPr>
      <w:r>
        <w:rPr>
          <w:rFonts w:hint="eastAsia"/>
        </w:rPr>
        <w:t>服务协同</w:t>
      </w:r>
    </w:p>
    <w:p>
      <w:pPr>
        <w:pStyle w:val="56"/>
        <w:ind w:firstLine="420"/>
      </w:pPr>
      <w:r>
        <w:rPr>
          <w:rFonts w:hint="eastAsia"/>
        </w:rPr>
        <w:t>服务协同应满足如下要求：</w:t>
      </w:r>
    </w:p>
    <w:p>
      <w:pPr>
        <w:pStyle w:val="174"/>
        <w:numPr>
          <w:ilvl w:val="0"/>
          <w:numId w:val="58"/>
        </w:numPr>
      </w:pPr>
      <w:r>
        <w:rPr>
          <w:rFonts w:hint="eastAsia"/>
        </w:rPr>
        <w:t>建立国家、区域共享同步数据库、分布式数据处理和用户管理接口；</w:t>
      </w:r>
    </w:p>
    <w:p>
      <w:pPr>
        <w:pStyle w:val="174"/>
        <w:numPr>
          <w:ilvl w:val="0"/>
          <w:numId w:val="58"/>
        </w:numPr>
      </w:pPr>
      <w:r>
        <w:rPr>
          <w:rFonts w:hint="eastAsia"/>
        </w:rPr>
        <w:t>实现区域卫星导航定位协同调度、用户统一管理与服务调度；</w:t>
      </w:r>
    </w:p>
    <w:p>
      <w:pPr>
        <w:pStyle w:val="174"/>
        <w:numPr>
          <w:ilvl w:val="0"/>
          <w:numId w:val="58"/>
        </w:numPr>
      </w:pPr>
      <w:r>
        <w:rPr>
          <w:rFonts w:hint="eastAsia"/>
        </w:rPr>
        <w:t>支持并满足区域专业用户服务接入、全域漫游、互联互通、无缝衔接的厘米级实时定位服务。</w:t>
      </w:r>
    </w:p>
    <w:p>
      <w:pPr>
        <w:pStyle w:val="65"/>
        <w:spacing w:before="156" w:after="156"/>
      </w:pPr>
      <w:r>
        <w:rPr>
          <w:rFonts w:hint="eastAsia"/>
        </w:rPr>
        <w:t>用户协同</w:t>
      </w:r>
    </w:p>
    <w:p>
      <w:pPr>
        <w:pStyle w:val="56"/>
        <w:ind w:firstLine="420"/>
      </w:pPr>
      <w:r>
        <w:rPr>
          <w:rFonts w:hint="eastAsia"/>
        </w:rPr>
        <w:t>用户协同应满足如下要求：</w:t>
      </w:r>
    </w:p>
    <w:p>
      <w:pPr>
        <w:pStyle w:val="174"/>
        <w:numPr>
          <w:ilvl w:val="0"/>
          <w:numId w:val="59"/>
        </w:numPr>
      </w:pPr>
      <w:r>
        <w:rPr>
          <w:rFonts w:hint="eastAsia"/>
        </w:rPr>
        <w:t>建立区域统一的用户注册机制；</w:t>
      </w:r>
    </w:p>
    <w:p>
      <w:pPr>
        <w:pStyle w:val="174"/>
        <w:numPr>
          <w:ilvl w:val="0"/>
          <w:numId w:val="59"/>
        </w:numPr>
      </w:pPr>
      <w:r>
        <w:rPr>
          <w:rFonts w:hint="eastAsia"/>
        </w:rPr>
        <w:t>打通各级数据中心用户数据库和用户注册系统；</w:t>
      </w:r>
    </w:p>
    <w:p>
      <w:pPr>
        <w:pStyle w:val="174"/>
        <w:numPr>
          <w:ilvl w:val="0"/>
          <w:numId w:val="59"/>
        </w:numPr>
      </w:pPr>
      <w:r>
        <w:rPr>
          <w:rFonts w:hint="eastAsia"/>
        </w:rPr>
        <w:t>实现全域用户统一注册入口、统一服务出口、统一服务调度与监控；</w:t>
      </w:r>
    </w:p>
    <w:p>
      <w:pPr>
        <w:pStyle w:val="174"/>
        <w:numPr>
          <w:ilvl w:val="0"/>
          <w:numId w:val="59"/>
        </w:numPr>
      </w:pPr>
      <w:r>
        <w:rPr>
          <w:rFonts w:hint="eastAsia"/>
        </w:rPr>
        <w:t>实现“一站式”用户注册、账号申请、受理和审批。</w:t>
      </w:r>
    </w:p>
    <w:p>
      <w:pPr>
        <w:pStyle w:val="65"/>
        <w:spacing w:before="156" w:after="156"/>
      </w:pPr>
      <w:r>
        <w:rPr>
          <w:rFonts w:hint="eastAsia"/>
        </w:rPr>
        <w:t>管理协同</w:t>
      </w:r>
    </w:p>
    <w:p>
      <w:pPr>
        <w:pStyle w:val="56"/>
        <w:ind w:firstLine="420"/>
      </w:pPr>
      <w:r>
        <w:rPr>
          <w:rFonts w:hint="eastAsia"/>
        </w:rPr>
        <w:t>管理协同要求如下：</w:t>
      </w:r>
    </w:p>
    <w:p>
      <w:pPr>
        <w:pStyle w:val="174"/>
        <w:numPr>
          <w:ilvl w:val="0"/>
          <w:numId w:val="60"/>
        </w:numPr>
      </w:pPr>
      <w:r>
        <w:rPr>
          <w:rFonts w:hint="eastAsia"/>
        </w:rPr>
        <w:t>区域服务用户信息、作业状态、作业范围的监控与显示；</w:t>
      </w:r>
    </w:p>
    <w:p>
      <w:pPr>
        <w:pStyle w:val="174"/>
        <w:numPr>
          <w:ilvl w:val="0"/>
          <w:numId w:val="60"/>
        </w:numPr>
      </w:pPr>
      <w:r>
        <w:rPr>
          <w:rFonts w:hint="eastAsia"/>
        </w:rPr>
        <w:t>制定趋同的基准服务管理办法，实现管理要求的一致性；</w:t>
      </w:r>
    </w:p>
    <w:p>
      <w:pPr>
        <w:pStyle w:val="174"/>
        <w:numPr>
          <w:ilvl w:val="0"/>
          <w:numId w:val="60"/>
        </w:numPr>
      </w:pPr>
      <w:r>
        <w:rPr>
          <w:rFonts w:hint="eastAsia"/>
        </w:rPr>
        <w:t>用户手续多地通用，实现各区域协同管理。</w:t>
      </w:r>
    </w:p>
    <w:p>
      <w:pPr>
        <w:pStyle w:val="65"/>
        <w:spacing w:before="156" w:after="156"/>
      </w:pPr>
      <w:r>
        <w:rPr>
          <w:rFonts w:hint="eastAsia"/>
        </w:rPr>
        <w:t>信息协同</w:t>
      </w:r>
    </w:p>
    <w:p>
      <w:pPr>
        <w:pStyle w:val="56"/>
        <w:ind w:firstLine="420"/>
      </w:pPr>
      <w:r>
        <w:rPr>
          <w:rFonts w:hint="eastAsia"/>
        </w:rPr>
        <w:t>信息协同要求如下：</w:t>
      </w:r>
    </w:p>
    <w:p>
      <w:pPr>
        <w:pStyle w:val="174"/>
        <w:numPr>
          <w:ilvl w:val="0"/>
          <w:numId w:val="61"/>
        </w:numPr>
      </w:pPr>
      <w:r>
        <w:rPr>
          <w:rFonts w:hint="eastAsia"/>
        </w:rPr>
        <w:t>建立信息协同同步数据库，实现用户、终端、作业状态和协同服务等信息的同步与协同；</w:t>
      </w:r>
    </w:p>
    <w:p>
      <w:pPr>
        <w:pStyle w:val="174"/>
        <w:numPr>
          <w:ilvl w:val="0"/>
          <w:numId w:val="61"/>
        </w:numPr>
      </w:pPr>
      <w:r>
        <w:rPr>
          <w:rFonts w:hint="eastAsia"/>
        </w:rPr>
        <w:t>根据服务与管理需求，实现各类信息的综合统计和分析。</w:t>
      </w:r>
    </w:p>
    <w:p>
      <w:pPr>
        <w:pStyle w:val="105"/>
        <w:spacing w:before="156" w:after="156"/>
      </w:pPr>
      <w:bookmarkStart w:id="218" w:name="_Toc157162097"/>
      <w:bookmarkStart w:id="219" w:name="_Toc157164092"/>
      <w:bookmarkStart w:id="220" w:name="_Toc157588474"/>
      <w:bookmarkStart w:id="221" w:name="_Toc163633704"/>
      <w:bookmarkStart w:id="222" w:name="_Toc163766640"/>
      <w:bookmarkStart w:id="223" w:name="_Toc163762080"/>
      <w:bookmarkStart w:id="224" w:name="_Toc163834026"/>
      <w:bookmarkStart w:id="225" w:name="_Toc164001215"/>
      <w:bookmarkStart w:id="226" w:name="_Toc163504375"/>
      <w:r>
        <w:rPr>
          <w:rFonts w:hint="eastAsia"/>
        </w:rPr>
        <w:t>服务提供</w:t>
      </w:r>
      <w:bookmarkEnd w:id="218"/>
      <w:bookmarkEnd w:id="219"/>
      <w:bookmarkEnd w:id="220"/>
      <w:bookmarkEnd w:id="221"/>
      <w:bookmarkEnd w:id="222"/>
      <w:bookmarkEnd w:id="223"/>
      <w:bookmarkEnd w:id="224"/>
      <w:bookmarkEnd w:id="225"/>
      <w:bookmarkEnd w:id="226"/>
    </w:p>
    <w:p>
      <w:pPr>
        <w:pStyle w:val="56"/>
        <w:ind w:firstLine="420"/>
      </w:pPr>
      <w:r>
        <w:rPr>
          <w:rFonts w:hint="eastAsia"/>
        </w:rPr>
        <w:t>协同服务提供要求如下：</w:t>
      </w:r>
    </w:p>
    <w:p>
      <w:pPr>
        <w:pStyle w:val="174"/>
        <w:numPr>
          <w:ilvl w:val="0"/>
          <w:numId w:val="62"/>
        </w:numPr>
      </w:pPr>
      <w:r>
        <w:rPr>
          <w:rFonts w:hint="eastAsia"/>
        </w:rPr>
        <w:t>明确用户申请资格和服务内容、使用目的和范围、使用期限和保密责任等要求；</w:t>
      </w:r>
    </w:p>
    <w:p>
      <w:pPr>
        <w:pStyle w:val="174"/>
        <w:numPr>
          <w:ilvl w:val="0"/>
          <w:numId w:val="62"/>
        </w:numPr>
      </w:pPr>
      <w:r>
        <w:rPr>
          <w:rFonts w:hint="eastAsia"/>
        </w:rPr>
        <w:t>区域协同服务发布按照约定格式对差分数据进行统一格式编码优化；</w:t>
      </w:r>
    </w:p>
    <w:p>
      <w:pPr>
        <w:pStyle w:val="174"/>
        <w:numPr>
          <w:ilvl w:val="0"/>
          <w:numId w:val="62"/>
        </w:numPr>
      </w:pPr>
      <w:r>
        <w:rPr>
          <w:rFonts w:hint="eastAsia"/>
        </w:rPr>
        <w:t>区域协同服务的系统之间应建立统一标准的数据管理接口，实现用户的协同管理。</w:t>
      </w:r>
    </w:p>
    <w:p>
      <w:pPr>
        <w:pStyle w:val="105"/>
        <w:spacing w:before="156" w:after="156"/>
      </w:pPr>
      <w:bookmarkStart w:id="227" w:name="_Toc157162098"/>
      <w:bookmarkStart w:id="228" w:name="_Toc157164093"/>
      <w:bookmarkStart w:id="229" w:name="_Toc163633705"/>
      <w:bookmarkStart w:id="230" w:name="_Toc163762081"/>
      <w:bookmarkStart w:id="231" w:name="_Toc163766641"/>
      <w:bookmarkStart w:id="232" w:name="_Toc163834027"/>
      <w:bookmarkStart w:id="233" w:name="_Toc164001216"/>
      <w:bookmarkStart w:id="234" w:name="_Toc157588475"/>
      <w:bookmarkStart w:id="235" w:name="_Toc163504376"/>
      <w:r>
        <w:rPr>
          <w:rFonts w:hint="eastAsia"/>
        </w:rPr>
        <w:t>服务指标</w:t>
      </w:r>
      <w:bookmarkEnd w:id="227"/>
      <w:bookmarkEnd w:id="228"/>
      <w:bookmarkEnd w:id="229"/>
      <w:bookmarkEnd w:id="230"/>
      <w:bookmarkEnd w:id="231"/>
      <w:bookmarkEnd w:id="232"/>
      <w:bookmarkEnd w:id="233"/>
      <w:bookmarkEnd w:id="234"/>
      <w:bookmarkEnd w:id="235"/>
    </w:p>
    <w:p>
      <w:pPr>
        <w:pStyle w:val="56"/>
        <w:ind w:firstLine="420"/>
      </w:pPr>
      <w:r>
        <w:rPr>
          <w:rFonts w:hint="eastAsia"/>
        </w:rPr>
        <w:t>协同服务指标要求如下：</w:t>
      </w:r>
    </w:p>
    <w:p>
      <w:pPr>
        <w:pStyle w:val="174"/>
        <w:numPr>
          <w:ilvl w:val="0"/>
          <w:numId w:val="63"/>
        </w:numPr>
      </w:pPr>
      <w:r>
        <w:rPr>
          <w:rFonts w:hint="eastAsia"/>
        </w:rPr>
        <w:t>可用指标应满足7×24小时服务需求；</w:t>
      </w:r>
    </w:p>
    <w:p>
      <w:pPr>
        <w:pStyle w:val="174"/>
        <w:numPr>
          <w:ilvl w:val="0"/>
          <w:numId w:val="63"/>
        </w:numPr>
      </w:pPr>
      <w:r>
        <w:rPr>
          <w:rFonts w:hint="eastAsia"/>
        </w:rPr>
        <w:t>数据中心接入端链路可用性应大于98%；</w:t>
      </w:r>
    </w:p>
    <w:p>
      <w:pPr>
        <w:pStyle w:val="174"/>
        <w:numPr>
          <w:ilvl w:val="0"/>
          <w:numId w:val="63"/>
        </w:numPr>
      </w:pPr>
      <w:r>
        <w:rPr>
          <w:rFonts w:hint="eastAsia"/>
        </w:rPr>
        <w:t>基准站到数据中心的网络延迟应小于500ms；</w:t>
      </w:r>
    </w:p>
    <w:p>
      <w:pPr>
        <w:pStyle w:val="174"/>
        <w:numPr>
          <w:ilvl w:val="0"/>
          <w:numId w:val="63"/>
        </w:numPr>
      </w:pPr>
      <w:r>
        <w:rPr>
          <w:rFonts w:hint="eastAsia"/>
        </w:rPr>
        <w:t>数据中心到用户的通信延迟应小于1s；</w:t>
      </w:r>
    </w:p>
    <w:p>
      <w:pPr>
        <w:pStyle w:val="174"/>
        <w:numPr>
          <w:ilvl w:val="0"/>
          <w:numId w:val="63"/>
        </w:numPr>
      </w:pPr>
      <w:r>
        <w:rPr>
          <w:rFonts w:hint="eastAsia"/>
        </w:rPr>
        <w:t>故障处理响应时间应小于2小时，处理完成应小于24小时。</w:t>
      </w:r>
    </w:p>
    <w:p>
      <w:pPr>
        <w:pStyle w:val="105"/>
        <w:spacing w:before="156" w:after="156"/>
      </w:pPr>
      <w:bookmarkStart w:id="236" w:name="_Toc163762082"/>
      <w:bookmarkStart w:id="237" w:name="_Toc157164094"/>
      <w:bookmarkStart w:id="238" w:name="_Toc157588476"/>
      <w:bookmarkStart w:id="239" w:name="_Toc163504377"/>
      <w:bookmarkStart w:id="240" w:name="_Toc163834028"/>
      <w:bookmarkStart w:id="241" w:name="_Toc157162099"/>
      <w:bookmarkStart w:id="242" w:name="_Toc163633706"/>
      <w:bookmarkStart w:id="243" w:name="_Toc163766642"/>
      <w:bookmarkStart w:id="244" w:name="_Toc164001217"/>
      <w:r>
        <w:rPr>
          <w:rFonts w:hint="eastAsia"/>
        </w:rPr>
        <w:t>服务机制</w:t>
      </w:r>
      <w:bookmarkEnd w:id="236"/>
      <w:bookmarkEnd w:id="237"/>
      <w:bookmarkEnd w:id="238"/>
      <w:bookmarkEnd w:id="239"/>
      <w:bookmarkEnd w:id="240"/>
      <w:bookmarkEnd w:id="241"/>
      <w:bookmarkEnd w:id="242"/>
      <w:bookmarkEnd w:id="243"/>
      <w:bookmarkEnd w:id="244"/>
    </w:p>
    <w:p>
      <w:pPr>
        <w:pStyle w:val="56"/>
        <w:ind w:firstLine="420"/>
      </w:pPr>
      <w:r>
        <w:rPr>
          <w:rFonts w:hint="eastAsia"/>
        </w:rPr>
        <w:t>服务机制应满足如下要求：</w:t>
      </w:r>
    </w:p>
    <w:p>
      <w:pPr>
        <w:pStyle w:val="174"/>
        <w:numPr>
          <w:ilvl w:val="0"/>
          <w:numId w:val="64"/>
        </w:numPr>
      </w:pPr>
      <w:r>
        <w:rPr>
          <w:rFonts w:hint="eastAsia"/>
        </w:rPr>
        <w:t>建立协同服务工作组，并指定专门的负责人、用户管理员、系统管理员及技术支持人员；</w:t>
      </w:r>
    </w:p>
    <w:p>
      <w:pPr>
        <w:pStyle w:val="174"/>
        <w:numPr>
          <w:ilvl w:val="0"/>
          <w:numId w:val="64"/>
        </w:numPr>
      </w:pPr>
      <w:r>
        <w:rPr>
          <w:rFonts w:hint="eastAsia"/>
        </w:rPr>
        <w:t>建立用户服务协调机制，并定期通报情况，周期为每季度一次；</w:t>
      </w:r>
    </w:p>
    <w:p>
      <w:pPr>
        <w:pStyle w:val="174"/>
        <w:numPr>
          <w:ilvl w:val="0"/>
          <w:numId w:val="64"/>
        </w:numPr>
      </w:pPr>
      <w:r>
        <w:rPr>
          <w:rFonts w:hint="eastAsia"/>
        </w:rPr>
        <w:t>针对分析情况及日常使用问题汇总情况，对服务及系统进行完善和改进。</w:t>
      </w:r>
    </w:p>
    <w:p>
      <w:pPr>
        <w:pStyle w:val="104"/>
        <w:spacing w:before="312" w:after="312"/>
      </w:pPr>
      <w:bookmarkStart w:id="245" w:name="_Toc157162100"/>
      <w:bookmarkStart w:id="246" w:name="_Toc157164095"/>
      <w:bookmarkStart w:id="247" w:name="_Toc157588477"/>
      <w:bookmarkStart w:id="248" w:name="_Toc163504378"/>
      <w:bookmarkStart w:id="249" w:name="_Toc163633707"/>
      <w:bookmarkStart w:id="250" w:name="_Toc164001218"/>
      <w:bookmarkStart w:id="251" w:name="_Toc163766643"/>
      <w:bookmarkStart w:id="252" w:name="_Toc163762083"/>
      <w:bookmarkStart w:id="253" w:name="_Toc163834029"/>
      <w:r>
        <w:rPr>
          <w:rFonts w:hint="eastAsia"/>
        </w:rPr>
        <w:t>评价</w:t>
      </w:r>
      <w:bookmarkEnd w:id="245"/>
      <w:bookmarkEnd w:id="246"/>
      <w:bookmarkEnd w:id="247"/>
      <w:bookmarkEnd w:id="248"/>
      <w:bookmarkEnd w:id="249"/>
      <w:bookmarkEnd w:id="250"/>
      <w:bookmarkEnd w:id="251"/>
      <w:bookmarkEnd w:id="252"/>
      <w:bookmarkEnd w:id="253"/>
    </w:p>
    <w:p>
      <w:pPr>
        <w:pStyle w:val="105"/>
        <w:spacing w:before="156" w:after="156"/>
      </w:pPr>
      <w:bookmarkStart w:id="254" w:name="_Toc163633708"/>
      <w:bookmarkStart w:id="255" w:name="_Toc157164096"/>
      <w:bookmarkStart w:id="256" w:name="_Toc163762084"/>
      <w:bookmarkStart w:id="257" w:name="_Toc157588478"/>
      <w:bookmarkStart w:id="258" w:name="_Toc163834030"/>
      <w:bookmarkStart w:id="259" w:name="_Toc164001219"/>
      <w:bookmarkStart w:id="260" w:name="_Toc163766644"/>
      <w:bookmarkStart w:id="261" w:name="_Toc163504379"/>
      <w:bookmarkStart w:id="262" w:name="_Toc157162101"/>
      <w:r>
        <w:rPr>
          <w:rFonts w:hint="eastAsia"/>
        </w:rPr>
        <w:t>测绘基准维持评价</w:t>
      </w:r>
      <w:bookmarkEnd w:id="254"/>
      <w:bookmarkEnd w:id="255"/>
      <w:bookmarkEnd w:id="256"/>
      <w:bookmarkEnd w:id="257"/>
      <w:bookmarkEnd w:id="258"/>
      <w:bookmarkEnd w:id="259"/>
      <w:bookmarkEnd w:id="260"/>
      <w:bookmarkEnd w:id="261"/>
      <w:bookmarkEnd w:id="262"/>
    </w:p>
    <w:p>
      <w:pPr>
        <w:pStyle w:val="56"/>
        <w:ind w:firstLine="420"/>
      </w:pPr>
      <w:r>
        <w:rPr>
          <w:rFonts w:hint="eastAsia"/>
        </w:rPr>
        <w:t>测绘基准维持评价应满足如下要求：</w:t>
      </w:r>
    </w:p>
    <w:p>
      <w:pPr>
        <w:pStyle w:val="174"/>
        <w:numPr>
          <w:ilvl w:val="0"/>
          <w:numId w:val="65"/>
        </w:numPr>
      </w:pPr>
      <w:r>
        <w:rPr>
          <w:rFonts w:hint="eastAsia"/>
        </w:rPr>
        <w:t>通过野外实测的方式，定期开展基准服务精度测试；</w:t>
      </w:r>
    </w:p>
    <w:p>
      <w:pPr>
        <w:pStyle w:val="174"/>
        <w:numPr>
          <w:ilvl w:val="0"/>
          <w:numId w:val="65"/>
        </w:numPr>
      </w:pPr>
      <w:r>
        <w:rPr>
          <w:rFonts w:hint="eastAsia"/>
        </w:rPr>
        <w:t>对测试结果进行分析，形成评价基准服务质量的参数；</w:t>
      </w:r>
    </w:p>
    <w:p>
      <w:pPr>
        <w:pStyle w:val="174"/>
        <w:numPr>
          <w:ilvl w:val="0"/>
          <w:numId w:val="65"/>
        </w:numPr>
      </w:pPr>
      <w:r>
        <w:rPr>
          <w:rFonts w:hint="eastAsia"/>
        </w:rPr>
        <w:t>精度服务测试方法应满足GB/T 39616相关技术规定。</w:t>
      </w:r>
    </w:p>
    <w:p>
      <w:pPr>
        <w:pStyle w:val="105"/>
        <w:spacing w:before="156" w:after="156"/>
      </w:pPr>
      <w:bookmarkStart w:id="263" w:name="_Toc163834031"/>
      <w:bookmarkStart w:id="264" w:name="_Toc163762085"/>
      <w:bookmarkStart w:id="265" w:name="_Toc157164097"/>
      <w:bookmarkStart w:id="266" w:name="_Toc157588479"/>
      <w:bookmarkStart w:id="267" w:name="_Toc163633709"/>
      <w:bookmarkStart w:id="268" w:name="_Toc163504380"/>
      <w:bookmarkStart w:id="269" w:name="_Toc164001220"/>
      <w:bookmarkStart w:id="270" w:name="_Toc157162102"/>
      <w:bookmarkStart w:id="271" w:name="_Toc163766645"/>
      <w:r>
        <w:rPr>
          <w:rFonts w:hint="eastAsia"/>
        </w:rPr>
        <w:t>协同服务评价</w:t>
      </w:r>
      <w:bookmarkEnd w:id="263"/>
      <w:bookmarkEnd w:id="264"/>
      <w:bookmarkEnd w:id="265"/>
      <w:bookmarkEnd w:id="266"/>
      <w:bookmarkEnd w:id="267"/>
      <w:bookmarkEnd w:id="268"/>
      <w:bookmarkEnd w:id="269"/>
      <w:bookmarkEnd w:id="270"/>
      <w:bookmarkEnd w:id="271"/>
    </w:p>
    <w:p>
      <w:pPr>
        <w:pStyle w:val="56"/>
        <w:ind w:firstLine="420"/>
      </w:pPr>
      <w:r>
        <w:rPr>
          <w:rFonts w:hint="eastAsia"/>
        </w:rPr>
        <w:t>协同服务评价要求如下：</w:t>
      </w:r>
    </w:p>
    <w:p>
      <w:pPr>
        <w:pStyle w:val="174"/>
        <w:numPr>
          <w:ilvl w:val="0"/>
          <w:numId w:val="66"/>
        </w:numPr>
      </w:pPr>
      <w:r>
        <w:rPr>
          <w:rFonts w:hint="eastAsia"/>
        </w:rPr>
        <w:t>测绘基准服务提供单位应定期开展服务质量和协同服务机制有效性评价；</w:t>
      </w:r>
    </w:p>
    <w:p>
      <w:pPr>
        <w:pStyle w:val="174"/>
        <w:numPr>
          <w:ilvl w:val="0"/>
          <w:numId w:val="66"/>
        </w:numPr>
      </w:pPr>
      <w:r>
        <w:rPr>
          <w:rFonts w:hint="eastAsia"/>
        </w:rPr>
        <w:t>测绘基准服务提供单位应根据评价结果对服务质量进行改进；</w:t>
      </w:r>
    </w:p>
    <w:p>
      <w:pPr>
        <w:pStyle w:val="174"/>
        <w:numPr>
          <w:ilvl w:val="0"/>
          <w:numId w:val="66"/>
        </w:numPr>
      </w:pPr>
      <w:r>
        <w:rPr>
          <w:rFonts w:hint="eastAsia"/>
        </w:rPr>
        <w:t>协同服务评价应包括产品质量、服务效率、服务态度、解决问题能力等内容；</w:t>
      </w:r>
    </w:p>
    <w:p>
      <w:pPr>
        <w:pStyle w:val="174"/>
        <w:numPr>
          <w:ilvl w:val="0"/>
          <w:numId w:val="66"/>
        </w:numPr>
      </w:pPr>
      <w:r>
        <w:rPr>
          <w:rFonts w:hint="eastAsia"/>
        </w:rPr>
        <w:t>应定期开展协同服务能力评价，内容包括实时服务频率、系统可用性、兼容性、并发访问量、RTK定位精度等系统性能测试等；</w:t>
      </w:r>
    </w:p>
    <w:p>
      <w:pPr>
        <w:pStyle w:val="174"/>
        <w:numPr>
          <w:ilvl w:val="0"/>
          <w:numId w:val="66"/>
        </w:numPr>
      </w:pPr>
      <w:r>
        <w:rPr>
          <w:rFonts w:hint="eastAsia"/>
        </w:rPr>
        <w:t>协同服务测试内容应满足GB/T 39615相关技术规定。</w:t>
      </w:r>
    </w:p>
    <w:p>
      <w:pPr>
        <w:pStyle w:val="174"/>
        <w:numPr>
          <w:ilvl w:val="0"/>
          <w:numId w:val="66"/>
        </w:num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32"/>
    <w:p>
      <w:pPr>
        <w:pStyle w:val="198"/>
      </w:pPr>
      <w:bookmarkStart w:id="272" w:name="BookMark5"/>
    </w:p>
    <w:p>
      <w:pPr>
        <w:pStyle w:val="199"/>
      </w:pPr>
    </w:p>
    <w:bookmarkEnd w:id="272"/>
    <w:p>
      <w:pPr>
        <w:pStyle w:val="63"/>
        <w:spacing w:after="156"/>
      </w:pPr>
      <w:bookmarkStart w:id="273" w:name="_Toc157162104"/>
      <w:bookmarkStart w:id="274" w:name="_Toc157164099"/>
      <w:bookmarkStart w:id="275" w:name="_Toc163633710"/>
      <w:bookmarkStart w:id="276" w:name="_Toc164001221"/>
      <w:bookmarkStart w:id="277" w:name="_Toc163762086"/>
      <w:bookmarkStart w:id="278" w:name="_Toc163834032"/>
      <w:bookmarkStart w:id="279" w:name="_Toc163766646"/>
      <w:bookmarkStart w:id="280" w:name="_Toc163504381"/>
      <w:bookmarkStart w:id="281" w:name="_Toc157588480"/>
      <w:bookmarkStart w:id="282" w:name="BookMark6"/>
      <w:r>
        <w:rPr>
          <w:rFonts w:hint="eastAsia"/>
          <w:spacing w:val="105"/>
        </w:rPr>
        <w:t>参考文</w:t>
      </w:r>
      <w:r>
        <w:rPr>
          <w:rFonts w:hint="eastAsia"/>
        </w:rPr>
        <w:t>献</w:t>
      </w:r>
      <w:bookmarkEnd w:id="273"/>
      <w:bookmarkEnd w:id="274"/>
      <w:bookmarkEnd w:id="275"/>
      <w:bookmarkEnd w:id="276"/>
      <w:bookmarkEnd w:id="277"/>
      <w:bookmarkEnd w:id="278"/>
      <w:bookmarkEnd w:id="279"/>
      <w:bookmarkEnd w:id="280"/>
      <w:bookmarkEnd w:id="281"/>
    </w:p>
    <w:p>
      <w:pPr>
        <w:pStyle w:val="109"/>
        <w:numPr>
          <w:ilvl w:val="0"/>
          <w:numId w:val="0"/>
        </w:numPr>
        <w:ind w:left="1276" w:hanging="425"/>
      </w:pPr>
      <w:r>
        <w:rPr>
          <w:rFonts w:hint="eastAsia"/>
        </w:rPr>
        <w:t>[1] 《全国基础测绘中长期规划纲要（2015-2030年）》，国家测绘地理信息局，2015年</w:t>
      </w:r>
    </w:p>
    <w:p>
      <w:pPr>
        <w:pStyle w:val="109"/>
        <w:numPr>
          <w:ilvl w:val="0"/>
          <w:numId w:val="0"/>
        </w:numPr>
        <w:ind w:left="1276" w:hanging="425"/>
      </w:pPr>
      <w:r>
        <w:rPr>
          <w:rFonts w:hint="eastAsia"/>
        </w:rPr>
        <w:t>[2] 《测绘标准体系（2017修订版）》，国家测绘地理信息局，2017年</w:t>
      </w:r>
    </w:p>
    <w:p>
      <w:pPr>
        <w:pStyle w:val="109"/>
        <w:numPr>
          <w:ilvl w:val="0"/>
          <w:numId w:val="0"/>
        </w:numPr>
        <w:ind w:left="1276" w:hanging="425"/>
      </w:pPr>
      <w:r>
        <w:rPr>
          <w:rFonts w:hint="eastAsia"/>
        </w:rPr>
        <w:t>[3] 国家现代测绘基准建设与服务[J]</w:t>
      </w:r>
      <w:r>
        <w:t>.</w:t>
      </w:r>
      <w:r>
        <w:rPr>
          <w:rFonts w:hint="eastAsia"/>
        </w:rPr>
        <w:t>张鹏，武军郦，孙占义.地理信息世界.2018年第1期</w:t>
      </w:r>
    </w:p>
    <w:p>
      <w:pPr>
        <w:pStyle w:val="109"/>
        <w:numPr>
          <w:ilvl w:val="0"/>
          <w:numId w:val="0"/>
        </w:numPr>
        <w:ind w:left="1276" w:hanging="425"/>
      </w:pPr>
      <w:r>
        <w:rPr>
          <w:rFonts w:hint="eastAsia"/>
        </w:rPr>
        <w:t>[4] 国家测绘基准管理服务系统建设[J]</w:t>
      </w:r>
      <w:r>
        <w:t>.</w:t>
      </w:r>
      <w:r>
        <w:rPr>
          <w:rFonts w:hint="eastAsia"/>
        </w:rPr>
        <w:t>王凡</w:t>
      </w:r>
      <w:r>
        <w:t>,</w:t>
      </w:r>
      <w:r>
        <w:rPr>
          <w:rFonts w:hint="eastAsia"/>
        </w:rPr>
        <w:t>张鹏</w:t>
      </w:r>
      <w:r>
        <w:t>,</w:t>
      </w:r>
      <w:r>
        <w:rPr>
          <w:rFonts w:hint="eastAsia"/>
        </w:rPr>
        <w:t>孙占义</w:t>
      </w:r>
      <w:r>
        <w:t>.</w:t>
      </w:r>
      <w:r>
        <w:rPr>
          <w:rFonts w:hint="eastAsia"/>
        </w:rPr>
        <w:t>地理信息世界</w:t>
      </w:r>
      <w:r>
        <w:t>.</w:t>
      </w:r>
      <w:r>
        <w:rPr>
          <w:rFonts w:hint="eastAsia"/>
        </w:rPr>
        <w:t>2018</w:t>
      </w:r>
      <w:r>
        <w:t>,</w:t>
      </w:r>
      <w:r>
        <w:rPr>
          <w:rFonts w:hint="eastAsia"/>
        </w:rPr>
        <w:t>第1期</w:t>
      </w:r>
    </w:p>
    <w:p>
      <w:pPr>
        <w:pStyle w:val="109"/>
        <w:numPr>
          <w:ilvl w:val="0"/>
          <w:numId w:val="0"/>
        </w:numPr>
        <w:ind w:left="1276" w:hanging="425"/>
      </w:pPr>
      <w:r>
        <w:rPr>
          <w:rFonts w:hint="eastAsia"/>
        </w:rPr>
        <w:t>[5] GB/T 17159-2009  大地测量术语</w:t>
      </w:r>
    </w:p>
    <w:p>
      <w:pPr>
        <w:pStyle w:val="109"/>
        <w:numPr>
          <w:ilvl w:val="0"/>
          <w:numId w:val="0"/>
        </w:numPr>
        <w:ind w:left="1276" w:hanging="425"/>
      </w:pPr>
      <w:r>
        <w:rPr>
          <w:rFonts w:hint="eastAsia"/>
        </w:rPr>
        <w:t>[6] GB/T 12897-2006  国家一、二等水准测量规范</w:t>
      </w:r>
    </w:p>
    <w:p>
      <w:pPr>
        <w:pStyle w:val="109"/>
        <w:numPr>
          <w:ilvl w:val="0"/>
          <w:numId w:val="0"/>
        </w:numPr>
        <w:ind w:left="1276" w:hanging="425"/>
      </w:pPr>
      <w:r>
        <w:rPr>
          <w:rFonts w:hint="eastAsia"/>
        </w:rPr>
        <w:t xml:space="preserve">[7] </w:t>
      </w:r>
      <w:r>
        <w:fldChar w:fldCharType="begin"/>
      </w:r>
      <w:r>
        <w:instrText xml:space="preserve"> HYPERLINK "https://std.samr.gov.cn/gb/search/gbDetailed?id=71F772D82483D3A7E05397BE0A0AB82A" \t "_blank" </w:instrText>
      </w:r>
      <w:r>
        <w:fldChar w:fldCharType="separate"/>
      </w:r>
      <w:r>
        <w:t>GB/T 35769-2017</w:t>
      </w:r>
      <w:r>
        <w:rPr>
          <w:rFonts w:hint="eastAsia"/>
        </w:rPr>
        <w:t xml:space="preserve">  </w:t>
      </w:r>
      <w:r>
        <w:t>卫星导航定位基准站网服务规范</w:t>
      </w:r>
      <w:r>
        <w:fldChar w:fldCharType="end"/>
      </w:r>
    </w:p>
    <w:p>
      <w:pPr>
        <w:pStyle w:val="109"/>
        <w:numPr>
          <w:ilvl w:val="0"/>
          <w:numId w:val="0"/>
        </w:numPr>
        <w:ind w:left="1276" w:hanging="425"/>
      </w:pPr>
      <w:r>
        <w:rPr>
          <w:rFonts w:hint="eastAsia"/>
        </w:rPr>
        <w:t xml:space="preserve">[8] GB/T </w:t>
      </w:r>
      <w:r>
        <w:t>39618-2020</w:t>
      </w:r>
      <w:r>
        <w:rPr>
          <w:rFonts w:hint="eastAsia"/>
        </w:rPr>
        <w:t xml:space="preserve">  卫星导航定位基准站网运行维护技术规范</w:t>
      </w:r>
    </w:p>
    <w:p>
      <w:pPr>
        <w:pStyle w:val="109"/>
        <w:numPr>
          <w:ilvl w:val="0"/>
          <w:numId w:val="0"/>
        </w:numPr>
        <w:ind w:left="1276" w:hanging="425"/>
      </w:pPr>
      <w:r>
        <w:rPr>
          <w:rFonts w:hint="eastAsia"/>
        </w:rPr>
        <w:t>[9] GB/T 24356-2023  测绘成果质量检查与验收</w:t>
      </w:r>
    </w:p>
    <w:p>
      <w:pPr>
        <w:pStyle w:val="109"/>
        <w:numPr>
          <w:ilvl w:val="0"/>
          <w:numId w:val="0"/>
        </w:numPr>
        <w:ind w:left="1276" w:hanging="425"/>
      </w:pPr>
      <w:r>
        <w:rPr>
          <w:rFonts w:hint="eastAsia"/>
        </w:rPr>
        <w:t>[10] 《测绘学名词（第四版）》，测绘出版社，2020年</w:t>
      </w:r>
    </w:p>
    <w:p>
      <w:pPr>
        <w:pStyle w:val="56"/>
        <w:ind w:firstLine="420"/>
      </w:pPr>
    </w:p>
    <w:bookmarkEnd w:id="282"/>
    <w:p>
      <w:pPr>
        <w:pStyle w:val="56"/>
        <w:ind w:firstLine="0" w:firstLineChars="0"/>
        <w:jc w:val="center"/>
      </w:pPr>
      <w:bookmarkStart w:id="283" w:name="BookMark8"/>
      <w:r>
        <w:rPr>
          <w:rFonts w:hint="eastAsia"/>
        </w:rPr>
        <w:drawing>
          <wp:inline distT="0" distB="0" distL="0" distR="0">
            <wp:extent cx="1485900" cy="317500"/>
            <wp:effectExtent l="0" t="0" r="0" b="6350"/>
            <wp:docPr id="665402946" name="图片 1"/>
            <wp:cNvGraphicFramePr/>
            <a:graphic xmlns:a="http://schemas.openxmlformats.org/drawingml/2006/main">
              <a:graphicData uri="http://schemas.openxmlformats.org/drawingml/2006/picture">
                <pic:pic xmlns:pic="http://schemas.openxmlformats.org/drawingml/2006/picture">
                  <pic:nvPicPr>
                    <pic:cNvPr id="665402946" name="图片 1"/>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3"/>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9</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rPr>
        <w:color w:val="auto"/>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kKPuCWlb5bvYOFmrknmScYUYB2xAt8bsu8QodJvWTEoVUtYJC1l5lq9K+x7FwAjV86VjzuZFVyj1rf2Vtras2g==" w:salt="U0pwd8gfMT6cMGE8RFCUkw=="/>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AE77BA"/>
    <w:rsid w:val="0000040A"/>
    <w:rsid w:val="00000A94"/>
    <w:rsid w:val="00001972"/>
    <w:rsid w:val="00001D9A"/>
    <w:rsid w:val="00007B3A"/>
    <w:rsid w:val="000107E0"/>
    <w:rsid w:val="00011FDE"/>
    <w:rsid w:val="00012FFD"/>
    <w:rsid w:val="00014162"/>
    <w:rsid w:val="00014340"/>
    <w:rsid w:val="0001535D"/>
    <w:rsid w:val="00016A9C"/>
    <w:rsid w:val="00022184"/>
    <w:rsid w:val="00022762"/>
    <w:rsid w:val="000238E0"/>
    <w:rsid w:val="000249DB"/>
    <w:rsid w:val="0002595E"/>
    <w:rsid w:val="00026ACA"/>
    <w:rsid w:val="000303C3"/>
    <w:rsid w:val="000331D3"/>
    <w:rsid w:val="000346A5"/>
    <w:rsid w:val="000359C3"/>
    <w:rsid w:val="00035A7D"/>
    <w:rsid w:val="0003602A"/>
    <w:rsid w:val="000365ED"/>
    <w:rsid w:val="00042211"/>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288"/>
    <w:rsid w:val="00067F1E"/>
    <w:rsid w:val="00071CC0"/>
    <w:rsid w:val="00073C8C"/>
    <w:rsid w:val="00075E69"/>
    <w:rsid w:val="00077B64"/>
    <w:rsid w:val="00080A1C"/>
    <w:rsid w:val="00081D55"/>
    <w:rsid w:val="00082317"/>
    <w:rsid w:val="00083D2C"/>
    <w:rsid w:val="00085AE5"/>
    <w:rsid w:val="00086AA1"/>
    <w:rsid w:val="00087A77"/>
    <w:rsid w:val="00090CA6"/>
    <w:rsid w:val="00091979"/>
    <w:rsid w:val="00092B8A"/>
    <w:rsid w:val="00092FB0"/>
    <w:rsid w:val="000934C5"/>
    <w:rsid w:val="00093D25"/>
    <w:rsid w:val="00093DAB"/>
    <w:rsid w:val="0009459B"/>
    <w:rsid w:val="00094D73"/>
    <w:rsid w:val="00096D63"/>
    <w:rsid w:val="000A084C"/>
    <w:rsid w:val="000A0B60"/>
    <w:rsid w:val="000A0EB8"/>
    <w:rsid w:val="000A19FC"/>
    <w:rsid w:val="000A296B"/>
    <w:rsid w:val="000A7311"/>
    <w:rsid w:val="000B060F"/>
    <w:rsid w:val="000B1592"/>
    <w:rsid w:val="000B1FF2"/>
    <w:rsid w:val="000B3721"/>
    <w:rsid w:val="000B3CDA"/>
    <w:rsid w:val="000B50C6"/>
    <w:rsid w:val="000B6A0B"/>
    <w:rsid w:val="000B6AB6"/>
    <w:rsid w:val="000C0F6C"/>
    <w:rsid w:val="000C11DB"/>
    <w:rsid w:val="000C1492"/>
    <w:rsid w:val="000C2FBD"/>
    <w:rsid w:val="000C4B41"/>
    <w:rsid w:val="000C57D6"/>
    <w:rsid w:val="000C6362"/>
    <w:rsid w:val="000C7666"/>
    <w:rsid w:val="000D0A9C"/>
    <w:rsid w:val="000D1795"/>
    <w:rsid w:val="000D329A"/>
    <w:rsid w:val="000D4B9C"/>
    <w:rsid w:val="000D4EB6"/>
    <w:rsid w:val="000D579B"/>
    <w:rsid w:val="000D753B"/>
    <w:rsid w:val="000E37A7"/>
    <w:rsid w:val="000E4C9E"/>
    <w:rsid w:val="000E6FD7"/>
    <w:rsid w:val="000F06E1"/>
    <w:rsid w:val="000F072E"/>
    <w:rsid w:val="000F0E3C"/>
    <w:rsid w:val="000F19D5"/>
    <w:rsid w:val="000F4AEA"/>
    <w:rsid w:val="000F633F"/>
    <w:rsid w:val="000F67E9"/>
    <w:rsid w:val="001015B3"/>
    <w:rsid w:val="00104926"/>
    <w:rsid w:val="00113B1E"/>
    <w:rsid w:val="0011711C"/>
    <w:rsid w:val="0012059C"/>
    <w:rsid w:val="00124E4F"/>
    <w:rsid w:val="001260B7"/>
    <w:rsid w:val="001265CB"/>
    <w:rsid w:val="0013202F"/>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2BCD"/>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AA6"/>
    <w:rsid w:val="00170804"/>
    <w:rsid w:val="001708E9"/>
    <w:rsid w:val="00172534"/>
    <w:rsid w:val="0017340B"/>
    <w:rsid w:val="00173FB1"/>
    <w:rsid w:val="00176DFD"/>
    <w:rsid w:val="001852C9"/>
    <w:rsid w:val="00190087"/>
    <w:rsid w:val="001913C4"/>
    <w:rsid w:val="0019348F"/>
    <w:rsid w:val="00193A07"/>
    <w:rsid w:val="00194C95"/>
    <w:rsid w:val="00195C34"/>
    <w:rsid w:val="00196EF5"/>
    <w:rsid w:val="001A19AA"/>
    <w:rsid w:val="001A1A53"/>
    <w:rsid w:val="001A234A"/>
    <w:rsid w:val="001A44A7"/>
    <w:rsid w:val="001A4CF3"/>
    <w:rsid w:val="001B06E8"/>
    <w:rsid w:val="001B71D0"/>
    <w:rsid w:val="001B71EE"/>
    <w:rsid w:val="001C04A8"/>
    <w:rsid w:val="001C2C03"/>
    <w:rsid w:val="001C42F7"/>
    <w:rsid w:val="001C49E5"/>
    <w:rsid w:val="001C680C"/>
    <w:rsid w:val="001C7977"/>
    <w:rsid w:val="001C7FEA"/>
    <w:rsid w:val="001D0499"/>
    <w:rsid w:val="001D0BBE"/>
    <w:rsid w:val="001D0ED4"/>
    <w:rsid w:val="001D212F"/>
    <w:rsid w:val="001D29D7"/>
    <w:rsid w:val="001D2DE7"/>
    <w:rsid w:val="001D411C"/>
    <w:rsid w:val="001E1B6A"/>
    <w:rsid w:val="001E2484"/>
    <w:rsid w:val="001E3CC4"/>
    <w:rsid w:val="001E4882"/>
    <w:rsid w:val="001E6EBB"/>
    <w:rsid w:val="001E73AB"/>
    <w:rsid w:val="001F092D"/>
    <w:rsid w:val="001F143A"/>
    <w:rsid w:val="001F145D"/>
    <w:rsid w:val="001F1605"/>
    <w:rsid w:val="001F1F86"/>
    <w:rsid w:val="001F2508"/>
    <w:rsid w:val="001F305E"/>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39A5"/>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7B1"/>
    <w:rsid w:val="00266EEB"/>
    <w:rsid w:val="00267EF4"/>
    <w:rsid w:val="00270CB8"/>
    <w:rsid w:val="00272B08"/>
    <w:rsid w:val="002771AC"/>
    <w:rsid w:val="00281BB8"/>
    <w:rsid w:val="00281E9E"/>
    <w:rsid w:val="00282405"/>
    <w:rsid w:val="00285170"/>
    <w:rsid w:val="00285361"/>
    <w:rsid w:val="00292D60"/>
    <w:rsid w:val="00293B30"/>
    <w:rsid w:val="00293B94"/>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6AB"/>
    <w:rsid w:val="002B7F51"/>
    <w:rsid w:val="002C09E7"/>
    <w:rsid w:val="002C1E06"/>
    <w:rsid w:val="002C1E1C"/>
    <w:rsid w:val="002C3F07"/>
    <w:rsid w:val="002C4595"/>
    <w:rsid w:val="002C5278"/>
    <w:rsid w:val="002C7EBB"/>
    <w:rsid w:val="002D06C1"/>
    <w:rsid w:val="002D42B5"/>
    <w:rsid w:val="002D46E3"/>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649"/>
    <w:rsid w:val="0031284D"/>
    <w:rsid w:val="00313B85"/>
    <w:rsid w:val="00317988"/>
    <w:rsid w:val="003221B4"/>
    <w:rsid w:val="0032258D"/>
    <w:rsid w:val="00322E62"/>
    <w:rsid w:val="00324D13"/>
    <w:rsid w:val="00324D2A"/>
    <w:rsid w:val="00324EDD"/>
    <w:rsid w:val="003331E4"/>
    <w:rsid w:val="0033646F"/>
    <w:rsid w:val="00336C64"/>
    <w:rsid w:val="00337162"/>
    <w:rsid w:val="0034194F"/>
    <w:rsid w:val="00342BDD"/>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C1F"/>
    <w:rsid w:val="00381815"/>
    <w:rsid w:val="003819AF"/>
    <w:rsid w:val="00381FE7"/>
    <w:rsid w:val="003820E9"/>
    <w:rsid w:val="00382DE7"/>
    <w:rsid w:val="00384FFC"/>
    <w:rsid w:val="00386631"/>
    <w:rsid w:val="003872FC"/>
    <w:rsid w:val="00387ADC"/>
    <w:rsid w:val="00390020"/>
    <w:rsid w:val="003903D6"/>
    <w:rsid w:val="00390EE6"/>
    <w:rsid w:val="0039118F"/>
    <w:rsid w:val="00392AD7"/>
    <w:rsid w:val="003938D9"/>
    <w:rsid w:val="00394376"/>
    <w:rsid w:val="003943FF"/>
    <w:rsid w:val="00395700"/>
    <w:rsid w:val="00395B7A"/>
    <w:rsid w:val="003974EB"/>
    <w:rsid w:val="00397CC5"/>
    <w:rsid w:val="003A1582"/>
    <w:rsid w:val="003A4077"/>
    <w:rsid w:val="003B09AD"/>
    <w:rsid w:val="003B1F18"/>
    <w:rsid w:val="003B2F11"/>
    <w:rsid w:val="003B5BF0"/>
    <w:rsid w:val="003B60BF"/>
    <w:rsid w:val="003B6BE3"/>
    <w:rsid w:val="003C010C"/>
    <w:rsid w:val="003C0A6C"/>
    <w:rsid w:val="003C14F8"/>
    <w:rsid w:val="003C5A43"/>
    <w:rsid w:val="003D0519"/>
    <w:rsid w:val="003D0FF6"/>
    <w:rsid w:val="003D262C"/>
    <w:rsid w:val="003D6D61"/>
    <w:rsid w:val="003D79C6"/>
    <w:rsid w:val="003E0837"/>
    <w:rsid w:val="003E091D"/>
    <w:rsid w:val="003E1C53"/>
    <w:rsid w:val="003E1CE6"/>
    <w:rsid w:val="003E2A69"/>
    <w:rsid w:val="003E2D49"/>
    <w:rsid w:val="003E2FD4"/>
    <w:rsid w:val="003E49F6"/>
    <w:rsid w:val="003E660F"/>
    <w:rsid w:val="003F0841"/>
    <w:rsid w:val="003F23D3"/>
    <w:rsid w:val="003F3F08"/>
    <w:rsid w:val="003F49F1"/>
    <w:rsid w:val="003F6272"/>
    <w:rsid w:val="004005E3"/>
    <w:rsid w:val="00400E72"/>
    <w:rsid w:val="00401400"/>
    <w:rsid w:val="00404869"/>
    <w:rsid w:val="00405884"/>
    <w:rsid w:val="00405AAD"/>
    <w:rsid w:val="00407D39"/>
    <w:rsid w:val="00411FCF"/>
    <w:rsid w:val="0041477A"/>
    <w:rsid w:val="004167A3"/>
    <w:rsid w:val="00420285"/>
    <w:rsid w:val="00420BED"/>
    <w:rsid w:val="0043280B"/>
    <w:rsid w:val="00432DAA"/>
    <w:rsid w:val="00434305"/>
    <w:rsid w:val="00435DF7"/>
    <w:rsid w:val="00435E60"/>
    <w:rsid w:val="004365E8"/>
    <w:rsid w:val="0044083F"/>
    <w:rsid w:val="00441AE7"/>
    <w:rsid w:val="00445245"/>
    <w:rsid w:val="00445574"/>
    <w:rsid w:val="004467FB"/>
    <w:rsid w:val="00451FBD"/>
    <w:rsid w:val="00452867"/>
    <w:rsid w:val="00452D6B"/>
    <w:rsid w:val="00454484"/>
    <w:rsid w:val="0045517B"/>
    <w:rsid w:val="00463706"/>
    <w:rsid w:val="00463B77"/>
    <w:rsid w:val="00463C7B"/>
    <w:rsid w:val="004644A6"/>
    <w:rsid w:val="004659BD"/>
    <w:rsid w:val="004677EE"/>
    <w:rsid w:val="00470775"/>
    <w:rsid w:val="004746B1"/>
    <w:rsid w:val="0047583F"/>
    <w:rsid w:val="00475DE8"/>
    <w:rsid w:val="004777D2"/>
    <w:rsid w:val="00481C44"/>
    <w:rsid w:val="00484936"/>
    <w:rsid w:val="00485C89"/>
    <w:rsid w:val="00486BE3"/>
    <w:rsid w:val="004905E4"/>
    <w:rsid w:val="00490A89"/>
    <w:rsid w:val="00490AB4"/>
    <w:rsid w:val="00491958"/>
    <w:rsid w:val="00492F02"/>
    <w:rsid w:val="004939AE"/>
    <w:rsid w:val="004A12DF"/>
    <w:rsid w:val="004A17E6"/>
    <w:rsid w:val="004A1BA8"/>
    <w:rsid w:val="004A4B57"/>
    <w:rsid w:val="004A5806"/>
    <w:rsid w:val="004A63FA"/>
    <w:rsid w:val="004B0272"/>
    <w:rsid w:val="004B02F6"/>
    <w:rsid w:val="004B2701"/>
    <w:rsid w:val="004B2E1B"/>
    <w:rsid w:val="004B3AA8"/>
    <w:rsid w:val="004B3E93"/>
    <w:rsid w:val="004B44A8"/>
    <w:rsid w:val="004C1FBC"/>
    <w:rsid w:val="004C31BA"/>
    <w:rsid w:val="004C3F1D"/>
    <w:rsid w:val="004C458D"/>
    <w:rsid w:val="004C7556"/>
    <w:rsid w:val="004C7E8B"/>
    <w:rsid w:val="004C7E9D"/>
    <w:rsid w:val="004C7F67"/>
    <w:rsid w:val="004D076D"/>
    <w:rsid w:val="004D0EF1"/>
    <w:rsid w:val="004D2253"/>
    <w:rsid w:val="004D4406"/>
    <w:rsid w:val="004D7C42"/>
    <w:rsid w:val="004E0465"/>
    <w:rsid w:val="004E04D9"/>
    <w:rsid w:val="004E127B"/>
    <w:rsid w:val="004E1C0A"/>
    <w:rsid w:val="004E2B06"/>
    <w:rsid w:val="004E30C5"/>
    <w:rsid w:val="004E4AA5"/>
    <w:rsid w:val="004E4AEE"/>
    <w:rsid w:val="004E4D3B"/>
    <w:rsid w:val="004E59E3"/>
    <w:rsid w:val="004E67C0"/>
    <w:rsid w:val="004F391A"/>
    <w:rsid w:val="004F3CFB"/>
    <w:rsid w:val="004F4E3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6D8"/>
    <w:rsid w:val="00530ED7"/>
    <w:rsid w:val="00533D04"/>
    <w:rsid w:val="00534804"/>
    <w:rsid w:val="00534BDF"/>
    <w:rsid w:val="005354EA"/>
    <w:rsid w:val="0053585F"/>
    <w:rsid w:val="00535EC4"/>
    <w:rsid w:val="00535ED9"/>
    <w:rsid w:val="00535F32"/>
    <w:rsid w:val="0053692B"/>
    <w:rsid w:val="00541853"/>
    <w:rsid w:val="00543BDA"/>
    <w:rsid w:val="005441CC"/>
    <w:rsid w:val="005479DA"/>
    <w:rsid w:val="00547BCC"/>
    <w:rsid w:val="0055013B"/>
    <w:rsid w:val="00551F6F"/>
    <w:rsid w:val="00555044"/>
    <w:rsid w:val="0055682A"/>
    <w:rsid w:val="00556A59"/>
    <w:rsid w:val="00561475"/>
    <w:rsid w:val="00563FAA"/>
    <w:rsid w:val="0056487B"/>
    <w:rsid w:val="00564FB9"/>
    <w:rsid w:val="00566E1F"/>
    <w:rsid w:val="00573D9E"/>
    <w:rsid w:val="005801E3"/>
    <w:rsid w:val="0058077F"/>
    <w:rsid w:val="00581802"/>
    <w:rsid w:val="00582187"/>
    <w:rsid w:val="005836A8"/>
    <w:rsid w:val="0058409C"/>
    <w:rsid w:val="00584262"/>
    <w:rsid w:val="00586630"/>
    <w:rsid w:val="00587ADD"/>
    <w:rsid w:val="00591E27"/>
    <w:rsid w:val="005937EC"/>
    <w:rsid w:val="00593C72"/>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CCF"/>
    <w:rsid w:val="005D0C75"/>
    <w:rsid w:val="005D4171"/>
    <w:rsid w:val="005D6A95"/>
    <w:rsid w:val="005D6B2C"/>
    <w:rsid w:val="005D6D9C"/>
    <w:rsid w:val="005E2335"/>
    <w:rsid w:val="005E34CA"/>
    <w:rsid w:val="005E3C18"/>
    <w:rsid w:val="005E5556"/>
    <w:rsid w:val="005E6812"/>
    <w:rsid w:val="005E7881"/>
    <w:rsid w:val="005E78E0"/>
    <w:rsid w:val="005F0D9C"/>
    <w:rsid w:val="005F284E"/>
    <w:rsid w:val="005F4712"/>
    <w:rsid w:val="006015CE"/>
    <w:rsid w:val="006020AD"/>
    <w:rsid w:val="00602429"/>
    <w:rsid w:val="006042D8"/>
    <w:rsid w:val="00604784"/>
    <w:rsid w:val="00606419"/>
    <w:rsid w:val="00607D29"/>
    <w:rsid w:val="00610FF2"/>
    <w:rsid w:val="00612952"/>
    <w:rsid w:val="00614CC1"/>
    <w:rsid w:val="0061508F"/>
    <w:rsid w:val="00615A9D"/>
    <w:rsid w:val="00616725"/>
    <w:rsid w:val="00617387"/>
    <w:rsid w:val="006205D6"/>
    <w:rsid w:val="006252D8"/>
    <w:rsid w:val="006259BC"/>
    <w:rsid w:val="0062636B"/>
    <w:rsid w:val="00627A05"/>
    <w:rsid w:val="00632182"/>
    <w:rsid w:val="00632AE0"/>
    <w:rsid w:val="00633446"/>
    <w:rsid w:val="00633C17"/>
    <w:rsid w:val="00634D9E"/>
    <w:rsid w:val="00636E3E"/>
    <w:rsid w:val="006379F7"/>
    <w:rsid w:val="00637E2F"/>
    <w:rsid w:val="00637E4D"/>
    <w:rsid w:val="00640620"/>
    <w:rsid w:val="00641A1F"/>
    <w:rsid w:val="00645904"/>
    <w:rsid w:val="00651ACB"/>
    <w:rsid w:val="00651C47"/>
    <w:rsid w:val="00652AB2"/>
    <w:rsid w:val="00652C05"/>
    <w:rsid w:val="00653FED"/>
    <w:rsid w:val="00654D2E"/>
    <w:rsid w:val="00654EC0"/>
    <w:rsid w:val="0065525B"/>
    <w:rsid w:val="00655D4F"/>
    <w:rsid w:val="00656D29"/>
    <w:rsid w:val="0066026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7BBF"/>
    <w:rsid w:val="006B2672"/>
    <w:rsid w:val="006B51C3"/>
    <w:rsid w:val="006B54BF"/>
    <w:rsid w:val="006B591B"/>
    <w:rsid w:val="006B5C96"/>
    <w:rsid w:val="006B5F44"/>
    <w:rsid w:val="006B5F90"/>
    <w:rsid w:val="006B62E4"/>
    <w:rsid w:val="006C13D6"/>
    <w:rsid w:val="006C1BBA"/>
    <w:rsid w:val="006C2079"/>
    <w:rsid w:val="006C2E2D"/>
    <w:rsid w:val="006C32CE"/>
    <w:rsid w:val="006C5A62"/>
    <w:rsid w:val="006C5D68"/>
    <w:rsid w:val="006C6976"/>
    <w:rsid w:val="006C6DD0"/>
    <w:rsid w:val="006D04EA"/>
    <w:rsid w:val="006D0AB7"/>
    <w:rsid w:val="006D16C4"/>
    <w:rsid w:val="006D3E96"/>
    <w:rsid w:val="006D4515"/>
    <w:rsid w:val="006D4932"/>
    <w:rsid w:val="006D4BB1"/>
    <w:rsid w:val="006D4E8B"/>
    <w:rsid w:val="006D6593"/>
    <w:rsid w:val="006E23EA"/>
    <w:rsid w:val="006F03A8"/>
    <w:rsid w:val="006F2ACA"/>
    <w:rsid w:val="006F2ADC"/>
    <w:rsid w:val="006F2BFE"/>
    <w:rsid w:val="006F31E9"/>
    <w:rsid w:val="006F6284"/>
    <w:rsid w:val="006F7DDC"/>
    <w:rsid w:val="007002C5"/>
    <w:rsid w:val="00704387"/>
    <w:rsid w:val="00704883"/>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1BCD"/>
    <w:rsid w:val="00742C35"/>
    <w:rsid w:val="007432CA"/>
    <w:rsid w:val="007439EB"/>
    <w:rsid w:val="00743CB4"/>
    <w:rsid w:val="00743F0A"/>
    <w:rsid w:val="007444E8"/>
    <w:rsid w:val="0074548E"/>
    <w:rsid w:val="00745773"/>
    <w:rsid w:val="00745AEC"/>
    <w:rsid w:val="00746800"/>
    <w:rsid w:val="007501A8"/>
    <w:rsid w:val="00750D61"/>
    <w:rsid w:val="00750EE1"/>
    <w:rsid w:val="00752B4D"/>
    <w:rsid w:val="00755402"/>
    <w:rsid w:val="00756B26"/>
    <w:rsid w:val="00756E45"/>
    <w:rsid w:val="00756EDF"/>
    <w:rsid w:val="007573BF"/>
    <w:rsid w:val="007600E3"/>
    <w:rsid w:val="00760AA0"/>
    <w:rsid w:val="00763FAA"/>
    <w:rsid w:val="007657F5"/>
    <w:rsid w:val="00765C43"/>
    <w:rsid w:val="00765EFB"/>
    <w:rsid w:val="007671CA"/>
    <w:rsid w:val="00767C61"/>
    <w:rsid w:val="0077008A"/>
    <w:rsid w:val="00773C1F"/>
    <w:rsid w:val="00774DA4"/>
    <w:rsid w:val="00776599"/>
    <w:rsid w:val="0078114B"/>
    <w:rsid w:val="00781399"/>
    <w:rsid w:val="00781DD2"/>
    <w:rsid w:val="00783ECF"/>
    <w:rsid w:val="0078413A"/>
    <w:rsid w:val="007959E8"/>
    <w:rsid w:val="00795E9C"/>
    <w:rsid w:val="007A0521"/>
    <w:rsid w:val="007A2E12"/>
    <w:rsid w:val="007A3475"/>
    <w:rsid w:val="007A3EC4"/>
    <w:rsid w:val="007A41C8"/>
    <w:rsid w:val="007A4BD7"/>
    <w:rsid w:val="007A54CE"/>
    <w:rsid w:val="007A6FD9"/>
    <w:rsid w:val="007A7FFA"/>
    <w:rsid w:val="007B04EB"/>
    <w:rsid w:val="007B0D4F"/>
    <w:rsid w:val="007B5A3D"/>
    <w:rsid w:val="007B5B95"/>
    <w:rsid w:val="007B612F"/>
    <w:rsid w:val="007B68EA"/>
    <w:rsid w:val="007B7453"/>
    <w:rsid w:val="007C1E8B"/>
    <w:rsid w:val="007C2D89"/>
    <w:rsid w:val="007C4593"/>
    <w:rsid w:val="007C5309"/>
    <w:rsid w:val="007C6069"/>
    <w:rsid w:val="007C73CB"/>
    <w:rsid w:val="007D06C4"/>
    <w:rsid w:val="007D1352"/>
    <w:rsid w:val="007D2508"/>
    <w:rsid w:val="007D346A"/>
    <w:rsid w:val="007D615E"/>
    <w:rsid w:val="007D6518"/>
    <w:rsid w:val="007D653D"/>
    <w:rsid w:val="007D722B"/>
    <w:rsid w:val="007D76BD"/>
    <w:rsid w:val="007E02A3"/>
    <w:rsid w:val="007E0BF1"/>
    <w:rsid w:val="007F0ED8"/>
    <w:rsid w:val="007F0F63"/>
    <w:rsid w:val="007F5785"/>
    <w:rsid w:val="007F6633"/>
    <w:rsid w:val="007F75CE"/>
    <w:rsid w:val="007F7BC9"/>
    <w:rsid w:val="008013A4"/>
    <w:rsid w:val="008027CE"/>
    <w:rsid w:val="00802F42"/>
    <w:rsid w:val="00804383"/>
    <w:rsid w:val="00804BB7"/>
    <w:rsid w:val="00804D41"/>
    <w:rsid w:val="008060FF"/>
    <w:rsid w:val="00806545"/>
    <w:rsid w:val="00810257"/>
    <w:rsid w:val="008104F5"/>
    <w:rsid w:val="00811072"/>
    <w:rsid w:val="00811369"/>
    <w:rsid w:val="00811B3B"/>
    <w:rsid w:val="00815419"/>
    <w:rsid w:val="008163C8"/>
    <w:rsid w:val="008164A1"/>
    <w:rsid w:val="00817325"/>
    <w:rsid w:val="008209E6"/>
    <w:rsid w:val="00822611"/>
    <w:rsid w:val="00823303"/>
    <w:rsid w:val="008233B2"/>
    <w:rsid w:val="00823A9F"/>
    <w:rsid w:val="00823C85"/>
    <w:rsid w:val="00825138"/>
    <w:rsid w:val="008269DD"/>
    <w:rsid w:val="00830621"/>
    <w:rsid w:val="0083348C"/>
    <w:rsid w:val="008373D3"/>
    <w:rsid w:val="00840617"/>
    <w:rsid w:val="00840F84"/>
    <w:rsid w:val="00842A47"/>
    <w:rsid w:val="00843C13"/>
    <w:rsid w:val="008450FD"/>
    <w:rsid w:val="008454F8"/>
    <w:rsid w:val="0085173A"/>
    <w:rsid w:val="00856316"/>
    <w:rsid w:val="008603CE"/>
    <w:rsid w:val="00862009"/>
    <w:rsid w:val="008620FC"/>
    <w:rsid w:val="008627A5"/>
    <w:rsid w:val="00863E05"/>
    <w:rsid w:val="008658AA"/>
    <w:rsid w:val="00865ACA"/>
    <w:rsid w:val="00865D28"/>
    <w:rsid w:val="00865F85"/>
    <w:rsid w:val="00867C10"/>
    <w:rsid w:val="00870439"/>
    <w:rsid w:val="00870DA1"/>
    <w:rsid w:val="00874846"/>
    <w:rsid w:val="0088121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865"/>
    <w:rsid w:val="008D7B54"/>
    <w:rsid w:val="008E0C9D"/>
    <w:rsid w:val="008E1648"/>
    <w:rsid w:val="008E1B3E"/>
    <w:rsid w:val="008E2319"/>
    <w:rsid w:val="008E4BB6"/>
    <w:rsid w:val="008E5518"/>
    <w:rsid w:val="008E6A84"/>
    <w:rsid w:val="008E7FAF"/>
    <w:rsid w:val="008F0CDC"/>
    <w:rsid w:val="008F17A3"/>
    <w:rsid w:val="008F1ED3"/>
    <w:rsid w:val="008F23A5"/>
    <w:rsid w:val="008F4C29"/>
    <w:rsid w:val="008F70BD"/>
    <w:rsid w:val="008F788F"/>
    <w:rsid w:val="008F7EA2"/>
    <w:rsid w:val="00902722"/>
    <w:rsid w:val="009027BC"/>
    <w:rsid w:val="009044BE"/>
    <w:rsid w:val="009062E6"/>
    <w:rsid w:val="00911BE5"/>
    <w:rsid w:val="0091341E"/>
    <w:rsid w:val="00913CA9"/>
    <w:rsid w:val="009145AE"/>
    <w:rsid w:val="009146CE"/>
    <w:rsid w:val="00914CA7"/>
    <w:rsid w:val="00915C3E"/>
    <w:rsid w:val="00915D77"/>
    <w:rsid w:val="009161A8"/>
    <w:rsid w:val="00923110"/>
    <w:rsid w:val="009245F5"/>
    <w:rsid w:val="009249EC"/>
    <w:rsid w:val="009273B3"/>
    <w:rsid w:val="009305B5"/>
    <w:rsid w:val="009429D5"/>
    <w:rsid w:val="00942BF1"/>
    <w:rsid w:val="00943A57"/>
    <w:rsid w:val="00945180"/>
    <w:rsid w:val="00945428"/>
    <w:rsid w:val="0094607B"/>
    <w:rsid w:val="0095210C"/>
    <w:rsid w:val="0095276D"/>
    <w:rsid w:val="00953604"/>
    <w:rsid w:val="0095496B"/>
    <w:rsid w:val="00956262"/>
    <w:rsid w:val="009610DC"/>
    <w:rsid w:val="00961490"/>
    <w:rsid w:val="0096381A"/>
    <w:rsid w:val="00965E04"/>
    <w:rsid w:val="0096674C"/>
    <w:rsid w:val="009674AD"/>
    <w:rsid w:val="00970CDC"/>
    <w:rsid w:val="00971B2D"/>
    <w:rsid w:val="00977010"/>
    <w:rsid w:val="00977D02"/>
    <w:rsid w:val="009809BB"/>
    <w:rsid w:val="0098364B"/>
    <w:rsid w:val="009911AF"/>
    <w:rsid w:val="00991875"/>
    <w:rsid w:val="00991F92"/>
    <w:rsid w:val="00992985"/>
    <w:rsid w:val="00993889"/>
    <w:rsid w:val="00993BFF"/>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C88"/>
    <w:rsid w:val="009D112C"/>
    <w:rsid w:val="009D47FA"/>
    <w:rsid w:val="009D4C5B"/>
    <w:rsid w:val="009D50D2"/>
    <w:rsid w:val="009D6BCA"/>
    <w:rsid w:val="009E0F62"/>
    <w:rsid w:val="009E12C5"/>
    <w:rsid w:val="009E4A58"/>
    <w:rsid w:val="009E5A2D"/>
    <w:rsid w:val="009E5AB2"/>
    <w:rsid w:val="009E6219"/>
    <w:rsid w:val="009F03B3"/>
    <w:rsid w:val="00A0096C"/>
    <w:rsid w:val="00A01757"/>
    <w:rsid w:val="00A028C0"/>
    <w:rsid w:val="00A02BAE"/>
    <w:rsid w:val="00A03427"/>
    <w:rsid w:val="00A038AD"/>
    <w:rsid w:val="00A06A6B"/>
    <w:rsid w:val="00A07E47"/>
    <w:rsid w:val="00A129D0"/>
    <w:rsid w:val="00A12C33"/>
    <w:rsid w:val="00A138BA"/>
    <w:rsid w:val="00A14C8E"/>
    <w:rsid w:val="00A153D9"/>
    <w:rsid w:val="00A15F09"/>
    <w:rsid w:val="00A169B6"/>
    <w:rsid w:val="00A202EA"/>
    <w:rsid w:val="00A2271D"/>
    <w:rsid w:val="00A237D5"/>
    <w:rsid w:val="00A30EFC"/>
    <w:rsid w:val="00A31984"/>
    <w:rsid w:val="00A32D73"/>
    <w:rsid w:val="00A3367B"/>
    <w:rsid w:val="00A3597D"/>
    <w:rsid w:val="00A36DD1"/>
    <w:rsid w:val="00A4006C"/>
    <w:rsid w:val="00A40091"/>
    <w:rsid w:val="00A4030F"/>
    <w:rsid w:val="00A41472"/>
    <w:rsid w:val="00A41C79"/>
    <w:rsid w:val="00A41CB5"/>
    <w:rsid w:val="00A42CDF"/>
    <w:rsid w:val="00A43E66"/>
    <w:rsid w:val="00A4452E"/>
    <w:rsid w:val="00A4472C"/>
    <w:rsid w:val="00A44E69"/>
    <w:rsid w:val="00A4661E"/>
    <w:rsid w:val="00A501A0"/>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611"/>
    <w:rsid w:val="00AD0AEF"/>
    <w:rsid w:val="00AD11B7"/>
    <w:rsid w:val="00AD1A94"/>
    <w:rsid w:val="00AD1C05"/>
    <w:rsid w:val="00AD4126"/>
    <w:rsid w:val="00AD421C"/>
    <w:rsid w:val="00AD425C"/>
    <w:rsid w:val="00AD44FA"/>
    <w:rsid w:val="00AE070A"/>
    <w:rsid w:val="00AE101C"/>
    <w:rsid w:val="00AE37E5"/>
    <w:rsid w:val="00AE3C3B"/>
    <w:rsid w:val="00AE4362"/>
    <w:rsid w:val="00AE5EB4"/>
    <w:rsid w:val="00AE77BA"/>
    <w:rsid w:val="00AF0C18"/>
    <w:rsid w:val="00AF1BA6"/>
    <w:rsid w:val="00AF47C5"/>
    <w:rsid w:val="00AF5398"/>
    <w:rsid w:val="00B049AF"/>
    <w:rsid w:val="00B07242"/>
    <w:rsid w:val="00B10534"/>
    <w:rsid w:val="00B113DB"/>
    <w:rsid w:val="00B11D8A"/>
    <w:rsid w:val="00B12981"/>
    <w:rsid w:val="00B147DD"/>
    <w:rsid w:val="00B156FD"/>
    <w:rsid w:val="00B20133"/>
    <w:rsid w:val="00B21F61"/>
    <w:rsid w:val="00B23DCA"/>
    <w:rsid w:val="00B261F1"/>
    <w:rsid w:val="00B265BC"/>
    <w:rsid w:val="00B31FB1"/>
    <w:rsid w:val="00B33952"/>
    <w:rsid w:val="00B33C5E"/>
    <w:rsid w:val="00B342F4"/>
    <w:rsid w:val="00B34369"/>
    <w:rsid w:val="00B34DC2"/>
    <w:rsid w:val="00B36104"/>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CAF"/>
    <w:rsid w:val="00B65149"/>
    <w:rsid w:val="00B66567"/>
    <w:rsid w:val="00B66F52"/>
    <w:rsid w:val="00B66FE5"/>
    <w:rsid w:val="00B72880"/>
    <w:rsid w:val="00B758BF"/>
    <w:rsid w:val="00B77EC8"/>
    <w:rsid w:val="00B827A6"/>
    <w:rsid w:val="00B831CE"/>
    <w:rsid w:val="00B86677"/>
    <w:rsid w:val="00B87131"/>
    <w:rsid w:val="00B92712"/>
    <w:rsid w:val="00B939B1"/>
    <w:rsid w:val="00B96D40"/>
    <w:rsid w:val="00B97386"/>
    <w:rsid w:val="00BA263B"/>
    <w:rsid w:val="00BA42B2"/>
    <w:rsid w:val="00BA58D4"/>
    <w:rsid w:val="00BA5B9E"/>
    <w:rsid w:val="00BA7C9A"/>
    <w:rsid w:val="00BB0F56"/>
    <w:rsid w:val="00BB1656"/>
    <w:rsid w:val="00BB203B"/>
    <w:rsid w:val="00BB5F8F"/>
    <w:rsid w:val="00BB657A"/>
    <w:rsid w:val="00BC1A4E"/>
    <w:rsid w:val="00BC4790"/>
    <w:rsid w:val="00BC5DC7"/>
    <w:rsid w:val="00BC60B3"/>
    <w:rsid w:val="00BC6B8B"/>
    <w:rsid w:val="00BC73D8"/>
    <w:rsid w:val="00BD3B0B"/>
    <w:rsid w:val="00BD52D7"/>
    <w:rsid w:val="00BD5AD2"/>
    <w:rsid w:val="00BE22F3"/>
    <w:rsid w:val="00BE5B52"/>
    <w:rsid w:val="00BE7B8D"/>
    <w:rsid w:val="00BF0993"/>
    <w:rsid w:val="00BF10A9"/>
    <w:rsid w:val="00BF1703"/>
    <w:rsid w:val="00BF231C"/>
    <w:rsid w:val="00BF51E5"/>
    <w:rsid w:val="00BF74A6"/>
    <w:rsid w:val="00C004D5"/>
    <w:rsid w:val="00C013AD"/>
    <w:rsid w:val="00C04904"/>
    <w:rsid w:val="00C056B3"/>
    <w:rsid w:val="00C103E5"/>
    <w:rsid w:val="00C13319"/>
    <w:rsid w:val="00C13EE9"/>
    <w:rsid w:val="00C16EE6"/>
    <w:rsid w:val="00C21540"/>
    <w:rsid w:val="00C21906"/>
    <w:rsid w:val="00C21BFA"/>
    <w:rsid w:val="00C22148"/>
    <w:rsid w:val="00C22C23"/>
    <w:rsid w:val="00C24C7F"/>
    <w:rsid w:val="00C24C8D"/>
    <w:rsid w:val="00C25FE2"/>
    <w:rsid w:val="00C26B53"/>
    <w:rsid w:val="00C279B2"/>
    <w:rsid w:val="00C33E50"/>
    <w:rsid w:val="00C34224"/>
    <w:rsid w:val="00C34C20"/>
    <w:rsid w:val="00C35A3E"/>
    <w:rsid w:val="00C36FE7"/>
    <w:rsid w:val="00C42130"/>
    <w:rsid w:val="00C423A4"/>
    <w:rsid w:val="00C44BF5"/>
    <w:rsid w:val="00C521D6"/>
    <w:rsid w:val="00C55232"/>
    <w:rsid w:val="00C553A4"/>
    <w:rsid w:val="00C55A06"/>
    <w:rsid w:val="00C55D03"/>
    <w:rsid w:val="00C601BC"/>
    <w:rsid w:val="00C60C3D"/>
    <w:rsid w:val="00C6329F"/>
    <w:rsid w:val="00C63340"/>
    <w:rsid w:val="00C643F9"/>
    <w:rsid w:val="00C64E95"/>
    <w:rsid w:val="00C71372"/>
    <w:rsid w:val="00C72410"/>
    <w:rsid w:val="00C7287F"/>
    <w:rsid w:val="00C80624"/>
    <w:rsid w:val="00C80CB8"/>
    <w:rsid w:val="00C819F8"/>
    <w:rsid w:val="00C8248C"/>
    <w:rsid w:val="00C84E33"/>
    <w:rsid w:val="00C86D6F"/>
    <w:rsid w:val="00C905FC"/>
    <w:rsid w:val="00C92D03"/>
    <w:rsid w:val="00C9319C"/>
    <w:rsid w:val="00C9435D"/>
    <w:rsid w:val="00C94DF2"/>
    <w:rsid w:val="00C96741"/>
    <w:rsid w:val="00CA2D1B"/>
    <w:rsid w:val="00CA343D"/>
    <w:rsid w:val="00CA3518"/>
    <w:rsid w:val="00CA375D"/>
    <w:rsid w:val="00CA662A"/>
    <w:rsid w:val="00CA7AFD"/>
    <w:rsid w:val="00CA7C3C"/>
    <w:rsid w:val="00CB0189"/>
    <w:rsid w:val="00CB0BA2"/>
    <w:rsid w:val="00CB1A42"/>
    <w:rsid w:val="00CB1B0C"/>
    <w:rsid w:val="00CB2C0B"/>
    <w:rsid w:val="00CB517D"/>
    <w:rsid w:val="00CB6AD1"/>
    <w:rsid w:val="00CC038D"/>
    <w:rsid w:val="00CC08DB"/>
    <w:rsid w:val="00CC0AAF"/>
    <w:rsid w:val="00CC39FF"/>
    <w:rsid w:val="00CC3C2F"/>
    <w:rsid w:val="00CC4AC8"/>
    <w:rsid w:val="00CC5233"/>
    <w:rsid w:val="00CC5DE6"/>
    <w:rsid w:val="00CC6E4E"/>
    <w:rsid w:val="00CC6FE8"/>
    <w:rsid w:val="00CC7202"/>
    <w:rsid w:val="00CD00FA"/>
    <w:rsid w:val="00CD2808"/>
    <w:rsid w:val="00CD28BF"/>
    <w:rsid w:val="00CD4092"/>
    <w:rsid w:val="00CD4A20"/>
    <w:rsid w:val="00CD50A1"/>
    <w:rsid w:val="00CD519E"/>
    <w:rsid w:val="00CD561D"/>
    <w:rsid w:val="00CE0C4F"/>
    <w:rsid w:val="00CE30EA"/>
    <w:rsid w:val="00CF048A"/>
    <w:rsid w:val="00CF155A"/>
    <w:rsid w:val="00CF2947"/>
    <w:rsid w:val="00CF53C6"/>
    <w:rsid w:val="00CF686F"/>
    <w:rsid w:val="00CF6E60"/>
    <w:rsid w:val="00CF7BCA"/>
    <w:rsid w:val="00D008FD"/>
    <w:rsid w:val="00D0321C"/>
    <w:rsid w:val="00D035EC"/>
    <w:rsid w:val="00D06AB1"/>
    <w:rsid w:val="00D072ED"/>
    <w:rsid w:val="00D07A16"/>
    <w:rsid w:val="00D1067E"/>
    <w:rsid w:val="00D10F50"/>
    <w:rsid w:val="00D11272"/>
    <w:rsid w:val="00D11CAB"/>
    <w:rsid w:val="00D126F5"/>
    <w:rsid w:val="00D13636"/>
    <w:rsid w:val="00D1489E"/>
    <w:rsid w:val="00D16D07"/>
    <w:rsid w:val="00D17D7F"/>
    <w:rsid w:val="00D20737"/>
    <w:rsid w:val="00D21E81"/>
    <w:rsid w:val="00D223DE"/>
    <w:rsid w:val="00D22AD5"/>
    <w:rsid w:val="00D25A32"/>
    <w:rsid w:val="00D25E37"/>
    <w:rsid w:val="00D2661A"/>
    <w:rsid w:val="00D2677C"/>
    <w:rsid w:val="00D27582"/>
    <w:rsid w:val="00D27EC4"/>
    <w:rsid w:val="00D32719"/>
    <w:rsid w:val="00D33333"/>
    <w:rsid w:val="00D33457"/>
    <w:rsid w:val="00D352A2"/>
    <w:rsid w:val="00D4162B"/>
    <w:rsid w:val="00D437BD"/>
    <w:rsid w:val="00D4514F"/>
    <w:rsid w:val="00D451E2"/>
    <w:rsid w:val="00D45E89"/>
    <w:rsid w:val="00D45E8D"/>
    <w:rsid w:val="00D466AE"/>
    <w:rsid w:val="00D4734F"/>
    <w:rsid w:val="00D51BF3"/>
    <w:rsid w:val="00D66846"/>
    <w:rsid w:val="00D675FB"/>
    <w:rsid w:val="00D71F25"/>
    <w:rsid w:val="00D72A9C"/>
    <w:rsid w:val="00D77031"/>
    <w:rsid w:val="00D80F7D"/>
    <w:rsid w:val="00D8372F"/>
    <w:rsid w:val="00D84941"/>
    <w:rsid w:val="00D84FA1"/>
    <w:rsid w:val="00D851F0"/>
    <w:rsid w:val="00D86DB7"/>
    <w:rsid w:val="00D926D0"/>
    <w:rsid w:val="00D93030"/>
    <w:rsid w:val="00D950E1"/>
    <w:rsid w:val="00D952A6"/>
    <w:rsid w:val="00D97F99"/>
    <w:rsid w:val="00DA1E08"/>
    <w:rsid w:val="00DA1F2A"/>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7359"/>
    <w:rsid w:val="00DD00FF"/>
    <w:rsid w:val="00DD0619"/>
    <w:rsid w:val="00DD06D2"/>
    <w:rsid w:val="00DD07FB"/>
    <w:rsid w:val="00DD25C6"/>
    <w:rsid w:val="00DD4FE5"/>
    <w:rsid w:val="00DD54B0"/>
    <w:rsid w:val="00DD57EE"/>
    <w:rsid w:val="00DD5BDB"/>
    <w:rsid w:val="00DD6BCC"/>
    <w:rsid w:val="00DE005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D5C"/>
    <w:rsid w:val="00E17713"/>
    <w:rsid w:val="00E202EF"/>
    <w:rsid w:val="00E210B5"/>
    <w:rsid w:val="00E23D99"/>
    <w:rsid w:val="00E248DC"/>
    <w:rsid w:val="00E2552F"/>
    <w:rsid w:val="00E255CF"/>
    <w:rsid w:val="00E3137A"/>
    <w:rsid w:val="00E32CCF"/>
    <w:rsid w:val="00E34A98"/>
    <w:rsid w:val="00E356F5"/>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541"/>
    <w:rsid w:val="00E67DB8"/>
    <w:rsid w:val="00E70388"/>
    <w:rsid w:val="00E70F92"/>
    <w:rsid w:val="00E74323"/>
    <w:rsid w:val="00E74C54"/>
    <w:rsid w:val="00E77A03"/>
    <w:rsid w:val="00E822E8"/>
    <w:rsid w:val="00E82554"/>
    <w:rsid w:val="00E82606"/>
    <w:rsid w:val="00E846C8"/>
    <w:rsid w:val="00E84957"/>
    <w:rsid w:val="00E84A55"/>
    <w:rsid w:val="00E85BFF"/>
    <w:rsid w:val="00E90391"/>
    <w:rsid w:val="00E906C2"/>
    <w:rsid w:val="00E90CE0"/>
    <w:rsid w:val="00E9311F"/>
    <w:rsid w:val="00E9326B"/>
    <w:rsid w:val="00E934D1"/>
    <w:rsid w:val="00E94355"/>
    <w:rsid w:val="00E94AF0"/>
    <w:rsid w:val="00E95D13"/>
    <w:rsid w:val="00E95DD3"/>
    <w:rsid w:val="00E969D5"/>
    <w:rsid w:val="00EA58D1"/>
    <w:rsid w:val="00EA61BC"/>
    <w:rsid w:val="00EA681A"/>
    <w:rsid w:val="00EA735B"/>
    <w:rsid w:val="00EB146B"/>
    <w:rsid w:val="00EB17DE"/>
    <w:rsid w:val="00EB1E69"/>
    <w:rsid w:val="00EB2086"/>
    <w:rsid w:val="00EB5EDF"/>
    <w:rsid w:val="00EB60FE"/>
    <w:rsid w:val="00EB74DB"/>
    <w:rsid w:val="00EC5359"/>
    <w:rsid w:val="00EC562A"/>
    <w:rsid w:val="00ED067A"/>
    <w:rsid w:val="00ED0EC6"/>
    <w:rsid w:val="00ED2B50"/>
    <w:rsid w:val="00ED3620"/>
    <w:rsid w:val="00EE0350"/>
    <w:rsid w:val="00EE0719"/>
    <w:rsid w:val="00EE0E80"/>
    <w:rsid w:val="00EE372E"/>
    <w:rsid w:val="00EE54A6"/>
    <w:rsid w:val="00EE613F"/>
    <w:rsid w:val="00EE7295"/>
    <w:rsid w:val="00EE7869"/>
    <w:rsid w:val="00EF054A"/>
    <w:rsid w:val="00EF3235"/>
    <w:rsid w:val="00EF7794"/>
    <w:rsid w:val="00EF7E72"/>
    <w:rsid w:val="00F013AA"/>
    <w:rsid w:val="00F04F23"/>
    <w:rsid w:val="00F06D37"/>
    <w:rsid w:val="00F07B9D"/>
    <w:rsid w:val="00F11586"/>
    <w:rsid w:val="00F1183B"/>
    <w:rsid w:val="00F11C9F"/>
    <w:rsid w:val="00F12263"/>
    <w:rsid w:val="00F1409D"/>
    <w:rsid w:val="00F14214"/>
    <w:rsid w:val="00F157A9"/>
    <w:rsid w:val="00F201B0"/>
    <w:rsid w:val="00F25BB6"/>
    <w:rsid w:val="00F26B7E"/>
    <w:rsid w:val="00F26B90"/>
    <w:rsid w:val="00F27A3B"/>
    <w:rsid w:val="00F33817"/>
    <w:rsid w:val="00F36548"/>
    <w:rsid w:val="00F420D5"/>
    <w:rsid w:val="00F451EA"/>
    <w:rsid w:val="00F45447"/>
    <w:rsid w:val="00F456C6"/>
    <w:rsid w:val="00F4577B"/>
    <w:rsid w:val="00F46496"/>
    <w:rsid w:val="00F474D0"/>
    <w:rsid w:val="00F50179"/>
    <w:rsid w:val="00F515EE"/>
    <w:rsid w:val="00F54BB1"/>
    <w:rsid w:val="00F56511"/>
    <w:rsid w:val="00F6194E"/>
    <w:rsid w:val="00F623AC"/>
    <w:rsid w:val="00F6412A"/>
    <w:rsid w:val="00F65893"/>
    <w:rsid w:val="00F66A4A"/>
    <w:rsid w:val="00F71E22"/>
    <w:rsid w:val="00F72142"/>
    <w:rsid w:val="00F72AE7"/>
    <w:rsid w:val="00F81141"/>
    <w:rsid w:val="00F82E4B"/>
    <w:rsid w:val="00F833BA"/>
    <w:rsid w:val="00F84FD0"/>
    <w:rsid w:val="00F859A8"/>
    <w:rsid w:val="00F86D87"/>
    <w:rsid w:val="00F9108B"/>
    <w:rsid w:val="00F91349"/>
    <w:rsid w:val="00F919BA"/>
    <w:rsid w:val="00F9220D"/>
    <w:rsid w:val="00F93A8A"/>
    <w:rsid w:val="00F95248"/>
    <w:rsid w:val="00F956A9"/>
    <w:rsid w:val="00F963ED"/>
    <w:rsid w:val="00F966CF"/>
    <w:rsid w:val="00F96CAE"/>
    <w:rsid w:val="00F97C99"/>
    <w:rsid w:val="00FA07C1"/>
    <w:rsid w:val="00FA41A5"/>
    <w:rsid w:val="00FA4DAC"/>
    <w:rsid w:val="00FA5C81"/>
    <w:rsid w:val="00FA662D"/>
    <w:rsid w:val="00FA6CD6"/>
    <w:rsid w:val="00FA73B1"/>
    <w:rsid w:val="00FB0CB9"/>
    <w:rsid w:val="00FB231D"/>
    <w:rsid w:val="00FB45F1"/>
    <w:rsid w:val="00FB4A72"/>
    <w:rsid w:val="00FB54E8"/>
    <w:rsid w:val="00FB7054"/>
    <w:rsid w:val="00FC17B7"/>
    <w:rsid w:val="00FC2CB7"/>
    <w:rsid w:val="00FC4090"/>
    <w:rsid w:val="00FC47D4"/>
    <w:rsid w:val="00FC55B4"/>
    <w:rsid w:val="00FD00E6"/>
    <w:rsid w:val="00FD09A1"/>
    <w:rsid w:val="00FD2A7C"/>
    <w:rsid w:val="00FD59EB"/>
    <w:rsid w:val="00FD6D01"/>
    <w:rsid w:val="00FD7299"/>
    <w:rsid w:val="00FE1FBE"/>
    <w:rsid w:val="00FE3901"/>
    <w:rsid w:val="00FE39D3"/>
    <w:rsid w:val="00FE4BCE"/>
    <w:rsid w:val="00FE54AE"/>
    <w:rsid w:val="00FE576A"/>
    <w:rsid w:val="00FE7E79"/>
    <w:rsid w:val="00FF3E7D"/>
    <w:rsid w:val="00FF5B99"/>
    <w:rsid w:val="00FF730C"/>
    <w:rsid w:val="00FF73F4"/>
    <w:rsid w:val="00FF7CE4"/>
    <w:rsid w:val="00FF7E39"/>
    <w:rsid w:val="6D746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link w:val="230"/>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uiPriority w:val="99"/>
    <w:rPr>
      <w:sz w:val="18"/>
      <w:szCs w:val="18"/>
    </w:rPr>
  </w:style>
  <w:style w:type="paragraph" w:styleId="17">
    <w:name w:val="footer"/>
    <w:basedOn w:val="1"/>
    <w:link w:val="44"/>
    <w:autoRedefine/>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uiPriority w:val="0"/>
    <w:rPr>
      <w:rFonts w:ascii="Arial" w:hAnsi="Arial" w:eastAsia="黑体"/>
      <w:kern w:val="2"/>
      <w:sz w:val="24"/>
      <w:szCs w:val="24"/>
    </w:rPr>
  </w:style>
  <w:style w:type="character" w:customStyle="1" w:styleId="42">
    <w:name w:val="标题 9 Char"/>
    <w:link w:val="10"/>
    <w:autoRedefine/>
    <w:uiPriority w:val="0"/>
    <w:rPr>
      <w:rFonts w:ascii="Arial" w:hAnsi="Arial" w:eastAsia="黑体"/>
      <w:kern w:val="2"/>
      <w:sz w:val="21"/>
      <w:szCs w:val="21"/>
    </w:rPr>
  </w:style>
  <w:style w:type="character" w:customStyle="1" w:styleId="43">
    <w:name w:val="页眉 Char"/>
    <w:link w:val="18"/>
    <w:autoRedefine/>
    <w:uiPriority w:val="99"/>
    <w:rPr>
      <w:kern w:val="2"/>
      <w:sz w:val="18"/>
      <w:szCs w:val="18"/>
    </w:rPr>
  </w:style>
  <w:style w:type="character" w:customStyle="1" w:styleId="44">
    <w:name w:val="页脚 Char"/>
    <w:link w:val="17"/>
    <w:autoRedefine/>
    <w:uiPriority w:val="99"/>
    <w:rPr>
      <w:rFonts w:ascii="宋体"/>
      <w:kern w:val="2"/>
      <w:sz w:val="18"/>
      <w:szCs w:val="18"/>
    </w:rPr>
  </w:style>
  <w:style w:type="character" w:customStyle="1" w:styleId="45">
    <w:name w:val="批注框文本 Char"/>
    <w:link w:val="16"/>
    <w:autoRedefine/>
    <w:semiHidden/>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uiPriority w:val="29"/>
    <w:rPr>
      <w:i/>
      <w:iCs/>
      <w:color w:val="000000"/>
      <w:kern w:val="2"/>
      <w:sz w:val="21"/>
      <w:szCs w:val="21"/>
    </w:rPr>
  </w:style>
  <w:style w:type="character" w:customStyle="1" w:styleId="48">
    <w:name w:val="标题 Char"/>
    <w:link w:val="25"/>
    <w:autoRedefine/>
    <w:uiPriority w:val="0"/>
    <w:rPr>
      <w:rFonts w:ascii="Arial" w:hAnsi="Arial" w:cs="Arial"/>
      <w:b/>
      <w:bCs/>
      <w:kern w:val="2"/>
      <w:sz w:val="32"/>
      <w:szCs w:val="32"/>
    </w:rPr>
  </w:style>
  <w:style w:type="paragraph" w:customStyle="1" w:styleId="49">
    <w:name w:val="标准标志"/>
    <w:next w:val="1"/>
    <w:autoRedefine/>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uiPriority w:val="0"/>
    <w:pPr>
      <w:spacing w:line="0" w:lineRule="atLeast"/>
    </w:pPr>
    <w:rPr>
      <w:rFonts w:ascii="黑体" w:hAnsi="宋体" w:eastAsia="黑体"/>
    </w:rPr>
  </w:style>
  <w:style w:type="paragraph" w:customStyle="1" w:styleId="55">
    <w:name w:val="标准文件_标准正文"/>
    <w:basedOn w:val="1"/>
    <w:next w:val="56"/>
    <w:autoRedefine/>
    <w:uiPriority w:val="0"/>
    <w:pPr>
      <w:snapToGrid w:val="0"/>
      <w:ind w:firstLine="200" w:firstLineChars="200"/>
    </w:pPr>
    <w:rPr>
      <w:kern w:val="0"/>
    </w:rPr>
  </w:style>
  <w:style w:type="paragraph" w:customStyle="1" w:styleId="56">
    <w:name w:val="标准文件_段"/>
    <w:link w:val="184"/>
    <w:autoRedefine/>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uiPriority w:val="0"/>
    <w:pPr>
      <w:adjustRightInd/>
      <w:snapToGrid/>
      <w:ind w:firstLine="0" w:firstLineChars="0"/>
    </w:pPr>
    <w:rPr>
      <w:rFonts w:ascii="宋体" w:hAnsi="宋体"/>
      <w:kern w:val="2"/>
    </w:rPr>
  </w:style>
  <w:style w:type="paragraph" w:customStyle="1" w:styleId="58">
    <w:name w:val="标准文件_标准部门"/>
    <w:basedOn w:val="1"/>
    <w:autoRedefine/>
    <w:uiPriority w:val="0"/>
    <w:pPr>
      <w:jc w:val="center"/>
    </w:pPr>
    <w:rPr>
      <w:rFonts w:ascii="黑体" w:eastAsia="黑体"/>
      <w:kern w:val="0"/>
      <w:sz w:val="44"/>
    </w:rPr>
  </w:style>
  <w:style w:type="paragraph" w:customStyle="1" w:styleId="59">
    <w:name w:val="标准文件_标准代替"/>
    <w:basedOn w:val="1"/>
    <w:next w:val="1"/>
    <w:autoRedefine/>
    <w:uiPriority w:val="0"/>
    <w:pPr>
      <w:spacing w:line="310" w:lineRule="exact"/>
      <w:jc w:val="right"/>
    </w:pPr>
    <w:rPr>
      <w:rFonts w:ascii="宋体" w:hAnsi="宋体"/>
      <w:kern w:val="0"/>
    </w:rPr>
  </w:style>
  <w:style w:type="paragraph" w:customStyle="1" w:styleId="60">
    <w:name w:val="标准文件_标准名称标题"/>
    <w:basedOn w:val="1"/>
    <w:next w:val="1"/>
    <w:autoRedefine/>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uiPriority w:val="0"/>
    <w:pPr>
      <w:jc w:val="left"/>
    </w:pPr>
  </w:style>
  <w:style w:type="paragraph" w:customStyle="1" w:styleId="63">
    <w:name w:val="标准文件_参考文献标题"/>
    <w:basedOn w:val="1"/>
    <w:next w:val="1"/>
    <w:autoRedefine/>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uiPriority w:val="0"/>
    <w:rPr>
      <w:rFonts w:ascii="黑体" w:eastAsia="黑体"/>
      <w:spacing w:val="0"/>
      <w:w w:val="100"/>
      <w:position w:val="3"/>
      <w:sz w:val="28"/>
    </w:rPr>
  </w:style>
  <w:style w:type="paragraph" w:customStyle="1" w:styleId="67">
    <w:name w:val="标准文件_方框数字列项"/>
    <w:basedOn w:val="56"/>
    <w:autoRedefine/>
    <w:uiPriority w:val="0"/>
    <w:pPr>
      <w:numPr>
        <w:ilvl w:val="0"/>
        <w:numId w:val="3"/>
      </w:numPr>
      <w:ind w:firstLine="0" w:firstLineChars="0"/>
    </w:pPr>
  </w:style>
  <w:style w:type="paragraph" w:customStyle="1" w:styleId="68">
    <w:name w:val="标准文件_封面标准编号"/>
    <w:basedOn w:val="1"/>
    <w:next w:val="59"/>
    <w:autoRedefine/>
    <w:uiPriority w:val="0"/>
    <w:pPr>
      <w:spacing w:line="310" w:lineRule="exact"/>
      <w:jc w:val="right"/>
    </w:pPr>
    <w:rPr>
      <w:rFonts w:ascii="黑体" w:eastAsia="黑体"/>
      <w:kern w:val="0"/>
      <w:sz w:val="28"/>
    </w:rPr>
  </w:style>
  <w:style w:type="paragraph" w:customStyle="1" w:styleId="69">
    <w:name w:val="标准文件_封面标准分类号"/>
    <w:basedOn w:val="1"/>
    <w:autoRedefine/>
    <w:uiPriority w:val="0"/>
    <w:rPr>
      <w:rFonts w:ascii="黑体" w:eastAsia="黑体"/>
      <w:b/>
      <w:kern w:val="0"/>
      <w:sz w:val="28"/>
    </w:rPr>
  </w:style>
  <w:style w:type="paragraph" w:customStyle="1" w:styleId="70">
    <w:name w:val="标准文件_封面标准名称"/>
    <w:basedOn w:val="1"/>
    <w:autoRedefine/>
    <w:uiPriority w:val="0"/>
    <w:pPr>
      <w:spacing w:line="240" w:lineRule="auto"/>
      <w:jc w:val="center"/>
    </w:pPr>
    <w:rPr>
      <w:rFonts w:ascii="黑体" w:eastAsia="黑体"/>
      <w:kern w:val="0"/>
      <w:sz w:val="52"/>
    </w:rPr>
  </w:style>
  <w:style w:type="paragraph" w:customStyle="1" w:styleId="71">
    <w:name w:val="标准文件_封面标准英文名称"/>
    <w:basedOn w:val="1"/>
    <w:autoRedefine/>
    <w:uiPriority w:val="0"/>
    <w:pPr>
      <w:spacing w:line="240" w:lineRule="auto"/>
      <w:jc w:val="center"/>
    </w:pPr>
    <w:rPr>
      <w:rFonts w:ascii="黑体" w:eastAsia="黑体"/>
      <w:b/>
      <w:sz w:val="28"/>
    </w:rPr>
  </w:style>
  <w:style w:type="paragraph" w:customStyle="1" w:styleId="72">
    <w:name w:val="标准文件_封面发布日期"/>
    <w:basedOn w:val="1"/>
    <w:autoRedefine/>
    <w:uiPriority w:val="0"/>
    <w:pPr>
      <w:spacing w:line="310" w:lineRule="exact"/>
    </w:pPr>
    <w:rPr>
      <w:rFonts w:ascii="黑体" w:eastAsia="黑体"/>
      <w:kern w:val="0"/>
      <w:sz w:val="28"/>
    </w:rPr>
  </w:style>
  <w:style w:type="paragraph" w:customStyle="1" w:styleId="73">
    <w:name w:val="标准文件_封面密级"/>
    <w:basedOn w:val="1"/>
    <w:autoRedefine/>
    <w:uiPriority w:val="0"/>
    <w:rPr>
      <w:rFonts w:eastAsia="黑体"/>
      <w:sz w:val="32"/>
    </w:rPr>
  </w:style>
  <w:style w:type="paragraph" w:customStyle="1" w:styleId="74">
    <w:name w:val="标准文件_封面实施日期"/>
    <w:basedOn w:val="1"/>
    <w:autoRedefine/>
    <w:uiPriority w:val="0"/>
    <w:pPr>
      <w:spacing w:line="310" w:lineRule="exact"/>
      <w:jc w:val="right"/>
    </w:pPr>
    <w:rPr>
      <w:rFonts w:ascii="黑体" w:eastAsia="黑体"/>
      <w:sz w:val="28"/>
    </w:rPr>
  </w:style>
  <w:style w:type="paragraph" w:customStyle="1" w:styleId="75">
    <w:name w:val="标准文件_封面抬头"/>
    <w:basedOn w:val="56"/>
    <w:autoRedefine/>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character" w:customStyle="1" w:styleId="230">
    <w:name w:val="正文缩进 Char"/>
    <w:link w:val="12"/>
    <w:autoRedefine/>
    <w:qFormat/>
    <w:uiPriority w:val="0"/>
    <w:rPr>
      <w:kern w:val="2"/>
      <w:sz w:val="21"/>
      <w:szCs w:val="21"/>
    </w:rPr>
  </w:style>
  <w:style w:type="character" w:customStyle="1" w:styleId="231">
    <w:name w:val="en-code"/>
    <w:basedOn w:val="28"/>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A333ABC480843BA8949D78A7F4DBF57"/>
        <w:style w:val=""/>
        <w:category>
          <w:name w:val="常规"/>
          <w:gallery w:val="placeholder"/>
        </w:category>
        <w:types>
          <w:type w:val="bbPlcHdr"/>
        </w:types>
        <w:behaviors>
          <w:behavior w:val="content"/>
        </w:behaviors>
        <w:description w:val=""/>
        <w:guid w:val="{D9ACA8D2-5C91-40A0-843B-05ACEEA79C2E}"/>
      </w:docPartPr>
      <w:docPartBody>
        <w:p>
          <w:pPr>
            <w:pStyle w:val="5"/>
          </w:pPr>
          <w:r>
            <w:rPr>
              <w:rStyle w:val="4"/>
              <w:rFonts w:hint="eastAsia"/>
            </w:rPr>
            <w:t>单击或点击此处输入文字。</w:t>
          </w:r>
        </w:p>
      </w:docPartBody>
    </w:docPart>
    <w:docPart>
      <w:docPartPr>
        <w:name w:val="8B0AC4BBD12740238F818AB4B86B3599"/>
        <w:style w:val=""/>
        <w:category>
          <w:name w:val="常规"/>
          <w:gallery w:val="placeholder"/>
        </w:category>
        <w:types>
          <w:type w:val="bbPlcHdr"/>
        </w:types>
        <w:behaviors>
          <w:behavior w:val="content"/>
        </w:behaviors>
        <w:description w:val=""/>
        <w:guid w:val="{5C7A1A4B-B63B-4E80-A8FD-D6F45D20DB9B}"/>
      </w:docPartPr>
      <w:docPartBody>
        <w:p>
          <w:pPr>
            <w:pStyle w:val="6"/>
          </w:pPr>
          <w:r>
            <w:rPr>
              <w:rStyle w:val="4"/>
              <w:rFonts w:hint="eastAsia"/>
            </w:rPr>
            <w:t>选择一项。</w:t>
          </w:r>
        </w:p>
      </w:docPartBody>
    </w:docPart>
    <w:docPart>
      <w:docPartPr>
        <w:name w:val="A55DF06DB1004D2EB3A891F230A31787"/>
        <w:style w:val=""/>
        <w:category>
          <w:name w:val="常规"/>
          <w:gallery w:val="placeholder"/>
        </w:category>
        <w:types>
          <w:type w:val="bbPlcHdr"/>
        </w:types>
        <w:behaviors>
          <w:behavior w:val="content"/>
        </w:behaviors>
        <w:description w:val=""/>
        <w:guid w:val="{815A97D5-6392-4126-A944-09FA1FEF98B8}"/>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2F1"/>
    <w:rsid w:val="00135439"/>
    <w:rsid w:val="001436DA"/>
    <w:rsid w:val="00163D81"/>
    <w:rsid w:val="001675F6"/>
    <w:rsid w:val="002A5859"/>
    <w:rsid w:val="002F1273"/>
    <w:rsid w:val="0033615B"/>
    <w:rsid w:val="0034464B"/>
    <w:rsid w:val="003E7AF8"/>
    <w:rsid w:val="003F7DE4"/>
    <w:rsid w:val="00426055"/>
    <w:rsid w:val="00502D6F"/>
    <w:rsid w:val="00560782"/>
    <w:rsid w:val="00590E7D"/>
    <w:rsid w:val="0060278B"/>
    <w:rsid w:val="00646C1F"/>
    <w:rsid w:val="00792291"/>
    <w:rsid w:val="007B585F"/>
    <w:rsid w:val="00813E45"/>
    <w:rsid w:val="0085369A"/>
    <w:rsid w:val="008762F1"/>
    <w:rsid w:val="008A43B1"/>
    <w:rsid w:val="008F504A"/>
    <w:rsid w:val="00AB0BF1"/>
    <w:rsid w:val="00AB4EC5"/>
    <w:rsid w:val="00AC645F"/>
    <w:rsid w:val="00B71340"/>
    <w:rsid w:val="00BE1B2E"/>
    <w:rsid w:val="00C9629F"/>
    <w:rsid w:val="00D57BF3"/>
    <w:rsid w:val="00D83A3F"/>
    <w:rsid w:val="00DA240C"/>
    <w:rsid w:val="00DA392A"/>
    <w:rsid w:val="00DB3ABC"/>
    <w:rsid w:val="00F22D98"/>
    <w:rsid w:val="00F8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6A333ABC480843BA8949D78A7F4DBF57"/>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B0AC4BBD12740238F818AB4B86B3599"/>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A55DF06DB1004D2EB3A891F230A31787"/>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7AF508-7E95-4D05-B190-2FAA3B955AE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14</Pages>
  <Words>1498</Words>
  <Characters>8541</Characters>
  <Lines>71</Lines>
  <Paragraphs>20</Paragraphs>
  <TotalTime>317</TotalTime>
  <ScaleCrop>false</ScaleCrop>
  <LinksUpToDate>false</LinksUpToDate>
  <CharactersWithSpaces>10019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2024-04-10T01:18:00Z</dcterms:created>
  <dc:creator>David</dc:creator>
  <dc:description>&lt;config cover="true" show_menu="true" version="1.0.0" doctype="SDKXY"&gt;_x000d_
&lt;/config&gt;</dc:description>
  <cp:lastModifiedBy>mmme</cp:lastModifiedBy>
  <cp:lastPrinted>2024-04-11T09:36:00Z</cp:lastPrinted>
  <dcterms:modified xsi:type="dcterms:W3CDTF">2024-04-24T08:06:01Z</dcterms:modified>
  <dc:title>地方标准</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2052-12.1.0.16729</vt:lpwstr>
  </property>
  <property fmtid="{D5CDD505-2E9C-101B-9397-08002B2CF9AE}" pid="16" name="ICV">
    <vt:lpwstr>230BA976A75B43918903090D3C80A5B1_12</vt:lpwstr>
  </property>
</Properties>
</file>