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ICS</w:t>
            </w:r>
            <w:r>
              <w:rPr>
                <w:rFonts w:ascii="黑体" w:hAnsi="黑体" w:eastAsia="黑体"/>
                <w:color w:val="auto"/>
                <w:sz w:val="21"/>
                <w:szCs w:val="21"/>
                <w:highlight w:val="none"/>
              </w:rPr>
              <w:t xml:space="preserve">  </w:t>
            </w:r>
          </w:p>
        </w:tc>
        <w:tc>
          <w:tcPr>
            <w:tcW w:w="8855" w:type="dxa"/>
          </w:tcPr>
          <w:p>
            <w:pPr>
              <w:pStyle w:val="21"/>
              <w:framePr w:wrap="notBeside" w:vAnchor="page" w:hAnchor="page" w:x="1372" w:y="568"/>
              <w:tabs>
                <w:tab w:val="clear" w:pos="4153"/>
                <w:tab w:val="clear" w:pos="8306"/>
              </w:tabs>
              <w:spacing w:line="240" w:lineRule="auto"/>
              <w:ind w:left="3"/>
              <w:jc w:val="both"/>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ascii="黑体" w:hAnsi="黑体" w:eastAsia="黑体"/>
                <w:color w:val="auto"/>
                <w:sz w:val="21"/>
                <w:szCs w:val="21"/>
                <w:highlight w:val="none"/>
              </w:rPr>
              <w:t>43.040.40</w:t>
            </w:r>
            <w:r>
              <w:rPr>
                <w:rFonts w:ascii="黑体" w:hAnsi="黑体" w:eastAsia="黑体"/>
                <w:color w:val="auto"/>
                <w:sz w:val="21"/>
                <w:szCs w:val="21"/>
                <w:highlight w:val="none"/>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 xml:space="preserve">CCS </w:t>
            </w:r>
            <w:r>
              <w:rPr>
                <w:rFonts w:ascii="黑体" w:hAnsi="黑体" w:eastAsia="黑体"/>
                <w:color w:val="auto"/>
                <w:sz w:val="21"/>
                <w:szCs w:val="21"/>
                <w:highlight w:val="none"/>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hint="eastAsia" w:ascii="黑体" w:hAnsi="黑体" w:eastAsia="黑体"/>
                <w:color w:val="auto"/>
                <w:sz w:val="21"/>
                <w:szCs w:val="21"/>
                <w:highlight w:val="none"/>
              </w:rPr>
              <w:t>T</w:t>
            </w:r>
            <w:r>
              <w:rPr>
                <w:rFonts w:ascii="黑体" w:hAnsi="黑体" w:eastAsia="黑体"/>
                <w:color w:val="auto"/>
                <w:sz w:val="21"/>
                <w:szCs w:val="21"/>
                <w:highlight w:val="none"/>
              </w:rPr>
              <w:t>24</w:t>
            </w:r>
            <w:r>
              <w:rPr>
                <w:rFonts w:ascii="黑体" w:hAnsi="黑体" w:eastAsia="黑体"/>
                <w:color w:val="auto"/>
                <w:sz w:val="21"/>
                <w:szCs w:val="21"/>
                <w:highlight w:val="none"/>
              </w:rPr>
              <w:fldChar w:fldCharType="end"/>
            </w:r>
            <w:bookmarkEnd w:id="1"/>
          </w:p>
        </w:tc>
      </w:tr>
    </w:tbl>
    <w:p>
      <w:pPr>
        <w:pStyle w:val="56"/>
        <w:framePr w:w="9639" w:h="624" w:hRule="exact" w:hSpace="181" w:vSpace="181" w:wrap="around" w:hAnchor="page" w:x="1305" w:y="2269"/>
        <w:rPr>
          <w:color w:val="auto"/>
          <w:highlight w:val="none"/>
        </w:rPr>
      </w:pPr>
      <w:bookmarkStart w:id="2" w:name="_Hlk26473981"/>
      <w:r>
        <w:rPr>
          <w:rFonts w:hint="eastAsia"/>
          <w:color w:val="auto"/>
          <w:highlight w:val="none"/>
        </w:rPr>
        <w:t>中华人民共和国国家标准</w:t>
      </w:r>
    </w:p>
    <w:bookmarkEnd w:id="2"/>
    <w:p>
      <w:pPr>
        <w:pStyle w:val="201"/>
        <w:rPr>
          <w:color w:val="auto"/>
          <w:highlight w:val="none"/>
          <w:lang w:val="fr-FR"/>
        </w:rPr>
      </w:pPr>
      <w:r>
        <w:rPr>
          <w:color w:val="auto"/>
          <w:highlight w:val="none"/>
        </w:rPr>
        <w:fldChar w:fldCharType="begin">
          <w:ffData>
            <w:name w:val="文字1"/>
            <w:enabled/>
            <w:calcOnExit w:val="0"/>
            <w:textInput>
              <w:default w:val="GB/T"/>
            </w:textInput>
          </w:ffData>
        </w:fldChar>
      </w:r>
      <w:bookmarkStart w:id="3" w:name="文字1"/>
      <w:r>
        <w:rPr>
          <w:color w:val="auto"/>
          <w:highlight w:val="none"/>
          <w:lang w:val="fr-FR"/>
        </w:rPr>
        <w:instrText xml:space="preserve"> FORMTEXT </w:instrText>
      </w:r>
      <w:r>
        <w:rPr>
          <w:color w:val="auto"/>
          <w:highlight w:val="none"/>
        </w:rPr>
        <w:fldChar w:fldCharType="separate"/>
      </w:r>
      <w:r>
        <w:rPr>
          <w:color w:val="auto"/>
          <w:highlight w:val="none"/>
          <w:lang w:val="fr-FR"/>
        </w:rPr>
        <w:t>GB</w:t>
      </w:r>
      <w:r>
        <w:rPr>
          <w:color w:val="auto"/>
          <w:highlight w:val="none"/>
        </w:rPr>
        <w:fldChar w:fldCharType="end"/>
      </w:r>
      <w:bookmarkEnd w:id="3"/>
      <w:r>
        <w:rPr>
          <w:color w:val="auto"/>
          <w:highlight w:val="none"/>
          <w:lang w:val="fr-FR"/>
        </w:rPr>
        <w:t xml:space="preserve"> </w:t>
      </w:r>
      <w:r>
        <w:rPr>
          <w:color w:val="auto"/>
          <w:highlight w:val="none"/>
        </w:rPr>
        <w:fldChar w:fldCharType="begin">
          <w:ffData>
            <w:name w:val="NSTD_CODE_F"/>
            <w:enabled/>
            <w:calcOnExit w:val="0"/>
            <w:textInput>
              <w:default w:val="XXXXX"/>
            </w:textInput>
          </w:ffData>
        </w:fldChar>
      </w:r>
      <w:bookmarkStart w:id="4" w:name="NSTD_CODE_F"/>
      <w:r>
        <w:rPr>
          <w:color w:val="auto"/>
          <w:highlight w:val="none"/>
          <w:lang w:val="fr-FR"/>
        </w:rPr>
        <w:instrText xml:space="preserve"> FORMTEXT </w:instrText>
      </w:r>
      <w:r>
        <w:rPr>
          <w:color w:val="auto"/>
          <w:highlight w:val="none"/>
        </w:rPr>
        <w:fldChar w:fldCharType="separate"/>
      </w:r>
      <w:r>
        <w:rPr>
          <w:color w:val="auto"/>
          <w:highlight w:val="none"/>
        </w:rPr>
        <w:t>21670</w:t>
      </w:r>
      <w:r>
        <w:rPr>
          <w:color w:val="auto"/>
          <w:highlight w:val="none"/>
        </w:rPr>
        <w:fldChar w:fldCharType="end"/>
      </w:r>
      <w:bookmarkEnd w:id="4"/>
      <w:r>
        <w:rPr>
          <w:rFonts w:hAnsi="黑体"/>
          <w:color w:val="auto"/>
          <w:highlight w:val="none"/>
          <w:lang w:val="fr-FR"/>
        </w:rPr>
        <w:t>—</w:t>
      </w:r>
      <w:r>
        <w:rPr>
          <w:color w:val="auto"/>
          <w:highlight w:val="none"/>
        </w:rPr>
        <w:fldChar w:fldCharType="begin">
          <w:ffData>
            <w:name w:val="NSTD_CODE_B"/>
            <w:enabled/>
            <w:calcOnExit w:val="0"/>
            <w:textInput>
              <w:default w:val="XXXX"/>
            </w:textInput>
          </w:ffData>
        </w:fldChar>
      </w:r>
      <w:bookmarkStart w:id="5" w:name="NSTD_CODE_B"/>
      <w:r>
        <w:rPr>
          <w:color w:val="auto"/>
          <w:highlight w:val="none"/>
          <w:lang w:val="fr-FR"/>
        </w:rPr>
        <w:instrText xml:space="preserve"> FORMTEXT </w:instrText>
      </w:r>
      <w:r>
        <w:rPr>
          <w:color w:val="auto"/>
          <w:highlight w:val="none"/>
        </w:rPr>
        <w:fldChar w:fldCharType="separate"/>
      </w:r>
      <w:r>
        <w:rPr>
          <w:color w:val="auto"/>
          <w:highlight w:val="none"/>
          <w:lang w:val="fr-FR"/>
        </w:rPr>
        <w:t>XXXX</w:t>
      </w:r>
      <w:r>
        <w:rPr>
          <w:color w:val="auto"/>
          <w:highlight w:val="none"/>
        </w:rPr>
        <w:fldChar w:fldCharType="end"/>
      </w:r>
      <w:bookmarkEnd w:id="5"/>
    </w:p>
    <w:p>
      <w:pPr>
        <w:pStyle w:val="202"/>
        <w:rPr>
          <w:rFonts w:hAnsi="黑体"/>
          <w:color w:val="auto"/>
          <w:highlight w:val="none"/>
        </w:rPr>
      </w:pPr>
      <w:r>
        <w:rPr>
          <w:rFonts w:hAnsi="黑体"/>
          <w:color w:val="auto"/>
          <w:highlight w:val="none"/>
        </w:rPr>
        <w:fldChar w:fldCharType="begin">
          <w:ffData>
            <w:name w:val="OSTD_CODE"/>
            <w:enabled/>
            <w:calcOnExit w:val="0"/>
            <w:textInput/>
          </w:ffData>
        </w:fldChar>
      </w:r>
      <w:bookmarkStart w:id="6" w:name="OSTD_CODE"/>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代替 GB 21670</w:t>
      </w:r>
      <w:r>
        <w:rPr>
          <w:rFonts w:hint="eastAsia" w:hAnsi="黑体"/>
          <w:color w:val="auto"/>
          <w:highlight w:val="none"/>
        </w:rPr>
        <w:t>-</w:t>
      </w:r>
      <w:r>
        <w:rPr>
          <w:rFonts w:hAnsi="黑体"/>
          <w:color w:val="auto"/>
          <w:highlight w:val="none"/>
        </w:rPr>
        <w:t>2008</w:t>
      </w:r>
      <w:r>
        <w:rPr>
          <w:rFonts w:hAnsi="黑体"/>
          <w:color w:val="auto"/>
          <w:highlight w:val="none"/>
        </w:rPr>
        <w:fldChar w:fldCharType="end"/>
      </w:r>
      <w:bookmarkEnd w:id="6"/>
    </w:p>
    <w:p>
      <w:pPr>
        <w:spacing w:line="240" w:lineRule="auto"/>
        <w:ind w:left="8080"/>
        <w:rPr>
          <w:rFonts w:ascii="黑体" w:hAnsi="黑体" w:eastAsia="黑体"/>
          <w:color w:val="auto"/>
          <w:kern w:val="0"/>
          <w:sz w:val="52"/>
          <w:szCs w:val="20"/>
          <w:highlight w:val="none"/>
        </w:rPr>
      </w:pPr>
      <w:r>
        <w:rPr>
          <w:rFonts w:ascii="黑体" w:hAnsi="黑体" w:eastAsia="黑体"/>
          <w:color w:val="auto"/>
          <w:kern w:val="0"/>
          <w:sz w:val="52"/>
          <w:szCs w:val="20"/>
          <w:highlight w:val="none"/>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color w:val="auto"/>
          <w:kern w:val="0"/>
          <w:sz w:val="52"/>
          <w:szCs w:val="20"/>
          <w:highlight w:val="none"/>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6"/>
        <w:framePr w:w="9639" w:h="6976" w:hRule="exact" w:hSpace="0" w:vSpace="0" w:wrap="around" w:hAnchor="page" w:y="6408"/>
        <w:jc w:val="center"/>
        <w:rPr>
          <w:rFonts w:ascii="黑体" w:hAnsi="黑体" w:eastAsia="黑体"/>
          <w:b w:val="0"/>
          <w:bCs w:val="0"/>
          <w:color w:val="auto"/>
          <w:w w:val="100"/>
          <w:highlight w:val="none"/>
        </w:rPr>
      </w:pPr>
    </w:p>
    <w:p>
      <w:pPr>
        <w:pStyle w:val="203"/>
        <w:framePr w:h="6974" w:hRule="exact" w:wrap="around" w:x="1419" w:anchorLock="1"/>
        <w:rPr>
          <w:color w:val="auto"/>
          <w:highlight w:val="none"/>
        </w:rPr>
      </w:pPr>
      <w:r>
        <w:rPr>
          <w:color w:val="auto"/>
          <w:highlight w:val="none"/>
        </w:rPr>
        <w:fldChar w:fldCharType="begin">
          <w:ffData>
            <w:name w:val="CSTD_NAME"/>
            <w:enabled/>
            <w:calcOnExit w:val="0"/>
            <w:textInput>
              <w:default w:val="点击此处添加标准名称"/>
            </w:textInput>
          </w:ffData>
        </w:fldChar>
      </w:r>
      <w:bookmarkStart w:id="7" w:name="CSTD_NAME"/>
      <w:r>
        <w:rPr>
          <w:color w:val="auto"/>
          <w:highlight w:val="none"/>
        </w:rPr>
        <w:instrText xml:space="preserve"> FORMTEXT </w:instrText>
      </w:r>
      <w:r>
        <w:rPr>
          <w:color w:val="auto"/>
          <w:highlight w:val="none"/>
        </w:rPr>
        <w:fldChar w:fldCharType="separate"/>
      </w:r>
      <w:r>
        <w:rPr>
          <w:rFonts w:hint="eastAsia"/>
          <w:color w:val="auto"/>
          <w:highlight w:val="none"/>
        </w:rPr>
        <w:t>乘用车制动系统技术要求及试验方法</w:t>
      </w:r>
      <w:r>
        <w:rPr>
          <w:color w:val="auto"/>
          <w:highlight w:val="none"/>
        </w:rPr>
        <w:fldChar w:fldCharType="end"/>
      </w:r>
      <w:bookmarkEnd w:id="7"/>
    </w:p>
    <w:p>
      <w:pPr>
        <w:framePr w:w="9639" w:h="6974" w:hRule="exact" w:wrap="around" w:vAnchor="page" w:hAnchor="page" w:x="1419" w:y="6408" w:anchorLock="1"/>
        <w:ind w:left="-1418"/>
        <w:rPr>
          <w:color w:val="auto"/>
          <w:highlight w:val="none"/>
        </w:rPr>
      </w:pPr>
    </w:p>
    <w:p>
      <w:pPr>
        <w:pStyle w:val="131"/>
        <w:framePr w:w="9639" w:h="6974" w:hRule="exact" w:wrap="around" w:vAnchor="page" w:hAnchor="page" w:x="1419" w:y="6408" w:anchorLock="1"/>
        <w:textAlignment w:val="bottom"/>
        <w:rPr>
          <w:rFonts w:eastAsia="黑体"/>
          <w:color w:val="auto"/>
          <w:szCs w:val="28"/>
          <w:highlight w:val="none"/>
        </w:rPr>
      </w:pPr>
      <w:r>
        <w:rPr>
          <w:rFonts w:eastAsia="黑体"/>
          <w:color w:val="auto"/>
          <w:szCs w:val="28"/>
          <w:highlight w:val="none"/>
        </w:rPr>
        <w:fldChar w:fldCharType="begin">
          <w:ffData>
            <w:name w:val="ESTD_NAME"/>
            <w:enabled/>
            <w:calcOnExit w:val="0"/>
            <w:textInput>
              <w:default w:val="点击此处添加标准名称的英文译名"/>
            </w:textInput>
          </w:ffData>
        </w:fldChar>
      </w:r>
      <w:bookmarkStart w:id="8" w:name="ESTD_NAME"/>
      <w:r>
        <w:rPr>
          <w:rFonts w:eastAsia="黑体"/>
          <w:color w:val="auto"/>
          <w:szCs w:val="28"/>
          <w:highlight w:val="none"/>
        </w:rPr>
        <w:instrText xml:space="preserve"> FORMTEXT </w:instrText>
      </w:r>
      <w:r>
        <w:rPr>
          <w:rFonts w:eastAsia="黑体"/>
          <w:color w:val="auto"/>
          <w:szCs w:val="28"/>
          <w:highlight w:val="none"/>
        </w:rPr>
        <w:fldChar w:fldCharType="separate"/>
      </w:r>
      <w:r>
        <w:rPr>
          <w:rFonts w:eastAsia="黑体"/>
          <w:color w:val="auto"/>
          <w:szCs w:val="28"/>
          <w:highlight w:val="none"/>
        </w:rPr>
        <w:t>Technical requirements and testing methods for passenger car braking systems</w:t>
      </w:r>
      <w:r>
        <w:rPr>
          <w:rFonts w:eastAsia="黑体"/>
          <w:color w:val="auto"/>
          <w:szCs w:val="28"/>
          <w:highlight w:val="none"/>
        </w:rPr>
        <w:fldChar w:fldCharType="end"/>
      </w:r>
      <w:bookmarkEnd w:id="8"/>
    </w:p>
    <w:p>
      <w:pPr>
        <w:framePr w:w="9639" w:h="6974" w:hRule="exact" w:wrap="around" w:vAnchor="page" w:hAnchor="page" w:x="1419" w:y="6408" w:anchorLock="1"/>
        <w:spacing w:line="760" w:lineRule="exact"/>
        <w:ind w:left="-1418"/>
        <w:rPr>
          <w:color w:val="auto"/>
          <w:highlight w:val="none"/>
        </w:rPr>
      </w:pPr>
    </w:p>
    <w:p>
      <w:pPr>
        <w:pStyle w:val="131"/>
        <w:framePr w:w="9639" w:h="6974" w:hRule="exact" w:wrap="around" w:vAnchor="page" w:hAnchor="page" w:x="1419" w:y="6408" w:anchorLock="1"/>
        <w:textAlignment w:val="bottom"/>
        <w:rPr>
          <w:rFonts w:eastAsia="黑体"/>
          <w:color w:val="auto"/>
          <w:szCs w:val="28"/>
          <w:highlight w:val="none"/>
        </w:rPr>
      </w:pPr>
      <w:bookmarkStart w:id="9" w:name="IN_STD_CODE"/>
      <w:r>
        <w:rPr>
          <w:rFonts w:hint="eastAsia" w:ascii="Times New Roman" w:hAnsi="Times New Roman" w:eastAsia="黑体" w:cs="Times New Roman"/>
          <w:color w:val="auto"/>
          <w:sz w:val="28"/>
          <w:szCs w:val="28"/>
          <w:highlight w:val="none"/>
          <w:lang w:val="en-US" w:eastAsia="zh-CN" w:bidi="ar-SA"/>
        </w:rPr>
        <w:fldChar w:fldCharType="begin">
          <w:ffData>
            <w:name w:val="IN_STD_CODE"/>
            <w:enabled/>
            <w:calcOnExit w:val="0"/>
            <w:textInput/>
          </w:ffData>
        </w:fldChar>
      </w:r>
      <w:r>
        <w:rPr>
          <w:rFonts w:hint="eastAsia" w:ascii="Times New Roman" w:hAnsi="Times New Roman" w:eastAsia="黑体" w:cs="Times New Roman"/>
          <w:color w:val="auto"/>
          <w:sz w:val="28"/>
          <w:szCs w:val="28"/>
          <w:highlight w:val="none"/>
          <w:lang w:val="en-US" w:eastAsia="zh-CN" w:bidi="ar-SA"/>
        </w:rPr>
        <w:instrText xml:space="preserve">FORMTEXT</w:instrText>
      </w:r>
      <w:r>
        <w:rPr>
          <w:rFonts w:hint="eastAsia" w:ascii="Times New Roman" w:hAnsi="Times New Roman" w:eastAsia="黑体" w:cs="Times New Roman"/>
          <w:color w:val="auto"/>
          <w:sz w:val="28"/>
          <w:szCs w:val="28"/>
          <w:highlight w:val="none"/>
          <w:lang w:val="en-US" w:eastAsia="zh-CN" w:bidi="ar-SA"/>
        </w:rPr>
        <w:fldChar w:fldCharType="separate"/>
      </w:r>
      <w:r>
        <w:rPr>
          <w:rFonts w:hint="default" w:ascii="Times New Roman" w:hAnsi="Times New Roman" w:eastAsia="黑体" w:cs="Times New Roman"/>
          <w:color w:val="auto"/>
          <w:sz w:val="28"/>
          <w:szCs w:val="28"/>
          <w:highlight w:val="none"/>
          <w:lang w:val="en-US" w:eastAsia="zh-CN" w:bidi="ar-SA"/>
        </w:rPr>
        <w:t>     </w:t>
      </w:r>
      <w:r>
        <w:rPr>
          <w:rFonts w:hint="eastAsia" w:ascii="Times New Roman" w:hAnsi="Times New Roman" w:eastAsia="黑体" w:cs="Times New Roman"/>
          <w:color w:val="auto"/>
          <w:sz w:val="28"/>
          <w:szCs w:val="28"/>
          <w:highlight w:val="none"/>
          <w:lang w:val="en-US" w:eastAsia="zh-CN" w:bidi="ar-SA"/>
        </w:rPr>
        <w:fldChar w:fldCharType="end"/>
      </w:r>
      <w:bookmarkEnd w:id="9"/>
    </w:p>
    <w:p>
      <w:pPr>
        <w:pStyle w:val="131"/>
        <w:framePr w:w="9639" w:h="6974" w:hRule="exact" w:wrap="around" w:vAnchor="page" w:hAnchor="page" w:x="1419" w:y="6408" w:anchorLock="1"/>
        <w:spacing w:before="440" w:after="160"/>
        <w:textAlignment w:val="bottom"/>
        <w:rPr>
          <w:rFonts w:hint="eastAsia" w:eastAsia="宋体"/>
          <w:color w:val="auto"/>
          <w:sz w:val="24"/>
          <w:szCs w:val="28"/>
          <w:highlight w:val="none"/>
          <w:lang w:eastAsia="zh-CN"/>
        </w:rPr>
      </w:pPr>
      <w:bookmarkStart w:id="10" w:name="下拉1"/>
      <w:r>
        <w:rPr>
          <w:rFonts w:hint="eastAsia" w:ascii="Times New Roman" w:hAnsi="Times New Roman" w:eastAsia="宋体" w:cs="Times New Roman"/>
          <w:color w:val="auto"/>
          <w:sz w:val="24"/>
          <w:szCs w:val="28"/>
          <w:highlight w:val="none"/>
          <w:lang w:val="en-US" w:eastAsia="zh-CN" w:bidi="ar-SA"/>
        </w:rPr>
        <w:fldChar w:fldCharType="begin">
          <w:ffData>
            <w:name w:val="下拉1"/>
            <w:enabled/>
            <w:calcOnExit w:val="0"/>
            <w:ddList>
              <w:listEntry w:val="（征求意见稿）"/>
              <w:listEntry w:val="（送审讨论稿）"/>
              <w:listEntry w:val="（送审稿）"/>
              <w:listEntry w:val="（报批稿）"/>
            </w:ddList>
          </w:ffData>
        </w:fldChar>
      </w:r>
      <w:r>
        <w:rPr>
          <w:rFonts w:hint="eastAsia" w:ascii="Times New Roman" w:hAnsi="Times New Roman" w:eastAsia="宋体" w:cs="Times New Roman"/>
          <w:color w:val="auto"/>
          <w:sz w:val="24"/>
          <w:szCs w:val="28"/>
          <w:highlight w:val="none"/>
          <w:lang w:val="en-US" w:eastAsia="zh-CN" w:bidi="ar-SA"/>
        </w:rPr>
        <w:instrText xml:space="preserve">FORMDROPDOWN</w:instrText>
      </w:r>
      <w:r>
        <w:rPr>
          <w:rFonts w:hint="eastAsia" w:ascii="Times New Roman" w:hAnsi="Times New Roman" w:eastAsia="宋体" w:cs="Times New Roman"/>
          <w:color w:val="auto"/>
          <w:sz w:val="24"/>
          <w:szCs w:val="28"/>
          <w:highlight w:val="none"/>
          <w:lang w:val="en-US" w:eastAsia="zh-CN" w:bidi="ar-SA"/>
        </w:rPr>
        <w:fldChar w:fldCharType="separate"/>
      </w:r>
      <w:r>
        <w:rPr>
          <w:rFonts w:hint="eastAsia" w:ascii="Times New Roman" w:hAnsi="Times New Roman" w:eastAsia="宋体" w:cs="Times New Roman"/>
          <w:color w:val="auto"/>
          <w:sz w:val="24"/>
          <w:szCs w:val="28"/>
          <w:highlight w:val="none"/>
          <w:lang w:val="en-US" w:eastAsia="zh-CN" w:bidi="ar-SA"/>
        </w:rPr>
        <w:fldChar w:fldCharType="end"/>
      </w:r>
      <w:bookmarkEnd w:id="10"/>
    </w:p>
    <w:p>
      <w:pPr>
        <w:pStyle w:val="131"/>
        <w:framePr w:w="9639" w:h="6974" w:hRule="exact" w:wrap="around" w:vAnchor="page" w:hAnchor="page" w:x="1419" w:y="6408" w:anchorLock="1"/>
        <w:spacing w:before="180" w:line="240" w:lineRule="atLeast"/>
        <w:textAlignment w:val="bottom"/>
        <w:rPr>
          <w:color w:val="auto"/>
          <w:sz w:val="21"/>
          <w:szCs w:val="28"/>
          <w:highlight w:val="none"/>
        </w:rPr>
      </w:pPr>
      <w:r>
        <w:rPr>
          <w:color w:val="auto"/>
          <w:sz w:val="21"/>
          <w:szCs w:val="28"/>
          <w:highlight w:val="none"/>
        </w:rPr>
        <w:fldChar w:fldCharType="begin">
          <w:ffData>
            <w:name w:val="CMPLSH_DATE"/>
            <w:enabled/>
            <w:calcOnExit w:val="0"/>
            <w:textInput/>
          </w:ffData>
        </w:fldChar>
      </w:r>
      <w:bookmarkStart w:id="11" w:name="CMPLSH_DATE"/>
      <w:r>
        <w:rPr>
          <w:color w:val="auto"/>
          <w:sz w:val="21"/>
          <w:szCs w:val="28"/>
          <w:highlight w:val="none"/>
        </w:rPr>
        <w:instrText xml:space="preserve"> FORMTEXT </w:instrText>
      </w:r>
      <w:r>
        <w:rPr>
          <w:color w:val="auto"/>
          <w:sz w:val="21"/>
          <w:szCs w:val="28"/>
          <w:highlight w:val="none"/>
        </w:rPr>
        <w:fldChar w:fldCharType="separate"/>
      </w:r>
      <w:r>
        <w:rPr>
          <w:rFonts w:hint="eastAsia"/>
          <w:color w:val="auto"/>
          <w:sz w:val="21"/>
          <w:szCs w:val="28"/>
          <w:highlight w:val="none"/>
        </w:rPr>
        <w:t>（本草案完成时间：2</w:t>
      </w:r>
      <w:r>
        <w:rPr>
          <w:color w:val="auto"/>
          <w:sz w:val="21"/>
          <w:szCs w:val="28"/>
          <w:highlight w:val="none"/>
        </w:rPr>
        <w:t>023</w:t>
      </w:r>
      <w:r>
        <w:rPr>
          <w:rFonts w:hint="eastAsia"/>
          <w:color w:val="auto"/>
          <w:sz w:val="21"/>
          <w:szCs w:val="28"/>
          <w:highlight w:val="none"/>
        </w:rPr>
        <w:t>年</w:t>
      </w:r>
      <w:r>
        <w:rPr>
          <w:rFonts w:hint="eastAsia"/>
          <w:color w:val="auto"/>
          <w:sz w:val="21"/>
          <w:szCs w:val="28"/>
          <w:highlight w:val="none"/>
          <w:lang w:val="en-US" w:eastAsia="zh-CN"/>
        </w:rPr>
        <w:t>12</w:t>
      </w:r>
      <w:r>
        <w:rPr>
          <w:rFonts w:hint="eastAsia"/>
          <w:color w:val="auto"/>
          <w:sz w:val="21"/>
          <w:szCs w:val="28"/>
          <w:highlight w:val="none"/>
        </w:rPr>
        <w:t>月</w:t>
      </w:r>
      <w:r>
        <w:rPr>
          <w:rFonts w:hint="eastAsia"/>
          <w:color w:val="auto"/>
          <w:sz w:val="21"/>
          <w:szCs w:val="28"/>
          <w:highlight w:val="none"/>
          <w:lang w:val="en-US" w:eastAsia="zh-CN"/>
        </w:rPr>
        <w:t>20</w:t>
      </w:r>
      <w:r>
        <w:rPr>
          <w:rFonts w:hint="eastAsia"/>
          <w:color w:val="auto"/>
          <w:sz w:val="21"/>
          <w:szCs w:val="28"/>
          <w:highlight w:val="none"/>
        </w:rPr>
        <w:t>日）</w:t>
      </w:r>
      <w:r>
        <w:rPr>
          <w:color w:val="auto"/>
          <w:sz w:val="21"/>
          <w:szCs w:val="28"/>
          <w:highlight w:val="none"/>
        </w:rPr>
        <w:fldChar w:fldCharType="end"/>
      </w:r>
      <w:bookmarkEnd w:id="11"/>
    </w:p>
    <w:p>
      <w:pPr>
        <w:pStyle w:val="131"/>
        <w:framePr w:w="9639" w:h="6974" w:hRule="exact" w:wrap="around" w:vAnchor="page" w:hAnchor="page" w:x="1419" w:y="6408" w:anchorLock="1"/>
        <w:spacing w:before="720" w:beforeLines="300" w:after="72" w:afterLines="30" w:line="240" w:lineRule="auto"/>
        <w:textAlignment w:val="bottom"/>
        <w:rPr>
          <w:b/>
          <w:color w:val="auto"/>
          <w:sz w:val="21"/>
          <w:szCs w:val="28"/>
          <w:highlight w:val="none"/>
        </w:rPr>
      </w:pPr>
      <w:r>
        <w:rPr>
          <w:b/>
          <w:color w:val="auto"/>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color w:val="auto"/>
          <w:sz w:val="21"/>
          <w:szCs w:val="28"/>
          <w:highlight w:val="none"/>
        </w:rPr>
        <w:instrText xml:space="preserve"> FORMDROPDOWN </w:instrText>
      </w:r>
      <w:r>
        <w:rPr>
          <w:b/>
          <w:color w:val="auto"/>
          <w:sz w:val="21"/>
          <w:szCs w:val="28"/>
          <w:highlight w:val="none"/>
        </w:rPr>
        <w:fldChar w:fldCharType="separate"/>
      </w:r>
      <w:r>
        <w:rPr>
          <w:b/>
          <w:color w:val="auto"/>
          <w:sz w:val="21"/>
          <w:szCs w:val="28"/>
          <w:highlight w:val="none"/>
        </w:rPr>
        <w:fldChar w:fldCharType="end"/>
      </w:r>
      <w:bookmarkEnd w:id="12"/>
    </w:p>
    <w:p>
      <w:pPr>
        <w:pStyle w:val="199"/>
        <w:framePr w:wrap="around"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13"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3"/>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14"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4"/>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15"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5"/>
      <w:r>
        <w:rPr>
          <w:rFonts w:hint="eastAsia"/>
          <w:color w:val="auto"/>
          <w:highlight w:val="none"/>
        </w:rPr>
        <w:t>发布</w:t>
      </w:r>
    </w:p>
    <w:p>
      <w:pPr>
        <w:pStyle w:val="200"/>
        <w:framePr w:wrap="around"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16"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6"/>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17"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7"/>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18"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8"/>
      <w:r>
        <w:rPr>
          <w:rFonts w:hint="eastAsia"/>
          <w:color w:val="auto"/>
          <w:highlight w:val="none"/>
        </w:rPr>
        <w:t>实施</w:t>
      </w:r>
    </w:p>
    <w:p>
      <w:pPr>
        <w:rPr>
          <w:rFonts w:ascii="宋体" w:hAnsi="宋体"/>
          <w:color w:val="auto"/>
          <w:sz w:val="28"/>
          <w:szCs w:val="28"/>
          <w:highlight w:val="none"/>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highlight w:val="none"/>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color w:val="auto"/>
          <w:sz w:val="28"/>
          <w:szCs w:val="28"/>
          <w:highlight w:val="none"/>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color w:val="auto"/>
          <w:sz w:val="28"/>
          <w:szCs w:val="28"/>
          <w:highlight w:val="none"/>
        </w:rPr>
        <w:t>`</w:t>
      </w:r>
    </w:p>
    <w:p>
      <w:pPr>
        <w:pStyle w:val="97"/>
        <w:spacing w:after="468"/>
        <w:rPr>
          <w:color w:val="auto"/>
          <w:highlight w:val="none"/>
        </w:rPr>
      </w:pPr>
      <w:bookmarkStart w:id="19" w:name="BookMark1"/>
      <w:bookmarkStart w:id="20" w:name="_Toc118580216"/>
      <w:r>
        <w:rPr>
          <w:rFonts w:hint="eastAsia"/>
          <w:color w:val="auto"/>
          <w:spacing w:val="320"/>
          <w:highlight w:val="none"/>
        </w:rPr>
        <w:t>目</w:t>
      </w:r>
      <w:r>
        <w:rPr>
          <w:rFonts w:hint="eastAsia"/>
          <w:color w:val="auto"/>
          <w:highlight w:val="none"/>
        </w:rPr>
        <w:t>次</w:t>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"1-1" \h \t "标准文件_一级条标题,2,标准文件_附录一级条标题,2,"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_Toc28662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_Toc28662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_Toc2670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highlight w:val="none"/>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_Toc2670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_Toc1680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highlight w:val="none"/>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_Toc17081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highlight w:val="none"/>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_Toc17081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_Toc768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highlight w:val="none"/>
        </w:rPr>
        <w:t>符号和缩略语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_Toc4242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sz w:val="21"/>
          <w:szCs w:val="21"/>
          <w:highlight w:val="none"/>
        </w:rPr>
        <w:t>符号和定义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_Toc4242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_Toc13978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sz w:val="21"/>
          <w:szCs w:val="21"/>
          <w:highlight w:val="none"/>
        </w:rPr>
        <w:t>缩略语和定义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_Toc13978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_Toc27253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highlight w:val="none"/>
        </w:rPr>
        <w:t>结构和功能要求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_Toc27253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_Toc26234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sz w:val="21"/>
          <w:szCs w:val="21"/>
          <w:highlight w:val="none"/>
        </w:rPr>
        <w:t>制动系统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_Toc26234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_Toc20315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sz w:val="21"/>
          <w:szCs w:val="21"/>
          <w:highlight w:val="none"/>
        </w:rPr>
        <w:t>制动系统特性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_Toc20315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_Toc21207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highlight w:val="none"/>
        </w:rPr>
        <w:t>试验和性能要求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_Toc21207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_Toc20281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ascii="宋体" w:hAnsi="宋体" w:eastAsia="宋体" w:cs="宋体"/>
          <w:sz w:val="21"/>
          <w:szCs w:val="21"/>
          <w:highlight w:val="none"/>
        </w:rPr>
        <w:t>试验要求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_Toc20281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_Toc16902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ascii="宋体" w:hAnsi="宋体" w:eastAsia="宋体" w:cs="宋体"/>
          <w:sz w:val="21"/>
          <w:szCs w:val="21"/>
          <w:highlight w:val="none"/>
        </w:rPr>
        <w:t>制动系统的性能要求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_Toc16902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_Toc31860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ascii="宋体" w:hAnsi="宋体" w:eastAsia="宋体" w:cs="宋体"/>
          <w:sz w:val="21"/>
          <w:szCs w:val="21"/>
          <w:highlight w:val="none"/>
        </w:rPr>
        <w:t>响应时间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_Toc31860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_Toc29846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ascii="宋体" w:hAnsi="宋体" w:eastAsia="宋体" w:cs="宋体"/>
          <w:sz w:val="21"/>
          <w:szCs w:val="21"/>
          <w:highlight w:val="none"/>
        </w:rPr>
        <w:t>储能式液压制动系统—关于能源和储能装置（储能器）的规定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_Toc29846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_Toc13857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ascii="宋体" w:hAnsi="宋体" w:eastAsia="宋体" w:cs="宋体"/>
          <w:sz w:val="21"/>
          <w:szCs w:val="21"/>
          <w:highlight w:val="none"/>
        </w:rPr>
        <w:t>车辆防抱制动系统试验要求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_Toc13857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_Toc21278 </w:instrText>
      </w:r>
      <w:r>
        <w:rPr>
          <w:rFonts w:hint="eastAsia" w:ascii="宋体" w:hAnsi="宋体" w:eastAsia="宋体" w:cs="宋体"/>
          <w:sz w:val="21"/>
          <w:szCs w:val="21"/>
          <w:highlight w:val="none"/>
        </w:rPr>
        <w:fldChar w:fldCharType="separate"/>
      </w:r>
      <w:r>
        <w:rPr>
          <w:rFonts w:hint="eastAsia" w:ascii="宋体" w:hAnsi="宋体" w:eastAsia="宋体" w:cs="宋体"/>
          <w:i w:val="0"/>
          <w:kern w:val="2"/>
          <w:sz w:val="21"/>
          <w:szCs w:val="21"/>
        </w:rPr>
        <w:t xml:space="preserve">7 </w:t>
      </w:r>
      <w:r>
        <w:rPr>
          <w:rFonts w:hint="eastAsia" w:ascii="宋体" w:hAnsi="宋体" w:eastAsia="宋体" w:cs="宋体"/>
          <w:sz w:val="21"/>
          <w:szCs w:val="21"/>
          <w:highlight w:val="none"/>
        </w:rPr>
        <w:t>车型</w:t>
      </w:r>
      <w:r>
        <w:rPr>
          <w:rFonts w:hint="eastAsia" w:ascii="宋体" w:hAnsi="宋体" w:eastAsia="宋体" w:cs="宋体"/>
          <w:sz w:val="21"/>
          <w:szCs w:val="21"/>
          <w:highlight w:val="none"/>
          <w:lang w:val="en-US" w:eastAsia="zh-CN"/>
        </w:rPr>
        <w:t>型式的变更</w:t>
      </w:r>
      <w:r>
        <w:rPr>
          <w:rFonts w:hint="eastAsia" w:ascii="宋体" w:hAnsi="宋体" w:eastAsia="宋体" w:cs="宋体"/>
          <w:sz w:val="21"/>
          <w:szCs w:val="21"/>
          <w:highlight w:val="none"/>
        </w:rPr>
        <w:t>和扩展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_Toc21278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_Toc30976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highlight w:val="none"/>
        </w:rPr>
        <w:t>试验方法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_Toc30976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_Toc27578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ascii="宋体" w:hAnsi="宋体" w:eastAsia="宋体" w:cs="宋体"/>
          <w:sz w:val="21"/>
          <w:szCs w:val="21"/>
          <w:highlight w:val="none"/>
        </w:rPr>
        <w:t>总体要求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_Toc27578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_Toc5526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ascii="宋体" w:hAnsi="宋体" w:eastAsia="宋体" w:cs="宋体"/>
          <w:sz w:val="21"/>
          <w:szCs w:val="21"/>
          <w:highlight w:val="none"/>
        </w:rPr>
        <w:t>试验场地和试验设备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_Toc5526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_Toc17492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8.2.1  试验场地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_Toc17492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_Toc23508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8.2.2  试验仪器设备要求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_Toc23508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_Toc28699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ascii="宋体" w:hAnsi="宋体" w:eastAsia="宋体" w:cs="宋体"/>
          <w:sz w:val="21"/>
          <w:szCs w:val="21"/>
          <w:highlight w:val="none"/>
        </w:rPr>
        <w:t>试验车辆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_Toc28699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_Toc4388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ascii="宋体" w:hAnsi="宋体" w:eastAsia="宋体" w:cs="宋体"/>
          <w:sz w:val="21"/>
          <w:szCs w:val="21"/>
          <w:highlight w:val="none"/>
        </w:rPr>
        <w:t>静态检查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_Toc4388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_Toc2526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ascii="宋体" w:hAnsi="宋体" w:eastAsia="宋体" w:cs="宋体"/>
          <w:sz w:val="21"/>
          <w:szCs w:val="21"/>
          <w:highlight w:val="none"/>
        </w:rPr>
        <w:t>动态试验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_Toc2526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_Toc27619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9 </w:t>
      </w:r>
      <w:r>
        <w:rPr>
          <w:rFonts w:hint="eastAsia" w:ascii="宋体" w:hAnsi="宋体" w:eastAsia="宋体" w:cs="宋体"/>
          <w:sz w:val="21"/>
          <w:szCs w:val="21"/>
          <w:highlight w:val="none"/>
        </w:rPr>
        <w:t>实施日期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_Toc27619 \h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_Toc553 </w:instrText>
      </w:r>
      <w:r>
        <w:rPr>
          <w:rFonts w:hint="eastAsia" w:ascii="宋体" w:hAnsi="宋体" w:eastAsia="宋体" w:cs="宋体"/>
          <w:sz w:val="21"/>
          <w:szCs w:val="21"/>
          <w:highlight w:val="none"/>
        </w:rPr>
        <w:fldChar w:fldCharType="separate"/>
      </w:r>
      <w:r>
        <w:rPr>
          <w:rFonts w:hint="eastAsia" w:ascii="宋体" w:hAnsi="宋体" w:eastAsia="宋体" w:cs="宋体"/>
          <w:spacing w:val="100"/>
          <w:sz w:val="21"/>
          <w:szCs w:val="21"/>
        </w:rPr>
        <w:t xml:space="preserve">附录A </w:t>
      </w:r>
      <w:r>
        <w:rPr>
          <w:rFonts w:hint="eastAsia" w:ascii="宋体" w:hAnsi="宋体" w:eastAsia="宋体" w:cs="宋体"/>
          <w:sz w:val="21"/>
          <w:szCs w:val="21"/>
          <w:highlight w:val="none"/>
        </w:rPr>
        <w:t xml:space="preserve"> （规范性） 动力蓄电池荷电状态检验规程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_Toc553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_Toc26502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A.1 </w:t>
      </w:r>
      <w:r>
        <w:rPr>
          <w:rFonts w:hint="eastAsia" w:ascii="宋体" w:hAnsi="宋体" w:eastAsia="宋体" w:cs="宋体"/>
          <w:sz w:val="21"/>
          <w:szCs w:val="21"/>
          <w:highlight w:val="none"/>
          <w:lang w:val="en-US" w:eastAsia="zh-CN"/>
        </w:rPr>
        <w:t>总体要求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_Toc26502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_Toc26449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A.2 </w:t>
      </w:r>
      <w:r>
        <w:rPr>
          <w:rFonts w:hint="eastAsia" w:ascii="宋体" w:hAnsi="宋体" w:eastAsia="宋体" w:cs="宋体"/>
          <w:sz w:val="21"/>
          <w:szCs w:val="21"/>
          <w:highlight w:val="none"/>
        </w:rPr>
        <w:t>检验规程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_Toc26449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_Toc7929 </w:instrText>
      </w:r>
      <w:r>
        <w:rPr>
          <w:rFonts w:hint="eastAsia" w:ascii="宋体" w:hAnsi="宋体" w:eastAsia="宋体" w:cs="宋体"/>
          <w:sz w:val="21"/>
          <w:szCs w:val="21"/>
          <w:highlight w:val="none"/>
        </w:rPr>
        <w:fldChar w:fldCharType="separate"/>
      </w:r>
      <w:r>
        <w:rPr>
          <w:rFonts w:hint="eastAsia" w:ascii="宋体" w:hAnsi="宋体" w:eastAsia="宋体" w:cs="宋体"/>
          <w:spacing w:val="100"/>
          <w:sz w:val="21"/>
          <w:szCs w:val="21"/>
        </w:rPr>
        <w:t xml:space="preserve">附录B </w:t>
      </w:r>
      <w:r>
        <w:rPr>
          <w:rFonts w:hint="eastAsia" w:ascii="宋体" w:hAnsi="宋体" w:eastAsia="宋体" w:cs="宋体"/>
          <w:sz w:val="21"/>
          <w:szCs w:val="21"/>
          <w:highlight w:val="none"/>
        </w:rPr>
        <w:t xml:space="preserve"> （规范性） 制动电子控制系统功能安全要求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_Toc7929 \h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_Toc16083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B.1 </w:t>
      </w:r>
      <w:r>
        <w:rPr>
          <w:rFonts w:hint="eastAsia" w:ascii="宋体" w:hAnsi="宋体" w:eastAsia="宋体" w:cs="宋体"/>
          <w:sz w:val="21"/>
          <w:szCs w:val="21"/>
          <w:highlight w:val="none"/>
        </w:rPr>
        <w:t>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_Toc16083 \h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_Toc1795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B.2 </w:t>
      </w:r>
      <w:r>
        <w:rPr>
          <w:rFonts w:hint="eastAsia" w:ascii="宋体" w:hAnsi="宋体" w:eastAsia="宋体" w:cs="宋体"/>
          <w:sz w:val="21"/>
          <w:szCs w:val="21"/>
          <w:highlight w:val="none"/>
        </w:rPr>
        <w:t>文档要求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_Toc1795 \h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_Toc685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B.3 </w:t>
      </w:r>
      <w:r>
        <w:rPr>
          <w:rFonts w:hint="eastAsia" w:ascii="宋体" w:hAnsi="宋体" w:eastAsia="宋体" w:cs="宋体"/>
          <w:sz w:val="21"/>
          <w:szCs w:val="21"/>
          <w:highlight w:val="none"/>
        </w:rPr>
        <w:t>验证和确认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_Toc685 \h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_Toc28845 </w:instrText>
      </w:r>
      <w:r>
        <w:rPr>
          <w:rFonts w:hint="eastAsia" w:ascii="宋体" w:hAnsi="宋体" w:eastAsia="宋体" w:cs="宋体"/>
          <w:sz w:val="21"/>
          <w:szCs w:val="21"/>
          <w:highlight w:val="none"/>
        </w:rPr>
        <w:fldChar w:fldCharType="separate"/>
      </w:r>
      <w:r>
        <w:rPr>
          <w:rFonts w:hint="eastAsia" w:ascii="宋体" w:hAnsi="宋体" w:eastAsia="宋体" w:cs="宋体"/>
          <w:spacing w:val="100"/>
          <w:sz w:val="21"/>
          <w:szCs w:val="21"/>
        </w:rPr>
        <w:t xml:space="preserve">附录C </w:t>
      </w:r>
      <w:r>
        <w:rPr>
          <w:rFonts w:hint="eastAsia" w:ascii="宋体" w:hAnsi="宋体" w:eastAsia="宋体" w:cs="宋体"/>
          <w:sz w:val="21"/>
          <w:szCs w:val="21"/>
          <w:highlight w:val="none"/>
        </w:rPr>
        <w:t xml:space="preserve"> （规范性） 制动电子控制系统功能安全试验报告要求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_Toc28845 \h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_Toc10919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C.1 </w:t>
      </w:r>
      <w:r>
        <w:rPr>
          <w:rFonts w:hint="eastAsia" w:ascii="宋体" w:hAnsi="宋体" w:eastAsia="宋体" w:cs="宋体"/>
          <w:sz w:val="21"/>
          <w:szCs w:val="21"/>
          <w:highlight w:val="none"/>
        </w:rPr>
        <w:t>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_Toc10919 \h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_Toc15358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C.2 </w:t>
      </w:r>
      <w:r>
        <w:rPr>
          <w:rFonts w:hint="eastAsia" w:ascii="宋体" w:hAnsi="宋体" w:eastAsia="宋体" w:cs="宋体"/>
          <w:sz w:val="21"/>
          <w:szCs w:val="21"/>
          <w:highlight w:val="none"/>
        </w:rPr>
        <w:t>文档内容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_Toc15358 \h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_Toc10394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C.3 </w:t>
      </w:r>
      <w:r>
        <w:rPr>
          <w:rFonts w:hint="eastAsia" w:ascii="宋体" w:hAnsi="宋体" w:eastAsia="宋体" w:cs="宋体"/>
          <w:sz w:val="21"/>
          <w:szCs w:val="21"/>
          <w:highlight w:val="none"/>
        </w:rPr>
        <w:t>验证和确认试验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_Toc10394 \h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_Toc9617 </w:instrText>
      </w:r>
      <w:r>
        <w:rPr>
          <w:rFonts w:hint="eastAsia" w:ascii="宋体" w:hAnsi="宋体" w:eastAsia="宋体" w:cs="宋体"/>
          <w:sz w:val="21"/>
          <w:szCs w:val="21"/>
          <w:highlight w:val="none"/>
        </w:rPr>
        <w:fldChar w:fldCharType="separate"/>
      </w:r>
      <w:r>
        <w:rPr>
          <w:rFonts w:hint="eastAsia" w:ascii="宋体" w:hAnsi="宋体" w:eastAsia="宋体" w:cs="宋体"/>
          <w:spacing w:val="100"/>
          <w:sz w:val="21"/>
          <w:szCs w:val="21"/>
        </w:rPr>
        <w:t xml:space="preserve">附录D </w:t>
      </w:r>
      <w:r>
        <w:rPr>
          <w:rFonts w:hint="eastAsia" w:ascii="宋体" w:hAnsi="宋体" w:eastAsia="宋体" w:cs="宋体"/>
          <w:sz w:val="21"/>
          <w:szCs w:val="21"/>
          <w:highlight w:val="none"/>
        </w:rPr>
        <w:t xml:space="preserve"> （规范性） 制动电子控制系统功能安全描述要求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_Toc9617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_Toc14394 </w:instrText>
      </w:r>
      <w:r>
        <w:rPr>
          <w:rFonts w:hint="eastAsia" w:ascii="宋体" w:hAnsi="宋体" w:eastAsia="宋体" w:cs="宋体"/>
          <w:sz w:val="21"/>
          <w:szCs w:val="21"/>
          <w:highlight w:val="none"/>
        </w:rPr>
        <w:fldChar w:fldCharType="separate"/>
      </w:r>
      <w:r>
        <w:rPr>
          <w:rFonts w:hint="eastAsia" w:ascii="宋体" w:hAnsi="宋体" w:eastAsia="宋体" w:cs="宋体"/>
          <w:i w:val="0"/>
          <w:kern w:val="2"/>
          <w:sz w:val="21"/>
          <w:szCs w:val="21"/>
        </w:rPr>
        <w:t xml:space="preserve">D.1 </w:t>
      </w:r>
      <w:r>
        <w:rPr>
          <w:rFonts w:hint="eastAsia" w:ascii="宋体" w:hAnsi="宋体" w:eastAsia="宋体" w:cs="宋体"/>
          <w:sz w:val="21"/>
          <w:szCs w:val="21"/>
          <w:highlight w:val="none"/>
        </w:rPr>
        <w:t>总体要求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_Toc14394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_Toc11720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D.2 </w:t>
      </w:r>
      <w:r>
        <w:rPr>
          <w:rFonts w:hint="eastAsia" w:ascii="宋体" w:hAnsi="宋体" w:eastAsia="宋体" w:cs="宋体"/>
          <w:sz w:val="21"/>
          <w:szCs w:val="21"/>
          <w:highlight w:val="none"/>
        </w:rPr>
        <w:t>内容要求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_Toc11720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_Toc9713 </w:instrText>
      </w:r>
      <w:r>
        <w:rPr>
          <w:rFonts w:hint="eastAsia" w:ascii="宋体" w:hAnsi="宋体" w:eastAsia="宋体" w:cs="宋体"/>
          <w:sz w:val="21"/>
          <w:szCs w:val="21"/>
          <w:highlight w:val="none"/>
        </w:rPr>
        <w:fldChar w:fldCharType="separate"/>
      </w:r>
      <w:r>
        <w:rPr>
          <w:rFonts w:hint="eastAsia" w:ascii="宋体" w:hAnsi="宋体" w:eastAsia="宋体" w:cs="宋体"/>
          <w:spacing w:val="100"/>
          <w:sz w:val="21"/>
          <w:szCs w:val="21"/>
        </w:rPr>
        <w:t xml:space="preserve">附录E </w:t>
      </w:r>
      <w:r>
        <w:rPr>
          <w:rFonts w:hint="eastAsia" w:ascii="宋体" w:hAnsi="宋体" w:eastAsia="宋体" w:cs="宋体"/>
          <w:sz w:val="21"/>
          <w:szCs w:val="21"/>
          <w:highlight w:val="none"/>
        </w:rPr>
        <w:t xml:space="preserve"> （规范性） 车辆参数和试验数据处理要求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_Toc9713 \h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_Toc20139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E.1 </w:t>
      </w:r>
      <w:r>
        <w:rPr>
          <w:rFonts w:hint="eastAsia" w:ascii="宋体" w:hAnsi="宋体" w:eastAsia="宋体" w:cs="宋体"/>
          <w:sz w:val="21"/>
          <w:szCs w:val="21"/>
          <w:highlight w:val="none"/>
        </w:rPr>
        <w:t>车辆参数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_Toc20139 \h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_Toc3530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E.2 </w:t>
      </w:r>
      <w:r>
        <w:rPr>
          <w:rFonts w:hint="eastAsia" w:ascii="宋体" w:hAnsi="宋体" w:eastAsia="宋体" w:cs="宋体"/>
          <w:sz w:val="21"/>
          <w:szCs w:val="21"/>
          <w:highlight w:val="none"/>
        </w:rPr>
        <w:t>试验数据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_Toc3530 \h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
        <w:keepNext w:val="0"/>
        <w:keepLines w:val="0"/>
        <w:pageBreakBefore w:val="0"/>
        <w:widowControl w:val="0"/>
        <w:tabs>
          <w:tab w:val="right" w:leader="dot" w:pos="935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_Toc7608 </w:instrText>
      </w:r>
      <w:r>
        <w:rPr>
          <w:rFonts w:hint="eastAsia" w:ascii="宋体" w:hAnsi="宋体" w:eastAsia="宋体" w:cs="宋体"/>
          <w:sz w:val="21"/>
          <w:szCs w:val="21"/>
          <w:highlight w:val="none"/>
        </w:rPr>
        <w:fldChar w:fldCharType="separate"/>
      </w:r>
      <w:r>
        <w:rPr>
          <w:rFonts w:hint="eastAsia" w:ascii="宋体" w:hAnsi="宋体" w:eastAsia="宋体" w:cs="宋体"/>
          <w:spacing w:val="100"/>
          <w:sz w:val="21"/>
          <w:szCs w:val="21"/>
        </w:rPr>
        <w:t xml:space="preserve">附录F </w:t>
      </w:r>
      <w:r>
        <w:rPr>
          <w:rFonts w:hint="eastAsia" w:ascii="宋体" w:hAnsi="宋体" w:eastAsia="宋体" w:cs="宋体"/>
          <w:sz w:val="21"/>
          <w:szCs w:val="21"/>
          <w:highlight w:val="none"/>
        </w:rPr>
        <w:t xml:space="preserve"> （规范性） 配备临时备用车轮/轮胎的车辆制动和跑偏试验要求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_Toc7608 \h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_Toc23166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F.1 </w:t>
      </w:r>
      <w:r>
        <w:rPr>
          <w:rFonts w:hint="eastAsia" w:ascii="宋体" w:hAnsi="宋体" w:eastAsia="宋体" w:cs="宋体"/>
          <w:sz w:val="21"/>
          <w:szCs w:val="21"/>
          <w:highlight w:val="none"/>
        </w:rPr>
        <w:t>概述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_Toc23166 \h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6"/>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_Toc8489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rPr>
        <w:t xml:space="preserve">F.2 </w:t>
      </w:r>
      <w:r>
        <w:rPr>
          <w:rFonts w:hint="eastAsia" w:ascii="宋体" w:hAnsi="宋体" w:eastAsia="宋体" w:cs="宋体"/>
          <w:sz w:val="21"/>
          <w:szCs w:val="21"/>
          <w:highlight w:val="none"/>
        </w:rPr>
        <w:t>制动和跑偏试验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_Toc8489 \h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97"/>
        <w:keepNext w:val="0"/>
        <w:keepLines w:val="0"/>
        <w:pageBreakBefore w:val="0"/>
        <w:widowControl w:val="0"/>
        <w:tabs>
          <w:tab w:val="right" w:leader="dot" w:pos="9354"/>
        </w:tabs>
        <w:kinsoku/>
        <w:wordWrap/>
        <w:overflowPunct/>
        <w:topLinePunct w:val="0"/>
        <w:autoSpaceDE/>
        <w:autoSpaceDN/>
        <w:bidi w:val="0"/>
        <w:adjustRightInd w:val="0"/>
        <w:snapToGrid/>
        <w:spacing w:before="0" w:after="0" w:afterLines="0" w:line="288" w:lineRule="auto"/>
        <w:textAlignment w:val="auto"/>
        <w:rPr>
          <w:color w:val="auto"/>
          <w:highlight w:val="none"/>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color w:val="auto"/>
          <w:sz w:val="21"/>
          <w:szCs w:val="21"/>
          <w:highlight w:val="none"/>
        </w:rPr>
        <w:fldChar w:fldCharType="end"/>
      </w:r>
    </w:p>
    <w:bookmarkEnd w:id="19"/>
    <w:p>
      <w:pPr>
        <w:pStyle w:val="95"/>
        <w:spacing w:before="900" w:after="468"/>
        <w:rPr>
          <w:color w:val="auto"/>
          <w:highlight w:val="none"/>
        </w:rPr>
      </w:pPr>
      <w:bookmarkStart w:id="21" w:name="_Toc28662"/>
      <w:bookmarkStart w:id="22" w:name="BookMark2"/>
      <w:r>
        <w:rPr>
          <w:rFonts w:hint="eastAsia"/>
          <w:color w:val="auto"/>
          <w:highlight w:val="none"/>
          <w:lang w:val="en-US" w:eastAsia="zh-CN"/>
        </w:rPr>
        <w:t xml:space="preserve">前  </w:t>
      </w:r>
      <w:r>
        <w:rPr>
          <w:color w:val="auto"/>
          <w:highlight w:val="none"/>
        </w:rPr>
        <w:t>言</w:t>
      </w:r>
      <w:bookmarkEnd w:id="20"/>
      <w:bookmarkEnd w:id="21"/>
    </w:p>
    <w:p>
      <w:pPr>
        <w:pStyle w:val="62"/>
        <w:ind w:firstLine="420"/>
        <w:rPr>
          <w:color w:val="auto"/>
          <w:highlight w:val="none"/>
        </w:rPr>
      </w:pPr>
      <w:r>
        <w:rPr>
          <w:rFonts w:hint="eastAsia"/>
          <w:color w:val="auto"/>
          <w:highlight w:val="none"/>
        </w:rPr>
        <w:t>本文件按照GB/T 1.1—2020《标准化工作导则  第1部分：标准化文件的结构和起草规则》的规定起草。</w:t>
      </w:r>
    </w:p>
    <w:p>
      <w:pPr>
        <w:pStyle w:val="62"/>
        <w:ind w:firstLine="420"/>
        <w:rPr>
          <w:color w:val="auto"/>
          <w:szCs w:val="21"/>
          <w:highlight w:val="none"/>
        </w:rPr>
      </w:pPr>
      <w:r>
        <w:rPr>
          <w:rFonts w:hint="eastAsia"/>
          <w:color w:val="auto"/>
          <w:highlight w:val="none"/>
        </w:rPr>
        <w:t>本文件代替GB 21670</w:t>
      </w:r>
      <w:r>
        <w:rPr>
          <w:rFonts w:hint="eastAsia"/>
          <w:color w:val="auto"/>
          <w:highlight w:val="none"/>
          <w:lang w:eastAsia="zh-CN"/>
        </w:rPr>
        <w:t>—</w:t>
      </w:r>
      <w:r>
        <w:rPr>
          <w:rFonts w:hint="eastAsia"/>
          <w:color w:val="auto"/>
          <w:highlight w:val="none"/>
        </w:rPr>
        <w:t>2008《乘用车制动系统技术要求及试验方法》，本文件与GB 21670</w:t>
      </w:r>
      <w:r>
        <w:rPr>
          <w:rFonts w:hint="eastAsia"/>
          <w:color w:val="auto"/>
          <w:highlight w:val="none"/>
          <w:lang w:eastAsia="zh-CN"/>
        </w:rPr>
        <w:t>—</w:t>
      </w:r>
      <w:r>
        <w:rPr>
          <w:rFonts w:hint="eastAsia"/>
          <w:color w:val="auto"/>
          <w:highlight w:val="none"/>
        </w:rPr>
        <w:t>2008相比，主要技术变化如下：</w:t>
      </w:r>
    </w:p>
    <w:p>
      <w:pPr>
        <w:pStyle w:val="180"/>
        <w:bidi w:val="0"/>
        <w:ind w:left="851" w:leftChars="0" w:hanging="426" w:firstLineChars="0"/>
        <w:rPr>
          <w:rFonts w:hint="eastAsia"/>
        </w:rPr>
      </w:pPr>
      <w:r>
        <w:rPr>
          <w:rFonts w:hint="eastAsia"/>
        </w:rPr>
        <w:t>规范性引用文件GB/T 5345代替GB/T 14168、GB 34660代替GB/</w:t>
      </w:r>
      <w:r>
        <w:rPr>
          <w:rFonts w:hint="eastAsia"/>
          <w:lang w:val="en-US" w:eastAsia="zh-CN"/>
        </w:rPr>
        <w:t>T</w:t>
      </w:r>
      <w:r>
        <w:rPr>
          <w:rFonts w:hint="eastAsia"/>
        </w:rPr>
        <w:t xml:space="preserve"> 17619和GB 18655、新增GB/T 34590</w:t>
      </w:r>
      <w:r>
        <w:rPr>
          <w:rFonts w:hint="eastAsia"/>
          <w:lang w:val="en-US" w:eastAsia="zh-CN"/>
        </w:rPr>
        <w:t>-2022</w:t>
      </w:r>
      <w:r>
        <w:rPr>
          <w:rFonts w:hint="eastAsia"/>
        </w:rPr>
        <w:t>(所有部分)(见第2章，2008版的第2章)；</w:t>
      </w:r>
    </w:p>
    <w:p>
      <w:pPr>
        <w:pStyle w:val="180"/>
        <w:bidi w:val="0"/>
        <w:ind w:left="851" w:leftChars="0" w:hanging="426" w:firstLineChars="0"/>
        <w:rPr>
          <w:rFonts w:hint="eastAsia"/>
        </w:rPr>
      </w:pPr>
      <w:r>
        <w:rPr>
          <w:rFonts w:hint="eastAsia"/>
        </w:rPr>
        <w:t>删除了</w:t>
      </w:r>
      <w:r>
        <w:rPr>
          <w:rFonts w:hint="eastAsia"/>
          <w:lang w:val="en-US" w:eastAsia="zh-CN"/>
        </w:rPr>
        <w:t>车型</w:t>
      </w:r>
      <w:r>
        <w:rPr>
          <w:rFonts w:hint="eastAsia"/>
          <w:lang w:eastAsia="zh-CN"/>
        </w:rPr>
        <w:t>、</w:t>
      </w:r>
      <w:r>
        <w:rPr>
          <w:rFonts w:hint="eastAsia"/>
          <w:lang w:val="en-US" w:eastAsia="zh-CN"/>
        </w:rPr>
        <w:t>开启压力、关闭压力、</w:t>
      </w:r>
      <w:r>
        <w:rPr>
          <w:rFonts w:hint="eastAsia"/>
        </w:rPr>
        <w:t>安全概念、复合电子车辆控制系统、上层控制、控制范围</w:t>
      </w:r>
      <w:r>
        <w:rPr>
          <w:rFonts w:hint="eastAsia"/>
          <w:lang w:val="en-US" w:eastAsia="zh-CN"/>
        </w:rPr>
        <w:t>的</w:t>
      </w:r>
      <w:r>
        <w:rPr>
          <w:rFonts w:hint="eastAsia"/>
        </w:rPr>
        <w:t>术语和定义（见第</w:t>
      </w:r>
      <w:r>
        <w:rPr>
          <w:rFonts w:hint="eastAsia"/>
          <w:lang w:val="en-US" w:eastAsia="zh-CN"/>
        </w:rPr>
        <w:t>3</w:t>
      </w:r>
      <w:r>
        <w:rPr>
          <w:rFonts w:hint="eastAsia"/>
        </w:rPr>
        <w:t>章，2008版的第</w:t>
      </w:r>
      <w:r>
        <w:rPr>
          <w:rFonts w:hint="eastAsia"/>
          <w:lang w:val="en-US" w:eastAsia="zh-CN"/>
        </w:rPr>
        <w:t>3</w:t>
      </w:r>
      <w:r>
        <w:rPr>
          <w:rFonts w:hint="eastAsia"/>
        </w:rPr>
        <w:t>章）；</w:t>
      </w:r>
    </w:p>
    <w:p>
      <w:pPr>
        <w:pStyle w:val="180"/>
        <w:bidi w:val="0"/>
        <w:ind w:left="851" w:leftChars="0" w:hanging="426" w:firstLineChars="0"/>
        <w:rPr>
          <w:rFonts w:hint="eastAsia"/>
        </w:rPr>
      </w:pPr>
      <w:r>
        <w:rPr>
          <w:rFonts w:hint="eastAsia"/>
        </w:rPr>
        <w:t>更改了制动装备、</w:t>
      </w:r>
      <w:r>
        <w:rPr>
          <w:rFonts w:hint="eastAsia"/>
          <w:lang w:val="en-US" w:eastAsia="zh-CN"/>
        </w:rPr>
        <w:t>传输装置、制动器、不同类型的制动系统、制动系统的零部件、渐进制动/可调节制动、</w:t>
      </w:r>
      <w:r>
        <w:rPr>
          <w:rFonts w:hint="eastAsia"/>
        </w:rPr>
        <w:t>轮/轴荷</w:t>
      </w:r>
      <w:r>
        <w:rPr>
          <w:rFonts w:hint="eastAsia"/>
          <w:lang w:eastAsia="zh-CN"/>
        </w:rPr>
        <w:t>、</w:t>
      </w:r>
      <w:r>
        <w:rPr>
          <w:rFonts w:hint="eastAsia"/>
        </w:rPr>
        <w:t>最大静态轮/轴荷</w:t>
      </w:r>
      <w:r>
        <w:rPr>
          <w:rFonts w:hint="eastAsia"/>
          <w:lang w:val="en-US" w:eastAsia="zh-CN"/>
        </w:rPr>
        <w:t>、</w:t>
      </w:r>
      <w:r>
        <w:rPr>
          <w:rFonts w:hint="eastAsia"/>
        </w:rPr>
        <w:t>储能式液压制动系统</w:t>
      </w:r>
      <w:r>
        <w:rPr>
          <w:rFonts w:hint="eastAsia"/>
          <w:lang w:eastAsia="zh-CN"/>
        </w:rPr>
        <w:t>、</w:t>
      </w:r>
      <w:r>
        <w:rPr>
          <w:rFonts w:hint="eastAsia"/>
        </w:rPr>
        <w:t>动力蓄电池、荷电状态、</w:t>
      </w:r>
      <w:r>
        <w:rPr>
          <w:rFonts w:hint="eastAsia"/>
          <w:lang w:val="en-US" w:eastAsia="zh-CN"/>
        </w:rPr>
        <w:t>相位制动、</w:t>
      </w:r>
      <w:r>
        <w:rPr>
          <w:rFonts w:hint="eastAsia"/>
        </w:rPr>
        <w:t>自动控制制动、选择制动、标称值、防抱制动系统</w:t>
      </w:r>
      <w:r>
        <w:rPr>
          <w:rFonts w:hint="eastAsia"/>
          <w:lang w:eastAsia="zh-CN"/>
        </w:rPr>
        <w:t>、</w:t>
      </w:r>
      <w:r>
        <w:rPr>
          <w:rFonts w:hint="eastAsia"/>
        </w:rPr>
        <w:t>传感器</w:t>
      </w:r>
      <w:r>
        <w:rPr>
          <w:rFonts w:hint="eastAsia"/>
          <w:lang w:eastAsia="zh-CN"/>
        </w:rPr>
        <w:t>、</w:t>
      </w:r>
      <w:r>
        <w:rPr>
          <w:rFonts w:hint="eastAsia"/>
        </w:rPr>
        <w:t>控制器</w:t>
      </w:r>
      <w:r>
        <w:rPr>
          <w:rFonts w:hint="eastAsia"/>
          <w:lang w:eastAsia="zh-CN"/>
        </w:rPr>
        <w:t>、</w:t>
      </w:r>
      <w:r>
        <w:rPr>
          <w:rFonts w:hint="eastAsia"/>
        </w:rPr>
        <w:t>调节器</w:t>
      </w:r>
      <w:r>
        <w:rPr>
          <w:rFonts w:hint="eastAsia"/>
          <w:lang w:eastAsia="zh-CN"/>
        </w:rPr>
        <w:t>、</w:t>
      </w:r>
      <w:r>
        <w:rPr>
          <w:rFonts w:hint="eastAsia"/>
        </w:rPr>
        <w:t>直接控制车轮</w:t>
      </w:r>
      <w:r>
        <w:rPr>
          <w:rFonts w:hint="eastAsia"/>
          <w:lang w:eastAsia="zh-CN"/>
        </w:rPr>
        <w:t>、</w:t>
      </w:r>
      <w:r>
        <w:rPr>
          <w:rFonts w:hint="eastAsia"/>
        </w:rPr>
        <w:t>间接控制车轮</w:t>
      </w:r>
      <w:r>
        <w:rPr>
          <w:rFonts w:hint="eastAsia"/>
          <w:lang w:eastAsia="zh-CN"/>
        </w:rPr>
        <w:t>、</w:t>
      </w:r>
      <w:r>
        <w:rPr>
          <w:rFonts w:hint="eastAsia"/>
        </w:rPr>
        <w:t>全循环</w:t>
      </w:r>
      <w:r>
        <w:rPr>
          <w:rFonts w:hint="eastAsia"/>
          <w:lang w:eastAsia="zh-CN"/>
        </w:rPr>
        <w:t>、</w:t>
      </w:r>
      <w:r>
        <w:rPr>
          <w:rFonts w:hint="eastAsia"/>
        </w:rPr>
        <w:t>电子控制系统</w:t>
      </w:r>
      <w:r>
        <w:rPr>
          <w:rFonts w:hint="eastAsia"/>
          <w:lang w:eastAsia="zh-CN"/>
        </w:rPr>
        <w:t>、</w:t>
      </w:r>
      <w:r>
        <w:rPr>
          <w:rFonts w:hint="eastAsia"/>
        </w:rPr>
        <w:t>单元</w:t>
      </w:r>
      <w:r>
        <w:rPr>
          <w:rFonts w:hint="eastAsia"/>
          <w:lang w:eastAsia="zh-CN"/>
        </w:rPr>
        <w:t>、</w:t>
      </w:r>
      <w:r>
        <w:rPr>
          <w:rFonts w:hint="eastAsia"/>
        </w:rPr>
        <w:t>传输链</w:t>
      </w:r>
      <w:r>
        <w:rPr>
          <w:rFonts w:hint="eastAsia"/>
          <w:lang w:val="en-US" w:eastAsia="zh-CN"/>
        </w:rPr>
        <w:t>的</w:t>
      </w:r>
      <w:r>
        <w:rPr>
          <w:rFonts w:hint="eastAsia"/>
        </w:rPr>
        <w:t>术语和定义（见第</w:t>
      </w:r>
      <w:r>
        <w:rPr>
          <w:rFonts w:hint="eastAsia"/>
          <w:lang w:val="en-US" w:eastAsia="zh-CN"/>
        </w:rPr>
        <w:t>3</w:t>
      </w:r>
      <w:r>
        <w:rPr>
          <w:rFonts w:hint="eastAsia"/>
        </w:rPr>
        <w:t>章，2008版的第</w:t>
      </w:r>
      <w:r>
        <w:rPr>
          <w:rFonts w:hint="eastAsia"/>
          <w:lang w:val="en-US" w:eastAsia="zh-CN"/>
        </w:rPr>
        <w:t>3</w:t>
      </w:r>
      <w:r>
        <w:rPr>
          <w:rFonts w:hint="eastAsia"/>
        </w:rPr>
        <w:t>章）；</w:t>
      </w:r>
    </w:p>
    <w:p>
      <w:pPr>
        <w:pStyle w:val="180"/>
        <w:bidi w:val="0"/>
        <w:ind w:left="851" w:leftChars="0" w:hanging="426" w:firstLineChars="0"/>
        <w:rPr>
          <w:rFonts w:hint="eastAsia"/>
        </w:rPr>
      </w:pPr>
      <w:r>
        <w:rPr>
          <w:rFonts w:hint="eastAsia"/>
        </w:rPr>
        <w:t>增加了制动系统、制动信号、紧急制动信号</w:t>
      </w:r>
      <w:r>
        <w:rPr>
          <w:rFonts w:hint="eastAsia"/>
          <w:lang w:val="en-US" w:eastAsia="zh-CN"/>
        </w:rPr>
        <w:t>的</w:t>
      </w:r>
      <w:r>
        <w:rPr>
          <w:rFonts w:hint="eastAsia"/>
        </w:rPr>
        <w:t>术语和定义（见3.</w:t>
      </w:r>
      <w:r>
        <w:rPr>
          <w:rFonts w:hint="eastAsia"/>
          <w:lang w:val="en-US" w:eastAsia="zh-CN"/>
        </w:rPr>
        <w:t>2</w:t>
      </w:r>
      <w:r>
        <w:rPr>
          <w:rFonts w:hint="eastAsia"/>
        </w:rPr>
        <w:t>、3.2</w:t>
      </w:r>
      <w:r>
        <w:rPr>
          <w:rFonts w:hint="eastAsia"/>
          <w:lang w:val="en-US" w:eastAsia="zh-CN"/>
        </w:rPr>
        <w:t>3</w:t>
      </w:r>
      <w:r>
        <w:rPr>
          <w:rFonts w:hint="eastAsia"/>
        </w:rPr>
        <w:t>、3.2</w:t>
      </w:r>
      <w:r>
        <w:rPr>
          <w:rFonts w:hint="eastAsia"/>
          <w:lang w:val="en-US" w:eastAsia="zh-CN"/>
        </w:rPr>
        <w:t>4</w:t>
      </w:r>
      <w:r>
        <w:rPr>
          <w:rFonts w:hint="eastAsia"/>
        </w:rPr>
        <w:t>）；</w:t>
      </w:r>
    </w:p>
    <w:p>
      <w:pPr>
        <w:pStyle w:val="180"/>
        <w:bidi w:val="0"/>
        <w:ind w:left="851" w:leftChars="0" w:hanging="426" w:firstLineChars="0"/>
        <w:rPr>
          <w:rFonts w:hint="eastAsia"/>
        </w:rPr>
      </w:pPr>
      <w:r>
        <w:rPr>
          <w:rFonts w:hint="eastAsia"/>
        </w:rPr>
        <w:t>更改了符号和缩略语（见第4章，2008版的附录A）；</w:t>
      </w:r>
    </w:p>
    <w:p>
      <w:pPr>
        <w:pStyle w:val="180"/>
        <w:bidi w:val="0"/>
        <w:ind w:left="851" w:leftChars="0" w:hanging="426" w:firstLineChars="0"/>
        <w:rPr>
          <w:rFonts w:hint="eastAsia"/>
        </w:rPr>
      </w:pPr>
      <w:r>
        <w:rPr>
          <w:rFonts w:hint="eastAsia"/>
          <w:lang w:val="en-US" w:eastAsia="zh-CN"/>
        </w:rPr>
        <w:t>更改了车辆制动系统的设计、制造和安装要求、</w:t>
      </w:r>
      <w:r>
        <w:rPr>
          <w:rFonts w:hint="eastAsia"/>
        </w:rPr>
        <w:t>失效检测信号</w:t>
      </w:r>
      <w:r>
        <w:rPr>
          <w:rFonts w:hint="eastAsia"/>
          <w:lang w:val="en-US" w:eastAsia="zh-CN"/>
        </w:rPr>
        <w:t>的表述（见5.1.1.1、5.1.1.5，2008版的4.1.1.1、4.1.1.6）；</w:t>
      </w:r>
    </w:p>
    <w:p>
      <w:pPr>
        <w:pStyle w:val="180"/>
        <w:bidi w:val="0"/>
        <w:ind w:left="851" w:leftChars="0" w:hanging="426" w:firstLineChars="0"/>
        <w:rPr>
          <w:rFonts w:hint="eastAsia"/>
        </w:rPr>
      </w:pPr>
      <w:r>
        <w:rPr>
          <w:rFonts w:hint="eastAsia"/>
        </w:rPr>
        <w:t>更改了电磁兼容相关要求（见5.</w:t>
      </w:r>
      <w:r>
        <w:rPr>
          <w:rFonts w:hint="eastAsia"/>
          <w:lang w:val="en-US" w:eastAsia="zh-CN"/>
        </w:rPr>
        <w:t>1.1</w:t>
      </w:r>
      <w:r>
        <w:rPr>
          <w:rFonts w:hint="eastAsia"/>
        </w:rPr>
        <w:t>.</w:t>
      </w:r>
      <w:r>
        <w:rPr>
          <w:rFonts w:hint="eastAsia"/>
          <w:lang w:val="en-US" w:eastAsia="zh-CN"/>
        </w:rPr>
        <w:t>4</w:t>
      </w:r>
      <w:r>
        <w:rPr>
          <w:rFonts w:hint="eastAsia"/>
        </w:rPr>
        <w:t>、6.</w:t>
      </w:r>
      <w:r>
        <w:rPr>
          <w:rFonts w:hint="eastAsia"/>
          <w:lang w:val="en-US" w:eastAsia="zh-CN"/>
        </w:rPr>
        <w:t>5</w:t>
      </w:r>
      <w:r>
        <w:rPr>
          <w:rFonts w:hint="eastAsia"/>
        </w:rPr>
        <w:t>.</w:t>
      </w:r>
      <w:r>
        <w:rPr>
          <w:rFonts w:hint="eastAsia"/>
          <w:lang w:val="en-US" w:eastAsia="zh-CN"/>
        </w:rPr>
        <w:t>1</w:t>
      </w:r>
      <w:r>
        <w:rPr>
          <w:rFonts w:hint="eastAsia"/>
        </w:rPr>
        <w:t>.5，2008版的4.</w:t>
      </w:r>
      <w:r>
        <w:rPr>
          <w:rFonts w:hint="eastAsia"/>
          <w:lang w:val="en-US" w:eastAsia="zh-CN"/>
        </w:rPr>
        <w:t>1</w:t>
      </w:r>
      <w:r>
        <w:rPr>
          <w:rFonts w:hint="eastAsia"/>
        </w:rPr>
        <w:t>.1.4、5.6.</w:t>
      </w:r>
      <w:r>
        <w:rPr>
          <w:rFonts w:hint="eastAsia"/>
          <w:lang w:val="en-US" w:eastAsia="zh-CN"/>
        </w:rPr>
        <w:t>2</w:t>
      </w:r>
      <w:r>
        <w:rPr>
          <w:rFonts w:hint="eastAsia"/>
        </w:rPr>
        <w:t>.5）；</w:t>
      </w:r>
    </w:p>
    <w:p>
      <w:pPr>
        <w:pStyle w:val="180"/>
        <w:bidi w:val="0"/>
        <w:ind w:left="851" w:leftChars="0" w:hanging="426" w:firstLineChars="0"/>
        <w:rPr>
          <w:rFonts w:hint="eastAsia"/>
        </w:rPr>
      </w:pPr>
      <w:r>
        <w:rPr>
          <w:rFonts w:hint="eastAsia"/>
          <w:lang w:val="en-US" w:eastAsia="zh-CN"/>
        </w:rPr>
        <w:t>更改了制动系统的功能的表述（见5.1.2，2008版的4.1.2）；</w:t>
      </w:r>
    </w:p>
    <w:p>
      <w:pPr>
        <w:pStyle w:val="180"/>
        <w:bidi w:val="0"/>
        <w:ind w:left="851" w:leftChars="0" w:hanging="426" w:firstLineChars="0"/>
        <w:rPr>
          <w:rFonts w:hint="eastAsia"/>
        </w:rPr>
      </w:pPr>
      <w:r>
        <w:rPr>
          <w:rFonts w:hint="eastAsia"/>
        </w:rPr>
        <w:t>更改了制动电子控制系统的功能安全要求（见5.1.3、附录B，2</w:t>
      </w:r>
      <w:r>
        <w:t>008</w:t>
      </w:r>
      <w:r>
        <w:rPr>
          <w:rFonts w:hint="eastAsia"/>
        </w:rPr>
        <w:t>版的4</w:t>
      </w:r>
      <w:r>
        <w:t>.1.3</w:t>
      </w:r>
      <w:r>
        <w:rPr>
          <w:rFonts w:hint="eastAsia"/>
        </w:rPr>
        <w:t>、附录D）；</w:t>
      </w:r>
    </w:p>
    <w:p>
      <w:pPr>
        <w:pStyle w:val="180"/>
        <w:bidi w:val="0"/>
        <w:ind w:left="851" w:leftChars="0" w:hanging="426" w:firstLineChars="0"/>
        <w:rPr>
          <w:rFonts w:hint="eastAsia"/>
        </w:rPr>
      </w:pPr>
      <w:r>
        <w:rPr>
          <w:rFonts w:hint="eastAsia"/>
          <w:lang w:val="en-US" w:eastAsia="zh-CN"/>
        </w:rPr>
        <w:t>更改了行车制动、应急制动和驻车制动系可共用部件要求的表述（见5.2.2，2008版的4.2.2）；</w:t>
      </w:r>
    </w:p>
    <w:p>
      <w:pPr>
        <w:pStyle w:val="180"/>
        <w:bidi w:val="0"/>
        <w:ind w:left="851" w:leftChars="0" w:hanging="426" w:firstLineChars="0"/>
        <w:rPr>
          <w:rFonts w:hint="eastAsia"/>
        </w:rPr>
      </w:pPr>
      <w:r>
        <w:rPr>
          <w:rFonts w:hint="eastAsia"/>
        </w:rPr>
        <w:t>更改了驻车解除的要求[见5.2.10，5.2.19</w:t>
      </w:r>
      <w:r>
        <w:rPr>
          <w:rFonts w:hint="eastAsia"/>
          <w:lang w:val="en-US" w:eastAsia="zh-CN"/>
        </w:rPr>
        <w:t xml:space="preserve"> </w:t>
      </w:r>
      <w:r>
        <w:rPr>
          <w:rFonts w:hint="eastAsia"/>
        </w:rPr>
        <w:t>d），2008版的4.2.10，4.2.19.4]；</w:t>
      </w:r>
    </w:p>
    <w:p>
      <w:pPr>
        <w:pStyle w:val="180"/>
        <w:bidi w:val="0"/>
        <w:ind w:left="851" w:leftChars="0" w:hanging="426" w:firstLineChars="0"/>
        <w:rPr>
          <w:rFonts w:hint="eastAsia"/>
        </w:rPr>
      </w:pPr>
      <w:r>
        <w:rPr>
          <w:rFonts w:hint="eastAsia"/>
        </w:rPr>
        <w:t>更改了行车制动器摩擦部件磨损情况的检查要求</w:t>
      </w:r>
      <w:r>
        <w:rPr>
          <w:rFonts w:hint="eastAsia"/>
          <w:lang w:val="en-US" w:eastAsia="zh-CN"/>
        </w:rPr>
        <w:t>（</w:t>
      </w:r>
      <w:r>
        <w:rPr>
          <w:rFonts w:hint="eastAsia"/>
        </w:rPr>
        <w:t>见5.2.11</w:t>
      </w:r>
      <w:r>
        <w:rPr>
          <w:rFonts w:hint="eastAsia"/>
          <w:lang w:val="en-US" w:eastAsia="zh-CN"/>
        </w:rPr>
        <w:t xml:space="preserve"> </w:t>
      </w:r>
      <w:r>
        <w:rPr>
          <w:rFonts w:hint="eastAsia"/>
        </w:rPr>
        <w:t>,2008版的4.2.11.2</w:t>
      </w:r>
      <w:r>
        <w:rPr>
          <w:rFonts w:hint="eastAsia"/>
          <w:lang w:eastAsia="zh-CN"/>
        </w:rPr>
        <w:t>）</w:t>
      </w:r>
      <w:r>
        <w:rPr>
          <w:rFonts w:hint="eastAsia"/>
        </w:rPr>
        <w:t>；</w:t>
      </w:r>
    </w:p>
    <w:p>
      <w:pPr>
        <w:pStyle w:val="180"/>
        <w:bidi w:val="0"/>
        <w:ind w:left="851" w:leftChars="0" w:hanging="426" w:firstLineChars="0"/>
        <w:rPr>
          <w:rFonts w:hint="eastAsia"/>
        </w:rPr>
      </w:pPr>
      <w:r>
        <w:rPr>
          <w:rFonts w:hint="eastAsia"/>
          <w:lang w:val="en-US" w:eastAsia="zh-CN"/>
        </w:rPr>
        <w:t>增加了</w:t>
      </w:r>
      <w:r>
        <w:rPr>
          <w:rFonts w:hint="eastAsia"/>
        </w:rPr>
        <w:t>A型及同时具有A型和B型电力再生制动系统的车辆，通过松开加速踏板实现的制动作用不能使车辆减速至停车</w:t>
      </w:r>
      <w:r>
        <w:rPr>
          <w:rFonts w:hint="eastAsia"/>
          <w:lang w:val="en-US" w:eastAsia="zh-CN"/>
        </w:rPr>
        <w:t>的要求[见5.2.18 f）]；</w:t>
      </w:r>
    </w:p>
    <w:p>
      <w:pPr>
        <w:pStyle w:val="180"/>
        <w:bidi w:val="0"/>
        <w:ind w:left="851" w:leftChars="0" w:hanging="426" w:firstLineChars="0"/>
        <w:rPr>
          <w:rFonts w:hint="eastAsia"/>
        </w:rPr>
      </w:pPr>
      <w:r>
        <w:rPr>
          <w:rFonts w:hint="eastAsia"/>
          <w:lang w:val="en-US" w:eastAsia="zh-CN"/>
        </w:rPr>
        <w:t>更改了</w:t>
      </w:r>
      <w:r>
        <w:rPr>
          <w:rFonts w:hint="eastAsia"/>
        </w:rPr>
        <w:t>采用电子传输的驻车制动系统</w:t>
      </w:r>
      <w:r>
        <w:rPr>
          <w:rFonts w:hint="eastAsia"/>
          <w:lang w:val="en-US" w:eastAsia="zh-CN"/>
        </w:rPr>
        <w:t>出现一处电气失效的要求[见5.2.19 b），2008版的4.2.19.2]；</w:t>
      </w:r>
    </w:p>
    <w:p>
      <w:pPr>
        <w:pStyle w:val="180"/>
        <w:bidi w:val="0"/>
        <w:ind w:left="851" w:leftChars="0" w:hanging="426" w:firstLineChars="0"/>
        <w:rPr>
          <w:rFonts w:hint="eastAsia"/>
        </w:rPr>
      </w:pPr>
      <w:r>
        <w:rPr>
          <w:rFonts w:hint="eastAsia"/>
        </w:rPr>
        <w:t>更改了装备电控传输装置的行车制动系统要求</w:t>
      </w:r>
      <w:r>
        <w:rPr>
          <w:rFonts w:hint="eastAsia"/>
          <w:lang w:val="en-US" w:eastAsia="zh-CN"/>
        </w:rPr>
        <w:t>[</w:t>
      </w:r>
      <w:r>
        <w:rPr>
          <w:rFonts w:hint="eastAsia"/>
        </w:rPr>
        <w:t>见5.20</w:t>
      </w:r>
      <w:r>
        <w:rPr>
          <w:rFonts w:hint="eastAsia"/>
          <w:lang w:val="en-US" w:eastAsia="zh-CN"/>
        </w:rPr>
        <w:t xml:space="preserve"> </w:t>
      </w:r>
      <w:r>
        <w:rPr>
          <w:rFonts w:hint="eastAsia"/>
        </w:rPr>
        <w:t>a），2008版的4.2.20.1</w:t>
      </w:r>
      <w:r>
        <w:rPr>
          <w:rFonts w:hint="eastAsia"/>
          <w:lang w:val="en-US" w:eastAsia="zh-CN"/>
        </w:rPr>
        <w:t>]</w:t>
      </w:r>
      <w:r>
        <w:rPr>
          <w:rFonts w:hint="eastAsia"/>
        </w:rPr>
        <w:t>；</w:t>
      </w:r>
    </w:p>
    <w:p>
      <w:pPr>
        <w:pStyle w:val="180"/>
        <w:bidi w:val="0"/>
        <w:ind w:left="851" w:leftChars="0" w:hanging="426" w:firstLineChars="0"/>
        <w:rPr>
          <w:rFonts w:hint="eastAsia"/>
        </w:rPr>
      </w:pPr>
      <w:r>
        <w:rPr>
          <w:rFonts w:hint="eastAsia"/>
          <w:lang w:val="en-US" w:eastAsia="zh-CN"/>
        </w:rPr>
        <w:t>删除了</w:t>
      </w:r>
      <w:r>
        <w:rPr>
          <w:rFonts w:hint="eastAsia"/>
        </w:rPr>
        <w:t>乘用车制动装备发生某些失效（或故障）时</w:t>
      </w:r>
      <w:r>
        <w:rPr>
          <w:rFonts w:hint="eastAsia"/>
          <w:lang w:eastAsia="zh-CN"/>
        </w:rPr>
        <w:t>，</w:t>
      </w:r>
      <w:r>
        <w:rPr>
          <w:rFonts w:hint="eastAsia"/>
          <w:lang w:val="en-US" w:eastAsia="zh-CN"/>
        </w:rPr>
        <w:t>报警信号的示例[见5.2.21 a），2008版的4.2.21.1.1、4.2.21.1.2]；</w:t>
      </w:r>
    </w:p>
    <w:p>
      <w:pPr>
        <w:pStyle w:val="180"/>
        <w:bidi w:val="0"/>
        <w:ind w:left="851" w:leftChars="0" w:hanging="426" w:firstLineChars="0"/>
        <w:rPr>
          <w:rFonts w:hint="eastAsia"/>
        </w:rPr>
      </w:pPr>
      <w:r>
        <w:rPr>
          <w:rFonts w:hint="eastAsia"/>
          <w:lang w:val="en-US" w:eastAsia="zh-CN"/>
        </w:rPr>
        <w:t>删除了</w:t>
      </w:r>
      <w:r>
        <w:rPr>
          <w:rFonts w:hint="eastAsia"/>
        </w:rPr>
        <w:t>乘用车制动装备发生某些失效（或故障）时</w:t>
      </w:r>
      <w:r>
        <w:rPr>
          <w:rFonts w:hint="eastAsia"/>
          <w:lang w:eastAsia="zh-CN"/>
        </w:rPr>
        <w:t>，</w:t>
      </w:r>
      <w:r>
        <w:rPr>
          <w:rFonts w:hint="eastAsia"/>
          <w:lang w:val="en-US" w:eastAsia="zh-CN"/>
        </w:rPr>
        <w:t>声学信号的要求（见2008版的4.2.21.1.3）；</w:t>
      </w:r>
    </w:p>
    <w:p>
      <w:pPr>
        <w:pStyle w:val="180"/>
        <w:bidi w:val="0"/>
        <w:ind w:left="851" w:leftChars="0" w:hanging="426" w:firstLineChars="0"/>
        <w:rPr>
          <w:rFonts w:hint="eastAsia"/>
        </w:rPr>
      </w:pPr>
      <w:r>
        <w:rPr>
          <w:rFonts w:hint="eastAsia"/>
        </w:rPr>
        <w:t>更改了制动灯点亮的规定（见5.2.22，2008版的4.2.21.6）；</w:t>
      </w:r>
    </w:p>
    <w:p>
      <w:pPr>
        <w:pStyle w:val="180"/>
        <w:bidi w:val="0"/>
        <w:ind w:left="851" w:leftChars="0" w:hanging="426" w:firstLineChars="0"/>
        <w:rPr>
          <w:rFonts w:hint="eastAsia"/>
        </w:rPr>
      </w:pPr>
      <w:r>
        <w:rPr>
          <w:rFonts w:hint="eastAsia"/>
        </w:rPr>
        <w:t>增加了紧急制动信号的规定（见5.2.23）；</w:t>
      </w:r>
    </w:p>
    <w:p>
      <w:pPr>
        <w:pStyle w:val="180"/>
        <w:bidi w:val="0"/>
        <w:ind w:left="851" w:leftChars="0" w:hanging="426" w:firstLineChars="0"/>
        <w:rPr>
          <w:rFonts w:hint="eastAsia"/>
        </w:rPr>
      </w:pPr>
      <w:r>
        <w:rPr>
          <w:rFonts w:hint="eastAsia"/>
        </w:rPr>
        <w:t>增加了配备临时备用车轮/轮胎的车辆制动和跑偏试验要求（见5.2.24和附录F）；</w:t>
      </w:r>
    </w:p>
    <w:p>
      <w:pPr>
        <w:pStyle w:val="180"/>
        <w:bidi w:val="0"/>
        <w:ind w:left="851" w:leftChars="0" w:hanging="426" w:firstLineChars="0"/>
        <w:rPr>
          <w:rFonts w:hint="eastAsia"/>
        </w:rPr>
      </w:pPr>
      <w:r>
        <w:rPr>
          <w:rFonts w:hint="eastAsia"/>
        </w:rPr>
        <w:t>增加了M1类车辆安装防抱制动系统的要求</w:t>
      </w:r>
      <w:r>
        <w:rPr>
          <w:rFonts w:hint="eastAsia"/>
          <w:lang w:eastAsia="zh-CN"/>
        </w:rPr>
        <w:t>（</w:t>
      </w:r>
      <w:r>
        <w:rPr>
          <w:rFonts w:hint="eastAsia"/>
        </w:rPr>
        <w:t>见5.2.25</w:t>
      </w:r>
      <w:r>
        <w:rPr>
          <w:rFonts w:hint="eastAsia"/>
          <w:lang w:eastAsia="zh-CN"/>
        </w:rPr>
        <w:t>）</w:t>
      </w:r>
      <w:r>
        <w:rPr>
          <w:rFonts w:hint="eastAsia"/>
        </w:rPr>
        <w:t>；</w:t>
      </w:r>
    </w:p>
    <w:p>
      <w:pPr>
        <w:pStyle w:val="180"/>
        <w:bidi w:val="0"/>
        <w:ind w:left="851" w:leftChars="0" w:hanging="426" w:firstLineChars="0"/>
        <w:rPr>
          <w:rFonts w:hint="eastAsia"/>
        </w:rPr>
      </w:pPr>
      <w:r>
        <w:rPr>
          <w:rFonts w:hint="eastAsia"/>
          <w:lang w:val="en-US" w:eastAsia="zh-CN"/>
        </w:rPr>
        <w:t>更改了</w:t>
      </w:r>
      <w:r>
        <w:rPr>
          <w:rFonts w:hint="eastAsia"/>
        </w:rPr>
        <w:t>初始车速与规定车速之间</w:t>
      </w:r>
      <w:r>
        <w:rPr>
          <w:rFonts w:hint="eastAsia"/>
          <w:lang w:val="en-US" w:eastAsia="zh-CN"/>
        </w:rPr>
        <w:t>允许偏差的要求（见6.1.1.2，2008版的5.1.1.2）</w:t>
      </w:r>
    </w:p>
    <w:p>
      <w:pPr>
        <w:pStyle w:val="180"/>
        <w:bidi w:val="0"/>
        <w:ind w:left="851" w:leftChars="0" w:hanging="426" w:firstLineChars="0"/>
        <w:rPr>
          <w:rFonts w:hint="eastAsia"/>
        </w:rPr>
      </w:pPr>
      <w:r>
        <w:rPr>
          <w:rFonts w:hint="eastAsia"/>
        </w:rPr>
        <w:t>更改了试验车速的要求（见6.1.2.9，2008版的</w:t>
      </w:r>
      <w:r>
        <w:t>5</w:t>
      </w:r>
      <w:r>
        <w:rPr>
          <w:rFonts w:hint="eastAsia"/>
        </w:rPr>
        <w:t>.1.2.9）；</w:t>
      </w:r>
    </w:p>
    <w:p>
      <w:pPr>
        <w:pStyle w:val="180"/>
        <w:bidi w:val="0"/>
        <w:ind w:left="851" w:leftChars="0" w:hanging="426" w:firstLineChars="0"/>
        <w:rPr>
          <w:rFonts w:hint="eastAsia"/>
        </w:rPr>
      </w:pPr>
      <w:r>
        <w:rPr>
          <w:rFonts w:hint="eastAsia"/>
          <w:lang w:val="en-US" w:eastAsia="zh-CN"/>
        </w:rPr>
        <w:t>更改了</w:t>
      </w:r>
      <w:r>
        <w:rPr>
          <w:rFonts w:hint="eastAsia"/>
        </w:rPr>
        <w:t>B型电力再生式制动系统0型试验</w:t>
      </w:r>
      <w:r>
        <w:rPr>
          <w:rFonts w:hint="eastAsia"/>
          <w:lang w:val="en-US" w:eastAsia="zh-CN"/>
        </w:rPr>
        <w:t>的试验条件[见6.1.4.1.2 d），2008版的</w:t>
      </w:r>
      <w:r>
        <w:rPr>
          <w:rFonts w:hint="eastAsia"/>
        </w:rPr>
        <w:t>5.1.4.1.2.3</w:t>
      </w:r>
      <w:r>
        <w:rPr>
          <w:rFonts w:hint="eastAsia"/>
          <w:lang w:val="en-US" w:eastAsia="zh-CN"/>
        </w:rPr>
        <w:t>]；</w:t>
      </w:r>
    </w:p>
    <w:p>
      <w:pPr>
        <w:pStyle w:val="180"/>
        <w:bidi w:val="0"/>
        <w:ind w:left="851" w:leftChars="0" w:hanging="426" w:firstLineChars="0"/>
        <w:rPr>
          <w:rFonts w:hint="eastAsia"/>
        </w:rPr>
      </w:pPr>
      <w:r>
        <w:rPr>
          <w:rFonts w:hint="eastAsia"/>
          <w:lang w:val="en-US" w:eastAsia="zh-CN"/>
        </w:rPr>
        <w:t>更改了动力脱开的0型试验的试验要求（见6.1.4.2，2008版的5.1.4.2）；</w:t>
      </w:r>
    </w:p>
    <w:p>
      <w:pPr>
        <w:pStyle w:val="180"/>
        <w:bidi w:val="0"/>
        <w:ind w:left="851" w:leftChars="0" w:hanging="426" w:firstLineChars="0"/>
        <w:rPr>
          <w:rFonts w:hint="eastAsia"/>
        </w:rPr>
      </w:pPr>
      <w:r>
        <w:rPr>
          <w:rFonts w:hint="eastAsia"/>
          <w:lang w:val="en-US" w:eastAsia="zh-CN"/>
        </w:rPr>
        <w:t>更改了动力接合的0型试验的试验要求表述（见6.1.4.3，2008版的5.1.4.3）；</w:t>
      </w:r>
    </w:p>
    <w:p>
      <w:pPr>
        <w:pStyle w:val="180"/>
        <w:bidi w:val="0"/>
        <w:ind w:left="851" w:leftChars="0" w:hanging="426" w:firstLineChars="0"/>
        <w:rPr>
          <w:rFonts w:hint="eastAsia"/>
        </w:rPr>
      </w:pPr>
      <w:r>
        <w:rPr>
          <w:rFonts w:hint="eastAsia"/>
          <w:lang w:val="en-US" w:eastAsia="zh-CN"/>
        </w:rPr>
        <w:t>更改了自动变速器的试验要求（见6.1.5.1.4，2008版的5.1.5.1.4）；</w:t>
      </w:r>
    </w:p>
    <w:p>
      <w:pPr>
        <w:pStyle w:val="180"/>
        <w:bidi w:val="0"/>
        <w:ind w:left="851" w:leftChars="0" w:hanging="426" w:firstLineChars="0"/>
        <w:rPr>
          <w:rFonts w:hint="eastAsia"/>
        </w:rPr>
      </w:pPr>
      <w:r>
        <w:rPr>
          <w:rFonts w:hint="eastAsia"/>
          <w:lang w:val="en-US" w:eastAsia="zh-CN"/>
        </w:rPr>
        <w:t>更改了热态性能试验开始时间要求（见6.1.5.2，2008版的5.1.5.2.1）；</w:t>
      </w:r>
    </w:p>
    <w:p>
      <w:pPr>
        <w:pStyle w:val="180"/>
        <w:bidi w:val="0"/>
        <w:ind w:left="851" w:leftChars="0" w:hanging="426" w:firstLineChars="0"/>
        <w:rPr>
          <w:rFonts w:hint="eastAsia"/>
        </w:rPr>
      </w:pPr>
      <w:r>
        <w:rPr>
          <w:rFonts w:hint="eastAsia"/>
          <w:lang w:val="en-US" w:eastAsia="zh-CN"/>
        </w:rPr>
        <w:t>增加了</w:t>
      </w:r>
      <w:r>
        <w:rPr>
          <w:rFonts w:hint="eastAsia"/>
        </w:rPr>
        <w:t>装备B型电力再生式制动系统的车辆</w:t>
      </w:r>
      <w:r>
        <w:rPr>
          <w:rFonts w:hint="eastAsia"/>
          <w:lang w:val="en-US" w:eastAsia="zh-CN"/>
        </w:rPr>
        <w:t>进行热态性能试验的试验要求[6.1.5.2 c)]；</w:t>
      </w:r>
    </w:p>
    <w:p>
      <w:pPr>
        <w:pStyle w:val="180"/>
        <w:bidi w:val="0"/>
        <w:ind w:left="851" w:leftChars="0" w:hanging="426" w:firstLineChars="0"/>
        <w:rPr>
          <w:rFonts w:hint="eastAsia"/>
        </w:rPr>
      </w:pPr>
      <w:r>
        <w:rPr>
          <w:rFonts w:hint="eastAsia"/>
        </w:rPr>
        <w:t>更改了装备B型电力再生式制动系统车辆恢复过程试验的要求（见6.1.5.3.2，2008版的5.1.5.3）；</w:t>
      </w:r>
    </w:p>
    <w:p>
      <w:pPr>
        <w:pStyle w:val="180"/>
        <w:bidi w:val="0"/>
        <w:ind w:left="851" w:leftChars="0" w:hanging="426" w:firstLineChars="0"/>
        <w:rPr>
          <w:rFonts w:hint="eastAsia"/>
        </w:rPr>
      </w:pPr>
      <w:r>
        <w:rPr>
          <w:rFonts w:hint="eastAsia"/>
          <w:lang w:val="en-US" w:eastAsia="zh-CN"/>
        </w:rPr>
        <w:t>删除了车轴间的制动力分配（见2008版5.5）；</w:t>
      </w:r>
    </w:p>
    <w:p>
      <w:pPr>
        <w:pStyle w:val="180"/>
        <w:bidi w:val="0"/>
        <w:ind w:left="851" w:leftChars="0" w:hanging="426" w:firstLineChars="0"/>
        <w:rPr>
          <w:rFonts w:hint="eastAsia"/>
        </w:rPr>
      </w:pPr>
      <w:r>
        <w:rPr>
          <w:rFonts w:hint="eastAsia"/>
        </w:rPr>
        <w:t>删除了装备防抱制动系统的试验要求</w:t>
      </w:r>
      <w:r>
        <w:rPr>
          <w:rFonts w:hint="eastAsia"/>
          <w:lang w:eastAsia="zh-CN"/>
        </w:rPr>
        <w:t>（</w:t>
      </w:r>
      <w:r>
        <w:rPr>
          <w:rFonts w:hint="eastAsia"/>
        </w:rPr>
        <w:t>见2008版5.6</w:t>
      </w:r>
      <w:r>
        <w:rPr>
          <w:rFonts w:hint="eastAsia"/>
          <w:lang w:eastAsia="zh-CN"/>
        </w:rPr>
        <w:t>）</w:t>
      </w:r>
      <w:r>
        <w:rPr>
          <w:rFonts w:hint="eastAsia"/>
        </w:rPr>
        <w:t>；</w:t>
      </w:r>
    </w:p>
    <w:p>
      <w:pPr>
        <w:pStyle w:val="180"/>
        <w:bidi w:val="0"/>
        <w:ind w:left="851" w:leftChars="0" w:hanging="426" w:firstLineChars="0"/>
        <w:rPr>
          <w:rFonts w:hint="eastAsia"/>
        </w:rPr>
      </w:pPr>
      <w:r>
        <w:rPr>
          <w:rFonts w:hint="eastAsia"/>
          <w:lang w:val="en-US" w:eastAsia="zh-CN"/>
        </w:rPr>
        <w:t>增加了关于确认k</w:t>
      </w:r>
      <w:r>
        <w:rPr>
          <w:rFonts w:hint="eastAsia"/>
          <w:vertAlign w:val="subscript"/>
          <w:lang w:val="en-US" w:eastAsia="zh-CN"/>
        </w:rPr>
        <w:t>peak</w:t>
      </w:r>
      <w:r>
        <w:rPr>
          <w:rFonts w:hint="eastAsia"/>
          <w:lang w:val="en-US" w:eastAsia="zh-CN"/>
        </w:rPr>
        <w:t>和k</w:t>
      </w:r>
      <w:r>
        <w:rPr>
          <w:rFonts w:hint="eastAsia"/>
          <w:vertAlign w:val="subscript"/>
          <w:lang w:val="en-US" w:eastAsia="zh-CN"/>
        </w:rPr>
        <w:t>lock</w:t>
      </w:r>
      <w:r>
        <w:rPr>
          <w:rFonts w:hint="eastAsia"/>
          <w:lang w:val="en-US" w:eastAsia="zh-CN"/>
        </w:rPr>
        <w:t>的方法描述的要求（见6.5.5.1～6.5.5.3）</w:t>
      </w:r>
    </w:p>
    <w:p>
      <w:pPr>
        <w:pStyle w:val="180"/>
        <w:bidi w:val="0"/>
        <w:ind w:left="851" w:leftChars="0" w:hanging="426" w:firstLineChars="0"/>
        <w:rPr>
          <w:rFonts w:hint="eastAsia"/>
        </w:rPr>
      </w:pPr>
      <w:r>
        <w:rPr>
          <w:rFonts w:hint="eastAsia"/>
        </w:rPr>
        <w:t>更改了车型批准和扩展的要求（见第7章，2008版的第6章）；</w:t>
      </w:r>
    </w:p>
    <w:p>
      <w:pPr>
        <w:pStyle w:val="180"/>
        <w:bidi w:val="0"/>
        <w:ind w:left="851" w:leftChars="0" w:hanging="426" w:firstLineChars="0"/>
        <w:rPr>
          <w:rFonts w:hint="eastAsia"/>
        </w:rPr>
      </w:pPr>
      <w:r>
        <w:rPr>
          <w:rFonts w:hint="eastAsia"/>
          <w:lang w:val="en-US" w:eastAsia="zh-CN"/>
        </w:rPr>
        <w:t>更改</w:t>
      </w:r>
      <w:r>
        <w:rPr>
          <w:rFonts w:hint="eastAsia"/>
        </w:rPr>
        <w:t>了试验总体要求</w:t>
      </w:r>
      <w:r>
        <w:rPr>
          <w:rFonts w:hint="eastAsia"/>
          <w:lang w:eastAsia="zh-CN"/>
        </w:rPr>
        <w:t>（</w:t>
      </w:r>
      <w:r>
        <w:rPr>
          <w:rFonts w:hint="eastAsia"/>
        </w:rPr>
        <w:t>见8.1,2008版</w:t>
      </w:r>
      <w:r>
        <w:rPr>
          <w:rFonts w:hint="eastAsia"/>
          <w:lang w:val="en-US" w:eastAsia="zh-CN"/>
        </w:rPr>
        <w:t>的</w:t>
      </w:r>
      <w:r>
        <w:rPr>
          <w:rFonts w:hint="eastAsia"/>
        </w:rPr>
        <w:t>第7章</w:t>
      </w:r>
      <w:r>
        <w:rPr>
          <w:rFonts w:hint="eastAsia"/>
          <w:lang w:eastAsia="zh-CN"/>
        </w:rPr>
        <w:t>）</w:t>
      </w:r>
      <w:r>
        <w:rPr>
          <w:rFonts w:hint="eastAsia"/>
        </w:rPr>
        <w:t>；</w:t>
      </w:r>
    </w:p>
    <w:p>
      <w:pPr>
        <w:pStyle w:val="180"/>
        <w:bidi w:val="0"/>
        <w:ind w:left="851" w:leftChars="0" w:hanging="426" w:firstLineChars="0"/>
        <w:rPr>
          <w:rFonts w:hint="eastAsia"/>
        </w:rPr>
      </w:pPr>
      <w:r>
        <w:rPr>
          <w:rFonts w:hint="eastAsia"/>
        </w:rPr>
        <w:t>更改了试验场地和仪器设备要求的表述形式</w:t>
      </w:r>
      <w:r>
        <w:rPr>
          <w:rFonts w:hint="eastAsia"/>
          <w:lang w:eastAsia="zh-CN"/>
        </w:rPr>
        <w:t>（</w:t>
      </w:r>
      <w:r>
        <w:rPr>
          <w:rFonts w:hint="eastAsia"/>
        </w:rPr>
        <w:t>见8.2,2008版</w:t>
      </w:r>
      <w:r>
        <w:rPr>
          <w:rFonts w:hint="eastAsia"/>
          <w:lang w:val="en-US" w:eastAsia="zh-CN"/>
        </w:rPr>
        <w:t>的7</w:t>
      </w:r>
      <w:r>
        <w:rPr>
          <w:rFonts w:hint="eastAsia"/>
        </w:rPr>
        <w:t>.1</w:t>
      </w:r>
      <w:r>
        <w:rPr>
          <w:rFonts w:hint="eastAsia"/>
          <w:lang w:eastAsia="zh-CN"/>
        </w:rPr>
        <w:t>）</w:t>
      </w:r>
      <w:r>
        <w:rPr>
          <w:rFonts w:hint="eastAsia"/>
        </w:rPr>
        <w:t>；</w:t>
      </w:r>
    </w:p>
    <w:p>
      <w:pPr>
        <w:pStyle w:val="180"/>
        <w:bidi w:val="0"/>
        <w:ind w:left="851" w:leftChars="0" w:hanging="426" w:firstLineChars="0"/>
        <w:rPr>
          <w:rFonts w:hint="eastAsia"/>
        </w:rPr>
      </w:pPr>
      <w:r>
        <w:rPr>
          <w:rFonts w:hint="eastAsia"/>
        </w:rPr>
        <w:t>更改了试验车辆的要求</w:t>
      </w:r>
      <w:r>
        <w:rPr>
          <w:rFonts w:hint="eastAsia"/>
          <w:lang w:eastAsia="zh-CN"/>
        </w:rPr>
        <w:t>（</w:t>
      </w:r>
      <w:r>
        <w:rPr>
          <w:rFonts w:hint="eastAsia"/>
        </w:rPr>
        <w:t>见8.3,2008版7.2</w:t>
      </w:r>
      <w:r>
        <w:rPr>
          <w:rFonts w:hint="eastAsia"/>
          <w:lang w:eastAsia="zh-CN"/>
        </w:rPr>
        <w:t>）</w:t>
      </w:r>
      <w:r>
        <w:rPr>
          <w:rFonts w:hint="eastAsia"/>
        </w:rPr>
        <w:t>；</w:t>
      </w:r>
    </w:p>
    <w:p>
      <w:pPr>
        <w:pStyle w:val="180"/>
        <w:bidi w:val="0"/>
        <w:ind w:left="851" w:leftChars="0" w:hanging="426" w:firstLineChars="0"/>
        <w:rPr>
          <w:rFonts w:hint="eastAsia"/>
        </w:rPr>
      </w:pPr>
      <w:r>
        <w:rPr>
          <w:rFonts w:hint="eastAsia"/>
          <w:lang w:val="en-US" w:eastAsia="zh-CN"/>
        </w:rPr>
        <w:t>更改了静态试验资料及文件检查的要求（见8.4.1，2008版的7.3.1）；</w:t>
      </w:r>
    </w:p>
    <w:p>
      <w:pPr>
        <w:pStyle w:val="180"/>
        <w:bidi w:val="0"/>
        <w:ind w:left="851" w:leftChars="0" w:hanging="426" w:firstLineChars="0"/>
        <w:rPr>
          <w:rFonts w:hint="eastAsia"/>
        </w:rPr>
      </w:pPr>
      <w:r>
        <w:rPr>
          <w:rFonts w:hint="eastAsia"/>
          <w:lang w:val="en-US" w:eastAsia="zh-CN"/>
        </w:rPr>
        <w:t>更改了部件检查的要求（见8.4.2，2008版的7.3.2）；</w:t>
      </w:r>
    </w:p>
    <w:p>
      <w:pPr>
        <w:pStyle w:val="180"/>
        <w:bidi w:val="0"/>
        <w:ind w:left="851" w:leftChars="0" w:hanging="426" w:firstLineChars="0"/>
        <w:rPr>
          <w:rFonts w:hint="eastAsia"/>
        </w:rPr>
      </w:pPr>
      <w:r>
        <w:rPr>
          <w:rFonts w:hint="eastAsia"/>
          <w:lang w:val="en-US" w:eastAsia="zh-CN"/>
        </w:rPr>
        <w:t>更改了制动器磨损及调节检查的要求（见8.4.3，2008版的7.3.3）；</w:t>
      </w:r>
    </w:p>
    <w:p>
      <w:pPr>
        <w:pStyle w:val="180"/>
        <w:bidi w:val="0"/>
        <w:ind w:left="851" w:leftChars="0" w:hanging="426" w:firstLineChars="0"/>
        <w:rPr>
          <w:rFonts w:hint="eastAsia"/>
        </w:rPr>
      </w:pPr>
      <w:r>
        <w:rPr>
          <w:rFonts w:hint="eastAsia"/>
          <w:lang w:val="en-US" w:eastAsia="zh-CN"/>
        </w:rPr>
        <w:t>更改了驻车制动系统检查的要求（见8.4.4.2，2008版的7.3.4.2、7.3.16）；</w:t>
      </w:r>
    </w:p>
    <w:p>
      <w:pPr>
        <w:pStyle w:val="180"/>
        <w:bidi w:val="0"/>
        <w:ind w:left="851" w:leftChars="0" w:hanging="426" w:firstLineChars="0"/>
        <w:rPr>
          <w:rFonts w:hint="eastAsia"/>
        </w:rPr>
      </w:pPr>
      <w:r>
        <w:rPr>
          <w:rFonts w:hint="eastAsia"/>
        </w:rPr>
        <w:t>更改了台架试验的要求</w:t>
      </w:r>
      <w:r>
        <w:rPr>
          <w:rFonts w:hint="eastAsia"/>
          <w:lang w:eastAsia="zh-CN"/>
        </w:rPr>
        <w:t>（</w:t>
      </w:r>
      <w:r>
        <w:rPr>
          <w:rFonts w:hint="eastAsia"/>
        </w:rPr>
        <w:t>见8.4.5,2008版</w:t>
      </w:r>
      <w:r>
        <w:rPr>
          <w:rFonts w:hint="eastAsia"/>
          <w:lang w:val="en-US" w:eastAsia="zh-CN"/>
        </w:rPr>
        <w:t>的</w:t>
      </w:r>
      <w:r>
        <w:rPr>
          <w:rFonts w:hint="eastAsia"/>
        </w:rPr>
        <w:t>7.3.5</w:t>
      </w:r>
      <w:r>
        <w:rPr>
          <w:rFonts w:hint="eastAsia"/>
          <w:lang w:eastAsia="zh-CN"/>
        </w:rPr>
        <w:t>）</w:t>
      </w:r>
      <w:r>
        <w:rPr>
          <w:rFonts w:hint="eastAsia"/>
        </w:rPr>
        <w:t>；</w:t>
      </w:r>
    </w:p>
    <w:p>
      <w:pPr>
        <w:pStyle w:val="180"/>
        <w:bidi w:val="0"/>
        <w:ind w:left="851" w:leftChars="0" w:hanging="426" w:firstLineChars="0"/>
        <w:rPr>
          <w:rFonts w:hint="eastAsia"/>
        </w:rPr>
      </w:pPr>
      <w:r>
        <w:rPr>
          <w:rFonts w:hint="eastAsia"/>
        </w:rPr>
        <w:t>更改了补偿装置检查的表述</w:t>
      </w:r>
      <w:r>
        <w:rPr>
          <w:rFonts w:hint="eastAsia"/>
          <w:lang w:eastAsia="zh-CN"/>
        </w:rPr>
        <w:t>（</w:t>
      </w:r>
      <w:r>
        <w:rPr>
          <w:rFonts w:hint="eastAsia"/>
        </w:rPr>
        <w:t>见8.4.6,2008版</w:t>
      </w:r>
      <w:r>
        <w:rPr>
          <w:rFonts w:hint="eastAsia"/>
          <w:lang w:val="en-US" w:eastAsia="zh-CN"/>
        </w:rPr>
        <w:t>的</w:t>
      </w:r>
      <w:r>
        <w:rPr>
          <w:rFonts w:hint="eastAsia"/>
        </w:rPr>
        <w:t>7.3.6</w:t>
      </w:r>
      <w:r>
        <w:rPr>
          <w:rFonts w:hint="eastAsia"/>
          <w:lang w:eastAsia="zh-CN"/>
        </w:rPr>
        <w:t>）</w:t>
      </w:r>
      <w:r>
        <w:rPr>
          <w:rFonts w:hint="eastAsia"/>
        </w:rPr>
        <w:t>；</w:t>
      </w:r>
    </w:p>
    <w:p>
      <w:pPr>
        <w:pStyle w:val="180"/>
        <w:bidi w:val="0"/>
        <w:ind w:left="851" w:leftChars="0" w:hanging="426" w:firstLineChars="0"/>
        <w:rPr>
          <w:rFonts w:hint="eastAsia"/>
        </w:rPr>
      </w:pPr>
      <w:r>
        <w:rPr>
          <w:rFonts w:hint="eastAsia"/>
          <w:lang w:val="en-US" w:eastAsia="zh-CN"/>
        </w:rPr>
        <w:t>更改了</w:t>
      </w:r>
      <w:r>
        <w:rPr>
          <w:rFonts w:hint="eastAsia"/>
        </w:rPr>
        <w:t>控制力与管路压力比例关系检查（如适用）</w:t>
      </w:r>
      <w:r>
        <w:rPr>
          <w:rFonts w:hint="eastAsia"/>
          <w:lang w:val="en-US" w:eastAsia="zh-CN"/>
        </w:rPr>
        <w:t>的要求（见8.4.7，2008版的7.3.7）；</w:t>
      </w:r>
    </w:p>
    <w:p>
      <w:pPr>
        <w:pStyle w:val="180"/>
        <w:bidi w:val="0"/>
        <w:ind w:left="851" w:leftChars="0" w:hanging="426" w:firstLineChars="0"/>
        <w:rPr>
          <w:rFonts w:hint="eastAsia"/>
        </w:rPr>
      </w:pPr>
      <w:r>
        <w:rPr>
          <w:rFonts w:hint="eastAsia"/>
        </w:rPr>
        <w:t>删除了电子再生制动检查中对A型和B型电力再生制动的解释</w:t>
      </w:r>
      <w:r>
        <w:rPr>
          <w:rFonts w:hint="eastAsia"/>
          <w:lang w:eastAsia="zh-CN"/>
        </w:rPr>
        <w:t>（</w:t>
      </w:r>
      <w:r>
        <w:rPr>
          <w:rFonts w:hint="eastAsia"/>
        </w:rPr>
        <w:t>见2008版7.3.8</w:t>
      </w:r>
      <w:r>
        <w:rPr>
          <w:rFonts w:hint="eastAsia"/>
          <w:lang w:eastAsia="zh-CN"/>
        </w:rPr>
        <w:t>）</w:t>
      </w:r>
      <w:r>
        <w:rPr>
          <w:rFonts w:hint="eastAsia"/>
        </w:rPr>
        <w:t>；</w:t>
      </w:r>
    </w:p>
    <w:p>
      <w:pPr>
        <w:pStyle w:val="180"/>
        <w:bidi w:val="0"/>
        <w:ind w:left="851" w:leftChars="0" w:hanging="426" w:firstLineChars="0"/>
        <w:rPr>
          <w:rFonts w:hint="eastAsia"/>
        </w:rPr>
      </w:pPr>
      <w:r>
        <w:rPr>
          <w:rFonts w:hint="eastAsia"/>
        </w:rPr>
        <w:t>增加了驻车制动系统一般性能检查的试验方法</w:t>
      </w:r>
      <w:r>
        <w:rPr>
          <w:rFonts w:hint="eastAsia"/>
          <w:lang w:eastAsia="zh-CN"/>
        </w:rPr>
        <w:t>（</w:t>
      </w:r>
      <w:r>
        <w:rPr>
          <w:rFonts w:hint="eastAsia"/>
        </w:rPr>
        <w:t>见8.4.10.1</w:t>
      </w:r>
      <w:r>
        <w:rPr>
          <w:rFonts w:hint="eastAsia"/>
          <w:lang w:eastAsia="zh-CN"/>
        </w:rPr>
        <w:t>）</w:t>
      </w:r>
      <w:r>
        <w:rPr>
          <w:rFonts w:hint="eastAsia"/>
        </w:rPr>
        <w:t>；</w:t>
      </w:r>
    </w:p>
    <w:p>
      <w:pPr>
        <w:pStyle w:val="180"/>
        <w:bidi w:val="0"/>
        <w:ind w:left="851" w:leftChars="0" w:hanging="426" w:firstLineChars="0"/>
        <w:rPr>
          <w:rFonts w:hint="eastAsia"/>
        </w:rPr>
      </w:pPr>
      <w:r>
        <w:rPr>
          <w:rFonts w:hint="eastAsia"/>
          <w:lang w:val="en-US" w:eastAsia="zh-CN"/>
        </w:rPr>
        <w:t>更改了</w:t>
      </w:r>
      <w:r>
        <w:rPr>
          <w:rFonts w:hint="eastAsia"/>
        </w:rPr>
        <w:t>采用电子传输的驻车制动系统附加检查</w:t>
      </w:r>
      <w:r>
        <w:rPr>
          <w:rFonts w:hint="eastAsia"/>
          <w:lang w:val="en-US" w:eastAsia="zh-CN"/>
        </w:rPr>
        <w:t>的表述（见8.4.10.2，2008版7.3.10.1～7.3.10.3）；</w:t>
      </w:r>
    </w:p>
    <w:p>
      <w:pPr>
        <w:pStyle w:val="180"/>
        <w:bidi w:val="0"/>
        <w:ind w:left="851" w:leftChars="0" w:hanging="426" w:firstLineChars="0"/>
        <w:rPr>
          <w:rFonts w:hint="eastAsia"/>
        </w:rPr>
      </w:pPr>
      <w:r>
        <w:rPr>
          <w:rFonts w:hint="eastAsia"/>
        </w:rPr>
        <w:t>增加了具有电控传输装置的行车制动系统附加检查试验方法</w:t>
      </w:r>
      <w:r>
        <w:rPr>
          <w:rFonts w:hint="eastAsia"/>
          <w:lang w:eastAsia="zh-CN"/>
        </w:rPr>
        <w:t>（</w:t>
      </w:r>
      <w:r>
        <w:rPr>
          <w:rFonts w:hint="eastAsia"/>
        </w:rPr>
        <w:t>见8.4.11.3</w:t>
      </w:r>
      <w:r>
        <w:rPr>
          <w:rFonts w:hint="eastAsia"/>
          <w:lang w:eastAsia="zh-CN"/>
        </w:rPr>
        <w:t>）</w:t>
      </w:r>
      <w:r>
        <w:rPr>
          <w:rFonts w:hint="eastAsia"/>
        </w:rPr>
        <w:t>；</w:t>
      </w:r>
    </w:p>
    <w:p>
      <w:pPr>
        <w:pStyle w:val="180"/>
        <w:bidi w:val="0"/>
        <w:ind w:left="851" w:leftChars="0" w:hanging="426" w:firstLineChars="0"/>
        <w:rPr>
          <w:rFonts w:hint="eastAsia"/>
        </w:rPr>
      </w:pPr>
      <w:r>
        <w:rPr>
          <w:rFonts w:hint="eastAsia"/>
          <w:lang w:val="en-US" w:eastAsia="zh-CN"/>
        </w:rPr>
        <w:t>更改了指示制动灯点亮的制动信号的检查要求（见8.4.14.2，2008版7.3.13.3）；</w:t>
      </w:r>
    </w:p>
    <w:p>
      <w:pPr>
        <w:pStyle w:val="180"/>
        <w:bidi w:val="0"/>
        <w:ind w:left="851" w:leftChars="0" w:hanging="426" w:firstLineChars="0"/>
        <w:rPr>
          <w:rFonts w:hint="eastAsia"/>
        </w:rPr>
      </w:pPr>
      <w:r>
        <w:rPr>
          <w:rFonts w:hint="eastAsia"/>
          <w:lang w:val="en-US" w:eastAsia="zh-CN"/>
        </w:rPr>
        <w:t>增加了紧急制动信号的检查要求（见8.4.14.3）；</w:t>
      </w:r>
    </w:p>
    <w:p>
      <w:pPr>
        <w:pStyle w:val="180"/>
        <w:bidi w:val="0"/>
        <w:ind w:left="851" w:leftChars="0" w:hanging="426" w:firstLineChars="0"/>
        <w:rPr>
          <w:rFonts w:hint="eastAsia"/>
        </w:rPr>
      </w:pPr>
      <w:r>
        <w:rPr>
          <w:rFonts w:hint="eastAsia"/>
          <w:lang w:val="en-US" w:eastAsia="zh-CN"/>
        </w:rPr>
        <w:t>删除了</w:t>
      </w:r>
      <w:r>
        <w:rPr>
          <w:rFonts w:hint="eastAsia"/>
        </w:rPr>
        <w:t>动态试验最热的车轴上的</w:t>
      </w:r>
      <w:r>
        <w:rPr>
          <w:rFonts w:hint="eastAsia"/>
          <w:lang w:val="en-US" w:eastAsia="zh-CN"/>
        </w:rPr>
        <w:t>行车制动器温度的要求（见2008版的7.4.1.2）；</w:t>
      </w:r>
    </w:p>
    <w:p>
      <w:pPr>
        <w:pStyle w:val="180"/>
        <w:bidi w:val="0"/>
        <w:ind w:left="851" w:leftChars="0" w:hanging="426" w:firstLineChars="0"/>
        <w:rPr>
          <w:rFonts w:hint="eastAsia"/>
        </w:rPr>
      </w:pPr>
      <w:r>
        <w:rPr>
          <w:rFonts w:hint="eastAsia"/>
          <w:lang w:val="en-US" w:eastAsia="zh-CN"/>
        </w:rPr>
        <w:t>更改了</w:t>
      </w:r>
      <w:r>
        <w:rPr>
          <w:rFonts w:hint="eastAsia"/>
        </w:rPr>
        <w:t>动力脱开的0型试验</w:t>
      </w:r>
      <w:r>
        <w:rPr>
          <w:rFonts w:hint="eastAsia"/>
          <w:lang w:val="en-US" w:eastAsia="zh-CN"/>
        </w:rPr>
        <w:t>的试验要求（见8.5.3.1，2008版的7.4.3.1）；</w:t>
      </w:r>
    </w:p>
    <w:p>
      <w:pPr>
        <w:pStyle w:val="180"/>
        <w:bidi w:val="0"/>
        <w:ind w:left="851" w:leftChars="0" w:hanging="426" w:firstLineChars="0"/>
        <w:rPr>
          <w:rFonts w:hint="eastAsia"/>
        </w:rPr>
      </w:pPr>
      <w:r>
        <w:rPr>
          <w:rFonts w:hint="eastAsia"/>
          <w:lang w:val="en-US" w:eastAsia="zh-CN"/>
        </w:rPr>
        <w:t>更改了动力接合的0型试验的试验要求（见8.5.3.2，2008版的7.4.3.2）；</w:t>
      </w:r>
    </w:p>
    <w:p>
      <w:pPr>
        <w:pStyle w:val="180"/>
        <w:bidi w:val="0"/>
        <w:ind w:left="851" w:leftChars="0" w:hanging="426" w:firstLineChars="0"/>
        <w:rPr>
          <w:rFonts w:hint="eastAsia"/>
        </w:rPr>
      </w:pPr>
      <w:r>
        <w:rPr>
          <w:rFonts w:hint="eastAsia"/>
        </w:rPr>
        <w:t>删除了制动力分配试验</w:t>
      </w:r>
      <w:r>
        <w:rPr>
          <w:rFonts w:hint="eastAsia"/>
          <w:lang w:eastAsia="zh-CN"/>
        </w:rPr>
        <w:t>（</w:t>
      </w:r>
      <w:r>
        <w:rPr>
          <w:rFonts w:hint="eastAsia"/>
          <w:lang w:val="en-US" w:eastAsia="zh-CN"/>
        </w:rPr>
        <w:t>见20</w:t>
      </w:r>
      <w:r>
        <w:rPr>
          <w:rFonts w:hint="eastAsia"/>
        </w:rPr>
        <w:t>08版7.4.4.8</w:t>
      </w:r>
      <w:r>
        <w:rPr>
          <w:rFonts w:hint="eastAsia"/>
          <w:lang w:eastAsia="zh-CN"/>
        </w:rPr>
        <w:t>）；</w:t>
      </w:r>
    </w:p>
    <w:p>
      <w:pPr>
        <w:pStyle w:val="180"/>
        <w:bidi w:val="0"/>
        <w:ind w:left="851" w:leftChars="0" w:hanging="426" w:firstLineChars="0"/>
        <w:rPr>
          <w:rFonts w:hint="eastAsia"/>
        </w:rPr>
      </w:pPr>
      <w:r>
        <w:rPr>
          <w:rFonts w:hint="eastAsia"/>
          <w:lang w:val="en-US" w:eastAsia="zh-CN"/>
        </w:rPr>
        <w:t>更改了</w:t>
      </w:r>
      <w:r>
        <w:rPr>
          <w:rFonts w:hint="eastAsia"/>
        </w:rPr>
        <w:t>低附着系数路面上附着系数利用率的测定</w:t>
      </w:r>
      <w:r>
        <w:rPr>
          <w:rFonts w:hint="eastAsia"/>
          <w:lang w:val="en-US" w:eastAsia="zh-CN"/>
        </w:rPr>
        <w:t>计算方法</w:t>
      </w:r>
      <w:r>
        <w:rPr>
          <w:rFonts w:hint="eastAsia"/>
          <w:lang w:eastAsia="zh-CN"/>
        </w:rPr>
        <w:t>（</w:t>
      </w:r>
      <w:r>
        <w:rPr>
          <w:rFonts w:hint="eastAsia"/>
          <w:lang w:val="en-US" w:eastAsia="zh-CN"/>
        </w:rPr>
        <w:t>见8.5.5.1，2008版的7.4.5.1）；</w:t>
      </w:r>
    </w:p>
    <w:p>
      <w:pPr>
        <w:pStyle w:val="180"/>
        <w:bidi w:val="0"/>
        <w:ind w:left="851" w:leftChars="0" w:hanging="426" w:firstLineChars="0"/>
        <w:rPr>
          <w:rFonts w:hint="eastAsia"/>
        </w:rPr>
      </w:pPr>
      <w:r>
        <w:rPr>
          <w:rFonts w:hint="eastAsia"/>
          <w:lang w:val="en-US" w:eastAsia="zh-CN"/>
        </w:rPr>
        <w:t>更改了附加检查的试验方法（见8.5.5.3，2008版的7.4.5.3）；</w:t>
      </w:r>
    </w:p>
    <w:p>
      <w:pPr>
        <w:pStyle w:val="180"/>
        <w:bidi w:val="0"/>
        <w:ind w:left="851" w:leftChars="0" w:hanging="426" w:firstLineChars="0"/>
        <w:rPr>
          <w:rFonts w:hint="eastAsia"/>
        </w:rPr>
      </w:pPr>
      <w:r>
        <w:rPr>
          <w:rFonts w:hint="eastAsia"/>
          <w:lang w:val="en-US" w:eastAsia="zh-CN"/>
        </w:rPr>
        <w:t>更改了</w:t>
      </w:r>
      <w:r>
        <w:rPr>
          <w:rFonts w:hint="eastAsia"/>
        </w:rPr>
        <w:t>响应时间试验</w:t>
      </w:r>
      <w:r>
        <w:rPr>
          <w:rFonts w:hint="eastAsia"/>
          <w:lang w:val="en-US" w:eastAsia="zh-CN"/>
        </w:rPr>
        <w:t>的试验方法（见8.5.7.3，2008版的7.4.7.3）；</w:t>
      </w:r>
    </w:p>
    <w:p>
      <w:pPr>
        <w:pStyle w:val="180"/>
        <w:bidi w:val="0"/>
        <w:ind w:left="851" w:leftChars="0" w:hanging="426" w:firstLineChars="0"/>
        <w:rPr>
          <w:rFonts w:hint="eastAsia"/>
        </w:rPr>
      </w:pPr>
      <w:r>
        <w:rPr>
          <w:rFonts w:hint="eastAsia"/>
          <w:lang w:val="en-US" w:eastAsia="zh-CN"/>
        </w:rPr>
        <w:t>更改了</w:t>
      </w:r>
      <w:r>
        <w:rPr>
          <w:rFonts w:hint="eastAsia"/>
        </w:rPr>
        <w:t>满载-失效试验</w:t>
      </w:r>
      <w:r>
        <w:rPr>
          <w:rFonts w:hint="eastAsia"/>
          <w:lang w:val="en-US" w:eastAsia="zh-CN"/>
        </w:rPr>
        <w:t>的试验要求（见8.5.8，2008版的7.4.8）；</w:t>
      </w:r>
    </w:p>
    <w:p>
      <w:pPr>
        <w:pStyle w:val="180"/>
        <w:bidi w:val="0"/>
        <w:ind w:left="851" w:leftChars="0" w:hanging="426" w:firstLineChars="0"/>
        <w:rPr>
          <w:rFonts w:hint="eastAsia"/>
        </w:rPr>
      </w:pPr>
      <w:r>
        <w:rPr>
          <w:rFonts w:hint="eastAsia"/>
          <w:lang w:val="en-US" w:eastAsia="zh-CN"/>
        </w:rPr>
        <w:t>增加了</w:t>
      </w:r>
      <w:r>
        <w:rPr>
          <w:rFonts w:hint="eastAsia"/>
        </w:rPr>
        <w:t>制动信号试验</w:t>
      </w:r>
      <w:r>
        <w:rPr>
          <w:rFonts w:hint="eastAsia"/>
          <w:lang w:val="en-US" w:eastAsia="zh-CN"/>
        </w:rPr>
        <w:t>的试验方法（见8.5.9）；</w:t>
      </w:r>
    </w:p>
    <w:p>
      <w:pPr>
        <w:pStyle w:val="180"/>
        <w:bidi w:val="0"/>
        <w:ind w:left="851" w:leftChars="0" w:hanging="426" w:firstLineChars="0"/>
        <w:rPr>
          <w:rFonts w:hint="eastAsia"/>
        </w:rPr>
      </w:pPr>
      <w:r>
        <w:rPr>
          <w:rFonts w:hint="eastAsia"/>
          <w:lang w:val="en-US" w:eastAsia="zh-CN"/>
        </w:rPr>
        <w:t>增加了</w:t>
      </w:r>
      <w:r>
        <w:rPr>
          <w:rFonts w:hint="eastAsia"/>
        </w:rPr>
        <w:t>紧急制动信号试验</w:t>
      </w:r>
      <w:r>
        <w:rPr>
          <w:rFonts w:hint="eastAsia"/>
          <w:lang w:val="en-US" w:eastAsia="zh-CN"/>
        </w:rPr>
        <w:t>的试验方法（见8.5.10）；</w:t>
      </w:r>
    </w:p>
    <w:p>
      <w:pPr>
        <w:pStyle w:val="180"/>
        <w:bidi w:val="0"/>
        <w:ind w:left="851" w:leftChars="0" w:hanging="426" w:firstLineChars="0"/>
        <w:rPr>
          <w:rFonts w:hint="eastAsia"/>
        </w:rPr>
      </w:pPr>
      <w:r>
        <w:rPr>
          <w:rFonts w:hint="eastAsia"/>
        </w:rPr>
        <w:t>删除了制动摩擦衬片的惯性测功机试验方法（见2008版的附录C）；</w:t>
      </w:r>
    </w:p>
    <w:p>
      <w:pPr>
        <w:pStyle w:val="180"/>
        <w:bidi w:val="0"/>
        <w:ind w:left="851" w:leftChars="0" w:hanging="426" w:firstLineChars="0"/>
        <w:rPr>
          <w:rFonts w:hint="eastAsia"/>
        </w:rPr>
      </w:pPr>
      <w:r>
        <w:rPr>
          <w:rFonts w:hint="eastAsia"/>
        </w:rPr>
        <w:t>增加了制动电子控制系统功能安全试验报告要求（见附录C）；</w:t>
      </w:r>
    </w:p>
    <w:p>
      <w:pPr>
        <w:pStyle w:val="180"/>
        <w:bidi w:val="0"/>
        <w:ind w:left="851" w:leftChars="0" w:hanging="426" w:firstLineChars="0"/>
        <w:rPr>
          <w:rFonts w:hint="eastAsia"/>
        </w:rPr>
      </w:pPr>
      <w:r>
        <w:rPr>
          <w:rFonts w:hint="eastAsia"/>
        </w:rPr>
        <w:t>增加了制动电子控制系统功能安全描述要求（见附录D）；</w:t>
      </w:r>
    </w:p>
    <w:p>
      <w:pPr>
        <w:pStyle w:val="180"/>
        <w:bidi w:val="0"/>
        <w:ind w:left="851" w:leftChars="0" w:hanging="426" w:firstLineChars="0"/>
        <w:rPr>
          <w:rFonts w:hint="eastAsia"/>
        </w:rPr>
      </w:pPr>
      <w:r>
        <w:rPr>
          <w:rFonts w:hint="eastAsia"/>
          <w:lang w:val="en-US" w:eastAsia="zh-CN"/>
        </w:rPr>
        <w:t>更改了</w:t>
      </w:r>
      <w:r>
        <w:rPr>
          <w:rFonts w:hint="eastAsia"/>
        </w:rPr>
        <w:t>试验报告及相关图表要求修改为车辆参数和试验数据处理要求，由资料性附录改为规范性附录（见附录E，2008版的附录E）；</w:t>
      </w:r>
    </w:p>
    <w:p>
      <w:pPr>
        <w:pStyle w:val="180"/>
        <w:bidi w:val="0"/>
        <w:ind w:left="851" w:leftChars="0" w:hanging="426" w:firstLineChars="0"/>
        <w:rPr>
          <w:rFonts w:hint="eastAsia"/>
        </w:rPr>
      </w:pPr>
      <w:r>
        <w:rPr>
          <w:rFonts w:hint="eastAsia"/>
        </w:rPr>
        <w:t>增加了配备临时备用车轮/轮胎的车辆制动和跑偏试验要求（见附录F）。</w:t>
      </w:r>
    </w:p>
    <w:p>
      <w:pPr>
        <w:pStyle w:val="62"/>
        <w:ind w:firstLine="420"/>
        <w:rPr>
          <w:color w:val="auto"/>
          <w:highlight w:val="none"/>
        </w:rPr>
      </w:pPr>
      <w:r>
        <w:rPr>
          <w:rFonts w:hint="eastAsia"/>
          <w:color w:val="auto"/>
          <w:highlight w:val="none"/>
        </w:rPr>
        <w:t>本文件参考UN</w:t>
      </w:r>
      <w:r>
        <w:rPr>
          <w:color w:val="auto"/>
          <w:highlight w:val="none"/>
        </w:rPr>
        <w:t xml:space="preserve"> </w:t>
      </w:r>
      <w:r>
        <w:rPr>
          <w:rFonts w:hint="eastAsia"/>
          <w:color w:val="auto"/>
          <w:highlight w:val="none"/>
        </w:rPr>
        <w:t>R13-H（Rev.4及其修正案）《乘用车制动系统型式批准的统一规定》编制。</w:t>
      </w:r>
    </w:p>
    <w:p>
      <w:pPr>
        <w:pStyle w:val="62"/>
        <w:ind w:firstLine="420"/>
        <w:rPr>
          <w:color w:val="auto"/>
          <w:highlight w:val="none"/>
        </w:rPr>
      </w:pPr>
      <w:r>
        <w:rPr>
          <w:rFonts w:hint="eastAsia"/>
          <w:color w:val="auto"/>
          <w:highlight w:val="none"/>
        </w:rPr>
        <w:t>本文件由中华人民共和国工业和信息化部提出并归口。</w:t>
      </w:r>
    </w:p>
    <w:p>
      <w:pPr>
        <w:pStyle w:val="62"/>
        <w:ind w:firstLine="420"/>
        <w:rPr>
          <w:color w:val="auto"/>
          <w:szCs w:val="21"/>
          <w:highlight w:val="none"/>
        </w:rPr>
      </w:pPr>
      <w:r>
        <w:rPr>
          <w:rFonts w:hint="eastAsia" w:hAnsi="宋体"/>
          <w:color w:val="auto"/>
          <w:highlight w:val="none"/>
        </w:rPr>
        <w:t>本文件所代替文件的历次版本发布情况为：</w:t>
      </w:r>
    </w:p>
    <w:p>
      <w:pPr>
        <w:pStyle w:val="62"/>
        <w:ind w:firstLine="420"/>
        <w:rPr>
          <w:rFonts w:hint="eastAsia"/>
          <w:color w:val="auto"/>
          <w:highlight w:val="none"/>
        </w:rPr>
      </w:pPr>
      <w:r>
        <w:rPr>
          <w:rFonts w:hint="eastAsia"/>
          <w:color w:val="auto"/>
          <w:highlight w:val="none"/>
        </w:rPr>
        <w:t>——2008年首次发布为GB 21670—2008。</w:t>
      </w: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pPr>
    </w:p>
    <w:p>
      <w:pPr>
        <w:pStyle w:val="62"/>
        <w:ind w:firstLine="420"/>
        <w:rPr>
          <w:rFonts w:hint="eastAsia"/>
          <w:color w:val="auto"/>
          <w:highlight w:val="none"/>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r>
        <w:drawing>
          <wp:inline distT="0" distB="0" distL="114300" distR="114300">
            <wp:extent cx="5356225" cy="962660"/>
            <wp:effectExtent l="0" t="0" r="317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8"/>
                    <a:stretch>
                      <a:fillRect/>
                    </a:stretch>
                  </pic:blipFill>
                  <pic:spPr>
                    <a:xfrm>
                      <a:off x="0" y="0"/>
                      <a:ext cx="5356225" cy="962660"/>
                    </a:xfrm>
                    <a:prstGeom prst="rect">
                      <a:avLst/>
                    </a:prstGeom>
                    <a:noFill/>
                    <a:ln>
                      <a:noFill/>
                    </a:ln>
                  </pic:spPr>
                </pic:pic>
              </a:graphicData>
            </a:graphic>
          </wp:inline>
        </w:drawing>
      </w:r>
      <w:bookmarkStart w:id="286" w:name="_GoBack"/>
      <w:bookmarkEnd w:id="286"/>
    </w:p>
    <w:bookmarkEnd w:id="22"/>
    <w:p>
      <w:pPr>
        <w:spacing w:line="20" w:lineRule="exact"/>
        <w:jc w:val="center"/>
        <w:rPr>
          <w:rFonts w:ascii="黑体" w:hAnsi="黑体" w:eastAsia="黑体"/>
          <w:color w:val="auto"/>
          <w:sz w:val="32"/>
          <w:szCs w:val="32"/>
          <w:highlight w:val="none"/>
        </w:rPr>
      </w:pPr>
      <w:bookmarkStart w:id="23" w:name="BookMark4"/>
    </w:p>
    <w:p>
      <w:pPr>
        <w:spacing w:line="20" w:lineRule="exact"/>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16D58311BA9E462183F4420F20CBE115"/>
        </w:placeholder>
      </w:sdtPr>
      <w:sdtEndPr>
        <w:rPr>
          <w:color w:val="auto"/>
          <w:highlight w:val="none"/>
        </w:rPr>
      </w:sdtEndPr>
      <w:sdtContent>
        <w:p>
          <w:pPr>
            <w:pStyle w:val="183"/>
            <w:spacing w:before="312" w:beforeLines="100" w:after="686" w:afterLines="220"/>
            <w:rPr>
              <w:color w:val="auto"/>
              <w:highlight w:val="none"/>
            </w:rPr>
          </w:pPr>
          <w:bookmarkStart w:id="24" w:name="NEW_STAND_NAME"/>
          <w:r>
            <w:rPr>
              <w:rFonts w:hint="eastAsia"/>
              <w:color w:val="auto"/>
              <w:highlight w:val="none"/>
            </w:rPr>
            <w:t>乘用车制动系统技术要求及试验方法</w:t>
          </w:r>
        </w:p>
      </w:sdtContent>
    </w:sdt>
    <w:bookmarkEnd w:id="24"/>
    <w:p>
      <w:pPr>
        <w:pStyle w:val="110"/>
        <w:spacing w:before="312" w:after="312"/>
        <w:rPr>
          <w:color w:val="auto"/>
          <w:highlight w:val="none"/>
        </w:rPr>
      </w:pPr>
      <w:bookmarkStart w:id="25" w:name="_Toc118580217"/>
      <w:bookmarkStart w:id="26" w:name="_Toc26718930"/>
      <w:bookmarkStart w:id="27" w:name="_Toc24884218"/>
      <w:bookmarkStart w:id="28" w:name="_Toc26986530"/>
      <w:bookmarkStart w:id="29" w:name="_Toc17233333"/>
      <w:bookmarkStart w:id="30" w:name="_Toc24884211"/>
      <w:bookmarkStart w:id="31" w:name="_Toc26986771"/>
      <w:bookmarkStart w:id="32" w:name="_Toc2670"/>
      <w:bookmarkStart w:id="33" w:name="_Toc97190718"/>
      <w:bookmarkStart w:id="34" w:name="_Toc17233325"/>
      <w:bookmarkStart w:id="35" w:name="_Toc26648465"/>
      <w:r>
        <w:rPr>
          <w:rFonts w:hint="eastAsia"/>
          <w:color w:val="auto"/>
          <w:highlight w:val="none"/>
        </w:rPr>
        <w:t>范围</w:t>
      </w:r>
      <w:bookmarkEnd w:id="25"/>
      <w:bookmarkEnd w:id="26"/>
      <w:bookmarkEnd w:id="27"/>
      <w:bookmarkEnd w:id="28"/>
      <w:bookmarkEnd w:id="29"/>
      <w:bookmarkEnd w:id="30"/>
      <w:bookmarkEnd w:id="31"/>
      <w:bookmarkEnd w:id="32"/>
      <w:bookmarkEnd w:id="33"/>
      <w:bookmarkEnd w:id="34"/>
      <w:bookmarkEnd w:id="35"/>
    </w:p>
    <w:p>
      <w:pPr>
        <w:pStyle w:val="62"/>
        <w:ind w:firstLine="420"/>
        <w:rPr>
          <w:rFonts w:hint="eastAsia"/>
          <w:color w:val="auto"/>
          <w:highlight w:val="none"/>
        </w:rPr>
      </w:pPr>
      <w:bookmarkStart w:id="36" w:name="_Toc24884212"/>
      <w:bookmarkStart w:id="37" w:name="_Toc17233326"/>
      <w:bookmarkStart w:id="38" w:name="_Toc17233334"/>
      <w:bookmarkStart w:id="39" w:name="_Toc24884219"/>
      <w:bookmarkStart w:id="40" w:name="_Toc26648466"/>
      <w:r>
        <w:rPr>
          <w:rFonts w:hint="eastAsia"/>
          <w:color w:val="auto"/>
          <w:highlight w:val="none"/>
        </w:rPr>
        <w:t>本文件规定了乘用车制动系统的</w:t>
      </w:r>
      <w:r>
        <w:rPr>
          <w:rFonts w:hint="eastAsia"/>
          <w:color w:val="auto"/>
          <w:highlight w:val="none"/>
          <w:lang w:val="en-US" w:eastAsia="zh-CN"/>
        </w:rPr>
        <w:t>技术要求</w:t>
      </w:r>
      <w:r>
        <w:rPr>
          <w:rFonts w:hint="eastAsia"/>
          <w:color w:val="auto"/>
          <w:highlight w:val="none"/>
        </w:rPr>
        <w:t>和试验方法。</w:t>
      </w:r>
    </w:p>
    <w:p>
      <w:pPr>
        <w:pStyle w:val="62"/>
        <w:ind w:firstLine="420"/>
        <w:rPr>
          <w:rFonts w:hint="default" w:eastAsia="宋体"/>
          <w:color w:val="auto"/>
          <w:highlight w:val="none"/>
          <w:lang w:val="en-US" w:eastAsia="zh-CN"/>
        </w:rPr>
      </w:pPr>
      <w:r>
        <w:rPr>
          <w:rFonts w:hint="eastAsia"/>
          <w:color w:val="auto"/>
          <w:highlight w:val="none"/>
        </w:rPr>
        <w:t>本文件适用于GB/T 15089规定的M</w:t>
      </w:r>
      <w:r>
        <w:rPr>
          <w:rFonts w:hint="eastAsia"/>
          <w:color w:val="auto"/>
          <w:highlight w:val="none"/>
          <w:vertAlign w:val="subscript"/>
        </w:rPr>
        <w:t>1</w:t>
      </w:r>
      <w:r>
        <w:rPr>
          <w:rFonts w:hint="eastAsia"/>
          <w:color w:val="auto"/>
          <w:highlight w:val="none"/>
        </w:rPr>
        <w:t>类车辆。</w:t>
      </w:r>
      <w:bookmarkStart w:id="41" w:name="_Toc26986531"/>
      <w:bookmarkStart w:id="42" w:name="_Toc26718931"/>
      <w:bookmarkStart w:id="43" w:name="_Toc97190719"/>
      <w:bookmarkStart w:id="44" w:name="_Toc118580218"/>
      <w:bookmarkStart w:id="45" w:name="_Toc26986772"/>
    </w:p>
    <w:p>
      <w:pPr>
        <w:pStyle w:val="110"/>
        <w:spacing w:before="312" w:after="312"/>
        <w:rPr>
          <w:color w:val="auto"/>
          <w:highlight w:val="none"/>
        </w:rPr>
      </w:pPr>
      <w:bookmarkStart w:id="46" w:name="_Toc1680"/>
      <w:r>
        <w:rPr>
          <w:rFonts w:hint="eastAsia"/>
          <w:color w:val="auto"/>
          <w:highlight w:val="none"/>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color w:val="auto"/>
          <w:highlight w:val="none"/>
        </w:rPr>
        <w:id w:val="715848253"/>
        <w:placeholder>
          <w:docPart w:val="56F958E82868410891C46C4875E0529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62"/>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2"/>
        <w:ind w:firstLine="420"/>
        <w:rPr>
          <w:color w:val="auto"/>
          <w:szCs w:val="21"/>
          <w:highlight w:val="none"/>
        </w:rPr>
      </w:pPr>
      <w:r>
        <w:rPr>
          <w:rFonts w:hint="eastAsia"/>
          <w:color w:val="auto"/>
          <w:highlight w:val="none"/>
        </w:rPr>
        <w:t>GB 4094  汽车操纵件、指示器及信号装置的标志</w:t>
      </w:r>
    </w:p>
    <w:p>
      <w:pPr>
        <w:pStyle w:val="62"/>
        <w:ind w:firstLine="420"/>
        <w:rPr>
          <w:color w:val="auto"/>
          <w:highlight w:val="none"/>
        </w:rPr>
      </w:pPr>
      <w:r>
        <w:rPr>
          <w:rFonts w:hint="eastAsia"/>
          <w:color w:val="auto"/>
          <w:highlight w:val="none"/>
        </w:rPr>
        <w:t>GB/T 5345  道路车辆 石油基或非石油基制动液容器的标识</w:t>
      </w:r>
    </w:p>
    <w:p>
      <w:pPr>
        <w:pStyle w:val="62"/>
        <w:ind w:firstLine="420"/>
        <w:rPr>
          <w:color w:val="auto"/>
          <w:highlight w:val="none"/>
        </w:rPr>
      </w:pPr>
      <w:r>
        <w:rPr>
          <w:rFonts w:hint="eastAsia"/>
          <w:color w:val="auto"/>
          <w:highlight w:val="none"/>
        </w:rPr>
        <w:t>GB/T 5620  道路车辆  汽车和挂车制动名词术语及其定义</w:t>
      </w:r>
    </w:p>
    <w:p>
      <w:pPr>
        <w:pStyle w:val="62"/>
        <w:ind w:firstLine="420"/>
        <w:rPr>
          <w:color w:val="auto"/>
          <w:highlight w:val="none"/>
        </w:rPr>
      </w:pPr>
      <w:r>
        <w:rPr>
          <w:rFonts w:hint="eastAsia"/>
          <w:color w:val="auto"/>
          <w:highlight w:val="none"/>
        </w:rPr>
        <w:t>GB 12981  机动车辆制动液</w:t>
      </w:r>
    </w:p>
    <w:p>
      <w:pPr>
        <w:pStyle w:val="62"/>
        <w:ind w:firstLine="420"/>
        <w:rPr>
          <w:color w:val="auto"/>
          <w:highlight w:val="none"/>
        </w:rPr>
      </w:pPr>
      <w:r>
        <w:rPr>
          <w:rFonts w:hint="eastAsia"/>
          <w:color w:val="auto"/>
          <w:highlight w:val="none"/>
        </w:rPr>
        <w:t>GB/T 15089  机动车辆及挂车分类</w:t>
      </w:r>
    </w:p>
    <w:p>
      <w:pPr>
        <w:pStyle w:val="62"/>
        <w:ind w:firstLine="420"/>
        <w:rPr>
          <w:color w:val="auto"/>
          <w:highlight w:val="none"/>
        </w:rPr>
      </w:pPr>
      <w:r>
        <w:rPr>
          <w:rFonts w:hint="eastAsia"/>
          <w:color w:val="auto"/>
          <w:highlight w:val="none"/>
        </w:rPr>
        <w:t xml:space="preserve">GB/T 34590.1～GB/T 34590.12—2022 </w:t>
      </w:r>
      <w:r>
        <w:rPr>
          <w:rFonts w:hint="eastAsia"/>
          <w:color w:val="auto"/>
          <w:highlight w:val="none"/>
          <w:lang w:val="en-US" w:eastAsia="zh-CN"/>
        </w:rPr>
        <w:t xml:space="preserve"> </w:t>
      </w:r>
      <w:r>
        <w:rPr>
          <w:rFonts w:hint="eastAsia"/>
          <w:color w:val="auto"/>
          <w:highlight w:val="none"/>
        </w:rPr>
        <w:t>道路车辆 功能安全</w:t>
      </w:r>
    </w:p>
    <w:p>
      <w:pPr>
        <w:pStyle w:val="62"/>
        <w:ind w:firstLine="420"/>
        <w:rPr>
          <w:rFonts w:hint="eastAsia" w:eastAsia="宋体"/>
          <w:color w:val="auto"/>
          <w:highlight w:val="none"/>
          <w:lang w:eastAsia="zh-CN"/>
        </w:rPr>
      </w:pPr>
      <w:r>
        <w:rPr>
          <w:rFonts w:hint="eastAsia"/>
          <w:color w:val="auto"/>
          <w:highlight w:val="none"/>
        </w:rPr>
        <w:t xml:space="preserve">GB 34660 </w:t>
      </w:r>
      <w:r>
        <w:rPr>
          <w:color w:val="auto"/>
          <w:highlight w:val="none"/>
        </w:rPr>
        <w:t xml:space="preserve"> </w:t>
      </w:r>
      <w:r>
        <w:rPr>
          <w:rFonts w:hint="eastAsia"/>
          <w:color w:val="auto"/>
          <w:highlight w:val="none"/>
        </w:rPr>
        <w:t>道路车辆 电磁兼容性要求和试验方法</w:t>
      </w:r>
    </w:p>
    <w:p>
      <w:pPr>
        <w:pStyle w:val="110"/>
        <w:spacing w:before="312" w:after="312"/>
        <w:rPr>
          <w:color w:val="auto"/>
          <w:highlight w:val="none"/>
        </w:rPr>
      </w:pPr>
      <w:bookmarkStart w:id="47" w:name="_Toc17081"/>
      <w:bookmarkStart w:id="48" w:name="_Toc97190720"/>
      <w:bookmarkStart w:id="49" w:name="_Toc118580219"/>
      <w:r>
        <w:rPr>
          <w:rFonts w:hint="eastAsia"/>
          <w:color w:val="auto"/>
          <w:szCs w:val="21"/>
          <w:highlight w:val="none"/>
        </w:rPr>
        <w:t>术语和定义</w:t>
      </w:r>
      <w:bookmarkEnd w:id="47"/>
      <w:bookmarkEnd w:id="48"/>
      <w:bookmarkEnd w:id="49"/>
    </w:p>
    <w:sdt>
      <w:sdtPr>
        <w:rPr>
          <w:rFonts w:hint="eastAsia"/>
          <w:color w:val="auto"/>
          <w:highlight w:val="none"/>
        </w:rPr>
        <w:id w:val="-1909835108"/>
        <w:placeholder>
          <w:docPart w:val="56F958E82868410891C46C4875E052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auto"/>
          <w:highlight w:val="none"/>
        </w:rPr>
      </w:sdtEndPr>
      <w:sdtContent>
        <w:p>
          <w:pPr>
            <w:pStyle w:val="62"/>
            <w:ind w:firstLine="420"/>
            <w:rPr>
              <w:rFonts w:hint="default"/>
              <w:color w:val="auto"/>
              <w:highlight w:val="none"/>
              <w:lang w:val="en-US" w:eastAsia="zh-CN"/>
            </w:rPr>
          </w:pPr>
          <w:bookmarkStart w:id="50" w:name="_Toc26986532"/>
          <w:bookmarkEnd w:id="50"/>
          <w:r>
            <w:rPr>
              <w:rFonts w:hint="eastAsia"/>
              <w:color w:val="auto"/>
              <w:highlight w:val="none"/>
            </w:rPr>
            <w:t>GB/T 5620和GB/T 34590.1界定的以及下列术语和定义适用于本文件。</w:t>
          </w:r>
        </w:p>
      </w:sdtContent>
    </w:sdt>
    <w:p>
      <w:pPr>
        <w:pStyle w:val="229"/>
        <w:ind w:left="420" w:hanging="420" w:hangingChars="200"/>
        <w:rPr>
          <w:rFonts w:ascii="黑体" w:hAnsi="黑体" w:eastAsia="黑体"/>
          <w:color w:val="auto"/>
          <w:szCs w:val="21"/>
          <w:highlight w:val="none"/>
        </w:rPr>
      </w:pPr>
      <w:r>
        <w:rPr>
          <w:rFonts w:ascii="黑体" w:hAnsi="黑体" w:eastAsia="黑体"/>
          <w:color w:val="auto"/>
          <w:highlight w:val="none"/>
        </w:rPr>
        <w:br w:type="textWrapping"/>
      </w:r>
      <w:r>
        <w:rPr>
          <w:rFonts w:hint="eastAsia" w:ascii="黑体" w:hAnsi="黑体" w:eastAsia="黑体"/>
          <w:color w:val="auto"/>
          <w:highlight w:val="none"/>
        </w:rPr>
        <w:t>制动装备 braking equipment</w:t>
      </w:r>
    </w:p>
    <w:p>
      <w:pPr>
        <w:pStyle w:val="62"/>
        <w:ind w:firstLine="420"/>
        <w:rPr>
          <w:rFonts w:hint="eastAsia" w:eastAsia="宋体"/>
          <w:color w:val="auto"/>
          <w:highlight w:val="none"/>
          <w:lang w:eastAsia="zh-CN"/>
        </w:rPr>
      </w:pPr>
      <w:r>
        <w:rPr>
          <w:rFonts w:hint="eastAsia"/>
          <w:color w:val="auto"/>
          <w:highlight w:val="none"/>
        </w:rPr>
        <w:t>装备在车辆上的所有制动系统。</w:t>
      </w:r>
    </w:p>
    <w:p>
      <w:pPr>
        <w:pStyle w:val="229"/>
        <w:ind w:left="420" w:hanging="420" w:hangingChars="200"/>
        <w:rPr>
          <w:rFonts w:ascii="黑体" w:hAnsi="黑体" w:eastAsia="黑体"/>
          <w:color w:val="auto"/>
          <w:szCs w:val="21"/>
          <w:highlight w:val="none"/>
        </w:rPr>
      </w:pPr>
    </w:p>
    <w:p>
      <w:pPr>
        <w:pStyle w:val="229"/>
        <w:numPr>
          <w:ilvl w:val="0"/>
          <w:numId w:val="0"/>
        </w:numPr>
        <w:ind w:left="420"/>
        <w:rPr>
          <w:rFonts w:ascii="黑体" w:hAnsi="黑体" w:eastAsia="黑体"/>
          <w:color w:val="auto"/>
          <w:szCs w:val="21"/>
          <w:highlight w:val="none"/>
        </w:rPr>
      </w:pPr>
      <w:r>
        <w:rPr>
          <w:rFonts w:hint="eastAsia" w:ascii="黑体" w:hAnsi="黑体" w:eastAsia="黑体"/>
          <w:color w:val="auto"/>
          <w:highlight w:val="none"/>
        </w:rPr>
        <w:t>制动系统  braking system</w:t>
      </w:r>
    </w:p>
    <w:p>
      <w:pPr>
        <w:pStyle w:val="62"/>
        <w:ind w:firstLine="420"/>
        <w:rPr>
          <w:rFonts w:hint="default"/>
          <w:b w:val="0"/>
          <w:bCs w:val="0"/>
          <w:color w:val="auto"/>
          <w:highlight w:val="none"/>
        </w:rPr>
      </w:pPr>
      <w:r>
        <w:rPr>
          <w:rFonts w:hint="eastAsia"/>
          <w:color w:val="auto"/>
          <w:highlight w:val="none"/>
        </w:rPr>
        <w:t>使行驶车辆逐步减速或停车，或使已经停驶的车辆保持静止状态的零部件组合，由控制装置、传输装置和制动器组成。</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控制装置  control device</w:t>
      </w:r>
    </w:p>
    <w:p>
      <w:pPr>
        <w:pStyle w:val="62"/>
        <w:ind w:firstLine="420"/>
        <w:rPr>
          <w:color w:val="auto"/>
          <w:highlight w:val="none"/>
        </w:rPr>
      </w:pPr>
      <w:r>
        <w:rPr>
          <w:rFonts w:hint="eastAsia" w:hAnsi="宋体"/>
          <w:color w:val="auto"/>
          <w:highlight w:val="none"/>
        </w:rPr>
        <w:t>由</w:t>
      </w:r>
      <w:r>
        <w:rPr>
          <w:rFonts w:hint="eastAsia" w:hAnsi="宋体"/>
          <w:color w:val="auto"/>
          <w:highlight w:val="none"/>
          <w:lang w:eastAsia="zh-CN"/>
        </w:rPr>
        <w:t>驾驶人</w:t>
      </w:r>
      <w:r>
        <w:rPr>
          <w:rFonts w:hint="eastAsia" w:hAnsi="宋体"/>
          <w:color w:val="auto"/>
          <w:highlight w:val="none"/>
        </w:rPr>
        <w:t>直接操纵向传输装置提供制动或控制所需能量的部件。这些能量可以是</w:t>
      </w:r>
      <w:r>
        <w:rPr>
          <w:rFonts w:hint="eastAsia" w:hAnsi="宋体"/>
          <w:color w:val="auto"/>
          <w:highlight w:val="none"/>
          <w:lang w:eastAsia="zh-CN"/>
        </w:rPr>
        <w:t>驾驶人</w:t>
      </w:r>
      <w:r>
        <w:rPr>
          <w:rFonts w:hint="eastAsia" w:hAnsi="宋体"/>
          <w:color w:val="auto"/>
          <w:highlight w:val="none"/>
        </w:rPr>
        <w:t>的体力或来自</w:t>
      </w:r>
      <w:r>
        <w:rPr>
          <w:rFonts w:hint="eastAsia" w:hAnsi="宋体"/>
          <w:color w:val="auto"/>
          <w:highlight w:val="none"/>
          <w:lang w:eastAsia="zh-CN"/>
        </w:rPr>
        <w:t>驾驶人</w:t>
      </w:r>
      <w:r>
        <w:rPr>
          <w:rFonts w:hint="eastAsia" w:hAnsi="宋体"/>
          <w:color w:val="auto"/>
          <w:highlight w:val="none"/>
        </w:rPr>
        <w:t>控制的其他能源，也可以是不同能量的组合。</w:t>
      </w:r>
    </w:p>
    <w:p>
      <w:pPr>
        <w:pStyle w:val="229"/>
        <w:ind w:left="420" w:hanging="420" w:hangingChars="200"/>
        <w:rPr>
          <w:rFonts w:ascii="黑体" w:hAnsi="黑体" w:eastAsia="黑体"/>
          <w:color w:val="auto"/>
          <w:highlight w:val="none"/>
          <w:u w:val="single"/>
        </w:rPr>
      </w:pPr>
      <w:r>
        <w:rPr>
          <w:rFonts w:hint="eastAsia" w:ascii="黑体" w:hAnsi="黑体" w:eastAsia="黑体"/>
          <w:color w:val="auto"/>
          <w:highlight w:val="none"/>
        </w:rPr>
        <w:br w:type="textWrapping"/>
      </w:r>
      <w:r>
        <w:rPr>
          <w:rFonts w:hint="eastAsia" w:ascii="黑体" w:hAnsi="黑体" w:eastAsia="黑体"/>
          <w:color w:val="auto"/>
          <w:highlight w:val="none"/>
        </w:rPr>
        <w:t>传输装置  transmission device</w:t>
      </w:r>
    </w:p>
    <w:p>
      <w:pPr>
        <w:pStyle w:val="62"/>
        <w:ind w:firstLine="420"/>
        <w:rPr>
          <w:color w:val="auto"/>
          <w:highlight w:val="none"/>
        </w:rPr>
      </w:pPr>
      <w:r>
        <w:rPr>
          <w:rFonts w:hint="eastAsia" w:hAnsi="宋体"/>
          <w:color w:val="auto"/>
          <w:highlight w:val="none"/>
        </w:rPr>
        <w:t>处于控制装置和制动器之间并使两者实现功能连接的零部件组合。传输装置可为机械式、液压式、气压式、电力式或混合式。制动力由</w:t>
      </w:r>
      <w:r>
        <w:rPr>
          <w:rFonts w:hint="eastAsia" w:hAnsi="宋体"/>
          <w:color w:val="auto"/>
          <w:highlight w:val="none"/>
          <w:lang w:eastAsia="zh-CN"/>
        </w:rPr>
        <w:t>驾驶人</w:t>
      </w:r>
      <w:r>
        <w:rPr>
          <w:rFonts w:hint="eastAsia" w:hAnsi="宋体"/>
          <w:color w:val="auto"/>
          <w:highlight w:val="none"/>
        </w:rPr>
        <w:t>体力以外的能源提供或助力时，应将储能器视为传输装置的一部分。</w:t>
      </w:r>
    </w:p>
    <w:p>
      <w:pPr>
        <w:pStyle w:val="185"/>
        <w:rPr>
          <w:color w:val="auto"/>
          <w:highlight w:val="none"/>
        </w:rPr>
      </w:pPr>
      <w:r>
        <w:rPr>
          <w:rFonts w:hint="eastAsia"/>
          <w:color w:val="auto"/>
          <w:highlight w:val="none"/>
        </w:rPr>
        <w:t>传输装置具有两种独立的功能：控制传输和能量传输。本文件单独使用“传输”一词时，同时具有“控制传输”和“能量传输”两种含义。</w:t>
      </w:r>
    </w:p>
    <w:p>
      <w:pPr>
        <w:pStyle w:val="230"/>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控制传输装置  control transmission device</w:t>
      </w:r>
    </w:p>
    <w:p>
      <w:pPr>
        <w:pStyle w:val="62"/>
        <w:ind w:firstLine="420"/>
        <w:rPr>
          <w:rFonts w:hint="eastAsia" w:hAnsi="宋体"/>
          <w:color w:val="auto"/>
          <w:highlight w:val="none"/>
        </w:rPr>
      </w:pPr>
      <w:r>
        <w:rPr>
          <w:rFonts w:hint="eastAsia" w:hAnsi="宋体"/>
          <w:color w:val="auto"/>
          <w:highlight w:val="none"/>
        </w:rPr>
        <w:t>传输装置中控制制动器工作的零部件组合，具有控制功能和所需的储能器。</w:t>
      </w:r>
    </w:p>
    <w:p>
      <w:pPr>
        <w:pStyle w:val="230"/>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能量传输装置  energy transmission device</w:t>
      </w:r>
    </w:p>
    <w:p>
      <w:pPr>
        <w:pStyle w:val="62"/>
        <w:ind w:firstLine="420"/>
        <w:rPr>
          <w:color w:val="auto"/>
          <w:highlight w:val="none"/>
        </w:rPr>
      </w:pPr>
      <w:r>
        <w:rPr>
          <w:rFonts w:hint="eastAsia" w:hAnsi="宋体"/>
          <w:color w:val="auto"/>
          <w:highlight w:val="none"/>
        </w:rPr>
        <w:t>向制动器提供其功能所需能量的零部件组合，包括制动器工作所需的储能器。</w:t>
      </w:r>
    </w:p>
    <w:p>
      <w:pPr>
        <w:pStyle w:val="229"/>
        <w:ind w:left="420" w:hanging="420" w:hangingChars="200"/>
        <w:rPr>
          <w:rFonts w:ascii="黑体" w:hAnsi="黑体" w:eastAsia="黑体"/>
          <w:color w:val="auto"/>
          <w:highlight w:val="none"/>
          <w:u w:val="single"/>
        </w:rPr>
      </w:pPr>
      <w:r>
        <w:rPr>
          <w:rFonts w:hint="eastAsia" w:ascii="黑体" w:hAnsi="黑体" w:eastAsia="黑体"/>
          <w:color w:val="auto"/>
          <w:highlight w:val="none"/>
        </w:rPr>
        <w:br w:type="textWrapping"/>
      </w:r>
      <w:r>
        <w:rPr>
          <w:rFonts w:hint="eastAsia" w:ascii="黑体" w:hAnsi="黑体" w:eastAsia="黑体"/>
          <w:color w:val="auto"/>
          <w:highlight w:val="none"/>
        </w:rPr>
        <w:t>制动器  brake</w:t>
      </w:r>
    </w:p>
    <w:p>
      <w:pPr>
        <w:pStyle w:val="62"/>
        <w:ind w:firstLine="420"/>
        <w:rPr>
          <w:rFonts w:hint="eastAsia" w:hAnsi="宋体"/>
          <w:color w:val="auto"/>
          <w:highlight w:val="none"/>
        </w:rPr>
      </w:pPr>
      <w:r>
        <w:rPr>
          <w:rFonts w:hint="eastAsia" w:hAnsi="宋体"/>
          <w:color w:val="auto"/>
          <w:highlight w:val="none"/>
        </w:rPr>
        <w:t>产生与车辆运动趋势相反的力的部件。可以是摩擦式制动器（制动力由车辆中具有相对运动的两个部件摩擦产生）、电力制动器（制动力由车辆中具有相对运动但不互相接触的两个部件间的电磁作用产生）、液力制动器（制动力由位于车辆的两个部件间、具有相对运动的液体产生），也可以是发动机缓速器（人为增加发动机制动作用，并将力传递到车轮上）。</w:t>
      </w:r>
    </w:p>
    <w:p>
      <w:pPr>
        <w:pStyle w:val="229"/>
        <w:ind w:left="420" w:hanging="420" w:hangingChars="200"/>
        <w:rPr>
          <w:rFonts w:ascii="黑体" w:hAnsi="黑体" w:eastAsia="黑体"/>
          <w:color w:val="auto"/>
          <w:highlight w:val="none"/>
          <w:u w:val="single"/>
        </w:rPr>
      </w:pPr>
      <w:r>
        <w:rPr>
          <w:rFonts w:hint="eastAsia" w:ascii="黑体" w:hAnsi="黑体" w:eastAsia="黑体"/>
          <w:color w:val="auto"/>
          <w:highlight w:val="none"/>
        </w:rPr>
        <w:br w:type="textWrapping"/>
      </w:r>
      <w:r>
        <w:rPr>
          <w:rFonts w:hint="eastAsia" w:ascii="黑体" w:hAnsi="黑体" w:eastAsia="黑体"/>
          <w:color w:val="auto"/>
          <w:highlight w:val="none"/>
        </w:rPr>
        <w:t>不同类型的制动系统  different types of braking system</w:t>
      </w:r>
    </w:p>
    <w:p>
      <w:pPr>
        <w:pStyle w:val="62"/>
        <w:ind w:firstLine="420"/>
        <w:rPr>
          <w:rFonts w:ascii="Times New Roman"/>
          <w:color w:val="auto"/>
          <w:highlight w:val="none"/>
          <w:u w:val="single"/>
        </w:rPr>
      </w:pPr>
      <w:r>
        <w:rPr>
          <w:rFonts w:hint="eastAsia"/>
          <w:color w:val="auto"/>
          <w:highlight w:val="none"/>
        </w:rPr>
        <w:t>在以下主要方面存在区别的制动装备：</w:t>
      </w:r>
    </w:p>
    <w:p>
      <w:pPr>
        <w:pStyle w:val="138"/>
        <w:rPr>
          <w:color w:val="auto"/>
          <w:highlight w:val="none"/>
        </w:rPr>
      </w:pPr>
      <w:r>
        <w:rPr>
          <w:rFonts w:hint="eastAsia"/>
          <w:color w:val="auto"/>
          <w:highlight w:val="none"/>
        </w:rPr>
        <w:t>零部件的特性不同；</w:t>
      </w:r>
    </w:p>
    <w:p>
      <w:pPr>
        <w:pStyle w:val="138"/>
        <w:rPr>
          <w:color w:val="auto"/>
          <w:highlight w:val="none"/>
        </w:rPr>
      </w:pPr>
      <w:r>
        <w:rPr>
          <w:rFonts w:hint="eastAsia"/>
          <w:color w:val="auto"/>
          <w:highlight w:val="none"/>
        </w:rPr>
        <w:t>零部件构成材料的特性不同，或零部件的外形或尺寸不同；</w:t>
      </w:r>
    </w:p>
    <w:p>
      <w:pPr>
        <w:pStyle w:val="138"/>
        <w:rPr>
          <w:color w:val="auto"/>
          <w:highlight w:val="none"/>
        </w:rPr>
      </w:pPr>
      <w:r>
        <w:rPr>
          <w:rFonts w:hint="eastAsia"/>
          <w:color w:val="auto"/>
          <w:highlight w:val="none"/>
        </w:rPr>
        <w:t>零部件的组合方式不同。</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制动系统的零部件  component of the braking system</w:t>
      </w:r>
    </w:p>
    <w:p>
      <w:pPr>
        <w:pStyle w:val="62"/>
        <w:ind w:firstLine="420"/>
        <w:rPr>
          <w:rFonts w:hint="eastAsia"/>
          <w:color w:val="auto"/>
          <w:highlight w:val="none"/>
        </w:rPr>
      </w:pPr>
      <w:r>
        <w:rPr>
          <w:rFonts w:hint="eastAsia"/>
          <w:color w:val="auto"/>
          <w:highlight w:val="none"/>
        </w:rPr>
        <w:t>可组装构成制动系统的单个零部件。</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渐进制动/可调节制动 graduated braking/modulatable braking</w:t>
      </w:r>
    </w:p>
    <w:p>
      <w:pPr>
        <w:pStyle w:val="62"/>
        <w:ind w:firstLine="420"/>
        <w:rPr>
          <w:rFonts w:hint="eastAsia" w:hAnsi="宋体"/>
          <w:color w:val="auto"/>
          <w:highlight w:val="none"/>
        </w:rPr>
      </w:pPr>
      <w:r>
        <w:rPr>
          <w:rFonts w:hint="eastAsia" w:hAnsi="宋体"/>
          <w:color w:val="auto"/>
          <w:highlight w:val="none"/>
        </w:rPr>
        <w:t>制动作用期间，</w:t>
      </w:r>
      <w:r>
        <w:rPr>
          <w:rFonts w:hint="eastAsia" w:hAnsi="宋体"/>
          <w:color w:val="auto"/>
          <w:highlight w:val="none"/>
          <w:lang w:eastAsia="zh-CN"/>
        </w:rPr>
        <w:t>驾驶人</w:t>
      </w:r>
      <w:r>
        <w:rPr>
          <w:rFonts w:hint="eastAsia" w:hAnsi="宋体"/>
          <w:color w:val="auto"/>
          <w:highlight w:val="none"/>
        </w:rPr>
        <w:t>可在正常操纵范围内随时操纵控制装置，以足够的精度调整制动力大小，使制动力随操纵幅度的大小而增加或减少（单调函数）。</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空载  unladen condition</w:t>
      </w:r>
    </w:p>
    <w:p>
      <w:pPr>
        <w:pStyle w:val="62"/>
        <w:ind w:firstLine="420"/>
        <w:rPr>
          <w:color w:val="auto"/>
          <w:highlight w:val="none"/>
        </w:rPr>
      </w:pPr>
      <w:r>
        <w:rPr>
          <w:rFonts w:hint="eastAsia"/>
          <w:color w:val="auto"/>
          <w:highlight w:val="none"/>
        </w:rPr>
        <w:t>整车整备质量加110 kg。</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满载  laden condition</w:t>
      </w:r>
    </w:p>
    <w:p>
      <w:pPr>
        <w:pStyle w:val="62"/>
        <w:ind w:firstLine="420"/>
        <w:rPr>
          <w:color w:val="auto"/>
          <w:highlight w:val="none"/>
        </w:rPr>
      </w:pPr>
      <w:r>
        <w:rPr>
          <w:rFonts w:hint="eastAsia"/>
          <w:color w:val="auto"/>
          <w:highlight w:val="none"/>
        </w:rPr>
        <w:t>车辆装载至最大设计总质量，特殊说明除外。</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轴荷分配  the distribution of mass among the axles</w:t>
      </w:r>
    </w:p>
    <w:p>
      <w:pPr>
        <w:pStyle w:val="62"/>
        <w:ind w:firstLine="420"/>
        <w:rPr>
          <w:color w:val="auto"/>
          <w:highlight w:val="none"/>
        </w:rPr>
      </w:pPr>
      <w:r>
        <w:rPr>
          <w:rFonts w:hint="eastAsia" w:hAnsi="宋体"/>
          <w:color w:val="auto"/>
          <w:highlight w:val="none"/>
        </w:rPr>
        <w:t>车辆及其装载质量的重力作用在车轴间的分配。</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轮/轴荷  wheel/axle load</w:t>
      </w:r>
    </w:p>
    <w:p>
      <w:pPr>
        <w:pStyle w:val="62"/>
        <w:ind w:firstLine="420"/>
        <w:rPr>
          <w:rFonts w:hint="eastAsia" w:hAnsi="宋体"/>
          <w:color w:val="auto"/>
          <w:highlight w:val="none"/>
        </w:rPr>
      </w:pPr>
      <w:r>
        <w:rPr>
          <w:rFonts w:hint="eastAsia" w:hAnsi="宋体"/>
          <w:color w:val="auto"/>
          <w:highlight w:val="none"/>
        </w:rPr>
        <w:t>在接触区域内、路面对某车轴的一个/全部车轮的垂直静态反力。</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最大静态轮/轴荷  maximum stationary wheel/axle load</w:t>
      </w:r>
    </w:p>
    <w:p>
      <w:pPr>
        <w:pStyle w:val="62"/>
        <w:ind w:firstLine="420"/>
        <w:rPr>
          <w:rFonts w:hint="eastAsia" w:hAnsi="宋体"/>
          <w:color w:val="auto"/>
          <w:highlight w:val="none"/>
        </w:rPr>
      </w:pPr>
      <w:r>
        <w:rPr>
          <w:rFonts w:hint="eastAsia" w:hAnsi="宋体"/>
          <w:color w:val="auto"/>
          <w:highlight w:val="none"/>
        </w:rPr>
        <w:t>车辆满载条件下的静态轮/轴荷。</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储能式液压制动系统  hydraulic braking system with stored energy</w:t>
      </w:r>
    </w:p>
    <w:p>
      <w:pPr>
        <w:pStyle w:val="62"/>
        <w:ind w:firstLine="420"/>
        <w:rPr>
          <w:rFonts w:hint="eastAsia" w:hAnsi="宋体"/>
          <w:color w:val="auto"/>
          <w:highlight w:val="none"/>
        </w:rPr>
      </w:pPr>
      <w:r>
        <w:rPr>
          <w:rFonts w:hint="eastAsia" w:hAnsi="宋体"/>
          <w:color w:val="auto"/>
          <w:highlight w:val="none"/>
        </w:rPr>
        <w:t>由存储在储能器中的压力液体供能的制动装备，压力液体由装有限压装置的液压泵供给，限压值由制造商规定。</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促动  actuation</w:t>
      </w:r>
    </w:p>
    <w:p>
      <w:pPr>
        <w:pStyle w:val="62"/>
        <w:ind w:firstLine="420"/>
        <w:rPr>
          <w:color w:val="auto"/>
          <w:highlight w:val="none"/>
        </w:rPr>
      </w:pPr>
      <w:r>
        <w:rPr>
          <w:rFonts w:hint="eastAsia" w:hAnsi="宋体"/>
          <w:color w:val="auto"/>
          <w:highlight w:val="none"/>
        </w:rPr>
        <w:t>控制装置的作用和释放。</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电力再生式制动系统  electric regenerative braking system；RBS</w:t>
      </w:r>
    </w:p>
    <w:p>
      <w:pPr>
        <w:pStyle w:val="62"/>
        <w:ind w:firstLine="420"/>
        <w:rPr>
          <w:rFonts w:hint="eastAsia" w:hAnsi="宋体"/>
          <w:color w:val="auto"/>
          <w:highlight w:val="none"/>
        </w:rPr>
      </w:pPr>
      <w:r>
        <w:rPr>
          <w:rFonts w:hint="eastAsia" w:hAnsi="宋体"/>
          <w:color w:val="auto"/>
          <w:highlight w:val="none"/>
        </w:rPr>
        <w:t>在减速过程中将车辆动能转化为电能的制动系统。</w:t>
      </w:r>
    </w:p>
    <w:p>
      <w:pPr>
        <w:pStyle w:val="230"/>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电力再生式制动控制装置  electric regenerative braking control</w:t>
      </w:r>
    </w:p>
    <w:p>
      <w:pPr>
        <w:pStyle w:val="62"/>
        <w:ind w:firstLine="420"/>
        <w:rPr>
          <w:color w:val="auto"/>
          <w:highlight w:val="none"/>
        </w:rPr>
      </w:pPr>
      <w:r>
        <w:rPr>
          <w:rFonts w:hint="eastAsia" w:hAnsi="宋体"/>
          <w:color w:val="auto"/>
          <w:highlight w:val="none"/>
        </w:rPr>
        <w:t>调节电力再生式制动系统制动作用的装置。</w:t>
      </w:r>
    </w:p>
    <w:p>
      <w:pPr>
        <w:pStyle w:val="230"/>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A型电力再生式制动系统  electric regenerative braking system of category A</w:t>
      </w:r>
    </w:p>
    <w:p>
      <w:pPr>
        <w:pStyle w:val="62"/>
        <w:ind w:firstLine="420"/>
        <w:rPr>
          <w:color w:val="auto"/>
          <w:highlight w:val="none"/>
        </w:rPr>
      </w:pPr>
      <w:r>
        <w:rPr>
          <w:rFonts w:hint="eastAsia" w:hAnsi="宋体"/>
          <w:color w:val="auto"/>
          <w:highlight w:val="none"/>
        </w:rPr>
        <w:t>不属于行车制动系统的电力再生式制动系统。</w:t>
      </w:r>
    </w:p>
    <w:p>
      <w:pPr>
        <w:pStyle w:val="230"/>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B型电力再生式制动系统  electric regenerative braking system of category B</w:t>
      </w:r>
    </w:p>
    <w:p>
      <w:pPr>
        <w:pStyle w:val="62"/>
        <w:ind w:firstLine="420"/>
        <w:rPr>
          <w:rFonts w:hint="eastAsia" w:hAnsi="宋体"/>
          <w:color w:val="auto"/>
          <w:highlight w:val="none"/>
        </w:rPr>
      </w:pPr>
      <w:r>
        <w:rPr>
          <w:rFonts w:hint="eastAsia" w:hAnsi="宋体"/>
          <w:color w:val="auto"/>
          <w:highlight w:val="none"/>
        </w:rPr>
        <w:t>属于行车制动系统的电力再生式制动系统。</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动力蓄电池  traction battery；propulsion battery</w:t>
      </w:r>
    </w:p>
    <w:p>
      <w:pPr>
        <w:pStyle w:val="62"/>
        <w:ind w:firstLine="420"/>
        <w:rPr>
          <w:rFonts w:hAnsi="宋体"/>
          <w:color w:val="auto"/>
          <w:highlight w:val="none"/>
        </w:rPr>
      </w:pPr>
      <w:r>
        <w:rPr>
          <w:rFonts w:hint="eastAsia" w:hAnsi="宋体"/>
          <w:color w:val="auto"/>
          <w:highlight w:val="none"/>
        </w:rPr>
        <w:t>为电动汽车动力系统提供能量的蓄电池。</w:t>
      </w:r>
    </w:p>
    <w:p>
      <w:pPr>
        <w:pStyle w:val="62"/>
        <w:ind w:firstLine="420"/>
        <w:rPr>
          <w:rFonts w:hint="eastAsia" w:hAnsi="宋体"/>
          <w:color w:val="auto"/>
          <w:highlight w:val="none"/>
        </w:rPr>
      </w:pPr>
      <w:r>
        <w:rPr>
          <w:rFonts w:hint="eastAsia" w:hAnsi="宋体"/>
          <w:color w:val="auto"/>
          <w:highlight w:val="none"/>
        </w:rPr>
        <w:t xml:space="preserve">[来源：GB/T </w:t>
      </w:r>
      <w:r>
        <w:rPr>
          <w:rFonts w:hint="eastAsia"/>
          <w:color w:val="auto"/>
          <w:highlight w:val="none"/>
        </w:rPr>
        <w:t>19596</w:t>
      </w:r>
      <w:r>
        <w:rPr>
          <w:rFonts w:hint="eastAsia" w:hAnsi="宋体"/>
          <w:color w:val="auto"/>
          <w:highlight w:val="none"/>
        </w:rPr>
        <w:t>—201</w:t>
      </w:r>
      <w:r>
        <w:rPr>
          <w:rFonts w:hint="eastAsia"/>
          <w:color w:val="auto"/>
          <w:highlight w:val="none"/>
        </w:rPr>
        <w:t>7</w:t>
      </w:r>
      <w:r>
        <w:rPr>
          <w:rFonts w:hint="eastAsia" w:hAnsi="宋体"/>
          <w:color w:val="auto"/>
          <w:highlight w:val="none"/>
        </w:rPr>
        <w:t>，</w:t>
      </w:r>
      <w:r>
        <w:rPr>
          <w:rFonts w:hint="eastAsia"/>
          <w:color w:val="auto"/>
          <w:highlight w:val="none"/>
        </w:rPr>
        <w:t>3</w:t>
      </w:r>
      <w:r>
        <w:rPr>
          <w:rFonts w:hint="eastAsia" w:hAnsi="宋体"/>
          <w:color w:val="auto"/>
          <w:highlight w:val="none"/>
        </w:rPr>
        <w:t>.</w:t>
      </w:r>
      <w:r>
        <w:rPr>
          <w:rFonts w:hint="eastAsia"/>
          <w:color w:val="auto"/>
          <w:highlight w:val="none"/>
        </w:rPr>
        <w:t>3.</w:t>
      </w:r>
      <w:r>
        <w:rPr>
          <w:rFonts w:hint="eastAsia" w:hAnsi="宋体"/>
          <w:color w:val="auto"/>
          <w:highlight w:val="none"/>
        </w:rPr>
        <w:t>1</w:t>
      </w:r>
      <w:r>
        <w:rPr>
          <w:rFonts w:hint="eastAsia"/>
          <w:color w:val="auto"/>
          <w:highlight w:val="none"/>
        </w:rPr>
        <w:t>.1.1.1</w:t>
      </w:r>
      <w:r>
        <w:rPr>
          <w:rFonts w:hint="eastAsia" w:hAnsi="宋体"/>
          <w:color w:val="auto"/>
          <w:highlight w:val="none"/>
        </w:rPr>
        <w:t>]</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荷电状态  state-of-charge；SOC</w:t>
      </w:r>
    </w:p>
    <w:p>
      <w:pPr>
        <w:pStyle w:val="62"/>
        <w:ind w:firstLine="420"/>
        <w:rPr>
          <w:rFonts w:hAnsi="宋体"/>
          <w:color w:val="auto"/>
          <w:highlight w:val="none"/>
        </w:rPr>
      </w:pPr>
      <w:r>
        <w:rPr>
          <w:rFonts w:hint="eastAsia" w:hAnsi="宋体"/>
          <w:color w:val="auto"/>
          <w:highlight w:val="none"/>
        </w:rPr>
        <w:t>当前蓄电池中按照规定放电条件可以释放的容量占可用容量的百分比。</w:t>
      </w:r>
    </w:p>
    <w:p>
      <w:pPr>
        <w:pStyle w:val="62"/>
        <w:ind w:firstLine="420"/>
        <w:rPr>
          <w:rFonts w:hint="eastAsia" w:hAnsi="宋体"/>
          <w:color w:val="auto"/>
          <w:highlight w:val="none"/>
        </w:rPr>
      </w:pPr>
      <w:r>
        <w:rPr>
          <w:rFonts w:hint="eastAsia" w:hAnsi="宋体"/>
          <w:color w:val="auto"/>
          <w:highlight w:val="none"/>
        </w:rPr>
        <w:t xml:space="preserve">[来源：GB/T </w:t>
      </w:r>
      <w:r>
        <w:rPr>
          <w:rFonts w:hint="eastAsia"/>
          <w:color w:val="auto"/>
          <w:highlight w:val="none"/>
        </w:rPr>
        <w:t>19596</w:t>
      </w:r>
      <w:r>
        <w:rPr>
          <w:rFonts w:hint="eastAsia" w:hAnsi="宋体"/>
          <w:color w:val="auto"/>
          <w:highlight w:val="none"/>
        </w:rPr>
        <w:t>—201</w:t>
      </w:r>
      <w:r>
        <w:rPr>
          <w:rFonts w:hint="eastAsia"/>
          <w:color w:val="auto"/>
          <w:highlight w:val="none"/>
        </w:rPr>
        <w:t>7</w:t>
      </w:r>
      <w:r>
        <w:rPr>
          <w:rFonts w:hint="eastAsia" w:hAnsi="宋体"/>
          <w:color w:val="auto"/>
          <w:highlight w:val="none"/>
        </w:rPr>
        <w:t>，</w:t>
      </w:r>
      <w:r>
        <w:rPr>
          <w:rFonts w:hint="eastAsia"/>
          <w:color w:val="auto"/>
          <w:highlight w:val="none"/>
        </w:rPr>
        <w:t>3</w:t>
      </w:r>
      <w:r>
        <w:rPr>
          <w:rFonts w:hint="eastAsia" w:hAnsi="宋体"/>
          <w:color w:val="auto"/>
          <w:highlight w:val="none"/>
        </w:rPr>
        <w:t>.</w:t>
      </w:r>
      <w:r>
        <w:rPr>
          <w:rFonts w:hint="eastAsia"/>
          <w:color w:val="auto"/>
          <w:highlight w:val="none"/>
        </w:rPr>
        <w:t>3.3.2.5</w:t>
      </w:r>
      <w:r>
        <w:rPr>
          <w:rFonts w:hint="eastAsia" w:hAnsi="宋体"/>
          <w:color w:val="auto"/>
          <w:highlight w:val="none"/>
        </w:rPr>
        <w:t>]</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相位制动  phased braking</w:t>
      </w:r>
    </w:p>
    <w:p>
      <w:pPr>
        <w:pStyle w:val="62"/>
        <w:ind w:firstLine="420"/>
        <w:rPr>
          <w:rFonts w:hint="eastAsia"/>
          <w:color w:val="auto"/>
          <w:highlight w:val="none"/>
        </w:rPr>
      </w:pPr>
      <w:r>
        <w:rPr>
          <w:rFonts w:hint="eastAsia" w:hAnsi="宋体"/>
          <w:color w:val="auto"/>
          <w:highlight w:val="none"/>
        </w:rPr>
        <w:t>两个或两个以上的制动源采用同一个控制装置，通过延后其他制动源来给予某个制动源以优先权，使其在其他制动源工作之前加强必要的控制动作。</w:t>
      </w:r>
      <w:r>
        <w:rPr>
          <w:rFonts w:hint="eastAsia"/>
          <w:color w:val="auto"/>
          <w:highlight w:val="none"/>
        </w:rPr>
        <w:t xml:space="preserve"> </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自动控制制动  automatically commanded braking</w:t>
      </w:r>
    </w:p>
    <w:p>
      <w:pPr>
        <w:pStyle w:val="62"/>
        <w:ind w:firstLine="420"/>
        <w:rPr>
          <w:rFonts w:hint="eastAsia" w:hAnsi="宋体"/>
          <w:color w:val="auto"/>
          <w:highlight w:val="none"/>
        </w:rPr>
      </w:pPr>
      <w:r>
        <w:rPr>
          <w:rFonts w:hint="eastAsia" w:hAnsi="宋体"/>
          <w:color w:val="auto"/>
          <w:highlight w:val="none"/>
        </w:rPr>
        <w:t>电子控制系统根据车辆信息自动评价的结果，自动操纵制动系统或某车轴的制动器进行制动，使车辆减速的功能。</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选择制动  selective braking</w:t>
      </w:r>
    </w:p>
    <w:p>
      <w:pPr>
        <w:pStyle w:val="62"/>
        <w:ind w:firstLine="420"/>
        <w:rPr>
          <w:rFonts w:hint="eastAsia" w:hAnsi="宋体"/>
          <w:color w:val="auto"/>
          <w:highlight w:val="none"/>
        </w:rPr>
      </w:pPr>
      <w:r>
        <w:rPr>
          <w:rFonts w:hint="eastAsia" w:hAnsi="宋体"/>
          <w:color w:val="auto"/>
          <w:highlight w:val="none"/>
        </w:rPr>
        <w:t>电子控制系统以自动方式对单个制动器进行制动，通过减速对车辆状态进行调整的功能。</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标称值  nominal value</w:t>
      </w:r>
    </w:p>
    <w:p>
      <w:pPr>
        <w:pStyle w:val="62"/>
        <w:ind w:firstLine="420"/>
        <w:rPr>
          <w:color w:val="auto"/>
          <w:highlight w:val="none"/>
        </w:rPr>
      </w:pPr>
      <w:r>
        <w:rPr>
          <w:rFonts w:hint="eastAsia" w:hAnsi="宋体"/>
          <w:color w:val="auto"/>
          <w:highlight w:val="none"/>
        </w:rPr>
        <w:t>给各车辆制动系统的输入-输出传递函数分别赋值所得到的基准制动性能，用来表征车辆自身所能产生的制动强度与制动输入变量水平之间的关系。</w:t>
      </w:r>
    </w:p>
    <w:p>
      <w:pPr>
        <w:pStyle w:val="185"/>
        <w:rPr>
          <w:color w:val="auto"/>
          <w:highlight w:val="none"/>
        </w:rPr>
      </w:pPr>
      <w:r>
        <w:rPr>
          <w:rFonts w:hint="eastAsia"/>
          <w:color w:val="auto"/>
          <w:highlight w:val="none"/>
        </w:rPr>
        <w:t>“标称值”被定义为表示车辆自身制动强度与制动输入变量之间关系的特性参数。</w:t>
      </w:r>
    </w:p>
    <w:p>
      <w:pPr>
        <w:pStyle w:val="229"/>
        <w:ind w:left="420" w:hanging="420" w:hangingChars="200"/>
        <w:rPr>
          <w:rFonts w:ascii="黑体" w:hAnsi="黑体" w:eastAsia="黑体"/>
          <w:color w:val="auto"/>
          <w:highlight w:val="none"/>
        </w:rPr>
      </w:pPr>
    </w:p>
    <w:p>
      <w:pPr>
        <w:pStyle w:val="229"/>
        <w:numPr>
          <w:ilvl w:val="0"/>
          <w:numId w:val="0"/>
        </w:numPr>
        <w:ind w:left="420"/>
        <w:rPr>
          <w:rFonts w:ascii="黑体" w:hAnsi="黑体" w:eastAsia="黑体"/>
          <w:color w:val="auto"/>
          <w:highlight w:val="none"/>
        </w:rPr>
      </w:pPr>
      <w:r>
        <w:rPr>
          <w:rFonts w:hint="eastAsia" w:ascii="黑体" w:hAnsi="黑体" w:eastAsia="黑体"/>
          <w:color w:val="auto"/>
          <w:highlight w:val="none"/>
        </w:rPr>
        <w:t xml:space="preserve">制动信号 </w:t>
      </w:r>
      <w:r>
        <w:rPr>
          <w:rFonts w:hint="eastAsia" w:ascii="黑体" w:hAnsi="黑体" w:eastAsia="黑体"/>
          <w:color w:val="auto"/>
          <w:highlight w:val="none"/>
          <w:lang w:val="en-US" w:eastAsia="zh-CN"/>
        </w:rPr>
        <w:t>b</w:t>
      </w:r>
      <w:r>
        <w:rPr>
          <w:rFonts w:hint="eastAsia" w:ascii="黑体" w:hAnsi="黑体" w:eastAsia="黑体"/>
          <w:color w:val="auto"/>
          <w:highlight w:val="none"/>
        </w:rPr>
        <w:t>raking signal</w:t>
      </w:r>
    </w:p>
    <w:p>
      <w:pPr>
        <w:spacing w:before="15" w:beforeLines="5" w:after="15" w:afterLines="5" w:line="264" w:lineRule="auto"/>
        <w:ind w:firstLine="420" w:firstLineChars="200"/>
        <w:rPr>
          <w:rFonts w:hint="eastAsia" w:ascii="宋体" w:hAnsi="宋体"/>
          <w:color w:val="auto"/>
          <w:highlight w:val="none"/>
        </w:rPr>
      </w:pPr>
      <w:r>
        <w:rPr>
          <w:rFonts w:hint="eastAsia" w:ascii="宋体" w:hAnsi="宋体"/>
          <w:color w:val="auto"/>
          <w:highlight w:val="none"/>
        </w:rPr>
        <w:t>指示制动触发的逻辑信号。</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 xml:space="preserve">紧急制动信号 </w:t>
      </w:r>
      <w:r>
        <w:rPr>
          <w:rFonts w:hint="eastAsia" w:ascii="黑体" w:hAnsi="黑体" w:eastAsia="黑体"/>
          <w:color w:val="auto"/>
          <w:highlight w:val="none"/>
          <w:lang w:val="en-US" w:eastAsia="zh-CN"/>
        </w:rPr>
        <w:t>e</w:t>
      </w:r>
      <w:r>
        <w:rPr>
          <w:rFonts w:hint="eastAsia" w:ascii="黑体" w:hAnsi="黑体" w:eastAsia="黑体"/>
          <w:color w:val="auto"/>
          <w:highlight w:val="none"/>
        </w:rPr>
        <w:t>mergency braking signal</w:t>
      </w:r>
    </w:p>
    <w:p>
      <w:pPr>
        <w:spacing w:before="15" w:beforeLines="5" w:after="15" w:afterLines="5" w:line="264" w:lineRule="auto"/>
        <w:ind w:firstLine="420" w:firstLineChars="200"/>
        <w:rPr>
          <w:rFonts w:hint="eastAsia" w:ascii="宋体" w:hAnsi="宋体"/>
          <w:color w:val="auto"/>
          <w:highlight w:val="none"/>
          <w:lang w:val="en-US" w:eastAsia="zh-CN"/>
        </w:rPr>
      </w:pPr>
      <w:r>
        <w:rPr>
          <w:rFonts w:hint="eastAsia" w:ascii="宋体" w:hAnsi="宋体"/>
          <w:color w:val="auto"/>
          <w:highlight w:val="none"/>
        </w:rPr>
        <w:t>指示紧急制动触发的逻辑信号。</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车轮抱死  wheel locking</w:t>
      </w:r>
    </w:p>
    <w:p>
      <w:pPr>
        <w:pStyle w:val="62"/>
        <w:ind w:firstLine="420"/>
        <w:rPr>
          <w:rFonts w:hAnsi="宋体"/>
          <w:color w:val="auto"/>
          <w:highlight w:val="none"/>
        </w:rPr>
      </w:pPr>
      <w:r>
        <w:rPr>
          <w:rFonts w:hint="eastAsia" w:hAnsi="宋体"/>
          <w:color w:val="auto"/>
          <w:highlight w:val="none"/>
        </w:rPr>
        <w:t>在车速大于15</w:t>
      </w:r>
      <w:r>
        <w:rPr>
          <w:rFonts w:hint="eastAsia"/>
          <w:color w:val="auto"/>
          <w:highlight w:val="none"/>
          <w:lang w:val="en-US" w:eastAsia="zh-CN"/>
        </w:rPr>
        <w:t> </w:t>
      </w:r>
      <w:r>
        <w:rPr>
          <w:rFonts w:hint="eastAsia" w:hAnsi="宋体"/>
          <w:color w:val="auto"/>
          <w:highlight w:val="none"/>
        </w:rPr>
        <w:t>km/h时，车轮的转速为零或车轮的滑移率为100％的持续时间大于等于100</w:t>
      </w:r>
      <w:r>
        <w:rPr>
          <w:rFonts w:hint="eastAsia"/>
          <w:color w:val="auto"/>
          <w:highlight w:val="none"/>
          <w:lang w:val="en-US" w:eastAsia="zh-CN"/>
        </w:rPr>
        <w:t> </w:t>
      </w:r>
      <w:r>
        <w:rPr>
          <w:rFonts w:hint="eastAsia" w:hAnsi="宋体"/>
          <w:color w:val="auto"/>
          <w:highlight w:val="none"/>
        </w:rPr>
        <w:t>ms；对在低附着系数路面上进行的ABS试验，该时间为500</w:t>
      </w:r>
      <w:r>
        <w:rPr>
          <w:rFonts w:hint="eastAsia"/>
          <w:color w:val="auto"/>
          <w:highlight w:val="none"/>
          <w:lang w:val="en-US" w:eastAsia="zh-CN"/>
        </w:rPr>
        <w:t> </w:t>
      </w:r>
      <w:r>
        <w:rPr>
          <w:rFonts w:hint="eastAsia" w:hAnsi="宋体"/>
          <w:color w:val="auto"/>
          <w:highlight w:val="none"/>
        </w:rPr>
        <w:t>ms。</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横摆角  yaw angle</w:t>
      </w:r>
    </w:p>
    <w:p>
      <w:pPr>
        <w:pStyle w:val="62"/>
        <w:ind w:firstLine="420"/>
        <w:rPr>
          <w:color w:val="auto"/>
          <w:highlight w:val="none"/>
        </w:rPr>
      </w:pPr>
      <w:r>
        <w:rPr>
          <w:rFonts w:hint="eastAsia" w:hAnsi="宋体"/>
          <w:color w:val="auto"/>
          <w:highlight w:val="none"/>
        </w:rPr>
        <w:t>车辆停止行驶时的中心线与行驶基准线所构成的夹角。</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防抱制动系统  anti-lock braking system；ABS</w:t>
      </w:r>
    </w:p>
    <w:p>
      <w:pPr>
        <w:pStyle w:val="62"/>
        <w:ind w:firstLine="420"/>
        <w:rPr>
          <w:rFonts w:hint="eastAsia" w:hAnsi="宋体"/>
          <w:color w:val="auto"/>
          <w:highlight w:val="none"/>
        </w:rPr>
      </w:pPr>
      <w:r>
        <w:rPr>
          <w:rFonts w:hint="eastAsia" w:hAnsi="宋体"/>
          <w:color w:val="auto"/>
          <w:highlight w:val="none"/>
        </w:rPr>
        <w:t>制动过程中，能自动控制车辆的一个或几个车轮在其旋转方向上的滑移程度的系统。</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传感器  sensor</w:t>
      </w:r>
    </w:p>
    <w:p>
      <w:pPr>
        <w:pStyle w:val="62"/>
        <w:ind w:firstLine="420"/>
        <w:rPr>
          <w:color w:val="auto"/>
          <w:highlight w:val="none"/>
        </w:rPr>
      </w:pPr>
      <w:r>
        <w:rPr>
          <w:rFonts w:hint="eastAsia" w:hAnsi="宋体"/>
          <w:color w:val="auto"/>
          <w:highlight w:val="none"/>
        </w:rPr>
        <w:t>用于识别车辆的运动状态或车轮的旋转状态，并将这些信息传递给控制器的零部件。</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控制器  controller</w:t>
      </w:r>
    </w:p>
    <w:p>
      <w:pPr>
        <w:pStyle w:val="62"/>
        <w:ind w:firstLine="420"/>
        <w:rPr>
          <w:color w:val="auto"/>
          <w:highlight w:val="none"/>
        </w:rPr>
      </w:pPr>
      <w:r>
        <w:rPr>
          <w:rFonts w:hint="eastAsia" w:hAnsi="宋体"/>
          <w:color w:val="auto"/>
          <w:highlight w:val="none"/>
        </w:rPr>
        <w:t>用于处理传感器提供的信息，并发出指令给调节器的零部件。</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调节器  modulator</w:t>
      </w:r>
    </w:p>
    <w:p>
      <w:pPr>
        <w:pStyle w:val="62"/>
        <w:ind w:firstLine="420"/>
        <w:rPr>
          <w:rFonts w:hAnsi="宋体"/>
          <w:color w:val="auto"/>
          <w:highlight w:val="none"/>
        </w:rPr>
      </w:pPr>
      <w:r>
        <w:rPr>
          <w:rFonts w:hint="eastAsia" w:hAnsi="宋体"/>
          <w:color w:val="auto"/>
          <w:highlight w:val="none"/>
        </w:rPr>
        <w:t>用于按收到的控制器指令调节制动力的零部件。</w:t>
      </w:r>
    </w:p>
    <w:p>
      <w:pPr>
        <w:pStyle w:val="229"/>
        <w:ind w:left="420" w:hanging="420" w:hangingChars="200"/>
        <w:rPr>
          <w:rFonts w:ascii="黑体" w:hAnsi="黑体" w:eastAsia="黑体"/>
          <w:color w:val="auto"/>
          <w:highlight w:val="none"/>
        </w:rPr>
      </w:pPr>
    </w:p>
    <w:p>
      <w:pPr>
        <w:pStyle w:val="229"/>
        <w:numPr>
          <w:ilvl w:val="0"/>
          <w:numId w:val="0"/>
        </w:numPr>
        <w:ind w:left="420"/>
        <w:rPr>
          <w:rFonts w:ascii="黑体" w:hAnsi="黑体" w:eastAsia="黑体"/>
          <w:color w:val="auto"/>
          <w:highlight w:val="none"/>
        </w:rPr>
      </w:pPr>
      <w:r>
        <w:rPr>
          <w:rFonts w:hint="eastAsia" w:ascii="黑体" w:hAnsi="黑体" w:eastAsia="黑体"/>
          <w:color w:val="auto"/>
          <w:highlight w:val="none"/>
        </w:rPr>
        <w:t>直接控制车轮</w:t>
      </w:r>
      <w:r>
        <w:rPr>
          <w:rStyle w:val="39"/>
          <w:color w:val="auto"/>
          <w:highlight w:val="none"/>
        </w:rPr>
        <w:footnoteReference w:id="0"/>
      </w:r>
      <w:r>
        <w:rPr>
          <w:rStyle w:val="39"/>
          <w:color w:val="auto"/>
          <w:highlight w:val="none"/>
        </w:rPr>
        <w:t>)</w:t>
      </w:r>
      <w:r>
        <w:rPr>
          <w:rFonts w:hint="eastAsia" w:ascii="黑体" w:hAnsi="黑体" w:eastAsia="黑体"/>
          <w:color w:val="auto"/>
          <w:highlight w:val="none"/>
        </w:rPr>
        <w:t xml:space="preserve">  directly controlled wheel</w:t>
      </w:r>
    </w:p>
    <w:p>
      <w:pPr>
        <w:pStyle w:val="62"/>
        <w:ind w:firstLine="420"/>
        <w:rPr>
          <w:color w:val="auto"/>
          <w:highlight w:val="none"/>
        </w:rPr>
      </w:pPr>
      <w:r>
        <w:rPr>
          <w:rFonts w:hint="eastAsia" w:hAnsi="宋体"/>
          <w:color w:val="auto"/>
          <w:highlight w:val="none"/>
        </w:rPr>
        <w:t>根据自身传感器提供的数据调节其制动力的车轮。</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间接控制车轮</w:t>
      </w:r>
      <w:r>
        <w:rPr>
          <w:rFonts w:hint="eastAsia" w:ascii="黑体" w:hAnsi="黑体" w:eastAsia="黑体"/>
          <w:color w:val="auto"/>
          <w:sz w:val="18"/>
          <w:szCs w:val="18"/>
          <w:highlight w:val="none"/>
          <w:vertAlign w:val="superscript"/>
        </w:rPr>
        <w:t xml:space="preserve">1) </w:t>
      </w:r>
      <w:r>
        <w:rPr>
          <w:rStyle w:val="235"/>
          <w:rFonts w:hint="default" w:ascii="黑体" w:hAnsi="黑体" w:eastAsia="黑体"/>
          <w:color w:val="auto"/>
          <w:highlight w:val="none"/>
          <w:vertAlign w:val="baseline"/>
        </w:rPr>
        <w:t xml:space="preserve">  </w:t>
      </w:r>
      <w:r>
        <w:rPr>
          <w:rFonts w:hint="eastAsia" w:ascii="黑体" w:hAnsi="黑体" w:eastAsia="黑体"/>
          <w:color w:val="auto"/>
          <w:highlight w:val="none"/>
        </w:rPr>
        <w:t>indirectly controlled wheel</w:t>
      </w:r>
    </w:p>
    <w:p>
      <w:pPr>
        <w:pStyle w:val="62"/>
        <w:ind w:firstLine="420"/>
        <w:rPr>
          <w:color w:val="auto"/>
          <w:highlight w:val="none"/>
        </w:rPr>
      </w:pPr>
      <w:r>
        <w:rPr>
          <w:rFonts w:hint="eastAsia" w:hAnsi="宋体"/>
          <w:color w:val="auto"/>
          <w:highlight w:val="none"/>
        </w:rPr>
        <w:t>根据其他车轮的传感器提供的数据来调节制动力的车轮。</w:t>
      </w:r>
    </w:p>
    <w:p>
      <w:pPr>
        <w:pStyle w:val="229"/>
        <w:ind w:left="420" w:hanging="420" w:hangingChars="200"/>
        <w:rPr>
          <w:rFonts w:ascii="黑体" w:hAnsi="黑体" w:eastAsia="黑体"/>
          <w:color w:val="auto"/>
          <w:highlight w:val="none"/>
        </w:rPr>
      </w:pPr>
      <w:r>
        <w:rPr>
          <w:rFonts w:hint="eastAsia" w:ascii="黑体" w:hAnsi="黑体" w:eastAsia="黑体"/>
          <w:color w:val="auto"/>
          <w:highlight w:val="none"/>
        </w:rPr>
        <w:br w:type="textWrapping"/>
      </w:r>
      <w:r>
        <w:rPr>
          <w:rFonts w:hint="eastAsia" w:ascii="黑体" w:hAnsi="黑体" w:eastAsia="黑体"/>
          <w:color w:val="auto"/>
          <w:highlight w:val="none"/>
        </w:rPr>
        <w:t>全循环  full cycling</w:t>
      </w:r>
    </w:p>
    <w:p>
      <w:pPr>
        <w:pStyle w:val="62"/>
        <w:ind w:firstLine="420"/>
        <w:rPr>
          <w:rFonts w:hint="eastAsia" w:hAnsi="宋体"/>
          <w:color w:val="auto"/>
          <w:highlight w:val="none"/>
        </w:rPr>
      </w:pPr>
      <w:r>
        <w:rPr>
          <w:rFonts w:hint="eastAsia" w:hAnsi="宋体"/>
          <w:color w:val="auto"/>
          <w:highlight w:val="none"/>
        </w:rPr>
        <w:t>防抱制动系统反复调节制动力以防止直接控制车轮抱死。在制动至停车过程中只进行一次调节的不符合该定义。</w:t>
      </w:r>
    </w:p>
    <w:p>
      <w:pPr>
        <w:pStyle w:val="229"/>
        <w:ind w:left="420" w:hanging="420" w:hangingChars="200"/>
        <w:rPr>
          <w:rFonts w:ascii="黑体" w:hAnsi="黑体" w:eastAsia="黑体"/>
          <w:color w:val="auto"/>
          <w:kern w:val="2"/>
          <w:highlight w:val="none"/>
        </w:rPr>
      </w:pPr>
    </w:p>
    <w:p>
      <w:pPr>
        <w:pStyle w:val="229"/>
        <w:numPr>
          <w:ilvl w:val="0"/>
          <w:numId w:val="0"/>
        </w:numPr>
        <w:ind w:left="420"/>
        <w:rPr>
          <w:rFonts w:ascii="黑体" w:hAnsi="黑体" w:eastAsia="黑体"/>
          <w:color w:val="auto"/>
          <w:kern w:val="2"/>
          <w:highlight w:val="none"/>
        </w:rPr>
      </w:pPr>
      <w:r>
        <w:rPr>
          <w:rFonts w:hint="eastAsia" w:ascii="黑体" w:hAnsi="黑体" w:eastAsia="黑体"/>
          <w:color w:val="auto"/>
          <w:highlight w:val="none"/>
        </w:rPr>
        <w:t>电子控制系统  electronic control system</w:t>
      </w:r>
    </w:p>
    <w:p>
      <w:pPr>
        <w:pStyle w:val="62"/>
        <w:ind w:firstLine="420"/>
        <w:rPr>
          <w:rFonts w:hAnsi="宋体"/>
          <w:color w:val="auto"/>
          <w:highlight w:val="none"/>
        </w:rPr>
      </w:pPr>
      <w:r>
        <w:rPr>
          <w:rFonts w:hint="eastAsia" w:hAnsi="宋体"/>
          <w:color w:val="auto"/>
          <w:highlight w:val="none"/>
        </w:rPr>
        <w:t>通过电子数据处理方式协同实现车辆控制功能的一系列单元的组合。</w:t>
      </w:r>
    </w:p>
    <w:p>
      <w:pPr>
        <w:pStyle w:val="185"/>
        <w:rPr>
          <w:color w:val="auto"/>
          <w:highlight w:val="none"/>
        </w:rPr>
      </w:pPr>
      <w:r>
        <w:rPr>
          <w:rFonts w:hint="eastAsia"/>
          <w:color w:val="auto"/>
          <w:highlight w:val="none"/>
        </w:rPr>
        <w:t>该系统通常通过软件控制，由传感器、控制器和执行器等独立的功能组件构成，并通过传输链相连接。该系统可包括机械、电子-气压、电子-液压单元。</w:t>
      </w:r>
    </w:p>
    <w:p>
      <w:pPr>
        <w:pStyle w:val="229"/>
        <w:ind w:left="420" w:hanging="420" w:hangingChars="200"/>
        <w:rPr>
          <w:rFonts w:ascii="黑体" w:hAnsi="黑体" w:eastAsia="黑体"/>
          <w:color w:val="auto"/>
          <w:highlight w:val="none"/>
        </w:rPr>
      </w:pPr>
    </w:p>
    <w:p>
      <w:pPr>
        <w:pStyle w:val="229"/>
        <w:numPr>
          <w:ilvl w:val="0"/>
          <w:numId w:val="0"/>
        </w:numPr>
        <w:ind w:left="420"/>
        <w:rPr>
          <w:rFonts w:ascii="黑体" w:hAnsi="黑体" w:eastAsia="黑体"/>
          <w:color w:val="auto"/>
          <w:highlight w:val="none"/>
        </w:rPr>
      </w:pPr>
      <w:r>
        <w:rPr>
          <w:rFonts w:hint="eastAsia" w:ascii="黑体" w:hAnsi="黑体" w:eastAsia="黑体"/>
          <w:color w:val="auto"/>
          <w:highlight w:val="none"/>
        </w:rPr>
        <w:t>单元  unit</w:t>
      </w:r>
    </w:p>
    <w:p>
      <w:pPr>
        <w:spacing w:before="15" w:beforeLines="5" w:after="15" w:afterLines="5" w:line="264" w:lineRule="auto"/>
        <w:ind w:firstLine="420" w:firstLineChars="200"/>
        <w:rPr>
          <w:rFonts w:hint="eastAsia" w:ascii="宋体" w:hAnsi="宋体"/>
          <w:color w:val="auto"/>
          <w:highlight w:val="none"/>
          <w:lang w:eastAsia="zh-CN"/>
        </w:rPr>
      </w:pPr>
      <w:r>
        <w:rPr>
          <w:rFonts w:hint="eastAsia" w:ascii="宋体" w:hAnsi="宋体"/>
          <w:color w:val="auto"/>
          <w:highlight w:val="none"/>
        </w:rPr>
        <w:t>系统组件的最小划分，可组合构成可识别、分析或更换的一个单独实体</w:t>
      </w:r>
      <w:r>
        <w:rPr>
          <w:rFonts w:hint="eastAsia" w:ascii="宋体" w:hAnsi="宋体"/>
          <w:color w:val="auto"/>
          <w:highlight w:val="none"/>
          <w:lang w:eastAsia="zh-CN"/>
        </w:rPr>
        <w:t>。</w:t>
      </w:r>
    </w:p>
    <w:p>
      <w:pPr>
        <w:pStyle w:val="229"/>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传输链  transmission links</w:t>
      </w:r>
    </w:p>
    <w:p>
      <w:pPr>
        <w:pStyle w:val="62"/>
        <w:ind w:firstLine="420"/>
        <w:rPr>
          <w:rFonts w:hint="eastAsia" w:hAnsi="宋体"/>
          <w:color w:val="auto"/>
          <w:highlight w:val="none"/>
        </w:rPr>
      </w:pPr>
      <w:r>
        <w:rPr>
          <w:rFonts w:hint="eastAsia" w:hAnsi="宋体"/>
          <w:color w:val="auto"/>
          <w:highlight w:val="none"/>
        </w:rPr>
        <w:t>为了传输信号、运行数据或能量供给而用于连接内部单元的方式。</w:t>
      </w:r>
    </w:p>
    <w:p>
      <w:pPr>
        <w:pStyle w:val="62"/>
        <w:ind w:firstLine="420"/>
        <w:rPr>
          <w:rFonts w:hint="eastAsia"/>
          <w:color w:val="auto"/>
          <w:sz w:val="18"/>
          <w:szCs w:val="16"/>
          <w:highlight w:val="none"/>
        </w:rPr>
      </w:pPr>
      <w:r>
        <w:rPr>
          <w:rFonts w:hint="eastAsia" w:ascii="黑体" w:hAnsi="黑体" w:eastAsia="黑体" w:cs="黑体"/>
          <w:color w:val="auto"/>
          <w:sz w:val="18"/>
          <w:szCs w:val="16"/>
          <w:highlight w:val="none"/>
          <w:lang w:val="en-US" w:eastAsia="zh-CN"/>
        </w:rPr>
        <w:t>注：</w:t>
      </w:r>
      <w:r>
        <w:rPr>
          <w:rFonts w:hint="eastAsia"/>
          <w:color w:val="auto"/>
          <w:sz w:val="18"/>
          <w:szCs w:val="16"/>
          <w:highlight w:val="none"/>
        </w:rPr>
        <w:t>通常是电子的，也可以是机械、气压、液压或光学的。</w:t>
      </w:r>
    </w:p>
    <w:p>
      <w:pPr>
        <w:pStyle w:val="229"/>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有效工作范围  boundary of functional operation</w:t>
      </w:r>
    </w:p>
    <w:p>
      <w:pPr>
        <w:pStyle w:val="62"/>
        <w:ind w:firstLine="420"/>
        <w:rPr>
          <w:rFonts w:hint="eastAsia" w:hAnsi="宋体"/>
          <w:color w:val="auto"/>
          <w:highlight w:val="none"/>
        </w:rPr>
      </w:pPr>
      <w:r>
        <w:rPr>
          <w:rFonts w:hint="eastAsia" w:hAnsi="宋体"/>
          <w:color w:val="auto"/>
          <w:highlight w:val="none"/>
        </w:rPr>
        <w:t>系统能保持控制的外部物理界限的范围。</w:t>
      </w:r>
    </w:p>
    <w:p>
      <w:pPr>
        <w:pStyle w:val="110"/>
        <w:spacing w:before="312" w:after="312"/>
        <w:rPr>
          <w:color w:val="auto"/>
          <w:szCs w:val="21"/>
          <w:highlight w:val="none"/>
        </w:rPr>
      </w:pPr>
      <w:bookmarkStart w:id="51" w:name="_Toc118580220"/>
      <w:bookmarkStart w:id="52" w:name="_Toc768"/>
      <w:r>
        <w:rPr>
          <w:rFonts w:hint="eastAsia"/>
          <w:color w:val="auto"/>
          <w:highlight w:val="none"/>
        </w:rPr>
        <w:t>符号和缩略语</w:t>
      </w:r>
      <w:bookmarkEnd w:id="51"/>
      <w:bookmarkEnd w:id="52"/>
    </w:p>
    <w:p>
      <w:pPr>
        <w:pStyle w:val="111"/>
        <w:spacing w:before="156" w:after="156"/>
        <w:rPr>
          <w:color w:val="auto"/>
          <w:szCs w:val="21"/>
          <w:highlight w:val="none"/>
        </w:rPr>
      </w:pPr>
      <w:bookmarkStart w:id="53" w:name="_Toc118580221"/>
      <w:bookmarkStart w:id="54" w:name="_Toc4242"/>
      <w:r>
        <w:rPr>
          <w:rFonts w:hint="eastAsia"/>
          <w:color w:val="auto"/>
          <w:highlight w:val="none"/>
        </w:rPr>
        <w:t>符号和定义</w:t>
      </w:r>
      <w:bookmarkEnd w:id="53"/>
      <w:bookmarkEnd w:id="54"/>
    </w:p>
    <w:p>
      <w:pPr>
        <w:pStyle w:val="62"/>
        <w:ind w:firstLine="420"/>
        <w:rPr>
          <w:color w:val="auto"/>
          <w:highlight w:val="none"/>
        </w:rPr>
      </w:pPr>
      <w:r>
        <w:rPr>
          <w:rFonts w:hint="eastAsia"/>
          <w:color w:val="auto"/>
          <w:highlight w:val="none"/>
        </w:rPr>
        <w:t>下列符号适用于本文件。</w:t>
      </w:r>
    </w:p>
    <w:tbl>
      <w:tblPr>
        <w:tblStyle w:val="32"/>
        <w:tblW w:w="4008" w:type="pct"/>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6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firstLine="630" w:firstLineChars="30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d</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236"/>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充分发出的平均减速度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hAnsi="Cambria Math" w:eastAsia="宋体" w:cs="宋体"/>
                <w:i/>
                <w:iCs/>
                <w:color w:val="auto"/>
                <w:sz w:val="21"/>
                <w:szCs w:val="21"/>
                <w:highlight w:val="none"/>
              </w:rPr>
            </w:pPr>
            <m:oMathPara>
              <m:oMathParaPr>
                <m:jc m:val="left"/>
              </m:oMathParaPr>
              <m:oMath>
                <m:sSub>
                  <m:sSubPr>
                    <m:ctrlPr>
                      <w:rPr>
                        <w:rFonts w:hint="eastAsia" w:ascii="Cambria Math" w:hAnsi="Cambria Math" w:eastAsia="宋体" w:cs="宋体"/>
                        <w:i/>
                        <w:iCs/>
                        <w:color w:val="auto"/>
                        <w:sz w:val="21"/>
                        <w:szCs w:val="21"/>
                        <w:highlight w:val="none"/>
                      </w:rPr>
                    </m:ctrlPr>
                  </m:sSubPr>
                  <m:e>
                    <m:r>
                      <m:rPr/>
                      <w:rPr>
                        <w:rFonts w:hint="default" w:ascii="Cambria Math" w:hAnsi="Cambria Math" w:eastAsia="宋体" w:cs="宋体"/>
                        <w:color w:val="auto"/>
                        <w:sz w:val="21"/>
                        <w:szCs w:val="21"/>
                        <w:highlight w:val="none"/>
                      </w:rPr>
                      <m:t>d</m:t>
                    </m:r>
                    <m:ctrlPr>
                      <w:rPr>
                        <w:rFonts w:hint="eastAsia" w:ascii="Cambria Math" w:hAnsi="Cambria Math" w:eastAsia="宋体" w:cs="宋体"/>
                        <w:i/>
                        <w:iCs/>
                        <w:color w:val="auto"/>
                        <w:sz w:val="21"/>
                        <w:szCs w:val="21"/>
                        <w:highlight w:val="none"/>
                      </w:rPr>
                    </m:ctrlPr>
                  </m:e>
                  <m:sub>
                    <m:r>
                      <m:rPr/>
                      <w:rPr>
                        <w:rFonts w:hint="default" w:ascii="Cambria Math" w:hAnsi="Cambria Math" w:eastAsia="宋体" w:cs="宋体"/>
                        <w:color w:val="auto"/>
                        <w:sz w:val="21"/>
                        <w:szCs w:val="21"/>
                        <w:highlight w:val="none"/>
                      </w:rPr>
                      <m:t>M</m:t>
                    </m:r>
                    <m:ctrlPr>
                      <w:rPr>
                        <w:rFonts w:hint="eastAsia" w:ascii="Cambria Math" w:hAnsi="Cambria Math" w:eastAsia="宋体" w:cs="宋体"/>
                        <w:i/>
                        <w:iCs/>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iCs/>
                <w:color w:val="auto"/>
                <w:sz w:val="21"/>
                <w:szCs w:val="21"/>
                <w:highlight w:val="none"/>
              </w:rPr>
            </w:pPr>
            <w:r>
              <w:rPr>
                <w:rFonts w:hint="eastAsia" w:hAnsi="宋体" w:cs="宋体"/>
                <w:iCs/>
                <w:color w:val="auto"/>
                <w:sz w:val="21"/>
                <w:szCs w:val="21"/>
                <w:highlight w:val="none"/>
                <w:lang w:eastAsia="zh-CN"/>
              </w:rPr>
              <w:t>：</w:t>
            </w:r>
            <w:r>
              <w:rPr>
                <w:rFonts w:hint="eastAsia" w:ascii="宋体" w:hAnsi="宋体" w:eastAsia="宋体" w:cs="宋体"/>
                <w:iCs/>
                <w:color w:val="auto"/>
                <w:sz w:val="21"/>
                <w:szCs w:val="21"/>
                <w:highlight w:val="none"/>
              </w:rPr>
              <w:t>乘用车在</w:t>
            </w:r>
            <w:r>
              <w:rPr>
                <w:rFonts w:hint="eastAsia" w:hAnsi="宋体" w:cs="宋体"/>
                <w:iCs/>
                <w:color w:val="auto"/>
                <w:sz w:val="21"/>
                <w:szCs w:val="21"/>
                <w:highlight w:val="none"/>
                <w:lang w:val="en-US" w:eastAsia="zh-CN"/>
              </w:rPr>
              <w:t>动力脱开</w:t>
            </w:r>
            <w:r>
              <w:rPr>
                <w:rFonts w:hint="eastAsia" w:ascii="宋体" w:hAnsi="宋体" w:eastAsia="宋体" w:cs="宋体"/>
                <w:iCs/>
                <w:color w:val="auto"/>
                <w:sz w:val="21"/>
                <w:szCs w:val="21"/>
                <w:highlight w:val="none"/>
              </w:rPr>
              <w:t>状态下的0型试验中充分发出的平均减速度的最大值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hAnsi="Cambria Math" w:eastAsia="宋体" w:cs="宋体"/>
                <w:i/>
                <w:iCs/>
                <w:color w:val="auto"/>
                <w:sz w:val="21"/>
                <w:szCs w:val="21"/>
                <w:highlight w:val="none"/>
              </w:rPr>
            </w:pPr>
            <m:oMathPara>
              <m:oMathParaPr>
                <m:jc m:val="left"/>
              </m:oMathParaPr>
              <m:oMath>
                <m:sSub>
                  <m:sSubPr>
                    <m:ctrlPr>
                      <w:rPr>
                        <w:rFonts w:hint="eastAsia" w:ascii="Cambria Math" w:hAnsi="Cambria Math" w:eastAsia="宋体" w:cs="宋体"/>
                        <w:i/>
                        <w:iCs/>
                        <w:color w:val="auto"/>
                        <w:sz w:val="21"/>
                        <w:szCs w:val="21"/>
                        <w:highlight w:val="none"/>
                      </w:rPr>
                    </m:ctrlPr>
                  </m:sSubPr>
                  <m:e>
                    <m:r>
                      <m:rPr/>
                      <w:rPr>
                        <w:rFonts w:hint="default" w:ascii="Cambria Math" w:hAnsi="Cambria Math" w:eastAsia="宋体" w:cs="宋体"/>
                        <w:color w:val="auto"/>
                        <w:sz w:val="21"/>
                        <w:szCs w:val="21"/>
                        <w:highlight w:val="none"/>
                      </w:rPr>
                      <m:t>d</m:t>
                    </m:r>
                    <m:ctrlPr>
                      <w:rPr>
                        <w:rFonts w:hint="eastAsia" w:ascii="Cambria Math" w:hAnsi="Cambria Math" w:eastAsia="宋体" w:cs="宋体"/>
                        <w:i/>
                        <w:iCs/>
                        <w:color w:val="auto"/>
                        <w:sz w:val="21"/>
                        <w:szCs w:val="21"/>
                        <w:highlight w:val="none"/>
                      </w:rPr>
                    </m:ctrlPr>
                  </m:e>
                  <m:sub>
                    <m:r>
                      <m:rPr/>
                      <w:rPr>
                        <w:rFonts w:hint="default" w:ascii="Cambria Math" w:hAnsi="Cambria Math" w:eastAsia="宋体" w:cs="宋体"/>
                        <w:color w:val="auto"/>
                        <w:sz w:val="21"/>
                        <w:szCs w:val="21"/>
                        <w:highlight w:val="none"/>
                      </w:rPr>
                      <m:t>M+R</m:t>
                    </m:r>
                    <m:ctrlPr>
                      <w:rPr>
                        <w:rFonts w:hint="eastAsia" w:ascii="Cambria Math" w:hAnsi="Cambria Math" w:eastAsia="宋体" w:cs="宋体"/>
                        <w:i/>
                        <w:iCs/>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iCs/>
                <w:color w:val="auto"/>
                <w:sz w:val="21"/>
                <w:szCs w:val="21"/>
                <w:highlight w:val="none"/>
              </w:rPr>
            </w:pPr>
            <w:r>
              <w:rPr>
                <w:rFonts w:hint="eastAsia" w:hAnsi="宋体" w:cs="宋体"/>
                <w:iCs/>
                <w:color w:val="auto"/>
                <w:sz w:val="21"/>
                <w:szCs w:val="21"/>
                <w:highlight w:val="none"/>
                <w:lang w:eastAsia="zh-CN"/>
              </w:rPr>
              <w:t>：</w:t>
            </w:r>
            <w:r>
              <w:rPr>
                <w:rFonts w:hint="eastAsia" w:ascii="宋体" w:hAnsi="宋体" w:eastAsia="宋体" w:cs="宋体"/>
                <w:iCs/>
                <w:color w:val="auto"/>
                <w:sz w:val="21"/>
                <w:szCs w:val="21"/>
                <w:highlight w:val="none"/>
              </w:rPr>
              <w:t>计算得出的乘用车挂接无制动挂车时充分发出的平均减速度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hAnsi="Cambria Math" w:eastAsia="宋体" w:cs="宋体"/>
                <w:i/>
                <w:iCs/>
                <w:color w:val="auto"/>
                <w:sz w:val="21"/>
                <w:szCs w:val="21"/>
                <w:highlight w:val="none"/>
              </w:rPr>
            </w:pPr>
            <m:oMathPara>
              <m:oMathParaPr>
                <m:jc m:val="left"/>
              </m:oMathParaPr>
              <m:oMath>
                <m:r>
                  <m:rPr/>
                  <w:rPr>
                    <w:rFonts w:hint="default" w:ascii="Cambria Math" w:hAnsi="Cambria Math" w:eastAsia="宋体" w:cs="宋体"/>
                    <w:color w:val="auto"/>
                    <w:sz w:val="21"/>
                    <w:szCs w:val="21"/>
                    <w:highlight w:val="none"/>
                  </w:rPr>
                  <m:t>Δd</m:t>
                </m:r>
              </m:oMath>
            </m:oMathPara>
          </w:p>
        </w:tc>
        <w:tc>
          <w:tcPr>
            <w:tcW w:w="4626" w:type="pct"/>
            <w:shd w:val="clear" w:color="auto" w:fill="auto"/>
            <w:vAlign w:val="center"/>
          </w:tcPr>
          <w:p>
            <w:pPr>
              <w:pStyle w:val="184"/>
              <w:keepNext w:val="0"/>
              <w:keepLines w:val="0"/>
              <w:pageBreakBefore w:val="0"/>
              <w:widowControl/>
              <w:kinsoku/>
              <w:wordWrap/>
              <w:overflowPunct/>
              <w:topLinePunct w:val="0"/>
              <w:autoSpaceDE w:val="0"/>
              <w:autoSpaceDN w:val="0"/>
              <w:bidi w:val="0"/>
              <w:adjustRightInd/>
              <w:snapToGrid/>
              <w:ind w:left="210" w:hanging="210" w:hangingChars="100"/>
              <w:jc w:val="left"/>
              <w:textAlignment w:val="auto"/>
              <w:rPr>
                <w:rFonts w:hint="eastAsia" w:ascii="宋体" w:hAnsi="宋体" w:eastAsia="宋体" w:cs="宋体"/>
                <w:iCs/>
                <w:color w:val="auto"/>
                <w:sz w:val="21"/>
                <w:szCs w:val="21"/>
                <w:highlight w:val="none"/>
              </w:rPr>
            </w:pPr>
            <w:bookmarkStart w:id="55" w:name="_Hlk69808622"/>
            <w:r>
              <w:rPr>
                <w:rFonts w:hint="eastAsia" w:hAnsi="宋体" w:cs="宋体"/>
                <w:iCs/>
                <w:color w:val="auto"/>
                <w:sz w:val="21"/>
                <w:szCs w:val="21"/>
                <w:highlight w:val="none"/>
                <w:lang w:eastAsia="zh-CN"/>
              </w:rPr>
              <w:t>：</w:t>
            </w:r>
            <w:r>
              <w:rPr>
                <w:rFonts w:hint="eastAsia" w:ascii="宋体" w:hAnsi="宋体" w:eastAsia="宋体" w:cs="宋体"/>
                <w:iCs/>
                <w:color w:val="auto"/>
                <w:sz w:val="21"/>
                <w:szCs w:val="21"/>
                <w:highlight w:val="none"/>
              </w:rPr>
              <w:t>用全新制动衬片的厚度（最大制动衬片厚度）减去完全磨损的制动衬片的厚度（制造商声明的最小制动衬片厚度）</w:t>
            </w:r>
            <w:bookmark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hAnsi="Cambria Math" w:eastAsia="宋体" w:cs="宋体"/>
                <w:i/>
                <w:iCs/>
                <w:color w:val="auto"/>
                <w:sz w:val="21"/>
                <w:szCs w:val="21"/>
                <w:highlight w:val="none"/>
              </w:rPr>
            </w:pPr>
            <m:oMathPara>
              <m:oMathParaPr>
                <m:jc m:val="left"/>
              </m:oMathParaPr>
              <m:oMath>
                <m:r>
                  <m:rPr/>
                  <w:rPr>
                    <w:rFonts w:hint="default" w:ascii="Cambria Math" w:hAnsi="Cambria Math" w:eastAsia="宋体" w:cs="宋体"/>
                    <w:color w:val="auto"/>
                    <w:sz w:val="21"/>
                    <w:szCs w:val="21"/>
                    <w:highlight w:val="none"/>
                  </w:rPr>
                  <m:t>Δt</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iCs/>
                <w:color w:val="auto"/>
                <w:sz w:val="21"/>
                <w:szCs w:val="21"/>
                <w:highlight w:val="none"/>
              </w:rPr>
            </w:pPr>
            <w:r>
              <w:rPr>
                <w:rFonts w:hint="eastAsia" w:hAnsi="宋体" w:cs="宋体"/>
                <w:iCs/>
                <w:color w:val="auto"/>
                <w:sz w:val="21"/>
                <w:szCs w:val="21"/>
                <w:highlight w:val="none"/>
                <w:lang w:eastAsia="zh-CN"/>
              </w:rPr>
              <w:t>：</w:t>
            </w:r>
            <w:r>
              <w:rPr>
                <w:rFonts w:hint="eastAsia" w:ascii="宋体" w:hAnsi="宋体" w:eastAsia="宋体" w:cs="宋体"/>
                <w:iCs/>
                <w:color w:val="auto"/>
                <w:sz w:val="21"/>
                <w:szCs w:val="21"/>
                <w:highlight w:val="none"/>
              </w:rPr>
              <w:t>制动循环周期，从一次制动开始到下一次制动开始所经历的时间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hAnsi="Cambria Math" w:eastAsia="宋体" w:cs="宋体"/>
                <w:i/>
                <w:iCs/>
                <w:color w:val="auto"/>
                <w:sz w:val="21"/>
                <w:szCs w:val="21"/>
                <w:highlight w:val="none"/>
              </w:rPr>
            </w:pPr>
            <m:oMathPara>
              <m:oMathParaPr>
                <m:jc m:val="left"/>
              </m:oMathParaPr>
              <m:oMath>
                <m:r>
                  <m:rPr/>
                  <w:rPr>
                    <w:rFonts w:hint="default" w:ascii="Cambria Math" w:hAnsi="Cambria Math" w:eastAsia="宋体" w:cs="宋体"/>
                    <w:color w:val="auto"/>
                    <w:sz w:val="21"/>
                    <w:szCs w:val="21"/>
                    <w:highlight w:val="none"/>
                  </w:rPr>
                  <m:t>Δx</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iCs/>
                <w:color w:val="auto"/>
                <w:sz w:val="21"/>
                <w:szCs w:val="21"/>
                <w:highlight w:val="none"/>
              </w:rPr>
            </w:pPr>
            <w:r>
              <w:rPr>
                <w:rFonts w:hint="eastAsia" w:hAnsi="宋体" w:cs="宋体"/>
                <w:iCs/>
                <w:color w:val="auto"/>
                <w:sz w:val="21"/>
                <w:szCs w:val="21"/>
                <w:highlight w:val="none"/>
                <w:lang w:eastAsia="zh-CN"/>
              </w:rPr>
              <w:t>：</w:t>
            </w:r>
            <w:r>
              <w:rPr>
                <w:rFonts w:hint="eastAsia" w:ascii="宋体" w:hAnsi="宋体" w:eastAsia="宋体" w:cs="宋体"/>
                <w:iCs/>
                <w:color w:val="auto"/>
                <w:sz w:val="21"/>
                <w:szCs w:val="21"/>
                <w:highlight w:val="none"/>
              </w:rPr>
              <w:t>活塞的最大缩回量，</w:t>
            </w:r>
            <m:oMath>
              <m:r>
                <m:rPr/>
                <w:rPr>
                  <w:rFonts w:hint="eastAsia" w:ascii="Cambria Math" w:hAnsi="Cambria Math" w:eastAsia="宋体" w:cs="宋体"/>
                  <w:color w:val="auto"/>
                  <w:sz w:val="21"/>
                  <w:szCs w:val="21"/>
                  <w:highlight w:val="none"/>
                </w:rPr>
                <m:t>Δx≈</m:t>
              </m:r>
              <m:f>
                <m:fPr>
                  <m:ctrlPr>
                    <w:rPr>
                      <w:rFonts w:hint="eastAsia" w:ascii="Cambria Math" w:hAnsi="Cambria Math" w:eastAsia="宋体" w:cs="宋体"/>
                      <w:i/>
                      <w:iCs/>
                      <w:color w:val="auto"/>
                      <w:sz w:val="21"/>
                      <w:szCs w:val="21"/>
                      <w:highlight w:val="none"/>
                    </w:rPr>
                  </m:ctrlPr>
                </m:fPr>
                <m:num>
                  <m:r>
                    <m:rPr/>
                    <w:rPr>
                      <w:rFonts w:hint="eastAsia" w:ascii="Cambria Math" w:hAnsi="Cambria Math" w:eastAsia="宋体" w:cs="宋体"/>
                      <w:color w:val="auto"/>
                      <w:sz w:val="21"/>
                      <w:szCs w:val="21"/>
                      <w:highlight w:val="none"/>
                    </w:rPr>
                    <m:t>r∙Δd</m:t>
                  </m:r>
                  <m:ctrlPr>
                    <w:rPr>
                      <w:rFonts w:hint="eastAsia" w:ascii="Cambria Math" w:hAnsi="Cambria Math" w:eastAsia="宋体" w:cs="宋体"/>
                      <w:i/>
                      <w:iCs/>
                      <w:color w:val="auto"/>
                      <w:sz w:val="21"/>
                      <w:szCs w:val="21"/>
                      <w:highlight w:val="none"/>
                    </w:rPr>
                  </m:ctrlPr>
                </m:num>
                <m:den>
                  <m:rad>
                    <m:radPr>
                      <m:degHide m:val="1"/>
                      <m:ctrlPr>
                        <w:rPr>
                          <w:rFonts w:hint="eastAsia" w:ascii="Cambria Math" w:hAnsi="Cambria Math" w:eastAsia="宋体" w:cs="宋体"/>
                          <w:i/>
                          <w:iCs/>
                          <w:color w:val="auto"/>
                          <w:sz w:val="21"/>
                          <w:szCs w:val="21"/>
                          <w:highlight w:val="none"/>
                        </w:rPr>
                      </m:ctrlPr>
                    </m:radPr>
                    <m:deg>
                      <m:ctrlPr>
                        <w:rPr>
                          <w:rFonts w:hint="eastAsia" w:ascii="Cambria Math" w:hAnsi="Cambria Math" w:eastAsia="宋体" w:cs="宋体"/>
                          <w:i/>
                          <w:iCs/>
                          <w:color w:val="auto"/>
                          <w:sz w:val="21"/>
                          <w:szCs w:val="21"/>
                          <w:highlight w:val="none"/>
                        </w:rPr>
                      </m:ctrlPr>
                    </m:deg>
                    <m:e>
                      <m:sSup>
                        <m:sSupPr>
                          <m:ctrlPr>
                            <w:rPr>
                              <w:rFonts w:hint="eastAsia" w:ascii="Cambria Math" w:hAnsi="Cambria Math" w:eastAsia="宋体" w:cs="宋体"/>
                              <w:i/>
                              <w:iCs/>
                              <w:color w:val="auto"/>
                              <w:sz w:val="21"/>
                              <w:szCs w:val="21"/>
                              <w:highlight w:val="none"/>
                            </w:rPr>
                          </m:ctrlPr>
                        </m:sSupPr>
                        <m:e>
                          <m:r>
                            <m:rPr/>
                            <w:rPr>
                              <w:rFonts w:hint="eastAsia" w:ascii="Cambria Math" w:hAnsi="Cambria Math" w:eastAsia="宋体" w:cs="宋体"/>
                              <w:color w:val="auto"/>
                              <w:sz w:val="21"/>
                              <w:szCs w:val="21"/>
                              <w:highlight w:val="none"/>
                            </w:rPr>
                            <m:t>r</m:t>
                          </m:r>
                          <m:ctrlPr>
                            <w:rPr>
                              <w:rFonts w:hint="eastAsia" w:ascii="Cambria Math" w:hAnsi="Cambria Math" w:eastAsia="宋体" w:cs="宋体"/>
                              <w:i/>
                              <w:iCs/>
                              <w:color w:val="auto"/>
                              <w:sz w:val="21"/>
                              <w:szCs w:val="21"/>
                              <w:highlight w:val="none"/>
                            </w:rPr>
                          </m:ctrlPr>
                        </m:e>
                        <m:sup>
                          <m:r>
                            <m:rPr/>
                            <w:rPr>
                              <w:rFonts w:hint="eastAsia" w:ascii="Cambria Math" w:hAnsi="Cambria Math" w:eastAsia="宋体" w:cs="宋体"/>
                              <w:color w:val="auto"/>
                              <w:sz w:val="21"/>
                              <w:szCs w:val="21"/>
                              <w:highlight w:val="none"/>
                            </w:rPr>
                            <m:t>2</m:t>
                          </m:r>
                          <m:ctrlPr>
                            <w:rPr>
                              <w:rFonts w:hint="eastAsia" w:ascii="Cambria Math" w:hAnsi="Cambria Math" w:eastAsia="宋体" w:cs="宋体"/>
                              <w:i/>
                              <w:iCs/>
                              <w:color w:val="auto"/>
                              <w:sz w:val="21"/>
                              <w:szCs w:val="21"/>
                              <w:highlight w:val="none"/>
                            </w:rPr>
                          </m:ctrlPr>
                        </m:sup>
                      </m:sSup>
                      <m:r>
                        <m:rPr/>
                        <w:rPr>
                          <w:rFonts w:hint="eastAsia" w:ascii="Cambria Math" w:hAnsi="Cambria Math" w:eastAsia="宋体" w:cs="宋体"/>
                          <w:color w:val="auto"/>
                          <w:sz w:val="21"/>
                          <w:szCs w:val="21"/>
                          <w:highlight w:val="none"/>
                        </w:rPr>
                        <m:t>−</m:t>
                      </m:r>
                      <m:sSup>
                        <m:sSupPr>
                          <m:ctrlPr>
                            <w:rPr>
                              <w:rFonts w:hint="eastAsia" w:ascii="Cambria Math" w:hAnsi="Cambria Math" w:eastAsia="宋体" w:cs="宋体"/>
                              <w:i/>
                              <w:iCs/>
                              <w:color w:val="auto"/>
                              <w:sz w:val="21"/>
                              <w:szCs w:val="21"/>
                              <w:highlight w:val="none"/>
                            </w:rPr>
                          </m:ctrlPr>
                        </m:sSupPr>
                        <m:e>
                          <m:r>
                            <m:rPr/>
                            <w:rPr>
                              <w:rFonts w:hint="eastAsia" w:ascii="Cambria Math" w:hAnsi="Cambria Math" w:eastAsia="宋体" w:cs="宋体"/>
                              <w:color w:val="auto"/>
                              <w:sz w:val="21"/>
                              <w:szCs w:val="21"/>
                              <w:highlight w:val="none"/>
                            </w:rPr>
                            <m:t>L</m:t>
                          </m:r>
                          <m:ctrlPr>
                            <w:rPr>
                              <w:rFonts w:hint="eastAsia" w:ascii="Cambria Math" w:hAnsi="Cambria Math" w:eastAsia="宋体" w:cs="宋体"/>
                              <w:i/>
                              <w:iCs/>
                              <w:color w:val="auto"/>
                              <w:sz w:val="21"/>
                              <w:szCs w:val="21"/>
                              <w:highlight w:val="none"/>
                            </w:rPr>
                          </m:ctrlPr>
                        </m:e>
                        <m:sup>
                          <m:r>
                            <m:rPr/>
                            <w:rPr>
                              <w:rFonts w:hint="eastAsia" w:ascii="Cambria Math" w:hAnsi="Cambria Math" w:eastAsia="宋体" w:cs="宋体"/>
                              <w:color w:val="auto"/>
                              <w:sz w:val="21"/>
                              <w:szCs w:val="21"/>
                              <w:highlight w:val="none"/>
                            </w:rPr>
                            <m:t>2</m:t>
                          </m:r>
                          <m:ctrlPr>
                            <w:rPr>
                              <w:rFonts w:hint="eastAsia" w:ascii="Cambria Math" w:hAnsi="Cambria Math" w:eastAsia="宋体" w:cs="宋体"/>
                              <w:i/>
                              <w:iCs/>
                              <w:color w:val="auto"/>
                              <w:sz w:val="21"/>
                              <w:szCs w:val="21"/>
                              <w:highlight w:val="none"/>
                            </w:rPr>
                          </m:ctrlPr>
                        </m:sup>
                      </m:sSup>
                      <m:ctrlPr>
                        <w:rPr>
                          <w:rFonts w:hint="eastAsia" w:ascii="Cambria Math" w:hAnsi="Cambria Math" w:eastAsia="宋体" w:cs="宋体"/>
                          <w:i/>
                          <w:iCs/>
                          <w:color w:val="auto"/>
                          <w:sz w:val="21"/>
                          <w:szCs w:val="21"/>
                          <w:highlight w:val="none"/>
                        </w:rPr>
                      </m:ctrlPr>
                    </m:e>
                  </m:rad>
                  <m:ctrlPr>
                    <w:rPr>
                      <w:rFonts w:hint="eastAsia" w:ascii="Cambria Math" w:hAnsi="Cambria Math" w:eastAsia="宋体" w:cs="宋体"/>
                      <w:i/>
                      <w:iCs/>
                      <w:color w:val="auto"/>
                      <w:sz w:val="21"/>
                      <w:szCs w:val="21"/>
                      <w:highlight w:val="none"/>
                    </w:rPr>
                  </m:ctrlPr>
                </m:den>
              </m:f>
              <m:r>
                <m:rPr/>
                <w:rPr>
                  <w:rFonts w:hint="eastAsia" w:ascii="Cambria Math" w:hAnsi="Cambria Math" w:eastAsia="宋体" w:cs="宋体"/>
                  <w:color w:val="auto"/>
                  <w:sz w:val="21"/>
                  <w:szCs w:val="21"/>
                  <w:highlight w:val="none"/>
                </w:rPr>
                <m:t>+s</m:t>
              </m:r>
            </m:oMath>
            <w:r>
              <w:rPr>
                <w:rFonts w:hint="eastAsia" w:ascii="宋体" w:hAnsi="宋体" w:eastAsia="宋体" w:cs="宋体"/>
                <w:iCs/>
                <w:color w:val="auto"/>
                <w:sz w:val="21"/>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hAnsi="Cambria Math" w:eastAsia="宋体" w:cs="宋体"/>
                <w:i/>
                <w:iCs/>
                <w:color w:val="auto"/>
                <w:sz w:val="21"/>
                <w:szCs w:val="21"/>
                <w:highlight w:val="none"/>
              </w:rPr>
            </w:pPr>
            <m:oMathPara>
              <m:oMathParaPr>
                <m:jc m:val="left"/>
              </m:oMathParaPr>
              <m:oMath>
                <m:r>
                  <m:rPr/>
                  <w:rPr>
                    <w:rFonts w:hint="default" w:ascii="Cambria Math" w:hAnsi="Cambria Math" w:eastAsia="宋体" w:cs="宋体"/>
                    <w:color w:val="auto"/>
                    <w:sz w:val="21"/>
                    <w:szCs w:val="21"/>
                    <w:highlight w:val="none"/>
                  </w:rPr>
                  <m:t>E</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iCs/>
                <w:color w:val="auto"/>
                <w:sz w:val="21"/>
                <w:szCs w:val="21"/>
                <w:highlight w:val="none"/>
              </w:rPr>
            </w:pPr>
            <w:r>
              <w:rPr>
                <w:rFonts w:hint="eastAsia" w:hAnsi="宋体" w:cs="宋体"/>
                <w:iCs/>
                <w:color w:val="auto"/>
                <w:sz w:val="21"/>
                <w:szCs w:val="21"/>
                <w:highlight w:val="none"/>
                <w:lang w:eastAsia="zh-CN"/>
              </w:rPr>
              <w:t>：</w:t>
            </w:r>
            <w:r>
              <w:rPr>
                <w:rFonts w:hint="eastAsia" w:ascii="宋体" w:hAnsi="宋体" w:eastAsia="宋体" w:cs="宋体"/>
                <w:iCs/>
                <w:color w:val="auto"/>
                <w:sz w:val="21"/>
                <w:szCs w:val="21"/>
                <w:highlight w:val="none"/>
              </w:rPr>
              <w:t>轴距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hAnsi="Cambria Math" w:eastAsia="宋体" w:cs="宋体"/>
                <w:i w:val="0"/>
                <w:color w:val="auto"/>
                <w:sz w:val="21"/>
                <w:szCs w:val="21"/>
                <w:highlight w:val="none"/>
              </w:rPr>
            </w:pPr>
            <m:oMathPara>
              <m:oMathParaPr>
                <m:jc m:val="left"/>
              </m:oMathParaPr>
              <m:oMath>
                <m:r>
                  <m:rPr/>
                  <w:rPr>
                    <w:rFonts w:hint="default" w:ascii="Cambria Math" w:hAnsi="Cambria Math" w:eastAsia="宋体" w:cs="宋体"/>
                    <w:color w:val="auto"/>
                    <w:sz w:val="21"/>
                    <w:szCs w:val="21"/>
                    <w:highlight w:val="none"/>
                  </w:rPr>
                  <m:t>ε</m:t>
                </m:r>
              </m:oMath>
            </m:oMathPara>
          </w:p>
        </w:tc>
        <w:tc>
          <w:tcPr>
            <w:tcW w:w="4626" w:type="pct"/>
            <w:shd w:val="clear" w:color="auto" w:fill="auto"/>
            <w:vAlign w:val="center"/>
          </w:tcPr>
          <w:p>
            <w:pPr>
              <w:pStyle w:val="184"/>
              <w:keepNext w:val="0"/>
              <w:keepLines w:val="0"/>
              <w:pageBreakBefore w:val="0"/>
              <w:widowControl/>
              <w:kinsoku/>
              <w:wordWrap/>
              <w:overflowPunct/>
              <w:topLinePunct w:val="0"/>
              <w:autoSpaceDE w:val="0"/>
              <w:autoSpaceDN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车辆的附着系数利用率：防抱制动系统工作时最大制动强度</w:t>
            </w:r>
            <m:oMath>
              <m:d>
                <m:dPr>
                  <m:ctrlPr>
                    <w:rPr>
                      <w:rFonts w:hint="eastAsia" w:ascii="Cambria Math" w:hAnsi="Cambria Math" w:eastAsia="宋体" w:cs="宋体"/>
                      <w:i/>
                      <w:color w:val="auto"/>
                      <w:sz w:val="21"/>
                      <w:szCs w:val="21"/>
                      <w:highlight w:val="none"/>
                    </w:rPr>
                  </m:ctrlPr>
                </m:dPr>
                <m:e>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Z</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AL</m:t>
                      </m:r>
                      <m:ctrlPr>
                        <w:rPr>
                          <w:rFonts w:hint="eastAsia" w:ascii="Cambria Math" w:hAnsi="Cambria Math" w:eastAsia="宋体" w:cs="宋体"/>
                          <w:i/>
                          <w:color w:val="auto"/>
                          <w:sz w:val="21"/>
                          <w:szCs w:val="21"/>
                          <w:highlight w:val="none"/>
                        </w:rPr>
                      </m:ctrlPr>
                    </m:sub>
                  </m:sSub>
                  <m:ctrlPr>
                    <w:rPr>
                      <w:rFonts w:hint="eastAsia" w:ascii="Cambria Math" w:hAnsi="Cambria Math" w:eastAsia="宋体" w:cs="宋体"/>
                      <w:i/>
                      <w:color w:val="auto"/>
                      <w:sz w:val="21"/>
                      <w:szCs w:val="21"/>
                      <w:highlight w:val="none"/>
                    </w:rPr>
                  </m:ctrlPr>
                </m:e>
              </m:d>
            </m:oMath>
            <w:r>
              <w:rPr>
                <w:rFonts w:hint="eastAsia" w:ascii="宋体" w:hAnsi="宋体" w:eastAsia="宋体" w:cs="宋体"/>
                <w:color w:val="auto"/>
                <w:sz w:val="21"/>
                <w:szCs w:val="21"/>
                <w:highlight w:val="none"/>
              </w:rPr>
              <w:t>和理论附着系数</w:t>
            </w:r>
            <m:oMath>
              <m:d>
                <m:dPr>
                  <m:ctrlPr>
                    <w:rPr>
                      <w:rFonts w:hint="eastAsia" w:ascii="Cambria Math" w:hAnsi="Cambria Math" w:eastAsia="宋体" w:cs="宋体"/>
                      <w:i/>
                      <w:color w:val="auto"/>
                      <w:sz w:val="21"/>
                      <w:szCs w:val="21"/>
                      <w:highlight w:val="none"/>
                    </w:rPr>
                  </m:ctrlPr>
                </m:d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d>
            </m:oMath>
            <w:r>
              <w:rPr>
                <w:rFonts w:hint="eastAsia" w:ascii="宋体" w:hAnsi="宋体" w:eastAsia="宋体" w:cs="宋体"/>
                <w:color w:val="auto"/>
                <w:sz w:val="21"/>
                <w:szCs w:val="21"/>
                <w:highlight w:val="none"/>
              </w:rPr>
              <w:t>的商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ε</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H</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在高附着系数路面上的</w:t>
            </w:r>
            <m:oMath>
              <m:r>
                <m:rPr/>
                <w:rPr>
                  <w:rFonts w:hint="eastAsia" w:ascii="Cambria Math" w:hAnsi="Cambria Math" w:eastAsia="宋体" w:cs="宋体"/>
                  <w:color w:val="auto"/>
                  <w:sz w:val="21"/>
                  <w:szCs w:val="21"/>
                  <w:highlight w:val="none"/>
                </w:rPr>
                <m:t>ε</m:t>
              </m:r>
            </m:oMath>
            <w:r>
              <w:rPr>
                <w:rFonts w:hint="eastAsia" w:ascii="宋体" w:hAnsi="宋体" w:eastAsia="宋体" w:cs="宋体"/>
                <w:color w:val="auto"/>
                <w:sz w:val="21"/>
                <w:szCs w:val="21"/>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ε</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L</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在低附着系数路面上的</w:t>
            </w:r>
            <m:oMath>
              <m:r>
                <m:rPr/>
                <w:rPr>
                  <w:rFonts w:hint="eastAsia" w:ascii="Cambria Math" w:hAnsi="Cambria Math" w:eastAsia="宋体" w:cs="宋体"/>
                  <w:color w:val="auto"/>
                  <w:sz w:val="21"/>
                  <w:szCs w:val="21"/>
                  <w:highlight w:val="none"/>
                </w:rPr>
                <m:t>ε</m:t>
              </m:r>
            </m:oMath>
            <w:r>
              <w:rPr>
                <w:rFonts w:hint="eastAsia" w:ascii="宋体" w:hAnsi="宋体" w:eastAsia="宋体" w:cs="宋体"/>
                <w:color w:val="auto"/>
                <w:sz w:val="21"/>
                <w:szCs w:val="21"/>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F</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F</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dyn</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防抱制动系统工作时的路面法向动态反力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F</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idyn</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机动车辆</w:t>
            </w:r>
            <w:r>
              <w:rPr>
                <w:rFonts w:hint="eastAsia" w:ascii="宋体" w:hAnsi="宋体" w:eastAsia="宋体" w:cs="宋体"/>
                <w:i/>
                <w:color w:val="auto"/>
                <w:sz w:val="21"/>
                <w:szCs w:val="21"/>
                <w:highlight w:val="none"/>
              </w:rPr>
              <w:t>i</w:t>
            </w:r>
            <w:r>
              <w:rPr>
                <w:rFonts w:hint="eastAsia" w:ascii="宋体" w:hAnsi="宋体" w:eastAsia="宋体" w:cs="宋体"/>
                <w:color w:val="auto"/>
                <w:sz w:val="21"/>
                <w:szCs w:val="21"/>
                <w:highlight w:val="none"/>
              </w:rPr>
              <w:t>轴上的</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F</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dyn</m:t>
                  </m:r>
                  <m:ctrlPr>
                    <w:rPr>
                      <w:rFonts w:hint="eastAsia" w:ascii="Cambria Math" w:hAnsi="Cambria Math" w:eastAsia="宋体" w:cs="宋体"/>
                      <w:i/>
                      <w:color w:val="auto"/>
                      <w:sz w:val="21"/>
                      <w:szCs w:val="21"/>
                      <w:highlight w:val="none"/>
                    </w:rPr>
                  </m:ctrlPr>
                </m:sub>
              </m:sSub>
            </m:oMath>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F</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i</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路面对</w:t>
            </w:r>
            <m:oMath>
              <m:r>
                <m:rPr/>
                <w:rPr>
                  <w:rFonts w:hint="eastAsia" w:ascii="Cambria Math" w:hAnsi="Cambria Math" w:eastAsia="宋体" w:cs="宋体"/>
                  <w:color w:val="auto"/>
                  <w:sz w:val="21"/>
                  <w:szCs w:val="21"/>
                  <w:highlight w:val="none"/>
                </w:rPr>
                <m:t>i</m:t>
              </m:r>
            </m:oMath>
            <w:r>
              <w:rPr>
                <w:rFonts w:hint="eastAsia" w:ascii="宋体" w:hAnsi="宋体" w:eastAsia="宋体" w:cs="宋体"/>
                <w:color w:val="auto"/>
                <w:sz w:val="21"/>
                <w:szCs w:val="21"/>
                <w:highlight w:val="none"/>
              </w:rPr>
              <w:t>轴的法向静态反力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g</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重力加速度，</w:t>
            </w:r>
            <m:oMath>
              <m:r>
                <m:rPr/>
                <w:rPr>
                  <w:rFonts w:hint="eastAsia" w:ascii="Cambria Math" w:hAnsi="Cambria Math" w:eastAsia="宋体" w:cs="宋体"/>
                  <w:color w:val="auto"/>
                  <w:sz w:val="21"/>
                  <w:szCs w:val="21"/>
                  <w:highlight w:val="none"/>
                </w:rPr>
                <m:t>g=9.81</m:t>
              </m:r>
              <m:sSup>
                <m:sSupPr>
                  <m:ctrlPr>
                    <w:rPr>
                      <w:rFonts w:hint="eastAsia" w:ascii="Cambria Math" w:hAnsi="Cambria Math" w:eastAsia="宋体" w:cs="宋体"/>
                      <w:i/>
                      <w:iCs/>
                      <w:color w:val="auto"/>
                      <w:sz w:val="21"/>
                      <w:szCs w:val="21"/>
                      <w:highlight w:val="none"/>
                    </w:rPr>
                  </m:ctrlPr>
                </m:sSupPr>
                <m:e>
                  <m:r>
                    <m:rPr/>
                    <w:rPr>
                      <w:rFonts w:hint="eastAsia" w:ascii="Cambria Math" w:hAnsi="Cambria Math" w:eastAsia="宋体" w:cs="宋体"/>
                      <w:color w:val="auto"/>
                      <w:sz w:val="21"/>
                      <w:szCs w:val="21"/>
                      <w:highlight w:val="none"/>
                    </w:rPr>
                    <m:t>m/s</m:t>
                  </m:r>
                  <m:ctrlPr>
                    <w:rPr>
                      <w:rFonts w:hint="eastAsia" w:ascii="Cambria Math" w:hAnsi="Cambria Math" w:eastAsia="宋体" w:cs="宋体"/>
                      <w:i/>
                      <w:iCs/>
                      <w:color w:val="auto"/>
                      <w:sz w:val="21"/>
                      <w:szCs w:val="21"/>
                      <w:highlight w:val="none"/>
                    </w:rPr>
                  </m:ctrlPr>
                </m:e>
                <m:sup>
                  <m:r>
                    <m:rPr/>
                    <w:rPr>
                      <w:rFonts w:hint="eastAsia" w:ascii="Cambria Math" w:hAnsi="Cambria Math" w:eastAsia="宋体" w:cs="宋体"/>
                      <w:color w:val="auto"/>
                      <w:sz w:val="21"/>
                      <w:szCs w:val="21"/>
                      <w:highlight w:val="none"/>
                    </w:rPr>
                    <m:t>2</m:t>
                  </m:r>
                  <m:ctrlPr>
                    <w:rPr>
                      <w:rFonts w:hint="eastAsia" w:ascii="Cambria Math" w:hAnsi="Cambria Math" w:eastAsia="宋体" w:cs="宋体"/>
                      <w:i/>
                      <w:iCs/>
                      <w:color w:val="auto"/>
                      <w:sz w:val="21"/>
                      <w:szCs w:val="21"/>
                      <w:highlight w:val="none"/>
                    </w:rPr>
                  </m:ctrlPr>
                </m:sup>
              </m:sSup>
            </m:oMath>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ℎ</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由制造商规定并经进行试验的检测机构认可的重心高度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i</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车轴编号（对前轴，</w:t>
            </w:r>
            <m:oMath>
              <m:r>
                <m:rPr/>
                <w:rPr>
                  <w:rFonts w:hint="eastAsia" w:ascii="Cambria Math" w:hAnsi="Cambria Math" w:eastAsia="宋体" w:cs="宋体"/>
                  <w:color w:val="auto"/>
                  <w:sz w:val="21"/>
                  <w:szCs w:val="21"/>
                  <w:highlight w:val="none"/>
                </w:rPr>
                <m:t>i=1</m:t>
              </m:r>
            </m:oMath>
            <w:r>
              <w:rPr>
                <w:rFonts w:hint="eastAsia" w:ascii="宋体" w:hAnsi="宋体" w:eastAsia="宋体" w:cs="宋体"/>
                <w:color w:val="auto"/>
                <w:sz w:val="21"/>
                <w:szCs w:val="21"/>
                <w:highlight w:val="none"/>
              </w:rPr>
              <w:t>；对后轴，</w:t>
            </w:r>
            <m:oMath>
              <m:r>
                <m:rPr/>
                <w:rPr>
                  <w:rFonts w:hint="eastAsia" w:ascii="Cambria Math" w:hAnsi="Cambria Math" w:eastAsia="宋体" w:cs="宋体"/>
                  <w:color w:val="auto"/>
                  <w:sz w:val="21"/>
                  <w:szCs w:val="21"/>
                  <w:highlight w:val="none"/>
                </w:rPr>
                <m:t>i=2</m:t>
              </m:r>
            </m:oMath>
            <w:r>
              <w:rPr>
                <w:rFonts w:hint="eastAsia" w:ascii="宋体" w:hAnsi="宋体" w:eastAsia="宋体" w:cs="宋体"/>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k</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轮胎和路面之间的附着系数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f</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bookmarkStart w:id="56" w:name="_Hlk69808253"/>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一个前轴的</w:t>
            </w:r>
            <w:bookmarkEnd w:id="56"/>
            <m:oMath>
              <m:r>
                <m:rPr/>
                <w:rPr>
                  <w:rFonts w:hint="eastAsia" w:ascii="Cambria Math" w:hAnsi="Cambria Math" w:eastAsia="宋体" w:cs="宋体"/>
                  <w:color w:val="auto"/>
                  <w:sz w:val="21"/>
                  <w:szCs w:val="21"/>
                  <w:highlight w:val="none"/>
                </w:rPr>
                <m:t>k</m:t>
              </m:r>
            </m:oMath>
            <w:r>
              <w:rPr>
                <w:rFonts w:hint="eastAsia" w:ascii="宋体" w:hAnsi="宋体" w:eastAsia="宋体" w:cs="宋体"/>
                <w:color w:val="auto"/>
                <w:sz w:val="21"/>
                <w:szCs w:val="21"/>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H</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高附着系数路面上测定的</w:t>
            </w:r>
            <m:oMath>
              <m:r>
                <m:rPr/>
                <w:rPr>
                  <w:rFonts w:hint="eastAsia" w:ascii="Cambria Math" w:hAnsi="Cambria Math" w:eastAsia="宋体" w:cs="宋体"/>
                  <w:color w:val="auto"/>
                  <w:sz w:val="21"/>
                  <w:szCs w:val="21"/>
                  <w:highlight w:val="none"/>
                </w:rPr>
                <m:t>k</m:t>
              </m:r>
            </m:oMath>
            <w:r>
              <w:rPr>
                <w:rFonts w:hint="eastAsia" w:ascii="宋体" w:hAnsi="宋体" w:eastAsia="宋体" w:cs="宋体"/>
                <w:color w:val="auto"/>
                <w:sz w:val="21"/>
                <w:szCs w:val="21"/>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L</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低附着系数路面上测定的</w:t>
            </w:r>
            <m:oMath>
              <m:r>
                <m:rPr/>
                <w:rPr>
                  <w:rFonts w:hint="eastAsia" w:ascii="Cambria Math" w:hAnsi="Cambria Math" w:eastAsia="宋体" w:cs="宋体"/>
                  <w:color w:val="auto"/>
                  <w:sz w:val="21"/>
                  <w:szCs w:val="21"/>
                  <w:highlight w:val="none"/>
                </w:rPr>
                <m:t>k</m:t>
              </m:r>
            </m:oMath>
            <w:r>
              <w:rPr>
                <w:rFonts w:hint="eastAsia" w:ascii="宋体" w:hAnsi="宋体" w:eastAsia="宋体" w:cs="宋体"/>
                <w:color w:val="auto"/>
                <w:sz w:val="21"/>
                <w:szCs w:val="21"/>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lock</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滑移率为100%时的附着系数值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机动车辆的</w:t>
            </w:r>
            <m:oMath>
              <m:r>
                <m:rPr/>
                <w:rPr>
                  <w:rFonts w:hint="eastAsia" w:ascii="Cambria Math" w:hAnsi="Cambria Math" w:eastAsia="宋体" w:cs="宋体"/>
                  <w:color w:val="auto"/>
                  <w:sz w:val="21"/>
                  <w:szCs w:val="21"/>
                  <w:highlight w:val="none"/>
                </w:rPr>
                <m:t>k</m:t>
              </m:r>
            </m:oMath>
            <w:r>
              <w:rPr>
                <w:rFonts w:hint="eastAsia" w:ascii="宋体" w:hAnsi="宋体" w:eastAsia="宋体" w:cs="宋体"/>
                <w:color w:val="auto"/>
                <w:sz w:val="21"/>
                <w:szCs w:val="21"/>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peak</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“附着系数-滑移率”曲线的最大值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r</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一个后轴的</w:t>
            </w:r>
            <m:oMath>
              <m:r>
                <m:rPr/>
                <w:rPr>
                  <w:rFonts w:hint="eastAsia" w:ascii="Cambria Math" w:hAnsi="Cambria Math" w:eastAsia="宋体" w:cs="宋体"/>
                  <w:color w:val="auto"/>
                  <w:sz w:val="21"/>
                  <w:szCs w:val="21"/>
                  <w:highlight w:val="none"/>
                </w:rPr>
                <m:t>k</m:t>
              </m:r>
            </m:oMath>
            <w:r>
              <w:rPr>
                <w:rFonts w:hint="eastAsia" w:ascii="宋体" w:hAnsi="宋体" w:eastAsia="宋体" w:cs="宋体"/>
                <w:color w:val="auto"/>
                <w:sz w:val="21"/>
                <w:szCs w:val="21"/>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n</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制动次数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N</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i</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制动时路面对</w:t>
            </w:r>
            <m:oMath>
              <m:r>
                <m:rPr/>
                <w:rPr>
                  <w:rFonts w:hint="eastAsia" w:ascii="Cambria Math" w:hAnsi="Cambria Math" w:eastAsia="宋体" w:cs="宋体"/>
                  <w:color w:val="auto"/>
                  <w:sz w:val="21"/>
                  <w:szCs w:val="21"/>
                  <w:highlight w:val="none"/>
                </w:rPr>
                <m:t>i</m:t>
              </m:r>
            </m:oMath>
            <w:r>
              <w:rPr>
                <w:rFonts w:hint="eastAsia" w:ascii="宋体" w:hAnsi="宋体" w:eastAsia="宋体" w:cs="宋体"/>
                <w:color w:val="auto"/>
                <w:sz w:val="21"/>
                <w:szCs w:val="21"/>
                <w:highlight w:val="none"/>
              </w:rPr>
              <w:t>轴的法向反力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P</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单车质量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P</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i</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路面对</w:t>
            </w:r>
            <m:oMath>
              <m:r>
                <m:rPr/>
                <w:rPr>
                  <w:rFonts w:hint="eastAsia" w:ascii="Cambria Math" w:hAnsi="Cambria Math" w:eastAsia="宋体" w:cs="宋体"/>
                  <w:color w:val="auto"/>
                  <w:sz w:val="21"/>
                  <w:szCs w:val="21"/>
                  <w:highlight w:val="none"/>
                </w:rPr>
                <m:t>i</m:t>
              </m:r>
            </m:oMath>
            <w:r>
              <w:rPr>
                <w:rFonts w:hint="eastAsia" w:ascii="宋体" w:hAnsi="宋体" w:eastAsia="宋体" w:cs="宋体"/>
                <w:color w:val="auto"/>
                <w:sz w:val="21"/>
                <w:szCs w:val="21"/>
                <w:highlight w:val="none"/>
              </w:rPr>
              <w:t>轴的静态法向反力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P</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乘用车满载质量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P</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R</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乘用车制造商规定的可挂接的无制动挂车的最大设计总质量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p</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1</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bookmarkStart w:id="57" w:name="_Hlk69808750"/>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制造商规定的储能装置的最大系统工作压力</w:t>
            </w:r>
            <w:bookmarkEnd w:id="57"/>
            <w:r>
              <w:rPr>
                <w:rFonts w:hint="eastAsia" w:ascii="宋体" w:hAnsi="宋体" w:eastAsia="宋体" w:cs="宋体"/>
                <w:color w:val="auto"/>
                <w:sz w:val="21"/>
                <w:szCs w:val="21"/>
                <w:highlight w:val="none"/>
              </w:rPr>
              <w:t>（切断压力）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p</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2</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autoSpaceDE w:val="0"/>
              <w:autoSpaceDN w:val="0"/>
              <w:bidi w:val="0"/>
              <w:adjustRightInd/>
              <w:snapToGrid/>
              <w:ind w:left="210" w:hanging="210" w:hangingChars="100"/>
              <w:jc w:val="left"/>
              <w:textAlignment w:val="auto"/>
              <w:rPr>
                <w:rFonts w:hint="eastAsia" w:ascii="宋体" w:hAnsi="宋体" w:eastAsia="宋体" w:cs="宋体"/>
                <w:color w:val="auto"/>
                <w:sz w:val="21"/>
                <w:szCs w:val="21"/>
                <w:highlight w:val="none"/>
              </w:rPr>
            </w:pPr>
            <w:bookmarkStart w:id="58" w:name="_Hlk69808927"/>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不给储能装置补充能量的情况下，从</w:t>
            </w:r>
            <w:bookmarkEnd w:id="58"/>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p</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1</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开始、对行车制动</w:t>
            </w:r>
            <w:r>
              <w:rPr>
                <w:rFonts w:hint="eastAsia" w:ascii="宋体" w:hAnsi="宋体" w:eastAsia="宋体" w:cs="宋体"/>
                <w:color w:val="auto"/>
                <w:sz w:val="21"/>
                <w:szCs w:val="21"/>
                <w:highlight w:val="none"/>
                <w:lang w:val="en-US" w:eastAsia="zh-CN"/>
              </w:rPr>
              <w:t>控制装置</w:t>
            </w:r>
            <w:r>
              <w:rPr>
                <w:rFonts w:hint="eastAsia" w:ascii="宋体" w:hAnsi="宋体" w:eastAsia="宋体" w:cs="宋体"/>
                <w:color w:val="auto"/>
                <w:sz w:val="21"/>
                <w:szCs w:val="21"/>
                <w:highlight w:val="none"/>
              </w:rPr>
              <w:t>进行4次全行程促动后储能装置的压力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R</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peak</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与</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k</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lock</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S</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制动距离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S</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b</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从</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0</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到</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b</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期间行驶的距离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S</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e</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从</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0</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到</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e</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期间行驶的距离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t</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时间间隔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t</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m:oMath>
              <m:r>
                <m:rPr/>
                <w:rPr>
                  <w:rFonts w:hint="eastAsia" w:ascii="Cambria Math" w:hAnsi="Cambria Math" w:eastAsia="宋体" w:cs="宋体"/>
                  <w:color w:val="auto"/>
                  <w:sz w:val="21"/>
                  <w:szCs w:val="21"/>
                  <w:highlight w:val="none"/>
                </w:rPr>
                <m:t>t</m:t>
              </m:r>
            </m:oMath>
            <w:r>
              <w:rPr>
                <w:rFonts w:hint="eastAsia" w:ascii="宋体" w:hAnsi="宋体" w:eastAsia="宋体" w:cs="宋体"/>
                <w:color w:val="auto"/>
                <w:sz w:val="21"/>
                <w:szCs w:val="21"/>
                <w:highlight w:val="none"/>
              </w:rPr>
              <w:t>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t</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min</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m:oMath>
              <m:r>
                <m:rPr/>
                <w:rPr>
                  <w:rFonts w:hint="eastAsia" w:ascii="Cambria Math" w:hAnsi="Cambria Math" w:eastAsia="宋体" w:cs="宋体"/>
                  <w:color w:val="auto"/>
                  <w:sz w:val="21"/>
                  <w:szCs w:val="21"/>
                  <w:highlight w:val="none"/>
                </w:rPr>
                <m:t>t</m:t>
              </m:r>
            </m:oMath>
            <w:r>
              <w:rPr>
                <w:rFonts w:hint="eastAsia" w:ascii="宋体" w:hAnsi="宋体" w:eastAsia="宋体" w:cs="宋体"/>
                <w:color w:val="auto"/>
                <w:sz w:val="21"/>
                <w:szCs w:val="21"/>
                <w:highlight w:val="none"/>
              </w:rPr>
              <w:t>的最小值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t</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0−1</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bookmarkStart w:id="59" w:name="_Hlk69809171"/>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在未进行制动操作的情况下，储能装置的压力从</w:t>
            </w:r>
            <w:bookmarkEnd w:id="59"/>
            <w:r>
              <w:rPr>
                <w:rFonts w:hint="eastAsia" w:ascii="宋体" w:hAnsi="宋体" w:eastAsia="宋体" w:cs="宋体"/>
                <w:i/>
                <w:color w:val="auto"/>
                <w:sz w:val="21"/>
                <w:szCs w:val="21"/>
                <w:highlight w:val="none"/>
              </w:rPr>
              <w:t>p</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上升到</w:t>
            </w:r>
            <w:r>
              <w:rPr>
                <w:rFonts w:hint="eastAsia" w:ascii="宋体" w:hAnsi="宋体" w:eastAsia="宋体" w:cs="宋体"/>
                <w:i/>
                <w:color w:val="auto"/>
                <w:sz w:val="21"/>
                <w:szCs w:val="21"/>
                <w:highlight w:val="none"/>
              </w:rPr>
              <w:t>p</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μ</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路面附着系数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color w:val="auto"/>
                <w:sz w:val="21"/>
                <w:szCs w:val="21"/>
                <w:highlight w:val="none"/>
              </w:rPr>
            </w:pPr>
            <m:oMathPara>
              <m:oMathParaPr>
                <m:jc m:val="left"/>
              </m:oMathParaPr>
              <m:oMath>
                <m:r>
                  <m:rPr/>
                  <w:rPr>
                    <w:rFonts w:hint="eastAsia" w:ascii="Cambria Math" w:hAnsi="Cambria Math" w:eastAsia="宋体" w:cs="宋体"/>
                    <w:color w:val="auto"/>
                    <w:sz w:val="21"/>
                    <w:szCs w:val="21"/>
                    <w:highlight w:val="none"/>
                  </w:rPr>
                  <m:t>v</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试验车速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b</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0.8v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0</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时的车速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e</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0.1v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0</m:t>
                  </m:r>
                  <m:ctrlPr>
                    <w:rPr>
                      <w:rFonts w:hint="eastAsia" w:ascii="Cambria Math" w:hAnsi="Cambria Math" w:eastAsia="宋体" w:cs="宋体"/>
                      <w:i/>
                      <w:color w:val="auto"/>
                      <w:sz w:val="21"/>
                      <w:szCs w:val="21"/>
                      <w:highlight w:val="none"/>
                    </w:rPr>
                  </m:ctrlPr>
                </m:sub>
              </m:sSub>
            </m:oMath>
            <w:r>
              <w:rPr>
                <w:rFonts w:hint="eastAsia" w:ascii="宋体" w:hAnsi="宋体" w:eastAsia="宋体" w:cs="宋体"/>
                <w:color w:val="auto"/>
                <w:sz w:val="21"/>
                <w:szCs w:val="21"/>
                <w:highlight w:val="none"/>
              </w:rPr>
              <w:t>时的车速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max</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车辆的最高设计车速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0</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车辆初速度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1</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制动开始时的初始车速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v</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2</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制动结束时的车速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r>
                  <m:rPr/>
                  <w:rPr>
                    <w:rFonts w:hint="eastAsia" w:ascii="Cambria Math" w:hAnsi="Cambria Math" w:eastAsia="宋体" w:cs="宋体"/>
                    <w:color w:val="auto"/>
                    <w:sz w:val="21"/>
                    <w:szCs w:val="21"/>
                    <w:highlight w:val="none"/>
                  </w:rPr>
                  <m:t>z</m:t>
                </m:r>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制动强度,</w:t>
            </w:r>
            <m:oMath>
              <m:r>
                <m:rPr/>
                <w:rPr>
                  <w:rFonts w:hint="eastAsia" w:ascii="Cambria Math" w:hAnsi="Cambria Math" w:eastAsia="宋体" w:cs="宋体"/>
                  <w:color w:val="auto"/>
                  <w:sz w:val="21"/>
                  <w:szCs w:val="21"/>
                  <w:highlight w:val="none"/>
                </w:rPr>
                <m:t>z=</m:t>
              </m:r>
              <m:f>
                <m:fPr>
                  <m:ctrlPr>
                    <w:rPr>
                      <w:rFonts w:hint="eastAsia" w:ascii="Cambria Math" w:hAnsi="Cambria Math" w:eastAsia="宋体" w:cs="宋体"/>
                      <w:i/>
                      <w:color w:val="auto"/>
                      <w:sz w:val="21"/>
                      <w:szCs w:val="21"/>
                      <w:highlight w:val="none"/>
                    </w:rPr>
                  </m:ctrlPr>
                </m:fPr>
                <m:num>
                  <m:r>
                    <m:rPr/>
                    <w:rPr>
                      <w:rFonts w:hint="eastAsia" w:ascii="Cambria Math" w:hAnsi="Cambria Math" w:eastAsia="宋体" w:cs="宋体"/>
                      <w:color w:val="auto"/>
                      <w:sz w:val="21"/>
                      <w:szCs w:val="21"/>
                      <w:highlight w:val="none"/>
                    </w:rPr>
                    <m:t>J</m:t>
                  </m:r>
                  <m:ctrlPr>
                    <w:rPr>
                      <w:rFonts w:hint="eastAsia" w:ascii="Cambria Math" w:hAnsi="Cambria Math" w:eastAsia="宋体" w:cs="宋体"/>
                      <w:i/>
                      <w:color w:val="auto"/>
                      <w:sz w:val="21"/>
                      <w:szCs w:val="21"/>
                      <w:highlight w:val="none"/>
                    </w:rPr>
                  </m:ctrlPr>
                </m:num>
                <m:den>
                  <m:r>
                    <m:rPr/>
                    <w:rPr>
                      <w:rFonts w:hint="eastAsia" w:ascii="Cambria Math" w:hAnsi="Cambria Math" w:eastAsia="宋体" w:cs="宋体"/>
                      <w:color w:val="auto"/>
                      <w:sz w:val="21"/>
                      <w:szCs w:val="21"/>
                      <w:highlight w:val="none"/>
                    </w:rPr>
                    <m:t>g</m:t>
                  </m:r>
                  <m:ctrlPr>
                    <w:rPr>
                      <w:rFonts w:hint="eastAsia" w:ascii="Cambria Math" w:hAnsi="Cambria Math" w:eastAsia="宋体" w:cs="宋体"/>
                      <w:i/>
                      <w:color w:val="auto"/>
                      <w:sz w:val="21"/>
                      <w:szCs w:val="21"/>
                      <w:highlight w:val="none"/>
                    </w:rPr>
                  </m:ctrlPr>
                </m:den>
              </m:f>
            </m:oMath>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z</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AL</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防抱制动系统工作时车辆的制动强度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z</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平均制动强度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宋体" w:hAnsi="宋体" w:eastAsia="宋体" w:cs="宋体"/>
                <w:i/>
                <w:color w:val="auto"/>
                <w:sz w:val="21"/>
                <w:szCs w:val="21"/>
                <w:highlight w:val="none"/>
                <w:oMath/>
              </w:rPr>
            </w:pPr>
            <m:oMathPara>
              <m:oMathParaPr>
                <m:jc m:val="left"/>
              </m:oMathParaPr>
              <m:oMath>
                <m:sSub>
                  <m:sSubPr>
                    <m:ctrlPr>
                      <w:rPr>
                        <w:rFonts w:hint="eastAsia" w:ascii="Cambria Math" w:hAnsi="Cambria Math" w:eastAsia="宋体" w:cs="宋体"/>
                        <w:i/>
                        <w:color w:val="auto"/>
                        <w:sz w:val="21"/>
                        <w:szCs w:val="21"/>
                        <w:highlight w:val="none"/>
                      </w:rPr>
                    </m:ctrlPr>
                  </m:sSubPr>
                  <m:e>
                    <m:r>
                      <m:rPr/>
                      <w:rPr>
                        <w:rFonts w:hint="eastAsia" w:ascii="Cambria Math" w:hAnsi="Cambria Math" w:eastAsia="宋体" w:cs="宋体"/>
                        <w:color w:val="auto"/>
                        <w:sz w:val="21"/>
                        <w:szCs w:val="21"/>
                        <w:highlight w:val="none"/>
                      </w:rPr>
                      <m:t>z</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rPr>
                      <m:t>max</m:t>
                    </m:r>
                    <m:ctrlPr>
                      <w:rPr>
                        <w:rFonts w:hint="eastAsia" w:ascii="Cambria Math" w:hAnsi="Cambria Math" w:eastAsia="宋体" w:cs="宋体"/>
                        <w:i/>
                        <w:color w:val="auto"/>
                        <w:sz w:val="21"/>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m:oMath>
              <m:r>
                <m:rPr/>
                <w:rPr>
                  <w:rFonts w:hint="eastAsia" w:ascii="Cambria Math" w:hAnsi="Cambria Math" w:eastAsia="宋体" w:cs="宋体"/>
                  <w:color w:val="auto"/>
                  <w:sz w:val="21"/>
                  <w:szCs w:val="21"/>
                  <w:highlight w:val="none"/>
                </w:rPr>
                <m:t>z</m:t>
              </m:r>
            </m:oMath>
            <w:r>
              <w:rPr>
                <w:rFonts w:hint="eastAsia" w:ascii="宋体" w:hAnsi="宋体" w:eastAsia="宋体" w:cs="宋体"/>
                <w:color w:val="auto"/>
                <w:sz w:val="21"/>
                <w:szCs w:val="21"/>
                <w:highlight w:val="none"/>
              </w:rPr>
              <w:t>的最大值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3" w:type="pct"/>
            <w:shd w:val="clear" w:color="auto" w:fill="auto"/>
            <w:vAlign w:val="top"/>
          </w:tcPr>
          <w:p>
            <w:pPr>
              <w:pStyle w:val="184"/>
              <w:keepNext w:val="0"/>
              <w:keepLines w:val="0"/>
              <w:pageBreakBefore w:val="0"/>
              <w:widowControl/>
              <w:kinsoku/>
              <w:wordWrap/>
              <w:overflowPunct/>
              <w:topLinePunct w:val="0"/>
              <w:autoSpaceDE w:val="0"/>
              <w:autoSpaceDN w:val="0"/>
              <w:bidi w:val="0"/>
              <w:adjustRightInd/>
              <w:snapToGrid/>
              <w:ind w:left="0" w:leftChars="0" w:firstLine="0" w:firstLineChars="0"/>
              <w:jc w:val="right"/>
              <w:textAlignment w:val="auto"/>
              <w:rPr>
                <w:rFonts w:hint="eastAsia" w:ascii="Cambria Math" w:hAnsi="Cambria Math" w:eastAsia="宋体" w:cs="宋体"/>
                <w:i/>
                <w:color w:val="auto"/>
                <w:sz w:val="21"/>
                <w:szCs w:val="21"/>
                <w:highlight w:val="none"/>
                <w:lang w:val="en-US" w:eastAsia="zh-CN" w:bidi="ar-SA"/>
                <w:oMath/>
              </w:rPr>
            </w:pPr>
            <m:oMathPara>
              <m:oMathParaPr>
                <m:jc m:val="left"/>
              </m:oMathParaPr>
              <m:oMath>
                <m:sSub>
                  <w:bookmarkStart w:id="60" w:name="_Toc118580222"/>
                  <w:bookmarkStart w:id="61" w:name="_Toc109891111"/>
                  <m:sSubPr>
                    <m:ctrlPr>
                      <w:rPr>
                        <w:rFonts w:ascii="Cambria Math" w:hAnsi="Cambria Math" w:eastAsia="宋体"/>
                        <w:i/>
                        <w:color w:val="auto"/>
                        <w:kern w:val="2"/>
                        <w:szCs w:val="21"/>
                        <w:highlight w:val="none"/>
                      </w:rPr>
                    </m:ctrlPr>
                  </m:sSubPr>
                  <m:e>
                    <m:r>
                      <m:rPr/>
                      <w:rPr>
                        <w:rFonts w:ascii="Cambria Math" w:hAnsi="Cambria Math"/>
                        <w:color w:val="auto"/>
                        <w:highlight w:val="none"/>
                      </w:rPr>
                      <m:t>z</m:t>
                    </m:r>
                    <m:ctrlPr>
                      <w:rPr>
                        <w:rFonts w:ascii="Cambria Math" w:hAnsi="Cambria Math" w:eastAsia="宋体"/>
                        <w:i/>
                        <w:color w:val="auto"/>
                        <w:kern w:val="2"/>
                        <w:szCs w:val="21"/>
                        <w:highlight w:val="none"/>
                      </w:rPr>
                    </m:ctrlPr>
                  </m:e>
                  <m:sub>
                    <m:r>
                      <m:rPr/>
                      <w:rPr>
                        <w:rFonts w:ascii="Cambria Math" w:hAnsi="Cambria Math"/>
                        <w:color w:val="auto"/>
                        <w:highlight w:val="none"/>
                      </w:rPr>
                      <m:t>MALS</m:t>
                    </m:r>
                    <m:ctrlPr>
                      <w:rPr>
                        <w:rFonts w:ascii="Cambria Math" w:hAnsi="Cambria Math" w:eastAsia="宋体"/>
                        <w:i/>
                        <w:color w:val="auto"/>
                        <w:kern w:val="2"/>
                        <w:szCs w:val="21"/>
                        <w:highlight w:val="none"/>
                      </w:rPr>
                    </m:ctrlPr>
                  </m:sub>
                </m:sSub>
              </m:oMath>
            </m:oMathPara>
          </w:p>
        </w:tc>
        <w:tc>
          <w:tcPr>
            <w:tcW w:w="4626" w:type="pct"/>
            <w:shd w:val="clear" w:color="auto" w:fill="auto"/>
            <w:vAlign w:val="center"/>
          </w:tcPr>
          <w:p>
            <w:pPr>
              <w:pStyle w:val="184"/>
              <w:keepNext w:val="0"/>
              <w:keepLines w:val="0"/>
              <w:pageBreakBefore w:val="0"/>
              <w:widowControl/>
              <w:kinsoku/>
              <w:wordWrap/>
              <w:overflowPunct/>
              <w:topLinePunct w:val="0"/>
              <w:bidi w:val="0"/>
              <w:adjustRightInd/>
              <w:snapToGrid/>
              <w:ind w:left="210" w:hanging="210" w:hangingChars="100"/>
              <w:jc w:val="left"/>
              <w:textAlignment w:val="auto"/>
              <w:rPr>
                <w:rFonts w:hint="eastAsia"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满载车辆的制动强度</w:t>
            </w:r>
          </w:p>
        </w:tc>
      </w:tr>
    </w:tbl>
    <w:p>
      <w:pPr>
        <w:pStyle w:val="111"/>
        <w:spacing w:before="156" w:after="156"/>
        <w:rPr>
          <w:color w:val="auto"/>
          <w:szCs w:val="21"/>
          <w:highlight w:val="none"/>
        </w:rPr>
      </w:pPr>
      <w:bookmarkStart w:id="62" w:name="_Toc13978"/>
      <w:r>
        <w:rPr>
          <w:rFonts w:hint="eastAsia"/>
          <w:color w:val="auto"/>
          <w:highlight w:val="none"/>
        </w:rPr>
        <w:t>缩略语</w:t>
      </w:r>
      <w:bookmarkEnd w:id="60"/>
      <w:bookmarkEnd w:id="61"/>
      <w:bookmarkEnd w:id="62"/>
    </w:p>
    <w:p>
      <w:pPr>
        <w:pStyle w:val="62"/>
        <w:ind w:firstLine="420"/>
        <w:rPr>
          <w:rFonts w:hint="eastAsia"/>
          <w:color w:val="auto"/>
          <w:highlight w:val="none"/>
        </w:rPr>
      </w:pPr>
      <w:r>
        <w:rPr>
          <w:rFonts w:hint="eastAsia"/>
          <w:color w:val="auto"/>
          <w:highlight w:val="none"/>
        </w:rPr>
        <w:t>下列缩略语适用于本文件。</w:t>
      </w:r>
    </w:p>
    <w:p>
      <w:pPr>
        <w:pStyle w:val="62"/>
        <w:ind w:firstLine="420"/>
        <w:rPr>
          <w:rFonts w:hint="eastAsia" w:eastAsia="宋体"/>
          <w:color w:val="auto"/>
          <w:highlight w:val="none"/>
          <w:lang w:eastAsia="zh-CN"/>
        </w:rPr>
      </w:pPr>
      <w:r>
        <w:rPr>
          <w:rFonts w:hint="eastAsia"/>
          <w:color w:val="auto"/>
          <w:highlight w:val="none"/>
          <w:lang w:val="en-US" w:eastAsia="zh-CN"/>
        </w:rPr>
        <w:t>MFDD:</w:t>
      </w:r>
      <w:r>
        <w:rPr>
          <w:rFonts w:hint="eastAsia"/>
          <w:color w:val="auto"/>
          <w:highlight w:val="none"/>
        </w:rPr>
        <w:t>充分发出的平均减速度</w:t>
      </w:r>
      <w:r>
        <w:rPr>
          <w:rFonts w:hint="eastAsia"/>
          <w:color w:val="auto"/>
          <w:highlight w:val="none"/>
          <w:lang w:val="en-US" w:eastAsia="zh-CN"/>
        </w:rPr>
        <w:t>(mean fully developed deceleration)</w:t>
      </w:r>
      <w:r>
        <w:rPr>
          <w:rFonts w:hint="eastAsia"/>
          <w:color w:val="auto"/>
          <w:highlight w:val="none"/>
          <w:lang w:eastAsia="zh-CN"/>
        </w:rPr>
        <w:t>。</w:t>
      </w:r>
    </w:p>
    <w:p>
      <w:pPr>
        <w:pStyle w:val="110"/>
        <w:spacing w:before="312" w:after="312"/>
        <w:rPr>
          <w:color w:val="auto"/>
          <w:szCs w:val="21"/>
          <w:highlight w:val="none"/>
        </w:rPr>
      </w:pPr>
      <w:bookmarkStart w:id="63" w:name="_Toc118580223"/>
      <w:bookmarkStart w:id="64" w:name="_Toc109891112"/>
      <w:bookmarkStart w:id="65" w:name="_Toc27253"/>
      <w:r>
        <w:rPr>
          <w:rFonts w:hint="eastAsia"/>
          <w:color w:val="auto"/>
          <w:highlight w:val="none"/>
        </w:rPr>
        <w:t>结构和功能要求</w:t>
      </w:r>
      <w:bookmarkEnd w:id="63"/>
      <w:bookmarkEnd w:id="64"/>
      <w:bookmarkEnd w:id="65"/>
    </w:p>
    <w:p>
      <w:pPr>
        <w:pStyle w:val="111"/>
        <w:spacing w:before="156" w:after="156"/>
        <w:rPr>
          <w:color w:val="auto"/>
          <w:highlight w:val="none"/>
        </w:rPr>
      </w:pPr>
      <w:bookmarkStart w:id="66" w:name="_Toc118580224"/>
      <w:bookmarkStart w:id="67" w:name="_Toc26234"/>
      <w:bookmarkStart w:id="68" w:name="_Toc109891113"/>
      <w:r>
        <w:rPr>
          <w:rFonts w:hint="eastAsia"/>
          <w:color w:val="auto"/>
          <w:highlight w:val="none"/>
        </w:rPr>
        <w:t>制动</w:t>
      </w:r>
      <w:bookmarkEnd w:id="66"/>
      <w:bookmarkEnd w:id="67"/>
      <w:bookmarkEnd w:id="68"/>
      <w:r>
        <w:rPr>
          <w:rFonts w:hint="eastAsia"/>
          <w:color w:val="auto"/>
          <w:highlight w:val="none"/>
          <w:lang w:val="en-US" w:eastAsia="zh-CN"/>
        </w:rPr>
        <w:t>装备</w:t>
      </w:r>
    </w:p>
    <w:p>
      <w:pPr>
        <w:pStyle w:val="71"/>
        <w:spacing w:before="156" w:after="156"/>
        <w:rPr>
          <w:color w:val="auto"/>
          <w:highlight w:val="none"/>
        </w:rPr>
      </w:pPr>
      <w:bookmarkStart w:id="69" w:name="_Toc118580225"/>
      <w:r>
        <w:rPr>
          <w:rFonts w:hint="eastAsia"/>
          <w:color w:val="auto"/>
          <w:highlight w:val="none"/>
        </w:rPr>
        <w:t>总体要求</w:t>
      </w:r>
      <w:bookmarkEnd w:id="69"/>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车辆制动</w:t>
      </w:r>
      <w:r>
        <w:rPr>
          <w:rFonts w:hint="eastAsia" w:ascii="宋体" w:hAnsi="宋体" w:eastAsia="宋体"/>
          <w:color w:val="auto"/>
          <w:highlight w:val="none"/>
          <w:lang w:val="en-US" w:eastAsia="zh-CN"/>
        </w:rPr>
        <w:t>装备</w:t>
      </w:r>
      <w:r>
        <w:rPr>
          <w:rFonts w:hint="eastAsia" w:ascii="宋体" w:hAnsi="宋体" w:eastAsia="宋体"/>
          <w:color w:val="auto"/>
          <w:highlight w:val="none"/>
        </w:rPr>
        <w:t>的设计、制造和安装应保证在受到行驶振动影响的情况下仍能正常使用，并满足本文件的要求。</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制动</w:t>
      </w:r>
      <w:r>
        <w:rPr>
          <w:rFonts w:hint="eastAsia" w:ascii="宋体" w:hAnsi="宋体" w:eastAsia="宋体"/>
          <w:color w:val="auto"/>
          <w:highlight w:val="none"/>
          <w:lang w:val="en-US" w:eastAsia="zh-CN"/>
        </w:rPr>
        <w:t>装备</w:t>
      </w:r>
      <w:r>
        <w:rPr>
          <w:rFonts w:hint="eastAsia" w:ascii="宋体" w:hAnsi="宋体" w:eastAsia="宋体"/>
          <w:color w:val="auto"/>
          <w:highlight w:val="none"/>
        </w:rPr>
        <w:t>的设计、制造和安装应使其具有抗腐蚀和抗老化能力。</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制动衬片不应含有石棉。</w:t>
      </w:r>
    </w:p>
    <w:p>
      <w:pPr>
        <w:pStyle w:val="170"/>
        <w:rPr>
          <w:color w:val="auto"/>
          <w:kern w:val="2"/>
          <w:szCs w:val="21"/>
          <w:highlight w:val="none"/>
        </w:rPr>
      </w:pPr>
      <w:r>
        <w:rPr>
          <w:rFonts w:hint="eastAsia"/>
          <w:color w:val="auto"/>
          <w:highlight w:val="none"/>
        </w:rPr>
        <w:t>制动装备的效能不应受磁场或电场的不利影响，按GB</w:t>
      </w:r>
      <w:r>
        <w:rPr>
          <w:rFonts w:hAnsi="宋体"/>
          <w:color w:val="auto"/>
          <w:w w:val="50"/>
          <w:highlight w:val="none"/>
        </w:rPr>
        <w:t xml:space="preserve"> </w:t>
      </w:r>
      <w:r>
        <w:rPr>
          <w:rFonts w:hint="eastAsia"/>
          <w:color w:val="auto"/>
          <w:highlight w:val="none"/>
        </w:rPr>
        <w:t>34660中车辆对电磁辐射的抗扰试验要求进行验证</w:t>
      </w:r>
      <w:r>
        <w:rPr>
          <w:rFonts w:hint="eastAsia" w:hAnsi="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在不降低制动性能的前提下，失效检测信号可暂时（小于</w:t>
      </w:r>
      <w:r>
        <w:rPr>
          <w:rFonts w:ascii="宋体" w:hAnsi="宋体" w:eastAsia="宋体"/>
          <w:color w:val="auto"/>
          <w:highlight w:val="none"/>
        </w:rPr>
        <w:t>10</w:t>
      </w:r>
      <w:r>
        <w:rPr>
          <w:rFonts w:hint="eastAsia"/>
          <w:color w:val="auto"/>
          <w:highlight w:val="none"/>
          <w:lang w:val="en-US" w:eastAsia="zh-CN"/>
        </w:rPr>
        <w:t> </w:t>
      </w:r>
      <w:r>
        <w:rPr>
          <w:rFonts w:ascii="宋体" w:hAnsi="宋体" w:eastAsia="宋体"/>
          <w:color w:val="auto"/>
          <w:highlight w:val="none"/>
        </w:rPr>
        <w:t>ms</w:t>
      </w:r>
      <w:r>
        <w:rPr>
          <w:rFonts w:hint="eastAsia" w:ascii="宋体" w:hAnsi="宋体" w:eastAsia="宋体"/>
          <w:color w:val="auto"/>
          <w:highlight w:val="none"/>
        </w:rPr>
        <w:t>）中断控制传输的指令信号。</w:t>
      </w:r>
    </w:p>
    <w:p>
      <w:pPr>
        <w:pStyle w:val="71"/>
        <w:spacing w:before="156" w:after="156"/>
        <w:rPr>
          <w:color w:val="auto"/>
          <w:highlight w:val="none"/>
        </w:rPr>
      </w:pPr>
      <w:bookmarkStart w:id="70" w:name="_Toc118580226"/>
      <w:r>
        <w:rPr>
          <w:rFonts w:hint="eastAsia"/>
          <w:color w:val="auto"/>
          <w:highlight w:val="none"/>
        </w:rPr>
        <w:t>制动</w:t>
      </w:r>
      <w:r>
        <w:rPr>
          <w:rFonts w:hint="eastAsia"/>
          <w:color w:val="auto"/>
          <w:highlight w:val="none"/>
          <w:lang w:val="en-US" w:eastAsia="zh-CN"/>
        </w:rPr>
        <w:t>装备</w:t>
      </w:r>
      <w:r>
        <w:rPr>
          <w:rFonts w:hint="eastAsia"/>
          <w:color w:val="auto"/>
          <w:highlight w:val="none"/>
        </w:rPr>
        <w:t>的功能</w:t>
      </w:r>
      <w:bookmarkEnd w:id="70"/>
    </w:p>
    <w:p>
      <w:pPr>
        <w:pStyle w:val="100"/>
        <w:spacing w:before="156" w:after="156"/>
        <w:rPr>
          <w:color w:val="auto"/>
          <w:highlight w:val="none"/>
        </w:rPr>
      </w:pPr>
      <w:r>
        <w:rPr>
          <w:rFonts w:hint="eastAsia"/>
          <w:color w:val="auto"/>
          <w:highlight w:val="none"/>
        </w:rPr>
        <w:t>行车制动</w:t>
      </w:r>
    </w:p>
    <w:p>
      <w:pPr>
        <w:pStyle w:val="62"/>
        <w:ind w:firstLine="420"/>
        <w:rPr>
          <w:rFonts w:hint="eastAsia"/>
          <w:color w:val="auto"/>
          <w:highlight w:val="none"/>
        </w:rPr>
      </w:pPr>
      <w:r>
        <w:rPr>
          <w:rFonts w:hint="eastAsia"/>
          <w:color w:val="auto"/>
          <w:highlight w:val="none"/>
        </w:rPr>
        <w:t>不论车速高低、载荷大小，车辆上坡还是下坡，行车制动系统应能控制车辆行驶，使其安全、迅速、有效的减速或停住。制动作用应是渐进制动/可调节制动。应保证</w:t>
      </w:r>
      <w:r>
        <w:rPr>
          <w:rFonts w:hint="eastAsia"/>
          <w:color w:val="auto"/>
          <w:highlight w:val="none"/>
          <w:lang w:eastAsia="zh-CN"/>
        </w:rPr>
        <w:t>驾驶人</w:t>
      </w:r>
      <w:r>
        <w:rPr>
          <w:rFonts w:hint="eastAsia"/>
          <w:color w:val="auto"/>
          <w:highlight w:val="none"/>
        </w:rPr>
        <w:t>在其驾驶座椅上双手不离开转向盘就能进行制动操作。</w:t>
      </w:r>
    </w:p>
    <w:p>
      <w:pPr>
        <w:pStyle w:val="100"/>
        <w:spacing w:before="156" w:after="156"/>
        <w:rPr>
          <w:color w:val="auto"/>
          <w:highlight w:val="none"/>
        </w:rPr>
      </w:pPr>
      <w:r>
        <w:rPr>
          <w:rFonts w:hint="eastAsia"/>
          <w:color w:val="auto"/>
          <w:highlight w:val="none"/>
        </w:rPr>
        <w:t>应急制动</w:t>
      </w:r>
    </w:p>
    <w:p>
      <w:pPr>
        <w:pStyle w:val="62"/>
        <w:ind w:firstLine="420"/>
        <w:rPr>
          <w:rFonts w:hint="eastAsia"/>
          <w:color w:val="auto"/>
          <w:highlight w:val="none"/>
        </w:rPr>
      </w:pPr>
      <w:r>
        <w:rPr>
          <w:rFonts w:hint="eastAsia"/>
          <w:color w:val="auto"/>
          <w:highlight w:val="none"/>
        </w:rPr>
        <w:t>当行车制动系统失效时，应急制动系统应能在适当的距离内将车辆停住。制动作用应是渐进制动/可调节制动。应保证</w:t>
      </w:r>
      <w:r>
        <w:rPr>
          <w:rFonts w:hint="eastAsia"/>
          <w:color w:val="auto"/>
          <w:highlight w:val="none"/>
          <w:lang w:eastAsia="zh-CN"/>
        </w:rPr>
        <w:t>驾驶人</w:t>
      </w:r>
      <w:r>
        <w:rPr>
          <w:rFonts w:hint="eastAsia"/>
          <w:color w:val="auto"/>
          <w:highlight w:val="none"/>
        </w:rPr>
        <w:t>在其驾驶座椅上、双手不离开转向盘就能进行制动操作。本条要求的前提是行车制动系统不同时发生一处以上失效。</w:t>
      </w:r>
    </w:p>
    <w:p>
      <w:pPr>
        <w:pStyle w:val="100"/>
        <w:spacing w:before="156" w:after="156"/>
        <w:rPr>
          <w:color w:val="auto"/>
          <w:highlight w:val="none"/>
        </w:rPr>
      </w:pPr>
      <w:r>
        <w:rPr>
          <w:rFonts w:hint="eastAsia"/>
          <w:color w:val="auto"/>
          <w:highlight w:val="none"/>
        </w:rPr>
        <w:t>驻车制动</w:t>
      </w:r>
    </w:p>
    <w:p>
      <w:pPr>
        <w:pStyle w:val="62"/>
        <w:ind w:firstLine="420"/>
        <w:rPr>
          <w:color w:val="auto"/>
          <w:highlight w:val="none"/>
        </w:rPr>
      </w:pPr>
      <w:r>
        <w:rPr>
          <w:color w:val="auto"/>
          <w:highlight w:val="none"/>
        </w:rPr>
        <w:t>驻车制动系</w:t>
      </w:r>
      <w:r>
        <w:rPr>
          <w:rFonts w:hint="eastAsia"/>
          <w:color w:val="auto"/>
          <w:highlight w:val="none"/>
        </w:rPr>
        <w:t>统</w:t>
      </w:r>
      <w:r>
        <w:rPr>
          <w:color w:val="auto"/>
          <w:highlight w:val="none"/>
        </w:rPr>
        <w:t>的工作部件</w:t>
      </w:r>
      <w:r>
        <w:rPr>
          <w:rFonts w:hint="eastAsia"/>
          <w:color w:val="auto"/>
          <w:highlight w:val="none"/>
        </w:rPr>
        <w:t>应靠</w:t>
      </w:r>
      <w:r>
        <w:rPr>
          <w:color w:val="auto"/>
          <w:highlight w:val="none"/>
        </w:rPr>
        <w:t>纯机械装置</w:t>
      </w:r>
      <w:r>
        <w:rPr>
          <w:rFonts w:hint="eastAsia"/>
          <w:color w:val="auto"/>
          <w:highlight w:val="none"/>
        </w:rPr>
        <w:t>锁住</w:t>
      </w:r>
      <w:r>
        <w:rPr>
          <w:color w:val="auto"/>
          <w:highlight w:val="none"/>
        </w:rPr>
        <w:t>，即使</w:t>
      </w:r>
      <w:r>
        <w:rPr>
          <w:rFonts w:hint="eastAsia"/>
          <w:color w:val="auto"/>
          <w:highlight w:val="none"/>
          <w:lang w:eastAsia="zh-CN"/>
        </w:rPr>
        <w:t>驾驶人</w:t>
      </w:r>
      <w:r>
        <w:rPr>
          <w:rFonts w:hint="eastAsia"/>
          <w:color w:val="auto"/>
          <w:highlight w:val="none"/>
        </w:rPr>
        <w:t>不在的情况下</w:t>
      </w:r>
      <w:r>
        <w:rPr>
          <w:color w:val="auto"/>
          <w:highlight w:val="none"/>
        </w:rPr>
        <w:t>，车辆也能在上</w:t>
      </w:r>
      <w:r>
        <w:rPr>
          <w:rFonts w:hint="eastAsia"/>
          <w:color w:val="auto"/>
          <w:highlight w:val="none"/>
        </w:rPr>
        <w:t>/</w:t>
      </w:r>
      <w:r>
        <w:rPr>
          <w:color w:val="auto"/>
          <w:highlight w:val="none"/>
        </w:rPr>
        <w:t>下坡道上</w:t>
      </w:r>
      <w:r>
        <w:rPr>
          <w:rFonts w:hint="eastAsia"/>
          <w:color w:val="auto"/>
          <w:highlight w:val="none"/>
        </w:rPr>
        <w:t>停住</w:t>
      </w:r>
      <w:r>
        <w:rPr>
          <w:color w:val="auto"/>
          <w:highlight w:val="none"/>
        </w:rPr>
        <w:t>。</w:t>
      </w:r>
      <w:r>
        <w:rPr>
          <w:rFonts w:hint="eastAsia"/>
          <w:color w:val="auto"/>
          <w:highlight w:val="none"/>
          <w:lang w:eastAsia="zh-CN"/>
        </w:rPr>
        <w:t>驾驶人</w:t>
      </w:r>
      <w:r>
        <w:rPr>
          <w:color w:val="auto"/>
          <w:highlight w:val="none"/>
        </w:rPr>
        <w:t>应能</w:t>
      </w:r>
      <w:r>
        <w:rPr>
          <w:rFonts w:hint="eastAsia"/>
          <w:color w:val="auto"/>
          <w:highlight w:val="none"/>
        </w:rPr>
        <w:t>够</w:t>
      </w:r>
      <w:r>
        <w:rPr>
          <w:color w:val="auto"/>
          <w:highlight w:val="none"/>
        </w:rPr>
        <w:t>在其</w:t>
      </w:r>
      <w:r>
        <w:rPr>
          <w:rFonts w:hint="eastAsia"/>
          <w:color w:val="auto"/>
          <w:highlight w:val="none"/>
        </w:rPr>
        <w:t>驾驶座椅</w:t>
      </w:r>
      <w:r>
        <w:rPr>
          <w:color w:val="auto"/>
          <w:highlight w:val="none"/>
        </w:rPr>
        <w:t>上</w:t>
      </w:r>
      <w:r>
        <w:rPr>
          <w:rFonts w:hint="eastAsia"/>
          <w:color w:val="auto"/>
          <w:highlight w:val="none"/>
        </w:rPr>
        <w:t>进行</w:t>
      </w:r>
      <w:r>
        <w:rPr>
          <w:color w:val="auto"/>
          <w:highlight w:val="none"/>
        </w:rPr>
        <w:t>制动操作。</w:t>
      </w:r>
    </w:p>
    <w:p>
      <w:pPr>
        <w:pStyle w:val="71"/>
        <w:spacing w:before="156" w:after="156"/>
        <w:rPr>
          <w:color w:val="auto"/>
          <w:highlight w:val="none"/>
        </w:rPr>
      </w:pPr>
      <w:bookmarkStart w:id="71" w:name="_Toc118580227"/>
      <w:r>
        <w:rPr>
          <w:rFonts w:hint="eastAsia"/>
          <w:color w:val="auto"/>
          <w:highlight w:val="none"/>
        </w:rPr>
        <w:t>制动电子控制系统的功能安全要求</w:t>
      </w:r>
      <w:bookmarkEnd w:id="71"/>
    </w:p>
    <w:p>
      <w:pPr>
        <w:pStyle w:val="62"/>
        <w:ind w:firstLine="420"/>
        <w:rPr>
          <w:rFonts w:hint="eastAsia"/>
          <w:color w:val="auto"/>
          <w:highlight w:val="none"/>
        </w:rPr>
      </w:pPr>
      <w:r>
        <w:rPr>
          <w:rFonts w:hint="eastAsia"/>
          <w:color w:val="auto"/>
          <w:highlight w:val="none"/>
        </w:rPr>
        <w:t>制动电子控制系统的功能安全要求，应按照GB</w:t>
      </w:r>
      <w:r>
        <w:rPr>
          <w:color w:val="auto"/>
          <w:highlight w:val="none"/>
        </w:rPr>
        <w:t>/T 34590</w:t>
      </w:r>
      <w:r>
        <w:rPr>
          <w:rFonts w:hint="eastAsia"/>
          <w:color w:val="auto"/>
          <w:highlight w:val="none"/>
          <w:lang w:eastAsia="zh-CN"/>
        </w:rPr>
        <w:t>—</w:t>
      </w:r>
      <w:r>
        <w:rPr>
          <w:color w:val="auto"/>
          <w:highlight w:val="none"/>
        </w:rPr>
        <w:t>2022(</w:t>
      </w:r>
      <w:r>
        <w:rPr>
          <w:rFonts w:hint="eastAsia"/>
          <w:color w:val="auto"/>
          <w:highlight w:val="none"/>
        </w:rPr>
        <w:t>所有部分</w:t>
      </w:r>
      <w:r>
        <w:rPr>
          <w:color w:val="auto"/>
          <w:highlight w:val="none"/>
        </w:rPr>
        <w:t>)</w:t>
      </w:r>
      <w:r>
        <w:rPr>
          <w:rFonts w:hint="eastAsia"/>
          <w:color w:val="auto"/>
          <w:highlight w:val="none"/>
        </w:rPr>
        <w:t>制定，并满足附录B的要求。制动电子控制系统功能安全试验报告应满足附录C的要求。本条适用于具有如防抱制动、电力再生式制动、采用电子传输的驻车制动、具有电控传输的行车制动等功能的制动电子控制系统。</w:t>
      </w:r>
    </w:p>
    <w:p>
      <w:pPr>
        <w:pStyle w:val="111"/>
        <w:spacing w:before="156" w:after="156"/>
        <w:rPr>
          <w:color w:val="auto"/>
          <w:szCs w:val="21"/>
          <w:highlight w:val="none"/>
        </w:rPr>
      </w:pPr>
      <w:bookmarkStart w:id="72" w:name="_Toc20315"/>
      <w:bookmarkStart w:id="73" w:name="_Toc118580228"/>
      <w:bookmarkStart w:id="74" w:name="_Toc109891115"/>
      <w:r>
        <w:rPr>
          <w:rFonts w:hint="eastAsia"/>
          <w:color w:val="auto"/>
          <w:highlight w:val="none"/>
        </w:rPr>
        <w:t>制动系统特性</w:t>
      </w:r>
      <w:bookmarkEnd w:id="72"/>
      <w:bookmarkEnd w:id="73"/>
      <w:bookmarkEnd w:id="74"/>
    </w:p>
    <w:p>
      <w:pPr>
        <w:pStyle w:val="71"/>
        <w:spacing w:before="0" w:beforeLines="0" w:after="0" w:afterLines="0"/>
        <w:rPr>
          <w:rFonts w:ascii="宋体" w:hAnsi="宋体" w:eastAsia="宋体"/>
          <w:color w:val="auto"/>
          <w:highlight w:val="none"/>
        </w:rPr>
      </w:pPr>
      <w:bookmarkStart w:id="75" w:name="_Toc118580229"/>
      <w:r>
        <w:rPr>
          <w:rFonts w:hint="eastAsia" w:ascii="宋体" w:hAnsi="宋体" w:eastAsia="宋体"/>
          <w:color w:val="auto"/>
          <w:highlight w:val="none"/>
        </w:rPr>
        <w:t>车辆装备的整个制动系统应满足车辆对行车制动系统、应急制动系统和驻车制动系统的要求。</w:t>
      </w:r>
      <w:bookmarkEnd w:id="75"/>
    </w:p>
    <w:p>
      <w:pPr>
        <w:pStyle w:val="71"/>
        <w:spacing w:before="0" w:beforeLines="0" w:after="0" w:afterLines="0"/>
        <w:rPr>
          <w:rFonts w:ascii="宋体" w:hAnsi="宋体" w:eastAsia="宋体"/>
          <w:color w:val="auto"/>
          <w:highlight w:val="none"/>
        </w:rPr>
      </w:pPr>
      <w:bookmarkStart w:id="76" w:name="_Toc118580230"/>
      <w:r>
        <w:rPr>
          <w:rFonts w:hint="eastAsia" w:ascii="宋体" w:hAnsi="宋体" w:eastAsia="宋体"/>
          <w:color w:val="auto"/>
          <w:highlight w:val="none"/>
        </w:rPr>
        <w:t>在满足下列条件时，行车制动系统、应急制动系统和驻车制动系统的零部件可以共用：</w:t>
      </w:r>
      <w:bookmarkEnd w:id="76"/>
    </w:p>
    <w:p>
      <w:pPr>
        <w:pStyle w:val="180"/>
        <w:numPr>
          <w:ilvl w:val="0"/>
          <w:numId w:val="32"/>
        </w:numPr>
        <w:rPr>
          <w:color w:val="auto"/>
          <w:highlight w:val="none"/>
        </w:rPr>
      </w:pPr>
      <w:r>
        <w:rPr>
          <w:rFonts w:hint="eastAsia"/>
          <w:color w:val="auto"/>
          <w:highlight w:val="none"/>
        </w:rPr>
        <w:t>至少具备两个相互独立且</w:t>
      </w:r>
      <w:r>
        <w:rPr>
          <w:rFonts w:hint="eastAsia"/>
          <w:color w:val="auto"/>
          <w:highlight w:val="none"/>
          <w:lang w:eastAsia="zh-CN"/>
        </w:rPr>
        <w:t>驾驶人</w:t>
      </w:r>
      <w:r>
        <w:rPr>
          <w:rFonts w:hint="eastAsia"/>
          <w:color w:val="auto"/>
          <w:highlight w:val="none"/>
        </w:rPr>
        <w:t>在其驾驶座椅上易于操纵的控制装置。各控制装置应在解除制动时完全回位（该要求不适用于靠机械方式锁止在制动位置的驻车制动控制装置）</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行车制动系统的控制装置与驻车制动系统的控制装置应相互独立</w:t>
      </w:r>
      <w:r>
        <w:rPr>
          <w:rFonts w:hint="eastAsia"/>
          <w:color w:val="auto"/>
          <w:highlight w:val="none"/>
          <w:lang w:eastAsia="zh-CN"/>
        </w:rPr>
        <w:t>；</w:t>
      </w:r>
    </w:p>
    <w:p>
      <w:pPr>
        <w:pStyle w:val="180"/>
        <w:numPr>
          <w:ilvl w:val="0"/>
          <w:numId w:val="32"/>
        </w:numPr>
        <w:rPr>
          <w:color w:val="auto"/>
          <w:highlight w:val="none"/>
          <w:shd w:val="clear" w:color="auto" w:fill="FFFFFF" w:themeFill="background1"/>
        </w:rPr>
      </w:pPr>
      <w:r>
        <w:rPr>
          <w:rFonts w:hint="eastAsia"/>
          <w:color w:val="auto"/>
          <w:highlight w:val="none"/>
          <w:shd w:val="clear" w:color="auto" w:fill="FFFFFF" w:themeFill="background1"/>
        </w:rPr>
        <w:t>行车制动系统控制装置与传输装置不同部件间连接的效能，不应在经过一段时间的使用后降低</w:t>
      </w:r>
      <w:r>
        <w:rPr>
          <w:rFonts w:hint="eastAsia"/>
          <w:color w:val="auto"/>
          <w:highlight w:val="none"/>
          <w:shd w:val="clear" w:color="auto" w:fill="FFFFFF" w:themeFill="background1"/>
          <w:lang w:eastAsia="zh-CN"/>
        </w:rPr>
        <w:t>；</w:t>
      </w:r>
    </w:p>
    <w:p>
      <w:pPr>
        <w:pStyle w:val="180"/>
        <w:numPr>
          <w:ilvl w:val="0"/>
          <w:numId w:val="32"/>
        </w:numPr>
        <w:rPr>
          <w:color w:val="auto"/>
          <w:highlight w:val="none"/>
        </w:rPr>
      </w:pPr>
      <w:r>
        <w:rPr>
          <w:rFonts w:hint="eastAsia"/>
          <w:color w:val="auto"/>
          <w:highlight w:val="none"/>
        </w:rPr>
        <w:t>驻车制动系统的设计应保证在车辆行驶时也能产生制动作用。该要求可通过辅助控制利用全部或部分行车制动系统来满足</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在不违反5.1.2.3要求的前提下，如传输装置任何部分发生失效时仍能满足应急制动要求，则行车制动系统和驻车制动系统的传输装置可采用共用部件</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除制动器和5.2.2 j）所述零部件外的任何零部件发生断裂或行车制动系统发生其他任何失效（故障、储存的能量部分或全部泄漏），未受失效影响的那部分行车制动系统应能在规定的应急制动条件下使车辆停住</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当行车制动系统由</w:t>
      </w:r>
      <w:r>
        <w:rPr>
          <w:rFonts w:hint="eastAsia"/>
          <w:color w:val="auto"/>
          <w:highlight w:val="none"/>
          <w:lang w:eastAsia="zh-CN"/>
        </w:rPr>
        <w:t>驾驶人</w:t>
      </w:r>
      <w:r>
        <w:rPr>
          <w:rFonts w:hint="eastAsia"/>
          <w:color w:val="auto"/>
          <w:highlight w:val="none"/>
        </w:rPr>
        <w:t>体力在储能器助力下操纵时，即使助力失效，也应保证能由</w:t>
      </w:r>
      <w:r>
        <w:rPr>
          <w:rFonts w:hint="eastAsia"/>
          <w:color w:val="auto"/>
          <w:highlight w:val="none"/>
          <w:lang w:eastAsia="zh-CN"/>
        </w:rPr>
        <w:t>驾驶人</w:t>
      </w:r>
      <w:r>
        <w:rPr>
          <w:rFonts w:hint="eastAsia"/>
          <w:color w:val="auto"/>
          <w:highlight w:val="none"/>
        </w:rPr>
        <w:t>的体力在未受失效影响的储能器（如有）助力下实现应急制动，但施加在行车制动控制装置上的力不应超出规定的最大值</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当行车制动力及其传输仅由</w:t>
      </w:r>
      <w:r>
        <w:rPr>
          <w:rFonts w:hint="eastAsia"/>
          <w:color w:val="auto"/>
          <w:highlight w:val="none"/>
          <w:lang w:eastAsia="zh-CN"/>
        </w:rPr>
        <w:t>驾驶人</w:t>
      </w:r>
      <w:r>
        <w:rPr>
          <w:rFonts w:hint="eastAsia"/>
          <w:color w:val="auto"/>
          <w:highlight w:val="none"/>
        </w:rPr>
        <w:t>控制的储能器提供时，至少应有两个完全独立且分别具有独立传输装置的储能器。每个储能器可只作用于两个或几个车轮的制动器，其选择应确保在不危及车辆稳定性的前提下达到规定的应急制动效能。此外，各储能器都应安装5.2.14规定的报警装置</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当行车制动力及其传输仅由一个储能器提供时，如仅靠</w:t>
      </w:r>
      <w:r>
        <w:rPr>
          <w:rFonts w:hint="eastAsia"/>
          <w:color w:val="auto"/>
          <w:highlight w:val="none"/>
          <w:lang w:eastAsia="zh-CN"/>
        </w:rPr>
        <w:t>驾驶人</w:t>
      </w:r>
      <w:r>
        <w:rPr>
          <w:rFonts w:hint="eastAsia"/>
          <w:color w:val="auto"/>
          <w:highlight w:val="none"/>
        </w:rPr>
        <w:t>体力操纵行车制动控制装置能保证规定的应急制动且满足5.2.5的要求，则认为传输装置只需一个储能器即可</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制动踏板及其支架、制动主缸及其活塞、控制阀、制动踏板与制动主缸或控制阀之间的连接件、轮缸及其活塞、制动系统</w:t>
      </w:r>
      <w:r>
        <w:rPr>
          <w:rFonts w:hint="eastAsia"/>
          <w:color w:val="auto"/>
          <w:highlight w:val="none"/>
          <w:lang w:val="en-US" w:eastAsia="zh-CN"/>
        </w:rPr>
        <w:t>制动杠杆</w:t>
      </w:r>
      <w:r>
        <w:rPr>
          <w:rFonts w:hint="eastAsia"/>
          <w:color w:val="auto"/>
          <w:highlight w:val="none"/>
        </w:rPr>
        <w:t>凸轮总成等零部件，如尺寸足够大且易于接近、便于维护，并至少与车辆其他重要零部件（如转向连接件）具有相同的安全特征，应视为不易失效的零部件。这些零部件失效将导致车辆无法达到规定的应急制动效能，应用金属材料或与金属材料性能相当的材料制造，且在制动系统正常工作中不应产生明显变形。</w:t>
      </w:r>
    </w:p>
    <w:p>
      <w:pPr>
        <w:pStyle w:val="71"/>
        <w:spacing w:before="0" w:beforeLines="0" w:after="0" w:afterLines="0"/>
        <w:rPr>
          <w:color w:val="auto"/>
          <w:highlight w:val="none"/>
        </w:rPr>
      </w:pPr>
      <w:bookmarkStart w:id="77" w:name="_Toc118580231"/>
      <w:r>
        <w:rPr>
          <w:rFonts w:hint="eastAsia" w:ascii="宋体" w:hAnsi="宋体" w:eastAsia="宋体"/>
          <w:color w:val="auto"/>
          <w:highlight w:val="none"/>
        </w:rPr>
        <w:t>液压传输装置发生部分失效时，最迟应于主缸出口处测得的制动装备正常和失效部分的压差超过1.55</w:t>
      </w:r>
      <w:r>
        <w:rPr>
          <w:rFonts w:hint="eastAsia"/>
          <w:color w:val="auto"/>
          <w:highlight w:val="none"/>
          <w:lang w:val="en-US" w:eastAsia="zh-CN"/>
        </w:rPr>
        <w:t> </w:t>
      </w:r>
      <w:r>
        <w:rPr>
          <w:rFonts w:ascii="宋体" w:hAnsi="宋体" w:eastAsia="宋体"/>
          <w:color w:val="auto"/>
          <w:highlight w:val="none"/>
        </w:rPr>
        <w:t>MPa</w:t>
      </w:r>
      <w:r>
        <w:rPr>
          <w:rFonts w:hint="eastAsia" w:ascii="宋体" w:hAnsi="宋体" w:eastAsia="宋体"/>
          <w:color w:val="auto"/>
          <w:highlight w:val="none"/>
        </w:rPr>
        <w:t>时点亮红色报警信号，指示给</w:t>
      </w:r>
      <w:r>
        <w:rPr>
          <w:rFonts w:hint="eastAsia" w:ascii="宋体" w:hAnsi="宋体" w:eastAsia="宋体"/>
          <w:color w:val="auto"/>
          <w:highlight w:val="none"/>
          <w:lang w:eastAsia="zh-CN"/>
        </w:rPr>
        <w:t>驾驶人</w:t>
      </w:r>
      <w:r>
        <w:rPr>
          <w:rFonts w:hint="eastAsia" w:ascii="宋体" w:hAnsi="宋体" w:eastAsia="宋体"/>
          <w:color w:val="auto"/>
          <w:highlight w:val="none"/>
        </w:rPr>
        <w:t>。作为替代方案，也允许在储液罐的液面低于制造商规定水平时点亮红色信号的报警装置。只要失效存在且点火（起动）开关处于“ON”（“RUN”）位置，报警信号应保持点亮。报警信号即使在白天也应清晰可见。</w:t>
      </w:r>
      <w:r>
        <w:rPr>
          <w:rFonts w:hint="eastAsia" w:ascii="宋体" w:hAnsi="宋体" w:eastAsia="宋体"/>
          <w:color w:val="auto"/>
          <w:highlight w:val="none"/>
          <w:lang w:eastAsia="zh-CN"/>
        </w:rPr>
        <w:t>驾驶人</w:t>
      </w:r>
      <w:r>
        <w:rPr>
          <w:rFonts w:hint="eastAsia" w:ascii="宋体" w:hAnsi="宋体" w:eastAsia="宋体"/>
          <w:color w:val="auto"/>
          <w:highlight w:val="none"/>
        </w:rPr>
        <w:t>应很容易地在驾驶位置检查报警信号工作是否正常。报警装置的零部件发生失效时不应导致制动装备的效能完全丧失。进行驻车制动时也应指示给</w:t>
      </w:r>
      <w:r>
        <w:rPr>
          <w:rFonts w:hint="eastAsia" w:ascii="宋体" w:hAnsi="宋体" w:eastAsia="宋体"/>
          <w:color w:val="auto"/>
          <w:highlight w:val="none"/>
          <w:lang w:eastAsia="zh-CN"/>
        </w:rPr>
        <w:t>驾驶人</w:t>
      </w:r>
      <w:r>
        <w:rPr>
          <w:rFonts w:hint="eastAsia" w:ascii="宋体" w:hAnsi="宋体" w:eastAsia="宋体"/>
          <w:color w:val="auto"/>
          <w:highlight w:val="none"/>
        </w:rPr>
        <w:t>，可采用同一个报警信号。</w:t>
      </w:r>
      <w:bookmarkEnd w:id="77"/>
    </w:p>
    <w:p>
      <w:pPr>
        <w:pStyle w:val="71"/>
        <w:spacing w:before="0" w:beforeLines="0" w:after="0" w:afterLines="0"/>
        <w:rPr>
          <w:rFonts w:ascii="宋体" w:hAnsi="宋体" w:eastAsia="宋体"/>
          <w:color w:val="auto"/>
          <w:highlight w:val="none"/>
        </w:rPr>
      </w:pPr>
      <w:bookmarkStart w:id="78" w:name="_Toc118580232"/>
      <w:r>
        <w:rPr>
          <w:rFonts w:hint="eastAsia" w:ascii="宋体" w:hAnsi="宋体" w:eastAsia="宋体"/>
          <w:color w:val="auto"/>
          <w:highlight w:val="none"/>
        </w:rPr>
        <w:t>当利用除</w:t>
      </w:r>
      <w:r>
        <w:rPr>
          <w:rFonts w:hint="eastAsia" w:ascii="宋体" w:hAnsi="宋体" w:eastAsia="宋体"/>
          <w:color w:val="auto"/>
          <w:highlight w:val="none"/>
          <w:lang w:eastAsia="zh-CN"/>
        </w:rPr>
        <w:t>驾驶人</w:t>
      </w:r>
      <w:r>
        <w:rPr>
          <w:rFonts w:hint="eastAsia" w:ascii="宋体" w:hAnsi="宋体" w:eastAsia="宋体"/>
          <w:color w:val="auto"/>
          <w:highlight w:val="none"/>
        </w:rPr>
        <w:t>体力之外的其他能源时，不必要求具有一个以上能源（液压泵、空气压缩机等），但能源驱动装置的工作方式应在实际使用的范围内保证安全。并满足以下要求：</w:t>
      </w:r>
      <w:bookmarkEnd w:id="78"/>
    </w:p>
    <w:p>
      <w:pPr>
        <w:pStyle w:val="180"/>
        <w:numPr>
          <w:ilvl w:val="0"/>
          <w:numId w:val="33"/>
        </w:numPr>
        <w:rPr>
          <w:color w:val="auto"/>
          <w:highlight w:val="none"/>
        </w:rPr>
      </w:pPr>
      <w:r>
        <w:rPr>
          <w:rFonts w:hint="eastAsia"/>
          <w:color w:val="auto"/>
          <w:highlight w:val="none"/>
        </w:rPr>
        <w:t>当制动系统传输装置任何部分失效时，应继续向未受失效影响的部分供能，确保以规定的应急制动效能使车辆停住。该要求应利用在车辆静止时易于启动的装置或以自动方式来实现</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位于该装置下游的储能装置应确保在能量供应失效时，按6.4.1.2规定的条件，经行车制动控制装置4次全行程促动后，在进行第5次制动时仍能以规定的应急制动效能使车辆停住</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对储能式液压制动系统，如满足6.4.1.3的要求，则认为符合上述规定。</w:t>
      </w:r>
    </w:p>
    <w:p>
      <w:pPr>
        <w:pStyle w:val="71"/>
        <w:spacing w:before="0" w:beforeLines="0" w:after="0" w:afterLines="0"/>
        <w:rPr>
          <w:color w:val="auto"/>
          <w:highlight w:val="none"/>
        </w:rPr>
      </w:pPr>
      <w:bookmarkStart w:id="79" w:name="_Toc118580233"/>
      <w:r>
        <w:rPr>
          <w:rFonts w:hint="eastAsia" w:ascii="宋体" w:hAnsi="宋体" w:eastAsia="宋体"/>
          <w:color w:val="auto"/>
          <w:highlight w:val="none"/>
        </w:rPr>
        <w:t>在不使用自动装置的情况下，应满足5.2.2、5.2.3和5.2.4的要求。</w:t>
      </w:r>
      <w:r>
        <w:rPr>
          <w:rFonts w:hint="eastAsia" w:ascii="宋体" w:hAnsi="宋体" w:eastAsia="宋体" w:cs="Times New Roman"/>
          <w:color w:val="auto"/>
          <w:highlight w:val="none"/>
        </w:rPr>
        <w:t>该自动</w:t>
      </w:r>
      <w:r>
        <w:rPr>
          <w:rFonts w:hint="eastAsia" w:ascii="宋体" w:hAnsi="宋体" w:eastAsia="宋体"/>
          <w:color w:val="auto"/>
          <w:highlight w:val="none"/>
        </w:rPr>
        <w:t>装置通常处于备用状态，只在制动系统失效时才起作用，因而其失效通常被忽略。</w:t>
      </w:r>
      <w:bookmarkEnd w:id="79"/>
    </w:p>
    <w:p>
      <w:pPr>
        <w:pStyle w:val="71"/>
        <w:spacing w:before="0" w:beforeLines="0" w:after="0" w:afterLines="0"/>
        <w:rPr>
          <w:color w:val="auto"/>
          <w:highlight w:val="none"/>
        </w:rPr>
      </w:pPr>
      <w:bookmarkStart w:id="80" w:name="_Toc118580234"/>
      <w:r>
        <w:rPr>
          <w:rFonts w:hint="eastAsia" w:ascii="宋体" w:hAnsi="宋体" w:eastAsia="宋体"/>
          <w:color w:val="auto"/>
          <w:highlight w:val="none"/>
        </w:rPr>
        <w:t>行车制动系统应作用于车辆的所有车轮并使制动力在车轴间合理分配。</w:t>
      </w:r>
      <w:bookmarkEnd w:id="80"/>
    </w:p>
    <w:p>
      <w:pPr>
        <w:pStyle w:val="71"/>
        <w:spacing w:before="0" w:beforeLines="0" w:after="0" w:afterLines="0"/>
        <w:rPr>
          <w:rFonts w:ascii="宋体" w:hAnsi="宋体" w:eastAsia="宋体"/>
          <w:color w:val="auto"/>
          <w:highlight w:val="none"/>
        </w:rPr>
      </w:pPr>
      <w:bookmarkStart w:id="81" w:name="_Toc118580235"/>
      <w:r>
        <w:rPr>
          <w:rFonts w:hint="eastAsia" w:ascii="宋体" w:hAnsi="宋体" w:eastAsia="宋体"/>
          <w:color w:val="auto"/>
          <w:highlight w:val="none"/>
        </w:rPr>
        <w:t>对装备B型电力再生式制动系统的车辆，如满足下面两个条件，可适当延后其他制动能源的制动输入，使电力再生式制动系统单独起作用：</w:t>
      </w:r>
      <w:bookmarkEnd w:id="81"/>
    </w:p>
    <w:p>
      <w:pPr>
        <w:pStyle w:val="138"/>
        <w:rPr>
          <w:color w:val="auto"/>
          <w:highlight w:val="none"/>
        </w:rPr>
      </w:pPr>
      <w:r>
        <w:rPr>
          <w:rFonts w:hint="eastAsia"/>
          <w:color w:val="auto"/>
          <w:highlight w:val="none"/>
        </w:rPr>
        <w:t>如满足6.1.3.2或6.</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2</w:t>
      </w:r>
      <w:r>
        <w:rPr>
          <w:rFonts w:hint="eastAsia"/>
          <w:color w:val="auto"/>
          <w:highlight w:val="none"/>
        </w:rPr>
        <w:t>.3（包括电机接合的情形）的要求，则电力再生式制动系统输出力矩的内在（如动力蓄电池荷电状态变化所引起的）变化可通过适当的相位关系变化自动补偿</w:t>
      </w:r>
      <w:r>
        <w:rPr>
          <w:rFonts w:hint="eastAsia"/>
          <w:color w:val="auto"/>
          <w:highlight w:val="none"/>
          <w:lang w:eastAsia="zh-CN"/>
        </w:rPr>
        <w:t>；</w:t>
      </w:r>
    </w:p>
    <w:p>
      <w:pPr>
        <w:pStyle w:val="138"/>
        <w:rPr>
          <w:color w:val="auto"/>
          <w:highlight w:val="none"/>
        </w:rPr>
      </w:pPr>
      <w:r>
        <w:rPr>
          <w:rFonts w:hint="eastAsia"/>
          <w:color w:val="auto"/>
          <w:highlight w:val="none"/>
        </w:rPr>
        <w:t>考虑到实际的轮胎/路面附着情况，应在必要时自动对车辆的所有车轮进行制动，确保达到</w:t>
      </w:r>
      <w:r>
        <w:rPr>
          <w:rFonts w:hint="eastAsia"/>
          <w:color w:val="auto"/>
          <w:highlight w:val="none"/>
          <w:lang w:eastAsia="zh-CN"/>
        </w:rPr>
        <w:t>驾驶人</w:t>
      </w:r>
      <w:r>
        <w:rPr>
          <w:rFonts w:hint="eastAsia"/>
          <w:color w:val="auto"/>
          <w:highlight w:val="none"/>
        </w:rPr>
        <w:t>期望的制动强度。</w:t>
      </w:r>
    </w:p>
    <w:p>
      <w:pPr>
        <w:pStyle w:val="71"/>
        <w:spacing w:before="0" w:beforeLines="0" w:after="0" w:afterLines="0"/>
        <w:rPr>
          <w:rFonts w:ascii="宋体" w:hAnsi="宋体" w:eastAsia="宋体"/>
          <w:color w:val="auto"/>
          <w:highlight w:val="none"/>
        </w:rPr>
      </w:pPr>
      <w:bookmarkStart w:id="82" w:name="_Toc118580236"/>
      <w:r>
        <w:rPr>
          <w:rFonts w:hint="eastAsia" w:ascii="宋体" w:hAnsi="宋体" w:eastAsia="宋体"/>
          <w:color w:val="auto"/>
          <w:highlight w:val="none"/>
        </w:rPr>
        <w:t>行车制动系统的制动力应在同一车轴（桥）的车轮之间相对于车辆纵向中心面对称分配。对可能导致制动力分配不平衡的补偿和功能（如防抱死），应予以声明。</w:t>
      </w:r>
      <w:bookmarkEnd w:id="82"/>
    </w:p>
    <w:p>
      <w:pPr>
        <w:pStyle w:val="62"/>
        <w:ind w:firstLine="420"/>
        <w:rPr>
          <w:color w:val="auto"/>
          <w:highlight w:val="none"/>
        </w:rPr>
      </w:pPr>
      <w:r>
        <w:rPr>
          <w:rFonts w:hint="eastAsia"/>
          <w:color w:val="auto"/>
          <w:kern w:val="2"/>
          <w:highlight w:val="none"/>
        </w:rPr>
        <w:t>在所有载荷状态下，当电控传输装置对制动系统故障或性能劣化的补偿</w:t>
      </w:r>
      <w:r>
        <w:rPr>
          <w:rFonts w:hint="eastAsia"/>
          <w:color w:val="auto"/>
          <w:highlight w:val="none"/>
        </w:rPr>
        <w:t>超过下面的界限时，应以5.2.21a）规定的黄色报警信号指示给</w:t>
      </w:r>
      <w:r>
        <w:rPr>
          <w:rFonts w:hint="eastAsia"/>
          <w:color w:val="auto"/>
          <w:highlight w:val="none"/>
          <w:lang w:eastAsia="zh-CN"/>
        </w:rPr>
        <w:t>驾驶人。</w:t>
      </w:r>
    </w:p>
    <w:p>
      <w:pPr>
        <w:pStyle w:val="180"/>
        <w:numPr>
          <w:ilvl w:val="0"/>
          <w:numId w:val="34"/>
        </w:numPr>
        <w:rPr>
          <w:color w:val="auto"/>
          <w:highlight w:val="none"/>
        </w:rPr>
      </w:pPr>
      <w:r>
        <w:rPr>
          <w:rFonts w:hint="eastAsia"/>
          <w:color w:val="auto"/>
          <w:highlight w:val="none"/>
        </w:rPr>
        <w:t>任意一根车轴的左右两侧制动压力差：</w:t>
      </w:r>
    </w:p>
    <w:p>
      <w:pPr>
        <w:pStyle w:val="115"/>
        <w:numPr>
          <w:ilvl w:val="1"/>
          <w:numId w:val="32"/>
        </w:numPr>
        <w:rPr>
          <w:color w:val="auto"/>
          <w:highlight w:val="none"/>
        </w:rPr>
      </w:pPr>
      <w:r>
        <w:rPr>
          <w:rFonts w:hint="eastAsia"/>
          <w:color w:val="auto"/>
          <w:highlight w:val="none"/>
        </w:rPr>
        <w:t>车辆减速度</w:t>
      </w:r>
      <w:r>
        <w:rPr>
          <w:rFonts w:hint="eastAsia"/>
          <w:color w:val="auto"/>
          <w:highlight w:val="none"/>
          <w:lang w:val="en-US" w:eastAsia="zh-CN"/>
        </w:rPr>
        <w:t>大于等于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时，取实际减速度下两侧较高压力值的25%；</w:t>
      </w:r>
    </w:p>
    <w:p>
      <w:pPr>
        <w:pStyle w:val="115"/>
        <w:numPr>
          <w:ilvl w:val="1"/>
          <w:numId w:val="32"/>
        </w:numPr>
        <w:rPr>
          <w:color w:val="auto"/>
          <w:highlight w:val="none"/>
        </w:rPr>
      </w:pPr>
      <w:r>
        <w:rPr>
          <w:rFonts w:hint="eastAsia"/>
          <w:color w:val="auto"/>
          <w:highlight w:val="none"/>
        </w:rPr>
        <w:t>车辆减速度</w:t>
      </w:r>
      <w:r>
        <w:rPr>
          <w:rFonts w:hint="eastAsia"/>
          <w:color w:val="auto"/>
          <w:highlight w:val="none"/>
          <w:lang w:val="en-US" w:eastAsia="zh-CN"/>
        </w:rPr>
        <w:t>小于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时两侧较高压力值的25%。</w:t>
      </w:r>
    </w:p>
    <w:p>
      <w:pPr>
        <w:pStyle w:val="180"/>
        <w:numPr>
          <w:ilvl w:val="0"/>
          <w:numId w:val="32"/>
        </w:numPr>
        <w:rPr>
          <w:color w:val="auto"/>
          <w:highlight w:val="none"/>
        </w:rPr>
      </w:pPr>
      <w:r>
        <w:rPr>
          <w:rFonts w:hint="eastAsia"/>
          <w:color w:val="auto"/>
          <w:highlight w:val="none"/>
        </w:rPr>
        <w:t>单根车轴的补偿值：</w:t>
      </w:r>
    </w:p>
    <w:p>
      <w:pPr>
        <w:pStyle w:val="115"/>
        <w:numPr>
          <w:ilvl w:val="1"/>
          <w:numId w:val="32"/>
        </w:numPr>
        <w:rPr>
          <w:color w:val="auto"/>
          <w:highlight w:val="none"/>
        </w:rPr>
      </w:pPr>
      <w:r>
        <w:rPr>
          <w:rFonts w:hint="eastAsia"/>
          <w:color w:val="auto"/>
          <w:highlight w:val="none"/>
        </w:rPr>
        <w:t>车辆减速度</w:t>
      </w:r>
      <w:r>
        <w:rPr>
          <w:rFonts w:hint="eastAsia"/>
          <w:color w:val="auto"/>
          <w:highlight w:val="none"/>
          <w:lang w:val="en-US" w:eastAsia="zh-CN"/>
        </w:rPr>
        <w:t>大于等于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时，取实际减速度下标称值的50%；</w:t>
      </w:r>
    </w:p>
    <w:p>
      <w:pPr>
        <w:pStyle w:val="115"/>
        <w:numPr>
          <w:ilvl w:val="1"/>
          <w:numId w:val="32"/>
        </w:numPr>
        <w:rPr>
          <w:color w:val="auto"/>
          <w:highlight w:val="none"/>
        </w:rPr>
      </w:pPr>
      <w:r>
        <w:rPr>
          <w:rFonts w:hint="eastAsia"/>
          <w:color w:val="auto"/>
          <w:highlight w:val="none"/>
        </w:rPr>
        <w:t>车辆减速度</w:t>
      </w:r>
      <w:r>
        <w:rPr>
          <w:rFonts w:hint="eastAsia"/>
          <w:color w:val="auto"/>
          <w:highlight w:val="none"/>
          <w:lang w:val="en-US" w:eastAsia="zh-CN"/>
        </w:rPr>
        <w:t>小于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时标称值的50%。</w:t>
      </w:r>
    </w:p>
    <w:p>
      <w:pPr>
        <w:pStyle w:val="62"/>
        <w:ind w:firstLine="420"/>
        <w:rPr>
          <w:color w:val="auto"/>
          <w:highlight w:val="none"/>
        </w:rPr>
      </w:pPr>
      <w:r>
        <w:rPr>
          <w:rFonts w:hint="eastAsia"/>
          <w:color w:val="auto"/>
          <w:kern w:val="2"/>
          <w:highlight w:val="none"/>
        </w:rPr>
        <w:t>只有在车速大于</w:t>
      </w:r>
      <w:r>
        <w:rPr>
          <w:rFonts w:hint="eastAsia"/>
          <w:color w:val="auto"/>
          <w:highlight w:val="none"/>
        </w:rPr>
        <w:t>10 km/h时开始制动才允许进行上述补偿。</w:t>
      </w:r>
    </w:p>
    <w:p>
      <w:pPr>
        <w:pStyle w:val="71"/>
        <w:spacing w:before="0" w:beforeLines="0" w:after="0" w:afterLines="0"/>
        <w:rPr>
          <w:rFonts w:ascii="宋体" w:hAnsi="宋体" w:eastAsia="宋体"/>
          <w:color w:val="auto"/>
          <w:highlight w:val="none"/>
        </w:rPr>
      </w:pPr>
      <w:bookmarkStart w:id="83" w:name="_Toc118580237"/>
      <w:r>
        <w:rPr>
          <w:rFonts w:hint="eastAsia" w:ascii="宋体" w:hAnsi="宋体" w:eastAsia="宋体"/>
          <w:color w:val="auto"/>
          <w:highlight w:val="none"/>
        </w:rPr>
        <w:t>电控传输装置故障时不应产生与</w:t>
      </w:r>
      <w:r>
        <w:rPr>
          <w:rFonts w:hint="eastAsia" w:ascii="宋体" w:hAnsi="宋体" w:eastAsia="宋体"/>
          <w:color w:val="auto"/>
          <w:highlight w:val="none"/>
          <w:lang w:eastAsia="zh-CN"/>
        </w:rPr>
        <w:t>驾驶人</w:t>
      </w:r>
      <w:r>
        <w:rPr>
          <w:rFonts w:hint="eastAsia" w:ascii="宋体" w:hAnsi="宋体" w:eastAsia="宋体"/>
          <w:color w:val="auto"/>
          <w:highlight w:val="none"/>
        </w:rPr>
        <w:t>意图相反的制动。</w:t>
      </w:r>
      <w:bookmarkEnd w:id="83"/>
    </w:p>
    <w:p>
      <w:pPr>
        <w:pStyle w:val="71"/>
        <w:spacing w:before="0" w:beforeLines="0" w:after="0" w:afterLines="0"/>
        <w:rPr>
          <w:rFonts w:ascii="宋体" w:hAnsi="宋体" w:eastAsia="宋体"/>
          <w:color w:val="auto"/>
          <w:highlight w:val="none"/>
        </w:rPr>
      </w:pPr>
      <w:bookmarkStart w:id="84" w:name="_Toc118580238"/>
      <w:r>
        <w:rPr>
          <w:rFonts w:hint="eastAsia" w:ascii="宋体" w:hAnsi="宋体" w:eastAsia="宋体"/>
          <w:color w:val="auto"/>
          <w:highlight w:val="none"/>
        </w:rPr>
        <w:t>行车制动系统、应急制动系统和驻车制动系统的制动力应作用在通过具有足够强度的连接件与车轮相连接的制动表面上。</w:t>
      </w:r>
      <w:bookmarkEnd w:id="84"/>
    </w:p>
    <w:p>
      <w:pPr>
        <w:pStyle w:val="62"/>
        <w:ind w:firstLine="420"/>
        <w:rPr>
          <w:rFonts w:hAnsi="宋体"/>
          <w:color w:val="auto"/>
          <w:highlight w:val="none"/>
        </w:rPr>
      </w:pPr>
      <w:r>
        <w:rPr>
          <w:rFonts w:hint="eastAsia" w:hAnsi="宋体"/>
          <w:color w:val="auto"/>
          <w:highlight w:val="none"/>
        </w:rPr>
        <w:t>当某根/多根车轴的制动力由摩擦式制动系统和B型电力再生式制动系统共同提供时，如摩擦式制动系统能持久保持并提供5.2.7所述的补偿，则允许断开电力再生式制动系统。</w:t>
      </w:r>
    </w:p>
    <w:p>
      <w:pPr>
        <w:pStyle w:val="62"/>
        <w:ind w:firstLine="420"/>
        <w:rPr>
          <w:rFonts w:hAnsi="宋体"/>
          <w:color w:val="auto"/>
          <w:highlight w:val="none"/>
        </w:rPr>
      </w:pPr>
      <w:r>
        <w:rPr>
          <w:rFonts w:hint="eastAsia" w:hAnsi="宋体"/>
          <w:color w:val="auto"/>
          <w:highlight w:val="none"/>
        </w:rPr>
        <w:t>断开的短时间内，不完全补偿也是可接受的。但应在1</w:t>
      </w:r>
      <w:r>
        <w:rPr>
          <w:rFonts w:hint="eastAsia"/>
          <w:color w:val="auto"/>
          <w:highlight w:val="none"/>
        </w:rPr>
        <w:t> </w:t>
      </w:r>
      <w:r>
        <w:rPr>
          <w:rFonts w:hint="eastAsia" w:hAnsi="宋体"/>
          <w:color w:val="auto"/>
          <w:highlight w:val="none"/>
        </w:rPr>
        <w:t>s内应至少达到完全补偿值的75%。</w:t>
      </w:r>
    </w:p>
    <w:p>
      <w:pPr>
        <w:pStyle w:val="62"/>
        <w:ind w:firstLine="420"/>
        <w:rPr>
          <w:rFonts w:hAnsi="宋体"/>
          <w:color w:val="auto"/>
          <w:highlight w:val="none"/>
        </w:rPr>
      </w:pPr>
      <w:r>
        <w:rPr>
          <w:rFonts w:hint="eastAsia" w:hAnsi="宋体"/>
          <w:color w:val="auto"/>
          <w:highlight w:val="none"/>
        </w:rPr>
        <w:t>但在所有情况下，永久连接的摩擦式制动源都应保证行车制动系统和应急制动系统以规定的效能继续工作。</w:t>
      </w:r>
    </w:p>
    <w:p>
      <w:pPr>
        <w:pStyle w:val="62"/>
        <w:ind w:firstLine="420"/>
        <w:rPr>
          <w:rFonts w:hint="eastAsia" w:hAnsi="宋体"/>
          <w:color w:val="auto"/>
          <w:highlight w:val="none"/>
        </w:rPr>
      </w:pPr>
      <w:r>
        <w:rPr>
          <w:rFonts w:hint="eastAsia" w:hAnsi="宋体"/>
          <w:color w:val="auto"/>
          <w:highlight w:val="none"/>
        </w:rPr>
        <w:t>驻车制动系统制动表面的脱开只能由</w:t>
      </w:r>
      <w:r>
        <w:rPr>
          <w:rFonts w:hint="eastAsia" w:hAnsi="宋体"/>
          <w:color w:val="auto"/>
          <w:highlight w:val="none"/>
          <w:lang w:eastAsia="zh-CN"/>
        </w:rPr>
        <w:t>驾驶人</w:t>
      </w:r>
      <w:r>
        <w:rPr>
          <w:rFonts w:hint="eastAsia" w:hAnsi="宋体"/>
          <w:color w:val="auto"/>
          <w:highlight w:val="none"/>
        </w:rPr>
        <w:t>在其驾驶座椅通过一个不因泄漏而起作用的系统进行控制。</w:t>
      </w:r>
      <w:r>
        <w:rPr>
          <w:rFonts w:hint="eastAsia"/>
          <w:color w:val="auto"/>
          <w:highlight w:val="none"/>
        </w:rPr>
        <w:t>此要求不适用于远程控制泊车（RCP）功能。</w:t>
      </w:r>
    </w:p>
    <w:p>
      <w:pPr>
        <w:pStyle w:val="71"/>
        <w:spacing w:before="0" w:beforeLines="0" w:after="0" w:afterLines="0"/>
        <w:rPr>
          <w:rFonts w:ascii="宋体" w:hAnsi="宋体" w:eastAsia="宋体"/>
          <w:color w:val="auto"/>
          <w:szCs w:val="21"/>
          <w:highlight w:val="none"/>
        </w:rPr>
      </w:pPr>
      <w:bookmarkStart w:id="85" w:name="_Toc118580239"/>
      <w:r>
        <w:rPr>
          <w:rFonts w:hint="eastAsia" w:ascii="宋体" w:hAnsi="宋体" w:eastAsia="宋体"/>
          <w:color w:val="auto"/>
          <w:highlight w:val="none"/>
        </w:rPr>
        <w:t>制动器磨损应易于通过手动或自动调整装置来补偿。并且传输装置及制动器的部件和控制装置应具有一定的储备行程，可在必要时以合适的方式进行补偿，确保当制动器发热或制动衬片磨损到一定程度时仍能有效地制动，而无须立即进行间隙调整。行车制动器磨损后的调整和检查应满足</w:t>
      </w:r>
      <w:r>
        <w:rPr>
          <w:rFonts w:hint="eastAsia" w:ascii="宋体" w:hAnsi="宋体" w:eastAsia="宋体"/>
          <w:color w:val="auto"/>
          <w:highlight w:val="none"/>
          <w:lang w:val="en-US" w:eastAsia="zh-CN"/>
        </w:rPr>
        <w:t>如下</w:t>
      </w:r>
      <w:r>
        <w:rPr>
          <w:rFonts w:hint="eastAsia" w:ascii="宋体" w:hAnsi="宋体" w:eastAsia="宋体"/>
          <w:color w:val="auto"/>
          <w:highlight w:val="none"/>
        </w:rPr>
        <w:t>要求</w:t>
      </w:r>
      <w:r>
        <w:rPr>
          <w:rFonts w:hint="eastAsia" w:ascii="宋体" w:hAnsi="宋体" w:eastAsia="宋体"/>
          <w:color w:val="auto"/>
          <w:highlight w:val="none"/>
          <w:lang w:eastAsia="zh-CN"/>
        </w:rPr>
        <w:t>。</w:t>
      </w:r>
      <w:bookmarkEnd w:id="85"/>
    </w:p>
    <w:p>
      <w:pPr>
        <w:pStyle w:val="138"/>
        <w:numPr>
          <w:ilvl w:val="-1"/>
          <w:numId w:val="0"/>
          <w:ins w:id="0" w:author="付越" w:date=""/>
        </w:numPr>
        <w:ind w:left="840" w:leftChars="200" w:hanging="420" w:hangingChars="200"/>
        <w:rPr>
          <w:rFonts w:hint="eastAsia"/>
          <w:color w:val="auto"/>
          <w:kern w:val="2"/>
          <w:highlight w:val="none"/>
        </w:rPr>
      </w:pPr>
      <w:r>
        <w:rPr>
          <w:rFonts w:hint="eastAsia" w:cs="Times New Roman"/>
          <w:color w:val="auto"/>
          <w:kern w:val="2"/>
          <w:highlight w:val="none"/>
          <w:lang w:val="en-US" w:eastAsia="zh-CN"/>
        </w:rPr>
        <w:t>——</w:t>
      </w:r>
      <w:r>
        <w:rPr>
          <w:rFonts w:hint="eastAsia"/>
          <w:color w:val="auto"/>
          <w:kern w:val="2"/>
          <w:highlight w:val="none"/>
        </w:rPr>
        <w:t>行车制动器的磨损应能自动调整。磨损自动调整装置应确保制动器加热冷却后仍能有效地制动，特别是保证车辆能在6.1.5规定的试验（Ⅰ型试验）后正常行驶。</w:t>
      </w:r>
    </w:p>
    <w:p>
      <w:pPr>
        <w:pStyle w:val="138"/>
        <w:numPr>
          <w:ilvl w:val="-1"/>
          <w:numId w:val="0"/>
          <w:ins w:id="1" w:author="付越" w:date=""/>
        </w:numPr>
        <w:ind w:left="840" w:leftChars="200" w:hanging="420" w:hangingChars="200"/>
        <w:rPr>
          <w:rFonts w:hint="eastAsia"/>
          <w:color w:val="auto"/>
          <w:kern w:val="2"/>
          <w:highlight w:val="none"/>
        </w:rPr>
      </w:pPr>
      <w:r>
        <w:rPr>
          <w:rFonts w:hint="eastAsia" w:cs="Times New Roman"/>
          <w:color w:val="auto"/>
          <w:kern w:val="2"/>
          <w:highlight w:val="none"/>
          <w:lang w:val="en-US" w:eastAsia="zh-CN"/>
        </w:rPr>
        <w:t>——</w:t>
      </w:r>
      <w:r>
        <w:rPr>
          <w:rFonts w:hint="eastAsia"/>
          <w:color w:val="auto"/>
          <w:kern w:val="2"/>
          <w:highlight w:val="none"/>
        </w:rPr>
        <w:t>行车制动器摩擦部件磨损情况的检查如下</w:t>
      </w:r>
      <w:r>
        <w:rPr>
          <w:rFonts w:hint="eastAsia"/>
          <w:color w:val="auto"/>
          <w:kern w:val="2"/>
          <w:highlight w:val="none"/>
          <w:lang w:eastAsia="zh-CN"/>
        </w:rPr>
        <w:t>。</w:t>
      </w:r>
    </w:p>
    <w:p>
      <w:pPr>
        <w:pStyle w:val="193"/>
        <w:ind w:left="1260" w:leftChars="400" w:hanging="420" w:hangingChars="200"/>
        <w:rPr>
          <w:rFonts w:hint="eastAsia"/>
          <w:color w:val="auto"/>
          <w:highlight w:val="none"/>
        </w:rPr>
      </w:pPr>
      <w:r>
        <w:rPr>
          <w:rFonts w:hint="eastAsia"/>
          <w:color w:val="auto"/>
          <w:kern w:val="0"/>
          <w:highlight w:val="none"/>
        </w:rPr>
        <w:t>行车制动器制动衬片的磨损应便于从车辆外部或车辆下部利用</w:t>
      </w:r>
      <w:r>
        <w:rPr>
          <w:rFonts w:hint="eastAsia"/>
          <w:color w:val="auto"/>
          <w:highlight w:val="none"/>
        </w:rPr>
        <w:t>适当的检查孔或其他方法进行检查，可利用</w:t>
      </w:r>
      <w:r>
        <w:rPr>
          <w:rFonts w:hint="eastAsia"/>
          <w:color w:val="auto"/>
          <w:kern w:val="0"/>
          <w:highlight w:val="none"/>
        </w:rPr>
        <w:t>车辆正常配备的工具或设备</w:t>
      </w:r>
      <w:r>
        <w:rPr>
          <w:rFonts w:hint="eastAsia"/>
          <w:color w:val="auto"/>
          <w:highlight w:val="none"/>
        </w:rPr>
        <w:t>。检查时，不允许拆除车轮。也可在制动衬片需要更换时采用声学或光学报警装置向在驾驶座椅上的</w:t>
      </w:r>
      <w:r>
        <w:rPr>
          <w:rFonts w:hint="eastAsia"/>
          <w:color w:val="auto"/>
          <w:highlight w:val="none"/>
          <w:lang w:eastAsia="zh-CN"/>
        </w:rPr>
        <w:t>驾驶人</w:t>
      </w:r>
      <w:r>
        <w:rPr>
          <w:rFonts w:hint="eastAsia"/>
          <w:color w:val="auto"/>
          <w:highlight w:val="none"/>
        </w:rPr>
        <w:t>报警，可将5.2.21</w:t>
      </w:r>
      <w:r>
        <w:rPr>
          <w:rFonts w:hint="eastAsia"/>
          <w:color w:val="auto"/>
          <w:highlight w:val="none"/>
          <w:lang w:val="en-US" w:eastAsia="zh-CN"/>
        </w:rPr>
        <w:t xml:space="preserve"> </w:t>
      </w:r>
      <w:r>
        <w:rPr>
          <w:rFonts w:hint="eastAsia"/>
          <w:color w:val="auto"/>
          <w:highlight w:val="none"/>
        </w:rPr>
        <w:t>a）规定的黄色信号用作报警信号。</w:t>
      </w:r>
    </w:p>
    <w:p>
      <w:pPr>
        <w:pStyle w:val="193"/>
        <w:ind w:left="1260" w:leftChars="400" w:hanging="420" w:hangingChars="200"/>
        <w:rPr>
          <w:color w:val="auto"/>
          <w:highlight w:val="none"/>
        </w:rPr>
      </w:pPr>
      <w:r>
        <w:rPr>
          <w:rFonts w:hint="eastAsia"/>
          <w:color w:val="auto"/>
          <w:highlight w:val="none"/>
        </w:rPr>
        <w:t>对制动盘或制动鼓摩擦表面磨损状况的评估，可通过直接测量实际部件或检查制动盘或制动鼓的磨损指示器，必要时允许拆除相关部件。车辆制造商应通过用户手册或电子数据记录等方式免费提供制动鼓和制动盘表面磨损状况的评估方法，包括必需进行的拆除以及拆除工具和程序</w:t>
      </w:r>
      <w:r>
        <w:rPr>
          <w:rFonts w:hint="eastAsia"/>
          <w:color w:val="auto"/>
          <w:highlight w:val="none"/>
          <w:lang w:eastAsia="zh-CN"/>
        </w:rPr>
        <w:t>；</w:t>
      </w:r>
      <w:r>
        <w:rPr>
          <w:rFonts w:hint="eastAsia"/>
          <w:color w:val="auto"/>
          <w:highlight w:val="none"/>
          <w:lang w:val="en-US" w:eastAsia="zh-CN"/>
        </w:rPr>
        <w:t>以及</w:t>
      </w:r>
      <w:r>
        <w:rPr>
          <w:rFonts w:hint="eastAsia"/>
          <w:color w:val="auto"/>
          <w:highlight w:val="none"/>
        </w:rPr>
        <w:t>允许的最大磨损限度信息。</w:t>
      </w:r>
    </w:p>
    <w:p>
      <w:pPr>
        <w:pStyle w:val="71"/>
        <w:spacing w:before="0" w:beforeLines="0" w:after="0" w:afterLines="0"/>
        <w:rPr>
          <w:rFonts w:ascii="宋体" w:hAnsi="宋体" w:eastAsia="宋体"/>
          <w:color w:val="auto"/>
          <w:highlight w:val="none"/>
        </w:rPr>
      </w:pPr>
      <w:bookmarkStart w:id="86" w:name="_Toc118580240"/>
      <w:r>
        <w:rPr>
          <w:rFonts w:hint="eastAsia" w:ascii="宋体" w:hAnsi="宋体" w:eastAsia="宋体"/>
          <w:color w:val="auto"/>
          <w:highlight w:val="none"/>
        </w:rPr>
        <w:t>对液压传输制动系统，储液罐的加注口应易于接近。而且，储液罐的设计和构造应保证在不必打开容器的条件下，即可很容易的检查液面。储液罐的最低容量应相当于靠储液罐工作的所有轮缸或制动钳活塞从全新制动衬片/衬块、完全收缩状态移动到制动衬片/衬块完全磨损、完全作用状态所产生的液体体积。如不能满足最低容量要求，则应在储液罐液面下降到可能导致制动系统失效时，通过5.2.21a）规定的红色报警信号</w:t>
      </w:r>
      <w:r>
        <w:rPr>
          <w:rFonts w:hint="eastAsia" w:ascii="宋体" w:hAnsi="宋体" w:eastAsia="宋体"/>
          <w:color w:val="auto"/>
          <w:highlight w:val="none"/>
          <w:lang w:val="en-US" w:eastAsia="zh-CN"/>
        </w:rPr>
        <w:t>向</w:t>
      </w:r>
      <w:r>
        <w:rPr>
          <w:rFonts w:hint="eastAsia" w:ascii="宋体" w:hAnsi="宋体" w:eastAsia="宋体"/>
          <w:color w:val="auto"/>
          <w:highlight w:val="none"/>
          <w:lang w:eastAsia="zh-CN"/>
        </w:rPr>
        <w:t>驾驶人</w:t>
      </w:r>
      <w:r>
        <w:rPr>
          <w:rFonts w:hint="eastAsia" w:ascii="宋体" w:hAnsi="宋体" w:eastAsia="宋体"/>
          <w:color w:val="auto"/>
          <w:highlight w:val="none"/>
          <w:lang w:val="en-US" w:eastAsia="zh-CN"/>
        </w:rPr>
        <w:t>报警</w:t>
      </w:r>
      <w:r>
        <w:rPr>
          <w:rFonts w:hint="eastAsia" w:ascii="宋体" w:hAnsi="宋体" w:eastAsia="宋体"/>
          <w:color w:val="auto"/>
          <w:highlight w:val="none"/>
        </w:rPr>
        <w:t>。</w:t>
      </w:r>
      <w:bookmarkEnd w:id="86"/>
    </w:p>
    <w:p>
      <w:pPr>
        <w:pStyle w:val="71"/>
        <w:spacing w:before="0" w:beforeLines="0" w:after="0" w:afterLines="0"/>
        <w:rPr>
          <w:rFonts w:ascii="宋体" w:hAnsi="宋体" w:eastAsia="宋体"/>
          <w:color w:val="auto"/>
          <w:highlight w:val="none"/>
        </w:rPr>
      </w:pPr>
      <w:bookmarkStart w:id="87" w:name="_Toc118580241"/>
      <w:r>
        <w:rPr>
          <w:rFonts w:hint="eastAsia" w:ascii="宋体" w:hAnsi="宋体" w:eastAsia="宋体"/>
          <w:color w:val="auto"/>
          <w:highlight w:val="none"/>
        </w:rPr>
        <w:t>液压传输制动系统应按GB 12981和</w:t>
      </w:r>
      <w:r>
        <w:rPr>
          <w:rFonts w:hint="eastAsia" w:ascii="宋体" w:hAnsi="Times New Roman" w:eastAsia="宋体"/>
          <w:color w:val="auto"/>
          <w:highlight w:val="none"/>
        </w:rPr>
        <w:t>GB/T 5345</w:t>
      </w:r>
      <w:r>
        <w:rPr>
          <w:rFonts w:hint="eastAsia" w:ascii="宋体" w:hAnsi="宋体" w:eastAsia="宋体"/>
          <w:color w:val="auto"/>
          <w:highlight w:val="none"/>
        </w:rPr>
        <w:t>标示相应的制动液级别标志和图形标志，并以不易擦除的方式固定在储液罐加注口附近100</w:t>
      </w:r>
      <w:r>
        <w:rPr>
          <w:rFonts w:hint="eastAsia"/>
          <w:color w:val="auto"/>
          <w:highlight w:val="none"/>
          <w:lang w:val="en-US" w:eastAsia="zh-CN"/>
        </w:rPr>
        <w:t> </w:t>
      </w:r>
      <w:r>
        <w:rPr>
          <w:rFonts w:hint="eastAsia" w:ascii="宋体" w:hAnsi="宋体" w:eastAsia="宋体"/>
          <w:color w:val="auto"/>
          <w:highlight w:val="none"/>
        </w:rPr>
        <w:t>mm范围内、便于观察的位置上。制造商还可提供其他信息。</w:t>
      </w:r>
      <w:bookmarkEnd w:id="87"/>
    </w:p>
    <w:p>
      <w:pPr>
        <w:pStyle w:val="71"/>
        <w:spacing w:before="0" w:beforeLines="0" w:after="0" w:afterLines="0"/>
        <w:rPr>
          <w:rFonts w:ascii="宋体" w:hAnsi="宋体" w:eastAsia="宋体"/>
          <w:color w:val="auto"/>
          <w:highlight w:val="none"/>
        </w:rPr>
      </w:pPr>
      <w:bookmarkStart w:id="88" w:name="_Toc118580242"/>
      <w:r>
        <w:rPr>
          <w:rFonts w:hint="eastAsia" w:ascii="宋体" w:hAnsi="宋体" w:eastAsia="宋体"/>
          <w:color w:val="auto"/>
          <w:highlight w:val="none"/>
        </w:rPr>
        <w:t>报警装置应满足下面的要求：</w:t>
      </w:r>
      <w:bookmarkEnd w:id="88"/>
    </w:p>
    <w:p>
      <w:pPr>
        <w:pStyle w:val="180"/>
        <w:numPr>
          <w:ilvl w:val="0"/>
          <w:numId w:val="35"/>
        </w:numPr>
        <w:rPr>
          <w:color w:val="auto"/>
          <w:highlight w:val="none"/>
        </w:rPr>
      </w:pPr>
      <w:r>
        <w:rPr>
          <w:rFonts w:hint="eastAsia"/>
          <w:color w:val="auto"/>
          <w:highlight w:val="none"/>
        </w:rPr>
        <w:t>对依靠储能器进行行车制动的车辆，如不利用存储的能量就达不到规定的应急制动性能，应安装报警装置。当制动系统任一部分存储的能量下降到不论车辆载荷状态如何、在不给储能器补充能量的情况下，行车制动系统经过4次全行程促动后仍能进行第5次制动且达到规定的应急制动性能（制动系统的传输装置无故障且各制动器调节到最小间隙）所需的能量水平时，报警装置发出光学或声学信号。报警装置应与回路直接、永久相连。当动力装置在正常工作条件下运转且制动系统无故障时，除动力装置起动后给储能装置补充能量期间外，报警装置不应发出信号。应采用5.2.21a）规定的红色报警信号作为光学报警信号</w:t>
      </w:r>
      <w:r>
        <w:rPr>
          <w:rFonts w:hint="eastAsia"/>
          <w:color w:val="auto"/>
          <w:highlight w:val="none"/>
          <w:lang w:eastAsia="zh-CN"/>
        </w:rPr>
        <w:t>；</w:t>
      </w:r>
    </w:p>
    <w:p>
      <w:pPr>
        <w:pStyle w:val="180"/>
        <w:numPr>
          <w:ilvl w:val="0"/>
          <w:numId w:val="32"/>
        </w:numPr>
        <w:rPr>
          <w:color w:val="auto"/>
          <w:highlight w:val="none"/>
        </w:rPr>
      </w:pPr>
      <w:r>
        <w:rPr>
          <w:rFonts w:hint="eastAsia"/>
          <w:color w:val="auto"/>
          <w:highlight w:val="none"/>
        </w:rPr>
        <w:t>对只有满足6.4.1.3的要求方可认为符合5.2.4规定的车辆，报警装置除具有光学信号外，还应具有一个声学信号。如报警装置满足上述要求，且声学信号不在光学信号之前起动，则不要求这两个信号同时工作。应采用5.2.21a）规定的红色</w:t>
      </w:r>
      <w:r>
        <w:rPr>
          <w:rFonts w:hint="eastAsia"/>
          <w:color w:val="auto"/>
          <w:highlight w:val="none"/>
          <w:lang w:val="en-US" w:eastAsia="zh-CN"/>
        </w:rPr>
        <w:t>报警</w:t>
      </w:r>
      <w:r>
        <w:rPr>
          <w:rFonts w:hint="eastAsia"/>
          <w:color w:val="auto"/>
          <w:highlight w:val="none"/>
        </w:rPr>
        <w:t>信号作为光学报警信号</w:t>
      </w:r>
      <w:r>
        <w:rPr>
          <w:rFonts w:hint="eastAsia"/>
          <w:color w:val="auto"/>
          <w:highlight w:val="none"/>
          <w:lang w:eastAsia="zh-CN"/>
        </w:rPr>
        <w:t>；</w:t>
      </w:r>
    </w:p>
    <w:p>
      <w:pPr>
        <w:pStyle w:val="180"/>
        <w:numPr>
          <w:ilvl w:val="0"/>
          <w:numId w:val="32"/>
        </w:numPr>
        <w:rPr>
          <w:rFonts w:hAnsi="宋体"/>
          <w:color w:val="auto"/>
          <w:highlight w:val="none"/>
        </w:rPr>
      </w:pPr>
      <w:r>
        <w:rPr>
          <w:rFonts w:hint="eastAsia" w:hAnsi="宋体"/>
          <w:color w:val="auto"/>
          <w:highlight w:val="none"/>
        </w:rPr>
        <w:t>在驻车制动作用期间和/或自动变速器换挡杆处于“驻车”位置时，声学信号装置可不起作用。</w:t>
      </w:r>
    </w:p>
    <w:p>
      <w:pPr>
        <w:pStyle w:val="71"/>
        <w:spacing w:before="0" w:beforeLines="0" w:after="0" w:afterLines="0"/>
        <w:rPr>
          <w:rFonts w:ascii="宋体" w:hAnsi="宋体" w:eastAsia="宋体"/>
          <w:color w:val="auto"/>
          <w:szCs w:val="21"/>
          <w:highlight w:val="none"/>
        </w:rPr>
      </w:pPr>
      <w:bookmarkStart w:id="89" w:name="_Toc118580243"/>
      <w:r>
        <w:rPr>
          <w:rFonts w:hint="eastAsia" w:ascii="宋体" w:hAnsi="宋体" w:eastAsia="宋体"/>
          <w:color w:val="auto"/>
          <w:highlight w:val="none"/>
        </w:rPr>
        <w:t>在不违背5.1.2.3要求的前提下，如驻车制动系统的工作需要使用辅助能源，则储能装置应保证即使动力装置停止工作或能源的驱动方式发生失效，制动性能仍足以使车辆在规定的条件下停住。此外，如驻车制动系统由</w:t>
      </w:r>
      <w:r>
        <w:rPr>
          <w:rFonts w:hint="eastAsia" w:ascii="宋体" w:hAnsi="宋体" w:eastAsia="宋体"/>
          <w:color w:val="auto"/>
          <w:highlight w:val="none"/>
          <w:lang w:eastAsia="zh-CN"/>
        </w:rPr>
        <w:t>驾驶人</w:t>
      </w:r>
      <w:r>
        <w:rPr>
          <w:rFonts w:hint="eastAsia" w:ascii="宋体" w:hAnsi="宋体" w:eastAsia="宋体"/>
          <w:color w:val="auto"/>
          <w:highlight w:val="none"/>
        </w:rPr>
        <w:t>的体力控制且由伺服机构助力，则应确保即使伺服机构失效也能进行驻车制动；如有必要，可采用与伺服机构相独立的储能装置，该装置可以是行车制动系统的储能器。</w:t>
      </w:r>
      <w:bookmarkEnd w:id="89"/>
    </w:p>
    <w:p>
      <w:pPr>
        <w:pStyle w:val="71"/>
        <w:spacing w:before="0" w:beforeLines="0" w:after="0" w:afterLines="0"/>
        <w:rPr>
          <w:rFonts w:ascii="宋体" w:hAnsi="宋体" w:eastAsia="宋体"/>
          <w:color w:val="auto"/>
          <w:highlight w:val="none"/>
        </w:rPr>
      </w:pPr>
      <w:bookmarkStart w:id="90" w:name="_Toc118580244"/>
      <w:r>
        <w:rPr>
          <w:rFonts w:hint="eastAsia" w:ascii="宋体" w:hAnsi="宋体" w:eastAsia="宋体"/>
          <w:color w:val="auto"/>
          <w:highlight w:val="none"/>
        </w:rPr>
        <w:t>对气压或液压辅助设备的能量供应应确保其工作时，车辆制动可达到规定的减速度，即使在能源装置损坏的情况下，辅助设备的工作也不会导致向制动系统供能的储能器的能量水平下降到5.2.14规定的能量水平以下。</w:t>
      </w:r>
      <w:bookmarkEnd w:id="90"/>
    </w:p>
    <w:p>
      <w:pPr>
        <w:pStyle w:val="71"/>
        <w:spacing w:before="0" w:beforeLines="0" w:after="0" w:afterLines="0"/>
        <w:rPr>
          <w:rFonts w:ascii="宋体" w:hAnsi="宋体" w:eastAsia="宋体"/>
          <w:color w:val="auto"/>
          <w:highlight w:val="none"/>
        </w:rPr>
      </w:pPr>
      <w:bookmarkStart w:id="91" w:name="_Toc118580245"/>
      <w:r>
        <w:rPr>
          <w:rFonts w:hint="eastAsia" w:ascii="宋体" w:hAnsi="宋体" w:eastAsia="宋体"/>
          <w:color w:val="auto"/>
          <w:highlight w:val="none"/>
        </w:rPr>
        <w:t>对牵引装备电力制动系统的挂车的乘用车，应满足下列要求：</w:t>
      </w:r>
      <w:bookmarkEnd w:id="91"/>
    </w:p>
    <w:p>
      <w:pPr>
        <w:pStyle w:val="180"/>
        <w:numPr>
          <w:ilvl w:val="0"/>
          <w:numId w:val="36"/>
        </w:numPr>
        <w:rPr>
          <w:color w:val="auto"/>
          <w:highlight w:val="none"/>
        </w:rPr>
      </w:pPr>
      <w:r>
        <w:rPr>
          <w:rFonts w:hint="eastAsia"/>
          <w:color w:val="auto"/>
          <w:highlight w:val="none"/>
        </w:rPr>
        <w:t>乘用车供电系统（发电机和蓄电池）应有足够的容量向电力制动系统供电。动力装置以制造商推荐状态运行（例如发动机怠速等）且打开制造商作为车辆标准配置提供的所有电器设备，当电力制动系统耗电量最大（电流为15</w:t>
      </w:r>
      <w:r>
        <w:rPr>
          <w:rFonts w:hint="eastAsia"/>
          <w:color w:val="auto"/>
          <w:highlight w:val="none"/>
          <w:lang w:val="en-US" w:eastAsia="zh-CN"/>
        </w:rPr>
        <w:t> </w:t>
      </w:r>
      <w:r>
        <w:rPr>
          <w:rFonts w:hint="eastAsia"/>
          <w:color w:val="auto"/>
          <w:highlight w:val="none"/>
        </w:rPr>
        <w:t>A）时，在接头处测得的电路电压不应低于9.6</w:t>
      </w:r>
      <w:r>
        <w:rPr>
          <w:rFonts w:hint="eastAsia"/>
          <w:color w:val="auto"/>
          <w:highlight w:val="none"/>
          <w:lang w:val="en-US" w:eastAsia="zh-CN"/>
        </w:rPr>
        <w:t> </w:t>
      </w:r>
      <w:r>
        <w:rPr>
          <w:rFonts w:hint="eastAsia"/>
          <w:color w:val="auto"/>
          <w:highlight w:val="none"/>
        </w:rPr>
        <w:t>V。即使在过载时也不应发生电路短路</w:t>
      </w:r>
      <w:r>
        <w:rPr>
          <w:rFonts w:hint="eastAsia"/>
          <w:color w:val="auto"/>
          <w:highlight w:val="none"/>
          <w:lang w:eastAsia="zh-CN"/>
        </w:rPr>
        <w:t>；</w:t>
      </w:r>
    </w:p>
    <w:p>
      <w:pPr>
        <w:pStyle w:val="180"/>
        <w:numPr>
          <w:ilvl w:val="0"/>
          <w:numId w:val="36"/>
        </w:numPr>
        <w:rPr>
          <w:color w:val="auto"/>
          <w:highlight w:val="none"/>
        </w:rPr>
      </w:pPr>
      <w:r>
        <w:rPr>
          <w:rFonts w:hint="eastAsia"/>
          <w:color w:val="auto"/>
          <w:highlight w:val="none"/>
        </w:rPr>
        <w:t>当至少由两个独立单元构成的乘用车行车制动系统发生失效时，未受失效影响的单元应能部分或全部促动挂车制动器</w:t>
      </w:r>
      <w:r>
        <w:rPr>
          <w:rFonts w:hint="eastAsia"/>
          <w:color w:val="auto"/>
          <w:highlight w:val="none"/>
          <w:lang w:eastAsia="zh-CN"/>
        </w:rPr>
        <w:t>；</w:t>
      </w:r>
    </w:p>
    <w:p>
      <w:pPr>
        <w:pStyle w:val="180"/>
        <w:numPr>
          <w:ilvl w:val="0"/>
          <w:numId w:val="36"/>
        </w:numPr>
        <w:rPr>
          <w:color w:val="auto"/>
          <w:highlight w:val="none"/>
        </w:rPr>
      </w:pPr>
      <w:r>
        <w:rPr>
          <w:rFonts w:hint="eastAsia"/>
          <w:color w:val="auto"/>
          <w:highlight w:val="none"/>
        </w:rPr>
        <w:t>只有电力制动系统的启动电路与制动灯并联且制动灯的开关及电路能承受额外负载时，才允许利用制动灯的开关及电路启动电力制动系统。</w:t>
      </w:r>
    </w:p>
    <w:p>
      <w:pPr>
        <w:pStyle w:val="71"/>
        <w:spacing w:before="0" w:beforeLines="0" w:after="0" w:afterLines="0"/>
        <w:rPr>
          <w:rFonts w:ascii="宋体" w:hAnsi="宋体" w:eastAsia="宋体"/>
          <w:color w:val="auto"/>
          <w:highlight w:val="none"/>
        </w:rPr>
      </w:pPr>
      <w:bookmarkStart w:id="92" w:name="_Toc118580246"/>
      <w:r>
        <w:rPr>
          <w:rFonts w:hint="eastAsia" w:ascii="宋体" w:hAnsi="宋体" w:eastAsia="宋体"/>
          <w:color w:val="auto"/>
          <w:highlight w:val="none"/>
        </w:rPr>
        <w:t>对装备电力再生式制动系统的车辆，应满足以下附加要求</w:t>
      </w:r>
      <w:r>
        <w:rPr>
          <w:rFonts w:hint="eastAsia" w:ascii="宋体" w:hAnsi="宋体" w:eastAsia="宋体"/>
          <w:color w:val="auto"/>
          <w:highlight w:val="none"/>
          <w:lang w:eastAsia="zh-CN"/>
        </w:rPr>
        <w:t>。</w:t>
      </w:r>
      <w:bookmarkEnd w:id="92"/>
    </w:p>
    <w:p>
      <w:pPr>
        <w:pStyle w:val="180"/>
        <w:numPr>
          <w:ilvl w:val="0"/>
          <w:numId w:val="37"/>
        </w:numPr>
        <w:rPr>
          <w:rFonts w:hint="eastAsia"/>
          <w:color w:val="auto"/>
          <w:highlight w:val="none"/>
          <w:lang w:val="en-US" w:eastAsia="zh-CN"/>
        </w:rPr>
      </w:pPr>
      <w:r>
        <w:rPr>
          <w:rFonts w:hint="eastAsia"/>
          <w:color w:val="auto"/>
          <w:highlight w:val="none"/>
        </w:rPr>
        <w:t>装备A型电力再生式制动系统的车辆，其电力再生式制动系统</w:t>
      </w:r>
      <w:r>
        <w:rPr>
          <w:rFonts w:hint="eastAsia"/>
          <w:color w:val="auto"/>
          <w:highlight w:val="none"/>
          <w:lang w:val="en-US" w:eastAsia="zh-CN"/>
        </w:rPr>
        <w:t>应</w:t>
      </w:r>
      <w:r>
        <w:rPr>
          <w:rFonts w:hint="eastAsia"/>
          <w:color w:val="auto"/>
          <w:highlight w:val="none"/>
        </w:rPr>
        <w:t>通过加速踏板和/或在空挡位置启动</w:t>
      </w:r>
      <w:r>
        <w:rPr>
          <w:rFonts w:hint="eastAsia"/>
          <w:color w:val="auto"/>
          <w:highlight w:val="none"/>
          <w:lang w:eastAsia="zh-CN"/>
        </w:rPr>
        <w:t>。</w:t>
      </w:r>
    </w:p>
    <w:p>
      <w:pPr>
        <w:pStyle w:val="180"/>
        <w:numPr>
          <w:ilvl w:val="0"/>
          <w:numId w:val="37"/>
        </w:numPr>
        <w:rPr>
          <w:color w:val="auto"/>
          <w:highlight w:val="none"/>
        </w:rPr>
      </w:pPr>
      <w:r>
        <w:rPr>
          <w:rFonts w:hint="eastAsia"/>
          <w:color w:val="auto"/>
          <w:highlight w:val="none"/>
        </w:rPr>
        <w:t>装备B型电力再生式制动系统的车辆：</w:t>
      </w:r>
    </w:p>
    <w:p>
      <w:pPr>
        <w:pStyle w:val="115"/>
        <w:numPr>
          <w:ilvl w:val="1"/>
          <w:numId w:val="32"/>
        </w:numPr>
        <w:rPr>
          <w:color w:val="auto"/>
          <w:highlight w:val="none"/>
        </w:rPr>
      </w:pPr>
      <w:r>
        <w:rPr>
          <w:color w:val="auto"/>
          <w:highlight w:val="none"/>
        </w:rPr>
        <w:t>B</w:t>
      </w:r>
      <w:r>
        <w:rPr>
          <w:rFonts w:hint="eastAsia"/>
          <w:color w:val="auto"/>
          <w:highlight w:val="none"/>
        </w:rPr>
        <w:t>型电力再生式制动系统作为行车制动系统的一部分，不</w:t>
      </w:r>
      <w:r>
        <w:rPr>
          <w:rFonts w:hint="eastAsia"/>
          <w:color w:val="auto"/>
          <w:highlight w:val="none"/>
          <w:lang w:val="en-US" w:eastAsia="zh-CN"/>
        </w:rPr>
        <w:t>应</w:t>
      </w:r>
      <w:r>
        <w:rPr>
          <w:rFonts w:hint="eastAsia"/>
          <w:color w:val="auto"/>
          <w:highlight w:val="none"/>
        </w:rPr>
        <w:t>通过除自动方式以外的其他方式部分或完全断开。这并不违背</w:t>
      </w:r>
      <w:r>
        <w:rPr>
          <w:color w:val="auto"/>
          <w:highlight w:val="none"/>
        </w:rPr>
        <w:t>5.2.10</w:t>
      </w:r>
      <w:r>
        <w:rPr>
          <w:rFonts w:hint="eastAsia"/>
          <w:color w:val="auto"/>
          <w:highlight w:val="none"/>
        </w:rPr>
        <w:t>的要求</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行车制动系统应只有一个控制装置</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行车制动系统不应受电机脱开或所用挡位的不利影响</w:t>
      </w:r>
      <w:r>
        <w:rPr>
          <w:rFonts w:hint="eastAsia"/>
          <w:color w:val="auto"/>
          <w:highlight w:val="none"/>
          <w:lang w:eastAsia="zh-CN"/>
        </w:rPr>
        <w:t>；</w:t>
      </w:r>
    </w:p>
    <w:p>
      <w:pPr>
        <w:pStyle w:val="115"/>
        <w:numPr>
          <w:ilvl w:val="1"/>
          <w:numId w:val="32"/>
        </w:numPr>
        <w:rPr>
          <w:color w:val="auto"/>
          <w:highlight w:val="none"/>
        </w:rPr>
      </w:pPr>
      <w:r>
        <w:rPr>
          <w:color w:val="auto"/>
          <w:highlight w:val="none"/>
        </w:rPr>
        <w:t>B</w:t>
      </w:r>
      <w:r>
        <w:rPr>
          <w:rFonts w:hint="eastAsia"/>
          <w:color w:val="auto"/>
          <w:highlight w:val="none"/>
        </w:rPr>
        <w:t>型电力再生式制动系统的电动部件的工作由来自行车制动控制装置的信息及由此产生的车轮制动力之间的关系保证，由于该关系失效将导致不能满足6.5有关车轴间制动力分配的要求，最迟应在控制装置起动时用5.2.21a）规定的红色或黄色报警信号向</w:t>
      </w:r>
      <w:r>
        <w:rPr>
          <w:rFonts w:hint="eastAsia"/>
          <w:color w:val="auto"/>
          <w:highlight w:val="none"/>
          <w:lang w:eastAsia="zh-CN"/>
        </w:rPr>
        <w:t>驾驶人</w:t>
      </w:r>
      <w:r>
        <w:rPr>
          <w:rFonts w:hint="eastAsia"/>
          <w:color w:val="auto"/>
          <w:highlight w:val="none"/>
        </w:rPr>
        <w:t>报警。只要该故障存在且“接触”开关处于“运行”位置，报警信号应一直点亮。</w:t>
      </w:r>
    </w:p>
    <w:p>
      <w:pPr>
        <w:pStyle w:val="180"/>
        <w:numPr>
          <w:ilvl w:val="0"/>
          <w:numId w:val="37"/>
        </w:numPr>
        <w:rPr>
          <w:color w:val="auto"/>
          <w:highlight w:val="none"/>
        </w:rPr>
      </w:pPr>
      <w:r>
        <w:rPr>
          <w:rFonts w:hint="eastAsia"/>
          <w:color w:val="auto"/>
          <w:highlight w:val="none"/>
        </w:rPr>
        <w:t>同时具有A型和B型电力再生式制动系统的车辆应满足除5.2.18a）之外的所有相关规定。在此情况下，电力再生式制动系统可通过加速踏板和/或在空挡位置启动。此外，操纵行车制动控制装置时不应削弱加速踏板松开所产生的制动作用</w:t>
      </w:r>
      <w:r>
        <w:rPr>
          <w:rFonts w:hint="eastAsia"/>
          <w:color w:val="auto"/>
          <w:highlight w:val="none"/>
          <w:lang w:eastAsia="zh-CN"/>
        </w:rPr>
        <w:t>。</w:t>
      </w:r>
    </w:p>
    <w:p>
      <w:pPr>
        <w:pStyle w:val="180"/>
        <w:numPr>
          <w:ilvl w:val="0"/>
          <w:numId w:val="37"/>
        </w:numPr>
        <w:rPr>
          <w:color w:val="auto"/>
          <w:highlight w:val="none"/>
        </w:rPr>
      </w:pPr>
      <w:r>
        <w:rPr>
          <w:rFonts w:hint="eastAsia"/>
          <w:color w:val="auto"/>
          <w:highlight w:val="none"/>
        </w:rPr>
        <w:t>应由防抱制动系统控制电力再生式制动系统</w:t>
      </w:r>
      <w:r>
        <w:rPr>
          <w:rFonts w:hint="eastAsia"/>
          <w:color w:val="auto"/>
          <w:highlight w:val="none"/>
          <w:lang w:eastAsia="zh-CN"/>
        </w:rPr>
        <w:t>。</w:t>
      </w:r>
    </w:p>
    <w:p>
      <w:pPr>
        <w:pStyle w:val="180"/>
        <w:numPr>
          <w:ilvl w:val="0"/>
          <w:numId w:val="37"/>
        </w:numPr>
        <w:rPr>
          <w:color w:val="auto"/>
          <w:highlight w:val="none"/>
        </w:rPr>
      </w:pPr>
      <w:r>
        <w:rPr>
          <w:color w:val="auto"/>
          <w:highlight w:val="none"/>
        </w:rPr>
        <w:t>动力</w:t>
      </w:r>
      <w:r>
        <w:rPr>
          <w:rFonts w:hint="eastAsia"/>
          <w:color w:val="auto"/>
          <w:highlight w:val="none"/>
        </w:rPr>
        <w:t>蓄</w:t>
      </w:r>
      <w:r>
        <w:rPr>
          <w:color w:val="auto"/>
          <w:highlight w:val="none"/>
        </w:rPr>
        <w:t>电池的荷电状态</w:t>
      </w:r>
      <w:r>
        <w:rPr>
          <w:rFonts w:hint="eastAsia"/>
          <w:color w:val="auto"/>
          <w:highlight w:val="none"/>
          <w:lang w:val="en-US" w:eastAsia="zh-CN"/>
        </w:rPr>
        <w:t>应按照</w:t>
      </w:r>
      <w:r>
        <w:rPr>
          <w:color w:val="auto"/>
          <w:highlight w:val="none"/>
        </w:rPr>
        <w:t>附录</w:t>
      </w:r>
      <w:r>
        <w:rPr>
          <w:rFonts w:hint="eastAsia"/>
          <w:color w:val="auto"/>
          <w:highlight w:val="none"/>
        </w:rPr>
        <w:t>A</w:t>
      </w:r>
      <w:r>
        <w:rPr>
          <w:color w:val="auto"/>
          <w:highlight w:val="none"/>
        </w:rPr>
        <w:t>规定的方法确定</w:t>
      </w:r>
      <w:r>
        <w:rPr>
          <w:rStyle w:val="39"/>
          <w:color w:val="auto"/>
          <w:highlight w:val="none"/>
        </w:rPr>
        <w:footnoteReference w:id="1"/>
      </w:r>
      <w:r>
        <w:rPr>
          <w:rStyle w:val="39"/>
          <w:color w:val="auto"/>
          <w:highlight w:val="none"/>
        </w:rPr>
        <w:t>)</w:t>
      </w:r>
      <w:r>
        <w:rPr>
          <w:rFonts w:hint="eastAsia"/>
          <w:color w:val="auto"/>
          <w:highlight w:val="none"/>
        </w:rPr>
        <w:t>。</w:t>
      </w:r>
    </w:p>
    <w:p>
      <w:pPr>
        <w:pStyle w:val="180"/>
        <w:numPr>
          <w:ilvl w:val="0"/>
          <w:numId w:val="37"/>
        </w:numPr>
        <w:rPr>
          <w:color w:val="auto"/>
          <w:highlight w:val="none"/>
        </w:rPr>
      </w:pPr>
      <w:r>
        <w:rPr>
          <w:rFonts w:hint="eastAsia"/>
          <w:color w:val="auto"/>
          <w:highlight w:val="none"/>
        </w:rPr>
        <w:t>对于A型及同时具有A型和B型电力再生制动系统的车辆，在前进挡下通过松开加速踏板实现的制动作用不能使车辆减速至停车。</w:t>
      </w:r>
    </w:p>
    <w:p>
      <w:pPr>
        <w:pStyle w:val="71"/>
        <w:spacing w:before="0" w:beforeLines="0" w:after="0" w:afterLines="0"/>
        <w:rPr>
          <w:rFonts w:ascii="宋体" w:hAnsi="宋体" w:eastAsia="宋体"/>
          <w:color w:val="auto"/>
          <w:szCs w:val="21"/>
          <w:highlight w:val="none"/>
        </w:rPr>
      </w:pPr>
      <w:bookmarkStart w:id="93" w:name="_Toc118580247"/>
      <w:r>
        <w:rPr>
          <w:rFonts w:hint="eastAsia" w:ascii="宋体" w:hAnsi="宋体" w:eastAsia="宋体"/>
          <w:color w:val="auto"/>
          <w:highlight w:val="none"/>
        </w:rPr>
        <w:t>采用电子传输的驻车制动系统，应满足以下附加要求</w:t>
      </w:r>
      <w:r>
        <w:rPr>
          <w:rFonts w:hint="eastAsia" w:ascii="宋体" w:hAnsi="宋体" w:eastAsia="宋体"/>
          <w:color w:val="auto"/>
          <w:highlight w:val="none"/>
          <w:lang w:eastAsia="zh-CN"/>
        </w:rPr>
        <w:t>。</w:t>
      </w:r>
      <w:bookmarkEnd w:id="93"/>
    </w:p>
    <w:p>
      <w:pPr>
        <w:pStyle w:val="180"/>
        <w:numPr>
          <w:ilvl w:val="0"/>
          <w:numId w:val="38"/>
        </w:numPr>
        <w:rPr>
          <w:color w:val="auto"/>
          <w:highlight w:val="none"/>
        </w:rPr>
      </w:pPr>
      <w:r>
        <w:rPr>
          <w:rFonts w:hint="eastAsia"/>
          <w:color w:val="auto"/>
          <w:highlight w:val="none"/>
        </w:rPr>
        <w:t>在电子传输失效时，应避免非预期促动驻车制动系统。</w:t>
      </w:r>
    </w:p>
    <w:p>
      <w:pPr>
        <w:pStyle w:val="180"/>
        <w:numPr>
          <w:ilvl w:val="0"/>
          <w:numId w:val="35"/>
        </w:numPr>
        <w:rPr>
          <w:color w:val="auto"/>
          <w:highlight w:val="none"/>
        </w:rPr>
      </w:pPr>
      <w:r>
        <w:rPr>
          <w:rFonts w:hint="eastAsia"/>
          <w:color w:val="auto"/>
          <w:highlight w:val="none"/>
        </w:rPr>
        <w:t>当控制装置出现一处电气失效</w:t>
      </w:r>
      <w:r>
        <w:rPr>
          <w:rFonts w:hint="eastAsia"/>
          <w:color w:val="auto"/>
          <w:highlight w:val="none"/>
          <w:lang w:eastAsia="zh-CN"/>
        </w:rPr>
        <w:t>、</w:t>
      </w:r>
      <w:r>
        <w:rPr>
          <w:rFonts w:hint="eastAsia"/>
          <w:color w:val="auto"/>
          <w:highlight w:val="none"/>
        </w:rPr>
        <w:t>连接控制装置和ECU之间的电控传输内部线路（供电线路除外）发生一处损坏</w:t>
      </w:r>
      <w:r>
        <w:rPr>
          <w:rFonts w:hint="eastAsia"/>
          <w:color w:val="auto"/>
          <w:highlight w:val="none"/>
          <w:lang w:eastAsia="zh-CN"/>
        </w:rPr>
        <w:t>、</w:t>
      </w:r>
      <w:r>
        <w:rPr>
          <w:rFonts w:hint="eastAsia"/>
          <w:color w:val="auto"/>
          <w:highlight w:val="none"/>
          <w:lang w:val="en-US" w:eastAsia="zh-CN"/>
        </w:rPr>
        <w:t>ECU</w:t>
      </w:r>
      <w:r>
        <w:rPr>
          <w:rFonts w:hint="eastAsia"/>
          <w:color w:val="auto"/>
          <w:highlight w:val="none"/>
        </w:rPr>
        <w:t>出现一处电气失效</w:t>
      </w:r>
      <w:r>
        <w:rPr>
          <w:rFonts w:hint="eastAsia"/>
          <w:color w:val="auto"/>
          <w:highlight w:val="none"/>
          <w:lang w:val="en-US" w:eastAsia="zh-CN"/>
        </w:rPr>
        <w:t>、ECU和执行器</w:t>
      </w:r>
      <w:r>
        <w:rPr>
          <w:rFonts w:hint="eastAsia"/>
          <w:color w:val="auto"/>
          <w:highlight w:val="none"/>
        </w:rPr>
        <w:t>之间的电控传输内部线路（供电线路除外）发生一处损坏时，</w:t>
      </w:r>
      <w:r>
        <w:rPr>
          <w:rFonts w:hint="eastAsia"/>
          <w:color w:val="auto"/>
          <w:highlight w:val="none"/>
          <w:lang w:val="en-US" w:eastAsia="zh-CN"/>
        </w:rPr>
        <w:t>应能</w:t>
      </w:r>
      <w:r>
        <w:rPr>
          <w:rFonts w:hint="eastAsia"/>
          <w:color w:val="auto"/>
          <w:highlight w:val="none"/>
        </w:rPr>
        <w:t>从</w:t>
      </w:r>
      <w:r>
        <w:rPr>
          <w:rFonts w:hint="eastAsia"/>
          <w:color w:val="auto"/>
          <w:highlight w:val="none"/>
          <w:lang w:eastAsia="zh-CN"/>
        </w:rPr>
        <w:t>驾驶人</w:t>
      </w:r>
      <w:r>
        <w:rPr>
          <w:rFonts w:hint="eastAsia"/>
          <w:color w:val="auto"/>
          <w:highlight w:val="none"/>
        </w:rPr>
        <w:t>位置进行驻车制动并在8%的上、下坡道使满载车辆保持静止。在此情况下，如能达到上述性能且驻车制动的保持与点火（起动）开关的状态无关，则允许在车辆静止状态下自动进行驻车制动；一旦</w:t>
      </w:r>
      <w:r>
        <w:rPr>
          <w:rFonts w:hint="eastAsia"/>
          <w:color w:val="auto"/>
          <w:highlight w:val="none"/>
          <w:lang w:eastAsia="zh-CN"/>
        </w:rPr>
        <w:t>驾驶人</w:t>
      </w:r>
      <w:r>
        <w:rPr>
          <w:rFonts w:hint="eastAsia"/>
          <w:color w:val="auto"/>
          <w:highlight w:val="none"/>
        </w:rPr>
        <w:t>重新开动车辆，驻车制动应立即自动解除。可通过发动机/手动变速器或自动变速器（驻车挡）或在其辅助下达到上述性能。如有必要，也可利用随车工具和/或辅助设备解除驻车制动。此外，还应满足下列要求：</w:t>
      </w:r>
    </w:p>
    <w:p>
      <w:pPr>
        <w:pStyle w:val="115"/>
        <w:numPr>
          <w:ilvl w:val="1"/>
          <w:numId w:val="32"/>
        </w:numPr>
        <w:rPr>
          <w:color w:val="auto"/>
          <w:highlight w:val="none"/>
        </w:rPr>
      </w:pPr>
      <w:r>
        <w:rPr>
          <w:rFonts w:hint="eastAsia"/>
          <w:color w:val="auto"/>
          <w:highlight w:val="none"/>
        </w:rPr>
        <w:t>当电子传输内部线路损坏或驻车制动系统控制装置电气失效时，应</w:t>
      </w:r>
      <w:r>
        <w:rPr>
          <w:rFonts w:hint="eastAsia"/>
          <w:color w:val="auto"/>
          <w:highlight w:val="none"/>
          <w:lang w:val="en-US" w:eastAsia="zh-CN"/>
        </w:rPr>
        <w:t>按照</w:t>
      </w:r>
      <w:r>
        <w:rPr>
          <w:color w:val="auto"/>
          <w:highlight w:val="none"/>
        </w:rPr>
        <w:t>5.2.21</w:t>
      </w:r>
      <w:r>
        <w:rPr>
          <w:rFonts w:hint="eastAsia"/>
          <w:color w:val="auto"/>
          <w:highlight w:val="none"/>
          <w:lang w:val="en-US" w:eastAsia="zh-CN"/>
        </w:rPr>
        <w:t xml:space="preserve"> </w:t>
      </w:r>
      <w:r>
        <w:rPr>
          <w:rFonts w:hint="eastAsia"/>
          <w:color w:val="auto"/>
          <w:highlight w:val="none"/>
        </w:rPr>
        <w:t>a）规定的黄色报警信号向</w:t>
      </w:r>
      <w:r>
        <w:rPr>
          <w:rFonts w:hint="eastAsia"/>
          <w:color w:val="auto"/>
          <w:highlight w:val="none"/>
          <w:lang w:eastAsia="zh-CN"/>
        </w:rPr>
        <w:t>驾驶人</w:t>
      </w:r>
      <w:r>
        <w:rPr>
          <w:rFonts w:hint="eastAsia"/>
          <w:color w:val="auto"/>
          <w:highlight w:val="none"/>
        </w:rPr>
        <w:t>报警。对由驻车制动系统电控传输装置内部线路损坏引起的失效，应在线路损坏时立即向</w:t>
      </w:r>
      <w:r>
        <w:rPr>
          <w:rFonts w:hint="eastAsia"/>
          <w:color w:val="auto"/>
          <w:highlight w:val="none"/>
          <w:lang w:eastAsia="zh-CN"/>
        </w:rPr>
        <w:t>驾驶人</w:t>
      </w:r>
      <w:r>
        <w:rPr>
          <w:rFonts w:hint="eastAsia"/>
          <w:color w:val="auto"/>
          <w:highlight w:val="none"/>
        </w:rPr>
        <w:t>发出黄色报警信号</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控制装置电气失效或除供电线路外的电控单元外部线路发生损坏时，只要点火（起动）开关处于“ON”（“</w:t>
      </w:r>
      <w:r>
        <w:rPr>
          <w:color w:val="auto"/>
          <w:highlight w:val="none"/>
        </w:rPr>
        <w:t>RUN</w:t>
      </w:r>
      <w:r>
        <w:rPr>
          <w:rFonts w:hint="eastAsia"/>
          <w:color w:val="auto"/>
          <w:highlight w:val="none"/>
        </w:rPr>
        <w:t>”）位置以及关闭后的至少1</w:t>
      </w:r>
      <w:r>
        <w:rPr>
          <w:color w:val="auto"/>
          <w:highlight w:val="none"/>
        </w:rPr>
        <w:t>0</w:t>
      </w:r>
      <w:r>
        <w:rPr>
          <w:rFonts w:hint="eastAsia"/>
          <w:color w:val="auto"/>
          <w:highlight w:val="none"/>
        </w:rPr>
        <w:t> s内，且控制装置处于“驻车”状态，应通过5.2.21</w:t>
      </w:r>
      <w:r>
        <w:rPr>
          <w:rFonts w:hint="eastAsia"/>
          <w:color w:val="auto"/>
          <w:highlight w:val="none"/>
          <w:lang w:val="en-US" w:eastAsia="zh-CN"/>
        </w:rPr>
        <w:t xml:space="preserve"> </w:t>
      </w:r>
      <w:r>
        <w:rPr>
          <w:rFonts w:hint="eastAsia"/>
          <w:color w:val="auto"/>
          <w:highlight w:val="none"/>
        </w:rPr>
        <w:t>a）规定的红色闪烁信号向</w:t>
      </w:r>
      <w:r>
        <w:rPr>
          <w:rFonts w:hint="eastAsia"/>
          <w:color w:val="auto"/>
          <w:highlight w:val="none"/>
          <w:lang w:eastAsia="zh-CN"/>
        </w:rPr>
        <w:t>驾驶人</w:t>
      </w:r>
      <w:r>
        <w:rPr>
          <w:rFonts w:hint="eastAsia"/>
          <w:color w:val="auto"/>
          <w:highlight w:val="none"/>
        </w:rPr>
        <w:t>报警。如果驻车制动系统检测到驻车制动器已经正确夹紧，可抑制红色报警信号的闪烁，使用非闪烁的红色信号来指示“驻车制动已施加”。</w:t>
      </w:r>
      <w:r>
        <w:rPr>
          <w:rFonts w:hint="eastAsia"/>
          <w:color w:val="auto"/>
          <w:highlight w:val="none"/>
          <w:lang w:val="en-US" w:eastAsia="zh-CN"/>
        </w:rPr>
        <w:t>若</w:t>
      </w:r>
      <w:r>
        <w:rPr>
          <w:rFonts w:hint="eastAsia"/>
          <w:color w:val="auto"/>
          <w:highlight w:val="none"/>
        </w:rPr>
        <w:t>驻车制动系统的正常促动由独立的红色报警信号指示，并</w:t>
      </w:r>
      <w:r>
        <w:rPr>
          <w:rFonts w:hint="eastAsia"/>
          <w:color w:val="auto"/>
          <w:highlight w:val="none"/>
          <w:lang w:val="en-US" w:eastAsia="zh-CN"/>
        </w:rPr>
        <w:t>符合</w:t>
      </w:r>
      <w:r>
        <w:rPr>
          <w:rFonts w:hint="eastAsia"/>
          <w:color w:val="auto"/>
          <w:highlight w:val="none"/>
        </w:rPr>
        <w:t>5.2.21</w:t>
      </w:r>
      <w:r>
        <w:rPr>
          <w:rFonts w:hint="eastAsia"/>
          <w:color w:val="auto"/>
          <w:highlight w:val="none"/>
          <w:lang w:val="en-US" w:eastAsia="zh-CN"/>
        </w:rPr>
        <w:t xml:space="preserve"> b</w:t>
      </w:r>
      <w:r>
        <w:rPr>
          <w:rFonts w:hint="eastAsia"/>
          <w:color w:val="auto"/>
          <w:highlight w:val="none"/>
        </w:rPr>
        <w:t>）的全部要求，应采用该信号满足上述关于红色信号的要求。</w:t>
      </w:r>
    </w:p>
    <w:p>
      <w:pPr>
        <w:pStyle w:val="180"/>
        <w:numPr>
          <w:ilvl w:val="0"/>
          <w:numId w:val="32"/>
        </w:numPr>
        <w:rPr>
          <w:color w:val="auto"/>
          <w:highlight w:val="none"/>
        </w:rPr>
      </w:pPr>
      <w:r>
        <w:rPr>
          <w:rFonts w:hint="eastAsia"/>
          <w:color w:val="auto"/>
          <w:highlight w:val="none"/>
        </w:rPr>
        <w:t>为驻车制动系统电控传输装置提供的能量足以使车辆在无故障状态的电力负荷下促动驻车制动系统，可由驻车制动电控传输装置向辅助设备供能。此外，如行车制动系统也使用该储能器，则应满足5.2.20</w:t>
      </w:r>
      <w:r>
        <w:rPr>
          <w:rFonts w:hint="eastAsia"/>
          <w:color w:val="auto"/>
          <w:highlight w:val="none"/>
          <w:lang w:val="en-US" w:eastAsia="zh-CN"/>
        </w:rPr>
        <w:t xml:space="preserve"> </w:t>
      </w:r>
      <w:r>
        <w:rPr>
          <w:rFonts w:hint="eastAsia"/>
          <w:color w:val="auto"/>
          <w:highlight w:val="none"/>
        </w:rPr>
        <w:t>f）的要求。</w:t>
      </w:r>
    </w:p>
    <w:p>
      <w:pPr>
        <w:pStyle w:val="180"/>
        <w:numPr>
          <w:ilvl w:val="0"/>
          <w:numId w:val="32"/>
        </w:numPr>
        <w:rPr>
          <w:color w:val="auto"/>
          <w:kern w:val="2"/>
          <w:szCs w:val="21"/>
          <w:highlight w:val="none"/>
        </w:rPr>
      </w:pPr>
      <w:r>
        <w:rPr>
          <w:rFonts w:hint="eastAsia"/>
          <w:color w:val="auto"/>
          <w:highlight w:val="none"/>
        </w:rPr>
        <w:t>关闭控制制动装备电能的点火/起动开关和/或拔掉钥匙后，</w:t>
      </w:r>
      <w:r>
        <w:rPr>
          <w:rFonts w:hint="eastAsia"/>
          <w:color w:val="auto"/>
          <w:highlight w:val="none"/>
          <w:lang w:val="en-US" w:eastAsia="zh-CN"/>
        </w:rPr>
        <w:t>应</w:t>
      </w:r>
      <w:r>
        <w:rPr>
          <w:rFonts w:hint="eastAsia"/>
          <w:color w:val="auto"/>
          <w:highlight w:val="none"/>
        </w:rPr>
        <w:t>能进行驻车制动，但无法解除制动。此要求不适用于远程控制泊车（RCP）功能。</w:t>
      </w:r>
    </w:p>
    <w:p>
      <w:pPr>
        <w:pStyle w:val="71"/>
        <w:spacing w:before="0" w:beforeLines="0" w:after="0" w:afterLines="0"/>
        <w:rPr>
          <w:rFonts w:ascii="宋体" w:hAnsi="宋体" w:eastAsia="宋体"/>
          <w:color w:val="auto"/>
          <w:highlight w:val="none"/>
        </w:rPr>
      </w:pPr>
      <w:bookmarkStart w:id="94" w:name="_Toc118580248"/>
      <w:r>
        <w:rPr>
          <w:rFonts w:hint="eastAsia" w:ascii="宋体" w:hAnsi="宋体" w:eastAsia="宋体"/>
          <w:color w:val="auto"/>
          <w:highlight w:val="none"/>
        </w:rPr>
        <w:t>装备电控传输装置的行车制动系统，应满足以下特殊要求</w:t>
      </w:r>
      <w:bookmarkEnd w:id="94"/>
      <w:r>
        <w:rPr>
          <w:rFonts w:hint="eastAsia" w:ascii="宋体" w:hAnsi="宋体" w:eastAsia="宋体"/>
          <w:color w:val="auto"/>
          <w:highlight w:val="none"/>
          <w:lang w:eastAsia="zh-CN"/>
        </w:rPr>
        <w:t>。</w:t>
      </w:r>
    </w:p>
    <w:p>
      <w:pPr>
        <w:pStyle w:val="180"/>
        <w:numPr>
          <w:ilvl w:val="0"/>
          <w:numId w:val="39"/>
        </w:numPr>
        <w:rPr>
          <w:color w:val="auto"/>
          <w:highlight w:val="none"/>
        </w:rPr>
      </w:pPr>
      <w:r>
        <w:rPr>
          <w:rFonts w:hint="eastAsia"/>
          <w:color w:val="auto"/>
          <w:highlight w:val="none"/>
        </w:rPr>
        <w:t>解除驻车制动后，行车制动系统应能满足如下要求：</w:t>
      </w:r>
    </w:p>
    <w:p>
      <w:pPr>
        <w:pStyle w:val="115"/>
        <w:numPr>
          <w:ilvl w:val="1"/>
          <w:numId w:val="32"/>
        </w:numPr>
        <w:rPr>
          <w:color w:val="auto"/>
          <w:highlight w:val="none"/>
        </w:rPr>
      </w:pPr>
      <w:r>
        <w:rPr>
          <w:rFonts w:hint="eastAsia"/>
          <w:color w:val="auto"/>
          <w:highlight w:val="none"/>
        </w:rPr>
        <w:t>动力装置开启/关闭控制处于“ON”（“RUN”）位置，行车制动系统应至少能产生与规定的0型试验条件下行车制动性能要求相当的静态总制动力</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动力装置开启/关闭控制处于“OFF”或“LOCK”位置和/或拔掉点火钥匙后第一个60</w:t>
      </w:r>
      <w:r>
        <w:rPr>
          <w:rFonts w:hint="eastAsia"/>
          <w:color w:val="auto"/>
          <w:highlight w:val="none"/>
          <w:lang w:val="en-US" w:eastAsia="zh-CN"/>
        </w:rPr>
        <w:t> s</w:t>
      </w:r>
      <w:r>
        <w:rPr>
          <w:rFonts w:hint="eastAsia"/>
          <w:color w:val="auto"/>
          <w:highlight w:val="none"/>
        </w:rPr>
        <w:t>之内，三次行车制动促动应至少能产生与规定的0型试验条件下行车制动性能要求相当的静态总制动力</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上述阶段后，或在60</w:t>
      </w:r>
      <w:r>
        <w:rPr>
          <w:rFonts w:hint="eastAsia"/>
          <w:color w:val="auto"/>
          <w:highlight w:val="none"/>
          <w:lang w:val="en-US" w:eastAsia="zh-CN"/>
        </w:rPr>
        <w:t> s</w:t>
      </w:r>
      <w:r>
        <w:rPr>
          <w:rFonts w:hint="eastAsia"/>
          <w:color w:val="auto"/>
          <w:highlight w:val="none"/>
        </w:rPr>
        <w:t>时段内从第4次行车制动促动开始，以先满足者为准，行车制动系统应至少能产生与规定的0型试验条件下应急制动性能要求相当的静态总制动力。</w:t>
      </w:r>
    </w:p>
    <w:p>
      <w:pPr>
        <w:pStyle w:val="185"/>
        <w:rPr>
          <w:color w:val="auto"/>
          <w:highlight w:val="none"/>
        </w:rPr>
      </w:pPr>
      <w:r>
        <w:rPr>
          <w:rFonts w:hint="eastAsia"/>
          <w:color w:val="auto"/>
          <w:highlight w:val="none"/>
        </w:rPr>
        <w:t>本条可以理解为行车制动系统的能量传输装置具有足够的能量。</w:t>
      </w:r>
    </w:p>
    <w:p>
      <w:pPr>
        <w:pStyle w:val="180"/>
        <w:numPr>
          <w:ilvl w:val="0"/>
          <w:numId w:val="32"/>
        </w:numPr>
        <w:rPr>
          <w:color w:val="auto"/>
          <w:highlight w:val="none"/>
        </w:rPr>
      </w:pPr>
      <w:r>
        <w:rPr>
          <w:rFonts w:hint="eastAsia"/>
          <w:color w:val="auto"/>
          <w:highlight w:val="none"/>
        </w:rPr>
        <w:t>电控传输装置发生除能量供应外的一处短暂（小于40</w:t>
      </w:r>
      <w:r>
        <w:rPr>
          <w:rFonts w:hint="eastAsia"/>
          <w:color w:val="auto"/>
          <w:highlight w:val="none"/>
          <w:lang w:val="en-US" w:eastAsia="zh-CN"/>
        </w:rPr>
        <w:t> </w:t>
      </w:r>
      <w:r>
        <w:rPr>
          <w:rFonts w:hint="eastAsia"/>
          <w:color w:val="auto"/>
          <w:highlight w:val="none"/>
        </w:rPr>
        <w:t>ms）失效（如传输信号中断或数据错误）时，不应对行车制动性能产生显著影响。</w:t>
      </w:r>
    </w:p>
    <w:p>
      <w:pPr>
        <w:pStyle w:val="180"/>
        <w:numPr>
          <w:ilvl w:val="0"/>
          <w:numId w:val="35"/>
        </w:numPr>
        <w:rPr>
          <w:color w:val="auto"/>
          <w:highlight w:val="none"/>
        </w:rPr>
      </w:pPr>
      <w:r>
        <w:rPr>
          <w:color w:val="auto"/>
          <w:highlight w:val="none"/>
        </w:rPr>
        <w:t>影响到本文件规定的系统功能和性能的电控传输装置</w:t>
      </w:r>
      <w:r>
        <w:rPr>
          <w:rFonts w:hint="eastAsia"/>
          <w:color w:val="auto"/>
          <w:highlight w:val="none"/>
        </w:rPr>
        <w:t>（不包括储能器）失效</w:t>
      </w:r>
      <w:r>
        <w:rPr>
          <w:rStyle w:val="39"/>
          <w:color w:val="auto"/>
          <w:highlight w:val="none"/>
        </w:rPr>
        <w:footnoteReference w:id="2"/>
      </w:r>
      <w:r>
        <w:rPr>
          <w:rStyle w:val="39"/>
          <w:color w:val="auto"/>
          <w:highlight w:val="none"/>
        </w:rPr>
        <w:t>)</w:t>
      </w:r>
      <w:r>
        <w:rPr>
          <w:rFonts w:hint="eastAsia"/>
          <w:color w:val="auto"/>
          <w:highlight w:val="none"/>
        </w:rPr>
        <w:t>，应</w:t>
      </w:r>
      <w:r>
        <w:rPr>
          <w:rFonts w:hint="eastAsia"/>
          <w:color w:val="auto"/>
          <w:highlight w:val="none"/>
          <w:lang w:val="en-US" w:eastAsia="zh-CN"/>
        </w:rPr>
        <w:t>按照</w:t>
      </w:r>
      <w:r>
        <w:rPr>
          <w:rFonts w:hint="eastAsia"/>
          <w:color w:val="auto"/>
          <w:highlight w:val="none"/>
        </w:rPr>
        <w:t>5.2.21</w:t>
      </w:r>
      <w:r>
        <w:rPr>
          <w:rFonts w:hint="eastAsia"/>
          <w:color w:val="auto"/>
          <w:highlight w:val="none"/>
          <w:lang w:val="en-US" w:eastAsia="zh-CN"/>
        </w:rPr>
        <w:t xml:space="preserve"> </w:t>
      </w:r>
      <w:r>
        <w:rPr>
          <w:rFonts w:hint="eastAsia"/>
          <w:color w:val="auto"/>
          <w:highlight w:val="none"/>
        </w:rPr>
        <w:t>a）规定的相应红色或黄色</w:t>
      </w:r>
      <w:r>
        <w:rPr>
          <w:rFonts w:hint="eastAsia"/>
          <w:color w:val="auto"/>
          <w:highlight w:val="none"/>
          <w:lang w:val="en-US" w:eastAsia="zh-CN"/>
        </w:rPr>
        <w:t>报警</w:t>
      </w:r>
      <w:r>
        <w:rPr>
          <w:rFonts w:hint="eastAsia"/>
          <w:color w:val="auto"/>
          <w:highlight w:val="none"/>
        </w:rPr>
        <w:t>信号指示给</w:t>
      </w:r>
      <w:r>
        <w:rPr>
          <w:rFonts w:hint="eastAsia"/>
          <w:color w:val="auto"/>
          <w:highlight w:val="none"/>
          <w:lang w:eastAsia="zh-CN"/>
        </w:rPr>
        <w:t>驾驶人</w:t>
      </w:r>
      <w:r>
        <w:rPr>
          <w:rFonts w:hint="eastAsia"/>
          <w:color w:val="auto"/>
          <w:highlight w:val="none"/>
        </w:rPr>
        <w:t>。如无法达到规定的行车制动性能（采用红色报警信号）、电路连续性受损导致的失效（如损坏、断开），应在失效发生时立即指示给</w:t>
      </w:r>
      <w:r>
        <w:rPr>
          <w:rFonts w:hint="eastAsia"/>
          <w:color w:val="auto"/>
          <w:highlight w:val="none"/>
          <w:lang w:eastAsia="zh-CN"/>
        </w:rPr>
        <w:t>驾驶人</w:t>
      </w:r>
      <w:r>
        <w:rPr>
          <w:rFonts w:hint="eastAsia"/>
          <w:color w:val="auto"/>
          <w:highlight w:val="none"/>
        </w:rPr>
        <w:t>。在失效状态下按照6.2.2操纵行车制动控制装置时应</w:t>
      </w:r>
      <w:r>
        <w:rPr>
          <w:rFonts w:hint="eastAsia"/>
          <w:color w:val="auto"/>
          <w:highlight w:val="none"/>
          <w:lang w:val="en-US" w:eastAsia="zh-CN"/>
        </w:rPr>
        <w:t>符合</w:t>
      </w:r>
      <w:r>
        <w:rPr>
          <w:rFonts w:hint="eastAsia"/>
          <w:color w:val="auto"/>
          <w:highlight w:val="none"/>
        </w:rPr>
        <w:t>规定的应急制动性能。</w:t>
      </w:r>
    </w:p>
    <w:p>
      <w:pPr>
        <w:pStyle w:val="180"/>
        <w:numPr>
          <w:ilvl w:val="0"/>
          <w:numId w:val="35"/>
        </w:numPr>
        <w:rPr>
          <w:color w:val="auto"/>
          <w:highlight w:val="none"/>
        </w:rPr>
      </w:pPr>
      <w:r>
        <w:rPr>
          <w:rFonts w:hint="eastAsia"/>
          <w:color w:val="auto"/>
          <w:highlight w:val="none"/>
        </w:rPr>
        <w:t>在</w:t>
      </w:r>
      <w:r>
        <w:rPr>
          <w:color w:val="auto"/>
          <w:highlight w:val="none"/>
        </w:rPr>
        <w:t>电控传输装置能源失效</w:t>
      </w:r>
      <w:r>
        <w:rPr>
          <w:rFonts w:hint="eastAsia"/>
          <w:color w:val="auto"/>
          <w:highlight w:val="none"/>
        </w:rPr>
        <w:t>的情况下</w:t>
      </w:r>
      <w:r>
        <w:rPr>
          <w:color w:val="auto"/>
          <w:highlight w:val="none"/>
        </w:rPr>
        <w:t>，从</w:t>
      </w:r>
      <w:r>
        <w:rPr>
          <w:rFonts w:hint="eastAsia"/>
          <w:color w:val="auto"/>
          <w:highlight w:val="none"/>
        </w:rPr>
        <w:t>能量水平的标称值</w:t>
      </w:r>
      <w:r>
        <w:rPr>
          <w:color w:val="auto"/>
          <w:highlight w:val="none"/>
        </w:rPr>
        <w:t>水平开始，对行车制动</w:t>
      </w:r>
      <w:r>
        <w:rPr>
          <w:rFonts w:hint="eastAsia"/>
          <w:color w:val="auto"/>
          <w:highlight w:val="none"/>
          <w:lang w:val="en-US" w:eastAsia="zh-CN"/>
        </w:rPr>
        <w:t>控制装置</w:t>
      </w:r>
      <w:r>
        <w:rPr>
          <w:color w:val="auto"/>
          <w:highlight w:val="none"/>
        </w:rPr>
        <w:t>连续进行20次全行程促动后，行车制动系</w:t>
      </w:r>
      <w:r>
        <w:rPr>
          <w:rFonts w:hint="eastAsia"/>
          <w:color w:val="auto"/>
          <w:highlight w:val="none"/>
        </w:rPr>
        <w:t>统</w:t>
      </w:r>
      <w:r>
        <w:rPr>
          <w:color w:val="auto"/>
          <w:highlight w:val="none"/>
        </w:rPr>
        <w:t>仍能进行全行程制动。试验过程中，每次制动操作都应全行程制动20</w:t>
      </w:r>
      <w:r>
        <w:rPr>
          <w:rFonts w:hint="eastAsia"/>
          <w:color w:val="auto"/>
          <w:highlight w:val="none"/>
          <w:lang w:val="en-US" w:eastAsia="zh-CN"/>
        </w:rPr>
        <w:t> </w:t>
      </w:r>
      <w:r>
        <w:rPr>
          <w:color w:val="auto"/>
          <w:highlight w:val="none"/>
        </w:rPr>
        <w:t>s，然后释放5</w:t>
      </w:r>
      <w:r>
        <w:rPr>
          <w:rFonts w:hint="eastAsia"/>
          <w:color w:val="auto"/>
          <w:highlight w:val="none"/>
          <w:lang w:val="en-US" w:eastAsia="zh-CN"/>
        </w:rPr>
        <w:t> </w:t>
      </w:r>
      <w:r>
        <w:rPr>
          <w:color w:val="auto"/>
          <w:highlight w:val="none"/>
        </w:rPr>
        <w:t>s。</w:t>
      </w:r>
    </w:p>
    <w:p>
      <w:pPr>
        <w:pStyle w:val="185"/>
        <w:rPr>
          <w:color w:val="auto"/>
          <w:highlight w:val="none"/>
        </w:rPr>
      </w:pPr>
      <w:r>
        <w:rPr>
          <w:rFonts w:hint="eastAsia"/>
          <w:color w:val="auto"/>
          <w:highlight w:val="none"/>
        </w:rPr>
        <w:t>本条可以</w:t>
      </w:r>
      <w:r>
        <w:rPr>
          <w:color w:val="auto"/>
          <w:highlight w:val="none"/>
        </w:rPr>
        <w:t>理解为传输装置的能量在上述试验过程中足以保证行车制动的完全作用。该要求并不违背6.4的规定。</w:t>
      </w:r>
    </w:p>
    <w:p>
      <w:pPr>
        <w:pStyle w:val="180"/>
        <w:numPr>
          <w:ilvl w:val="0"/>
          <w:numId w:val="32"/>
        </w:numPr>
        <w:rPr>
          <w:color w:val="auto"/>
          <w:szCs w:val="21"/>
          <w:highlight w:val="none"/>
        </w:rPr>
      </w:pPr>
      <w:r>
        <w:rPr>
          <w:rFonts w:hint="eastAsia" w:hAnsi="宋体"/>
          <w:color w:val="auto"/>
          <w:highlight w:val="none"/>
        </w:rPr>
        <w:t>当蓄电池电压下降到制造商规定值以下时，无法达到规定的行车制动性能和</w:t>
      </w:r>
      <w:r>
        <w:rPr>
          <w:rFonts w:hint="eastAsia"/>
          <w:color w:val="auto"/>
          <w:highlight w:val="none"/>
        </w:rPr>
        <w:t>/</w:t>
      </w:r>
      <w:r>
        <w:rPr>
          <w:rFonts w:hint="eastAsia" w:hAnsi="宋体"/>
          <w:color w:val="auto"/>
          <w:highlight w:val="none"/>
        </w:rPr>
        <w:t>或</w:t>
      </w:r>
      <w:r>
        <w:rPr>
          <w:rFonts w:hAnsi="宋体"/>
          <w:color w:val="auto"/>
          <w:highlight w:val="none"/>
        </w:rPr>
        <w:t>双回路或多回路中的每</w:t>
      </w:r>
      <w:r>
        <w:rPr>
          <w:rFonts w:hint="eastAsia" w:hAnsi="宋体"/>
          <w:color w:val="auto"/>
          <w:highlight w:val="none"/>
        </w:rPr>
        <w:t>个</w:t>
      </w:r>
      <w:r>
        <w:rPr>
          <w:rFonts w:hAnsi="宋体"/>
          <w:color w:val="auto"/>
          <w:highlight w:val="none"/>
        </w:rPr>
        <w:t>独立回路</w:t>
      </w:r>
      <w:r>
        <w:rPr>
          <w:rFonts w:hint="eastAsia" w:hAnsi="宋体"/>
          <w:color w:val="auto"/>
          <w:highlight w:val="none"/>
        </w:rPr>
        <w:t>无法达到规定的应急制动性能，</w:t>
      </w:r>
      <w:r>
        <w:rPr>
          <w:rFonts w:hAnsi="宋体"/>
          <w:color w:val="auto"/>
          <w:highlight w:val="none"/>
        </w:rPr>
        <w:t>应</w:t>
      </w:r>
      <w:r>
        <w:rPr>
          <w:rFonts w:hint="eastAsia" w:hAnsi="宋体"/>
          <w:color w:val="auto"/>
          <w:highlight w:val="none"/>
        </w:rPr>
        <w:t>点亮</w:t>
      </w:r>
      <w:r>
        <w:rPr>
          <w:color w:val="auto"/>
          <w:highlight w:val="none"/>
        </w:rPr>
        <w:t>5.2.21</w:t>
      </w:r>
      <w:r>
        <w:rPr>
          <w:rFonts w:hint="eastAsia"/>
          <w:color w:val="auto"/>
          <w:highlight w:val="none"/>
          <w:lang w:val="en-US" w:eastAsia="zh-CN"/>
        </w:rPr>
        <w:t xml:space="preserve"> </w:t>
      </w:r>
      <w:r>
        <w:rPr>
          <w:rFonts w:hint="eastAsia"/>
          <w:color w:val="auto"/>
          <w:highlight w:val="none"/>
        </w:rPr>
        <w:t>a）</w:t>
      </w:r>
      <w:r>
        <w:rPr>
          <w:rFonts w:hAnsi="宋体"/>
          <w:color w:val="auto"/>
          <w:highlight w:val="none"/>
        </w:rPr>
        <w:t>规定的红色报警信号。报警信号点亮后</w:t>
      </w:r>
      <w:r>
        <w:rPr>
          <w:rFonts w:hint="eastAsia" w:hAnsi="宋体"/>
          <w:color w:val="auto"/>
          <w:highlight w:val="none"/>
        </w:rPr>
        <w:t>，应能进行行车制动并至少达到</w:t>
      </w:r>
      <w:r>
        <w:rPr>
          <w:color w:val="auto"/>
          <w:highlight w:val="none"/>
        </w:rPr>
        <w:t>6</w:t>
      </w:r>
      <w:r>
        <w:rPr>
          <w:rFonts w:hint="eastAsia"/>
          <w:color w:val="auto"/>
          <w:highlight w:val="none"/>
        </w:rPr>
        <w:t>.2.</w:t>
      </w:r>
      <w:r>
        <w:rPr>
          <w:color w:val="auto"/>
          <w:highlight w:val="none"/>
        </w:rPr>
        <w:t>2</w:t>
      </w:r>
      <w:r>
        <w:rPr>
          <w:rFonts w:hint="eastAsia" w:hAnsi="宋体"/>
          <w:color w:val="auto"/>
          <w:highlight w:val="none"/>
        </w:rPr>
        <w:t>规定的应急制动性能。</w:t>
      </w:r>
    </w:p>
    <w:p>
      <w:pPr>
        <w:pStyle w:val="185"/>
        <w:rPr>
          <w:color w:val="auto"/>
          <w:highlight w:val="none"/>
        </w:rPr>
      </w:pPr>
      <w:r>
        <w:rPr>
          <w:rFonts w:hint="eastAsia"/>
          <w:color w:val="auto"/>
          <w:highlight w:val="none"/>
        </w:rPr>
        <w:t>本条可以理解为行车制动系的能量传输装置具有足够的能量。</w:t>
      </w:r>
    </w:p>
    <w:p>
      <w:pPr>
        <w:pStyle w:val="180"/>
        <w:numPr>
          <w:ilvl w:val="0"/>
          <w:numId w:val="35"/>
        </w:numPr>
        <w:rPr>
          <w:color w:val="auto"/>
          <w:highlight w:val="none"/>
        </w:rPr>
      </w:pPr>
      <w:r>
        <w:rPr>
          <w:rFonts w:hint="eastAsia"/>
          <w:color w:val="auto"/>
          <w:highlight w:val="none"/>
        </w:rPr>
        <w:t>如辅助设备和电控传输装置由同一个储能器供能，能量供应</w:t>
      </w:r>
      <w:r>
        <w:rPr>
          <w:rFonts w:hint="eastAsia"/>
          <w:color w:val="auto"/>
          <w:highlight w:val="none"/>
          <w:lang w:val="en-US" w:eastAsia="zh-CN"/>
        </w:rPr>
        <w:t>应能通过</w:t>
      </w:r>
      <w:r>
        <w:rPr>
          <w:rFonts w:hint="eastAsia"/>
          <w:color w:val="auto"/>
          <w:highlight w:val="none"/>
        </w:rPr>
        <w:t>防止储能器在辅助设备工作时放电或在电压超过5.2.20</w:t>
      </w:r>
      <w:r>
        <w:rPr>
          <w:rFonts w:hint="eastAsia"/>
          <w:color w:val="auto"/>
          <w:highlight w:val="none"/>
          <w:lang w:val="en-US" w:eastAsia="zh-CN"/>
        </w:rPr>
        <w:t xml:space="preserve"> </w:t>
      </w:r>
      <w:r>
        <w:rPr>
          <w:rFonts w:hint="eastAsia"/>
          <w:color w:val="auto"/>
          <w:highlight w:val="none"/>
        </w:rPr>
        <w:t>e）规定的临界水平时自动切断辅助装置的预定部分以防止储能器进一步放电</w:t>
      </w:r>
      <w:r>
        <w:rPr>
          <w:rFonts w:hint="eastAsia"/>
          <w:color w:val="auto"/>
          <w:highlight w:val="none"/>
          <w:lang w:val="en-US" w:eastAsia="zh-CN"/>
        </w:rPr>
        <w:t>的方式</w:t>
      </w:r>
      <w:r>
        <w:rPr>
          <w:rFonts w:hint="eastAsia"/>
          <w:color w:val="auto"/>
          <w:highlight w:val="none"/>
          <w:lang w:eastAsia="zh-CN"/>
        </w:rPr>
        <w:t>，</w:t>
      </w:r>
      <w:r>
        <w:rPr>
          <w:rFonts w:hint="eastAsia"/>
          <w:color w:val="auto"/>
          <w:highlight w:val="none"/>
          <w:lang w:val="en-US" w:eastAsia="zh-CN"/>
        </w:rPr>
        <w:t>确保</w:t>
      </w:r>
      <w:r>
        <w:rPr>
          <w:rFonts w:hint="eastAsia"/>
          <w:color w:val="auto"/>
          <w:highlight w:val="none"/>
        </w:rPr>
        <w:t>在动力装置以不超过80%最大功率转速</w:t>
      </w:r>
      <w:r>
        <w:rPr>
          <w:rFonts w:hint="eastAsia" w:hAnsi="宋体"/>
          <w:color w:val="auto"/>
          <w:highlight w:val="none"/>
        </w:rPr>
        <w:t>或制造商声明的工作状态</w:t>
      </w:r>
      <w:r>
        <w:rPr>
          <w:rFonts w:hint="eastAsia"/>
          <w:color w:val="auto"/>
          <w:highlight w:val="none"/>
        </w:rPr>
        <w:t>运行时可以达到规定的减速度</w:t>
      </w:r>
      <w:r>
        <w:rPr>
          <w:rFonts w:hint="eastAsia"/>
          <w:color w:val="auto"/>
          <w:highlight w:val="none"/>
          <w:lang w:eastAsia="zh-CN"/>
        </w:rPr>
        <w:t>。可通过计算或实际试验进行验证。该条款不适用于不使用电能也能达到规定减速度的车辆。</w:t>
      </w:r>
    </w:p>
    <w:p>
      <w:pPr>
        <w:pStyle w:val="180"/>
        <w:numPr>
          <w:ilvl w:val="0"/>
          <w:numId w:val="35"/>
        </w:numPr>
        <w:rPr>
          <w:color w:val="auto"/>
          <w:highlight w:val="none"/>
        </w:rPr>
      </w:pPr>
      <w:r>
        <w:rPr>
          <w:rFonts w:hint="eastAsia"/>
          <w:color w:val="auto"/>
          <w:highlight w:val="none"/>
        </w:rPr>
        <w:t>当辅助装置由电控传输装置供能时，应满足下列要求：</w:t>
      </w:r>
    </w:p>
    <w:p>
      <w:pPr>
        <w:pStyle w:val="115"/>
        <w:numPr>
          <w:ilvl w:val="1"/>
          <w:numId w:val="32"/>
        </w:numPr>
        <w:rPr>
          <w:color w:val="auto"/>
          <w:highlight w:val="none"/>
        </w:rPr>
      </w:pPr>
      <w:r>
        <w:rPr>
          <w:rFonts w:hint="eastAsia"/>
          <w:color w:val="auto"/>
          <w:highlight w:val="none"/>
        </w:rPr>
        <w:t>如车辆在行驶中发生能源失效，当操纵控制装置时，储能器的能量应足以促动制动器</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如在车辆静止且驻车制动状态下发生能源失效，储能器在制动期间应有足够的能量用于点亮车辆的相关灯具。</w:t>
      </w:r>
    </w:p>
    <w:p>
      <w:pPr>
        <w:pStyle w:val="71"/>
        <w:spacing w:before="0" w:beforeLines="0" w:after="0" w:afterLines="0"/>
        <w:rPr>
          <w:rFonts w:ascii="宋体" w:hAnsi="宋体" w:eastAsia="宋体"/>
          <w:color w:val="auto"/>
          <w:highlight w:val="none"/>
        </w:rPr>
      </w:pPr>
      <w:bookmarkStart w:id="95" w:name="_Toc118580249"/>
      <w:r>
        <w:rPr>
          <w:rFonts w:hint="eastAsia" w:ascii="宋体" w:hAnsi="宋体" w:eastAsia="宋体"/>
          <w:color w:val="auto"/>
          <w:highlight w:val="none"/>
        </w:rPr>
        <w:t>以下条款规定了乘用车制动装备发生某些失效（或故障）时向</w:t>
      </w:r>
      <w:r>
        <w:rPr>
          <w:rFonts w:hint="eastAsia" w:ascii="宋体" w:hAnsi="宋体" w:eastAsia="宋体"/>
          <w:color w:val="auto"/>
          <w:highlight w:val="none"/>
          <w:lang w:eastAsia="zh-CN"/>
        </w:rPr>
        <w:t>驾驶人</w:t>
      </w:r>
      <w:r>
        <w:rPr>
          <w:rFonts w:hint="eastAsia" w:ascii="宋体" w:hAnsi="宋体" w:eastAsia="宋体"/>
          <w:color w:val="auto"/>
          <w:highlight w:val="none"/>
        </w:rPr>
        <w:t>指示的光学报警信号的一般要求。除本条e）的规定外，这些信号仅用于本文件规定的用途。</w:t>
      </w:r>
      <w:bookmarkEnd w:id="95"/>
    </w:p>
    <w:p>
      <w:pPr>
        <w:pStyle w:val="180"/>
        <w:numPr>
          <w:ilvl w:val="0"/>
          <w:numId w:val="40"/>
        </w:numPr>
        <w:rPr>
          <w:color w:val="auto"/>
          <w:highlight w:val="none"/>
        </w:rPr>
      </w:pPr>
      <w:r>
        <w:rPr>
          <w:rFonts w:hint="eastAsia"/>
          <w:color w:val="auto"/>
          <w:highlight w:val="none"/>
        </w:rPr>
        <w:t>乘用车应能提供符合GB</w:t>
      </w:r>
      <w:r>
        <w:rPr>
          <w:color w:val="auto"/>
          <w:highlight w:val="none"/>
        </w:rPr>
        <w:t xml:space="preserve"> </w:t>
      </w:r>
      <w:r>
        <w:rPr>
          <w:rFonts w:hint="eastAsia"/>
          <w:color w:val="auto"/>
          <w:highlight w:val="none"/>
        </w:rPr>
        <w:t>4094和本文件规定</w:t>
      </w:r>
      <w:r>
        <w:rPr>
          <w:rFonts w:hint="eastAsia"/>
          <w:color w:val="auto"/>
          <w:highlight w:val="none"/>
          <w:lang w:val="en-US" w:eastAsia="zh-CN"/>
        </w:rPr>
        <w:t>的、</w:t>
      </w:r>
      <w:r>
        <w:rPr>
          <w:rFonts w:hint="eastAsia"/>
          <w:color w:val="auto"/>
          <w:highlight w:val="none"/>
        </w:rPr>
        <w:t>指示制动失效或故障的下列光学报警信号</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红色报警信号用于指示本文件规定的、导致规定的行车制动性能无法达到和/或两个独立的行车制动回路中的至少一个无法工作的制动装备失效</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如适用，黄色报警信号可指示电子检测到的、但未用本条所述的红色报警信号指示的制动装备故障。</w:t>
      </w:r>
    </w:p>
    <w:p>
      <w:pPr>
        <w:pStyle w:val="180"/>
        <w:numPr>
          <w:ilvl w:val="0"/>
          <w:numId w:val="35"/>
        </w:numPr>
        <w:rPr>
          <w:color w:val="auto"/>
          <w:highlight w:val="none"/>
        </w:rPr>
      </w:pPr>
      <w:r>
        <w:rPr>
          <w:rFonts w:hint="eastAsia"/>
          <w:color w:val="auto"/>
          <w:highlight w:val="none"/>
        </w:rPr>
        <w:t>报警信号即使在白天也清晰可见。</w:t>
      </w:r>
      <w:r>
        <w:rPr>
          <w:rFonts w:hint="eastAsia"/>
          <w:color w:val="auto"/>
          <w:highlight w:val="none"/>
          <w:lang w:eastAsia="zh-CN"/>
        </w:rPr>
        <w:t>驾驶人</w:t>
      </w:r>
      <w:r>
        <w:rPr>
          <w:rFonts w:hint="eastAsia"/>
          <w:color w:val="auto"/>
          <w:highlight w:val="none"/>
        </w:rPr>
        <w:t>可很容易地在驾驶位置上检查信号的状态是否正常。报警装置的部件发生失效，不应导致制动系统的性能损失。</w:t>
      </w:r>
    </w:p>
    <w:p>
      <w:pPr>
        <w:pStyle w:val="180"/>
        <w:numPr>
          <w:ilvl w:val="0"/>
          <w:numId w:val="35"/>
        </w:numPr>
        <w:rPr>
          <w:color w:val="auto"/>
          <w:highlight w:val="none"/>
        </w:rPr>
      </w:pPr>
      <w:r>
        <w:rPr>
          <w:rFonts w:hint="eastAsia"/>
          <w:color w:val="auto"/>
          <w:highlight w:val="none"/>
        </w:rPr>
        <w:t>除特殊说明外，报警信号应满足下面的要求：</w:t>
      </w:r>
    </w:p>
    <w:p>
      <w:pPr>
        <w:pStyle w:val="115"/>
        <w:numPr>
          <w:ilvl w:val="1"/>
          <w:numId w:val="32"/>
        </w:numPr>
        <w:rPr>
          <w:color w:val="auto"/>
          <w:highlight w:val="none"/>
        </w:rPr>
      </w:pPr>
      <w:r>
        <w:rPr>
          <w:rFonts w:hint="eastAsia"/>
          <w:color w:val="auto"/>
          <w:highlight w:val="none"/>
        </w:rPr>
        <w:t>规定的失效或故障发生时，最迟应在相应的制动控制装置起动时，通过上述报警信号指示给</w:t>
      </w:r>
      <w:r>
        <w:rPr>
          <w:rFonts w:hint="eastAsia"/>
          <w:color w:val="auto"/>
          <w:highlight w:val="none"/>
          <w:lang w:eastAsia="zh-CN"/>
        </w:rPr>
        <w:t>驾驶人；</w:t>
      </w:r>
    </w:p>
    <w:p>
      <w:pPr>
        <w:pStyle w:val="115"/>
        <w:numPr>
          <w:ilvl w:val="1"/>
          <w:numId w:val="32"/>
        </w:numPr>
        <w:rPr>
          <w:color w:val="auto"/>
          <w:highlight w:val="none"/>
        </w:rPr>
      </w:pPr>
      <w:r>
        <w:rPr>
          <w:rFonts w:hint="eastAsia"/>
          <w:color w:val="auto"/>
          <w:highlight w:val="none"/>
        </w:rPr>
        <w:t>只要失效/故障仍然存在且点火（起动）开关处于“ON”（“RUN”）位置上，报警信号应一直</w:t>
      </w:r>
      <w:r>
        <w:rPr>
          <w:rFonts w:hint="eastAsia"/>
          <w:color w:val="auto"/>
          <w:highlight w:val="none"/>
          <w:lang w:val="en-US" w:eastAsia="zh-CN"/>
        </w:rPr>
        <w:t>点亮</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报警信号应一直点亮，而非闪烁。</w:t>
      </w:r>
    </w:p>
    <w:p>
      <w:pPr>
        <w:pStyle w:val="180"/>
        <w:numPr>
          <w:ilvl w:val="0"/>
          <w:numId w:val="32"/>
        </w:numPr>
        <w:rPr>
          <w:color w:val="auto"/>
          <w:highlight w:val="none"/>
        </w:rPr>
      </w:pPr>
      <w:r>
        <w:rPr>
          <w:rFonts w:hint="eastAsia"/>
          <w:color w:val="auto"/>
          <w:highlight w:val="none"/>
        </w:rPr>
        <w:t>当车辆（包括制动系统）的电动设备通电时，上述报警信号应点亮。车辆在静止状态下，如确认制动系统没有任何规定的失效或故障发生，报警信号熄灭；车辆在动力装置起动及点火（起动）开关处于“ON”（“RUN”）位置的状态下，对某些应点亮上述报警信号但在静态检测时没被发现的特定失效或故障，一旦检测到应予以存储。只要失效或故障仍然存在，报警信号应一直点亮。</w:t>
      </w:r>
    </w:p>
    <w:p>
      <w:pPr>
        <w:pStyle w:val="180"/>
        <w:numPr>
          <w:ilvl w:val="0"/>
          <w:numId w:val="32"/>
        </w:numPr>
        <w:rPr>
          <w:color w:val="auto"/>
          <w:highlight w:val="none"/>
        </w:rPr>
      </w:pPr>
      <w:r>
        <w:rPr>
          <w:rFonts w:hint="eastAsia"/>
          <w:color w:val="auto"/>
          <w:highlight w:val="none"/>
        </w:rPr>
        <w:t>如满足下列全部条件，可用本条a）规定的黄色</w:t>
      </w:r>
      <w:r>
        <w:rPr>
          <w:rFonts w:hint="eastAsia"/>
          <w:color w:val="auto"/>
          <w:highlight w:val="none"/>
          <w:lang w:val="en-US" w:eastAsia="zh-CN"/>
        </w:rPr>
        <w:t>报警</w:t>
      </w:r>
      <w:r>
        <w:rPr>
          <w:rFonts w:hint="eastAsia"/>
          <w:color w:val="auto"/>
          <w:highlight w:val="none"/>
        </w:rPr>
        <w:t>信号指示本文件未规定的失效（故障）或有关乘用车制动系统和/或行驶系统的其他信息：</w:t>
      </w:r>
    </w:p>
    <w:p>
      <w:pPr>
        <w:pStyle w:val="115"/>
        <w:numPr>
          <w:ilvl w:val="1"/>
          <w:numId w:val="32"/>
        </w:numPr>
        <w:rPr>
          <w:color w:val="auto"/>
          <w:highlight w:val="none"/>
        </w:rPr>
      </w:pPr>
      <w:r>
        <w:rPr>
          <w:rFonts w:hint="eastAsia"/>
          <w:color w:val="auto"/>
          <w:highlight w:val="none"/>
        </w:rPr>
        <w:t>车辆静止；</w:t>
      </w:r>
    </w:p>
    <w:p>
      <w:pPr>
        <w:pStyle w:val="115"/>
        <w:numPr>
          <w:ilvl w:val="1"/>
          <w:numId w:val="32"/>
        </w:numPr>
        <w:rPr>
          <w:rFonts w:hAnsi="宋体"/>
          <w:color w:val="auto"/>
          <w:highlight w:val="none"/>
        </w:rPr>
      </w:pPr>
      <w:r>
        <w:rPr>
          <w:rFonts w:hint="eastAsia" w:hAnsi="宋体"/>
          <w:color w:val="auto"/>
          <w:highlight w:val="none"/>
        </w:rPr>
        <w:t>制动装备首次通电后，信号显示按本条d）的程序未检测到本文件规定的失效（或故障）；</w:t>
      </w:r>
    </w:p>
    <w:p>
      <w:pPr>
        <w:pStyle w:val="115"/>
        <w:numPr>
          <w:ilvl w:val="1"/>
          <w:numId w:val="32"/>
        </w:numPr>
        <w:rPr>
          <w:rFonts w:hAnsi="宋体"/>
          <w:color w:val="auto"/>
          <w:highlight w:val="none"/>
        </w:rPr>
      </w:pPr>
      <w:r>
        <w:rPr>
          <w:rFonts w:hint="eastAsia" w:hAnsi="宋体"/>
          <w:color w:val="auto"/>
          <w:highlight w:val="none"/>
        </w:rPr>
        <w:t>本文件未规定的失效或其他信息应仅通过闪烁报警信号指示。但报警信号应在车速首次超过10</w:t>
      </w:r>
      <w:r>
        <w:rPr>
          <w:rFonts w:hint="eastAsia"/>
          <w:color w:val="auto"/>
          <w:highlight w:val="none"/>
          <w:lang w:val="en-US" w:eastAsia="zh-CN"/>
        </w:rPr>
        <w:t> </w:t>
      </w:r>
      <w:r>
        <w:rPr>
          <w:rFonts w:hint="eastAsia" w:hAnsi="宋体"/>
          <w:color w:val="auto"/>
          <w:highlight w:val="none"/>
        </w:rPr>
        <w:t>km/h时熄灭。</w:t>
      </w:r>
    </w:p>
    <w:p>
      <w:pPr>
        <w:pStyle w:val="71"/>
        <w:spacing w:before="0" w:beforeLines="0" w:after="0" w:afterLines="0"/>
        <w:rPr>
          <w:rFonts w:ascii="宋体" w:hAnsi="宋体" w:eastAsia="宋体"/>
          <w:color w:val="auto"/>
          <w:highlight w:val="none"/>
        </w:rPr>
      </w:pPr>
      <w:bookmarkStart w:id="96" w:name="_Toc118580250"/>
      <w:r>
        <w:rPr>
          <w:rFonts w:hint="eastAsia" w:ascii="宋体" w:hAnsi="宋体" w:eastAsia="宋体"/>
          <w:color w:val="auto"/>
          <w:highlight w:val="none"/>
        </w:rPr>
        <w:t>通过制动信号点亮制动灯，应满足如下要求：</w:t>
      </w:r>
      <w:bookmarkEnd w:id="96"/>
    </w:p>
    <w:p>
      <w:pPr>
        <w:pStyle w:val="180"/>
        <w:numPr>
          <w:ilvl w:val="0"/>
          <w:numId w:val="41"/>
        </w:numPr>
        <w:rPr>
          <w:color w:val="auto"/>
          <w:highlight w:val="none"/>
        </w:rPr>
      </w:pPr>
      <w:r>
        <w:rPr>
          <w:rFonts w:hint="eastAsia"/>
          <w:color w:val="auto"/>
          <w:highlight w:val="none"/>
        </w:rPr>
        <w:t>应在</w:t>
      </w:r>
      <w:r>
        <w:rPr>
          <w:rFonts w:hint="eastAsia"/>
          <w:color w:val="auto"/>
          <w:highlight w:val="none"/>
          <w:lang w:eastAsia="zh-CN"/>
        </w:rPr>
        <w:t>驾驶人</w:t>
      </w:r>
      <w:r>
        <w:rPr>
          <w:rFonts w:hint="eastAsia"/>
          <w:color w:val="auto"/>
          <w:highlight w:val="none"/>
        </w:rPr>
        <w:t>促动行车制动系统时发出指令使制动灯点亮。</w:t>
      </w:r>
    </w:p>
    <w:p>
      <w:pPr>
        <w:pStyle w:val="180"/>
        <w:numPr>
          <w:ilvl w:val="0"/>
          <w:numId w:val="41"/>
        </w:numPr>
        <w:rPr>
          <w:rFonts w:cs="Arial"/>
          <w:color w:val="auto"/>
          <w:highlight w:val="none"/>
          <w:shd w:val="clear" w:color="auto" w:fill="FBFBFB"/>
        </w:rPr>
      </w:pPr>
      <w:r>
        <w:rPr>
          <w:rFonts w:hint="eastAsia"/>
          <w:color w:val="auto"/>
          <w:highlight w:val="none"/>
        </w:rPr>
        <w:t>装备自动控制制动和/或能够产生减速力（例如，在释放加速踏板时）的再生制动的车辆，应满足表</w:t>
      </w:r>
      <w:r>
        <w:rPr>
          <w:rFonts w:hint="eastAsia"/>
          <w:color w:val="auto"/>
          <w:highlight w:val="none"/>
          <w:lang w:val="en-US" w:eastAsia="zh-CN"/>
        </w:rPr>
        <w:t>1</w:t>
      </w:r>
      <w:r>
        <w:rPr>
          <w:rFonts w:hint="eastAsia"/>
          <w:color w:val="auto"/>
          <w:highlight w:val="none"/>
        </w:rPr>
        <w:t>的要求：</w:t>
      </w:r>
    </w:p>
    <w:p>
      <w:pPr>
        <w:pStyle w:val="180"/>
        <w:numPr>
          <w:ilvl w:val="0"/>
          <w:numId w:val="0"/>
        </w:numPr>
        <w:jc w:val="both"/>
        <w:rPr>
          <w:rFonts w:hint="eastAsia"/>
          <w:color w:val="auto"/>
          <w:highlight w:val="none"/>
        </w:rPr>
      </w:pPr>
    </w:p>
    <w:p>
      <w:pPr>
        <w:pStyle w:val="180"/>
        <w:numPr>
          <w:ilvl w:val="0"/>
          <w:numId w:val="0"/>
        </w:numPr>
        <w:jc w:val="both"/>
        <w:rPr>
          <w:rFonts w:hint="eastAsia"/>
          <w:color w:val="auto"/>
          <w:highlight w:val="none"/>
        </w:rPr>
      </w:pPr>
    </w:p>
    <w:p>
      <w:pPr>
        <w:pStyle w:val="180"/>
        <w:numPr>
          <w:ilvl w:val="0"/>
          <w:numId w:val="0"/>
        </w:numPr>
        <w:jc w:val="both"/>
        <w:rPr>
          <w:rFonts w:hint="eastAsia"/>
          <w:color w:val="auto"/>
          <w:highlight w:val="none"/>
        </w:rPr>
      </w:pPr>
    </w:p>
    <w:p>
      <w:pPr>
        <w:pStyle w:val="118"/>
        <w:spacing w:before="156" w:after="156"/>
        <w:rPr>
          <w:color w:val="auto"/>
          <w:szCs w:val="21"/>
          <w:highlight w:val="none"/>
          <w:shd w:val="clear" w:color="auto" w:fill="FBFBFB"/>
        </w:rPr>
      </w:pPr>
      <w:r>
        <w:rPr>
          <w:rFonts w:hint="eastAsia"/>
          <w:color w:val="auto"/>
          <w:highlight w:val="none"/>
          <w:shd w:val="clear" w:color="auto" w:fill="FBFBFB"/>
        </w:rPr>
        <w:t>制动信号状态要求</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84"/>
              <w:rPr>
                <w:color w:val="auto"/>
                <w:highlight w:val="none"/>
              </w:rPr>
            </w:pPr>
            <w:r>
              <w:rPr>
                <w:rFonts w:hint="eastAsia" w:hAnsi="宋体"/>
                <w:bCs/>
                <w:iCs/>
                <w:color w:val="auto"/>
                <w:szCs w:val="18"/>
                <w:highlight w:val="none"/>
              </w:rPr>
              <w:t>自动控制制动和/或再生制动减速度</w:t>
            </w:r>
          </w:p>
        </w:tc>
        <w:tc>
          <w:tcPr>
            <w:tcW w:w="4667" w:type="dxa"/>
            <w:tcBorders>
              <w:top w:val="single" w:color="auto" w:sz="8" w:space="0"/>
              <w:bottom w:val="single" w:color="auto" w:sz="8" w:space="0"/>
            </w:tcBorders>
            <w:shd w:val="clear" w:color="auto" w:fill="auto"/>
            <w:vAlign w:val="center"/>
          </w:tcPr>
          <w:p>
            <w:pPr>
              <w:pStyle w:val="184"/>
              <w:rPr>
                <w:color w:val="auto"/>
                <w:highlight w:val="none"/>
              </w:rPr>
            </w:pPr>
            <w:r>
              <w:rPr>
                <w:rFonts w:hint="eastAsia" w:hAnsi="宋体"/>
                <w:bCs/>
                <w:iCs/>
                <w:color w:val="auto"/>
                <w:szCs w:val="18"/>
                <w:highlight w:val="none"/>
              </w:rPr>
              <w:t>制动信号状态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tcBorders>
              <w:top w:val="single" w:color="auto" w:sz="8" w:space="0"/>
            </w:tcBorders>
            <w:shd w:val="clear" w:color="auto" w:fill="auto"/>
            <w:vAlign w:val="center"/>
          </w:tcPr>
          <w:p>
            <w:pPr>
              <w:pStyle w:val="184"/>
              <w:rPr>
                <w:color w:val="auto"/>
                <w:highlight w:val="none"/>
              </w:rPr>
            </w:pPr>
            <w:r>
              <w:rPr>
                <w:rFonts w:hAnsi="宋体"/>
                <w:bCs/>
                <w:iCs/>
                <w:color w:val="auto"/>
                <w:szCs w:val="18"/>
                <w:highlight w:val="none"/>
              </w:rPr>
              <w:t>≤1.3</w:t>
            </w:r>
            <w:r>
              <w:rPr>
                <w:rFonts w:hint="eastAsia"/>
                <w:color w:val="auto"/>
                <w:highlight w:val="none"/>
                <w:lang w:val="en-US" w:eastAsia="zh-CN"/>
              </w:rPr>
              <w:t> </w:t>
            </w:r>
            <w:r>
              <w:rPr>
                <w:rFonts w:hAnsi="宋体"/>
                <w:bCs/>
                <w:iCs/>
                <w:color w:val="auto"/>
                <w:szCs w:val="18"/>
                <w:highlight w:val="none"/>
              </w:rPr>
              <w:t>m/s²</w:t>
            </w:r>
          </w:p>
        </w:tc>
        <w:tc>
          <w:tcPr>
            <w:tcW w:w="4667" w:type="dxa"/>
            <w:tcBorders>
              <w:top w:val="single" w:color="auto" w:sz="8" w:space="0"/>
            </w:tcBorders>
            <w:shd w:val="clear" w:color="auto" w:fill="auto"/>
            <w:vAlign w:val="center"/>
          </w:tcPr>
          <w:p>
            <w:pPr>
              <w:pStyle w:val="184"/>
              <w:rPr>
                <w:color w:val="auto"/>
                <w:highlight w:val="none"/>
              </w:rPr>
            </w:pPr>
            <w:r>
              <w:rPr>
                <w:rFonts w:hint="eastAsia" w:hAnsi="宋体"/>
                <w:bCs/>
                <w:iCs/>
                <w:color w:val="auto"/>
                <w:szCs w:val="18"/>
                <w:highlight w:val="none"/>
              </w:rPr>
              <w:t>可以</w:t>
            </w:r>
            <w:r>
              <w:rPr>
                <w:rFonts w:hAnsi="宋体"/>
                <w:bCs/>
                <w:iCs/>
                <w:color w:val="auto"/>
                <w:szCs w:val="18"/>
                <w:highlight w:val="none"/>
              </w:rPr>
              <w:t>发出制动信号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bottom w:val="single" w:color="auto" w:sz="8" w:space="0"/>
            </w:tcBorders>
            <w:shd w:val="clear" w:color="auto" w:fill="auto"/>
            <w:vAlign w:val="center"/>
          </w:tcPr>
          <w:p>
            <w:pPr>
              <w:pStyle w:val="184"/>
              <w:rPr>
                <w:rFonts w:hAnsi="宋体"/>
                <w:iCs/>
                <w:color w:val="auto"/>
                <w:szCs w:val="18"/>
                <w:highlight w:val="none"/>
              </w:rPr>
            </w:pPr>
            <w:r>
              <w:rPr>
                <w:rFonts w:hint="eastAsia" w:hAnsi="宋体"/>
                <w:bCs/>
                <w:iCs/>
                <w:color w:val="auto"/>
                <w:szCs w:val="18"/>
                <w:highlight w:val="none"/>
              </w:rPr>
              <w:t>＞</w:t>
            </w:r>
            <w:r>
              <w:rPr>
                <w:rFonts w:hAnsi="宋体"/>
                <w:bCs/>
                <w:iCs/>
                <w:color w:val="auto"/>
                <w:szCs w:val="18"/>
                <w:highlight w:val="none"/>
              </w:rPr>
              <w:t>1.3</w:t>
            </w:r>
            <w:r>
              <w:rPr>
                <w:rFonts w:hint="eastAsia"/>
                <w:color w:val="auto"/>
                <w:highlight w:val="none"/>
                <w:lang w:val="en-US" w:eastAsia="zh-CN"/>
              </w:rPr>
              <w:t> </w:t>
            </w:r>
            <w:r>
              <w:rPr>
                <w:rFonts w:hAnsi="宋体"/>
                <w:bCs/>
                <w:iCs/>
                <w:color w:val="auto"/>
                <w:szCs w:val="18"/>
                <w:highlight w:val="none"/>
              </w:rPr>
              <w:t>m/s²</w:t>
            </w:r>
          </w:p>
        </w:tc>
        <w:tc>
          <w:tcPr>
            <w:tcW w:w="4667" w:type="dxa"/>
            <w:tcBorders>
              <w:bottom w:val="single" w:color="auto" w:sz="8" w:space="0"/>
            </w:tcBorders>
            <w:shd w:val="clear" w:color="auto" w:fill="auto"/>
            <w:vAlign w:val="center"/>
          </w:tcPr>
          <w:p>
            <w:pPr>
              <w:pStyle w:val="184"/>
              <w:rPr>
                <w:rFonts w:hAnsi="宋体"/>
                <w:iCs/>
                <w:color w:val="auto"/>
                <w:szCs w:val="18"/>
                <w:highlight w:val="none"/>
              </w:rPr>
            </w:pPr>
            <w:r>
              <w:rPr>
                <w:rFonts w:hint="eastAsia" w:hAnsi="宋体"/>
                <w:bCs/>
                <w:iCs/>
                <w:color w:val="auto"/>
                <w:szCs w:val="18"/>
                <w:highlight w:val="none"/>
              </w:rPr>
              <w:t>应</w:t>
            </w:r>
            <w:r>
              <w:rPr>
                <w:rFonts w:hAnsi="宋体"/>
                <w:bCs/>
                <w:iCs/>
                <w:color w:val="auto"/>
                <w:szCs w:val="18"/>
                <w:highlight w:val="none"/>
              </w:rPr>
              <w:t>发出制动信号</w:t>
            </w:r>
          </w:p>
        </w:tc>
      </w:tr>
    </w:tbl>
    <w:p>
      <w:pPr>
        <w:pStyle w:val="62"/>
        <w:ind w:firstLine="420"/>
        <w:rPr>
          <w:rStyle w:val="235"/>
          <w:rFonts w:hint="default" w:ascii="Arial" w:hAnsi="Arial" w:cs="Arial"/>
          <w:color w:val="auto"/>
          <w:sz w:val="21"/>
          <w:szCs w:val="21"/>
          <w:highlight w:val="none"/>
          <w:vertAlign w:val="baseline"/>
        </w:rPr>
      </w:pPr>
      <w:r>
        <w:rPr>
          <w:rFonts w:hint="eastAsia"/>
          <w:color w:val="auto"/>
          <w:szCs w:val="21"/>
          <w:highlight w:val="none"/>
          <w:shd w:val="clear" w:color="auto" w:fill="FBFBFB"/>
        </w:rPr>
        <w:t>制动信号发出后，只要减速需求持续存在，该信号就应持续发出。</w:t>
      </w:r>
      <w:r>
        <w:rPr>
          <w:rStyle w:val="235"/>
          <w:rFonts w:hint="default" w:cs="Arial"/>
          <w:color w:val="auto"/>
          <w:sz w:val="21"/>
          <w:szCs w:val="21"/>
          <w:highlight w:val="none"/>
          <w:vertAlign w:val="baseline"/>
        </w:rPr>
        <w:t>然而，该信号可在车辆静止或减速度降低至发出制动信号对应的减速度时被抑制。</w:t>
      </w:r>
    </w:p>
    <w:p>
      <w:pPr>
        <w:pStyle w:val="62"/>
        <w:ind w:firstLine="420"/>
        <w:rPr>
          <w:rFonts w:hAnsi="宋体"/>
          <w:color w:val="auto"/>
          <w:highlight w:val="none"/>
        </w:rPr>
      </w:pPr>
      <w:r>
        <w:rPr>
          <w:rFonts w:hint="eastAsia" w:hAnsi="宋体"/>
          <w:color w:val="auto"/>
          <w:highlight w:val="none"/>
        </w:rPr>
        <w:t>应采取适当的措施（例如，滞后、平均、延时等），以避免因制动信号的快速变化而导致制动灯闪烁。</w:t>
      </w:r>
    </w:p>
    <w:p>
      <w:pPr>
        <w:pStyle w:val="180"/>
        <w:numPr>
          <w:ilvl w:val="0"/>
          <w:numId w:val="32"/>
        </w:numPr>
        <w:rPr>
          <w:color w:val="auto"/>
          <w:highlight w:val="none"/>
        </w:rPr>
      </w:pPr>
      <w:r>
        <w:rPr>
          <w:rFonts w:hint="eastAsia"/>
          <w:color w:val="auto"/>
          <w:highlight w:val="none"/>
        </w:rPr>
        <w:t>通过选择制动或主要目的不是使车辆减速的功能（例如，轻微促动摩擦制动器以清洁制动盘）启动部分行车制动系统时不应发出上述制动信号</w:t>
      </w:r>
      <w:r>
        <w:rPr>
          <w:rStyle w:val="39"/>
          <w:color w:val="auto"/>
          <w:highlight w:val="none"/>
        </w:rPr>
        <w:footnoteReference w:id="3"/>
      </w:r>
      <w:r>
        <w:rPr>
          <w:rStyle w:val="39"/>
          <w:color w:val="auto"/>
          <w:highlight w:val="none"/>
        </w:rPr>
        <w:t>)</w:t>
      </w:r>
      <w:r>
        <w:rPr>
          <w:rFonts w:hint="eastAsia"/>
          <w:color w:val="auto"/>
          <w:highlight w:val="none"/>
        </w:rPr>
        <w:t>。</w:t>
      </w:r>
    </w:p>
    <w:p>
      <w:pPr>
        <w:pStyle w:val="180"/>
        <w:numPr>
          <w:ilvl w:val="0"/>
          <w:numId w:val="32"/>
        </w:numPr>
        <w:rPr>
          <w:color w:val="auto"/>
          <w:highlight w:val="none"/>
        </w:rPr>
      </w:pPr>
      <w:r>
        <w:rPr>
          <w:rFonts w:hint="eastAsia"/>
          <w:color w:val="auto"/>
          <w:highlight w:val="none"/>
        </w:rPr>
        <w:t>当减速仅由发动机制动、空气/滚动阻力和/或道路坡度产生时，不应产生制动信号。</w:t>
      </w:r>
    </w:p>
    <w:p>
      <w:pPr>
        <w:pStyle w:val="71"/>
        <w:spacing w:before="0" w:beforeLines="0" w:after="0" w:afterLines="0"/>
        <w:rPr>
          <w:rFonts w:ascii="宋体" w:hAnsi="宋体" w:eastAsia="宋体"/>
          <w:color w:val="auto"/>
          <w:highlight w:val="none"/>
        </w:rPr>
      </w:pPr>
      <w:bookmarkStart w:id="97" w:name="_Toc118580251"/>
      <w:r>
        <w:rPr>
          <w:rFonts w:hint="eastAsia" w:ascii="宋体" w:hAnsi="宋体" w:eastAsia="宋体"/>
          <w:color w:val="auto"/>
          <w:highlight w:val="none"/>
        </w:rPr>
        <w:t>当车辆配备了可以指示紧急制动的装置时，紧急制动信号的发出和解除只能在满足下列条件的情况下，由行车制动系统发出：</w:t>
      </w:r>
      <w:bookmarkEnd w:id="97"/>
    </w:p>
    <w:p>
      <w:pPr>
        <w:pStyle w:val="180"/>
        <w:numPr>
          <w:ilvl w:val="0"/>
          <w:numId w:val="42"/>
        </w:numPr>
        <w:rPr>
          <w:color w:val="auto"/>
          <w:highlight w:val="none"/>
        </w:rPr>
      </w:pPr>
      <w:r>
        <w:rPr>
          <w:rFonts w:hint="eastAsia"/>
          <w:color w:val="auto"/>
          <w:highlight w:val="none"/>
        </w:rPr>
        <w:t>车辆的减速度低于6</w:t>
      </w:r>
      <w:r>
        <w:rPr>
          <w:rFonts w:hint="eastAsia"/>
          <w:color w:val="auto"/>
          <w:highlight w:val="none"/>
          <w:lang w:val="en-US" w:eastAsia="zh-CN"/>
        </w:rPr>
        <w:t> </w:t>
      </w:r>
      <w:r>
        <w:rPr>
          <w:rFonts w:hint="eastAsia"/>
          <w:color w:val="auto"/>
          <w:highlight w:val="none"/>
        </w:rPr>
        <w:t>m/s</w:t>
      </w:r>
      <w:r>
        <w:rPr>
          <w:rFonts w:cs="Calibri"/>
          <w:color w:val="auto"/>
          <w:highlight w:val="none"/>
          <w:vertAlign w:val="superscript"/>
        </w:rPr>
        <w:t>²</w:t>
      </w:r>
      <w:r>
        <w:rPr>
          <w:rFonts w:hint="eastAsia"/>
          <w:color w:val="auto"/>
          <w:highlight w:val="none"/>
        </w:rPr>
        <w:t>时，不应发出紧急制动信号，但减速度等于或者大于6</w:t>
      </w:r>
      <w:r>
        <w:rPr>
          <w:rFonts w:hint="eastAsia"/>
          <w:color w:val="auto"/>
          <w:highlight w:val="none"/>
          <w:lang w:val="en-US" w:eastAsia="zh-CN"/>
        </w:rPr>
        <w:t> </w:t>
      </w:r>
      <w:r>
        <w:rPr>
          <w:rFonts w:hint="eastAsia"/>
          <w:color w:val="auto"/>
          <w:highlight w:val="none"/>
        </w:rPr>
        <w:t>m</w:t>
      </w:r>
      <w:r>
        <w:rPr>
          <w:color w:val="auto"/>
          <w:highlight w:val="none"/>
        </w:rPr>
        <w:t>/s</w:t>
      </w:r>
      <w:r>
        <w:rPr>
          <w:color w:val="auto"/>
          <w:highlight w:val="none"/>
          <w:vertAlign w:val="superscript"/>
        </w:rPr>
        <w:t>2</w:t>
      </w:r>
      <w:r>
        <w:rPr>
          <w:rFonts w:hint="eastAsia"/>
          <w:color w:val="auto"/>
          <w:highlight w:val="none"/>
          <w:vertAlign w:val="baseline"/>
        </w:rPr>
        <w:t>（</w:t>
      </w:r>
      <w:r>
        <w:rPr>
          <w:rFonts w:hint="eastAsia"/>
          <w:color w:val="auto"/>
          <w:highlight w:val="none"/>
        </w:rPr>
        <w:t>由车辆制造商定义实际限值</w:t>
      </w:r>
      <w:r>
        <w:rPr>
          <w:rFonts w:hint="eastAsia"/>
          <w:color w:val="auto"/>
          <w:highlight w:val="none"/>
          <w:vertAlign w:val="baseline"/>
        </w:rPr>
        <w:t>）</w:t>
      </w:r>
      <w:r>
        <w:rPr>
          <w:rFonts w:hint="eastAsia"/>
          <w:color w:val="auto"/>
          <w:highlight w:val="none"/>
        </w:rPr>
        <w:t>时可发出紧急制动信号。当车辆减速度低于2.5</w:t>
      </w:r>
      <w:r>
        <w:rPr>
          <w:rFonts w:hint="eastAsia"/>
          <w:color w:val="auto"/>
          <w:highlight w:val="none"/>
          <w:lang w:val="en-US" w:eastAsia="zh-CN"/>
        </w:rPr>
        <w:t> </w:t>
      </w:r>
      <w:r>
        <w:rPr>
          <w:rFonts w:hint="eastAsia"/>
          <w:color w:val="auto"/>
          <w:highlight w:val="none"/>
        </w:rPr>
        <w:t>m/s</w:t>
      </w:r>
      <w:r>
        <w:rPr>
          <w:rFonts w:cs="Calibri"/>
          <w:color w:val="auto"/>
          <w:highlight w:val="none"/>
        </w:rPr>
        <w:t>²</w:t>
      </w:r>
      <w:r>
        <w:rPr>
          <w:rFonts w:hint="eastAsia" w:cs="黑体"/>
          <w:color w:val="auto"/>
          <w:highlight w:val="none"/>
        </w:rPr>
        <w:t>时，应解除紧急制动信号。</w:t>
      </w:r>
    </w:p>
    <w:p>
      <w:pPr>
        <w:pStyle w:val="180"/>
        <w:numPr>
          <w:ilvl w:val="0"/>
          <w:numId w:val="32"/>
        </w:numPr>
        <w:rPr>
          <w:color w:val="auto"/>
          <w:highlight w:val="none"/>
        </w:rPr>
      </w:pPr>
      <w:r>
        <w:rPr>
          <w:rFonts w:hint="eastAsia"/>
          <w:color w:val="auto"/>
          <w:highlight w:val="none"/>
        </w:rPr>
        <w:t>下列情况也可发出紧急制动信号：</w:t>
      </w:r>
    </w:p>
    <w:p>
      <w:pPr>
        <w:pStyle w:val="115"/>
        <w:numPr>
          <w:ilvl w:val="1"/>
          <w:numId w:val="32"/>
        </w:numPr>
        <w:rPr>
          <w:color w:val="auto"/>
          <w:highlight w:val="none"/>
        </w:rPr>
      </w:pPr>
      <w:r>
        <w:rPr>
          <w:rFonts w:hint="eastAsia"/>
          <w:color w:val="auto"/>
          <w:highlight w:val="none"/>
        </w:rPr>
        <w:t>紧急制动信号的发出，可基于通过制动需求预测的车辆减速度，信号的发出和解除参照本条a）规定的限值。</w:t>
      </w:r>
    </w:p>
    <w:p>
      <w:pPr>
        <w:pStyle w:val="115"/>
        <w:numPr>
          <w:ilvl w:val="1"/>
          <w:numId w:val="32"/>
        </w:numPr>
        <w:rPr>
          <w:color w:val="auto"/>
          <w:highlight w:val="none"/>
        </w:rPr>
      </w:pPr>
      <w:r>
        <w:rPr>
          <w:rFonts w:hint="eastAsia"/>
          <w:color w:val="auto"/>
          <w:highlight w:val="none"/>
        </w:rPr>
        <w:t>车速大于50</w:t>
      </w:r>
      <w:r>
        <w:rPr>
          <w:rFonts w:hint="eastAsia"/>
          <w:color w:val="auto"/>
          <w:highlight w:val="none"/>
          <w:lang w:val="en-US" w:eastAsia="zh-CN"/>
        </w:rPr>
        <w:t> </w:t>
      </w:r>
      <w:r>
        <w:rPr>
          <w:rFonts w:hint="eastAsia"/>
          <w:color w:val="auto"/>
          <w:highlight w:val="none"/>
        </w:rPr>
        <w:t>km/h且防抱制动系统全循环时，可发出紧急制动信号。防抱制动系统不再全循环时应解除紧急制动信号。</w:t>
      </w:r>
    </w:p>
    <w:p>
      <w:pPr>
        <w:pStyle w:val="71"/>
        <w:spacing w:before="0" w:beforeLines="0" w:after="0" w:afterLines="0"/>
        <w:rPr>
          <w:rFonts w:ascii="宋体" w:hAnsi="宋体" w:eastAsia="宋体"/>
          <w:color w:val="auto"/>
          <w:highlight w:val="none"/>
        </w:rPr>
      </w:pPr>
      <w:bookmarkStart w:id="98" w:name="_Toc118580252"/>
      <w:r>
        <w:rPr>
          <w:rFonts w:hint="eastAsia" w:ascii="宋体" w:hAnsi="宋体" w:eastAsia="宋体"/>
          <w:color w:val="auto"/>
          <w:highlight w:val="none"/>
        </w:rPr>
        <w:t>装有临时备用车轮/轮胎的M</w:t>
      </w:r>
      <w:r>
        <w:rPr>
          <w:rFonts w:ascii="宋体" w:hAnsi="宋体" w:eastAsia="宋体"/>
          <w:color w:val="auto"/>
          <w:highlight w:val="none"/>
          <w:vertAlign w:val="subscript"/>
        </w:rPr>
        <w:t>1</w:t>
      </w:r>
      <w:r>
        <w:rPr>
          <w:rFonts w:hint="eastAsia" w:ascii="宋体" w:hAnsi="宋体" w:eastAsia="宋体"/>
          <w:color w:val="auto"/>
          <w:highlight w:val="none"/>
        </w:rPr>
        <w:t>类车辆，应满足附录F的要求。</w:t>
      </w:r>
      <w:bookmarkEnd w:id="98"/>
    </w:p>
    <w:p>
      <w:pPr>
        <w:pStyle w:val="71"/>
        <w:spacing w:beforeLines="0" w:afterLine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M</w:t>
      </w:r>
      <w:r>
        <w:rPr>
          <w:rFonts w:hint="eastAsia" w:ascii="宋体" w:hAnsi="宋体" w:eastAsia="宋体"/>
          <w:color w:val="auto"/>
          <w:highlight w:val="none"/>
          <w:vertAlign w:val="subscript"/>
          <w:lang w:val="en-US" w:eastAsia="zh-CN"/>
        </w:rPr>
        <w:t>1</w:t>
      </w:r>
      <w:r>
        <w:rPr>
          <w:rFonts w:hint="eastAsia" w:ascii="宋体" w:hAnsi="宋体" w:eastAsia="宋体"/>
          <w:color w:val="auto"/>
          <w:highlight w:val="none"/>
          <w:vertAlign w:val="baseline"/>
          <w:lang w:val="en-US" w:eastAsia="zh-CN"/>
        </w:rPr>
        <w:t>类</w:t>
      </w:r>
      <w:r>
        <w:rPr>
          <w:rFonts w:hint="eastAsia" w:ascii="宋体" w:hAnsi="宋体" w:eastAsia="宋体"/>
          <w:color w:val="auto"/>
          <w:highlight w:val="none"/>
          <w:lang w:val="en-US" w:eastAsia="zh-CN"/>
        </w:rPr>
        <w:t>车辆应装配符合本文件要求的防抱制动系统。</w:t>
      </w:r>
    </w:p>
    <w:p>
      <w:pPr>
        <w:pStyle w:val="110"/>
        <w:spacing w:before="312" w:after="312"/>
        <w:rPr>
          <w:color w:val="auto"/>
          <w:highlight w:val="none"/>
        </w:rPr>
      </w:pPr>
      <w:bookmarkStart w:id="99" w:name="_Toc72156268"/>
      <w:bookmarkStart w:id="100" w:name="_Toc118580253"/>
      <w:bookmarkStart w:id="101" w:name="_Toc21207"/>
      <w:bookmarkStart w:id="102" w:name="_Toc109891116"/>
      <w:r>
        <w:rPr>
          <w:rFonts w:hint="eastAsia"/>
          <w:color w:val="auto"/>
          <w:highlight w:val="none"/>
        </w:rPr>
        <w:t>试验</w:t>
      </w:r>
      <w:bookmarkEnd w:id="99"/>
      <w:r>
        <w:rPr>
          <w:rFonts w:hint="eastAsia"/>
          <w:color w:val="auto"/>
          <w:highlight w:val="none"/>
        </w:rPr>
        <w:t>和性能要求</w:t>
      </w:r>
      <w:bookmarkEnd w:id="100"/>
      <w:bookmarkEnd w:id="101"/>
      <w:bookmarkEnd w:id="102"/>
    </w:p>
    <w:p>
      <w:pPr>
        <w:pStyle w:val="111"/>
        <w:spacing w:before="156" w:after="156"/>
        <w:rPr>
          <w:color w:val="auto"/>
          <w:highlight w:val="none"/>
        </w:rPr>
      </w:pPr>
      <w:bookmarkStart w:id="103" w:name="_Toc72156164"/>
      <w:bookmarkEnd w:id="103"/>
      <w:bookmarkStart w:id="104" w:name="_Toc72156269"/>
      <w:bookmarkStart w:id="105" w:name="_Toc109891117"/>
      <w:bookmarkStart w:id="106" w:name="_Toc20281"/>
      <w:bookmarkStart w:id="107" w:name="_Toc118580254"/>
      <w:r>
        <w:rPr>
          <w:rFonts w:hint="eastAsia"/>
          <w:color w:val="auto"/>
          <w:highlight w:val="none"/>
        </w:rPr>
        <w:t>试验</w:t>
      </w:r>
      <w:bookmarkEnd w:id="104"/>
      <w:r>
        <w:rPr>
          <w:rFonts w:hint="eastAsia"/>
          <w:color w:val="auto"/>
          <w:highlight w:val="none"/>
        </w:rPr>
        <w:t>要求</w:t>
      </w:r>
      <w:bookmarkEnd w:id="105"/>
      <w:bookmarkEnd w:id="106"/>
      <w:bookmarkEnd w:id="107"/>
    </w:p>
    <w:p>
      <w:pPr>
        <w:pStyle w:val="71"/>
        <w:spacing w:before="156" w:after="156"/>
        <w:rPr>
          <w:color w:val="auto"/>
          <w:highlight w:val="none"/>
        </w:rPr>
      </w:pPr>
      <w:bookmarkStart w:id="108" w:name="_Toc72156165"/>
      <w:bookmarkEnd w:id="108"/>
      <w:bookmarkStart w:id="109" w:name="_Toc118580255"/>
      <w:r>
        <w:rPr>
          <w:rFonts w:hint="eastAsia"/>
          <w:color w:val="auto"/>
          <w:highlight w:val="none"/>
        </w:rPr>
        <w:t>总体要求</w:t>
      </w:r>
      <w:bookmarkEnd w:id="109"/>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制动系统的性能是基于制动距离和充分发出的平均减速度规定的</w:t>
      </w:r>
      <w:r>
        <w:rPr>
          <w:rFonts w:hint="eastAsia" w:ascii="宋体" w:hAnsi="宋体" w:eastAsia="宋体"/>
          <w:color w:val="auto"/>
          <w:highlight w:val="none"/>
          <w:lang w:eastAsia="zh-CN"/>
        </w:rPr>
        <w:t>，</w:t>
      </w:r>
      <w:r>
        <w:rPr>
          <w:rFonts w:hint="eastAsia" w:ascii="宋体" w:hAnsi="宋体" w:eastAsia="宋体"/>
          <w:color w:val="auto"/>
          <w:highlight w:val="none"/>
        </w:rPr>
        <w:t>制动系统的性能应通过测量与车辆初始车速有关的制动距离和/或测量试验中充分发出的平均减速度来确定。</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制动距离是指从</w:t>
      </w:r>
      <w:r>
        <w:rPr>
          <w:rFonts w:hint="eastAsia" w:ascii="宋体" w:hAnsi="宋体" w:eastAsia="宋体"/>
          <w:color w:val="auto"/>
          <w:highlight w:val="none"/>
          <w:lang w:eastAsia="zh-CN"/>
        </w:rPr>
        <w:t>驾驶人</w:t>
      </w:r>
      <w:r>
        <w:rPr>
          <w:rFonts w:hint="eastAsia" w:ascii="宋体" w:hAnsi="宋体" w:eastAsia="宋体"/>
          <w:color w:val="auto"/>
          <w:highlight w:val="none"/>
        </w:rPr>
        <w:t>开始促动制动系统控制装置开始至车辆停住所驶过的距离。初始车速是指</w:t>
      </w:r>
      <w:r>
        <w:rPr>
          <w:rFonts w:hint="eastAsia" w:ascii="宋体" w:hAnsi="宋体" w:eastAsia="宋体"/>
          <w:color w:val="auto"/>
          <w:highlight w:val="none"/>
          <w:lang w:eastAsia="zh-CN"/>
        </w:rPr>
        <w:t>驾驶人</w:t>
      </w:r>
      <w:r>
        <w:rPr>
          <w:rFonts w:hint="eastAsia" w:ascii="宋体" w:hAnsi="宋体" w:eastAsia="宋体"/>
          <w:color w:val="auto"/>
          <w:highlight w:val="none"/>
        </w:rPr>
        <w:t>开始促动制动系统控制装置时的车速。初始车速与规定车速之间的偏差不</w:t>
      </w:r>
      <w:r>
        <w:rPr>
          <w:rFonts w:hint="eastAsia" w:ascii="宋体" w:hAnsi="宋体" w:eastAsia="宋体"/>
          <w:color w:val="auto"/>
          <w:highlight w:val="none"/>
          <w:lang w:val="en-US" w:eastAsia="zh-CN"/>
        </w:rPr>
        <w:t>应</w:t>
      </w:r>
      <w:r>
        <w:rPr>
          <w:rFonts w:hint="eastAsia" w:ascii="宋体" w:hAnsi="宋体" w:eastAsia="宋体"/>
          <w:color w:val="auto"/>
          <w:highlight w:val="none"/>
        </w:rPr>
        <w:t>超过2%。</w:t>
      </w:r>
    </w:p>
    <w:p>
      <w:pPr>
        <w:spacing w:line="240" w:lineRule="auto"/>
        <w:ind w:firstLine="420" w:firstLineChars="200"/>
        <w:rPr>
          <w:rFonts w:ascii="宋体" w:hAnsi="宋体"/>
          <w:color w:val="auto"/>
          <w:highlight w:val="none"/>
        </w:rPr>
      </w:pPr>
      <w:r>
        <w:rPr>
          <w:rFonts w:ascii="宋体" w:hAnsi="宋体"/>
          <w:color w:val="auto"/>
          <w:highlight w:val="none"/>
        </w:rPr>
        <w:t>充分发出的平均减速度</w:t>
      </w:r>
      <w:r>
        <w:rPr>
          <w:rFonts w:hint="eastAsia" w:ascii="宋体" w:hAnsi="宋体"/>
          <w:color w:val="auto"/>
          <w:highlight w:val="none"/>
        </w:rPr>
        <w:t>（</w:t>
      </w:r>
      <m:oMath>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hint="eastAsia" w:ascii="Cambria Math" w:hAnsi="Cambria Math"/>
                <w:color w:val="auto"/>
                <w:highlight w:val="none"/>
              </w:rPr>
              <m:t>m</m:t>
            </m:r>
            <m:ctrlPr>
              <w:rPr>
                <w:rFonts w:ascii="Cambria Math" w:hAnsi="Cambria Math"/>
                <w:i/>
                <w:color w:val="auto"/>
                <w:highlight w:val="none"/>
              </w:rPr>
            </m:ctrlPr>
          </m:sub>
        </m:sSub>
      </m:oMath>
      <w:r>
        <w:rPr>
          <w:rFonts w:hint="eastAsia" w:ascii="宋体" w:hAnsi="宋体"/>
          <w:color w:val="auto"/>
          <w:highlight w:val="none"/>
        </w:rPr>
        <w:t>）为</w:t>
      </w:r>
      <w:r>
        <w:rPr>
          <w:rFonts w:ascii="宋体" w:hAnsi="宋体"/>
          <w:color w:val="auto"/>
          <w:highlight w:val="none"/>
        </w:rPr>
        <w:t>车速从</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b</m:t>
            </m:r>
            <m:ctrlPr>
              <w:rPr>
                <w:rFonts w:ascii="Cambria Math" w:hAnsi="Cambria Math"/>
                <w:i/>
                <w:color w:val="auto"/>
                <w:highlight w:val="none"/>
              </w:rPr>
            </m:ctrlPr>
          </m:sub>
        </m:sSub>
      </m:oMath>
      <w:r>
        <w:rPr>
          <w:rFonts w:ascii="宋体" w:hAnsi="宋体"/>
          <w:color w:val="auto"/>
          <w:highlight w:val="none"/>
        </w:rPr>
        <w:t>到</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e</m:t>
            </m:r>
            <m:ctrlPr>
              <w:rPr>
                <w:rFonts w:ascii="Cambria Math" w:hAnsi="Cambria Math"/>
                <w:i/>
                <w:color w:val="auto"/>
                <w:highlight w:val="none"/>
              </w:rPr>
            </m:ctrlPr>
          </m:sub>
        </m:sSub>
      </m:oMath>
      <w:r>
        <w:rPr>
          <w:rFonts w:ascii="宋体" w:hAnsi="宋体"/>
          <w:color w:val="auto"/>
          <w:highlight w:val="none"/>
        </w:rPr>
        <w:t>期间的</w:t>
      </w:r>
      <w:r>
        <w:rPr>
          <w:rFonts w:hint="eastAsia" w:ascii="宋体" w:hAnsi="宋体"/>
          <w:color w:val="auto"/>
          <w:highlight w:val="none"/>
        </w:rPr>
        <w:t>对距离的</w:t>
      </w:r>
      <w:r>
        <w:rPr>
          <w:rFonts w:ascii="宋体" w:hAnsi="宋体"/>
          <w:color w:val="auto"/>
          <w:highlight w:val="none"/>
        </w:rPr>
        <w:t>平均减速度，</w:t>
      </w:r>
      <w:r>
        <w:rPr>
          <w:rFonts w:hint="eastAsia" w:ascii="宋体" w:hAnsi="宋体"/>
          <w:color w:val="auto"/>
          <w:highlight w:val="none"/>
          <w:lang w:val="en-US" w:eastAsia="zh-CN"/>
        </w:rPr>
        <w:t>计算方法见公式（1）</w:t>
      </w:r>
      <w:r>
        <w:rPr>
          <w:rFonts w:ascii="宋体" w:hAnsi="宋体"/>
          <w:color w:val="auto"/>
          <w:highlight w:val="none"/>
        </w:rPr>
        <w:t>：</w:t>
      </w:r>
    </w:p>
    <w:p>
      <w:pPr>
        <w:pStyle w:val="119"/>
        <w:tabs>
          <w:tab w:val="center" w:pos="4725"/>
          <w:tab w:val="right" w:leader="dot" w:pos="9450"/>
          <w:tab w:val="clear" w:pos="4678"/>
          <w:tab w:val="clear" w:pos="9356"/>
        </w:tabs>
        <w:rPr>
          <w:color w:val="auto"/>
          <w:highlight w:val="none"/>
        </w:rPr>
      </w:pPr>
      <w:r>
        <w:rPr>
          <w:rFonts w:hint="eastAsia"/>
          <w:color w:val="auto"/>
          <w:highlight w:val="none"/>
          <w:lang w:val="en-US" w:eastAsia="zh-CN"/>
        </w:rPr>
        <w:tab/>
      </w:r>
      <m:oMath>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hint="eastAsia" w:ascii="Cambria Math" w:hAnsi="Cambria Math"/>
                <w:color w:val="auto"/>
                <w:highlight w:val="none"/>
              </w:rPr>
              <m:t>m</m:t>
            </m:r>
            <m:ctrlPr>
              <w:rPr>
                <w:rFonts w:ascii="Cambria Math" w:hAnsi="Cambria Math"/>
                <w:i/>
                <w:color w:val="auto"/>
                <w:highlight w:val="none"/>
              </w:rPr>
            </m:ctrlPr>
          </m:sub>
        </m:sSub>
        <m:r>
          <m:rPr/>
          <w:rPr>
            <w:rFonts w:hint="eastAsia" w:ascii="Cambria Math" w:hAnsi="Cambria Math"/>
            <w:color w:val="auto"/>
            <w:highlight w:val="none"/>
          </w:rPr>
          <m:t>=</m:t>
        </m:r>
        <m:f>
          <m:fPr>
            <m:ctrlPr>
              <w:rPr>
                <w:rFonts w:ascii="Cambria Math" w:hAnsi="Cambria Math"/>
                <w:i/>
                <w:color w:val="auto"/>
                <w:highlight w:val="none"/>
              </w:rPr>
            </m:ctrlPr>
          </m:fPr>
          <m:num>
            <m:sSup>
              <m:sSupPr>
                <m:ctrlPr>
                  <w:rPr>
                    <w:rFonts w:ascii="Cambria Math" w:hAnsi="Cambria Math"/>
                    <w:i/>
                    <w:color w:val="auto"/>
                    <w:highlight w:val="none"/>
                  </w:rPr>
                </m:ctrlPr>
              </m:sSupPr>
              <m:e>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b</m:t>
                    </m:r>
                    <m:ctrlPr>
                      <w:rPr>
                        <w:rFonts w:ascii="Cambria Math" w:hAnsi="Cambria Math"/>
                        <w:i/>
                        <w:color w:val="auto"/>
                        <w:highlight w:val="none"/>
                      </w:rPr>
                    </m:ctrlPr>
                  </m:sub>
                </m:sSub>
                <m:ctrlPr>
                  <w:rPr>
                    <w:rFonts w:ascii="Cambria Math" w:hAnsi="Cambria Math"/>
                    <w:i/>
                    <w:color w:val="auto"/>
                    <w:highlight w:val="none"/>
                  </w:rPr>
                </m:ctrlPr>
              </m:e>
              <m:sup>
                <m:r>
                  <m:rPr/>
                  <w:rPr>
                    <w:rFonts w:ascii="Cambria Math" w:hAnsi="Cambria Math"/>
                    <w:color w:val="auto"/>
                    <w:highlight w:val="none"/>
                  </w:rPr>
                  <m:t>2</m:t>
                </m:r>
                <m:ctrlPr>
                  <w:rPr>
                    <w:rFonts w:ascii="Cambria Math" w:hAnsi="Cambria Math"/>
                    <w:i/>
                    <w:color w:val="auto"/>
                    <w:highlight w:val="none"/>
                  </w:rPr>
                </m:ctrlPr>
              </m:sup>
            </m:sSup>
            <m:sSup>
              <m:sSupPr>
                <m:ctrlPr>
                  <w:rPr>
                    <w:rFonts w:ascii="Cambria Math" w:hAnsi="Cambria Math"/>
                    <w:i/>
                    <w:color w:val="auto"/>
                    <w:highlight w:val="none"/>
                  </w:rPr>
                </m:ctrlPr>
              </m:sSupPr>
              <m:e>
                <m:sSub>
                  <m:sSubPr>
                    <m:ctrlPr>
                      <w:rPr>
                        <w:rFonts w:ascii="Cambria Math" w:hAnsi="Cambria Math"/>
                        <w:i/>
                        <w:color w:val="auto"/>
                        <w:highlight w:val="none"/>
                      </w:rPr>
                    </m:ctrlPr>
                  </m:sSubPr>
                  <m:e>
                    <m:r>
                      <m:rPr/>
                      <w:rPr>
                        <w:rFonts w:hint="eastAsia" w:ascii="微软雅黑" w:hAnsi="微软雅黑" w:eastAsia="微软雅黑" w:cs="微软雅黑"/>
                        <w:color w:val="auto"/>
                        <w:highlight w:val="none"/>
                      </w:rPr>
                      <m:t>−</m:t>
                    </m:r>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e</m:t>
                    </m:r>
                    <m:ctrlPr>
                      <w:rPr>
                        <w:rFonts w:ascii="Cambria Math" w:hAnsi="Cambria Math"/>
                        <w:i/>
                        <w:color w:val="auto"/>
                        <w:highlight w:val="none"/>
                      </w:rPr>
                    </m:ctrlPr>
                  </m:sub>
                </m:sSub>
                <m:ctrlPr>
                  <w:rPr>
                    <w:rFonts w:ascii="Cambria Math" w:hAnsi="Cambria Math"/>
                    <w:i/>
                    <w:color w:val="auto"/>
                    <w:highlight w:val="none"/>
                  </w:rPr>
                </m:ctrlPr>
              </m:e>
              <m:sup>
                <m:r>
                  <m:rPr/>
                  <w:rPr>
                    <w:rFonts w:ascii="Cambria Math" w:hAnsi="Cambria Math"/>
                    <w:color w:val="auto"/>
                    <w:highlight w:val="none"/>
                  </w:rPr>
                  <m:t>2</m:t>
                </m:r>
                <m:ctrlPr>
                  <w:rPr>
                    <w:rFonts w:ascii="Cambria Math" w:hAnsi="Cambria Math"/>
                    <w:i/>
                    <w:color w:val="auto"/>
                    <w:highlight w:val="none"/>
                  </w:rPr>
                </m:ctrlPr>
              </m:sup>
            </m:sSup>
            <m:ctrlPr>
              <w:rPr>
                <w:rFonts w:ascii="Cambria Math" w:hAnsi="Cambria Math"/>
                <w:i/>
                <w:color w:val="auto"/>
                <w:highlight w:val="none"/>
              </w:rPr>
            </m:ctrlPr>
          </m:num>
          <m:den>
            <m:r>
              <m:rPr/>
              <w:rPr>
                <w:rFonts w:ascii="Cambria Math" w:hAnsi="Cambria Math"/>
                <w:color w:val="auto"/>
                <w:highlight w:val="none"/>
              </w:rPr>
              <m:t>25.92</m:t>
            </m:r>
            <m:d>
              <m:dPr>
                <m:ctrlPr>
                  <w:rPr>
                    <w:rFonts w:ascii="Cambria Math" w:hAnsi="Cambria Math"/>
                    <w:i/>
                    <w:color w:val="auto"/>
                    <w:highlight w:val="none"/>
                  </w:rPr>
                </m:ctrlPr>
              </m:dPr>
              <m:e>
                <m:sSub>
                  <m:sSubPr>
                    <m:ctrlPr>
                      <w:rPr>
                        <w:rFonts w:ascii="Cambria Math" w:hAnsi="Cambria Math"/>
                        <w:i/>
                        <w:color w:val="auto"/>
                        <w:highlight w:val="none"/>
                      </w:rPr>
                    </m:ctrlPr>
                  </m:sSubPr>
                  <m:e>
                    <m:r>
                      <m:rPr/>
                      <w:rPr>
                        <w:rFonts w:hint="eastAsia" w:ascii="Cambria Math" w:hAnsi="Cambria Math"/>
                        <w:color w:val="auto"/>
                        <w:highlight w:val="none"/>
                      </w:rPr>
                      <m:t>S</m:t>
                    </m:r>
                    <m:ctrlPr>
                      <w:rPr>
                        <w:rFonts w:ascii="Cambria Math" w:hAnsi="Cambria Math"/>
                        <w:i/>
                        <w:color w:val="auto"/>
                        <w:highlight w:val="none"/>
                      </w:rPr>
                    </m:ctrlPr>
                  </m:e>
                  <m:sub>
                    <m:r>
                      <m:rPr/>
                      <w:rPr>
                        <w:rFonts w:hint="eastAsia" w:ascii="Cambria Math" w:hAnsi="Cambria Math"/>
                        <w:color w:val="auto"/>
                        <w:highlight w:val="none"/>
                      </w:rPr>
                      <m:t>e</m:t>
                    </m:r>
                    <m:ctrlPr>
                      <w:rPr>
                        <w:rFonts w:ascii="Cambria Math" w:hAnsi="Cambria Math"/>
                        <w:i/>
                        <w:color w:val="auto"/>
                        <w:highlight w:val="none"/>
                      </w:rPr>
                    </m:ctrlPr>
                  </m:sub>
                </m:sSub>
                <m:r>
                  <m:rPr/>
                  <w:rPr>
                    <w:rFonts w:hint="eastAsia" w:ascii="微软雅黑" w:hAnsi="微软雅黑" w:eastAsia="微软雅黑" w:cs="微软雅黑"/>
                    <w:color w:val="auto"/>
                    <w:highlight w:val="none"/>
                  </w:rPr>
                  <m:t>−</m:t>
                </m:r>
                <m:sSub>
                  <m:sSubPr>
                    <m:ctrlPr>
                      <w:rPr>
                        <w:rFonts w:ascii="Cambria Math" w:hAnsi="Cambria Math"/>
                        <w:i/>
                        <w:color w:val="auto"/>
                        <w:highlight w:val="none"/>
                      </w:rPr>
                    </m:ctrlPr>
                  </m:sSubPr>
                  <m:e>
                    <m:r>
                      <m:rPr/>
                      <w:rPr>
                        <w:rFonts w:hint="eastAsia" w:ascii="Cambria Math" w:hAnsi="Cambria Math"/>
                        <w:color w:val="auto"/>
                        <w:highlight w:val="none"/>
                      </w:rPr>
                      <m:t>S</m:t>
                    </m:r>
                    <m:ctrlPr>
                      <w:rPr>
                        <w:rFonts w:ascii="Cambria Math" w:hAnsi="Cambria Math"/>
                        <w:i/>
                        <w:color w:val="auto"/>
                        <w:highlight w:val="none"/>
                      </w:rPr>
                    </m:ctrlPr>
                  </m:e>
                  <m:sub>
                    <m:r>
                      <m:rPr/>
                      <w:rPr>
                        <w:rFonts w:hint="eastAsia" w:ascii="Cambria Math" w:hAnsi="Cambria Math"/>
                        <w:color w:val="auto"/>
                        <w:highlight w:val="none"/>
                      </w:rPr>
                      <m:t>b</m:t>
                    </m:r>
                    <m:ctrlPr>
                      <w:rPr>
                        <w:rFonts w:ascii="Cambria Math" w:hAnsi="Cambria Math"/>
                        <w:i/>
                        <w:color w:val="auto"/>
                        <w:highlight w:val="none"/>
                      </w:rPr>
                    </m:ctrlPr>
                  </m:sub>
                </m:sSub>
                <m:ctrlPr>
                  <w:rPr>
                    <w:rFonts w:ascii="Cambria Math" w:hAnsi="Cambria Math"/>
                    <w:i/>
                    <w:color w:val="auto"/>
                    <w:highlight w:val="none"/>
                  </w:rPr>
                </m:ctrlPr>
              </m:e>
            </m:d>
            <m:ctrlPr>
              <w:rPr>
                <w:rFonts w:ascii="Cambria Math" w:hAnsi="Cambria Math"/>
                <w:i/>
                <w:color w:val="auto"/>
                <w:highlight w:val="none"/>
              </w:rPr>
            </m:ctrlPr>
          </m:den>
        </m:f>
      </m:oMath>
      <w:r>
        <w:rPr>
          <w:rFonts w:hint="eastAsia" w:hAnsi="Cambria Math"/>
          <w:i w:val="0"/>
          <w:color w:val="auto"/>
          <w:highlight w:val="none"/>
          <w:lang w:val="en-US" w:eastAsia="zh-CN"/>
        </w:rPr>
        <w:tab/>
      </w:r>
      <w:r>
        <w:rPr>
          <w:color w:val="auto"/>
          <w:highlight w:val="none"/>
        </w:rPr>
        <w:t>(</w:t>
      </w:r>
      <w:r>
        <w:rPr>
          <w:color w:val="auto"/>
          <w:highlight w:val="none"/>
        </w:rPr>
        <w:fldChar w:fldCharType="begin"/>
      </w:r>
      <w:r>
        <w:rPr>
          <w:color w:val="auto"/>
          <w:highlight w:val="none"/>
        </w:rPr>
        <w:instrText xml:space="preserve"> AUTONUM </w:instrText>
      </w:r>
      <w:r>
        <w:rPr>
          <w:color w:val="auto"/>
          <w:highlight w:val="none"/>
        </w:rPr>
        <w:fldChar w:fldCharType="end"/>
      </w:r>
      <w:r>
        <w:rPr>
          <w:color w:val="auto"/>
          <w:highlight w:val="none"/>
        </w:rPr>
        <w:t>)</w:t>
      </w:r>
    </w:p>
    <w:p>
      <w:pPr>
        <w:pStyle w:val="61"/>
        <w:ind w:firstLine="420"/>
        <w:rPr>
          <w:color w:val="auto"/>
          <w:highlight w:val="none"/>
        </w:rPr>
      </w:pPr>
      <w:r>
        <w:rPr>
          <w:rFonts w:hint="eastAsia"/>
          <w:color w:val="auto"/>
          <w:highlight w:val="none"/>
        </w:rPr>
        <w:t>式中：</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hint="eastAsia" w:ascii="Cambria Math" w:hAnsi="Cambria Math"/>
                <w:color w:val="auto"/>
                <w:highlight w:val="none"/>
              </w:rPr>
              <m:t>m</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——充分发出的平均减速度</w:t>
      </w:r>
      <w:r>
        <w:rPr>
          <w:rFonts w:hint="eastAsia"/>
          <w:color w:val="auto"/>
          <w:highlight w:val="none"/>
          <w:lang w:val="en-US" w:eastAsia="zh-CN"/>
        </w:rPr>
        <w:t>的数值</w:t>
      </w:r>
      <w:r>
        <w:rPr>
          <w:rFonts w:hint="eastAsia"/>
          <w:color w:val="auto"/>
          <w:highlight w:val="none"/>
        </w:rPr>
        <w:t>，单位为米每二次方秒（m</w:t>
      </w:r>
      <w:r>
        <w:rPr>
          <w:color w:val="auto"/>
          <w:highlight w:val="none"/>
        </w:rPr>
        <w:t>/s</w:t>
      </w:r>
      <w:r>
        <w:rPr>
          <w:color w:val="auto"/>
          <w:highlight w:val="none"/>
          <w:vertAlign w:val="superscript"/>
        </w:rPr>
        <w:t>2</w:t>
      </w:r>
      <w:r>
        <w:rPr>
          <w:rFonts w:hint="eastAsia"/>
          <w:color w:val="auto"/>
          <w:highlight w:val="none"/>
        </w:rPr>
        <w:t>）；</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0</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——车辆初始车速</w:t>
      </w:r>
      <w:r>
        <w:rPr>
          <w:rFonts w:hint="eastAsia"/>
          <w:color w:val="auto"/>
          <w:highlight w:val="none"/>
          <w:lang w:val="en-US" w:eastAsia="zh-CN"/>
        </w:rPr>
        <w:t>的数值</w:t>
      </w:r>
      <w:r>
        <w:rPr>
          <w:rFonts w:hint="eastAsia"/>
          <w:color w:val="auto"/>
          <w:highlight w:val="none"/>
        </w:rPr>
        <w:t>，单位为千米每小时（km/</w:t>
      </w:r>
      <w:r>
        <w:rPr>
          <w:color w:val="auto"/>
          <w:highlight w:val="none"/>
        </w:rPr>
        <w:t>h</w:t>
      </w:r>
      <w:r>
        <w:rPr>
          <w:rFonts w:hint="eastAsia"/>
          <w:color w:val="auto"/>
          <w:highlight w:val="none"/>
        </w:rPr>
        <w:t>）；</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b</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——0</w:t>
      </w:r>
      <w:r>
        <w:rPr>
          <w:color w:val="auto"/>
          <w:highlight w:val="none"/>
        </w:rPr>
        <w:t>.8</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0</m:t>
            </m:r>
            <m:ctrlPr>
              <w:rPr>
                <w:rFonts w:ascii="Cambria Math" w:hAnsi="Cambria Math"/>
                <w:i/>
                <w:color w:val="auto"/>
                <w:highlight w:val="none"/>
              </w:rPr>
            </m:ctrlPr>
          </m:sub>
        </m:sSub>
      </m:oMath>
      <w:r>
        <w:rPr>
          <w:rFonts w:hint="eastAsia"/>
          <w:color w:val="auto"/>
          <w:highlight w:val="none"/>
        </w:rPr>
        <w:t>时的车速</w:t>
      </w:r>
      <w:r>
        <w:rPr>
          <w:rFonts w:hint="eastAsia"/>
          <w:color w:val="auto"/>
          <w:highlight w:val="none"/>
          <w:lang w:val="en-US" w:eastAsia="zh-CN"/>
        </w:rPr>
        <w:t>的数值</w:t>
      </w:r>
      <w:r>
        <w:rPr>
          <w:rFonts w:hint="eastAsia"/>
          <w:color w:val="auto"/>
          <w:highlight w:val="none"/>
        </w:rPr>
        <w:t>，单位为千米每小时（km/</w:t>
      </w:r>
      <w:r>
        <w:rPr>
          <w:color w:val="auto"/>
          <w:highlight w:val="none"/>
        </w:rPr>
        <w:t>h</w:t>
      </w:r>
      <w:r>
        <w:rPr>
          <w:rFonts w:hint="eastAsia"/>
          <w:color w:val="auto"/>
          <w:highlight w:val="none"/>
        </w:rPr>
        <w:t>）；</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e</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——0</w:t>
      </w:r>
      <w:r>
        <w:rPr>
          <w:color w:val="auto"/>
          <w:highlight w:val="none"/>
        </w:rPr>
        <w:t>.1</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0</m:t>
            </m:r>
            <m:ctrlPr>
              <w:rPr>
                <w:rFonts w:ascii="Cambria Math" w:hAnsi="Cambria Math"/>
                <w:i/>
                <w:color w:val="auto"/>
                <w:highlight w:val="none"/>
              </w:rPr>
            </m:ctrlPr>
          </m:sub>
        </m:sSub>
      </m:oMath>
      <w:r>
        <w:rPr>
          <w:rFonts w:hint="eastAsia"/>
          <w:color w:val="auto"/>
          <w:highlight w:val="none"/>
        </w:rPr>
        <w:t>时的车速</w:t>
      </w:r>
      <w:r>
        <w:rPr>
          <w:rFonts w:hint="eastAsia"/>
          <w:color w:val="auto"/>
          <w:highlight w:val="none"/>
          <w:lang w:val="en-US" w:eastAsia="zh-CN"/>
        </w:rPr>
        <w:t>的数值</w:t>
      </w:r>
      <w:r>
        <w:rPr>
          <w:rFonts w:hint="eastAsia"/>
          <w:color w:val="auto"/>
          <w:highlight w:val="none"/>
        </w:rPr>
        <w:t>，单位为千米每小时（km/</w:t>
      </w:r>
      <w:r>
        <w:rPr>
          <w:color w:val="auto"/>
          <w:highlight w:val="none"/>
        </w:rPr>
        <w:t>h</w:t>
      </w:r>
      <w:r>
        <w:rPr>
          <w:rFonts w:hint="eastAsia"/>
          <w:color w:val="auto"/>
          <w:highlight w:val="none"/>
        </w:rPr>
        <w:t>）；</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S</m:t>
            </m:r>
            <m:ctrlPr>
              <w:rPr>
                <w:rFonts w:ascii="Cambria Math" w:hAnsi="Cambria Math"/>
                <w:i/>
                <w:color w:val="auto"/>
                <w:highlight w:val="none"/>
              </w:rPr>
            </m:ctrlPr>
          </m:e>
          <m:sub>
            <m:r>
              <m:rPr/>
              <w:rPr>
                <w:rFonts w:hint="eastAsia" w:ascii="Cambria Math" w:hAnsi="Cambria Math"/>
                <w:color w:val="auto"/>
                <w:highlight w:val="none"/>
              </w:rPr>
              <m:t>b</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——从</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0</m:t>
            </m:r>
            <m:ctrlPr>
              <w:rPr>
                <w:rFonts w:ascii="Cambria Math" w:hAnsi="Cambria Math"/>
                <w:i/>
                <w:color w:val="auto"/>
                <w:highlight w:val="none"/>
              </w:rPr>
            </m:ctrlPr>
          </m:sub>
        </m:sSub>
      </m:oMath>
      <w:r>
        <w:rPr>
          <w:rFonts w:hint="eastAsia"/>
          <w:color w:val="auto"/>
          <w:highlight w:val="none"/>
        </w:rPr>
        <w:t>到</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b</m:t>
            </m:r>
            <m:ctrlPr>
              <w:rPr>
                <w:rFonts w:ascii="Cambria Math" w:hAnsi="Cambria Math"/>
                <w:i/>
                <w:color w:val="auto"/>
                <w:highlight w:val="none"/>
              </w:rPr>
            </m:ctrlPr>
          </m:sub>
        </m:sSub>
      </m:oMath>
      <w:r>
        <w:rPr>
          <w:rFonts w:hint="eastAsia"/>
          <w:color w:val="auto"/>
          <w:highlight w:val="none"/>
        </w:rPr>
        <w:t>期间行驶的距离</w:t>
      </w:r>
      <w:r>
        <w:rPr>
          <w:rFonts w:hint="eastAsia"/>
          <w:color w:val="auto"/>
          <w:highlight w:val="none"/>
          <w:lang w:val="en-US" w:eastAsia="zh-CN"/>
        </w:rPr>
        <w:t>的数值</w:t>
      </w:r>
      <w:r>
        <w:rPr>
          <w:rFonts w:hint="eastAsia"/>
          <w:color w:val="auto"/>
          <w:highlight w:val="none"/>
        </w:rPr>
        <w:t>，单位为米（m）；</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S</m:t>
            </m:r>
            <m:ctrlPr>
              <w:rPr>
                <w:rFonts w:ascii="Cambria Math" w:hAnsi="Cambria Math"/>
                <w:i/>
                <w:color w:val="auto"/>
                <w:highlight w:val="none"/>
              </w:rPr>
            </m:ctrlPr>
          </m:e>
          <m:sub>
            <m:r>
              <m:rPr/>
              <w:rPr>
                <w:rFonts w:hint="eastAsia" w:ascii="Cambria Math" w:hAnsi="Cambria Math"/>
                <w:color w:val="auto"/>
                <w:highlight w:val="none"/>
              </w:rPr>
              <m:t>e</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——从</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0</m:t>
            </m:r>
            <m:ctrlPr>
              <w:rPr>
                <w:rFonts w:ascii="Cambria Math" w:hAnsi="Cambria Math"/>
                <w:i/>
                <w:color w:val="auto"/>
                <w:highlight w:val="none"/>
              </w:rPr>
            </m:ctrlPr>
          </m:sub>
        </m:sSub>
      </m:oMath>
      <w:r>
        <w:rPr>
          <w:rFonts w:hint="eastAsia"/>
          <w:color w:val="auto"/>
          <w:highlight w:val="none"/>
        </w:rPr>
        <w:t>到</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e</m:t>
            </m:r>
            <m:ctrlPr>
              <w:rPr>
                <w:rFonts w:ascii="Cambria Math" w:hAnsi="Cambria Math"/>
                <w:i/>
                <w:color w:val="auto"/>
                <w:highlight w:val="none"/>
              </w:rPr>
            </m:ctrlPr>
          </m:sub>
        </m:sSub>
      </m:oMath>
      <w:r>
        <w:rPr>
          <w:rFonts w:hint="eastAsia"/>
          <w:color w:val="auto"/>
          <w:highlight w:val="none"/>
        </w:rPr>
        <w:t>期间行驶的距离</w:t>
      </w:r>
      <w:r>
        <w:rPr>
          <w:rFonts w:hint="eastAsia"/>
          <w:color w:val="auto"/>
          <w:highlight w:val="none"/>
          <w:lang w:val="en-US" w:eastAsia="zh-CN"/>
        </w:rPr>
        <w:t>的数值</w:t>
      </w:r>
      <w:r>
        <w:rPr>
          <w:rFonts w:hint="eastAsia"/>
          <w:color w:val="auto"/>
          <w:highlight w:val="none"/>
        </w:rPr>
        <w:t>，单位为米（m）。</w:t>
      </w:r>
    </w:p>
    <w:p>
      <w:pPr>
        <w:pStyle w:val="62"/>
        <w:ind w:firstLine="420"/>
        <w:rPr>
          <w:color w:val="auto"/>
          <w:highlight w:val="none"/>
        </w:rPr>
      </w:pPr>
      <w:r>
        <w:rPr>
          <w:color w:val="auto"/>
          <w:highlight w:val="none"/>
        </w:rPr>
        <w:t>车速和距离应在规定试验车速下用精度</w:t>
      </w:r>
      <w:r>
        <w:rPr>
          <w:rFonts w:hint="eastAsia"/>
          <w:color w:val="auto"/>
          <w:highlight w:val="none"/>
        </w:rPr>
        <w:t>不低于</w:t>
      </w:r>
      <w:r>
        <w:rPr>
          <w:color w:val="auto"/>
          <w:highlight w:val="none"/>
        </w:rPr>
        <w:t>±1%的仪器测定。</w:t>
      </w:r>
      <m:oMath>
        <m:sSub>
          <m:sSubPr>
            <m:ctrlPr>
              <w:rPr>
                <w:rFonts w:ascii="Cambria Math" w:hAnsi="Cambria Math"/>
                <w:i/>
                <w:color w:val="auto"/>
                <w:kern w:val="2"/>
                <w:szCs w:val="21"/>
                <w:highlight w:val="none"/>
              </w:rPr>
            </m:ctrlPr>
          </m:sSubPr>
          <m:e>
            <m:r>
              <m:rPr/>
              <w:rPr>
                <w:rFonts w:hint="eastAsia" w:ascii="Cambria Math" w:hAnsi="Cambria Math"/>
                <w:color w:val="auto"/>
                <w:highlight w:val="none"/>
              </w:rPr>
              <m:t>d</m:t>
            </m:r>
            <m:ctrlPr>
              <w:rPr>
                <w:rFonts w:ascii="Cambria Math" w:hAnsi="Cambria Math"/>
                <w:i/>
                <w:color w:val="auto"/>
                <w:kern w:val="2"/>
                <w:szCs w:val="21"/>
                <w:highlight w:val="none"/>
              </w:rPr>
            </m:ctrlPr>
          </m:e>
          <m:sub>
            <m:r>
              <m:rPr/>
              <w:rPr>
                <w:rFonts w:hint="eastAsia" w:ascii="Cambria Math" w:hAnsi="Cambria Math"/>
                <w:color w:val="auto"/>
                <w:highlight w:val="none"/>
              </w:rPr>
              <m:t>m</m:t>
            </m:r>
            <m:ctrlPr>
              <w:rPr>
                <w:rFonts w:ascii="Cambria Math" w:hAnsi="Cambria Math"/>
                <w:i/>
                <w:color w:val="auto"/>
                <w:kern w:val="2"/>
                <w:szCs w:val="21"/>
                <w:highlight w:val="none"/>
              </w:rPr>
            </m:ctrlPr>
          </m:sub>
        </m:sSub>
      </m:oMath>
      <w:r>
        <w:rPr>
          <w:color w:val="auto"/>
          <w:highlight w:val="none"/>
        </w:rPr>
        <w:t>可用测量车速和距离外的其</w:t>
      </w:r>
      <w:r>
        <w:rPr>
          <w:rFonts w:hint="eastAsia"/>
          <w:color w:val="auto"/>
          <w:highlight w:val="none"/>
        </w:rPr>
        <w:t>他</w:t>
      </w:r>
      <w:r>
        <w:rPr>
          <w:color w:val="auto"/>
          <w:highlight w:val="none"/>
        </w:rPr>
        <w:t>方法测定</w:t>
      </w:r>
      <w:r>
        <w:rPr>
          <w:rFonts w:hint="eastAsia"/>
          <w:color w:val="auto"/>
          <w:highlight w:val="none"/>
        </w:rPr>
        <w:t>，</w:t>
      </w:r>
      <w:r>
        <w:rPr>
          <w:color w:val="auto"/>
          <w:highlight w:val="none"/>
        </w:rPr>
        <w:t>在这种情况下，</w:t>
      </w:r>
      <m:oMath>
        <m:sSub>
          <m:sSubPr>
            <m:ctrlPr>
              <w:rPr>
                <w:rFonts w:ascii="Cambria Math" w:hAnsi="Cambria Math"/>
                <w:i/>
                <w:color w:val="auto"/>
                <w:kern w:val="2"/>
                <w:szCs w:val="21"/>
                <w:highlight w:val="none"/>
              </w:rPr>
            </m:ctrlPr>
          </m:sSubPr>
          <m:e>
            <m:r>
              <m:rPr/>
              <w:rPr>
                <w:rFonts w:hint="eastAsia" w:ascii="Cambria Math" w:hAnsi="Cambria Math"/>
                <w:color w:val="auto"/>
                <w:highlight w:val="none"/>
              </w:rPr>
              <m:t>d</m:t>
            </m:r>
            <m:ctrlPr>
              <w:rPr>
                <w:rFonts w:ascii="Cambria Math" w:hAnsi="Cambria Math"/>
                <w:i/>
                <w:color w:val="auto"/>
                <w:kern w:val="2"/>
                <w:szCs w:val="21"/>
                <w:highlight w:val="none"/>
              </w:rPr>
            </m:ctrlPr>
          </m:e>
          <m:sub>
            <m:r>
              <m:rPr/>
              <w:rPr>
                <w:rFonts w:hint="eastAsia" w:ascii="Cambria Math" w:hAnsi="Cambria Math"/>
                <w:color w:val="auto"/>
                <w:highlight w:val="none"/>
              </w:rPr>
              <m:t>m</m:t>
            </m:r>
            <m:ctrlPr>
              <w:rPr>
                <w:rFonts w:ascii="Cambria Math" w:hAnsi="Cambria Math"/>
                <w:i/>
                <w:color w:val="auto"/>
                <w:kern w:val="2"/>
                <w:szCs w:val="21"/>
                <w:highlight w:val="none"/>
              </w:rPr>
            </m:ctrlPr>
          </m:sub>
        </m:sSub>
      </m:oMath>
      <w:r>
        <w:rPr>
          <w:color w:val="auto"/>
          <w:highlight w:val="none"/>
        </w:rPr>
        <w:t>的精度应在±3%内。</w:t>
      </w:r>
    </w:p>
    <w:p>
      <w:pPr>
        <w:pStyle w:val="71"/>
        <w:spacing w:before="156" w:after="156"/>
        <w:rPr>
          <w:color w:val="auto"/>
          <w:highlight w:val="none"/>
        </w:rPr>
      </w:pPr>
      <w:bookmarkStart w:id="110" w:name="_Toc72156166"/>
      <w:bookmarkEnd w:id="110"/>
      <w:bookmarkStart w:id="111" w:name="_Toc118580256"/>
      <w:r>
        <w:rPr>
          <w:rFonts w:hint="eastAsia"/>
          <w:color w:val="auto"/>
          <w:highlight w:val="none"/>
        </w:rPr>
        <w:t>车辆制动性能的道路试验条件</w:t>
      </w:r>
      <w:bookmarkEnd w:id="111"/>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车辆的质量状态应符合各类试验的规定，并在试验报告中说明。</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各类试验应按相应的规定车速进行。如车辆的最高设计车速低于试验规定车速，应以最高设计车速进行试验。</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试验期间，为达到规定的制动性能而施加在制动系统控制装置上的力不应超过规定的最大值。</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除特殊规定外，试验路面应具有良好的附着性能。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试验应在风力不致影响试验结果的情况下进行。</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试验开始时，轮胎应为冷态且处于与车辆静止时车轮实际负载相对应的规定压力。</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应在车速超过15</w:t>
      </w:r>
      <w:r>
        <w:rPr>
          <w:rFonts w:hint="eastAsia"/>
          <w:color w:val="auto"/>
          <w:highlight w:val="none"/>
          <w:lang w:val="en-US" w:eastAsia="zh-CN"/>
        </w:rPr>
        <w:t> </w:t>
      </w:r>
      <w:r>
        <w:rPr>
          <w:rFonts w:hint="eastAsia" w:ascii="宋体" w:hAnsi="宋体" w:eastAsia="宋体"/>
          <w:color w:val="auto"/>
          <w:highlight w:val="none"/>
        </w:rPr>
        <w:t>km/h时未发生车轮抱死、车辆未偏离3.5</w:t>
      </w:r>
      <w:r>
        <w:rPr>
          <w:rFonts w:hint="eastAsia"/>
          <w:color w:val="auto"/>
          <w:highlight w:val="none"/>
          <w:lang w:val="en-US" w:eastAsia="zh-CN"/>
        </w:rPr>
        <w:t> </w:t>
      </w:r>
      <w:r>
        <w:rPr>
          <w:rFonts w:hint="eastAsia" w:ascii="宋体" w:hAnsi="宋体" w:eastAsia="宋体"/>
          <w:color w:val="auto"/>
          <w:highlight w:val="none"/>
        </w:rPr>
        <w:t>m宽的试验通道、横摆角小于等于15°且无异常振动的情况下达到规定的性能。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对完全或部分依靠与车轮永久连接的电机驱动的车辆，所有试验应在电机接合的情况下进行。</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对6.1.2.8所述的车辆，如装备A型电力再生式制动系统，应在6.</w:t>
      </w:r>
      <w:r>
        <w:rPr>
          <w:rFonts w:hint="eastAsia" w:ascii="宋体" w:hAnsi="宋体" w:eastAsia="宋体"/>
          <w:color w:val="auto"/>
          <w:highlight w:val="none"/>
          <w:lang w:val="en-US" w:eastAsia="zh-CN"/>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.2.2规定的低附着系数路面上按</w:t>
      </w:r>
      <w:r>
        <w:rPr>
          <w:rFonts w:hint="eastAsia" w:ascii="宋体" w:hAnsi="宋体" w:eastAsia="宋体"/>
          <w:color w:val="auto"/>
          <w:highlight w:val="none"/>
          <w:lang w:val="en-US" w:eastAsia="zh-CN"/>
        </w:rPr>
        <w:t>最高车速的80%，但不超过120</w:t>
      </w:r>
      <w:r>
        <w:rPr>
          <w:rFonts w:hint="eastAsia"/>
          <w:color w:val="auto"/>
          <w:highlight w:val="none"/>
          <w:lang w:val="en-US" w:eastAsia="zh-CN"/>
        </w:rPr>
        <w:t> </w:t>
      </w:r>
      <w:r>
        <w:rPr>
          <w:rFonts w:hint="eastAsia" w:ascii="宋体" w:hAnsi="宋体" w:eastAsia="宋体"/>
          <w:color w:val="auto"/>
          <w:highlight w:val="none"/>
          <w:lang w:val="en-US" w:eastAsia="zh-CN"/>
        </w:rPr>
        <w:t>km/h的车速</w:t>
      </w:r>
      <w:r>
        <w:rPr>
          <w:rFonts w:hint="eastAsia" w:ascii="宋体" w:hAnsi="宋体" w:eastAsia="宋体"/>
          <w:color w:val="auto"/>
          <w:highlight w:val="none"/>
        </w:rPr>
        <w:t>进行车辆状态试验。对装备A型电力再生式制动系统的车辆，换挡或松开加速踏板的瞬间不应影响车辆状态。</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在6.1.2.9规定的试验中，不允许车轮抱死；允许进行转向修正，但转向盘在最初2</w:t>
      </w:r>
      <w:r>
        <w:rPr>
          <w:rFonts w:hint="eastAsia"/>
          <w:color w:val="auto"/>
          <w:highlight w:val="none"/>
          <w:lang w:val="en-US" w:eastAsia="zh-CN"/>
        </w:rPr>
        <w:t> </w:t>
      </w:r>
      <w:r>
        <w:rPr>
          <w:rFonts w:hint="eastAsia" w:ascii="宋体" w:hAnsi="宋体" w:eastAsia="宋体"/>
          <w:color w:val="auto"/>
          <w:highlight w:val="none"/>
        </w:rPr>
        <w:t>s内的转角不应超过120°，且总转角不应超过240°。</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如给电动行车制动器供能的动力蓄电池（或辅助动力蓄电池）只能从独立的外部充电系统充电，则动力蓄电池在制动性能试验中的平均荷电状态不应超过5.2.20</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e）规定的制动失效报警时荷电状态的5%。如发生报警，可在试验过程中给动力蓄电池充电，使其荷电状态保持在规定范围内。</w:t>
      </w:r>
    </w:p>
    <w:p>
      <w:pPr>
        <w:pStyle w:val="71"/>
        <w:spacing w:before="156" w:after="156"/>
        <w:rPr>
          <w:color w:val="auto"/>
          <w:highlight w:val="none"/>
        </w:rPr>
      </w:pPr>
      <w:bookmarkStart w:id="112" w:name="_Toc72156167"/>
      <w:bookmarkEnd w:id="112"/>
      <w:bookmarkStart w:id="113" w:name="_Toc118580257"/>
      <w:r>
        <w:rPr>
          <w:rFonts w:hint="eastAsia"/>
          <w:color w:val="auto"/>
          <w:highlight w:val="none"/>
        </w:rPr>
        <w:t>制动中的车辆状态</w:t>
      </w:r>
      <w:bookmarkEnd w:id="113"/>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应在制动试验、特别是高速试验中，检查车辆在制动过程中的总体状态。</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在低附着系数路面上制动时，车辆状态应满足6.5的要求。</w:t>
      </w:r>
      <w:r>
        <w:rPr>
          <w:rFonts w:ascii="宋体" w:hAnsi="宋体" w:eastAsia="宋体"/>
          <w:color w:val="auto"/>
          <w:highlight w:val="none"/>
        </w:rPr>
        <w:t>对5.2.7所述的制动系</w:t>
      </w:r>
      <w:r>
        <w:rPr>
          <w:rFonts w:hint="eastAsia" w:ascii="宋体" w:hAnsi="宋体" w:eastAsia="宋体"/>
          <w:color w:val="auto"/>
          <w:highlight w:val="none"/>
        </w:rPr>
        <w:t>统</w:t>
      </w:r>
      <w:r>
        <w:rPr>
          <w:rFonts w:ascii="宋体" w:hAnsi="宋体" w:eastAsia="宋体"/>
          <w:color w:val="auto"/>
          <w:highlight w:val="none"/>
        </w:rPr>
        <w:t>，如某车轴的制动由不止一种能源的制动力矩提供且每种能源都与其</w:t>
      </w:r>
      <w:r>
        <w:rPr>
          <w:rFonts w:hint="eastAsia" w:ascii="宋体" w:hAnsi="宋体" w:eastAsia="宋体"/>
          <w:color w:val="auto"/>
          <w:highlight w:val="none"/>
        </w:rPr>
        <w:t>他</w:t>
      </w:r>
      <w:r>
        <w:rPr>
          <w:rFonts w:ascii="宋体" w:hAnsi="宋体" w:eastAsia="宋体"/>
          <w:color w:val="auto"/>
          <w:highlight w:val="none"/>
        </w:rPr>
        <w:t>能源不同，车辆在其控制策略</w:t>
      </w:r>
      <w:r>
        <w:rPr>
          <w:rStyle w:val="39"/>
          <w:color w:val="auto"/>
          <w:highlight w:val="none"/>
        </w:rPr>
        <w:footnoteReference w:id="4"/>
      </w:r>
      <w:r>
        <w:rPr>
          <w:rStyle w:val="39"/>
          <w:color w:val="auto"/>
          <w:highlight w:val="none"/>
        </w:rPr>
        <w:t>)</w:t>
      </w:r>
      <w:r>
        <w:rPr>
          <w:rFonts w:ascii="宋体" w:hAnsi="宋体" w:eastAsia="宋体"/>
          <w:color w:val="auto"/>
          <w:highlight w:val="none"/>
        </w:rPr>
        <w:t>允许的所有关系下都应满足6.5的要求</w:t>
      </w:r>
      <w:r>
        <w:rPr>
          <w:rFonts w:hint="eastAsia" w:ascii="宋体" w:hAnsi="宋体" w:eastAsia="宋体"/>
          <w:color w:val="auto"/>
          <w:highlight w:val="none"/>
        </w:rPr>
        <w:t>。</w:t>
      </w:r>
    </w:p>
    <w:p>
      <w:pPr>
        <w:pStyle w:val="71"/>
        <w:spacing w:before="156" w:after="156"/>
        <w:rPr>
          <w:color w:val="auto"/>
          <w:szCs w:val="21"/>
          <w:highlight w:val="none"/>
        </w:rPr>
      </w:pPr>
      <w:bookmarkStart w:id="114" w:name="_Toc118580258"/>
      <w:r>
        <w:rPr>
          <w:rFonts w:hint="eastAsia"/>
          <w:color w:val="auto"/>
          <w:highlight w:val="none"/>
        </w:rPr>
        <w:t>0型试验（冷态制动时的基本性能）</w:t>
      </w:r>
      <w:bookmarkEnd w:id="114"/>
    </w:p>
    <w:p>
      <w:pPr>
        <w:pStyle w:val="100"/>
        <w:spacing w:before="156" w:after="156"/>
        <w:rPr>
          <w:color w:val="auto"/>
          <w:highlight w:val="none"/>
        </w:rPr>
      </w:pPr>
      <w:r>
        <w:rPr>
          <w:rFonts w:hint="eastAsia"/>
          <w:color w:val="auto"/>
          <w:highlight w:val="none"/>
        </w:rPr>
        <w:t>总体要求</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试验开始前，在制动衬片内部、制动盘或制动鼓的制动摩擦面上测得的最热的车轴的行车制动器的平均温度应在65</w:t>
      </w:r>
      <w:r>
        <w:rPr>
          <w:rFonts w:hint="eastAsia"/>
          <w:color w:val="auto"/>
          <w:highlight w:val="none"/>
          <w:lang w:val="en-US" w:eastAsia="zh-CN"/>
        </w:rPr>
        <w:t> </w:t>
      </w:r>
      <w:r>
        <w:rPr>
          <w:rFonts w:hint="eastAsia" w:ascii="宋体" w:hAnsi="宋体" w:eastAsia="宋体"/>
          <w:color w:val="auto"/>
          <w:highlight w:val="none"/>
        </w:rPr>
        <w:t>℃～100</w:t>
      </w:r>
      <w:r>
        <w:rPr>
          <w:rFonts w:hint="eastAsia"/>
          <w:color w:val="auto"/>
          <w:highlight w:val="none"/>
          <w:lang w:val="en-US" w:eastAsia="zh-CN"/>
        </w:rPr>
        <w:t> </w:t>
      </w:r>
      <w:r>
        <w:rPr>
          <w:rFonts w:hint="eastAsia" w:ascii="宋体" w:hAnsi="宋体" w:eastAsia="宋体"/>
          <w:color w:val="auto"/>
          <w:highlight w:val="none"/>
        </w:rPr>
        <w:t>℃之间。</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试验应在下列条件下进行</w:t>
      </w:r>
      <w:r>
        <w:rPr>
          <w:rFonts w:hint="eastAsia" w:ascii="宋体" w:hAnsi="宋体" w:eastAsia="宋体"/>
          <w:color w:val="auto"/>
          <w:highlight w:val="none"/>
          <w:lang w:eastAsia="zh-CN"/>
        </w:rPr>
        <w:t>。</w:t>
      </w:r>
    </w:p>
    <w:p>
      <w:pPr>
        <w:pStyle w:val="180"/>
        <w:numPr>
          <w:ilvl w:val="0"/>
          <w:numId w:val="43"/>
        </w:numPr>
        <w:rPr>
          <w:color w:val="auto"/>
          <w:highlight w:val="none"/>
        </w:rPr>
      </w:pPr>
      <w:r>
        <w:rPr>
          <w:rFonts w:hint="eastAsia"/>
          <w:color w:val="auto"/>
          <w:kern w:val="21"/>
          <w:highlight w:val="none"/>
        </w:rPr>
        <w:t>车辆满载时</w:t>
      </w:r>
      <w:r>
        <w:rPr>
          <w:rFonts w:hint="eastAsia"/>
          <w:color w:val="auto"/>
          <w:highlight w:val="none"/>
        </w:rPr>
        <w:t>，轴荷分配应符合制造商规定。如有几种不同的轴荷分配方案，则车辆最大设计总质量的轴间分配应使各轴轴荷与其最大设计轴荷成正比。</w:t>
      </w:r>
    </w:p>
    <w:p>
      <w:pPr>
        <w:pStyle w:val="180"/>
        <w:numPr>
          <w:ilvl w:val="0"/>
          <w:numId w:val="32"/>
        </w:numPr>
        <w:rPr>
          <w:color w:val="auto"/>
          <w:kern w:val="21"/>
          <w:highlight w:val="none"/>
        </w:rPr>
      </w:pPr>
      <w:r>
        <w:rPr>
          <w:rFonts w:hint="eastAsia"/>
          <w:color w:val="auto"/>
          <w:highlight w:val="none"/>
        </w:rPr>
        <w:t>还应在车辆空载条件下</w:t>
      </w:r>
      <w:r>
        <w:rPr>
          <w:rFonts w:hint="eastAsia"/>
          <w:color w:val="auto"/>
          <w:kern w:val="21"/>
          <w:highlight w:val="none"/>
        </w:rPr>
        <w:t>重复各项试验，除</w:t>
      </w:r>
      <w:r>
        <w:rPr>
          <w:rFonts w:hint="eastAsia"/>
          <w:color w:val="auto"/>
          <w:kern w:val="21"/>
          <w:highlight w:val="none"/>
          <w:lang w:eastAsia="zh-CN"/>
        </w:rPr>
        <w:t>驾驶人</w:t>
      </w:r>
      <w:r>
        <w:rPr>
          <w:rFonts w:hint="eastAsia"/>
          <w:color w:val="auto"/>
          <w:kern w:val="21"/>
          <w:highlight w:val="none"/>
        </w:rPr>
        <w:t>外，前排座椅上可坐一人记录试验结果。</w:t>
      </w:r>
    </w:p>
    <w:p>
      <w:pPr>
        <w:pStyle w:val="180"/>
        <w:numPr>
          <w:ilvl w:val="0"/>
          <w:numId w:val="32"/>
        </w:numPr>
        <w:rPr>
          <w:color w:val="auto"/>
          <w:kern w:val="21"/>
          <w:highlight w:val="none"/>
        </w:rPr>
      </w:pPr>
      <w:r>
        <w:rPr>
          <w:rFonts w:hint="eastAsia"/>
          <w:color w:val="auto"/>
          <w:kern w:val="21"/>
          <w:highlight w:val="none"/>
        </w:rPr>
        <w:t>对装备电力再生式制动系统的车辆，其要求视电力再生式制动系统的类型而定，并按以下方式处理：</w:t>
      </w:r>
    </w:p>
    <w:p>
      <w:pPr>
        <w:pStyle w:val="115"/>
        <w:numPr>
          <w:ilvl w:val="1"/>
          <w:numId w:val="32"/>
        </w:numPr>
        <w:rPr>
          <w:color w:val="auto"/>
          <w:highlight w:val="none"/>
        </w:rPr>
      </w:pPr>
      <w:r>
        <w:rPr>
          <w:rFonts w:hint="eastAsia"/>
          <w:color w:val="auto"/>
          <w:highlight w:val="none"/>
        </w:rPr>
        <w:t>A型电力再生式制动系统如具有单独的控制装置，在0型试验中不应使用该装置</w:t>
      </w:r>
      <w:r>
        <w:rPr>
          <w:rFonts w:hint="eastAsia"/>
          <w:color w:val="auto"/>
          <w:highlight w:val="none"/>
          <w:lang w:eastAsia="zh-CN"/>
        </w:rPr>
        <w:t>；</w:t>
      </w:r>
    </w:p>
    <w:p>
      <w:pPr>
        <w:pStyle w:val="115"/>
        <w:numPr>
          <w:ilvl w:val="1"/>
          <w:numId w:val="32"/>
        </w:numPr>
        <w:rPr>
          <w:color w:val="auto"/>
          <w:highlight w:val="none"/>
        </w:rPr>
      </w:pPr>
      <w:r>
        <w:rPr>
          <w:rFonts w:hint="eastAsia"/>
          <w:color w:val="auto"/>
          <w:highlight w:val="none"/>
        </w:rPr>
        <w:t>B型电力再生式制动系统所产生的制动力不应超过系统设计所保证的最低水平。</w:t>
      </w:r>
    </w:p>
    <w:p>
      <w:pPr>
        <w:pStyle w:val="180"/>
        <w:numPr>
          <w:ilvl w:val="0"/>
          <w:numId w:val="32"/>
        </w:numPr>
        <w:rPr>
          <w:color w:val="auto"/>
          <w:highlight w:val="none"/>
        </w:rPr>
      </w:pPr>
      <w:r>
        <w:rPr>
          <w:rFonts w:hint="eastAsia"/>
          <w:color w:val="auto"/>
          <w:highlight w:val="none"/>
        </w:rPr>
        <w:t>对于B型电力再生式制动系统，如动力蓄电池处于下列荷电状态之一，则认为其满足条件：</w:t>
      </w:r>
    </w:p>
    <w:p>
      <w:pPr>
        <w:pStyle w:val="115"/>
        <w:numPr>
          <w:ilvl w:val="1"/>
          <w:numId w:val="32"/>
        </w:numPr>
        <w:rPr>
          <w:color w:val="auto"/>
          <w:highlight w:val="none"/>
        </w:rPr>
      </w:pPr>
      <w:r>
        <w:rPr>
          <w:rFonts w:hint="eastAsia"/>
          <w:color w:val="auto"/>
          <w:highlight w:val="none"/>
        </w:rPr>
        <w:t>制造商在车辆说明书中推荐的最大荷电状态；</w:t>
      </w:r>
    </w:p>
    <w:p>
      <w:pPr>
        <w:pStyle w:val="115"/>
        <w:numPr>
          <w:ilvl w:val="1"/>
          <w:numId w:val="32"/>
        </w:numPr>
        <w:rPr>
          <w:color w:val="auto"/>
          <w:highlight w:val="none"/>
        </w:rPr>
      </w:pPr>
      <w:r>
        <w:rPr>
          <w:rFonts w:hint="eastAsia"/>
          <w:color w:val="auto"/>
          <w:highlight w:val="none"/>
        </w:rPr>
        <w:t>如制造商未提供具体的推荐意见，不应低于满荷电状态的95%；</w:t>
      </w:r>
    </w:p>
    <w:p>
      <w:pPr>
        <w:pStyle w:val="115"/>
        <w:numPr>
          <w:ilvl w:val="1"/>
          <w:numId w:val="32"/>
        </w:numPr>
        <w:rPr>
          <w:color w:val="auto"/>
          <w:highlight w:val="none"/>
        </w:rPr>
      </w:pPr>
      <w:r>
        <w:rPr>
          <w:rFonts w:hint="eastAsia"/>
          <w:color w:val="auto"/>
          <w:highlight w:val="none"/>
        </w:rPr>
        <w:t xml:space="preserve">车辆自动控制充电所能达到荷电状态的最高水平； </w:t>
      </w:r>
    </w:p>
    <w:p>
      <w:pPr>
        <w:pStyle w:val="115"/>
        <w:numPr>
          <w:ilvl w:val="1"/>
          <w:numId w:val="32"/>
        </w:numPr>
        <w:rPr>
          <w:color w:val="auto"/>
          <w:highlight w:val="none"/>
        </w:rPr>
      </w:pPr>
      <w:r>
        <w:rPr>
          <w:rFonts w:hint="eastAsia"/>
          <w:color w:val="auto"/>
          <w:highlight w:val="none"/>
        </w:rPr>
        <w:t>不管荷电状态如何，在不使用再生制动部件的情况下进行测试。</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性能要求规定了空载及满载条件下进行试验的最低性能要求限值。车辆都应同时满足制动距离和充分发出的平均减速度两项要求，但不必对两项参数都进行实际测定。</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道路应水平。除特殊说明外，包括熟悉车辆所需制动在内，每次试验最多进行</w:t>
      </w:r>
      <w:r>
        <w:rPr>
          <w:rFonts w:ascii="宋体" w:hAnsi="宋体" w:eastAsia="宋体"/>
          <w:color w:val="auto"/>
          <w:highlight w:val="none"/>
        </w:rPr>
        <w:t>6</w:t>
      </w:r>
      <w:r>
        <w:rPr>
          <w:rFonts w:hint="eastAsia" w:ascii="宋体" w:hAnsi="宋体" w:eastAsia="宋体"/>
          <w:color w:val="auto"/>
          <w:highlight w:val="none"/>
        </w:rPr>
        <w:t>次制动。</w:t>
      </w:r>
    </w:p>
    <w:p>
      <w:pPr>
        <w:pStyle w:val="100"/>
        <w:spacing w:before="156" w:after="156"/>
        <w:rPr>
          <w:color w:val="auto"/>
          <w:highlight w:val="none"/>
        </w:rPr>
      </w:pPr>
      <w:r>
        <w:rPr>
          <w:rFonts w:hint="eastAsia"/>
          <w:color w:val="auto"/>
          <w:highlight w:val="none"/>
        </w:rPr>
        <w:t>动力脱开的0型试验</w:t>
      </w:r>
    </w:p>
    <w:p>
      <w:pPr>
        <w:pStyle w:val="62"/>
        <w:ind w:firstLine="420"/>
        <w:rPr>
          <w:rFonts w:hint="eastAsia"/>
          <w:color w:val="auto"/>
          <w:highlight w:val="none"/>
        </w:rPr>
      </w:pPr>
      <w:r>
        <w:rPr>
          <w:rFonts w:hint="eastAsia"/>
          <w:color w:val="auto"/>
          <w:highlight w:val="none"/>
        </w:rPr>
        <w:t>进行动力脱开的0型试验时，行车制动性能应满足6</w:t>
      </w:r>
      <w:r>
        <w:rPr>
          <w:color w:val="auto"/>
          <w:highlight w:val="none"/>
        </w:rPr>
        <w:t>.2.</w:t>
      </w:r>
      <w:r>
        <w:rPr>
          <w:rFonts w:hint="eastAsia"/>
          <w:color w:val="auto"/>
          <w:highlight w:val="none"/>
          <w:lang w:val="en-US" w:eastAsia="zh-CN"/>
        </w:rPr>
        <w:t>1</w:t>
      </w:r>
      <w:r>
        <w:rPr>
          <w:color w:val="auto"/>
          <w:highlight w:val="none"/>
        </w:rPr>
        <w:t>.1</w:t>
      </w:r>
      <w:r>
        <w:rPr>
          <w:rFonts w:hint="eastAsia"/>
          <w:color w:val="auto"/>
          <w:highlight w:val="none"/>
        </w:rPr>
        <w:t>规定的最低性能要求。</w:t>
      </w:r>
    </w:p>
    <w:p>
      <w:pPr>
        <w:pStyle w:val="100"/>
        <w:spacing w:before="156" w:after="156"/>
        <w:rPr>
          <w:color w:val="auto"/>
          <w:highlight w:val="none"/>
        </w:rPr>
      </w:pPr>
      <w:r>
        <w:rPr>
          <w:rFonts w:hint="eastAsia"/>
          <w:color w:val="auto"/>
          <w:highlight w:val="none"/>
          <w:lang w:eastAsia="zh-CN"/>
        </w:rPr>
        <w:t>动力接合</w:t>
      </w:r>
      <w:r>
        <w:rPr>
          <w:rFonts w:hint="eastAsia"/>
          <w:color w:val="auto"/>
          <w:highlight w:val="none"/>
        </w:rPr>
        <w:t>的0型试验</w:t>
      </w:r>
    </w:p>
    <w:p>
      <w:pPr>
        <w:pStyle w:val="62"/>
        <w:ind w:firstLine="420"/>
        <w:rPr>
          <w:color w:val="auto"/>
          <w:highlight w:val="none"/>
        </w:rPr>
      </w:pPr>
      <w:r>
        <w:rPr>
          <w:rFonts w:hint="eastAsia"/>
          <w:color w:val="auto"/>
          <w:highlight w:val="none"/>
        </w:rPr>
        <w:t>进行</w:t>
      </w:r>
      <w:r>
        <w:rPr>
          <w:rFonts w:hint="eastAsia"/>
          <w:color w:val="auto"/>
          <w:highlight w:val="none"/>
          <w:lang w:eastAsia="zh-CN"/>
        </w:rPr>
        <w:t>动力接合</w:t>
      </w:r>
      <w:r>
        <w:rPr>
          <w:rFonts w:hint="eastAsia"/>
          <w:color w:val="auto"/>
          <w:highlight w:val="none"/>
        </w:rPr>
        <w:t>的0型试验时，应满足如下要求：</w:t>
      </w:r>
    </w:p>
    <w:p>
      <w:pPr>
        <w:pStyle w:val="180"/>
        <w:numPr>
          <w:ilvl w:val="0"/>
          <w:numId w:val="44"/>
        </w:numPr>
        <w:rPr>
          <w:color w:val="auto"/>
          <w:highlight w:val="none"/>
        </w:rPr>
      </w:pPr>
      <w:r>
        <w:rPr>
          <w:rFonts w:hint="eastAsia"/>
          <w:color w:val="auto"/>
          <w:highlight w:val="none"/>
        </w:rPr>
        <w:t>试验应在</w:t>
      </w:r>
      <w:r>
        <w:rPr>
          <w:rFonts w:hint="eastAsia"/>
          <w:color w:val="auto"/>
          <w:highlight w:val="none"/>
          <w:lang w:eastAsia="zh-CN"/>
        </w:rPr>
        <w:t>动力接合</w:t>
      </w:r>
      <w:r>
        <w:rPr>
          <w:rFonts w:hint="eastAsia"/>
          <w:color w:val="auto"/>
          <w:highlight w:val="none"/>
        </w:rPr>
        <w:t>状态下，以6</w:t>
      </w:r>
      <w:r>
        <w:rPr>
          <w:color w:val="auto"/>
          <w:highlight w:val="none"/>
        </w:rPr>
        <w:t>.2.</w:t>
      </w:r>
      <w:r>
        <w:rPr>
          <w:rFonts w:hint="eastAsia"/>
          <w:color w:val="auto"/>
          <w:highlight w:val="none"/>
          <w:lang w:val="en-US" w:eastAsia="zh-CN"/>
        </w:rPr>
        <w:t>1</w:t>
      </w:r>
      <w:r>
        <w:rPr>
          <w:color w:val="auto"/>
          <w:highlight w:val="none"/>
        </w:rPr>
        <w:t>.1</w:t>
      </w:r>
      <w:r>
        <w:rPr>
          <w:rFonts w:hint="eastAsia"/>
          <w:color w:val="auto"/>
          <w:highlight w:val="none"/>
        </w:rPr>
        <w:t>中规定的车速进行；</w:t>
      </w:r>
    </w:p>
    <w:p>
      <w:pPr>
        <w:pStyle w:val="180"/>
        <w:numPr>
          <w:ilvl w:val="0"/>
          <w:numId w:val="44"/>
        </w:numPr>
        <w:rPr>
          <w:color w:val="auto"/>
          <w:highlight w:val="none"/>
        </w:rPr>
      </w:pPr>
      <w:r>
        <w:rPr>
          <w:rFonts w:hint="eastAsia"/>
          <w:color w:val="auto"/>
          <w:highlight w:val="none"/>
        </w:rPr>
        <w:t>行车制动性能应满足6</w:t>
      </w:r>
      <w:r>
        <w:rPr>
          <w:color w:val="auto"/>
          <w:highlight w:val="none"/>
        </w:rPr>
        <w:t>.2.</w:t>
      </w:r>
      <w:r>
        <w:rPr>
          <w:rFonts w:hint="eastAsia"/>
          <w:color w:val="auto"/>
          <w:highlight w:val="none"/>
          <w:lang w:val="en-US" w:eastAsia="zh-CN"/>
        </w:rPr>
        <w:t>1</w:t>
      </w:r>
      <w:r>
        <w:rPr>
          <w:color w:val="auto"/>
          <w:highlight w:val="none"/>
        </w:rPr>
        <w:t>.1</w:t>
      </w:r>
      <w:r>
        <w:rPr>
          <w:rFonts w:hint="eastAsia"/>
          <w:color w:val="auto"/>
          <w:highlight w:val="none"/>
        </w:rPr>
        <w:t xml:space="preserve">中规定的最低性能要求； </w:t>
      </w:r>
    </w:p>
    <w:p>
      <w:pPr>
        <w:pStyle w:val="180"/>
        <w:numPr>
          <w:ilvl w:val="0"/>
          <w:numId w:val="44"/>
        </w:numPr>
        <w:rPr>
          <w:color w:val="auto"/>
          <w:highlight w:val="none"/>
        </w:rPr>
      </w:pPr>
      <w:r>
        <w:rPr>
          <w:rFonts w:hint="eastAsia"/>
          <w:color w:val="auto"/>
          <w:highlight w:val="none"/>
        </w:rPr>
        <w:t>应测定实际的最佳性能且车辆状态应符合6.1.3.2的规定</w:t>
      </w:r>
      <w:r>
        <w:rPr>
          <w:color w:val="auto"/>
          <w:highlight w:val="none"/>
        </w:rPr>
        <w:t>。</w:t>
      </w:r>
    </w:p>
    <w:p>
      <w:pPr>
        <w:pStyle w:val="71"/>
        <w:spacing w:before="156" w:after="156"/>
        <w:rPr>
          <w:color w:val="auto"/>
          <w:szCs w:val="21"/>
          <w:highlight w:val="none"/>
        </w:rPr>
      </w:pPr>
      <w:bookmarkStart w:id="115" w:name="_Toc118580259"/>
      <w:r>
        <w:rPr>
          <w:rFonts w:hint="eastAsia"/>
          <w:color w:val="auto"/>
          <w:highlight w:val="none"/>
        </w:rPr>
        <w:t>I型试验（衰退和恢复试验）</w:t>
      </w:r>
      <w:bookmarkEnd w:id="115"/>
    </w:p>
    <w:p>
      <w:pPr>
        <w:pStyle w:val="100"/>
        <w:spacing w:before="156" w:after="156"/>
        <w:rPr>
          <w:color w:val="auto"/>
          <w:highlight w:val="none"/>
        </w:rPr>
      </w:pPr>
      <w:r>
        <w:rPr>
          <w:rFonts w:hint="eastAsia"/>
          <w:color w:val="auto"/>
          <w:highlight w:val="none"/>
        </w:rPr>
        <w:t>加热过程</w:t>
      </w:r>
    </w:p>
    <w:p>
      <w:pPr>
        <w:pStyle w:val="104"/>
        <w:spacing w:before="0" w:beforeLines="0" w:after="0" w:afterLines="0"/>
        <w:rPr>
          <w:color w:val="auto"/>
          <w:szCs w:val="21"/>
          <w:highlight w:val="none"/>
        </w:rPr>
      </w:pPr>
      <w:r>
        <w:rPr>
          <w:rFonts w:hint="eastAsia" w:ascii="宋体" w:hAnsi="宋体" w:eastAsia="宋体"/>
          <w:color w:val="auto"/>
          <w:highlight w:val="none"/>
        </w:rPr>
        <w:t>应以满载车辆，在表</w:t>
      </w:r>
      <w:r>
        <w:rPr>
          <w:rFonts w:hint="eastAsia" w:ascii="宋体" w:hAnsi="宋体" w:eastAsia="宋体"/>
          <w:color w:val="auto"/>
          <w:highlight w:val="none"/>
          <w:lang w:val="en-US" w:eastAsia="zh-CN"/>
        </w:rPr>
        <w:t>2</w:t>
      </w:r>
      <w:r>
        <w:rPr>
          <w:rFonts w:hint="eastAsia" w:ascii="宋体" w:hAnsi="宋体" w:eastAsia="宋体"/>
          <w:color w:val="auto"/>
          <w:highlight w:val="none"/>
        </w:rPr>
        <w:t>所列的条件下对行车制动系统连续进行“制动-解除制动”操作。</w:t>
      </w:r>
    </w:p>
    <w:p>
      <w:pPr>
        <w:pStyle w:val="118"/>
        <w:spacing w:before="156" w:after="156"/>
        <w:rPr>
          <w:color w:val="auto"/>
          <w:szCs w:val="21"/>
          <w:highlight w:val="none"/>
        </w:rPr>
      </w:pPr>
      <w:r>
        <w:rPr>
          <w:rFonts w:hint="eastAsia"/>
          <w:color w:val="auto"/>
          <w:highlight w:val="none"/>
        </w:rPr>
        <w:t>加热试验条件</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34" w:type="dxa"/>
            <w:tcBorders>
              <w:top w:val="single" w:color="auto" w:sz="8" w:space="0"/>
              <w:bottom w:val="single" w:color="auto" w:sz="8" w:space="0"/>
            </w:tcBorders>
            <w:shd w:val="clear" w:color="auto" w:fill="auto"/>
            <w:vAlign w:val="center"/>
          </w:tcPr>
          <w:p>
            <w:pPr>
              <w:pStyle w:val="184"/>
              <w:rPr>
                <w:color w:val="auto"/>
                <w:kern w:val="2"/>
                <w:sz w:val="21"/>
                <w:szCs w:val="21"/>
                <w:highlight w:val="none"/>
              </w:rPr>
            </w:pPr>
            <m:oMathPara>
              <m:oMath>
                <m:sSub>
                  <m:sSubPr>
                    <m:ctrlPr>
                      <w:rPr>
                        <w:rFonts w:ascii="Cambria Math" w:hAnsi="Cambria Math"/>
                        <w:i/>
                        <w:color w:val="auto"/>
                        <w:kern w:val="2"/>
                        <w:sz w:val="21"/>
                        <w:szCs w:val="21"/>
                        <w:highlight w:val="none"/>
                      </w:rPr>
                    </m:ctrlPr>
                  </m:sSubPr>
                  <m:e>
                    <m:r>
                      <m:rPr/>
                      <w:rPr>
                        <w:rFonts w:hint="eastAsia" w:ascii="Cambria Math" w:hAnsi="Cambria Math"/>
                        <w:color w:val="auto"/>
                        <w:highlight w:val="none"/>
                      </w:rPr>
                      <m:t>v</m:t>
                    </m:r>
                    <m:ctrlPr>
                      <w:rPr>
                        <w:rFonts w:ascii="Cambria Math" w:hAnsi="Cambria Math"/>
                        <w:i/>
                        <w:color w:val="auto"/>
                        <w:kern w:val="2"/>
                        <w:sz w:val="21"/>
                        <w:szCs w:val="21"/>
                        <w:highlight w:val="none"/>
                      </w:rPr>
                    </m:ctrlPr>
                  </m:e>
                  <m:sub>
                    <m:r>
                      <m:rPr/>
                      <w:rPr>
                        <w:rFonts w:ascii="Cambria Math" w:hAnsi="Cambria Math"/>
                        <w:color w:val="auto"/>
                        <w:highlight w:val="none"/>
                      </w:rPr>
                      <m:t>1</m:t>
                    </m:r>
                    <m:ctrlPr>
                      <w:rPr>
                        <w:rFonts w:ascii="Cambria Math" w:hAnsi="Cambria Math"/>
                        <w:i/>
                        <w:color w:val="auto"/>
                        <w:kern w:val="2"/>
                        <w:sz w:val="21"/>
                        <w:szCs w:val="21"/>
                        <w:highlight w:val="none"/>
                      </w:rPr>
                    </m:ctrlPr>
                  </m:sub>
                </m:sSub>
              </m:oMath>
            </m:oMathPara>
          </w:p>
          <w:p>
            <w:pPr>
              <w:pStyle w:val="184"/>
              <w:rPr>
                <w:color w:val="auto"/>
                <w:highlight w:val="none"/>
              </w:rPr>
            </w:pPr>
            <w:r>
              <w:rPr>
                <w:rFonts w:cs="Calibri"/>
                <w:color w:val="auto"/>
                <w:szCs w:val="18"/>
                <w:highlight w:val="none"/>
              </w:rPr>
              <w:t>km/h</w:t>
            </w:r>
          </w:p>
        </w:tc>
        <w:tc>
          <w:tcPr>
            <w:tcW w:w="2333" w:type="dxa"/>
            <w:tcBorders>
              <w:top w:val="single" w:color="auto" w:sz="8" w:space="0"/>
              <w:bottom w:val="single" w:color="auto" w:sz="8" w:space="0"/>
            </w:tcBorders>
            <w:shd w:val="clear" w:color="auto" w:fill="auto"/>
            <w:vAlign w:val="center"/>
          </w:tcPr>
          <w:p>
            <w:pPr>
              <w:pStyle w:val="184"/>
              <w:rPr>
                <w:color w:val="auto"/>
                <w:kern w:val="2"/>
                <w:sz w:val="21"/>
                <w:szCs w:val="21"/>
                <w:highlight w:val="none"/>
              </w:rPr>
            </w:pPr>
            <m:oMathPara>
              <m:oMath>
                <m:sSub>
                  <m:sSubPr>
                    <m:ctrlPr>
                      <w:rPr>
                        <w:rFonts w:ascii="Cambria Math" w:hAnsi="Cambria Math"/>
                        <w:i/>
                        <w:color w:val="auto"/>
                        <w:kern w:val="2"/>
                        <w:sz w:val="21"/>
                        <w:szCs w:val="21"/>
                        <w:highlight w:val="none"/>
                      </w:rPr>
                    </m:ctrlPr>
                  </m:sSubPr>
                  <m:e>
                    <m:r>
                      <m:rPr/>
                      <w:rPr>
                        <w:rFonts w:hint="eastAsia" w:ascii="Cambria Math" w:hAnsi="Cambria Math"/>
                        <w:color w:val="auto"/>
                        <w:highlight w:val="none"/>
                      </w:rPr>
                      <m:t>v</m:t>
                    </m:r>
                    <m:ctrlPr>
                      <w:rPr>
                        <w:rFonts w:ascii="Cambria Math" w:hAnsi="Cambria Math"/>
                        <w:i/>
                        <w:color w:val="auto"/>
                        <w:kern w:val="2"/>
                        <w:sz w:val="21"/>
                        <w:szCs w:val="21"/>
                        <w:highlight w:val="none"/>
                      </w:rPr>
                    </m:ctrlPr>
                  </m:e>
                  <m:sub>
                    <m:r>
                      <m:rPr/>
                      <w:rPr>
                        <w:rFonts w:ascii="Cambria Math" w:hAnsi="Cambria Math"/>
                        <w:color w:val="auto"/>
                        <w:highlight w:val="none"/>
                      </w:rPr>
                      <m:t>2</m:t>
                    </m:r>
                    <m:ctrlPr>
                      <w:rPr>
                        <w:rFonts w:ascii="Cambria Math" w:hAnsi="Cambria Math"/>
                        <w:i/>
                        <w:color w:val="auto"/>
                        <w:kern w:val="2"/>
                        <w:sz w:val="21"/>
                        <w:szCs w:val="21"/>
                        <w:highlight w:val="none"/>
                      </w:rPr>
                    </m:ctrlPr>
                  </m:sub>
                </m:sSub>
              </m:oMath>
            </m:oMathPara>
          </w:p>
          <w:p>
            <w:pPr>
              <w:pStyle w:val="184"/>
              <w:rPr>
                <w:color w:val="auto"/>
                <w:highlight w:val="none"/>
              </w:rPr>
            </w:pPr>
            <w:r>
              <w:rPr>
                <w:rFonts w:cs="Calibri"/>
                <w:color w:val="auto"/>
                <w:szCs w:val="18"/>
                <w:highlight w:val="none"/>
              </w:rPr>
              <w:t>km/h</w:t>
            </w:r>
          </w:p>
        </w:tc>
        <w:tc>
          <w:tcPr>
            <w:tcW w:w="2333" w:type="dxa"/>
            <w:tcBorders>
              <w:top w:val="single" w:color="auto" w:sz="8" w:space="0"/>
              <w:bottom w:val="single" w:color="auto" w:sz="8" w:space="0"/>
            </w:tcBorders>
            <w:shd w:val="clear" w:color="auto" w:fill="auto"/>
            <w:vAlign w:val="center"/>
          </w:tcPr>
          <w:p>
            <w:pPr>
              <w:pStyle w:val="184"/>
              <w:rPr>
                <w:iCs/>
                <w:color w:val="auto"/>
                <w:szCs w:val="18"/>
                <w:highlight w:val="none"/>
              </w:rPr>
            </w:pPr>
            <m:oMathPara>
              <m:oMath>
                <m:r>
                  <m:rPr/>
                  <w:rPr>
                    <w:rFonts w:ascii="Cambria Math" w:hAnsi="Cambria Math"/>
                    <w:color w:val="auto"/>
                    <w:szCs w:val="18"/>
                    <w:highlight w:val="none"/>
                  </w:rPr>
                  <m:t>Δ</m:t>
                </m:r>
                <m:r>
                  <m:rPr/>
                  <w:rPr>
                    <w:rFonts w:hint="eastAsia" w:ascii="Cambria Math" w:hAnsi="Cambria Math"/>
                    <w:color w:val="auto"/>
                    <w:szCs w:val="18"/>
                    <w:highlight w:val="none"/>
                  </w:rPr>
                  <m:t>t</m:t>
                </m:r>
              </m:oMath>
            </m:oMathPara>
          </w:p>
          <w:p>
            <w:pPr>
              <w:pStyle w:val="184"/>
              <w:rPr>
                <w:color w:val="auto"/>
                <w:highlight w:val="none"/>
              </w:rPr>
            </w:pPr>
            <w:r>
              <w:rPr>
                <w:rFonts w:cs="Calibri"/>
                <w:color w:val="auto"/>
                <w:szCs w:val="18"/>
                <w:highlight w:val="none"/>
              </w:rPr>
              <w:t>s</w:t>
            </w:r>
          </w:p>
        </w:tc>
        <w:tc>
          <w:tcPr>
            <w:tcW w:w="2334" w:type="dxa"/>
            <w:tcBorders>
              <w:top w:val="single" w:color="auto" w:sz="8" w:space="0"/>
              <w:bottom w:val="single" w:color="auto" w:sz="8" w:space="0"/>
            </w:tcBorders>
            <w:shd w:val="clear" w:color="auto" w:fill="auto"/>
            <w:vAlign w:val="center"/>
          </w:tcPr>
          <w:p>
            <w:pPr>
              <w:pStyle w:val="184"/>
              <w:rPr>
                <w:color w:val="auto"/>
                <w:kern w:val="2"/>
                <w:szCs w:val="18"/>
                <w:highlight w:val="none"/>
              </w:rPr>
            </w:pPr>
            <m:oMathPara>
              <m:oMath>
                <m:r>
                  <m:rPr/>
                  <w:rPr>
                    <w:rFonts w:hint="eastAsia" w:ascii="Cambria Math" w:hAnsi="Cambria Math"/>
                    <w:color w:val="auto"/>
                    <w:kern w:val="2"/>
                    <w:szCs w:val="18"/>
                    <w:highlight w:val="none"/>
                  </w:rPr>
                  <m:t>n</m:t>
                </m:r>
              </m:oMath>
            </m:oMathPara>
          </w:p>
          <w:p>
            <w:pPr>
              <w:pStyle w:val="184"/>
              <w:rPr>
                <w:color w:val="auto"/>
                <w:highlight w:val="none"/>
              </w:rPr>
            </w:pPr>
            <w:r>
              <w:rPr>
                <w:rFonts w:hint="eastAsia"/>
                <w:color w:val="auto"/>
                <w:szCs w:val="18"/>
                <w:highlight w:val="none"/>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bottom w:val="single" w:color="auto" w:sz="8" w:space="0"/>
            </w:tcBorders>
            <w:shd w:val="clear" w:color="auto" w:fill="auto"/>
            <w:vAlign w:val="center"/>
          </w:tcPr>
          <w:p>
            <w:pPr>
              <w:pStyle w:val="184"/>
              <w:rPr>
                <w:color w:val="auto"/>
                <w:highlight w:val="none"/>
              </w:rPr>
            </w:pPr>
            <w:r>
              <w:rPr>
                <w:color w:val="auto"/>
                <w:szCs w:val="18"/>
                <w:highlight w:val="none"/>
              </w:rPr>
              <w:t>80%</w:t>
            </w:r>
            <m:oMath>
              <m:sSub>
                <m:sSubPr>
                  <m:ctrlPr>
                    <w:rPr>
                      <w:rFonts w:ascii="Cambria Math" w:hAnsi="Cambria Math"/>
                      <w:i/>
                      <w:color w:val="auto"/>
                      <w:kern w:val="2"/>
                      <w:sz w:val="21"/>
                      <w:szCs w:val="21"/>
                      <w:highlight w:val="none"/>
                    </w:rPr>
                  </m:ctrlPr>
                </m:sSubPr>
                <m:e>
                  <m:r>
                    <m:rPr/>
                    <w:rPr>
                      <w:rFonts w:hint="eastAsia" w:ascii="Cambria Math" w:hAnsi="Cambria Math"/>
                      <w:color w:val="auto"/>
                      <w:highlight w:val="none"/>
                    </w:rPr>
                    <m:t>v</m:t>
                  </m:r>
                  <m:ctrlPr>
                    <w:rPr>
                      <w:rFonts w:ascii="Cambria Math" w:hAnsi="Cambria Math"/>
                      <w:i/>
                      <w:color w:val="auto"/>
                      <w:kern w:val="2"/>
                      <w:sz w:val="21"/>
                      <w:szCs w:val="21"/>
                      <w:highlight w:val="none"/>
                    </w:rPr>
                  </m:ctrlPr>
                </m:e>
                <m:sub>
                  <m:r>
                    <m:rPr/>
                    <w:rPr>
                      <w:rFonts w:hint="eastAsia" w:ascii="Cambria Math" w:hAnsi="Cambria Math"/>
                      <w:color w:val="auto"/>
                      <w:highlight w:val="none"/>
                    </w:rPr>
                    <m:t>max</m:t>
                  </m:r>
                  <m:ctrlPr>
                    <w:rPr>
                      <w:rFonts w:ascii="Cambria Math" w:hAnsi="Cambria Math"/>
                      <w:i/>
                      <w:color w:val="auto"/>
                      <w:kern w:val="2"/>
                      <w:sz w:val="21"/>
                      <w:szCs w:val="21"/>
                      <w:highlight w:val="none"/>
                    </w:rPr>
                  </m:ctrlPr>
                </m:sub>
              </m:sSub>
            </m:oMath>
            <w:r>
              <w:rPr>
                <w:color w:val="auto"/>
                <w:szCs w:val="18"/>
                <w:highlight w:val="none"/>
              </w:rPr>
              <w:t>≤120</w:t>
            </w:r>
          </w:p>
        </w:tc>
        <w:tc>
          <w:tcPr>
            <w:tcW w:w="2333" w:type="dxa"/>
            <w:tcBorders>
              <w:top w:val="single" w:color="auto" w:sz="8" w:space="0"/>
              <w:bottom w:val="single" w:color="auto" w:sz="8" w:space="0"/>
            </w:tcBorders>
            <w:shd w:val="clear" w:color="auto" w:fill="auto"/>
            <w:vAlign w:val="center"/>
          </w:tcPr>
          <w:p>
            <w:pPr>
              <w:pStyle w:val="184"/>
              <w:rPr>
                <w:color w:val="auto"/>
                <w:highlight w:val="none"/>
              </w:rPr>
            </w:pPr>
            <m:oMathPara>
              <m:oMath>
                <m:f>
                  <m:fPr>
                    <m:ctrlPr>
                      <w:rPr>
                        <w:rFonts w:ascii="Cambria Math" w:hAnsi="Cambria Math"/>
                        <w:i/>
                        <w:color w:val="auto"/>
                        <w:kern w:val="2"/>
                        <w:sz w:val="21"/>
                        <w:szCs w:val="21"/>
                        <w:highlight w:val="none"/>
                      </w:rPr>
                    </m:ctrlPr>
                  </m:fPr>
                  <m:num>
                    <m:r>
                      <m:rPr/>
                      <w:rPr>
                        <w:rFonts w:ascii="Cambria Math" w:hAnsi="Cambria Math"/>
                        <w:color w:val="auto"/>
                        <w:kern w:val="2"/>
                        <w:sz w:val="21"/>
                        <w:szCs w:val="21"/>
                        <w:highlight w:val="none"/>
                      </w:rPr>
                      <m:t>1</m:t>
                    </m:r>
                    <m:ctrlPr>
                      <w:rPr>
                        <w:rFonts w:ascii="Cambria Math" w:hAnsi="Cambria Math"/>
                        <w:i/>
                        <w:color w:val="auto"/>
                        <w:kern w:val="2"/>
                        <w:sz w:val="21"/>
                        <w:szCs w:val="21"/>
                        <w:highlight w:val="none"/>
                      </w:rPr>
                    </m:ctrlPr>
                  </m:num>
                  <m:den>
                    <m:r>
                      <m:rPr/>
                      <w:rPr>
                        <w:rFonts w:ascii="Cambria Math" w:hAnsi="Cambria Math"/>
                        <w:color w:val="auto"/>
                        <w:kern w:val="2"/>
                        <w:sz w:val="21"/>
                        <w:szCs w:val="21"/>
                        <w:highlight w:val="none"/>
                      </w:rPr>
                      <m:t>2</m:t>
                    </m:r>
                    <m:ctrlPr>
                      <w:rPr>
                        <w:rFonts w:ascii="Cambria Math" w:hAnsi="Cambria Math"/>
                        <w:i/>
                        <w:color w:val="auto"/>
                        <w:kern w:val="2"/>
                        <w:sz w:val="21"/>
                        <w:szCs w:val="21"/>
                        <w:highlight w:val="none"/>
                      </w:rPr>
                    </m:ctrlPr>
                  </m:den>
                </m:f>
                <m:sSub>
                  <m:sSubPr>
                    <m:ctrlPr>
                      <w:rPr>
                        <w:rFonts w:ascii="Cambria Math" w:hAnsi="Cambria Math"/>
                        <w:i/>
                        <w:color w:val="auto"/>
                        <w:kern w:val="2"/>
                        <w:sz w:val="21"/>
                        <w:szCs w:val="21"/>
                        <w:highlight w:val="none"/>
                      </w:rPr>
                    </m:ctrlPr>
                  </m:sSubPr>
                  <m:e>
                    <m:r>
                      <m:rPr/>
                      <w:rPr>
                        <w:rFonts w:hint="eastAsia" w:ascii="Cambria Math" w:hAnsi="Cambria Math"/>
                        <w:color w:val="auto"/>
                        <w:highlight w:val="none"/>
                      </w:rPr>
                      <m:t>v</m:t>
                    </m:r>
                    <m:ctrlPr>
                      <w:rPr>
                        <w:rFonts w:ascii="Cambria Math" w:hAnsi="Cambria Math"/>
                        <w:i/>
                        <w:color w:val="auto"/>
                        <w:kern w:val="2"/>
                        <w:sz w:val="21"/>
                        <w:szCs w:val="21"/>
                        <w:highlight w:val="none"/>
                      </w:rPr>
                    </m:ctrlPr>
                  </m:e>
                  <m:sub>
                    <m:r>
                      <m:rPr/>
                      <w:rPr>
                        <w:rFonts w:ascii="Cambria Math" w:hAnsi="Cambria Math"/>
                        <w:color w:val="auto"/>
                        <w:highlight w:val="none"/>
                      </w:rPr>
                      <m:t>1</m:t>
                    </m:r>
                    <m:ctrlPr>
                      <w:rPr>
                        <w:rFonts w:ascii="Cambria Math" w:hAnsi="Cambria Math"/>
                        <w:i/>
                        <w:color w:val="auto"/>
                        <w:kern w:val="2"/>
                        <w:sz w:val="21"/>
                        <w:szCs w:val="21"/>
                        <w:highlight w:val="none"/>
                      </w:rPr>
                    </m:ctrlPr>
                  </m:sub>
                </m:sSub>
              </m:oMath>
            </m:oMathPara>
          </w:p>
        </w:tc>
        <w:tc>
          <w:tcPr>
            <w:tcW w:w="2333" w:type="dxa"/>
            <w:tcBorders>
              <w:top w:val="single" w:color="auto" w:sz="8" w:space="0"/>
              <w:bottom w:val="single" w:color="auto" w:sz="8" w:space="0"/>
            </w:tcBorders>
            <w:shd w:val="clear" w:color="auto" w:fill="auto"/>
            <w:vAlign w:val="center"/>
          </w:tcPr>
          <w:p>
            <w:pPr>
              <w:pStyle w:val="184"/>
              <w:rPr>
                <w:color w:val="auto"/>
                <w:highlight w:val="none"/>
              </w:rPr>
            </w:pPr>
            <w:r>
              <w:rPr>
                <w:color w:val="auto"/>
                <w:szCs w:val="18"/>
                <w:highlight w:val="none"/>
              </w:rPr>
              <w:t>45</w:t>
            </w:r>
          </w:p>
        </w:tc>
        <w:tc>
          <w:tcPr>
            <w:tcW w:w="2334" w:type="dxa"/>
            <w:tcBorders>
              <w:top w:val="single" w:color="auto" w:sz="8" w:space="0"/>
              <w:bottom w:val="single" w:color="auto" w:sz="8" w:space="0"/>
            </w:tcBorders>
            <w:shd w:val="clear" w:color="auto" w:fill="auto"/>
            <w:vAlign w:val="center"/>
          </w:tcPr>
          <w:p>
            <w:pPr>
              <w:pStyle w:val="184"/>
              <w:rPr>
                <w:color w:val="auto"/>
                <w:highlight w:val="none"/>
              </w:rPr>
            </w:pPr>
            <w:r>
              <w:rPr>
                <w:color w:val="auto"/>
                <w:szCs w:val="18"/>
                <w:highlight w:val="none"/>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86"/>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oMath>
            <w:r>
              <w:rPr>
                <w:rFonts w:hint="eastAsia"/>
                <w:color w:val="auto"/>
                <w:highlight w:val="none"/>
              </w:rPr>
              <w:t>为制动开始时的初始车速。</w:t>
            </w:r>
          </w:p>
          <w:p>
            <w:pPr>
              <w:pStyle w:val="186"/>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2</m:t>
                  </m:r>
                  <m:ctrlPr>
                    <w:rPr>
                      <w:rFonts w:ascii="Cambria Math" w:hAnsi="Cambria Math"/>
                      <w:i/>
                      <w:color w:val="auto"/>
                      <w:highlight w:val="none"/>
                    </w:rPr>
                  </m:ctrlPr>
                </m:sub>
              </m:sSub>
            </m:oMath>
            <w:r>
              <w:rPr>
                <w:rFonts w:hint="eastAsia"/>
                <w:color w:val="auto"/>
                <w:highlight w:val="none"/>
              </w:rPr>
              <w:t>为制动结束时的车速。</w:t>
            </w:r>
          </w:p>
          <w:p>
            <w:pPr>
              <w:pStyle w:val="186"/>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max</m:t>
                  </m:r>
                  <m:ctrlPr>
                    <w:rPr>
                      <w:rFonts w:ascii="Cambria Math" w:hAnsi="Cambria Math"/>
                      <w:i/>
                      <w:color w:val="auto"/>
                      <w:highlight w:val="none"/>
                    </w:rPr>
                  </m:ctrlPr>
                </m:sub>
              </m:sSub>
            </m:oMath>
            <w:r>
              <w:rPr>
                <w:rFonts w:hint="eastAsia"/>
                <w:color w:val="auto"/>
                <w:highlight w:val="none"/>
              </w:rPr>
              <w:t>为车辆的最高设计车速。</w:t>
            </w:r>
          </w:p>
          <w:p>
            <w:pPr>
              <w:pStyle w:val="186"/>
              <w:rPr>
                <w:color w:val="auto"/>
                <w:highlight w:val="none"/>
              </w:rPr>
            </w:pPr>
            <m:oMath>
              <m:r>
                <m:rPr/>
                <w:rPr>
                  <w:rFonts w:hint="eastAsia" w:ascii="Cambria Math" w:hAnsi="Cambria Math"/>
                  <w:color w:val="auto"/>
                  <w:highlight w:val="none"/>
                </w:rPr>
                <m:t>n</m:t>
              </m:r>
            </m:oMath>
            <w:r>
              <w:rPr>
                <w:rFonts w:hint="eastAsia"/>
                <w:color w:val="auto"/>
                <w:highlight w:val="none"/>
              </w:rPr>
              <w:t>为制动次数。</w:t>
            </w:r>
          </w:p>
          <w:p>
            <w:pPr>
              <w:pStyle w:val="186"/>
              <w:rPr>
                <w:color w:val="auto"/>
                <w:highlight w:val="none"/>
              </w:rPr>
            </w:pPr>
            <m:oMath>
              <m:r>
                <m:rPr/>
                <w:rPr>
                  <w:rFonts w:ascii="Cambria Math" w:hAnsi="Cambria Math"/>
                  <w:color w:val="auto"/>
                  <w:highlight w:val="none"/>
                </w:rPr>
                <m:t>Δ</m:t>
              </m:r>
              <m:r>
                <m:rPr/>
                <w:rPr>
                  <w:rFonts w:hint="eastAsia" w:ascii="Cambria Math" w:hAnsi="Cambria Math"/>
                  <w:color w:val="auto"/>
                  <w:highlight w:val="none"/>
                </w:rPr>
                <m:t>t</m:t>
              </m:r>
            </m:oMath>
            <w:r>
              <w:rPr>
                <w:rFonts w:hint="eastAsia"/>
                <w:iCs/>
                <w:color w:val="auto"/>
                <w:highlight w:val="none"/>
              </w:rPr>
              <w:t>为</w:t>
            </w:r>
            <w:r>
              <w:rPr>
                <w:rFonts w:hint="eastAsia" w:hAnsi="宋体"/>
                <w:color w:val="auto"/>
                <w:highlight w:val="none"/>
              </w:rPr>
              <w:t>制动循环周期，从一次制动开始到下一次制动开始所经历的时间。</w:t>
            </w:r>
          </w:p>
        </w:tc>
      </w:tr>
    </w:tbl>
    <w:p>
      <w:pPr>
        <w:pStyle w:val="104"/>
        <w:numPr>
          <w:ilvl w:val="5"/>
          <w:numId w:val="0"/>
        </w:numPr>
        <w:spacing w:before="0" w:beforeLines="0" w:after="0" w:afterLines="0"/>
        <w:ind w:leftChars="0"/>
        <w:rPr>
          <w:rFonts w:ascii="宋体" w:hAnsi="宋体" w:eastAsia="宋体"/>
          <w:color w:val="auto"/>
          <w:highlight w:val="none"/>
        </w:rPr>
      </w:pP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如因车辆特性而不能满足规定的制动循环周期（</w:t>
      </w:r>
      <m:oMath>
        <m:r>
          <m:rPr/>
          <w:rPr>
            <w:rFonts w:ascii="Cambria Math" w:hAnsi="Cambria Math" w:eastAsia="宋体"/>
            <w:color w:val="auto"/>
            <w:highlight w:val="none"/>
          </w:rPr>
          <m:t>Δ</m:t>
        </m:r>
        <m:r>
          <m:rPr/>
          <w:rPr>
            <w:rFonts w:hint="eastAsia" w:ascii="Cambria Math" w:hAnsi="Cambria Math" w:eastAsia="宋体"/>
            <w:color w:val="auto"/>
            <w:highlight w:val="none"/>
          </w:rPr>
          <m:t>t</m:t>
        </m:r>
      </m:oMath>
      <w:r>
        <w:rPr>
          <w:rFonts w:hint="eastAsia" w:ascii="宋体" w:hAnsi="宋体" w:eastAsia="宋体"/>
          <w:color w:val="auto"/>
          <w:highlight w:val="none"/>
        </w:rPr>
        <w:t>），可延长制动循环周期。在任何情况下，除车辆制动和加速所需的时间外，每个循环应留有10</w:t>
      </w:r>
      <w:r>
        <w:rPr>
          <w:rFonts w:hint="eastAsia"/>
          <w:color w:val="auto"/>
          <w:highlight w:val="none"/>
          <w:lang w:val="en-US" w:eastAsia="zh-CN"/>
        </w:rPr>
        <w:t> </w:t>
      </w:r>
      <w:r>
        <w:rPr>
          <w:rFonts w:hint="eastAsia" w:ascii="宋体" w:hAnsi="宋体" w:eastAsia="宋体"/>
          <w:color w:val="auto"/>
          <w:highlight w:val="none"/>
        </w:rPr>
        <w:t>s的时间来稳定车速</w:t>
      </w:r>
      <m:oMath>
        <m:sSub>
          <m:sSubPr>
            <m:ctrlPr>
              <w:rPr>
                <w:rFonts w:ascii="Cambria Math" w:hAnsi="Cambria Math" w:eastAsia="宋体"/>
                <w:i/>
                <w:iCs/>
                <w:color w:val="auto"/>
                <w:highlight w:val="none"/>
              </w:rPr>
            </m:ctrlPr>
          </m:sSubPr>
          <m:e>
            <m:r>
              <m:rPr/>
              <w:rPr>
                <w:rFonts w:hint="eastAsia" w:ascii="Cambria Math" w:hAnsi="Cambria Math" w:eastAsia="宋体"/>
                <w:color w:val="auto"/>
                <w:highlight w:val="none"/>
              </w:rPr>
              <m:t>v</m:t>
            </m:r>
            <m:ctrlPr>
              <w:rPr>
                <w:rFonts w:ascii="Cambria Math" w:hAnsi="Cambria Math" w:eastAsia="宋体"/>
                <w:i/>
                <w:iCs/>
                <w:color w:val="auto"/>
                <w:highlight w:val="none"/>
              </w:rPr>
            </m:ctrlPr>
          </m:e>
          <m:sub>
            <m:r>
              <m:rPr/>
              <w:rPr>
                <w:rFonts w:ascii="Cambria Math" w:hAnsi="Cambria Math" w:eastAsia="宋体"/>
                <w:color w:val="auto"/>
                <w:highlight w:val="none"/>
              </w:rPr>
              <m:t>1</m:t>
            </m:r>
            <m:ctrlPr>
              <w:rPr>
                <w:rFonts w:ascii="Cambria Math" w:hAnsi="Cambria Math" w:eastAsia="宋体"/>
                <w:i/>
                <w:iCs/>
                <w:color w:val="auto"/>
                <w:highlight w:val="none"/>
              </w:rPr>
            </m:ctrlPr>
          </m:sub>
        </m:sSub>
      </m:oMath>
      <w:r>
        <w:rPr>
          <w:rFonts w:hint="eastAsia" w:ascii="宋体" w:hAnsi="宋体" w:eastAsia="宋体"/>
          <w:color w:val="auto"/>
          <w:highlight w:val="none"/>
        </w:rPr>
        <w:t>。</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在这些试验中，应调整控制力使每次制动都能达到3</w:t>
      </w:r>
      <w:r>
        <w:rPr>
          <w:rFonts w:hint="eastAsia"/>
          <w:color w:val="auto"/>
          <w:highlight w:val="none"/>
          <w:lang w:val="en-US" w:eastAsia="zh-CN"/>
        </w:rPr>
        <w:t> </w:t>
      </w:r>
      <w:r>
        <w:rPr>
          <w:rFonts w:hint="eastAsia" w:ascii="宋体" w:hAnsi="宋体" w:eastAsia="宋体"/>
          <w:color w:val="auto"/>
          <w:highlight w:val="none"/>
        </w:rPr>
        <w:t>m/s</w:t>
      </w:r>
      <w:r>
        <w:rPr>
          <w:rFonts w:hint="eastAsia" w:ascii="宋体" w:hAnsi="宋体" w:eastAsia="宋体"/>
          <w:color w:val="auto"/>
          <w:highlight w:val="none"/>
          <w:vertAlign w:val="superscript"/>
        </w:rPr>
        <w:t>2</w:t>
      </w:r>
      <w:r>
        <w:rPr>
          <w:rFonts w:hint="eastAsia" w:ascii="宋体" w:hAnsi="宋体" w:eastAsia="宋体"/>
          <w:color w:val="auto"/>
          <w:highlight w:val="none"/>
        </w:rPr>
        <w:t>的对时间的平均减速度。可预先进行两次试验以确定合适的控制力。</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制动期间，变速器应一直处于最高挡（超速挡除外），对于装备自动变速器的试验车辆，应一直处于D挡。</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为在制动后恢复车速，应采用能在最短的时间内（以动力装置和变速器所允许的最大加速度）达到至</w:t>
      </w:r>
      <m:oMath>
        <m:sSub>
          <m:sSubPr>
            <m:ctrlPr>
              <w:rPr>
                <w:rFonts w:ascii="Cambria Math" w:hAnsi="Cambria Math" w:eastAsia="宋体"/>
                <w:i/>
                <w:iCs/>
                <w:color w:val="auto"/>
                <w:highlight w:val="none"/>
              </w:rPr>
            </m:ctrlPr>
          </m:sSubPr>
          <m:e>
            <m:r>
              <m:rPr/>
              <w:rPr>
                <w:rFonts w:hint="eastAsia" w:ascii="Cambria Math" w:hAnsi="Cambria Math" w:eastAsia="宋体"/>
                <w:color w:val="auto"/>
                <w:highlight w:val="none"/>
              </w:rPr>
              <m:t>v</m:t>
            </m:r>
            <m:ctrlPr>
              <w:rPr>
                <w:rFonts w:ascii="Cambria Math" w:hAnsi="Cambria Math" w:eastAsia="宋体"/>
                <w:i/>
                <w:iCs/>
                <w:color w:val="auto"/>
                <w:highlight w:val="none"/>
              </w:rPr>
            </m:ctrlPr>
          </m:e>
          <m:sub>
            <m:r>
              <m:rPr/>
              <w:rPr>
                <w:rFonts w:ascii="Cambria Math" w:hAnsi="Cambria Math" w:eastAsia="宋体"/>
                <w:color w:val="auto"/>
                <w:highlight w:val="none"/>
              </w:rPr>
              <m:t>1</m:t>
            </m:r>
            <m:ctrlPr>
              <w:rPr>
                <w:rFonts w:ascii="Cambria Math" w:hAnsi="Cambria Math" w:eastAsia="宋体"/>
                <w:i/>
                <w:iCs/>
                <w:color w:val="auto"/>
                <w:highlight w:val="none"/>
              </w:rPr>
            </m:ctrlPr>
          </m:sub>
        </m:sSub>
      </m:oMath>
      <w:r>
        <w:rPr>
          <w:rFonts w:hint="eastAsia" w:ascii="宋体" w:hAnsi="宋体" w:eastAsia="宋体"/>
          <w:color w:val="auto"/>
          <w:highlight w:val="none"/>
        </w:rPr>
        <w:t>的挡位。</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对不能独立进行制动器加热循环的车辆，应按规定车速进行第一次制动。此后相继进行的每个试验循环，应以所能达到的最大加速度加速，在每个45</w:t>
      </w:r>
      <w:r>
        <w:rPr>
          <w:rFonts w:hint="eastAsia"/>
          <w:color w:val="auto"/>
          <w:highlight w:val="none"/>
          <w:lang w:val="en-US" w:eastAsia="zh-CN"/>
        </w:rPr>
        <w:t> </w:t>
      </w:r>
      <w:r>
        <w:rPr>
          <w:rFonts w:hint="eastAsia" w:ascii="宋体" w:hAnsi="宋体" w:eastAsia="宋体"/>
          <w:color w:val="auto"/>
          <w:highlight w:val="none"/>
        </w:rPr>
        <w:t>s循环周期结束时达到的车速下进行制动。</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装备B型电力再生式制动系统的车辆，动力蓄电池在试验开始时的荷电状态应确保电力再生式制动系统所产生的制动力不超过系统设计所保证的最低水平。如动力蓄电池处于6.1.4.1.2所列的荷电状态之一，则认为满足该要求。</w:t>
      </w:r>
    </w:p>
    <w:p>
      <w:pPr>
        <w:pStyle w:val="100"/>
        <w:spacing w:before="156" w:after="156"/>
        <w:rPr>
          <w:color w:val="auto"/>
          <w:highlight w:val="none"/>
        </w:rPr>
      </w:pPr>
      <w:r>
        <w:rPr>
          <w:rFonts w:hint="eastAsia"/>
          <w:color w:val="auto"/>
          <w:highlight w:val="none"/>
        </w:rPr>
        <w:t>热态性能</w:t>
      </w:r>
    </w:p>
    <w:p>
      <w:pPr>
        <w:pStyle w:val="62"/>
        <w:ind w:firstLine="420"/>
        <w:rPr>
          <w:rFonts w:hAnsi="宋体"/>
          <w:color w:val="auto"/>
          <w:highlight w:val="none"/>
        </w:rPr>
      </w:pPr>
      <w:r>
        <w:rPr>
          <w:rFonts w:hAnsi="宋体"/>
          <w:color w:val="auto"/>
          <w:highlight w:val="none"/>
        </w:rPr>
        <w:t>6.1.5.1</w:t>
      </w:r>
      <w:r>
        <w:rPr>
          <w:rFonts w:hint="eastAsia" w:hAnsi="宋体"/>
          <w:color w:val="auto"/>
          <w:highlight w:val="none"/>
        </w:rPr>
        <w:t>规定的试验结束后</w:t>
      </w:r>
      <w:r>
        <w:rPr>
          <w:rFonts w:hAnsi="宋体"/>
          <w:color w:val="auto"/>
          <w:highlight w:val="none"/>
        </w:rPr>
        <w:t>1</w:t>
      </w:r>
      <w:r>
        <w:rPr>
          <w:rFonts w:hint="eastAsia" w:hAnsi="宋体"/>
          <w:color w:val="auto"/>
          <w:highlight w:val="none"/>
        </w:rPr>
        <w:t>分钟内，应在动力脱开的情况下，以与</w:t>
      </w:r>
      <w:r>
        <w:rPr>
          <w:rFonts w:hAnsi="宋体"/>
          <w:color w:val="auto"/>
          <w:highlight w:val="none"/>
        </w:rPr>
        <w:t>0</w:t>
      </w:r>
      <w:r>
        <w:rPr>
          <w:rFonts w:hint="eastAsia" w:hAnsi="宋体"/>
          <w:color w:val="auto"/>
          <w:highlight w:val="none"/>
        </w:rPr>
        <w:t>型试验相同的条件（平均控制力应接近且不大于实际使用的平均控制力，温度条件可不同）测定行车制动系统的热态性能，并满足如下要求：</w:t>
      </w:r>
    </w:p>
    <w:p>
      <w:pPr>
        <w:pStyle w:val="180"/>
        <w:numPr>
          <w:ilvl w:val="0"/>
          <w:numId w:val="45"/>
        </w:numPr>
        <w:rPr>
          <w:color w:val="auto"/>
          <w:highlight w:val="none"/>
        </w:rPr>
      </w:pPr>
      <w:r>
        <w:rPr>
          <w:rFonts w:hint="eastAsia"/>
          <w:color w:val="auto"/>
          <w:highlight w:val="none"/>
        </w:rPr>
        <w:t>热态性能不应低于规定性能的75%</w:t>
      </w:r>
      <w:r>
        <w:rPr>
          <w:rFonts w:hint="eastAsia"/>
          <w:color w:val="auto"/>
          <w:highlight w:val="none"/>
          <w:lang w:eastAsia="zh-CN"/>
        </w:rPr>
        <w:t>，</w:t>
      </w:r>
      <w:r>
        <w:rPr>
          <w:rFonts w:hint="eastAsia"/>
          <w:color w:val="auto"/>
          <w:highlight w:val="none"/>
        </w:rPr>
        <w:t>对应的制动距离</w:t>
      </w:r>
      <w:r>
        <w:rPr>
          <w:rFonts w:hint="eastAsia"/>
          <w:color w:val="auto"/>
          <w:highlight w:val="none"/>
          <w:lang w:val="en-US" w:eastAsia="zh-CN"/>
        </w:rPr>
        <w:t>见公式（2）</w:t>
      </w:r>
      <w:r>
        <w:rPr>
          <w:rFonts w:hint="eastAsia"/>
          <w:color w:val="auto"/>
          <w:highlight w:val="none"/>
        </w:rPr>
        <w:t>，充分发出的平均减速度</w:t>
      </w:r>
      <w:r>
        <w:rPr>
          <w:rFonts w:hint="eastAsia"/>
          <w:color w:val="auto"/>
          <w:highlight w:val="none"/>
          <w:lang w:val="en-US" w:eastAsia="zh-CN"/>
        </w:rPr>
        <w:t>为</w:t>
      </w:r>
      <m:oMath>
        <m:r>
          <m:rPr/>
          <w:rPr>
            <w:rFonts w:ascii="Cambria Math" w:hAnsi="Cambria Math"/>
            <w:color w:val="auto"/>
            <w:highlight w:val="none"/>
          </w:rPr>
          <m:t>4.82</m:t>
        </m:r>
        <m:r>
          <m:rPr>
            <m:sty m:val="p"/>
          </m:rPr>
          <w:rPr>
            <w:rFonts w:hint="eastAsia"/>
            <w:color w:val="auto"/>
            <w:highlight w:val="none"/>
            <w:lang w:val="en-US" w:eastAsia="zh-CN"/>
          </w:rPr>
          <m:t> </m:t>
        </m:r>
        <m:r>
          <m:rPr/>
          <w:rPr>
            <w:rFonts w:hint="eastAsia" w:ascii="Cambria Math" w:hAnsi="Cambria Math"/>
            <w:color w:val="auto"/>
            <w:highlight w:val="none"/>
          </w:rPr>
          <m:t>m</m:t>
        </m:r>
        <m:r>
          <m:rPr/>
          <w:rPr>
            <w:rFonts w:ascii="Cambria Math" w:hAnsi="Cambria Math"/>
            <w:color w:val="auto"/>
            <w:highlight w:val="none"/>
          </w:rPr>
          <m:t>/</m:t>
        </m:r>
        <m:sSup>
          <m:sSupPr>
            <m:ctrlPr>
              <w:rPr>
                <w:rFonts w:ascii="Cambria Math" w:hAnsi="Cambria Math"/>
                <w:i/>
                <w:iCs/>
                <w:color w:val="auto"/>
                <w:highlight w:val="none"/>
              </w:rPr>
            </m:ctrlPr>
          </m:sSupPr>
          <m:e>
            <m:r>
              <m:rPr/>
              <w:rPr>
                <w:rFonts w:ascii="Cambria Math" w:hAnsi="Cambria Math"/>
                <w:color w:val="auto"/>
                <w:highlight w:val="none"/>
              </w:rPr>
              <m:t>s</m:t>
            </m:r>
            <m:ctrlPr>
              <w:rPr>
                <w:rFonts w:ascii="Cambria Math" w:hAnsi="Cambria Math"/>
                <w:i/>
                <w:iCs/>
                <w:color w:val="auto"/>
                <w:highlight w:val="none"/>
              </w:rPr>
            </m:ctrlPr>
          </m:e>
          <m:sup>
            <m:r>
              <m:rPr/>
              <w:rPr>
                <w:rFonts w:ascii="Cambria Math" w:hAnsi="Cambria Math"/>
                <w:color w:val="auto"/>
                <w:highlight w:val="none"/>
              </w:rPr>
              <m:t>2</m:t>
            </m:r>
            <m:ctrlPr>
              <w:rPr>
                <w:rFonts w:ascii="Cambria Math" w:hAnsi="Cambria Math"/>
                <w:i/>
                <w:iCs/>
                <w:color w:val="auto"/>
                <w:highlight w:val="none"/>
              </w:rPr>
            </m:ctrlPr>
          </m:sup>
        </m:sSup>
      </m:oMath>
      <w:r>
        <w:rPr>
          <w:rFonts w:hint="eastAsia"/>
          <w:color w:val="auto"/>
          <w:highlight w:val="none"/>
          <w:lang w:eastAsia="zh-CN"/>
        </w:rPr>
        <w:t>。</w:t>
      </w:r>
      <w:r>
        <w:rPr>
          <w:rFonts w:hint="eastAsia"/>
          <w:color w:val="auto"/>
          <w:highlight w:val="none"/>
        </w:rPr>
        <w:t>热态性能也不应低于动力脱开的0型试验数据的60%。</w:t>
      </w:r>
    </w:p>
    <w:p>
      <w:pPr>
        <w:pStyle w:val="180"/>
        <w:numPr>
          <w:ilvl w:val="-1"/>
          <w:numId w:val="0"/>
        </w:numPr>
        <w:tabs>
          <w:tab w:val="center" w:pos="4725"/>
          <w:tab w:val="right" w:leader="dot" w:pos="9450"/>
          <w:tab w:val="clear" w:pos="851"/>
        </w:tabs>
        <w:ind w:left="0" w:firstLine="0"/>
        <w:rPr>
          <w:rFonts w:hint="default" w:hAnsi="Cambria Math" w:eastAsia="宋体"/>
          <w:i w:val="0"/>
          <w:iCs/>
          <w:color w:val="auto"/>
          <w:highlight w:val="none"/>
          <w:lang w:val="en-US" w:eastAsia="zh-CN"/>
        </w:rPr>
      </w:pPr>
      <w:r>
        <w:rPr>
          <w:rFonts w:hint="eastAsia" w:hAnsi="Cambria Math"/>
          <w:i w:val="0"/>
          <w:color w:val="auto"/>
          <w:highlight w:val="none"/>
          <w:lang w:val="en-US" w:eastAsia="zh-CN"/>
        </w:rPr>
        <w:tab/>
      </w:r>
      <m:oMath>
        <m:r>
          <m:rPr/>
          <w:rPr>
            <w:rFonts w:hint="eastAsia" w:ascii="Cambria Math" w:hAnsi="Cambria Math"/>
            <w:color w:val="auto"/>
            <w:highlight w:val="none"/>
          </w:rPr>
          <m:t>S</m:t>
        </m:r>
        <m:r>
          <m:rPr/>
          <w:rPr>
            <w:rFonts w:ascii="Cambria Math" w:hAnsi="Cambria Math"/>
            <w:color w:val="auto"/>
            <w:highlight w:val="none"/>
          </w:rPr>
          <m:t>=0.1v+0.0080</m:t>
        </m:r>
        <m:sSup>
          <m:sSupPr>
            <m:ctrlPr>
              <w:rPr>
                <w:rFonts w:ascii="Cambria Math" w:hAnsi="Cambria Math"/>
                <w:i/>
                <w:iCs/>
                <w:color w:val="auto"/>
                <w:highlight w:val="none"/>
              </w:rPr>
            </m:ctrlPr>
          </m:sSupPr>
          <m:e>
            <m:r>
              <m:rPr/>
              <w:rPr>
                <w:rFonts w:ascii="Cambria Math" w:hAnsi="Cambria Math"/>
                <w:color w:val="auto"/>
                <w:highlight w:val="none"/>
              </w:rPr>
              <m:t>v</m:t>
            </m:r>
            <m:ctrlPr>
              <w:rPr>
                <w:rFonts w:ascii="Cambria Math" w:hAnsi="Cambria Math"/>
                <w:i/>
                <w:iCs/>
                <w:color w:val="auto"/>
                <w:highlight w:val="none"/>
              </w:rPr>
            </m:ctrlPr>
          </m:e>
          <m:sup>
            <m:r>
              <m:rPr/>
              <w:rPr>
                <w:rFonts w:ascii="Cambria Math" w:hAnsi="Cambria Math"/>
                <w:color w:val="auto"/>
                <w:highlight w:val="none"/>
              </w:rPr>
              <m:t>2</m:t>
            </m:r>
            <m:ctrlPr>
              <w:rPr>
                <w:rFonts w:ascii="Cambria Math" w:hAnsi="Cambria Math"/>
                <w:i/>
                <w:iCs/>
                <w:color w:val="auto"/>
                <w:highlight w:val="none"/>
              </w:rPr>
            </m:ctrlPr>
          </m:sup>
        </m:sSup>
      </m:oMath>
      <w:r>
        <w:rPr>
          <w:rFonts w:hint="eastAsia" w:hAnsi="Cambria Math"/>
          <w:i w:val="0"/>
          <w:iCs/>
          <w:color w:val="auto"/>
          <w:highlight w:val="none"/>
          <w:lang w:val="en-US" w:eastAsia="zh-CN"/>
        </w:rPr>
        <w:tab/>
      </w:r>
      <w:r>
        <w:rPr>
          <w:rFonts w:hint="eastAsia" w:hAnsi="Cambria Math"/>
          <w:i w:val="0"/>
          <w:iCs/>
          <w:color w:val="auto"/>
          <w:highlight w:val="none"/>
          <w:lang w:val="en-US" w:eastAsia="zh-CN"/>
        </w:rPr>
        <w:t>(2)</w:t>
      </w:r>
    </w:p>
    <w:p>
      <w:pPr>
        <w:pStyle w:val="180"/>
        <w:numPr>
          <w:ilvl w:val="-1"/>
          <w:numId w:val="0"/>
        </w:numPr>
        <w:ind w:left="425" w:firstLine="0"/>
        <w:rPr>
          <w:rFonts w:hint="eastAsia" w:hAnsi="Cambria Math"/>
          <w:i w:val="0"/>
          <w:iCs/>
          <w:color w:val="auto"/>
          <w:highlight w:val="none"/>
          <w:lang w:val="en-US" w:eastAsia="zh-CN"/>
        </w:rPr>
      </w:pPr>
      <w:r>
        <w:rPr>
          <w:rFonts w:hint="eastAsia" w:hAnsi="Cambria Math"/>
          <w:i w:val="0"/>
          <w:iCs/>
          <w:color w:val="auto"/>
          <w:highlight w:val="none"/>
          <w:lang w:val="en-US" w:eastAsia="zh-CN"/>
        </w:rPr>
        <w:t>式中：</w:t>
      </w:r>
    </w:p>
    <w:p>
      <w:pPr>
        <w:pStyle w:val="180"/>
        <w:numPr>
          <w:ilvl w:val="-1"/>
          <w:numId w:val="0"/>
        </w:numPr>
        <w:ind w:left="425" w:firstLine="0"/>
        <w:rPr>
          <w:rFonts w:hint="default" w:hAnsi="Cambria Math"/>
          <w:i w:val="0"/>
          <w:iCs/>
          <w:color w:val="auto"/>
          <w:highlight w:val="none"/>
          <w:lang w:val="en-US" w:eastAsia="zh-CN"/>
        </w:rPr>
      </w:pPr>
      <w:r>
        <w:rPr>
          <w:rFonts w:hint="eastAsia" w:hAnsi="Cambria Math"/>
          <w:i/>
          <w:iCs w:val="0"/>
          <w:color w:val="auto"/>
          <w:highlight w:val="none"/>
          <w:lang w:val="en-US" w:eastAsia="zh-CN"/>
        </w:rPr>
        <w:t>S</w:t>
      </w:r>
      <w:r>
        <w:rPr>
          <w:rFonts w:hint="eastAsia" w:hAnsi="Cambria Math"/>
          <w:i w:val="0"/>
          <w:iCs/>
          <w:color w:val="auto"/>
          <w:highlight w:val="none"/>
          <w:lang w:val="en-US" w:eastAsia="zh-CN"/>
        </w:rPr>
        <w:tab/>
      </w:r>
      <w:r>
        <w:rPr>
          <w:rFonts w:hint="eastAsia" w:hAnsi="Cambria Math"/>
          <w:i w:val="0"/>
          <w:iCs/>
          <w:color w:val="auto"/>
          <w:highlight w:val="none"/>
          <w:lang w:val="en-US" w:eastAsia="zh-CN"/>
        </w:rPr>
        <w:t>——制动距离</w:t>
      </w:r>
      <w:r>
        <w:rPr>
          <w:rFonts w:hint="eastAsia"/>
          <w:color w:val="auto"/>
          <w:highlight w:val="none"/>
          <w:lang w:val="en-US" w:eastAsia="zh-CN"/>
        </w:rPr>
        <w:t>的数值</w:t>
      </w:r>
      <w:r>
        <w:rPr>
          <w:rFonts w:hint="eastAsia" w:hAnsi="Cambria Math"/>
          <w:i w:val="0"/>
          <w:iCs/>
          <w:color w:val="auto"/>
          <w:highlight w:val="none"/>
          <w:lang w:val="en-US" w:eastAsia="zh-CN"/>
        </w:rPr>
        <w:t>，单位为米（m）。</w:t>
      </w:r>
    </w:p>
    <w:p>
      <w:pPr>
        <w:pStyle w:val="180"/>
        <w:numPr>
          <w:ilvl w:val="0"/>
          <w:numId w:val="45"/>
        </w:numPr>
        <w:rPr>
          <w:color w:val="auto"/>
          <w:highlight w:val="none"/>
        </w:rPr>
      </w:pPr>
      <w:r>
        <w:rPr>
          <w:rFonts w:hint="eastAsia"/>
          <w:color w:val="auto"/>
          <w:highlight w:val="none"/>
        </w:rPr>
        <w:t>对装备A型电力再生式制动系统的车辆，制动期间应一直保持最高挡且不应使用其他单独的电力再生式制动系统控制装置（如有）。</w:t>
      </w:r>
    </w:p>
    <w:p>
      <w:pPr>
        <w:pStyle w:val="180"/>
        <w:numPr>
          <w:ilvl w:val="0"/>
          <w:numId w:val="45"/>
        </w:numPr>
        <w:rPr>
          <w:color w:val="auto"/>
          <w:highlight w:val="none"/>
        </w:rPr>
      </w:pPr>
      <w:r>
        <w:rPr>
          <w:rFonts w:hint="eastAsia"/>
          <w:color w:val="auto"/>
          <w:highlight w:val="none"/>
        </w:rPr>
        <w:t>对装备B型电力再生式制动系统的车辆，在按6.1.5.1.6完成加热循环后，如不能达到6</w:t>
      </w:r>
      <w:r>
        <w:rPr>
          <w:color w:val="auto"/>
          <w:highlight w:val="none"/>
        </w:rPr>
        <w:t>.2.1.1</w:t>
      </w:r>
      <w:r>
        <w:rPr>
          <w:rFonts w:hint="eastAsia"/>
          <w:color w:val="auto"/>
          <w:highlight w:val="none"/>
        </w:rPr>
        <w:t>规定的车速，则应以制动器加热循环结束时车辆所达到的最高车速进行热态试验。为进行对比，稍后还应以与热态试验相同的车速、相近的电力再生制动力（通过调整合适的电池荷电状态）以冷态制动器进行0型试验。恢复过程和试验完成后，允许进一步冷却制动衬片，然后完成上述0型试验。根据本条a）和d）的要求，将上述冷态试验性能与热态性能进行对比。上述试验如果在没有电力再生式制动系统部件参与制动的情况下进行，对电池荷电状态的要求不适用。</w:t>
      </w:r>
    </w:p>
    <w:p>
      <w:pPr>
        <w:pStyle w:val="180"/>
        <w:numPr>
          <w:ilvl w:val="0"/>
          <w:numId w:val="45"/>
        </w:numPr>
        <w:rPr>
          <w:color w:val="auto"/>
          <w:highlight w:val="none"/>
        </w:rPr>
      </w:pPr>
      <w:r>
        <w:rPr>
          <w:rFonts w:hint="eastAsia"/>
          <w:color w:val="auto"/>
          <w:highlight w:val="none"/>
        </w:rPr>
        <w:t>对达到a）所述动力脱开的0型试验性能的60%、但达不到规定性能75%的车辆，应以不超过6.2规定的控制力进一步进行热态性能试验。两次试验的结果都应记入试验报告。</w:t>
      </w:r>
    </w:p>
    <w:p>
      <w:pPr>
        <w:pStyle w:val="100"/>
        <w:spacing w:before="156" w:beforeLines="0" w:after="156" w:afterLines="0"/>
        <w:rPr>
          <w:color w:val="auto"/>
          <w:highlight w:val="none"/>
        </w:rPr>
      </w:pPr>
      <w:r>
        <w:rPr>
          <w:rFonts w:hint="eastAsia"/>
          <w:color w:val="auto"/>
          <w:highlight w:val="none"/>
        </w:rPr>
        <w:t>恢复过程</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热态性能试验结束后，立即在</w:t>
      </w:r>
      <w:r>
        <w:rPr>
          <w:rFonts w:hint="eastAsia" w:ascii="宋体" w:hAnsi="宋体" w:eastAsia="宋体"/>
          <w:color w:val="auto"/>
          <w:highlight w:val="none"/>
          <w:lang w:eastAsia="zh-CN"/>
        </w:rPr>
        <w:t>动力接合</w:t>
      </w:r>
      <w:r>
        <w:rPr>
          <w:rFonts w:hint="eastAsia" w:ascii="宋体" w:hAnsi="宋体" w:eastAsia="宋体"/>
          <w:color w:val="auto"/>
          <w:highlight w:val="none"/>
        </w:rPr>
        <w:t>的情况</w:t>
      </w:r>
      <w:r>
        <w:rPr>
          <w:rFonts w:ascii="宋体" w:hAnsi="宋体" w:eastAsia="宋体"/>
          <w:color w:val="auto"/>
          <w:highlight w:val="none"/>
        </w:rPr>
        <w:t>下、以3</w:t>
      </w:r>
      <w:r>
        <w:rPr>
          <w:rFonts w:hint="eastAsia"/>
          <w:color w:val="auto"/>
          <w:highlight w:val="none"/>
          <w:lang w:val="en-US" w:eastAsia="zh-CN"/>
        </w:rPr>
        <w:t> </w:t>
      </w:r>
      <w:r>
        <w:rPr>
          <w:rFonts w:ascii="宋体" w:hAnsi="宋体" w:eastAsia="宋体"/>
          <w:color w:val="auto"/>
          <w:highlight w:val="none"/>
        </w:rPr>
        <w:t>m/s</w:t>
      </w:r>
      <w:r>
        <w:rPr>
          <w:rFonts w:ascii="宋体" w:hAnsi="宋体" w:eastAsia="宋体"/>
          <w:color w:val="auto"/>
          <w:highlight w:val="none"/>
          <w:vertAlign w:val="superscript"/>
        </w:rPr>
        <w:t>2</w:t>
      </w:r>
      <w:r>
        <w:rPr>
          <w:rFonts w:hint="eastAsia" w:ascii="宋体" w:hAnsi="宋体" w:eastAsia="宋体"/>
          <w:color w:val="auto"/>
          <w:highlight w:val="none"/>
        </w:rPr>
        <w:t>的平均减速度、</w:t>
      </w:r>
      <w:r>
        <w:rPr>
          <w:rFonts w:ascii="宋体" w:hAnsi="宋体" w:eastAsia="宋体"/>
          <w:color w:val="auto"/>
          <w:highlight w:val="none"/>
        </w:rPr>
        <w:t>50</w:t>
      </w:r>
      <w:r>
        <w:rPr>
          <w:rFonts w:hint="eastAsia"/>
          <w:color w:val="auto"/>
          <w:highlight w:val="none"/>
          <w:lang w:val="en-US" w:eastAsia="zh-CN"/>
        </w:rPr>
        <w:t> </w:t>
      </w:r>
      <w:r>
        <w:rPr>
          <w:rFonts w:ascii="宋体" w:hAnsi="宋体" w:eastAsia="宋体"/>
          <w:color w:val="auto"/>
          <w:highlight w:val="none"/>
        </w:rPr>
        <w:t>km/h的</w:t>
      </w:r>
      <w:r>
        <w:rPr>
          <w:rFonts w:hint="eastAsia" w:ascii="宋体" w:hAnsi="宋体" w:eastAsia="宋体"/>
          <w:color w:val="auto"/>
          <w:highlight w:val="none"/>
        </w:rPr>
        <w:t>初始</w:t>
      </w:r>
      <w:r>
        <w:rPr>
          <w:rFonts w:ascii="宋体" w:hAnsi="宋体" w:eastAsia="宋体"/>
          <w:color w:val="auto"/>
          <w:highlight w:val="none"/>
        </w:rPr>
        <w:t>车速</w:t>
      </w:r>
      <w:r>
        <w:rPr>
          <w:rFonts w:hint="eastAsia" w:ascii="宋体" w:hAnsi="宋体" w:eastAsia="宋体"/>
          <w:color w:val="auto"/>
          <w:highlight w:val="none"/>
        </w:rPr>
        <w:t>连续</w:t>
      </w:r>
      <w:r>
        <w:rPr>
          <w:rFonts w:ascii="宋体" w:hAnsi="宋体" w:eastAsia="宋体"/>
          <w:color w:val="auto"/>
          <w:highlight w:val="none"/>
        </w:rPr>
        <w:t>进行4次停车制动。各次制动的起点之间</w:t>
      </w:r>
      <w:r>
        <w:rPr>
          <w:rFonts w:hint="eastAsia" w:ascii="宋体" w:hAnsi="宋体" w:eastAsia="宋体"/>
          <w:color w:val="auto"/>
          <w:highlight w:val="none"/>
        </w:rPr>
        <w:t>的距离不应超过</w:t>
      </w:r>
      <w:r>
        <w:rPr>
          <w:rFonts w:ascii="宋体" w:hAnsi="宋体" w:eastAsia="宋体"/>
          <w:color w:val="auto"/>
          <w:highlight w:val="none"/>
        </w:rPr>
        <w:t>1.5</w:t>
      </w:r>
      <w:r>
        <w:rPr>
          <w:rFonts w:hint="eastAsia"/>
          <w:color w:val="auto"/>
          <w:highlight w:val="none"/>
          <w:lang w:val="en-US" w:eastAsia="zh-CN"/>
        </w:rPr>
        <w:t> </w:t>
      </w:r>
      <w:r>
        <w:rPr>
          <w:rFonts w:ascii="宋体" w:hAnsi="宋体" w:eastAsia="宋体"/>
          <w:color w:val="auto"/>
          <w:highlight w:val="none"/>
        </w:rPr>
        <w:t>km。每次制动结束后，立即在最短的时间内加速至50</w:t>
      </w:r>
      <w:r>
        <w:rPr>
          <w:rFonts w:hint="eastAsia"/>
          <w:color w:val="auto"/>
          <w:highlight w:val="none"/>
          <w:lang w:val="en-US" w:eastAsia="zh-CN"/>
        </w:rPr>
        <w:t> </w:t>
      </w:r>
      <w:r>
        <w:rPr>
          <w:rFonts w:ascii="宋体" w:hAnsi="宋体" w:eastAsia="宋体"/>
          <w:color w:val="auto"/>
          <w:highlight w:val="none"/>
        </w:rPr>
        <w:t>km/h并保持该车速直至进行下次制动。</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对于装备</w:t>
      </w:r>
      <w:r>
        <w:rPr>
          <w:rFonts w:ascii="宋体" w:hAnsi="宋体" w:eastAsia="宋体"/>
          <w:color w:val="auto"/>
          <w:highlight w:val="none"/>
        </w:rPr>
        <w:t>B</w:t>
      </w:r>
      <w:r>
        <w:rPr>
          <w:rFonts w:hint="eastAsia" w:ascii="宋体" w:hAnsi="宋体" w:eastAsia="宋体"/>
          <w:color w:val="auto"/>
          <w:highlight w:val="none"/>
        </w:rPr>
        <w:t>型电力再生式制动系统的车辆，可对动力蓄电池充电或换装荷电状态符合</w:t>
      </w:r>
      <w:r>
        <w:rPr>
          <w:rFonts w:ascii="宋体" w:hAnsi="宋体" w:eastAsia="宋体"/>
          <w:color w:val="auto"/>
          <w:highlight w:val="none"/>
        </w:rPr>
        <w:t>6.1.4.1.2规定的同型号动力</w:t>
      </w:r>
      <w:r>
        <w:rPr>
          <w:rFonts w:hint="eastAsia" w:ascii="宋体" w:hAnsi="宋体" w:eastAsia="宋体"/>
          <w:color w:val="auto"/>
          <w:highlight w:val="none"/>
        </w:rPr>
        <w:t>蓄</w:t>
      </w:r>
      <w:r>
        <w:rPr>
          <w:rFonts w:ascii="宋体" w:hAnsi="宋体" w:eastAsia="宋体"/>
          <w:color w:val="auto"/>
          <w:highlight w:val="none"/>
        </w:rPr>
        <w:t>电池。在这种情况下，为完成恢复过程，</w:t>
      </w:r>
      <w:r>
        <w:rPr>
          <w:rFonts w:hint="eastAsia" w:ascii="宋体" w:hAnsi="宋体" w:eastAsia="宋体"/>
          <w:color w:val="auto"/>
          <w:highlight w:val="none"/>
        </w:rPr>
        <w:t>应进一步调整</w:t>
      </w:r>
      <w:r>
        <w:rPr>
          <w:rFonts w:ascii="宋体" w:hAnsi="宋体" w:eastAsia="宋体"/>
          <w:color w:val="auto"/>
          <w:highlight w:val="none"/>
        </w:rPr>
        <w:t>制动衬片</w:t>
      </w:r>
      <w:r>
        <w:rPr>
          <w:rFonts w:hint="eastAsia" w:ascii="宋体" w:hAnsi="宋体" w:eastAsia="宋体"/>
          <w:color w:val="auto"/>
          <w:highlight w:val="none"/>
        </w:rPr>
        <w:t>温度</w:t>
      </w:r>
      <w:r>
        <w:rPr>
          <w:rFonts w:ascii="宋体" w:hAnsi="宋体" w:eastAsia="宋体"/>
          <w:color w:val="auto"/>
          <w:highlight w:val="none"/>
        </w:rPr>
        <w:t>。</w:t>
      </w:r>
    </w:p>
    <w:p>
      <w:pPr>
        <w:pStyle w:val="100"/>
        <w:spacing w:before="156" w:beforeLines="0" w:after="156" w:afterLines="0"/>
        <w:rPr>
          <w:color w:val="auto"/>
          <w:highlight w:val="none"/>
        </w:rPr>
      </w:pPr>
      <w:r>
        <w:rPr>
          <w:rFonts w:hint="eastAsia"/>
          <w:color w:val="auto"/>
          <w:highlight w:val="none"/>
        </w:rPr>
        <w:t>恢复性能</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恢复过程结束时，应在与动力脱开的</w:t>
      </w:r>
      <w:r>
        <w:rPr>
          <w:rFonts w:ascii="宋体" w:hAnsi="宋体" w:eastAsia="宋体"/>
          <w:color w:val="auto"/>
          <w:highlight w:val="none"/>
        </w:rPr>
        <w:t>0</w:t>
      </w:r>
      <w:r>
        <w:rPr>
          <w:rFonts w:hint="eastAsia" w:ascii="宋体" w:hAnsi="宋体" w:eastAsia="宋体"/>
          <w:color w:val="auto"/>
          <w:highlight w:val="none"/>
        </w:rPr>
        <w:t>型试验相同的条件下（温度条件可不同）、以不超过相应</w:t>
      </w:r>
      <w:r>
        <w:rPr>
          <w:rFonts w:ascii="宋体" w:hAnsi="宋体" w:eastAsia="宋体"/>
          <w:color w:val="auto"/>
          <w:highlight w:val="none"/>
        </w:rPr>
        <w:t>0</w:t>
      </w:r>
      <w:r>
        <w:rPr>
          <w:rFonts w:hint="eastAsia" w:ascii="宋体" w:hAnsi="宋体" w:eastAsia="宋体"/>
          <w:color w:val="auto"/>
          <w:highlight w:val="none"/>
        </w:rPr>
        <w:t>型试验的平均控制力测定行车制动系统的恢复性能。恢复性能不应低于动力脱开的</w:t>
      </w:r>
      <w:r>
        <w:rPr>
          <w:rFonts w:ascii="宋体" w:hAnsi="宋体" w:eastAsia="宋体"/>
          <w:color w:val="auto"/>
          <w:highlight w:val="none"/>
        </w:rPr>
        <w:t>0</w:t>
      </w:r>
      <w:r>
        <w:rPr>
          <w:rFonts w:hint="eastAsia" w:ascii="宋体" w:hAnsi="宋体" w:eastAsia="宋体"/>
          <w:color w:val="auto"/>
          <w:highlight w:val="none"/>
        </w:rPr>
        <w:t>型试验数据的</w:t>
      </w:r>
      <w:r>
        <w:rPr>
          <w:rFonts w:ascii="宋体" w:hAnsi="宋体" w:eastAsia="宋体"/>
          <w:color w:val="auto"/>
          <w:highlight w:val="none"/>
        </w:rPr>
        <w:t>70%</w:t>
      </w:r>
      <w:r>
        <w:rPr>
          <w:rFonts w:hint="eastAsia" w:ascii="宋体" w:hAnsi="宋体" w:eastAsia="宋体"/>
          <w:color w:val="auto"/>
          <w:highlight w:val="none"/>
        </w:rPr>
        <w:t>，也不应高于</w:t>
      </w:r>
      <w:r>
        <w:rPr>
          <w:rFonts w:ascii="宋体" w:hAnsi="宋体" w:eastAsia="宋体"/>
          <w:color w:val="auto"/>
          <w:highlight w:val="none"/>
        </w:rPr>
        <w:t>150%</w:t>
      </w:r>
      <w:r>
        <w:rPr>
          <w:rFonts w:hint="eastAsia" w:ascii="宋体" w:hAnsi="宋体" w:eastAsia="宋体"/>
          <w:color w:val="auto"/>
          <w:highlight w:val="none"/>
        </w:rPr>
        <w:t>。</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对于装备</w:t>
      </w:r>
      <w:r>
        <w:rPr>
          <w:rFonts w:ascii="宋体" w:hAnsi="宋体" w:eastAsia="宋体"/>
          <w:color w:val="auto"/>
          <w:highlight w:val="none"/>
        </w:rPr>
        <w:t>B型电力再生式制动系</w:t>
      </w:r>
      <w:r>
        <w:rPr>
          <w:rFonts w:hint="eastAsia" w:ascii="宋体" w:hAnsi="宋体" w:eastAsia="宋体"/>
          <w:color w:val="auto"/>
          <w:highlight w:val="none"/>
        </w:rPr>
        <w:t>统的车辆，应在无电力再生式制动系统部件参与制动，即</w:t>
      </w:r>
      <w:r>
        <w:rPr>
          <w:rFonts w:ascii="宋体" w:hAnsi="宋体" w:eastAsia="宋体"/>
          <w:color w:val="auto"/>
          <w:highlight w:val="none"/>
        </w:rPr>
        <w:t>6.1.5.4</w:t>
      </w:r>
      <w:r>
        <w:rPr>
          <w:rFonts w:hint="eastAsia" w:ascii="宋体" w:hAnsi="宋体" w:eastAsia="宋体"/>
          <w:color w:val="auto"/>
          <w:highlight w:val="none"/>
        </w:rPr>
        <w:t>.1所述的条件下进行恢复试验。对制动衬片进一步冷却后，在没有电力再生式制动作用的条件下，采用与恢复试验相同的车速进行动力脱开的</w:t>
      </w:r>
      <w:r>
        <w:rPr>
          <w:rFonts w:ascii="宋体" w:hAnsi="宋体" w:eastAsia="宋体"/>
          <w:color w:val="auto"/>
          <w:highlight w:val="none"/>
        </w:rPr>
        <w:t>0</w:t>
      </w:r>
      <w:r>
        <w:rPr>
          <w:rFonts w:hint="eastAsia" w:ascii="宋体" w:hAnsi="宋体" w:eastAsia="宋体"/>
          <w:color w:val="auto"/>
          <w:highlight w:val="none"/>
        </w:rPr>
        <w:t>型试验，并对比试验结果。恢复性能不应低于上述最后一次</w:t>
      </w:r>
      <w:r>
        <w:rPr>
          <w:rFonts w:ascii="宋体" w:hAnsi="宋体" w:eastAsia="宋体"/>
          <w:color w:val="auto"/>
          <w:highlight w:val="none"/>
        </w:rPr>
        <w:t>0</w:t>
      </w:r>
      <w:r>
        <w:rPr>
          <w:rFonts w:hint="eastAsia" w:ascii="宋体" w:hAnsi="宋体" w:eastAsia="宋体"/>
          <w:color w:val="auto"/>
          <w:highlight w:val="none"/>
        </w:rPr>
        <w:t>型试验数据的</w:t>
      </w:r>
      <w:r>
        <w:rPr>
          <w:rFonts w:ascii="宋体" w:hAnsi="宋体" w:eastAsia="宋体"/>
          <w:color w:val="auto"/>
          <w:highlight w:val="none"/>
        </w:rPr>
        <w:t>70%</w:t>
      </w:r>
      <w:r>
        <w:rPr>
          <w:rFonts w:hint="eastAsia" w:ascii="宋体" w:hAnsi="宋体" w:eastAsia="宋体"/>
          <w:color w:val="auto"/>
          <w:highlight w:val="none"/>
        </w:rPr>
        <w:t>，也不应高于</w:t>
      </w:r>
      <w:r>
        <w:rPr>
          <w:rFonts w:ascii="宋体" w:hAnsi="宋体" w:eastAsia="宋体"/>
          <w:color w:val="auto"/>
          <w:highlight w:val="none"/>
        </w:rPr>
        <w:t>150%</w:t>
      </w:r>
      <w:r>
        <w:rPr>
          <w:rFonts w:hint="eastAsia" w:ascii="宋体" w:hAnsi="宋体" w:eastAsia="宋体"/>
          <w:color w:val="auto"/>
          <w:highlight w:val="none"/>
        </w:rPr>
        <w:t>。</w:t>
      </w:r>
    </w:p>
    <w:p>
      <w:pPr>
        <w:pStyle w:val="111"/>
        <w:spacing w:before="156" w:after="156"/>
        <w:rPr>
          <w:color w:val="auto"/>
          <w:szCs w:val="21"/>
          <w:highlight w:val="none"/>
        </w:rPr>
      </w:pPr>
      <w:bookmarkStart w:id="116" w:name="_Toc118580260"/>
      <w:bookmarkStart w:id="117" w:name="_Toc16902"/>
      <w:bookmarkStart w:id="118" w:name="_Toc109891118"/>
      <w:r>
        <w:rPr>
          <w:rFonts w:hint="eastAsia"/>
          <w:color w:val="auto"/>
          <w:highlight w:val="none"/>
        </w:rPr>
        <w:t>制动系统的性能要求</w:t>
      </w:r>
      <w:bookmarkEnd w:id="116"/>
      <w:bookmarkEnd w:id="117"/>
      <w:bookmarkEnd w:id="118"/>
    </w:p>
    <w:p>
      <w:pPr>
        <w:pStyle w:val="71"/>
        <w:spacing w:before="156" w:after="156"/>
        <w:rPr>
          <w:color w:val="auto"/>
          <w:highlight w:val="none"/>
        </w:rPr>
      </w:pPr>
      <w:bookmarkStart w:id="119" w:name="_Toc118580261"/>
      <w:r>
        <w:rPr>
          <w:rFonts w:hint="eastAsia"/>
          <w:color w:val="auto"/>
          <w:highlight w:val="none"/>
        </w:rPr>
        <w:t>行车制动系统</w:t>
      </w:r>
      <w:bookmarkEnd w:id="119"/>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行车制动系统各项性能试验应满足表</w:t>
      </w:r>
      <w:r>
        <w:rPr>
          <w:rFonts w:hint="eastAsia" w:ascii="宋体" w:hAnsi="宋体" w:eastAsia="宋体"/>
          <w:color w:val="auto"/>
          <w:highlight w:val="none"/>
          <w:lang w:val="en-US" w:eastAsia="zh-CN"/>
        </w:rPr>
        <w:t>3</w:t>
      </w:r>
      <w:r>
        <w:rPr>
          <w:rFonts w:hint="eastAsia" w:ascii="宋体" w:hAnsi="宋体" w:eastAsia="宋体"/>
          <w:color w:val="auto"/>
          <w:highlight w:val="none"/>
        </w:rPr>
        <w:t>的要求。</w:t>
      </w:r>
    </w:p>
    <w:p>
      <w:pPr>
        <w:pStyle w:val="118"/>
        <w:spacing w:before="156" w:after="156"/>
        <w:rPr>
          <w:rFonts w:hAnsi="黑体"/>
          <w:color w:val="auto"/>
          <w:highlight w:val="none"/>
        </w:rPr>
      </w:pPr>
      <w:r>
        <w:rPr>
          <w:rFonts w:hint="eastAsia"/>
          <w:color w:val="auto"/>
          <w:highlight w:val="none"/>
        </w:rPr>
        <w:t>0型试验条件</w:t>
      </w:r>
      <w:r>
        <w:rPr>
          <w:rFonts w:hint="eastAsia" w:hAnsi="黑体"/>
          <w:color w:val="auto"/>
          <w:highlight w:val="none"/>
        </w:rPr>
        <w:t>及性能要求</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1842"/>
        <w:gridCol w:w="4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84"/>
              <w:rPr>
                <w:color w:val="auto"/>
                <w:highlight w:val="none"/>
              </w:rPr>
            </w:pPr>
            <w:r>
              <w:rPr>
                <w:rFonts w:hint="eastAsia"/>
                <w:color w:val="auto"/>
                <w:highlight w:val="none"/>
              </w:rPr>
              <w:t>试验类型</w:t>
            </w:r>
          </w:p>
        </w:tc>
        <w:tc>
          <w:tcPr>
            <w:tcW w:w="6224" w:type="dxa"/>
            <w:gridSpan w:val="2"/>
            <w:tcBorders>
              <w:top w:val="single" w:color="auto" w:sz="8" w:space="0"/>
            </w:tcBorders>
            <w:shd w:val="clear" w:color="auto" w:fill="auto"/>
            <w:vAlign w:val="center"/>
          </w:tcPr>
          <w:p>
            <w:pPr>
              <w:pStyle w:val="184"/>
              <w:rPr>
                <w:color w:val="auto"/>
                <w:highlight w:val="none"/>
              </w:rPr>
            </w:pPr>
            <w:r>
              <w:rPr>
                <w:rFonts w:hint="eastAsia"/>
                <w:color w:val="auto"/>
                <w:highlight w:val="none"/>
              </w:rPr>
              <w:t>试验条件及性能要求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shd w:val="clear" w:color="auto" w:fill="auto"/>
            <w:vAlign w:val="center"/>
          </w:tcPr>
          <w:p>
            <w:pPr>
              <w:pStyle w:val="184"/>
              <w:rPr>
                <w:color w:val="auto"/>
                <w:highlight w:val="none"/>
              </w:rPr>
            </w:pPr>
            <w:r>
              <w:rPr>
                <w:color w:val="auto"/>
                <w:szCs w:val="18"/>
                <w:highlight w:val="none"/>
              </w:rPr>
              <w:t>a</w:t>
            </w:r>
            <w:r>
              <w:rPr>
                <w:rFonts w:hint="eastAsia"/>
                <w:color w:val="auto"/>
                <w:szCs w:val="18"/>
                <w:highlight w:val="none"/>
              </w:rPr>
              <w:t>）动力脱开</w:t>
            </w:r>
            <w:r>
              <w:rPr>
                <w:color w:val="auto"/>
                <w:szCs w:val="18"/>
                <w:highlight w:val="none"/>
              </w:rPr>
              <w:t>的</w:t>
            </w:r>
            <w:r>
              <w:rPr>
                <w:rFonts w:cs="Calibri"/>
                <w:color w:val="auto"/>
                <w:szCs w:val="18"/>
                <w:highlight w:val="none"/>
              </w:rPr>
              <w:t>0</w:t>
            </w:r>
            <w:r>
              <w:rPr>
                <w:rFonts w:hAnsi="宋体"/>
                <w:color w:val="auto"/>
                <w:szCs w:val="18"/>
                <w:highlight w:val="none"/>
              </w:rPr>
              <w:t>型试验</w:t>
            </w:r>
            <w:r>
              <w:rPr>
                <w:rFonts w:hAnsi="宋体"/>
                <w:color w:val="auto"/>
                <w:szCs w:val="18"/>
                <w:highlight w:val="none"/>
                <w:vertAlign w:val="superscript"/>
              </w:rPr>
              <w:t>a</w:t>
            </w:r>
          </w:p>
        </w:tc>
        <w:tc>
          <w:tcPr>
            <w:tcW w:w="1842" w:type="dxa"/>
            <w:shd w:val="clear" w:color="auto" w:fill="auto"/>
          </w:tcPr>
          <w:p>
            <w:pPr>
              <w:pStyle w:val="184"/>
              <w:rPr>
                <w:i/>
                <w:color w:val="auto"/>
                <w:kern w:val="2"/>
                <w:szCs w:val="18"/>
                <w:highlight w:val="none"/>
              </w:rPr>
            </w:pPr>
            <m:oMathPara>
              <m:oMath>
                <m:r>
                  <m:rPr/>
                  <w:rPr>
                    <w:rFonts w:ascii="Cambria Math" w:hAnsi="Cambria Math"/>
                    <w:color w:val="auto"/>
                    <w:kern w:val="2"/>
                    <w:szCs w:val="18"/>
                    <w:highlight w:val="none"/>
                  </w:rPr>
                  <m:t>v/(km/ℎ)</m:t>
                </m:r>
              </m:oMath>
            </m:oMathPara>
          </w:p>
        </w:tc>
        <w:tc>
          <w:tcPr>
            <w:tcW w:w="4382" w:type="dxa"/>
            <w:shd w:val="clear" w:color="auto" w:fill="auto"/>
          </w:tcPr>
          <w:p>
            <w:pPr>
              <w:pStyle w:val="184"/>
              <w:rPr>
                <w:color w:val="auto"/>
                <w:highlight w:val="none"/>
              </w:rPr>
            </w:pPr>
            <w:r>
              <w:rPr>
                <w:color w:val="auto"/>
                <w:szCs w:val="18"/>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84"/>
              <w:rPr>
                <w:color w:val="auto"/>
                <w:highlight w:val="none"/>
              </w:rPr>
            </w:pPr>
          </w:p>
        </w:tc>
        <w:tc>
          <w:tcPr>
            <w:tcW w:w="1842" w:type="dxa"/>
            <w:shd w:val="clear" w:color="auto" w:fill="auto"/>
          </w:tcPr>
          <w:p>
            <w:pPr>
              <w:pStyle w:val="184"/>
              <w:rPr>
                <w:iCs/>
                <w:color w:val="auto"/>
                <w:highlight w:val="none"/>
              </w:rPr>
            </w:pPr>
            <m:oMathPara>
              <m:oMath>
                <m:r>
                  <m:rPr/>
                  <w:rPr>
                    <w:rFonts w:hint="eastAsia" w:ascii="Cambria Math" w:hAnsi="Cambria Math"/>
                    <w:color w:val="auto"/>
                    <w:kern w:val="2"/>
                    <w:szCs w:val="18"/>
                    <w:highlight w:val="none"/>
                  </w:rPr>
                  <m:t>S</m:t>
                </m:r>
                <m:r>
                  <m:rPr/>
                  <w:rPr>
                    <w:rFonts w:ascii="Cambria Math" w:hAnsi="Cambria Math"/>
                    <w:color w:val="auto"/>
                    <w:kern w:val="2"/>
                    <w:szCs w:val="18"/>
                    <w:highlight w:val="none"/>
                  </w:rPr>
                  <m:t>/m</m:t>
                </m:r>
              </m:oMath>
            </m:oMathPara>
          </w:p>
        </w:tc>
        <w:tc>
          <w:tcPr>
            <w:tcW w:w="4382" w:type="dxa"/>
            <w:shd w:val="clear" w:color="auto" w:fill="auto"/>
          </w:tcPr>
          <w:p>
            <w:pPr>
              <w:pStyle w:val="184"/>
              <w:rPr>
                <w:color w:val="auto"/>
                <w:highlight w:val="none"/>
              </w:rPr>
            </w:pPr>
            <w:r>
              <w:rPr>
                <w:rFonts w:hint="eastAsia"/>
                <w:color w:val="auto"/>
                <w:kern w:val="2"/>
                <w:szCs w:val="18"/>
                <w:highlight w:val="none"/>
              </w:rPr>
              <w:t>≤</w:t>
            </w:r>
            <m:oMath>
              <m:r>
                <m:rPr/>
                <w:rPr>
                  <w:rFonts w:ascii="Cambria Math" w:hAnsi="Cambria Math"/>
                  <w:color w:val="auto"/>
                  <w:kern w:val="2"/>
                  <w:szCs w:val="18"/>
                  <w:highlight w:val="none"/>
                </w:rPr>
                <m:t>0.1v</m:t>
              </m:r>
              <m:r>
                <m:rPr/>
                <w:rPr>
                  <w:rFonts w:hint="eastAsia" w:ascii="Cambria Math" w:hAnsi="Cambria Math"/>
                  <w:color w:val="auto"/>
                  <w:kern w:val="2"/>
                  <w:szCs w:val="18"/>
                  <w:highlight w:val="none"/>
                </w:rPr>
                <m:t>+</m:t>
              </m:r>
              <m:r>
                <m:rPr/>
                <w:rPr>
                  <w:rFonts w:ascii="Cambria Math" w:hAnsi="Cambria Math"/>
                  <w:color w:val="auto"/>
                  <w:kern w:val="2"/>
                  <w:szCs w:val="18"/>
                  <w:highlight w:val="none"/>
                </w:rPr>
                <m:t>0.0060</m:t>
              </m:r>
              <m:sSup>
                <m:sSupPr>
                  <m:ctrlPr>
                    <w:rPr>
                      <w:rFonts w:ascii="Cambria Math" w:hAnsi="Cambria Math"/>
                      <w:i/>
                      <w:color w:val="auto"/>
                      <w:kern w:val="2"/>
                      <w:szCs w:val="18"/>
                      <w:highlight w:val="none"/>
                    </w:rPr>
                  </m:ctrlPr>
                </m:sSupPr>
                <m:e>
                  <m:r>
                    <m:rPr/>
                    <w:rPr>
                      <w:rFonts w:hint="eastAsia" w:ascii="Cambria Math" w:hAnsi="Cambria Math"/>
                      <w:color w:val="auto"/>
                      <w:kern w:val="2"/>
                      <w:szCs w:val="18"/>
                      <w:highlight w:val="none"/>
                    </w:rPr>
                    <m:t>v</m:t>
                  </m:r>
                  <m:ctrlPr>
                    <w:rPr>
                      <w:rFonts w:ascii="Cambria Math" w:hAnsi="Cambria Math"/>
                      <w:i/>
                      <w:color w:val="auto"/>
                      <w:kern w:val="2"/>
                      <w:szCs w:val="18"/>
                      <w:highlight w:val="none"/>
                    </w:rPr>
                  </m:ctrlPr>
                </m:e>
                <m:sup>
                  <m:r>
                    <m:rPr/>
                    <w:rPr>
                      <w:rFonts w:ascii="Cambria Math" w:hAnsi="Cambria Math"/>
                      <w:color w:val="auto"/>
                      <w:kern w:val="2"/>
                      <w:szCs w:val="18"/>
                      <w:highlight w:val="none"/>
                    </w:rPr>
                    <m:t>2</m:t>
                  </m:r>
                  <m:ctrlPr>
                    <w:rPr>
                      <w:rFonts w:ascii="Cambria Math" w:hAnsi="Cambria Math"/>
                      <w:i/>
                      <w:color w:val="auto"/>
                      <w:kern w:val="2"/>
                      <w:szCs w:val="18"/>
                      <w:highlight w:val="none"/>
                    </w:rPr>
                  </m:ctrlPr>
                </m:sup>
              </m:sSup>
            </m:oMath>
            <w:r>
              <w:rPr>
                <w:color w:val="auto"/>
                <w:szCs w:val="1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84"/>
              <w:rPr>
                <w:color w:val="auto"/>
                <w:highlight w:val="none"/>
              </w:rPr>
            </w:pPr>
          </w:p>
        </w:tc>
        <w:tc>
          <w:tcPr>
            <w:tcW w:w="1842" w:type="dxa"/>
            <w:shd w:val="clear" w:color="auto" w:fill="auto"/>
          </w:tcPr>
          <w:p>
            <w:pPr>
              <w:pStyle w:val="184"/>
              <w:rPr>
                <w:iCs/>
                <w:color w:val="auto"/>
                <w:highlight w:val="none"/>
              </w:rPr>
            </w:pPr>
            <m:oMathPara>
              <m:oMath>
                <m:sSub>
                  <m:sSubPr>
                    <m:ctrlPr>
                      <w:rPr>
                        <w:rFonts w:ascii="Cambria Math" w:hAnsi="Cambria Math"/>
                        <w:i/>
                        <w:color w:val="auto"/>
                        <w:kern w:val="2"/>
                        <w:szCs w:val="18"/>
                        <w:highlight w:val="none"/>
                      </w:rPr>
                    </m:ctrlPr>
                  </m:sSubPr>
                  <m:e>
                    <m:r>
                      <m:rPr/>
                      <w:rPr>
                        <w:rFonts w:hint="eastAsia" w:ascii="Cambria Math" w:hAnsi="Cambria Math"/>
                        <w:color w:val="auto"/>
                        <w:kern w:val="2"/>
                        <w:szCs w:val="18"/>
                        <w:highlight w:val="none"/>
                      </w:rPr>
                      <m:t>d</m:t>
                    </m:r>
                    <m:ctrlPr>
                      <w:rPr>
                        <w:rFonts w:ascii="Cambria Math" w:hAnsi="Cambria Math"/>
                        <w:i/>
                        <w:color w:val="auto"/>
                        <w:kern w:val="2"/>
                        <w:szCs w:val="18"/>
                        <w:highlight w:val="none"/>
                      </w:rPr>
                    </m:ctrlPr>
                  </m:e>
                  <m:sub>
                    <m:r>
                      <m:rPr/>
                      <w:rPr>
                        <w:rFonts w:hint="eastAsia" w:ascii="Cambria Math" w:hAnsi="Cambria Math"/>
                        <w:color w:val="auto"/>
                        <w:kern w:val="2"/>
                        <w:szCs w:val="18"/>
                        <w:highlight w:val="none"/>
                      </w:rPr>
                      <m:t>m</m:t>
                    </m:r>
                    <m:ctrlPr>
                      <w:rPr>
                        <w:rFonts w:ascii="Cambria Math" w:hAnsi="Cambria Math"/>
                        <w:i/>
                        <w:color w:val="auto"/>
                        <w:kern w:val="2"/>
                        <w:szCs w:val="18"/>
                        <w:highlight w:val="none"/>
                      </w:rPr>
                    </m:ctrlPr>
                  </m:sub>
                </m:sSub>
                <m:r>
                  <m:rPr/>
                  <w:rPr>
                    <w:rFonts w:ascii="Cambria Math" w:hAnsi="Cambria Math"/>
                    <w:color w:val="auto"/>
                    <w:kern w:val="2"/>
                    <w:szCs w:val="18"/>
                    <w:highlight w:val="none"/>
                  </w:rPr>
                  <m:t>/(m/</m:t>
                </m:r>
                <m:sSup>
                  <m:sSupPr>
                    <m:ctrlPr>
                      <w:rPr>
                        <w:rFonts w:ascii="Cambria Math" w:hAnsi="Cambria Math"/>
                        <w:i/>
                        <w:color w:val="auto"/>
                        <w:kern w:val="2"/>
                        <w:szCs w:val="18"/>
                        <w:highlight w:val="none"/>
                      </w:rPr>
                    </m:ctrlPr>
                  </m:sSupPr>
                  <m:e>
                    <m:r>
                      <m:rPr/>
                      <w:rPr>
                        <w:rFonts w:hint="eastAsia" w:ascii="Cambria Math" w:hAnsi="Cambria Math"/>
                        <w:color w:val="auto"/>
                        <w:kern w:val="2"/>
                        <w:szCs w:val="18"/>
                        <w:highlight w:val="none"/>
                      </w:rPr>
                      <m:t>s</m:t>
                    </m:r>
                    <m:ctrlPr>
                      <w:rPr>
                        <w:rFonts w:ascii="Cambria Math" w:hAnsi="Cambria Math"/>
                        <w:i/>
                        <w:color w:val="auto"/>
                        <w:kern w:val="2"/>
                        <w:szCs w:val="18"/>
                        <w:highlight w:val="none"/>
                      </w:rPr>
                    </m:ctrlPr>
                  </m:e>
                  <m:sup>
                    <m:r>
                      <m:rPr/>
                      <w:rPr>
                        <w:rFonts w:ascii="Cambria Math" w:hAnsi="Cambria Math"/>
                        <w:color w:val="auto"/>
                        <w:kern w:val="2"/>
                        <w:szCs w:val="18"/>
                        <w:highlight w:val="none"/>
                      </w:rPr>
                      <m:t>2</m:t>
                    </m:r>
                    <m:ctrlPr>
                      <w:rPr>
                        <w:rFonts w:ascii="Cambria Math" w:hAnsi="Cambria Math"/>
                        <w:i/>
                        <w:color w:val="auto"/>
                        <w:kern w:val="2"/>
                        <w:szCs w:val="18"/>
                        <w:highlight w:val="none"/>
                      </w:rPr>
                    </m:ctrlPr>
                  </m:sup>
                </m:sSup>
                <m:r>
                  <m:rPr/>
                  <w:rPr>
                    <w:rFonts w:ascii="Cambria Math" w:hAnsi="Cambria Math"/>
                    <w:color w:val="auto"/>
                    <w:kern w:val="2"/>
                    <w:szCs w:val="18"/>
                    <w:highlight w:val="none"/>
                  </w:rPr>
                  <m:t>)</m:t>
                </m:r>
              </m:oMath>
            </m:oMathPara>
          </w:p>
        </w:tc>
        <w:tc>
          <w:tcPr>
            <w:tcW w:w="4382" w:type="dxa"/>
            <w:shd w:val="clear" w:color="auto" w:fill="auto"/>
          </w:tcPr>
          <w:p>
            <w:pPr>
              <w:pStyle w:val="184"/>
              <w:rPr>
                <w:color w:val="auto"/>
                <w:highlight w:val="none"/>
              </w:rPr>
            </w:pPr>
            <w:r>
              <w:rPr>
                <w:rFonts w:hint="eastAsia"/>
                <w:color w:val="auto"/>
                <w:szCs w:val="18"/>
                <w:highlight w:val="none"/>
              </w:rPr>
              <w:t>≥</w:t>
            </w:r>
            <m:oMath>
              <m:r>
                <m:rPr/>
                <w:rPr>
                  <w:rFonts w:ascii="Cambria Math" w:hAnsi="Cambria Math"/>
                  <w:color w:val="auto"/>
                  <w:szCs w:val="18"/>
                  <w:highlight w:val="none"/>
                </w:rPr>
                <m:t xml:space="preserve">6.43 </m:t>
              </m:r>
            </m:oMath>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84"/>
              <w:rPr>
                <w:color w:val="auto"/>
                <w:highlight w:val="none"/>
              </w:rPr>
            </w:pPr>
          </w:p>
        </w:tc>
        <w:tc>
          <w:tcPr>
            <w:tcW w:w="1842" w:type="dxa"/>
            <w:shd w:val="clear" w:color="auto" w:fill="auto"/>
          </w:tcPr>
          <w:p>
            <w:pPr>
              <w:pStyle w:val="184"/>
              <w:rPr>
                <w:iCs/>
                <w:color w:val="auto"/>
                <w:highlight w:val="none"/>
              </w:rPr>
            </w:pPr>
            <m:oMathPara>
              <m:oMath>
                <m:r>
                  <m:rPr/>
                  <w:rPr>
                    <w:rFonts w:hint="eastAsia" w:ascii="Cambria Math" w:hAnsi="Cambria Math"/>
                    <w:color w:val="auto"/>
                    <w:kern w:val="2"/>
                    <w:szCs w:val="18"/>
                    <w:highlight w:val="none"/>
                  </w:rPr>
                  <m:t>F</m:t>
                </m:r>
                <m:r>
                  <m:rPr/>
                  <w:rPr>
                    <w:rFonts w:ascii="Cambria Math" w:hAnsi="Cambria Math"/>
                    <w:color w:val="auto"/>
                    <w:kern w:val="2"/>
                    <w:szCs w:val="18"/>
                    <w:highlight w:val="none"/>
                  </w:rPr>
                  <m:t>/</m:t>
                </m:r>
                <m:r>
                  <m:rPr/>
                  <w:rPr>
                    <w:rFonts w:hint="eastAsia" w:ascii="Cambria Math" w:hAnsi="Cambria Math"/>
                    <w:color w:val="auto"/>
                    <w:kern w:val="2"/>
                    <w:szCs w:val="18"/>
                    <w:highlight w:val="none"/>
                  </w:rPr>
                  <m:t>N</m:t>
                </m:r>
              </m:oMath>
            </m:oMathPara>
          </w:p>
        </w:tc>
        <w:tc>
          <w:tcPr>
            <w:tcW w:w="4382" w:type="dxa"/>
            <w:shd w:val="clear" w:color="auto" w:fill="auto"/>
          </w:tcPr>
          <w:p>
            <w:pPr>
              <w:pStyle w:val="184"/>
              <w:rPr>
                <w:color w:val="auto"/>
                <w:highlight w:val="none"/>
              </w:rPr>
            </w:pPr>
            <m:oMathPara>
              <m:oMath>
                <m:r>
                  <m:rPr/>
                  <w:rPr>
                    <w:rFonts w:ascii="Cambria Math" w:hAnsi="Cambria Math"/>
                    <w:color w:val="auto"/>
                    <w:kern w:val="2"/>
                    <w:szCs w:val="18"/>
                    <w:highlight w:val="none"/>
                  </w:rPr>
                  <m:t>65</m:t>
                </m:r>
                <m:r>
                  <m:rPr>
                    <m:sty m:val="p"/>
                  </m:rPr>
                  <w:rPr>
                    <w:rFonts w:hint="eastAsia" w:ascii="Cambria Math" w:hAnsi="Cambria Math"/>
                    <w:color w:val="auto"/>
                    <w:szCs w:val="18"/>
                    <w:highlight w:val="none"/>
                  </w:rPr>
                  <m:t>～</m:t>
                </m:r>
                <m:r>
                  <m:rPr/>
                  <w:rPr>
                    <w:rFonts w:ascii="Cambria Math" w:hAnsi="Cambria Math"/>
                    <w:color w:val="auto"/>
                    <w:kern w:val="2"/>
                    <w:szCs w:val="18"/>
                    <w:highlight w:val="none"/>
                  </w:rPr>
                  <m:t>500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vMerge w:val="restart"/>
            <w:shd w:val="clear" w:color="auto" w:fill="auto"/>
            <w:vAlign w:val="center"/>
          </w:tcPr>
          <w:p>
            <w:pPr>
              <w:pStyle w:val="184"/>
              <w:rPr>
                <w:color w:val="auto"/>
                <w:highlight w:val="none"/>
              </w:rPr>
            </w:pPr>
            <w:r>
              <w:rPr>
                <w:color w:val="auto"/>
                <w:szCs w:val="18"/>
                <w:highlight w:val="none"/>
              </w:rPr>
              <w:t>b</w:t>
            </w:r>
            <w:r>
              <w:rPr>
                <w:rFonts w:hAnsi="宋体"/>
                <w:color w:val="auto"/>
                <w:szCs w:val="18"/>
                <w:highlight w:val="none"/>
              </w:rPr>
              <w:t>）</w:t>
            </w:r>
            <w:r>
              <w:rPr>
                <w:rFonts w:hint="eastAsia" w:hAnsi="宋体"/>
                <w:color w:val="auto"/>
                <w:szCs w:val="18"/>
                <w:highlight w:val="none"/>
                <w:lang w:eastAsia="zh-CN"/>
              </w:rPr>
              <w:t>动力接合</w:t>
            </w:r>
            <w:r>
              <w:rPr>
                <w:color w:val="auto"/>
                <w:szCs w:val="18"/>
                <w:highlight w:val="none"/>
              </w:rPr>
              <w:t>的</w:t>
            </w:r>
            <w:r>
              <w:rPr>
                <w:rFonts w:cs="Calibri"/>
                <w:color w:val="auto"/>
                <w:szCs w:val="18"/>
                <w:highlight w:val="none"/>
              </w:rPr>
              <w:t>0</w:t>
            </w:r>
            <w:r>
              <w:rPr>
                <w:rFonts w:hAnsi="宋体"/>
                <w:color w:val="auto"/>
                <w:szCs w:val="18"/>
                <w:highlight w:val="none"/>
              </w:rPr>
              <w:t>型试验</w:t>
            </w:r>
            <w:r>
              <w:rPr>
                <w:rFonts w:hAnsi="宋体"/>
                <w:color w:val="auto"/>
                <w:szCs w:val="18"/>
                <w:highlight w:val="none"/>
                <w:vertAlign w:val="superscript"/>
              </w:rPr>
              <w:t>b</w:t>
            </w:r>
          </w:p>
        </w:tc>
        <w:tc>
          <w:tcPr>
            <w:tcW w:w="1842" w:type="dxa"/>
            <w:shd w:val="clear" w:color="auto" w:fill="auto"/>
          </w:tcPr>
          <w:p>
            <w:pPr>
              <w:pStyle w:val="184"/>
              <w:rPr>
                <w:iCs/>
                <w:color w:val="auto"/>
                <w:highlight w:val="none"/>
              </w:rPr>
            </w:pPr>
            <m:oMathPara>
              <m:oMath>
                <m:r>
                  <m:rPr/>
                  <w:rPr>
                    <w:rFonts w:ascii="Cambria Math" w:hAnsi="Cambria Math"/>
                    <w:color w:val="auto"/>
                    <w:kern w:val="2"/>
                    <w:szCs w:val="18"/>
                    <w:highlight w:val="none"/>
                  </w:rPr>
                  <m:t>v/(km/ℎ)</m:t>
                </m:r>
              </m:oMath>
            </m:oMathPara>
          </w:p>
        </w:tc>
        <w:tc>
          <w:tcPr>
            <w:tcW w:w="4382" w:type="dxa"/>
            <w:shd w:val="clear" w:color="auto" w:fill="auto"/>
          </w:tcPr>
          <w:p>
            <w:pPr>
              <w:pStyle w:val="184"/>
              <w:rPr>
                <w:color w:val="auto"/>
                <w:highlight w:val="none"/>
              </w:rPr>
            </w:pPr>
            <m:oMath>
              <m:r>
                <m:rPr/>
                <w:rPr>
                  <w:rFonts w:ascii="Cambria Math" w:hAnsi="Cambria Math"/>
                  <w:color w:val="auto"/>
                  <w:kern w:val="2"/>
                  <w:szCs w:val="18"/>
                  <w:highlight w:val="none"/>
                </w:rPr>
                <m:t>80</m:t>
              </m:r>
              <m:r>
                <m:rPr/>
                <w:rPr>
                  <w:rFonts w:hint="eastAsia" w:ascii="Cambria Math" w:hAnsi="Cambria Math"/>
                  <w:color w:val="auto"/>
                  <w:kern w:val="2"/>
                  <w:szCs w:val="18"/>
                  <w:highlight w:val="none"/>
                </w:rPr>
                <m:t>%</m:t>
              </m:r>
              <m:sSub>
                <m:sSubPr>
                  <m:ctrlPr>
                    <w:rPr>
                      <w:rFonts w:ascii="Cambria Math" w:hAnsi="Cambria Math"/>
                      <w:i/>
                      <w:color w:val="auto"/>
                      <w:kern w:val="2"/>
                      <w:szCs w:val="18"/>
                      <w:highlight w:val="none"/>
                    </w:rPr>
                  </m:ctrlPr>
                </m:sSubPr>
                <m:e>
                  <m:r>
                    <m:rPr/>
                    <w:rPr>
                      <w:rFonts w:ascii="Cambria Math" w:hAnsi="Cambria Math"/>
                      <w:color w:val="auto"/>
                      <w:kern w:val="2"/>
                      <w:szCs w:val="18"/>
                      <w:highlight w:val="none"/>
                    </w:rPr>
                    <m:t>v</m:t>
                  </m:r>
                  <m:ctrlPr>
                    <w:rPr>
                      <w:rFonts w:ascii="Cambria Math" w:hAnsi="Cambria Math"/>
                      <w:i/>
                      <w:color w:val="auto"/>
                      <w:kern w:val="2"/>
                      <w:szCs w:val="18"/>
                      <w:highlight w:val="none"/>
                    </w:rPr>
                  </m:ctrlPr>
                </m:e>
                <m:sub>
                  <m:r>
                    <m:rPr/>
                    <w:rPr>
                      <w:rFonts w:hint="eastAsia" w:ascii="Cambria Math" w:hAnsi="Cambria Math"/>
                      <w:color w:val="auto"/>
                      <w:kern w:val="2"/>
                      <w:szCs w:val="18"/>
                      <w:highlight w:val="none"/>
                    </w:rPr>
                    <m:t>max</m:t>
                  </m:r>
                  <m:ctrlPr>
                    <w:rPr>
                      <w:rFonts w:ascii="Cambria Math" w:hAnsi="Cambria Math"/>
                      <w:i/>
                      <w:color w:val="auto"/>
                      <w:kern w:val="2"/>
                      <w:szCs w:val="18"/>
                      <w:highlight w:val="none"/>
                    </w:rPr>
                  </m:ctrlPr>
                </m:sub>
              </m:sSub>
            </m:oMath>
            <w:r>
              <w:rPr>
                <w:rFonts w:hint="eastAsia"/>
                <w:color w:val="auto"/>
                <w:kern w:val="2"/>
                <w:szCs w:val="18"/>
                <w:highlight w:val="none"/>
              </w:rPr>
              <w:t>≤</w:t>
            </w:r>
            <w:r>
              <w:rPr>
                <w:color w:val="auto"/>
                <w:szCs w:val="18"/>
                <w:highlight w:val="none"/>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84"/>
              <w:rPr>
                <w:color w:val="auto"/>
                <w:highlight w:val="none"/>
              </w:rPr>
            </w:pPr>
          </w:p>
        </w:tc>
        <w:tc>
          <w:tcPr>
            <w:tcW w:w="1842" w:type="dxa"/>
            <w:shd w:val="clear" w:color="auto" w:fill="auto"/>
          </w:tcPr>
          <w:p>
            <w:pPr>
              <w:pStyle w:val="184"/>
              <w:rPr>
                <w:iCs/>
                <w:color w:val="auto"/>
                <w:highlight w:val="none"/>
              </w:rPr>
            </w:pPr>
            <m:oMathPara>
              <m:oMath>
                <m:r>
                  <m:rPr/>
                  <w:rPr>
                    <w:rFonts w:hint="eastAsia" w:ascii="Cambria Math" w:hAnsi="Cambria Math"/>
                    <w:color w:val="auto"/>
                    <w:kern w:val="2"/>
                    <w:szCs w:val="18"/>
                    <w:highlight w:val="none"/>
                  </w:rPr>
                  <m:t>S</m:t>
                </m:r>
                <m:r>
                  <m:rPr/>
                  <w:rPr>
                    <w:rFonts w:ascii="Cambria Math" w:hAnsi="Cambria Math"/>
                    <w:color w:val="auto"/>
                    <w:kern w:val="2"/>
                    <w:szCs w:val="18"/>
                    <w:highlight w:val="none"/>
                  </w:rPr>
                  <m:t>/m</m:t>
                </m:r>
              </m:oMath>
            </m:oMathPara>
          </w:p>
        </w:tc>
        <w:tc>
          <w:tcPr>
            <w:tcW w:w="4382" w:type="dxa"/>
            <w:shd w:val="clear" w:color="auto" w:fill="auto"/>
          </w:tcPr>
          <w:p>
            <w:pPr>
              <w:pStyle w:val="184"/>
              <w:rPr>
                <w:color w:val="auto"/>
                <w:highlight w:val="none"/>
              </w:rPr>
            </w:pPr>
            <w:r>
              <w:rPr>
                <w:rFonts w:hint="eastAsia"/>
                <w:color w:val="auto"/>
                <w:kern w:val="2"/>
                <w:szCs w:val="18"/>
                <w:highlight w:val="none"/>
              </w:rPr>
              <w:t>≤</w:t>
            </w:r>
            <m:oMath>
              <m:r>
                <m:rPr/>
                <w:rPr>
                  <w:rFonts w:ascii="Cambria Math" w:hAnsi="Cambria Math"/>
                  <w:color w:val="auto"/>
                  <w:kern w:val="2"/>
                  <w:szCs w:val="18"/>
                  <w:highlight w:val="none"/>
                </w:rPr>
                <m:t>0.1v</m:t>
              </m:r>
              <m:r>
                <m:rPr/>
                <w:rPr>
                  <w:rFonts w:hint="eastAsia" w:ascii="Cambria Math" w:hAnsi="Cambria Math"/>
                  <w:color w:val="auto"/>
                  <w:kern w:val="2"/>
                  <w:szCs w:val="18"/>
                  <w:highlight w:val="none"/>
                </w:rPr>
                <m:t>+</m:t>
              </m:r>
              <m:r>
                <m:rPr/>
                <w:rPr>
                  <w:rFonts w:ascii="Cambria Math" w:hAnsi="Cambria Math"/>
                  <w:color w:val="auto"/>
                  <w:kern w:val="2"/>
                  <w:szCs w:val="18"/>
                  <w:highlight w:val="none"/>
                </w:rPr>
                <m:t>0.0067</m:t>
              </m:r>
              <m:sSup>
                <m:sSupPr>
                  <m:ctrlPr>
                    <w:rPr>
                      <w:rFonts w:ascii="Cambria Math" w:hAnsi="Cambria Math"/>
                      <w:i/>
                      <w:color w:val="auto"/>
                      <w:kern w:val="2"/>
                      <w:szCs w:val="18"/>
                      <w:highlight w:val="none"/>
                    </w:rPr>
                  </m:ctrlPr>
                </m:sSupPr>
                <m:e>
                  <m:r>
                    <m:rPr/>
                    <w:rPr>
                      <w:rFonts w:hint="eastAsia" w:ascii="Cambria Math" w:hAnsi="Cambria Math"/>
                      <w:color w:val="auto"/>
                      <w:kern w:val="2"/>
                      <w:szCs w:val="18"/>
                      <w:highlight w:val="none"/>
                    </w:rPr>
                    <m:t>v</m:t>
                  </m:r>
                  <m:ctrlPr>
                    <w:rPr>
                      <w:rFonts w:ascii="Cambria Math" w:hAnsi="Cambria Math"/>
                      <w:i/>
                      <w:color w:val="auto"/>
                      <w:kern w:val="2"/>
                      <w:szCs w:val="18"/>
                      <w:highlight w:val="none"/>
                    </w:rPr>
                  </m:ctrlPr>
                </m:e>
                <m:sup>
                  <m:r>
                    <m:rPr/>
                    <w:rPr>
                      <w:rFonts w:ascii="Cambria Math" w:hAnsi="Cambria Math"/>
                      <w:color w:val="auto"/>
                      <w:kern w:val="2"/>
                      <w:szCs w:val="18"/>
                      <w:highlight w:val="none"/>
                    </w:rPr>
                    <m:t>2</m:t>
                  </m:r>
                  <m:ctrlPr>
                    <w:rPr>
                      <w:rFonts w:ascii="Cambria Math" w:hAnsi="Cambria Math"/>
                      <w:i/>
                      <w:color w:val="auto"/>
                      <w:kern w:val="2"/>
                      <w:szCs w:val="18"/>
                      <w:highlight w:val="none"/>
                    </w:rPr>
                  </m:ctrlPr>
                </m:sup>
              </m:sSup>
            </m:oMath>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84"/>
              <w:rPr>
                <w:color w:val="auto"/>
                <w:highlight w:val="none"/>
              </w:rPr>
            </w:pPr>
          </w:p>
        </w:tc>
        <w:tc>
          <w:tcPr>
            <w:tcW w:w="1842" w:type="dxa"/>
            <w:shd w:val="clear" w:color="auto" w:fill="auto"/>
          </w:tcPr>
          <w:p>
            <w:pPr>
              <w:pStyle w:val="184"/>
              <w:rPr>
                <w:iCs/>
                <w:color w:val="auto"/>
                <w:highlight w:val="none"/>
              </w:rPr>
            </w:pPr>
            <m:oMathPara>
              <m:oMath>
                <m:sSub>
                  <m:sSubPr>
                    <m:ctrlPr>
                      <w:rPr>
                        <w:rFonts w:ascii="Cambria Math" w:hAnsi="Cambria Math"/>
                        <w:i/>
                        <w:color w:val="auto"/>
                        <w:kern w:val="2"/>
                        <w:szCs w:val="18"/>
                        <w:highlight w:val="none"/>
                      </w:rPr>
                    </m:ctrlPr>
                  </m:sSubPr>
                  <m:e>
                    <m:r>
                      <m:rPr/>
                      <w:rPr>
                        <w:rFonts w:hint="eastAsia" w:ascii="Cambria Math" w:hAnsi="Cambria Math"/>
                        <w:color w:val="auto"/>
                        <w:kern w:val="2"/>
                        <w:szCs w:val="18"/>
                        <w:highlight w:val="none"/>
                      </w:rPr>
                      <m:t>d</m:t>
                    </m:r>
                    <m:ctrlPr>
                      <w:rPr>
                        <w:rFonts w:ascii="Cambria Math" w:hAnsi="Cambria Math"/>
                        <w:i/>
                        <w:color w:val="auto"/>
                        <w:kern w:val="2"/>
                        <w:szCs w:val="18"/>
                        <w:highlight w:val="none"/>
                      </w:rPr>
                    </m:ctrlPr>
                  </m:e>
                  <m:sub>
                    <m:r>
                      <m:rPr/>
                      <w:rPr>
                        <w:rFonts w:hint="eastAsia" w:ascii="Cambria Math" w:hAnsi="Cambria Math"/>
                        <w:color w:val="auto"/>
                        <w:kern w:val="2"/>
                        <w:szCs w:val="18"/>
                        <w:highlight w:val="none"/>
                      </w:rPr>
                      <m:t>m</m:t>
                    </m:r>
                    <m:ctrlPr>
                      <w:rPr>
                        <w:rFonts w:ascii="Cambria Math" w:hAnsi="Cambria Math"/>
                        <w:i/>
                        <w:color w:val="auto"/>
                        <w:kern w:val="2"/>
                        <w:szCs w:val="18"/>
                        <w:highlight w:val="none"/>
                      </w:rPr>
                    </m:ctrlPr>
                  </m:sub>
                </m:sSub>
                <m:r>
                  <m:rPr/>
                  <w:rPr>
                    <w:rFonts w:ascii="Cambria Math" w:hAnsi="Cambria Math"/>
                    <w:color w:val="auto"/>
                    <w:kern w:val="2"/>
                    <w:szCs w:val="18"/>
                    <w:highlight w:val="none"/>
                  </w:rPr>
                  <m:t>/(m/</m:t>
                </m:r>
                <m:sSup>
                  <m:sSupPr>
                    <m:ctrlPr>
                      <w:rPr>
                        <w:rFonts w:ascii="Cambria Math" w:hAnsi="Cambria Math"/>
                        <w:i/>
                        <w:color w:val="auto"/>
                        <w:kern w:val="2"/>
                        <w:szCs w:val="18"/>
                        <w:highlight w:val="none"/>
                      </w:rPr>
                    </m:ctrlPr>
                  </m:sSupPr>
                  <m:e>
                    <m:r>
                      <m:rPr/>
                      <w:rPr>
                        <w:rFonts w:hint="eastAsia" w:ascii="Cambria Math" w:hAnsi="Cambria Math"/>
                        <w:color w:val="auto"/>
                        <w:kern w:val="2"/>
                        <w:szCs w:val="18"/>
                        <w:highlight w:val="none"/>
                      </w:rPr>
                      <m:t>s</m:t>
                    </m:r>
                    <m:ctrlPr>
                      <w:rPr>
                        <w:rFonts w:ascii="Cambria Math" w:hAnsi="Cambria Math"/>
                        <w:i/>
                        <w:color w:val="auto"/>
                        <w:kern w:val="2"/>
                        <w:szCs w:val="18"/>
                        <w:highlight w:val="none"/>
                      </w:rPr>
                    </m:ctrlPr>
                  </m:e>
                  <m:sup>
                    <m:r>
                      <m:rPr/>
                      <w:rPr>
                        <w:rFonts w:ascii="Cambria Math" w:hAnsi="Cambria Math"/>
                        <w:color w:val="auto"/>
                        <w:kern w:val="2"/>
                        <w:szCs w:val="18"/>
                        <w:highlight w:val="none"/>
                      </w:rPr>
                      <m:t>2</m:t>
                    </m:r>
                    <m:ctrlPr>
                      <w:rPr>
                        <w:rFonts w:ascii="Cambria Math" w:hAnsi="Cambria Math"/>
                        <w:i/>
                        <w:color w:val="auto"/>
                        <w:kern w:val="2"/>
                        <w:szCs w:val="18"/>
                        <w:highlight w:val="none"/>
                      </w:rPr>
                    </m:ctrlPr>
                  </m:sup>
                </m:sSup>
                <m:r>
                  <m:rPr/>
                  <w:rPr>
                    <w:rFonts w:ascii="Cambria Math" w:hAnsi="Cambria Math"/>
                    <w:color w:val="auto"/>
                    <w:kern w:val="2"/>
                    <w:szCs w:val="18"/>
                    <w:highlight w:val="none"/>
                  </w:rPr>
                  <m:t>)</m:t>
                </m:r>
              </m:oMath>
            </m:oMathPara>
          </w:p>
        </w:tc>
        <w:tc>
          <w:tcPr>
            <w:tcW w:w="4382" w:type="dxa"/>
            <w:shd w:val="clear" w:color="auto" w:fill="auto"/>
          </w:tcPr>
          <w:p>
            <w:pPr>
              <w:pStyle w:val="184"/>
              <w:rPr>
                <w:color w:val="auto"/>
                <w:highlight w:val="none"/>
              </w:rPr>
            </w:pPr>
            <w:r>
              <w:rPr>
                <w:rFonts w:hint="eastAsia"/>
                <w:color w:val="auto"/>
                <w:szCs w:val="18"/>
                <w:highlight w:val="none"/>
              </w:rPr>
              <w:t>≥</w:t>
            </w:r>
            <m:oMath>
              <m:r>
                <m:rPr/>
                <w:rPr>
                  <w:rFonts w:ascii="Cambria Math" w:hAnsi="Cambria Math"/>
                  <w:color w:val="auto"/>
                  <w:szCs w:val="18"/>
                  <w:highlight w:val="none"/>
                </w:rPr>
                <m:t>5.76</m:t>
              </m:r>
            </m:oMath>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bottom w:val="single" w:color="auto" w:sz="8" w:space="0"/>
            </w:tcBorders>
            <w:shd w:val="clear" w:color="auto" w:fill="auto"/>
            <w:vAlign w:val="center"/>
          </w:tcPr>
          <w:p>
            <w:pPr>
              <w:pStyle w:val="184"/>
              <w:rPr>
                <w:color w:val="auto"/>
                <w:highlight w:val="none"/>
              </w:rPr>
            </w:pPr>
          </w:p>
        </w:tc>
        <w:tc>
          <w:tcPr>
            <w:tcW w:w="1842" w:type="dxa"/>
            <w:tcBorders>
              <w:bottom w:val="single" w:color="auto" w:sz="8" w:space="0"/>
            </w:tcBorders>
            <w:shd w:val="clear" w:color="auto" w:fill="auto"/>
          </w:tcPr>
          <w:p>
            <w:pPr>
              <w:pStyle w:val="184"/>
              <w:rPr>
                <w:iCs/>
                <w:color w:val="auto"/>
                <w:highlight w:val="none"/>
              </w:rPr>
            </w:pPr>
            <m:oMathPara>
              <m:oMath>
                <m:r>
                  <m:rPr/>
                  <w:rPr>
                    <w:rFonts w:hint="eastAsia" w:ascii="Cambria Math" w:hAnsi="Cambria Math"/>
                    <w:color w:val="auto"/>
                    <w:kern w:val="2"/>
                    <w:szCs w:val="18"/>
                    <w:highlight w:val="none"/>
                  </w:rPr>
                  <m:t>F</m:t>
                </m:r>
                <m:r>
                  <m:rPr/>
                  <w:rPr>
                    <w:rFonts w:ascii="Cambria Math" w:hAnsi="Cambria Math"/>
                    <w:color w:val="auto"/>
                    <w:kern w:val="2"/>
                    <w:szCs w:val="18"/>
                    <w:highlight w:val="none"/>
                  </w:rPr>
                  <m:t>/</m:t>
                </m:r>
                <m:r>
                  <m:rPr/>
                  <w:rPr>
                    <w:rFonts w:hint="eastAsia" w:ascii="Cambria Math" w:hAnsi="Cambria Math"/>
                    <w:color w:val="auto"/>
                    <w:kern w:val="2"/>
                    <w:szCs w:val="18"/>
                    <w:highlight w:val="none"/>
                  </w:rPr>
                  <m:t>N</m:t>
                </m:r>
              </m:oMath>
            </m:oMathPara>
          </w:p>
        </w:tc>
        <w:tc>
          <w:tcPr>
            <w:tcW w:w="4382" w:type="dxa"/>
            <w:tcBorders>
              <w:bottom w:val="single" w:color="auto" w:sz="8" w:space="0"/>
            </w:tcBorders>
            <w:shd w:val="clear" w:color="auto" w:fill="auto"/>
          </w:tcPr>
          <w:p>
            <w:pPr>
              <w:pStyle w:val="184"/>
              <w:rPr>
                <w:color w:val="auto"/>
                <w:szCs w:val="18"/>
                <w:highlight w:val="none"/>
              </w:rPr>
            </w:pPr>
            <m:oMathPara>
              <m:oMath>
                <m:r>
                  <m:rPr/>
                  <w:rPr>
                    <w:rFonts w:ascii="Cambria Math" w:hAnsi="Cambria Math"/>
                    <w:color w:val="auto"/>
                    <w:kern w:val="2"/>
                    <w:szCs w:val="18"/>
                    <w:highlight w:val="none"/>
                  </w:rPr>
                  <m:t>65</m:t>
                </m:r>
                <m:r>
                  <m:rPr>
                    <m:sty m:val="p"/>
                  </m:rPr>
                  <w:rPr>
                    <w:rFonts w:hint="eastAsia" w:ascii="Cambria Math" w:hAnsi="Cambria Math"/>
                    <w:color w:val="auto"/>
                    <w:szCs w:val="18"/>
                    <w:highlight w:val="none"/>
                  </w:rPr>
                  <m:t>～</m:t>
                </m:r>
                <m:r>
                  <m:rPr/>
                  <w:rPr>
                    <w:rFonts w:ascii="Cambria Math" w:hAnsi="Cambria Math"/>
                    <w:color w:val="auto"/>
                    <w:kern w:val="2"/>
                    <w:szCs w:val="18"/>
                    <w:highlight w:val="none"/>
                  </w:rPr>
                  <m:t>500</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3"/>
            <w:tcBorders>
              <w:top w:val="single" w:color="auto" w:sz="8" w:space="0"/>
              <w:bottom w:val="single" w:color="auto" w:sz="8" w:space="0"/>
            </w:tcBorders>
            <w:shd w:val="clear" w:color="auto" w:fill="auto"/>
            <w:vAlign w:val="center"/>
          </w:tcPr>
          <w:p>
            <w:pPr>
              <w:pStyle w:val="186"/>
              <w:numPr>
                <w:ilvl w:val="0"/>
                <w:numId w:val="46"/>
              </w:numPr>
              <w:rPr>
                <w:color w:val="auto"/>
                <w:highlight w:val="none"/>
              </w:rPr>
            </w:pPr>
            <m:oMath>
              <m:r>
                <m:rPr/>
                <w:rPr>
                  <w:rFonts w:ascii="Cambria Math" w:hAnsi="Cambria Math"/>
                  <w:color w:val="auto"/>
                  <w:highlight w:val="none"/>
                </w:rPr>
                <m:t>v</m:t>
              </m:r>
            </m:oMath>
            <w:r>
              <w:rPr>
                <w:rFonts w:hint="eastAsia"/>
                <w:color w:val="auto"/>
                <w:highlight w:val="none"/>
              </w:rPr>
              <w:t>为规定的试验车速。</w:t>
            </w:r>
          </w:p>
          <w:p>
            <w:pPr>
              <w:pStyle w:val="186"/>
              <w:rPr>
                <w:color w:val="auto"/>
                <w:highlight w:val="none"/>
              </w:rPr>
            </w:pPr>
            <m:oMath>
              <m:r>
                <m:rPr/>
                <w:rPr>
                  <w:rFonts w:hint="eastAsia" w:ascii="Cambria Math" w:hAnsi="Cambria Math"/>
                  <w:color w:val="auto"/>
                  <w:highlight w:val="none"/>
                </w:rPr>
                <m:t>S</m:t>
              </m:r>
            </m:oMath>
            <w:r>
              <w:rPr>
                <w:rFonts w:hint="eastAsia"/>
                <w:color w:val="auto"/>
                <w:highlight w:val="none"/>
              </w:rPr>
              <w:t>为制动距离。</w:t>
            </w:r>
          </w:p>
          <w:p>
            <w:pPr>
              <w:pStyle w:val="186"/>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hint="eastAsia" w:ascii="Cambria Math" w:hAnsi="Cambria Math"/>
                      <w:color w:val="auto"/>
                      <w:highlight w:val="none"/>
                    </w:rPr>
                    <m:t>m</m:t>
                  </m:r>
                  <m:ctrlPr>
                    <w:rPr>
                      <w:rFonts w:ascii="Cambria Math" w:hAnsi="Cambria Math"/>
                      <w:i/>
                      <w:color w:val="auto"/>
                      <w:highlight w:val="none"/>
                    </w:rPr>
                  </m:ctrlPr>
                </m:sub>
              </m:sSub>
            </m:oMath>
            <w:r>
              <w:rPr>
                <w:rFonts w:hint="eastAsia"/>
                <w:color w:val="auto"/>
                <w:highlight w:val="none"/>
              </w:rPr>
              <w:t>为充分发出的平均减速度。</w:t>
            </w:r>
          </w:p>
          <w:p>
            <w:pPr>
              <w:pStyle w:val="186"/>
              <w:rPr>
                <w:color w:val="auto"/>
                <w:highlight w:val="none"/>
              </w:rPr>
            </w:pPr>
            <m:oMath>
              <m:r>
                <m:rPr/>
                <w:rPr>
                  <w:rFonts w:hint="eastAsia" w:ascii="Cambria Math" w:hAnsi="Cambria Math"/>
                  <w:color w:val="auto"/>
                  <w:highlight w:val="none"/>
                </w:rPr>
                <m:t>F</m:t>
              </m:r>
            </m:oMath>
            <w:r>
              <w:rPr>
                <w:rFonts w:hint="eastAsia"/>
                <w:color w:val="auto"/>
                <w:highlight w:val="none"/>
              </w:rPr>
              <w:t>为脚制动力。</w:t>
            </w:r>
          </w:p>
          <w:p>
            <w:pPr>
              <w:pStyle w:val="186"/>
              <w:rPr>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v</m:t>
                  </m:r>
                  <m:ctrlPr>
                    <w:rPr>
                      <w:rFonts w:ascii="Cambria Math" w:hAnsi="Cambria Math"/>
                      <w:i/>
                      <w:color w:val="auto"/>
                      <w:highlight w:val="none"/>
                    </w:rPr>
                  </m:ctrlPr>
                </m:e>
                <m:sub>
                  <m:r>
                    <m:rPr/>
                    <w:rPr>
                      <w:rFonts w:hint="eastAsia" w:ascii="Cambria Math" w:hAnsi="Cambria Math"/>
                      <w:color w:val="auto"/>
                      <w:highlight w:val="none"/>
                    </w:rPr>
                    <m:t>max</m:t>
                  </m:r>
                  <m:ctrlPr>
                    <w:rPr>
                      <w:rFonts w:ascii="Cambria Math" w:hAnsi="Cambria Math"/>
                      <w:i/>
                      <w:color w:val="auto"/>
                      <w:highlight w:val="none"/>
                    </w:rPr>
                  </m:ctrlPr>
                </m:sub>
              </m:sSub>
            </m:oMath>
            <w:r>
              <w:rPr>
                <w:rFonts w:hint="eastAsia"/>
                <w:color w:val="auto"/>
                <w:highlight w:val="none"/>
              </w:rPr>
              <w:t>为车辆的最高设计车速。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tcBorders>
            <w:shd w:val="clear" w:color="auto" w:fill="auto"/>
            <w:vAlign w:val="center"/>
          </w:tcPr>
          <w:p>
            <w:pPr>
              <w:pStyle w:val="107"/>
              <w:rPr>
                <w:color w:val="auto"/>
                <w:highlight w:val="none"/>
              </w:rPr>
            </w:pPr>
            <w:r>
              <w:rPr>
                <w:rFonts w:hint="eastAsia"/>
                <w:color w:val="auto"/>
                <w:highlight w:val="none"/>
              </w:rPr>
              <w:t>因最高设计车速限制而不能达到规定车速的车辆，可以试验时所能达到的最高车速进行试验。</w:t>
            </w:r>
          </w:p>
          <w:p>
            <w:pPr>
              <w:pStyle w:val="107"/>
              <w:rPr>
                <w:color w:val="auto"/>
                <w:highlight w:val="none"/>
              </w:rPr>
            </w:pPr>
            <w:r>
              <w:rPr>
                <w:rFonts w:hint="eastAsia"/>
                <w:color w:val="auto"/>
                <w:highlight w:val="none"/>
              </w:rPr>
              <w:t>如车辆最高设计车速不超过</w:t>
            </w:r>
            <w:r>
              <w:rPr>
                <w:color w:val="auto"/>
                <w:highlight w:val="none"/>
              </w:rPr>
              <w:t>125km/h，则不进行该项试验。</w:t>
            </w:r>
          </w:p>
        </w:tc>
      </w:tr>
    </w:tbl>
    <w:p>
      <w:pPr>
        <w:pStyle w:val="100"/>
        <w:numPr>
          <w:ilvl w:val="-1"/>
          <w:numId w:val="0"/>
        </w:numPr>
        <w:spacing w:before="0" w:beforeLines="0" w:after="0" w:afterLines="0"/>
        <w:rPr>
          <w:rFonts w:ascii="宋体" w:hAnsi="宋体" w:eastAsia="宋体"/>
          <w:color w:val="auto"/>
          <w:highlight w:val="none"/>
        </w:rPr>
      </w:pP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对允许挂接无制动挂车的乘用车，列车在满载和空载条件下的最低0型试验性能不应低于5.4</w:t>
      </w:r>
      <w:r>
        <w:rPr>
          <w:rFonts w:hint="eastAsia"/>
          <w:color w:val="auto"/>
          <w:highlight w:val="none"/>
          <w:lang w:val="en-US" w:eastAsia="zh-CN"/>
        </w:rPr>
        <w:t> </w:t>
      </w:r>
      <w:r>
        <w:rPr>
          <w:rFonts w:hint="eastAsia" w:ascii="宋体" w:hAnsi="宋体" w:eastAsia="宋体"/>
          <w:color w:val="auto"/>
          <w:highlight w:val="none"/>
        </w:rPr>
        <w:t>m/s</w:t>
      </w:r>
      <w:r>
        <w:rPr>
          <w:rFonts w:hint="eastAsia" w:ascii="宋体" w:hAnsi="宋体" w:eastAsia="宋体"/>
          <w:color w:val="auto"/>
          <w:highlight w:val="none"/>
          <w:vertAlign w:val="superscript"/>
        </w:rPr>
        <w:t>2</w:t>
      </w:r>
      <w:r>
        <w:rPr>
          <w:rFonts w:hint="eastAsia" w:ascii="宋体" w:hAnsi="宋体" w:eastAsia="宋体"/>
          <w:color w:val="auto"/>
          <w:highlight w:val="none"/>
        </w:rPr>
        <w:t>。</w:t>
      </w:r>
    </w:p>
    <w:p>
      <w:pPr>
        <w:pStyle w:val="62"/>
        <w:ind w:firstLine="420"/>
        <w:rPr>
          <w:color w:val="auto"/>
          <w:highlight w:val="none"/>
        </w:rPr>
      </w:pPr>
      <w:r>
        <w:rPr>
          <w:rFonts w:hint="eastAsia" w:hAnsi="宋体"/>
          <w:color w:val="auto"/>
          <w:highlight w:val="none"/>
        </w:rPr>
        <w:t>乘用车列车的制动性能应根据乘用车满载时动力脱开的</w:t>
      </w:r>
      <w:r>
        <w:rPr>
          <w:rFonts w:hint="eastAsia"/>
          <w:color w:val="auto"/>
          <w:highlight w:val="none"/>
        </w:rPr>
        <w:t>0型试验所能达到的最大制动性能进行计算，而无需实际挂接无制动挂车进行试验，</w:t>
      </w:r>
      <w:r>
        <w:rPr>
          <w:rFonts w:hint="eastAsia"/>
          <w:color w:val="auto"/>
          <w:highlight w:val="none"/>
          <w:lang w:val="en-US" w:eastAsia="zh-CN"/>
        </w:rPr>
        <w:t>计算</w:t>
      </w:r>
      <w:r>
        <w:rPr>
          <w:rFonts w:hint="eastAsia"/>
          <w:color w:val="auto"/>
          <w:highlight w:val="none"/>
        </w:rPr>
        <w:t>公式</w:t>
      </w:r>
      <w:r>
        <w:rPr>
          <w:rFonts w:hint="eastAsia"/>
          <w:color w:val="auto"/>
          <w:highlight w:val="none"/>
          <w:lang w:val="en-US" w:eastAsia="zh-CN"/>
        </w:rPr>
        <w:t>见公式（3）</w:t>
      </w:r>
      <w:r>
        <w:rPr>
          <w:rFonts w:hint="eastAsia"/>
          <w:color w:val="auto"/>
          <w:highlight w:val="none"/>
        </w:rPr>
        <w:t>：</w:t>
      </w:r>
    </w:p>
    <w:p>
      <w:pPr>
        <w:pStyle w:val="119"/>
        <w:tabs>
          <w:tab w:val="center" w:pos="4725"/>
          <w:tab w:val="right" w:leader="dot" w:pos="9450"/>
          <w:tab w:val="clear" w:pos="4678"/>
          <w:tab w:val="clear" w:pos="9356"/>
        </w:tabs>
        <w:rPr>
          <w:color w:val="auto"/>
          <w:highlight w:val="none"/>
        </w:rPr>
      </w:pPr>
      <w:r>
        <w:rPr>
          <w:color w:val="auto"/>
          <w:highlight w:val="none"/>
        </w:rPr>
        <w:tab/>
      </w:r>
      <m:oMath>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ascii="Cambria Math" w:hAnsi="Cambria Math"/>
                <w:color w:val="auto"/>
                <w:highlight w:val="none"/>
              </w:rPr>
              <m:t>M+R</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ctrlPr>
              <w:rPr>
                <w:rFonts w:ascii="Cambria Math" w:hAnsi="Cambria Math"/>
                <w:i/>
                <w:color w:val="auto"/>
                <w:highlight w:val="none"/>
              </w:rPr>
            </m:ctrlPr>
          </m:num>
          <m:den>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R</m:t>
                </m:r>
                <m:ctrlPr>
                  <w:rPr>
                    <w:rFonts w:ascii="Cambria Math" w:hAnsi="Cambria Math"/>
                    <w:i/>
                    <w:color w:val="auto"/>
                    <w:highlight w:val="none"/>
                  </w:rPr>
                </m:ctrlPr>
              </m:sub>
            </m:sSub>
            <m:ctrlPr>
              <w:rPr>
                <w:rFonts w:ascii="Cambria Math" w:hAnsi="Cambria Math"/>
                <w:i/>
                <w:color w:val="auto"/>
                <w:highlight w:val="none"/>
              </w:rPr>
            </m:ctrlPr>
          </m:den>
        </m:f>
      </m:oMath>
      <w:r>
        <w:rPr>
          <w:rFonts w:ascii="微软雅黑" w:hAnsi="微软雅黑" w:eastAsia="微软雅黑"/>
          <w:color w:val="auto"/>
          <w:highlight w:val="none"/>
        </w:rPr>
        <w:tab/>
      </w:r>
      <w:r>
        <w:rPr>
          <w:color w:val="auto"/>
          <w:highlight w:val="none"/>
        </w:rPr>
        <w:t>(</w:t>
      </w:r>
      <w:r>
        <w:rPr>
          <w:rFonts w:hint="eastAsia"/>
          <w:color w:val="auto"/>
          <w:highlight w:val="none"/>
          <w:lang w:val="en-US" w:eastAsia="zh-CN"/>
        </w:rPr>
        <w:t>3</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hint="eastAsia" w:ascii="Cambria Math" w:hAnsi="Cambria Math"/>
                <w:color w:val="auto"/>
                <w:highlight w:val="none"/>
              </w:rPr>
              <m:t>d</m:t>
            </m:r>
            <m:ctrlPr>
              <w:rPr>
                <w:rFonts w:ascii="Cambria Math" w:hAnsi="Cambria Math"/>
                <w:i/>
                <w:color w:val="auto"/>
                <w:kern w:val="2"/>
                <w:szCs w:val="21"/>
                <w:highlight w:val="none"/>
              </w:rPr>
            </m:ctrlPr>
          </m:e>
          <m:sub>
            <m:r>
              <m:rPr/>
              <w:rPr>
                <w:rFonts w:ascii="Cambria Math" w:hAnsi="Cambria Math"/>
                <w:color w:val="auto"/>
                <w:highlight w:val="none"/>
              </w:rPr>
              <m:t>M+R</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kern w:val="2"/>
          <w:szCs w:val="21"/>
          <w:highlight w:val="none"/>
        </w:rPr>
        <w:t>——</w:t>
      </w:r>
      <w:r>
        <w:rPr>
          <w:color w:val="auto"/>
          <w:highlight w:val="none"/>
        </w:rPr>
        <w:t>计算得出的乘用车挂接无制动挂车时充分发出的平均减速度</w:t>
      </w:r>
      <w:r>
        <w:rPr>
          <w:rFonts w:hint="eastAsia"/>
          <w:color w:val="auto"/>
          <w:highlight w:val="none"/>
          <w:lang w:val="en-US" w:eastAsia="zh-CN"/>
        </w:rPr>
        <w:t>的数值</w:t>
      </w:r>
      <w:r>
        <w:rPr>
          <w:rFonts w:hint="eastAsia"/>
          <w:color w:val="auto"/>
          <w:highlight w:val="none"/>
        </w:rPr>
        <w:t>，单位为米每二次方秒</w:t>
      </w:r>
      <m:oMath>
        <m:r>
          <m:rPr/>
          <w:rPr>
            <w:rFonts w:ascii="Cambria Math" w:hAnsi="Cambria Math"/>
            <w:color w:val="auto"/>
            <w:kern w:val="2"/>
            <w:highlight w:val="none"/>
          </w:rPr>
          <m:t>(m/</m:t>
        </m:r>
        <m:sSup>
          <m:sSupPr>
            <m:ctrlPr>
              <w:rPr>
                <w:rFonts w:ascii="Cambria Math" w:hAnsi="Cambria Math"/>
                <w:i/>
                <w:color w:val="auto"/>
                <w:kern w:val="2"/>
                <w:sz w:val="18"/>
                <w:highlight w:val="none"/>
              </w:rPr>
            </m:ctrlPr>
          </m:sSupPr>
          <m:e>
            <m:r>
              <m:rPr/>
              <w:rPr>
                <w:rFonts w:hint="eastAsia" w:ascii="Cambria Math" w:hAnsi="Cambria Math"/>
                <w:color w:val="auto"/>
                <w:kern w:val="2"/>
                <w:highlight w:val="none"/>
              </w:rPr>
              <m:t>s</m:t>
            </m:r>
            <m:ctrlPr>
              <w:rPr>
                <w:rFonts w:ascii="Cambria Math" w:hAnsi="Cambria Math"/>
                <w:i/>
                <w:color w:val="auto"/>
                <w:kern w:val="2"/>
                <w:sz w:val="18"/>
                <w:highlight w:val="none"/>
              </w:rPr>
            </m:ctrlPr>
          </m:e>
          <m:sup>
            <m:r>
              <m:rPr/>
              <w:rPr>
                <w:rFonts w:ascii="Cambria Math" w:hAnsi="Cambria Math"/>
                <w:color w:val="auto"/>
                <w:kern w:val="2"/>
                <w:highlight w:val="none"/>
              </w:rPr>
              <m:t>2</m:t>
            </m:r>
            <m:ctrlPr>
              <w:rPr>
                <w:rFonts w:ascii="Cambria Math" w:hAnsi="Cambria Math"/>
                <w:i/>
                <w:color w:val="auto"/>
                <w:kern w:val="2"/>
                <w:sz w:val="18"/>
                <w:highlight w:val="none"/>
              </w:rPr>
            </m:ctrlPr>
          </m:sup>
        </m:sSup>
        <m:r>
          <m:rPr/>
          <w:rPr>
            <w:rFonts w:ascii="Cambria Math" w:hAnsi="Cambria Math"/>
            <w:color w:val="auto"/>
            <w:kern w:val="2"/>
            <w:highlight w:val="none"/>
          </w:rPr>
          <m:t>)</m:t>
        </m:r>
      </m:oMath>
      <w:r>
        <w:rPr>
          <w:rFonts w:hint="eastAsia"/>
          <w:color w:val="auto"/>
          <w:highlight w:val="none"/>
        </w:rPr>
        <w:t>；</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hint="eastAsia" w:ascii="Cambria Math" w:hAnsi="Cambria Math"/>
                <w:color w:val="auto"/>
                <w:highlight w:val="none"/>
              </w:rPr>
              <m:t>d</m:t>
            </m:r>
            <m:ctrlPr>
              <w:rPr>
                <w:rFonts w:ascii="Cambria Math" w:hAnsi="Cambria Math"/>
                <w:i/>
                <w:color w:val="auto"/>
                <w:kern w:val="2"/>
                <w:szCs w:val="21"/>
                <w:highlight w:val="none"/>
              </w:rPr>
            </m:ctrlPr>
          </m:e>
          <m:sub>
            <m:r>
              <m:rPr/>
              <w:rPr>
                <w:rFonts w:ascii="Cambria Math" w:hAnsi="Cambria Math"/>
                <w:color w:val="auto"/>
                <w:highlight w:val="none"/>
              </w:rPr>
              <m:t>M</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kern w:val="2"/>
          <w:szCs w:val="21"/>
          <w:highlight w:val="none"/>
        </w:rPr>
        <w:t>——乘用车在动力脱开的0型试验中充分发出的平均减速度的最大值，</w:t>
      </w:r>
      <w:r>
        <w:rPr>
          <w:rFonts w:hint="eastAsia"/>
          <w:color w:val="auto"/>
          <w:highlight w:val="none"/>
        </w:rPr>
        <w:t>单位为米每二次方秒</w:t>
      </w:r>
      <m:oMath>
        <m:r>
          <m:rPr/>
          <w:rPr>
            <w:rFonts w:ascii="Cambria Math" w:hAnsi="Cambria Math"/>
            <w:color w:val="auto"/>
            <w:kern w:val="2"/>
            <w:highlight w:val="none"/>
          </w:rPr>
          <m:t>(m/</m:t>
        </m:r>
        <m:sSup>
          <m:sSupPr>
            <m:ctrlPr>
              <w:rPr>
                <w:rFonts w:ascii="Cambria Math" w:hAnsi="Cambria Math"/>
                <w:i/>
                <w:color w:val="auto"/>
                <w:kern w:val="2"/>
                <w:sz w:val="18"/>
                <w:highlight w:val="none"/>
              </w:rPr>
            </m:ctrlPr>
          </m:sSupPr>
          <m:e>
            <m:r>
              <m:rPr/>
              <w:rPr>
                <w:rFonts w:hint="eastAsia" w:ascii="Cambria Math" w:hAnsi="Cambria Math"/>
                <w:color w:val="auto"/>
                <w:kern w:val="2"/>
                <w:highlight w:val="none"/>
              </w:rPr>
              <m:t>s</m:t>
            </m:r>
            <m:ctrlPr>
              <w:rPr>
                <w:rFonts w:ascii="Cambria Math" w:hAnsi="Cambria Math"/>
                <w:i/>
                <w:color w:val="auto"/>
                <w:kern w:val="2"/>
                <w:sz w:val="18"/>
                <w:highlight w:val="none"/>
              </w:rPr>
            </m:ctrlPr>
          </m:e>
          <m:sup>
            <m:r>
              <m:rPr/>
              <w:rPr>
                <w:rFonts w:ascii="Cambria Math" w:hAnsi="Cambria Math"/>
                <w:color w:val="auto"/>
                <w:kern w:val="2"/>
                <w:highlight w:val="none"/>
              </w:rPr>
              <m:t>2</m:t>
            </m:r>
            <m:ctrlPr>
              <w:rPr>
                <w:rFonts w:ascii="Cambria Math" w:hAnsi="Cambria Math"/>
                <w:i/>
                <w:color w:val="auto"/>
                <w:kern w:val="2"/>
                <w:sz w:val="18"/>
                <w:highlight w:val="none"/>
              </w:rPr>
            </m:ctrlPr>
          </m:sup>
        </m:sSup>
        <m:r>
          <m:rPr/>
          <w:rPr>
            <w:rFonts w:ascii="Cambria Math" w:hAnsi="Cambria Math"/>
            <w:color w:val="auto"/>
            <w:kern w:val="2"/>
            <w:highlight w:val="none"/>
          </w:rPr>
          <m:t>)</m:t>
        </m:r>
      </m:oMath>
      <w:r>
        <w:rPr>
          <w:rFonts w:hint="eastAsia"/>
          <w:color w:val="auto"/>
          <w:highlight w:val="none"/>
        </w:rPr>
        <w:t>；</w:t>
      </w:r>
    </w:p>
    <w:p>
      <w:pPr>
        <w:pStyle w:val="62"/>
        <w:tabs>
          <w:tab w:val="left" w:pos="1050"/>
        </w:tabs>
        <w:ind w:firstLine="420"/>
        <w:rPr>
          <w:color w:val="auto"/>
          <w:kern w:val="2"/>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P</m:t>
            </m:r>
            <m:ctrlPr>
              <w:rPr>
                <w:rFonts w:ascii="Cambria Math" w:hAnsi="Cambria Math"/>
                <w:i/>
                <w:color w:val="auto"/>
                <w:kern w:val="2"/>
                <w:szCs w:val="21"/>
                <w:highlight w:val="none"/>
              </w:rPr>
            </m:ctrlPr>
          </m:e>
          <m:sub>
            <m:r>
              <m:rPr/>
              <w:rPr>
                <w:rFonts w:ascii="Cambria Math" w:hAnsi="Cambria Math"/>
                <w:color w:val="auto"/>
                <w:highlight w:val="none"/>
              </w:rPr>
              <m:t>M</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kern w:val="2"/>
          <w:szCs w:val="21"/>
          <w:highlight w:val="none"/>
        </w:rPr>
        <w:t>——乘用车满载质量</w:t>
      </w:r>
      <w:r>
        <w:rPr>
          <w:rFonts w:hint="eastAsia"/>
          <w:color w:val="auto"/>
          <w:highlight w:val="none"/>
          <w:lang w:val="en-US" w:eastAsia="zh-CN"/>
        </w:rPr>
        <w:t>的数值</w:t>
      </w:r>
      <w:r>
        <w:rPr>
          <w:rFonts w:hint="eastAsia"/>
          <w:color w:val="auto"/>
          <w:kern w:val="2"/>
          <w:szCs w:val="21"/>
          <w:highlight w:val="none"/>
        </w:rPr>
        <w:t>，单位为千克</w:t>
      </w:r>
      <m:oMath>
        <m:r>
          <m:rPr/>
          <w:rPr>
            <w:rFonts w:ascii="Cambria Math" w:hAnsi="Cambria Math"/>
            <w:color w:val="auto"/>
            <w:kern w:val="2"/>
            <w:highlight w:val="none"/>
          </w:rPr>
          <m:t>(</m:t>
        </m:r>
        <m:r>
          <m:rPr/>
          <w:rPr>
            <w:rFonts w:hint="eastAsia" w:ascii="Cambria Math" w:hAnsi="Cambria Math"/>
            <w:color w:val="auto"/>
            <w:kern w:val="2"/>
            <w:highlight w:val="none"/>
          </w:rPr>
          <m:t>kg</m:t>
        </m:r>
        <m:r>
          <m:rPr/>
          <w:rPr>
            <w:rFonts w:ascii="Cambria Math" w:hAnsi="Cambria Math"/>
            <w:color w:val="auto"/>
            <w:kern w:val="2"/>
            <w:highlight w:val="none"/>
          </w:rPr>
          <m:t>)</m:t>
        </m:r>
      </m:oMath>
      <w:r>
        <w:rPr>
          <w:rFonts w:hint="eastAsia"/>
          <w:color w:val="auto"/>
          <w:kern w:val="2"/>
          <w:highlight w:val="none"/>
        </w:rPr>
        <w:t>；</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P</m:t>
            </m:r>
            <m:ctrlPr>
              <w:rPr>
                <w:rFonts w:ascii="Cambria Math" w:hAnsi="Cambria Math"/>
                <w:i/>
                <w:color w:val="auto"/>
                <w:kern w:val="2"/>
                <w:szCs w:val="21"/>
                <w:highlight w:val="none"/>
              </w:rPr>
            </m:ctrlPr>
          </m:e>
          <m:sub>
            <m:r>
              <m:rPr/>
              <w:rPr>
                <w:rFonts w:ascii="Cambria Math" w:hAnsi="Cambria Math"/>
                <w:color w:val="auto"/>
                <w:highlight w:val="none"/>
              </w:rPr>
              <m:t>R</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kern w:val="2"/>
          <w:szCs w:val="21"/>
          <w:highlight w:val="none"/>
        </w:rPr>
        <w:t>——乘用车制造商规定的可挂接的无制动挂车的最大设计总质量</w:t>
      </w:r>
      <w:r>
        <w:rPr>
          <w:rFonts w:hint="eastAsia"/>
          <w:color w:val="auto"/>
          <w:highlight w:val="none"/>
          <w:lang w:val="en-US" w:eastAsia="zh-CN"/>
        </w:rPr>
        <w:t>的数值</w:t>
      </w:r>
      <w:r>
        <w:rPr>
          <w:rFonts w:hint="eastAsia"/>
          <w:color w:val="auto"/>
          <w:kern w:val="2"/>
          <w:szCs w:val="21"/>
          <w:highlight w:val="none"/>
        </w:rPr>
        <w:t>，单位为千克</w:t>
      </w:r>
      <m:oMath>
        <m:r>
          <m:rPr/>
          <w:rPr>
            <w:rFonts w:ascii="Cambria Math" w:hAnsi="Cambria Math"/>
            <w:color w:val="auto"/>
            <w:kern w:val="2"/>
            <w:highlight w:val="none"/>
          </w:rPr>
          <m:t>(</m:t>
        </m:r>
        <m:r>
          <m:rPr/>
          <w:rPr>
            <w:rFonts w:hint="eastAsia" w:ascii="Cambria Math" w:hAnsi="Cambria Math"/>
            <w:color w:val="auto"/>
            <w:kern w:val="2"/>
            <w:highlight w:val="none"/>
          </w:rPr>
          <m:t>kg</m:t>
        </m:r>
        <m:r>
          <m:rPr/>
          <w:rPr>
            <w:rFonts w:ascii="Cambria Math" w:hAnsi="Cambria Math"/>
            <w:color w:val="auto"/>
            <w:kern w:val="2"/>
            <w:highlight w:val="none"/>
          </w:rPr>
          <m:t>)</m:t>
        </m:r>
      </m:oMath>
      <w:r>
        <w:rPr>
          <w:rFonts w:hint="eastAsia"/>
          <w:color w:val="auto"/>
          <w:kern w:val="2"/>
          <w:highlight w:val="none"/>
        </w:rPr>
        <w:t>。</w:t>
      </w:r>
    </w:p>
    <w:p>
      <w:pPr>
        <w:pStyle w:val="71"/>
        <w:spacing w:before="156" w:after="156"/>
        <w:rPr>
          <w:color w:val="auto"/>
          <w:szCs w:val="21"/>
          <w:highlight w:val="none"/>
        </w:rPr>
      </w:pPr>
      <w:bookmarkStart w:id="120" w:name="_Toc118580262"/>
      <w:r>
        <w:rPr>
          <w:rFonts w:hint="eastAsia"/>
          <w:color w:val="auto"/>
          <w:highlight w:val="none"/>
        </w:rPr>
        <w:t>应急制动系统</w:t>
      </w:r>
      <w:bookmarkEnd w:id="120"/>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应急制动性能应以表</w:t>
      </w:r>
      <w:r>
        <w:rPr>
          <w:rFonts w:hint="eastAsia" w:ascii="宋体" w:hAnsi="宋体" w:eastAsia="宋体"/>
          <w:color w:val="auto"/>
          <w:highlight w:val="none"/>
          <w:lang w:val="en-US" w:eastAsia="zh-CN"/>
        </w:rPr>
        <w:t>3</w:t>
      </w:r>
      <w:r>
        <w:rPr>
          <w:rFonts w:hint="eastAsia" w:ascii="宋体" w:hAnsi="宋体" w:eastAsia="宋体"/>
          <w:color w:val="auto"/>
          <w:highlight w:val="none"/>
        </w:rPr>
        <w:t>规定的动力脱开的0型试验条件进行试验，作用在行车制动控制装置上的力不应低于65</w:t>
      </w:r>
      <w:r>
        <w:rPr>
          <w:rFonts w:hint="eastAsia"/>
          <w:color w:val="auto"/>
          <w:highlight w:val="none"/>
          <w:lang w:val="en-US" w:eastAsia="zh-CN"/>
        </w:rPr>
        <w:t> </w:t>
      </w:r>
      <w:r>
        <w:rPr>
          <w:rFonts w:hint="eastAsia" w:ascii="宋体" w:hAnsi="宋体" w:eastAsia="宋体"/>
          <w:color w:val="auto"/>
          <w:highlight w:val="none"/>
        </w:rPr>
        <w:t>N，也不应超过500</w:t>
      </w:r>
      <w:r>
        <w:rPr>
          <w:rFonts w:hint="eastAsia"/>
          <w:color w:val="auto"/>
          <w:highlight w:val="none"/>
          <w:lang w:val="en-US" w:eastAsia="zh-CN"/>
        </w:rPr>
        <w:t> </w:t>
      </w:r>
      <w:r>
        <w:rPr>
          <w:rFonts w:hint="eastAsia" w:ascii="宋体" w:hAnsi="宋体" w:eastAsia="宋体"/>
          <w:color w:val="auto"/>
          <w:highlight w:val="none"/>
        </w:rPr>
        <w:t>N。</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应急制动的制动距离</w:t>
      </w:r>
      <w:r>
        <w:rPr>
          <w:rFonts w:hint="eastAsia" w:ascii="宋体" w:hAnsi="宋体" w:eastAsia="宋体"/>
          <w:color w:val="auto"/>
          <w:highlight w:val="none"/>
          <w:lang w:val="en-US" w:eastAsia="zh-CN"/>
        </w:rPr>
        <w:t>S应满足公式（4）的要求，单位为米（m）。</w:t>
      </w:r>
      <w:r>
        <w:rPr>
          <w:rFonts w:hint="eastAsia" w:ascii="宋体" w:hAnsi="宋体" w:eastAsia="宋体"/>
          <w:color w:val="auto"/>
          <w:highlight w:val="none"/>
        </w:rPr>
        <w:t>充分发出的平均减速度应</w:t>
      </w:r>
      <w:r>
        <w:rPr>
          <w:rFonts w:hint="eastAsia" w:ascii="宋体" w:hAnsi="宋体" w:eastAsia="宋体"/>
          <w:color w:val="auto"/>
          <w:highlight w:val="none"/>
          <w:lang w:val="en-US" w:eastAsia="zh-CN"/>
        </w:rPr>
        <w:t>大于等于2.44</w:t>
      </w:r>
      <m:oMath>
        <m:r>
          <m:rPr>
            <m:sty m:val="p"/>
          </m:rPr>
          <w:rPr>
            <w:rFonts w:hint="eastAsia"/>
            <w:color w:val="auto"/>
            <w:highlight w:val="none"/>
            <w:lang w:val="en-US" w:eastAsia="zh-CN"/>
          </w:rPr>
          <m:t> </m:t>
        </m:r>
        <m:r>
          <m:rPr/>
          <w:rPr>
            <w:rFonts w:ascii="Cambria Math" w:hAnsi="Cambria Math"/>
            <w:color w:val="auto"/>
            <w:highlight w:val="none"/>
          </w:rPr>
          <m:t>m</m:t>
        </m:r>
        <m:r>
          <m:rPr>
            <m:sty m:val="p"/>
          </m:rPr>
          <w:rPr>
            <w:rFonts w:ascii="Cambria Math" w:hAnsi="Cambria Math"/>
            <w:color w:val="auto"/>
            <w:highlight w:val="none"/>
          </w:rPr>
          <m:t>/</m:t>
        </m:r>
        <m:sSup>
          <m:sSupPr>
            <m:ctrlPr>
              <w:rPr>
                <w:rFonts w:ascii="Cambria Math" w:hAnsi="Cambria Math"/>
                <w:color w:val="auto"/>
                <w:highlight w:val="none"/>
              </w:rPr>
            </m:ctrlPr>
          </m:sSupPr>
          <m:e>
            <m:r>
              <m:rPr/>
              <w:rPr>
                <w:rFonts w:hint="eastAsia" w:ascii="Cambria Math" w:hAnsi="Cambria Math"/>
                <w:color w:val="auto"/>
                <w:highlight w:val="none"/>
              </w:rPr>
              <m:t>s</m:t>
            </m:r>
            <m:ctrlPr>
              <w:rPr>
                <w:rFonts w:ascii="Cambria Math" w:hAnsi="Cambria Math"/>
                <w:color w:val="auto"/>
                <w:highlight w:val="none"/>
              </w:rPr>
            </m:ctrlPr>
          </m:e>
          <m:sup>
            <m:r>
              <m:rPr>
                <m:sty m:val="p"/>
              </m:rPr>
              <w:rPr>
                <w:rFonts w:ascii="Cambria Math" w:hAnsi="Cambria Math"/>
                <w:color w:val="auto"/>
                <w:highlight w:val="none"/>
              </w:rPr>
              <m:t>2</m:t>
            </m:r>
            <m:ctrlPr>
              <w:rPr>
                <w:rFonts w:ascii="Cambria Math" w:hAnsi="Cambria Math"/>
                <w:color w:val="auto"/>
                <w:highlight w:val="none"/>
              </w:rPr>
            </m:ctrlPr>
          </m:sup>
        </m:sSup>
      </m:oMath>
      <w:r>
        <w:rPr>
          <w:rFonts w:hint="eastAsia" w:hAnsi="Cambria Math"/>
          <w:i w:val="0"/>
          <w:color w:val="auto"/>
          <w:highlight w:val="none"/>
          <w:lang w:eastAsia="zh-CN"/>
        </w:rPr>
        <w:t>。</w:t>
      </w:r>
    </w:p>
    <w:p>
      <w:pPr>
        <w:pStyle w:val="138"/>
        <w:numPr>
          <w:ilvl w:val="-1"/>
          <w:numId w:val="0"/>
        </w:numPr>
        <w:tabs>
          <w:tab w:val="center" w:pos="4725"/>
          <w:tab w:val="right" w:leader="dot" w:pos="9450"/>
          <w:tab w:val="clear" w:pos="851"/>
        </w:tabs>
        <w:ind w:left="0" w:firstLine="0"/>
        <w:rPr>
          <w:color w:val="auto"/>
          <w:highlight w:val="none"/>
        </w:rPr>
      </w:pPr>
      <w:r>
        <w:rPr>
          <w:rFonts w:hint="eastAsia" w:hAnsi="Cambria Math"/>
          <w:b w:val="0"/>
          <w:i w:val="0"/>
          <w:color w:val="auto"/>
          <w:highlight w:val="none"/>
          <w:lang w:val="en-US" w:eastAsia="zh-CN"/>
        </w:rPr>
        <w:tab/>
      </w:r>
      <m:oMath>
        <m:r>
          <m:rPr>
            <m:sty m:val="p"/>
          </m:rPr>
          <w:rPr>
            <w:rFonts w:ascii="Cambria Math" w:hAnsi="Cambria Math"/>
            <w:color w:val="auto"/>
            <w:highlight w:val="none"/>
          </w:rPr>
          <m:t>S≤0.1v+0.0158</m:t>
        </m:r>
        <m:sSup>
          <m:sSupPr>
            <m:ctrlPr>
              <w:rPr>
                <w:rFonts w:ascii="Cambria Math" w:hAnsi="Cambria Math"/>
                <w:color w:val="auto"/>
                <w:highlight w:val="none"/>
              </w:rPr>
            </m:ctrlPr>
          </m:sSupPr>
          <m:e>
            <m:r>
              <m:rPr>
                <m:sty m:val="p"/>
              </m:rPr>
              <w:rPr>
                <w:rFonts w:ascii="Cambria Math" w:hAnsi="Cambria Math"/>
                <w:color w:val="auto"/>
                <w:highlight w:val="none"/>
              </w:rPr>
              <m:t>v</m:t>
            </m:r>
            <m:ctrlPr>
              <w:rPr>
                <w:rFonts w:ascii="Cambria Math" w:hAnsi="Cambria Math"/>
                <w:color w:val="auto"/>
                <w:highlight w:val="none"/>
              </w:rPr>
            </m:ctrlPr>
          </m:e>
          <m:sup>
            <m:r>
              <m:rPr>
                <m:sty m:val="p"/>
              </m:rPr>
              <w:rPr>
                <w:rFonts w:ascii="Cambria Math" w:hAnsi="Cambria Math"/>
                <w:color w:val="auto"/>
                <w:highlight w:val="none"/>
              </w:rPr>
              <m:t>2</m:t>
            </m:r>
            <m:ctrlPr>
              <w:rPr>
                <w:rFonts w:ascii="Cambria Math" w:hAnsi="Cambria Math"/>
                <w:color w:val="auto"/>
                <w:highlight w:val="none"/>
              </w:rPr>
            </m:ctrlPr>
          </m:sup>
        </m:sSup>
      </m:oMath>
      <w:r>
        <w:rPr>
          <w:rFonts w:hint="eastAsia" w:hAnsi="Cambria Math"/>
          <w:i w:val="0"/>
          <w:color w:val="auto"/>
          <w:highlight w:val="none"/>
          <w:lang w:val="en-US" w:eastAsia="zh-CN"/>
        </w:rPr>
        <w:tab/>
      </w:r>
      <w:r>
        <w:rPr>
          <w:rFonts w:hint="eastAsia" w:hAnsi="Cambria Math"/>
          <w:i w:val="0"/>
          <w:color w:val="auto"/>
          <w:highlight w:val="none"/>
          <w:lang w:val="en-US" w:eastAsia="zh-CN"/>
        </w:rPr>
        <w:t>(4)</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应模拟行车制动系统的实际失效状态进行应急制动效能试验。</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对装备电力再生式制动系统的车辆，还应在下列两种失效状态下检查其制动性能：</w:t>
      </w:r>
    </w:p>
    <w:p>
      <w:pPr>
        <w:pStyle w:val="180"/>
        <w:numPr>
          <w:ilvl w:val="0"/>
          <w:numId w:val="47"/>
        </w:numPr>
        <w:rPr>
          <w:color w:val="auto"/>
          <w:highlight w:val="none"/>
        </w:rPr>
      </w:pPr>
      <w:r>
        <w:rPr>
          <w:rFonts w:hint="eastAsia"/>
          <w:color w:val="auto"/>
          <w:highlight w:val="none"/>
        </w:rPr>
        <w:t>输出行车制动力矩的电动部件完全失效；</w:t>
      </w:r>
    </w:p>
    <w:p>
      <w:pPr>
        <w:pStyle w:val="180"/>
        <w:numPr>
          <w:ilvl w:val="0"/>
          <w:numId w:val="32"/>
        </w:numPr>
        <w:rPr>
          <w:color w:val="auto"/>
          <w:highlight w:val="none"/>
        </w:rPr>
      </w:pPr>
      <w:r>
        <w:rPr>
          <w:rFonts w:hint="eastAsia"/>
          <w:color w:val="auto"/>
          <w:highlight w:val="none"/>
        </w:rPr>
        <w:t>失效状态导致电动部件产生最大制动力。</w:t>
      </w:r>
    </w:p>
    <w:p>
      <w:pPr>
        <w:pStyle w:val="71"/>
        <w:spacing w:before="156" w:after="156"/>
        <w:rPr>
          <w:color w:val="auto"/>
          <w:highlight w:val="none"/>
        </w:rPr>
      </w:pPr>
      <w:bookmarkStart w:id="121" w:name="_Toc118580263"/>
      <w:r>
        <w:rPr>
          <w:rFonts w:hint="eastAsia"/>
          <w:color w:val="auto"/>
          <w:highlight w:val="none"/>
        </w:rPr>
        <w:t>驻车制动系统</w:t>
      </w:r>
      <w:bookmarkEnd w:id="121"/>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驻车制动系统应能使满载车辆在坡度为20%的上、下坡道上保持静止。</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对允许挂接挂车的乘用车，其驻车制动系统应能使满载乘用车列车在坡度为12%的上、下坡道上保持静止。</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采用手控装置时，控制力不应超过400</w:t>
      </w:r>
      <w:r>
        <w:rPr>
          <w:rFonts w:hint="eastAsia"/>
          <w:color w:val="auto"/>
          <w:highlight w:val="none"/>
          <w:lang w:val="en-US" w:eastAsia="zh-CN"/>
        </w:rPr>
        <w:t> </w:t>
      </w:r>
      <w:r>
        <w:rPr>
          <w:rFonts w:hint="eastAsia" w:ascii="宋体" w:hAnsi="宋体" w:eastAsia="宋体"/>
          <w:color w:val="auto"/>
          <w:highlight w:val="none"/>
        </w:rPr>
        <w:t>N。</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采用脚控装置时，控制力不应超过500</w:t>
      </w:r>
      <w:r>
        <w:rPr>
          <w:rFonts w:hint="eastAsia"/>
          <w:color w:val="auto"/>
          <w:highlight w:val="none"/>
          <w:lang w:val="en-US" w:eastAsia="zh-CN"/>
        </w:rPr>
        <w:t> </w:t>
      </w:r>
      <w:r>
        <w:rPr>
          <w:rFonts w:hint="eastAsia" w:ascii="宋体" w:hAnsi="宋体" w:eastAsia="宋体"/>
          <w:color w:val="auto"/>
          <w:highlight w:val="none"/>
        </w:rPr>
        <w:t>N。</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允许通过多次促动驻车制动系统以达到规定的性能。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为验证是否满足5</w:t>
      </w:r>
      <w:r>
        <w:rPr>
          <w:rFonts w:ascii="宋体" w:hAnsi="宋体" w:eastAsia="宋体"/>
          <w:color w:val="auto"/>
          <w:highlight w:val="none"/>
        </w:rPr>
        <w:t>.2.2</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d）的要求，应以3</w:t>
      </w:r>
      <w:r>
        <w:rPr>
          <w:rFonts w:ascii="宋体" w:hAnsi="宋体" w:eastAsia="宋体"/>
          <w:color w:val="auto"/>
          <w:highlight w:val="none"/>
        </w:rPr>
        <w:t>0</w:t>
      </w:r>
      <w:r>
        <w:rPr>
          <w:rFonts w:hint="eastAsia"/>
          <w:color w:val="auto"/>
          <w:highlight w:val="none"/>
          <w:lang w:val="en-US" w:eastAsia="zh-CN"/>
        </w:rPr>
        <w:t> </w:t>
      </w:r>
      <w:r>
        <w:rPr>
          <w:rFonts w:hint="eastAsia" w:ascii="宋体" w:hAnsi="宋体" w:eastAsia="宋体"/>
          <w:color w:val="auto"/>
          <w:highlight w:val="none"/>
        </w:rPr>
        <w:t>km</w:t>
      </w:r>
      <w:r>
        <w:rPr>
          <w:rFonts w:ascii="宋体" w:hAnsi="宋体" w:eastAsia="宋体"/>
          <w:color w:val="auto"/>
          <w:highlight w:val="none"/>
        </w:rPr>
        <w:t>/h</w:t>
      </w:r>
      <w:r>
        <w:rPr>
          <w:rFonts w:hint="eastAsia" w:ascii="宋体" w:hAnsi="宋体" w:eastAsia="宋体"/>
          <w:color w:val="auto"/>
          <w:highlight w:val="none"/>
        </w:rPr>
        <w:t>的初始车速，参照动力脱开的0型试验条件，进行动态驻车制动试验</w:t>
      </w:r>
      <w:r>
        <w:rPr>
          <w:rFonts w:hint="eastAsia" w:ascii="宋体" w:hAnsi="宋体" w:eastAsia="宋体"/>
          <w:color w:val="auto"/>
          <w:highlight w:val="none"/>
          <w:lang w:eastAsia="zh-CN"/>
        </w:rPr>
        <w:t>，</w:t>
      </w:r>
      <w:r>
        <w:rPr>
          <w:rFonts w:hint="eastAsia" w:ascii="宋体" w:hAnsi="宋体" w:eastAsia="宋体"/>
          <w:color w:val="auto"/>
          <w:highlight w:val="none"/>
        </w:rPr>
        <w:t>驻车制动作用期间充分发出的平均减速度和车辆停止前的瞬时减速度都不应小于1.5</w:t>
      </w:r>
      <w:r>
        <w:rPr>
          <w:rFonts w:hint="eastAsia"/>
          <w:color w:val="auto"/>
          <w:highlight w:val="none"/>
          <w:lang w:val="en-US" w:eastAsia="zh-CN"/>
        </w:rPr>
        <w:t> </w:t>
      </w:r>
      <w:r>
        <w:rPr>
          <w:rFonts w:hint="eastAsia" w:ascii="宋体" w:hAnsi="宋体" w:eastAsia="宋体"/>
          <w:color w:val="auto"/>
          <w:highlight w:val="none"/>
        </w:rPr>
        <w:t>m/s</w:t>
      </w:r>
      <w:r>
        <w:rPr>
          <w:rFonts w:hint="eastAsia" w:ascii="宋体" w:hAnsi="宋体" w:eastAsia="宋体"/>
          <w:color w:val="auto"/>
          <w:highlight w:val="none"/>
          <w:vertAlign w:val="superscript"/>
        </w:rPr>
        <w:t>2</w:t>
      </w:r>
      <w:r>
        <w:rPr>
          <w:rFonts w:hint="eastAsia" w:ascii="宋体" w:hAnsi="宋体" w:eastAsia="宋体"/>
          <w:color w:val="auto"/>
          <w:highlight w:val="none"/>
        </w:rPr>
        <w:t>。试验时，车辆为满载，作用在驻车制动控制装置上的力不应超过规定值。</w:t>
      </w:r>
    </w:p>
    <w:p>
      <w:pPr>
        <w:pStyle w:val="111"/>
        <w:spacing w:before="156" w:after="156"/>
        <w:rPr>
          <w:color w:val="auto"/>
          <w:highlight w:val="none"/>
        </w:rPr>
      </w:pPr>
      <w:bookmarkStart w:id="122" w:name="_Toc31860"/>
      <w:bookmarkStart w:id="123" w:name="_Toc118580264"/>
      <w:bookmarkStart w:id="124" w:name="_Toc109891119"/>
      <w:r>
        <w:rPr>
          <w:rFonts w:hint="eastAsia"/>
          <w:color w:val="auto"/>
          <w:highlight w:val="none"/>
        </w:rPr>
        <w:t>响应时间</w:t>
      </w:r>
      <w:bookmarkEnd w:id="122"/>
      <w:bookmarkEnd w:id="123"/>
      <w:bookmarkEnd w:id="124"/>
    </w:p>
    <w:p>
      <w:pPr>
        <w:pStyle w:val="62"/>
        <w:ind w:firstLine="420"/>
        <w:rPr>
          <w:color w:val="auto"/>
          <w:highlight w:val="none"/>
        </w:rPr>
      </w:pPr>
      <w:r>
        <w:rPr>
          <w:rFonts w:hint="eastAsia"/>
          <w:color w:val="auto"/>
          <w:highlight w:val="none"/>
        </w:rPr>
        <w:t>对行车制动系统完全或部分依靠</w:t>
      </w:r>
      <w:r>
        <w:rPr>
          <w:rFonts w:hint="eastAsia"/>
          <w:color w:val="auto"/>
          <w:highlight w:val="none"/>
          <w:lang w:eastAsia="zh-CN"/>
        </w:rPr>
        <w:t>驾驶人</w:t>
      </w:r>
      <w:r>
        <w:rPr>
          <w:rFonts w:hint="eastAsia"/>
          <w:color w:val="auto"/>
          <w:highlight w:val="none"/>
        </w:rPr>
        <w:t>体力以外的其他能源的车辆，应满足下列要求：</w:t>
      </w:r>
    </w:p>
    <w:p>
      <w:pPr>
        <w:pStyle w:val="180"/>
        <w:numPr>
          <w:ilvl w:val="0"/>
          <w:numId w:val="48"/>
        </w:numPr>
        <w:rPr>
          <w:color w:val="auto"/>
          <w:highlight w:val="none"/>
        </w:rPr>
      </w:pPr>
      <w:r>
        <w:rPr>
          <w:rFonts w:hint="eastAsia"/>
          <w:color w:val="auto"/>
          <w:highlight w:val="none"/>
        </w:rPr>
        <w:t>紧急制动时，从开始促动控制装置至最不利的车轴上的制动力达到表</w:t>
      </w:r>
      <w:r>
        <w:rPr>
          <w:rFonts w:hint="eastAsia"/>
          <w:color w:val="auto"/>
          <w:highlight w:val="none"/>
          <w:lang w:val="en-US" w:eastAsia="zh-CN"/>
        </w:rPr>
        <w:t xml:space="preserve">3 </w:t>
      </w:r>
      <w:r>
        <w:rPr>
          <w:color w:val="auto"/>
          <w:highlight w:val="none"/>
        </w:rPr>
        <w:t>a)</w:t>
      </w:r>
      <w:r>
        <w:rPr>
          <w:rFonts w:hint="eastAsia"/>
          <w:color w:val="auto"/>
          <w:highlight w:val="none"/>
        </w:rPr>
        <w:t>规定制动效能所经历的时间不应超过0.6</w:t>
      </w:r>
      <w:r>
        <w:rPr>
          <w:rFonts w:hint="eastAsia"/>
          <w:color w:val="auto"/>
          <w:highlight w:val="none"/>
          <w:lang w:val="en-US" w:eastAsia="zh-CN"/>
        </w:rPr>
        <w:t> </w:t>
      </w:r>
      <w:r>
        <w:rPr>
          <w:rFonts w:hint="eastAsia"/>
          <w:color w:val="auto"/>
          <w:highlight w:val="none"/>
        </w:rPr>
        <w:t>s</w:t>
      </w:r>
      <w:r>
        <w:rPr>
          <w:rFonts w:hint="eastAsia"/>
          <w:color w:val="auto"/>
          <w:highlight w:val="none"/>
          <w:lang w:eastAsia="zh-CN"/>
        </w:rPr>
        <w:t>；</w:t>
      </w:r>
    </w:p>
    <w:p>
      <w:pPr>
        <w:pStyle w:val="180"/>
        <w:numPr>
          <w:ilvl w:val="0"/>
          <w:numId w:val="47"/>
        </w:numPr>
        <w:rPr>
          <w:color w:val="auto"/>
          <w:highlight w:val="none"/>
        </w:rPr>
      </w:pPr>
      <w:r>
        <w:rPr>
          <w:rFonts w:hint="eastAsia"/>
          <w:color w:val="auto"/>
          <w:highlight w:val="none"/>
        </w:rPr>
        <w:t>装备液压制动系统的车辆在紧急制动时，车辆的减速度或最不利的制动轮缸内的压力能够在0.6s内达到规定性能对应的水平，则认为其满足本条a）的要求。</w:t>
      </w:r>
    </w:p>
    <w:p>
      <w:pPr>
        <w:pStyle w:val="111"/>
        <w:spacing w:before="156" w:after="156"/>
        <w:rPr>
          <w:color w:val="auto"/>
          <w:highlight w:val="none"/>
        </w:rPr>
      </w:pPr>
      <w:bookmarkStart w:id="125" w:name="_Toc118580265"/>
      <w:bookmarkStart w:id="126" w:name="_Toc109891120"/>
      <w:bookmarkStart w:id="127" w:name="_Toc29846"/>
      <w:r>
        <w:rPr>
          <w:rFonts w:hint="eastAsia"/>
          <w:color w:val="auto"/>
          <w:highlight w:val="none"/>
        </w:rPr>
        <w:t>储能式液压制动系统—关于能源和储能装置（储能器）的规定</w:t>
      </w:r>
      <w:bookmarkEnd w:id="125"/>
      <w:bookmarkEnd w:id="126"/>
      <w:bookmarkEnd w:id="127"/>
    </w:p>
    <w:p>
      <w:pPr>
        <w:pStyle w:val="71"/>
        <w:spacing w:before="156" w:after="156"/>
        <w:rPr>
          <w:color w:val="auto"/>
          <w:highlight w:val="none"/>
        </w:rPr>
      </w:pPr>
      <w:bookmarkStart w:id="128" w:name="_Toc118580266"/>
      <w:r>
        <w:rPr>
          <w:rFonts w:hint="eastAsia"/>
          <w:color w:val="auto"/>
          <w:highlight w:val="none"/>
        </w:rPr>
        <w:t>储能装置（储能器）的容量</w:t>
      </w:r>
      <w:bookmarkEnd w:id="128"/>
    </w:p>
    <w:p>
      <w:pPr>
        <w:pStyle w:val="100"/>
        <w:spacing w:before="156" w:after="156"/>
        <w:rPr>
          <w:color w:val="auto"/>
          <w:highlight w:val="none"/>
        </w:rPr>
      </w:pPr>
      <w:r>
        <w:rPr>
          <w:rFonts w:hint="eastAsia"/>
          <w:color w:val="auto"/>
          <w:highlight w:val="none"/>
        </w:rPr>
        <w:t>总体要求</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制动装备需要使用液压产生的储能的车辆应安装满足6.4.1.2或6.4.1.3容量要求的储能装置（储能器）。</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如制动系统在没有任何能量存储的情况下，操纵行车制动控制装置至少能达到规定的应急制动性能，则不应要求储能装置具有规定的容量。</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检查是否满足6.4.1.2、6.4.1.3和6.4.2的要求时，应将各制动器调节到最小间隙。进行6.4.1.2的检查，全行程促动的频率应确保各次促动之间至少有60</w:t>
      </w:r>
      <w:r>
        <w:rPr>
          <w:rFonts w:hint="eastAsia"/>
          <w:color w:val="auto"/>
          <w:highlight w:val="none"/>
          <w:lang w:val="en-US" w:eastAsia="zh-CN"/>
        </w:rPr>
        <w:t> </w:t>
      </w:r>
      <w:r>
        <w:rPr>
          <w:rFonts w:hint="eastAsia" w:ascii="宋体" w:hAnsi="宋体" w:eastAsia="宋体"/>
          <w:color w:val="auto"/>
          <w:highlight w:val="none"/>
        </w:rPr>
        <w:t>s的时间间隔。</w:t>
      </w:r>
    </w:p>
    <w:p>
      <w:pPr>
        <w:pStyle w:val="100"/>
        <w:spacing w:before="156" w:after="156"/>
        <w:rPr>
          <w:color w:val="auto"/>
          <w:highlight w:val="none"/>
        </w:rPr>
      </w:pPr>
      <w:r>
        <w:rPr>
          <w:rFonts w:hint="eastAsia"/>
          <w:color w:val="auto"/>
          <w:highlight w:val="none"/>
        </w:rPr>
        <w:t>装备储能式液压制动系统的车辆要求</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对行车制动控制装置进行8次全行程促动后，在进行第9次制动时仍能达到规定的应急制动性能。</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应按下列要求进行试验：</w:t>
      </w:r>
    </w:p>
    <w:p>
      <w:pPr>
        <w:pStyle w:val="180"/>
        <w:numPr>
          <w:ilvl w:val="0"/>
          <w:numId w:val="49"/>
        </w:numPr>
        <w:rPr>
          <w:color w:val="auto"/>
          <w:highlight w:val="none"/>
        </w:rPr>
      </w:pPr>
      <w:r>
        <w:rPr>
          <w:rFonts w:hint="eastAsia"/>
          <w:color w:val="auto"/>
          <w:highlight w:val="none"/>
        </w:rPr>
        <w:t>应从符合制造商规定但不超过接通压力的压力开始试验</w:t>
      </w:r>
      <w:bookmarkStart w:id="129" w:name="脚注"/>
      <w:bookmarkEnd w:id="129"/>
      <w:r>
        <w:rPr>
          <w:rFonts w:hint="eastAsia"/>
          <w:color w:val="auto"/>
          <w:highlight w:val="none"/>
          <w:lang w:eastAsia="zh-CN"/>
        </w:rPr>
        <w:t>；</w:t>
      </w:r>
      <w:r>
        <w:rPr>
          <w:rStyle w:val="39"/>
          <w:color w:val="auto"/>
          <w:highlight w:val="none"/>
        </w:rPr>
        <w:footnoteReference w:id="5"/>
      </w:r>
      <w:r>
        <w:rPr>
          <w:rStyle w:val="39"/>
          <w:color w:val="auto"/>
          <w:highlight w:val="none"/>
        </w:rPr>
        <w:t>)</w:t>
      </w:r>
    </w:p>
    <w:p>
      <w:pPr>
        <w:pStyle w:val="180"/>
        <w:numPr>
          <w:ilvl w:val="0"/>
          <w:numId w:val="49"/>
        </w:numPr>
        <w:rPr>
          <w:color w:val="auto"/>
          <w:highlight w:val="none"/>
        </w:rPr>
      </w:pPr>
      <w:r>
        <w:rPr>
          <w:rFonts w:hint="eastAsia"/>
          <w:color w:val="auto"/>
          <w:highlight w:val="none"/>
        </w:rPr>
        <w:t>不应给储能装置补充能量，并且应断开辅助设备的储能装置。</w:t>
      </w:r>
    </w:p>
    <w:p>
      <w:pPr>
        <w:pStyle w:val="100"/>
        <w:spacing w:before="156" w:after="156"/>
        <w:rPr>
          <w:color w:val="auto"/>
          <w:highlight w:val="none"/>
        </w:rPr>
      </w:pPr>
      <w:r>
        <w:rPr>
          <w:rFonts w:hint="eastAsia"/>
          <w:color w:val="auto"/>
          <w:highlight w:val="none"/>
        </w:rPr>
        <w:t>附加要求</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装备储能式液压制动系统的车辆如不能满足5.2.4</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a）的要求，但满足6</w:t>
      </w:r>
      <w:r>
        <w:rPr>
          <w:rFonts w:ascii="宋体" w:hAnsi="宋体" w:eastAsia="宋体"/>
          <w:color w:val="auto"/>
          <w:highlight w:val="none"/>
        </w:rPr>
        <w:t>.4.1</w:t>
      </w: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2、6</w:t>
      </w:r>
      <w:r>
        <w:rPr>
          <w:rFonts w:ascii="宋体" w:hAnsi="宋体" w:eastAsia="宋体"/>
          <w:color w:val="auto"/>
          <w:highlight w:val="none"/>
        </w:rPr>
        <w:t>.4.1</w:t>
      </w:r>
      <w:r>
        <w:rPr>
          <w:rFonts w:hint="eastAsia" w:ascii="宋体" w:hAnsi="宋体" w:eastAsia="宋体"/>
          <w:color w:val="auto"/>
          <w:highlight w:val="none"/>
        </w:rPr>
        <w:t>.</w:t>
      </w:r>
      <w:r>
        <w:rPr>
          <w:rFonts w:ascii="宋体" w:hAnsi="宋体" w:eastAsia="宋体"/>
          <w:color w:val="auto"/>
          <w:highlight w:val="none"/>
        </w:rPr>
        <w:t>3.3</w:t>
      </w:r>
      <w:r>
        <w:rPr>
          <w:rFonts w:hint="eastAsia" w:ascii="宋体" w:hAnsi="宋体" w:eastAsia="宋体"/>
          <w:color w:val="auto"/>
          <w:highlight w:val="none"/>
        </w:rPr>
        <w:t>的要求，可视其满足5.2.4</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a）的要求。</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发生任意一处传输失效后，对行车制动控制装置进行8次全行程促动后，在进行第9次制动时仍能达到规定的应急制动性能。</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应按下列要求进行试验：</w:t>
      </w:r>
    </w:p>
    <w:p>
      <w:pPr>
        <w:pStyle w:val="180"/>
        <w:numPr>
          <w:ilvl w:val="0"/>
          <w:numId w:val="50"/>
        </w:numPr>
        <w:rPr>
          <w:color w:val="auto"/>
          <w:highlight w:val="none"/>
        </w:rPr>
      </w:pPr>
      <w:r>
        <w:rPr>
          <w:rFonts w:hint="eastAsia"/>
          <w:color w:val="auto"/>
          <w:highlight w:val="none"/>
        </w:rPr>
        <w:t>能源供应停止或以与发动机怠速对应的速度运行，使传输装置失效。失效发生前，储能装置处于制造商规定的压力，但不超过接通压力。</w:t>
      </w:r>
    </w:p>
    <w:p>
      <w:pPr>
        <w:pStyle w:val="180"/>
        <w:numPr>
          <w:ilvl w:val="0"/>
          <w:numId w:val="32"/>
        </w:numPr>
        <w:rPr>
          <w:color w:val="auto"/>
          <w:highlight w:val="none"/>
        </w:rPr>
      </w:pPr>
      <w:r>
        <w:rPr>
          <w:rFonts w:hint="eastAsia"/>
          <w:color w:val="auto"/>
          <w:highlight w:val="none"/>
        </w:rPr>
        <w:t>如有辅助设备及其储能装置，应将其断开。</w:t>
      </w:r>
    </w:p>
    <w:p>
      <w:pPr>
        <w:pStyle w:val="71"/>
        <w:spacing w:before="156" w:after="156"/>
        <w:rPr>
          <w:color w:val="auto"/>
          <w:highlight w:val="none"/>
        </w:rPr>
      </w:pPr>
      <w:bookmarkStart w:id="130" w:name="_Toc118580267"/>
      <w:r>
        <w:rPr>
          <w:rFonts w:hint="eastAsia"/>
          <w:color w:val="auto"/>
          <w:highlight w:val="none"/>
        </w:rPr>
        <w:t>液压能源的容量</w:t>
      </w:r>
      <w:bookmarkEnd w:id="130"/>
    </w:p>
    <w:p>
      <w:pPr>
        <w:pStyle w:val="100"/>
        <w:spacing w:before="156" w:after="156"/>
        <w:rPr>
          <w:color w:val="auto"/>
          <w:highlight w:val="none"/>
        </w:rPr>
      </w:pPr>
      <w:r>
        <w:rPr>
          <w:rFonts w:hint="eastAsia"/>
          <w:color w:val="auto"/>
          <w:highlight w:val="none"/>
        </w:rPr>
        <w:t>测量条件</w:t>
      </w:r>
    </w:p>
    <w:p>
      <w:pPr>
        <w:pStyle w:val="62"/>
        <w:ind w:firstLine="420"/>
        <w:rPr>
          <w:color w:val="auto"/>
          <w:highlight w:val="none"/>
        </w:rPr>
      </w:pPr>
      <w:r>
        <w:rPr>
          <w:rFonts w:hint="eastAsia"/>
          <w:color w:val="auto"/>
          <w:highlight w:val="none"/>
        </w:rPr>
        <w:t>在测定时间</w:t>
      </w:r>
      <m:oMath>
        <m:sSub>
          <m:sSubPr>
            <m:ctrlPr>
              <w:rPr>
                <w:rFonts w:ascii="Cambria Math" w:hAnsi="Cambria Math"/>
                <w:color w:val="auto"/>
                <w:sz w:val="18"/>
                <w:highlight w:val="none"/>
              </w:rPr>
            </m:ctrlPr>
          </m:sSubPr>
          <m:e>
            <m:r>
              <m:rPr/>
              <w:rPr>
                <w:rFonts w:hint="eastAsia" w:ascii="Cambria Math" w:hAnsi="Cambria Math"/>
                <w:color w:val="auto"/>
                <w:highlight w:val="none"/>
              </w:rPr>
              <m:t>t</m:t>
            </m:r>
            <m:ctrlPr>
              <w:rPr>
                <w:rFonts w:ascii="Cambria Math" w:hAnsi="Cambria Math"/>
                <w:color w:val="auto"/>
                <w:sz w:val="18"/>
                <w:highlight w:val="none"/>
              </w:rPr>
            </m:ctrlPr>
          </m:e>
          <m:sub>
            <m:r>
              <m:rPr/>
              <w:rPr>
                <w:rFonts w:ascii="Cambria Math" w:hAnsi="Cambria Math"/>
                <w:color w:val="auto"/>
                <w:highlight w:val="none"/>
              </w:rPr>
              <m:t>0</m:t>
            </m:r>
            <m:r>
              <m:rPr/>
              <w:rPr>
                <w:rFonts w:hint="eastAsia" w:ascii="微软雅黑" w:hAnsi="微软雅黑" w:eastAsia="微软雅黑" w:cs="微软雅黑"/>
                <w:color w:val="auto"/>
                <w:highlight w:val="none"/>
              </w:rPr>
              <m:t>−</m:t>
            </m:r>
            <m:r>
              <m:rPr/>
              <w:rPr>
                <w:rFonts w:ascii="Cambria Math" w:hAnsi="Cambria Math"/>
                <w:color w:val="auto"/>
                <w:highlight w:val="none"/>
              </w:rPr>
              <m:t>1</m:t>
            </m:r>
            <m:ctrlPr>
              <w:rPr>
                <w:rFonts w:ascii="Cambria Math" w:hAnsi="Cambria Math"/>
                <w:color w:val="auto"/>
                <w:sz w:val="18"/>
                <w:highlight w:val="none"/>
              </w:rPr>
            </m:ctrlPr>
          </m:sub>
        </m:sSub>
      </m:oMath>
      <w:r>
        <w:rPr>
          <w:rFonts w:hint="eastAsia"/>
          <w:color w:val="auto"/>
          <w:highlight w:val="none"/>
        </w:rPr>
        <w:t>的试验中，能源应以动力装置最大功率转速或超速调节器允许的转速对应的流量供能。</w:t>
      </w:r>
    </w:p>
    <w:p>
      <w:pPr>
        <w:pStyle w:val="62"/>
        <w:ind w:firstLine="420"/>
        <w:rPr>
          <w:color w:val="auto"/>
          <w:highlight w:val="none"/>
        </w:rPr>
      </w:pPr>
      <w:r>
        <w:rPr>
          <w:rFonts w:hint="eastAsia"/>
          <w:color w:val="auto"/>
          <w:highlight w:val="none"/>
        </w:rPr>
        <w:t>在测定时间</w:t>
      </w:r>
      <m:oMath>
        <m:sSub>
          <m:sSubPr>
            <m:ctrlPr>
              <w:rPr>
                <w:rFonts w:ascii="Cambria Math" w:hAnsi="Cambria Math"/>
                <w:color w:val="auto"/>
                <w:sz w:val="18"/>
                <w:highlight w:val="none"/>
              </w:rPr>
            </m:ctrlPr>
          </m:sSubPr>
          <m:e>
            <m:r>
              <m:rPr/>
              <w:rPr>
                <w:rFonts w:hint="eastAsia" w:ascii="Cambria Math" w:hAnsi="Cambria Math"/>
                <w:color w:val="auto"/>
                <w:highlight w:val="none"/>
              </w:rPr>
              <m:t>t</m:t>
            </m:r>
            <m:ctrlPr>
              <w:rPr>
                <w:rFonts w:ascii="Cambria Math" w:hAnsi="Cambria Math"/>
                <w:color w:val="auto"/>
                <w:sz w:val="18"/>
                <w:highlight w:val="none"/>
              </w:rPr>
            </m:ctrlPr>
          </m:e>
          <m:sub>
            <m:r>
              <m:rPr/>
              <w:rPr>
                <w:rFonts w:ascii="Cambria Math" w:hAnsi="Cambria Math"/>
                <w:color w:val="auto"/>
                <w:highlight w:val="none"/>
              </w:rPr>
              <m:t>0</m:t>
            </m:r>
            <m:r>
              <m:rPr/>
              <w:rPr>
                <w:rFonts w:hint="eastAsia" w:ascii="微软雅黑" w:hAnsi="微软雅黑" w:eastAsia="微软雅黑" w:cs="微软雅黑"/>
                <w:color w:val="auto"/>
                <w:highlight w:val="none"/>
              </w:rPr>
              <m:t>−</m:t>
            </m:r>
            <m:r>
              <m:rPr/>
              <w:rPr>
                <w:rFonts w:ascii="Cambria Math" w:hAnsi="Cambria Math"/>
                <w:color w:val="auto"/>
                <w:highlight w:val="none"/>
              </w:rPr>
              <m:t>1</m:t>
            </m:r>
            <m:ctrlPr>
              <w:rPr>
                <w:rFonts w:ascii="Cambria Math" w:hAnsi="Cambria Math"/>
                <w:color w:val="auto"/>
                <w:sz w:val="18"/>
                <w:highlight w:val="none"/>
              </w:rPr>
            </m:ctrlPr>
          </m:sub>
        </m:sSub>
      </m:oMath>
      <w:r>
        <w:rPr>
          <w:rFonts w:hint="eastAsia"/>
          <w:color w:val="auto"/>
          <w:highlight w:val="none"/>
        </w:rPr>
        <w:t>的试验中，不应断开辅助设备的储能装置，自动断开除外。</w:t>
      </w:r>
    </w:p>
    <w:p>
      <w:pPr>
        <w:pStyle w:val="100"/>
        <w:spacing w:before="156" w:after="156"/>
        <w:rPr>
          <w:color w:val="auto"/>
          <w:highlight w:val="none"/>
        </w:rPr>
      </w:pPr>
      <w:r>
        <w:rPr>
          <w:rFonts w:hint="eastAsia"/>
          <w:color w:val="auto"/>
          <w:highlight w:val="none"/>
        </w:rPr>
        <w:t>结果说明</w:t>
      </w:r>
    </w:p>
    <w:p>
      <w:pPr>
        <w:pStyle w:val="62"/>
        <w:ind w:firstLine="420"/>
        <w:rPr>
          <w:color w:val="auto"/>
          <w:highlight w:val="none"/>
        </w:rPr>
      </w:pPr>
      <w:r>
        <w:rPr>
          <w:rFonts w:hint="eastAsia"/>
          <w:color w:val="auto"/>
          <w:highlight w:val="none"/>
        </w:rPr>
        <w:t>对所有车辆，时间</w:t>
      </w:r>
      <w:r>
        <w:rPr>
          <w:rFonts w:hint="eastAsia"/>
          <w:i/>
          <w:color w:val="auto"/>
          <w:highlight w:val="none"/>
        </w:rPr>
        <w:t>t</w:t>
      </w:r>
      <w:r>
        <w:rPr>
          <w:rFonts w:hint="eastAsia"/>
          <w:color w:val="auto"/>
          <w:highlight w:val="none"/>
          <w:vertAlign w:val="subscript"/>
        </w:rPr>
        <w:t>0-1</w:t>
      </w:r>
      <w:r>
        <w:rPr>
          <w:rFonts w:hint="eastAsia"/>
          <w:color w:val="auto"/>
          <w:highlight w:val="none"/>
        </w:rPr>
        <w:t>不应超过20</w:t>
      </w:r>
      <w:r>
        <w:rPr>
          <w:rFonts w:hint="eastAsia"/>
          <w:color w:val="auto"/>
          <w:highlight w:val="none"/>
          <w:lang w:val="en-US" w:eastAsia="zh-CN"/>
        </w:rPr>
        <w:t> </w:t>
      </w:r>
      <w:r>
        <w:rPr>
          <w:rFonts w:hint="eastAsia"/>
          <w:color w:val="auto"/>
          <w:highlight w:val="none"/>
        </w:rPr>
        <w:t>s。</w:t>
      </w:r>
    </w:p>
    <w:p>
      <w:pPr>
        <w:pStyle w:val="71"/>
        <w:spacing w:before="156" w:after="156"/>
        <w:rPr>
          <w:color w:val="auto"/>
          <w:highlight w:val="none"/>
        </w:rPr>
      </w:pPr>
      <w:bookmarkStart w:id="131" w:name="_Toc118580268"/>
      <w:r>
        <w:rPr>
          <w:rFonts w:hint="eastAsia"/>
          <w:color w:val="auto"/>
          <w:highlight w:val="none"/>
        </w:rPr>
        <w:t>报警装置的特性</w:t>
      </w:r>
      <w:bookmarkEnd w:id="131"/>
    </w:p>
    <w:p>
      <w:pPr>
        <w:pStyle w:val="62"/>
        <w:ind w:firstLine="420"/>
        <w:rPr>
          <w:rFonts w:hint="eastAsia"/>
          <w:color w:val="auto"/>
          <w:highlight w:val="none"/>
        </w:rPr>
      </w:pPr>
      <w:r>
        <w:rPr>
          <w:rFonts w:hint="eastAsia" w:hAnsi="宋体"/>
          <w:color w:val="auto"/>
          <w:highlight w:val="none"/>
        </w:rPr>
        <w:t>动力装置停机，从符合制造商规定但不超过接通压力的压力开始，对行车制动控制装置进行</w:t>
      </w:r>
      <w:r>
        <w:rPr>
          <w:rFonts w:hint="eastAsia"/>
          <w:color w:val="auto"/>
          <w:highlight w:val="none"/>
        </w:rPr>
        <w:t>2次全行程促动后，报警装置不应报警。</w:t>
      </w:r>
    </w:p>
    <w:p>
      <w:pPr>
        <w:pStyle w:val="111"/>
        <w:spacing w:before="156" w:after="156"/>
        <w:rPr>
          <w:color w:val="auto"/>
          <w:highlight w:val="none"/>
        </w:rPr>
      </w:pPr>
      <w:bookmarkStart w:id="132" w:name="_Toc13857"/>
      <w:bookmarkStart w:id="133" w:name="_Toc118580275"/>
      <w:bookmarkStart w:id="134" w:name="_Toc118580412"/>
      <w:bookmarkStart w:id="135" w:name="_Toc109891122"/>
      <w:r>
        <w:rPr>
          <w:rFonts w:hint="eastAsia"/>
          <w:color w:val="auto"/>
          <w:highlight w:val="none"/>
        </w:rPr>
        <w:t>车辆防抱制动系统试验要求</w:t>
      </w:r>
      <w:bookmarkEnd w:id="132"/>
      <w:bookmarkEnd w:id="133"/>
      <w:bookmarkEnd w:id="134"/>
      <w:bookmarkEnd w:id="135"/>
    </w:p>
    <w:p>
      <w:pPr>
        <w:pStyle w:val="71"/>
        <w:spacing w:before="156" w:after="156"/>
        <w:rPr>
          <w:color w:val="auto"/>
          <w:highlight w:val="none"/>
        </w:rPr>
      </w:pPr>
      <w:bookmarkStart w:id="136" w:name="_Toc118580278"/>
      <w:r>
        <w:rPr>
          <w:rFonts w:hint="eastAsia"/>
          <w:color w:val="auto"/>
          <w:highlight w:val="none"/>
        </w:rPr>
        <w:t>一般要求</w:t>
      </w:r>
      <w:bookmarkEnd w:id="136"/>
    </w:p>
    <w:p>
      <w:pPr>
        <w:pStyle w:val="100"/>
        <w:spacing w:before="0" w:beforeLines="0" w:after="0" w:afterLines="0"/>
        <w:rPr>
          <w:rFonts w:ascii="宋体" w:hAnsi="宋体" w:eastAsia="宋体"/>
          <w:color w:val="auto"/>
          <w:szCs w:val="21"/>
          <w:highlight w:val="none"/>
        </w:rPr>
      </w:pPr>
      <w:r>
        <w:rPr>
          <w:rFonts w:hint="eastAsia" w:ascii="宋体" w:hAnsi="宋体" w:eastAsia="宋体"/>
          <w:color w:val="auto"/>
          <w:highlight w:val="none"/>
        </w:rPr>
        <w:t>任何影响到6.</w:t>
      </w:r>
      <w:r>
        <w:rPr>
          <w:rFonts w:ascii="宋体" w:hAnsi="宋体" w:eastAsia="宋体"/>
          <w:color w:val="auto"/>
          <w:highlight w:val="none"/>
        </w:rPr>
        <w:t>5</w:t>
      </w:r>
      <w:r>
        <w:rPr>
          <w:rFonts w:hint="eastAsia" w:ascii="宋体" w:hAnsi="宋体" w:eastAsia="宋体"/>
          <w:color w:val="auto"/>
          <w:highlight w:val="none"/>
        </w:rPr>
        <w:t>规定的系统功能和性能要求的电气失效或传感器工作不正常，包括供电线路、控制器的外部线路、控制器和调节器的失效，应通过5.2.21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a）规定的黄色报警信号指示给</w:t>
      </w:r>
      <w:r>
        <w:rPr>
          <w:rFonts w:hint="eastAsia" w:ascii="宋体" w:hAnsi="宋体" w:eastAsia="宋体"/>
          <w:color w:val="auto"/>
          <w:highlight w:val="none"/>
          <w:lang w:eastAsia="zh-CN"/>
        </w:rPr>
        <w:t>驾驶人</w:t>
      </w:r>
      <w:r>
        <w:rPr>
          <w:rFonts w:hint="eastAsia" w:ascii="宋体" w:hAnsi="宋体" w:eastAsia="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对在静态条件下不能检测到的传感器异常，应在车速超过10</w:t>
      </w:r>
      <w:r>
        <w:rPr>
          <w:rFonts w:hint="eastAsia"/>
          <w:color w:val="auto"/>
          <w:highlight w:val="none"/>
          <w:lang w:val="en-US" w:eastAsia="zh-CN"/>
        </w:rPr>
        <w:t> </w:t>
      </w:r>
      <w:r>
        <w:rPr>
          <w:rFonts w:hint="eastAsia" w:ascii="宋体" w:hAnsi="宋体" w:eastAsia="宋体"/>
          <w:color w:val="auto"/>
          <w:highlight w:val="none"/>
        </w:rPr>
        <w:t>km/h之前进行检测</w:t>
      </w:r>
      <w:r>
        <w:rPr>
          <w:rStyle w:val="39"/>
          <w:color w:val="auto"/>
          <w:highlight w:val="none"/>
        </w:rPr>
        <w:footnoteReference w:id="6"/>
      </w:r>
      <w:r>
        <w:rPr>
          <w:rStyle w:val="39"/>
          <w:color w:val="auto"/>
          <w:highlight w:val="none"/>
        </w:rPr>
        <w:t>)</w:t>
      </w:r>
      <w:r>
        <w:rPr>
          <w:rFonts w:hint="eastAsia" w:ascii="宋体" w:hAnsi="宋体" w:eastAsia="宋体"/>
          <w:color w:val="auto"/>
          <w:highlight w:val="none"/>
        </w:rPr>
        <w:t>。但由于静态条件下车轮不转动，传感器不能产生车速信号，为防止发出错误的报警信号，可推迟检测但应在车速超过15</w:t>
      </w:r>
      <w:r>
        <w:rPr>
          <w:rFonts w:hint="eastAsia"/>
          <w:color w:val="auto"/>
          <w:highlight w:val="none"/>
          <w:lang w:val="en-US" w:eastAsia="zh-CN"/>
        </w:rPr>
        <w:t> </w:t>
      </w:r>
      <w:r>
        <w:rPr>
          <w:rFonts w:hint="eastAsia" w:ascii="宋体" w:hAnsi="宋体" w:eastAsia="宋体"/>
          <w:color w:val="auto"/>
          <w:highlight w:val="none"/>
        </w:rPr>
        <w:t>km/h之前确认传感器工作正常。</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当车辆静止、防抱制动系统通电时，电控的压力调节阀应至少循环一次。</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只影响防抱制动功能的单个电气功能失效发生时，应通过6</w:t>
      </w:r>
      <w:r>
        <w:rPr>
          <w:rFonts w:ascii="宋体" w:hAnsi="宋体" w:eastAsia="宋体"/>
          <w:color w:val="auto"/>
          <w:highlight w:val="none"/>
        </w:rPr>
        <w:t>.5.</w:t>
      </w:r>
      <w:r>
        <w:rPr>
          <w:rFonts w:hint="eastAsia" w:ascii="宋体" w:hAnsi="宋体" w:eastAsia="宋体"/>
          <w:color w:val="auto"/>
          <w:highlight w:val="none"/>
          <w:lang w:val="en-US" w:eastAsia="zh-CN"/>
        </w:rPr>
        <w:t>1</w:t>
      </w:r>
      <w:r>
        <w:rPr>
          <w:rFonts w:ascii="宋体" w:hAnsi="宋体" w:eastAsia="宋体"/>
          <w:color w:val="auto"/>
          <w:highlight w:val="none"/>
        </w:rPr>
        <w:t>.1</w:t>
      </w:r>
      <w:r>
        <w:rPr>
          <w:rFonts w:hint="eastAsia" w:ascii="宋体" w:hAnsi="宋体" w:eastAsia="宋体"/>
          <w:color w:val="auto"/>
          <w:highlight w:val="none"/>
        </w:rPr>
        <w:t>的黄色报警信号指示，且行车制动性能不应低于动力脱开的0型试验规定性能的80%</w:t>
      </w:r>
      <w:r>
        <w:rPr>
          <w:rFonts w:hint="eastAsia" w:ascii="宋体" w:hAnsi="宋体" w:eastAsia="宋体"/>
          <w:color w:val="auto"/>
          <w:highlight w:val="none"/>
          <w:lang w:eastAsia="zh-CN"/>
        </w:rPr>
        <w:t>，</w:t>
      </w:r>
      <w:r>
        <w:rPr>
          <w:rFonts w:hint="eastAsia" w:ascii="宋体" w:hAnsi="宋体" w:eastAsia="宋体"/>
          <w:color w:val="auto"/>
          <w:highlight w:val="none"/>
        </w:rPr>
        <w:t>对应的制动距离</w:t>
      </w:r>
      <w:r>
        <w:rPr>
          <w:rFonts w:hint="eastAsia" w:ascii="宋体" w:hAnsi="宋体" w:eastAsia="宋体"/>
          <w:color w:val="auto"/>
          <w:highlight w:val="none"/>
          <w:lang w:val="en-US" w:eastAsia="zh-CN"/>
        </w:rPr>
        <w:t>见公式（5）</w:t>
      </w:r>
      <w:r>
        <w:rPr>
          <w:rFonts w:hint="eastAsia" w:ascii="宋体" w:hAnsi="宋体" w:eastAsia="宋体"/>
          <w:color w:val="auto"/>
          <w:highlight w:val="none"/>
        </w:rPr>
        <w:t>，充分发出的平均减速度</w:t>
      </w:r>
      <m:oMath>
        <m:sSub>
          <m:sSubPr>
            <m:ctrlPr>
              <w:rPr>
                <w:rFonts w:ascii="Cambria Math" w:hAnsi="Cambria Math" w:eastAsia="宋体"/>
                <w:i/>
                <w:iCs/>
                <w:color w:val="auto"/>
                <w:highlight w:val="none"/>
              </w:rPr>
            </m:ctrlPr>
          </m:sSubPr>
          <m:e>
            <m:r>
              <m:rPr/>
              <w:rPr>
                <w:rFonts w:ascii="Cambria Math" w:hAnsi="Cambria Math" w:eastAsia="宋体"/>
                <w:color w:val="auto"/>
                <w:highlight w:val="none"/>
              </w:rPr>
              <m:t>d</m:t>
            </m:r>
            <m:ctrlPr>
              <w:rPr>
                <w:rFonts w:ascii="Cambria Math" w:hAnsi="Cambria Math" w:eastAsia="宋体"/>
                <w:i/>
                <w:iCs/>
                <w:color w:val="auto"/>
                <w:highlight w:val="none"/>
              </w:rPr>
            </m:ctrlPr>
          </m:e>
          <m:sub>
            <m:r>
              <m:rPr/>
              <w:rPr>
                <w:rFonts w:ascii="Cambria Math" w:hAnsi="Cambria Math" w:eastAsia="宋体"/>
                <w:color w:val="auto"/>
                <w:highlight w:val="none"/>
              </w:rPr>
              <m:t>m</m:t>
            </m:r>
            <m:ctrlPr>
              <w:rPr>
                <w:rFonts w:ascii="Cambria Math" w:hAnsi="Cambria Math" w:eastAsia="宋体"/>
                <w:i/>
                <w:iCs/>
                <w:color w:val="auto"/>
                <w:highlight w:val="none"/>
              </w:rPr>
            </m:ctrlPr>
          </m:sub>
        </m:sSub>
        <m:r>
          <m:rPr/>
          <w:rPr>
            <w:rFonts w:hint="eastAsia" w:ascii="Cambria Math" w:hAnsi="Cambria Math" w:eastAsia="宋体"/>
            <w:color w:val="auto"/>
            <w:highlight w:val="none"/>
            <w:lang w:val="en-US" w:eastAsia="zh-CN"/>
          </w:rPr>
          <m:t>为</m:t>
        </m:r>
        <m:r>
          <m:rPr/>
          <w:rPr>
            <w:rFonts w:ascii="Cambria Math" w:hAnsi="Cambria Math" w:eastAsia="宋体"/>
            <w:color w:val="auto"/>
            <w:highlight w:val="none"/>
          </w:rPr>
          <m:t>5.15 m/</m:t>
        </m:r>
        <m:sSup>
          <m:sSupPr>
            <m:ctrlPr>
              <w:rPr>
                <w:rFonts w:ascii="Cambria Math" w:hAnsi="Cambria Math" w:eastAsia="宋体"/>
                <w:i/>
                <w:iCs/>
                <w:color w:val="auto"/>
                <w:highlight w:val="none"/>
              </w:rPr>
            </m:ctrlPr>
          </m:sSupPr>
          <m:e>
            <m:r>
              <m:rPr/>
              <w:rPr>
                <w:rFonts w:ascii="Cambria Math" w:hAnsi="Cambria Math" w:eastAsia="宋体"/>
                <w:color w:val="auto"/>
                <w:highlight w:val="none"/>
              </w:rPr>
              <m:t>s</m:t>
            </m:r>
            <m:ctrlPr>
              <w:rPr>
                <w:rFonts w:ascii="Cambria Math" w:hAnsi="Cambria Math" w:eastAsia="宋体"/>
                <w:i/>
                <w:iCs/>
                <w:color w:val="auto"/>
                <w:highlight w:val="none"/>
              </w:rPr>
            </m:ctrlPr>
          </m:e>
          <m:sup>
            <m:r>
              <m:rPr/>
              <w:rPr>
                <w:rFonts w:ascii="Cambria Math" w:hAnsi="Cambria Math" w:eastAsia="宋体"/>
                <w:color w:val="auto"/>
                <w:highlight w:val="none"/>
              </w:rPr>
              <m:t>2</m:t>
            </m:r>
            <m:ctrlPr>
              <w:rPr>
                <w:rFonts w:ascii="Cambria Math" w:hAnsi="Cambria Math" w:eastAsia="宋体"/>
                <w:i/>
                <w:iCs/>
                <w:color w:val="auto"/>
                <w:highlight w:val="none"/>
              </w:rPr>
            </m:ctrlPr>
          </m:sup>
        </m:sSup>
      </m:oMath>
      <w:r>
        <w:rPr>
          <w:rFonts w:hint="eastAsia" w:ascii="宋体" w:hAnsi="宋体" w:eastAsia="宋体"/>
          <w:color w:val="auto"/>
          <w:highlight w:val="none"/>
        </w:rPr>
        <w:t>。</w:t>
      </w:r>
    </w:p>
    <w:p>
      <w:pPr>
        <w:pStyle w:val="62"/>
        <w:tabs>
          <w:tab w:val="center" w:pos="4725"/>
          <w:tab w:val="right" w:leader="dot" w:pos="9450"/>
        </w:tabs>
        <w:ind w:firstLine="0" w:firstLineChars="0"/>
        <w:rPr>
          <w:rFonts w:hint="eastAsia" w:ascii="宋体" w:hAnsi="宋体" w:eastAsia="宋体"/>
          <w:color w:val="auto"/>
          <w:highlight w:val="none"/>
        </w:rPr>
      </w:pPr>
      <w:r>
        <w:rPr>
          <w:rFonts w:hint="eastAsia" w:hAnsi="Cambria Math"/>
          <w:i w:val="0"/>
          <w:color w:val="auto"/>
          <w:highlight w:val="none"/>
          <w:lang w:val="en-US" w:eastAsia="zh-CN"/>
        </w:rPr>
        <w:tab/>
      </w:r>
      <m:oMath>
        <m:r>
          <m:rPr/>
          <w:rPr>
            <w:rFonts w:ascii="Cambria Math" w:hAnsi="Cambria Math" w:eastAsia="宋体"/>
            <w:color w:val="auto"/>
            <w:highlight w:val="none"/>
          </w:rPr>
          <m:t>S=0.1v+0.0075</m:t>
        </m:r>
        <m:sSup>
          <m:sSupPr>
            <m:ctrlPr>
              <w:rPr>
                <w:rFonts w:ascii="Cambria Math" w:hAnsi="Cambria Math" w:eastAsia="宋体"/>
                <w:i/>
                <w:iCs/>
                <w:color w:val="auto"/>
                <w:highlight w:val="none"/>
              </w:rPr>
            </m:ctrlPr>
          </m:sSupPr>
          <m:e>
            <m:r>
              <m:rPr/>
              <w:rPr>
                <w:rFonts w:ascii="Cambria Math" w:hAnsi="Cambria Math" w:eastAsia="宋体"/>
                <w:color w:val="auto"/>
                <w:highlight w:val="none"/>
              </w:rPr>
              <m:t>v</m:t>
            </m:r>
            <m:ctrlPr>
              <w:rPr>
                <w:rFonts w:ascii="Cambria Math" w:hAnsi="Cambria Math" w:eastAsia="宋体"/>
                <w:i/>
                <w:iCs/>
                <w:color w:val="auto"/>
                <w:highlight w:val="none"/>
              </w:rPr>
            </m:ctrlPr>
          </m:e>
          <m:sup>
            <m:r>
              <m:rPr/>
              <w:rPr>
                <w:rFonts w:ascii="Cambria Math" w:hAnsi="Cambria Math" w:eastAsia="宋体"/>
                <w:color w:val="auto"/>
                <w:highlight w:val="none"/>
              </w:rPr>
              <m:t>2</m:t>
            </m:r>
            <m:ctrlPr>
              <w:rPr>
                <w:rFonts w:ascii="Cambria Math" w:hAnsi="Cambria Math" w:eastAsia="宋体"/>
                <w:i/>
                <w:iCs/>
                <w:color w:val="auto"/>
                <w:highlight w:val="none"/>
              </w:rPr>
            </m:ctrlPr>
          </m:sup>
        </m:sSup>
      </m:oMath>
      <w:r>
        <w:rPr>
          <w:rFonts w:hint="eastAsia" w:hAnsi="Cambria Math"/>
          <w:i w:val="0"/>
          <w:iCs/>
          <w:color w:val="auto"/>
          <w:highlight w:val="none"/>
          <w:lang w:val="en-US" w:eastAsia="zh-CN"/>
        </w:rPr>
        <w:tab/>
      </w:r>
      <w:r>
        <w:rPr>
          <w:rFonts w:hint="eastAsia" w:hAnsi="Cambria Math"/>
          <w:i w:val="0"/>
          <w:iCs/>
          <w:color w:val="auto"/>
          <w:highlight w:val="none"/>
          <w:lang w:val="en-US" w:eastAsia="zh-CN"/>
        </w:rPr>
        <w:t>(5)</w:t>
      </w:r>
    </w:p>
    <w:p>
      <w:pPr>
        <w:pStyle w:val="62"/>
        <w:rPr>
          <w:rFonts w:hint="eastAsia" w:hAnsi="宋体"/>
          <w:color w:val="auto"/>
          <w:highlight w:val="none"/>
          <w:lang w:val="en-US" w:eastAsia="zh-CN"/>
        </w:rPr>
      </w:pPr>
      <w:r>
        <w:rPr>
          <w:rFonts w:hint="eastAsia" w:hAnsi="宋体"/>
          <w:color w:val="auto"/>
          <w:highlight w:val="none"/>
          <w:lang w:val="en-US" w:eastAsia="zh-CN"/>
        </w:rPr>
        <w:t>式中：</w:t>
      </w:r>
    </w:p>
    <w:p>
      <w:pPr>
        <w:pStyle w:val="62"/>
        <w:tabs>
          <w:tab w:val="left" w:pos="840"/>
        </w:tabs>
        <w:rPr>
          <w:rFonts w:hint="default" w:hAnsi="宋体"/>
          <w:color w:val="auto"/>
          <w:highlight w:val="none"/>
          <w:lang w:val="en-US" w:eastAsia="zh-CN"/>
        </w:rPr>
      </w:pPr>
      <w:r>
        <w:rPr>
          <w:rFonts w:hint="eastAsia" w:hAnsi="宋体"/>
          <w:i/>
          <w:iCs/>
          <w:color w:val="auto"/>
          <w:highlight w:val="none"/>
          <w:lang w:val="en-US" w:eastAsia="zh-CN"/>
        </w:rPr>
        <w:t>S</w:t>
      </w:r>
      <w:r>
        <w:rPr>
          <w:rFonts w:hint="eastAsia" w:hAnsi="宋体"/>
          <w:color w:val="auto"/>
          <w:highlight w:val="none"/>
          <w:lang w:val="en-US" w:eastAsia="zh-CN"/>
        </w:rPr>
        <w:t>——制动距离</w:t>
      </w:r>
      <w:r>
        <w:rPr>
          <w:rFonts w:hint="eastAsia"/>
          <w:color w:val="auto"/>
          <w:highlight w:val="none"/>
          <w:lang w:val="en-US" w:eastAsia="zh-CN"/>
        </w:rPr>
        <w:t>的数值</w:t>
      </w:r>
      <w:r>
        <w:rPr>
          <w:rFonts w:hint="eastAsia" w:hAnsi="宋体"/>
          <w:color w:val="auto"/>
          <w:highlight w:val="none"/>
          <w:lang w:val="en-US" w:eastAsia="zh-CN"/>
        </w:rPr>
        <w:t>，单位为米（m）。</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防抱制动系统的工作不应受磁场或电场的不利影响，</w:t>
      </w:r>
      <w:r>
        <w:rPr>
          <w:rFonts w:hint="eastAsia" w:ascii="宋体" w:hAnsi="宋体" w:eastAsia="宋体"/>
          <w:color w:val="auto"/>
          <w:highlight w:val="none"/>
          <w:lang w:val="en-US" w:eastAsia="zh-CN"/>
        </w:rPr>
        <w:t>应按照</w:t>
      </w:r>
      <w:r>
        <w:rPr>
          <w:rFonts w:hint="eastAsia" w:ascii="宋体" w:hAnsi="宋体" w:eastAsia="宋体"/>
          <w:color w:val="auto"/>
          <w:highlight w:val="none"/>
        </w:rPr>
        <w:t>GB 34660中车辆对电磁辐射的抗扰试验场强对防抱制动系统进行验证</w:t>
      </w:r>
      <w:r>
        <w:rPr>
          <w:rFonts w:ascii="宋体" w:hAnsi="宋体" w:eastAsia="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不应用手动装置来切断或改变防抱制动系统的控制模式</w:t>
      </w:r>
      <w:r>
        <w:rPr>
          <w:rStyle w:val="39"/>
          <w:color w:val="auto"/>
          <w:highlight w:val="none"/>
        </w:rPr>
        <w:footnoteReference w:id="7"/>
      </w:r>
      <w:r>
        <w:rPr>
          <w:rStyle w:val="39"/>
          <w:color w:val="auto"/>
          <w:highlight w:val="none"/>
        </w:rPr>
        <w:t>)</w:t>
      </w:r>
      <w:r>
        <w:rPr>
          <w:rFonts w:hint="eastAsia" w:ascii="宋体" w:hAnsi="宋体" w:eastAsia="宋体"/>
          <w:color w:val="auto"/>
          <w:highlight w:val="none"/>
        </w:rPr>
        <w:t>。</w:t>
      </w:r>
    </w:p>
    <w:p>
      <w:pPr>
        <w:pStyle w:val="71"/>
        <w:spacing w:before="156" w:after="156"/>
        <w:rPr>
          <w:color w:val="auto"/>
          <w:szCs w:val="21"/>
          <w:highlight w:val="none"/>
        </w:rPr>
      </w:pPr>
      <w:bookmarkStart w:id="137" w:name="_Toc72156186"/>
      <w:bookmarkEnd w:id="137"/>
      <w:bookmarkStart w:id="138" w:name="_Toc118580279"/>
      <w:r>
        <w:rPr>
          <w:rFonts w:hint="eastAsia"/>
          <w:color w:val="auto"/>
          <w:highlight w:val="none"/>
        </w:rPr>
        <w:t>特殊规定</w:t>
      </w:r>
      <w:bookmarkEnd w:id="138"/>
    </w:p>
    <w:p>
      <w:pPr>
        <w:pStyle w:val="100"/>
        <w:spacing w:before="156" w:after="156"/>
        <w:rPr>
          <w:color w:val="auto"/>
          <w:highlight w:val="none"/>
        </w:rPr>
      </w:pPr>
      <w:r>
        <w:rPr>
          <w:rFonts w:hint="eastAsia"/>
          <w:color w:val="auto"/>
          <w:highlight w:val="none"/>
        </w:rPr>
        <w:t>能量消耗</w:t>
      </w:r>
    </w:p>
    <w:p>
      <w:pPr>
        <w:pStyle w:val="104"/>
        <w:spacing w:before="156" w:after="156"/>
        <w:rPr>
          <w:color w:val="auto"/>
          <w:highlight w:val="none"/>
        </w:rPr>
      </w:pPr>
      <w:r>
        <w:rPr>
          <w:rFonts w:hint="eastAsia"/>
          <w:color w:val="auto"/>
          <w:highlight w:val="none"/>
        </w:rPr>
        <w:t>总体要求</w:t>
      </w:r>
    </w:p>
    <w:p>
      <w:pPr>
        <w:pStyle w:val="62"/>
        <w:ind w:firstLine="420"/>
        <w:rPr>
          <w:color w:val="auto"/>
          <w:highlight w:val="none"/>
        </w:rPr>
      </w:pPr>
      <w:r>
        <w:rPr>
          <w:rFonts w:hint="eastAsia"/>
          <w:color w:val="auto"/>
          <w:highlight w:val="none"/>
        </w:rPr>
        <w:t>装备防抱制动系统的车辆应采用下列试验来验证行车制动系统能在长时间全行程制动时保持其性能。</w:t>
      </w:r>
    </w:p>
    <w:p>
      <w:pPr>
        <w:pStyle w:val="104"/>
        <w:spacing w:before="156" w:after="156"/>
        <w:rPr>
          <w:color w:val="auto"/>
          <w:highlight w:val="none"/>
        </w:rPr>
      </w:pPr>
      <w:r>
        <w:rPr>
          <w:rFonts w:hint="eastAsia"/>
          <w:color w:val="auto"/>
          <w:highlight w:val="none"/>
        </w:rPr>
        <w:t>试验条件</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储能装置的初始能量水平应符合制造商规定，并应至少保证车辆满载时达到规定的行车制动效能。应断开储能装置对气压辅助设备的供能。</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在附着系数小于等于0.3的路面上，满载车辆以不低于50</w:t>
      </w:r>
      <w:r>
        <w:rPr>
          <w:rFonts w:hint="eastAsia"/>
          <w:color w:val="auto"/>
          <w:highlight w:val="none"/>
          <w:lang w:val="en-US" w:eastAsia="zh-CN"/>
        </w:rPr>
        <w:t> </w:t>
      </w:r>
      <w:r>
        <w:rPr>
          <w:rFonts w:hint="eastAsia" w:ascii="宋体" w:hAnsi="宋体" w:eastAsia="宋体"/>
          <w:color w:val="auto"/>
          <w:highlight w:val="none"/>
        </w:rPr>
        <w:t>km/h的初速度全行程制动，在整个制动时间</w:t>
      </w:r>
      <m:oMath>
        <m:r>
          <m:rPr/>
          <w:rPr>
            <w:rFonts w:hint="eastAsia" w:ascii="Cambria Math" w:hAnsi="Cambria Math"/>
            <w:color w:val="auto"/>
            <w:highlight w:val="none"/>
          </w:rPr>
          <m:t>t</m:t>
        </m:r>
      </m:oMath>
      <w:r>
        <w:rPr>
          <w:rFonts w:hint="eastAsia" w:ascii="宋体" w:hAnsi="宋体" w:eastAsia="宋体"/>
          <w:color w:val="auto"/>
          <w:highlight w:val="none"/>
        </w:rPr>
        <w:t>内，间接控制车轮消耗的能量应考虑在内，且所有直接控制车轮应处于防抱制动系统的控制下。</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使动力装置停止运转，或切断对储能装置的供能。</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在车辆静止状态下，对行车制动控制装置连续进行4次全行程促动。</w:t>
      </w:r>
    </w:p>
    <w:p>
      <w:pPr>
        <w:pStyle w:val="109"/>
        <w:spacing w:before="0" w:beforeLines="0" w:after="0" w:afterLines="0"/>
        <w:rPr>
          <w:rFonts w:hint="eastAsia" w:ascii="宋体" w:hAnsi="宋体" w:eastAsia="宋体"/>
          <w:vanish w:val="0"/>
          <w:color w:val="auto"/>
          <w:kern w:val="0"/>
          <w:highlight w:val="none"/>
        </w:rPr>
      </w:pPr>
      <w:r>
        <w:rPr>
          <w:rFonts w:hint="eastAsia" w:ascii="宋体" w:hAnsi="宋体" w:eastAsia="宋体"/>
          <w:color w:val="auto"/>
          <w:highlight w:val="none"/>
        </w:rPr>
        <w:t>当进行第5次制动时，应保证满载车辆至少能达到规定的应急制动性能。</w:t>
      </w:r>
    </w:p>
    <w:p>
      <w:pPr>
        <w:pStyle w:val="109"/>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应按6.5.</w:t>
      </w:r>
      <w:r>
        <w:rPr>
          <w:rFonts w:hint="eastAsia" w:ascii="宋体" w:hAnsi="宋体" w:eastAsia="宋体"/>
          <w:color w:val="auto"/>
          <w:highlight w:val="none"/>
          <w:lang w:eastAsia="zh-CN"/>
        </w:rPr>
        <w:t>3</w:t>
      </w:r>
      <w:r>
        <w:rPr>
          <w:rFonts w:hint="eastAsia" w:ascii="宋体" w:hAnsi="宋体" w:eastAsia="宋体"/>
          <w:color w:val="auto"/>
          <w:highlight w:val="none"/>
        </w:rPr>
        <w:t>.1所述方法用试验车辆测量路面附着系数。</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应在动力脱开且以怠速运转的状态下，以满载车辆进行制动试验。</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制动时间</w:t>
      </w:r>
      <m:oMath>
        <m:r>
          <m:rPr/>
          <w:rPr>
            <w:rFonts w:hint="eastAsia" w:ascii="Cambria Math" w:hAnsi="Cambria Math"/>
            <w:color w:val="auto"/>
            <w:highlight w:val="none"/>
          </w:rPr>
          <m:t>t</m:t>
        </m:r>
      </m:oMath>
      <w:r>
        <w:rPr>
          <w:rFonts w:hint="eastAsia" w:ascii="宋体" w:hAnsi="宋体" w:eastAsia="宋体"/>
          <w:color w:val="auto"/>
          <w:highlight w:val="none"/>
        </w:rPr>
        <w:t>应按</w:t>
      </w:r>
      <w:r>
        <w:rPr>
          <w:rFonts w:hint="eastAsia" w:ascii="宋体" w:hAnsi="宋体" w:eastAsia="宋体"/>
          <w:color w:val="auto"/>
          <w:highlight w:val="none"/>
          <w:lang w:val="en-US" w:eastAsia="zh-CN"/>
        </w:rPr>
        <w:t>公式（6）</w:t>
      </w:r>
      <w:r>
        <w:rPr>
          <w:rFonts w:hint="eastAsia" w:ascii="宋体" w:hAnsi="宋体" w:eastAsia="宋体"/>
          <w:color w:val="auto"/>
          <w:highlight w:val="none"/>
        </w:rPr>
        <w:t>计算,其中</w:t>
      </w:r>
      <m:oMath>
        <m:r>
          <m:rPr/>
          <w:rPr>
            <w:rFonts w:hint="eastAsia" w:ascii="Cambria Math" w:hAnsi="Cambria Math" w:eastAsia="宋体"/>
            <w:color w:val="auto"/>
            <w:highlight w:val="none"/>
          </w:rPr>
          <m:t>t</m:t>
        </m:r>
      </m:oMath>
      <w:r>
        <w:rPr>
          <w:rFonts w:hint="eastAsia" w:ascii="宋体" w:hAnsi="宋体" w:eastAsia="宋体"/>
          <w:color w:val="auto"/>
          <w:highlight w:val="none"/>
        </w:rPr>
        <w:t>不小于1</w:t>
      </w:r>
      <w:r>
        <w:rPr>
          <w:rFonts w:ascii="宋体" w:hAnsi="宋体" w:eastAsia="宋体"/>
          <w:color w:val="auto"/>
          <w:highlight w:val="none"/>
        </w:rPr>
        <w:t>5</w:t>
      </w:r>
      <w:r>
        <w:rPr>
          <w:rFonts w:hint="eastAsia"/>
          <w:color w:val="auto"/>
          <w:highlight w:val="none"/>
          <w:lang w:val="en-US" w:eastAsia="zh-CN"/>
        </w:rPr>
        <w:t> </w:t>
      </w:r>
      <w:r>
        <w:rPr>
          <w:rFonts w:hint="eastAsia" w:ascii="宋体" w:hAnsi="宋体" w:eastAsia="宋体"/>
          <w:color w:val="auto"/>
          <w:highlight w:val="none"/>
        </w:rPr>
        <w:t>s，</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v</m:t>
            </m:r>
            <m:ctrlPr>
              <w:rPr>
                <w:rFonts w:ascii="Cambria Math" w:hAnsi="Cambria Math" w:eastAsia="宋体"/>
                <w:color w:val="auto"/>
                <w:highlight w:val="none"/>
              </w:rPr>
            </m:ctrlPr>
          </m:e>
          <m:sub>
            <m:r>
              <m:rPr/>
              <w:rPr>
                <w:rFonts w:ascii="Cambria Math" w:hAnsi="Cambria Math" w:eastAsia="宋体"/>
                <w:color w:val="auto"/>
                <w:highlight w:val="none"/>
              </w:rPr>
              <m:t>max</m:t>
            </m:r>
            <m:ctrlPr>
              <w:rPr>
                <w:rFonts w:ascii="Cambria Math" w:hAnsi="Cambria Math" w:eastAsia="宋体"/>
                <w:color w:val="auto"/>
                <w:highlight w:val="none"/>
              </w:rPr>
            </m:ctrlPr>
          </m:sub>
        </m:sSub>
      </m:oMath>
      <w:r>
        <w:rPr>
          <w:rFonts w:hint="eastAsia" w:ascii="宋体" w:hAnsi="宋体" w:eastAsia="宋体"/>
          <w:color w:val="auto"/>
          <w:highlight w:val="none"/>
        </w:rPr>
        <w:t>不超过</w:t>
      </w:r>
      <m:oMath>
        <m:r>
          <m:rPr>
            <m:sty m:val="p"/>
          </m:rPr>
          <w:rPr>
            <w:rFonts w:ascii="Cambria Math" w:hAnsi="Cambria Math" w:eastAsia="宋体"/>
            <w:color w:val="auto"/>
            <w:highlight w:val="none"/>
          </w:rPr>
          <m:t>160</m:t>
        </m:r>
        <m:r>
          <m:rPr>
            <m:sty m:val="p"/>
          </m:rPr>
          <w:rPr>
            <w:rFonts w:hint="eastAsia"/>
            <w:color w:val="auto"/>
            <w:highlight w:val="none"/>
            <w:lang w:val="en-US" w:eastAsia="zh-CN"/>
          </w:rPr>
          <m:t> </m:t>
        </m:r>
        <m:r>
          <m:rPr/>
          <w:rPr>
            <w:rFonts w:ascii="Cambria Math" w:hAnsi="Cambria Math" w:eastAsia="宋体"/>
            <w:color w:val="auto"/>
            <w:highlight w:val="none"/>
          </w:rPr>
          <m:t>km</m:t>
        </m:r>
        <m:r>
          <m:rPr>
            <m:sty m:val="p"/>
          </m:rPr>
          <w:rPr>
            <w:rFonts w:ascii="Cambria Math" w:hAnsi="Cambria Math" w:eastAsia="宋体"/>
            <w:color w:val="auto"/>
            <w:highlight w:val="none"/>
          </w:rPr>
          <m:t>/</m:t>
        </m:r>
        <m:r>
          <m:rPr/>
          <w:rPr>
            <w:rFonts w:ascii="Cambria Math" w:hAnsi="Cambria Math" w:eastAsia="宋体"/>
            <w:color w:val="auto"/>
            <w:highlight w:val="none"/>
          </w:rPr>
          <m:t>ℎ</m:t>
        </m:r>
      </m:oMath>
      <w:r>
        <w:rPr>
          <w:rFonts w:hint="eastAsia" w:ascii="宋体" w:hAnsi="宋体" w:eastAsia="宋体"/>
          <w:color w:val="auto"/>
          <w:highlight w:val="none"/>
        </w:rPr>
        <w:t>：</w:t>
      </w:r>
    </w:p>
    <w:p>
      <w:pPr>
        <w:pStyle w:val="119"/>
        <w:tabs>
          <w:tab w:val="center" w:pos="4725"/>
          <w:tab w:val="right" w:leader="dot" w:pos="9450"/>
          <w:tab w:val="clear" w:pos="4678"/>
          <w:tab w:val="clear" w:pos="9356"/>
        </w:tabs>
        <w:rPr>
          <w:color w:val="auto"/>
          <w:highlight w:val="none"/>
        </w:rPr>
      </w:pPr>
      <w:r>
        <w:rPr>
          <w:color w:val="auto"/>
          <w:highlight w:val="none"/>
        </w:rPr>
        <w:tab/>
      </w:r>
      <m:oMath>
        <m:r>
          <m:rPr/>
          <w:rPr>
            <w:rFonts w:hint="eastAsia" w:ascii="Cambria Math" w:hAnsi="Cambria Math"/>
            <w:color w:val="auto"/>
            <w:highlight w:val="none"/>
          </w:rPr>
          <m:t>t</m:t>
        </m:r>
        <m:r>
          <m:rPr/>
          <w:rPr>
            <w:rFonts w:ascii="Cambria Math" w:hAnsi="Cambria Math"/>
            <w:color w:val="auto"/>
            <w:highlight w:val="none"/>
          </w:rPr>
          <m:t>=</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max</m:t>
                </m:r>
                <m:ctrlPr>
                  <w:rPr>
                    <w:rFonts w:ascii="Cambria Math" w:hAnsi="Cambria Math"/>
                    <w:i/>
                    <w:color w:val="auto"/>
                    <w:highlight w:val="none"/>
                  </w:rPr>
                </m:ctrlPr>
              </m:sub>
            </m:sSub>
            <m:ctrlPr>
              <w:rPr>
                <w:rFonts w:ascii="Cambria Math" w:hAnsi="Cambria Math"/>
                <w:i/>
                <w:color w:val="auto"/>
                <w:highlight w:val="none"/>
              </w:rPr>
            </m:ctrlPr>
          </m:num>
          <m:den>
            <m:r>
              <m:rPr/>
              <w:rPr>
                <w:rFonts w:ascii="Cambria Math" w:hAnsi="Cambria Math"/>
                <w:color w:val="auto"/>
                <w:highlight w:val="none"/>
              </w:rPr>
              <m:t>7</m:t>
            </m:r>
            <m:ctrlPr>
              <w:rPr>
                <w:rFonts w:ascii="Cambria Math" w:hAnsi="Cambria Math"/>
                <w:i/>
                <w:color w:val="auto"/>
                <w:highlight w:val="none"/>
              </w:rPr>
            </m:ctrlPr>
          </m:den>
        </m:f>
      </m:oMath>
      <w:r>
        <w:rPr>
          <w:rFonts w:ascii="微软雅黑" w:hAnsi="微软雅黑" w:eastAsia="微软雅黑"/>
          <w:color w:val="auto"/>
          <w:highlight w:val="none"/>
        </w:rPr>
        <w:tab/>
      </w:r>
      <w:r>
        <w:rPr>
          <w:color w:val="auto"/>
          <w:highlight w:val="none"/>
        </w:rPr>
        <w:t>(</w:t>
      </w:r>
      <w:r>
        <w:rPr>
          <w:rFonts w:hint="eastAsia"/>
          <w:color w:val="auto"/>
          <w:highlight w:val="none"/>
          <w:lang w:val="en-US" w:eastAsia="zh-CN"/>
        </w:rPr>
        <w:t>6</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840"/>
        </w:tabs>
        <w:ind w:firstLine="420"/>
        <w:rPr>
          <w:color w:val="auto"/>
          <w:highlight w:val="none"/>
        </w:rPr>
      </w:pPr>
      <m:oMath>
        <m:r>
          <m:rPr/>
          <w:rPr>
            <w:rFonts w:hint="eastAsia" w:ascii="Cambria Math" w:hAnsi="Cambria Math"/>
            <w:color w:val="auto"/>
            <w:highlight w:val="none"/>
          </w:rPr>
          <m:t>t</m:t>
        </m:r>
      </m:oMath>
      <w:r>
        <w:rPr>
          <w:rFonts w:hint="eastAsia" w:hAnsi="Cambria Math"/>
          <w:i w:val="0"/>
          <w:color w:val="auto"/>
          <w:highlight w:val="none"/>
          <w:lang w:val="en-US" w:eastAsia="zh-CN"/>
        </w:rPr>
        <w:tab/>
      </w:r>
      <w:r>
        <w:rPr>
          <w:rFonts w:hint="eastAsia"/>
          <w:color w:val="auto"/>
          <w:highlight w:val="none"/>
        </w:rPr>
        <w:t>——时间间隔</w:t>
      </w:r>
      <w:r>
        <w:rPr>
          <w:rFonts w:hint="eastAsia"/>
          <w:color w:val="auto"/>
          <w:highlight w:val="none"/>
          <w:lang w:val="en-US" w:eastAsia="zh-CN"/>
        </w:rPr>
        <w:t>的数值</w:t>
      </w:r>
      <w:r>
        <w:rPr>
          <w:rFonts w:hint="eastAsia"/>
          <w:color w:val="auto"/>
          <w:highlight w:val="none"/>
        </w:rPr>
        <w:t>，单位为秒</w:t>
      </w:r>
      <m:oMath>
        <m:d>
          <m:dPr>
            <m:ctrlPr>
              <w:rPr>
                <w:rFonts w:ascii="Cambria Math" w:hAnsi="Cambria Math"/>
                <w:i/>
                <w:color w:val="auto"/>
                <w:highlight w:val="none"/>
              </w:rPr>
            </m:ctrlPr>
          </m:dPr>
          <m:e>
            <m:r>
              <m:rPr/>
              <w:rPr>
                <w:rFonts w:hint="eastAsia" w:ascii="Cambria Math" w:hAnsi="Cambria Math"/>
                <w:color w:val="auto"/>
                <w:highlight w:val="none"/>
              </w:rPr>
              <m:t>s</m:t>
            </m:r>
            <m:ctrlPr>
              <w:rPr>
                <w:rFonts w:ascii="Cambria Math" w:hAnsi="Cambria Math"/>
                <w:i/>
                <w:color w:val="auto"/>
                <w:highlight w:val="none"/>
              </w:rPr>
            </m:ctrlPr>
          </m:e>
        </m:d>
      </m:oMath>
      <w:r>
        <w:rPr>
          <w:rFonts w:hint="eastAsia"/>
          <w:color w:val="auto"/>
          <w:highlight w:val="none"/>
        </w:rPr>
        <w:t>；</w:t>
      </w:r>
    </w:p>
    <w:p>
      <w:pPr>
        <w:pStyle w:val="62"/>
        <w:tabs>
          <w:tab w:val="left" w:pos="840"/>
        </w:tabs>
        <w:ind w:firstLine="420"/>
        <w:rPr>
          <w:rFonts w:hAnsi="宋体"/>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max</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——最高设计车速</w:t>
      </w:r>
      <w:r>
        <w:rPr>
          <w:rFonts w:hint="eastAsia"/>
          <w:color w:val="auto"/>
          <w:highlight w:val="none"/>
          <w:lang w:val="en-US" w:eastAsia="zh-CN"/>
        </w:rPr>
        <w:t>的数值</w:t>
      </w:r>
      <w:r>
        <w:rPr>
          <w:rFonts w:hint="eastAsia"/>
          <w:color w:val="auto"/>
          <w:highlight w:val="none"/>
        </w:rPr>
        <w:t>，单位为千米每小时</w:t>
      </w:r>
      <m:oMath>
        <m:d>
          <m:dPr>
            <m:ctrlPr>
              <w:rPr>
                <w:rFonts w:ascii="Cambria Math" w:hAnsi="Cambria Math"/>
                <w:i/>
                <w:color w:val="auto"/>
                <w:highlight w:val="none"/>
              </w:rPr>
            </m:ctrlPr>
          </m:dPr>
          <m:e>
            <m:r>
              <m:rPr/>
              <w:rPr>
                <w:rFonts w:hint="eastAsia" w:ascii="Cambria Math" w:hAnsi="Cambria Math"/>
                <w:color w:val="auto"/>
                <w:highlight w:val="none"/>
              </w:rPr>
              <m:t>km</m:t>
            </m:r>
            <m:r>
              <m:rPr/>
              <w:rPr>
                <w:rFonts w:ascii="Cambria Math" w:hAnsi="Cambria Math"/>
                <w:color w:val="auto"/>
                <w:highlight w:val="none"/>
              </w:rPr>
              <m:t>/ℎ</m:t>
            </m:r>
            <m:ctrlPr>
              <w:rPr>
                <w:rFonts w:ascii="Cambria Math" w:hAnsi="Cambria Math"/>
                <w:i/>
                <w:color w:val="auto"/>
                <w:highlight w:val="none"/>
              </w:rPr>
            </m:ctrlPr>
          </m:e>
        </m:d>
      </m:oMath>
      <w:r>
        <w:rPr>
          <w:rFonts w:hint="eastAsia"/>
          <w:color w:val="auto"/>
          <w:highlight w:val="none"/>
        </w:rPr>
        <w:t>。</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如一次制动的时间达不到</w:t>
      </w:r>
      <m:oMath>
        <m:r>
          <m:rPr/>
          <w:rPr>
            <w:rFonts w:hint="eastAsia" w:ascii="Cambria Math" w:hAnsi="Cambria Math"/>
            <w:color w:val="auto"/>
            <w:highlight w:val="none"/>
          </w:rPr>
          <m:t>t</m:t>
        </m:r>
      </m:oMath>
      <w:r>
        <w:rPr>
          <w:rFonts w:hint="eastAsia" w:ascii="宋体" w:hAnsi="宋体" w:eastAsia="宋体"/>
          <w:color w:val="auto"/>
          <w:highlight w:val="none"/>
        </w:rPr>
        <w:t>值，允许最多分4个阶段进行制动。各阶段制动之间不应补充能量。从第2阶段起，对应于开始制动时的能量消耗，从6.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.1.</w:t>
      </w:r>
      <w:r>
        <w:rPr>
          <w:rFonts w:ascii="宋体" w:hAnsi="宋体" w:eastAsia="宋体"/>
          <w:color w:val="auto"/>
          <w:highlight w:val="none"/>
        </w:rPr>
        <w:t>2</w:t>
      </w:r>
      <w:r>
        <w:rPr>
          <w:rFonts w:hint="eastAsia" w:ascii="宋体" w:hAnsi="宋体" w:eastAsia="宋体"/>
          <w:color w:val="auto"/>
          <w:highlight w:val="none"/>
        </w:rPr>
        <w:t>.4、6.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.1.</w:t>
      </w:r>
      <w:r>
        <w:rPr>
          <w:rFonts w:ascii="宋体" w:hAnsi="宋体" w:eastAsia="宋体"/>
          <w:color w:val="auto"/>
          <w:highlight w:val="none"/>
        </w:rPr>
        <w:t>2</w:t>
      </w:r>
      <w:r>
        <w:rPr>
          <w:rFonts w:hint="eastAsia" w:ascii="宋体" w:hAnsi="宋体" w:eastAsia="宋体"/>
          <w:color w:val="auto"/>
          <w:highlight w:val="none"/>
        </w:rPr>
        <w:t>.5和6.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.1.</w:t>
      </w:r>
      <w:r>
        <w:rPr>
          <w:rFonts w:hint="eastAsia" w:ascii="宋体" w:hAnsi="宋体" w:eastAsia="宋体"/>
          <w:color w:val="auto"/>
          <w:highlight w:val="none"/>
          <w:lang w:val="en-US" w:eastAsia="zh-CN"/>
        </w:rPr>
        <w:t>2</w:t>
      </w:r>
      <w:r>
        <w:rPr>
          <w:rFonts w:hint="eastAsia" w:ascii="宋体" w:hAnsi="宋体" w:eastAsia="宋体"/>
          <w:color w:val="auto"/>
          <w:highlight w:val="none"/>
        </w:rPr>
        <w:t>.</w:t>
      </w:r>
      <w:r>
        <w:rPr>
          <w:rFonts w:hint="eastAsia" w:ascii="宋体" w:hAnsi="宋体" w:eastAsia="宋体"/>
          <w:color w:val="auto"/>
          <w:highlight w:val="none"/>
          <w:lang w:val="en-US" w:eastAsia="zh-CN"/>
        </w:rPr>
        <w:t>10</w:t>
      </w:r>
      <w:r>
        <w:rPr>
          <w:rFonts w:hint="eastAsia" w:ascii="宋体" w:hAnsi="宋体" w:eastAsia="宋体"/>
          <w:color w:val="auto"/>
          <w:highlight w:val="none"/>
        </w:rPr>
        <w:t>规定的4次全行程促动中减去1次，该规定对6.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.1.</w:t>
      </w:r>
      <w:r>
        <w:rPr>
          <w:rFonts w:ascii="宋体" w:hAnsi="宋体" w:eastAsia="宋体"/>
          <w:color w:val="auto"/>
          <w:highlight w:val="none"/>
        </w:rPr>
        <w:t>2</w:t>
      </w:r>
      <w:r>
        <w:rPr>
          <w:rFonts w:hint="eastAsia" w:ascii="宋体" w:hAnsi="宋体" w:eastAsia="宋体"/>
          <w:color w:val="auto"/>
          <w:highlight w:val="none"/>
        </w:rPr>
        <w:t>规定试验的第2、3、4各阶段制动均适用。</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在车辆静止状态下进行4次全行程促动后，如储能装置内的能量大于等于满载车辆应急制动所要求的能量水平，应认为满足6.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.1.</w:t>
      </w:r>
      <w:r>
        <w:rPr>
          <w:rFonts w:ascii="宋体" w:hAnsi="宋体" w:eastAsia="宋体"/>
          <w:color w:val="auto"/>
          <w:highlight w:val="none"/>
        </w:rPr>
        <w:t>2</w:t>
      </w:r>
      <w:r>
        <w:rPr>
          <w:rFonts w:hint="eastAsia" w:ascii="宋体" w:hAnsi="宋体" w:eastAsia="宋体"/>
          <w:color w:val="auto"/>
          <w:highlight w:val="none"/>
        </w:rPr>
        <w:t>.5规定的性能要求。</w:t>
      </w:r>
    </w:p>
    <w:p>
      <w:pPr>
        <w:pStyle w:val="100"/>
        <w:spacing w:before="156" w:after="156"/>
        <w:rPr>
          <w:color w:val="auto"/>
          <w:highlight w:val="none"/>
        </w:rPr>
      </w:pPr>
      <w:r>
        <w:rPr>
          <w:rFonts w:hint="eastAsia"/>
          <w:color w:val="auto"/>
          <w:highlight w:val="none"/>
        </w:rPr>
        <w:t>附着系数利用率</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防抱制动系统的附着系数利用率</w:t>
      </w:r>
      <m:oMath>
        <m:r>
          <m:rPr/>
          <w:rPr>
            <w:rFonts w:hint="eastAsia" w:ascii="Cambria Math" w:hAnsi="Cambria Math" w:eastAsia="宋体"/>
            <w:color w:val="auto"/>
            <w:highlight w:val="none"/>
          </w:rPr>
          <m:t>ε</m:t>
        </m:r>
      </m:oMath>
      <w:r>
        <w:rPr>
          <w:rFonts w:hint="eastAsia" w:ascii="宋体" w:hAnsi="宋体" w:eastAsia="宋体"/>
          <w:color w:val="auto"/>
          <w:highlight w:val="none"/>
        </w:rPr>
        <w:t>应考虑实际制动距离要超过理论最小值。若满足</w:t>
      </w:r>
      <m:oMath>
        <m:r>
          <m:rPr/>
          <w:rPr>
            <w:rFonts w:ascii="Cambria Math" w:hAnsi="Cambria Math"/>
            <w:color w:val="auto"/>
            <w:highlight w:val="none"/>
          </w:rPr>
          <m:t>ε</m:t>
        </m:r>
      </m:oMath>
      <w:r>
        <w:rPr>
          <w:rFonts w:hint="eastAsia" w:ascii="宋体" w:hAnsi="宋体" w:eastAsia="宋体"/>
          <w:color w:val="auto"/>
          <w:highlight w:val="none"/>
        </w:rPr>
        <w:t>≥0.75这一条件，则认为防抱制动系统符合要求，</w:t>
      </w:r>
      <m:oMath>
        <m:r>
          <m:rPr/>
          <w:rPr>
            <w:rFonts w:ascii="Cambria Math" w:hAnsi="Cambria Math"/>
            <w:color w:val="auto"/>
            <w:highlight w:val="none"/>
          </w:rPr>
          <m:t>ε</m:t>
        </m:r>
      </m:oMath>
      <w:r>
        <w:rPr>
          <w:rFonts w:hint="eastAsia" w:ascii="宋体" w:hAnsi="宋体" w:eastAsia="宋体"/>
          <w:color w:val="auto"/>
          <w:highlight w:val="none"/>
        </w:rPr>
        <w:t>为6.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.2定义的附着系数利用率。</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附着系数利用率</w:t>
      </w:r>
      <m:oMath>
        <m:r>
          <m:rPr/>
          <w:rPr>
            <w:rFonts w:ascii="Cambria Math" w:hAnsi="Cambria Math"/>
            <w:color w:val="auto"/>
            <w:highlight w:val="none"/>
          </w:rPr>
          <m:t>ε</m:t>
        </m:r>
      </m:oMath>
      <w:r>
        <w:rPr>
          <w:rFonts w:hint="eastAsia" w:ascii="宋体" w:hAnsi="宋体" w:eastAsia="宋体"/>
          <w:color w:val="auto"/>
          <w:highlight w:val="none"/>
        </w:rPr>
        <w:t>应在附着系数小于等于0.3和约为0.8（干路面）的两种路面上以50</w:t>
      </w:r>
      <w:r>
        <w:rPr>
          <w:rFonts w:hint="eastAsia"/>
          <w:color w:val="auto"/>
          <w:highlight w:val="none"/>
          <w:lang w:val="en-US" w:eastAsia="zh-CN"/>
        </w:rPr>
        <w:t> </w:t>
      </w:r>
      <w:r>
        <w:rPr>
          <w:rFonts w:hint="eastAsia" w:ascii="宋体" w:hAnsi="宋体" w:eastAsia="宋体"/>
          <w:color w:val="auto"/>
          <w:highlight w:val="none"/>
        </w:rPr>
        <w:t>km/h的初速度进行测定。为消除制动器温度不同的影响，建议先测定</w:t>
      </w: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AL</m:t>
            </m:r>
            <m:ctrlPr>
              <w:rPr>
                <w:rFonts w:ascii="Cambria Math" w:hAnsi="Cambria Math"/>
                <w:i/>
                <w:color w:val="auto"/>
                <w:highlight w:val="none"/>
              </w:rPr>
            </m:ctrlPr>
          </m:sub>
        </m:sSub>
      </m:oMath>
      <w:r>
        <w:rPr>
          <w:rFonts w:hint="eastAsia" w:ascii="宋体" w:hAnsi="宋体" w:eastAsia="宋体"/>
          <w:color w:val="auto"/>
          <w:highlight w:val="none"/>
        </w:rPr>
        <w:t>再测定</w:t>
      </w:r>
      <m:oMath>
        <m:r>
          <m:rPr/>
          <w:rPr>
            <w:rFonts w:ascii="Cambria Math" w:hAnsi="Cambria Math"/>
            <w:color w:val="auto"/>
            <w:highlight w:val="none"/>
          </w:rPr>
          <m:t>k</m:t>
        </m:r>
      </m:oMath>
      <w:r>
        <w:rPr>
          <w:rFonts w:hint="eastAsia" w:ascii="宋体" w:hAnsi="宋体" w:eastAsia="宋体"/>
          <w:color w:val="auto"/>
          <w:highlight w:val="none"/>
        </w:rPr>
        <w:t>。</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测定附着系数</w:t>
      </w:r>
      <m:oMath>
        <m:r>
          <m:rPr/>
          <w:rPr>
            <w:rFonts w:ascii="Cambria Math" w:hAnsi="Cambria Math"/>
            <w:color w:val="auto"/>
            <w:highlight w:val="none"/>
          </w:rPr>
          <m:t>k</m:t>
        </m:r>
      </m:oMath>
      <w:r>
        <w:rPr>
          <w:rFonts w:hint="eastAsia" w:ascii="宋体" w:hAnsi="宋体" w:eastAsia="宋体"/>
          <w:color w:val="auto"/>
          <w:highlight w:val="none"/>
        </w:rPr>
        <w:t>的试验程序和附着系数利用率</w:t>
      </w:r>
      <m:oMath>
        <m:r>
          <m:rPr/>
          <w:rPr>
            <w:rFonts w:ascii="Cambria Math" w:hAnsi="Cambria Math"/>
            <w:color w:val="auto"/>
            <w:highlight w:val="none"/>
          </w:rPr>
          <m:t>ε</m:t>
        </m:r>
      </m:oMath>
      <w:r>
        <w:rPr>
          <w:rFonts w:hint="eastAsia" w:ascii="宋体" w:hAnsi="宋体" w:eastAsia="宋体"/>
          <w:color w:val="auto"/>
          <w:highlight w:val="none"/>
        </w:rPr>
        <w:t>的计算公式见6.</w:t>
      </w:r>
      <w:r>
        <w:rPr>
          <w:rFonts w:hint="eastAsia" w:ascii="宋体" w:hAnsi="宋体" w:eastAsia="宋体"/>
          <w:color w:val="auto"/>
          <w:highlight w:val="none"/>
          <w:lang w:val="en-US" w:eastAsia="zh-CN"/>
        </w:rPr>
        <w:t>5</w:t>
      </w: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应对整车的附着系数利用率进行检验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应在车辆满载和空载两种状态下，</w:t>
      </w:r>
      <w:r>
        <w:rPr>
          <w:rFonts w:hint="eastAsia" w:ascii="宋体" w:hAnsi="宋体" w:eastAsia="宋体"/>
          <w:color w:val="auto"/>
          <w:highlight w:val="none"/>
          <w:lang w:val="en-US" w:eastAsia="zh-CN"/>
        </w:rPr>
        <w:t>检验</w:t>
      </w:r>
      <w:r>
        <w:rPr>
          <w:rFonts w:hint="eastAsia" w:ascii="宋体" w:hAnsi="宋体" w:eastAsia="宋体"/>
          <w:color w:val="auto"/>
          <w:highlight w:val="none"/>
        </w:rPr>
        <w:t>附着系数利用率</w:t>
      </w:r>
      <m:oMath>
        <m:r>
          <m:rPr/>
          <w:rPr>
            <w:rFonts w:ascii="Cambria Math" w:hAnsi="Cambria Math"/>
            <w:color w:val="auto"/>
            <w:highlight w:val="none"/>
          </w:rPr>
          <m:t>ε</m:t>
        </m:r>
      </m:oMath>
      <w:r>
        <w:rPr>
          <w:rFonts w:hint="eastAsia" w:ascii="宋体" w:hAnsi="宋体" w:eastAsia="宋体"/>
          <w:i w:val="0"/>
          <w:color w:val="auto"/>
          <w:highlight w:val="none"/>
          <w:lang w:val="en-US" w:eastAsia="zh-CN"/>
        </w:rPr>
        <w:t>大于等于0.75</w:t>
      </w:r>
      <w:r>
        <w:rPr>
          <w:rStyle w:val="39"/>
          <w:color w:val="auto"/>
          <w:highlight w:val="none"/>
        </w:rPr>
        <w:footnoteReference w:id="8"/>
      </w:r>
      <w:r>
        <w:rPr>
          <w:rStyle w:val="39"/>
          <w:color w:val="auto"/>
          <w:highlight w:val="none"/>
        </w:rPr>
        <w:t>)</w:t>
      </w:r>
      <w:r>
        <w:rPr>
          <w:rFonts w:hint="eastAsia" w:eastAsia="宋体"/>
          <w:color w:val="auto"/>
          <w:highlight w:val="none"/>
          <w:lang w:eastAsia="zh-CN"/>
        </w:rPr>
        <w:t>。</w:t>
      </w:r>
    </w:p>
    <w:p>
      <w:pPr>
        <w:pStyle w:val="62"/>
        <w:ind w:firstLine="420"/>
        <w:rPr>
          <w:color w:val="auto"/>
          <w:highlight w:val="none"/>
        </w:rPr>
      </w:pPr>
      <w:r>
        <w:rPr>
          <w:rFonts w:hint="eastAsia"/>
          <w:color w:val="auto"/>
          <w:highlight w:val="none"/>
        </w:rPr>
        <w:t>在高附着系数路面上进行满载试验时，如规定的控制力不能使防抱制动系统实现全循环，可省略该试验。</w:t>
      </w:r>
    </w:p>
    <w:p>
      <w:pPr>
        <w:pStyle w:val="62"/>
        <w:ind w:firstLine="420"/>
        <w:rPr>
          <w:color w:val="auto"/>
          <w:highlight w:val="none"/>
        </w:rPr>
      </w:pPr>
      <w:r>
        <w:rPr>
          <w:rFonts w:hint="eastAsia"/>
          <w:color w:val="auto"/>
          <w:highlight w:val="none"/>
        </w:rPr>
        <w:t>对空载试验，如全力</w:t>
      </w:r>
      <w:r>
        <w:rPr>
          <w:rStyle w:val="39"/>
          <w:color w:val="auto"/>
          <w:highlight w:val="none"/>
        </w:rPr>
        <w:footnoteReference w:id="9"/>
      </w:r>
      <w:r>
        <w:rPr>
          <w:rStyle w:val="39"/>
          <w:color w:val="auto"/>
          <w:highlight w:val="none"/>
        </w:rPr>
        <w:t>)</w:t>
      </w:r>
      <w:r>
        <w:rPr>
          <w:rFonts w:hint="eastAsia"/>
          <w:color w:val="auto"/>
          <w:highlight w:val="none"/>
        </w:rPr>
        <w:t>制动时不能实现全循环，可将控制力增加到1000</w:t>
      </w:r>
      <w:r>
        <w:rPr>
          <w:rFonts w:hint="eastAsia"/>
          <w:color w:val="auto"/>
          <w:highlight w:val="none"/>
          <w:lang w:val="en-US" w:eastAsia="zh-CN"/>
        </w:rPr>
        <w:t> </w:t>
      </w:r>
      <w:r>
        <w:rPr>
          <w:rFonts w:hint="eastAsia"/>
          <w:color w:val="auto"/>
          <w:highlight w:val="none"/>
        </w:rPr>
        <w:t>N；如超过1000</w:t>
      </w:r>
      <w:r>
        <w:rPr>
          <w:rFonts w:hint="eastAsia"/>
          <w:color w:val="auto"/>
          <w:highlight w:val="none"/>
          <w:lang w:val="en-US" w:eastAsia="zh-CN"/>
        </w:rPr>
        <w:t> </w:t>
      </w:r>
      <w:r>
        <w:rPr>
          <w:rFonts w:hint="eastAsia"/>
          <w:color w:val="auto"/>
          <w:highlight w:val="none"/>
        </w:rPr>
        <w:t>N还不足以使系统全循环，可省略该试验。</w:t>
      </w:r>
    </w:p>
    <w:p>
      <w:pPr>
        <w:pStyle w:val="100"/>
        <w:spacing w:before="156" w:after="156"/>
        <w:rPr>
          <w:color w:val="auto"/>
          <w:highlight w:val="none"/>
        </w:rPr>
      </w:pPr>
      <w:r>
        <w:rPr>
          <w:rFonts w:hint="eastAsia"/>
          <w:color w:val="auto"/>
          <w:highlight w:val="none"/>
        </w:rPr>
        <w:t>附加检查</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应在动力脱开状态下，车辆满载和空载两种条件下进行</w:t>
      </w:r>
      <w:r>
        <w:rPr>
          <w:rFonts w:ascii="宋体" w:hAnsi="宋体" w:eastAsia="宋体"/>
          <w:color w:val="auto"/>
          <w:highlight w:val="none"/>
        </w:rPr>
        <w:t>6.5.</w:t>
      </w:r>
      <w:r>
        <w:rPr>
          <w:rFonts w:hint="eastAsia" w:ascii="宋体" w:hAnsi="宋体" w:eastAsia="宋体"/>
          <w:color w:val="auto"/>
          <w:highlight w:val="none"/>
          <w:lang w:val="en-US" w:eastAsia="zh-CN"/>
        </w:rPr>
        <w:t>2</w:t>
      </w:r>
      <w:r>
        <w:rPr>
          <w:rFonts w:ascii="宋体" w:hAnsi="宋体" w:eastAsia="宋体"/>
          <w:color w:val="auto"/>
          <w:highlight w:val="none"/>
        </w:rPr>
        <w:t>.3.2</w:t>
      </w:r>
      <w:r>
        <w:rPr>
          <w:rFonts w:hint="eastAsia" w:ascii="宋体" w:hAnsi="宋体" w:eastAsia="宋体"/>
          <w:color w:val="auto"/>
          <w:highlight w:val="none"/>
        </w:rPr>
        <w:t>～</w:t>
      </w:r>
      <w:r>
        <w:rPr>
          <w:rFonts w:ascii="宋体" w:hAnsi="宋体" w:eastAsia="宋体"/>
          <w:color w:val="auto"/>
          <w:highlight w:val="none"/>
        </w:rPr>
        <w:t>6.5.</w:t>
      </w:r>
      <w:r>
        <w:rPr>
          <w:rFonts w:hint="eastAsia" w:ascii="宋体" w:hAnsi="宋体" w:eastAsia="宋体"/>
          <w:color w:val="auto"/>
          <w:highlight w:val="none"/>
          <w:lang w:val="en-US" w:eastAsia="zh-CN"/>
        </w:rPr>
        <w:t>2</w:t>
      </w:r>
      <w:r>
        <w:rPr>
          <w:rFonts w:ascii="宋体" w:hAnsi="宋体" w:eastAsia="宋体"/>
          <w:color w:val="auto"/>
          <w:highlight w:val="none"/>
        </w:rPr>
        <w:t>.3.8</w:t>
      </w:r>
      <w:r>
        <w:rPr>
          <w:rFonts w:hint="eastAsia" w:ascii="宋体" w:hAnsi="宋体" w:eastAsia="宋体"/>
          <w:color w:val="auto"/>
          <w:highlight w:val="none"/>
        </w:rPr>
        <w:t>规定的附加检查。</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.2.2规定的路面上，以40</w:t>
      </w:r>
      <w:r>
        <w:rPr>
          <w:rFonts w:hint="eastAsia"/>
          <w:color w:val="auto"/>
          <w:highlight w:val="none"/>
          <w:lang w:val="en-US" w:eastAsia="zh-CN"/>
        </w:rPr>
        <w:t> </w:t>
      </w:r>
      <w:r>
        <w:rPr>
          <w:rFonts w:hint="eastAsia" w:ascii="宋体" w:hAnsi="宋体" w:eastAsia="宋体"/>
          <w:color w:val="auto"/>
          <w:highlight w:val="none"/>
        </w:rPr>
        <w:t>km/h和</w:t>
      </w:r>
      <w:r>
        <w:rPr>
          <w:rFonts w:hint="eastAsia" w:ascii="宋体" w:hAnsi="宋体" w:eastAsia="宋体"/>
          <w:color w:val="auto"/>
          <w:highlight w:val="none"/>
          <w:lang w:val="en-US" w:eastAsia="zh-CN"/>
        </w:rPr>
        <w:t>最高车速的80%，但不超过120</w:t>
      </w:r>
      <w:r>
        <w:rPr>
          <w:rFonts w:hint="eastAsia"/>
          <w:color w:val="auto"/>
          <w:highlight w:val="none"/>
          <w:lang w:val="en-US" w:eastAsia="zh-CN"/>
        </w:rPr>
        <w:t> </w:t>
      </w:r>
      <w:r>
        <w:rPr>
          <w:rFonts w:hint="eastAsia" w:ascii="宋体" w:hAnsi="宋体" w:eastAsia="宋体"/>
          <w:color w:val="auto"/>
          <w:highlight w:val="none"/>
          <w:lang w:val="en-US" w:eastAsia="zh-CN"/>
        </w:rPr>
        <w:t>km/h</w:t>
      </w:r>
      <w:r>
        <w:rPr>
          <w:rFonts w:hint="eastAsia" w:ascii="宋体" w:hAnsi="宋体" w:eastAsia="宋体"/>
          <w:color w:val="auto"/>
          <w:highlight w:val="none"/>
        </w:rPr>
        <w:t>的初速度全力制动时，由防抱制动系统直接控制的车轮不应抱死。</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在试验车轴从高附着系数</w:t>
      </w:r>
      <m:oMath>
        <m:d>
          <m:dPr>
            <m:ctrlPr>
              <w:rPr>
                <w:rFonts w:ascii="Cambria Math" w:hAnsi="Cambria Math"/>
                <w:i/>
                <w:color w:val="auto"/>
                <w:highlight w:val="none"/>
              </w:rPr>
            </m:ctrlPr>
          </m:dPr>
          <m:e>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ctrlPr>
              <w:rPr>
                <w:rFonts w:ascii="Cambria Math" w:hAnsi="Cambria Math"/>
                <w:i/>
                <w:color w:val="auto"/>
                <w:highlight w:val="none"/>
              </w:rPr>
            </m:ctrlPr>
          </m:e>
        </m:d>
      </m:oMath>
      <w:r>
        <w:rPr>
          <w:rFonts w:hint="eastAsia" w:ascii="宋体" w:hAnsi="宋体" w:eastAsia="宋体"/>
          <w:color w:val="auto"/>
          <w:highlight w:val="none"/>
        </w:rPr>
        <w:t>路面驶向低附着系数</w:t>
      </w:r>
      <m:oMath>
        <m:d>
          <m:dPr>
            <m:ctrlPr>
              <w:rPr>
                <w:rFonts w:ascii="Cambria Math" w:hAnsi="Cambria Math"/>
                <w:i/>
                <w:color w:val="auto"/>
                <w:highlight w:val="none"/>
              </w:rPr>
            </m:ctrlPr>
          </m:dPr>
          <m:e>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ctrlPr>
              <w:rPr>
                <w:rFonts w:ascii="Cambria Math" w:hAnsi="Cambria Math"/>
                <w:i/>
                <w:color w:val="auto"/>
                <w:highlight w:val="none"/>
              </w:rPr>
            </m:ctrlPr>
          </m:e>
        </m:d>
      </m:oMath>
      <w:r>
        <w:rPr>
          <w:rFonts w:hint="eastAsia" w:ascii="宋体" w:hAnsi="宋体" w:eastAsia="宋体"/>
          <w:color w:val="auto"/>
          <w:highlight w:val="none"/>
        </w:rPr>
        <w:t>路面时全力制动，直接控制车轮不应抱死，其中</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ascii="宋体" w:hAnsi="宋体" w:eastAsia="宋体"/>
          <w:color w:val="auto"/>
          <w:highlight w:val="none"/>
          <w:lang w:val="en-US" w:eastAsia="zh-CN"/>
        </w:rPr>
        <w:t>大于等于</w:t>
      </w:r>
      <w:r>
        <w:rPr>
          <w:rFonts w:hint="eastAsia" w:ascii="宋体" w:hAnsi="宋体" w:eastAsia="宋体"/>
          <w:color w:val="auto"/>
          <w:highlight w:val="none"/>
        </w:rPr>
        <w:t>0.5且</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ascii="宋体" w:hAnsi="宋体" w:eastAsia="宋体"/>
          <w:color w:val="auto"/>
          <w:highlight w:val="none"/>
          <w:lang w:val="en-US" w:eastAsia="zh-CN"/>
        </w:rPr>
        <w:t>大于等于</w:t>
      </w:r>
      <w:r>
        <w:rPr>
          <w:rFonts w:hint="eastAsia" w:ascii="宋体" w:hAnsi="宋体" w:eastAsia="宋体"/>
          <w:color w:val="auto"/>
          <w:highlight w:val="none"/>
        </w:rPr>
        <w:t>2。行驶车速和进行制动的时机应确保防抱制动系统能在高附着系数路面上全循环，车辆以6.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.3.</w:t>
      </w:r>
      <w:r>
        <w:rPr>
          <w:rFonts w:ascii="宋体" w:hAnsi="宋体" w:eastAsia="宋体"/>
          <w:color w:val="auto"/>
          <w:highlight w:val="none"/>
        </w:rPr>
        <w:t>2</w:t>
      </w:r>
      <w:r>
        <w:rPr>
          <w:rFonts w:hint="eastAsia" w:ascii="宋体" w:hAnsi="宋体" w:eastAsia="宋体"/>
          <w:color w:val="auto"/>
          <w:highlight w:val="none"/>
        </w:rPr>
        <w:t>规定的高、低两种初速度从高附着系数路面驶入低附着系数路面。</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在车辆从低附着系数</w:t>
      </w:r>
      <m:oMath>
        <m:d>
          <m:dPr>
            <m:ctrlPr>
              <w:rPr>
                <w:rFonts w:ascii="Cambria Math" w:hAnsi="Cambria Math"/>
                <w:i/>
                <w:color w:val="auto"/>
                <w:highlight w:val="none"/>
              </w:rPr>
            </m:ctrlPr>
          </m:dPr>
          <m:e>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ctrlPr>
              <w:rPr>
                <w:rFonts w:ascii="Cambria Math" w:hAnsi="Cambria Math"/>
                <w:i/>
                <w:color w:val="auto"/>
                <w:highlight w:val="none"/>
              </w:rPr>
            </m:ctrlPr>
          </m:e>
        </m:d>
      </m:oMath>
      <w:r>
        <w:rPr>
          <w:rFonts w:hint="eastAsia" w:ascii="宋体" w:hAnsi="宋体" w:eastAsia="宋体"/>
          <w:color w:val="auto"/>
          <w:highlight w:val="none"/>
        </w:rPr>
        <w:t>路面驶向高附着系数</w:t>
      </w:r>
      <m:oMath>
        <m:d>
          <m:dPr>
            <m:ctrlPr>
              <w:rPr>
                <w:rFonts w:ascii="Cambria Math" w:hAnsi="Cambria Math"/>
                <w:i/>
                <w:color w:val="auto"/>
                <w:highlight w:val="none"/>
              </w:rPr>
            </m:ctrlPr>
          </m:dPr>
          <m:e>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ctrlPr>
              <w:rPr>
                <w:rFonts w:ascii="Cambria Math" w:hAnsi="Cambria Math"/>
                <w:i/>
                <w:color w:val="auto"/>
                <w:highlight w:val="none"/>
              </w:rPr>
            </m:ctrlPr>
          </m:e>
        </m:d>
      </m:oMath>
      <w:r>
        <w:rPr>
          <w:rFonts w:hint="eastAsia" w:ascii="宋体" w:hAnsi="宋体" w:eastAsia="宋体"/>
          <w:color w:val="auto"/>
          <w:highlight w:val="none"/>
        </w:rPr>
        <w:t>路面时全力制动，车辆的减速度应在合适的时间内上升到一个适当大的值，同时车辆不应偏离原来的行驶路线，其中</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ascii="宋体" w:hAnsi="宋体" w:eastAsia="宋体"/>
          <w:color w:val="auto"/>
          <w:highlight w:val="none"/>
          <w:lang w:val="en-US" w:eastAsia="zh-CN"/>
        </w:rPr>
        <w:t>大于等于</w:t>
      </w:r>
      <w:r>
        <w:rPr>
          <w:rFonts w:hint="eastAsia" w:ascii="宋体" w:hAnsi="宋体" w:eastAsia="宋体"/>
          <w:color w:val="auto"/>
          <w:highlight w:val="none"/>
        </w:rPr>
        <w:t>0.5和</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ascii="宋体" w:hAnsi="宋体" w:eastAsia="宋体"/>
          <w:color w:val="auto"/>
          <w:highlight w:val="none"/>
          <w:lang w:val="en-US" w:eastAsia="zh-CN"/>
        </w:rPr>
        <w:t>大于等于</w:t>
      </w:r>
      <w:r>
        <w:rPr>
          <w:rFonts w:hint="eastAsia" w:ascii="宋体" w:hAnsi="宋体" w:eastAsia="宋体"/>
          <w:color w:val="auto"/>
          <w:highlight w:val="none"/>
        </w:rPr>
        <w:t>2。行驶车速和制动时机应确保防抱制动系统能在低附着系数路面上全循环，车辆以50</w:t>
      </w:r>
      <w:r>
        <w:rPr>
          <w:rFonts w:hint="eastAsia"/>
          <w:color w:val="auto"/>
          <w:highlight w:val="none"/>
          <w:lang w:val="en-US" w:eastAsia="zh-CN"/>
        </w:rPr>
        <w:t> </w:t>
      </w:r>
      <w:r>
        <w:rPr>
          <w:rFonts w:hint="eastAsia" w:ascii="宋体" w:hAnsi="宋体" w:eastAsia="宋体"/>
          <w:color w:val="auto"/>
          <w:highlight w:val="none"/>
        </w:rPr>
        <w:t xml:space="preserve">km/h的速度从一种路面行驶入另一种路面。 </w:t>
      </w:r>
    </w:p>
    <w:p>
      <w:pPr>
        <w:pStyle w:val="104"/>
        <w:spacing w:before="0" w:beforeLines="0" w:after="0" w:afterLines="0"/>
        <w:rPr>
          <w:rFonts w:ascii="宋体" w:hAnsi="宋体" w:eastAsia="宋体"/>
          <w:color w:val="auto"/>
          <w:highlight w:val="none"/>
        </w:rPr>
      </w:pPr>
      <w:r>
        <w:rPr>
          <w:rFonts w:hint="eastAsia" w:ascii="宋体" w:hAnsi="宋体" w:eastAsia="宋体"/>
          <w:strike w:val="0"/>
          <w:color w:val="auto"/>
          <w:highlight w:val="none"/>
          <w:lang w:val="en-US" w:eastAsia="zh-CN"/>
        </w:rPr>
        <w:t>当车辆</w:t>
      </w:r>
      <w:r>
        <w:rPr>
          <w:rFonts w:hint="eastAsia" w:ascii="宋体" w:hAnsi="宋体" w:eastAsia="宋体"/>
          <w:color w:val="auto"/>
          <w:highlight w:val="none"/>
        </w:rPr>
        <w:t>左右两轮分别位于附着系数不同（</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ascii="宋体" w:hAnsi="宋体" w:eastAsia="宋体"/>
          <w:color w:val="auto"/>
          <w:highlight w:val="none"/>
        </w:rPr>
        <w:t>和</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ascii="宋体" w:hAnsi="宋体" w:eastAsia="宋体"/>
          <w:color w:val="auto"/>
          <w:highlight w:val="none"/>
        </w:rPr>
        <w:t>）的两种路面时，以50</w:t>
      </w:r>
      <w:r>
        <w:rPr>
          <w:rFonts w:hint="eastAsia"/>
          <w:color w:val="auto"/>
          <w:highlight w:val="none"/>
          <w:lang w:val="en-US" w:eastAsia="zh-CN"/>
        </w:rPr>
        <w:t> </w:t>
      </w:r>
      <w:r>
        <w:rPr>
          <w:rFonts w:hint="eastAsia" w:ascii="宋体" w:hAnsi="宋体" w:eastAsia="宋体"/>
          <w:color w:val="auto"/>
          <w:highlight w:val="none"/>
        </w:rPr>
        <w:t>km/h的初速度突然全力制动，直接控制的车轮不应抱死。其中，</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ascii="宋体" w:hAnsi="宋体" w:eastAsia="宋体"/>
          <w:color w:val="auto"/>
          <w:highlight w:val="none"/>
          <w:lang w:val="en-US" w:eastAsia="zh-CN"/>
        </w:rPr>
        <w:t>大于等于</w:t>
      </w:r>
      <w:r>
        <w:rPr>
          <w:rFonts w:hint="eastAsia" w:ascii="宋体" w:hAnsi="宋体" w:eastAsia="宋体"/>
          <w:color w:val="auto"/>
          <w:highlight w:val="none"/>
        </w:rPr>
        <w:t>0.5且</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ascii="宋体" w:hAnsi="宋体" w:eastAsia="宋体"/>
          <w:color w:val="auto"/>
          <w:highlight w:val="none"/>
          <w:lang w:val="en-US" w:eastAsia="zh-CN"/>
        </w:rPr>
        <w:t>大于等于</w:t>
      </w:r>
      <w:r>
        <w:rPr>
          <w:rFonts w:hint="eastAsia" w:ascii="宋体" w:hAnsi="宋体" w:eastAsia="宋体"/>
          <w:color w:val="auto"/>
          <w:highlight w:val="none"/>
        </w:rPr>
        <w:t>2。</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此外，</w:t>
      </w:r>
      <w:r>
        <w:rPr>
          <w:rFonts w:ascii="宋体" w:hAnsi="宋体" w:eastAsia="宋体"/>
          <w:color w:val="auto"/>
          <w:highlight w:val="none"/>
        </w:rPr>
        <w:t>满载车辆</w:t>
      </w:r>
      <w:r>
        <w:rPr>
          <w:rFonts w:hint="eastAsia" w:ascii="宋体" w:hAnsi="宋体" w:eastAsia="宋体"/>
          <w:color w:val="auto"/>
          <w:highlight w:val="none"/>
        </w:rPr>
        <w:t>在6.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.3.</w:t>
      </w:r>
      <w:r>
        <w:rPr>
          <w:rFonts w:ascii="宋体" w:hAnsi="宋体" w:eastAsia="宋体"/>
          <w:color w:val="auto"/>
          <w:highlight w:val="none"/>
        </w:rPr>
        <w:t>5</w:t>
      </w:r>
      <w:r>
        <w:rPr>
          <w:rFonts w:hint="eastAsia" w:ascii="宋体" w:hAnsi="宋体" w:eastAsia="宋体"/>
          <w:color w:val="auto"/>
          <w:highlight w:val="none"/>
        </w:rPr>
        <w:t>规定的条件下，应满足</w:t>
      </w:r>
      <w:r>
        <w:rPr>
          <w:rFonts w:ascii="宋体" w:hAnsi="宋体" w:eastAsia="宋体"/>
          <w:color w:val="auto"/>
          <w:highlight w:val="none"/>
        </w:rPr>
        <w:t>6</w:t>
      </w: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4</w:t>
      </w:r>
      <w:r>
        <w:rPr>
          <w:rFonts w:hint="eastAsia" w:ascii="宋体" w:hAnsi="宋体" w:eastAsia="宋体"/>
          <w:color w:val="auto"/>
          <w:highlight w:val="none"/>
        </w:rPr>
        <w:t>规定的制动强度。</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在进行6</w:t>
      </w:r>
      <w:r>
        <w:rPr>
          <w:rFonts w:ascii="宋体" w:hAnsi="宋体" w:eastAsia="宋体"/>
          <w:color w:val="auto"/>
          <w:highlight w:val="none"/>
        </w:rPr>
        <w:t>.5.</w:t>
      </w:r>
      <w:r>
        <w:rPr>
          <w:rFonts w:hint="eastAsia" w:ascii="宋体" w:hAnsi="宋体" w:eastAsia="宋体"/>
          <w:color w:val="auto"/>
          <w:highlight w:val="none"/>
          <w:lang w:val="en-US" w:eastAsia="zh-CN"/>
        </w:rPr>
        <w:t>2</w:t>
      </w:r>
      <w:r>
        <w:rPr>
          <w:rFonts w:ascii="宋体" w:hAnsi="宋体" w:eastAsia="宋体"/>
          <w:color w:val="auto"/>
          <w:highlight w:val="none"/>
        </w:rPr>
        <w:t>.3.2</w:t>
      </w:r>
      <w:r>
        <w:rPr>
          <w:rFonts w:hint="eastAsia" w:ascii="宋体" w:hAnsi="宋体" w:eastAsia="宋体"/>
          <w:color w:val="auto"/>
          <w:highlight w:val="none"/>
        </w:rPr>
        <w:t>～6</w:t>
      </w:r>
      <w:r>
        <w:rPr>
          <w:rFonts w:ascii="宋体" w:hAnsi="宋体" w:eastAsia="宋体"/>
          <w:color w:val="auto"/>
          <w:highlight w:val="none"/>
        </w:rPr>
        <w:t>.5.</w:t>
      </w:r>
      <w:r>
        <w:rPr>
          <w:rFonts w:hint="eastAsia" w:ascii="宋体" w:hAnsi="宋体" w:eastAsia="宋体"/>
          <w:color w:val="auto"/>
          <w:highlight w:val="none"/>
          <w:lang w:val="en-US" w:eastAsia="zh-CN"/>
        </w:rPr>
        <w:t>2</w:t>
      </w:r>
      <w:r>
        <w:rPr>
          <w:rFonts w:ascii="宋体" w:hAnsi="宋体" w:eastAsia="宋体"/>
          <w:color w:val="auto"/>
          <w:highlight w:val="none"/>
        </w:rPr>
        <w:t>.3.6</w:t>
      </w:r>
      <w:r>
        <w:rPr>
          <w:rFonts w:hint="eastAsia" w:ascii="宋体" w:hAnsi="宋体" w:eastAsia="宋体"/>
          <w:color w:val="auto"/>
          <w:highlight w:val="none"/>
        </w:rPr>
        <w:t>规定的试验时，不允许车轮抱死。当车速低于15</w:t>
      </w:r>
      <w:r>
        <w:rPr>
          <w:rFonts w:hint="eastAsia"/>
          <w:color w:val="auto"/>
          <w:highlight w:val="none"/>
          <w:lang w:val="en-US" w:eastAsia="zh-CN"/>
        </w:rPr>
        <w:t> </w:t>
      </w:r>
      <w:r>
        <w:rPr>
          <w:rFonts w:hint="eastAsia" w:ascii="宋体" w:hAnsi="宋体" w:eastAsia="宋体"/>
          <w:color w:val="auto"/>
          <w:highlight w:val="none"/>
        </w:rPr>
        <w:t>km/h时，允许车轮抱死；间接控制车轮在任何车速下都允许抱死，但不应影响车辆的行驶稳定性和转向能力：车辆的横摆角小于等于15°且不应偏离3.5</w:t>
      </w:r>
      <w:r>
        <w:rPr>
          <w:rFonts w:hint="eastAsia"/>
          <w:color w:val="auto"/>
          <w:highlight w:val="none"/>
          <w:lang w:val="en-US" w:eastAsia="zh-CN"/>
        </w:rPr>
        <w:t> </w:t>
      </w:r>
      <w:r>
        <w:rPr>
          <w:rFonts w:hint="eastAsia" w:ascii="宋体" w:hAnsi="宋体" w:eastAsia="宋体"/>
          <w:color w:val="auto"/>
          <w:highlight w:val="none"/>
        </w:rPr>
        <w:t>m宽的试验通道。</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在进行6.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.3.</w:t>
      </w:r>
      <w:r>
        <w:rPr>
          <w:rFonts w:ascii="宋体" w:hAnsi="宋体" w:eastAsia="宋体"/>
          <w:color w:val="auto"/>
          <w:highlight w:val="none"/>
        </w:rPr>
        <w:t>5</w:t>
      </w:r>
      <w:r>
        <w:rPr>
          <w:rFonts w:hint="eastAsia" w:ascii="宋体" w:hAnsi="宋体" w:eastAsia="宋体"/>
          <w:color w:val="auto"/>
          <w:highlight w:val="none"/>
        </w:rPr>
        <w:t>和6.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.3.</w:t>
      </w:r>
      <w:r>
        <w:rPr>
          <w:rFonts w:ascii="宋体" w:hAnsi="宋体" w:eastAsia="宋体"/>
          <w:color w:val="auto"/>
          <w:highlight w:val="none"/>
        </w:rPr>
        <w:t>6</w:t>
      </w:r>
      <w:r>
        <w:rPr>
          <w:rFonts w:hint="eastAsia" w:ascii="宋体" w:hAnsi="宋体" w:eastAsia="宋体"/>
          <w:color w:val="auto"/>
          <w:highlight w:val="none"/>
        </w:rPr>
        <w:t>规定的试验时，允许进行转向修正，但转向盘的转角在最初2s内不应超过120°，总转角不应超过240°。试验开始时，车辆的纵向中心平面应通过高低附着系数路面的交界线。试验期间，车轮的任何部分均不应越过交界线。</w:t>
      </w:r>
    </w:p>
    <w:p>
      <w:pPr>
        <w:pStyle w:val="71"/>
        <w:spacing w:before="156" w:after="156"/>
        <w:rPr>
          <w:color w:val="auto"/>
          <w:szCs w:val="21"/>
          <w:highlight w:val="none"/>
        </w:rPr>
      </w:pPr>
      <w:bookmarkStart w:id="139" w:name="_Toc118580280"/>
      <w:r>
        <w:rPr>
          <w:rFonts w:hint="eastAsia"/>
          <w:color w:val="auto"/>
          <w:highlight w:val="none"/>
        </w:rPr>
        <w:t>附着系数利用率测量方法</w:t>
      </w:r>
      <w:bookmarkEnd w:id="139"/>
    </w:p>
    <w:p>
      <w:pPr>
        <w:pStyle w:val="100"/>
        <w:spacing w:before="156" w:after="156"/>
        <w:rPr>
          <w:color w:val="auto"/>
          <w:highlight w:val="none"/>
        </w:rPr>
      </w:pPr>
      <w:r>
        <w:rPr>
          <w:rFonts w:hint="eastAsia"/>
          <w:color w:val="auto"/>
          <w:highlight w:val="none"/>
        </w:rPr>
        <w:t>附着系数</w:t>
      </w:r>
      <m:oMath>
        <m:d>
          <m:dPr>
            <m:ctrlPr>
              <w:rPr>
                <w:rFonts w:ascii="Cambria Math" w:hAnsi="Cambria Math"/>
                <w:i/>
                <w:color w:val="auto"/>
                <w:highlight w:val="none"/>
              </w:rPr>
            </m:ctrlPr>
          </m:dPr>
          <m:e>
            <m:r>
              <m:rPr/>
              <w:rPr>
                <w:rFonts w:ascii="Cambria Math" w:hAnsi="Cambria Math"/>
                <w:color w:val="auto"/>
                <w:highlight w:val="none"/>
              </w:rPr>
              <m:t>k</m:t>
            </m:r>
            <m:ctrlPr>
              <w:rPr>
                <w:rFonts w:ascii="Cambria Math" w:hAnsi="Cambria Math"/>
                <w:i/>
                <w:color w:val="auto"/>
                <w:highlight w:val="none"/>
              </w:rPr>
            </m:ctrlPr>
          </m:e>
        </m:d>
      </m:oMath>
      <w:r>
        <w:rPr>
          <w:rFonts w:hint="eastAsia"/>
          <w:color w:val="auto"/>
          <w:highlight w:val="none"/>
        </w:rPr>
        <w:t>的测定</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附着系数应在无车轮抱死的前提下，由最大制动力除以被制动车轴（桥）的相应动态载荷的商来确定。</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以50</w:t>
      </w:r>
      <w:r>
        <w:rPr>
          <w:rFonts w:hint="eastAsia"/>
          <w:color w:val="auto"/>
          <w:highlight w:val="none"/>
          <w:lang w:val="en-US" w:eastAsia="zh-CN"/>
        </w:rPr>
        <w:t> </w:t>
      </w:r>
      <w:r>
        <w:rPr>
          <w:rFonts w:hint="eastAsia" w:ascii="宋体" w:hAnsi="宋体" w:eastAsia="宋体"/>
          <w:color w:val="auto"/>
          <w:highlight w:val="none"/>
        </w:rPr>
        <w:t>km/h的初速度，只对试验车辆的单根车轴（桥）进行制动。为达到最大制动性能，制动力应在该车轴的车轮间均匀分配。当车速处于20</w:t>
      </w:r>
      <w:r>
        <w:rPr>
          <w:rFonts w:hint="eastAsia"/>
          <w:color w:val="auto"/>
          <w:highlight w:val="none"/>
          <w:lang w:val="en-US" w:eastAsia="zh-CN"/>
        </w:rPr>
        <w:t> </w:t>
      </w:r>
      <w:r>
        <w:rPr>
          <w:rFonts w:hint="eastAsia" w:ascii="宋体" w:hAnsi="宋体" w:eastAsia="宋体"/>
          <w:color w:val="auto"/>
          <w:highlight w:val="none"/>
        </w:rPr>
        <w:t>km/h～40</w:t>
      </w:r>
      <w:r>
        <w:rPr>
          <w:rFonts w:hint="eastAsia"/>
          <w:color w:val="auto"/>
          <w:highlight w:val="none"/>
          <w:lang w:val="en-US" w:eastAsia="zh-CN"/>
        </w:rPr>
        <w:t> </w:t>
      </w:r>
      <w:r>
        <w:rPr>
          <w:rFonts w:hint="eastAsia" w:ascii="宋体" w:hAnsi="宋体" w:eastAsia="宋体"/>
          <w:color w:val="auto"/>
          <w:highlight w:val="none"/>
        </w:rPr>
        <w:t>km/h之间时防抱制动系统应脱开或不工作。</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应逐次增加管路压力的方法进行多次试验来确定车辆的最大制动强度</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z</m:t>
            </m:r>
            <m:ctrlPr>
              <w:rPr>
                <w:rFonts w:ascii="Cambria Math" w:hAnsi="Cambria Math" w:eastAsia="宋体"/>
                <w:color w:val="auto"/>
                <w:highlight w:val="none"/>
              </w:rPr>
            </m:ctrlPr>
          </m:e>
          <m:sub>
            <m:r>
              <m:rPr/>
              <w:rPr>
                <w:rFonts w:ascii="Cambria Math" w:hAnsi="Cambria Math" w:eastAsia="宋体"/>
                <w:color w:val="auto"/>
                <w:highlight w:val="none"/>
              </w:rPr>
              <m:t>max</m:t>
            </m:r>
            <m:ctrlPr>
              <w:rPr>
                <w:rFonts w:ascii="Cambria Math" w:hAnsi="Cambria Math" w:eastAsia="宋体"/>
                <w:color w:val="auto"/>
                <w:highlight w:val="none"/>
              </w:rPr>
            </m:ctrlPr>
          </m:sub>
        </m:sSub>
      </m:oMath>
      <w:r>
        <w:rPr>
          <w:rFonts w:hint="eastAsia" w:ascii="宋体" w:hAnsi="宋体" w:eastAsia="宋体"/>
          <w:color w:val="auto"/>
          <w:highlight w:val="none"/>
        </w:rPr>
        <w:t>。每次试验时，应保持输入力不变。制动强度应根据车速从40</w:t>
      </w:r>
      <w:r>
        <w:rPr>
          <w:rFonts w:hint="eastAsia"/>
          <w:color w:val="auto"/>
          <w:highlight w:val="none"/>
          <w:lang w:val="en-US" w:eastAsia="zh-CN"/>
        </w:rPr>
        <w:t> </w:t>
      </w:r>
      <w:r>
        <w:rPr>
          <w:rFonts w:hint="eastAsia" w:ascii="宋体" w:hAnsi="宋体" w:eastAsia="宋体"/>
          <w:color w:val="auto"/>
          <w:highlight w:val="none"/>
        </w:rPr>
        <w:t>km/h降到20</w:t>
      </w:r>
      <w:r>
        <w:rPr>
          <w:rFonts w:hint="eastAsia"/>
          <w:color w:val="auto"/>
          <w:highlight w:val="none"/>
          <w:lang w:val="en-US" w:eastAsia="zh-CN"/>
        </w:rPr>
        <w:t> </w:t>
      </w:r>
      <w:r>
        <w:rPr>
          <w:rFonts w:hint="eastAsia" w:ascii="宋体" w:hAnsi="宋体" w:eastAsia="宋体"/>
          <w:color w:val="auto"/>
          <w:highlight w:val="none"/>
        </w:rPr>
        <w:t>km/h所经历的时间，用公式</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7）</w:t>
      </w:r>
      <w:r>
        <w:rPr>
          <w:rFonts w:hint="eastAsia" w:ascii="宋体" w:hAnsi="宋体" w:eastAsia="宋体"/>
          <w:color w:val="auto"/>
          <w:highlight w:val="none"/>
        </w:rPr>
        <w:t>计算：</w:t>
      </w:r>
    </w:p>
    <w:p>
      <w:pPr>
        <w:pStyle w:val="119"/>
        <w:tabs>
          <w:tab w:val="center" w:pos="4725"/>
          <w:tab w:val="right" w:leader="dot" w:pos="9450"/>
          <w:tab w:val="clear" w:pos="4678"/>
          <w:tab w:val="clear" w:pos="9356"/>
        </w:tabs>
        <w:rPr>
          <w:color w:val="auto"/>
          <w:highlight w:val="none"/>
        </w:rPr>
      </w:pPr>
      <w:r>
        <w:rPr>
          <w:color w:val="auto"/>
          <w:highlight w:val="none"/>
        </w:rPr>
        <w:tab/>
      </w:r>
      <m:oMath>
        <m:r>
          <m:rPr/>
          <w:rPr>
            <w:rFonts w:ascii="Cambria Math" w:hAnsi="Cambria Math"/>
            <w:color w:val="auto"/>
            <w:highlight w:val="none"/>
          </w:rPr>
          <m:t>z</m:t>
        </m:r>
        <m:r>
          <m:rPr/>
          <w:rPr>
            <w:rFonts w:hint="eastAsia" w:ascii="Cambria Math" w:hAnsi="Cambria Math"/>
            <w:color w:val="auto"/>
            <w:highlight w:val="none"/>
          </w:rPr>
          <m:t>=</m:t>
        </m:r>
        <m:f>
          <m:fPr>
            <m:ctrlPr>
              <w:rPr>
                <w:rFonts w:ascii="Cambria Math" w:hAnsi="Cambria Math"/>
                <w:i/>
                <w:color w:val="auto"/>
                <w:highlight w:val="none"/>
              </w:rPr>
            </m:ctrlPr>
          </m:fPr>
          <m:num>
            <m:r>
              <m:rPr/>
              <w:rPr>
                <w:rFonts w:ascii="Cambria Math" w:hAnsi="Cambria Math"/>
                <w:color w:val="auto"/>
                <w:highlight w:val="none"/>
              </w:rPr>
              <m:t>0.566</m:t>
            </m:r>
            <m:ctrlPr>
              <w:rPr>
                <w:rFonts w:ascii="Cambria Math" w:hAnsi="Cambria Math"/>
                <w:i/>
                <w:color w:val="auto"/>
                <w:highlight w:val="none"/>
              </w:rPr>
            </m:ctrlPr>
          </m:num>
          <m:den>
            <m:r>
              <m:rPr/>
              <w:rPr>
                <w:rFonts w:hint="eastAsia" w:ascii="Cambria Math" w:hAnsi="Cambria Math"/>
                <w:color w:val="auto"/>
                <w:highlight w:val="none"/>
              </w:rPr>
              <m:t>t</m:t>
            </m:r>
            <m:ctrlPr>
              <w:rPr>
                <w:rFonts w:ascii="Cambria Math" w:hAnsi="Cambria Math"/>
                <w:i/>
                <w:color w:val="auto"/>
                <w:highlight w:val="none"/>
              </w:rPr>
            </m:ctrlPr>
          </m:den>
        </m:f>
      </m:oMath>
      <w:r>
        <w:rPr>
          <w:rFonts w:ascii="微软雅黑" w:hAnsi="微软雅黑" w:eastAsia="微软雅黑"/>
          <w:color w:val="auto"/>
          <w:highlight w:val="none"/>
        </w:rPr>
        <w:tab/>
      </w:r>
      <w:r>
        <w:rPr>
          <w:color w:val="auto"/>
          <w:highlight w:val="none"/>
        </w:rPr>
        <w:t>(</w:t>
      </w:r>
      <w:r>
        <w:rPr>
          <w:rFonts w:hint="eastAsia"/>
          <w:color w:val="auto"/>
          <w:highlight w:val="none"/>
          <w:lang w:val="en-US" w:eastAsia="zh-CN"/>
        </w:rPr>
        <w:t>7</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840"/>
        </w:tabs>
        <w:ind w:firstLine="420"/>
        <w:rPr>
          <w:color w:val="auto"/>
          <w:highlight w:val="none"/>
        </w:rPr>
      </w:pPr>
      <m:oMath>
        <m:r>
          <m:rPr/>
          <w:rPr>
            <w:rFonts w:ascii="Cambria Math" w:hAnsi="Cambria Math"/>
            <w:color w:val="auto"/>
            <w:highlight w:val="none"/>
          </w:rPr>
          <m:t>z</m:t>
        </m:r>
      </m:oMath>
      <w:r>
        <w:rPr>
          <w:rFonts w:hint="eastAsia" w:hAnsi="Cambria Math"/>
          <w:i w:val="0"/>
          <w:color w:val="auto"/>
          <w:highlight w:val="none"/>
          <w:lang w:val="en-US" w:eastAsia="zh-CN"/>
        </w:rPr>
        <w:tab/>
      </w:r>
      <w:r>
        <w:rPr>
          <w:rFonts w:hint="eastAsia"/>
          <w:color w:val="auto"/>
          <w:highlight w:val="none"/>
        </w:rPr>
        <w:t>——制动强度；</w:t>
      </w:r>
    </w:p>
    <w:p>
      <w:pPr>
        <w:pStyle w:val="62"/>
        <w:tabs>
          <w:tab w:val="left" w:pos="840"/>
        </w:tabs>
        <w:ind w:firstLine="420"/>
        <w:rPr>
          <w:color w:val="auto"/>
          <w:highlight w:val="none"/>
        </w:rPr>
      </w:pPr>
      <m:oMath>
        <m:r>
          <m:rPr/>
          <w:rPr>
            <w:rFonts w:hint="eastAsia" w:ascii="Cambria Math" w:hAnsi="Cambria Math"/>
            <w:color w:val="auto"/>
            <w:highlight w:val="none"/>
          </w:rPr>
          <m:t>t</m:t>
        </m:r>
      </m:oMath>
      <w:r>
        <w:rPr>
          <w:rFonts w:hint="eastAsia" w:hAnsi="Cambria Math"/>
          <w:i w:val="0"/>
          <w:color w:val="auto"/>
          <w:highlight w:val="none"/>
          <w:lang w:val="en-US" w:eastAsia="zh-CN"/>
        </w:rPr>
        <w:tab/>
      </w:r>
      <w:r>
        <w:rPr>
          <w:rFonts w:hint="eastAsia"/>
          <w:color w:val="auto"/>
          <w:highlight w:val="none"/>
        </w:rPr>
        <w:t>——时间间隔</w:t>
      </w:r>
      <w:r>
        <w:rPr>
          <w:rFonts w:hint="eastAsia"/>
          <w:color w:val="auto"/>
          <w:highlight w:val="none"/>
          <w:lang w:val="en-US" w:eastAsia="zh-CN"/>
        </w:rPr>
        <w:t>的数值</w:t>
      </w:r>
      <w:r>
        <w:rPr>
          <w:rFonts w:hint="eastAsia"/>
          <w:color w:val="auto"/>
          <w:highlight w:val="none"/>
        </w:rPr>
        <w:t>，单位为秒</w:t>
      </w:r>
      <m:oMath>
        <m:d>
          <m:dPr>
            <m:ctrlPr>
              <w:rPr>
                <w:rFonts w:ascii="Cambria Math" w:hAnsi="Cambria Math"/>
                <w:i/>
                <w:color w:val="auto"/>
                <w:highlight w:val="none"/>
              </w:rPr>
            </m:ctrlPr>
          </m:dPr>
          <m:e>
            <m:r>
              <m:rPr/>
              <w:rPr>
                <w:rFonts w:hint="eastAsia" w:ascii="Cambria Math" w:hAnsi="Cambria Math"/>
                <w:color w:val="auto"/>
                <w:highlight w:val="none"/>
              </w:rPr>
              <m:t>s</m:t>
            </m:r>
            <m:ctrlPr>
              <w:rPr>
                <w:rFonts w:ascii="Cambria Math" w:hAnsi="Cambria Math"/>
                <w:i/>
                <w:color w:val="auto"/>
                <w:highlight w:val="none"/>
              </w:rPr>
            </m:ctrlPr>
          </m:e>
        </m:d>
      </m:oMath>
      <w:r>
        <w:rPr>
          <w:rFonts w:hint="eastAsia"/>
          <w:color w:val="auto"/>
          <w:highlight w:val="none"/>
        </w:rPr>
        <w:t>。</w:t>
      </w:r>
    </w:p>
    <w:p>
      <w:pPr>
        <w:pStyle w:val="180"/>
        <w:numPr>
          <w:ilvl w:val="0"/>
          <w:numId w:val="51"/>
        </w:numPr>
        <w:rPr>
          <w:color w:val="auto"/>
          <w:highlight w:val="none"/>
        </w:rPr>
      </w:pPr>
      <w:r>
        <w:rPr>
          <w:rFonts w:hint="eastAsia" w:hAnsi="宋体"/>
          <w:color w:val="auto"/>
          <w:highlight w:val="none"/>
        </w:rPr>
        <w:t>当车速低于</w:t>
      </w:r>
      <w:r>
        <w:rPr>
          <w:rFonts w:hint="eastAsia"/>
          <w:color w:val="auto"/>
          <w:highlight w:val="none"/>
        </w:rPr>
        <w:t>20</w:t>
      </w:r>
      <w:r>
        <w:rPr>
          <w:rFonts w:hint="eastAsia"/>
          <w:color w:val="auto"/>
          <w:highlight w:val="none"/>
          <w:lang w:val="en-US" w:eastAsia="zh-CN"/>
        </w:rPr>
        <w:t> </w:t>
      </w:r>
      <w:r>
        <w:rPr>
          <w:rFonts w:hint="eastAsia"/>
          <w:color w:val="auto"/>
          <w:highlight w:val="none"/>
        </w:rPr>
        <w:t>km/h时车轮允许抱死。</w:t>
      </w:r>
    </w:p>
    <w:p>
      <w:pPr>
        <w:pStyle w:val="180"/>
        <w:numPr>
          <w:ilvl w:val="0"/>
          <w:numId w:val="32"/>
        </w:numPr>
        <w:rPr>
          <w:color w:val="auto"/>
          <w:highlight w:val="none"/>
        </w:rPr>
      </w:pPr>
      <w:r>
        <w:rPr>
          <w:rFonts w:hint="eastAsia" w:hAnsi="宋体"/>
          <w:color w:val="auto"/>
          <w:highlight w:val="none"/>
        </w:rPr>
        <w:t>从</w:t>
      </w:r>
      <m:oMath>
        <m:r>
          <m:rPr/>
          <w:rPr>
            <w:rFonts w:ascii="Cambria Math" w:hAnsi="Cambria Math"/>
            <w:color w:val="auto"/>
            <w:highlight w:val="none"/>
          </w:rPr>
          <m:t>t</m:t>
        </m:r>
      </m:oMath>
      <w:r>
        <w:rPr>
          <w:rFonts w:hint="eastAsia" w:hAnsi="宋体"/>
          <w:color w:val="auto"/>
          <w:highlight w:val="none"/>
        </w:rPr>
        <w:t>的最小测量值</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min</m:t>
            </m:r>
            <m:ctrlPr>
              <w:rPr>
                <w:rFonts w:ascii="Cambria Math" w:hAnsi="Cambria Math"/>
                <w:color w:val="auto"/>
                <w:highlight w:val="none"/>
              </w:rPr>
            </m:ctrlPr>
          </m:sub>
        </m:sSub>
      </m:oMath>
      <w:r>
        <w:rPr>
          <w:rFonts w:hint="eastAsia" w:hAnsi="宋体"/>
          <w:color w:val="auto"/>
          <w:highlight w:val="none"/>
        </w:rPr>
        <w:t>开始，在</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min</m:t>
            </m:r>
            <m:ctrlPr>
              <w:rPr>
                <w:rFonts w:ascii="Cambria Math" w:hAnsi="Cambria Math"/>
                <w:color w:val="auto"/>
                <w:highlight w:val="none"/>
              </w:rPr>
            </m:ctrlPr>
          </m:sub>
        </m:sSub>
      </m:oMath>
      <w:r>
        <w:rPr>
          <w:rFonts w:hint="eastAsia" w:hAnsi="宋体"/>
          <w:color w:val="auto"/>
          <w:highlight w:val="none"/>
        </w:rPr>
        <w:t>（包括</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min</m:t>
            </m:r>
            <m:ctrlPr>
              <w:rPr>
                <w:rFonts w:ascii="Cambria Math" w:hAnsi="Cambria Math"/>
                <w:color w:val="auto"/>
                <w:highlight w:val="none"/>
              </w:rPr>
            </m:ctrlPr>
          </m:sub>
        </m:sSub>
      </m:oMath>
      <w:r>
        <w:rPr>
          <w:rFonts w:hint="eastAsia" w:hAnsi="宋体"/>
          <w:color w:val="auto"/>
          <w:highlight w:val="none"/>
        </w:rPr>
        <w:t>）和</w:t>
      </w:r>
      <w:r>
        <w:rPr>
          <w:rFonts w:hint="eastAsia"/>
          <w:color w:val="auto"/>
          <w:highlight w:val="none"/>
        </w:rPr>
        <w:t>1.05</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min</m:t>
            </m:r>
            <m:ctrlPr>
              <w:rPr>
                <w:rFonts w:ascii="Cambria Math" w:hAnsi="Cambria Math"/>
                <w:color w:val="auto"/>
                <w:highlight w:val="none"/>
              </w:rPr>
            </m:ctrlPr>
          </m:sub>
        </m:sSub>
      </m:oMath>
      <w:r>
        <w:rPr>
          <w:rFonts w:hint="eastAsia" w:hAnsi="宋体"/>
          <w:color w:val="auto"/>
          <w:highlight w:val="none"/>
        </w:rPr>
        <w:t>之间选择</w:t>
      </w:r>
      <w:r>
        <w:rPr>
          <w:rFonts w:hint="eastAsia"/>
          <w:color w:val="auto"/>
          <w:highlight w:val="none"/>
        </w:rPr>
        <w:t>3个</w:t>
      </w:r>
      <m:oMath>
        <m:r>
          <m:rPr/>
          <w:rPr>
            <w:rFonts w:ascii="Cambria Math" w:hAnsi="Cambria Math"/>
            <w:color w:val="auto"/>
            <w:highlight w:val="none"/>
          </w:rPr>
          <m:t>t</m:t>
        </m:r>
      </m:oMath>
      <w:r>
        <w:rPr>
          <w:rFonts w:hint="eastAsia" w:hAnsi="宋体"/>
          <w:color w:val="auto"/>
          <w:highlight w:val="none"/>
        </w:rPr>
        <w:t>值，取其算术平均值</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oMath>
      <w:r>
        <w:rPr>
          <w:rFonts w:hint="eastAsia" w:hAnsi="宋体"/>
          <w:color w:val="auto"/>
          <w:highlight w:val="none"/>
        </w:rPr>
        <w:t>（如不能取得</w:t>
      </w:r>
      <w:r>
        <w:rPr>
          <w:rFonts w:hint="eastAsia"/>
          <w:color w:val="auto"/>
          <w:highlight w:val="none"/>
        </w:rPr>
        <w:t>3个</w:t>
      </w:r>
      <m:oMath>
        <m:r>
          <m:rPr/>
          <w:rPr>
            <w:rFonts w:ascii="Cambria Math" w:hAnsi="Cambria Math"/>
            <w:color w:val="auto"/>
            <w:highlight w:val="none"/>
          </w:rPr>
          <m:t>t</m:t>
        </m:r>
      </m:oMath>
      <w:r>
        <w:rPr>
          <w:rFonts w:hint="eastAsia" w:hAnsi="宋体"/>
          <w:color w:val="auto"/>
          <w:highlight w:val="none"/>
        </w:rPr>
        <w:t>值，可用</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min</m:t>
            </m:r>
            <m:ctrlPr>
              <w:rPr>
                <w:rFonts w:ascii="Cambria Math" w:hAnsi="Cambria Math"/>
                <w:color w:val="auto"/>
                <w:highlight w:val="none"/>
              </w:rPr>
            </m:ctrlPr>
          </m:sub>
        </m:sSub>
      </m:oMath>
      <w:r>
        <w:rPr>
          <w:rFonts w:hint="eastAsia" w:hAnsi="宋体"/>
          <w:color w:val="auto"/>
          <w:highlight w:val="none"/>
        </w:rPr>
        <w:t>代替</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oMath>
      <w:r>
        <w:rPr>
          <w:rFonts w:hint="eastAsia" w:hAnsi="宋体"/>
          <w:color w:val="auto"/>
          <w:highlight w:val="none"/>
        </w:rPr>
        <w:t>）用公式</w:t>
      </w:r>
      <w:r>
        <w:rPr>
          <w:rFonts w:hint="eastAsia" w:hAnsi="宋体"/>
          <w:color w:val="auto"/>
          <w:highlight w:val="none"/>
          <w:lang w:eastAsia="zh-CN"/>
        </w:rPr>
        <w:t>（</w:t>
      </w:r>
      <w:r>
        <w:rPr>
          <w:rFonts w:hint="eastAsia" w:hAnsi="宋体"/>
          <w:color w:val="auto"/>
          <w:highlight w:val="none"/>
          <w:lang w:val="en-US" w:eastAsia="zh-CN"/>
        </w:rPr>
        <w:t>8）</w:t>
      </w:r>
      <w:r>
        <w:rPr>
          <w:rFonts w:hint="eastAsia" w:hAnsi="宋体"/>
          <w:color w:val="auto"/>
          <w:highlight w:val="none"/>
        </w:rPr>
        <w:t>来计算最大制动强度，其中</w:t>
      </w:r>
      <w:r>
        <w:rPr>
          <w:rFonts w:hint="eastAsia"/>
          <w:color w:val="auto"/>
          <w:highlight w:val="none"/>
        </w:rPr>
        <w:t>6.</w:t>
      </w:r>
      <w:r>
        <w:rPr>
          <w:color w:val="auto"/>
          <w:highlight w:val="none"/>
        </w:rPr>
        <w:t>5</w:t>
      </w:r>
      <w:r>
        <w:rPr>
          <w:rFonts w:hint="eastAsia"/>
          <w:color w:val="auto"/>
          <w:highlight w:val="none"/>
        </w:rPr>
        <w:t>.</w:t>
      </w:r>
      <w:r>
        <w:rPr>
          <w:color w:val="auto"/>
          <w:highlight w:val="none"/>
        </w:rPr>
        <w:t>4</w:t>
      </w:r>
      <w:r>
        <w:rPr>
          <w:rFonts w:hint="eastAsia"/>
          <w:color w:val="auto"/>
          <w:highlight w:val="none"/>
        </w:rPr>
        <w:t>.</w:t>
      </w:r>
      <w:r>
        <w:rPr>
          <w:color w:val="auto"/>
          <w:highlight w:val="none"/>
        </w:rPr>
        <w:t>2.6</w:t>
      </w:r>
      <w:r>
        <w:rPr>
          <w:rFonts w:hint="eastAsia"/>
          <w:color w:val="auto"/>
          <w:highlight w:val="none"/>
        </w:rPr>
        <w:t>的要求仍适用。</w:t>
      </w:r>
    </w:p>
    <w:p>
      <w:pPr>
        <w:pStyle w:val="119"/>
        <w:tabs>
          <w:tab w:val="center" w:pos="4725"/>
          <w:tab w:val="right" w:leader="dot" w:pos="9450"/>
          <w:tab w:val="clear" w:pos="4678"/>
          <w:tab w:val="clear" w:pos="9356"/>
        </w:tabs>
        <w:rPr>
          <w:color w:val="auto"/>
          <w:highlight w:val="none"/>
        </w:rPr>
      </w:pPr>
      <w:r>
        <w:rPr>
          <w:color w:val="auto"/>
          <w:highlight w:val="none"/>
        </w:rPr>
        <w:tab/>
      </w:r>
      <m:oMath>
        <m:sSub>
          <m:sSubPr>
            <m:ctrlPr>
              <w:rPr>
                <w:rFonts w:ascii="Cambria Math" w:hAnsi="Cambria Math"/>
                <w:i/>
                <w:iCs/>
                <w:color w:val="auto"/>
                <w:highlight w:val="none"/>
              </w:rPr>
            </m:ctrlPr>
          </m:sSubPr>
          <m:e>
            <m:r>
              <m:rPr/>
              <w:rPr>
                <w:rFonts w:ascii="Cambria Math" w:hAnsi="Cambria Math"/>
                <w:color w:val="auto"/>
                <w:highlight w:val="none"/>
              </w:rPr>
              <m:t>z</m:t>
            </m:r>
            <m:ctrlPr>
              <w:rPr>
                <w:rFonts w:ascii="Cambria Math" w:hAnsi="Cambria Math"/>
                <w:i/>
                <w:iCs/>
                <w:color w:val="auto"/>
                <w:highlight w:val="none"/>
              </w:rPr>
            </m:ctrlPr>
          </m:e>
          <m:sub>
            <m:r>
              <m:rPr/>
              <w:rPr>
                <w:rFonts w:hint="eastAsia" w:ascii="Cambria Math" w:hAnsi="Cambria Math"/>
                <w:color w:val="auto"/>
                <w:highlight w:val="none"/>
              </w:rPr>
              <m:t>m</m:t>
            </m:r>
            <m:ctrlPr>
              <w:rPr>
                <w:rFonts w:ascii="Cambria Math" w:hAnsi="Cambria Math"/>
                <w:i/>
                <w:iCs/>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r>
              <m:rPr>
                <m:sty m:val="p"/>
              </m:rPr>
              <w:rPr>
                <w:rFonts w:ascii="Cambria Math" w:hAnsi="Cambria Math"/>
                <w:color w:val="auto"/>
                <w:highlight w:val="none"/>
              </w:rPr>
              <m:t>0.566</m:t>
            </m:r>
            <m:ctrlPr>
              <w:rPr>
                <w:rFonts w:ascii="Cambria Math" w:hAnsi="Cambria Math"/>
                <w:color w:val="auto"/>
                <w:highlight w:val="none"/>
              </w:rPr>
            </m:ctrlPr>
          </m:num>
          <m:den>
            <m:sSub>
              <m:sSubPr>
                <m:ctrlPr>
                  <w:rPr>
                    <w:rFonts w:ascii="Cambria Math" w:hAnsi="Cambria Math"/>
                    <w:i/>
                    <w:iCs/>
                    <w:color w:val="auto"/>
                    <w:highlight w:val="none"/>
                  </w:rPr>
                </m:ctrlPr>
              </m:sSubPr>
              <m:e>
                <m:r>
                  <m:rPr/>
                  <w:rPr>
                    <w:rFonts w:ascii="Cambria Math" w:hAnsi="Cambria Math"/>
                    <w:color w:val="auto"/>
                    <w:highlight w:val="none"/>
                  </w:rPr>
                  <m:t>t</m:t>
                </m:r>
                <m:ctrlPr>
                  <w:rPr>
                    <w:rFonts w:ascii="Cambria Math" w:hAnsi="Cambria Math"/>
                    <w:i/>
                    <w:iCs/>
                    <w:color w:val="auto"/>
                    <w:highlight w:val="none"/>
                  </w:rPr>
                </m:ctrlPr>
              </m:e>
              <m:sub>
                <m:r>
                  <m:rPr/>
                  <w:rPr>
                    <w:rFonts w:hint="eastAsia" w:ascii="Cambria Math" w:hAnsi="Cambria Math"/>
                    <w:color w:val="auto"/>
                    <w:highlight w:val="none"/>
                  </w:rPr>
                  <m:t>m</m:t>
                </m:r>
                <m:ctrlPr>
                  <w:rPr>
                    <w:rFonts w:ascii="Cambria Math" w:hAnsi="Cambria Math"/>
                    <w:i/>
                    <w:iCs/>
                    <w:color w:val="auto"/>
                    <w:highlight w:val="none"/>
                  </w:rPr>
                </m:ctrlPr>
              </m:sub>
            </m:sSub>
            <m:ctrlPr>
              <w:rPr>
                <w:rFonts w:ascii="Cambria Math" w:hAnsi="Cambria Math"/>
                <w:color w:val="auto"/>
                <w:highlight w:val="none"/>
              </w:rPr>
            </m:ctrlPr>
          </m:den>
        </m:f>
      </m:oMath>
      <w:r>
        <w:rPr>
          <w:rFonts w:ascii="微软雅黑" w:hAnsi="微软雅黑" w:eastAsia="微软雅黑"/>
          <w:color w:val="auto"/>
          <w:highlight w:val="none"/>
        </w:rPr>
        <w:tab/>
      </w:r>
      <w:r>
        <w:rPr>
          <w:color w:val="auto"/>
          <w:highlight w:val="none"/>
        </w:rPr>
        <w:t>(</w:t>
      </w:r>
      <w:r>
        <w:rPr>
          <w:rFonts w:hint="eastAsia"/>
          <w:color w:val="auto"/>
          <w:highlight w:val="none"/>
          <w:lang w:val="en-US" w:eastAsia="zh-CN"/>
        </w:rPr>
        <w:t>8</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840"/>
        </w:tabs>
        <w:ind w:firstLine="420"/>
        <w:rPr>
          <w:color w:val="auto"/>
          <w:highlight w:val="none"/>
        </w:rPr>
      </w:pPr>
      <m:oMath>
        <m:sSub>
          <m:sSubPr>
            <m:ctrlPr>
              <w:rPr>
                <w:rFonts w:ascii="Cambria Math" w:hAnsi="Cambria Math"/>
                <w:i/>
                <w:iCs/>
                <w:color w:val="auto"/>
                <w:kern w:val="2"/>
                <w:szCs w:val="21"/>
                <w:highlight w:val="none"/>
              </w:rPr>
            </m:ctrlPr>
          </m:sSubPr>
          <m:e>
            <m:r>
              <m:rPr/>
              <w:rPr>
                <w:rFonts w:ascii="Cambria Math" w:hAnsi="Cambria Math"/>
                <w:color w:val="auto"/>
                <w:highlight w:val="none"/>
              </w:rPr>
              <m:t>z</m:t>
            </m:r>
            <m:ctrlPr>
              <w:rPr>
                <w:rFonts w:ascii="Cambria Math" w:hAnsi="Cambria Math"/>
                <w:i/>
                <w:iCs/>
                <w:color w:val="auto"/>
                <w:kern w:val="2"/>
                <w:szCs w:val="21"/>
                <w:highlight w:val="none"/>
              </w:rPr>
            </m:ctrlPr>
          </m:e>
          <m:sub>
            <m:r>
              <m:rPr/>
              <w:rPr>
                <w:rFonts w:hint="eastAsia" w:ascii="Cambria Math" w:hAnsi="Cambria Math"/>
                <w:color w:val="auto"/>
                <w:highlight w:val="none"/>
              </w:rPr>
              <m:t>m</m:t>
            </m:r>
            <m:ctrlPr>
              <w:rPr>
                <w:rFonts w:ascii="Cambria Math" w:hAnsi="Cambria Math"/>
                <w:i/>
                <w:iCs/>
                <w:color w:val="auto"/>
                <w:kern w:val="2"/>
                <w:szCs w:val="21"/>
                <w:highlight w:val="none"/>
              </w:rPr>
            </m:ctrlPr>
          </m:sub>
        </m:sSub>
      </m:oMath>
      <w:r>
        <w:rPr>
          <w:rFonts w:hint="eastAsia" w:hAnsi="Cambria Math"/>
          <w:i w:val="0"/>
          <w:iCs/>
          <w:color w:val="auto"/>
          <w:kern w:val="2"/>
          <w:szCs w:val="21"/>
          <w:highlight w:val="none"/>
          <w:lang w:val="en-US" w:eastAsia="zh-CN"/>
        </w:rPr>
        <w:tab/>
      </w:r>
      <w:r>
        <w:rPr>
          <w:rFonts w:hint="eastAsia"/>
          <w:color w:val="auto"/>
          <w:highlight w:val="none"/>
        </w:rPr>
        <w:t>——平均制动强度；</w:t>
      </w:r>
    </w:p>
    <w:p>
      <w:pPr>
        <w:pStyle w:val="62"/>
        <w:tabs>
          <w:tab w:val="left" w:pos="840"/>
        </w:tabs>
        <w:ind w:firstLine="420"/>
        <w:rPr>
          <w:color w:val="auto"/>
          <w:highlight w:val="none"/>
        </w:rPr>
      </w:pPr>
      <m:oMath>
        <m:sSub>
          <m:sSubPr>
            <m:ctrlPr>
              <w:rPr>
                <w:rFonts w:ascii="Cambria Math" w:hAnsi="Cambria Math"/>
                <w:i/>
                <w:iCs/>
                <w:color w:val="auto"/>
                <w:kern w:val="2"/>
                <w:szCs w:val="21"/>
                <w:highlight w:val="none"/>
              </w:rPr>
            </m:ctrlPr>
          </m:sSubPr>
          <m:e>
            <m:r>
              <m:rPr/>
              <w:rPr>
                <w:rFonts w:ascii="Cambria Math" w:hAnsi="Cambria Math"/>
                <w:color w:val="auto"/>
                <w:highlight w:val="none"/>
              </w:rPr>
              <m:t>t</m:t>
            </m:r>
            <m:ctrlPr>
              <w:rPr>
                <w:rFonts w:ascii="Cambria Math" w:hAnsi="Cambria Math"/>
                <w:i/>
                <w:iCs/>
                <w:color w:val="auto"/>
                <w:kern w:val="2"/>
                <w:szCs w:val="21"/>
                <w:highlight w:val="none"/>
              </w:rPr>
            </m:ctrlPr>
          </m:e>
          <m:sub>
            <m:r>
              <m:rPr/>
              <w:rPr>
                <w:rFonts w:hint="eastAsia" w:ascii="Cambria Math" w:hAnsi="Cambria Math"/>
                <w:color w:val="auto"/>
                <w:highlight w:val="none"/>
              </w:rPr>
              <m:t>m</m:t>
            </m:r>
            <m:ctrlPr>
              <w:rPr>
                <w:rFonts w:ascii="Cambria Math" w:hAnsi="Cambria Math"/>
                <w:i/>
                <w:iCs/>
                <w:color w:val="auto"/>
                <w:kern w:val="2"/>
                <w:szCs w:val="21"/>
                <w:highlight w:val="none"/>
              </w:rPr>
            </m:ctrlPr>
          </m:sub>
        </m:sSub>
      </m:oMath>
      <w:r>
        <w:rPr>
          <w:rFonts w:hint="eastAsia" w:hAnsi="Cambria Math"/>
          <w:i w:val="0"/>
          <w:iCs/>
          <w:color w:val="auto"/>
          <w:kern w:val="2"/>
          <w:szCs w:val="21"/>
          <w:highlight w:val="none"/>
          <w:lang w:val="en-US" w:eastAsia="zh-CN"/>
        </w:rPr>
        <w:tab/>
      </w:r>
      <w:r>
        <w:rPr>
          <w:rFonts w:hint="eastAsia"/>
          <w:color w:val="auto"/>
          <w:highlight w:val="none"/>
        </w:rPr>
        <w:t>——</w:t>
      </w:r>
      <m:oMath>
        <m:r>
          <m:rPr/>
          <w:rPr>
            <w:rFonts w:hint="eastAsia" w:ascii="Cambria Math" w:hAnsi="Cambria Math"/>
            <w:color w:val="auto"/>
            <w:highlight w:val="none"/>
          </w:rPr>
          <m:t>t</m:t>
        </m:r>
      </m:oMath>
      <w:r>
        <w:rPr>
          <w:rFonts w:hint="eastAsia"/>
          <w:color w:val="auto"/>
          <w:highlight w:val="none"/>
        </w:rPr>
        <w:t>的平均值，单位为秒</w:t>
      </w:r>
      <m:oMath>
        <m:d>
          <m:dPr>
            <m:ctrlPr>
              <w:rPr>
                <w:rFonts w:ascii="Cambria Math" w:hAnsi="Cambria Math"/>
                <w:i/>
                <w:color w:val="auto"/>
                <w:highlight w:val="none"/>
              </w:rPr>
            </m:ctrlPr>
          </m:dPr>
          <m:e>
            <m:r>
              <m:rPr/>
              <w:rPr>
                <w:rFonts w:hint="eastAsia" w:ascii="Cambria Math" w:hAnsi="Cambria Math"/>
                <w:color w:val="auto"/>
                <w:highlight w:val="none"/>
              </w:rPr>
              <m:t>s</m:t>
            </m:r>
            <m:ctrlPr>
              <w:rPr>
                <w:rFonts w:ascii="Cambria Math" w:hAnsi="Cambria Math"/>
                <w:i/>
                <w:color w:val="auto"/>
                <w:highlight w:val="none"/>
              </w:rPr>
            </m:ctrlPr>
          </m:e>
        </m:d>
      </m:oMath>
      <w:r>
        <w:rPr>
          <w:rFonts w:hint="eastAsia"/>
          <w:color w:val="auto"/>
          <w:highlight w:val="none"/>
        </w:rPr>
        <w:t>。</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制动力应根据测得的制动强度和未制动车轮的滚动阻力来计算，驱动桥和非驱动桥的滚动阻力分别为其静载轴荷的0.015和0.010倍。</w:t>
      </w:r>
    </w:p>
    <w:p>
      <w:pPr>
        <w:pStyle w:val="104"/>
        <w:spacing w:before="0" w:beforeLines="0" w:after="0" w:afterLines="0"/>
        <w:rPr>
          <w:rFonts w:hint="eastAsia" w:ascii="宋体" w:hAnsi="宋体" w:eastAsia="宋体"/>
          <w:color w:val="auto"/>
          <w:highlight w:val="none"/>
        </w:rPr>
      </w:pPr>
      <w:r>
        <w:rPr>
          <w:rFonts w:hint="eastAsia" w:ascii="宋体" w:hAnsi="宋体" w:eastAsia="宋体"/>
          <w:color w:val="auto"/>
          <w:highlight w:val="none"/>
          <w:lang w:val="en-US" w:eastAsia="zh-CN"/>
        </w:rPr>
        <w:t>前后前后车轴（桥）的动载轴荷应分别按公式（9）、公式（10）给出：</w:t>
      </w:r>
    </w:p>
    <w:p>
      <w:pPr>
        <w:widowControl w:val="0"/>
        <w:tabs>
          <w:tab w:val="center" w:pos="4725"/>
          <w:tab w:val="right" w:leader="dot" w:pos="9450"/>
        </w:tabs>
        <w:spacing w:before="12" w:beforeLines="5" w:after="12" w:afterLines="5" w:line="240" w:lineRule="auto"/>
        <w:ind w:left="0" w:firstLine="420" w:firstLineChars="200"/>
        <w:jc w:val="both"/>
        <w:rPr>
          <w:rFonts w:hint="default" w:eastAsia="宋体"/>
          <w:color w:val="auto"/>
          <w:highlight w:val="none"/>
          <w:lang w:val="en-US" w:eastAsia="zh-CN"/>
        </w:rPr>
      </w:pPr>
      <w:r>
        <w:rPr>
          <w:rFonts w:hint="eastAsia"/>
          <w:color w:val="auto"/>
          <w:highlight w:val="none"/>
          <w:lang w:val="en-US" w:eastAsia="zh-CN"/>
        </w:rPr>
        <w:tab/>
      </w:r>
      <w:r>
        <w:rPr>
          <w:color w:val="auto"/>
          <w:highlight w:val="none"/>
        </w:rPr>
        <w:t>前轴：</w:t>
      </w:r>
      <m:oMath>
        <m:func>
          <m:funcPr>
            <m:ctrlPr>
              <w:rPr>
                <w:rFonts w:ascii="Cambria Math" w:hAnsi="Cambria Math"/>
                <w:i/>
                <w:color w:val="auto"/>
                <w:highlight w:val="none"/>
              </w:rPr>
            </m:ctrlPr>
          </m:funcPr>
          <m:fName>
            <m:sSub>
              <m:sSubPr>
                <m:ctrlPr>
                  <w:rPr>
                    <w:rFonts w:ascii="Cambria Math" w:hAnsi="Cambria Math"/>
                    <w:i/>
                    <w:color w:val="auto"/>
                    <w:highlight w:val="none"/>
                  </w:rPr>
                </m:ctrlPr>
              </m:sSubPr>
              <m:e>
                <m:r>
                  <m:rPr/>
                  <w:rPr>
                    <w:rFonts w:ascii="Cambria Math"/>
                    <w:color w:val="auto"/>
                    <w:highlight w:val="none"/>
                  </w:rPr>
                  <m:t>N</m:t>
                </m:r>
                <m:ctrlPr>
                  <w:rPr>
                    <w:rFonts w:ascii="Cambria Math" w:hAnsi="Cambria Math"/>
                    <w:i/>
                    <w:color w:val="auto"/>
                    <w:highlight w:val="none"/>
                  </w:rPr>
                </m:ctrlPr>
              </m:e>
              <m:sub>
                <m:r>
                  <m:rPr/>
                  <w:rPr>
                    <w:rFonts w:ascii="Cambria Math"/>
                    <w:color w:val="auto"/>
                    <w:highlight w:val="none"/>
                  </w:rPr>
                  <m:t>1</m:t>
                </m:r>
                <m:ctrlPr>
                  <w:rPr>
                    <w:rFonts w:ascii="Cambria Math" w:hAnsi="Cambria Math"/>
                    <w:i/>
                    <w:color w:val="auto"/>
                    <w:highlight w:val="none"/>
                  </w:rPr>
                </m:ctrlPr>
              </m:sub>
            </m:sSub>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func>
          <m:funcPr>
            <m:ctrlPr>
              <w:rPr>
                <w:rFonts w:ascii="Cambria Math" w:hAnsi="Cambria Math"/>
                <w:i/>
                <w:color w:val="auto"/>
                <w:highlight w:val="none"/>
              </w:rPr>
            </m:ctrlPr>
          </m:funcPr>
          <m:fName>
            <m:sSub>
              <m:sSubPr>
                <m:ctrlPr>
                  <w:rPr>
                    <w:rFonts w:ascii="Cambria Math" w:hAnsi="Cambria Math"/>
                    <w:i/>
                    <w:color w:val="auto"/>
                    <w:highlight w:val="none"/>
                  </w:rPr>
                </m:ctrlPr>
              </m:sSubPr>
              <m:e>
                <m:r>
                  <m:rPr/>
                  <w:rPr>
                    <w:rFonts w:ascii="Cambria Math"/>
                    <w:color w:val="auto"/>
                    <w:highlight w:val="none"/>
                  </w:rPr>
                  <m:t>P</m:t>
                </m:r>
                <m:ctrlPr>
                  <w:rPr>
                    <w:rFonts w:ascii="Cambria Math" w:hAnsi="Cambria Math"/>
                    <w:i/>
                    <w:color w:val="auto"/>
                    <w:highlight w:val="none"/>
                  </w:rPr>
                </m:ctrlPr>
              </m:e>
              <m:sub>
                <m:r>
                  <m:rPr/>
                  <w:rPr>
                    <w:rFonts w:ascii="Cambria Math"/>
                    <w:color w:val="auto"/>
                    <w:highlight w:val="none"/>
                  </w:rPr>
                  <m:t>1</m:t>
                </m:r>
                <m:ctrlPr>
                  <w:rPr>
                    <w:rFonts w:ascii="Cambria Math" w:hAnsi="Cambria Math"/>
                    <w:i/>
                    <w:color w:val="auto"/>
                    <w:highlight w:val="none"/>
                  </w:rPr>
                </m:ctrlPr>
              </m:sub>
            </m:sSub>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func>
          <m:funcPr>
            <m:ctrlPr>
              <w:rPr>
                <w:rFonts w:ascii="Cambria Math" w:hAnsi="Cambria Math"/>
                <w:i/>
                <w:color w:val="auto"/>
                <w:highlight w:val="none"/>
              </w:rPr>
            </m:ctrlPr>
          </m:funcPr>
          <m:fName>
            <m:r>
              <m:rPr/>
              <w:rPr>
                <w:rFonts w:ascii="Cambria Math"/>
                <w:color w:val="auto"/>
                <w:highlight w:val="none"/>
              </w:rPr>
              <m:t>Z</m:t>
            </m:r>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f>
          <m:fPr>
            <m:ctrlPr>
              <w:rPr>
                <w:rFonts w:hint="eastAsia" w:ascii="Cambria Math" w:hAnsi="Cambria Math" w:eastAsia="MS Gothic" w:cs="MS Gothic"/>
                <w:i/>
                <w:color w:val="auto"/>
                <w:highlight w:val="none"/>
              </w:rPr>
            </m:ctrlPr>
          </m:fPr>
          <m:num>
            <m:r>
              <m:rPr/>
              <w:rPr>
                <w:rFonts w:hint="eastAsia" w:ascii="Cambria Math" w:hAnsi="Cambria Math" w:eastAsia="MS Gothic" w:cs="MS Gothic"/>
                <w:color w:val="auto"/>
                <w:highlight w:val="none"/>
              </w:rPr>
              <m:t>ℎ</m:t>
            </m:r>
            <m:ctrlPr>
              <w:rPr>
                <w:rFonts w:hint="eastAsia" w:ascii="Cambria Math" w:hAnsi="Cambria Math" w:eastAsia="MS Gothic" w:cs="MS Gothic"/>
                <w:i/>
                <w:color w:val="auto"/>
                <w:highlight w:val="none"/>
              </w:rPr>
            </m:ctrlPr>
          </m:num>
          <m:den>
            <m:r>
              <m:rPr/>
              <w:rPr>
                <w:rFonts w:ascii="Cambria Math"/>
                <w:color w:val="auto"/>
                <w:highlight w:val="none"/>
              </w:rPr>
              <m:t>E×</m:t>
            </m:r>
            <m:func>
              <m:funcPr>
                <m:ctrlPr>
                  <w:rPr>
                    <w:rFonts w:ascii="Cambria Math" w:hAnsi="Cambria Math"/>
                    <w:i/>
                    <w:color w:val="auto"/>
                    <w:highlight w:val="none"/>
                  </w:rPr>
                </m:ctrlPr>
              </m:funcPr>
              <m:fName>
                <m:r>
                  <m:rPr/>
                  <w:rPr>
                    <w:rFonts w:ascii="Cambria Math"/>
                    <w:color w:val="auto"/>
                    <w:highlight w:val="none"/>
                  </w:rPr>
                  <m:t>P</m:t>
                </m:r>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r>
              <m:rPr/>
              <w:rPr>
                <w:rFonts w:ascii="Cambria Math"/>
                <w:color w:val="auto"/>
                <w:highlight w:val="none"/>
              </w:rPr>
              <m:t>g</m:t>
            </m:r>
            <m:ctrlPr>
              <w:rPr>
                <w:rFonts w:ascii="Cambria Math" w:hAnsi="Cambria Math"/>
                <w:i/>
                <w:color w:val="auto"/>
                <w:highlight w:val="none"/>
              </w:rPr>
            </m:ctrlPr>
          </m:den>
        </m:f>
      </m:oMath>
      <w:r>
        <w:rPr>
          <w:rFonts w:hint="eastAsia" w:hAnsi="Cambria Math"/>
          <w:i w:val="0"/>
          <w:color w:val="auto"/>
          <w:highlight w:val="none"/>
          <w:lang w:val="en-US" w:eastAsia="zh-CN"/>
        </w:rPr>
        <w:tab/>
      </w:r>
      <w:r>
        <w:rPr>
          <w:rFonts w:hint="eastAsia" w:ascii="宋体" w:hAnsi="宋体" w:cs="宋体"/>
          <w:i w:val="0"/>
          <w:color w:val="auto"/>
          <w:highlight w:val="none"/>
          <w:lang w:val="en-US" w:eastAsia="zh-CN"/>
        </w:rPr>
        <w:t>(9)</w:t>
      </w:r>
    </w:p>
    <w:p>
      <w:pPr>
        <w:widowControl w:val="0"/>
        <w:tabs>
          <w:tab w:val="center" w:pos="4725"/>
          <w:tab w:val="right" w:leader="dot" w:pos="9450"/>
        </w:tabs>
        <w:spacing w:before="12" w:beforeLines="5" w:after="12" w:afterLines="5" w:line="240" w:lineRule="auto"/>
        <w:ind w:left="0" w:firstLine="420" w:firstLineChars="200"/>
        <w:jc w:val="both"/>
        <w:rPr>
          <w:rFonts w:hint="default" w:eastAsia="宋体"/>
          <w:color w:val="auto"/>
          <w:highlight w:val="none"/>
          <w:lang w:val="en-US" w:eastAsia="zh-CN"/>
        </w:rPr>
      </w:pPr>
      <w:r>
        <w:rPr>
          <w:rFonts w:hint="eastAsia"/>
          <w:color w:val="auto"/>
          <w:highlight w:val="none"/>
          <w:lang w:val="en-US" w:eastAsia="zh-CN"/>
        </w:rPr>
        <w:tab/>
      </w:r>
      <w:r>
        <w:rPr>
          <w:color w:val="auto"/>
          <w:highlight w:val="none"/>
        </w:rPr>
        <w:t>后轴：</w:t>
      </w:r>
      <m:oMath>
        <m:func>
          <m:funcPr>
            <m:ctrlPr>
              <w:rPr>
                <w:rFonts w:ascii="Cambria Math" w:hAnsi="Cambria Math"/>
                <w:i/>
                <w:color w:val="auto"/>
                <w:highlight w:val="none"/>
              </w:rPr>
            </m:ctrlPr>
          </m:funcPr>
          <m:fName>
            <m:sSub>
              <m:sSubPr>
                <m:ctrlPr>
                  <w:rPr>
                    <w:rFonts w:ascii="Cambria Math" w:hAnsi="Cambria Math"/>
                    <w:i/>
                    <w:color w:val="auto"/>
                    <w:highlight w:val="none"/>
                  </w:rPr>
                </m:ctrlPr>
              </m:sSubPr>
              <m:e>
                <m:r>
                  <m:rPr/>
                  <w:rPr>
                    <w:rFonts w:ascii="Cambria Math"/>
                    <w:color w:val="auto"/>
                    <w:highlight w:val="none"/>
                  </w:rPr>
                  <m:t>N</m:t>
                </m:r>
                <m:ctrlPr>
                  <w:rPr>
                    <w:rFonts w:ascii="Cambria Math" w:hAnsi="Cambria Math"/>
                    <w:i/>
                    <w:color w:val="auto"/>
                    <w:highlight w:val="none"/>
                  </w:rPr>
                </m:ctrlPr>
              </m:e>
              <m:sub>
                <m:r>
                  <m:rPr/>
                  <w:rPr>
                    <w:rFonts w:ascii="Cambria Math"/>
                    <w:color w:val="auto"/>
                    <w:highlight w:val="none"/>
                  </w:rPr>
                  <m:t>2</m:t>
                </m:r>
                <m:ctrlPr>
                  <w:rPr>
                    <w:rFonts w:ascii="Cambria Math" w:hAnsi="Cambria Math"/>
                    <w:i/>
                    <w:color w:val="auto"/>
                    <w:highlight w:val="none"/>
                  </w:rPr>
                </m:ctrlPr>
              </m:sub>
            </m:sSub>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func>
          <m:funcPr>
            <m:ctrlPr>
              <w:rPr>
                <w:rFonts w:ascii="Cambria Math" w:hAnsi="Cambria Math"/>
                <w:i/>
                <w:color w:val="auto"/>
                <w:highlight w:val="none"/>
              </w:rPr>
            </m:ctrlPr>
          </m:funcPr>
          <m:fName>
            <m:sSub>
              <m:sSubPr>
                <m:ctrlPr>
                  <w:rPr>
                    <w:rFonts w:ascii="Cambria Math" w:hAnsi="Cambria Math"/>
                    <w:i/>
                    <w:color w:val="auto"/>
                    <w:highlight w:val="none"/>
                  </w:rPr>
                </m:ctrlPr>
              </m:sSubPr>
              <m:e>
                <m:r>
                  <m:rPr/>
                  <w:rPr>
                    <w:rFonts w:ascii="Cambria Math"/>
                    <w:color w:val="auto"/>
                    <w:highlight w:val="none"/>
                  </w:rPr>
                  <m:t>P</m:t>
                </m:r>
                <m:ctrlPr>
                  <w:rPr>
                    <w:rFonts w:ascii="Cambria Math" w:hAnsi="Cambria Math"/>
                    <w:i/>
                    <w:color w:val="auto"/>
                    <w:highlight w:val="none"/>
                  </w:rPr>
                </m:ctrlPr>
              </m:e>
              <m:sub>
                <m:r>
                  <m:rPr/>
                  <w:rPr>
                    <w:rFonts w:ascii="Cambria Math"/>
                    <w:color w:val="auto"/>
                    <w:highlight w:val="none"/>
                  </w:rPr>
                  <m:t>2</m:t>
                </m:r>
                <m:ctrlPr>
                  <w:rPr>
                    <w:rFonts w:ascii="Cambria Math" w:hAnsi="Cambria Math"/>
                    <w:i/>
                    <w:color w:val="auto"/>
                    <w:highlight w:val="none"/>
                  </w:rPr>
                </m:ctrlPr>
              </m:sub>
            </m:sSub>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func>
          <m:funcPr>
            <m:ctrlPr>
              <w:rPr>
                <w:rFonts w:ascii="Cambria Math" w:hAnsi="Cambria Math"/>
                <w:i/>
                <w:color w:val="auto"/>
                <w:highlight w:val="none"/>
              </w:rPr>
            </m:ctrlPr>
          </m:funcPr>
          <m:fName>
            <m:r>
              <m:rPr/>
              <w:rPr>
                <w:rFonts w:ascii="Cambria Math"/>
                <w:color w:val="auto"/>
                <w:highlight w:val="none"/>
              </w:rPr>
              <m:t>Z</m:t>
            </m:r>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f>
          <m:fPr>
            <m:ctrlPr>
              <w:rPr>
                <w:rFonts w:hint="eastAsia" w:ascii="Cambria Math" w:hAnsi="Cambria Math" w:eastAsia="MS Gothic" w:cs="MS Gothic"/>
                <w:i/>
                <w:color w:val="auto"/>
                <w:highlight w:val="none"/>
              </w:rPr>
            </m:ctrlPr>
          </m:fPr>
          <m:num>
            <m:r>
              <m:rPr/>
              <w:rPr>
                <w:rFonts w:hint="eastAsia" w:ascii="MS Gothic" w:hAnsi="MS Gothic" w:eastAsia="MS Gothic" w:cs="MS Gothic"/>
                <w:color w:val="auto"/>
                <w:highlight w:val="none"/>
              </w:rPr>
              <m:t>ℎ</m:t>
            </m:r>
            <m:ctrlPr>
              <w:rPr>
                <w:rFonts w:hint="eastAsia" w:ascii="Cambria Math" w:hAnsi="Cambria Math" w:eastAsia="MS Gothic" w:cs="MS Gothic"/>
                <w:i/>
                <w:color w:val="auto"/>
                <w:highlight w:val="none"/>
              </w:rPr>
            </m:ctrlPr>
          </m:num>
          <m:den>
            <m:r>
              <m:rPr/>
              <w:rPr>
                <w:rFonts w:ascii="Cambria Math"/>
                <w:color w:val="auto"/>
                <w:highlight w:val="none"/>
              </w:rPr>
              <m:t>E×</m:t>
            </m:r>
            <m:func>
              <m:funcPr>
                <m:ctrlPr>
                  <w:rPr>
                    <w:rFonts w:ascii="Cambria Math" w:hAnsi="Cambria Math"/>
                    <w:i/>
                    <w:color w:val="auto"/>
                    <w:highlight w:val="none"/>
                  </w:rPr>
                </m:ctrlPr>
              </m:funcPr>
              <m:fName>
                <m:r>
                  <m:rPr/>
                  <w:rPr>
                    <w:rFonts w:ascii="Cambria Math"/>
                    <w:color w:val="auto"/>
                    <w:highlight w:val="none"/>
                  </w:rPr>
                  <m:t>P</m:t>
                </m:r>
                <m:ctrlPr>
                  <w:rPr>
                    <w:rFonts w:ascii="Cambria Math" w:hAnsi="Cambria Math"/>
                    <w:i/>
                    <w:color w:val="auto"/>
                    <w:highlight w:val="none"/>
                  </w:rPr>
                </m:ctrlPr>
              </m:fName>
              <m:e>
                <m:r>
                  <m:rPr/>
                  <w:rPr>
                    <w:rFonts w:ascii="Cambria Math"/>
                    <w:color w:val="auto"/>
                    <w:highlight w:val="none"/>
                  </w:rPr>
                  <m:t>×</m:t>
                </m:r>
                <m:ctrlPr>
                  <w:rPr>
                    <w:rFonts w:ascii="Cambria Math" w:hAnsi="Cambria Math"/>
                    <w:i/>
                    <w:color w:val="auto"/>
                    <w:highlight w:val="none"/>
                  </w:rPr>
                </m:ctrlPr>
              </m:e>
            </m:func>
            <m:r>
              <m:rPr/>
              <w:rPr>
                <w:rFonts w:ascii="Cambria Math"/>
                <w:color w:val="auto"/>
                <w:highlight w:val="none"/>
              </w:rPr>
              <m:t>g</m:t>
            </m:r>
            <m:ctrlPr>
              <w:rPr>
                <w:rFonts w:ascii="Cambria Math" w:hAnsi="Cambria Math"/>
                <w:i/>
                <w:color w:val="auto"/>
                <w:highlight w:val="none"/>
              </w:rPr>
            </m:ctrlPr>
          </m:den>
        </m:f>
      </m:oMath>
      <w:r>
        <w:rPr>
          <w:rFonts w:hint="eastAsia" w:hAnsi="Cambria Math"/>
          <w:i w:val="0"/>
          <w:color w:val="auto"/>
          <w:highlight w:val="none"/>
          <w:lang w:val="en-US" w:eastAsia="zh-CN"/>
        </w:rPr>
        <w:tab/>
      </w:r>
      <w:r>
        <w:rPr>
          <w:rFonts w:hint="eastAsia" w:ascii="宋体" w:hAnsi="宋体" w:cs="宋体"/>
          <w:i w:val="0"/>
          <w:color w:val="auto"/>
          <w:highlight w:val="none"/>
          <w:lang w:val="en-US" w:eastAsia="zh-CN"/>
        </w:rPr>
        <w:t>(10)</w:t>
      </w:r>
    </w:p>
    <w:p>
      <w:pPr>
        <w:pStyle w:val="62"/>
        <w:ind w:firstLine="420"/>
        <w:rPr>
          <w:color w:val="auto"/>
          <w:highlight w:val="none"/>
        </w:rPr>
      </w:pPr>
      <w:r>
        <w:rPr>
          <w:rFonts w:hint="eastAsia"/>
          <w:color w:val="auto"/>
          <w:highlight w:val="none"/>
        </w:rPr>
        <w:t>式中：</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——路面对前轴的静态法向反力</w:t>
      </w:r>
      <w:r>
        <w:rPr>
          <w:rFonts w:hint="eastAsia"/>
          <w:color w:val="auto"/>
          <w:highlight w:val="none"/>
          <w:lang w:val="en-US" w:eastAsia="zh-CN"/>
        </w:rPr>
        <w:t>的数值</w:t>
      </w:r>
      <w:r>
        <w:rPr>
          <w:rFonts w:hint="eastAsia"/>
          <w:color w:val="auto"/>
          <w:highlight w:val="none"/>
        </w:rPr>
        <w:t>，单位为牛顿（N）；</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hint="eastAsia"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2</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——路面对后轴的静态法向反力</w:t>
      </w:r>
      <w:r>
        <w:rPr>
          <w:rFonts w:hint="eastAsia"/>
          <w:color w:val="auto"/>
          <w:highlight w:val="none"/>
          <w:lang w:val="en-US" w:eastAsia="zh-CN"/>
        </w:rPr>
        <w:t>的数值</w:t>
      </w:r>
      <w:r>
        <w:rPr>
          <w:rFonts w:hint="eastAsia"/>
          <w:color w:val="auto"/>
          <w:highlight w:val="none"/>
        </w:rPr>
        <w:t>，单位为牛顿（N）；</w:t>
      </w:r>
    </w:p>
    <w:p>
      <w:pPr>
        <w:pStyle w:val="62"/>
        <w:tabs>
          <w:tab w:val="left" w:pos="840"/>
        </w:tabs>
        <w:ind w:firstLine="420"/>
        <w:rPr>
          <w:color w:val="auto"/>
          <w:highlight w:val="none"/>
        </w:rPr>
      </w:pPr>
      <m:oMath>
        <m:r>
          <m:rPr/>
          <w:rPr>
            <w:rFonts w:hint="eastAsia" w:ascii="Cambria Math" w:hAnsi="Cambria Math"/>
            <w:color w:val="auto"/>
            <w:kern w:val="2"/>
            <w:szCs w:val="21"/>
            <w:highlight w:val="none"/>
          </w:rPr>
          <m:t>z</m:t>
        </m:r>
      </m:oMath>
      <w:r>
        <w:rPr>
          <w:rFonts w:hint="eastAsia" w:hAnsi="Cambria Math"/>
          <w:i w:val="0"/>
          <w:color w:val="auto"/>
          <w:kern w:val="2"/>
          <w:szCs w:val="21"/>
          <w:highlight w:val="none"/>
          <w:lang w:val="en-US" w:eastAsia="zh-CN"/>
        </w:rPr>
        <w:tab/>
      </w:r>
      <w:r>
        <w:rPr>
          <w:rFonts w:hint="eastAsia"/>
          <w:color w:val="auto"/>
          <w:highlight w:val="none"/>
        </w:rPr>
        <w:t>——制动强度；</w:t>
      </w:r>
    </w:p>
    <w:p>
      <w:pPr>
        <w:pStyle w:val="62"/>
        <w:tabs>
          <w:tab w:val="left" w:pos="840"/>
        </w:tabs>
        <w:ind w:firstLine="420"/>
        <w:rPr>
          <w:color w:val="auto"/>
          <w:highlight w:val="none"/>
        </w:rPr>
      </w:pPr>
      <m:oMath>
        <m:r>
          <m:rPr/>
          <w:rPr>
            <w:rFonts w:hint="eastAsia" w:ascii="Cambria Math" w:hAnsi="Cambria Math"/>
            <w:color w:val="auto"/>
            <w:kern w:val="2"/>
            <w:szCs w:val="21"/>
            <w:highlight w:val="none"/>
          </w:rPr>
          <m:t>g</m:t>
        </m:r>
      </m:oMath>
      <w:r>
        <w:rPr>
          <w:rFonts w:hint="eastAsia" w:hAnsi="Cambria Math"/>
          <w:i w:val="0"/>
          <w:color w:val="auto"/>
          <w:kern w:val="2"/>
          <w:szCs w:val="21"/>
          <w:highlight w:val="none"/>
          <w:lang w:val="en-US" w:eastAsia="zh-CN"/>
        </w:rPr>
        <w:tab/>
      </w:r>
      <w:r>
        <w:rPr>
          <w:rFonts w:hint="eastAsia"/>
          <w:color w:val="auto"/>
          <w:highlight w:val="none"/>
        </w:rPr>
        <w:t>——重力加速度，单位为米每二次方秒</w:t>
      </w:r>
      <m:oMath>
        <m:r>
          <m:rPr/>
          <w:rPr>
            <w:rFonts w:ascii="Cambria Math" w:hAnsi="Cambria Math"/>
            <w:color w:val="auto"/>
            <w:kern w:val="2"/>
            <w:highlight w:val="none"/>
          </w:rPr>
          <m:t>(m/</m:t>
        </m:r>
        <m:sSup>
          <m:sSupPr>
            <m:ctrlPr>
              <w:rPr>
                <w:rFonts w:ascii="Cambria Math" w:hAnsi="Cambria Math"/>
                <w:i/>
                <w:color w:val="auto"/>
                <w:kern w:val="2"/>
                <w:sz w:val="18"/>
                <w:highlight w:val="none"/>
              </w:rPr>
            </m:ctrlPr>
          </m:sSupPr>
          <m:e>
            <m:r>
              <m:rPr/>
              <w:rPr>
                <w:rFonts w:hint="eastAsia" w:ascii="Cambria Math" w:hAnsi="Cambria Math"/>
                <w:color w:val="auto"/>
                <w:kern w:val="2"/>
                <w:highlight w:val="none"/>
              </w:rPr>
              <m:t>s</m:t>
            </m:r>
            <m:ctrlPr>
              <w:rPr>
                <w:rFonts w:ascii="Cambria Math" w:hAnsi="Cambria Math"/>
                <w:i/>
                <w:color w:val="auto"/>
                <w:kern w:val="2"/>
                <w:sz w:val="18"/>
                <w:highlight w:val="none"/>
              </w:rPr>
            </m:ctrlPr>
          </m:e>
          <m:sup>
            <m:r>
              <m:rPr/>
              <w:rPr>
                <w:rFonts w:ascii="Cambria Math" w:hAnsi="Cambria Math"/>
                <w:color w:val="auto"/>
                <w:kern w:val="2"/>
                <w:highlight w:val="none"/>
              </w:rPr>
              <m:t>2</m:t>
            </m:r>
            <m:ctrlPr>
              <w:rPr>
                <w:rFonts w:ascii="Cambria Math" w:hAnsi="Cambria Math"/>
                <w:i/>
                <w:color w:val="auto"/>
                <w:kern w:val="2"/>
                <w:sz w:val="18"/>
                <w:highlight w:val="none"/>
              </w:rPr>
            </m:ctrlPr>
          </m:sup>
        </m:sSup>
        <m:r>
          <m:rPr/>
          <w:rPr>
            <w:rFonts w:ascii="Cambria Math" w:hAnsi="Cambria Math"/>
            <w:color w:val="auto"/>
            <w:kern w:val="2"/>
            <w:highlight w:val="none"/>
          </w:rPr>
          <m:t>)</m:t>
        </m:r>
      </m:oMath>
      <w:r>
        <w:rPr>
          <w:rFonts w:hint="eastAsia"/>
          <w:color w:val="auto"/>
          <w:highlight w:val="none"/>
        </w:rPr>
        <w:t>；</w:t>
      </w:r>
    </w:p>
    <w:p>
      <w:pPr>
        <w:pStyle w:val="62"/>
        <w:tabs>
          <w:tab w:val="left" w:pos="840"/>
        </w:tabs>
        <w:ind w:firstLine="420"/>
        <w:rPr>
          <w:color w:val="auto"/>
          <w:highlight w:val="none"/>
        </w:rPr>
      </w:pPr>
      <m:oMath>
        <m:r>
          <m:rPr/>
          <w:rPr>
            <w:rFonts w:ascii="Cambria Math" w:hAnsi="Cambria Math"/>
            <w:color w:val="auto"/>
            <w:highlight w:val="none"/>
          </w:rPr>
          <m:t>ℎ</m:t>
        </m:r>
      </m:oMath>
      <w:r>
        <w:rPr>
          <w:rFonts w:hint="eastAsia" w:hAnsi="Cambria Math"/>
          <w:i/>
          <w:color w:val="auto"/>
          <w:highlight w:val="none"/>
          <w:lang w:val="en-US" w:eastAsia="zh-CN"/>
        </w:rPr>
        <w:tab/>
      </w:r>
      <w:r>
        <w:rPr>
          <w:rFonts w:hint="eastAsia" w:ascii="Cambria Math" w:hAnsi="Cambria Math"/>
          <w:i/>
          <w:color w:val="auto"/>
          <w:highlight w:val="none"/>
        </w:rPr>
        <w:t>——</w:t>
      </w:r>
      <w:r>
        <w:rPr>
          <w:color w:val="auto"/>
          <w:szCs w:val="21"/>
          <w:highlight w:val="none"/>
        </w:rPr>
        <w:t>由制造商规定并经进行试验的检测机构认可的重心高度</w:t>
      </w:r>
      <w:r>
        <w:rPr>
          <w:rFonts w:hint="eastAsia"/>
          <w:color w:val="auto"/>
          <w:highlight w:val="none"/>
          <w:lang w:val="en-US" w:eastAsia="zh-CN"/>
        </w:rPr>
        <w:t>的数值</w:t>
      </w:r>
      <w:r>
        <w:rPr>
          <w:rFonts w:hint="eastAsia"/>
          <w:color w:val="auto"/>
          <w:highlight w:val="none"/>
        </w:rPr>
        <w:t>，单位为米（m）；</w:t>
      </w:r>
    </w:p>
    <w:p>
      <w:pPr>
        <w:pStyle w:val="62"/>
        <w:tabs>
          <w:tab w:val="left" w:pos="840"/>
        </w:tabs>
        <w:ind w:firstLine="420"/>
        <w:rPr>
          <w:color w:val="auto"/>
          <w:highlight w:val="none"/>
        </w:rPr>
      </w:pPr>
      <m:oMath>
        <m:r>
          <m:rPr/>
          <w:rPr>
            <w:rFonts w:hint="eastAsia" w:ascii="Cambria Math" w:hAnsi="Cambria Math"/>
            <w:color w:val="auto"/>
            <w:highlight w:val="none"/>
          </w:rPr>
          <m:t>E</m:t>
        </m:r>
      </m:oMath>
      <w:r>
        <w:rPr>
          <w:rFonts w:hint="eastAsia" w:hAnsi="Cambria Math"/>
          <w:i/>
          <w:color w:val="auto"/>
          <w:highlight w:val="none"/>
          <w:lang w:val="en-US" w:eastAsia="zh-CN"/>
        </w:rPr>
        <w:tab/>
      </w:r>
      <w:r>
        <w:rPr>
          <w:rFonts w:hint="eastAsia" w:ascii="Cambria Math" w:hAnsi="Cambria Math"/>
          <w:i/>
          <w:color w:val="auto"/>
          <w:highlight w:val="none"/>
        </w:rPr>
        <w:t>——</w:t>
      </w:r>
      <w:r>
        <w:rPr>
          <w:rFonts w:hint="eastAsia"/>
          <w:color w:val="auto"/>
          <w:highlight w:val="none"/>
        </w:rPr>
        <w:t>轴距</w:t>
      </w:r>
      <w:r>
        <w:rPr>
          <w:rFonts w:hint="eastAsia"/>
          <w:color w:val="auto"/>
          <w:highlight w:val="none"/>
          <w:lang w:val="en-US" w:eastAsia="zh-CN"/>
        </w:rPr>
        <w:t>的数值</w:t>
      </w:r>
      <w:r>
        <w:rPr>
          <w:rFonts w:hint="eastAsia"/>
          <w:color w:val="auto"/>
          <w:highlight w:val="none"/>
        </w:rPr>
        <w:t>，单位为米（m）。</w:t>
      </w:r>
    </w:p>
    <w:p>
      <w:pPr>
        <w:pStyle w:val="104"/>
        <w:spacing w:before="0" w:beforeLines="0" w:after="0" w:afterLines="0"/>
        <w:rPr>
          <w:rFonts w:ascii="宋体" w:hAnsi="宋体" w:eastAsia="宋体"/>
          <w:color w:val="auto"/>
          <w:highlight w:val="none"/>
        </w:rPr>
      </w:pPr>
      <m:oMath>
        <m:r>
          <m:rPr/>
          <w:rPr>
            <w:rFonts w:hint="eastAsia" w:ascii="Cambria Math" w:hAnsi="Cambria Math" w:eastAsia="宋体"/>
            <w:color w:val="auto"/>
            <w:highlight w:val="none"/>
          </w:rPr>
          <m:t>k</m:t>
        </m:r>
      </m:oMath>
      <w:r>
        <w:rPr>
          <w:rFonts w:hint="eastAsia" w:ascii="宋体" w:hAnsi="宋体" w:eastAsia="宋体"/>
          <w:color w:val="auto"/>
          <w:highlight w:val="none"/>
        </w:rPr>
        <w:t>值应四舍五入为3位小数。</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lang w:val="en-US" w:eastAsia="zh-CN"/>
        </w:rPr>
        <w:t>应按照</w:t>
      </w:r>
      <w:r>
        <w:rPr>
          <w:rFonts w:hint="eastAsia" w:ascii="宋体" w:hAnsi="宋体" w:eastAsia="宋体"/>
          <w:color w:val="auto"/>
          <w:highlight w:val="none"/>
        </w:rPr>
        <w:t>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.1.1～6.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的规定对其他车轴重复进行试验。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以后轮驱动的双轴车为例，前轴制动时，附着系数k由</w:t>
      </w:r>
      <w:r>
        <w:rPr>
          <w:rFonts w:hint="eastAsia" w:ascii="宋体" w:hAnsi="宋体" w:eastAsia="宋体"/>
          <w:color w:val="auto"/>
          <w:highlight w:val="none"/>
          <w:lang w:val="en-US" w:eastAsia="zh-CN"/>
        </w:rPr>
        <w:t>公式（11）</w:t>
      </w:r>
      <w:r>
        <w:rPr>
          <w:rFonts w:hint="eastAsia" w:ascii="宋体" w:hAnsi="宋体" w:eastAsia="宋体"/>
          <w:color w:val="auto"/>
          <w:highlight w:val="none"/>
        </w:rPr>
        <w:t>算出：</w:t>
      </w:r>
    </w:p>
    <w:p>
      <w:pPr>
        <w:pStyle w:val="119"/>
        <w:tabs>
          <w:tab w:val="center" w:pos="4725"/>
          <w:tab w:val="right" w:leader="dot" w:pos="9450"/>
          <w:tab w:val="clear" w:pos="4678"/>
          <w:tab w:val="clear" w:pos="9356"/>
        </w:tabs>
        <w:rPr>
          <w:color w:val="auto"/>
          <w:highlight w:val="none"/>
        </w:rPr>
      </w:pPr>
      <w:r>
        <w:rPr>
          <w:color w:val="auto"/>
          <w:highlight w:val="none"/>
        </w:rPr>
        <w:tab/>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f</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r>
              <m:rPr/>
              <w:rPr>
                <w:rFonts w:ascii="Cambria Math" w:hAnsi="Cambria Math"/>
                <w:color w:val="auto"/>
                <w:highlight w:val="none"/>
              </w:rPr>
              <m:t>×P×g−0.015×</m:t>
            </m:r>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2</m:t>
                </m:r>
                <m:ctrlPr>
                  <w:rPr>
                    <w:rFonts w:ascii="Cambria Math" w:hAnsi="Cambria Math"/>
                    <w:i/>
                    <w:color w:val="auto"/>
                    <w:highlight w:val="none"/>
                  </w:rPr>
                </m:ctrlPr>
              </m:sub>
            </m:sSub>
            <m:ctrlPr>
              <w:rPr>
                <w:rFonts w:ascii="Cambria Math" w:hAnsi="Cambria Math"/>
                <w:i/>
                <w:color w:val="auto"/>
                <w:highlight w:val="none"/>
              </w:rPr>
            </m:ctrlPr>
          </m:num>
          <m:den>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r>
                  <m:rPr/>
                  <w:rPr>
                    <w:rFonts w:ascii="Cambria Math" w:hAnsi="Cambria Math"/>
                    <w:color w:val="auto"/>
                    <w:highlight w:val="none"/>
                  </w:rPr>
                  <m:t>ℎ</m:t>
                </m:r>
                <m:ctrlPr>
                  <w:rPr>
                    <w:rFonts w:ascii="Cambria Math" w:hAnsi="Cambria Math"/>
                    <w:i/>
                    <w:color w:val="auto"/>
                    <w:highlight w:val="none"/>
                  </w:rPr>
                </m:ctrlPr>
              </m:num>
              <m:den>
                <m:r>
                  <m:rPr/>
                  <w:rPr>
                    <w:rFonts w:ascii="Cambria Math" w:hAnsi="Cambria Math"/>
                    <w:color w:val="auto"/>
                    <w:highlight w:val="none"/>
                  </w:rPr>
                  <m:t>E</m:t>
                </m:r>
                <m:ctrlPr>
                  <w:rPr>
                    <w:rFonts w:ascii="Cambria Math" w:hAnsi="Cambria Math"/>
                    <w:i/>
                    <w:color w:val="auto"/>
                    <w:highlight w:val="none"/>
                  </w:rPr>
                </m:ctrlPr>
              </m:den>
            </m:f>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r>
              <m:rPr/>
              <w:rPr>
                <w:rFonts w:ascii="Cambria Math" w:hAnsi="Cambria Math"/>
                <w:color w:val="auto"/>
                <w:highlight w:val="none"/>
              </w:rPr>
              <m:t>×P×g</m:t>
            </m:r>
            <m:ctrlPr>
              <w:rPr>
                <w:rFonts w:ascii="Cambria Math" w:hAnsi="Cambria Math"/>
                <w:i/>
                <w:color w:val="auto"/>
                <w:highlight w:val="none"/>
              </w:rPr>
            </m:ctrlPr>
          </m:den>
        </m:f>
      </m:oMath>
      <w:r>
        <w:rPr>
          <w:rFonts w:ascii="微软雅黑" w:hAnsi="微软雅黑" w:eastAsia="微软雅黑"/>
          <w:color w:val="auto"/>
          <w:highlight w:val="none"/>
        </w:rPr>
        <w:tab/>
      </w:r>
      <w:r>
        <w:rPr>
          <w:rFonts w:hint="eastAsia" w:ascii="微软雅黑" w:hAnsi="微软雅黑" w:eastAsia="微软雅黑"/>
          <w:color w:val="auto"/>
          <w:highlight w:val="none"/>
          <w:lang w:val="en-US" w:eastAsia="zh-CN"/>
        </w:rPr>
        <w:t>(</w:t>
      </w:r>
      <w:r>
        <w:rPr>
          <w:rFonts w:hint="eastAsia"/>
          <w:color w:val="auto"/>
          <w:highlight w:val="none"/>
          <w:lang w:val="en-US" w:eastAsia="zh-CN"/>
        </w:rPr>
        <w:t>1</w:t>
      </w:r>
      <w:r>
        <w:rPr>
          <w:color w:val="auto"/>
          <w:highlight w:val="none"/>
        </w:rPr>
        <w:fldChar w:fldCharType="begin"/>
      </w:r>
      <w:r>
        <w:rPr>
          <w:color w:val="auto"/>
          <w:highlight w:val="none"/>
        </w:rPr>
        <w:instrText xml:space="preserve"> AUTONUM </w:instrText>
      </w:r>
      <w:r>
        <w:rPr>
          <w:color w:val="auto"/>
          <w:highlight w:val="none"/>
        </w:rPr>
        <w:fldChar w:fldCharType="end"/>
      </w:r>
      <w:r>
        <w:rPr>
          <w:rFonts w:hint="eastAsia"/>
          <w:color w:val="auto"/>
          <w:highlight w:val="none"/>
          <w:lang w:val="en-US" w:eastAsia="zh-CN"/>
        </w:rPr>
        <w:t>)</w:t>
      </w:r>
    </w:p>
    <w:p>
      <w:pPr>
        <w:pStyle w:val="62"/>
        <w:ind w:firstLine="420"/>
        <w:rPr>
          <w:color w:val="auto"/>
          <w:highlight w:val="none"/>
        </w:rPr>
      </w:pPr>
      <w:r>
        <w:rPr>
          <w:rFonts w:hint="eastAsia"/>
          <w:color w:val="auto"/>
          <w:highlight w:val="none"/>
        </w:rPr>
        <w:t>式中：</w:t>
      </w:r>
    </w:p>
    <w:p>
      <w:pPr>
        <w:pStyle w:val="62"/>
        <w:tabs>
          <w:tab w:val="left" w:pos="840"/>
        </w:tabs>
        <w:ind w:firstLine="420"/>
        <w:rPr>
          <w:rFonts w:ascii="Calibri" w:hAnsi="Calibri"/>
          <w:iCs/>
          <w:color w:val="auto"/>
          <w:kern w:val="2"/>
          <w:szCs w:val="21"/>
          <w:highlight w:val="none"/>
        </w:rPr>
      </w:pP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f</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——一个前轴的</w:t>
      </w:r>
      <m:oMath>
        <m:r>
          <m:rPr/>
          <w:rPr>
            <w:rFonts w:hint="eastAsia" w:ascii="Cambria Math" w:hAnsi="Cambria Math"/>
            <w:color w:val="auto"/>
            <w:highlight w:val="none"/>
          </w:rPr>
          <m:t>k</m:t>
        </m:r>
      </m:oMath>
      <w:r>
        <w:rPr>
          <w:rFonts w:hint="eastAsia"/>
          <w:color w:val="auto"/>
          <w:highlight w:val="none"/>
        </w:rPr>
        <w:t>值；</w:t>
      </w:r>
    </w:p>
    <w:p>
      <w:pPr>
        <w:pStyle w:val="62"/>
        <w:tabs>
          <w:tab w:val="left" w:pos="840"/>
        </w:tabs>
        <w:ind w:firstLine="420"/>
        <w:rPr>
          <w:color w:val="auto"/>
          <w:highlight w:val="none"/>
        </w:rPr>
      </w:pPr>
      <m:oMath>
        <m:sSub>
          <m:sSubPr>
            <m:ctrlPr>
              <w:rPr>
                <w:rFonts w:ascii="Cambria Math" w:hAnsi="Cambria Math"/>
                <w:i/>
                <w:iCs/>
                <w:color w:val="auto"/>
                <w:kern w:val="2"/>
                <w:szCs w:val="21"/>
                <w:highlight w:val="none"/>
              </w:rPr>
            </m:ctrlPr>
          </m:sSubPr>
          <m:e>
            <m:r>
              <m:rPr/>
              <w:rPr>
                <w:rFonts w:ascii="Cambria Math" w:hAnsi="Cambria Math"/>
                <w:color w:val="auto"/>
                <w:highlight w:val="none"/>
              </w:rPr>
              <m:t>z</m:t>
            </m:r>
            <m:ctrlPr>
              <w:rPr>
                <w:rFonts w:ascii="Cambria Math" w:hAnsi="Cambria Math"/>
                <w:i/>
                <w:iCs/>
                <w:color w:val="auto"/>
                <w:kern w:val="2"/>
                <w:szCs w:val="21"/>
                <w:highlight w:val="none"/>
              </w:rPr>
            </m:ctrlPr>
          </m:e>
          <m:sub>
            <m:r>
              <m:rPr/>
              <w:rPr>
                <w:rFonts w:hint="eastAsia" w:ascii="Cambria Math" w:hAnsi="Cambria Math"/>
                <w:color w:val="auto"/>
                <w:highlight w:val="none"/>
              </w:rPr>
              <m:t>m</m:t>
            </m:r>
            <m:ctrlPr>
              <w:rPr>
                <w:rFonts w:ascii="Cambria Math" w:hAnsi="Cambria Math"/>
                <w:i/>
                <w:iCs/>
                <w:color w:val="auto"/>
                <w:kern w:val="2"/>
                <w:szCs w:val="21"/>
                <w:highlight w:val="none"/>
              </w:rPr>
            </m:ctrlPr>
          </m:sub>
        </m:sSub>
      </m:oMath>
      <w:r>
        <w:rPr>
          <w:rFonts w:hint="eastAsia" w:hAnsi="Cambria Math"/>
          <w:i w:val="0"/>
          <w:iCs/>
          <w:color w:val="auto"/>
          <w:kern w:val="2"/>
          <w:szCs w:val="21"/>
          <w:highlight w:val="none"/>
          <w:lang w:val="en-US" w:eastAsia="zh-CN"/>
        </w:rPr>
        <w:tab/>
      </w:r>
      <w:r>
        <w:rPr>
          <w:rFonts w:hint="eastAsia"/>
          <w:color w:val="auto"/>
          <w:highlight w:val="none"/>
        </w:rPr>
        <w:t>——平均制动强度；</w:t>
      </w:r>
    </w:p>
    <w:p>
      <w:pPr>
        <w:pStyle w:val="62"/>
        <w:tabs>
          <w:tab w:val="left" w:pos="840"/>
        </w:tabs>
        <w:ind w:firstLine="420"/>
        <w:rPr>
          <w:color w:val="auto"/>
          <w:highlight w:val="none"/>
        </w:rPr>
      </w:pPr>
      <m:oMath>
        <m:r>
          <m:rPr/>
          <w:rPr>
            <w:rFonts w:hint="eastAsia" w:ascii="Cambria Math" w:hAnsi="Cambria Math"/>
            <w:color w:val="auto"/>
            <w:kern w:val="2"/>
            <w:szCs w:val="21"/>
            <w:highlight w:val="none"/>
          </w:rPr>
          <m:t>P</m:t>
        </m:r>
      </m:oMath>
      <w:r>
        <w:rPr>
          <w:rFonts w:hint="eastAsia" w:hAnsi="Cambria Math"/>
          <w:i w:val="0"/>
          <w:color w:val="auto"/>
          <w:kern w:val="2"/>
          <w:szCs w:val="21"/>
          <w:highlight w:val="none"/>
          <w:lang w:val="en-US" w:eastAsia="zh-CN"/>
        </w:rPr>
        <w:tab/>
      </w:r>
      <w:r>
        <w:rPr>
          <w:rFonts w:hint="eastAsia"/>
          <w:color w:val="auto"/>
          <w:highlight w:val="none"/>
        </w:rPr>
        <w:t>——单车质量</w:t>
      </w:r>
      <w:r>
        <w:rPr>
          <w:rFonts w:hint="eastAsia"/>
          <w:color w:val="auto"/>
          <w:highlight w:val="none"/>
          <w:lang w:val="en-US" w:eastAsia="zh-CN"/>
        </w:rPr>
        <w:t>的数值</w:t>
      </w:r>
      <w:r>
        <w:rPr>
          <w:rFonts w:hint="eastAsia"/>
          <w:color w:val="auto"/>
          <w:highlight w:val="none"/>
        </w:rPr>
        <w:t>，单位为千克（kg）；</w:t>
      </w:r>
    </w:p>
    <w:p>
      <w:pPr>
        <w:pStyle w:val="62"/>
        <w:tabs>
          <w:tab w:val="left" w:pos="840"/>
        </w:tabs>
        <w:ind w:firstLine="420"/>
        <w:rPr>
          <w:color w:val="auto"/>
          <w:highlight w:val="none"/>
        </w:rPr>
      </w:pPr>
      <m:oMath>
        <m:r>
          <m:rPr/>
          <w:rPr>
            <w:rFonts w:hint="eastAsia" w:ascii="Cambria Math" w:hAnsi="Cambria Math"/>
            <w:color w:val="auto"/>
            <w:kern w:val="2"/>
            <w:szCs w:val="21"/>
            <w:highlight w:val="none"/>
          </w:rPr>
          <m:t>g</m:t>
        </m:r>
      </m:oMath>
      <w:r>
        <w:rPr>
          <w:rFonts w:hint="eastAsia" w:hAnsi="Cambria Math"/>
          <w:i w:val="0"/>
          <w:color w:val="auto"/>
          <w:kern w:val="2"/>
          <w:szCs w:val="21"/>
          <w:highlight w:val="none"/>
          <w:lang w:val="en-US" w:eastAsia="zh-CN"/>
        </w:rPr>
        <w:tab/>
      </w:r>
      <w:r>
        <w:rPr>
          <w:rFonts w:hint="eastAsia"/>
          <w:color w:val="auto"/>
          <w:highlight w:val="none"/>
        </w:rPr>
        <w:t>——重力加速度，单位为米每二次方秒</w:t>
      </w:r>
      <m:oMath>
        <m:r>
          <m:rPr/>
          <w:rPr>
            <w:rFonts w:ascii="Cambria Math" w:hAnsi="Cambria Math"/>
            <w:color w:val="auto"/>
            <w:kern w:val="2"/>
            <w:highlight w:val="none"/>
          </w:rPr>
          <m:t>(m/</m:t>
        </m:r>
        <m:sSup>
          <m:sSupPr>
            <m:ctrlPr>
              <w:rPr>
                <w:rFonts w:ascii="Cambria Math" w:hAnsi="Cambria Math"/>
                <w:i/>
                <w:color w:val="auto"/>
                <w:kern w:val="2"/>
                <w:sz w:val="18"/>
                <w:highlight w:val="none"/>
              </w:rPr>
            </m:ctrlPr>
          </m:sSupPr>
          <m:e>
            <m:r>
              <m:rPr/>
              <w:rPr>
                <w:rFonts w:hint="eastAsia" w:ascii="Cambria Math" w:hAnsi="Cambria Math"/>
                <w:color w:val="auto"/>
                <w:kern w:val="2"/>
                <w:highlight w:val="none"/>
              </w:rPr>
              <m:t>s</m:t>
            </m:r>
            <m:ctrlPr>
              <w:rPr>
                <w:rFonts w:ascii="Cambria Math" w:hAnsi="Cambria Math"/>
                <w:i/>
                <w:color w:val="auto"/>
                <w:kern w:val="2"/>
                <w:sz w:val="18"/>
                <w:highlight w:val="none"/>
              </w:rPr>
            </m:ctrlPr>
          </m:e>
          <m:sup>
            <m:r>
              <m:rPr/>
              <w:rPr>
                <w:rFonts w:ascii="Cambria Math" w:hAnsi="Cambria Math"/>
                <w:color w:val="auto"/>
                <w:kern w:val="2"/>
                <w:highlight w:val="none"/>
              </w:rPr>
              <m:t>2</m:t>
            </m:r>
            <m:ctrlPr>
              <w:rPr>
                <w:rFonts w:ascii="Cambria Math" w:hAnsi="Cambria Math"/>
                <w:i/>
                <w:color w:val="auto"/>
                <w:kern w:val="2"/>
                <w:sz w:val="18"/>
                <w:highlight w:val="none"/>
              </w:rPr>
            </m:ctrlPr>
          </m:sup>
        </m:sSup>
        <m:r>
          <m:rPr/>
          <w:rPr>
            <w:rFonts w:ascii="Cambria Math" w:hAnsi="Cambria Math"/>
            <w:color w:val="auto"/>
            <w:kern w:val="2"/>
            <w:highlight w:val="none"/>
          </w:rPr>
          <m:t>)</m:t>
        </m:r>
      </m:oMath>
      <w:r>
        <w:rPr>
          <w:rFonts w:hint="eastAsia"/>
          <w:color w:val="auto"/>
          <w:highlight w:val="none"/>
        </w:rPr>
        <w:t>；</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——路面对前轴的法向静态反力</w:t>
      </w:r>
      <w:r>
        <w:rPr>
          <w:rFonts w:hint="eastAsia"/>
          <w:color w:val="auto"/>
          <w:highlight w:val="none"/>
          <w:lang w:val="en-US" w:eastAsia="zh-CN"/>
        </w:rPr>
        <w:t>的数值</w:t>
      </w:r>
      <w:r>
        <w:rPr>
          <w:rFonts w:hint="eastAsia"/>
          <w:color w:val="auto"/>
          <w:highlight w:val="none"/>
        </w:rPr>
        <w:t>，单位为牛顿（N）；</w:t>
      </w:r>
    </w:p>
    <w:p>
      <w:pPr>
        <w:pStyle w:val="62"/>
        <w:tabs>
          <w:tab w:val="left" w:pos="840"/>
        </w:tabs>
        <w:ind w:firstLine="420"/>
        <w:rPr>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2</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——路面对后轴的法向静态反力</w:t>
      </w:r>
      <w:r>
        <w:rPr>
          <w:rFonts w:hint="eastAsia"/>
          <w:color w:val="auto"/>
          <w:highlight w:val="none"/>
          <w:lang w:val="en-US" w:eastAsia="zh-CN"/>
        </w:rPr>
        <w:t>的数值</w:t>
      </w:r>
      <w:r>
        <w:rPr>
          <w:rFonts w:hint="eastAsia"/>
          <w:color w:val="auto"/>
          <w:highlight w:val="none"/>
        </w:rPr>
        <w:t>，单位为牛顿（N）；</w:t>
      </w:r>
    </w:p>
    <w:p>
      <w:pPr>
        <w:pStyle w:val="62"/>
        <w:tabs>
          <w:tab w:val="left" w:pos="840"/>
        </w:tabs>
        <w:ind w:firstLine="420"/>
        <w:rPr>
          <w:color w:val="auto"/>
          <w:highlight w:val="none"/>
        </w:rPr>
      </w:pPr>
      <m:oMath>
        <m:r>
          <m:rPr/>
          <w:rPr>
            <w:rFonts w:ascii="Cambria Math" w:hAnsi="Cambria Math"/>
            <w:color w:val="auto"/>
            <w:highlight w:val="none"/>
          </w:rPr>
          <m:t>ℎ</m:t>
        </m:r>
      </m:oMath>
      <w:r>
        <w:rPr>
          <w:rFonts w:hint="eastAsia" w:hAnsi="Cambria Math"/>
          <w:i/>
          <w:color w:val="auto"/>
          <w:highlight w:val="none"/>
          <w:lang w:val="en-US" w:eastAsia="zh-CN"/>
        </w:rPr>
        <w:tab/>
      </w:r>
      <w:r>
        <w:rPr>
          <w:rFonts w:hint="eastAsia" w:ascii="Cambria Math" w:hAnsi="Cambria Math"/>
          <w:i/>
          <w:color w:val="auto"/>
          <w:highlight w:val="none"/>
        </w:rPr>
        <w:t>——</w:t>
      </w:r>
      <w:r>
        <w:rPr>
          <w:color w:val="auto"/>
          <w:szCs w:val="21"/>
          <w:highlight w:val="none"/>
        </w:rPr>
        <w:t>由制造商规定并经进行试验的检测机构认可的重心高度</w:t>
      </w:r>
      <w:r>
        <w:rPr>
          <w:rFonts w:hint="eastAsia"/>
          <w:color w:val="auto"/>
          <w:highlight w:val="none"/>
          <w:lang w:val="en-US" w:eastAsia="zh-CN"/>
        </w:rPr>
        <w:t>的数值</w:t>
      </w:r>
      <w:r>
        <w:rPr>
          <w:rFonts w:hint="eastAsia"/>
          <w:color w:val="auto"/>
          <w:highlight w:val="none"/>
        </w:rPr>
        <w:t>，单位为米（m）；</w:t>
      </w:r>
    </w:p>
    <w:p>
      <w:pPr>
        <w:pStyle w:val="62"/>
        <w:tabs>
          <w:tab w:val="left" w:pos="840"/>
        </w:tabs>
        <w:ind w:firstLine="420"/>
        <w:rPr>
          <w:color w:val="auto"/>
          <w:highlight w:val="none"/>
        </w:rPr>
      </w:pPr>
      <m:oMath>
        <m:r>
          <m:rPr/>
          <w:rPr>
            <w:rFonts w:hint="eastAsia" w:ascii="Cambria Math" w:hAnsi="Cambria Math"/>
            <w:color w:val="auto"/>
            <w:highlight w:val="none"/>
          </w:rPr>
          <m:t>E</m:t>
        </m:r>
      </m:oMath>
      <w:r>
        <w:rPr>
          <w:rFonts w:hint="eastAsia" w:hAnsi="Cambria Math"/>
          <w:i/>
          <w:color w:val="auto"/>
          <w:highlight w:val="none"/>
          <w:lang w:val="en-US" w:eastAsia="zh-CN"/>
        </w:rPr>
        <w:tab/>
      </w:r>
      <w:r>
        <w:rPr>
          <w:rFonts w:hint="eastAsia" w:ascii="Cambria Math" w:hAnsi="Cambria Math"/>
          <w:i/>
          <w:color w:val="auto"/>
          <w:highlight w:val="none"/>
        </w:rPr>
        <w:t>——</w:t>
      </w:r>
      <w:r>
        <w:rPr>
          <w:rFonts w:hint="eastAsia"/>
          <w:color w:val="auto"/>
          <w:highlight w:val="none"/>
        </w:rPr>
        <w:t>轴距</w:t>
      </w:r>
      <w:r>
        <w:rPr>
          <w:rFonts w:hint="eastAsia"/>
          <w:color w:val="auto"/>
          <w:highlight w:val="none"/>
          <w:lang w:val="en-US" w:eastAsia="zh-CN"/>
        </w:rPr>
        <w:t>的数值</w:t>
      </w:r>
      <w:r>
        <w:rPr>
          <w:rFonts w:hint="eastAsia"/>
          <w:color w:val="auto"/>
          <w:highlight w:val="none"/>
        </w:rPr>
        <w:t>，单位为米（m）。</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由前轴确定</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k</m:t>
            </m:r>
            <m:ctrlPr>
              <w:rPr>
                <w:rFonts w:ascii="Cambria Math" w:hAnsi="Cambria Math" w:eastAsia="宋体"/>
                <w:color w:val="auto"/>
                <w:highlight w:val="none"/>
              </w:rPr>
            </m:ctrlPr>
          </m:e>
          <m:sub>
            <m:r>
              <m:rPr/>
              <w:rPr>
                <w:rFonts w:ascii="Cambria Math" w:hAnsi="Cambria Math" w:eastAsia="宋体"/>
                <w:color w:val="auto"/>
                <w:highlight w:val="none"/>
              </w:rPr>
              <m:t>f</m:t>
            </m:r>
            <m:ctrlPr>
              <w:rPr>
                <w:rFonts w:ascii="Cambria Math" w:hAnsi="Cambria Math" w:eastAsia="宋体"/>
                <w:color w:val="auto"/>
                <w:highlight w:val="none"/>
              </w:rPr>
            </m:ctrlPr>
          </m:sub>
        </m:sSub>
      </m:oMath>
      <w:r>
        <w:rPr>
          <w:rFonts w:hint="eastAsia" w:ascii="宋体" w:hAnsi="宋体" w:eastAsia="宋体"/>
          <w:color w:val="auto"/>
          <w:highlight w:val="none"/>
        </w:rPr>
        <w:t>值，由后轴确定</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k</m:t>
            </m:r>
            <m:ctrlPr>
              <w:rPr>
                <w:rFonts w:ascii="Cambria Math" w:hAnsi="Cambria Math" w:eastAsia="宋体"/>
                <w:color w:val="auto"/>
                <w:highlight w:val="none"/>
              </w:rPr>
            </m:ctrlPr>
          </m:e>
          <m:sub>
            <m:r>
              <m:rPr/>
              <w:rPr>
                <w:rFonts w:ascii="Cambria Math" w:hAnsi="Cambria Math" w:eastAsia="宋体"/>
                <w:color w:val="auto"/>
                <w:highlight w:val="none"/>
              </w:rPr>
              <m:t>r</m:t>
            </m:r>
            <m:ctrlPr>
              <w:rPr>
                <w:rFonts w:ascii="Cambria Math" w:hAnsi="Cambria Math" w:eastAsia="宋体"/>
                <w:color w:val="auto"/>
                <w:highlight w:val="none"/>
              </w:rPr>
            </m:ctrlPr>
          </m:sub>
        </m:sSub>
      </m:oMath>
      <w:r>
        <w:rPr>
          <w:rFonts w:hint="eastAsia" w:ascii="宋体" w:hAnsi="宋体" w:eastAsia="宋体"/>
          <w:color w:val="auto"/>
          <w:highlight w:val="none"/>
        </w:rPr>
        <w:t>值。</w:t>
      </w:r>
    </w:p>
    <w:p>
      <w:pPr>
        <w:pStyle w:val="100"/>
        <w:spacing w:before="156" w:after="156"/>
        <w:rPr>
          <w:color w:val="auto"/>
          <w:highlight w:val="none"/>
        </w:rPr>
      </w:pPr>
      <w:r>
        <w:rPr>
          <w:rFonts w:hint="eastAsia"/>
          <w:color w:val="auto"/>
          <w:highlight w:val="none"/>
        </w:rPr>
        <w:t>附着系数利用率</w:t>
      </w:r>
      <m:oMath>
        <m:d>
          <m:dPr>
            <m:ctrlPr>
              <w:rPr>
                <w:rFonts w:ascii="Cambria Math" w:hAnsi="Cambria Math"/>
                <w:color w:val="auto"/>
                <w:highlight w:val="none"/>
              </w:rPr>
            </m:ctrlPr>
          </m:dPr>
          <m:e>
            <m:r>
              <m:rPr/>
              <w:rPr>
                <w:rFonts w:ascii="Cambria Math" w:hAnsi="Cambria Math"/>
                <w:color w:val="auto"/>
                <w:highlight w:val="none"/>
              </w:rPr>
              <m:t>ε</m:t>
            </m:r>
            <m:ctrlPr>
              <w:rPr>
                <w:rFonts w:ascii="Cambria Math" w:hAnsi="Cambria Math"/>
                <w:color w:val="auto"/>
                <w:highlight w:val="none"/>
              </w:rPr>
            </m:ctrlPr>
          </m:e>
        </m:d>
      </m:oMath>
      <w:r>
        <w:rPr>
          <w:rFonts w:hint="eastAsia"/>
          <w:color w:val="auto"/>
          <w:highlight w:val="none"/>
        </w:rPr>
        <w:t>的确定</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附着系数利用率</w:t>
      </w:r>
      <m:oMath>
        <m:r>
          <m:rPr/>
          <w:rPr>
            <w:rFonts w:ascii="Cambria Math" w:hAnsi="Cambria Math" w:eastAsia="宋体"/>
            <w:color w:val="auto"/>
            <w:highlight w:val="none"/>
          </w:rPr>
          <m:t>ε</m:t>
        </m:r>
      </m:oMath>
      <w:r>
        <w:rPr>
          <w:rFonts w:hint="eastAsia" w:ascii="宋体" w:hAnsi="宋体" w:eastAsia="宋体"/>
          <w:color w:val="auto"/>
          <w:highlight w:val="none"/>
        </w:rPr>
        <w:t>按照</w:t>
      </w:r>
      <w:r>
        <w:rPr>
          <w:rFonts w:hint="eastAsia" w:ascii="宋体" w:hAnsi="宋体" w:eastAsia="宋体"/>
          <w:color w:val="auto"/>
          <w:highlight w:val="none"/>
          <w:lang w:val="en-US" w:eastAsia="zh-CN"/>
        </w:rPr>
        <w:t>公式（12）</w:t>
      </w:r>
      <w:r>
        <w:rPr>
          <w:rFonts w:hint="eastAsia" w:ascii="宋体" w:hAnsi="宋体" w:eastAsia="宋体"/>
          <w:color w:val="auto"/>
          <w:highlight w:val="none"/>
        </w:rPr>
        <w:t xml:space="preserve">计算： </w:t>
      </w:r>
    </w:p>
    <w:p>
      <w:pPr>
        <w:pStyle w:val="119"/>
        <w:tabs>
          <w:tab w:val="center" w:pos="4725"/>
          <w:tab w:val="right" w:leader="dot" w:pos="9450"/>
          <w:tab w:val="clear" w:pos="4678"/>
          <w:tab w:val="clear" w:pos="9356"/>
        </w:tabs>
        <w:rPr>
          <w:color w:val="auto"/>
          <w:highlight w:val="none"/>
        </w:rPr>
      </w:pPr>
      <w:r>
        <w:rPr>
          <w:color w:val="auto"/>
          <w:highlight w:val="none"/>
        </w:rPr>
        <w:tab/>
      </w:r>
      <m:oMath>
        <m:r>
          <m:rPr/>
          <w:rPr>
            <w:rFonts w:ascii="Cambria Math" w:hAnsi="Cambria Math"/>
            <w:color w:val="auto"/>
            <w:highlight w:val="none"/>
          </w:rPr>
          <m:t>ε=</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AL</m:t>
                </m:r>
                <m:ctrlPr>
                  <w:rPr>
                    <w:rFonts w:ascii="Cambria Math" w:hAnsi="Cambria Math"/>
                    <w:i/>
                    <w:color w:val="auto"/>
                    <w:highlight w:val="none"/>
                  </w:rPr>
                </m:ctrlPr>
              </m:sub>
            </m:sSub>
            <m:ctrlPr>
              <w:rPr>
                <w:rFonts w:ascii="Cambria Math" w:hAnsi="Cambria Math"/>
                <w:i/>
                <w:color w:val="auto"/>
                <w:highlight w:val="none"/>
              </w:rPr>
            </m:ctrlPr>
          </m:num>
          <m:den>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ctrlPr>
              <w:rPr>
                <w:rFonts w:ascii="Cambria Math" w:hAnsi="Cambria Math"/>
                <w:i/>
                <w:color w:val="auto"/>
                <w:highlight w:val="none"/>
              </w:rPr>
            </m:ctrlPr>
          </m:den>
        </m:f>
      </m:oMath>
      <w:r>
        <w:rPr>
          <w:rFonts w:ascii="微软雅黑" w:hAnsi="微软雅黑" w:eastAsia="微软雅黑"/>
          <w:color w:val="auto"/>
          <w:highlight w:val="none"/>
        </w:rPr>
        <w:tab/>
      </w:r>
      <w:r>
        <w:rPr>
          <w:color w:val="auto"/>
          <w:highlight w:val="none"/>
        </w:rPr>
        <w:t>(</w:t>
      </w:r>
      <w:r>
        <w:rPr>
          <w:rFonts w:hint="eastAsia"/>
          <w:color w:val="auto"/>
          <w:highlight w:val="none"/>
          <w:lang w:val="en-US" w:eastAsia="zh-CN"/>
        </w:rPr>
        <w:t>12</w:t>
      </w:r>
      <w:r>
        <w:rPr>
          <w:color w:val="auto"/>
          <w:highlight w:val="none"/>
        </w:rPr>
        <w:t>)</w:t>
      </w:r>
    </w:p>
    <w:p>
      <w:pPr>
        <w:pStyle w:val="61"/>
        <w:ind w:firstLine="420"/>
        <w:rPr>
          <w:color w:val="auto"/>
          <w:highlight w:val="none"/>
        </w:rPr>
      </w:pPr>
      <w:r>
        <w:rPr>
          <w:rFonts w:hint="eastAsia"/>
          <w:color w:val="auto"/>
          <w:highlight w:val="none"/>
        </w:rPr>
        <w:t>式中：</w:t>
      </w:r>
    </w:p>
    <w:p>
      <w:pPr>
        <w:pStyle w:val="62"/>
        <w:tabs>
          <w:tab w:val="left" w:pos="840"/>
        </w:tabs>
        <w:ind w:firstLine="420"/>
        <w:rPr>
          <w:rFonts w:ascii="Calibri" w:hAnsi="Calibri"/>
          <w:iCs/>
          <w:color w:val="auto"/>
          <w:kern w:val="2"/>
          <w:szCs w:val="21"/>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z</m:t>
            </m:r>
            <m:ctrlPr>
              <w:rPr>
                <w:rFonts w:ascii="Cambria Math" w:hAnsi="Cambria Math"/>
                <w:i/>
                <w:color w:val="auto"/>
                <w:kern w:val="2"/>
                <w:szCs w:val="21"/>
                <w:highlight w:val="none"/>
              </w:rPr>
            </m:ctrlPr>
          </m:e>
          <m:sub>
            <m:r>
              <m:rPr/>
              <w:rPr>
                <w:rFonts w:ascii="Cambria Math" w:hAnsi="Cambria Math"/>
                <w:color w:val="auto"/>
                <w:highlight w:val="none"/>
              </w:rPr>
              <m:t>AL</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——防抱制动系统工作时车辆的最大制动强度；</w:t>
      </w:r>
    </w:p>
    <w:p>
      <w:pPr>
        <w:pStyle w:val="62"/>
        <w:tabs>
          <w:tab w:val="left" w:pos="840"/>
        </w:tabs>
        <w:ind w:firstLine="420"/>
        <w:rPr>
          <w:color w:val="auto"/>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k</m:t>
            </m:r>
            <m:ctrlPr>
              <w:rPr>
                <w:rFonts w:ascii="Cambria Math" w:hAnsi="Cambria Math"/>
                <w:i/>
                <w:color w:val="auto"/>
                <w:kern w:val="2"/>
                <w:szCs w:val="21"/>
                <w:highlight w:val="none"/>
              </w:rPr>
            </m:ctrlPr>
          </m:e>
          <m:sub>
            <m:r>
              <m:rPr/>
              <w:rPr>
                <w:rFonts w:ascii="Cambria Math" w:hAnsi="Cambria Math"/>
                <w:color w:val="auto"/>
                <w:highlight w:val="none"/>
              </w:rPr>
              <m:t>M</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——机动车辆的</w:t>
      </w:r>
      <m:oMath>
        <m:r>
          <m:rPr/>
          <w:rPr>
            <w:rFonts w:ascii="Cambria Math" w:hAnsi="Cambria Math"/>
            <w:color w:val="auto"/>
            <w:highlight w:val="none"/>
          </w:rPr>
          <m:t>k</m:t>
        </m:r>
      </m:oMath>
      <w:r>
        <w:rPr>
          <w:rFonts w:hint="eastAsia"/>
          <w:color w:val="auto"/>
          <w:highlight w:val="none"/>
        </w:rPr>
        <w:t>值。</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应在防抱制动系统全循环的情况下，按照6.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.1.3测定在55</w:t>
      </w:r>
      <w:r>
        <w:rPr>
          <w:rFonts w:hint="eastAsia"/>
          <w:color w:val="auto"/>
          <w:highlight w:val="none"/>
          <w:lang w:val="en-US" w:eastAsia="zh-CN"/>
        </w:rPr>
        <w:t> </w:t>
      </w:r>
      <w:r>
        <w:rPr>
          <w:rFonts w:hint="eastAsia" w:ascii="宋体" w:hAnsi="宋体" w:eastAsia="宋体"/>
          <w:color w:val="auto"/>
          <w:highlight w:val="none"/>
        </w:rPr>
        <w:t>km/h的初速度下、速度从45</w:t>
      </w:r>
      <w:r>
        <w:rPr>
          <w:rFonts w:hint="eastAsia"/>
          <w:color w:val="auto"/>
          <w:highlight w:val="none"/>
          <w:lang w:val="en-US" w:eastAsia="zh-CN"/>
        </w:rPr>
        <w:t> </w:t>
      </w:r>
      <w:r>
        <w:rPr>
          <w:rFonts w:hint="eastAsia" w:ascii="宋体" w:hAnsi="宋体" w:eastAsia="宋体"/>
          <w:color w:val="auto"/>
          <w:highlight w:val="none"/>
        </w:rPr>
        <w:t>km/h下降至15</w:t>
      </w:r>
      <w:r>
        <w:rPr>
          <w:rFonts w:hint="eastAsia"/>
          <w:color w:val="auto"/>
          <w:highlight w:val="none"/>
          <w:lang w:val="en-US" w:eastAsia="zh-CN"/>
        </w:rPr>
        <w:t> </w:t>
      </w:r>
      <w:r>
        <w:rPr>
          <w:rFonts w:hint="eastAsia" w:ascii="宋体" w:hAnsi="宋体" w:eastAsia="宋体"/>
          <w:color w:val="auto"/>
          <w:highlight w:val="none"/>
        </w:rPr>
        <w:t>km/h时的时间，根据3次试验的平均值，按</w:t>
      </w:r>
      <w:r>
        <w:rPr>
          <w:rFonts w:hint="eastAsia" w:ascii="宋体" w:hAnsi="宋体" w:eastAsia="宋体"/>
          <w:color w:val="auto"/>
          <w:highlight w:val="none"/>
          <w:lang w:val="en-US" w:eastAsia="zh-CN"/>
        </w:rPr>
        <w:t>公式</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13）</w:t>
      </w:r>
      <w:r>
        <w:rPr>
          <w:rFonts w:hint="eastAsia" w:ascii="宋体" w:hAnsi="宋体" w:eastAsia="宋体"/>
          <w:color w:val="auto"/>
          <w:highlight w:val="none"/>
        </w:rPr>
        <w:t>计算防抱制动系统工作时车辆的最大制动强度</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z</m:t>
            </m:r>
            <m:ctrlPr>
              <w:rPr>
                <w:rFonts w:ascii="Cambria Math" w:hAnsi="Cambria Math" w:eastAsia="宋体"/>
                <w:color w:val="auto"/>
                <w:highlight w:val="none"/>
              </w:rPr>
            </m:ctrlPr>
          </m:e>
          <m:sub>
            <m:r>
              <m:rPr/>
              <w:rPr>
                <w:rFonts w:ascii="Cambria Math" w:hAnsi="Cambria Math" w:eastAsia="宋体"/>
                <w:color w:val="auto"/>
                <w:highlight w:val="none"/>
              </w:rPr>
              <m:t>AL</m:t>
            </m:r>
            <m:ctrlPr>
              <w:rPr>
                <w:rFonts w:ascii="Cambria Math" w:hAnsi="Cambria Math" w:eastAsia="宋体"/>
                <w:color w:val="auto"/>
                <w:highlight w:val="none"/>
              </w:rPr>
            </m:ctrlPr>
          </m:sub>
        </m:sSub>
      </m:oMath>
      <w:r>
        <w:rPr>
          <w:rFonts w:hint="eastAsia" w:ascii="宋体" w:hAnsi="宋体" w:eastAsia="宋体"/>
          <w:color w:val="auto"/>
          <w:highlight w:val="none"/>
        </w:rPr>
        <w:t>：</w:t>
      </w:r>
    </w:p>
    <w:p>
      <w:pPr>
        <w:pStyle w:val="119"/>
        <w:tabs>
          <w:tab w:val="center" w:pos="4725"/>
          <w:tab w:val="right" w:leader="dot" w:pos="9450"/>
          <w:tab w:val="clear" w:pos="4678"/>
          <w:tab w:val="clear" w:pos="9356"/>
        </w:tabs>
        <w:rPr>
          <w:color w:val="auto"/>
          <w:highlight w:val="none"/>
        </w:rPr>
      </w:pPr>
      <w:r>
        <w:rPr>
          <w:color w:val="auto"/>
          <w:highlight w:val="none"/>
        </w:rPr>
        <w:tab/>
      </w: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AL</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r>
              <m:rPr/>
              <w:rPr>
                <w:rFonts w:ascii="Cambria Math" w:hAnsi="Cambria Math"/>
                <w:color w:val="auto"/>
                <w:highlight w:val="none"/>
              </w:rPr>
              <m:t>0.849</m:t>
            </m:r>
            <m:ctrlPr>
              <w:rPr>
                <w:rFonts w:ascii="Cambria Math" w:hAnsi="Cambria Math"/>
                <w:i/>
                <w:color w:val="auto"/>
                <w:highlight w:val="none"/>
              </w:rPr>
            </m:ctrlPr>
          </m:num>
          <m:den>
            <m:sSub>
              <m:sSubPr>
                <m:ctrlPr>
                  <w:rPr>
                    <w:rFonts w:ascii="Cambria Math" w:hAnsi="Cambria Math"/>
                    <w:i/>
                    <w:color w:val="auto"/>
                    <w:highlight w:val="none"/>
                  </w:rPr>
                </m:ctrlPr>
              </m:sSubPr>
              <m:e>
                <m:r>
                  <m:rPr/>
                  <w:rPr>
                    <w:rFonts w:ascii="Cambria Math" w:hAnsi="Cambria Math"/>
                    <w:color w:val="auto"/>
                    <w:highlight w:val="none"/>
                  </w:rPr>
                  <m:t>t</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ctrlPr>
              <w:rPr>
                <w:rFonts w:ascii="Cambria Math" w:hAnsi="Cambria Math"/>
                <w:i/>
                <w:color w:val="auto"/>
                <w:highlight w:val="none"/>
              </w:rPr>
            </m:ctrlPr>
          </m:den>
        </m:f>
      </m:oMath>
      <w:r>
        <w:rPr>
          <w:rFonts w:ascii="微软雅黑" w:hAnsi="微软雅黑" w:eastAsia="微软雅黑"/>
          <w:color w:val="auto"/>
          <w:highlight w:val="none"/>
        </w:rPr>
        <w:tab/>
      </w:r>
      <w:r>
        <w:rPr>
          <w:color w:val="auto"/>
          <w:highlight w:val="none"/>
        </w:rPr>
        <w:t>(</w:t>
      </w:r>
      <w:r>
        <w:rPr>
          <w:rFonts w:hint="eastAsia"/>
          <w:color w:val="auto"/>
          <w:highlight w:val="none"/>
          <w:lang w:val="en-US" w:eastAsia="zh-CN"/>
        </w:rPr>
        <w:t>13</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840"/>
        </w:tabs>
        <w:ind w:firstLine="420"/>
        <w:rPr>
          <w:color w:val="auto"/>
          <w:highlight w:val="none"/>
        </w:rPr>
      </w:pPr>
      <m:oMath>
        <m:sSub>
          <m:sSubPr>
            <m:ctrlPr>
              <w:rPr>
                <w:rFonts w:ascii="Cambria Math" w:hAnsi="Cambria Math"/>
                <w:i/>
                <w:iCs/>
                <w:color w:val="auto"/>
                <w:kern w:val="2"/>
                <w:szCs w:val="21"/>
                <w:highlight w:val="none"/>
              </w:rPr>
            </m:ctrlPr>
          </m:sSubPr>
          <m:e>
            <m:r>
              <m:rPr/>
              <w:rPr>
                <w:rFonts w:ascii="Cambria Math" w:hAnsi="Cambria Math"/>
                <w:color w:val="auto"/>
                <w:highlight w:val="none"/>
              </w:rPr>
              <m:t>t</m:t>
            </m:r>
            <m:ctrlPr>
              <w:rPr>
                <w:rFonts w:ascii="Cambria Math" w:hAnsi="Cambria Math"/>
                <w:i/>
                <w:iCs/>
                <w:color w:val="auto"/>
                <w:kern w:val="2"/>
                <w:szCs w:val="21"/>
                <w:highlight w:val="none"/>
              </w:rPr>
            </m:ctrlPr>
          </m:e>
          <m:sub>
            <m:r>
              <m:rPr/>
              <w:rPr>
                <w:rFonts w:hint="eastAsia" w:ascii="Cambria Math" w:hAnsi="Cambria Math"/>
                <w:color w:val="auto"/>
                <w:highlight w:val="none"/>
              </w:rPr>
              <m:t>m</m:t>
            </m:r>
            <m:ctrlPr>
              <w:rPr>
                <w:rFonts w:ascii="Cambria Math" w:hAnsi="Cambria Math"/>
                <w:i/>
                <w:iCs/>
                <w:color w:val="auto"/>
                <w:kern w:val="2"/>
                <w:szCs w:val="21"/>
                <w:highlight w:val="none"/>
              </w:rPr>
            </m:ctrlPr>
          </m:sub>
        </m:sSub>
      </m:oMath>
      <w:r>
        <w:rPr>
          <w:rFonts w:hint="eastAsia" w:hAnsi="Cambria Math"/>
          <w:i w:val="0"/>
          <w:iCs/>
          <w:color w:val="auto"/>
          <w:kern w:val="2"/>
          <w:szCs w:val="21"/>
          <w:highlight w:val="none"/>
          <w:lang w:val="en-US" w:eastAsia="zh-CN"/>
        </w:rPr>
        <w:tab/>
      </w:r>
      <w:r>
        <w:rPr>
          <w:rFonts w:hint="eastAsia"/>
          <w:color w:val="auto"/>
          <w:highlight w:val="none"/>
        </w:rPr>
        <w:t>——</w:t>
      </w:r>
      <m:oMath>
        <m:r>
          <m:rPr/>
          <w:rPr>
            <w:rFonts w:hint="eastAsia" w:ascii="Cambria Math" w:hAnsi="Cambria Math"/>
            <w:color w:val="auto"/>
            <w:highlight w:val="none"/>
          </w:rPr>
          <m:t>t</m:t>
        </m:r>
      </m:oMath>
      <w:r>
        <w:rPr>
          <w:rFonts w:hint="eastAsia"/>
          <w:color w:val="auto"/>
          <w:highlight w:val="none"/>
        </w:rPr>
        <w:t>的平均值，单位为秒</w:t>
      </w:r>
      <m:oMath>
        <m:d>
          <m:dPr>
            <m:ctrlPr>
              <w:rPr>
                <w:rFonts w:ascii="Cambria Math" w:hAnsi="Cambria Math"/>
                <w:i/>
                <w:color w:val="auto"/>
                <w:highlight w:val="none"/>
              </w:rPr>
            </m:ctrlPr>
          </m:dPr>
          <m:e>
            <m:r>
              <m:rPr/>
              <w:rPr>
                <w:rFonts w:hint="eastAsia" w:ascii="Cambria Math" w:hAnsi="Cambria Math"/>
                <w:color w:val="auto"/>
                <w:highlight w:val="none"/>
              </w:rPr>
              <m:t>s</m:t>
            </m:r>
            <m:ctrlPr>
              <w:rPr>
                <w:rFonts w:ascii="Cambria Math" w:hAnsi="Cambria Math"/>
                <w:i/>
                <w:color w:val="auto"/>
                <w:highlight w:val="none"/>
              </w:rPr>
            </m:ctrlPr>
          </m:e>
        </m:d>
      </m:oMath>
      <w:r>
        <w:rPr>
          <w:rFonts w:hint="eastAsia"/>
          <w:color w:val="auto"/>
          <w:highlight w:val="none"/>
        </w:rPr>
        <w:t>。</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附着系数</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k</m:t>
            </m:r>
            <m:ctrlPr>
              <w:rPr>
                <w:rFonts w:ascii="Cambria Math" w:hAnsi="Cambria Math" w:eastAsia="宋体"/>
                <w:color w:val="auto"/>
                <w:highlight w:val="none"/>
              </w:rPr>
            </m:ctrlPr>
          </m:e>
          <m:sub>
            <m:r>
              <m:rPr/>
              <w:rPr>
                <w:rFonts w:ascii="Cambria Math" w:hAnsi="Cambria Math" w:eastAsia="宋体"/>
                <w:color w:val="auto"/>
                <w:highlight w:val="none"/>
              </w:rPr>
              <m:t>M</m:t>
            </m:r>
            <m:ctrlPr>
              <w:rPr>
                <w:rFonts w:ascii="Cambria Math" w:hAnsi="Cambria Math" w:eastAsia="宋体"/>
                <w:color w:val="auto"/>
                <w:highlight w:val="none"/>
              </w:rPr>
            </m:ctrlPr>
          </m:sub>
        </m:sSub>
      </m:oMath>
      <w:r>
        <w:rPr>
          <w:rFonts w:hint="eastAsia" w:ascii="宋体" w:hAnsi="宋体" w:eastAsia="宋体"/>
          <w:color w:val="auto"/>
          <w:highlight w:val="none"/>
        </w:rPr>
        <w:t>应按照</w:t>
      </w:r>
      <w:r>
        <w:rPr>
          <w:rFonts w:hint="eastAsia" w:ascii="宋体" w:hAnsi="宋体" w:eastAsia="宋体"/>
          <w:color w:val="auto"/>
          <w:highlight w:val="none"/>
          <w:lang w:val="en-US" w:eastAsia="zh-CN"/>
        </w:rPr>
        <w:t>公式（14）</w:t>
      </w:r>
      <w:r>
        <w:rPr>
          <w:rFonts w:hint="eastAsia" w:ascii="宋体" w:hAnsi="宋体" w:eastAsia="宋体"/>
          <w:color w:val="auto"/>
          <w:highlight w:val="none"/>
        </w:rPr>
        <w:t>，以动态轴荷加权确定：</w:t>
      </w:r>
    </w:p>
    <w:p>
      <w:pPr>
        <w:pStyle w:val="119"/>
        <w:tabs>
          <w:tab w:val="center" w:pos="4725"/>
          <w:tab w:val="right" w:leader="dot" w:pos="9450"/>
          <w:tab w:val="clear" w:pos="4678"/>
          <w:tab w:val="clear" w:pos="9356"/>
        </w:tabs>
        <w:rPr>
          <w:color w:val="auto"/>
          <w:highlight w:val="none"/>
        </w:rPr>
      </w:pPr>
      <w:r>
        <w:rPr>
          <w:color w:val="auto"/>
          <w:highlight w:val="none"/>
        </w:rPr>
        <w:tab/>
      </w:r>
      <m:oMath>
        <m:d>
          <m:dPr>
            <m:begChr m:val="{"/>
            <m:endChr m:val=""/>
            <m:ctrlPr>
              <w:rPr>
                <w:rFonts w:ascii="Cambria Math" w:hAnsi="Cambria Math"/>
                <w:i/>
                <w:color w:val="auto"/>
                <w:highlight w:val="none"/>
              </w:rPr>
            </m:ctrlPr>
          </m:dPr>
          <m:e>
            <m:eqArr>
              <m:eqArrPr>
                <m:ctrlPr>
                  <w:rPr>
                    <w:rFonts w:ascii="Cambria Math" w:hAnsi="Cambria Math"/>
                    <w:i/>
                    <w:color w:val="auto"/>
                    <w:highlight w:val="none"/>
                  </w:rPr>
                </m:ctrlPr>
              </m:eqArrPr>
              <m:e>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k</m:t>
                    </m:r>
                    <m:ctrlPr>
                      <w:rPr>
                        <w:rFonts w:ascii="Cambria Math" w:hAnsi="Cambria Math"/>
                        <w:i/>
                        <w:color w:val="auto"/>
                        <w:highlight w:val="none"/>
                      </w:rPr>
                    </m:ctrlPr>
                  </m:e>
                  <m:sub>
                    <m:r>
                      <m:rPr/>
                      <w:rPr>
                        <w:rFonts w:hint="default" w:ascii="Cambria Math" w:hAnsi="Cambria Math"/>
                        <w:color w:val="auto"/>
                        <w:highlight w:val="none"/>
                        <w:lang w:val="en-US" w:eastAsia="zh-CN"/>
                      </w:rPr>
                      <m:t>M</m:t>
                    </m:r>
                    <m:ctrlPr>
                      <w:rPr>
                        <w:rFonts w:ascii="Cambria Math" w:hAnsi="Cambria Math"/>
                        <w:i/>
                        <w:color w:val="auto"/>
                        <w:highlight w:val="none"/>
                      </w:rPr>
                    </m:ctrlPr>
                  </m:sub>
                </m:sSub>
                <m:r>
                  <m:rPr/>
                  <w:rPr>
                    <w:rFonts w:hint="eastAsia" w:ascii="Cambria Math" w:hAnsi="Cambria Math"/>
                    <w:color w:val="auto"/>
                    <w:highlight w:val="none"/>
                  </w:rPr>
                  <m:t>=</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f</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fdyn</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r</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rdyn</m:t>
                        </m:r>
                        <m:ctrlPr>
                          <w:rPr>
                            <w:rFonts w:ascii="Cambria Math" w:hAnsi="Cambria Math"/>
                            <w:i/>
                            <w:color w:val="auto"/>
                            <w:highlight w:val="none"/>
                          </w:rPr>
                        </m:ctrlPr>
                      </m:sub>
                    </m:sSub>
                    <m:ctrlPr>
                      <w:rPr>
                        <w:rFonts w:ascii="Cambria Math" w:hAnsi="Cambria Math"/>
                        <w:i/>
                        <w:color w:val="auto"/>
                        <w:highlight w:val="none"/>
                      </w:rPr>
                    </m:ctrlPr>
                  </m:num>
                  <m:den>
                    <m:r>
                      <m:rPr/>
                      <w:rPr>
                        <w:rFonts w:ascii="Cambria Math" w:hAnsi="Cambria Math"/>
                        <w:color w:val="auto"/>
                        <w:highlight w:val="none"/>
                      </w:rPr>
                      <m:t>P×g</m:t>
                    </m:r>
                    <m:ctrlPr>
                      <w:rPr>
                        <w:rFonts w:ascii="Cambria Math" w:hAnsi="Cambria Math"/>
                        <w:i/>
                        <w:color w:val="auto"/>
                        <w:highlight w:val="none"/>
                      </w:rPr>
                    </m:ctrlPr>
                  </m:den>
                </m:f>
                <m:ctrlPr>
                  <w:rPr>
                    <w:rFonts w:ascii="Cambria Math" w:hAnsi="Cambria Math"/>
                    <w:i/>
                    <w:color w:val="auto"/>
                    <w:highlight w:val="none"/>
                  </w:rPr>
                </m:ctrlPr>
              </m:e>
              <m:e>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fdyn</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f</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r>
                      <m:rPr/>
                      <w:rPr>
                        <w:rFonts w:ascii="Cambria Math" w:hAnsi="Cambria Math"/>
                        <w:color w:val="auto"/>
                        <w:highlight w:val="none"/>
                      </w:rPr>
                      <m:t>ℎ</m:t>
                    </m:r>
                    <m:ctrlPr>
                      <w:rPr>
                        <w:rFonts w:ascii="Cambria Math" w:hAnsi="Cambria Math"/>
                        <w:i/>
                        <w:color w:val="auto"/>
                        <w:highlight w:val="none"/>
                      </w:rPr>
                    </m:ctrlPr>
                  </m:num>
                  <m:den>
                    <m:r>
                      <m:rPr/>
                      <w:rPr>
                        <w:rFonts w:ascii="Cambria Math" w:hAnsi="Cambria Math"/>
                        <w:color w:val="auto"/>
                        <w:highlight w:val="none"/>
                      </w:rPr>
                      <m:t>E</m:t>
                    </m:r>
                    <m:ctrlPr>
                      <w:rPr>
                        <w:rFonts w:ascii="Cambria Math" w:hAnsi="Cambria Math"/>
                        <w:i/>
                        <w:color w:val="auto"/>
                        <w:highlight w:val="none"/>
                      </w:rPr>
                    </m:ctrlPr>
                  </m:den>
                </m:f>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AL</m:t>
                    </m:r>
                    <m:ctrlPr>
                      <w:rPr>
                        <w:rFonts w:ascii="Cambria Math" w:hAnsi="Cambria Math"/>
                        <w:i/>
                        <w:color w:val="auto"/>
                        <w:highlight w:val="none"/>
                      </w:rPr>
                    </m:ctrlPr>
                  </m:sub>
                </m:sSub>
                <m:r>
                  <m:rPr/>
                  <w:rPr>
                    <w:rFonts w:ascii="Cambria Math" w:hAnsi="Cambria Math"/>
                    <w:color w:val="auto"/>
                    <w:highlight w:val="none"/>
                  </w:rPr>
                  <m:t xml:space="preserve">×P×g </m:t>
                </m:r>
                <m:ctrlPr>
                  <w:rPr>
                    <w:rFonts w:ascii="Cambria Math" w:hAnsi="Cambria Math"/>
                    <w:i/>
                    <w:color w:val="auto"/>
                    <w:highlight w:val="none"/>
                  </w:rPr>
                </m:ctrlPr>
              </m:e>
              <m:e>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rdyn</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F</m:t>
                    </m:r>
                    <m:ctrlPr>
                      <w:rPr>
                        <w:rFonts w:ascii="Cambria Math" w:hAnsi="Cambria Math"/>
                        <w:i/>
                        <w:color w:val="auto"/>
                        <w:highlight w:val="none"/>
                      </w:rPr>
                    </m:ctrlPr>
                  </m:e>
                  <m:sub>
                    <m:r>
                      <m:rPr/>
                      <w:rPr>
                        <w:rFonts w:ascii="Cambria Math" w:hAnsi="Cambria Math"/>
                        <w:color w:val="auto"/>
                        <w:highlight w:val="none"/>
                      </w:rPr>
                      <m:t>r</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r>
                      <m:rPr/>
                      <w:rPr>
                        <w:rFonts w:ascii="Cambria Math" w:hAnsi="Cambria Math"/>
                        <w:color w:val="auto"/>
                        <w:highlight w:val="none"/>
                      </w:rPr>
                      <m:t>ℎ</m:t>
                    </m:r>
                    <m:ctrlPr>
                      <w:rPr>
                        <w:rFonts w:ascii="Cambria Math" w:hAnsi="Cambria Math"/>
                        <w:i/>
                        <w:color w:val="auto"/>
                        <w:highlight w:val="none"/>
                      </w:rPr>
                    </m:ctrlPr>
                  </m:num>
                  <m:den>
                    <m:r>
                      <m:rPr/>
                      <w:rPr>
                        <w:rFonts w:ascii="Cambria Math" w:hAnsi="Cambria Math"/>
                        <w:color w:val="auto"/>
                        <w:highlight w:val="none"/>
                      </w:rPr>
                      <m:t>E</m:t>
                    </m:r>
                    <m:ctrlPr>
                      <w:rPr>
                        <w:rFonts w:ascii="Cambria Math" w:hAnsi="Cambria Math"/>
                        <w:i/>
                        <w:color w:val="auto"/>
                        <w:highlight w:val="none"/>
                      </w:rPr>
                    </m:ctrlPr>
                  </m:den>
                </m:f>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AL</m:t>
                    </m:r>
                    <m:ctrlPr>
                      <w:rPr>
                        <w:rFonts w:ascii="Cambria Math" w:hAnsi="Cambria Math"/>
                        <w:i/>
                        <w:color w:val="auto"/>
                        <w:highlight w:val="none"/>
                      </w:rPr>
                    </m:ctrlPr>
                  </m:sub>
                </m:sSub>
                <m:r>
                  <m:rPr/>
                  <w:rPr>
                    <w:rFonts w:ascii="Cambria Math" w:hAnsi="Cambria Math"/>
                    <w:color w:val="auto"/>
                    <w:highlight w:val="none"/>
                  </w:rPr>
                  <m:t>×P×g</m:t>
                </m:r>
                <m:ctrlPr>
                  <w:rPr>
                    <w:rFonts w:ascii="Cambria Math" w:hAnsi="Cambria Math"/>
                    <w:i/>
                    <w:color w:val="auto"/>
                    <w:highlight w:val="none"/>
                  </w:rPr>
                </m:ctrlPr>
              </m:e>
            </m:eqArr>
            <m:ctrlPr>
              <w:rPr>
                <w:rFonts w:ascii="Cambria Math" w:hAnsi="Cambria Math"/>
                <w:i/>
                <w:color w:val="auto"/>
                <w:highlight w:val="none"/>
              </w:rPr>
            </m:ctrlPr>
          </m:e>
        </m:d>
      </m:oMath>
      <w:r>
        <w:rPr>
          <w:rFonts w:ascii="微软雅黑" w:hAnsi="微软雅黑" w:eastAsia="微软雅黑"/>
          <w:color w:val="auto"/>
          <w:highlight w:val="none"/>
        </w:rPr>
        <w:tab/>
      </w:r>
      <w:r>
        <w:rPr>
          <w:color w:val="auto"/>
          <w:highlight w:val="none"/>
        </w:rPr>
        <w:t>(</w:t>
      </w:r>
      <w:r>
        <w:rPr>
          <w:color w:val="auto"/>
          <w:highlight w:val="none"/>
        </w:rPr>
        <w:fldChar w:fldCharType="begin"/>
      </w:r>
      <w:r>
        <w:rPr>
          <w:color w:val="auto"/>
          <w:highlight w:val="none"/>
        </w:rPr>
        <w:instrText xml:space="preserve"> AUTONUM </w:instrText>
      </w:r>
      <w:r>
        <w:rPr>
          <w:color w:val="auto"/>
          <w:highlight w:val="none"/>
        </w:rPr>
        <w:fldChar w:fldCharType="end"/>
      </w:r>
      <w:r>
        <w:rPr>
          <w:rFonts w:hint="eastAsia"/>
          <w:color w:val="auto"/>
          <w:highlight w:val="none"/>
          <w:lang w:val="en-US" w:eastAsia="zh-CN"/>
        </w:rPr>
        <w:t>4</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k</m:t>
            </m:r>
            <m:ctrlPr>
              <w:rPr>
                <w:rFonts w:ascii="Cambria Math" w:hAnsi="Cambria Math"/>
                <w:i/>
                <w:color w:val="auto"/>
                <w:kern w:val="2"/>
                <w:szCs w:val="21"/>
                <w:highlight w:val="none"/>
              </w:rPr>
            </m:ctrlPr>
          </m:e>
          <m:sub>
            <m:r>
              <m:rPr/>
              <w:rPr>
                <w:rFonts w:ascii="Cambria Math" w:hAnsi="Cambria Math"/>
                <w:color w:val="auto"/>
                <w:highlight w:val="none"/>
              </w:rPr>
              <m:t>M</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——机动车辆的</w:t>
      </w:r>
      <m:oMath>
        <m:r>
          <m:rPr/>
          <w:rPr>
            <w:rFonts w:ascii="Cambria Math" w:hAnsi="Cambria Math"/>
            <w:color w:val="auto"/>
            <w:highlight w:val="none"/>
          </w:rPr>
          <m:t>k</m:t>
        </m:r>
      </m:oMath>
      <w:r>
        <w:rPr>
          <w:rFonts w:hint="eastAsia"/>
          <w:color w:val="auto"/>
          <w:highlight w:val="none"/>
        </w:rPr>
        <w:t>值；</w:t>
      </w:r>
    </w:p>
    <w:p>
      <w:pPr>
        <w:pStyle w:val="62"/>
        <w:tabs>
          <w:tab w:val="left" w:pos="1050"/>
        </w:tabs>
        <w:ind w:firstLine="420"/>
        <w:rPr>
          <w:rFonts w:ascii="Calibri" w:hAnsi="Calibri"/>
          <w:iCs/>
          <w:color w:val="auto"/>
          <w:kern w:val="2"/>
          <w:szCs w:val="21"/>
          <w:highlight w:val="none"/>
        </w:rPr>
      </w:pP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f</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——一个前轴的</w:t>
      </w:r>
      <m:oMath>
        <m:r>
          <m:rPr/>
          <w:rPr>
            <w:rFonts w:hint="eastAsia" w:ascii="Cambria Math" w:hAnsi="Cambria Math"/>
            <w:color w:val="auto"/>
            <w:highlight w:val="none"/>
          </w:rPr>
          <m:t>k</m:t>
        </m:r>
      </m:oMath>
      <w:r>
        <w:rPr>
          <w:rFonts w:hint="eastAsia"/>
          <w:color w:val="auto"/>
          <w:highlight w:val="none"/>
        </w:rPr>
        <w:t>值；</w:t>
      </w:r>
    </w:p>
    <w:p>
      <w:pPr>
        <w:pStyle w:val="62"/>
        <w:tabs>
          <w:tab w:val="left" w:pos="1050"/>
        </w:tabs>
        <w:ind w:firstLine="420"/>
        <w:rPr>
          <w:rFonts w:ascii="Calibri" w:hAnsi="Calibri"/>
          <w:iCs/>
          <w:color w:val="auto"/>
          <w:kern w:val="2"/>
          <w:szCs w:val="21"/>
          <w:highlight w:val="none"/>
        </w:rPr>
      </w:pP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hint="eastAsia" w:ascii="Cambria Math" w:hAnsi="Cambria Math"/>
                <w:color w:val="auto"/>
                <w:highlight w:val="none"/>
              </w:rPr>
              <m:t>r</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——一个后轴的</w:t>
      </w:r>
      <m:oMath>
        <m:r>
          <m:rPr/>
          <w:rPr>
            <w:rFonts w:hint="eastAsia" w:ascii="Cambria Math" w:hAnsi="Cambria Math"/>
            <w:color w:val="auto"/>
            <w:highlight w:val="none"/>
          </w:rPr>
          <m:t>k</m:t>
        </m:r>
      </m:oMath>
      <w:r>
        <w:rPr>
          <w:rFonts w:hint="eastAsia"/>
          <w:color w:val="auto"/>
          <w:highlight w:val="none"/>
        </w:rPr>
        <w:t>值；</w:t>
      </w:r>
    </w:p>
    <w:p>
      <w:pPr>
        <w:pStyle w:val="62"/>
        <w:tabs>
          <w:tab w:val="left" w:pos="1050"/>
        </w:tabs>
        <w:ind w:firstLine="420"/>
        <w:rPr>
          <w:color w:val="auto"/>
          <w:highlight w:val="none"/>
        </w:rPr>
      </w:pPr>
      <m:oMath>
        <m:r>
          <m:rPr/>
          <w:rPr>
            <w:rFonts w:hint="eastAsia" w:ascii="Cambria Math" w:hAnsi="Cambria Math"/>
            <w:color w:val="auto"/>
            <w:kern w:val="2"/>
            <w:szCs w:val="21"/>
            <w:highlight w:val="none"/>
          </w:rPr>
          <m:t>P</m:t>
        </m:r>
      </m:oMath>
      <w:r>
        <w:rPr>
          <w:rFonts w:hint="eastAsia" w:hAnsi="Cambria Math"/>
          <w:i w:val="0"/>
          <w:color w:val="auto"/>
          <w:kern w:val="2"/>
          <w:szCs w:val="21"/>
          <w:highlight w:val="none"/>
          <w:lang w:val="en-US" w:eastAsia="zh-CN"/>
        </w:rPr>
        <w:tab/>
      </w:r>
      <w:r>
        <w:rPr>
          <w:rFonts w:hint="eastAsia"/>
          <w:color w:val="auto"/>
          <w:highlight w:val="none"/>
        </w:rPr>
        <w:t>——单车质量</w:t>
      </w:r>
      <w:r>
        <w:rPr>
          <w:rFonts w:hint="eastAsia"/>
          <w:color w:val="auto"/>
          <w:highlight w:val="none"/>
          <w:lang w:val="en-US" w:eastAsia="zh-CN"/>
        </w:rPr>
        <w:t>的数值</w:t>
      </w:r>
      <w:r>
        <w:rPr>
          <w:rFonts w:hint="eastAsia"/>
          <w:color w:val="auto"/>
          <w:highlight w:val="none"/>
        </w:rPr>
        <w:t>，单位为千克（kg）；</w:t>
      </w:r>
    </w:p>
    <w:p>
      <w:pPr>
        <w:pStyle w:val="62"/>
        <w:tabs>
          <w:tab w:val="left" w:pos="1050"/>
        </w:tabs>
        <w:ind w:firstLine="420"/>
        <w:rPr>
          <w:color w:val="auto"/>
          <w:highlight w:val="none"/>
        </w:rPr>
      </w:pPr>
      <m:oMath>
        <m:r>
          <m:rPr/>
          <w:rPr>
            <w:rFonts w:hint="eastAsia" w:ascii="Cambria Math" w:hAnsi="Cambria Math"/>
            <w:color w:val="auto"/>
            <w:kern w:val="2"/>
            <w:szCs w:val="21"/>
            <w:highlight w:val="none"/>
          </w:rPr>
          <m:t>g</m:t>
        </m:r>
      </m:oMath>
      <w:r>
        <w:rPr>
          <w:rFonts w:hint="eastAsia" w:hAnsi="Cambria Math"/>
          <w:i w:val="0"/>
          <w:color w:val="auto"/>
          <w:kern w:val="2"/>
          <w:szCs w:val="21"/>
          <w:highlight w:val="none"/>
          <w:lang w:val="en-US" w:eastAsia="zh-CN"/>
        </w:rPr>
        <w:tab/>
      </w:r>
      <w:r>
        <w:rPr>
          <w:rFonts w:hint="eastAsia"/>
          <w:color w:val="auto"/>
          <w:highlight w:val="none"/>
        </w:rPr>
        <w:t>——重力加速度，单位为米每二次方秒</w:t>
      </w:r>
      <m:oMath>
        <m:r>
          <m:rPr/>
          <w:rPr>
            <w:rFonts w:ascii="Cambria Math" w:hAnsi="Cambria Math"/>
            <w:color w:val="auto"/>
            <w:kern w:val="2"/>
            <w:highlight w:val="none"/>
          </w:rPr>
          <m:t>(m/</m:t>
        </m:r>
        <m:sSup>
          <m:sSupPr>
            <m:ctrlPr>
              <w:rPr>
                <w:rFonts w:ascii="Cambria Math" w:hAnsi="Cambria Math"/>
                <w:i/>
                <w:color w:val="auto"/>
                <w:kern w:val="2"/>
                <w:sz w:val="18"/>
                <w:highlight w:val="none"/>
              </w:rPr>
            </m:ctrlPr>
          </m:sSupPr>
          <m:e>
            <m:r>
              <m:rPr/>
              <w:rPr>
                <w:rFonts w:hint="eastAsia" w:ascii="Cambria Math" w:hAnsi="Cambria Math"/>
                <w:color w:val="auto"/>
                <w:kern w:val="2"/>
                <w:highlight w:val="none"/>
              </w:rPr>
              <m:t>s</m:t>
            </m:r>
            <m:ctrlPr>
              <w:rPr>
                <w:rFonts w:ascii="Cambria Math" w:hAnsi="Cambria Math"/>
                <w:i/>
                <w:color w:val="auto"/>
                <w:kern w:val="2"/>
                <w:sz w:val="18"/>
                <w:highlight w:val="none"/>
              </w:rPr>
            </m:ctrlPr>
          </m:e>
          <m:sup>
            <m:r>
              <m:rPr/>
              <w:rPr>
                <w:rFonts w:ascii="Cambria Math" w:hAnsi="Cambria Math"/>
                <w:color w:val="auto"/>
                <w:kern w:val="2"/>
                <w:highlight w:val="none"/>
              </w:rPr>
              <m:t>2</m:t>
            </m:r>
            <m:ctrlPr>
              <w:rPr>
                <w:rFonts w:ascii="Cambria Math" w:hAnsi="Cambria Math"/>
                <w:i/>
                <w:color w:val="auto"/>
                <w:kern w:val="2"/>
                <w:sz w:val="18"/>
                <w:highlight w:val="none"/>
              </w:rPr>
            </m:ctrlPr>
          </m:sup>
        </m:sSup>
        <m:r>
          <m:rPr/>
          <w:rPr>
            <w:rFonts w:ascii="Cambria Math" w:hAnsi="Cambria Math"/>
            <w:color w:val="auto"/>
            <w:kern w:val="2"/>
            <w:highlight w:val="none"/>
          </w:rPr>
          <m:t>)</m:t>
        </m:r>
      </m:oMath>
      <w:r>
        <w:rPr>
          <w:rFonts w:hint="eastAsia"/>
          <w:color w:val="auto"/>
          <w:highlight w:val="none"/>
        </w:rPr>
        <w:t>；</w:t>
      </w:r>
    </w:p>
    <w:p>
      <w:pPr>
        <w:pStyle w:val="62"/>
        <w:tabs>
          <w:tab w:val="left" w:pos="1050"/>
        </w:tabs>
        <w:ind w:firstLine="420"/>
        <w:rPr>
          <w:color w:val="auto"/>
          <w:highlight w:val="none"/>
        </w:rPr>
      </w:pPr>
      <m:oMath>
        <m:r>
          <m:rPr/>
          <w:rPr>
            <w:rFonts w:ascii="Cambria Math" w:hAnsi="Cambria Math"/>
            <w:color w:val="auto"/>
            <w:highlight w:val="none"/>
          </w:rPr>
          <m:t>ℎ</m:t>
        </m:r>
      </m:oMath>
      <w:r>
        <w:rPr>
          <w:rFonts w:hint="eastAsia" w:hAnsi="Cambria Math"/>
          <w:i/>
          <w:color w:val="auto"/>
          <w:highlight w:val="none"/>
          <w:lang w:val="en-US" w:eastAsia="zh-CN"/>
        </w:rPr>
        <w:tab/>
      </w:r>
      <w:r>
        <w:rPr>
          <w:rFonts w:hint="eastAsia" w:ascii="Cambria Math" w:hAnsi="Cambria Math"/>
          <w:i/>
          <w:color w:val="auto"/>
          <w:highlight w:val="none"/>
        </w:rPr>
        <w:t>——</w:t>
      </w:r>
      <w:r>
        <w:rPr>
          <w:color w:val="auto"/>
          <w:highlight w:val="none"/>
        </w:rPr>
        <w:t>由制造商规定并经进行试验的检测机构认可的重心高度</w:t>
      </w:r>
      <w:r>
        <w:rPr>
          <w:rFonts w:hint="eastAsia"/>
          <w:color w:val="auto"/>
          <w:highlight w:val="none"/>
          <w:lang w:val="en-US" w:eastAsia="zh-CN"/>
        </w:rPr>
        <w:t>的数值</w:t>
      </w:r>
      <w:r>
        <w:rPr>
          <w:rFonts w:hint="eastAsia"/>
          <w:color w:val="auto"/>
          <w:highlight w:val="none"/>
        </w:rPr>
        <w:t>，单位为米（m）；</w:t>
      </w:r>
    </w:p>
    <w:p>
      <w:pPr>
        <w:pStyle w:val="62"/>
        <w:tabs>
          <w:tab w:val="left" w:pos="1050"/>
        </w:tabs>
        <w:ind w:firstLine="420"/>
        <w:rPr>
          <w:color w:val="auto"/>
          <w:highlight w:val="none"/>
        </w:rPr>
      </w:pPr>
      <m:oMath>
        <m:r>
          <m:rPr/>
          <w:rPr>
            <w:rFonts w:hint="eastAsia" w:ascii="Cambria Math" w:hAnsi="Cambria Math"/>
            <w:color w:val="auto"/>
            <w:highlight w:val="none"/>
          </w:rPr>
          <m:t>E</m:t>
        </m:r>
      </m:oMath>
      <w:r>
        <w:rPr>
          <w:rFonts w:hint="eastAsia" w:hAnsi="Cambria Math"/>
          <w:i/>
          <w:color w:val="auto"/>
          <w:highlight w:val="none"/>
          <w:lang w:val="en-US" w:eastAsia="zh-CN"/>
        </w:rPr>
        <w:tab/>
      </w:r>
      <w:r>
        <w:rPr>
          <w:rFonts w:hint="eastAsia" w:ascii="Cambria Math" w:hAnsi="Cambria Math"/>
          <w:i/>
          <w:color w:val="auto"/>
          <w:highlight w:val="none"/>
        </w:rPr>
        <w:t>——</w:t>
      </w:r>
      <w:r>
        <w:rPr>
          <w:rFonts w:hint="eastAsia"/>
          <w:color w:val="auto"/>
          <w:highlight w:val="none"/>
        </w:rPr>
        <w:t>轴距</w:t>
      </w:r>
      <w:r>
        <w:rPr>
          <w:rFonts w:hint="eastAsia"/>
          <w:color w:val="auto"/>
          <w:highlight w:val="none"/>
          <w:lang w:val="en-US" w:eastAsia="zh-CN"/>
        </w:rPr>
        <w:t>的数值</w:t>
      </w:r>
      <w:r>
        <w:rPr>
          <w:rFonts w:hint="eastAsia"/>
          <w:color w:val="auto"/>
          <w:highlight w:val="none"/>
        </w:rPr>
        <w:t>，单位为米（m）；</w:t>
      </w:r>
    </w:p>
    <w:p>
      <w:pPr>
        <w:pStyle w:val="62"/>
        <w:tabs>
          <w:tab w:val="left" w:pos="1050"/>
        </w:tabs>
        <w:ind w:firstLine="420"/>
        <w:rPr>
          <w:rFonts w:ascii="Calibri" w:hAnsi="Calibri"/>
          <w:iCs/>
          <w:color w:val="auto"/>
          <w:kern w:val="2"/>
          <w:szCs w:val="21"/>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z</m:t>
            </m:r>
            <m:ctrlPr>
              <w:rPr>
                <w:rFonts w:ascii="Cambria Math" w:hAnsi="Cambria Math"/>
                <w:i/>
                <w:color w:val="auto"/>
                <w:kern w:val="2"/>
                <w:szCs w:val="21"/>
                <w:highlight w:val="none"/>
              </w:rPr>
            </m:ctrlPr>
          </m:e>
          <m:sub>
            <m:r>
              <m:rPr/>
              <w:rPr>
                <w:rFonts w:ascii="Cambria Math" w:hAnsi="Cambria Math"/>
                <w:color w:val="auto"/>
                <w:highlight w:val="none"/>
              </w:rPr>
              <m:t>AL</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——防抱制动系统工作时车辆的最大制动强度；</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F</m:t>
            </m:r>
            <m:ctrlPr>
              <w:rPr>
                <w:rFonts w:ascii="Cambria Math" w:hAnsi="Cambria Math"/>
                <w:i/>
                <w:color w:val="auto"/>
                <w:kern w:val="2"/>
                <w:szCs w:val="21"/>
                <w:highlight w:val="none"/>
              </w:rPr>
            </m:ctrlPr>
          </m:e>
          <m:sub>
            <m:r>
              <m:rPr/>
              <w:rPr>
                <w:rFonts w:ascii="Cambria Math" w:hAnsi="Cambria Math"/>
                <w:color w:val="auto"/>
                <w:highlight w:val="none"/>
              </w:rPr>
              <m:t>fdyn</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——机动车辆前轴上的</w:t>
      </w:r>
      <m:oMath>
        <m:sSub>
          <m:sSubPr>
            <m:ctrlPr>
              <w:rPr>
                <w:rFonts w:ascii="Cambria Math" w:hAnsi="Cambria Math"/>
                <w:i/>
                <w:color w:val="auto"/>
                <w:kern w:val="2"/>
                <w:szCs w:val="21"/>
                <w:highlight w:val="none"/>
              </w:rPr>
            </m:ctrlPr>
          </m:sSubPr>
          <m:e>
            <m:r>
              <m:rPr/>
              <w:rPr>
                <w:rFonts w:ascii="Cambria Math" w:hAnsi="Cambria Math"/>
                <w:color w:val="auto"/>
                <w:highlight w:val="none"/>
              </w:rPr>
              <m:t>F</m:t>
            </m:r>
            <m:ctrlPr>
              <w:rPr>
                <w:rFonts w:ascii="Cambria Math" w:hAnsi="Cambria Math"/>
                <w:i/>
                <w:color w:val="auto"/>
                <w:kern w:val="2"/>
                <w:szCs w:val="21"/>
                <w:highlight w:val="none"/>
              </w:rPr>
            </m:ctrlPr>
          </m:e>
          <m:sub>
            <m:r>
              <m:rPr/>
              <w:rPr>
                <w:rFonts w:ascii="Cambria Math" w:hAnsi="Cambria Math"/>
                <w:color w:val="auto"/>
                <w:highlight w:val="none"/>
              </w:rPr>
              <m:t>dyn</m:t>
            </m:r>
            <m:ctrlPr>
              <w:rPr>
                <w:rFonts w:ascii="Cambria Math" w:hAnsi="Cambria Math"/>
                <w:i/>
                <w:color w:val="auto"/>
                <w:kern w:val="2"/>
                <w:szCs w:val="21"/>
                <w:highlight w:val="none"/>
              </w:rPr>
            </m:ctrlPr>
          </m:sub>
        </m:sSub>
      </m:oMath>
      <w:r>
        <w:rPr>
          <w:rFonts w:hint="eastAsia"/>
          <w:color w:val="auto"/>
          <w:kern w:val="2"/>
          <w:szCs w:val="21"/>
          <w:highlight w:val="none"/>
        </w:rPr>
        <w:t>（防抱制动系统工作时的路面法向动态反力）</w:t>
      </w:r>
      <w:r>
        <w:rPr>
          <w:rFonts w:hint="eastAsia"/>
          <w:color w:val="auto"/>
          <w:highlight w:val="none"/>
          <w:lang w:val="en-US" w:eastAsia="zh-CN"/>
        </w:rPr>
        <w:t>的数值</w:t>
      </w:r>
      <w:r>
        <w:rPr>
          <w:rFonts w:hint="eastAsia"/>
          <w:color w:val="auto"/>
          <w:kern w:val="2"/>
          <w:szCs w:val="21"/>
          <w:highlight w:val="none"/>
        </w:rPr>
        <w:t>，单位为牛顿（N）</w:t>
      </w:r>
      <w:r>
        <w:rPr>
          <w:rFonts w:hint="eastAsia"/>
          <w:color w:val="auto"/>
          <w:highlight w:val="none"/>
        </w:rPr>
        <w:t>；</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F</m:t>
            </m:r>
            <m:ctrlPr>
              <w:rPr>
                <w:rFonts w:ascii="Cambria Math" w:hAnsi="Cambria Math"/>
                <w:i/>
                <w:color w:val="auto"/>
                <w:kern w:val="2"/>
                <w:szCs w:val="21"/>
                <w:highlight w:val="none"/>
              </w:rPr>
            </m:ctrlPr>
          </m:e>
          <m:sub>
            <m:r>
              <m:rPr/>
              <w:rPr>
                <w:rFonts w:hint="eastAsia" w:ascii="Cambria Math" w:hAnsi="Cambria Math"/>
                <w:color w:val="auto"/>
                <w:highlight w:val="none"/>
              </w:rPr>
              <m:t>r</m:t>
            </m:r>
            <m:r>
              <m:rPr/>
              <w:rPr>
                <w:rFonts w:ascii="Cambria Math" w:hAnsi="Cambria Math"/>
                <w:color w:val="auto"/>
                <w:highlight w:val="none"/>
              </w:rPr>
              <m:t>dyn</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——机动车辆后轴上的</w:t>
      </w:r>
      <m:oMath>
        <m:sSub>
          <m:sSubPr>
            <m:ctrlPr>
              <w:rPr>
                <w:rFonts w:ascii="Cambria Math" w:hAnsi="Cambria Math"/>
                <w:i/>
                <w:color w:val="auto"/>
                <w:kern w:val="2"/>
                <w:szCs w:val="21"/>
                <w:highlight w:val="none"/>
              </w:rPr>
            </m:ctrlPr>
          </m:sSubPr>
          <m:e>
            <m:r>
              <m:rPr/>
              <w:rPr>
                <w:rFonts w:ascii="Cambria Math" w:hAnsi="Cambria Math"/>
                <w:color w:val="auto"/>
                <w:highlight w:val="none"/>
              </w:rPr>
              <m:t>F</m:t>
            </m:r>
            <m:ctrlPr>
              <w:rPr>
                <w:rFonts w:ascii="Cambria Math" w:hAnsi="Cambria Math"/>
                <w:i/>
                <w:color w:val="auto"/>
                <w:kern w:val="2"/>
                <w:szCs w:val="21"/>
                <w:highlight w:val="none"/>
              </w:rPr>
            </m:ctrlPr>
          </m:e>
          <m:sub>
            <m:r>
              <m:rPr/>
              <w:rPr>
                <w:rFonts w:ascii="Cambria Math" w:hAnsi="Cambria Math"/>
                <w:color w:val="auto"/>
                <w:highlight w:val="none"/>
              </w:rPr>
              <m:t>dyn</m:t>
            </m:r>
            <m:ctrlPr>
              <w:rPr>
                <w:rFonts w:ascii="Cambria Math" w:hAnsi="Cambria Math"/>
                <w:i/>
                <w:color w:val="auto"/>
                <w:kern w:val="2"/>
                <w:szCs w:val="21"/>
                <w:highlight w:val="none"/>
              </w:rPr>
            </m:ctrlPr>
          </m:sub>
        </m:sSub>
      </m:oMath>
      <w:r>
        <w:rPr>
          <w:rFonts w:hint="eastAsia"/>
          <w:color w:val="auto"/>
          <w:kern w:val="2"/>
          <w:szCs w:val="21"/>
          <w:highlight w:val="none"/>
        </w:rPr>
        <w:t>（防抱制动系统工作时的路面法向动态反力）</w:t>
      </w:r>
      <w:r>
        <w:rPr>
          <w:rFonts w:hint="eastAsia"/>
          <w:color w:val="auto"/>
          <w:highlight w:val="none"/>
          <w:lang w:val="en-US" w:eastAsia="zh-CN"/>
        </w:rPr>
        <w:t>的数值</w:t>
      </w:r>
      <w:r>
        <w:rPr>
          <w:rFonts w:hint="eastAsia"/>
          <w:color w:val="auto"/>
          <w:kern w:val="2"/>
          <w:szCs w:val="21"/>
          <w:highlight w:val="none"/>
        </w:rPr>
        <w:t>，单位为牛顿（N）</w:t>
      </w:r>
      <w:r>
        <w:rPr>
          <w:rFonts w:hint="eastAsia"/>
          <w:color w:val="auto"/>
          <w:highlight w:val="none"/>
        </w:rPr>
        <w:t>；</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F</m:t>
            </m:r>
            <m:ctrlPr>
              <w:rPr>
                <w:rFonts w:ascii="Cambria Math" w:hAnsi="Cambria Math"/>
                <w:i/>
                <w:color w:val="auto"/>
                <w:kern w:val="2"/>
                <w:szCs w:val="21"/>
                <w:highlight w:val="none"/>
              </w:rPr>
            </m:ctrlPr>
          </m:e>
          <m:sub>
            <m:r>
              <m:rPr/>
              <w:rPr>
                <w:rFonts w:ascii="Cambria Math" w:hAnsi="Cambria Math"/>
                <w:color w:val="auto"/>
                <w:highlight w:val="none"/>
              </w:rPr>
              <m:t>f</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——路面对前轴的法向静态反力</w:t>
      </w:r>
      <w:r>
        <w:rPr>
          <w:rFonts w:hint="eastAsia"/>
          <w:color w:val="auto"/>
          <w:highlight w:val="none"/>
          <w:lang w:val="en-US" w:eastAsia="zh-CN"/>
        </w:rPr>
        <w:t>的数值</w:t>
      </w:r>
      <w:r>
        <w:rPr>
          <w:rFonts w:hint="eastAsia"/>
          <w:color w:val="auto"/>
          <w:kern w:val="2"/>
          <w:szCs w:val="21"/>
          <w:highlight w:val="none"/>
        </w:rPr>
        <w:t>，单位为牛顿（N）</w:t>
      </w:r>
      <w:r>
        <w:rPr>
          <w:rFonts w:hint="eastAsia"/>
          <w:color w:val="auto"/>
          <w:highlight w:val="none"/>
        </w:rPr>
        <w:t>；</w:t>
      </w:r>
    </w:p>
    <w:p>
      <w:pPr>
        <w:pStyle w:val="62"/>
        <w:tabs>
          <w:tab w:val="left" w:pos="1050"/>
        </w:tabs>
        <w:ind w:firstLine="420"/>
        <w:rPr>
          <w:color w:val="auto"/>
          <w:highlight w:val="none"/>
        </w:rPr>
      </w:pPr>
      <m:oMath>
        <m:sSub>
          <m:sSubPr>
            <m:ctrlPr>
              <w:rPr>
                <w:rFonts w:ascii="Cambria Math" w:hAnsi="Cambria Math"/>
                <w:i/>
                <w:color w:val="auto"/>
                <w:kern w:val="2"/>
                <w:szCs w:val="21"/>
                <w:highlight w:val="none"/>
              </w:rPr>
            </m:ctrlPr>
          </m:sSubPr>
          <m:e>
            <m:r>
              <m:rPr/>
              <w:rPr>
                <w:rFonts w:ascii="Cambria Math" w:hAnsi="Cambria Math"/>
                <w:color w:val="auto"/>
                <w:highlight w:val="none"/>
              </w:rPr>
              <m:t>F</m:t>
            </m:r>
            <m:ctrlPr>
              <w:rPr>
                <w:rFonts w:ascii="Cambria Math" w:hAnsi="Cambria Math"/>
                <w:i/>
                <w:color w:val="auto"/>
                <w:kern w:val="2"/>
                <w:szCs w:val="21"/>
                <w:highlight w:val="none"/>
              </w:rPr>
            </m:ctrlPr>
          </m:e>
          <m:sub>
            <m:r>
              <m:rPr/>
              <w:rPr>
                <w:rFonts w:hint="eastAsia" w:ascii="Cambria Math" w:hAnsi="Cambria Math"/>
                <w:color w:val="auto"/>
                <w:highlight w:val="none"/>
              </w:rPr>
              <m:t>r</m:t>
            </m:r>
            <m:ctrlPr>
              <w:rPr>
                <w:rFonts w:ascii="Cambria Math" w:hAnsi="Cambria Math"/>
                <w:i/>
                <w:color w:val="auto"/>
                <w:kern w:val="2"/>
                <w:szCs w:val="21"/>
                <w:highlight w:val="none"/>
              </w:rPr>
            </m:ctrlPr>
          </m:sub>
        </m:sSub>
      </m:oMath>
      <w:r>
        <w:rPr>
          <w:rFonts w:hint="eastAsia" w:hAnsi="Cambria Math"/>
          <w:i w:val="0"/>
          <w:color w:val="auto"/>
          <w:kern w:val="2"/>
          <w:szCs w:val="21"/>
          <w:highlight w:val="none"/>
          <w:lang w:val="en-US" w:eastAsia="zh-CN"/>
        </w:rPr>
        <w:tab/>
      </w:r>
      <w:r>
        <w:rPr>
          <w:rFonts w:hint="eastAsia"/>
          <w:color w:val="auto"/>
          <w:highlight w:val="none"/>
        </w:rPr>
        <w:t>——路面对后轴的法向静态反力</w:t>
      </w:r>
      <w:r>
        <w:rPr>
          <w:rFonts w:hint="eastAsia"/>
          <w:color w:val="auto"/>
          <w:highlight w:val="none"/>
          <w:lang w:val="en-US" w:eastAsia="zh-CN"/>
        </w:rPr>
        <w:t>的数值</w:t>
      </w:r>
      <w:r>
        <w:rPr>
          <w:rFonts w:hint="eastAsia"/>
          <w:color w:val="auto"/>
          <w:kern w:val="2"/>
          <w:szCs w:val="21"/>
          <w:highlight w:val="none"/>
        </w:rPr>
        <w:t>，单位为牛顿（N）</w:t>
      </w:r>
      <w:r>
        <w:rPr>
          <w:rFonts w:hint="eastAsia"/>
          <w:color w:val="auto"/>
          <w:highlight w:val="none"/>
        </w:rPr>
        <w:t>。</w:t>
      </w:r>
    </w:p>
    <w:p>
      <w:pPr>
        <w:pStyle w:val="104"/>
        <w:spacing w:before="0" w:beforeLines="0" w:after="0" w:afterLines="0"/>
        <w:rPr>
          <w:rFonts w:ascii="宋体" w:hAnsi="宋体" w:eastAsia="宋体"/>
          <w:color w:val="auto"/>
          <w:highlight w:val="none"/>
        </w:rPr>
      </w:pPr>
      <m:oMath>
        <m:sSub>
          <m:sSubPr>
            <m:ctrlPr>
              <w:rPr>
                <w:rFonts w:ascii="Cambria Math" w:hAnsi="Cambria Math" w:eastAsia="宋体"/>
                <w:color w:val="auto"/>
                <w:highlight w:val="none"/>
              </w:rPr>
            </m:ctrlPr>
          </m:sSubPr>
          <m:e>
            <m:r>
              <m:rPr/>
              <w:rPr>
                <w:rFonts w:ascii="Cambria Math" w:hAnsi="Cambria Math" w:eastAsia="宋体"/>
                <w:color w:val="auto"/>
                <w:highlight w:val="none"/>
              </w:rPr>
              <m:t>z</m:t>
            </m:r>
            <m:ctrlPr>
              <w:rPr>
                <w:rFonts w:ascii="Cambria Math" w:hAnsi="Cambria Math" w:eastAsia="宋体"/>
                <w:color w:val="auto"/>
                <w:highlight w:val="none"/>
              </w:rPr>
            </m:ctrlPr>
          </m:e>
          <m:sub>
            <m:r>
              <m:rPr/>
              <w:rPr>
                <w:rFonts w:ascii="Cambria Math" w:hAnsi="Cambria Math" w:eastAsia="宋体"/>
                <w:color w:val="auto"/>
                <w:highlight w:val="none"/>
              </w:rPr>
              <m:t>AL</m:t>
            </m:r>
            <m:ctrlPr>
              <w:rPr>
                <w:rFonts w:ascii="Cambria Math" w:hAnsi="Cambria Math" w:eastAsia="宋体"/>
                <w:color w:val="auto"/>
                <w:highlight w:val="none"/>
              </w:rPr>
            </m:ctrlPr>
          </m:sub>
        </m:sSub>
      </m:oMath>
      <w:r>
        <w:rPr>
          <w:rFonts w:hint="eastAsia" w:ascii="宋体" w:hAnsi="宋体" w:eastAsia="宋体"/>
          <w:color w:val="auto"/>
          <w:highlight w:val="none"/>
        </w:rPr>
        <w:t>值应在防抱制动系统工作时对整车进行测定，附着系数利用率</w:t>
      </w:r>
      <m:oMath>
        <m:d>
          <m:dPr>
            <m:ctrlPr>
              <w:rPr>
                <w:rFonts w:ascii="Cambria Math" w:hAnsi="Cambria Math" w:eastAsia="宋体"/>
                <w:color w:val="auto"/>
                <w:highlight w:val="none"/>
              </w:rPr>
            </m:ctrlPr>
          </m:dPr>
          <m:e>
            <m:r>
              <m:rPr/>
              <w:rPr>
                <w:rFonts w:ascii="Cambria Math" w:hAnsi="Cambria Math" w:eastAsia="宋体"/>
                <w:color w:val="auto"/>
                <w:highlight w:val="none"/>
              </w:rPr>
              <m:t>ε</m:t>
            </m:r>
            <m:ctrlPr>
              <w:rPr>
                <w:rFonts w:ascii="Cambria Math" w:hAnsi="Cambria Math" w:eastAsia="宋体"/>
                <w:color w:val="auto"/>
                <w:highlight w:val="none"/>
              </w:rPr>
            </m:ctrlPr>
          </m:e>
        </m:d>
      </m:oMath>
      <w:r>
        <w:rPr>
          <w:rFonts w:hint="eastAsia" w:ascii="宋体" w:hAnsi="宋体" w:eastAsia="宋体"/>
          <w:color w:val="auto"/>
          <w:highlight w:val="none"/>
        </w:rPr>
        <w:t>由</w:t>
      </w:r>
      <w:r>
        <w:rPr>
          <w:rFonts w:ascii="宋体" w:hAnsi="宋体" w:eastAsia="宋体"/>
          <w:color w:val="auto"/>
          <w:highlight w:val="none"/>
        </w:rPr>
        <w:t>6.5.</w:t>
      </w:r>
      <w:r>
        <w:rPr>
          <w:rFonts w:hint="eastAsia" w:ascii="宋体" w:hAnsi="宋体" w:eastAsia="宋体"/>
          <w:color w:val="auto"/>
          <w:highlight w:val="none"/>
          <w:lang w:eastAsia="zh-CN"/>
        </w:rPr>
        <w:t>3</w:t>
      </w:r>
      <w:r>
        <w:rPr>
          <w:rFonts w:ascii="宋体" w:hAnsi="宋体" w:eastAsia="宋体"/>
          <w:color w:val="auto"/>
          <w:highlight w:val="none"/>
        </w:rPr>
        <w:t>.2.1中的同一个公式算出。</w:t>
      </w:r>
    </w:p>
    <w:p>
      <w:pPr>
        <w:pStyle w:val="104"/>
        <w:spacing w:before="0" w:beforeLines="0" w:after="0" w:afterLines="0"/>
        <w:rPr>
          <w:rFonts w:ascii="宋体" w:hAnsi="宋体" w:eastAsia="宋体"/>
          <w:color w:val="auto"/>
          <w:highlight w:val="none"/>
        </w:rPr>
      </w:pPr>
      <m:oMath>
        <m:r>
          <m:rPr/>
          <w:rPr>
            <w:rFonts w:ascii="Cambria Math" w:hAnsi="Cambria Math" w:eastAsia="宋体"/>
            <w:color w:val="auto"/>
            <w:highlight w:val="none"/>
          </w:rPr>
          <m:t>ε</m:t>
        </m:r>
      </m:oMath>
      <w:r>
        <w:rPr>
          <w:rFonts w:hint="eastAsia" w:ascii="宋体" w:hAnsi="宋体" w:eastAsia="宋体"/>
          <w:color w:val="auto"/>
          <w:highlight w:val="none"/>
        </w:rPr>
        <w:t>值应四舍五入为2位小数。如</w:t>
      </w:r>
      <m:oMath>
        <m:r>
          <m:rPr/>
          <w:rPr>
            <w:rFonts w:ascii="Cambria Math" w:hAnsi="Cambria Math" w:eastAsia="宋体"/>
            <w:color w:val="auto"/>
            <w:highlight w:val="none"/>
          </w:rPr>
          <m:t>ε</m:t>
        </m:r>
        <m:r>
          <m:rPr>
            <m:sty m:val="p"/>
          </m:rPr>
          <w:rPr>
            <w:rFonts w:ascii="Cambria Math" w:hAnsi="Cambria Math" w:eastAsia="宋体"/>
            <w:color w:val="auto"/>
            <w:highlight w:val="none"/>
          </w:rPr>
          <m:t>&gt;1.00</m:t>
        </m:r>
      </m:oMath>
      <w:r>
        <w:rPr>
          <w:rFonts w:hint="eastAsia" w:ascii="宋体" w:hAnsi="宋体" w:eastAsia="宋体"/>
          <w:color w:val="auto"/>
          <w:highlight w:val="none"/>
        </w:rPr>
        <w:t>，应重新测量附着系数。允许误差为10%。</w:t>
      </w:r>
    </w:p>
    <w:p>
      <w:pPr>
        <w:pStyle w:val="71"/>
        <w:spacing w:before="156" w:after="156"/>
        <w:rPr>
          <w:color w:val="auto"/>
          <w:highlight w:val="none"/>
        </w:rPr>
      </w:pPr>
      <w:bookmarkStart w:id="140" w:name="_Toc72156188"/>
      <w:bookmarkEnd w:id="140"/>
      <w:bookmarkStart w:id="141" w:name="_Toc118580281"/>
      <w:r>
        <w:rPr>
          <w:rFonts w:hint="eastAsia"/>
          <w:color w:val="auto"/>
          <w:highlight w:val="none"/>
        </w:rPr>
        <w:t>在不同附着系数路面上的制动性能</w:t>
      </w:r>
      <w:bookmarkEnd w:id="141"/>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.3.</w:t>
      </w:r>
      <w:r>
        <w:rPr>
          <w:rFonts w:ascii="宋体" w:hAnsi="宋体" w:eastAsia="宋体"/>
          <w:color w:val="auto"/>
          <w:highlight w:val="none"/>
        </w:rPr>
        <w:t>6</w:t>
      </w:r>
      <w:r>
        <w:rPr>
          <w:rFonts w:hint="eastAsia" w:ascii="宋体" w:hAnsi="宋体" w:eastAsia="宋体"/>
          <w:color w:val="auto"/>
          <w:highlight w:val="none"/>
        </w:rPr>
        <w:t>所述的制动强度可参照在进行试验的两种路面上测得的附着系数来计算。这两种试验路面应满足6.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.3.</w:t>
      </w:r>
      <w:r>
        <w:rPr>
          <w:rFonts w:ascii="宋体" w:hAnsi="宋体" w:eastAsia="宋体"/>
          <w:color w:val="auto"/>
          <w:highlight w:val="none"/>
        </w:rPr>
        <w:t>5</w:t>
      </w:r>
      <w:r>
        <w:rPr>
          <w:rFonts w:hint="eastAsia" w:ascii="宋体" w:hAnsi="宋体" w:eastAsia="宋体"/>
          <w:color w:val="auto"/>
          <w:highlight w:val="none"/>
        </w:rPr>
        <w:t>规定的条件。</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高、低附着系数路面的附着系数（</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ascii="宋体" w:hAnsi="宋体" w:eastAsia="宋体"/>
          <w:color w:val="auto"/>
          <w:highlight w:val="none"/>
        </w:rPr>
        <w:t>和</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ascii="宋体" w:hAnsi="宋体" w:eastAsia="宋体"/>
          <w:color w:val="auto"/>
          <w:highlight w:val="none"/>
        </w:rPr>
        <w:t>）应分别</w:t>
      </w:r>
      <w:r>
        <w:rPr>
          <w:rFonts w:hint="eastAsia" w:ascii="宋体" w:hAnsi="宋体" w:eastAsia="宋体"/>
          <w:color w:val="auto"/>
          <w:highlight w:val="none"/>
          <w:lang w:val="en-US" w:eastAsia="zh-CN"/>
        </w:rPr>
        <w:t>按照</w:t>
      </w:r>
      <w:r>
        <w:rPr>
          <w:rFonts w:hint="eastAsia" w:ascii="宋体" w:hAnsi="宋体" w:eastAsia="宋体"/>
          <w:color w:val="auto"/>
          <w:highlight w:val="none"/>
        </w:rPr>
        <w:t>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.1</w:t>
      </w:r>
      <w:r>
        <w:rPr>
          <w:rFonts w:hint="eastAsia" w:ascii="宋体" w:hAnsi="宋体" w:eastAsia="宋体"/>
          <w:color w:val="auto"/>
          <w:highlight w:val="none"/>
          <w:lang w:val="en-US" w:eastAsia="zh-CN"/>
        </w:rPr>
        <w:t>的规定</w:t>
      </w:r>
      <w:r>
        <w:rPr>
          <w:rFonts w:hint="eastAsia" w:ascii="宋体" w:hAnsi="宋体" w:eastAsia="宋体"/>
          <w:color w:val="auto"/>
          <w:highlight w:val="none"/>
        </w:rPr>
        <w:t>测定。</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满载车辆的制动强度</w:t>
      </w:r>
      <m:oMath>
        <m:d>
          <m:dPr>
            <m:ctrlPr>
              <w:rPr>
                <w:rFonts w:ascii="Cambria Math" w:hAnsi="Cambria Math" w:eastAsia="宋体"/>
                <w:i/>
                <w:color w:val="auto"/>
                <w:kern w:val="2"/>
                <w:szCs w:val="21"/>
                <w:highlight w:val="none"/>
              </w:rPr>
            </m:ctrlPr>
          </m:dPr>
          <m:e>
            <m:sSub>
              <m:sSubPr>
                <m:ctrlPr>
                  <w:rPr>
                    <w:rFonts w:ascii="Cambria Math" w:hAnsi="Cambria Math" w:eastAsia="宋体"/>
                    <w:i/>
                    <w:color w:val="auto"/>
                    <w:kern w:val="2"/>
                    <w:szCs w:val="21"/>
                    <w:highlight w:val="none"/>
                  </w:rPr>
                </m:ctrlPr>
              </m:sSubPr>
              <m:e>
                <m:r>
                  <m:rPr/>
                  <w:rPr>
                    <w:rFonts w:ascii="Cambria Math" w:hAnsi="Cambria Math"/>
                    <w:color w:val="auto"/>
                    <w:highlight w:val="none"/>
                  </w:rPr>
                  <m:t>z</m:t>
                </m:r>
                <m:ctrlPr>
                  <w:rPr>
                    <w:rFonts w:ascii="Cambria Math" w:hAnsi="Cambria Math" w:eastAsia="宋体"/>
                    <w:i/>
                    <w:color w:val="auto"/>
                    <w:kern w:val="2"/>
                    <w:szCs w:val="21"/>
                    <w:highlight w:val="none"/>
                  </w:rPr>
                </m:ctrlPr>
              </m:e>
              <m:sub>
                <m:r>
                  <m:rPr/>
                  <w:rPr>
                    <w:rFonts w:ascii="Cambria Math" w:hAnsi="Cambria Math"/>
                    <w:color w:val="auto"/>
                    <w:highlight w:val="none"/>
                  </w:rPr>
                  <m:t>MALS</m:t>
                </m:r>
                <m:ctrlPr>
                  <w:rPr>
                    <w:rFonts w:ascii="Cambria Math" w:hAnsi="Cambria Math" w:eastAsia="宋体"/>
                    <w:i/>
                    <w:color w:val="auto"/>
                    <w:kern w:val="2"/>
                    <w:szCs w:val="21"/>
                    <w:highlight w:val="none"/>
                  </w:rPr>
                </m:ctrlPr>
              </m:sub>
            </m:sSub>
            <m:ctrlPr>
              <w:rPr>
                <w:rFonts w:ascii="Cambria Math" w:hAnsi="Cambria Math" w:eastAsia="宋体"/>
                <w:i/>
                <w:color w:val="auto"/>
                <w:kern w:val="2"/>
                <w:szCs w:val="21"/>
                <w:highlight w:val="none"/>
              </w:rPr>
            </m:ctrlPr>
          </m:e>
        </m:d>
      </m:oMath>
      <w:r>
        <w:rPr>
          <w:rFonts w:hint="eastAsia" w:ascii="宋体" w:hAnsi="宋体" w:eastAsia="宋体"/>
          <w:color w:val="auto"/>
          <w:highlight w:val="none"/>
        </w:rPr>
        <w:t>应满足公式</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15）</w:t>
      </w:r>
      <w:r>
        <w:rPr>
          <w:rFonts w:hint="eastAsia" w:ascii="宋体" w:hAnsi="宋体" w:eastAsia="宋体"/>
          <w:color w:val="auto"/>
          <w:highlight w:val="none"/>
        </w:rPr>
        <w:t>：</w:t>
      </w:r>
    </w:p>
    <w:p>
      <w:pPr>
        <w:pStyle w:val="119"/>
        <w:tabs>
          <w:tab w:val="center" w:pos="4725"/>
          <w:tab w:val="right" w:leader="dot" w:pos="9450"/>
          <w:tab w:val="clear" w:pos="4678"/>
          <w:tab w:val="clear" w:pos="9356"/>
        </w:tabs>
        <w:rPr>
          <w:color w:val="auto"/>
          <w:highlight w:val="none"/>
        </w:rPr>
      </w:pPr>
      <w:r>
        <w:rPr>
          <w:color w:val="auto"/>
          <w:highlight w:val="none"/>
        </w:rPr>
        <w:tab/>
      </w: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MALS</m:t>
            </m:r>
            <m:ctrlPr>
              <w:rPr>
                <w:rFonts w:ascii="Cambria Math" w:hAnsi="Cambria Math"/>
                <w:i/>
                <w:color w:val="auto"/>
                <w:highlight w:val="none"/>
              </w:rPr>
            </m:ctrlPr>
          </m:sub>
        </m:sSub>
        <m:r>
          <m:rPr/>
          <w:rPr>
            <w:rFonts w:ascii="Cambria Math" w:hAnsi="Cambria Math"/>
            <w:color w:val="auto"/>
            <w:highlight w:val="none"/>
          </w:rPr>
          <m:t>≥0.75×</m:t>
        </m:r>
        <m:f>
          <m:fPr>
            <m:ctrlPr>
              <w:rPr>
                <w:rFonts w:ascii="Cambria Math" w:hAnsi="Cambria Math"/>
                <w:i/>
                <w:color w:val="auto"/>
                <w:highlight w:val="none"/>
              </w:rPr>
            </m:ctrlPr>
          </m:fPr>
          <m:num>
            <m:r>
              <m:rPr/>
              <w:rPr>
                <w:rFonts w:ascii="Cambria Math" w:hAnsi="Cambria Math"/>
                <w:color w:val="auto"/>
                <w:highlight w:val="none"/>
              </w:rPr>
              <m:t>4</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ctrlPr>
              <w:rPr>
                <w:rFonts w:ascii="Cambria Math" w:hAnsi="Cambria Math"/>
                <w:i/>
                <w:color w:val="auto"/>
                <w:highlight w:val="none"/>
              </w:rPr>
            </m:ctrlPr>
          </m:num>
          <m:den>
            <m:r>
              <m:rPr/>
              <w:rPr>
                <w:rFonts w:ascii="Cambria Math" w:hAnsi="Cambria Math"/>
                <w:color w:val="auto"/>
                <w:highlight w:val="none"/>
              </w:rPr>
              <m:t>5</m:t>
            </m:r>
            <m:ctrlPr>
              <w:rPr>
                <w:rFonts w:ascii="Cambria Math" w:hAnsi="Cambria Math"/>
                <w:i/>
                <w:color w:val="auto"/>
                <w:highlight w:val="none"/>
              </w:rPr>
            </m:ctrlPr>
          </m:den>
        </m:f>
      </m:oMath>
      <w:r>
        <w:rPr>
          <w:rFonts w:hint="eastAsia"/>
          <w:color w:val="auto"/>
          <w:highlight w:val="none"/>
        </w:rPr>
        <w:t>,</w:t>
      </w: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MALS</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ascii="微软雅黑" w:hAnsi="微软雅黑" w:eastAsia="微软雅黑"/>
          <w:color w:val="auto"/>
          <w:highlight w:val="none"/>
        </w:rPr>
        <w:tab/>
      </w:r>
      <w:r>
        <w:rPr>
          <w:color w:val="auto"/>
          <w:highlight w:val="none"/>
        </w:rPr>
        <w:t>(</w:t>
      </w:r>
      <w:r>
        <w:rPr>
          <w:color w:val="auto"/>
          <w:highlight w:val="none"/>
        </w:rPr>
        <w:fldChar w:fldCharType="begin"/>
      </w:r>
      <w:r>
        <w:rPr>
          <w:color w:val="auto"/>
          <w:highlight w:val="none"/>
        </w:rPr>
        <w:instrText xml:space="preserve"> AUTONUM </w:instrText>
      </w:r>
      <w:r>
        <w:rPr>
          <w:color w:val="auto"/>
          <w:highlight w:val="none"/>
        </w:rPr>
        <w:fldChar w:fldCharType="end"/>
      </w:r>
      <w:r>
        <w:rPr>
          <w:rFonts w:hint="eastAsia"/>
          <w:color w:val="auto"/>
          <w:highlight w:val="none"/>
          <w:lang w:val="en-US" w:eastAsia="zh-CN"/>
        </w:rPr>
        <w:t>5</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1050"/>
        </w:tabs>
        <w:ind w:firstLine="420"/>
        <w:rPr>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MALS</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——对开路面上机动车辆的</w:t>
      </w:r>
      <m:oMath>
        <m:sSub>
          <m:sSubPr>
            <m:ctrlPr>
              <w:rPr>
                <w:rFonts w:ascii="Cambria Math" w:hAnsi="Cambria Math"/>
                <w:i/>
                <w:color w:val="auto"/>
                <w:kern w:val="2"/>
                <w:szCs w:val="21"/>
                <w:highlight w:val="none"/>
              </w:rPr>
            </m:ctrlPr>
          </m:sSubPr>
          <m:e>
            <m:r>
              <m:rPr/>
              <w:rPr>
                <w:rFonts w:ascii="Cambria Math" w:hAnsi="Cambria Math"/>
                <w:color w:val="auto"/>
                <w:highlight w:val="none"/>
              </w:rPr>
              <m:t>z</m:t>
            </m:r>
            <m:ctrlPr>
              <w:rPr>
                <w:rFonts w:ascii="Cambria Math" w:hAnsi="Cambria Math"/>
                <w:i/>
                <w:color w:val="auto"/>
                <w:kern w:val="2"/>
                <w:szCs w:val="21"/>
                <w:highlight w:val="none"/>
              </w:rPr>
            </m:ctrlPr>
          </m:e>
          <m:sub>
            <m:r>
              <m:rPr/>
              <w:rPr>
                <w:rFonts w:ascii="Cambria Math" w:hAnsi="Cambria Math"/>
                <w:color w:val="auto"/>
                <w:highlight w:val="none"/>
              </w:rPr>
              <m:t>AL</m:t>
            </m:r>
            <m:ctrlPr>
              <w:rPr>
                <w:rFonts w:ascii="Cambria Math" w:hAnsi="Cambria Math"/>
                <w:i/>
                <w:color w:val="auto"/>
                <w:kern w:val="2"/>
                <w:szCs w:val="21"/>
                <w:highlight w:val="none"/>
              </w:rPr>
            </m:ctrlPr>
          </m:sub>
        </m:sSub>
      </m:oMath>
      <w:r>
        <w:rPr>
          <w:rFonts w:hint="eastAsia"/>
          <w:color w:val="auto"/>
          <w:highlight w:val="none"/>
        </w:rPr>
        <w:t>；</w:t>
      </w:r>
    </w:p>
    <w:p>
      <w:pPr>
        <w:pStyle w:val="62"/>
        <w:tabs>
          <w:tab w:val="left" w:pos="1050"/>
        </w:tabs>
        <w:ind w:firstLine="420"/>
        <w:rPr>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——低附着系数路面上测定的</w:t>
      </w:r>
      <m:oMath>
        <m:r>
          <m:rPr/>
          <w:rPr>
            <w:rFonts w:hint="eastAsia" w:ascii="Cambria Math" w:hAnsi="Cambria Math"/>
            <w:color w:val="auto"/>
            <w:highlight w:val="none"/>
          </w:rPr>
          <m:t>k</m:t>
        </m:r>
      </m:oMath>
      <w:r>
        <w:rPr>
          <w:rFonts w:hint="eastAsia"/>
          <w:color w:val="auto"/>
          <w:highlight w:val="none"/>
        </w:rPr>
        <w:t>值；</w:t>
      </w:r>
    </w:p>
    <w:p>
      <w:pPr>
        <w:pStyle w:val="62"/>
        <w:tabs>
          <w:tab w:val="left" w:pos="1050"/>
        </w:tabs>
        <w:ind w:firstLine="420"/>
        <w:rPr>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hint="eastAsia" w:ascii="Cambria Math" w:hAnsi="Cambria Math"/>
                <w:color w:val="auto"/>
                <w:highlight w:val="none"/>
              </w:rPr>
              <m:t>H</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color w:val="auto"/>
          <w:highlight w:val="none"/>
        </w:rPr>
        <w:t>——高附着系数路面上测定的</w:t>
      </w:r>
      <m:oMath>
        <m:r>
          <m:rPr/>
          <w:rPr>
            <w:rFonts w:hint="eastAsia" w:ascii="Cambria Math" w:hAnsi="Cambria Math"/>
            <w:color w:val="auto"/>
            <w:highlight w:val="none"/>
          </w:rPr>
          <m:t>k</m:t>
        </m:r>
      </m:oMath>
      <w:r>
        <w:rPr>
          <w:rFonts w:hint="eastAsia"/>
          <w:color w:val="auto"/>
          <w:highlight w:val="none"/>
        </w:rPr>
        <w:t>值。</w:t>
      </w:r>
    </w:p>
    <w:p>
      <w:pPr>
        <w:pStyle w:val="71"/>
        <w:spacing w:before="156" w:after="156"/>
        <w:rPr>
          <w:color w:val="auto"/>
          <w:highlight w:val="none"/>
        </w:rPr>
      </w:pPr>
      <w:bookmarkStart w:id="142" w:name="_Toc72156189"/>
      <w:bookmarkEnd w:id="142"/>
      <w:bookmarkStart w:id="143" w:name="_Toc118580282"/>
      <w:r>
        <w:rPr>
          <w:rFonts w:hint="eastAsia"/>
          <w:color w:val="auto"/>
          <w:highlight w:val="none"/>
        </w:rPr>
        <w:t>低附着系数路面的选择方法</w:t>
      </w:r>
      <w:bookmarkEnd w:id="143"/>
    </w:p>
    <w:p>
      <w:pPr>
        <w:pStyle w:val="100"/>
        <w:spacing w:before="0" w:beforeLines="0" w:after="0" w:afterLines="0"/>
        <w:rPr>
          <w:rFonts w:ascii="宋体" w:hAnsi="宋体" w:eastAsia="宋体"/>
          <w:color w:val="auto"/>
          <w:highlight w:val="none"/>
        </w:rPr>
      </w:pPr>
      <w:r>
        <w:rPr>
          <w:rFonts w:ascii="宋体" w:hAnsi="宋体" w:eastAsia="宋体"/>
          <w:color w:val="auto"/>
          <w:highlight w:val="none"/>
        </w:rPr>
        <w:t>应</w:t>
      </w:r>
      <w:r>
        <w:rPr>
          <w:rFonts w:hint="eastAsia" w:ascii="宋体" w:hAnsi="宋体" w:eastAsia="宋体"/>
          <w:color w:val="auto"/>
          <w:highlight w:val="none"/>
          <w:lang w:val="en-US" w:eastAsia="zh-CN"/>
        </w:rPr>
        <w:t>按照</w:t>
      </w:r>
      <w:r>
        <w:rPr>
          <w:rFonts w:ascii="宋体" w:hAnsi="宋体" w:eastAsia="宋体"/>
          <w:color w:val="auto"/>
          <w:highlight w:val="none"/>
        </w:rPr>
        <w:t>6.5.</w:t>
      </w:r>
      <w:r>
        <w:rPr>
          <w:rFonts w:hint="eastAsia" w:ascii="宋体" w:hAnsi="宋体" w:eastAsia="宋体"/>
          <w:color w:val="auto"/>
          <w:highlight w:val="none"/>
          <w:lang w:val="en-US" w:eastAsia="zh-CN"/>
        </w:rPr>
        <w:t>2</w:t>
      </w:r>
      <w:r>
        <w:rPr>
          <w:rFonts w:ascii="宋体" w:hAnsi="宋体" w:eastAsia="宋体"/>
          <w:color w:val="auto"/>
          <w:highlight w:val="none"/>
        </w:rPr>
        <w:t>.1.2.2的规定向检测机构提供所选路面附着系数的详细情况</w:t>
      </w:r>
      <w:r>
        <w:rPr>
          <w:rFonts w:hint="eastAsia" w:ascii="宋体" w:hAnsi="宋体" w:eastAsia="宋体"/>
          <w:color w:val="auto"/>
          <w:highlight w:val="none"/>
        </w:rPr>
        <w:t>，至少应包括车速约为</w:t>
      </w:r>
      <w:r>
        <w:rPr>
          <w:rFonts w:ascii="宋体" w:hAnsi="宋体" w:eastAsia="宋体"/>
          <w:color w:val="auto"/>
          <w:highlight w:val="none"/>
        </w:rPr>
        <w:t>40</w:t>
      </w:r>
      <w:r>
        <w:rPr>
          <w:rFonts w:hint="eastAsia"/>
          <w:color w:val="auto"/>
          <w:highlight w:val="none"/>
          <w:lang w:val="en-US" w:eastAsia="zh-CN"/>
        </w:rPr>
        <w:t> </w:t>
      </w:r>
      <w:r>
        <w:rPr>
          <w:rFonts w:ascii="宋体" w:hAnsi="宋体" w:eastAsia="宋体"/>
          <w:color w:val="auto"/>
          <w:highlight w:val="none"/>
        </w:rPr>
        <w:t>km/h时的附着系数-滑移率（0</w:t>
      </w:r>
      <w:r>
        <w:rPr>
          <w:rFonts w:hint="eastAsia" w:ascii="宋体" w:hAnsi="宋体" w:eastAsia="宋体"/>
          <w:color w:val="auto"/>
          <w:highlight w:val="none"/>
        </w:rPr>
        <w:t>～</w:t>
      </w:r>
      <w:r>
        <w:rPr>
          <w:rFonts w:ascii="宋体" w:hAnsi="宋体" w:eastAsia="宋体"/>
          <w:color w:val="auto"/>
          <w:highlight w:val="none"/>
        </w:rPr>
        <w:t>100%）曲线。</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lang w:val="en-US" w:eastAsia="zh-CN"/>
        </w:rPr>
        <w:t>应</w:t>
      </w:r>
      <w:r>
        <w:rPr>
          <w:rFonts w:hint="eastAsia" w:ascii="宋体" w:hAnsi="宋体" w:eastAsia="宋体"/>
          <w:color w:val="auto"/>
          <w:highlight w:val="none"/>
        </w:rPr>
        <w:t>按照</w:t>
      </w:r>
      <w:r>
        <w:rPr>
          <w:rFonts w:ascii="宋体" w:hAnsi="宋体" w:eastAsia="宋体"/>
          <w:color w:val="auto"/>
          <w:highlight w:val="none"/>
        </w:rPr>
        <w:t>6.5.</w:t>
      </w:r>
      <w:r>
        <w:rPr>
          <w:rFonts w:hint="eastAsia" w:ascii="宋体" w:hAnsi="宋体" w:eastAsia="宋体"/>
          <w:color w:val="auto"/>
          <w:highlight w:val="none"/>
          <w:lang w:val="en-US" w:eastAsia="zh-CN"/>
        </w:rPr>
        <w:t>3</w:t>
      </w:r>
      <w:r>
        <w:rPr>
          <w:rFonts w:ascii="宋体" w:hAnsi="宋体" w:eastAsia="宋体"/>
          <w:color w:val="auto"/>
          <w:highlight w:val="none"/>
        </w:rPr>
        <w:t>.1</w:t>
      </w:r>
      <w:r>
        <w:rPr>
          <w:rFonts w:hint="eastAsia" w:ascii="宋体" w:hAnsi="宋体" w:eastAsia="宋体"/>
          <w:color w:val="auto"/>
          <w:highlight w:val="none"/>
        </w:rPr>
        <w:t>的方法，将试验车辆设置成单轴制动，分别测试前轴和后轴单轴最大制动强度下的附着系数，并按照</w:t>
      </w:r>
      <w:r>
        <w:rPr>
          <w:rFonts w:ascii="宋体" w:hAnsi="宋体" w:eastAsia="宋体"/>
          <w:color w:val="auto"/>
          <w:highlight w:val="none"/>
        </w:rPr>
        <w:t>6.5.</w:t>
      </w:r>
      <w:r>
        <w:rPr>
          <w:rFonts w:hint="eastAsia" w:ascii="宋体" w:hAnsi="宋体" w:eastAsia="宋体"/>
          <w:color w:val="auto"/>
          <w:highlight w:val="none"/>
          <w:lang w:val="en-US" w:eastAsia="zh-CN"/>
        </w:rPr>
        <w:t>3</w:t>
      </w:r>
      <w:r>
        <w:rPr>
          <w:rFonts w:ascii="宋体" w:hAnsi="宋体" w:eastAsia="宋体"/>
          <w:color w:val="auto"/>
          <w:highlight w:val="none"/>
        </w:rPr>
        <w:t>.2.1</w:t>
      </w:r>
      <w:r>
        <w:rPr>
          <w:rFonts w:hint="eastAsia" w:ascii="宋体" w:hAnsi="宋体" w:eastAsia="宋体"/>
          <w:color w:val="auto"/>
          <w:highlight w:val="none"/>
        </w:rPr>
        <w:t>～6.</w:t>
      </w:r>
      <w:r>
        <w:rPr>
          <w:rFonts w:ascii="宋体" w:hAnsi="宋体" w:eastAsia="宋体"/>
          <w:color w:val="auto"/>
          <w:highlight w:val="none"/>
        </w:rPr>
        <w:t>5</w:t>
      </w: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的方法计算</w:t>
      </w:r>
      <w:r>
        <w:rPr>
          <w:rFonts w:hint="eastAsia" w:ascii="宋体" w:hAnsi="宋体" w:eastAsia="宋体"/>
          <w:iCs/>
          <w:color w:val="auto"/>
          <w:highlight w:val="none"/>
        </w:rPr>
        <w:t>“附着系数</w:t>
      </w:r>
      <w:r>
        <w:rPr>
          <w:rFonts w:ascii="宋体" w:hAnsi="宋体" w:eastAsia="宋体"/>
          <w:iCs/>
          <w:color w:val="auto"/>
          <w:highlight w:val="none"/>
        </w:rPr>
        <w:t>-</w:t>
      </w:r>
      <w:r>
        <w:rPr>
          <w:rFonts w:hint="eastAsia" w:ascii="宋体" w:hAnsi="宋体" w:eastAsia="宋体"/>
          <w:iCs/>
          <w:color w:val="auto"/>
          <w:highlight w:val="none"/>
        </w:rPr>
        <w:t>滑移率”曲线的最大值</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k</m:t>
            </m:r>
            <m:ctrlPr>
              <w:rPr>
                <w:rFonts w:ascii="Cambria Math" w:hAnsi="Cambria Math" w:eastAsia="宋体"/>
                <w:color w:val="auto"/>
                <w:highlight w:val="none"/>
              </w:rPr>
            </m:ctrlPr>
          </m:e>
          <m:sub>
            <m:r>
              <m:rPr/>
              <w:rPr>
                <w:rFonts w:ascii="Cambria Math" w:hAnsi="Cambria Math" w:eastAsia="宋体"/>
                <w:color w:val="auto"/>
                <w:highlight w:val="none"/>
              </w:rPr>
              <m:t>peak</m:t>
            </m:r>
            <m:ctrlPr>
              <w:rPr>
                <w:rFonts w:ascii="Cambria Math" w:hAnsi="Cambria Math" w:eastAsia="宋体"/>
                <w:color w:val="auto"/>
                <w:highlight w:val="none"/>
              </w:rPr>
            </m:ctrlPr>
          </m:sub>
        </m:sSub>
      </m:oMath>
      <w:r>
        <w:rPr>
          <w:rFonts w:hint="eastAsia" w:ascii="宋体" w:hAnsi="宋体" w:eastAsia="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以</w:t>
      </w:r>
      <w:r>
        <w:rPr>
          <w:rFonts w:ascii="宋体" w:hAnsi="宋体" w:eastAsia="宋体"/>
          <w:color w:val="auto"/>
          <w:highlight w:val="none"/>
        </w:rPr>
        <w:t>50</w:t>
      </w:r>
      <w:r>
        <w:rPr>
          <w:rFonts w:hint="eastAsia"/>
          <w:color w:val="auto"/>
          <w:highlight w:val="none"/>
          <w:lang w:val="en-US" w:eastAsia="zh-CN"/>
        </w:rPr>
        <w:t> </w:t>
      </w:r>
      <w:r>
        <w:rPr>
          <w:rFonts w:ascii="宋体" w:hAnsi="宋体" w:eastAsia="宋体"/>
          <w:color w:val="auto"/>
          <w:highlight w:val="none"/>
        </w:rPr>
        <w:t>km/h的初速度，防抱制动系统应脱开或不工作，挡位置于空挡或N挡，对试验车辆进行制动。测量前后车轮全部抱死时，</w:t>
      </w:r>
      <w:r>
        <w:rPr>
          <w:rFonts w:hint="eastAsia" w:ascii="宋体" w:hAnsi="宋体" w:eastAsia="宋体"/>
          <w:color w:val="auto"/>
          <w:highlight w:val="none"/>
        </w:rPr>
        <w:t>根据车速从</w:t>
      </w:r>
      <w:r>
        <w:rPr>
          <w:rFonts w:ascii="宋体" w:hAnsi="宋体" w:eastAsia="宋体"/>
          <w:color w:val="auto"/>
          <w:highlight w:val="none"/>
        </w:rPr>
        <w:t>40</w:t>
      </w:r>
      <w:r>
        <w:rPr>
          <w:rFonts w:hint="eastAsia"/>
          <w:color w:val="auto"/>
          <w:highlight w:val="none"/>
          <w:lang w:val="en-US" w:eastAsia="zh-CN"/>
        </w:rPr>
        <w:t> </w:t>
      </w:r>
      <w:r>
        <w:rPr>
          <w:rFonts w:ascii="宋体" w:hAnsi="宋体" w:eastAsia="宋体"/>
          <w:color w:val="auto"/>
          <w:highlight w:val="none"/>
        </w:rPr>
        <w:t>km/h降到20</w:t>
      </w:r>
      <w:r>
        <w:rPr>
          <w:rFonts w:hint="eastAsia"/>
          <w:color w:val="auto"/>
          <w:highlight w:val="none"/>
          <w:lang w:val="en-US" w:eastAsia="zh-CN"/>
        </w:rPr>
        <w:t> </w:t>
      </w:r>
      <w:r>
        <w:rPr>
          <w:rFonts w:ascii="宋体" w:hAnsi="宋体" w:eastAsia="宋体"/>
          <w:color w:val="auto"/>
          <w:highlight w:val="none"/>
        </w:rPr>
        <w:t>km/h所经历的时间</w:t>
      </w:r>
      <m:oMath>
        <m:r>
          <m:rPr/>
          <w:rPr>
            <w:rFonts w:ascii="Cambria Math" w:hAnsi="Cambria Math" w:eastAsia="宋体"/>
            <w:color w:val="auto"/>
            <w:highlight w:val="none"/>
          </w:rPr>
          <m:t>t</m:t>
        </m:r>
      </m:oMath>
      <w:r>
        <w:rPr>
          <w:rFonts w:hint="eastAsia" w:ascii="宋体" w:hAnsi="宋体" w:eastAsia="宋体"/>
          <w:color w:val="auto"/>
          <w:highlight w:val="none"/>
        </w:rPr>
        <w:t>，按照</w:t>
      </w:r>
      <w:r>
        <w:rPr>
          <w:rFonts w:hint="eastAsia" w:ascii="宋体" w:hAnsi="宋体" w:eastAsia="宋体"/>
          <w:color w:val="auto"/>
          <w:highlight w:val="none"/>
          <w:lang w:val="en-US" w:eastAsia="zh-CN"/>
        </w:rPr>
        <w:t>公式（16）</w:t>
      </w:r>
      <w:r>
        <w:rPr>
          <w:rFonts w:hint="eastAsia" w:ascii="宋体" w:hAnsi="宋体" w:eastAsia="宋体"/>
          <w:color w:val="auto"/>
          <w:highlight w:val="none"/>
        </w:rPr>
        <w:t>计算制动强度</w:t>
      </w:r>
      <m:oMath>
        <m:r>
          <m:rPr/>
          <w:rPr>
            <w:rFonts w:ascii="Cambria Math" w:hAnsi="Cambria Math"/>
            <w:color w:val="auto"/>
            <w:highlight w:val="none"/>
          </w:rPr>
          <m:t>z</m:t>
        </m:r>
      </m:oMath>
      <w:r>
        <w:rPr>
          <w:rFonts w:hint="eastAsia" w:ascii="宋体" w:hAnsi="宋体" w:eastAsia="宋体"/>
          <w:color w:val="auto"/>
          <w:highlight w:val="none"/>
        </w:rPr>
        <w:t>：</w:t>
      </w:r>
    </w:p>
    <w:p>
      <w:pPr>
        <w:pStyle w:val="119"/>
        <w:tabs>
          <w:tab w:val="center" w:pos="4725"/>
          <w:tab w:val="right" w:leader="dot" w:pos="9450"/>
          <w:tab w:val="clear" w:pos="4678"/>
          <w:tab w:val="clear" w:pos="9356"/>
        </w:tabs>
        <w:rPr>
          <w:color w:val="auto"/>
          <w:highlight w:val="none"/>
        </w:rPr>
      </w:pPr>
      <w:r>
        <w:rPr>
          <w:color w:val="auto"/>
          <w:highlight w:val="none"/>
        </w:rPr>
        <w:tab/>
      </w:r>
      <m:oMath>
        <m:r>
          <m:rPr/>
          <w:rPr>
            <w:rFonts w:ascii="Cambria Math" w:hAnsi="Cambria Math"/>
            <w:color w:val="auto"/>
            <w:highlight w:val="none"/>
          </w:rPr>
          <m:t>z=</m:t>
        </m:r>
        <m:f>
          <m:fPr>
            <m:ctrlPr>
              <w:rPr>
                <w:rFonts w:ascii="Cambria Math" w:hAnsi="Cambria Math"/>
                <w:i/>
                <w:color w:val="auto"/>
                <w:highlight w:val="none"/>
              </w:rPr>
            </m:ctrlPr>
          </m:fPr>
          <m:num>
            <m:r>
              <m:rPr/>
              <w:rPr>
                <w:rFonts w:ascii="Cambria Math" w:hAnsi="Cambria Math"/>
                <w:color w:val="auto"/>
                <w:highlight w:val="none"/>
              </w:rPr>
              <m:t>0.566</m:t>
            </m:r>
            <m:ctrlPr>
              <w:rPr>
                <w:rFonts w:ascii="Cambria Math" w:hAnsi="Cambria Math"/>
                <w:i/>
                <w:color w:val="auto"/>
                <w:highlight w:val="none"/>
              </w:rPr>
            </m:ctrlPr>
          </m:num>
          <m:den>
            <m:r>
              <m:rPr/>
              <w:rPr>
                <w:rFonts w:ascii="Cambria Math" w:hAnsi="Cambria Math"/>
                <w:color w:val="auto"/>
                <w:highlight w:val="none"/>
              </w:rPr>
              <m:t>t</m:t>
            </m:r>
            <m:ctrlPr>
              <w:rPr>
                <w:rFonts w:ascii="Cambria Math" w:hAnsi="Cambria Math"/>
                <w:i/>
                <w:color w:val="auto"/>
                <w:highlight w:val="none"/>
              </w:rPr>
            </m:ctrlPr>
          </m:den>
        </m:f>
      </m:oMath>
      <w:r>
        <w:rPr>
          <w:rFonts w:ascii="微软雅黑" w:hAnsi="微软雅黑" w:eastAsia="微软雅黑"/>
          <w:color w:val="auto"/>
          <w:highlight w:val="none"/>
        </w:rPr>
        <w:tab/>
      </w:r>
      <w:r>
        <w:rPr>
          <w:color w:val="auto"/>
          <w:highlight w:val="none"/>
        </w:rPr>
        <w:t>(</w:t>
      </w:r>
      <w:r>
        <w:rPr>
          <w:color w:val="auto"/>
          <w:highlight w:val="none"/>
        </w:rPr>
        <w:fldChar w:fldCharType="begin"/>
      </w:r>
      <w:r>
        <w:rPr>
          <w:color w:val="auto"/>
          <w:highlight w:val="none"/>
        </w:rPr>
        <w:instrText xml:space="preserve"> AUTONUM </w:instrText>
      </w:r>
      <w:r>
        <w:rPr>
          <w:color w:val="auto"/>
          <w:highlight w:val="none"/>
        </w:rPr>
        <w:fldChar w:fldCharType="end"/>
      </w:r>
      <w:r>
        <w:rPr>
          <w:rFonts w:hint="eastAsia"/>
          <w:color w:val="auto"/>
          <w:highlight w:val="none"/>
          <w:lang w:val="en-US" w:eastAsia="zh-CN"/>
        </w:rPr>
        <w:t>6</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840"/>
        </w:tabs>
        <w:ind w:firstLine="420"/>
        <w:rPr>
          <w:color w:val="auto"/>
          <w:highlight w:val="none"/>
        </w:rPr>
      </w:pPr>
      <m:oMath>
        <m:r>
          <m:rPr/>
          <w:rPr>
            <w:rFonts w:ascii="Cambria Math" w:hAnsi="Cambria Math"/>
            <w:color w:val="auto"/>
            <w:highlight w:val="none"/>
          </w:rPr>
          <m:t>z</m:t>
        </m:r>
      </m:oMath>
      <w:r>
        <w:rPr>
          <w:rFonts w:hint="eastAsia" w:hAnsi="Cambria Math"/>
          <w:i w:val="0"/>
          <w:color w:val="auto"/>
          <w:highlight w:val="none"/>
          <w:lang w:val="en-US" w:eastAsia="zh-CN"/>
        </w:rPr>
        <w:tab/>
      </w:r>
      <w:r>
        <w:rPr>
          <w:rFonts w:hint="eastAsia"/>
          <w:color w:val="auto"/>
          <w:highlight w:val="none"/>
        </w:rPr>
        <w:t>——制动强度；</w:t>
      </w:r>
    </w:p>
    <w:p>
      <w:pPr>
        <w:pStyle w:val="62"/>
        <w:tabs>
          <w:tab w:val="left" w:pos="840"/>
        </w:tabs>
        <w:ind w:firstLine="420"/>
        <w:rPr>
          <w:color w:val="auto"/>
          <w:highlight w:val="none"/>
        </w:rPr>
      </w:pPr>
      <m:oMath>
        <m:r>
          <m:rPr/>
          <w:rPr>
            <w:rFonts w:ascii="Cambria Math" w:hAnsi="Cambria Math"/>
            <w:color w:val="auto"/>
            <w:highlight w:val="none"/>
          </w:rPr>
          <m:t>t</m:t>
        </m:r>
      </m:oMath>
      <w:r>
        <w:rPr>
          <w:rFonts w:hint="eastAsia" w:hAnsi="Cambria Math"/>
          <w:i w:val="0"/>
          <w:color w:val="auto"/>
          <w:highlight w:val="none"/>
          <w:lang w:val="en-US" w:eastAsia="zh-CN"/>
        </w:rPr>
        <w:tab/>
      </w:r>
      <w:r>
        <w:rPr>
          <w:rFonts w:hint="eastAsia"/>
          <w:color w:val="auto"/>
          <w:highlight w:val="none"/>
        </w:rPr>
        <w:t>——时间间隔</w:t>
      </w:r>
      <w:r>
        <w:rPr>
          <w:rFonts w:hint="eastAsia"/>
          <w:color w:val="auto"/>
          <w:highlight w:val="none"/>
          <w:lang w:val="en-US" w:eastAsia="zh-CN"/>
        </w:rPr>
        <w:t>的数值</w:t>
      </w:r>
      <w:r>
        <w:rPr>
          <w:rFonts w:hint="eastAsia"/>
          <w:color w:val="auto"/>
          <w:highlight w:val="none"/>
        </w:rPr>
        <w:t>，单位为秒</w:t>
      </w:r>
      <m:oMath>
        <m:d>
          <m:dPr>
            <m:ctrlPr>
              <w:rPr>
                <w:rFonts w:ascii="Cambria Math" w:hAnsi="Cambria Math"/>
                <w:i/>
                <w:color w:val="auto"/>
                <w:highlight w:val="none"/>
              </w:rPr>
            </m:ctrlPr>
          </m:dPr>
          <m:e>
            <m:r>
              <m:rPr/>
              <w:rPr>
                <w:rFonts w:ascii="Cambria Math" w:hAnsi="Cambria Math"/>
                <w:color w:val="auto"/>
                <w:highlight w:val="none"/>
              </w:rPr>
              <m:t>s</m:t>
            </m:r>
            <m:ctrlPr>
              <w:rPr>
                <w:rFonts w:ascii="Cambria Math" w:hAnsi="Cambria Math"/>
                <w:i/>
                <w:color w:val="auto"/>
                <w:highlight w:val="none"/>
              </w:rPr>
            </m:ctrlPr>
          </m:e>
        </m:d>
      </m:oMath>
      <w:r>
        <w:rPr>
          <w:rFonts w:hint="eastAsia"/>
          <w:color w:val="auto"/>
          <w:highlight w:val="none"/>
        </w:rPr>
        <w:t>。</w:t>
      </w:r>
    </w:p>
    <w:p>
      <w:pPr>
        <w:pStyle w:val="62"/>
        <w:ind w:firstLine="420"/>
        <w:rPr>
          <w:rFonts w:hint="eastAsia" w:hAnsi="宋体"/>
          <w:i/>
          <w:color w:val="auto"/>
          <w:highlight w:val="none"/>
        </w:rPr>
      </w:pPr>
      <w:r>
        <w:rPr>
          <w:rFonts w:hint="eastAsia"/>
          <w:color w:val="auto"/>
          <w:highlight w:val="none"/>
        </w:rPr>
        <w:t>滑移率为1</w:t>
      </w:r>
      <w:r>
        <w:rPr>
          <w:color w:val="auto"/>
          <w:highlight w:val="none"/>
        </w:rPr>
        <w:t>00</w:t>
      </w:r>
      <w:r>
        <w:rPr>
          <w:rFonts w:hint="eastAsia"/>
          <w:color w:val="auto"/>
          <w:highlight w:val="none"/>
        </w:rPr>
        <w:t>%时的附着系数值</w:t>
      </w: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lock</m:t>
            </m:r>
            <m:ctrlPr>
              <w:rPr>
                <w:rFonts w:ascii="Cambria Math" w:hAnsi="Cambria Math"/>
                <w:i/>
                <w:color w:val="auto"/>
                <w:highlight w:val="none"/>
              </w:rPr>
            </m:ctrlPr>
          </m:sub>
        </m:sSub>
      </m:oMath>
      <w:r>
        <w:rPr>
          <w:rFonts w:hint="eastAsia" w:hAnsi="宋体"/>
          <w:iCs/>
          <w:color w:val="auto"/>
          <w:highlight w:val="none"/>
        </w:rPr>
        <w:t>等于此时的制动强度</w:t>
      </w:r>
      <m:oMath>
        <m:r>
          <m:rPr/>
          <w:rPr>
            <w:rFonts w:ascii="Cambria Math" w:hAnsi="Cambria Math"/>
            <w:color w:val="auto"/>
            <w:highlight w:val="none"/>
          </w:rPr>
          <m:t>z</m:t>
        </m:r>
      </m:oMath>
      <w:r>
        <w:rPr>
          <w:rFonts w:hint="eastAsia" w:hAnsi="宋体"/>
          <w:i/>
          <w:color w:val="auto"/>
          <w:highlight w:val="none"/>
        </w:rPr>
        <w:t>。</w:t>
      </w:r>
    </w:p>
    <w:p>
      <w:pPr>
        <w:pStyle w:val="100"/>
        <w:spacing w:before="0" w:beforeLines="0" w:after="0" w:afterLines="0"/>
        <w:rPr>
          <w:rFonts w:ascii="宋体" w:hAnsi="宋体" w:eastAsia="宋体"/>
          <w:color w:val="auto"/>
          <w:highlight w:val="none"/>
        </w:rPr>
      </w:pPr>
      <w:r>
        <w:rPr>
          <w:rFonts w:hint="eastAsia" w:ascii="宋体" w:eastAsia="宋体"/>
          <w:iCs/>
          <w:color w:val="auto"/>
          <w:highlight w:val="none"/>
        </w:rPr>
        <w:t>应按照</w:t>
      </w:r>
      <w:r>
        <w:rPr>
          <w:rFonts w:hint="eastAsia" w:ascii="宋体" w:eastAsia="宋体"/>
          <w:iCs/>
          <w:color w:val="auto"/>
          <w:highlight w:val="none"/>
          <w:lang w:val="en-US" w:eastAsia="zh-CN"/>
        </w:rPr>
        <w:t>公式（17）</w:t>
      </w:r>
      <w:r>
        <w:rPr>
          <w:rFonts w:hint="eastAsia" w:ascii="宋体" w:eastAsia="宋体"/>
          <w:iCs/>
          <w:color w:val="auto"/>
          <w:highlight w:val="none"/>
        </w:rPr>
        <w:t>计算</w:t>
      </w:r>
      <m:oMath>
        <m:r>
          <m:rPr/>
          <w:rPr>
            <w:rFonts w:ascii="Cambria Math" w:hAnsi="Cambria Math" w:eastAsia="宋体"/>
            <w:color w:val="auto"/>
            <w:highlight w:val="none"/>
          </w:rPr>
          <m:t>R</m:t>
        </m:r>
      </m:oMath>
      <w:r>
        <w:rPr>
          <w:rFonts w:hint="eastAsia" w:ascii="宋体" w:eastAsia="宋体"/>
          <w:iCs/>
          <w:color w:val="auto"/>
          <w:highlight w:val="none"/>
        </w:rPr>
        <w:t>值，</w:t>
      </w:r>
      <m:oMath>
        <m:r>
          <m:rPr/>
          <w:rPr>
            <w:rFonts w:ascii="Cambria Math" w:hAnsi="Cambria Math"/>
            <w:color w:val="auto"/>
            <w:highlight w:val="none"/>
          </w:rPr>
          <m:t>R</m:t>
        </m:r>
      </m:oMath>
      <w:r>
        <w:rPr>
          <w:rFonts w:hint="eastAsia" w:ascii="宋体" w:hAnsi="宋体" w:eastAsia="宋体"/>
          <w:color w:val="auto"/>
          <w:highlight w:val="none"/>
        </w:rPr>
        <w:t>值应四舍五入为1位小数：</w:t>
      </w:r>
    </w:p>
    <w:p>
      <w:pPr>
        <w:pStyle w:val="119"/>
        <w:tabs>
          <w:tab w:val="center" w:pos="4725"/>
          <w:tab w:val="right" w:leader="dot" w:pos="9450"/>
          <w:tab w:val="clear" w:pos="4678"/>
          <w:tab w:val="clear" w:pos="9356"/>
        </w:tabs>
        <w:rPr>
          <w:color w:val="auto"/>
          <w:highlight w:val="none"/>
        </w:rPr>
      </w:pPr>
      <w:r>
        <w:rPr>
          <w:color w:val="auto"/>
          <w:highlight w:val="none"/>
        </w:rPr>
        <w:tab/>
      </w:r>
      <m:oMath>
        <m:r>
          <m:rPr/>
          <w:rPr>
            <w:rFonts w:ascii="Cambria Math" w:hAnsi="Cambria Math"/>
            <w:color w:val="auto"/>
            <w:highlight w:val="none"/>
          </w:rPr>
          <m:t>R=</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peak</m:t>
                </m:r>
                <m:ctrlPr>
                  <w:rPr>
                    <w:rFonts w:ascii="Cambria Math" w:hAnsi="Cambria Math"/>
                    <w:i/>
                    <w:color w:val="auto"/>
                    <w:highlight w:val="none"/>
                  </w:rPr>
                </m:ctrlPr>
              </m:sub>
            </m:sSub>
            <m:ctrlPr>
              <w:rPr>
                <w:rFonts w:ascii="Cambria Math" w:hAnsi="Cambria Math"/>
                <w:i/>
                <w:color w:val="auto"/>
                <w:highlight w:val="none"/>
              </w:rPr>
            </m:ctrlPr>
          </m:num>
          <m:den>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lock</m:t>
                </m:r>
                <m:ctrlPr>
                  <w:rPr>
                    <w:rFonts w:ascii="Cambria Math" w:hAnsi="Cambria Math"/>
                    <w:i/>
                    <w:color w:val="auto"/>
                    <w:highlight w:val="none"/>
                  </w:rPr>
                </m:ctrlPr>
              </m:sub>
            </m:sSub>
            <m:ctrlPr>
              <w:rPr>
                <w:rFonts w:ascii="Cambria Math" w:hAnsi="Cambria Math"/>
                <w:i/>
                <w:color w:val="auto"/>
                <w:highlight w:val="none"/>
              </w:rPr>
            </m:ctrlPr>
          </m:den>
        </m:f>
      </m:oMath>
      <w:r>
        <w:rPr>
          <w:rFonts w:ascii="微软雅黑" w:hAnsi="微软雅黑" w:eastAsia="微软雅黑"/>
          <w:color w:val="auto"/>
          <w:highlight w:val="none"/>
        </w:rPr>
        <w:tab/>
      </w:r>
      <w:r>
        <w:rPr>
          <w:color w:val="auto"/>
          <w:highlight w:val="none"/>
        </w:rPr>
        <w:t>(</w:t>
      </w:r>
      <w:r>
        <w:rPr>
          <w:color w:val="auto"/>
          <w:highlight w:val="none"/>
        </w:rPr>
        <w:fldChar w:fldCharType="begin"/>
      </w:r>
      <w:r>
        <w:rPr>
          <w:color w:val="auto"/>
          <w:highlight w:val="none"/>
        </w:rPr>
        <w:instrText xml:space="preserve"> AUTONUM </w:instrText>
      </w:r>
      <w:r>
        <w:rPr>
          <w:color w:val="auto"/>
          <w:highlight w:val="none"/>
        </w:rPr>
        <w:fldChar w:fldCharType="end"/>
      </w:r>
      <w:r>
        <w:rPr>
          <w:rFonts w:hint="eastAsia"/>
          <w:color w:val="auto"/>
          <w:highlight w:val="none"/>
          <w:lang w:val="en-US" w:eastAsia="zh-CN"/>
        </w:rPr>
        <w:t>7</w:t>
      </w:r>
      <w:r>
        <w:rPr>
          <w:color w:val="auto"/>
          <w:highlight w:val="none"/>
        </w:rPr>
        <w:t>)</w:t>
      </w:r>
    </w:p>
    <w:p>
      <w:pPr>
        <w:pStyle w:val="62"/>
        <w:ind w:firstLine="420"/>
        <w:rPr>
          <w:color w:val="auto"/>
          <w:highlight w:val="none"/>
        </w:rPr>
      </w:pPr>
      <w:r>
        <w:rPr>
          <w:rFonts w:hint="eastAsia"/>
          <w:color w:val="auto"/>
          <w:highlight w:val="none"/>
        </w:rPr>
        <w:t>式中：</w:t>
      </w:r>
    </w:p>
    <w:p>
      <w:pPr>
        <w:pStyle w:val="62"/>
        <w:tabs>
          <w:tab w:val="left" w:pos="1050"/>
        </w:tabs>
        <w:ind w:firstLine="420"/>
        <w:rPr>
          <w:rFonts w:ascii="Cambria Math" w:hAnsi="Cambria Math"/>
          <w:i/>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peak</m:t>
            </m:r>
            <m:ctrlPr>
              <w:rPr>
                <w:rFonts w:ascii="Cambria Math" w:hAnsi="Cambria Math"/>
                <w:i/>
                <w:color w:val="auto"/>
                <w:highlight w:val="none"/>
              </w:rPr>
            </m:ctrlPr>
          </m:sub>
        </m:sSub>
      </m:oMath>
      <w:r>
        <w:rPr>
          <w:rFonts w:hint="eastAsia" w:hAnsi="Cambria Math"/>
          <w:i/>
          <w:color w:val="auto"/>
          <w:highlight w:val="none"/>
          <w:lang w:val="en-US" w:eastAsia="zh-CN"/>
        </w:rPr>
        <w:tab/>
      </w:r>
      <w:r>
        <w:rPr>
          <w:rFonts w:hint="eastAsia" w:ascii="Cambria Math" w:hAnsi="Cambria Math"/>
          <w:iCs/>
          <w:color w:val="auto"/>
          <w:highlight w:val="none"/>
        </w:rPr>
        <w:t>——</w:t>
      </w:r>
      <w:r>
        <w:rPr>
          <w:rFonts w:hint="eastAsia" w:ascii="Cambria Math" w:hAnsi="Cambria Math"/>
          <w:iCs/>
          <w:color w:val="auto"/>
          <w:sz w:val="22"/>
          <w:szCs w:val="21"/>
          <w:highlight w:val="none"/>
        </w:rPr>
        <w:t>“</w:t>
      </w:r>
      <w:r>
        <w:rPr>
          <w:rFonts w:ascii="Cambria Math" w:hAnsi="Cambria Math"/>
          <w:iCs/>
          <w:color w:val="auto"/>
          <w:sz w:val="20"/>
          <w:szCs w:val="20"/>
          <w:highlight w:val="none"/>
        </w:rPr>
        <w:t>附着系数-滑移率</w:t>
      </w:r>
      <w:r>
        <w:rPr>
          <w:rFonts w:hint="eastAsia" w:ascii="Cambria Math" w:hAnsi="Cambria Math"/>
          <w:iCs/>
          <w:color w:val="auto"/>
          <w:sz w:val="22"/>
          <w:szCs w:val="21"/>
          <w:highlight w:val="none"/>
        </w:rPr>
        <w:t>”</w:t>
      </w:r>
      <w:r>
        <w:rPr>
          <w:rFonts w:ascii="Cambria Math" w:hAnsi="Cambria Math"/>
          <w:iCs/>
          <w:color w:val="auto"/>
          <w:sz w:val="20"/>
          <w:szCs w:val="20"/>
          <w:highlight w:val="none"/>
        </w:rPr>
        <w:t>曲线的最大值</w:t>
      </w:r>
      <w:r>
        <w:rPr>
          <w:rFonts w:hint="eastAsia" w:ascii="Cambria Math" w:hAnsi="Cambria Math"/>
          <w:iCs/>
          <w:color w:val="auto"/>
          <w:sz w:val="22"/>
          <w:szCs w:val="21"/>
          <w:highlight w:val="none"/>
        </w:rPr>
        <w:t>；</w:t>
      </w:r>
    </w:p>
    <w:p>
      <w:pPr>
        <w:pStyle w:val="62"/>
        <w:tabs>
          <w:tab w:val="left" w:pos="1050"/>
        </w:tabs>
        <w:ind w:firstLine="420"/>
        <w:rPr>
          <w:rFonts w:ascii="Cambria Math" w:hAnsi="Cambria Math"/>
          <w:i/>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hint="eastAsia" w:ascii="Cambria Math" w:hAnsi="Cambria Math"/>
                <w:color w:val="auto"/>
                <w:highlight w:val="none"/>
              </w:rPr>
              <m:t>lock</m:t>
            </m:r>
            <m:ctrlPr>
              <w:rPr>
                <w:rFonts w:ascii="Cambria Math" w:hAnsi="Cambria Math"/>
                <w:i/>
                <w:color w:val="auto"/>
                <w:highlight w:val="none"/>
              </w:rPr>
            </m:ctrlPr>
          </m:sub>
        </m:sSub>
      </m:oMath>
      <w:r>
        <w:rPr>
          <w:rFonts w:hint="eastAsia" w:hAnsi="Cambria Math"/>
          <w:i/>
          <w:color w:val="auto"/>
          <w:highlight w:val="none"/>
          <w:lang w:val="en-US" w:eastAsia="zh-CN"/>
        </w:rPr>
        <w:tab/>
      </w:r>
      <w:r>
        <w:rPr>
          <w:rFonts w:hint="eastAsia" w:ascii="Cambria Math" w:hAnsi="Cambria Math"/>
          <w:iCs/>
          <w:color w:val="auto"/>
          <w:highlight w:val="none"/>
        </w:rPr>
        <w:t>——</w:t>
      </w:r>
      <w:r>
        <w:rPr>
          <w:rFonts w:ascii="Cambria Math" w:hAnsi="Cambria Math"/>
          <w:iCs/>
          <w:color w:val="auto"/>
          <w:sz w:val="20"/>
          <w:szCs w:val="18"/>
          <w:highlight w:val="none"/>
        </w:rPr>
        <w:t>滑移率</w:t>
      </w:r>
      <w:r>
        <w:rPr>
          <w:rFonts w:hint="eastAsia" w:ascii="Cambria Math" w:hAnsi="Cambria Math"/>
          <w:iCs/>
          <w:color w:val="auto"/>
          <w:sz w:val="20"/>
          <w:szCs w:val="18"/>
          <w:highlight w:val="none"/>
        </w:rPr>
        <w:t>为1</w:t>
      </w:r>
      <w:r>
        <w:rPr>
          <w:rFonts w:ascii="Cambria Math" w:hAnsi="Cambria Math"/>
          <w:iCs/>
          <w:color w:val="auto"/>
          <w:sz w:val="20"/>
          <w:szCs w:val="18"/>
          <w:highlight w:val="none"/>
        </w:rPr>
        <w:t>00</w:t>
      </w:r>
      <w:r>
        <w:rPr>
          <w:rFonts w:hint="eastAsia" w:ascii="Cambria Math" w:hAnsi="Cambria Math"/>
          <w:iCs/>
          <w:color w:val="auto"/>
          <w:sz w:val="20"/>
          <w:szCs w:val="18"/>
          <w:highlight w:val="none"/>
        </w:rPr>
        <w:t>%时的附着系数值。</w:t>
      </w:r>
    </w:p>
    <w:p>
      <w:pPr>
        <w:pStyle w:val="100"/>
        <w:spacing w:before="0" w:beforeLines="0" w:after="0" w:afterLines="0"/>
        <w:rPr>
          <w:rFonts w:ascii="宋体" w:hAnsi="宋体" w:eastAsia="宋体"/>
          <w:iCs/>
          <w:color w:val="auto"/>
          <w:highlight w:val="none"/>
        </w:rPr>
      </w:pPr>
      <w:r>
        <w:rPr>
          <w:rFonts w:hint="eastAsia" w:ascii="宋体" w:hAnsi="宋体" w:eastAsia="宋体"/>
          <w:iCs/>
          <w:color w:val="auto"/>
          <w:highlight w:val="none"/>
        </w:rPr>
        <w:t>试验用路面的</w:t>
      </w:r>
      <m:oMath>
        <m:r>
          <m:rPr/>
          <w:rPr>
            <w:rFonts w:ascii="Cambria Math" w:hAnsi="Cambria Math" w:eastAsia="宋体"/>
            <w:color w:val="auto"/>
            <w:highlight w:val="none"/>
          </w:rPr>
          <m:t>R</m:t>
        </m:r>
      </m:oMath>
      <w:r>
        <w:rPr>
          <w:rFonts w:hint="eastAsia" w:ascii="宋体" w:hAnsi="宋体" w:eastAsia="宋体"/>
          <w:iCs/>
          <w:color w:val="auto"/>
          <w:highlight w:val="none"/>
        </w:rPr>
        <w:t>值应在</w:t>
      </w:r>
      <w:r>
        <w:rPr>
          <w:rFonts w:ascii="宋体" w:hAnsi="宋体" w:eastAsia="宋体"/>
          <w:iCs/>
          <w:color w:val="auto"/>
          <w:highlight w:val="none"/>
        </w:rPr>
        <w:t>1.0到2.0之间。</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试验之前，检测机构应确认所选择的路面符合要求，并记录：</w:t>
      </w:r>
    </w:p>
    <w:p>
      <w:pPr>
        <w:pStyle w:val="138"/>
        <w:rPr>
          <w:color w:val="auto"/>
          <w:highlight w:val="none"/>
        </w:rPr>
      </w:pPr>
      <m:oMath>
        <m:r>
          <m:rPr/>
          <w:rPr>
            <w:rFonts w:ascii="Cambria Math" w:hAnsi="Cambria Math"/>
            <w:color w:val="auto"/>
            <w:highlight w:val="none"/>
          </w:rPr>
          <m:t>R</m:t>
        </m:r>
      </m:oMath>
      <w:r>
        <w:rPr>
          <w:color w:val="auto"/>
          <w:highlight w:val="none"/>
        </w:rPr>
        <w:t>值的测定方法</w:t>
      </w:r>
      <w:r>
        <w:rPr>
          <w:rFonts w:hint="eastAsia"/>
          <w:color w:val="auto"/>
          <w:highlight w:val="none"/>
        </w:rPr>
        <w:t>；</w:t>
      </w:r>
    </w:p>
    <w:p>
      <w:pPr>
        <w:pStyle w:val="138"/>
        <w:rPr>
          <w:color w:val="auto"/>
          <w:highlight w:val="none"/>
        </w:rPr>
      </w:pPr>
      <w:r>
        <w:rPr>
          <w:color w:val="auto"/>
          <w:highlight w:val="none"/>
        </w:rPr>
        <w:t>车型</w:t>
      </w:r>
      <w:r>
        <w:rPr>
          <w:rFonts w:hint="eastAsia"/>
          <w:color w:val="auto"/>
          <w:highlight w:val="none"/>
        </w:rPr>
        <w:t>；</w:t>
      </w:r>
    </w:p>
    <w:p>
      <w:pPr>
        <w:pStyle w:val="138"/>
        <w:rPr>
          <w:color w:val="auto"/>
          <w:highlight w:val="none"/>
        </w:rPr>
      </w:pPr>
      <w:r>
        <w:rPr>
          <w:color w:val="auto"/>
          <w:highlight w:val="none"/>
        </w:rPr>
        <w:t>轴荷和轮胎（采用不同的载荷状态和轮胎试验，检测机构将根据试验结果判定其是否可以代表</w:t>
      </w:r>
      <w:r>
        <w:rPr>
          <w:rFonts w:hint="eastAsia"/>
          <w:color w:val="auto"/>
          <w:highlight w:val="none"/>
        </w:rPr>
        <w:t>申请型式批准的</w:t>
      </w:r>
      <w:r>
        <w:rPr>
          <w:color w:val="auto"/>
          <w:highlight w:val="none"/>
        </w:rPr>
        <w:t>车型）</w:t>
      </w:r>
      <w:r>
        <w:rPr>
          <w:rFonts w:hint="eastAsia"/>
          <w:color w:val="auto"/>
          <w:highlight w:val="none"/>
        </w:rPr>
        <w:t>。</w:t>
      </w:r>
    </w:p>
    <w:p>
      <w:pPr>
        <w:pStyle w:val="104"/>
        <w:spacing w:before="0" w:beforeLines="0" w:after="0" w:afterLines="0"/>
        <w:rPr>
          <w:rFonts w:ascii="宋体" w:hAnsi="宋体" w:eastAsia="宋体"/>
          <w:color w:val="auto"/>
          <w:highlight w:val="none"/>
        </w:rPr>
      </w:pPr>
      <m:oMath>
        <m:r>
          <m:rPr/>
          <w:rPr>
            <w:rFonts w:ascii="Cambria Math" w:hAnsi="Cambria Math"/>
            <w:color w:val="auto"/>
            <w:highlight w:val="none"/>
          </w:rPr>
          <m:t>R</m:t>
        </m:r>
      </m:oMath>
      <w:r>
        <w:rPr>
          <w:rFonts w:hint="eastAsia" w:ascii="宋体" w:hAnsi="宋体" w:eastAsia="宋体"/>
          <w:color w:val="auto"/>
          <w:highlight w:val="none"/>
        </w:rPr>
        <w:t>值应在试验报告中说明。每年至少用代表车型对路面标定一次，以检验</w:t>
      </w:r>
      <m:oMath>
        <m:r>
          <m:rPr/>
          <w:rPr>
            <w:rFonts w:ascii="Cambria Math" w:hAnsi="Cambria Math"/>
            <w:color w:val="auto"/>
            <w:highlight w:val="none"/>
          </w:rPr>
          <m:t>R</m:t>
        </m:r>
      </m:oMath>
      <w:r>
        <w:rPr>
          <w:rFonts w:hint="eastAsia" w:ascii="宋体" w:hAnsi="宋体" w:eastAsia="宋体"/>
          <w:color w:val="auto"/>
          <w:highlight w:val="none"/>
        </w:rPr>
        <w:t>的稳定性。</w:t>
      </w:r>
    </w:p>
    <w:p>
      <w:pPr>
        <w:pStyle w:val="110"/>
        <w:spacing w:before="312" w:after="312"/>
        <w:rPr>
          <w:color w:val="auto"/>
          <w:kern w:val="2"/>
          <w:szCs w:val="21"/>
          <w:highlight w:val="none"/>
        </w:rPr>
      </w:pPr>
      <w:bookmarkStart w:id="144" w:name="_Toc21278"/>
      <w:bookmarkStart w:id="145" w:name="_Toc109891123"/>
      <w:bookmarkStart w:id="146" w:name="_Toc118580283"/>
      <w:r>
        <w:rPr>
          <w:rFonts w:hint="eastAsia"/>
          <w:color w:val="auto"/>
          <w:highlight w:val="none"/>
        </w:rPr>
        <w:t>车型</w:t>
      </w:r>
      <w:r>
        <w:rPr>
          <w:rFonts w:hint="eastAsia"/>
          <w:color w:val="auto"/>
          <w:highlight w:val="none"/>
          <w:lang w:val="en-US" w:eastAsia="zh-CN"/>
        </w:rPr>
        <w:t>型式的变更</w:t>
      </w:r>
      <w:r>
        <w:rPr>
          <w:rFonts w:hint="eastAsia"/>
          <w:color w:val="auto"/>
          <w:highlight w:val="none"/>
        </w:rPr>
        <w:t>和扩展</w:t>
      </w:r>
      <w:bookmarkEnd w:id="144"/>
      <w:bookmarkEnd w:id="145"/>
    </w:p>
    <w:p>
      <w:pPr>
        <w:pStyle w:val="62"/>
        <w:keepNext w:val="0"/>
        <w:keepLines w:val="0"/>
        <w:pageBreakBefore w:val="0"/>
        <w:widowControl/>
        <w:numPr>
          <w:ilvl w:val="1"/>
          <w:numId w:val="52"/>
        </w:numPr>
        <w:kinsoku/>
        <w:wordWrap/>
        <w:overflowPunct/>
        <w:topLinePunct w:val="0"/>
        <w:autoSpaceDE w:val="0"/>
        <w:autoSpaceDN w:val="0"/>
        <w:bidi w:val="0"/>
        <w:adjustRightInd/>
        <w:snapToGrid/>
        <w:spacing w:before="157" w:beforeLines="50" w:after="157" w:afterLines="50"/>
        <w:ind w:left="420" w:hanging="420" w:firstLineChars="0"/>
        <w:textAlignment w:val="auto"/>
        <w:rPr>
          <w:rFonts w:ascii="黑体" w:hAnsi="黑体" w:eastAsia="黑体" w:cs="黑体"/>
          <w:color w:val="auto"/>
          <w:highlight w:val="none"/>
        </w:rPr>
      </w:pPr>
      <w:r>
        <w:rPr>
          <w:rFonts w:hint="eastAsia" w:ascii="黑体" w:hAnsi="黑体" w:eastAsia="黑体" w:cs="黑体"/>
          <w:color w:val="auto"/>
          <w:highlight w:val="none"/>
        </w:rPr>
        <w:t>与常规制动性能相关的车辆型式</w:t>
      </w:r>
    </w:p>
    <w:p>
      <w:pPr>
        <w:pStyle w:val="62"/>
        <w:ind w:firstLine="420"/>
        <w:rPr>
          <w:color w:val="auto"/>
          <w:highlight w:val="none"/>
        </w:rPr>
      </w:pPr>
      <w:r>
        <w:rPr>
          <w:rFonts w:hint="eastAsia"/>
          <w:color w:val="auto"/>
          <w:highlight w:val="none"/>
        </w:rPr>
        <w:t>在进行常规制动性能相关试验（除5</w:t>
      </w:r>
      <w:r>
        <w:rPr>
          <w:color w:val="auto"/>
          <w:highlight w:val="none"/>
        </w:rPr>
        <w:t>.1.3</w:t>
      </w:r>
      <w:r>
        <w:rPr>
          <w:rFonts w:hint="eastAsia"/>
          <w:color w:val="auto"/>
          <w:highlight w:val="none"/>
        </w:rPr>
        <w:t>、6</w:t>
      </w:r>
      <w:r>
        <w:rPr>
          <w:color w:val="auto"/>
          <w:highlight w:val="none"/>
        </w:rPr>
        <w:t>.5</w:t>
      </w:r>
      <w:r>
        <w:rPr>
          <w:rFonts w:hint="eastAsia"/>
          <w:color w:val="auto"/>
          <w:highlight w:val="none"/>
        </w:rPr>
        <w:t>、8</w:t>
      </w:r>
      <w:r>
        <w:rPr>
          <w:color w:val="auto"/>
          <w:highlight w:val="none"/>
        </w:rPr>
        <w:t>.4.6</w:t>
      </w:r>
      <w:r>
        <w:rPr>
          <w:rFonts w:hint="eastAsia"/>
          <w:color w:val="auto"/>
          <w:highlight w:val="none"/>
        </w:rPr>
        <w:t>、</w:t>
      </w:r>
      <w:r>
        <w:rPr>
          <w:color w:val="auto"/>
          <w:highlight w:val="none"/>
        </w:rPr>
        <w:t>8.4.15</w:t>
      </w:r>
      <w:r>
        <w:rPr>
          <w:rFonts w:hint="eastAsia"/>
          <w:color w:val="auto"/>
          <w:highlight w:val="none"/>
        </w:rPr>
        <w:t>、</w:t>
      </w:r>
      <w:r>
        <w:rPr>
          <w:color w:val="auto"/>
          <w:highlight w:val="none"/>
        </w:rPr>
        <w:t>8.5.5</w:t>
      </w:r>
      <w:r>
        <w:rPr>
          <w:rFonts w:hint="eastAsia"/>
          <w:color w:val="auto"/>
          <w:highlight w:val="none"/>
        </w:rPr>
        <w:t>、</w:t>
      </w:r>
      <w:r>
        <w:rPr>
          <w:color w:val="auto"/>
          <w:highlight w:val="none"/>
        </w:rPr>
        <w:t>8.5.6</w:t>
      </w:r>
      <w:r>
        <w:rPr>
          <w:rFonts w:hint="eastAsia"/>
          <w:color w:val="auto"/>
          <w:highlight w:val="none"/>
        </w:rPr>
        <w:t>、附录B、附录C、附录D、附录F以外）时，下列基本特征方面相同的车辆视为相同的车辆型式，：</w:t>
      </w:r>
    </w:p>
    <w:p>
      <w:pPr>
        <w:pStyle w:val="62"/>
        <w:ind w:left="840" w:leftChars="200" w:hanging="420" w:hangingChars="200"/>
        <w:rPr>
          <w:color w:val="auto"/>
          <w:highlight w:val="none"/>
        </w:rPr>
      </w:pPr>
      <w:r>
        <w:rPr>
          <w:rFonts w:hint="eastAsia"/>
          <w:color w:val="auto"/>
          <w:highlight w:val="none"/>
        </w:rPr>
        <w:t>——与制动性能相关的车辆参数相同，包括：轴数和布置；轴距相同或增加；轮距（相同或增加）；最大允许总质量相同或减少；整备质量状态下，前轴荷/后轴荷之比相同或减少；最高设计车速相同或减少，或最大设计车速增加但不影响试验车速的确定；发动机最大净功率和/或驱动电机峰值功率及扭矩相同或增加、主减速器速比(驱动桥速比)相同或增加；悬架类型及弹性元件类型；轮胎断面宽度和静负荷半径变化不超过5％。</w:t>
      </w:r>
    </w:p>
    <w:p>
      <w:pPr>
        <w:pStyle w:val="62"/>
        <w:ind w:left="840" w:leftChars="200" w:hanging="420" w:hangingChars="200"/>
        <w:rPr>
          <w:color w:val="auto"/>
          <w:highlight w:val="none"/>
        </w:rPr>
      </w:pPr>
      <w:r>
        <w:rPr>
          <w:rFonts w:hint="eastAsia"/>
          <w:color w:val="auto"/>
          <w:highlight w:val="none"/>
        </w:rPr>
        <w:t>——制动系统相同，包括：行车制动系统、应急制动系统、驻车制动系统型式；行车制动系统助力方式；</w:t>
      </w:r>
    </w:p>
    <w:p>
      <w:pPr>
        <w:pStyle w:val="62"/>
        <w:ind w:left="840" w:leftChars="200" w:hanging="420" w:hangingChars="200"/>
        <w:rPr>
          <w:color w:val="auto"/>
          <w:highlight w:val="none"/>
        </w:rPr>
      </w:pPr>
      <w:r>
        <w:rPr>
          <w:rFonts w:hint="eastAsia"/>
          <w:color w:val="auto"/>
          <w:highlight w:val="none"/>
        </w:rPr>
        <w:t>——制动电子控制系统</w:t>
      </w:r>
      <w:r>
        <w:rPr>
          <w:rFonts w:hint="eastAsia" w:hAnsi="宋体"/>
          <w:color w:val="auto"/>
          <w:highlight w:val="none"/>
        </w:rPr>
        <w:t>（</w:t>
      </w:r>
      <w:r>
        <w:rPr>
          <w:rFonts w:hint="eastAsia" w:ascii="宋体" w:hAnsi="宋体" w:eastAsia="宋体" w:cstheme="minorEastAsia"/>
          <w:color w:val="auto"/>
          <w:szCs w:val="21"/>
          <w:highlight w:val="none"/>
        </w:rPr>
        <w:t>电子制动力分配系统、</w:t>
      </w:r>
      <w:r>
        <w:rPr>
          <w:rFonts w:hint="eastAsia" w:hAnsi="宋体" w:cstheme="minorEastAsia"/>
          <w:color w:val="auto"/>
          <w:szCs w:val="21"/>
          <w:highlight w:val="none"/>
          <w:lang w:eastAsia="zh-CN"/>
        </w:rPr>
        <w:t>防抱</w:t>
      </w:r>
      <w:r>
        <w:rPr>
          <w:rFonts w:hint="eastAsia" w:ascii="宋体" w:hAnsi="宋体" w:eastAsia="宋体" w:cstheme="minorEastAsia"/>
          <w:color w:val="auto"/>
          <w:szCs w:val="21"/>
          <w:highlight w:val="none"/>
        </w:rPr>
        <w:t>制动系统、电子制动助力系统等</w:t>
      </w:r>
      <w:r>
        <w:rPr>
          <w:rFonts w:hint="eastAsia" w:hAnsi="宋体" w:cstheme="minorEastAsia"/>
          <w:color w:val="auto"/>
          <w:szCs w:val="21"/>
          <w:highlight w:val="none"/>
        </w:rPr>
        <w:t>与行车制动相关的制动控制系统</w:t>
      </w:r>
      <w:r>
        <w:rPr>
          <w:rFonts w:hint="eastAsia" w:hAnsi="宋体"/>
          <w:color w:val="auto"/>
          <w:highlight w:val="none"/>
        </w:rPr>
        <w:t>）</w:t>
      </w:r>
      <w:r>
        <w:rPr>
          <w:rFonts w:hint="eastAsia"/>
          <w:color w:val="auto"/>
          <w:highlight w:val="none"/>
        </w:rPr>
        <w:t>相同，包括：型号、生产企业及软件版本相同；</w:t>
      </w:r>
    </w:p>
    <w:p>
      <w:pPr>
        <w:pStyle w:val="62"/>
        <w:ind w:left="840" w:leftChars="200" w:hanging="420" w:hangingChars="200"/>
        <w:rPr>
          <w:color w:val="auto"/>
          <w:highlight w:val="none"/>
        </w:rPr>
      </w:pPr>
      <w:r>
        <w:rPr>
          <w:rFonts w:hint="eastAsia"/>
          <w:color w:val="auto"/>
          <w:highlight w:val="none"/>
        </w:rPr>
        <w:t>——制动装置部件的规格型号相同，包括：制动钳/制动盘；制动鼓/制动蹄；制动衬片；</w:t>
      </w:r>
    </w:p>
    <w:p>
      <w:pPr>
        <w:pStyle w:val="62"/>
        <w:keepNext w:val="0"/>
        <w:keepLines w:val="0"/>
        <w:pageBreakBefore w:val="0"/>
        <w:widowControl/>
        <w:numPr>
          <w:ilvl w:val="1"/>
          <w:numId w:val="52"/>
        </w:numPr>
        <w:kinsoku/>
        <w:wordWrap/>
        <w:overflowPunct/>
        <w:topLinePunct w:val="0"/>
        <w:autoSpaceDE w:val="0"/>
        <w:autoSpaceDN w:val="0"/>
        <w:bidi w:val="0"/>
        <w:adjustRightInd/>
        <w:snapToGrid/>
        <w:spacing w:before="157" w:beforeLines="50" w:after="157" w:afterLines="50"/>
        <w:ind w:left="420" w:hanging="420" w:firstLineChars="0"/>
        <w:textAlignment w:val="auto"/>
        <w:rPr>
          <w:rFonts w:hint="eastAsia" w:ascii="黑体" w:hAnsi="黑体" w:eastAsia="黑体" w:cs="黑体"/>
          <w:color w:val="auto"/>
          <w:highlight w:val="none"/>
        </w:rPr>
      </w:pPr>
      <w:r>
        <w:rPr>
          <w:rFonts w:hint="eastAsia" w:ascii="黑体" w:hAnsi="黑体" w:eastAsia="黑体" w:cs="黑体"/>
          <w:color w:val="auto"/>
          <w:highlight w:val="none"/>
        </w:rPr>
        <w:t>与临时备用轮胎制动性能相关的车辆型式</w:t>
      </w:r>
    </w:p>
    <w:p>
      <w:pPr>
        <w:pStyle w:val="180"/>
        <w:numPr>
          <w:ilvl w:val="0"/>
          <w:numId w:val="0"/>
        </w:numPr>
        <w:ind w:firstLine="420" w:firstLineChars="200"/>
        <w:rPr>
          <w:color w:val="auto"/>
          <w:highlight w:val="none"/>
        </w:rPr>
      </w:pPr>
      <w:r>
        <w:rPr>
          <w:rFonts w:hint="eastAsia"/>
          <w:color w:val="auto"/>
          <w:highlight w:val="none"/>
        </w:rPr>
        <w:t>在进行附录F规定的</w:t>
      </w:r>
      <w:r>
        <w:rPr>
          <w:rFonts w:hint="eastAsia"/>
          <w:color w:val="auto"/>
          <w:highlight w:val="none"/>
          <w:lang w:val="en-US" w:eastAsia="zh-CN"/>
        </w:rPr>
        <w:t>临时备用轮胎制动性能相关</w:t>
      </w:r>
      <w:r>
        <w:rPr>
          <w:rFonts w:hint="eastAsia"/>
          <w:color w:val="auto"/>
          <w:highlight w:val="none"/>
        </w:rPr>
        <w:t>试验时</w:t>
      </w:r>
      <w:r>
        <w:rPr>
          <w:rFonts w:hint="eastAsia"/>
          <w:color w:val="auto"/>
          <w:highlight w:val="none"/>
          <w:lang w:eastAsia="zh-CN"/>
        </w:rPr>
        <w:t>，</w:t>
      </w:r>
      <w:r>
        <w:rPr>
          <w:rFonts w:hint="eastAsia"/>
          <w:color w:val="auto"/>
          <w:highlight w:val="none"/>
        </w:rPr>
        <w:t>在下列基本特征方面相同的车辆视为</w:t>
      </w:r>
      <w:r>
        <w:rPr>
          <w:rFonts w:hint="eastAsia"/>
          <w:color w:val="auto"/>
          <w:highlight w:val="none"/>
          <w:lang w:val="en-US" w:eastAsia="zh-CN"/>
        </w:rPr>
        <w:t>相同的车辆</w:t>
      </w:r>
      <w:r>
        <w:rPr>
          <w:rFonts w:hint="eastAsia"/>
          <w:color w:val="auto"/>
          <w:highlight w:val="none"/>
        </w:rPr>
        <w:t>型式：</w:t>
      </w:r>
    </w:p>
    <w:p>
      <w:pPr>
        <w:pStyle w:val="180"/>
        <w:keepNext w:val="0"/>
        <w:keepLines w:val="0"/>
        <w:pageBreakBefore w:val="0"/>
        <w:widowControl/>
        <w:numPr>
          <w:ilvl w:val="255"/>
          <w:numId w:val="0"/>
        </w:numPr>
        <w:kinsoku/>
        <w:wordWrap/>
        <w:overflowPunct/>
        <w:topLinePunct w:val="0"/>
        <w:bidi w:val="0"/>
        <w:adjustRightInd/>
        <w:snapToGrid/>
        <w:ind w:left="840" w:leftChars="200" w:hanging="420" w:hangingChars="200"/>
        <w:textAlignment w:val="auto"/>
        <w:rPr>
          <w:color w:val="auto"/>
          <w:highlight w:val="none"/>
        </w:rPr>
      </w:pPr>
      <w:r>
        <w:rPr>
          <w:rFonts w:hint="eastAsia"/>
          <w:color w:val="auto"/>
          <w:highlight w:val="none"/>
          <w:lang w:eastAsia="zh-CN"/>
        </w:rPr>
        <w:t>——</w:t>
      </w:r>
      <w:r>
        <w:rPr>
          <w:rFonts w:hint="eastAsia"/>
          <w:color w:val="auto"/>
          <w:highlight w:val="none"/>
        </w:rPr>
        <w:t>临时备用轮胎相同，包括：类型（“非全尺寸备胎”或“泄气保用轮胎”）；</w:t>
      </w:r>
      <w:r>
        <w:rPr>
          <w:rFonts w:hint="default"/>
          <w:color w:val="auto"/>
          <w:highlight w:val="none"/>
        </w:rPr>
        <w:t>断面宽度和静负荷半径</w:t>
      </w:r>
      <w:r>
        <w:rPr>
          <w:rFonts w:hint="eastAsia"/>
          <w:color w:val="auto"/>
          <w:highlight w:val="none"/>
        </w:rPr>
        <w:t>（</w:t>
      </w:r>
      <w:r>
        <w:rPr>
          <w:rFonts w:hint="default"/>
          <w:color w:val="auto"/>
          <w:highlight w:val="none"/>
        </w:rPr>
        <w:t>变化不超过5％</w:t>
      </w:r>
      <w:r>
        <w:rPr>
          <w:rFonts w:hint="eastAsia"/>
          <w:color w:val="auto"/>
          <w:highlight w:val="none"/>
        </w:rPr>
        <w:t>）</w:t>
      </w:r>
      <w:r>
        <w:rPr>
          <w:rFonts w:hint="default"/>
          <w:color w:val="auto"/>
          <w:highlight w:val="none"/>
        </w:rPr>
        <w:t>。</w:t>
      </w:r>
    </w:p>
    <w:p>
      <w:pPr>
        <w:pStyle w:val="62"/>
        <w:keepNext w:val="0"/>
        <w:keepLines w:val="0"/>
        <w:pageBreakBefore w:val="0"/>
        <w:widowControl/>
        <w:numPr>
          <w:ilvl w:val="1"/>
          <w:numId w:val="52"/>
        </w:numPr>
        <w:kinsoku/>
        <w:wordWrap/>
        <w:overflowPunct/>
        <w:topLinePunct w:val="0"/>
        <w:autoSpaceDE w:val="0"/>
        <w:autoSpaceDN w:val="0"/>
        <w:bidi w:val="0"/>
        <w:adjustRightInd/>
        <w:snapToGrid/>
        <w:spacing w:before="157" w:beforeLines="50" w:after="157" w:afterLines="50"/>
        <w:ind w:left="420" w:hanging="420" w:firstLineChars="0"/>
        <w:textAlignment w:val="auto"/>
        <w:rPr>
          <w:rFonts w:hint="eastAsia" w:ascii="黑体" w:hAnsi="黑体" w:eastAsia="黑体" w:cs="黑体"/>
          <w:color w:val="auto"/>
          <w:highlight w:val="none"/>
        </w:rPr>
      </w:pPr>
      <w:r>
        <w:rPr>
          <w:rFonts w:hint="eastAsia" w:ascii="黑体" w:hAnsi="黑体" w:eastAsia="黑体" w:cs="黑体"/>
          <w:color w:val="auto"/>
          <w:highlight w:val="none"/>
        </w:rPr>
        <w:t>与防抱制动性能相关的车辆型式</w:t>
      </w:r>
    </w:p>
    <w:p>
      <w:pPr>
        <w:pStyle w:val="180"/>
        <w:numPr>
          <w:ilvl w:val="0"/>
          <w:numId w:val="0"/>
        </w:numPr>
        <w:ind w:firstLine="420" w:firstLineChars="200"/>
        <w:rPr>
          <w:color w:val="auto"/>
          <w:highlight w:val="none"/>
        </w:rPr>
      </w:pPr>
      <w:r>
        <w:rPr>
          <w:rFonts w:hint="eastAsia"/>
          <w:color w:val="auto"/>
          <w:highlight w:val="none"/>
        </w:rPr>
        <w:t>在进行6</w:t>
      </w:r>
      <w:r>
        <w:rPr>
          <w:color w:val="auto"/>
          <w:highlight w:val="none"/>
        </w:rPr>
        <w:t>.5</w:t>
      </w:r>
      <w:r>
        <w:rPr>
          <w:rFonts w:hint="eastAsia"/>
          <w:color w:val="auto"/>
          <w:highlight w:val="none"/>
        </w:rPr>
        <w:t>、8</w:t>
      </w:r>
      <w:r>
        <w:rPr>
          <w:color w:val="auto"/>
          <w:highlight w:val="none"/>
        </w:rPr>
        <w:t>.4.6</w:t>
      </w:r>
      <w:r>
        <w:rPr>
          <w:rFonts w:hint="eastAsia"/>
          <w:color w:val="auto"/>
          <w:highlight w:val="none"/>
        </w:rPr>
        <w:t>、</w:t>
      </w:r>
      <w:r>
        <w:rPr>
          <w:color w:val="auto"/>
          <w:highlight w:val="none"/>
        </w:rPr>
        <w:t>8.4.15</w:t>
      </w:r>
      <w:r>
        <w:rPr>
          <w:rFonts w:hint="eastAsia"/>
          <w:color w:val="auto"/>
          <w:highlight w:val="none"/>
        </w:rPr>
        <w:t>、</w:t>
      </w:r>
      <w:r>
        <w:rPr>
          <w:color w:val="auto"/>
          <w:highlight w:val="none"/>
        </w:rPr>
        <w:t>8.5.5</w:t>
      </w:r>
      <w:r>
        <w:rPr>
          <w:rFonts w:hint="eastAsia"/>
          <w:color w:val="auto"/>
          <w:highlight w:val="none"/>
        </w:rPr>
        <w:t>、</w:t>
      </w:r>
      <w:r>
        <w:rPr>
          <w:color w:val="auto"/>
          <w:highlight w:val="none"/>
        </w:rPr>
        <w:t>8.5.6</w:t>
      </w:r>
      <w:r>
        <w:rPr>
          <w:rFonts w:hint="eastAsia"/>
          <w:color w:val="auto"/>
          <w:highlight w:val="none"/>
        </w:rPr>
        <w:t>规定的防抱制动性能相关试验时，在下列基本特征方面相同的车辆视为相同的车辆型式：</w:t>
      </w:r>
    </w:p>
    <w:p>
      <w:pPr>
        <w:pStyle w:val="180"/>
        <w:numPr>
          <w:ilvl w:val="255"/>
          <w:numId w:val="0"/>
        </w:numPr>
        <w:ind w:left="840" w:leftChars="200" w:hanging="420" w:hangingChars="200"/>
        <w:rPr>
          <w:color w:val="auto"/>
          <w:highlight w:val="none"/>
        </w:rPr>
      </w:pPr>
      <w:r>
        <w:rPr>
          <w:rFonts w:hint="eastAsia"/>
          <w:color w:val="auto"/>
          <w:highlight w:val="none"/>
        </w:rPr>
        <w:t>——与防抱制动性能相关的车辆参数相同，包括：轴数和布置；轴距相同或增加；最大允许总质量（相同或减少）；整备质量状态下，前轴荷/后轴荷之比（相同或减少）。</w:t>
      </w:r>
    </w:p>
    <w:p>
      <w:pPr>
        <w:pStyle w:val="180"/>
        <w:numPr>
          <w:ilvl w:val="255"/>
          <w:numId w:val="0"/>
        </w:numPr>
        <w:ind w:left="840" w:leftChars="200" w:hanging="420" w:hangingChars="200"/>
        <w:rPr>
          <w:color w:val="auto"/>
          <w:highlight w:val="none"/>
        </w:rPr>
      </w:pPr>
      <w:r>
        <w:rPr>
          <w:rFonts w:hint="eastAsia"/>
          <w:color w:val="auto"/>
          <w:highlight w:val="none"/>
        </w:rPr>
        <w:t>——制动系统相同，包括：行车制动系统型式；行车制动系统助力方式；</w:t>
      </w:r>
    </w:p>
    <w:p>
      <w:pPr>
        <w:pStyle w:val="180"/>
        <w:numPr>
          <w:ilvl w:val="255"/>
          <w:numId w:val="0"/>
        </w:numPr>
        <w:ind w:left="840" w:leftChars="200" w:hanging="420" w:hangingChars="200"/>
        <w:rPr>
          <w:color w:val="auto"/>
          <w:highlight w:val="none"/>
        </w:rPr>
      </w:pPr>
      <w:r>
        <w:rPr>
          <w:rFonts w:hint="eastAsia"/>
          <w:color w:val="auto"/>
          <w:highlight w:val="none"/>
        </w:rPr>
        <w:t>——制动电子控制系统</w:t>
      </w:r>
      <w:r>
        <w:rPr>
          <w:rFonts w:hint="eastAsia" w:hAnsi="宋体"/>
          <w:color w:val="auto"/>
          <w:highlight w:val="none"/>
        </w:rPr>
        <w:t>（</w:t>
      </w:r>
      <w:r>
        <w:rPr>
          <w:rFonts w:hint="eastAsia" w:hAnsi="宋体" w:cstheme="minorEastAsia"/>
          <w:color w:val="auto"/>
          <w:szCs w:val="21"/>
          <w:highlight w:val="none"/>
        </w:rPr>
        <w:t>电子制动力分配系统、</w:t>
      </w:r>
      <w:r>
        <w:rPr>
          <w:rFonts w:hint="eastAsia" w:hAnsi="宋体" w:cstheme="minorEastAsia"/>
          <w:color w:val="auto"/>
          <w:szCs w:val="21"/>
          <w:highlight w:val="none"/>
          <w:lang w:eastAsia="zh-CN"/>
        </w:rPr>
        <w:t>防抱</w:t>
      </w:r>
      <w:r>
        <w:rPr>
          <w:rFonts w:hint="eastAsia" w:hAnsi="宋体" w:cstheme="minorEastAsia"/>
          <w:color w:val="auto"/>
          <w:szCs w:val="21"/>
          <w:highlight w:val="none"/>
        </w:rPr>
        <w:t>制动系统、电子制动助力系统等与行车制动相关的制动控制系统</w:t>
      </w:r>
      <w:r>
        <w:rPr>
          <w:rFonts w:hint="eastAsia" w:hAnsi="宋体"/>
          <w:color w:val="auto"/>
          <w:highlight w:val="none"/>
        </w:rPr>
        <w:t>）</w:t>
      </w:r>
      <w:r>
        <w:rPr>
          <w:rFonts w:hint="eastAsia"/>
          <w:color w:val="auto"/>
          <w:highlight w:val="none"/>
        </w:rPr>
        <w:t>相同，包括：型号、生产企业及软件版本相同；</w:t>
      </w:r>
    </w:p>
    <w:p>
      <w:pPr>
        <w:pStyle w:val="180"/>
        <w:numPr>
          <w:ilvl w:val="255"/>
          <w:numId w:val="0"/>
        </w:numPr>
        <w:ind w:left="840" w:leftChars="200" w:hanging="420" w:hangingChars="200"/>
        <w:rPr>
          <w:color w:val="auto"/>
          <w:highlight w:val="none"/>
        </w:rPr>
      </w:pPr>
      <w:r>
        <w:rPr>
          <w:rFonts w:hint="eastAsia"/>
          <w:color w:val="auto"/>
          <w:highlight w:val="none"/>
        </w:rPr>
        <w:t>——制动装置部件的规格型号相同，包括：制动钳/制动盘；制动鼓/制动蹄；制动衬片；</w:t>
      </w:r>
    </w:p>
    <w:p>
      <w:pPr>
        <w:pStyle w:val="62"/>
        <w:keepNext w:val="0"/>
        <w:keepLines w:val="0"/>
        <w:pageBreakBefore w:val="0"/>
        <w:widowControl/>
        <w:numPr>
          <w:ilvl w:val="1"/>
          <w:numId w:val="52"/>
        </w:numPr>
        <w:kinsoku/>
        <w:wordWrap/>
        <w:overflowPunct/>
        <w:topLinePunct w:val="0"/>
        <w:autoSpaceDE w:val="0"/>
        <w:autoSpaceDN w:val="0"/>
        <w:bidi w:val="0"/>
        <w:adjustRightInd/>
        <w:snapToGrid/>
        <w:spacing w:before="157" w:beforeLines="50" w:after="157" w:afterLines="50"/>
        <w:ind w:left="420" w:hanging="420" w:firstLineChars="0"/>
        <w:textAlignment w:val="auto"/>
        <w:rPr>
          <w:rFonts w:hint="eastAsia" w:ascii="黑体" w:hAnsi="黑体" w:eastAsia="黑体" w:cs="黑体"/>
          <w:color w:val="auto"/>
          <w:highlight w:val="none"/>
        </w:rPr>
      </w:pPr>
      <w:r>
        <w:rPr>
          <w:rFonts w:hint="eastAsia" w:ascii="黑体" w:hAnsi="黑体" w:eastAsia="黑体" w:cs="黑体"/>
          <w:color w:val="auto"/>
          <w:highlight w:val="none"/>
        </w:rPr>
        <w:t>与功能安全相关的车辆型式</w:t>
      </w:r>
    </w:p>
    <w:p>
      <w:pPr>
        <w:pStyle w:val="180"/>
        <w:numPr>
          <w:ilvl w:val="255"/>
          <w:numId w:val="0"/>
        </w:numPr>
        <w:ind w:left="840" w:leftChars="200" w:hanging="420" w:hangingChars="200"/>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rPr>
        <w:t>在进行</w:t>
      </w:r>
      <w:r>
        <w:rPr>
          <w:rFonts w:hint="eastAsia" w:cs="Times New Roman"/>
          <w:color w:val="auto"/>
          <w:highlight w:val="none"/>
          <w:lang w:val="en-US" w:eastAsia="zh-CN"/>
        </w:rPr>
        <w:t>功能安全</w:t>
      </w:r>
      <w:r>
        <w:rPr>
          <w:rFonts w:hint="eastAsia" w:ascii="宋体" w:hAnsi="Times New Roman" w:eastAsia="宋体" w:cs="Times New Roman"/>
          <w:color w:val="auto"/>
          <w:highlight w:val="none"/>
          <w:lang w:val="en-US" w:eastAsia="zh-CN"/>
        </w:rPr>
        <w:t>相关</w:t>
      </w:r>
      <w:r>
        <w:rPr>
          <w:rFonts w:hint="eastAsia" w:cs="Times New Roman"/>
          <w:color w:val="auto"/>
          <w:highlight w:val="none"/>
          <w:lang w:val="en-US" w:eastAsia="zh-CN"/>
        </w:rPr>
        <w:t>文档审核和</w:t>
      </w:r>
      <w:r>
        <w:rPr>
          <w:rFonts w:hint="eastAsia" w:ascii="宋体" w:hAnsi="Times New Roman" w:eastAsia="宋体" w:cs="Times New Roman"/>
          <w:color w:val="auto"/>
          <w:highlight w:val="none"/>
        </w:rPr>
        <w:t>试验时</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在下列基本特征方面相同的车辆，则视为同一型式</w:t>
      </w:r>
      <w:r>
        <w:rPr>
          <w:rFonts w:hint="eastAsia" w:cs="Times New Roman"/>
          <w:color w:val="auto"/>
          <w:highlight w:val="none"/>
          <w:lang w:eastAsia="zh-CN"/>
        </w:rPr>
        <w:t>。</w:t>
      </w:r>
    </w:p>
    <w:p>
      <w:pPr>
        <w:pStyle w:val="180"/>
        <w:numPr>
          <w:ilvl w:val="255"/>
          <w:numId w:val="0"/>
        </w:numPr>
        <w:ind w:left="840" w:leftChars="200" w:hanging="420" w:hangingChars="200"/>
        <w:rPr>
          <w:rFonts w:hint="eastAsia"/>
          <w:color w:val="auto"/>
          <w:highlight w:val="none"/>
          <w:lang w:eastAsia="zh-CN"/>
        </w:rPr>
      </w:pPr>
      <w:r>
        <w:rPr>
          <w:rFonts w:hint="eastAsia" w:ascii="宋体" w:hAnsi="Times New Roman" w:eastAsia="宋体" w:cs="Times New Roman"/>
          <w:color w:val="auto"/>
          <w:highlight w:val="none"/>
          <w:lang w:eastAsia="zh-CN"/>
        </w:rPr>
        <w:t>——</w:t>
      </w:r>
      <w:r>
        <w:rPr>
          <w:rFonts w:hint="eastAsia"/>
          <w:color w:val="auto"/>
          <w:highlight w:val="none"/>
        </w:rPr>
        <w:t>制动电子控制系统型号、生产企业及软件版本相同</w:t>
      </w:r>
      <w:r>
        <w:rPr>
          <w:rFonts w:hint="eastAsia"/>
          <w:color w:val="auto"/>
          <w:highlight w:val="none"/>
          <w:lang w:eastAsia="zh-CN"/>
        </w:rPr>
        <w:t>。</w:t>
      </w:r>
    </w:p>
    <w:p>
      <w:pPr>
        <w:pStyle w:val="180"/>
        <w:numPr>
          <w:ilvl w:val="255"/>
          <w:numId w:val="0"/>
        </w:numPr>
        <w:ind w:left="840" w:leftChars="200" w:hanging="420" w:hangingChars="200"/>
        <w:rPr>
          <w:rFonts w:hint="eastAsia"/>
          <w:color w:val="auto"/>
          <w:highlight w:val="none"/>
          <w:lang w:eastAsia="zh-CN"/>
        </w:rPr>
      </w:pPr>
      <w:r>
        <w:rPr>
          <w:rFonts w:hint="eastAsia" w:ascii="宋体" w:hAnsi="Times New Roman" w:eastAsia="宋体" w:cs="Times New Roman"/>
          <w:color w:val="auto"/>
          <w:highlight w:val="none"/>
          <w:lang w:eastAsia="zh-CN"/>
        </w:rPr>
        <w:t>——</w:t>
      </w:r>
      <w:r>
        <w:rPr>
          <w:rFonts w:hint="eastAsia"/>
          <w:color w:val="auto"/>
          <w:highlight w:val="none"/>
        </w:rPr>
        <w:t>制动电子控制系统功能安全描述相同，描述内容要求应满足附录D。</w:t>
      </w:r>
    </w:p>
    <w:p>
      <w:pPr>
        <w:pStyle w:val="6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ascii="黑体" w:hAnsi="黑体" w:eastAsia="黑体" w:cs="黑体"/>
          <w:color w:val="auto"/>
          <w:highlight w:val="none"/>
        </w:rPr>
      </w:pPr>
      <w:r>
        <w:rPr>
          <w:rFonts w:ascii="黑体" w:hAnsi="黑体" w:eastAsia="黑体" w:cs="黑体"/>
          <w:color w:val="auto"/>
          <w:highlight w:val="none"/>
        </w:rPr>
        <w:t xml:space="preserve">7.5 </w:t>
      </w:r>
      <w:r>
        <w:rPr>
          <w:rFonts w:hint="eastAsia" w:ascii="黑体" w:hAnsi="黑体" w:eastAsia="黑体" w:cs="黑体"/>
          <w:color w:val="auto"/>
          <w:highlight w:val="none"/>
        </w:rPr>
        <w:t>与电磁兼容相关的车辆型式</w:t>
      </w:r>
    </w:p>
    <w:p>
      <w:pPr>
        <w:pStyle w:val="62"/>
        <w:ind w:firstLine="420"/>
        <w:rPr>
          <w:color w:val="auto"/>
          <w:highlight w:val="none"/>
        </w:rPr>
      </w:pPr>
      <w:r>
        <w:rPr>
          <w:rFonts w:hint="eastAsia"/>
          <w:color w:val="auto"/>
          <w:highlight w:val="none"/>
        </w:rPr>
        <w:t>在进行制动系统电磁兼容（EMC）抗扰度试验时</w:t>
      </w:r>
      <w:r>
        <w:rPr>
          <w:rFonts w:hint="eastAsia"/>
          <w:color w:val="auto"/>
          <w:highlight w:val="none"/>
          <w:lang w:eastAsia="zh-CN"/>
        </w:rPr>
        <w:t>，</w:t>
      </w:r>
      <w:r>
        <w:rPr>
          <w:rFonts w:hint="eastAsia"/>
          <w:color w:val="auto"/>
          <w:highlight w:val="none"/>
        </w:rPr>
        <w:t>下列基本特征方面相同的车辆，则视为同一型式：</w:t>
      </w:r>
    </w:p>
    <w:p>
      <w:pPr>
        <w:pStyle w:val="180"/>
        <w:numPr>
          <w:ilvl w:val="-1"/>
          <w:numId w:val="0"/>
        </w:numPr>
        <w:ind w:left="425" w:firstLine="0"/>
        <w:rPr>
          <w:color w:val="auto"/>
          <w:highlight w:val="none"/>
        </w:rPr>
      </w:pPr>
      <w:r>
        <w:rPr>
          <w:rFonts w:hint="eastAsia"/>
          <w:color w:val="auto"/>
          <w:highlight w:val="none"/>
          <w:lang w:eastAsia="zh-CN"/>
        </w:rPr>
        <w:t>——</w:t>
      </w:r>
      <w:r>
        <w:rPr>
          <w:rFonts w:hint="eastAsia"/>
          <w:color w:val="auto"/>
          <w:highlight w:val="none"/>
        </w:rPr>
        <w:t>制动电子控制系统型号、生产企业及软件版本相同。</w:t>
      </w:r>
    </w:p>
    <w:bookmarkEnd w:id="146"/>
    <w:p>
      <w:pPr>
        <w:pStyle w:val="110"/>
        <w:spacing w:before="312" w:after="312"/>
        <w:rPr>
          <w:color w:val="auto"/>
          <w:highlight w:val="none"/>
        </w:rPr>
      </w:pPr>
      <w:bookmarkStart w:id="147" w:name="_Toc30976"/>
      <w:bookmarkStart w:id="148" w:name="_Toc118580300"/>
      <w:bookmarkStart w:id="149" w:name="_Toc109891126"/>
      <w:r>
        <w:rPr>
          <w:rFonts w:hint="eastAsia"/>
          <w:color w:val="auto"/>
          <w:highlight w:val="none"/>
        </w:rPr>
        <w:t>试验方法</w:t>
      </w:r>
      <w:bookmarkEnd w:id="147"/>
      <w:bookmarkEnd w:id="148"/>
      <w:bookmarkEnd w:id="149"/>
    </w:p>
    <w:p>
      <w:pPr>
        <w:pStyle w:val="111"/>
        <w:spacing w:before="156" w:after="156"/>
        <w:rPr>
          <w:color w:val="auto"/>
          <w:highlight w:val="none"/>
        </w:rPr>
      </w:pPr>
      <w:bookmarkStart w:id="150" w:name="_Toc109891127"/>
      <w:bookmarkStart w:id="151" w:name="_Toc118580301"/>
      <w:bookmarkStart w:id="152" w:name="_Toc27578"/>
      <w:r>
        <w:rPr>
          <w:rFonts w:hint="eastAsia"/>
          <w:color w:val="auto"/>
          <w:highlight w:val="none"/>
        </w:rPr>
        <w:t>总体要求</w:t>
      </w:r>
      <w:bookmarkEnd w:id="150"/>
      <w:bookmarkEnd w:id="151"/>
      <w:bookmarkEnd w:id="152"/>
    </w:p>
    <w:p>
      <w:pPr>
        <w:pStyle w:val="62"/>
        <w:ind w:firstLine="420" w:firstLineChars="200"/>
        <w:rPr>
          <w:rFonts w:hint="default" w:eastAsia="宋体"/>
          <w:color w:val="auto"/>
          <w:highlight w:val="none"/>
          <w:lang w:val="en-US" w:eastAsia="zh-CN"/>
        </w:rPr>
      </w:pPr>
      <w:r>
        <w:rPr>
          <w:rFonts w:hint="eastAsia"/>
          <w:color w:val="auto"/>
          <w:highlight w:val="none"/>
          <w:lang w:val="en-US" w:eastAsia="zh-CN"/>
        </w:rPr>
        <w:t>应</w:t>
      </w:r>
      <w:r>
        <w:rPr>
          <w:rFonts w:hint="eastAsia"/>
          <w:color w:val="auto"/>
          <w:highlight w:val="none"/>
        </w:rPr>
        <w:t>先进行静态检查、后进行动态试验。动态试验时，</w:t>
      </w:r>
      <w:r>
        <w:rPr>
          <w:rFonts w:hint="eastAsia"/>
          <w:color w:val="auto"/>
          <w:highlight w:val="none"/>
          <w:lang w:val="en-US" w:eastAsia="zh-CN"/>
        </w:rPr>
        <w:t>宜</w:t>
      </w:r>
      <w:r>
        <w:rPr>
          <w:rFonts w:hint="eastAsia"/>
          <w:color w:val="auto"/>
          <w:highlight w:val="none"/>
        </w:rPr>
        <w:t>先进行空载试验、后进行满载试验。I型试验应在其他所有动态试验项目完成后进行。车辆参数和试验数据处理要求</w:t>
      </w:r>
      <w:r>
        <w:rPr>
          <w:rFonts w:hint="eastAsia"/>
          <w:color w:val="auto"/>
          <w:highlight w:val="none"/>
          <w:lang w:val="en-US" w:eastAsia="zh-CN"/>
        </w:rPr>
        <w:t>应满足附录E。</w:t>
      </w:r>
    </w:p>
    <w:p>
      <w:pPr>
        <w:pStyle w:val="111"/>
        <w:spacing w:before="156" w:after="156"/>
        <w:rPr>
          <w:color w:val="auto"/>
          <w:highlight w:val="none"/>
        </w:rPr>
      </w:pPr>
      <w:bookmarkStart w:id="153" w:name="_Toc72156205"/>
      <w:bookmarkEnd w:id="153"/>
      <w:bookmarkStart w:id="154" w:name="_Toc109891128"/>
      <w:bookmarkStart w:id="155" w:name="_Toc5526"/>
      <w:bookmarkStart w:id="156" w:name="_Toc72156279"/>
      <w:bookmarkStart w:id="157" w:name="_Toc118580302"/>
      <w:r>
        <w:rPr>
          <w:rFonts w:hint="eastAsia"/>
          <w:color w:val="auto"/>
          <w:highlight w:val="none"/>
        </w:rPr>
        <w:t>试验场地和试验设备</w:t>
      </w:r>
      <w:bookmarkEnd w:id="154"/>
      <w:bookmarkEnd w:id="155"/>
      <w:bookmarkEnd w:id="156"/>
      <w:bookmarkEnd w:id="157"/>
    </w:p>
    <w:p>
      <w:pPr>
        <w:pStyle w:val="111"/>
        <w:numPr>
          <w:ilvl w:val="-1"/>
          <w:numId w:val="0"/>
        </w:numPr>
        <w:spacing w:before="156" w:after="156"/>
        <w:ind w:firstLine="0"/>
        <w:rPr>
          <w:rFonts w:hint="eastAsia" w:hAnsi="Times New Roman" w:eastAsia="黑体" w:cs="Times New Roman"/>
          <w:color w:val="auto"/>
          <w:highlight w:val="none"/>
          <w:lang w:val="en-US" w:eastAsia="zh-CN"/>
        </w:rPr>
      </w:pPr>
      <w:bookmarkStart w:id="158" w:name="_Toc17492"/>
      <w:r>
        <w:rPr>
          <w:rFonts w:hint="eastAsia" w:hAnsi="Times New Roman" w:cs="Times New Roman"/>
          <w:color w:val="auto"/>
          <w:highlight w:val="none"/>
          <w:lang w:val="en-US" w:eastAsia="zh-CN"/>
        </w:rPr>
        <w:t>8.2.1  试验场地</w:t>
      </w:r>
      <w:bookmarkEnd w:id="158"/>
    </w:p>
    <w:p>
      <w:pPr>
        <w:pStyle w:val="62"/>
        <w:ind w:firstLine="420"/>
        <w:rPr>
          <w:color w:val="auto"/>
          <w:highlight w:val="none"/>
        </w:rPr>
      </w:pPr>
      <w:r>
        <w:rPr>
          <w:rFonts w:hint="eastAsia"/>
          <w:color w:val="auto"/>
          <w:highlight w:val="none"/>
        </w:rPr>
        <w:t>试验场地和试验设备应满足以下要求：</w:t>
      </w:r>
    </w:p>
    <w:p>
      <w:pPr>
        <w:pStyle w:val="180"/>
        <w:numPr>
          <w:ilvl w:val="0"/>
          <w:numId w:val="53"/>
        </w:numPr>
        <w:rPr>
          <w:color w:val="auto"/>
          <w:highlight w:val="none"/>
        </w:rPr>
      </w:pPr>
      <w:r>
        <w:rPr>
          <w:rFonts w:hint="eastAsia" w:hAnsi="宋体"/>
          <w:color w:val="auto"/>
          <w:highlight w:val="none"/>
        </w:rPr>
        <w:t>试验场地应具有附着系数约为</w:t>
      </w:r>
      <w:r>
        <w:rPr>
          <w:rFonts w:hint="eastAsia"/>
          <w:color w:val="auto"/>
          <w:highlight w:val="none"/>
        </w:rPr>
        <w:t>0.8的高附着系数路面</w:t>
      </w:r>
      <w:r>
        <w:rPr>
          <w:rFonts w:hint="eastAsia" w:hAnsi="宋体"/>
          <w:color w:val="auto"/>
          <w:highlight w:val="none"/>
        </w:rPr>
        <w:t>和附着系数小于等于</w:t>
      </w:r>
      <w:r>
        <w:rPr>
          <w:rFonts w:hint="eastAsia"/>
          <w:color w:val="auto"/>
          <w:highlight w:val="none"/>
        </w:rPr>
        <w:t>0.3的低附着系数路面</w:t>
      </w:r>
      <w:r>
        <w:rPr>
          <w:rFonts w:hint="eastAsia" w:hAnsi="宋体"/>
          <w:color w:val="auto"/>
          <w:highlight w:val="none"/>
        </w:rPr>
        <w:t>。为进行</w:t>
      </w:r>
      <w:r>
        <w:rPr>
          <w:rFonts w:hint="eastAsia"/>
          <w:color w:val="auto"/>
          <w:highlight w:val="none"/>
        </w:rPr>
        <w:t>ABS试验，还应具有对开路面和对接路面；</w:t>
      </w:r>
    </w:p>
    <w:p>
      <w:pPr>
        <w:pStyle w:val="180"/>
        <w:numPr>
          <w:ilvl w:val="0"/>
          <w:numId w:val="53"/>
        </w:numPr>
        <w:rPr>
          <w:color w:val="auto"/>
          <w:highlight w:val="none"/>
        </w:rPr>
      </w:pPr>
      <w:r>
        <w:rPr>
          <w:rFonts w:hint="eastAsia" w:hAnsi="宋体"/>
          <w:color w:val="auto"/>
          <w:highlight w:val="none"/>
        </w:rPr>
        <w:t>在试验道路纵向任意50</w:t>
      </w:r>
      <w:r>
        <w:rPr>
          <w:rFonts w:hint="eastAsia"/>
          <w:color w:val="auto"/>
          <w:highlight w:val="none"/>
          <w:lang w:val="en-US" w:eastAsia="zh-CN"/>
        </w:rPr>
        <w:t> </w:t>
      </w:r>
      <w:r>
        <w:rPr>
          <w:rFonts w:hint="eastAsia" w:hAnsi="宋体"/>
          <w:color w:val="auto"/>
          <w:highlight w:val="none"/>
        </w:rPr>
        <w:t>m长度上的坡度应小于1%，驻车试验坡度按有关条款规定。路拱坡度应小于2%</w:t>
      </w:r>
      <w:r>
        <w:rPr>
          <w:rFonts w:hint="eastAsia" w:hAnsi="宋体"/>
          <w:color w:val="auto"/>
          <w:highlight w:val="none"/>
          <w:lang w:eastAsia="zh-CN"/>
        </w:rPr>
        <w:t>。</w:t>
      </w:r>
    </w:p>
    <w:p>
      <w:pPr>
        <w:pStyle w:val="111"/>
        <w:numPr>
          <w:ilvl w:val="-1"/>
          <w:numId w:val="0"/>
        </w:numPr>
        <w:spacing w:before="156" w:after="156"/>
        <w:ind w:firstLine="0"/>
        <w:rPr>
          <w:rFonts w:hint="eastAsia" w:hAnsi="Times New Roman" w:cs="Times New Roman"/>
          <w:color w:val="auto"/>
          <w:highlight w:val="none"/>
          <w:lang w:val="en-US" w:eastAsia="zh-CN"/>
        </w:rPr>
      </w:pPr>
      <w:bookmarkStart w:id="159" w:name="_Toc23508"/>
      <w:r>
        <w:rPr>
          <w:rFonts w:hint="eastAsia" w:hAnsi="Times New Roman" w:cs="Times New Roman"/>
          <w:color w:val="auto"/>
          <w:highlight w:val="none"/>
          <w:lang w:val="en-US" w:eastAsia="zh-CN"/>
        </w:rPr>
        <w:t>8.2.2  试验仪器设备要求</w:t>
      </w:r>
      <w:bookmarkEnd w:id="159"/>
    </w:p>
    <w:p>
      <w:pPr>
        <w:pStyle w:val="62"/>
        <w:ind w:firstLine="420"/>
        <w:rPr>
          <w:color w:val="auto"/>
          <w:highlight w:val="none"/>
        </w:rPr>
      </w:pPr>
      <w:r>
        <w:rPr>
          <w:rFonts w:hint="eastAsia"/>
          <w:color w:val="auto"/>
          <w:highlight w:val="none"/>
        </w:rPr>
        <w:t>测量各参数的试验设备应满足表</w:t>
      </w:r>
      <w:r>
        <w:rPr>
          <w:rFonts w:hint="eastAsia"/>
          <w:color w:val="auto"/>
          <w:highlight w:val="none"/>
          <w:lang w:val="en-US" w:eastAsia="zh-CN"/>
        </w:rPr>
        <w:t>4</w:t>
      </w:r>
      <w:r>
        <w:rPr>
          <w:rFonts w:hint="eastAsia"/>
          <w:color w:val="auto"/>
          <w:highlight w:val="none"/>
        </w:rPr>
        <w:t>的要求。</w:t>
      </w:r>
    </w:p>
    <w:p>
      <w:pPr>
        <w:pStyle w:val="180"/>
        <w:numPr>
          <w:ilvl w:val="-1"/>
          <w:numId w:val="0"/>
        </w:numPr>
        <w:spacing w:before="157" w:beforeLines="50" w:after="157" w:afterLines="50"/>
        <w:ind w:left="0" w:firstLine="0"/>
        <w:jc w:val="center"/>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表4 </w:t>
      </w:r>
      <w:r>
        <w:rPr>
          <w:rFonts w:hint="eastAsia" w:ascii="黑体" w:hAnsi="黑体" w:eastAsia="黑体" w:cs="黑体"/>
          <w:color w:val="auto"/>
          <w:highlight w:val="none"/>
        </w:rPr>
        <w:t>测量参数及要求</w:t>
      </w:r>
      <w:r>
        <w:rPr>
          <w:rFonts w:hint="eastAsia" w:ascii="黑体" w:hAnsi="黑体" w:eastAsia="黑体" w:cs="黑体"/>
          <w:color w:val="auto"/>
          <w:highlight w:val="none"/>
          <w:lang w:val="en-US" w:eastAsia="zh-CN"/>
        </w:rPr>
        <w:t xml:space="preserve"> </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12" w:space="0"/>
              <w:left w:val="single" w:color="auto" w:sz="12" w:space="0"/>
              <w:bottom w:val="single" w:color="auto" w:sz="12" w:space="0"/>
            </w:tcBorders>
            <w:shd w:val="clear" w:color="auto" w:fill="auto"/>
            <w:vAlign w:val="center"/>
          </w:tcPr>
          <w:p>
            <w:pPr>
              <w:pStyle w:val="184"/>
              <w:rPr>
                <w:color w:val="auto"/>
                <w:highlight w:val="none"/>
              </w:rPr>
            </w:pPr>
            <w:r>
              <w:rPr>
                <w:rFonts w:hint="eastAsia"/>
                <w:color w:val="auto"/>
                <w:highlight w:val="none"/>
              </w:rPr>
              <w:t>测量参数</w:t>
            </w:r>
          </w:p>
        </w:tc>
        <w:tc>
          <w:tcPr>
            <w:tcW w:w="3112" w:type="dxa"/>
            <w:tcBorders>
              <w:top w:val="single" w:color="auto" w:sz="12" w:space="0"/>
              <w:bottom w:val="single" w:color="auto" w:sz="12" w:space="0"/>
            </w:tcBorders>
            <w:shd w:val="clear" w:color="auto" w:fill="auto"/>
            <w:vAlign w:val="center"/>
          </w:tcPr>
          <w:p>
            <w:pPr>
              <w:pStyle w:val="184"/>
              <w:rPr>
                <w:color w:val="auto"/>
                <w:highlight w:val="none"/>
              </w:rPr>
            </w:pPr>
            <w:r>
              <w:rPr>
                <w:rFonts w:hint="eastAsia"/>
                <w:color w:val="auto"/>
                <w:highlight w:val="none"/>
              </w:rPr>
              <w:t>单位</w:t>
            </w:r>
          </w:p>
        </w:tc>
        <w:tc>
          <w:tcPr>
            <w:tcW w:w="3112" w:type="dxa"/>
            <w:tcBorders>
              <w:top w:val="single" w:color="auto" w:sz="12" w:space="0"/>
              <w:bottom w:val="single" w:color="auto" w:sz="12" w:space="0"/>
              <w:right w:val="single" w:color="auto" w:sz="12" w:space="0"/>
            </w:tcBorders>
            <w:shd w:val="clear" w:color="auto" w:fill="auto"/>
            <w:vAlign w:val="center"/>
          </w:tcPr>
          <w:p>
            <w:pPr>
              <w:pStyle w:val="184"/>
              <w:rPr>
                <w:color w:val="auto"/>
                <w:highlight w:val="none"/>
              </w:rPr>
            </w:pPr>
            <w:r>
              <w:rPr>
                <w:rFonts w:hint="eastAsia"/>
                <w:color w:val="auto"/>
                <w:highlight w:val="none"/>
              </w:rPr>
              <w:t>测量误差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12" w:space="0"/>
              <w:left w:val="single" w:color="auto" w:sz="12" w:space="0"/>
            </w:tcBorders>
            <w:shd w:val="clear" w:color="auto" w:fill="auto"/>
            <w:vAlign w:val="center"/>
          </w:tcPr>
          <w:p>
            <w:pPr>
              <w:pStyle w:val="184"/>
              <w:jc w:val="center"/>
              <w:rPr>
                <w:color w:val="auto"/>
                <w:highlight w:val="none"/>
              </w:rPr>
            </w:pPr>
            <w:r>
              <w:rPr>
                <w:rFonts w:hint="eastAsia"/>
                <w:color w:val="auto"/>
                <w:highlight w:val="none"/>
              </w:rPr>
              <w:t>环境温度</w:t>
            </w:r>
          </w:p>
        </w:tc>
        <w:tc>
          <w:tcPr>
            <w:tcW w:w="3112" w:type="dxa"/>
            <w:tcBorders>
              <w:top w:val="single" w:color="auto" w:sz="12" w:space="0"/>
            </w:tcBorders>
            <w:shd w:val="clear" w:color="auto" w:fill="auto"/>
            <w:vAlign w:val="center"/>
          </w:tcPr>
          <w:p>
            <w:pPr>
              <w:pStyle w:val="184"/>
              <w:rPr>
                <w:color w:val="auto"/>
                <w:highlight w:val="none"/>
              </w:rPr>
            </w:pPr>
            <w:r>
              <w:rPr>
                <w:rFonts w:hint="eastAsia"/>
                <w:color w:val="auto"/>
                <w:highlight w:val="none"/>
              </w:rPr>
              <w:t>℃</w:t>
            </w:r>
          </w:p>
        </w:tc>
        <w:tc>
          <w:tcPr>
            <w:tcW w:w="3112" w:type="dxa"/>
            <w:tcBorders>
              <w:top w:val="single" w:color="auto" w:sz="12" w:space="0"/>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1 </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jc w:val="center"/>
              <w:rPr>
                <w:color w:val="auto"/>
                <w:highlight w:val="none"/>
              </w:rPr>
            </w:pPr>
            <w:r>
              <w:rPr>
                <w:rFonts w:hint="eastAsia"/>
                <w:color w:val="auto"/>
                <w:highlight w:val="none"/>
              </w:rPr>
              <w:t>风速</w:t>
            </w:r>
          </w:p>
        </w:tc>
        <w:tc>
          <w:tcPr>
            <w:tcW w:w="3112" w:type="dxa"/>
            <w:shd w:val="clear" w:color="auto" w:fill="auto"/>
            <w:vAlign w:val="center"/>
          </w:tcPr>
          <w:p>
            <w:pPr>
              <w:pStyle w:val="184"/>
              <w:rPr>
                <w:color w:val="auto"/>
                <w:highlight w:val="none"/>
              </w:rPr>
            </w:pPr>
            <w:r>
              <w:rPr>
                <w:color w:val="auto"/>
                <w:highlight w:val="none"/>
              </w:rPr>
              <w:t>m/s</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0.5 m/s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jc w:val="center"/>
              <w:rPr>
                <w:color w:val="auto"/>
                <w:highlight w:val="none"/>
              </w:rPr>
            </w:pPr>
            <w:r>
              <w:rPr>
                <w:rFonts w:hint="eastAsia"/>
                <w:color w:val="auto"/>
                <w:highlight w:val="none"/>
              </w:rPr>
              <w:t>质量</w:t>
            </w:r>
          </w:p>
        </w:tc>
        <w:tc>
          <w:tcPr>
            <w:tcW w:w="3112" w:type="dxa"/>
            <w:shd w:val="clear" w:color="auto" w:fill="auto"/>
            <w:vAlign w:val="center"/>
          </w:tcPr>
          <w:p>
            <w:pPr>
              <w:pStyle w:val="184"/>
              <w:rPr>
                <w:color w:val="auto"/>
                <w:highlight w:val="none"/>
              </w:rPr>
            </w:pPr>
            <w:r>
              <w:rPr>
                <w:color w:val="auto"/>
                <w:highlight w:val="none"/>
              </w:rPr>
              <w:t>kg</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jc w:val="center"/>
              <w:rPr>
                <w:color w:val="auto"/>
                <w:highlight w:val="none"/>
              </w:rPr>
            </w:pPr>
            <w:r>
              <w:rPr>
                <w:rFonts w:hint="eastAsia"/>
                <w:color w:val="auto"/>
                <w:highlight w:val="none"/>
              </w:rPr>
              <w:t>轮胎气压</w:t>
            </w:r>
          </w:p>
        </w:tc>
        <w:tc>
          <w:tcPr>
            <w:tcW w:w="3112" w:type="dxa"/>
            <w:shd w:val="clear" w:color="auto" w:fill="auto"/>
            <w:vAlign w:val="center"/>
          </w:tcPr>
          <w:p>
            <w:pPr>
              <w:pStyle w:val="184"/>
              <w:rPr>
                <w:color w:val="auto"/>
                <w:highlight w:val="none"/>
              </w:rPr>
            </w:pPr>
            <w:r>
              <w:rPr>
                <w:color w:val="auto"/>
                <w:highlight w:val="none"/>
              </w:rPr>
              <w:t>kPa</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jc w:val="center"/>
              <w:rPr>
                <w:color w:val="auto"/>
                <w:highlight w:val="none"/>
              </w:rPr>
            </w:pPr>
            <w:r>
              <w:rPr>
                <w:rFonts w:hint="eastAsia"/>
                <w:color w:val="auto"/>
                <w:highlight w:val="none"/>
              </w:rPr>
              <w:t>速度</w:t>
            </w:r>
          </w:p>
        </w:tc>
        <w:tc>
          <w:tcPr>
            <w:tcW w:w="3112" w:type="dxa"/>
            <w:shd w:val="clear" w:color="auto" w:fill="auto"/>
            <w:vAlign w:val="center"/>
          </w:tcPr>
          <w:p>
            <w:pPr>
              <w:pStyle w:val="184"/>
              <w:rPr>
                <w:color w:val="auto"/>
                <w:highlight w:val="none"/>
              </w:rPr>
            </w:pPr>
            <w:r>
              <w:rPr>
                <w:color w:val="auto"/>
                <w:highlight w:val="none"/>
              </w:rPr>
              <w:t>km/h</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 xml:space="preserve">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制动控制力</w:t>
            </w:r>
          </w:p>
        </w:tc>
        <w:tc>
          <w:tcPr>
            <w:tcW w:w="3112" w:type="dxa"/>
            <w:shd w:val="clear" w:color="auto" w:fill="auto"/>
            <w:vAlign w:val="center"/>
          </w:tcPr>
          <w:p>
            <w:pPr>
              <w:pStyle w:val="184"/>
              <w:rPr>
                <w:color w:val="auto"/>
                <w:highlight w:val="none"/>
              </w:rPr>
            </w:pPr>
            <w:r>
              <w:rPr>
                <w:color w:val="auto"/>
                <w:highlight w:val="none"/>
              </w:rPr>
              <w:t>N</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减速度</w:t>
            </w:r>
          </w:p>
        </w:tc>
        <w:tc>
          <w:tcPr>
            <w:tcW w:w="3112" w:type="dxa"/>
            <w:shd w:val="clear" w:color="auto" w:fill="auto"/>
            <w:vAlign w:val="center"/>
          </w:tcPr>
          <w:p>
            <w:pPr>
              <w:pStyle w:val="184"/>
              <w:rPr>
                <w:color w:val="auto"/>
                <w:highlight w:val="none"/>
              </w:rPr>
            </w:pPr>
            <w:r>
              <w:rPr>
                <w:color w:val="auto"/>
                <w:highlight w:val="none"/>
              </w:rPr>
              <w:t>m/s</w:t>
            </w:r>
            <w:r>
              <w:rPr>
                <w:color w:val="auto"/>
                <w:highlight w:val="none"/>
                <w:vertAlign w:val="superscript"/>
              </w:rPr>
              <w:t>2</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制动距离</w:t>
            </w:r>
          </w:p>
        </w:tc>
        <w:tc>
          <w:tcPr>
            <w:tcW w:w="3112" w:type="dxa"/>
            <w:shd w:val="clear" w:color="auto" w:fill="auto"/>
            <w:vAlign w:val="center"/>
          </w:tcPr>
          <w:p>
            <w:pPr>
              <w:pStyle w:val="184"/>
              <w:rPr>
                <w:color w:val="auto"/>
                <w:highlight w:val="none"/>
              </w:rPr>
            </w:pPr>
            <w:r>
              <w:rPr>
                <w:color w:val="auto"/>
                <w:highlight w:val="none"/>
              </w:rPr>
              <w:t>m</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时间</w:t>
            </w:r>
          </w:p>
        </w:tc>
        <w:tc>
          <w:tcPr>
            <w:tcW w:w="3112" w:type="dxa"/>
            <w:shd w:val="clear" w:color="auto" w:fill="auto"/>
            <w:vAlign w:val="center"/>
          </w:tcPr>
          <w:p>
            <w:pPr>
              <w:pStyle w:val="184"/>
              <w:rPr>
                <w:color w:val="auto"/>
                <w:highlight w:val="none"/>
              </w:rPr>
            </w:pPr>
            <w:r>
              <w:rPr>
                <w:color w:val="auto"/>
                <w:highlight w:val="none"/>
              </w:rPr>
              <w:t>s</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响应时间</w:t>
            </w:r>
          </w:p>
        </w:tc>
        <w:tc>
          <w:tcPr>
            <w:tcW w:w="3112" w:type="dxa"/>
            <w:shd w:val="clear" w:color="auto" w:fill="auto"/>
            <w:vAlign w:val="center"/>
          </w:tcPr>
          <w:p>
            <w:pPr>
              <w:pStyle w:val="184"/>
              <w:rPr>
                <w:color w:val="auto"/>
                <w:highlight w:val="none"/>
              </w:rPr>
            </w:pPr>
            <w:r>
              <w:rPr>
                <w:color w:val="auto"/>
                <w:highlight w:val="none"/>
              </w:rPr>
              <w:t>s</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0.01 s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转速</w:t>
            </w:r>
          </w:p>
        </w:tc>
        <w:tc>
          <w:tcPr>
            <w:tcW w:w="3112" w:type="dxa"/>
            <w:shd w:val="clear" w:color="auto" w:fill="auto"/>
            <w:vAlign w:val="center"/>
          </w:tcPr>
          <w:p>
            <w:pPr>
              <w:pStyle w:val="184"/>
              <w:rPr>
                <w:color w:val="auto"/>
                <w:highlight w:val="none"/>
              </w:rPr>
            </w:pPr>
            <w:r>
              <w:rPr>
                <w:color w:val="auto"/>
                <w:highlight w:val="none"/>
              </w:rPr>
              <w:t>r/min</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管路压力</w:t>
            </w:r>
          </w:p>
        </w:tc>
        <w:tc>
          <w:tcPr>
            <w:tcW w:w="3112" w:type="dxa"/>
            <w:shd w:val="clear" w:color="auto" w:fill="auto"/>
            <w:vAlign w:val="center"/>
          </w:tcPr>
          <w:p>
            <w:pPr>
              <w:pStyle w:val="184"/>
              <w:rPr>
                <w:color w:val="auto"/>
                <w:highlight w:val="none"/>
              </w:rPr>
            </w:pPr>
            <w:r>
              <w:rPr>
                <w:color w:val="auto"/>
                <w:highlight w:val="none"/>
              </w:rPr>
              <w:t>MPa</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制动器温度</w:t>
            </w:r>
          </w:p>
        </w:tc>
        <w:tc>
          <w:tcPr>
            <w:tcW w:w="3112" w:type="dxa"/>
            <w:shd w:val="clear" w:color="auto" w:fill="auto"/>
            <w:vAlign w:val="center"/>
          </w:tcPr>
          <w:p>
            <w:pPr>
              <w:pStyle w:val="184"/>
              <w:rPr>
                <w:color w:val="auto"/>
                <w:highlight w:val="none"/>
              </w:rPr>
            </w:pPr>
            <w:r>
              <w:rPr>
                <w:rFonts w:hint="eastAsia"/>
                <w:color w:val="auto"/>
                <w:highlight w:val="none"/>
              </w:rPr>
              <w:t>℃</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2</w:t>
            </w:r>
            <w:r>
              <w:rPr>
                <w:rFonts w:ascii="Times New Roman"/>
                <w:color w:val="auto"/>
                <w:highlight w:val="none"/>
              </w:rPr>
              <w:t> </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电流</w:t>
            </w:r>
          </w:p>
        </w:tc>
        <w:tc>
          <w:tcPr>
            <w:tcW w:w="3112" w:type="dxa"/>
            <w:shd w:val="clear" w:color="auto" w:fill="auto"/>
            <w:vAlign w:val="center"/>
          </w:tcPr>
          <w:p>
            <w:pPr>
              <w:pStyle w:val="184"/>
              <w:rPr>
                <w:color w:val="auto"/>
                <w:highlight w:val="none"/>
              </w:rPr>
            </w:pPr>
            <w:r>
              <w:rPr>
                <w:color w:val="auto"/>
                <w:highlight w:val="none"/>
              </w:rPr>
              <w:t>A</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电压</w:t>
            </w:r>
          </w:p>
        </w:tc>
        <w:tc>
          <w:tcPr>
            <w:tcW w:w="3112" w:type="dxa"/>
            <w:shd w:val="clear" w:color="auto" w:fill="auto"/>
            <w:vAlign w:val="center"/>
          </w:tcPr>
          <w:p>
            <w:pPr>
              <w:pStyle w:val="184"/>
              <w:rPr>
                <w:color w:val="auto"/>
                <w:highlight w:val="none"/>
              </w:rPr>
            </w:pPr>
            <w:r>
              <w:rPr>
                <w:color w:val="auto"/>
                <w:highlight w:val="none"/>
              </w:rPr>
              <w:t>V</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84"/>
              <w:rPr>
                <w:color w:val="auto"/>
                <w:highlight w:val="none"/>
              </w:rPr>
            </w:pPr>
            <w:r>
              <w:rPr>
                <w:rFonts w:hint="eastAsia"/>
                <w:color w:val="auto"/>
                <w:highlight w:val="none"/>
              </w:rPr>
              <w:t>方向盘转角</w:t>
            </w:r>
          </w:p>
        </w:tc>
        <w:tc>
          <w:tcPr>
            <w:tcW w:w="3112" w:type="dxa"/>
            <w:shd w:val="clear" w:color="auto" w:fill="auto"/>
            <w:vAlign w:val="center"/>
          </w:tcPr>
          <w:p>
            <w:pPr>
              <w:pStyle w:val="184"/>
              <w:rPr>
                <w:color w:val="auto"/>
                <w:highlight w:val="none"/>
              </w:rPr>
            </w:pPr>
            <w:r>
              <w:rPr>
                <w:rFonts w:hint="eastAsia"/>
                <w:color w:val="auto"/>
                <w:highlight w:val="none"/>
              </w:rPr>
              <w:t>°</w:t>
            </w:r>
          </w:p>
        </w:tc>
        <w:tc>
          <w:tcPr>
            <w:tcW w:w="3112" w:type="dxa"/>
            <w:tcBorders>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0.1</w:t>
            </w:r>
            <w:r>
              <w:rPr>
                <w:rFonts w:ascii="Times New Roman"/>
                <w:color w:val="auto"/>
                <w:highlight w:val="none"/>
              </w:rPr>
              <w:t> </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bottom w:val="single" w:color="auto" w:sz="12" w:space="0"/>
            </w:tcBorders>
            <w:shd w:val="clear" w:color="auto" w:fill="auto"/>
            <w:vAlign w:val="center"/>
          </w:tcPr>
          <w:p>
            <w:pPr>
              <w:pStyle w:val="184"/>
              <w:rPr>
                <w:color w:val="auto"/>
                <w:highlight w:val="none"/>
              </w:rPr>
            </w:pPr>
            <w:r>
              <w:rPr>
                <w:rFonts w:hint="eastAsia"/>
                <w:color w:val="auto"/>
                <w:highlight w:val="none"/>
              </w:rPr>
              <w:t>牵引力</w:t>
            </w:r>
          </w:p>
        </w:tc>
        <w:tc>
          <w:tcPr>
            <w:tcW w:w="3112" w:type="dxa"/>
            <w:tcBorders>
              <w:bottom w:val="single" w:color="auto" w:sz="12" w:space="0"/>
            </w:tcBorders>
            <w:shd w:val="clear" w:color="auto" w:fill="auto"/>
            <w:vAlign w:val="center"/>
          </w:tcPr>
          <w:p>
            <w:pPr>
              <w:pStyle w:val="184"/>
              <w:rPr>
                <w:color w:val="auto"/>
                <w:highlight w:val="none"/>
              </w:rPr>
            </w:pPr>
            <w:r>
              <w:rPr>
                <w:color w:val="auto"/>
                <w:highlight w:val="none"/>
              </w:rPr>
              <w:t>N</w:t>
            </w:r>
          </w:p>
        </w:tc>
        <w:tc>
          <w:tcPr>
            <w:tcW w:w="3112" w:type="dxa"/>
            <w:tcBorders>
              <w:bottom w:val="single" w:color="auto" w:sz="12" w:space="0"/>
              <w:right w:val="single" w:color="auto" w:sz="12" w:space="0"/>
            </w:tcBorders>
            <w:shd w:val="clear" w:color="auto" w:fill="auto"/>
            <w:vAlign w:val="center"/>
          </w:tcPr>
          <w:p>
            <w:pPr>
              <w:pStyle w:val="184"/>
              <w:rPr>
                <w:color w:val="auto"/>
                <w:highlight w:val="none"/>
              </w:rPr>
            </w:pPr>
            <w:r>
              <w:rPr>
                <w:rFonts w:hint="eastAsia"/>
                <w:color w:val="auto"/>
                <w:highlight w:val="none"/>
              </w:rPr>
              <w:t>±</w:t>
            </w:r>
            <w:r>
              <w:rPr>
                <w:color w:val="auto"/>
                <w:highlight w:val="none"/>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pStyle w:val="184"/>
              <w:ind w:firstLine="300" w:firstLineChars="200"/>
              <w:jc w:val="both"/>
              <w:rPr>
                <w:rFonts w:hint="eastAsia"/>
                <w:color w:val="auto"/>
                <w:highlight w:val="none"/>
              </w:rPr>
            </w:pPr>
            <w:r>
              <w:rPr>
                <w:rFonts w:hint="eastAsia" w:ascii="黑体" w:hAnsi="黑体" w:eastAsia="黑体" w:cs="黑体"/>
                <w:color w:val="auto"/>
                <w:sz w:val="15"/>
                <w:szCs w:val="16"/>
                <w:highlight w:val="none"/>
                <w:lang w:val="en-US" w:eastAsia="zh-CN"/>
              </w:rPr>
              <w:t>注：</w:t>
            </w:r>
            <w:r>
              <w:rPr>
                <w:rFonts w:hint="eastAsia" w:hAnsi="宋体"/>
                <w:color w:val="auto"/>
                <w:sz w:val="15"/>
                <w:szCs w:val="16"/>
                <w:highlight w:val="none"/>
                <w:lang w:eastAsia="zh-CN"/>
              </w:rPr>
              <w:t>驾驶人</w:t>
            </w:r>
            <w:r>
              <w:rPr>
                <w:rFonts w:hint="eastAsia" w:hAnsi="宋体"/>
                <w:color w:val="auto"/>
                <w:sz w:val="15"/>
                <w:szCs w:val="16"/>
                <w:highlight w:val="none"/>
              </w:rPr>
              <w:t>在试验过程中可随时检查车速、瞬态减速度和控制力（或管路压力）</w:t>
            </w:r>
          </w:p>
        </w:tc>
      </w:tr>
    </w:tbl>
    <w:p>
      <w:pPr>
        <w:pStyle w:val="180"/>
        <w:numPr>
          <w:ilvl w:val="-1"/>
          <w:numId w:val="0"/>
        </w:numPr>
        <w:ind w:left="425" w:firstLine="0"/>
        <w:rPr>
          <w:color w:val="auto"/>
          <w:highlight w:val="none"/>
        </w:rPr>
      </w:pPr>
    </w:p>
    <w:p>
      <w:pPr>
        <w:pStyle w:val="111"/>
        <w:spacing w:before="156" w:after="156"/>
        <w:rPr>
          <w:color w:val="auto"/>
          <w:highlight w:val="none"/>
        </w:rPr>
      </w:pPr>
      <w:bookmarkStart w:id="160" w:name="_Toc72156280"/>
      <w:bookmarkEnd w:id="160"/>
      <w:bookmarkStart w:id="161" w:name="_Toc28699"/>
      <w:bookmarkStart w:id="162" w:name="_Toc118580303"/>
      <w:bookmarkStart w:id="163" w:name="_Toc109891129"/>
      <w:bookmarkStart w:id="164" w:name="_Toc72156206"/>
      <w:r>
        <w:rPr>
          <w:rFonts w:hint="eastAsia"/>
          <w:color w:val="auto"/>
          <w:highlight w:val="none"/>
        </w:rPr>
        <w:t>试验车辆</w:t>
      </w:r>
      <w:bookmarkEnd w:id="161"/>
      <w:bookmarkEnd w:id="162"/>
      <w:bookmarkEnd w:id="163"/>
      <w:bookmarkEnd w:id="164"/>
    </w:p>
    <w:p>
      <w:pPr>
        <w:pStyle w:val="62"/>
        <w:ind w:firstLine="420"/>
        <w:rPr>
          <w:color w:val="auto"/>
          <w:highlight w:val="none"/>
        </w:rPr>
      </w:pPr>
      <w:r>
        <w:rPr>
          <w:rFonts w:hint="eastAsia"/>
          <w:color w:val="auto"/>
          <w:highlight w:val="none"/>
        </w:rPr>
        <w:t>在静态试验和动态试验开始前，可根据制造商的意见对自动磨损补偿装置进行手动调节，但在动态试验项目过程中不应进行手动调节。无论何时，制动器调整都不应导致其在非制动状态下发生摩擦或粘合。</w:t>
      </w:r>
    </w:p>
    <w:p>
      <w:pPr>
        <w:pStyle w:val="62"/>
        <w:ind w:firstLine="420"/>
        <w:rPr>
          <w:color w:val="auto"/>
          <w:highlight w:val="none"/>
        </w:rPr>
      </w:pPr>
      <w:r>
        <w:rPr>
          <w:rFonts w:hint="eastAsia"/>
          <w:color w:val="auto"/>
          <w:highlight w:val="none"/>
        </w:rPr>
        <w:t>试验前，应按制造商规定对车辆进行磨合行驶。如制造商未对磨合行驶做具体规定，可按下列方法进行磨合：</w:t>
      </w:r>
    </w:p>
    <w:p>
      <w:pPr>
        <w:pStyle w:val="180"/>
        <w:numPr>
          <w:ilvl w:val="0"/>
          <w:numId w:val="54"/>
        </w:numPr>
        <w:rPr>
          <w:color w:val="auto"/>
          <w:highlight w:val="none"/>
        </w:rPr>
      </w:pPr>
      <w:r>
        <w:rPr>
          <w:rFonts w:hint="eastAsia" w:hAnsi="宋体"/>
          <w:color w:val="auto"/>
          <w:highlight w:val="none"/>
        </w:rPr>
        <w:t>车辆满载，从最高车速的</w:t>
      </w:r>
      <w:r>
        <w:rPr>
          <w:rFonts w:hint="eastAsia"/>
          <w:color w:val="auto"/>
          <w:highlight w:val="none"/>
        </w:rPr>
        <w:t>80%（小于等于120</w:t>
      </w:r>
      <w:r>
        <w:rPr>
          <w:rFonts w:hint="eastAsia"/>
          <w:color w:val="auto"/>
          <w:highlight w:val="none"/>
          <w:lang w:val="en-US" w:eastAsia="zh-CN"/>
        </w:rPr>
        <w:t> </w:t>
      </w:r>
      <w:r>
        <w:rPr>
          <w:rFonts w:hint="eastAsia"/>
          <w:color w:val="auto"/>
          <w:highlight w:val="none"/>
        </w:rPr>
        <w:t>km/h）</w:t>
      </w:r>
      <w:r>
        <w:rPr>
          <w:rFonts w:hint="eastAsia"/>
          <w:color w:val="auto"/>
          <w:highlight w:val="none"/>
          <w:lang w:val="en-US" w:eastAsia="zh-CN"/>
        </w:rPr>
        <w:t>开始</w:t>
      </w:r>
      <w:r>
        <w:rPr>
          <w:rFonts w:hint="eastAsia"/>
          <w:color w:val="auto"/>
          <w:highlight w:val="none"/>
        </w:rPr>
        <w:t>，</w:t>
      </w:r>
      <w:r>
        <w:rPr>
          <w:rFonts w:hint="eastAsia" w:hAnsi="宋体"/>
          <w:color w:val="auto"/>
          <w:highlight w:val="none"/>
        </w:rPr>
        <w:t>制动器初始温度为65</w:t>
      </w:r>
      <w:r>
        <w:rPr>
          <w:rFonts w:hint="eastAsia"/>
          <w:color w:val="auto"/>
          <w:highlight w:val="none"/>
          <w:lang w:val="en-US" w:eastAsia="zh-CN"/>
        </w:rPr>
        <w:t> </w:t>
      </w:r>
      <w:r>
        <w:rPr>
          <w:rFonts w:hint="eastAsia" w:hAnsi="宋体"/>
          <w:color w:val="auto"/>
          <w:highlight w:val="none"/>
        </w:rPr>
        <w:t>℃～100</w:t>
      </w:r>
      <w:r>
        <w:rPr>
          <w:rFonts w:hint="eastAsia"/>
          <w:color w:val="auto"/>
          <w:highlight w:val="none"/>
          <w:lang w:val="en-US" w:eastAsia="zh-CN"/>
        </w:rPr>
        <w:t> </w:t>
      </w:r>
      <w:r>
        <w:rPr>
          <w:rFonts w:hint="eastAsia" w:hAnsi="宋体"/>
          <w:color w:val="auto"/>
          <w:highlight w:val="none"/>
        </w:rPr>
        <w:t>℃，以</w:t>
      </w:r>
      <w:r>
        <w:rPr>
          <w:rFonts w:hint="eastAsia"/>
          <w:color w:val="auto"/>
          <w:highlight w:val="none"/>
        </w:rPr>
        <w:t>3</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hAnsi="宋体"/>
          <w:color w:val="auto"/>
          <w:highlight w:val="none"/>
        </w:rPr>
        <w:t>的减速度</w:t>
      </w:r>
      <w:r>
        <w:rPr>
          <w:rFonts w:hint="eastAsia" w:hAnsi="宋体"/>
          <w:color w:val="auto"/>
          <w:highlight w:val="none"/>
          <w:lang w:val="en-US" w:eastAsia="zh-CN"/>
        </w:rPr>
        <w:t>进行</w:t>
      </w:r>
      <w:r>
        <w:rPr>
          <w:rFonts w:hint="eastAsia" w:hAnsi="宋体"/>
          <w:color w:val="auto"/>
          <w:highlight w:val="none"/>
        </w:rPr>
        <w:t>制动，当速度降至初速度的</w:t>
      </w:r>
      <w:r>
        <w:rPr>
          <w:rFonts w:hint="eastAsia"/>
          <w:color w:val="auto"/>
          <w:highlight w:val="none"/>
        </w:rPr>
        <w:t>50%时，松开踏板，将车速加速至初速度，重复上述试验。</w:t>
      </w:r>
    </w:p>
    <w:p>
      <w:pPr>
        <w:pStyle w:val="180"/>
        <w:numPr>
          <w:ilvl w:val="0"/>
          <w:numId w:val="54"/>
        </w:numPr>
        <w:tabs>
          <w:tab w:val="left" w:pos="0"/>
          <w:tab w:val="clear" w:pos="851"/>
        </w:tabs>
        <w:ind w:left="0" w:firstLine="420"/>
        <w:rPr>
          <w:color w:val="auto"/>
          <w:highlight w:val="none"/>
        </w:rPr>
      </w:pPr>
      <w:r>
        <w:rPr>
          <w:rFonts w:hint="eastAsia" w:hAnsi="宋体"/>
          <w:color w:val="auto"/>
          <w:highlight w:val="none"/>
        </w:rPr>
        <w:t>磨合总次数为</w:t>
      </w:r>
      <w:r>
        <w:rPr>
          <w:rFonts w:hint="eastAsia"/>
          <w:color w:val="auto"/>
          <w:highlight w:val="none"/>
        </w:rPr>
        <w:t>200次。如因条件限制不能连续完成200次，可根据具体情况调整试验次数。</w:t>
      </w:r>
    </w:p>
    <w:p>
      <w:pPr>
        <w:pStyle w:val="111"/>
        <w:spacing w:before="156" w:after="156"/>
        <w:rPr>
          <w:color w:val="auto"/>
          <w:highlight w:val="none"/>
        </w:rPr>
      </w:pPr>
      <w:bookmarkStart w:id="165" w:name="_Toc72156207"/>
      <w:bookmarkEnd w:id="165"/>
      <w:bookmarkStart w:id="166" w:name="_Toc118580304"/>
      <w:bookmarkStart w:id="167" w:name="_Toc4388"/>
      <w:bookmarkStart w:id="168" w:name="_Toc72156281"/>
      <w:bookmarkStart w:id="169" w:name="_Toc109891130"/>
      <w:r>
        <w:rPr>
          <w:rFonts w:hint="eastAsia"/>
          <w:color w:val="auto"/>
          <w:highlight w:val="none"/>
        </w:rPr>
        <w:t>静态检查</w:t>
      </w:r>
      <w:bookmarkEnd w:id="166"/>
      <w:bookmarkEnd w:id="167"/>
      <w:bookmarkEnd w:id="168"/>
      <w:bookmarkEnd w:id="169"/>
    </w:p>
    <w:p>
      <w:pPr>
        <w:pStyle w:val="71"/>
        <w:spacing w:before="156" w:after="156"/>
        <w:rPr>
          <w:color w:val="auto"/>
          <w:highlight w:val="none"/>
        </w:rPr>
      </w:pPr>
      <w:bookmarkStart w:id="170" w:name="_Toc72156208"/>
      <w:bookmarkEnd w:id="170"/>
      <w:bookmarkStart w:id="171" w:name="_Toc118580305"/>
      <w:r>
        <w:rPr>
          <w:rFonts w:hint="eastAsia"/>
          <w:color w:val="auto"/>
          <w:highlight w:val="none"/>
        </w:rPr>
        <w:t>资料及文件检查</w:t>
      </w:r>
      <w:bookmarkEnd w:id="171"/>
    </w:p>
    <w:p>
      <w:pPr>
        <w:pStyle w:val="62"/>
        <w:ind w:firstLine="420"/>
        <w:rPr>
          <w:color w:val="auto"/>
          <w:highlight w:val="none"/>
        </w:rPr>
      </w:pPr>
      <w:r>
        <w:rPr>
          <w:rFonts w:hint="eastAsia"/>
          <w:color w:val="auto"/>
          <w:highlight w:val="none"/>
        </w:rPr>
        <w:t>应对下列资料及文件进行检查：</w:t>
      </w:r>
    </w:p>
    <w:p>
      <w:pPr>
        <w:pStyle w:val="180"/>
        <w:numPr>
          <w:ilvl w:val="0"/>
          <w:numId w:val="55"/>
        </w:numPr>
        <w:rPr>
          <w:color w:val="auto"/>
          <w:highlight w:val="none"/>
        </w:rPr>
      </w:pPr>
      <w:r>
        <w:rPr>
          <w:rFonts w:hint="eastAsia"/>
          <w:color w:val="auto"/>
          <w:highlight w:val="none"/>
        </w:rPr>
        <w:t>制造商有关制动衬片不含石棉的声明；</w:t>
      </w:r>
    </w:p>
    <w:p>
      <w:pPr>
        <w:pStyle w:val="180"/>
        <w:numPr>
          <w:ilvl w:val="0"/>
          <w:numId w:val="55"/>
        </w:numPr>
        <w:rPr>
          <w:color w:val="auto"/>
          <w:highlight w:val="none"/>
        </w:rPr>
      </w:pPr>
      <w:r>
        <w:rPr>
          <w:rFonts w:hint="eastAsia"/>
          <w:color w:val="auto"/>
          <w:highlight w:val="none"/>
        </w:rPr>
        <w:t>制造商对失效模拟及其影响进行的说明；</w:t>
      </w:r>
    </w:p>
    <w:p>
      <w:pPr>
        <w:pStyle w:val="180"/>
        <w:numPr>
          <w:ilvl w:val="0"/>
          <w:numId w:val="55"/>
        </w:numPr>
        <w:rPr>
          <w:color w:val="auto"/>
          <w:highlight w:val="none"/>
        </w:rPr>
      </w:pPr>
      <w:r>
        <w:rPr>
          <w:rFonts w:hint="eastAsia"/>
          <w:color w:val="auto"/>
          <w:highlight w:val="none"/>
        </w:rPr>
        <w:t>制造商有关制动电子控制系统功能安全方面的文档；</w:t>
      </w:r>
    </w:p>
    <w:p>
      <w:pPr>
        <w:pStyle w:val="180"/>
        <w:numPr>
          <w:ilvl w:val="0"/>
          <w:numId w:val="55"/>
        </w:numPr>
        <w:rPr>
          <w:color w:val="auto"/>
          <w:szCs w:val="21"/>
          <w:highlight w:val="none"/>
        </w:rPr>
      </w:pPr>
      <w:r>
        <w:rPr>
          <w:rFonts w:hint="eastAsia" w:hAnsi="宋体"/>
          <w:color w:val="auto"/>
          <w:highlight w:val="none"/>
        </w:rPr>
        <w:t>制造商证明满足部件检查、制动器磨损及调节检查、补偿装置检查、电力再生式制动系统检查、牵引装备电力制动系统的挂车的乘用车附加检查、驻车制动性能检查、具有电控传输装置的行车制动系统附加检查、液压传输制动系统的储液罐/主缸检查、信号装置检查、ABS控制模式检查、储能和供能检查的资料或声明</w:t>
      </w:r>
      <w:r>
        <w:rPr>
          <w:rFonts w:hint="eastAsia"/>
          <w:color w:val="auto"/>
          <w:highlight w:val="none"/>
        </w:rPr>
        <w:t>；</w:t>
      </w:r>
    </w:p>
    <w:p>
      <w:pPr>
        <w:pStyle w:val="180"/>
        <w:numPr>
          <w:ilvl w:val="0"/>
          <w:numId w:val="55"/>
        </w:numPr>
        <w:rPr>
          <w:color w:val="auto"/>
          <w:highlight w:val="none"/>
        </w:rPr>
      </w:pPr>
      <w:r>
        <w:rPr>
          <w:rFonts w:hint="eastAsia"/>
          <w:color w:val="auto"/>
          <w:highlight w:val="none"/>
        </w:rPr>
        <w:t>与本文件规定相关的其他资料。</w:t>
      </w:r>
    </w:p>
    <w:p>
      <w:pPr>
        <w:pStyle w:val="71"/>
        <w:spacing w:before="156" w:after="156"/>
        <w:rPr>
          <w:color w:val="auto"/>
          <w:highlight w:val="none"/>
        </w:rPr>
      </w:pPr>
      <w:bookmarkStart w:id="172" w:name="_Toc72156209"/>
      <w:bookmarkEnd w:id="172"/>
      <w:bookmarkStart w:id="173" w:name="_Toc118580306"/>
      <w:r>
        <w:rPr>
          <w:rFonts w:hint="eastAsia"/>
          <w:color w:val="auto"/>
          <w:highlight w:val="none"/>
        </w:rPr>
        <w:t>部件检查</w:t>
      </w:r>
      <w:bookmarkEnd w:id="173"/>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对制动系统进行外观检查，确认行车制动踏板与传输部件间连接的效能不会随着时间的推移而降低。</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确认制动踏板及其支架、制动主缸及其活塞、控制阀、制动踏板与主缸或控制阀之间的连接件、轮缸及其活塞、制动系统的制动调整臂及凸轮总成等零部件具有足够的强度且便于维护。</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确认行车制动作用在所有车轮上。检查系统为双回路并记录其实现方式。</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确认行车制动、应急制动和驻车制动器表面与车轮永久连接。如可断开，应确认只能在换挡等情况时短暂断开。对驻车制动系统，仅当</w:t>
      </w:r>
      <w:r>
        <w:rPr>
          <w:rFonts w:hint="eastAsia" w:ascii="宋体" w:hAnsi="宋体" w:eastAsia="宋体"/>
          <w:color w:val="auto"/>
          <w:highlight w:val="none"/>
          <w:lang w:eastAsia="zh-CN"/>
        </w:rPr>
        <w:t>驾驶人</w:t>
      </w:r>
      <w:r>
        <w:rPr>
          <w:rFonts w:hint="eastAsia" w:ascii="宋体" w:hAnsi="宋体" w:eastAsia="宋体"/>
          <w:color w:val="auto"/>
          <w:highlight w:val="none"/>
        </w:rPr>
        <w:t>在驾驶位置或远程控制装置通过一个不因泄漏而起作用的系统控制时才允许断开。</w:t>
      </w:r>
    </w:p>
    <w:p>
      <w:pPr>
        <w:pStyle w:val="62"/>
        <w:ind w:firstLine="420"/>
        <w:rPr>
          <w:rFonts w:hint="eastAsia"/>
          <w:color w:val="auto"/>
          <w:highlight w:val="none"/>
        </w:rPr>
      </w:pPr>
      <w:r>
        <w:rPr>
          <w:rFonts w:hint="eastAsia"/>
          <w:color w:val="auto"/>
          <w:highlight w:val="none"/>
        </w:rPr>
        <w:t>如行车制动或应急制动器可以断开，应在动态试验期间确认断开时仍能达到规定的性能。</w:t>
      </w:r>
    </w:p>
    <w:p>
      <w:pPr>
        <w:pStyle w:val="71"/>
        <w:spacing w:before="156" w:after="156"/>
        <w:rPr>
          <w:color w:val="auto"/>
          <w:highlight w:val="none"/>
        </w:rPr>
      </w:pPr>
      <w:bookmarkStart w:id="174" w:name="_Toc72156210"/>
      <w:bookmarkEnd w:id="174"/>
      <w:bookmarkStart w:id="175" w:name="_Toc118580307"/>
      <w:r>
        <w:rPr>
          <w:rFonts w:hint="eastAsia"/>
          <w:color w:val="auto"/>
          <w:highlight w:val="none"/>
        </w:rPr>
        <w:t>制动器磨损及调节检查</w:t>
      </w:r>
      <w:bookmarkEnd w:id="175"/>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确认行车制动器符合磨损自动调整的规定。如应急制动系统和驻车制动系统采用单独的部件，</w:t>
      </w:r>
      <w:r>
        <w:rPr>
          <w:rFonts w:hint="eastAsia" w:ascii="宋体" w:hAnsi="宋体" w:eastAsia="宋体"/>
          <w:color w:val="auto"/>
          <w:highlight w:val="none"/>
          <w:lang w:val="en-US" w:eastAsia="zh-CN"/>
        </w:rPr>
        <w:t>确认其</w:t>
      </w:r>
      <w:r>
        <w:rPr>
          <w:rFonts w:hint="eastAsia" w:ascii="宋体" w:hAnsi="宋体" w:eastAsia="宋体"/>
          <w:color w:val="auto"/>
          <w:highlight w:val="none"/>
        </w:rPr>
        <w:t>具有手动或自动磨损调整装置；对手动调整，</w:t>
      </w:r>
      <w:r>
        <w:rPr>
          <w:rFonts w:hint="eastAsia" w:ascii="宋体" w:hAnsi="宋体" w:eastAsia="宋体"/>
          <w:color w:val="auto"/>
          <w:highlight w:val="none"/>
          <w:lang w:val="en-US" w:eastAsia="zh-CN"/>
        </w:rPr>
        <w:t>确认其</w:t>
      </w:r>
      <w:r>
        <w:rPr>
          <w:rFonts w:hint="eastAsia" w:ascii="宋体" w:hAnsi="宋体" w:eastAsia="宋体"/>
          <w:color w:val="auto"/>
          <w:highlight w:val="none"/>
        </w:rPr>
        <w:t>便于维护且无须拆解即可进行调整。检查踏板杠杆比与踏板行程相适应，确认所有制动器调整紧密。</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行车制动器制动衬片的磨损便于从车辆外部或车辆下部利用适当的检查孔或其他方法检查，可利用车辆正常配备的工具或设备。检查时，不允许拆除车轮。作为替代，也可检查是否配备在制动衬片需要更换时采用声学或光学报警装置向在驾驶座椅上的</w:t>
      </w:r>
      <w:r>
        <w:rPr>
          <w:rFonts w:hint="eastAsia" w:ascii="宋体" w:hAnsi="宋体" w:eastAsia="宋体"/>
          <w:color w:val="auto"/>
          <w:highlight w:val="none"/>
          <w:lang w:eastAsia="zh-CN"/>
        </w:rPr>
        <w:t>驾驶人</w:t>
      </w:r>
      <w:r>
        <w:rPr>
          <w:rFonts w:hint="eastAsia" w:ascii="宋体" w:hAnsi="宋体" w:eastAsia="宋体"/>
          <w:color w:val="auto"/>
          <w:highlight w:val="none"/>
        </w:rPr>
        <w:t>报警的装置，此报警信号可以是5.2.21a）规定的黄色</w:t>
      </w:r>
      <w:r>
        <w:rPr>
          <w:rFonts w:hint="eastAsia" w:ascii="宋体" w:hAnsi="宋体" w:eastAsia="宋体"/>
          <w:color w:val="auto"/>
          <w:highlight w:val="none"/>
          <w:lang w:val="en-US" w:eastAsia="zh-CN"/>
        </w:rPr>
        <w:t>报警</w:t>
      </w:r>
      <w:r>
        <w:rPr>
          <w:rFonts w:hint="eastAsia" w:ascii="宋体" w:hAnsi="宋体" w:eastAsia="宋体"/>
          <w:color w:val="auto"/>
          <w:highlight w:val="none"/>
        </w:rPr>
        <w:t>信号。</w:t>
      </w:r>
    </w:p>
    <w:p>
      <w:pPr>
        <w:pStyle w:val="100"/>
        <w:spacing w:beforeLines="0" w:afterLines="0"/>
        <w:rPr>
          <w:rFonts w:ascii="宋体" w:hAnsi="宋体" w:eastAsia="宋体"/>
          <w:color w:val="auto"/>
          <w:highlight w:val="none"/>
        </w:rPr>
      </w:pPr>
      <w:r>
        <w:rPr>
          <w:rFonts w:hint="eastAsia" w:ascii="宋体" w:hAnsi="宋体" w:eastAsia="宋体"/>
          <w:color w:val="auto"/>
          <w:highlight w:val="none"/>
        </w:rPr>
        <w:t>确认制动鼓和制动盘表面磨损状况的评估方法，包括</w:t>
      </w:r>
      <w:r>
        <w:rPr>
          <w:rFonts w:hint="eastAsia" w:ascii="宋体" w:hAnsi="宋体" w:eastAsia="宋体"/>
          <w:color w:val="auto"/>
          <w:highlight w:val="none"/>
          <w:lang w:val="en-US" w:eastAsia="zh-CN"/>
        </w:rPr>
        <w:t>确需</w:t>
      </w:r>
      <w:r>
        <w:rPr>
          <w:rFonts w:hint="eastAsia" w:ascii="宋体" w:hAnsi="宋体" w:eastAsia="宋体"/>
          <w:color w:val="auto"/>
          <w:highlight w:val="none"/>
        </w:rPr>
        <w:t>进行的拆除以及拆除工具和程序。确认制动鼓和制动盘允许的最大磨损限度信息。</w:t>
      </w:r>
    </w:p>
    <w:p>
      <w:pPr>
        <w:pStyle w:val="71"/>
        <w:spacing w:before="156" w:after="156"/>
        <w:rPr>
          <w:color w:val="auto"/>
          <w:highlight w:val="none"/>
        </w:rPr>
      </w:pPr>
      <w:bookmarkStart w:id="176" w:name="_Toc72156211"/>
      <w:bookmarkEnd w:id="176"/>
      <w:bookmarkStart w:id="177" w:name="_Toc118580308"/>
      <w:r>
        <w:rPr>
          <w:rFonts w:hint="eastAsia"/>
          <w:color w:val="auto"/>
          <w:highlight w:val="none"/>
        </w:rPr>
        <w:t>制动系统结构检查</w:t>
      </w:r>
      <w:bookmarkEnd w:id="177"/>
    </w:p>
    <w:p>
      <w:pPr>
        <w:pStyle w:val="100"/>
        <w:spacing w:before="156" w:after="156"/>
        <w:rPr>
          <w:color w:val="auto"/>
          <w:highlight w:val="none"/>
        </w:rPr>
      </w:pPr>
      <w:r>
        <w:rPr>
          <w:rFonts w:hint="eastAsia"/>
          <w:color w:val="auto"/>
          <w:highlight w:val="none"/>
        </w:rPr>
        <w:t>行车制动系统检查</w:t>
      </w:r>
    </w:p>
    <w:p>
      <w:pPr>
        <w:pStyle w:val="62"/>
        <w:ind w:firstLine="420"/>
        <w:rPr>
          <w:color w:val="auto"/>
          <w:highlight w:val="none"/>
        </w:rPr>
      </w:pPr>
      <w:r>
        <w:rPr>
          <w:rFonts w:hint="eastAsia" w:hAnsi="宋体"/>
          <w:color w:val="auto"/>
          <w:highlight w:val="none"/>
        </w:rPr>
        <w:t>确认</w:t>
      </w:r>
      <w:r>
        <w:rPr>
          <w:rFonts w:hint="eastAsia" w:hAnsi="宋体"/>
          <w:color w:val="auto"/>
          <w:highlight w:val="none"/>
          <w:lang w:eastAsia="zh-CN"/>
        </w:rPr>
        <w:t>驾驶人</w:t>
      </w:r>
      <w:r>
        <w:rPr>
          <w:rFonts w:hint="eastAsia" w:hAnsi="宋体"/>
          <w:color w:val="auto"/>
          <w:highlight w:val="none"/>
        </w:rPr>
        <w:t>在佩戴固定式安全带、双手握住转向盘的情况下能从驾驶位置促动行车制动踏板；确认行车制动与驻车制动控制装置相互独立；确认行车制动控制装置在解除制动时能完全回位。</w:t>
      </w:r>
    </w:p>
    <w:p>
      <w:pPr>
        <w:pStyle w:val="100"/>
        <w:spacing w:before="156" w:after="156"/>
        <w:rPr>
          <w:color w:val="auto"/>
          <w:highlight w:val="none"/>
        </w:rPr>
      </w:pPr>
      <w:r>
        <w:rPr>
          <w:rFonts w:hint="eastAsia"/>
          <w:color w:val="auto"/>
          <w:highlight w:val="none"/>
        </w:rPr>
        <w:t>驻车制动系统检查</w:t>
      </w:r>
    </w:p>
    <w:p>
      <w:pPr>
        <w:pStyle w:val="62"/>
        <w:ind w:firstLine="420"/>
        <w:rPr>
          <w:rFonts w:hint="eastAsia" w:eastAsia="宋体"/>
          <w:color w:val="auto"/>
          <w:highlight w:val="none"/>
          <w:lang w:eastAsia="zh-CN"/>
        </w:rPr>
      </w:pPr>
      <w:r>
        <w:rPr>
          <w:rFonts w:hint="eastAsia" w:hAnsi="宋体"/>
          <w:color w:val="auto"/>
          <w:highlight w:val="none"/>
        </w:rPr>
        <w:t>确认</w:t>
      </w:r>
      <w:r>
        <w:rPr>
          <w:rFonts w:hint="eastAsia" w:hAnsi="宋体"/>
          <w:color w:val="auto"/>
          <w:highlight w:val="none"/>
          <w:lang w:eastAsia="zh-CN"/>
        </w:rPr>
        <w:t>驾驶人</w:t>
      </w:r>
      <w:r>
        <w:rPr>
          <w:rFonts w:hint="eastAsia" w:hAnsi="宋体"/>
          <w:color w:val="auto"/>
          <w:highlight w:val="none"/>
        </w:rPr>
        <w:t>在佩戴固定式安全带的情况下能从驾驶位置促动驻车制动控制装置；确认驻车制动可通过纯机械装置锁住，且在解除制动（如脱开锁止装置）时控制装置能完全回位，靠机械方式锁止在制动位置的驻车制动控制装置除外。</w:t>
      </w:r>
      <w:r>
        <w:rPr>
          <w:rFonts w:hint="eastAsia"/>
          <w:color w:val="auto"/>
          <w:highlight w:val="none"/>
        </w:rPr>
        <w:t>如通过真空或液压助力等来加强驻车制动作用，检查在不使用助力的情况下仍可以进行驻车制动，必要时可利用通常不用于该用途（如用于行车制动）的存储能量。</w:t>
      </w:r>
    </w:p>
    <w:p>
      <w:pPr>
        <w:pStyle w:val="100"/>
        <w:spacing w:before="156" w:after="156"/>
        <w:rPr>
          <w:color w:val="auto"/>
          <w:highlight w:val="none"/>
        </w:rPr>
      </w:pPr>
      <w:r>
        <w:rPr>
          <w:rFonts w:hint="eastAsia"/>
          <w:color w:val="auto"/>
          <w:highlight w:val="none"/>
        </w:rPr>
        <w:t>应急制动系统检查</w:t>
      </w:r>
    </w:p>
    <w:p>
      <w:pPr>
        <w:pStyle w:val="62"/>
        <w:ind w:firstLine="420"/>
        <w:rPr>
          <w:color w:val="auto"/>
          <w:highlight w:val="none"/>
        </w:rPr>
      </w:pPr>
      <w:r>
        <w:rPr>
          <w:rFonts w:hint="eastAsia" w:hAnsi="宋体"/>
          <w:color w:val="auto"/>
          <w:highlight w:val="none"/>
        </w:rPr>
        <w:t>模拟行车制动失效，确认</w:t>
      </w:r>
      <w:r>
        <w:rPr>
          <w:rFonts w:hint="eastAsia" w:hAnsi="宋体"/>
          <w:color w:val="auto"/>
          <w:highlight w:val="none"/>
          <w:lang w:eastAsia="zh-CN"/>
        </w:rPr>
        <w:t>驾驶人</w:t>
      </w:r>
      <w:r>
        <w:rPr>
          <w:rFonts w:hint="eastAsia" w:hAnsi="宋体"/>
          <w:color w:val="auto"/>
          <w:highlight w:val="none"/>
        </w:rPr>
        <w:t>在佩戴固定式安全带、双手握住转向盘的情况下能从驾驶位置促动行车制动踏板。</w:t>
      </w:r>
    </w:p>
    <w:p>
      <w:pPr>
        <w:pStyle w:val="71"/>
        <w:spacing w:before="156" w:after="156"/>
        <w:rPr>
          <w:color w:val="auto"/>
          <w:highlight w:val="none"/>
        </w:rPr>
      </w:pPr>
      <w:bookmarkStart w:id="178" w:name="_Toc72156212"/>
      <w:bookmarkEnd w:id="178"/>
      <w:bookmarkStart w:id="179" w:name="_Toc118580309"/>
      <w:r>
        <w:rPr>
          <w:rFonts w:hint="eastAsia"/>
          <w:color w:val="auto"/>
          <w:highlight w:val="none"/>
        </w:rPr>
        <w:t>台架试验（如适用）</w:t>
      </w:r>
      <w:bookmarkEnd w:id="179"/>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车辆满载，储能器处于正常工作状态，将不参加制动作用的车轮固定；逐次增加控制力、管路压力或操纵幅度，并模拟必要的“失效”状态，对各轴进行试验，检查各车轮均能在试验台架允许的条件下取得最大制动力。其中，动力液压制动系统应在解除驻车制动的条件下进行试验。</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检查倒车时也能有效地进行行车制动和驻车制动。</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检查倒车时行车制动和驻车制动是否有效。</w:t>
      </w:r>
      <w:r>
        <w:rPr>
          <w:rFonts w:hint="eastAsia" w:ascii="宋体" w:hAnsi="宋体" w:eastAsia="宋体"/>
          <w:color w:val="auto"/>
          <w:highlight w:val="none"/>
          <w:lang w:eastAsia="zh-CN"/>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根据台架试验的结果，判断行车制动作用</w:t>
      </w:r>
      <w:r>
        <w:rPr>
          <w:rFonts w:hint="eastAsia" w:ascii="宋体" w:hAnsi="宋体" w:eastAsia="宋体"/>
          <w:color w:val="auto"/>
          <w:highlight w:val="none"/>
          <w:lang w:val="en-US" w:eastAsia="zh-CN"/>
        </w:rPr>
        <w:t>是否</w:t>
      </w:r>
      <w:r>
        <w:rPr>
          <w:rFonts w:hint="eastAsia" w:ascii="宋体" w:hAnsi="宋体" w:eastAsia="宋体"/>
          <w:color w:val="auto"/>
          <w:highlight w:val="none"/>
        </w:rPr>
        <w:t>对称分布并在车轴间合理分配，确认行车制动和应急制动都是可调节的，确认在平板式或滚筒式制动试验台架上能产生最大静态制动力。</w:t>
      </w:r>
    </w:p>
    <w:p>
      <w:pPr>
        <w:pStyle w:val="71"/>
        <w:spacing w:before="156" w:after="156"/>
        <w:rPr>
          <w:color w:val="auto"/>
          <w:highlight w:val="none"/>
        </w:rPr>
      </w:pPr>
      <w:bookmarkStart w:id="180" w:name="_Toc72156213"/>
      <w:bookmarkEnd w:id="180"/>
      <w:bookmarkStart w:id="181" w:name="_Toc118580310"/>
      <w:r>
        <w:rPr>
          <w:rFonts w:hint="eastAsia"/>
          <w:color w:val="auto"/>
          <w:highlight w:val="none"/>
        </w:rPr>
        <w:t>补偿装置检查</w:t>
      </w:r>
      <w:bookmarkEnd w:id="181"/>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如车辆装备防抱制动系统或牵引力控制系统等可能导致制动力分配不对称或无须</w:t>
      </w:r>
      <w:r>
        <w:rPr>
          <w:rFonts w:hint="eastAsia" w:ascii="宋体" w:hAnsi="宋体" w:eastAsia="宋体"/>
          <w:color w:val="auto"/>
          <w:highlight w:val="none"/>
          <w:lang w:eastAsia="zh-CN"/>
        </w:rPr>
        <w:t>驾驶人</w:t>
      </w:r>
      <w:r>
        <w:rPr>
          <w:rFonts w:hint="eastAsia" w:ascii="宋体" w:hAnsi="宋体" w:eastAsia="宋体"/>
          <w:color w:val="auto"/>
          <w:highlight w:val="none"/>
        </w:rPr>
        <w:t>直接控制而进行制动作用的补偿装置，应检查制造商对此的声明。</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确认车速小于等于10</w:t>
      </w:r>
      <w:r>
        <w:rPr>
          <w:rFonts w:hint="eastAsia"/>
          <w:color w:val="auto"/>
          <w:highlight w:val="none"/>
          <w:lang w:val="en-US" w:eastAsia="zh-CN"/>
        </w:rPr>
        <w:t> </w:t>
      </w:r>
      <w:r>
        <w:rPr>
          <w:rFonts w:hint="eastAsia" w:ascii="宋体" w:hAnsi="宋体" w:eastAsia="宋体"/>
          <w:color w:val="auto"/>
          <w:highlight w:val="none"/>
        </w:rPr>
        <w:t>km/h时电控传输装置不会进行补偿。在所有载荷状态下，当电控传输装置对制动系统故障或性能劣化进行补偿导致下列情况时，</w:t>
      </w:r>
      <w:r>
        <w:rPr>
          <w:rFonts w:hint="eastAsia" w:ascii="宋体" w:hAnsi="宋体" w:eastAsia="宋体"/>
          <w:color w:val="auto"/>
          <w:highlight w:val="none"/>
          <w:lang w:val="en-US" w:eastAsia="zh-CN"/>
        </w:rPr>
        <w:t>确认通过符合</w:t>
      </w:r>
      <w:r>
        <w:rPr>
          <w:rFonts w:hint="eastAsia" w:ascii="宋体" w:hAnsi="宋体" w:eastAsia="宋体"/>
          <w:color w:val="auto"/>
          <w:highlight w:val="none"/>
        </w:rPr>
        <w:t>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a）规定的黄色报警信号</w:t>
      </w:r>
      <w:r>
        <w:rPr>
          <w:rFonts w:hint="eastAsia" w:ascii="宋体" w:hAnsi="宋体" w:eastAsia="宋体"/>
          <w:color w:val="auto"/>
          <w:highlight w:val="none"/>
          <w:lang w:val="en-US" w:eastAsia="zh-CN"/>
        </w:rPr>
        <w:t>指示</w:t>
      </w:r>
      <w:r>
        <w:rPr>
          <w:rFonts w:hint="eastAsia" w:ascii="宋体" w:hAnsi="宋体" w:eastAsia="宋体"/>
          <w:color w:val="auto"/>
          <w:highlight w:val="none"/>
        </w:rPr>
        <w:t>：</w:t>
      </w:r>
    </w:p>
    <w:p>
      <w:pPr>
        <w:pStyle w:val="180"/>
        <w:numPr>
          <w:ilvl w:val="0"/>
          <w:numId w:val="56"/>
        </w:numPr>
        <w:rPr>
          <w:color w:val="auto"/>
          <w:highlight w:val="none"/>
        </w:rPr>
      </w:pPr>
      <w:r>
        <w:rPr>
          <w:rFonts w:hint="eastAsia"/>
          <w:color w:val="auto"/>
          <w:highlight w:val="none"/>
        </w:rPr>
        <w:t>任意一根车轴的左右两侧制动压力差</w:t>
      </w:r>
      <w:r>
        <w:rPr>
          <w:rFonts w:hint="eastAsia"/>
          <w:color w:val="auto"/>
          <w:highlight w:val="none"/>
          <w:lang w:eastAsia="zh-CN"/>
        </w:rPr>
        <w:t>，</w:t>
      </w:r>
      <w:r>
        <w:rPr>
          <w:rFonts w:hint="eastAsia"/>
          <w:color w:val="auto"/>
          <w:highlight w:val="none"/>
        </w:rPr>
        <w:t>在车辆减速度</w:t>
      </w:r>
      <w:r>
        <w:rPr>
          <w:rFonts w:hint="eastAsia"/>
          <w:color w:val="auto"/>
          <w:highlight w:val="none"/>
          <w:lang w:val="en-US" w:eastAsia="zh-CN"/>
        </w:rPr>
        <w:t>不低于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时，取实际减速度下两侧较高压力值的25%</w:t>
      </w:r>
      <w:r>
        <w:rPr>
          <w:rFonts w:hint="eastAsia"/>
          <w:color w:val="auto"/>
          <w:highlight w:val="none"/>
          <w:lang w:val="en-US" w:eastAsia="zh-CN"/>
        </w:rPr>
        <w:t>或</w:t>
      </w:r>
      <w:r>
        <w:rPr>
          <w:rFonts w:hint="eastAsia"/>
          <w:color w:val="auto"/>
          <w:highlight w:val="none"/>
        </w:rPr>
        <w:t>在车辆减速度</w:t>
      </w:r>
      <w:r>
        <w:rPr>
          <w:rFonts w:hint="eastAsia"/>
          <w:color w:val="auto"/>
          <w:highlight w:val="none"/>
          <w:lang w:val="en-US" w:eastAsia="zh-CN"/>
        </w:rPr>
        <w:t>低于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时两侧较高压力值的25%。</w:t>
      </w:r>
    </w:p>
    <w:p>
      <w:pPr>
        <w:pStyle w:val="180"/>
        <w:numPr>
          <w:ilvl w:val="0"/>
          <w:numId w:val="56"/>
        </w:numPr>
        <w:rPr>
          <w:color w:val="auto"/>
          <w:highlight w:val="none"/>
        </w:rPr>
      </w:pPr>
      <w:r>
        <w:rPr>
          <w:rFonts w:hint="eastAsia"/>
          <w:color w:val="auto"/>
          <w:highlight w:val="none"/>
        </w:rPr>
        <w:t>单根车轴的补偿值</w:t>
      </w:r>
      <w:r>
        <w:rPr>
          <w:rFonts w:hint="eastAsia"/>
          <w:color w:val="auto"/>
          <w:highlight w:val="none"/>
          <w:lang w:eastAsia="zh-CN"/>
        </w:rPr>
        <w:t>，</w:t>
      </w:r>
      <w:r>
        <w:rPr>
          <w:rFonts w:hint="eastAsia"/>
          <w:color w:val="auto"/>
          <w:highlight w:val="none"/>
        </w:rPr>
        <w:t>在车辆减速度</w:t>
      </w:r>
      <w:r>
        <w:rPr>
          <w:rFonts w:hint="eastAsia"/>
          <w:color w:val="auto"/>
          <w:highlight w:val="none"/>
          <w:lang w:val="en-US" w:eastAsia="zh-CN"/>
        </w:rPr>
        <w:t>不低于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时，取实际减速度下标称值的50%</w:t>
      </w:r>
      <w:r>
        <w:rPr>
          <w:rFonts w:hint="eastAsia"/>
          <w:color w:val="auto"/>
          <w:highlight w:val="none"/>
          <w:lang w:eastAsia="zh-CN"/>
        </w:rPr>
        <w:t>，</w:t>
      </w:r>
      <w:r>
        <w:rPr>
          <w:rFonts w:hint="eastAsia"/>
          <w:color w:val="auto"/>
          <w:highlight w:val="none"/>
          <w:lang w:val="en-US" w:eastAsia="zh-CN"/>
        </w:rPr>
        <w:t>或</w:t>
      </w:r>
      <w:r>
        <w:rPr>
          <w:rFonts w:hint="eastAsia"/>
          <w:color w:val="auto"/>
          <w:highlight w:val="none"/>
        </w:rPr>
        <w:t>在车辆减速度</w:t>
      </w:r>
      <w:r>
        <w:rPr>
          <w:rFonts w:hint="eastAsia"/>
          <w:color w:val="auto"/>
          <w:highlight w:val="none"/>
          <w:lang w:val="en-US" w:eastAsia="zh-CN"/>
        </w:rPr>
        <w:t>低于</w:t>
      </w:r>
      <w:r>
        <w:rPr>
          <w:rFonts w:hint="eastAsia"/>
          <w:color w:val="auto"/>
          <w:highlight w:val="none"/>
        </w:rPr>
        <w:t>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时，取2</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color w:val="auto"/>
          <w:highlight w:val="none"/>
        </w:rPr>
        <w:t>时标称值的50%。</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确认电子制动力分配系统（EBD）或防抱制动系统等制动力补偿装置发生失效时能通过相应的报警信号指示给</w:t>
      </w:r>
      <w:r>
        <w:rPr>
          <w:rFonts w:hint="eastAsia" w:ascii="宋体" w:hAnsi="宋体" w:eastAsia="宋体"/>
          <w:color w:val="auto"/>
          <w:highlight w:val="none"/>
          <w:lang w:eastAsia="zh-CN"/>
        </w:rPr>
        <w:t>驾驶人</w:t>
      </w:r>
      <w:r>
        <w:rPr>
          <w:rFonts w:hint="eastAsia" w:ascii="宋体" w:hAnsi="宋体" w:eastAsia="宋体"/>
          <w:color w:val="auto"/>
          <w:highlight w:val="none"/>
        </w:rPr>
        <w:t>；</w:t>
      </w:r>
      <w:r>
        <w:rPr>
          <w:rFonts w:hint="eastAsia" w:ascii="宋体" w:hAnsi="宋体" w:eastAsia="宋体"/>
          <w:color w:val="auto"/>
          <w:highlight w:val="none"/>
          <w:lang w:val="en-US" w:eastAsia="zh-CN"/>
        </w:rPr>
        <w:t>对于</w:t>
      </w:r>
      <w:r>
        <w:rPr>
          <w:rFonts w:hint="eastAsia" w:ascii="宋体" w:hAnsi="宋体" w:eastAsia="宋体"/>
          <w:color w:val="auto"/>
          <w:highlight w:val="none"/>
        </w:rPr>
        <w:t>导致不能达到规定的行车制动性能的失效，</w:t>
      </w:r>
      <w:r>
        <w:rPr>
          <w:rFonts w:hint="eastAsia" w:ascii="宋体" w:hAnsi="宋体" w:eastAsia="宋体"/>
          <w:color w:val="auto"/>
          <w:highlight w:val="none"/>
          <w:lang w:val="en-US" w:eastAsia="zh-CN"/>
        </w:rPr>
        <w:t>确认</w:t>
      </w:r>
      <w:r>
        <w:rPr>
          <w:rFonts w:hint="eastAsia" w:ascii="宋体" w:hAnsi="宋体" w:eastAsia="宋体"/>
          <w:color w:val="auto"/>
          <w:highlight w:val="none"/>
        </w:rPr>
        <w:t>通过</w:t>
      </w:r>
      <w:r>
        <w:rPr>
          <w:rFonts w:hint="eastAsia" w:ascii="宋体" w:hAnsi="宋体" w:eastAsia="宋体"/>
          <w:color w:val="auto"/>
          <w:highlight w:val="none"/>
          <w:lang w:val="en-US" w:eastAsia="zh-CN"/>
        </w:rPr>
        <w:t>符合</w:t>
      </w:r>
      <w:r>
        <w:rPr>
          <w:rFonts w:hint="eastAsia" w:ascii="宋体" w:hAnsi="宋体" w:eastAsia="宋体"/>
          <w:color w:val="auto"/>
          <w:highlight w:val="none"/>
        </w:rPr>
        <w:t>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a）规定的红色</w:t>
      </w:r>
      <w:r>
        <w:rPr>
          <w:rFonts w:hint="eastAsia" w:ascii="宋体" w:hAnsi="宋体" w:eastAsia="宋体"/>
          <w:color w:val="auto"/>
          <w:highlight w:val="none"/>
          <w:lang w:val="en-US" w:eastAsia="zh-CN"/>
        </w:rPr>
        <w:t>报警</w:t>
      </w:r>
      <w:r>
        <w:rPr>
          <w:rFonts w:hint="eastAsia" w:ascii="宋体" w:hAnsi="宋体" w:eastAsia="宋体"/>
          <w:color w:val="auto"/>
          <w:highlight w:val="none"/>
        </w:rPr>
        <w:t>信号指示；</w:t>
      </w:r>
      <w:r>
        <w:rPr>
          <w:rFonts w:hint="eastAsia" w:ascii="宋体" w:hAnsi="宋体" w:eastAsia="宋体"/>
          <w:color w:val="auto"/>
          <w:highlight w:val="none"/>
          <w:lang w:val="en-US" w:eastAsia="zh-CN"/>
        </w:rPr>
        <w:t>对于其他类型失效</w:t>
      </w:r>
      <w:r>
        <w:rPr>
          <w:rFonts w:hint="eastAsia" w:ascii="宋体" w:hAnsi="宋体" w:eastAsia="宋体"/>
          <w:color w:val="auto"/>
          <w:highlight w:val="none"/>
        </w:rPr>
        <w:t>，</w:t>
      </w:r>
      <w:r>
        <w:rPr>
          <w:rFonts w:hint="eastAsia" w:ascii="宋体" w:hAnsi="宋体" w:eastAsia="宋体"/>
          <w:color w:val="auto"/>
          <w:highlight w:val="none"/>
          <w:lang w:val="en-US" w:eastAsia="zh-CN"/>
        </w:rPr>
        <w:t>确认通过符合</w:t>
      </w:r>
      <w:r>
        <w:rPr>
          <w:rFonts w:hint="eastAsia" w:ascii="宋体" w:hAnsi="宋体" w:eastAsia="宋体"/>
          <w:color w:val="auto"/>
          <w:highlight w:val="none"/>
        </w:rPr>
        <w:t>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a）规定的黄色</w:t>
      </w:r>
      <w:r>
        <w:rPr>
          <w:rFonts w:hint="eastAsia" w:ascii="宋体" w:hAnsi="宋体" w:eastAsia="宋体"/>
          <w:color w:val="auto"/>
          <w:highlight w:val="none"/>
          <w:lang w:val="en-US" w:eastAsia="zh-CN"/>
        </w:rPr>
        <w:t>报警</w:t>
      </w:r>
      <w:r>
        <w:rPr>
          <w:rFonts w:hint="eastAsia" w:ascii="宋体" w:hAnsi="宋体" w:eastAsia="宋体"/>
          <w:color w:val="auto"/>
          <w:highlight w:val="none"/>
        </w:rPr>
        <w:t>信号指示。</w:t>
      </w:r>
    </w:p>
    <w:p>
      <w:pPr>
        <w:pStyle w:val="71"/>
        <w:spacing w:before="156" w:after="156"/>
        <w:rPr>
          <w:b/>
          <w:color w:val="auto"/>
          <w:highlight w:val="none"/>
        </w:rPr>
      </w:pPr>
      <w:bookmarkStart w:id="182" w:name="_Toc72156214"/>
      <w:bookmarkEnd w:id="182"/>
      <w:bookmarkStart w:id="183" w:name="_Toc118580311"/>
      <w:r>
        <w:rPr>
          <w:rFonts w:hint="eastAsia"/>
          <w:color w:val="auto"/>
          <w:highlight w:val="none"/>
        </w:rPr>
        <w:t>控制力与管路压力比例关系检查（如适用）</w:t>
      </w:r>
      <w:bookmarkEnd w:id="183"/>
    </w:p>
    <w:p>
      <w:pPr>
        <w:pStyle w:val="62"/>
        <w:ind w:firstLine="420"/>
        <w:rPr>
          <w:rFonts w:hint="eastAsia"/>
          <w:color w:val="auto"/>
          <w:highlight w:val="none"/>
        </w:rPr>
      </w:pPr>
      <w:r>
        <w:rPr>
          <w:rFonts w:hint="eastAsia" w:hAnsi="宋体"/>
          <w:color w:val="auto"/>
          <w:highlight w:val="none"/>
        </w:rPr>
        <w:t>以合理的增幅对管路压力</w:t>
      </w:r>
      <w:r>
        <w:rPr>
          <w:rFonts w:hint="eastAsia"/>
          <w:color w:val="auto"/>
          <w:highlight w:val="none"/>
        </w:rPr>
        <w:t>/控制力进行检查，确保涵盖最大允许控制力。分别记录助力模式和无助力模式下的数据。</w:t>
      </w:r>
    </w:p>
    <w:p>
      <w:pPr>
        <w:pStyle w:val="71"/>
        <w:spacing w:before="156" w:after="156"/>
        <w:rPr>
          <w:color w:val="auto"/>
          <w:highlight w:val="none"/>
        </w:rPr>
      </w:pPr>
      <w:bookmarkStart w:id="184" w:name="_Toc72156215"/>
      <w:bookmarkEnd w:id="184"/>
      <w:bookmarkStart w:id="185" w:name="_Toc118580312"/>
      <w:r>
        <w:rPr>
          <w:rFonts w:hint="eastAsia"/>
          <w:color w:val="auto"/>
          <w:highlight w:val="none"/>
        </w:rPr>
        <w:t>电力再生式制动系统检查</w:t>
      </w:r>
      <w:bookmarkEnd w:id="185"/>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对装备电力再生式制动系统的车辆，确认电力再生式制动系统的类型</w:t>
      </w:r>
      <w:r>
        <w:rPr>
          <w:rFonts w:hint="eastAsia" w:ascii="宋体" w:hAnsi="宋体" w:eastAsia="宋体"/>
          <w:color w:val="auto"/>
          <w:highlight w:val="none"/>
          <w:lang w:val="en-US" w:eastAsia="zh-CN"/>
        </w:rPr>
        <w:t>为A型、B型或同时具有</w:t>
      </w:r>
      <w:r>
        <w:rPr>
          <w:rFonts w:hint="eastAsia" w:ascii="宋体" w:hAnsi="宋体" w:eastAsia="宋体"/>
          <w:color w:val="auto"/>
          <w:highlight w:val="none"/>
        </w:rPr>
        <w:t>A型和B型。如同时</w:t>
      </w:r>
      <w:r>
        <w:rPr>
          <w:rFonts w:hint="eastAsia" w:ascii="宋体" w:hAnsi="宋体" w:eastAsia="宋体"/>
          <w:color w:val="auto"/>
          <w:highlight w:val="none"/>
          <w:lang w:val="en-US" w:eastAsia="zh-CN"/>
        </w:rPr>
        <w:t>具有</w:t>
      </w:r>
      <w:r>
        <w:rPr>
          <w:rFonts w:hint="eastAsia" w:ascii="宋体" w:hAnsi="宋体" w:eastAsia="宋体"/>
          <w:color w:val="auto"/>
          <w:highlight w:val="none"/>
        </w:rPr>
        <w:t>A型和B型，</w:t>
      </w:r>
      <w:r>
        <w:rPr>
          <w:rFonts w:hint="eastAsia" w:ascii="宋体" w:hAnsi="宋体" w:eastAsia="宋体"/>
          <w:color w:val="auto"/>
          <w:highlight w:val="none"/>
          <w:lang w:val="en-US" w:eastAsia="zh-CN"/>
        </w:rPr>
        <w:t>按照A型和B型的试验方法</w:t>
      </w:r>
      <w:r>
        <w:rPr>
          <w:rFonts w:hint="eastAsia" w:ascii="宋体" w:hAnsi="宋体" w:eastAsia="宋体"/>
          <w:color w:val="auto"/>
          <w:highlight w:val="none"/>
        </w:rPr>
        <w:t>分别</w:t>
      </w:r>
      <w:r>
        <w:rPr>
          <w:rFonts w:hint="eastAsia" w:ascii="宋体" w:hAnsi="宋体" w:eastAsia="宋体"/>
          <w:color w:val="auto"/>
          <w:highlight w:val="none"/>
          <w:lang w:val="en-US" w:eastAsia="zh-CN"/>
        </w:rPr>
        <w:t>进行检查</w:t>
      </w:r>
      <w:r>
        <w:rPr>
          <w:rFonts w:hint="eastAsia" w:ascii="宋体" w:hAnsi="宋体" w:eastAsia="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检查A型电力再生式制动系统通过加速踏板和/或在空挡位置启动；检查B型电力再生式制动系统通过行车制动踏板启动，</w:t>
      </w:r>
      <w:r>
        <w:rPr>
          <w:rFonts w:hint="eastAsia" w:ascii="宋体" w:hAnsi="宋体" w:eastAsia="宋体"/>
          <w:color w:val="auto"/>
          <w:highlight w:val="none"/>
          <w:lang w:val="en-US" w:eastAsia="zh-CN"/>
        </w:rPr>
        <w:t>并</w:t>
      </w:r>
      <w:r>
        <w:rPr>
          <w:rFonts w:hint="eastAsia" w:ascii="宋体" w:hAnsi="宋体" w:eastAsia="宋体"/>
          <w:color w:val="auto"/>
          <w:highlight w:val="none"/>
        </w:rPr>
        <w:t>确认电力再生式制动系统不会因摩擦制动而降低</w:t>
      </w:r>
      <w:r>
        <w:rPr>
          <w:rFonts w:hint="eastAsia" w:ascii="宋体" w:hAnsi="宋体" w:eastAsia="宋体"/>
          <w:color w:val="auto"/>
          <w:highlight w:val="none"/>
          <w:lang w:val="en-US" w:eastAsia="zh-CN"/>
        </w:rPr>
        <w:t>其</w:t>
      </w:r>
      <w:r>
        <w:rPr>
          <w:rFonts w:hint="eastAsia" w:ascii="宋体" w:hAnsi="宋体" w:eastAsia="宋体"/>
          <w:color w:val="auto"/>
          <w:highlight w:val="none"/>
        </w:rPr>
        <w:t>制动作用。对装备A型电力再生式制动系统和同时具有A型和B型的电力再生式制动系统的车辆，将车辆加速至制造商推荐的车速，松开加速踏板和制动踏板，检查车辆不能减速至停车。</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装备B型电力再生式制动系统和同时具有A型和B型的电力再生式制动系统的车辆，检查行车制动系统只有一个控制装置，且不能通过除自动方式以外的其他方式部分或完全断开行车制动系统。如电机可断开，通过动态试验进一步确认电机断开不会降低行车制动效能；此外，</w:t>
      </w:r>
      <w:r>
        <w:rPr>
          <w:rFonts w:hint="eastAsia" w:ascii="宋体" w:hAnsi="宋体" w:eastAsia="宋体"/>
          <w:color w:val="auto"/>
          <w:highlight w:val="none"/>
          <w:lang w:val="en-US" w:eastAsia="zh-CN"/>
        </w:rPr>
        <w:t>确认</w:t>
      </w:r>
      <w:r>
        <w:rPr>
          <w:rFonts w:hint="eastAsia" w:ascii="宋体" w:hAnsi="宋体" w:eastAsia="宋体"/>
          <w:color w:val="auto"/>
          <w:highlight w:val="none"/>
        </w:rPr>
        <w:t>行车制动性能与变速器挡位无关。</w:t>
      </w:r>
    </w:p>
    <w:p>
      <w:pPr>
        <w:pStyle w:val="62"/>
        <w:ind w:firstLine="420"/>
        <w:rPr>
          <w:rFonts w:hint="eastAsia" w:hAnsi="宋体"/>
          <w:color w:val="auto"/>
          <w:highlight w:val="none"/>
        </w:rPr>
      </w:pPr>
      <w:r>
        <w:rPr>
          <w:rFonts w:hint="eastAsia" w:hAnsi="宋体"/>
          <w:color w:val="auto"/>
          <w:highlight w:val="none"/>
        </w:rPr>
        <w:t>检查电力再生式制动系统控制装置受行车制动控制装置的操纵幅度和车轮制动力对应关系的控制，确认该关系失效导致不能满足</w:t>
      </w:r>
      <w:r>
        <w:rPr>
          <w:rFonts w:hint="eastAsia"/>
          <w:color w:val="auto"/>
          <w:highlight w:val="none"/>
        </w:rPr>
        <w:t>6.5的相关要求时，最迟在控制装置起动时用光学信号向</w:t>
      </w:r>
      <w:r>
        <w:rPr>
          <w:rFonts w:hint="eastAsia"/>
          <w:color w:val="auto"/>
          <w:highlight w:val="none"/>
          <w:lang w:eastAsia="zh-CN"/>
        </w:rPr>
        <w:t>驾驶人</w:t>
      </w:r>
      <w:r>
        <w:rPr>
          <w:rFonts w:hint="eastAsia"/>
          <w:color w:val="auto"/>
          <w:highlight w:val="none"/>
        </w:rPr>
        <w:t>报警；只要该故障存在且</w:t>
      </w:r>
      <w:r>
        <w:rPr>
          <w:rFonts w:hint="eastAsia" w:ascii="Times New Roman"/>
          <w:color w:val="auto"/>
          <w:highlight w:val="none"/>
        </w:rPr>
        <w:t>“</w:t>
      </w:r>
      <w:r>
        <w:rPr>
          <w:rFonts w:hint="eastAsia" w:hAnsi="宋体"/>
          <w:color w:val="auto"/>
          <w:highlight w:val="none"/>
        </w:rPr>
        <w:t>接触</w:t>
      </w:r>
      <w:r>
        <w:rPr>
          <w:rFonts w:hint="eastAsia" w:ascii="Times New Roman"/>
          <w:color w:val="auto"/>
          <w:highlight w:val="none"/>
        </w:rPr>
        <w:t>”</w:t>
      </w:r>
      <w:r>
        <w:rPr>
          <w:rFonts w:hint="eastAsia" w:hAnsi="宋体"/>
          <w:color w:val="auto"/>
          <w:highlight w:val="none"/>
        </w:rPr>
        <w:t>开关处于“运行”位置，报警信号将一直</w:t>
      </w:r>
      <w:r>
        <w:rPr>
          <w:rFonts w:hint="default" w:hAnsi="宋体"/>
          <w:color w:val="auto"/>
          <w:highlight w:val="none"/>
          <w:lang w:val="en-US"/>
        </w:rPr>
        <w:t>点亮</w:t>
      </w:r>
      <w:r>
        <w:rPr>
          <w:rFonts w:hint="eastAsia" w:hAnsi="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装备防抱制动系统的车辆，确认由防抱制动系统控制电力再生式制动系统。</w:t>
      </w:r>
    </w:p>
    <w:p>
      <w:pPr>
        <w:pStyle w:val="71"/>
        <w:spacing w:before="156" w:after="156"/>
        <w:rPr>
          <w:color w:val="auto"/>
          <w:highlight w:val="none"/>
        </w:rPr>
      </w:pPr>
      <w:bookmarkStart w:id="186" w:name="_Toc72156216"/>
      <w:bookmarkEnd w:id="186"/>
      <w:bookmarkStart w:id="187" w:name="_Toc118580313"/>
      <w:r>
        <w:rPr>
          <w:rFonts w:hint="eastAsia"/>
          <w:color w:val="auto"/>
          <w:highlight w:val="none"/>
        </w:rPr>
        <w:t>牵引装备电力制动系统的挂车的乘用车附加检查</w:t>
      </w:r>
      <w:bookmarkEnd w:id="187"/>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对牵引装备电力制动系统的挂车的乘用车，应在</w:t>
      </w:r>
      <w:r>
        <w:rPr>
          <w:rFonts w:hint="eastAsia" w:ascii="宋体" w:hAnsi="宋体" w:eastAsia="宋体"/>
          <w:color w:val="auto"/>
          <w:highlight w:val="none"/>
          <w:lang w:val="en-US" w:eastAsia="zh-CN"/>
        </w:rPr>
        <w:t>制造商</w:t>
      </w:r>
      <w:r>
        <w:rPr>
          <w:rFonts w:hint="eastAsia" w:ascii="宋体" w:hAnsi="宋体" w:eastAsia="宋体"/>
          <w:color w:val="auto"/>
          <w:highlight w:val="none"/>
        </w:rPr>
        <w:t>推荐的状态（例如发动机怠速等）且所有电器设备工作的条件下，操纵挂车制动系统，使其产生最大电流（15</w:t>
      </w:r>
      <w:r>
        <w:rPr>
          <w:rFonts w:hint="eastAsia"/>
          <w:color w:val="auto"/>
          <w:highlight w:val="none"/>
          <w:lang w:val="en-US" w:eastAsia="zh-CN"/>
        </w:rPr>
        <w:t> </w:t>
      </w:r>
      <w:r>
        <w:rPr>
          <w:rFonts w:hint="eastAsia" w:ascii="宋体" w:hAnsi="宋体" w:eastAsia="宋体"/>
          <w:color w:val="auto"/>
          <w:highlight w:val="none"/>
        </w:rPr>
        <w:t>A）消耗，确认挂车连接线路的电压不低于9.6</w:t>
      </w:r>
      <w:r>
        <w:rPr>
          <w:rFonts w:hint="eastAsia"/>
          <w:color w:val="auto"/>
          <w:highlight w:val="none"/>
          <w:lang w:val="en-US" w:eastAsia="zh-CN"/>
        </w:rPr>
        <w:t> </w:t>
      </w:r>
      <w:r>
        <w:rPr>
          <w:rFonts w:hint="eastAsia" w:ascii="宋体" w:hAnsi="宋体" w:eastAsia="宋体"/>
          <w:color w:val="auto"/>
          <w:highlight w:val="none"/>
        </w:rPr>
        <w:t>V；对照设计文件进行检查，确认制动系统电路在过载的情况下也不会发生短路。</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确认乘用车制动回路发生失效时，未失效的部分仍能使挂车电力制动系统工作。</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对利用制动灯开关启动的挂车电力制动系统，检查启动电路与制动灯开关并联且制动灯开关和电路能承受额外负载。</w:t>
      </w:r>
    </w:p>
    <w:p>
      <w:pPr>
        <w:pStyle w:val="71"/>
        <w:spacing w:before="156" w:after="156"/>
        <w:rPr>
          <w:color w:val="auto"/>
          <w:highlight w:val="none"/>
        </w:rPr>
      </w:pPr>
      <w:bookmarkStart w:id="188" w:name="_Toc72156217"/>
      <w:bookmarkEnd w:id="188"/>
      <w:bookmarkStart w:id="189" w:name="_Toc118580314"/>
      <w:r>
        <w:rPr>
          <w:rFonts w:hint="eastAsia"/>
          <w:color w:val="auto"/>
          <w:highlight w:val="none"/>
        </w:rPr>
        <w:t>驻车制动性能检查</w:t>
      </w:r>
      <w:bookmarkEnd w:id="189"/>
    </w:p>
    <w:p>
      <w:pPr>
        <w:pStyle w:val="100"/>
        <w:spacing w:before="156" w:after="156"/>
        <w:rPr>
          <w:rFonts w:hAnsi="黑体" w:cs="黑体"/>
          <w:color w:val="auto"/>
          <w:highlight w:val="none"/>
        </w:rPr>
      </w:pPr>
      <w:r>
        <w:rPr>
          <w:rFonts w:hint="eastAsia" w:hAnsi="黑体" w:cs="黑体"/>
          <w:color w:val="auto"/>
          <w:highlight w:val="none"/>
        </w:rPr>
        <w:t>一般要求</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通过行车制动使满载车辆在20%的坡道静止并保持下坡状态，施加驻车制动，记录最大控制力，解除行车制动，并保持驻车至少5分钟，确认在此条件下测定的最大控制力不超过400</w:t>
      </w:r>
      <w:r>
        <w:rPr>
          <w:rFonts w:hint="eastAsia"/>
          <w:color w:val="auto"/>
          <w:highlight w:val="none"/>
          <w:lang w:val="en-US" w:eastAsia="zh-CN"/>
        </w:rPr>
        <w:t> </w:t>
      </w:r>
      <w:r>
        <w:rPr>
          <w:rFonts w:hint="eastAsia" w:ascii="宋体" w:hAnsi="宋体" w:eastAsia="宋体"/>
          <w:color w:val="auto"/>
          <w:highlight w:val="none"/>
        </w:rPr>
        <w:t>N（手控）或500</w:t>
      </w:r>
      <w:r>
        <w:rPr>
          <w:rFonts w:hint="eastAsia"/>
          <w:color w:val="auto"/>
          <w:highlight w:val="none"/>
          <w:lang w:val="en-US" w:eastAsia="zh-CN"/>
        </w:rPr>
        <w:t> </w:t>
      </w:r>
      <w:r>
        <w:rPr>
          <w:rFonts w:hint="eastAsia" w:ascii="宋体" w:hAnsi="宋体" w:eastAsia="宋体"/>
          <w:color w:val="auto"/>
          <w:highlight w:val="none"/>
        </w:rPr>
        <w:t>N（脚控）。本试验允许通过多次操纵驻车制动以达到规定的驻车制动保持力，但各次操纵的控制力均在规定范围内。</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在20%的坡道上保持上坡状态，重复8.4.10.1.1。</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对采用电子传输的驻车制动系统的车辆，按照8.4.10.2进行附加检查。</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对允许挂接挂车的乘用车，采用下列方法进行附加试验，确认仅靠乘用车的驻车制动能使列车在12%的上、下坡道上保持静止</w:t>
      </w:r>
      <w:r>
        <w:rPr>
          <w:rFonts w:hint="eastAsia" w:ascii="宋体" w:hAnsi="宋体" w:eastAsia="宋体"/>
          <w:color w:val="auto"/>
          <w:highlight w:val="none"/>
          <w:lang w:eastAsia="zh-CN"/>
        </w:rPr>
        <w:t>。</w:t>
      </w:r>
    </w:p>
    <w:p>
      <w:pPr>
        <w:pStyle w:val="180"/>
        <w:numPr>
          <w:ilvl w:val="0"/>
          <w:numId w:val="57"/>
        </w:numPr>
        <w:rPr>
          <w:color w:val="auto"/>
          <w:highlight w:val="none"/>
        </w:rPr>
      </w:pPr>
      <w:r>
        <w:rPr>
          <w:rFonts w:hint="eastAsia"/>
          <w:color w:val="auto"/>
          <w:highlight w:val="none"/>
        </w:rPr>
        <w:t>实车法（推荐方法）：</w:t>
      </w:r>
      <w:r>
        <w:rPr>
          <w:rFonts w:hint="eastAsia" w:hAnsi="宋体"/>
          <w:color w:val="auto"/>
          <w:highlight w:val="none"/>
        </w:rPr>
        <w:t>通过挂接合适的挂车使列车达到最大设计总质量，在</w:t>
      </w:r>
      <w:r>
        <w:rPr>
          <w:rFonts w:hint="eastAsia"/>
          <w:color w:val="auto"/>
          <w:highlight w:val="none"/>
        </w:rPr>
        <w:t>12%的坡道上按8.</w:t>
      </w:r>
      <w:r>
        <w:rPr>
          <w:color w:val="auto"/>
          <w:highlight w:val="none"/>
        </w:rPr>
        <w:t>4</w:t>
      </w:r>
      <w:r>
        <w:rPr>
          <w:rFonts w:hint="eastAsia"/>
          <w:color w:val="auto"/>
          <w:highlight w:val="none"/>
        </w:rPr>
        <w:t>.10.1.1和8.</w:t>
      </w:r>
      <w:r>
        <w:rPr>
          <w:color w:val="auto"/>
          <w:highlight w:val="none"/>
        </w:rPr>
        <w:t>4</w:t>
      </w:r>
      <w:r>
        <w:rPr>
          <w:rFonts w:hint="eastAsia"/>
          <w:color w:val="auto"/>
          <w:highlight w:val="none"/>
        </w:rPr>
        <w:t>.10.1.2进行试验，确认驻车制动控制力在规定范围内，检查仅靠牵引车的驻车制动能使列车在上、下坡道上保持静止。</w:t>
      </w:r>
    </w:p>
    <w:p>
      <w:pPr>
        <w:pStyle w:val="180"/>
        <w:numPr>
          <w:ilvl w:val="0"/>
          <w:numId w:val="57"/>
        </w:numPr>
        <w:ind w:left="850" w:hanging="425"/>
        <w:rPr>
          <w:color w:val="auto"/>
          <w:highlight w:val="none"/>
        </w:rPr>
      </w:pPr>
      <w:r>
        <w:rPr>
          <w:rFonts w:hint="eastAsia"/>
          <w:color w:val="auto"/>
          <w:highlight w:val="none"/>
        </w:rPr>
        <w:t>模拟法：如车辆不能加载至乘用车列车最大设计总质量，可用乘用车代替乘用车列车，计算在12%坡度上的驻车制动性能。模拟试验时所要求的坡度为</w:t>
      </w:r>
      <w:r>
        <w:rPr>
          <w:rFonts w:hint="eastAsia"/>
          <w:color w:val="auto"/>
          <w:highlight w:val="none"/>
          <w:lang w:val="en-US" w:eastAsia="zh-CN"/>
        </w:rPr>
        <w:t>乘用车列车最大设计总质量与牵引车最大质量的商，乘以12%</w:t>
      </w:r>
      <w:r>
        <w:rPr>
          <w:rFonts w:hint="eastAsia"/>
          <w:color w:val="auto"/>
          <w:highlight w:val="none"/>
        </w:rPr>
        <w:t>。如不能提供计算得出的坡道，应选择接近该坡度的、更陡的坡道，按8.</w:t>
      </w:r>
      <w:r>
        <w:rPr>
          <w:color w:val="auto"/>
          <w:highlight w:val="none"/>
        </w:rPr>
        <w:t>4</w:t>
      </w:r>
      <w:r>
        <w:rPr>
          <w:rFonts w:hint="eastAsia"/>
          <w:color w:val="auto"/>
          <w:highlight w:val="none"/>
        </w:rPr>
        <w:t>.10.1.1和8.</w:t>
      </w:r>
      <w:r>
        <w:rPr>
          <w:color w:val="auto"/>
          <w:highlight w:val="none"/>
        </w:rPr>
        <w:t>4</w:t>
      </w:r>
      <w:r>
        <w:rPr>
          <w:rFonts w:hint="eastAsia"/>
          <w:color w:val="auto"/>
          <w:highlight w:val="none"/>
        </w:rPr>
        <w:t>.10.1.2进行试验。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如没有合适的路面进行8.4.10.1.1～8.4.10.1.4所述试验，可在水平路面上通过牵引试验模拟坡道驻车制动，对驻车制动性能进行检查。</w:t>
      </w:r>
    </w:p>
    <w:p>
      <w:pPr>
        <w:pStyle w:val="100"/>
        <w:spacing w:before="156" w:after="156"/>
        <w:rPr>
          <w:rFonts w:hAnsi="黑体" w:cs="黑体"/>
          <w:color w:val="auto"/>
          <w:highlight w:val="none"/>
        </w:rPr>
      </w:pPr>
      <w:r>
        <w:rPr>
          <w:rFonts w:hint="eastAsia" w:hAnsi="黑体" w:cs="黑体"/>
          <w:color w:val="auto"/>
          <w:highlight w:val="none"/>
        </w:rPr>
        <w:t>采用电子传输的驻车制动系统附加检查</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8.4.10.2.2～8.4.10.2.5条适用于通过电子传输实现控制装置和制动器之间功能连接的驻车制动系统，也适用于电子传输与其他传输方式并存的情形。</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lang w:val="en-US" w:eastAsia="zh-CN"/>
        </w:rPr>
        <w:t>分别模拟控制装置出现一处电气失效、</w:t>
      </w:r>
      <w:r>
        <w:rPr>
          <w:rFonts w:hint="eastAsia" w:ascii="宋体" w:hAnsi="宋体" w:eastAsia="宋体"/>
          <w:color w:val="auto"/>
          <w:highlight w:val="none"/>
        </w:rPr>
        <w:t>连接控制装置和ECU之间（供电线路除外）</w:t>
      </w:r>
      <w:r>
        <w:rPr>
          <w:rFonts w:hint="eastAsia" w:ascii="宋体" w:hAnsi="宋体" w:eastAsia="宋体"/>
          <w:color w:val="auto"/>
          <w:highlight w:val="none"/>
          <w:lang w:val="en-US" w:eastAsia="zh-CN"/>
        </w:rPr>
        <w:t>、ECU和执行器</w:t>
      </w:r>
      <w:r>
        <w:rPr>
          <w:rFonts w:hint="eastAsia" w:ascii="宋体" w:hAnsi="宋体" w:eastAsia="宋体"/>
          <w:color w:val="auto"/>
          <w:highlight w:val="none"/>
        </w:rPr>
        <w:t>之间的电控传输内部线路（供电线路除外）出现</w:t>
      </w:r>
      <w:r>
        <w:rPr>
          <w:rFonts w:hint="eastAsia" w:ascii="宋体" w:hAnsi="宋体" w:eastAsia="宋体"/>
          <w:color w:val="auto"/>
          <w:highlight w:val="none"/>
          <w:lang w:val="en-US" w:eastAsia="zh-CN"/>
        </w:rPr>
        <w:t>一处损坏，</w:t>
      </w:r>
      <w:r>
        <w:rPr>
          <w:rFonts w:hint="eastAsia" w:ascii="宋体" w:hAnsi="宋体" w:eastAsia="宋体"/>
          <w:color w:val="auto"/>
          <w:highlight w:val="none"/>
        </w:rPr>
        <w:t>在8%的上、下坡道上重复8.4.10.1.1和8.4.10.1.2中所述的试验，</w:t>
      </w:r>
      <w:r>
        <w:rPr>
          <w:rFonts w:hint="eastAsia" w:ascii="宋体" w:hAnsi="宋体" w:eastAsia="宋体"/>
          <w:color w:val="auto"/>
          <w:highlight w:val="none"/>
          <w:lang w:val="en-US" w:eastAsia="zh-CN"/>
        </w:rPr>
        <w:t>对于ECU</w:t>
      </w:r>
      <w:r>
        <w:rPr>
          <w:rFonts w:hint="eastAsia" w:ascii="宋体" w:hAnsi="宋体" w:eastAsia="宋体"/>
          <w:color w:val="auto"/>
          <w:highlight w:val="none"/>
        </w:rPr>
        <w:t>出现一处电气失效</w:t>
      </w:r>
      <w:r>
        <w:rPr>
          <w:rFonts w:hint="eastAsia" w:ascii="宋体" w:hAnsi="宋体" w:eastAsia="宋体"/>
          <w:color w:val="auto"/>
          <w:highlight w:val="none"/>
          <w:lang w:val="en-US" w:eastAsia="zh-CN"/>
        </w:rPr>
        <w:t>，根据制造商提供的相关设计文件进行检查，</w:t>
      </w:r>
      <w:r>
        <w:rPr>
          <w:rFonts w:hint="eastAsia" w:ascii="宋体" w:hAnsi="宋体" w:eastAsia="宋体"/>
          <w:color w:val="auto"/>
          <w:highlight w:val="none"/>
        </w:rPr>
        <w:t>确认</w:t>
      </w:r>
      <w:r>
        <w:rPr>
          <w:rFonts w:hint="eastAsia" w:ascii="宋体" w:hAnsi="宋体" w:eastAsia="宋体"/>
          <w:color w:val="auto"/>
          <w:highlight w:val="none"/>
          <w:lang w:eastAsia="zh-CN"/>
        </w:rPr>
        <w:t>驾驶人</w:t>
      </w:r>
      <w:r>
        <w:rPr>
          <w:rFonts w:hint="eastAsia" w:ascii="宋体" w:hAnsi="宋体" w:eastAsia="宋体"/>
          <w:color w:val="auto"/>
          <w:highlight w:val="none"/>
        </w:rPr>
        <w:t>能从驾驶位置通过驻车制动控制装置进行驻车制动，使车辆在规定坡道上保持静止。对于车辆静止状态下自动进行驻车制动的情况，进行如下检查：</w:t>
      </w:r>
    </w:p>
    <w:p>
      <w:pPr>
        <w:adjustRightInd/>
        <w:spacing w:line="240" w:lineRule="auto"/>
        <w:ind w:firstLine="420" w:firstLineChars="200"/>
        <w:rPr>
          <w:rFonts w:ascii="宋体" w:hAnsi="宋体"/>
          <w:color w:val="auto"/>
          <w:highlight w:val="none"/>
        </w:rPr>
      </w:pPr>
      <w:r>
        <w:rPr>
          <w:rFonts w:hint="eastAsia" w:ascii="宋体" w:hAnsi="宋体"/>
          <w:color w:val="auto"/>
          <w:highlight w:val="none"/>
        </w:rPr>
        <w:t xml:space="preserve">a) 检查当点火（起动）开关关闭时，驻车制动保持作用； </w:t>
      </w:r>
    </w:p>
    <w:p>
      <w:pPr>
        <w:adjustRightInd/>
        <w:spacing w:line="240" w:lineRule="auto"/>
        <w:ind w:firstLine="420" w:firstLineChars="200"/>
        <w:rPr>
          <w:color w:val="auto"/>
          <w:highlight w:val="none"/>
        </w:rPr>
      </w:pPr>
      <w:r>
        <w:rPr>
          <w:rFonts w:hint="eastAsia" w:ascii="宋体" w:hAnsi="宋体"/>
          <w:color w:val="auto"/>
          <w:highlight w:val="none"/>
        </w:rPr>
        <w:t>b) 检查</w:t>
      </w:r>
      <w:r>
        <w:rPr>
          <w:rFonts w:hint="eastAsia"/>
          <w:color w:val="auto"/>
          <w:highlight w:val="none"/>
          <w:lang w:eastAsia="zh-CN"/>
        </w:rPr>
        <w:t>驾驶人</w:t>
      </w:r>
      <w:r>
        <w:rPr>
          <w:rFonts w:hint="eastAsia"/>
          <w:color w:val="auto"/>
          <w:highlight w:val="none"/>
        </w:rPr>
        <w:t>重新开动车辆，驻车制动立即自动解除。</w:t>
      </w:r>
    </w:p>
    <w:p>
      <w:pPr>
        <w:adjustRightInd/>
        <w:spacing w:line="240" w:lineRule="auto"/>
        <w:ind w:firstLine="420" w:firstLineChars="200"/>
        <w:rPr>
          <w:rFonts w:ascii="宋体" w:hAnsi="宋体"/>
          <w:color w:val="auto"/>
          <w:kern w:val="0"/>
          <w:szCs w:val="20"/>
          <w:highlight w:val="none"/>
        </w:rPr>
      </w:pPr>
      <w:r>
        <w:rPr>
          <w:rFonts w:hint="eastAsia" w:ascii="宋体" w:hAnsi="宋体"/>
          <w:color w:val="auto"/>
          <w:kern w:val="0"/>
          <w:szCs w:val="20"/>
          <w:highlight w:val="none"/>
        </w:rPr>
        <w:t>如上述试验中不能满足规定的驻车制动性能，进行如下检查：</w:t>
      </w:r>
    </w:p>
    <w:p>
      <w:pPr>
        <w:pStyle w:val="180"/>
        <w:numPr>
          <w:ilvl w:val="0"/>
          <w:numId w:val="58"/>
        </w:numPr>
        <w:rPr>
          <w:color w:val="auto"/>
          <w:highlight w:val="none"/>
        </w:rPr>
      </w:pPr>
      <w:r>
        <w:rPr>
          <w:rFonts w:hint="eastAsia"/>
          <w:color w:val="auto"/>
          <w:highlight w:val="none"/>
        </w:rPr>
        <w:t>对手动变速器车辆，在动力装置静止、离合器接合的情况下，仅通过采用合适的挡位（如最低挡）即可使车辆保持在上、下坡道上</w:t>
      </w:r>
      <w:r>
        <w:rPr>
          <w:rFonts w:hint="eastAsia"/>
          <w:color w:val="auto"/>
          <w:highlight w:val="none"/>
          <w:lang w:eastAsia="zh-CN"/>
        </w:rPr>
        <w:t>；</w:t>
      </w:r>
    </w:p>
    <w:p>
      <w:pPr>
        <w:pStyle w:val="180"/>
        <w:numPr>
          <w:ilvl w:val="0"/>
          <w:numId w:val="58"/>
        </w:numPr>
        <w:rPr>
          <w:color w:val="auto"/>
          <w:highlight w:val="none"/>
        </w:rPr>
      </w:pPr>
      <w:r>
        <w:rPr>
          <w:rFonts w:hint="eastAsia"/>
          <w:color w:val="auto"/>
          <w:highlight w:val="none"/>
        </w:rPr>
        <w:t>对自动变速器车辆，确认车辆在变速器位于“驻车</w:t>
      </w:r>
      <w:r>
        <w:rPr>
          <w:rFonts w:hint="eastAsia" w:ascii="Times New Roman"/>
          <w:color w:val="auto"/>
          <w:highlight w:val="none"/>
        </w:rPr>
        <w:t>”</w:t>
      </w:r>
      <w:r>
        <w:rPr>
          <w:rFonts w:hint="eastAsia"/>
          <w:color w:val="auto"/>
          <w:highlight w:val="none"/>
        </w:rPr>
        <w:t>挡时可在上、下坡道上停驻。</w:t>
      </w:r>
    </w:p>
    <w:p>
      <w:pPr>
        <w:spacing w:line="240" w:lineRule="auto"/>
        <w:ind w:firstLine="420" w:firstLineChars="200"/>
        <w:rPr>
          <w:rFonts w:ascii="宋体" w:hAnsi="宋体"/>
          <w:color w:val="auto"/>
          <w:kern w:val="0"/>
          <w:szCs w:val="20"/>
          <w:highlight w:val="none"/>
        </w:rPr>
      </w:pPr>
      <w:r>
        <w:rPr>
          <w:rFonts w:hint="eastAsia" w:ascii="宋体" w:hAnsi="宋体"/>
          <w:color w:val="auto"/>
          <w:kern w:val="0"/>
          <w:szCs w:val="20"/>
          <w:highlight w:val="none"/>
        </w:rPr>
        <w:t>确认电子传输失效不会导致驻车制动系统误动作、不会产生与</w:t>
      </w:r>
      <w:r>
        <w:rPr>
          <w:rFonts w:hint="eastAsia" w:ascii="宋体" w:hAnsi="宋体"/>
          <w:color w:val="auto"/>
          <w:kern w:val="0"/>
          <w:szCs w:val="20"/>
          <w:highlight w:val="none"/>
          <w:lang w:eastAsia="zh-CN"/>
        </w:rPr>
        <w:t>驾驶人</w:t>
      </w:r>
      <w:r>
        <w:rPr>
          <w:rFonts w:hint="eastAsia" w:ascii="宋体" w:hAnsi="宋体"/>
          <w:color w:val="auto"/>
          <w:kern w:val="0"/>
          <w:szCs w:val="20"/>
          <w:highlight w:val="none"/>
        </w:rPr>
        <w:t>意图相反的制动。</w:t>
      </w:r>
    </w:p>
    <w:p>
      <w:pPr>
        <w:adjustRightInd/>
        <w:spacing w:line="240" w:lineRule="auto"/>
        <w:ind w:firstLine="420" w:firstLineChars="200"/>
        <w:rPr>
          <w:color w:val="auto"/>
          <w:highlight w:val="none"/>
        </w:rPr>
      </w:pPr>
      <w:r>
        <w:rPr>
          <w:rFonts w:hint="eastAsia" w:ascii="宋体" w:hAnsi="宋体"/>
          <w:color w:val="auto"/>
          <w:kern w:val="0"/>
          <w:szCs w:val="20"/>
          <w:highlight w:val="none"/>
        </w:rPr>
        <w:t>完成以上所有试验后，检查可解除驻车制动，如需利用随车工具和/或辅助设备，应予记录并注明使用方法</w:t>
      </w:r>
      <w:r>
        <w:rPr>
          <w:rFonts w:hint="eastAsia"/>
          <w:color w:val="auto"/>
          <w:highlight w:val="none"/>
        </w:rPr>
        <w:t>。</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模拟电子传输内部线路损坏或驻车制动系统控制装置电气失效，检查是否发出5.2.21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a）规定的黄色报警信号，</w:t>
      </w:r>
      <w:r>
        <w:rPr>
          <w:rFonts w:hint="eastAsia" w:ascii="宋体" w:hAnsi="宋体" w:eastAsia="宋体"/>
          <w:color w:val="auto"/>
          <w:highlight w:val="none"/>
          <w:lang w:val="en-US" w:eastAsia="zh-CN"/>
        </w:rPr>
        <w:t>对于</w:t>
      </w:r>
      <w:r>
        <w:rPr>
          <w:rFonts w:hint="eastAsia" w:ascii="宋体" w:hAnsi="宋体" w:eastAsia="宋体"/>
          <w:color w:val="auto"/>
          <w:highlight w:val="none"/>
        </w:rPr>
        <w:t>电子传输内部线路损坏</w:t>
      </w:r>
      <w:r>
        <w:rPr>
          <w:rFonts w:hint="eastAsia" w:ascii="宋体" w:hAnsi="宋体" w:eastAsia="宋体"/>
          <w:color w:val="auto"/>
          <w:highlight w:val="none"/>
          <w:lang w:val="en-US" w:eastAsia="zh-CN"/>
        </w:rPr>
        <w:t>的失效</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检查</w:t>
      </w:r>
      <w:r>
        <w:rPr>
          <w:rFonts w:hint="eastAsia" w:ascii="宋体" w:hAnsi="宋体" w:eastAsia="宋体"/>
          <w:color w:val="auto"/>
          <w:highlight w:val="none"/>
        </w:rPr>
        <w:t>黄色报警信号</w:t>
      </w:r>
      <w:r>
        <w:rPr>
          <w:rFonts w:hint="eastAsia" w:ascii="宋体" w:hAnsi="宋体" w:eastAsia="宋体"/>
          <w:color w:val="auto"/>
          <w:highlight w:val="none"/>
          <w:lang w:val="en-US" w:eastAsia="zh-CN"/>
        </w:rPr>
        <w:t>是否</w:t>
      </w:r>
      <w:r>
        <w:rPr>
          <w:rFonts w:hint="eastAsia" w:ascii="宋体" w:hAnsi="宋体" w:eastAsia="宋体"/>
          <w:color w:val="auto"/>
          <w:highlight w:val="none"/>
        </w:rPr>
        <w:t xml:space="preserve">立即发出。    </w:t>
      </w:r>
    </w:p>
    <w:p>
      <w:pPr>
        <w:adjustRightInd/>
        <w:spacing w:line="240" w:lineRule="auto"/>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车辆的点火（起动）开关处于“ON”（“RUN”）位置，操纵驻车制动控制装置以施加驻车制动，检查是否发出5.2.21</w:t>
      </w:r>
      <w:r>
        <w:rPr>
          <w:rFonts w:hint="eastAsia" w:ascii="宋体" w:hAnsi="宋体"/>
          <w:color w:val="auto"/>
          <w:kern w:val="0"/>
          <w:szCs w:val="20"/>
          <w:highlight w:val="none"/>
          <w:lang w:val="en-US" w:eastAsia="zh-CN"/>
        </w:rPr>
        <w:t xml:space="preserve"> </w:t>
      </w:r>
      <w:r>
        <w:rPr>
          <w:rFonts w:hint="eastAsia" w:ascii="宋体" w:hAnsi="宋体"/>
          <w:color w:val="auto"/>
          <w:kern w:val="0"/>
          <w:szCs w:val="20"/>
          <w:highlight w:val="none"/>
        </w:rPr>
        <w:t>a）规定的红色</w:t>
      </w:r>
      <w:r>
        <w:rPr>
          <w:rFonts w:hint="eastAsia" w:ascii="宋体" w:hAnsi="宋体"/>
          <w:color w:val="auto"/>
          <w:kern w:val="0"/>
          <w:szCs w:val="20"/>
          <w:highlight w:val="none"/>
          <w:lang w:val="en-US" w:eastAsia="zh-CN"/>
        </w:rPr>
        <w:t>报警</w:t>
      </w:r>
      <w:r>
        <w:rPr>
          <w:rFonts w:hint="eastAsia" w:ascii="宋体" w:hAnsi="宋体"/>
          <w:color w:val="auto"/>
          <w:kern w:val="0"/>
          <w:szCs w:val="20"/>
          <w:highlight w:val="none"/>
        </w:rPr>
        <w:t>信号，且持续闪烁。对驻车制动系统检测到驻车制动器已经正确夹紧的情况，可以抑制红色报警信号的闪烁，使用非闪烁的红色信号来指示“驻车制动已施加”。关闭点火（起动）开关，检查闪烁的红色报警信号至少再持续10</w:t>
      </w:r>
      <w:r>
        <w:rPr>
          <w:rFonts w:hint="eastAsia"/>
          <w:color w:val="auto"/>
          <w:highlight w:val="none"/>
          <w:lang w:val="en-US" w:eastAsia="zh-CN"/>
        </w:rPr>
        <w:t> </w:t>
      </w:r>
      <w:r>
        <w:rPr>
          <w:rFonts w:hint="eastAsia" w:ascii="宋体" w:hAnsi="宋体"/>
          <w:color w:val="auto"/>
          <w:kern w:val="0"/>
          <w:szCs w:val="20"/>
          <w:highlight w:val="none"/>
        </w:rPr>
        <w:t>s。记录驻车制动系统的正常促动是否由独立的红色报警信号指示。</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由驻车制动电控传输装置给辅助设备供电的车辆，打开开关并使所有辅助设备工作，确认能进行驻车制动并予以解除。如行车制动系统使用驻车制动电控传输装置提供的储能器，则按照</w:t>
      </w:r>
      <w:r>
        <w:rPr>
          <w:rFonts w:ascii="宋体" w:hAnsi="宋体" w:eastAsia="宋体"/>
          <w:color w:val="auto"/>
          <w:highlight w:val="none"/>
        </w:rPr>
        <w:t>8</w:t>
      </w: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w:t>
      </w:r>
      <w:r>
        <w:rPr>
          <w:rFonts w:ascii="宋体" w:hAnsi="宋体" w:eastAsia="宋体"/>
          <w:color w:val="auto"/>
          <w:highlight w:val="none"/>
        </w:rPr>
        <w:t>11.6</w:t>
      </w:r>
      <w:r>
        <w:rPr>
          <w:rFonts w:hint="eastAsia" w:ascii="宋体" w:hAnsi="宋体" w:eastAsia="宋体"/>
          <w:color w:val="auto"/>
          <w:highlight w:val="none"/>
        </w:rPr>
        <w:t>进行测试。</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关闭控制制动装备供电的点火/起动开关（必要时拔掉钥匙），确认仍能进行驻车制动但不能解除制动。</w:t>
      </w:r>
    </w:p>
    <w:p>
      <w:pPr>
        <w:pStyle w:val="71"/>
        <w:spacing w:before="156" w:after="156"/>
        <w:rPr>
          <w:color w:val="auto"/>
          <w:highlight w:val="none"/>
        </w:rPr>
      </w:pPr>
      <w:bookmarkStart w:id="190" w:name="_Toc118580315"/>
      <w:r>
        <w:rPr>
          <w:rFonts w:hint="eastAsia"/>
          <w:color w:val="auto"/>
          <w:highlight w:val="none"/>
        </w:rPr>
        <w:t>具有电控传输装置的行车制动系统附加检查</w:t>
      </w:r>
      <w:bookmarkEnd w:id="190"/>
    </w:p>
    <w:p>
      <w:pPr>
        <w:pStyle w:val="100"/>
        <w:spacing w:before="0" w:beforeLines="0" w:after="0" w:afterLines="0"/>
        <w:rPr>
          <w:rFonts w:ascii="宋体" w:hAnsi="宋体" w:eastAsia="宋体" w:cs="黑体"/>
          <w:color w:val="auto"/>
          <w:highlight w:val="none"/>
        </w:rPr>
      </w:pPr>
      <w:r>
        <w:rPr>
          <w:rFonts w:hint="eastAsia" w:ascii="宋体" w:hAnsi="宋体" w:eastAsia="宋体" w:cs="黑体"/>
          <w:color w:val="auto"/>
          <w:highlight w:val="none"/>
        </w:rPr>
        <w:t>8.4.11.2～8.4.11.7适用于通过电控传输实现控制装置和制动器之间功能连接的行车制动系统，也适用于电控传输与其他传输方式并存的情形。</w:t>
      </w:r>
    </w:p>
    <w:p>
      <w:pPr>
        <w:pStyle w:val="100"/>
        <w:spacing w:before="0" w:beforeLines="0" w:after="0" w:afterLines="0"/>
        <w:rPr>
          <w:rFonts w:ascii="宋体" w:hAnsi="宋体" w:eastAsia="宋体" w:cs="黑体"/>
          <w:color w:val="auto"/>
          <w:highlight w:val="none"/>
        </w:rPr>
      </w:pPr>
      <w:r>
        <w:rPr>
          <w:rFonts w:hint="eastAsia" w:ascii="宋体" w:hAnsi="宋体" w:eastAsia="宋体" w:cs="黑体"/>
          <w:color w:val="auto"/>
          <w:highlight w:val="none"/>
        </w:rPr>
        <w:t>对电控传输装置潜在失效影响分析等相关设计文件进行检查，确认制造商提供了相应的说明资料。并对单个短暂（小于40</w:t>
      </w:r>
      <w:r>
        <w:rPr>
          <w:rFonts w:hint="eastAsia"/>
          <w:color w:val="auto"/>
          <w:highlight w:val="none"/>
          <w:lang w:val="en-US" w:eastAsia="zh-CN"/>
        </w:rPr>
        <w:t> </w:t>
      </w:r>
      <w:r>
        <w:rPr>
          <w:rFonts w:hint="eastAsia" w:ascii="宋体" w:hAnsi="宋体" w:eastAsia="宋体" w:cs="黑体"/>
          <w:color w:val="auto"/>
          <w:highlight w:val="none"/>
        </w:rPr>
        <w:t>ms）失效和持续（大于等于40</w:t>
      </w:r>
      <w:r>
        <w:rPr>
          <w:rFonts w:hint="eastAsia"/>
          <w:color w:val="auto"/>
          <w:highlight w:val="none"/>
          <w:lang w:val="en-US" w:eastAsia="zh-CN"/>
        </w:rPr>
        <w:t> </w:t>
      </w:r>
      <w:r>
        <w:rPr>
          <w:rFonts w:hint="eastAsia" w:ascii="宋体" w:hAnsi="宋体" w:eastAsia="宋体" w:cs="黑体"/>
          <w:color w:val="auto"/>
          <w:highlight w:val="none"/>
        </w:rPr>
        <w:t>ms）失效进行专门检查，确认分析结果能证明：</w:t>
      </w:r>
    </w:p>
    <w:p>
      <w:pPr>
        <w:pStyle w:val="180"/>
        <w:numPr>
          <w:ilvl w:val="0"/>
          <w:numId w:val="59"/>
        </w:numPr>
        <w:rPr>
          <w:color w:val="auto"/>
          <w:highlight w:val="none"/>
        </w:rPr>
      </w:pPr>
      <w:r>
        <w:rPr>
          <w:rFonts w:hint="eastAsia"/>
          <w:color w:val="auto"/>
          <w:highlight w:val="none"/>
        </w:rPr>
        <w:t>单个短暂失效（传输信号中断或数据发生错误）不会明显影响行车制动性能；</w:t>
      </w:r>
    </w:p>
    <w:p>
      <w:pPr>
        <w:pStyle w:val="180"/>
        <w:numPr>
          <w:ilvl w:val="0"/>
          <w:numId w:val="59"/>
        </w:numPr>
        <w:rPr>
          <w:color w:val="auto"/>
          <w:highlight w:val="none"/>
        </w:rPr>
      </w:pPr>
      <w:r>
        <w:rPr>
          <w:rFonts w:hint="eastAsia"/>
          <w:color w:val="auto"/>
          <w:highlight w:val="none"/>
        </w:rPr>
        <w:t>持续失效导致不能达到规定的行车制动性能时，</w:t>
      </w:r>
      <w:r>
        <w:rPr>
          <w:rFonts w:hint="eastAsia"/>
          <w:color w:val="auto"/>
          <w:highlight w:val="none"/>
          <w:lang w:val="en-US" w:eastAsia="zh-CN"/>
        </w:rPr>
        <w:t>通过</w:t>
      </w:r>
      <w:r>
        <w:rPr>
          <w:rFonts w:hint="eastAsia"/>
          <w:color w:val="auto"/>
          <w:highlight w:val="none"/>
        </w:rPr>
        <w:t>5.2.21</w:t>
      </w:r>
      <w:r>
        <w:rPr>
          <w:rFonts w:hint="eastAsia"/>
          <w:color w:val="auto"/>
          <w:highlight w:val="none"/>
          <w:lang w:val="en-US" w:eastAsia="zh-CN"/>
        </w:rPr>
        <w:t xml:space="preserve"> </w:t>
      </w:r>
      <w:r>
        <w:rPr>
          <w:rFonts w:hint="eastAsia"/>
          <w:color w:val="auto"/>
          <w:highlight w:val="none"/>
        </w:rPr>
        <w:t>a）规定的红色报警信号指示给</w:t>
      </w:r>
      <w:r>
        <w:rPr>
          <w:rFonts w:hint="eastAsia"/>
          <w:color w:val="auto"/>
          <w:highlight w:val="none"/>
          <w:lang w:eastAsia="zh-CN"/>
        </w:rPr>
        <w:t>驾驶人</w:t>
      </w:r>
      <w:r>
        <w:rPr>
          <w:rFonts w:hint="eastAsia"/>
          <w:color w:val="auto"/>
          <w:highlight w:val="none"/>
        </w:rPr>
        <w:t>。电控传输中断导致的失效，</w:t>
      </w:r>
      <w:r>
        <w:rPr>
          <w:rFonts w:hint="eastAsia"/>
          <w:color w:val="auto"/>
          <w:highlight w:val="none"/>
          <w:lang w:val="en-US" w:eastAsia="zh-CN"/>
        </w:rPr>
        <w:t>检查</w:t>
      </w:r>
      <w:r>
        <w:rPr>
          <w:rFonts w:hint="eastAsia"/>
          <w:color w:val="auto"/>
          <w:highlight w:val="none"/>
        </w:rPr>
        <w:t>失效发生时</w:t>
      </w:r>
      <w:r>
        <w:rPr>
          <w:rFonts w:hint="eastAsia"/>
          <w:color w:val="auto"/>
          <w:highlight w:val="none"/>
          <w:lang w:val="en-US" w:eastAsia="zh-CN"/>
        </w:rPr>
        <w:t>是否</w:t>
      </w:r>
      <w:r>
        <w:rPr>
          <w:rFonts w:hint="eastAsia"/>
          <w:color w:val="auto"/>
          <w:highlight w:val="none"/>
        </w:rPr>
        <w:t>立即通过报警信号指示；</w:t>
      </w:r>
    </w:p>
    <w:p>
      <w:pPr>
        <w:pStyle w:val="180"/>
        <w:numPr>
          <w:ilvl w:val="0"/>
          <w:numId w:val="59"/>
        </w:numPr>
        <w:rPr>
          <w:color w:val="auto"/>
          <w:highlight w:val="none"/>
        </w:rPr>
      </w:pPr>
      <w:r>
        <w:rPr>
          <w:rFonts w:hint="eastAsia"/>
          <w:color w:val="auto"/>
          <w:highlight w:val="none"/>
        </w:rPr>
        <w:t>发生持续失效但不妨碍达到规定的行车制动性能时，通过5.2.21</w:t>
      </w:r>
      <w:r>
        <w:rPr>
          <w:rFonts w:hint="eastAsia"/>
          <w:color w:val="auto"/>
          <w:highlight w:val="none"/>
          <w:lang w:val="en-US" w:eastAsia="zh-CN"/>
        </w:rPr>
        <w:t xml:space="preserve"> </w:t>
      </w:r>
      <w:r>
        <w:rPr>
          <w:rFonts w:hint="eastAsia"/>
          <w:color w:val="auto"/>
          <w:highlight w:val="none"/>
        </w:rPr>
        <w:t>a）规定的黄色报警信号指示给</w:t>
      </w:r>
      <w:r>
        <w:rPr>
          <w:rFonts w:hint="eastAsia"/>
          <w:color w:val="auto"/>
          <w:highlight w:val="none"/>
          <w:lang w:eastAsia="zh-CN"/>
        </w:rPr>
        <w:t>驾驶人</w:t>
      </w:r>
      <w:r>
        <w:rPr>
          <w:rFonts w:hint="eastAsia"/>
          <w:color w:val="auto"/>
          <w:highlight w:val="none"/>
        </w:rPr>
        <w:t>；</w:t>
      </w:r>
    </w:p>
    <w:p>
      <w:pPr>
        <w:pStyle w:val="180"/>
        <w:numPr>
          <w:ilvl w:val="0"/>
          <w:numId w:val="59"/>
        </w:numPr>
        <w:rPr>
          <w:color w:val="auto"/>
          <w:highlight w:val="none"/>
        </w:rPr>
      </w:pPr>
      <w:r>
        <w:rPr>
          <w:rFonts w:hint="eastAsia" w:hAnsi="宋体"/>
          <w:color w:val="auto"/>
          <w:highlight w:val="none"/>
        </w:rPr>
        <w:t>行车制动电控传输发生故障不会产生与</w:t>
      </w:r>
      <w:r>
        <w:rPr>
          <w:rFonts w:hint="eastAsia" w:hAnsi="宋体"/>
          <w:color w:val="auto"/>
          <w:highlight w:val="none"/>
          <w:lang w:eastAsia="zh-CN"/>
        </w:rPr>
        <w:t>驾驶人</w:t>
      </w:r>
      <w:r>
        <w:rPr>
          <w:rFonts w:hint="eastAsia" w:hAnsi="宋体"/>
          <w:color w:val="auto"/>
          <w:highlight w:val="none"/>
        </w:rPr>
        <w:t>意图相反的制动。</w:t>
      </w:r>
    </w:p>
    <w:p>
      <w:pPr>
        <w:pStyle w:val="100"/>
        <w:spacing w:before="0" w:beforeLines="0" w:after="0" w:afterLines="0"/>
        <w:rPr>
          <w:rFonts w:ascii="宋体" w:hAnsi="宋体" w:eastAsia="宋体" w:cs="黑体"/>
          <w:color w:val="auto"/>
          <w:highlight w:val="none"/>
        </w:rPr>
      </w:pPr>
      <w:r>
        <w:rPr>
          <w:rFonts w:hint="eastAsia" w:ascii="宋体" w:hAnsi="宋体" w:eastAsia="宋体" w:cs="黑体"/>
          <w:color w:val="auto"/>
          <w:highlight w:val="none"/>
        </w:rPr>
        <w:t>解除驻车制动，使动力装置开启/关闭控制处于“ON”（“RUN”）位置，促动行车制动系。通过测量管路压力或其他方式，确认是否能产生与规定的0型试验条件下行车制动性能要求相当的静态总制动力。</w:t>
      </w:r>
    </w:p>
    <w:p>
      <w:pPr>
        <w:pStyle w:val="100"/>
        <w:numPr>
          <w:ilvl w:val="255"/>
          <w:numId w:val="0"/>
        </w:numPr>
        <w:spacing w:before="0" w:beforeLines="0" w:after="0" w:afterLines="0"/>
        <w:ind w:firstLine="420" w:firstLineChars="200"/>
        <w:outlineLvl w:val="9"/>
        <w:rPr>
          <w:rFonts w:ascii="宋体" w:hAnsi="宋体" w:eastAsia="宋体"/>
          <w:color w:val="auto"/>
          <w:highlight w:val="none"/>
        </w:rPr>
      </w:pPr>
      <w:r>
        <w:rPr>
          <w:rFonts w:hint="eastAsia" w:ascii="宋体" w:hAnsi="宋体" w:eastAsia="宋体"/>
          <w:color w:val="auto"/>
          <w:highlight w:val="none"/>
        </w:rPr>
        <w:t>在动力装置开启/关闭控制处于“OFF”或“LOCK”位置和</w:t>
      </w:r>
      <w:r>
        <w:rPr>
          <w:rFonts w:hint="eastAsia" w:ascii="宋体" w:hAnsi="宋体" w:eastAsia="宋体"/>
          <w:color w:val="auto"/>
          <w:highlight w:val="none"/>
          <w:lang w:val="en-US" w:eastAsia="zh-CN"/>
        </w:rPr>
        <w:t>/</w:t>
      </w:r>
      <w:r>
        <w:rPr>
          <w:rFonts w:hint="eastAsia" w:ascii="宋体" w:hAnsi="宋体" w:eastAsia="宋体"/>
          <w:color w:val="auto"/>
          <w:highlight w:val="none"/>
        </w:rPr>
        <w:t>或拔掉点火钥匙后第一个60</w:t>
      </w:r>
      <w:r>
        <w:rPr>
          <w:rFonts w:hint="eastAsia"/>
          <w:color w:val="auto"/>
          <w:highlight w:val="none"/>
          <w:lang w:val="en-US" w:eastAsia="zh-CN"/>
        </w:rPr>
        <w:t> </w:t>
      </w:r>
      <w:r>
        <w:rPr>
          <w:rFonts w:hint="eastAsia" w:ascii="宋体" w:hAnsi="宋体" w:eastAsia="宋体"/>
          <w:color w:val="auto"/>
          <w:highlight w:val="none"/>
          <w:lang w:val="en-US" w:eastAsia="zh-CN"/>
        </w:rPr>
        <w:t>s</w:t>
      </w:r>
      <w:r>
        <w:rPr>
          <w:rFonts w:hint="eastAsia" w:ascii="宋体" w:hAnsi="宋体" w:eastAsia="宋体"/>
          <w:color w:val="auto"/>
          <w:highlight w:val="none"/>
        </w:rPr>
        <w:t>之内，进行三次行车制动促动。通过测量管路压力或其他方式，确认是否能产生与规定的0型试验条件下行车制动性能要求相当的静态总制动力。</w:t>
      </w:r>
    </w:p>
    <w:p>
      <w:pPr>
        <w:pStyle w:val="100"/>
        <w:numPr>
          <w:ilvl w:val="255"/>
          <w:numId w:val="0"/>
        </w:numPr>
        <w:spacing w:before="0" w:beforeLines="0" w:after="0" w:afterLines="0"/>
        <w:ind w:firstLine="420" w:firstLineChars="200"/>
        <w:outlineLvl w:val="9"/>
        <w:rPr>
          <w:rFonts w:hint="eastAsia" w:ascii="宋体" w:hAnsi="宋体" w:eastAsia="宋体"/>
          <w:color w:val="auto"/>
          <w:highlight w:val="none"/>
        </w:rPr>
      </w:pPr>
      <w:r>
        <w:rPr>
          <w:rFonts w:hint="eastAsia" w:ascii="宋体" w:hAnsi="宋体" w:eastAsia="宋体"/>
          <w:color w:val="auto"/>
          <w:highlight w:val="none"/>
        </w:rPr>
        <w:t>以三次行车制动促动和在60</w:t>
      </w:r>
      <w:r>
        <w:rPr>
          <w:rFonts w:hint="eastAsia"/>
          <w:color w:val="auto"/>
          <w:highlight w:val="none"/>
          <w:lang w:val="en-US" w:eastAsia="zh-CN"/>
        </w:rPr>
        <w:t> </w:t>
      </w:r>
      <w:r>
        <w:rPr>
          <w:rFonts w:hint="eastAsia" w:ascii="宋体" w:hAnsi="宋体" w:eastAsia="宋体"/>
          <w:color w:val="auto"/>
          <w:highlight w:val="none"/>
          <w:lang w:val="en-US" w:eastAsia="zh-CN"/>
        </w:rPr>
        <w:t>s</w:t>
      </w:r>
      <w:r>
        <w:rPr>
          <w:rFonts w:hint="eastAsia" w:ascii="宋体" w:hAnsi="宋体" w:eastAsia="宋体"/>
          <w:color w:val="auto"/>
          <w:highlight w:val="none"/>
        </w:rPr>
        <w:t>时段内从第4次行车制动促动中先满足者为准，促动行车制动</w:t>
      </w:r>
      <w:r>
        <w:rPr>
          <w:rFonts w:hint="eastAsia" w:ascii="宋体" w:hAnsi="宋体" w:eastAsia="宋体"/>
          <w:color w:val="auto"/>
          <w:highlight w:val="none"/>
          <w:lang w:val="en-US" w:eastAsia="zh-CN"/>
        </w:rPr>
        <w:t>控制装置</w:t>
      </w:r>
      <w:r>
        <w:rPr>
          <w:rFonts w:hint="eastAsia" w:ascii="宋体" w:hAnsi="宋体" w:eastAsia="宋体"/>
          <w:color w:val="auto"/>
          <w:highlight w:val="none"/>
        </w:rPr>
        <w:t>。通过测量管路压力或其他方式，确认行车制动系统是否能产生与规定的0型试验条件下应急制动性能要求相当的静态总制动力。</w:t>
      </w:r>
    </w:p>
    <w:p>
      <w:pPr>
        <w:pStyle w:val="100"/>
        <w:spacing w:before="0" w:beforeLines="0" w:after="0" w:afterLines="0"/>
        <w:rPr>
          <w:rFonts w:ascii="宋体" w:hAnsi="宋体" w:eastAsia="宋体" w:cs="黑体"/>
          <w:color w:val="auto"/>
          <w:highlight w:val="none"/>
        </w:rPr>
      </w:pPr>
      <w:r>
        <w:rPr>
          <w:rFonts w:hint="eastAsia" w:ascii="宋体" w:hAnsi="宋体" w:eastAsia="宋体" w:cs="黑体"/>
          <w:color w:val="auto"/>
          <w:highlight w:val="none"/>
          <w:lang w:val="en-US" w:eastAsia="zh-CN"/>
        </w:rPr>
        <w:t>对</w:t>
      </w:r>
      <w:r>
        <w:rPr>
          <w:rFonts w:hint="eastAsia" w:ascii="宋体" w:hAnsi="宋体" w:eastAsia="宋体" w:cs="黑体"/>
          <w:color w:val="auto"/>
          <w:highlight w:val="none"/>
        </w:rPr>
        <w:t>电控传输能源失效</w:t>
      </w:r>
      <w:r>
        <w:rPr>
          <w:rFonts w:hint="eastAsia" w:ascii="宋体" w:hAnsi="宋体" w:eastAsia="宋体" w:cs="黑体"/>
          <w:color w:val="auto"/>
          <w:highlight w:val="none"/>
          <w:lang w:val="en-US" w:eastAsia="zh-CN"/>
        </w:rPr>
        <w:t>进行</w:t>
      </w:r>
      <w:r>
        <w:rPr>
          <w:rFonts w:hint="eastAsia" w:ascii="宋体" w:hAnsi="宋体" w:eastAsia="宋体" w:cs="黑体"/>
          <w:color w:val="auto"/>
          <w:highlight w:val="none"/>
        </w:rPr>
        <w:t>检查</w:t>
      </w:r>
      <w:r>
        <w:rPr>
          <w:rFonts w:hint="eastAsia"/>
          <w:color w:val="auto"/>
          <w:highlight w:val="none"/>
          <w:lang w:eastAsia="zh-CN"/>
        </w:rPr>
        <w:t>，</w:t>
      </w:r>
      <w:r>
        <w:rPr>
          <w:rFonts w:hint="eastAsia" w:ascii="宋体" w:hAnsi="宋体" w:eastAsia="宋体" w:cs="黑体"/>
          <w:color w:val="auto"/>
          <w:highlight w:val="none"/>
        </w:rPr>
        <w:t>将蓄电池或其他储能装置的能源水平设置在额定电压（制造商声明的标称值），断开储能装置的充电线路（如断开发电机，使蓄电池或电池组不能再被充电），在动力装置接通的情况下全行程促动行车制动20次。每次制动时，应全行程制动20</w:t>
      </w:r>
      <w:r>
        <w:rPr>
          <w:rFonts w:hint="eastAsia"/>
          <w:color w:val="auto"/>
          <w:highlight w:val="none"/>
          <w:lang w:val="en-US" w:eastAsia="zh-CN"/>
        </w:rPr>
        <w:t> </w:t>
      </w:r>
      <w:r>
        <w:rPr>
          <w:rFonts w:hint="eastAsia" w:ascii="宋体" w:hAnsi="宋体" w:eastAsia="宋体" w:cs="黑体"/>
          <w:color w:val="auto"/>
          <w:highlight w:val="none"/>
        </w:rPr>
        <w:t>s，释放5</w:t>
      </w:r>
      <w:r>
        <w:rPr>
          <w:rFonts w:hint="eastAsia"/>
          <w:color w:val="auto"/>
          <w:highlight w:val="none"/>
          <w:lang w:val="en-US" w:eastAsia="zh-CN"/>
        </w:rPr>
        <w:t> </w:t>
      </w:r>
      <w:r>
        <w:rPr>
          <w:rFonts w:hint="eastAsia" w:ascii="宋体" w:hAnsi="宋体" w:eastAsia="宋体" w:cs="黑体"/>
          <w:color w:val="auto"/>
          <w:highlight w:val="none"/>
        </w:rPr>
        <w:t>s，然后再进行一次制动，检查传输装置剩余的电能足以全行程促动行车制动器。</w:t>
      </w:r>
    </w:p>
    <w:p>
      <w:pPr>
        <w:pStyle w:val="100"/>
        <w:spacing w:before="0" w:beforeLines="0" w:after="0" w:afterLines="0"/>
        <w:rPr>
          <w:rFonts w:ascii="宋体" w:hAnsi="宋体" w:eastAsia="宋体" w:cs="黑体"/>
          <w:color w:val="auto"/>
          <w:highlight w:val="none"/>
        </w:rPr>
      </w:pPr>
      <w:r>
        <w:rPr>
          <w:rFonts w:hint="eastAsia" w:ascii="宋体" w:hAnsi="宋体" w:eastAsia="宋体" w:cs="黑体"/>
          <w:color w:val="auto"/>
          <w:highlight w:val="none"/>
        </w:rPr>
        <w:t>检查制造商对不能保证行车制动性能或至少两个独立的行车制动回路不能达到应急制动性能的储能装置最高电压做了声明。通过使储能装置部分放电或连接</w:t>
      </w:r>
      <w:r>
        <w:rPr>
          <w:rFonts w:hint="eastAsia" w:ascii="宋体" w:hAnsi="宋体" w:eastAsia="宋体" w:cs="黑体"/>
          <w:color w:val="auto"/>
          <w:highlight w:val="none"/>
          <w:lang w:val="en-US" w:eastAsia="zh-CN"/>
        </w:rPr>
        <w:t>具有足够功率的</w:t>
      </w:r>
      <w:r>
        <w:rPr>
          <w:rFonts w:hint="eastAsia" w:ascii="宋体" w:hAnsi="宋体" w:eastAsia="宋体" w:cs="黑体"/>
          <w:color w:val="auto"/>
          <w:highlight w:val="none"/>
        </w:rPr>
        <w:t>外部电源来代替储能装置，逐渐降低储能装置电压并记录5.2.21</w:t>
      </w:r>
      <w:r>
        <w:rPr>
          <w:rFonts w:hint="eastAsia" w:ascii="宋体" w:hAnsi="宋体" w:eastAsia="宋体" w:cs="黑体"/>
          <w:color w:val="auto"/>
          <w:highlight w:val="none"/>
          <w:lang w:val="en-US" w:eastAsia="zh-CN"/>
        </w:rPr>
        <w:t xml:space="preserve"> </w:t>
      </w:r>
      <w:r>
        <w:rPr>
          <w:rFonts w:hint="eastAsia" w:ascii="宋体" w:hAnsi="宋体" w:eastAsia="宋体" w:cs="黑体"/>
          <w:color w:val="auto"/>
          <w:highlight w:val="none"/>
        </w:rPr>
        <w:t>a）规定的红色报警信号点亮时的实际电压。连接外部电源利用车辆现有电线时，移除储能装置端子进行供电并检测输出电压。</w:t>
      </w:r>
      <w:r>
        <w:rPr>
          <w:rFonts w:hint="eastAsia" w:ascii="宋体" w:hAnsi="宋体" w:eastAsia="宋体" w:cs="黑体"/>
          <w:color w:val="auto"/>
          <w:highlight w:val="none"/>
          <w:lang w:val="en-US" w:eastAsia="zh-CN"/>
        </w:rPr>
        <w:t>检查</w:t>
      </w:r>
      <w:r>
        <w:rPr>
          <w:rFonts w:hint="eastAsia" w:ascii="宋体" w:hAnsi="宋体" w:eastAsia="宋体" w:cs="黑体"/>
          <w:color w:val="auto"/>
          <w:highlight w:val="none"/>
        </w:rPr>
        <w:t>实际的记录电压不高于储能装置额定电压。在该电压水平下进行动态试验，确认行车制动电控传输装置中剩余的电能足以达到应急制动性能。</w:t>
      </w:r>
    </w:p>
    <w:p>
      <w:pPr>
        <w:pStyle w:val="100"/>
        <w:spacing w:before="0" w:beforeLines="0" w:after="0" w:afterLines="0"/>
        <w:rPr>
          <w:rFonts w:ascii="宋体" w:hAnsi="宋体" w:eastAsia="宋体" w:cs="黑体"/>
          <w:color w:val="auto"/>
          <w:highlight w:val="none"/>
        </w:rPr>
      </w:pPr>
      <w:r>
        <w:rPr>
          <w:rFonts w:hint="eastAsia" w:ascii="宋体" w:hAnsi="宋体" w:eastAsia="宋体" w:cs="黑体"/>
          <w:color w:val="auto"/>
          <w:highlight w:val="none"/>
        </w:rPr>
        <w:t>如辅助设备或驻车制动系统的电能来自行车制动系统电控传输的储能装置，</w:t>
      </w:r>
      <w:r>
        <w:rPr>
          <w:rFonts w:hint="eastAsia" w:ascii="宋体" w:hAnsi="宋体" w:eastAsia="宋体" w:cs="黑体"/>
          <w:color w:val="auto"/>
          <w:highlight w:val="none"/>
          <w:lang w:val="en-US" w:eastAsia="zh-CN"/>
        </w:rPr>
        <w:t>按照下列步骤进行</w:t>
      </w:r>
      <w:r>
        <w:rPr>
          <w:rFonts w:hint="eastAsia" w:ascii="宋体" w:hAnsi="宋体" w:eastAsia="宋体" w:cs="黑体"/>
          <w:color w:val="auto"/>
          <w:highlight w:val="none"/>
        </w:rPr>
        <w:t>检查：</w:t>
      </w:r>
    </w:p>
    <w:p>
      <w:pPr>
        <w:pStyle w:val="180"/>
        <w:numPr>
          <w:ilvl w:val="0"/>
          <w:numId w:val="60"/>
        </w:numPr>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动力装置转速维持电控传输的电能水平但不高于80%最大功率转速或制造商声明的工作状态；</w:t>
      </w:r>
    </w:p>
    <w:p>
      <w:pPr>
        <w:pStyle w:val="180"/>
        <w:numPr>
          <w:ilvl w:val="0"/>
          <w:numId w:val="60"/>
        </w:numPr>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打开开关，使所有辅助设备工作；</w:t>
      </w:r>
    </w:p>
    <w:p>
      <w:pPr>
        <w:pStyle w:val="180"/>
        <w:numPr>
          <w:ilvl w:val="0"/>
          <w:numId w:val="60"/>
        </w:numPr>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rPr>
        <w:t>连接电压测量装置，记录动力装置运转和辅助设备工作时的储能装置电压</w:t>
      </w:r>
      <w:r>
        <w:rPr>
          <w:rFonts w:hint="eastAsia" w:ascii="宋体" w:hAnsi="Times New Roman" w:eastAsia="宋体" w:cs="Times New Roman"/>
          <w:color w:val="auto"/>
          <w:highlight w:val="none"/>
          <w:lang w:eastAsia="zh-CN"/>
        </w:rPr>
        <w:t>；</w:t>
      </w:r>
    </w:p>
    <w:p>
      <w:pPr>
        <w:pStyle w:val="180"/>
        <w:numPr>
          <w:ilvl w:val="0"/>
          <w:numId w:val="60"/>
        </w:numPr>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通过连接外部电源或放电等方式，将储能装置的电压稳定在该水平，并进行0型试验，通过动态试验验证在该电压水平下仍能达到规定的行车制动性能；</w:t>
      </w:r>
    </w:p>
    <w:p>
      <w:pPr>
        <w:pStyle w:val="180"/>
        <w:numPr>
          <w:ilvl w:val="-1"/>
          <w:numId w:val="0"/>
        </w:numPr>
        <w:ind w:left="0"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储能装置放电以后，进行</w:t>
      </w:r>
      <w:r>
        <w:rPr>
          <w:rFonts w:hint="eastAsia" w:hAnsi="Times New Roman" w:cs="Times New Roman"/>
          <w:color w:val="auto"/>
          <w:highlight w:val="none"/>
          <w:lang w:val="en-US" w:eastAsia="zh-CN"/>
        </w:rPr>
        <w:t>上述</w:t>
      </w:r>
      <w:r>
        <w:rPr>
          <w:rFonts w:hint="eastAsia" w:ascii="宋体" w:hAnsi="Times New Roman" w:eastAsia="宋体" w:cs="Times New Roman"/>
          <w:color w:val="auto"/>
          <w:highlight w:val="none"/>
        </w:rPr>
        <w:t>动态试验</w:t>
      </w:r>
      <w:r>
        <w:rPr>
          <w:rFonts w:hint="eastAsia" w:ascii="宋体" w:hAnsi="Times New Roman" w:eastAsia="宋体" w:cs="Times New Roman"/>
          <w:color w:val="auto"/>
          <w:highlight w:val="none"/>
          <w:lang w:val="en-US" w:eastAsia="zh-CN"/>
        </w:rPr>
        <w:t>或通过计算</w:t>
      </w:r>
      <w:r>
        <w:rPr>
          <w:rFonts w:hint="eastAsia" w:ascii="宋体" w:hAnsi="Times New Roman" w:eastAsia="宋体" w:cs="Times New Roman"/>
          <w:color w:val="auto"/>
          <w:highlight w:val="none"/>
        </w:rPr>
        <w:t>来验证在不使用电能的情况下仍能达到规定的减速度</w:t>
      </w:r>
      <w:r>
        <w:rPr>
          <w:rFonts w:hint="eastAsia" w:ascii="宋体" w:hAnsi="Times New Roman" w:eastAsia="宋体" w:cs="Times New Roman"/>
          <w:color w:val="auto"/>
          <w:highlight w:val="none"/>
          <w:lang w:eastAsia="zh-CN"/>
        </w:rPr>
        <w:t>。</w:t>
      </w:r>
    </w:p>
    <w:p>
      <w:pPr>
        <w:pStyle w:val="100"/>
        <w:spacing w:before="0" w:beforeLines="0" w:after="0" w:afterLines="0"/>
        <w:rPr>
          <w:rFonts w:ascii="宋体" w:hAnsi="宋体" w:eastAsia="宋体" w:cs="黑体"/>
          <w:color w:val="auto"/>
          <w:highlight w:val="none"/>
        </w:rPr>
      </w:pPr>
      <w:r>
        <w:rPr>
          <w:rFonts w:hint="eastAsia" w:ascii="宋体" w:hAnsi="宋体" w:eastAsia="宋体" w:cs="黑体"/>
          <w:color w:val="auto"/>
          <w:highlight w:val="none"/>
        </w:rPr>
        <w:t>如辅助设备的电能来自行车制动电控传输的储能装置，应在车辆静止、动力装置运转但储能装置不充电的情况下，检查确认车辆处于驻车制动状态，采用行车制动进行全行程制动，确认制动灯保持指示状态且相关灯具在制动期间都正常工作。</w:t>
      </w:r>
    </w:p>
    <w:p>
      <w:pPr>
        <w:pStyle w:val="71"/>
        <w:spacing w:before="156" w:after="156"/>
        <w:rPr>
          <w:color w:val="auto"/>
          <w:highlight w:val="none"/>
        </w:rPr>
      </w:pPr>
      <w:bookmarkStart w:id="191" w:name="_Toc72156219"/>
      <w:bookmarkEnd w:id="191"/>
      <w:bookmarkStart w:id="192" w:name="_Toc118580316"/>
      <w:r>
        <w:rPr>
          <w:rFonts w:hint="eastAsia" w:hAnsi="黑体"/>
          <w:color w:val="auto"/>
          <w:highlight w:val="none"/>
        </w:rPr>
        <w:t>液压传输制动系统的储液罐</w:t>
      </w:r>
      <w:r>
        <w:rPr>
          <w:rFonts w:hint="eastAsia"/>
          <w:color w:val="auto"/>
          <w:highlight w:val="none"/>
        </w:rPr>
        <w:t>/主缸检查</w:t>
      </w:r>
      <w:bookmarkEnd w:id="192"/>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确认储液罐易于接近，通过采用透明材料、安装低液面指示器或其他方式实现在不打开储液罐的情况下对液面进行检查。如采用透明材料，确认所有颜色的液体都清晰可见。</w:t>
      </w:r>
    </w:p>
    <w:p>
      <w:pPr>
        <w:pStyle w:val="100"/>
        <w:spacing w:before="0" w:beforeLines="0" w:after="0" w:afterLines="0"/>
        <w:rPr>
          <w:rFonts w:ascii="宋体" w:hAnsi="宋体" w:eastAsia="宋体"/>
          <w:color w:val="auto"/>
          <w:highlight w:val="none"/>
        </w:rPr>
      </w:pPr>
      <w:r>
        <w:rPr>
          <w:rFonts w:ascii="宋体" w:hAnsi="宋体" w:eastAsia="宋体"/>
          <w:color w:val="auto"/>
          <w:highlight w:val="none"/>
        </w:rPr>
        <w:t>确认车辆装备在液压传输失效或储液罐液面低于规定水平时向</w:t>
      </w:r>
      <w:r>
        <w:rPr>
          <w:rFonts w:hint="eastAsia" w:ascii="宋体" w:hAnsi="宋体" w:eastAsia="宋体"/>
          <w:color w:val="auto"/>
          <w:highlight w:val="none"/>
          <w:lang w:eastAsia="zh-CN"/>
        </w:rPr>
        <w:t>驾驶人</w:t>
      </w:r>
      <w:r>
        <w:rPr>
          <w:rFonts w:ascii="宋体" w:hAnsi="宋体" w:eastAsia="宋体"/>
          <w:color w:val="auto"/>
          <w:highlight w:val="none"/>
        </w:rPr>
        <w:t>指示的红色报警信号，检查</w:t>
      </w:r>
      <w:r>
        <w:rPr>
          <w:rFonts w:hint="eastAsia" w:ascii="宋体" w:hAnsi="宋体" w:eastAsia="宋体"/>
          <w:color w:val="auto"/>
          <w:highlight w:val="none"/>
        </w:rPr>
        <w:t>确认</w:t>
      </w:r>
      <w:r>
        <w:rPr>
          <w:rFonts w:ascii="宋体" w:hAnsi="宋体" w:eastAsia="宋体"/>
          <w:color w:val="auto"/>
          <w:highlight w:val="none"/>
        </w:rPr>
        <w:t>报警信号即使在白天也清晰可见，</w:t>
      </w:r>
      <w:r>
        <w:rPr>
          <w:rFonts w:hint="eastAsia" w:ascii="宋体" w:hAnsi="宋体" w:eastAsia="宋体"/>
          <w:color w:val="auto"/>
          <w:highlight w:val="none"/>
        </w:rPr>
        <w:t>且</w:t>
      </w:r>
      <w:r>
        <w:rPr>
          <w:rFonts w:ascii="宋体" w:hAnsi="宋体" w:eastAsia="宋体"/>
          <w:color w:val="auto"/>
          <w:highlight w:val="none"/>
        </w:rPr>
        <w:t>便于在驾驶位置对报警信号的工作状态进行检查。此外，还应确认车辆在驻车状态下，具有针对上述失效的报警信号，可采用同一个报警信号。</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为对工作状态进行检查，模拟行车制动失效和制动液泄漏，确认报警信号最迟在制动踏板作用时指示，检查报警装置的零部件发生失效不会导致制动性能的完全丧失，只要失效存在且点火(起动</w:t>
      </w:r>
      <w:r>
        <w:rPr>
          <w:rFonts w:ascii="宋体" w:hAnsi="宋体" w:eastAsia="宋体"/>
          <w:color w:val="auto"/>
          <w:highlight w:val="none"/>
        </w:rPr>
        <w:t>)</w:t>
      </w:r>
      <w:r>
        <w:rPr>
          <w:rFonts w:hint="eastAsia" w:ascii="宋体" w:hAnsi="宋体" w:eastAsia="宋体"/>
          <w:color w:val="auto"/>
          <w:highlight w:val="none"/>
        </w:rPr>
        <w:t>开关处于“ON”（“RUN”）位置上，报警装置将一直点亮。不同报警装置的检查方法如下：</w:t>
      </w:r>
    </w:p>
    <w:p>
      <w:pPr>
        <w:pStyle w:val="180"/>
        <w:numPr>
          <w:ilvl w:val="0"/>
          <w:numId w:val="61"/>
        </w:numPr>
        <w:rPr>
          <w:color w:val="auto"/>
          <w:highlight w:val="none"/>
        </w:rPr>
      </w:pPr>
      <w:r>
        <w:rPr>
          <w:rFonts w:hint="eastAsia"/>
          <w:color w:val="auto"/>
          <w:highlight w:val="none"/>
        </w:rPr>
        <w:t>对压差报警装置，在主缸的两个出口各连接一个压力表/</w:t>
      </w:r>
      <w:r>
        <w:rPr>
          <w:rFonts w:hint="eastAsia"/>
          <w:color w:val="auto"/>
          <w:highlight w:val="none"/>
          <w:lang w:val="en-US" w:eastAsia="zh-CN"/>
        </w:rPr>
        <w:t>压力</w:t>
      </w:r>
      <w:r>
        <w:rPr>
          <w:rFonts w:hint="eastAsia"/>
          <w:color w:val="auto"/>
          <w:highlight w:val="none"/>
        </w:rPr>
        <w:t>传感器（一个在主制动回路，另一个在应急制动回路）。模拟行车制动的一条回路失效，记录报警信号点亮时两个出口的压差,确认压差不超过1.55</w:t>
      </w:r>
      <w:r>
        <w:rPr>
          <w:rFonts w:hint="eastAsia"/>
          <w:color w:val="auto"/>
          <w:highlight w:val="none"/>
          <w:lang w:val="en-US" w:eastAsia="zh-CN"/>
        </w:rPr>
        <w:t> </w:t>
      </w:r>
      <w:r>
        <w:rPr>
          <w:rFonts w:hint="eastAsia"/>
          <w:color w:val="auto"/>
          <w:sz w:val="20"/>
          <w:highlight w:val="none"/>
        </w:rPr>
        <w:t>MPa</w:t>
      </w:r>
      <w:r>
        <w:rPr>
          <w:rFonts w:hint="eastAsia"/>
          <w:color w:val="auto"/>
          <w:highlight w:val="none"/>
        </w:rPr>
        <w:t>。模拟另一条回路失效，重复该过程。</w:t>
      </w:r>
    </w:p>
    <w:p>
      <w:pPr>
        <w:pStyle w:val="180"/>
        <w:numPr>
          <w:ilvl w:val="0"/>
          <w:numId w:val="61"/>
        </w:numPr>
        <w:rPr>
          <w:color w:val="auto"/>
          <w:highlight w:val="none"/>
        </w:rPr>
      </w:pPr>
      <w:r>
        <w:rPr>
          <w:color w:val="auto"/>
          <w:highlight w:val="none"/>
        </w:rPr>
        <w:t>对液面报警装置，确认报警信号在储液罐的任一部分液面下降至制造商规定的水平时予以指示。</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如未安装液面指示器，对储液罐的最低容量进行</w:t>
      </w:r>
      <w:r>
        <w:rPr>
          <w:rFonts w:hint="eastAsia" w:ascii="宋体" w:hAnsi="宋体" w:eastAsia="宋体"/>
          <w:color w:val="auto"/>
          <w:highlight w:val="none"/>
          <w:lang w:val="en-US" w:eastAsia="zh-CN"/>
        </w:rPr>
        <w:t>如下</w:t>
      </w:r>
      <w:r>
        <w:rPr>
          <w:rFonts w:hint="eastAsia" w:ascii="宋体" w:hAnsi="宋体" w:eastAsia="宋体"/>
          <w:color w:val="auto"/>
          <w:highlight w:val="none"/>
        </w:rPr>
        <w:t>检查：</w:t>
      </w:r>
    </w:p>
    <w:p>
      <w:pPr>
        <w:pStyle w:val="180"/>
        <w:numPr>
          <w:ilvl w:val="0"/>
          <w:numId w:val="62"/>
        </w:numPr>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使车辆处于水平路面，确认制动液面恰好位于储液罐一侧指示的最高水平；</w:t>
      </w:r>
    </w:p>
    <w:p>
      <w:pPr>
        <w:pStyle w:val="180"/>
        <w:numPr>
          <w:ilvl w:val="0"/>
          <w:numId w:val="62"/>
        </w:numPr>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抽取制动液，直至液面恰好盖住主缸输入口；</w:t>
      </w:r>
    </w:p>
    <w:p>
      <w:pPr>
        <w:pStyle w:val="180"/>
        <w:numPr>
          <w:ilvl w:val="0"/>
          <w:numId w:val="62"/>
        </w:numPr>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测量抽取的液体体积，检查其等于或大于计算得出的储液罐的最低总容量。</w:t>
      </w:r>
    </w:p>
    <w:p>
      <w:pPr>
        <w:pStyle w:val="100"/>
        <w:numPr>
          <w:ilvl w:val="-1"/>
          <w:numId w:val="0"/>
        </w:numPr>
        <w:spacing w:before="0" w:beforeLines="0" w:after="0" w:afterLines="0"/>
        <w:rPr>
          <w:rFonts w:ascii="宋体" w:hAnsi="宋体" w:eastAsia="宋体"/>
          <w:color w:val="auto"/>
          <w:highlight w:val="none"/>
        </w:rPr>
      </w:pPr>
      <w:r>
        <w:rPr>
          <w:rFonts w:hint="eastAsia" w:ascii="宋体" w:hAnsi="宋体" w:eastAsia="宋体"/>
          <w:color w:val="auto"/>
          <w:highlight w:val="none"/>
        </w:rPr>
        <w:t>不同制动器类型的检查方法如下：</w:t>
      </w:r>
    </w:p>
    <w:p>
      <w:pPr>
        <w:pStyle w:val="180"/>
        <w:numPr>
          <w:ilvl w:val="0"/>
          <w:numId w:val="63"/>
        </w:numPr>
        <w:rPr>
          <w:color w:val="auto"/>
          <w:highlight w:val="none"/>
        </w:rPr>
      </w:pPr>
      <w:r>
        <w:rPr>
          <w:rFonts w:hint="eastAsia"/>
          <w:color w:val="auto"/>
          <w:highlight w:val="none"/>
        </w:rPr>
        <w:t>对采用盘式制动器的车轴，最大排液量</w:t>
      </w:r>
      <m:oMath>
        <m:sSub>
          <m:sSubPr>
            <m:ctrlPr>
              <w:rPr>
                <w:rFonts w:hint="eastAsia" w:ascii="Cambria Math" w:hAnsi="Cambria Math"/>
                <w:color w:val="auto"/>
                <w:highlight w:val="none"/>
                <w:lang w:val="en-US"/>
              </w:rPr>
            </m:ctrlPr>
          </m:sSubPr>
          <m:e>
            <m:r>
              <m:rPr>
                <m:sty m:val="p"/>
              </m:rPr>
              <w:rPr>
                <w:rFonts w:hint="eastAsia" w:ascii="Cambria Math" w:hAnsi="Cambria Math"/>
                <w:color w:val="auto"/>
                <w:highlight w:val="none"/>
                <w:lang w:val="en-US"/>
              </w:rPr>
              <m:t>V</m:t>
            </m:r>
            <m:ctrlPr>
              <w:rPr>
                <w:rFonts w:hint="eastAsia" w:ascii="Cambria Math" w:hAnsi="Cambria Math"/>
                <w:color w:val="auto"/>
                <w:highlight w:val="none"/>
                <w:lang w:val="en-US"/>
              </w:rPr>
            </m:ctrlPr>
          </m:e>
          <m:sub>
            <m:r>
              <m:rPr>
                <m:sty m:val="p"/>
              </m:rPr>
              <w:rPr>
                <w:rFonts w:hint="eastAsia" w:ascii="Cambria Math" w:hAnsi="Cambria Math"/>
                <w:color w:val="auto"/>
                <w:highlight w:val="none"/>
                <w:lang w:val="en-US"/>
              </w:rPr>
              <m:t>Liq</m:t>
            </m:r>
            <m:ctrlPr>
              <w:rPr>
                <w:rFonts w:hint="eastAsia" w:ascii="Cambria Math" w:hAnsi="Cambria Math"/>
                <w:color w:val="auto"/>
                <w:highlight w:val="none"/>
                <w:lang w:val="en-US"/>
              </w:rPr>
            </m:ctrlPr>
          </m:sub>
        </m:sSub>
      </m:oMath>
      <w:r>
        <w:rPr>
          <w:rFonts w:hint="eastAsia"/>
          <w:color w:val="auto"/>
          <w:highlight w:val="none"/>
          <w:vertAlign w:val="baseline"/>
          <w:lang w:val="en-US" w:eastAsia="zh-CN"/>
        </w:rPr>
        <w:t>按照公式（18）计算：</w:t>
      </w:r>
    </w:p>
    <w:p>
      <w:pPr>
        <w:pStyle w:val="180"/>
        <w:numPr>
          <w:ilvl w:val="-1"/>
          <w:numId w:val="0"/>
        </w:numPr>
        <w:tabs>
          <w:tab w:val="center" w:pos="4725"/>
          <w:tab w:val="right" w:leader="dot" w:pos="9450"/>
          <w:tab w:val="clear" w:pos="851"/>
        </w:tabs>
        <w:ind w:left="425" w:firstLine="0"/>
        <w:rPr>
          <w:rFonts w:hint="eastAsia" w:hAnsi="Cambria Math"/>
          <w:i w:val="0"/>
          <w:color w:val="auto"/>
          <w:highlight w:val="none"/>
          <w:vertAlign w:val="baseline"/>
          <w:lang w:val="en-US" w:eastAsia="zh-CN"/>
        </w:rPr>
      </w:pPr>
      <w:r>
        <w:rPr>
          <w:rFonts w:hint="eastAsia" w:hAnsi="Cambria Math"/>
          <w:i w:val="0"/>
          <w:color w:val="auto"/>
          <w:highlight w:val="none"/>
          <w:lang w:val="en-US" w:eastAsia="zh-CN"/>
        </w:rPr>
        <w:tab/>
      </w:r>
      <m:oMath>
        <m:sSub>
          <m:sSubPr>
            <m:ctrlPr>
              <w:rPr>
                <w:rFonts w:hint="eastAsia"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V</m:t>
            </m:r>
            <m:ctrlPr>
              <w:rPr>
                <w:rFonts w:hint="eastAsia" w:ascii="Cambria Math" w:hAnsi="Cambria Math"/>
                <w:i/>
                <w:iCs/>
                <w:color w:val="auto"/>
                <w:highlight w:val="none"/>
                <w:lang w:val="en-US" w:eastAsia="zh-CN"/>
              </w:rPr>
            </m:ctrlPr>
          </m:e>
          <m:sub>
            <m:r>
              <m:rPr/>
              <w:rPr>
                <w:rFonts w:hint="default" w:ascii="Cambria Math" w:hAnsi="Cambria Math"/>
                <w:color w:val="auto"/>
                <w:highlight w:val="none"/>
                <w:lang w:val="en-US" w:eastAsia="zh-CN"/>
              </w:rPr>
              <m:t>Liq</m:t>
            </m:r>
            <m:ctrlPr>
              <w:rPr>
                <w:rFonts w:hint="eastAsia" w:ascii="Cambria Math" w:hAnsi="Cambria Math"/>
                <w:i/>
                <w:iCs/>
                <w:color w:val="auto"/>
                <w:highlight w:val="none"/>
                <w:lang w:val="en-US" w:eastAsia="zh-CN"/>
              </w:rPr>
            </m:ctrlPr>
          </m:sub>
        </m:sSub>
        <m:r>
          <m:rPr/>
          <w:rPr>
            <w:rFonts w:hint="eastAsia" w:ascii="Cambria Math" w:hAnsi="Cambria Math"/>
            <w:color w:val="auto"/>
            <w:highlight w:val="none"/>
            <w:lang w:val="en-US" w:eastAsia="zh-CN"/>
          </w:rPr>
          <m:t>=</m:t>
        </m:r>
        <m:d>
          <m:dPr>
            <m:ctrlPr>
              <w:rPr>
                <w:rFonts w:hint="eastAsia" w:ascii="Cambria Math" w:hAnsi="Cambria Math"/>
                <w:i/>
                <w:iCs/>
                <w:color w:val="auto"/>
                <w:highlight w:val="none"/>
                <w:lang w:val="en-US" w:eastAsia="zh-CN"/>
              </w:rPr>
            </m:ctrlPr>
          </m:dPr>
          <m:e>
            <m:r>
              <m:rPr/>
              <w:rPr>
                <w:rFonts w:hint="eastAsia" w:ascii="Cambria Math" w:hAnsi="Cambria Math"/>
                <w:color w:val="auto"/>
                <w:highlight w:val="none"/>
                <w:lang w:val="en-US" w:eastAsia="zh-CN"/>
              </w:rPr>
              <m:t>Δ</m:t>
            </m:r>
            <m:r>
              <m:rPr/>
              <w:rPr>
                <w:rFonts w:hint="default" w:ascii="Cambria Math" w:hAnsi="Cambria Math"/>
                <w:color w:val="auto"/>
                <w:highlight w:val="none"/>
                <w:lang w:val="en-US" w:eastAsia="zh-CN"/>
              </w:rPr>
              <m:t>d+</m:t>
            </m:r>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d</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all</m:t>
                </m:r>
                <m:ctrlPr>
                  <w:rPr>
                    <w:rFonts w:hint="default" w:ascii="Cambria Math" w:hAnsi="Cambria Math"/>
                    <w:i/>
                    <w:iCs/>
                    <w:color w:val="auto"/>
                    <w:highlight w:val="none"/>
                    <w:lang w:val="en-US" w:eastAsia="zh-CN"/>
                  </w:rPr>
                </m:ctrlPr>
              </m:sub>
            </m:sSub>
            <m:ctrlPr>
              <w:rPr>
                <w:rFonts w:hint="eastAsia" w:ascii="Cambria Math" w:hAnsi="Cambria Math"/>
                <w:i/>
                <w:iCs/>
                <w:color w:val="auto"/>
                <w:highlight w:val="none"/>
                <w:lang w:val="en-US" w:eastAsia="zh-CN"/>
              </w:rPr>
            </m:ctrlPr>
          </m:e>
        </m:d>
        <m:r>
          <m:rPr/>
          <w:rPr>
            <w:rFonts w:ascii="Cambria Math" w:hAnsi="Cambria Math"/>
            <w:color w:val="auto"/>
            <w:highlight w:val="none"/>
            <w:lang w:val="en-US"/>
          </w:rPr>
          <m:t>×</m:t>
        </m:r>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S</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Pis</m:t>
            </m:r>
            <m:ctrlPr>
              <w:rPr>
                <w:rFonts w:hint="default" w:ascii="Cambria Math" w:hAnsi="Cambria Math"/>
                <w:i/>
                <w:iCs/>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n</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cyl</m:t>
            </m:r>
            <m:ctrlPr>
              <w:rPr>
                <w:rFonts w:hint="default" w:ascii="Cambria Math" w:hAnsi="Cambria Math"/>
                <w:i/>
                <w:iCs/>
                <w:color w:val="auto"/>
                <w:highlight w:val="none"/>
                <w:lang w:val="en-US" w:eastAsia="zh-CN"/>
              </w:rPr>
            </m:ctrlPr>
          </m:sub>
        </m:sSub>
      </m:oMath>
      <w:r>
        <w:rPr>
          <w:rFonts w:hint="eastAsia" w:hAnsi="Cambria Math"/>
          <w:i w:val="0"/>
          <w:color w:val="auto"/>
          <w:highlight w:val="none"/>
          <w:vertAlign w:val="baseline"/>
          <w:lang w:val="en-US" w:eastAsia="zh-CN"/>
        </w:rPr>
        <w:tab/>
      </w:r>
      <w:r>
        <w:rPr>
          <w:rFonts w:hint="eastAsia" w:hAnsi="Cambria Math"/>
          <w:i w:val="0"/>
          <w:color w:val="auto"/>
          <w:highlight w:val="none"/>
          <w:vertAlign w:val="baseline"/>
          <w:lang w:val="en-US" w:eastAsia="zh-CN"/>
        </w:rPr>
        <w:t>（18）</w:t>
      </w:r>
    </w:p>
    <w:p>
      <w:pPr>
        <w:pStyle w:val="180"/>
        <w:numPr>
          <w:ilvl w:val="-1"/>
          <w:numId w:val="0"/>
        </w:numPr>
        <w:tabs>
          <w:tab w:val="center" w:pos="4725"/>
          <w:tab w:val="right" w:leader="dot" w:pos="9450"/>
          <w:tab w:val="clear" w:pos="851"/>
        </w:tabs>
        <w:ind w:left="425" w:firstLine="420" w:firstLineChars="200"/>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式中：</w:t>
      </w:r>
    </w:p>
    <w:p>
      <w:pPr>
        <w:pStyle w:val="180"/>
        <w:numPr>
          <w:ilvl w:val="-1"/>
          <w:numId w:val="0"/>
        </w:numPr>
        <w:tabs>
          <w:tab w:val="center" w:pos="4725"/>
          <w:tab w:val="right" w:leader="dot" w:pos="9450"/>
          <w:tab w:val="clear" w:pos="851"/>
        </w:tabs>
        <w:ind w:left="425" w:firstLine="420" w:firstLineChars="200"/>
        <w:rPr>
          <w:rFonts w:hint="eastAsia"/>
          <w:color w:val="auto"/>
          <w:highlight w:val="none"/>
          <w:lang w:val="en-US" w:eastAsia="zh-CN"/>
        </w:rPr>
      </w:pPr>
      <m:oMath>
        <m:sSub>
          <m:sSubPr>
            <m:ctrlPr>
              <w:rPr>
                <w:rFonts w:hint="eastAsia" w:ascii="Cambria Math" w:hAnsi="Cambria Math"/>
                <w:i w:val="0"/>
                <w:color w:val="auto"/>
                <w:highlight w:val="none"/>
                <w:lang w:val="en-US" w:eastAsia="zh-CN"/>
              </w:rPr>
            </m:ctrlPr>
          </m:sSubPr>
          <m:e>
            <m:r>
              <m:rPr>
                <m:sty m:val="p"/>
              </m:rPr>
              <w:rPr>
                <w:rFonts w:hint="eastAsia" w:ascii="Cambria Math" w:hAnsi="Cambria Math"/>
                <w:color w:val="auto"/>
                <w:highlight w:val="none"/>
                <w:lang w:val="en-US" w:eastAsia="zh-CN"/>
              </w:rPr>
              <m:t>d</m:t>
            </m:r>
            <m:ctrlPr>
              <w:rPr>
                <w:rFonts w:hint="eastAsia" w:ascii="Cambria Math" w:hAnsi="Cambria Math"/>
                <w:i w:val="0"/>
                <w:color w:val="auto"/>
                <w:highlight w:val="none"/>
                <w:lang w:val="en-US" w:eastAsia="zh-CN"/>
              </w:rPr>
            </m:ctrlPr>
          </m:e>
          <m:sub>
            <m:r>
              <m:rPr>
                <m:sty m:val="p"/>
              </m:rPr>
              <w:rPr>
                <w:rFonts w:hint="eastAsia" w:ascii="Cambria Math" w:hAnsi="Cambria Math"/>
                <w:color w:val="auto"/>
                <w:highlight w:val="none"/>
                <w:lang w:val="en-US" w:eastAsia="zh-CN"/>
              </w:rPr>
              <m:t>all</m:t>
            </m:r>
            <m:ctrlPr>
              <w:rPr>
                <w:rFonts w:hint="eastAsia" w:ascii="Cambria Math" w:hAnsi="Cambria Math"/>
                <w:i w:val="0"/>
                <w:color w:val="auto"/>
                <w:highlight w:val="none"/>
                <w:lang w:val="en-US" w:eastAsia="zh-CN"/>
              </w:rPr>
            </m:ctrlPr>
          </m:sub>
        </m:sSub>
      </m:oMath>
      <w:r>
        <w:rPr>
          <w:rFonts w:hint="eastAsia" w:hAnsi="Cambria Math"/>
          <w:i w:val="0"/>
          <w:color w:val="auto"/>
          <w:highlight w:val="none"/>
          <w:vertAlign w:val="baseline"/>
          <w:lang w:val="en-US" w:eastAsia="zh-CN"/>
        </w:rPr>
        <w:t xml:space="preserve">  ——</w:t>
      </w:r>
      <w:r>
        <w:rPr>
          <w:rFonts w:hint="eastAsia"/>
          <w:color w:val="auto"/>
          <w:highlight w:val="none"/>
        </w:rPr>
        <w:t>制动盘的最大许可磨损尺寸</w:t>
      </w:r>
      <w:r>
        <w:rPr>
          <w:rFonts w:hint="eastAsia"/>
          <w:color w:val="auto"/>
          <w:highlight w:val="none"/>
          <w:lang w:val="en-US" w:eastAsia="zh-CN"/>
        </w:rPr>
        <w:t>的数值</w:t>
      </w:r>
      <w:r>
        <w:rPr>
          <w:rFonts w:hint="eastAsia"/>
          <w:color w:val="auto"/>
          <w:highlight w:val="none"/>
          <w:lang w:eastAsia="zh-CN"/>
        </w:rPr>
        <w:t>，</w:t>
      </w:r>
      <w:r>
        <w:rPr>
          <w:rFonts w:hint="eastAsia"/>
          <w:color w:val="auto"/>
          <w:highlight w:val="none"/>
          <w:lang w:val="en-US" w:eastAsia="zh-CN"/>
        </w:rPr>
        <w:t>单位为米（m）；</w:t>
      </w:r>
    </w:p>
    <w:p>
      <w:pPr>
        <w:pStyle w:val="180"/>
        <w:numPr>
          <w:ilvl w:val="-1"/>
          <w:numId w:val="0"/>
        </w:numPr>
        <w:tabs>
          <w:tab w:val="center" w:pos="4725"/>
          <w:tab w:val="right" w:leader="dot" w:pos="9450"/>
          <w:tab w:val="clear" w:pos="851"/>
        </w:tabs>
        <w:ind w:left="425" w:firstLine="420" w:firstLineChars="200"/>
        <w:rPr>
          <w:rFonts w:hint="eastAsia"/>
          <w:color w:val="auto"/>
          <w:highlight w:val="none"/>
          <w:lang w:val="en-US" w:eastAsia="zh-CN"/>
        </w:rPr>
      </w:pPr>
      <m:oMath>
        <m:sSub>
          <m:sSubPr>
            <m:ctrlPr>
              <w:rPr>
                <w:rFonts w:hint="eastAsia" w:ascii="Cambria Math" w:hAnsi="Cambria Math"/>
                <w:i w:val="0"/>
                <w:color w:val="auto"/>
                <w:highlight w:val="none"/>
                <w:vertAlign w:val="baseline"/>
                <w:lang w:val="en-US" w:eastAsia="zh-CN"/>
              </w:rPr>
            </m:ctrlPr>
          </m:sSubPr>
          <m:e>
            <m:r>
              <m:rPr>
                <m:sty m:val="p"/>
              </m:rPr>
              <w:rPr>
                <w:rFonts w:hint="eastAsia" w:ascii="Cambria Math" w:hAnsi="Cambria Math"/>
                <w:color w:val="auto"/>
                <w:highlight w:val="none"/>
                <w:vertAlign w:val="baseline"/>
                <w:lang w:val="en-US" w:eastAsia="zh-CN"/>
              </w:rPr>
              <m:t>S</m:t>
            </m:r>
            <m:ctrlPr>
              <w:rPr>
                <w:rFonts w:hint="eastAsia" w:ascii="Cambria Math" w:hAnsi="Cambria Math"/>
                <w:i w:val="0"/>
                <w:color w:val="auto"/>
                <w:highlight w:val="none"/>
                <w:vertAlign w:val="baseline"/>
                <w:lang w:val="en-US" w:eastAsia="zh-CN"/>
              </w:rPr>
            </m:ctrlPr>
          </m:e>
          <m:sub>
            <m:r>
              <m:rPr>
                <m:sty m:val="p"/>
              </m:rPr>
              <w:rPr>
                <w:rFonts w:hint="eastAsia" w:ascii="Cambria Math" w:hAnsi="Cambria Math"/>
                <w:color w:val="auto"/>
                <w:highlight w:val="none"/>
                <w:vertAlign w:val="baseline"/>
                <w:lang w:val="en-US" w:eastAsia="zh-CN"/>
              </w:rPr>
              <m:t>Pis</m:t>
            </m:r>
            <m:ctrlPr>
              <w:rPr>
                <w:rFonts w:hint="eastAsia" w:ascii="Cambria Math" w:hAnsi="Cambria Math"/>
                <w:i w:val="0"/>
                <w:color w:val="auto"/>
                <w:highlight w:val="none"/>
                <w:vertAlign w:val="baseline"/>
                <w:lang w:val="en-US" w:eastAsia="zh-CN"/>
              </w:rPr>
            </m:ctrlPr>
          </m:sub>
        </m:sSub>
      </m:oMath>
      <w:r>
        <w:rPr>
          <w:rFonts w:hint="eastAsia" w:hAnsi="Cambria Math"/>
          <w:i w:val="0"/>
          <w:color w:val="auto"/>
          <w:highlight w:val="none"/>
          <w:vertAlign w:val="baseline"/>
          <w:lang w:val="en-US" w:eastAsia="zh-CN"/>
        </w:rPr>
        <w:t xml:space="preserve">  ——</w:t>
      </w:r>
      <w:r>
        <w:rPr>
          <w:rFonts w:hint="eastAsia"/>
          <w:color w:val="auto"/>
          <w:highlight w:val="none"/>
        </w:rPr>
        <w:t>支架一侧的活塞总面积</w:t>
      </w:r>
      <w:r>
        <w:rPr>
          <w:rFonts w:hint="eastAsia"/>
          <w:color w:val="auto"/>
          <w:highlight w:val="none"/>
          <w:lang w:val="en-US" w:eastAsia="zh-CN"/>
        </w:rPr>
        <w:t>的数值</w:t>
      </w:r>
      <w:r>
        <w:rPr>
          <w:rFonts w:hint="eastAsia"/>
          <w:color w:val="auto"/>
          <w:highlight w:val="none"/>
          <w:lang w:eastAsia="zh-CN"/>
        </w:rPr>
        <w:t>，</w:t>
      </w:r>
      <w:r>
        <w:rPr>
          <w:rFonts w:hint="eastAsia"/>
          <w:color w:val="auto"/>
          <w:highlight w:val="none"/>
          <w:lang w:val="en-US" w:eastAsia="zh-CN"/>
        </w:rPr>
        <w:t>单位为平方米（m</w:t>
      </w:r>
      <w:r>
        <w:rPr>
          <w:rFonts w:hint="eastAsia"/>
          <w:color w:val="auto"/>
          <w:highlight w:val="none"/>
          <w:vertAlign w:val="superscript"/>
          <w:lang w:val="en-US" w:eastAsia="zh-CN"/>
        </w:rPr>
        <w:t>2</w:t>
      </w:r>
      <w:r>
        <w:rPr>
          <w:rFonts w:hint="eastAsia"/>
          <w:color w:val="auto"/>
          <w:highlight w:val="none"/>
          <w:lang w:val="en-US" w:eastAsia="zh-CN"/>
        </w:rPr>
        <w:t>）；</w:t>
      </w:r>
    </w:p>
    <w:p>
      <w:pPr>
        <w:pStyle w:val="180"/>
        <w:numPr>
          <w:ilvl w:val="-1"/>
          <w:numId w:val="0"/>
        </w:numPr>
        <w:tabs>
          <w:tab w:val="center" w:pos="4725"/>
          <w:tab w:val="right" w:leader="dot" w:pos="9450"/>
          <w:tab w:val="clear" w:pos="851"/>
        </w:tabs>
        <w:ind w:left="425" w:firstLine="420" w:firstLineChars="200"/>
        <w:rPr>
          <w:rFonts w:hint="eastAsia" w:eastAsia="宋体"/>
          <w:color w:val="auto"/>
          <w:highlight w:val="none"/>
          <w:lang w:val="en-US" w:eastAsia="zh-CN"/>
        </w:rPr>
      </w:pPr>
      <m:oMath>
        <m:sSub>
          <m:sSubPr>
            <m:ctrlPr>
              <w:rPr>
                <w:rFonts w:hint="eastAsia" w:ascii="Cambria Math" w:hAnsi="Cambria Math"/>
                <w:i w:val="0"/>
                <w:color w:val="auto"/>
                <w:highlight w:val="none"/>
                <w:vertAlign w:val="baseline"/>
                <w:lang w:val="en-US" w:eastAsia="zh-CN"/>
              </w:rPr>
            </m:ctrlPr>
          </m:sSubPr>
          <m:e>
            <m:r>
              <m:rPr>
                <m:sty m:val="p"/>
              </m:rPr>
              <w:rPr>
                <w:rFonts w:hint="eastAsia" w:ascii="Cambria Math" w:hAnsi="Cambria Math"/>
                <w:color w:val="auto"/>
                <w:highlight w:val="none"/>
                <w:vertAlign w:val="baseline"/>
                <w:lang w:val="en-US" w:eastAsia="zh-CN"/>
              </w:rPr>
              <m:t>n</m:t>
            </m:r>
            <m:ctrlPr>
              <w:rPr>
                <w:rFonts w:hint="eastAsia" w:ascii="Cambria Math" w:hAnsi="Cambria Math"/>
                <w:i w:val="0"/>
                <w:color w:val="auto"/>
                <w:highlight w:val="none"/>
                <w:vertAlign w:val="baseline"/>
                <w:lang w:val="en-US" w:eastAsia="zh-CN"/>
              </w:rPr>
            </m:ctrlPr>
          </m:e>
          <m:sub>
            <m:r>
              <m:rPr>
                <m:sty m:val="p"/>
              </m:rPr>
              <w:rPr>
                <w:rFonts w:hint="eastAsia" w:ascii="Cambria Math" w:hAnsi="Cambria Math"/>
                <w:color w:val="auto"/>
                <w:highlight w:val="none"/>
                <w:vertAlign w:val="baseline"/>
                <w:lang w:val="en-US" w:eastAsia="zh-CN"/>
              </w:rPr>
              <m:t>cyl</m:t>
            </m:r>
            <m:ctrlPr>
              <w:rPr>
                <w:rFonts w:hint="eastAsia" w:ascii="Cambria Math" w:hAnsi="Cambria Math"/>
                <w:i w:val="0"/>
                <w:color w:val="auto"/>
                <w:highlight w:val="none"/>
                <w:vertAlign w:val="baseline"/>
                <w:lang w:val="en-US" w:eastAsia="zh-CN"/>
              </w:rPr>
            </m:ctrlPr>
          </m:sub>
        </m:sSub>
      </m:oMath>
      <w:r>
        <w:rPr>
          <w:rFonts w:hint="eastAsia" w:hAnsi="Cambria Math"/>
          <w:i w:val="0"/>
          <w:color w:val="auto"/>
          <w:highlight w:val="none"/>
          <w:vertAlign w:val="baseline"/>
          <w:lang w:val="en-US" w:eastAsia="zh-CN"/>
        </w:rPr>
        <w:t xml:space="preserve">  ——</w:t>
      </w:r>
      <w:r>
        <w:rPr>
          <w:rFonts w:hint="eastAsia"/>
          <w:color w:val="auto"/>
          <w:highlight w:val="none"/>
        </w:rPr>
        <w:t>轮缸数</w:t>
      </w:r>
      <w:r>
        <w:rPr>
          <w:rFonts w:hint="eastAsia"/>
          <w:color w:val="auto"/>
          <w:highlight w:val="none"/>
          <w:lang w:eastAsia="zh-CN"/>
        </w:rPr>
        <w:t>。</w:t>
      </w:r>
    </w:p>
    <w:p>
      <w:pPr>
        <w:pStyle w:val="180"/>
        <w:numPr>
          <w:ilvl w:val="0"/>
          <w:numId w:val="63"/>
        </w:numPr>
        <w:rPr>
          <w:color w:val="auto"/>
          <w:highlight w:val="none"/>
        </w:rPr>
      </w:pPr>
      <w:r>
        <w:rPr>
          <w:rFonts w:hint="eastAsia"/>
          <w:color w:val="auto"/>
          <w:highlight w:val="none"/>
        </w:rPr>
        <w:t>对采用鼓式制动器的车轴，</w:t>
      </w:r>
      <w:r>
        <w:rPr>
          <w:rFonts w:hint="eastAsia"/>
          <w:color w:val="auto"/>
          <w:highlight w:val="none"/>
          <w:lang w:val="en-US" w:eastAsia="zh-CN"/>
        </w:rPr>
        <w:t>按照公式（19）计算单根车轴的最大排液量，</w:t>
      </w:r>
      <w:r>
        <w:rPr>
          <w:rFonts w:hint="eastAsia"/>
          <w:color w:val="auto"/>
          <w:highlight w:val="none"/>
        </w:rPr>
        <w:t>，根据两根车轴的最大排液量计算储液罐的最低总容量。</w:t>
      </w:r>
    </w:p>
    <w:p>
      <w:pPr>
        <w:pStyle w:val="180"/>
        <w:numPr>
          <w:ilvl w:val="-1"/>
          <w:numId w:val="0"/>
        </w:numPr>
        <w:tabs>
          <w:tab w:val="center" w:pos="4725"/>
          <w:tab w:val="right" w:leader="dot" w:pos="9450"/>
          <w:tab w:val="clear" w:pos="851"/>
        </w:tabs>
        <w:ind w:left="425" w:firstLine="0"/>
        <w:rPr>
          <w:rFonts w:hint="eastAsia" w:hAnsi="Cambria Math"/>
          <w:i w:val="0"/>
          <w:color w:val="auto"/>
          <w:highlight w:val="none"/>
          <w:vertAlign w:val="baseline"/>
          <w:lang w:val="en-US" w:eastAsia="zh-CN"/>
        </w:rPr>
      </w:pPr>
      <w:r>
        <w:rPr>
          <w:rFonts w:hint="eastAsia" w:hAnsi="Cambria Math"/>
          <w:i w:val="0"/>
          <w:color w:val="auto"/>
          <w:highlight w:val="none"/>
          <w:lang w:val="en-US" w:eastAsia="zh-CN"/>
        </w:rPr>
        <w:tab/>
      </w:r>
      <m:oMath>
        <m:d>
          <m:dPr>
            <m:begChr m:val="{"/>
            <m:endChr m:val=""/>
            <m:ctrlPr>
              <w:rPr>
                <w:rFonts w:ascii="Cambria Math" w:hAnsi="Cambria Math"/>
                <w:i/>
                <w:color w:val="auto"/>
                <w:highlight w:val="none"/>
                <w:lang w:val="en-US"/>
              </w:rPr>
            </m:ctrlPr>
          </m:dPr>
          <m:e>
            <m:eqArr>
              <m:eqArrPr>
                <m:ctrlPr>
                  <w:rPr>
                    <w:rFonts w:ascii="Cambria Math" w:hAnsi="Cambria Math"/>
                    <w:i/>
                    <w:color w:val="auto"/>
                    <w:highlight w:val="none"/>
                    <w:lang w:val="en-US"/>
                  </w:rPr>
                </m:ctrlPr>
              </m:eqArrPr>
              <m:e>
                <m:r>
                  <m:rPr>
                    <m:sty m:val="p"/>
                  </m:rPr>
                  <w:rPr>
                    <w:rFonts w:ascii="Cambria Math" w:hAnsi="Cambria Math"/>
                    <w:color w:val="auto"/>
                    <w:highlight w:val="none"/>
                  </w:rPr>
                  <m:t>Δ</m:t>
                </m:r>
                <m:r>
                  <m:rPr/>
                  <w:rPr>
                    <w:rFonts w:hint="eastAsia" w:ascii="Cambria Math" w:hAnsi="Cambria Math"/>
                    <w:color w:val="auto"/>
                    <w:highlight w:val="none"/>
                  </w:rPr>
                  <m:t>x≈</m:t>
                </m:r>
                <m:f>
                  <m:fPr>
                    <m:ctrlPr>
                      <w:rPr>
                        <w:rFonts w:ascii="Cambria Math" w:hAnsi="Cambria Math"/>
                        <w:i/>
                        <w:color w:val="auto"/>
                        <w:highlight w:val="none"/>
                      </w:rPr>
                    </m:ctrlPr>
                  </m:fPr>
                  <m:num>
                    <m:r>
                      <m:rPr/>
                      <w:rPr>
                        <w:rFonts w:hint="eastAsia" w:ascii="Cambria Math" w:hAnsi="Cambria Math"/>
                        <w:color w:val="auto"/>
                        <w:highlight w:val="none"/>
                      </w:rPr>
                      <m:t>r</m:t>
                    </m:r>
                    <m:r>
                      <m:rPr/>
                      <w:rPr>
                        <w:rFonts w:ascii="Cambria Math" w:hAnsi="Cambria Math"/>
                        <w:color w:val="auto"/>
                        <w:highlight w:val="none"/>
                      </w:rPr>
                      <m:t>.</m:t>
                    </m:r>
                    <m:r>
                      <m:rPr>
                        <m:sty m:val="p"/>
                      </m:rPr>
                      <w:rPr>
                        <w:rFonts w:ascii="Cambria Math" w:hAnsi="Cambria Math"/>
                        <w:color w:val="auto"/>
                        <w:highlight w:val="none"/>
                      </w:rPr>
                      <m:t>Δ</m:t>
                    </m:r>
                    <m:r>
                      <m:rPr/>
                      <w:rPr>
                        <w:rFonts w:ascii="Cambria Math" w:hAnsi="Cambria Math"/>
                        <w:color w:val="auto"/>
                        <w:highlight w:val="none"/>
                      </w:rPr>
                      <m:t>d</m:t>
                    </m:r>
                    <m:ctrlPr>
                      <w:rPr>
                        <w:rFonts w:ascii="Cambria Math" w:hAnsi="Cambria Math"/>
                        <w:i/>
                        <w:color w:val="auto"/>
                        <w:highlight w:val="none"/>
                      </w:rPr>
                    </m:ctrlPr>
                  </m:num>
                  <m:den>
                    <m:rad>
                      <m:radPr>
                        <m:degHide m:val="1"/>
                        <m:ctrlPr>
                          <w:rPr>
                            <w:rFonts w:ascii="Cambria Math" w:hAnsi="Cambria Math"/>
                            <w:i/>
                            <w:color w:val="auto"/>
                            <w:highlight w:val="none"/>
                          </w:rPr>
                        </m:ctrlPr>
                      </m:radPr>
                      <m:deg>
                        <m:ctrlPr>
                          <w:rPr>
                            <w:rFonts w:ascii="Cambria Math" w:hAnsi="Cambria Math"/>
                            <w:i/>
                            <w:color w:val="auto"/>
                            <w:highlight w:val="none"/>
                          </w:rPr>
                        </m:ctrlPr>
                      </m:deg>
                      <m:e>
                        <m:sSup>
                          <m:sSupPr>
                            <m:ctrlPr>
                              <w:rPr>
                                <w:rFonts w:ascii="Cambria Math" w:hAnsi="Cambria Math"/>
                                <w:i/>
                                <w:color w:val="auto"/>
                                <w:highlight w:val="none"/>
                              </w:rPr>
                            </m:ctrlPr>
                          </m:sSupPr>
                          <m:e>
                            <m:r>
                              <m:rPr/>
                              <w:rPr>
                                <w:rFonts w:ascii="Cambria Math" w:hAnsi="Cambria Math"/>
                                <w:color w:val="auto"/>
                                <w:highlight w:val="none"/>
                              </w:rPr>
                              <m:t>r</m:t>
                            </m:r>
                            <m:ctrlPr>
                              <w:rPr>
                                <w:rFonts w:ascii="Cambria Math" w:hAnsi="Cambria Math"/>
                                <w:i/>
                                <w:color w:val="auto"/>
                                <w:highlight w:val="none"/>
                              </w:rPr>
                            </m:ctrlPr>
                          </m:e>
                          <m:sup>
                            <m:r>
                              <m:rPr/>
                              <w:rPr>
                                <w:rFonts w:ascii="Cambria Math" w:hAnsi="Cambria Math"/>
                                <w:color w:val="auto"/>
                                <w:highlight w:val="none"/>
                              </w:rPr>
                              <m:t>2</m:t>
                            </m:r>
                            <m:ctrlPr>
                              <w:rPr>
                                <w:rFonts w:ascii="Cambria Math" w:hAnsi="Cambria Math"/>
                                <w:i/>
                                <w:color w:val="auto"/>
                                <w:highlight w:val="none"/>
                              </w:rPr>
                            </m:ctrlPr>
                          </m:sup>
                        </m:sSup>
                        <m:r>
                          <m:rPr/>
                          <w:rPr>
                            <w:rFonts w:ascii="Cambria Math" w:hAnsi="Cambria Math"/>
                            <w:color w:val="auto"/>
                            <w:highlight w:val="none"/>
                          </w:rPr>
                          <m:t>−</m:t>
                        </m:r>
                        <m:sSup>
                          <m:sSupPr>
                            <m:ctrlPr>
                              <w:rPr>
                                <w:rFonts w:ascii="Cambria Math" w:hAnsi="Cambria Math"/>
                                <w:i/>
                                <w:color w:val="auto"/>
                                <w:highlight w:val="none"/>
                              </w:rPr>
                            </m:ctrlPr>
                          </m:sSupPr>
                          <m:e>
                            <m:r>
                              <m:rPr/>
                              <w:rPr>
                                <w:rFonts w:ascii="Cambria Math" w:hAnsi="Cambria Math"/>
                                <w:color w:val="auto"/>
                                <w:highlight w:val="none"/>
                              </w:rPr>
                              <m:t>L</m:t>
                            </m:r>
                            <m:ctrlPr>
                              <w:rPr>
                                <w:rFonts w:ascii="Cambria Math" w:hAnsi="Cambria Math"/>
                                <w:i/>
                                <w:color w:val="auto"/>
                                <w:highlight w:val="none"/>
                              </w:rPr>
                            </m:ctrlPr>
                          </m:e>
                          <m:sup>
                            <m:r>
                              <m:rPr/>
                              <w:rPr>
                                <w:rFonts w:ascii="Cambria Math" w:hAnsi="Cambria Math"/>
                                <w:color w:val="auto"/>
                                <w:highlight w:val="none"/>
                              </w:rPr>
                              <m:t>2</m:t>
                            </m:r>
                            <m:ctrlPr>
                              <w:rPr>
                                <w:rFonts w:ascii="Cambria Math" w:hAnsi="Cambria Math"/>
                                <w:i/>
                                <w:color w:val="auto"/>
                                <w:highlight w:val="none"/>
                              </w:rPr>
                            </m:ctrlPr>
                          </m:sup>
                        </m:sSup>
                        <m:ctrlPr>
                          <w:rPr>
                            <w:rFonts w:ascii="Cambria Math" w:hAnsi="Cambria Math"/>
                            <w:i/>
                            <w:color w:val="auto"/>
                            <w:highlight w:val="none"/>
                          </w:rPr>
                        </m:ctrlPr>
                      </m:e>
                    </m:rad>
                    <m:ctrlPr>
                      <w:rPr>
                        <w:rFonts w:ascii="Cambria Math" w:hAnsi="Cambria Math"/>
                        <w:i/>
                        <w:color w:val="auto"/>
                        <w:highlight w:val="none"/>
                      </w:rPr>
                    </m:ctrlPr>
                  </m:den>
                </m:f>
                <m:r>
                  <m:rPr/>
                  <w:rPr>
                    <w:rFonts w:ascii="Cambria Math" w:hAnsi="Cambria Math"/>
                    <w:color w:val="auto"/>
                    <w:highlight w:val="none"/>
                  </w:rPr>
                  <m:t>+s</m:t>
                </m:r>
                <m:ctrlPr>
                  <w:rPr>
                    <w:rFonts w:ascii="Cambria Math" w:hAnsi="Cambria Math"/>
                    <w:i/>
                    <w:color w:val="auto"/>
                    <w:highlight w:val="none"/>
                    <w:lang w:val="en-US"/>
                  </w:rPr>
                </m:ctrlPr>
              </m:e>
              <m:e>
                <m:sSub>
                  <m:sSubPr>
                    <m:ctrlPr>
                      <w:rPr>
                        <w:rFonts w:hint="eastAsia" w:ascii="Cambria Math" w:hAnsi="Cambria Math"/>
                        <w:i/>
                        <w:color w:val="auto"/>
                        <w:highlight w:val="none"/>
                        <w:lang w:val="en-US"/>
                      </w:rPr>
                    </m:ctrlPr>
                  </m:sSubPr>
                  <m:e>
                    <m:r>
                      <m:rPr/>
                      <w:rPr>
                        <w:rFonts w:hint="eastAsia" w:ascii="Cambria Math" w:hAnsi="Cambria Math"/>
                        <w:color w:val="auto"/>
                        <w:highlight w:val="none"/>
                        <w:lang w:val="en-US"/>
                      </w:rPr>
                      <m:t>V</m:t>
                    </m:r>
                    <m:ctrlPr>
                      <w:rPr>
                        <w:rFonts w:hint="eastAsia" w:ascii="Cambria Math" w:hAnsi="Cambria Math"/>
                        <w:i/>
                        <w:color w:val="auto"/>
                        <w:highlight w:val="none"/>
                        <w:lang w:val="en-US"/>
                      </w:rPr>
                    </m:ctrlPr>
                  </m:e>
                  <m:sub>
                    <m:r>
                      <m:rPr/>
                      <w:rPr>
                        <w:rFonts w:hint="eastAsia" w:ascii="Cambria Math" w:hAnsi="Cambria Math"/>
                        <w:color w:val="auto"/>
                        <w:highlight w:val="none"/>
                        <w:lang w:val="en-US"/>
                      </w:rPr>
                      <m:t>Liq−s</m:t>
                    </m:r>
                    <m:ctrlPr>
                      <w:rPr>
                        <w:rFonts w:hint="eastAsia" w:ascii="Cambria Math" w:hAnsi="Cambria Math"/>
                        <w:i/>
                        <w:color w:val="auto"/>
                        <w:highlight w:val="none"/>
                        <w:lang w:val="en-US"/>
                      </w:rPr>
                    </m:ctrlPr>
                  </m:sub>
                </m:sSub>
                <m:r>
                  <m:rPr/>
                  <w:rPr>
                    <w:rFonts w:hint="eastAsia" w:ascii="Cambria Math" w:hAnsi="Cambria Math"/>
                    <w:color w:val="auto"/>
                    <w:highlight w:val="none"/>
                    <w:lang w:val="en-US"/>
                  </w:rPr>
                  <m:t>=</m:t>
                </m:r>
                <m:r>
                  <m:rPr>
                    <m:sty m:val="p"/>
                  </m:rPr>
                  <w:rPr>
                    <w:rFonts w:ascii="Cambria Math" w:hAnsi="Cambria Math"/>
                    <w:color w:val="auto"/>
                    <w:highlight w:val="none"/>
                  </w:rPr>
                  <m:t>Δ</m:t>
                </m:r>
                <m:r>
                  <m:rPr/>
                  <w:rPr>
                    <w:rFonts w:hint="eastAsia" w:ascii="Cambria Math" w:hAnsi="Cambria Math"/>
                    <w:color w:val="auto"/>
                    <w:highlight w:val="none"/>
                  </w:rPr>
                  <m:t>x</m:t>
                </m:r>
                <m:r>
                  <m:rPr/>
                  <w:rPr>
                    <w:rFonts w:hint="eastAsia" w:ascii="Cambria Math" w:hAnsi="Cambria Math"/>
                    <w:color w:val="auto"/>
                    <w:highlight w:val="none"/>
                    <w:lang w:val="en-US"/>
                  </w:rPr>
                  <m:t>×</m:t>
                </m:r>
                <m:sSub>
                  <m:sSubPr>
                    <m:ctrlPr>
                      <w:rPr>
                        <w:rFonts w:hint="eastAsia" w:ascii="Cambria Math" w:hAnsi="Cambria Math"/>
                        <w:i/>
                        <w:color w:val="auto"/>
                        <w:highlight w:val="none"/>
                        <w:lang w:val="en-US"/>
                      </w:rPr>
                    </m:ctrlPr>
                  </m:sSubPr>
                  <m:e>
                    <m:r>
                      <m:rPr/>
                      <w:rPr>
                        <w:rFonts w:hint="eastAsia" w:ascii="Cambria Math" w:hAnsi="Cambria Math"/>
                        <w:color w:val="auto"/>
                        <w:highlight w:val="none"/>
                        <w:lang w:val="en-US"/>
                      </w:rPr>
                      <m:t>S</m:t>
                    </m:r>
                    <m:ctrlPr>
                      <w:rPr>
                        <w:rFonts w:hint="eastAsia" w:ascii="Cambria Math" w:hAnsi="Cambria Math"/>
                        <w:i/>
                        <w:color w:val="auto"/>
                        <w:highlight w:val="none"/>
                        <w:lang w:val="en-US"/>
                      </w:rPr>
                    </m:ctrlPr>
                  </m:e>
                  <m:sub>
                    <m:r>
                      <m:rPr/>
                      <w:rPr>
                        <w:rFonts w:hint="default" w:ascii="Cambria Math" w:hAnsi="Cambria Math"/>
                        <w:color w:val="auto"/>
                        <w:highlight w:val="none"/>
                        <w:lang w:val="en-US" w:eastAsia="zh-CN"/>
                      </w:rPr>
                      <m:t>Pis</m:t>
                    </m:r>
                    <m:ctrlPr>
                      <w:rPr>
                        <w:rFonts w:hint="eastAsia" w:ascii="Cambria Math" w:hAnsi="Cambria Math"/>
                        <w:i/>
                        <w:color w:val="auto"/>
                        <w:highlight w:val="none"/>
                        <w:lang w:val="en-US"/>
                      </w:rPr>
                    </m:ctrlPr>
                  </m:sub>
                </m:sSub>
                <m:r>
                  <m:rPr/>
                  <w:rPr>
                    <w:rFonts w:hint="eastAsia" w:ascii="Cambria Math" w:hAnsi="Cambria Math"/>
                    <w:color w:val="auto"/>
                    <w:highlight w:val="none"/>
                    <w:lang w:val="en-US"/>
                  </w:rPr>
                  <m:t>×</m:t>
                </m:r>
                <m:sSub>
                  <m:sSubPr>
                    <m:ctrlPr>
                      <w:rPr>
                        <w:rFonts w:hint="eastAsia" w:ascii="Cambria Math" w:hAnsi="Cambria Math"/>
                        <w:i/>
                        <w:color w:val="auto"/>
                        <w:highlight w:val="none"/>
                        <w:lang w:val="en-US"/>
                      </w:rPr>
                    </m:ctrlPr>
                  </m:sSubPr>
                  <m:e>
                    <m:r>
                      <m:rPr/>
                      <w:rPr>
                        <w:rFonts w:hint="default" w:ascii="Cambria Math" w:hAnsi="Cambria Math"/>
                        <w:color w:val="auto"/>
                        <w:highlight w:val="none"/>
                        <w:lang w:val="en-US" w:eastAsia="zh-CN"/>
                      </w:rPr>
                      <m:t>n</m:t>
                    </m:r>
                    <m:ctrlPr>
                      <w:rPr>
                        <w:rFonts w:hint="eastAsia" w:ascii="Cambria Math" w:hAnsi="Cambria Math"/>
                        <w:i/>
                        <w:color w:val="auto"/>
                        <w:highlight w:val="none"/>
                        <w:lang w:val="en-US"/>
                      </w:rPr>
                    </m:ctrlPr>
                  </m:e>
                  <m:sub>
                    <m:r>
                      <m:rPr/>
                      <w:rPr>
                        <w:rFonts w:hint="default" w:ascii="Cambria Math" w:hAnsi="Cambria Math"/>
                        <w:color w:val="auto"/>
                        <w:highlight w:val="none"/>
                        <w:lang w:val="en-US" w:eastAsia="zh-CN"/>
                      </w:rPr>
                      <m:t>cyl</m:t>
                    </m:r>
                    <m:ctrlPr>
                      <w:rPr>
                        <w:rFonts w:hint="eastAsia" w:ascii="Cambria Math" w:hAnsi="Cambria Math"/>
                        <w:i/>
                        <w:color w:val="auto"/>
                        <w:highlight w:val="none"/>
                        <w:lang w:val="en-US"/>
                      </w:rPr>
                    </m:ctrlPr>
                  </m:sub>
                </m:sSub>
                <m:ctrlPr>
                  <w:rPr>
                    <w:rFonts w:ascii="Cambria Math" w:hAnsi="Cambria Math"/>
                    <w:i/>
                    <w:color w:val="auto"/>
                    <w:highlight w:val="none"/>
                    <w:lang w:val="en-US"/>
                  </w:rPr>
                </m:ctrlPr>
              </m:e>
            </m:eqArr>
            <m:ctrlPr>
              <w:rPr>
                <w:rFonts w:ascii="Cambria Math" w:hAnsi="Cambria Math"/>
                <w:i/>
                <w:color w:val="auto"/>
                <w:highlight w:val="none"/>
                <w:lang w:val="en-US"/>
              </w:rPr>
            </m:ctrlPr>
          </m:e>
        </m:d>
      </m:oMath>
      <w:r>
        <w:rPr>
          <w:rFonts w:hint="eastAsia" w:hAnsi="Cambria Math"/>
          <w:i w:val="0"/>
          <w:color w:val="auto"/>
          <w:highlight w:val="none"/>
          <w:vertAlign w:val="baseline"/>
          <w:lang w:val="en-US" w:eastAsia="zh-CN"/>
        </w:rPr>
        <w:t xml:space="preserve">  </w:t>
      </w:r>
      <w:r>
        <w:rPr>
          <w:rFonts w:hint="eastAsia" w:hAnsi="Cambria Math"/>
          <w:i w:val="0"/>
          <w:color w:val="auto"/>
          <w:highlight w:val="none"/>
          <w:vertAlign w:val="baseline"/>
          <w:lang w:val="en-US" w:eastAsia="zh-CN"/>
        </w:rPr>
        <w:tab/>
      </w:r>
      <w:r>
        <w:rPr>
          <w:rFonts w:hint="eastAsia" w:hAnsi="Cambria Math"/>
          <w:i w:val="0"/>
          <w:color w:val="auto"/>
          <w:highlight w:val="none"/>
          <w:vertAlign w:val="baseline"/>
          <w:lang w:val="en-US" w:eastAsia="zh-CN"/>
        </w:rPr>
        <w:t>（19）</w:t>
      </w:r>
    </w:p>
    <w:p>
      <w:pPr>
        <w:pStyle w:val="180"/>
        <w:numPr>
          <w:ilvl w:val="-1"/>
          <w:numId w:val="0"/>
        </w:numPr>
        <w:tabs>
          <w:tab w:val="clear" w:pos="851"/>
        </w:tabs>
        <w:ind w:left="425" w:firstLine="420" w:firstLineChars="200"/>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式中：</w:t>
      </w:r>
    </w:p>
    <w:p>
      <w:pPr>
        <w:pStyle w:val="180"/>
        <w:numPr>
          <w:ilvl w:val="-1"/>
          <w:numId w:val="0"/>
        </w:numPr>
        <w:tabs>
          <w:tab w:val="left" w:pos="1470"/>
          <w:tab w:val="clear" w:pos="851"/>
        </w:tabs>
        <w:ind w:left="425" w:firstLine="420" w:firstLineChars="200"/>
        <w:rPr>
          <w:rFonts w:hint="eastAsia" w:hAnsi="Cambria Math" w:eastAsia="宋体"/>
          <w:i w:val="0"/>
          <w:color w:val="auto"/>
          <w:highlight w:val="none"/>
          <w:lang w:eastAsia="zh-CN"/>
        </w:rPr>
      </w:pPr>
      <m:oMath>
        <m:r>
          <m:rPr>
            <m:sty m:val="p"/>
          </m:rPr>
          <w:rPr>
            <w:rFonts w:ascii="Cambria Math" w:hAnsi="Cambria Math"/>
            <w:color w:val="auto"/>
            <w:highlight w:val="none"/>
          </w:rPr>
          <m:t>Δ</m:t>
        </m:r>
        <m:r>
          <m:rPr/>
          <w:rPr>
            <w:rFonts w:hint="eastAsia" w:ascii="Cambria Math" w:hAnsi="Cambria Math"/>
            <w:color w:val="auto"/>
            <w:highlight w:val="none"/>
          </w:rPr>
          <m:t>x</m:t>
        </m:r>
      </m:oMath>
      <w:r>
        <w:rPr>
          <w:rFonts w:hint="eastAsia" w:hAnsi="Cambria Math"/>
          <w:i w:val="0"/>
          <w:color w:val="auto"/>
          <w:highlight w:val="none"/>
          <w:lang w:val="en-US" w:eastAsia="zh-CN"/>
        </w:rPr>
        <w:t xml:space="preserve"> </w:t>
      </w:r>
      <w:r>
        <w:rPr>
          <w:rFonts w:hint="eastAsia" w:hAnsi="Cambria Math"/>
          <w:i w:val="0"/>
          <w:color w:val="auto"/>
          <w:highlight w:val="none"/>
          <w:lang w:val="en-US" w:eastAsia="zh-CN"/>
        </w:rPr>
        <w:tab/>
      </w:r>
      <w:r>
        <w:rPr>
          <w:rFonts w:hint="eastAsia" w:hAnsi="Cambria Math"/>
          <w:i w:val="0"/>
          <w:color w:val="auto"/>
          <w:highlight w:val="none"/>
          <w:lang w:eastAsia="zh-CN"/>
        </w:rPr>
        <w:t>——</w:t>
      </w:r>
      <w:r>
        <w:rPr>
          <w:rFonts w:hint="eastAsia"/>
          <w:color w:val="auto"/>
          <w:highlight w:val="none"/>
        </w:rPr>
        <w:t>单个活塞的最大缩回量</w:t>
      </w:r>
      <w:r>
        <w:rPr>
          <w:rFonts w:hint="eastAsia"/>
          <w:color w:val="auto"/>
          <w:highlight w:val="none"/>
          <w:lang w:val="en-US" w:eastAsia="zh-CN"/>
        </w:rPr>
        <w:t>的数值</w:t>
      </w:r>
      <w:r>
        <w:rPr>
          <w:rFonts w:hint="eastAsia"/>
          <w:color w:val="auto"/>
          <w:highlight w:val="none"/>
          <w:lang w:eastAsia="zh-CN"/>
        </w:rPr>
        <w:t>，</w:t>
      </w:r>
      <w:r>
        <w:rPr>
          <w:rFonts w:hint="eastAsia"/>
          <w:color w:val="auto"/>
          <w:highlight w:val="none"/>
          <w:lang w:val="en-US" w:eastAsia="zh-CN"/>
        </w:rPr>
        <w:t>单位为米（m）</w:t>
      </w:r>
      <w:r>
        <w:rPr>
          <w:rFonts w:hint="eastAsia"/>
          <w:color w:val="auto"/>
          <w:highlight w:val="none"/>
          <w:lang w:eastAsia="zh-CN"/>
        </w:rPr>
        <w:t>；</w:t>
      </w:r>
    </w:p>
    <w:p>
      <w:pPr>
        <w:pStyle w:val="180"/>
        <w:numPr>
          <w:ilvl w:val="-1"/>
          <w:numId w:val="0"/>
        </w:numPr>
        <w:tabs>
          <w:tab w:val="left" w:pos="1470"/>
          <w:tab w:val="clear" w:pos="851"/>
        </w:tabs>
        <w:ind w:left="425" w:firstLine="420" w:firstLineChars="200"/>
        <w:rPr>
          <w:rFonts w:hint="eastAsia"/>
          <w:color w:val="auto"/>
          <w:highlight w:val="none"/>
          <w:lang w:val="en-US" w:eastAsia="zh-CN"/>
        </w:rPr>
      </w:pPr>
      <w:r>
        <w:rPr>
          <w:rFonts w:hint="eastAsia" w:hAnsi="Cambria Math"/>
          <w:i w:val="0"/>
          <w:color w:val="auto"/>
          <w:highlight w:val="none"/>
          <w:vertAlign w:val="baseline"/>
          <w:lang w:val="en-US" w:eastAsia="zh-CN"/>
        </w:rPr>
        <w:t>S</w:t>
      </w:r>
      <w:r>
        <w:rPr>
          <w:rFonts w:hint="eastAsia" w:hAnsi="Cambria Math"/>
          <w:i w:val="0"/>
          <w:color w:val="auto"/>
          <w:highlight w:val="none"/>
          <w:vertAlign w:val="subscript"/>
          <w:lang w:val="en-US" w:eastAsia="zh-CN"/>
        </w:rPr>
        <w:t>Pis</w:t>
      </w:r>
      <w:r>
        <w:rPr>
          <w:rFonts w:hint="eastAsia" w:hAnsi="Cambria Math"/>
          <w:i w:val="0"/>
          <w:color w:val="auto"/>
          <w:highlight w:val="none"/>
          <w:vertAlign w:val="baseline"/>
          <w:lang w:val="en-US" w:eastAsia="zh-CN"/>
        </w:rPr>
        <w:t xml:space="preserve"> </w:t>
      </w:r>
      <w:r>
        <w:rPr>
          <w:rFonts w:hint="eastAsia" w:hAnsi="Cambria Math"/>
          <w:i w:val="0"/>
          <w:color w:val="auto"/>
          <w:highlight w:val="none"/>
          <w:vertAlign w:val="baseline"/>
          <w:lang w:val="en-US" w:eastAsia="zh-CN"/>
        </w:rPr>
        <w:tab/>
      </w:r>
      <w:r>
        <w:rPr>
          <w:rFonts w:hint="eastAsia" w:hAnsi="Cambria Math"/>
          <w:i w:val="0"/>
          <w:color w:val="auto"/>
          <w:highlight w:val="none"/>
          <w:vertAlign w:val="baseline"/>
          <w:lang w:val="en-US" w:eastAsia="zh-CN"/>
        </w:rPr>
        <w:t>——</w:t>
      </w:r>
      <w:r>
        <w:rPr>
          <w:rFonts w:hint="eastAsia"/>
          <w:color w:val="auto"/>
          <w:highlight w:val="none"/>
        </w:rPr>
        <w:t>支架一侧的活塞总面积</w:t>
      </w:r>
      <w:r>
        <w:rPr>
          <w:rFonts w:hint="eastAsia"/>
          <w:color w:val="auto"/>
          <w:highlight w:val="none"/>
          <w:lang w:val="en-US" w:eastAsia="zh-CN"/>
        </w:rPr>
        <w:t>的数值</w:t>
      </w:r>
      <w:r>
        <w:rPr>
          <w:rFonts w:hint="eastAsia"/>
          <w:color w:val="auto"/>
          <w:highlight w:val="none"/>
          <w:lang w:eastAsia="zh-CN"/>
        </w:rPr>
        <w:t>，</w:t>
      </w:r>
      <w:r>
        <w:rPr>
          <w:rFonts w:hint="eastAsia"/>
          <w:color w:val="auto"/>
          <w:highlight w:val="none"/>
          <w:lang w:val="en-US" w:eastAsia="zh-CN"/>
        </w:rPr>
        <w:t>单位为平方米（m</w:t>
      </w:r>
      <w:r>
        <w:rPr>
          <w:rFonts w:hint="eastAsia"/>
          <w:color w:val="auto"/>
          <w:highlight w:val="none"/>
          <w:vertAlign w:val="superscript"/>
          <w:lang w:val="en-US" w:eastAsia="zh-CN"/>
        </w:rPr>
        <w:t>2</w:t>
      </w:r>
      <w:r>
        <w:rPr>
          <w:rFonts w:hint="eastAsia"/>
          <w:color w:val="auto"/>
          <w:highlight w:val="none"/>
          <w:lang w:val="en-US" w:eastAsia="zh-CN"/>
        </w:rPr>
        <w:t>）；</w:t>
      </w:r>
    </w:p>
    <w:p>
      <w:pPr>
        <w:pStyle w:val="180"/>
        <w:numPr>
          <w:ilvl w:val="-1"/>
          <w:numId w:val="0"/>
        </w:numPr>
        <w:tabs>
          <w:tab w:val="left" w:pos="1470"/>
          <w:tab w:val="clear" w:pos="851"/>
        </w:tabs>
        <w:ind w:left="425" w:firstLine="420" w:firstLineChars="200"/>
        <w:rPr>
          <w:rFonts w:hint="eastAsia" w:eastAsia="宋体"/>
          <w:color w:val="auto"/>
          <w:highlight w:val="none"/>
          <w:lang w:val="en-US" w:eastAsia="zh-CN"/>
        </w:rPr>
      </w:pPr>
      <w:r>
        <w:rPr>
          <w:rFonts w:hint="eastAsia" w:hAnsi="Cambria Math"/>
          <w:i w:val="0"/>
          <w:color w:val="auto"/>
          <w:highlight w:val="none"/>
          <w:vertAlign w:val="baseline"/>
          <w:lang w:val="en-US" w:eastAsia="zh-CN"/>
        </w:rPr>
        <w:t>n</w:t>
      </w:r>
      <w:r>
        <w:rPr>
          <w:rFonts w:hint="eastAsia" w:hAnsi="Cambria Math"/>
          <w:i w:val="0"/>
          <w:color w:val="auto"/>
          <w:highlight w:val="none"/>
          <w:vertAlign w:val="subscript"/>
          <w:lang w:val="en-US" w:eastAsia="zh-CN"/>
        </w:rPr>
        <w:t>cyl</w:t>
      </w:r>
      <w:r>
        <w:rPr>
          <w:rFonts w:hint="eastAsia" w:hAnsi="Cambria Math"/>
          <w:i w:val="0"/>
          <w:color w:val="auto"/>
          <w:highlight w:val="none"/>
          <w:vertAlign w:val="baseline"/>
          <w:lang w:val="en-US" w:eastAsia="zh-CN"/>
        </w:rPr>
        <w:t xml:space="preserve"> </w:t>
      </w:r>
      <w:r>
        <w:rPr>
          <w:rFonts w:hint="eastAsia" w:hAnsi="Cambria Math"/>
          <w:i w:val="0"/>
          <w:color w:val="auto"/>
          <w:highlight w:val="none"/>
          <w:vertAlign w:val="baseline"/>
          <w:lang w:val="en-US" w:eastAsia="zh-CN"/>
        </w:rPr>
        <w:tab/>
      </w:r>
      <w:r>
        <w:rPr>
          <w:rFonts w:hint="eastAsia" w:hAnsi="Cambria Math"/>
          <w:i w:val="0"/>
          <w:color w:val="auto"/>
          <w:highlight w:val="none"/>
          <w:vertAlign w:val="baseline"/>
          <w:lang w:val="en-US" w:eastAsia="zh-CN"/>
        </w:rPr>
        <w:t>——</w:t>
      </w:r>
      <w:r>
        <w:rPr>
          <w:rFonts w:hint="eastAsia"/>
          <w:color w:val="auto"/>
          <w:highlight w:val="none"/>
        </w:rPr>
        <w:t>轮缸数</w:t>
      </w:r>
      <w:r>
        <w:rPr>
          <w:rFonts w:hint="eastAsia"/>
          <w:color w:val="auto"/>
          <w:highlight w:val="none"/>
          <w:lang w:eastAsia="zh-CN"/>
        </w:rPr>
        <w:t>。</w:t>
      </w:r>
    </w:p>
    <w:p>
      <w:pPr>
        <w:pStyle w:val="71"/>
        <w:spacing w:before="120" w:beforeLines="0" w:after="120" w:afterLines="0"/>
        <w:rPr>
          <w:color w:val="auto"/>
          <w:highlight w:val="none"/>
        </w:rPr>
      </w:pPr>
      <w:bookmarkStart w:id="193" w:name="_Toc118580317"/>
      <w:r>
        <w:rPr>
          <w:rFonts w:hint="eastAsia" w:hAnsi="黑体"/>
          <w:color w:val="auto"/>
          <w:highlight w:val="none"/>
        </w:rPr>
        <w:t>液压传输制动系统的</w:t>
      </w:r>
      <w:r>
        <w:rPr>
          <w:rFonts w:hint="eastAsia"/>
          <w:color w:val="auto"/>
          <w:highlight w:val="none"/>
        </w:rPr>
        <w:t>制动液标志检查</w:t>
      </w:r>
      <w:bookmarkEnd w:id="193"/>
    </w:p>
    <w:p>
      <w:pPr>
        <w:pStyle w:val="62"/>
        <w:ind w:firstLine="420"/>
        <w:rPr>
          <w:rFonts w:hAnsi="宋体"/>
          <w:color w:val="auto"/>
          <w:highlight w:val="none"/>
        </w:rPr>
      </w:pPr>
      <w:r>
        <w:rPr>
          <w:rFonts w:hint="eastAsia" w:hAnsi="宋体"/>
          <w:color w:val="auto"/>
          <w:highlight w:val="none"/>
        </w:rPr>
        <w:t>确认制动液的标志符合GB 12981和GB/T 5345，并以不易擦除的方式固定在储液罐加注口附近100</w:t>
      </w:r>
      <w:r>
        <w:rPr>
          <w:rFonts w:hint="eastAsia"/>
          <w:color w:val="auto"/>
          <w:highlight w:val="none"/>
          <w:lang w:val="en-US" w:eastAsia="zh-CN"/>
        </w:rPr>
        <w:t> </w:t>
      </w:r>
      <w:r>
        <w:rPr>
          <w:rFonts w:hint="eastAsia" w:hAnsi="宋体"/>
          <w:color w:val="auto"/>
          <w:highlight w:val="none"/>
        </w:rPr>
        <w:t>mm以内、便于观察的位置上。</w:t>
      </w:r>
    </w:p>
    <w:p>
      <w:pPr>
        <w:pStyle w:val="71"/>
        <w:spacing w:before="156" w:after="156"/>
        <w:rPr>
          <w:color w:val="auto"/>
          <w:highlight w:val="none"/>
        </w:rPr>
      </w:pPr>
      <w:bookmarkStart w:id="194" w:name="_Toc118580318"/>
      <w:r>
        <w:rPr>
          <w:rFonts w:hint="eastAsia"/>
          <w:color w:val="auto"/>
          <w:highlight w:val="none"/>
        </w:rPr>
        <w:t>信号装置检查</w:t>
      </w:r>
      <w:bookmarkEnd w:id="194"/>
    </w:p>
    <w:p>
      <w:pPr>
        <w:pStyle w:val="100"/>
        <w:spacing w:before="156" w:after="156"/>
        <w:rPr>
          <w:color w:val="auto"/>
          <w:highlight w:val="none"/>
        </w:rPr>
      </w:pPr>
      <w:r>
        <w:rPr>
          <w:rFonts w:hint="eastAsia"/>
          <w:color w:val="auto"/>
          <w:highlight w:val="none"/>
        </w:rPr>
        <w:t>报警信号与车辆自检</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确认车辆（包括制动系统）的电动设备通电时点亮</w:t>
      </w:r>
      <w:r>
        <w:rPr>
          <w:rFonts w:hint="eastAsia" w:ascii="宋体" w:hAnsi="宋体" w:eastAsia="宋体"/>
          <w:color w:val="auto"/>
          <w:highlight w:val="none"/>
          <w:lang w:val="en-US" w:eastAsia="zh-CN"/>
        </w:rPr>
        <w:t>符合</w:t>
      </w:r>
      <w:r>
        <w:rPr>
          <w:rFonts w:hint="eastAsia" w:ascii="宋体" w:hAnsi="宋体" w:eastAsia="宋体"/>
          <w:color w:val="auto"/>
          <w:highlight w:val="none"/>
        </w:rPr>
        <w:t>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a）规定的红色或黄色（如适用）报警信号。检查报警信号在车辆静止且未检测到故障时自动熄灭。</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检查</w:t>
      </w:r>
      <w:r>
        <w:rPr>
          <w:rFonts w:hint="eastAsia" w:ascii="宋体" w:hAnsi="宋体" w:eastAsia="宋体"/>
          <w:color w:val="auto"/>
          <w:highlight w:val="none"/>
          <w:lang w:val="en-US" w:eastAsia="zh-CN"/>
        </w:rPr>
        <w:t>车辆对于ABS</w:t>
      </w:r>
      <w:r>
        <w:rPr>
          <w:rFonts w:hint="eastAsia" w:ascii="宋体" w:hAnsi="宋体" w:eastAsia="宋体"/>
          <w:color w:val="auto"/>
          <w:highlight w:val="none"/>
        </w:rPr>
        <w:t>安装了</w:t>
      </w:r>
      <w:r>
        <w:rPr>
          <w:rFonts w:hint="eastAsia" w:ascii="宋体" w:hAnsi="宋体" w:eastAsia="宋体"/>
          <w:color w:val="auto"/>
          <w:highlight w:val="none"/>
          <w:lang w:val="en-US" w:eastAsia="zh-CN"/>
        </w:rPr>
        <w:t>符合</w:t>
      </w:r>
      <w:r>
        <w:rPr>
          <w:rFonts w:hint="eastAsia" w:ascii="宋体" w:hAnsi="宋体" w:eastAsia="宋体"/>
          <w:color w:val="auto"/>
          <w:highlight w:val="none"/>
        </w:rPr>
        <w:t>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a）规定黄色报警信号装置，</w:t>
      </w:r>
      <w:r>
        <w:rPr>
          <w:rFonts w:hint="eastAsia" w:ascii="宋体" w:hAnsi="宋体" w:eastAsia="宋体"/>
          <w:color w:val="auto"/>
          <w:highlight w:val="none"/>
          <w:lang w:val="en-US" w:eastAsia="zh-CN"/>
        </w:rPr>
        <w:t>确认</w:t>
      </w:r>
      <w:r>
        <w:rPr>
          <w:rFonts w:hint="eastAsia" w:ascii="宋体" w:hAnsi="宋体" w:eastAsia="宋体"/>
          <w:color w:val="auto"/>
          <w:highlight w:val="none"/>
        </w:rPr>
        <w:t>该信号即使在白天也清晰可见，当防抱制动系统失效时，向</w:t>
      </w:r>
      <w:r>
        <w:rPr>
          <w:rFonts w:hint="eastAsia" w:ascii="宋体" w:hAnsi="宋体" w:eastAsia="宋体"/>
          <w:color w:val="auto"/>
          <w:highlight w:val="none"/>
          <w:lang w:eastAsia="zh-CN"/>
        </w:rPr>
        <w:t>驾驶人</w:t>
      </w:r>
      <w:r>
        <w:rPr>
          <w:rFonts w:hint="eastAsia" w:ascii="宋体" w:hAnsi="宋体" w:eastAsia="宋体"/>
          <w:color w:val="auto"/>
          <w:highlight w:val="none"/>
        </w:rPr>
        <w:t>报警。</w:t>
      </w:r>
    </w:p>
    <w:p>
      <w:pPr>
        <w:pStyle w:val="62"/>
        <w:ind w:firstLine="420"/>
        <w:rPr>
          <w:color w:val="auto"/>
          <w:highlight w:val="none"/>
        </w:rPr>
      </w:pPr>
      <w:r>
        <w:rPr>
          <w:rFonts w:hint="eastAsia"/>
          <w:color w:val="auto"/>
          <w:highlight w:val="none"/>
          <w:lang w:val="en-US" w:eastAsia="zh-CN"/>
        </w:rPr>
        <w:t>确认</w:t>
      </w:r>
      <w:r>
        <w:rPr>
          <w:rFonts w:hint="eastAsia" w:hAnsi="宋体"/>
          <w:color w:val="auto"/>
          <w:highlight w:val="none"/>
        </w:rPr>
        <w:t>当车辆静止、防抱制动系统通电时，报警信号点亮。系统自检，若不存在故障，报警信号熄灭。在检查过程中，电控的压力调节阀至少循环一次。对在静态条件下不能检测到的传感器异常，在车速大于</w:t>
      </w:r>
      <w:r>
        <w:rPr>
          <w:rFonts w:hint="eastAsia"/>
          <w:color w:val="auto"/>
          <w:highlight w:val="none"/>
        </w:rPr>
        <w:t>10</w:t>
      </w:r>
      <w:r>
        <w:rPr>
          <w:rFonts w:hint="eastAsia"/>
          <w:color w:val="auto"/>
          <w:highlight w:val="none"/>
          <w:lang w:val="en-US" w:eastAsia="zh-CN"/>
        </w:rPr>
        <w:t> </w:t>
      </w:r>
      <w:r>
        <w:rPr>
          <w:rFonts w:hint="eastAsia"/>
          <w:color w:val="auto"/>
          <w:highlight w:val="none"/>
        </w:rPr>
        <w:t>km/h之前进行检测。但由于静态条件下车轮不转动，传感器不能产生车速信号，为防止发出错误的报警信号，可推迟检测但应在车速大于15</w:t>
      </w:r>
      <w:r>
        <w:rPr>
          <w:rFonts w:hint="eastAsia"/>
          <w:color w:val="auto"/>
          <w:highlight w:val="none"/>
          <w:lang w:val="en-US" w:eastAsia="zh-CN"/>
        </w:rPr>
        <w:t> </w:t>
      </w:r>
      <w:r>
        <w:rPr>
          <w:rFonts w:hint="eastAsia"/>
          <w:color w:val="auto"/>
          <w:highlight w:val="none"/>
        </w:rPr>
        <w:t>km/h之前确认传感器工作正常。</w:t>
      </w:r>
    </w:p>
    <w:p>
      <w:pPr>
        <w:pStyle w:val="100"/>
        <w:spacing w:before="156" w:after="156"/>
        <w:rPr>
          <w:color w:val="auto"/>
          <w:highlight w:val="none"/>
        </w:rPr>
      </w:pPr>
      <w:r>
        <w:rPr>
          <w:rFonts w:hint="eastAsia"/>
          <w:color w:val="auto"/>
          <w:highlight w:val="none"/>
        </w:rPr>
        <w:t>指示制动灯点亮的制动信号</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lang w:eastAsia="zh-CN"/>
        </w:rPr>
        <w:t>驾驶人</w:t>
      </w:r>
      <w:r>
        <w:rPr>
          <w:rFonts w:hint="eastAsia" w:ascii="宋体" w:hAnsi="宋体" w:eastAsia="宋体"/>
          <w:color w:val="auto"/>
          <w:highlight w:val="none"/>
        </w:rPr>
        <w:t>促动行车制动</w:t>
      </w:r>
      <w:r>
        <w:rPr>
          <w:rFonts w:hint="eastAsia" w:ascii="宋体" w:hAnsi="宋体" w:eastAsia="宋体"/>
          <w:color w:val="auto"/>
          <w:highlight w:val="none"/>
          <w:lang w:val="en-US" w:eastAsia="zh-CN"/>
        </w:rPr>
        <w:t>控制装置，检查是否</w:t>
      </w:r>
      <w:r>
        <w:rPr>
          <w:rFonts w:hint="eastAsia" w:ascii="宋体" w:hAnsi="宋体" w:eastAsia="宋体"/>
          <w:color w:val="auto"/>
          <w:highlight w:val="none"/>
        </w:rPr>
        <w:t>发出指令使制动灯点亮。</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对于装备能够产生减速力（例如，在释放油门控制时）的自动控制制动和/或再生制动的车辆，</w:t>
      </w:r>
      <w:r>
        <w:rPr>
          <w:rFonts w:hint="eastAsia" w:ascii="宋体" w:hAnsi="宋体" w:eastAsia="宋体"/>
          <w:color w:val="auto"/>
          <w:highlight w:val="none"/>
          <w:lang w:val="en-US" w:eastAsia="zh-CN"/>
        </w:rPr>
        <w:t>根据制造商提供的</w:t>
      </w:r>
      <w:r>
        <w:rPr>
          <w:rFonts w:hint="eastAsia" w:ascii="宋体" w:hAnsi="宋体" w:eastAsia="宋体"/>
          <w:color w:val="auto"/>
          <w:highlight w:val="none"/>
        </w:rPr>
        <w:t>制动灯点亮、保持和抑制逻辑</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确认其</w:t>
      </w:r>
      <w:r>
        <w:rPr>
          <w:rFonts w:hint="eastAsia" w:ascii="宋体" w:hAnsi="宋体" w:eastAsia="宋体"/>
          <w:color w:val="auto"/>
          <w:highlight w:val="none"/>
        </w:rPr>
        <w:t>满足</w:t>
      </w:r>
      <w:r>
        <w:rPr>
          <w:rFonts w:hint="eastAsia" w:ascii="宋体" w:hAnsi="宋体" w:eastAsia="宋体"/>
          <w:color w:val="auto"/>
          <w:highlight w:val="none"/>
          <w:lang w:val="en-US" w:eastAsia="zh-CN"/>
        </w:rPr>
        <w:t>5.2.22 b）</w:t>
      </w:r>
      <w:r>
        <w:rPr>
          <w:rFonts w:hint="eastAsia" w:ascii="宋体" w:hAnsi="宋体" w:eastAsia="宋体"/>
          <w:color w:val="auto"/>
          <w:highlight w:val="none"/>
        </w:rPr>
        <w:t>的要求</w:t>
      </w:r>
      <w:r>
        <w:rPr>
          <w:rFonts w:hint="eastAsia" w:ascii="宋体" w:hAnsi="宋体"/>
          <w:color w:val="auto"/>
          <w:highlight w:val="none"/>
          <w:lang w:eastAsia="zh-CN"/>
        </w:rPr>
        <w:t>，</w:t>
      </w:r>
      <w:r>
        <w:rPr>
          <w:rFonts w:hint="eastAsia" w:ascii="宋体" w:hAnsi="宋体" w:eastAsia="宋体"/>
          <w:color w:val="auto"/>
          <w:highlight w:val="none"/>
        </w:rPr>
        <w:t>并通过动态试验</w:t>
      </w:r>
      <w:r>
        <w:rPr>
          <w:rFonts w:hint="eastAsia" w:ascii="宋体" w:hAnsi="宋体" w:eastAsia="宋体"/>
          <w:color w:val="auto"/>
          <w:highlight w:val="none"/>
          <w:lang w:val="en-US" w:eastAsia="zh-CN"/>
        </w:rPr>
        <w:t>进行确认</w:t>
      </w:r>
      <w:r>
        <w:rPr>
          <w:rFonts w:hint="eastAsia" w:ascii="宋体" w:hAnsi="宋体" w:eastAsia="宋体"/>
          <w:color w:val="auto"/>
          <w:highlight w:val="none"/>
        </w:rPr>
        <w:t>。</w:t>
      </w:r>
    </w:p>
    <w:p>
      <w:pPr>
        <w:pStyle w:val="104"/>
        <w:spacing w:beforeLines="0" w:afterLines="0"/>
        <w:rPr>
          <w:rFonts w:hint="eastAsia" w:ascii="宋体" w:hAnsi="宋体" w:eastAsia="宋体" w:cs="Times New Roman"/>
          <w:color w:val="auto"/>
          <w:highlight w:val="none"/>
        </w:rPr>
      </w:pPr>
      <w:r>
        <w:rPr>
          <w:rFonts w:hint="eastAsia" w:ascii="宋体" w:hAnsi="宋体" w:eastAsia="宋体" w:cs="Times New Roman"/>
          <w:color w:val="auto"/>
          <w:highlight w:val="none"/>
        </w:rPr>
        <w:t>如车辆具有通过选择制动或主要目的不是使车辆减速的功能（例如，轻微促动摩擦制动器以清洁制动盘）启动部分行车制动系统，</w:t>
      </w:r>
      <w:r>
        <w:rPr>
          <w:rFonts w:hint="eastAsia" w:ascii="宋体" w:hAnsi="宋体" w:eastAsia="宋体" w:cs="Times New Roman"/>
          <w:color w:val="auto"/>
          <w:highlight w:val="none"/>
          <w:lang w:val="en-US" w:eastAsia="zh-CN"/>
        </w:rPr>
        <w:t>或</w:t>
      </w:r>
      <w:r>
        <w:rPr>
          <w:rFonts w:hint="eastAsia" w:ascii="宋体" w:hAnsi="宋体" w:eastAsia="宋体" w:cs="Times New Roman"/>
          <w:color w:val="auto"/>
          <w:highlight w:val="none"/>
        </w:rPr>
        <w:t>由发动机制动、空气/滚动阻力和/或道路坡度产生减速，</w:t>
      </w:r>
      <w:r>
        <w:rPr>
          <w:rFonts w:hint="eastAsia" w:ascii="宋体" w:hAnsi="宋体" w:eastAsia="宋体" w:cs="Times New Roman"/>
          <w:color w:val="auto"/>
          <w:highlight w:val="none"/>
          <w:lang w:val="en-US" w:eastAsia="zh-CN"/>
        </w:rPr>
        <w:t>根据制造商提供的说明材料，确认</w:t>
      </w:r>
      <w:r>
        <w:rPr>
          <w:rFonts w:hint="eastAsia" w:ascii="宋体" w:hAnsi="宋体" w:eastAsia="宋体" w:cs="Times New Roman"/>
          <w:color w:val="auto"/>
          <w:highlight w:val="none"/>
        </w:rPr>
        <w:t>车辆</w:t>
      </w:r>
      <w:r>
        <w:rPr>
          <w:rFonts w:hint="eastAsia" w:ascii="宋体" w:hAnsi="宋体" w:eastAsia="宋体" w:cs="Times New Roman"/>
          <w:color w:val="auto"/>
          <w:highlight w:val="none"/>
          <w:lang w:val="en-US" w:eastAsia="zh-CN"/>
        </w:rPr>
        <w:t>不发出指示制动灯点亮的制动信号，</w:t>
      </w:r>
      <w:r>
        <w:rPr>
          <w:rFonts w:hint="eastAsia" w:ascii="宋体" w:hAnsi="宋体" w:eastAsia="宋体"/>
          <w:color w:val="auto"/>
          <w:highlight w:val="none"/>
        </w:rPr>
        <w:t>并通过动态试验</w:t>
      </w:r>
      <w:r>
        <w:rPr>
          <w:rFonts w:hint="eastAsia" w:ascii="宋体" w:hAnsi="宋体" w:eastAsia="宋体"/>
          <w:color w:val="auto"/>
          <w:highlight w:val="none"/>
          <w:lang w:val="en-US" w:eastAsia="zh-CN"/>
        </w:rPr>
        <w:t>进行确认</w:t>
      </w:r>
      <w:r>
        <w:rPr>
          <w:rFonts w:hint="eastAsia" w:ascii="宋体" w:hAnsi="宋体" w:eastAsia="宋体" w:cs="Times New Roman"/>
          <w:color w:val="auto"/>
          <w:highlight w:val="none"/>
          <w:lang w:val="en-US" w:eastAsia="zh-CN"/>
        </w:rPr>
        <w:t>。</w:t>
      </w:r>
    </w:p>
    <w:p>
      <w:pPr>
        <w:pStyle w:val="100"/>
        <w:spacing w:before="156" w:after="156"/>
        <w:rPr>
          <w:color w:val="auto"/>
          <w:highlight w:val="none"/>
        </w:rPr>
      </w:pPr>
      <w:r>
        <w:rPr>
          <w:rFonts w:hint="eastAsia"/>
          <w:color w:val="auto"/>
          <w:highlight w:val="none"/>
        </w:rPr>
        <w:t>紧急制动信号</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当车辆配备了可以指示紧急制动的装置时，制造商应提供紧急制动信号的逻辑及检查方法</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根据制造商推荐的试验条件，</w:t>
      </w:r>
      <w:r>
        <w:rPr>
          <w:rFonts w:hint="eastAsia" w:ascii="宋体" w:hAnsi="宋体" w:eastAsia="宋体"/>
          <w:color w:val="auto"/>
          <w:highlight w:val="none"/>
        </w:rPr>
        <w:t>通过动态试验确认紧急制动信号的发出和解除只能在满足下列条件的情况下，由行车制动系统的应用促动发出：</w:t>
      </w:r>
    </w:p>
    <w:p>
      <w:pPr>
        <w:pStyle w:val="180"/>
        <w:numPr>
          <w:ilvl w:val="0"/>
          <w:numId w:val="64"/>
        </w:numPr>
        <w:rPr>
          <w:color w:val="auto"/>
          <w:highlight w:val="none"/>
        </w:rPr>
      </w:pPr>
      <w:r>
        <w:rPr>
          <w:rFonts w:hint="eastAsia"/>
          <w:color w:val="auto"/>
          <w:highlight w:val="none"/>
        </w:rPr>
        <w:t>检查车辆的减速度低于6</w:t>
      </w:r>
      <w:r>
        <w:rPr>
          <w:rFonts w:hint="eastAsia"/>
          <w:color w:val="auto"/>
          <w:highlight w:val="none"/>
          <w:lang w:val="en-US" w:eastAsia="zh-CN"/>
        </w:rPr>
        <w:t> </w:t>
      </w:r>
      <w:r>
        <w:rPr>
          <w:rFonts w:hint="eastAsia"/>
          <w:color w:val="auto"/>
          <w:highlight w:val="none"/>
        </w:rPr>
        <w:t>m/s²时，确认不发出紧急制动信号，减速度等于或者大于6</w:t>
      </w:r>
      <w:r>
        <w:rPr>
          <w:rFonts w:hint="eastAsia"/>
          <w:color w:val="auto"/>
          <w:highlight w:val="none"/>
          <w:lang w:val="en-US" w:eastAsia="zh-CN"/>
        </w:rPr>
        <w:t> </w:t>
      </w:r>
      <w:r>
        <w:rPr>
          <w:rFonts w:hint="eastAsia"/>
          <w:color w:val="auto"/>
          <w:highlight w:val="none"/>
        </w:rPr>
        <w:t>m/s²（或由车辆制造商定义的实际限值）时确认发出紧急制动信号</w:t>
      </w:r>
      <w:r>
        <w:rPr>
          <w:rFonts w:hint="eastAsia"/>
          <w:color w:val="auto"/>
          <w:highlight w:val="none"/>
          <w:lang w:eastAsia="zh-CN"/>
        </w:rPr>
        <w:t>；</w:t>
      </w:r>
    </w:p>
    <w:p>
      <w:pPr>
        <w:pStyle w:val="180"/>
        <w:numPr>
          <w:ilvl w:val="0"/>
          <w:numId w:val="64"/>
        </w:numPr>
        <w:rPr>
          <w:color w:val="auto"/>
          <w:highlight w:val="none"/>
        </w:rPr>
      </w:pPr>
      <w:r>
        <w:rPr>
          <w:rFonts w:hint="eastAsia"/>
          <w:color w:val="auto"/>
          <w:highlight w:val="none"/>
        </w:rPr>
        <w:t>当车辆减速度低于2.5</w:t>
      </w:r>
      <w:r>
        <w:rPr>
          <w:rFonts w:hint="eastAsia"/>
          <w:color w:val="auto"/>
          <w:highlight w:val="none"/>
          <w:lang w:val="en-US" w:eastAsia="zh-CN"/>
        </w:rPr>
        <w:t> </w:t>
      </w:r>
      <w:r>
        <w:rPr>
          <w:rFonts w:hint="eastAsia"/>
          <w:color w:val="auto"/>
          <w:highlight w:val="none"/>
        </w:rPr>
        <w:t>m/s²时，确认解除紧急制动信号。</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通过检查制造商设计文件和动态试验，确认下列情况紧急制动信号发出情况：</w:t>
      </w:r>
    </w:p>
    <w:p>
      <w:pPr>
        <w:pStyle w:val="180"/>
        <w:numPr>
          <w:ilvl w:val="0"/>
          <w:numId w:val="65"/>
        </w:numPr>
        <w:rPr>
          <w:color w:val="auto"/>
          <w:highlight w:val="none"/>
        </w:rPr>
      </w:pPr>
      <w:r>
        <w:rPr>
          <w:rFonts w:hint="default"/>
          <w:color w:val="auto"/>
          <w:highlight w:val="none"/>
          <w:lang w:val="en-US" w:eastAsia="zh-CN"/>
        </w:rPr>
        <w:t>若制造商声明紧急制动信号的发出基于通过制动需求预测的车辆减速度，</w:t>
      </w:r>
      <w:r>
        <w:rPr>
          <w:rFonts w:hint="eastAsia"/>
          <w:color w:val="auto"/>
          <w:highlight w:val="none"/>
          <w:lang w:val="en-US" w:eastAsia="zh-CN"/>
        </w:rPr>
        <w:t>确认声明的</w:t>
      </w:r>
      <w:r>
        <w:rPr>
          <w:rFonts w:hint="default"/>
          <w:color w:val="auto"/>
          <w:highlight w:val="none"/>
          <w:lang w:val="en-US" w:eastAsia="zh-CN"/>
        </w:rPr>
        <w:t>紧急制动信号的发出和解除条件</w:t>
      </w:r>
      <w:r>
        <w:rPr>
          <w:rFonts w:hint="eastAsia"/>
          <w:color w:val="auto"/>
          <w:highlight w:val="none"/>
          <w:lang w:val="en-US" w:eastAsia="zh-CN"/>
        </w:rPr>
        <w:t>符合</w:t>
      </w:r>
      <w:r>
        <w:rPr>
          <w:color w:val="auto"/>
          <w:highlight w:val="none"/>
        </w:rPr>
        <w:t>5</w:t>
      </w:r>
      <w:r>
        <w:rPr>
          <w:rFonts w:hint="eastAsia"/>
          <w:color w:val="auto"/>
          <w:highlight w:val="none"/>
        </w:rPr>
        <w:t>.2.23a）所定义的限值</w:t>
      </w:r>
      <w:r>
        <w:rPr>
          <w:rFonts w:hint="eastAsia"/>
          <w:color w:val="auto"/>
          <w:highlight w:val="none"/>
          <w:lang w:val="en-US" w:eastAsia="zh-CN"/>
        </w:rPr>
        <w:t>。根据制造商推荐的试验条件，</w:t>
      </w:r>
      <w:r>
        <w:rPr>
          <w:rFonts w:hint="default"/>
          <w:color w:val="auto"/>
          <w:highlight w:val="none"/>
          <w:lang w:val="en-US" w:eastAsia="zh-CN"/>
        </w:rPr>
        <w:t>通过动态试验确认</w:t>
      </w:r>
      <w:r>
        <w:rPr>
          <w:rFonts w:hint="eastAsia"/>
          <w:color w:val="auto"/>
          <w:highlight w:val="none"/>
          <w:lang w:val="en-US" w:eastAsia="zh-CN"/>
        </w:rPr>
        <w:t>紧急制动信号的发出和解除；</w:t>
      </w:r>
    </w:p>
    <w:p>
      <w:pPr>
        <w:pStyle w:val="180"/>
        <w:numPr>
          <w:ilvl w:val="0"/>
          <w:numId w:val="65"/>
        </w:numPr>
        <w:rPr>
          <w:color w:val="auto"/>
          <w:highlight w:val="none"/>
        </w:rPr>
      </w:pPr>
      <w:r>
        <w:rPr>
          <w:rFonts w:hint="eastAsia"/>
          <w:color w:val="auto"/>
          <w:highlight w:val="none"/>
          <w:lang w:val="en-US" w:eastAsia="zh-CN"/>
        </w:rPr>
        <w:t>若制造商声明</w:t>
      </w:r>
      <w:r>
        <w:rPr>
          <w:rFonts w:hint="eastAsia"/>
          <w:color w:val="auto"/>
          <w:highlight w:val="none"/>
        </w:rPr>
        <w:t>车速大于50</w:t>
      </w:r>
      <w:r>
        <w:rPr>
          <w:rFonts w:hint="eastAsia"/>
          <w:color w:val="auto"/>
          <w:highlight w:val="none"/>
          <w:lang w:val="en-US" w:eastAsia="zh-CN"/>
        </w:rPr>
        <w:t> </w:t>
      </w:r>
      <w:r>
        <w:rPr>
          <w:rFonts w:hint="eastAsia"/>
          <w:color w:val="auto"/>
          <w:highlight w:val="none"/>
        </w:rPr>
        <w:t>km/h且</w:t>
      </w:r>
      <w:r>
        <w:rPr>
          <w:rFonts w:hint="eastAsia"/>
          <w:color w:val="auto"/>
          <w:highlight w:val="none"/>
          <w:lang w:eastAsia="zh-CN"/>
        </w:rPr>
        <w:t>防抱</w:t>
      </w:r>
      <w:r>
        <w:rPr>
          <w:rFonts w:hint="eastAsia"/>
          <w:color w:val="auto"/>
          <w:highlight w:val="none"/>
        </w:rPr>
        <w:t>制动系统全循环时发出紧急制动信号</w:t>
      </w:r>
      <w:r>
        <w:rPr>
          <w:rFonts w:hint="eastAsia"/>
          <w:color w:val="auto"/>
          <w:highlight w:val="none"/>
          <w:lang w:eastAsia="zh-CN"/>
        </w:rPr>
        <w:t>，</w:t>
      </w:r>
      <w:r>
        <w:rPr>
          <w:rFonts w:hint="eastAsia"/>
          <w:color w:val="auto"/>
          <w:highlight w:val="none"/>
          <w:lang w:val="en-US" w:eastAsia="zh-CN"/>
        </w:rPr>
        <w:t>根据制造商推荐的试验条件，</w:t>
      </w:r>
      <w:r>
        <w:rPr>
          <w:rFonts w:hint="default"/>
          <w:color w:val="auto"/>
          <w:highlight w:val="none"/>
          <w:lang w:val="en-US" w:eastAsia="zh-CN"/>
        </w:rPr>
        <w:t>通过动态试验确认</w:t>
      </w:r>
      <w:r>
        <w:rPr>
          <w:rFonts w:hint="eastAsia"/>
          <w:color w:val="auto"/>
          <w:highlight w:val="none"/>
        </w:rPr>
        <w:t>紧急制动信号</w:t>
      </w:r>
      <w:r>
        <w:rPr>
          <w:rFonts w:hint="eastAsia"/>
          <w:color w:val="auto"/>
          <w:highlight w:val="none"/>
          <w:lang w:val="en-US" w:eastAsia="zh-CN"/>
        </w:rPr>
        <w:t>发出</w:t>
      </w:r>
      <w:r>
        <w:rPr>
          <w:rFonts w:hint="eastAsia"/>
          <w:color w:val="auto"/>
          <w:highlight w:val="none"/>
          <w:lang w:eastAsia="zh-CN"/>
        </w:rPr>
        <w:t>，</w:t>
      </w:r>
      <w:r>
        <w:rPr>
          <w:rFonts w:hint="eastAsia"/>
          <w:color w:val="auto"/>
          <w:highlight w:val="none"/>
          <w:lang w:val="en-US" w:eastAsia="zh-CN"/>
        </w:rPr>
        <w:t>并确认</w:t>
      </w:r>
      <w:r>
        <w:rPr>
          <w:rFonts w:hint="eastAsia" w:hAnsi="宋体"/>
          <w:color w:val="auto"/>
          <w:highlight w:val="none"/>
        </w:rPr>
        <w:t>防抱制动系统不再全循环时解除紧急制动信号。</w:t>
      </w:r>
    </w:p>
    <w:p>
      <w:pPr>
        <w:pStyle w:val="71"/>
        <w:spacing w:before="156" w:after="156"/>
        <w:rPr>
          <w:color w:val="auto"/>
          <w:highlight w:val="none"/>
        </w:rPr>
      </w:pPr>
      <w:bookmarkStart w:id="195" w:name="_Toc118580319"/>
      <w:r>
        <w:rPr>
          <w:rFonts w:hint="eastAsia"/>
          <w:color w:val="auto"/>
          <w:highlight w:val="none"/>
        </w:rPr>
        <w:t>ABS控制模式检查</w:t>
      </w:r>
      <w:bookmarkEnd w:id="195"/>
    </w:p>
    <w:p>
      <w:pPr>
        <w:pStyle w:val="62"/>
        <w:ind w:firstLine="420"/>
        <w:rPr>
          <w:color w:val="auto"/>
          <w:highlight w:val="none"/>
        </w:rPr>
      </w:pPr>
      <w:r>
        <w:rPr>
          <w:rFonts w:hint="eastAsia"/>
          <w:color w:val="auto"/>
          <w:highlight w:val="none"/>
        </w:rPr>
        <w:t>检查防抱制动系统的控制模式不能用手动装置来切断或改变。</w:t>
      </w:r>
    </w:p>
    <w:p>
      <w:pPr>
        <w:pStyle w:val="185"/>
        <w:rPr>
          <w:color w:val="auto"/>
          <w:highlight w:val="none"/>
        </w:rPr>
      </w:pPr>
      <w:r>
        <w:rPr>
          <w:rFonts w:hint="eastAsia"/>
          <w:color w:val="auto"/>
          <w:highlight w:val="none"/>
        </w:rPr>
        <w:t>如改变控制模式后能满足车辆防抱制动系的全部要求，则认为改变防抱制动系统控制模式的装置不受本条的限制。</w:t>
      </w:r>
    </w:p>
    <w:p>
      <w:pPr>
        <w:pStyle w:val="71"/>
        <w:spacing w:before="156" w:after="156"/>
        <w:rPr>
          <w:color w:val="auto"/>
          <w:highlight w:val="none"/>
        </w:rPr>
      </w:pPr>
      <w:bookmarkStart w:id="196" w:name="_Toc72156221"/>
      <w:bookmarkEnd w:id="196"/>
      <w:bookmarkStart w:id="197" w:name="_Toc118580320"/>
      <w:r>
        <w:rPr>
          <w:rFonts w:hint="eastAsia"/>
          <w:color w:val="auto"/>
          <w:highlight w:val="none"/>
        </w:rPr>
        <w:t>储能和供能检查</w:t>
      </w:r>
      <w:bookmarkEnd w:id="197"/>
    </w:p>
    <w:p>
      <w:pPr>
        <w:pStyle w:val="100"/>
        <w:spacing w:before="156" w:after="156"/>
        <w:rPr>
          <w:color w:val="auto"/>
          <w:highlight w:val="none"/>
        </w:rPr>
      </w:pPr>
      <w:r>
        <w:rPr>
          <w:rFonts w:hint="eastAsia"/>
          <w:color w:val="auto"/>
          <w:highlight w:val="none"/>
        </w:rPr>
        <w:t>总体要求</w:t>
      </w:r>
    </w:p>
    <w:p>
      <w:pPr>
        <w:pStyle w:val="62"/>
        <w:ind w:firstLine="420"/>
        <w:rPr>
          <w:color w:val="auto"/>
          <w:highlight w:val="none"/>
        </w:rPr>
      </w:pPr>
      <w:r>
        <w:rPr>
          <w:rFonts w:hint="eastAsia"/>
          <w:color w:val="auto"/>
          <w:highlight w:val="none"/>
        </w:rPr>
        <w:t>对助力制动系统和全动力制动系统的能源装置进行检查，确认其工作安全可靠。</w:t>
      </w:r>
    </w:p>
    <w:p>
      <w:pPr>
        <w:pStyle w:val="100"/>
        <w:spacing w:before="156" w:after="156"/>
        <w:rPr>
          <w:color w:val="auto"/>
          <w:highlight w:val="none"/>
        </w:rPr>
      </w:pPr>
      <w:r>
        <w:rPr>
          <w:rFonts w:hint="eastAsia"/>
          <w:color w:val="auto"/>
          <w:highlight w:val="none"/>
        </w:rPr>
        <w:t>助力制动系统</w:t>
      </w:r>
    </w:p>
    <w:p>
      <w:pPr>
        <w:pStyle w:val="62"/>
        <w:ind w:firstLine="420"/>
        <w:rPr>
          <w:rFonts w:hint="eastAsia" w:eastAsia="宋体"/>
          <w:color w:val="auto"/>
          <w:highlight w:val="none"/>
          <w:lang w:eastAsia="zh-CN"/>
        </w:rPr>
      </w:pPr>
      <w:r>
        <w:rPr>
          <w:rFonts w:hint="eastAsia" w:hAnsi="宋体"/>
          <w:color w:val="auto"/>
          <w:highlight w:val="none"/>
        </w:rPr>
        <w:t>根据制造商提供的资料确定仅靠</w:t>
      </w:r>
      <w:r>
        <w:rPr>
          <w:rFonts w:hint="eastAsia" w:hAnsi="宋体"/>
          <w:color w:val="auto"/>
          <w:highlight w:val="none"/>
          <w:lang w:eastAsia="zh-CN"/>
        </w:rPr>
        <w:t>驾驶人</w:t>
      </w:r>
      <w:r>
        <w:rPr>
          <w:rFonts w:hint="eastAsia" w:hAnsi="宋体"/>
          <w:color w:val="auto"/>
          <w:highlight w:val="none"/>
        </w:rPr>
        <w:t>体力是否能达到规定的应急制动性能。具体要求如下</w:t>
      </w:r>
      <w:r>
        <w:rPr>
          <w:rFonts w:hint="eastAsia" w:hAnsi="宋体"/>
          <w:color w:val="auto"/>
          <w:highlight w:val="none"/>
          <w:lang w:eastAsia="zh-CN"/>
        </w:rPr>
        <w:t>。</w:t>
      </w:r>
    </w:p>
    <w:p>
      <w:pPr>
        <w:pStyle w:val="180"/>
        <w:numPr>
          <w:ilvl w:val="0"/>
          <w:numId w:val="66"/>
        </w:numPr>
        <w:rPr>
          <w:color w:val="auto"/>
          <w:highlight w:val="none"/>
        </w:rPr>
      </w:pPr>
      <w:r>
        <w:rPr>
          <w:rFonts w:hint="eastAsia"/>
          <w:color w:val="auto"/>
          <w:highlight w:val="none"/>
        </w:rPr>
        <w:t>对仅靠</w:t>
      </w:r>
      <w:r>
        <w:rPr>
          <w:rFonts w:hint="eastAsia"/>
          <w:color w:val="auto"/>
          <w:highlight w:val="none"/>
          <w:lang w:eastAsia="zh-CN"/>
        </w:rPr>
        <w:t>驾驶人</w:t>
      </w:r>
      <w:r>
        <w:rPr>
          <w:rFonts w:hint="eastAsia"/>
          <w:color w:val="auto"/>
          <w:highlight w:val="none"/>
        </w:rPr>
        <w:t>体力即可达到应急制动性能的车辆，模拟助力失效进行动态试验。</w:t>
      </w:r>
    </w:p>
    <w:p>
      <w:pPr>
        <w:pStyle w:val="180"/>
        <w:numPr>
          <w:ilvl w:val="0"/>
          <w:numId w:val="66"/>
        </w:numPr>
        <w:rPr>
          <w:color w:val="auto"/>
          <w:highlight w:val="none"/>
        </w:rPr>
      </w:pPr>
      <w:r>
        <w:rPr>
          <w:rFonts w:hint="eastAsia"/>
          <w:color w:val="auto"/>
          <w:highlight w:val="none"/>
        </w:rPr>
        <w:t>对必须借助其他能量才能达到应急制动性能的车辆，模拟传输装置部分失效，确认未受失效影响的部分不仅能维持现有能量水平，而且能继续补充能量，并按本条c）进行储能检查。</w:t>
      </w:r>
    </w:p>
    <w:p>
      <w:pPr>
        <w:pStyle w:val="180"/>
        <w:numPr>
          <w:ilvl w:val="0"/>
          <w:numId w:val="66"/>
        </w:numPr>
        <w:rPr>
          <w:color w:val="auto"/>
          <w:highlight w:val="none"/>
        </w:rPr>
      </w:pPr>
      <w:r>
        <w:rPr>
          <w:rFonts w:hint="eastAsia"/>
          <w:color w:val="auto"/>
          <w:highlight w:val="none"/>
        </w:rPr>
        <w:t>能源失效条件下的储能检查：</w:t>
      </w:r>
    </w:p>
    <w:p>
      <w:pPr>
        <w:pStyle w:val="115"/>
        <w:numPr>
          <w:ilvl w:val="1"/>
          <w:numId w:val="62"/>
        </w:numPr>
        <w:rPr>
          <w:color w:val="auto"/>
          <w:highlight w:val="none"/>
        </w:rPr>
      </w:pPr>
      <w:r>
        <w:rPr>
          <w:rFonts w:hint="eastAsia"/>
          <w:color w:val="auto"/>
          <w:highlight w:val="none"/>
        </w:rPr>
        <w:t>断开辅助装置及其储能器，将压力调节至符合制造商规定但不高于接通压力</w:t>
      </w:r>
      <w:r>
        <w:rPr>
          <w:rFonts w:hint="eastAsia"/>
          <w:color w:val="auto"/>
          <w:highlight w:val="none"/>
          <w:lang w:eastAsia="zh-CN"/>
        </w:rPr>
        <w:t>；</w:t>
      </w:r>
    </w:p>
    <w:p>
      <w:pPr>
        <w:pStyle w:val="115"/>
        <w:numPr>
          <w:ilvl w:val="1"/>
          <w:numId w:val="62"/>
        </w:numPr>
        <w:rPr>
          <w:color w:val="auto"/>
          <w:highlight w:val="none"/>
        </w:rPr>
      </w:pPr>
      <w:r>
        <w:rPr>
          <w:rFonts w:hint="eastAsia"/>
          <w:color w:val="auto"/>
          <w:highlight w:val="none"/>
        </w:rPr>
        <w:t>通过启动电磁阀使泵输出至储液罐等方法使能量供应失效</w:t>
      </w:r>
      <w:r>
        <w:rPr>
          <w:rFonts w:hint="eastAsia"/>
          <w:color w:val="auto"/>
          <w:highlight w:val="none"/>
          <w:lang w:eastAsia="zh-CN"/>
        </w:rPr>
        <w:t>；</w:t>
      </w:r>
    </w:p>
    <w:p>
      <w:pPr>
        <w:pStyle w:val="115"/>
        <w:numPr>
          <w:ilvl w:val="1"/>
          <w:numId w:val="62"/>
        </w:numPr>
        <w:rPr>
          <w:color w:val="auto"/>
          <w:highlight w:val="none"/>
        </w:rPr>
      </w:pPr>
      <w:r>
        <w:rPr>
          <w:rFonts w:hint="eastAsia"/>
          <w:color w:val="auto"/>
          <w:highlight w:val="none"/>
        </w:rPr>
        <w:t>对行车制动控制装置进行4次全行程促动，记录储能器的剩余压力。进行第5次制动并记录可获得的管路压力。每次制动期间至少有1分钟的间隔。</w:t>
      </w:r>
    </w:p>
    <w:p>
      <w:pPr>
        <w:pStyle w:val="100"/>
        <w:spacing w:before="156" w:after="156"/>
        <w:rPr>
          <w:color w:val="auto"/>
          <w:highlight w:val="none"/>
        </w:rPr>
      </w:pPr>
      <w:r>
        <w:rPr>
          <w:rFonts w:hint="eastAsia"/>
          <w:color w:val="auto"/>
          <w:highlight w:val="none"/>
        </w:rPr>
        <w:t>全动力制动系统</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检查其至少有两个分别具有储能装置且分别作用于至少两个车轮上的独立回路，通过模拟传输装置部分失效，确认未受失效影响的部分不仅能维持现有压力，而且可以补充能量，并按8.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.3.2进行储能检查。</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检查能源失效条件下的储能：</w:t>
      </w:r>
    </w:p>
    <w:p>
      <w:pPr>
        <w:pStyle w:val="180"/>
        <w:numPr>
          <w:ilvl w:val="0"/>
          <w:numId w:val="67"/>
        </w:numPr>
        <w:rPr>
          <w:color w:val="auto"/>
          <w:highlight w:val="none"/>
        </w:rPr>
      </w:pPr>
      <w:r>
        <w:rPr>
          <w:rFonts w:hint="eastAsia"/>
          <w:color w:val="auto"/>
          <w:highlight w:val="none"/>
        </w:rPr>
        <w:t>断开辅助装置及其储能器，将压力调节至符合制造商规定但不高于接通压力；</w:t>
      </w:r>
    </w:p>
    <w:p>
      <w:pPr>
        <w:pStyle w:val="180"/>
        <w:numPr>
          <w:ilvl w:val="0"/>
          <w:numId w:val="67"/>
        </w:numPr>
        <w:rPr>
          <w:color w:val="auto"/>
          <w:highlight w:val="none"/>
        </w:rPr>
      </w:pPr>
      <w:r>
        <w:rPr>
          <w:rFonts w:hint="eastAsia"/>
          <w:color w:val="auto"/>
          <w:highlight w:val="none"/>
        </w:rPr>
        <w:t>通过启动电磁阀使泵输出至储液罐等方法使能量供应失效；</w:t>
      </w:r>
    </w:p>
    <w:p>
      <w:pPr>
        <w:pStyle w:val="180"/>
        <w:numPr>
          <w:ilvl w:val="0"/>
          <w:numId w:val="67"/>
        </w:numPr>
        <w:rPr>
          <w:color w:val="auto"/>
          <w:highlight w:val="none"/>
        </w:rPr>
      </w:pPr>
      <w:r>
        <w:rPr>
          <w:rFonts w:hint="eastAsia"/>
          <w:color w:val="auto"/>
          <w:highlight w:val="none"/>
        </w:rPr>
        <w:t>对行车制动进行4次全行程促动，记录储能器的剩余压力。进行第5次制动并记录可获得的管路压力。各次制动期间至少有1分钟的间隔。</w:t>
      </w:r>
    </w:p>
    <w:p>
      <w:pPr>
        <w:pStyle w:val="100"/>
        <w:spacing w:before="156" w:after="156"/>
        <w:rPr>
          <w:color w:val="auto"/>
          <w:highlight w:val="none"/>
        </w:rPr>
      </w:pPr>
      <w:r>
        <w:rPr>
          <w:rFonts w:hint="eastAsia"/>
          <w:color w:val="auto"/>
          <w:highlight w:val="none"/>
        </w:rPr>
        <w:t>储能式液压制动系统</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检查能源失效条件下的储能：</w:t>
      </w:r>
    </w:p>
    <w:p>
      <w:pPr>
        <w:pStyle w:val="180"/>
        <w:numPr>
          <w:ilvl w:val="0"/>
          <w:numId w:val="68"/>
        </w:numPr>
        <w:rPr>
          <w:color w:val="auto"/>
          <w:highlight w:val="none"/>
        </w:rPr>
      </w:pPr>
      <w:r>
        <w:rPr>
          <w:rFonts w:hint="eastAsia"/>
          <w:color w:val="auto"/>
          <w:highlight w:val="none"/>
        </w:rPr>
        <w:t>断开辅助装置及其储能器，将压力调节至符合制造商规定但不高于接通压力。</w:t>
      </w:r>
    </w:p>
    <w:p>
      <w:pPr>
        <w:pStyle w:val="180"/>
        <w:numPr>
          <w:ilvl w:val="0"/>
          <w:numId w:val="68"/>
        </w:numPr>
        <w:rPr>
          <w:color w:val="auto"/>
          <w:highlight w:val="none"/>
        </w:rPr>
      </w:pPr>
      <w:r>
        <w:rPr>
          <w:rFonts w:hint="eastAsia"/>
          <w:color w:val="auto"/>
          <w:highlight w:val="none"/>
        </w:rPr>
        <w:t>不补充能量，对行车制动进行8次全行程促动，记录储能器的剩余压力。进行第9次制动并记录可获得的管路压力。各次制动期间至少有1分钟的间隔。</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对不满足8.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.2 b）或8.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.3.1要求的车辆，模拟管路失效导致能源失效时的储能检查：</w:t>
      </w:r>
    </w:p>
    <w:p>
      <w:pPr>
        <w:pStyle w:val="180"/>
        <w:numPr>
          <w:ilvl w:val="0"/>
          <w:numId w:val="69"/>
        </w:numPr>
        <w:rPr>
          <w:color w:val="auto"/>
          <w:highlight w:val="none"/>
        </w:rPr>
      </w:pPr>
      <w:r>
        <w:rPr>
          <w:rFonts w:hint="eastAsia"/>
          <w:color w:val="auto"/>
          <w:highlight w:val="none"/>
        </w:rPr>
        <w:t>断开辅助装置及其储能器，将压力调节至符合制造商规定但不高于接通压力；</w:t>
      </w:r>
    </w:p>
    <w:p>
      <w:pPr>
        <w:pStyle w:val="180"/>
        <w:numPr>
          <w:ilvl w:val="0"/>
          <w:numId w:val="69"/>
        </w:numPr>
        <w:rPr>
          <w:color w:val="auto"/>
          <w:highlight w:val="none"/>
        </w:rPr>
      </w:pPr>
      <w:r>
        <w:rPr>
          <w:rFonts w:hint="eastAsia"/>
          <w:color w:val="auto"/>
          <w:highlight w:val="none"/>
        </w:rPr>
        <w:t>能源供应停止或发动机以怠速运转；</w:t>
      </w:r>
    </w:p>
    <w:p>
      <w:pPr>
        <w:pStyle w:val="180"/>
        <w:numPr>
          <w:ilvl w:val="0"/>
          <w:numId w:val="69"/>
        </w:numPr>
        <w:rPr>
          <w:color w:val="auto"/>
          <w:highlight w:val="none"/>
        </w:rPr>
      </w:pPr>
      <w:r>
        <w:rPr>
          <w:rFonts w:hint="eastAsia"/>
          <w:color w:val="auto"/>
          <w:highlight w:val="none"/>
        </w:rPr>
        <w:t>模拟传输失效，对行车制动进行8次全行程制动并记录储能器的剩余压力，进行第9次制动并记录可获得的管路压力。</w:t>
      </w:r>
    </w:p>
    <w:p>
      <w:pPr>
        <w:pStyle w:val="100"/>
        <w:spacing w:before="156" w:after="156"/>
        <w:rPr>
          <w:color w:val="auto"/>
          <w:highlight w:val="none"/>
        </w:rPr>
      </w:pPr>
      <w:r>
        <w:rPr>
          <w:rFonts w:hint="eastAsia"/>
          <w:color w:val="auto"/>
          <w:highlight w:val="none"/>
        </w:rPr>
        <w:t>储能装置的报警条件检查</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起动动力装置，增压并记录制造商规定的储能装置的最大系统工作压力（切断压力）</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p</m:t>
            </m:r>
            <m:ctrlPr>
              <w:rPr>
                <w:rFonts w:ascii="Cambria Math" w:hAnsi="Cambria Math" w:eastAsia="宋体"/>
                <w:color w:val="auto"/>
                <w:highlight w:val="none"/>
              </w:rPr>
            </m:ctrlPr>
          </m:e>
          <m:sub>
            <m:r>
              <m:rPr>
                <m:sty m:val="p"/>
              </m:rPr>
              <w:rPr>
                <w:rFonts w:ascii="Cambria Math" w:hAnsi="Cambria Math" w:eastAsia="宋体"/>
                <w:color w:val="auto"/>
                <w:highlight w:val="none"/>
              </w:rPr>
              <m:t>1</m:t>
            </m:r>
            <m:ctrlPr>
              <w:rPr>
                <w:rFonts w:ascii="Cambria Math" w:hAnsi="Cambria Math" w:eastAsia="宋体"/>
                <w:color w:val="auto"/>
                <w:highlight w:val="none"/>
              </w:rPr>
            </m:ctrlPr>
          </m:sub>
        </m:sSub>
      </m:oMath>
      <w:r>
        <w:rPr>
          <w:rFonts w:hint="eastAsia" w:ascii="宋体" w:hAnsi="宋体" w:eastAsia="宋体"/>
          <w:color w:val="auto"/>
          <w:highlight w:val="none"/>
        </w:rPr>
        <w:t>；逐步减压并记录接通压力。如接通压力与制造商规定的最低压力不同，</w:t>
      </w:r>
      <w:r>
        <w:rPr>
          <w:rFonts w:hint="eastAsia" w:ascii="宋体" w:hAnsi="宋体" w:eastAsia="宋体"/>
          <w:color w:val="auto"/>
          <w:highlight w:val="none"/>
          <w:lang w:val="en-US" w:eastAsia="zh-CN"/>
        </w:rPr>
        <w:t>另外</w:t>
      </w:r>
      <w:r>
        <w:rPr>
          <w:rFonts w:hint="eastAsia" w:ascii="宋体" w:hAnsi="宋体" w:eastAsia="宋体"/>
          <w:color w:val="auto"/>
          <w:highlight w:val="none"/>
        </w:rPr>
        <w:t>记录最低压力，并确认最低压力不高于实际测量的接通压力。</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对系统进行检查，确认除压力测量装置外还装备光学或声学低压报警装置，且报警装置与每条回路永久相连，光学信号符合5.2.21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w:t>
      </w:r>
      <w:r>
        <w:rPr>
          <w:rFonts w:ascii="宋体" w:hAnsi="宋体" w:eastAsia="宋体"/>
          <w:color w:val="auto"/>
          <w:highlight w:val="none"/>
        </w:rPr>
        <w:t>)</w:t>
      </w:r>
      <w:r>
        <w:rPr>
          <w:rFonts w:hint="eastAsia" w:ascii="宋体" w:hAnsi="宋体" w:eastAsia="宋体"/>
          <w:color w:val="auto"/>
          <w:highlight w:val="none"/>
        </w:rPr>
        <w:t>对红色报警信号的规定。</w:t>
      </w:r>
    </w:p>
    <w:p>
      <w:pPr>
        <w:pStyle w:val="180"/>
        <w:numPr>
          <w:ilvl w:val="0"/>
          <w:numId w:val="70"/>
        </w:numPr>
        <w:rPr>
          <w:color w:val="auto"/>
          <w:highlight w:val="none"/>
        </w:rPr>
      </w:pPr>
      <w:r>
        <w:rPr>
          <w:rFonts w:hint="eastAsia"/>
          <w:color w:val="auto"/>
          <w:highlight w:val="none"/>
        </w:rPr>
        <w:t>动力装置正常运行且制动系统无故障时，确认除动力装置起动后给储能装置通电期间外，报警装置不报警。</w:t>
      </w:r>
    </w:p>
    <w:p>
      <w:pPr>
        <w:pStyle w:val="180"/>
        <w:numPr>
          <w:ilvl w:val="0"/>
          <w:numId w:val="70"/>
        </w:numPr>
        <w:rPr>
          <w:color w:val="auto"/>
          <w:highlight w:val="none"/>
        </w:rPr>
      </w:pPr>
      <w:r>
        <w:rPr>
          <w:rFonts w:hint="eastAsia"/>
          <w:color w:val="auto"/>
          <w:highlight w:val="none"/>
        </w:rPr>
        <w:t>消耗能量至报警信号点亮，在不补充能量的情况下，进行4次全行程行车制动并记录储能器的剩余压力，进行第5次制动并记录可获得的管路压力。</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.4.2所述车辆，确认除压力测量装置外还装备光学和声学报警信号，且光学信号先于或与声学信号同时报警。</w:t>
      </w:r>
      <w:r>
        <w:rPr>
          <w:rFonts w:hint="eastAsia" w:ascii="宋体" w:hAnsi="宋体" w:eastAsia="宋体"/>
          <w:color w:val="auto"/>
          <w:highlight w:val="none"/>
          <w:lang w:val="en-US" w:eastAsia="zh-CN"/>
        </w:rPr>
        <w:t>确认</w:t>
      </w:r>
      <w:r>
        <w:rPr>
          <w:rFonts w:hint="eastAsia" w:ascii="宋体" w:hAnsi="宋体" w:eastAsia="宋体"/>
          <w:color w:val="auto"/>
          <w:highlight w:val="none"/>
        </w:rPr>
        <w:t>光学信号符合5.2.21a</w:t>
      </w:r>
      <w:r>
        <w:rPr>
          <w:rFonts w:ascii="宋体" w:hAnsi="宋体" w:eastAsia="宋体"/>
          <w:color w:val="auto"/>
          <w:highlight w:val="none"/>
        </w:rPr>
        <w:t>)</w:t>
      </w:r>
      <w:r>
        <w:rPr>
          <w:rFonts w:hint="eastAsia" w:ascii="宋体" w:hAnsi="宋体" w:eastAsia="宋体"/>
          <w:color w:val="auto"/>
          <w:highlight w:val="none"/>
        </w:rPr>
        <w:t>对红色报警信号的规定，在点火（起动）开关处于“ON”（“RUN”）时保持点亮。</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当应用驻车制动和/或自动变速器操纵杆位于“驻车”挡时，</w:t>
      </w:r>
      <w:r>
        <w:rPr>
          <w:rFonts w:hint="eastAsia" w:ascii="宋体" w:hAnsi="宋体" w:eastAsia="宋体"/>
          <w:color w:val="auto"/>
          <w:highlight w:val="none"/>
          <w:lang w:val="en-US" w:eastAsia="zh-CN"/>
        </w:rPr>
        <w:t>确认</w:t>
      </w:r>
      <w:r>
        <w:rPr>
          <w:rFonts w:hint="eastAsia" w:ascii="宋体" w:hAnsi="宋体" w:eastAsia="宋体"/>
          <w:color w:val="auto"/>
          <w:highlight w:val="none"/>
        </w:rPr>
        <w:t>声学报警装置不工作。</w:t>
      </w:r>
    </w:p>
    <w:p>
      <w:pPr>
        <w:pStyle w:val="71"/>
        <w:spacing w:before="156" w:after="156"/>
        <w:rPr>
          <w:color w:val="auto"/>
          <w:highlight w:val="none"/>
        </w:rPr>
      </w:pPr>
      <w:bookmarkStart w:id="198" w:name="_Toc118580322"/>
      <w:r>
        <w:rPr>
          <w:rFonts w:hint="eastAsia"/>
          <w:color w:val="auto"/>
          <w:highlight w:val="none"/>
        </w:rPr>
        <w:t>液压能源的容量检查</w:t>
      </w:r>
      <w:bookmarkEnd w:id="198"/>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对系统补充充能至切断压力</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p</m:t>
            </m:r>
            <m:ctrlPr>
              <w:rPr>
                <w:rFonts w:ascii="Cambria Math" w:hAnsi="Cambria Math" w:eastAsia="宋体"/>
                <w:color w:val="auto"/>
                <w:highlight w:val="none"/>
              </w:rPr>
            </m:ctrlPr>
          </m:e>
          <m:sub>
            <m:r>
              <m:rPr>
                <m:sty m:val="p"/>
              </m:rPr>
              <w:rPr>
                <w:rFonts w:ascii="Cambria Math" w:hAnsi="Cambria Math" w:eastAsia="宋体"/>
                <w:color w:val="auto"/>
                <w:highlight w:val="none"/>
              </w:rPr>
              <m:t>1</m:t>
            </m:r>
            <m:ctrlPr>
              <w:rPr>
                <w:rFonts w:ascii="Cambria Math" w:hAnsi="Cambria Math" w:eastAsia="宋体"/>
                <w:color w:val="auto"/>
                <w:highlight w:val="none"/>
              </w:rPr>
            </m:ctrlPr>
          </m:sub>
        </m:sSub>
      </m:oMath>
      <w:r>
        <w:rPr>
          <w:rFonts w:hint="eastAsia" w:ascii="宋体" w:hAnsi="宋体" w:eastAsia="宋体"/>
          <w:color w:val="auto"/>
          <w:highlight w:val="none"/>
        </w:rPr>
        <w:t>，停止充能，进行4次全行程行车制动，记录剩余压力</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p</m:t>
            </m:r>
            <m:ctrlPr>
              <w:rPr>
                <w:rFonts w:ascii="Cambria Math" w:hAnsi="Cambria Math" w:eastAsia="宋体"/>
                <w:color w:val="auto"/>
                <w:highlight w:val="none"/>
              </w:rPr>
            </m:ctrlPr>
          </m:e>
          <m:sub>
            <m:r>
              <m:rPr>
                <m:sty m:val="p"/>
              </m:rPr>
              <w:rPr>
                <w:rFonts w:ascii="Cambria Math" w:hAnsi="Cambria Math" w:eastAsia="宋体"/>
                <w:color w:val="auto"/>
                <w:highlight w:val="none"/>
              </w:rPr>
              <m:t>2</m:t>
            </m:r>
            <m:ctrlPr>
              <w:rPr>
                <w:rFonts w:ascii="Cambria Math" w:hAnsi="Cambria Math" w:eastAsia="宋体"/>
                <w:color w:val="auto"/>
                <w:highlight w:val="none"/>
              </w:rPr>
            </m:ctrlPr>
          </m:sub>
        </m:sSub>
      </m:oMath>
      <w:r>
        <w:rPr>
          <w:rFonts w:hint="eastAsia" w:ascii="宋体" w:hAnsi="宋体" w:eastAsia="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在不向储能装置补充能量的情况下，将系统压力调节至</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p</m:t>
            </m:r>
            <m:ctrlPr>
              <w:rPr>
                <w:rFonts w:ascii="Cambria Math" w:hAnsi="Cambria Math" w:eastAsia="宋体"/>
                <w:color w:val="auto"/>
                <w:highlight w:val="none"/>
              </w:rPr>
            </m:ctrlPr>
          </m:e>
          <m:sub>
            <m:r>
              <m:rPr>
                <m:sty m:val="p"/>
              </m:rPr>
              <w:rPr>
                <w:rFonts w:ascii="Cambria Math" w:hAnsi="Cambria Math" w:eastAsia="宋体"/>
                <w:color w:val="auto"/>
                <w:highlight w:val="none"/>
              </w:rPr>
              <m:t>2</m:t>
            </m:r>
            <m:ctrlPr>
              <w:rPr>
                <w:rFonts w:ascii="Cambria Math" w:hAnsi="Cambria Math" w:eastAsia="宋体"/>
                <w:color w:val="auto"/>
                <w:highlight w:val="none"/>
              </w:rPr>
            </m:ctrlPr>
          </m:sub>
        </m:sSub>
      </m:oMath>
      <w:r>
        <w:rPr>
          <w:rFonts w:hint="eastAsia" w:ascii="宋体" w:hAnsi="宋体" w:eastAsia="宋体"/>
          <w:color w:val="auto"/>
          <w:highlight w:val="none"/>
        </w:rPr>
        <w:t>。动力装置以最大功率转速或超速调节器允许的最大转速运行，给系统补充能量，记录最不利的储能装置的压力上升至</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p</m:t>
            </m:r>
            <m:ctrlPr>
              <w:rPr>
                <w:rFonts w:ascii="Cambria Math" w:hAnsi="Cambria Math" w:eastAsia="宋体"/>
                <w:color w:val="auto"/>
                <w:highlight w:val="none"/>
              </w:rPr>
            </m:ctrlPr>
          </m:e>
          <m:sub>
            <m:r>
              <m:rPr>
                <m:sty m:val="p"/>
              </m:rPr>
              <w:rPr>
                <w:rFonts w:ascii="Cambria Math" w:hAnsi="Cambria Math" w:eastAsia="宋体"/>
                <w:color w:val="auto"/>
                <w:highlight w:val="none"/>
              </w:rPr>
              <m:t>1</m:t>
            </m:r>
            <m:ctrlPr>
              <w:rPr>
                <w:rFonts w:ascii="Cambria Math" w:hAnsi="Cambria Math" w:eastAsia="宋体"/>
                <w:color w:val="auto"/>
                <w:highlight w:val="none"/>
              </w:rPr>
            </m:ctrlPr>
          </m:sub>
        </m:sSub>
      </m:oMath>
      <w:r>
        <w:rPr>
          <w:rFonts w:hint="eastAsia" w:ascii="宋体" w:hAnsi="宋体" w:eastAsia="宋体"/>
          <w:color w:val="auto"/>
          <w:highlight w:val="none"/>
        </w:rPr>
        <w:t>所需要的时间</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t</m:t>
            </m:r>
            <m:ctrlPr>
              <w:rPr>
                <w:rFonts w:ascii="Cambria Math" w:hAnsi="Cambria Math" w:eastAsia="宋体"/>
                <w:color w:val="auto"/>
                <w:highlight w:val="none"/>
              </w:rPr>
            </m:ctrlPr>
          </m:e>
          <m:sub>
            <m:r>
              <m:rPr>
                <m:sty m:val="p"/>
              </m:rPr>
              <w:rPr>
                <w:rFonts w:ascii="Cambria Math" w:hAnsi="Cambria Math" w:eastAsia="宋体"/>
                <w:color w:val="auto"/>
                <w:highlight w:val="none"/>
              </w:rPr>
              <m:t>0</m:t>
            </m:r>
            <m:r>
              <m:rPr>
                <m:sty m:val="p"/>
              </m:rPr>
              <w:rPr>
                <w:rFonts w:hint="eastAsia" w:ascii="微软雅黑" w:hAnsi="微软雅黑" w:eastAsia="微软雅黑" w:cs="微软雅黑"/>
                <w:color w:val="auto"/>
                <w:highlight w:val="none"/>
              </w:rPr>
              <m:t>−</m:t>
            </m:r>
            <m:r>
              <m:rPr>
                <m:sty m:val="p"/>
              </m:rPr>
              <w:rPr>
                <w:rFonts w:ascii="Cambria Math" w:hAnsi="Cambria Math" w:eastAsia="宋体"/>
                <w:color w:val="auto"/>
                <w:highlight w:val="none"/>
              </w:rPr>
              <m:t>1</m:t>
            </m:r>
            <m:ctrlPr>
              <w:rPr>
                <w:rFonts w:ascii="Cambria Math" w:hAnsi="Cambria Math" w:eastAsia="宋体"/>
                <w:color w:val="auto"/>
                <w:highlight w:val="none"/>
              </w:rPr>
            </m:ctrlPr>
          </m:sub>
        </m:sSub>
      </m:oMath>
      <w:r>
        <w:rPr>
          <w:rFonts w:hint="eastAsia" w:ascii="宋体" w:hAnsi="宋体" w:eastAsia="宋体"/>
          <w:color w:val="auto"/>
          <w:highlight w:val="none"/>
        </w:rPr>
        <w:t>，检查该时间等于或小于20</w:t>
      </w:r>
      <w:r>
        <w:rPr>
          <w:rFonts w:hint="eastAsia"/>
          <w:color w:val="auto"/>
          <w:highlight w:val="none"/>
          <w:lang w:val="en-US" w:eastAsia="zh-CN"/>
        </w:rPr>
        <w:t> </w:t>
      </w:r>
      <w:r>
        <w:rPr>
          <w:rFonts w:hint="eastAsia" w:ascii="宋体" w:hAnsi="宋体" w:eastAsia="宋体"/>
          <w:color w:val="auto"/>
          <w:highlight w:val="none"/>
        </w:rPr>
        <w:t>s。除自动断开外，</w:t>
      </w:r>
      <w:r>
        <w:rPr>
          <w:rFonts w:hint="eastAsia" w:ascii="宋体" w:hAnsi="宋体" w:eastAsia="宋体"/>
          <w:color w:val="auto"/>
          <w:highlight w:val="none"/>
          <w:lang w:val="en-US" w:eastAsia="zh-CN"/>
        </w:rPr>
        <w:t>确认</w:t>
      </w:r>
      <w:r>
        <w:rPr>
          <w:rFonts w:hint="eastAsia" w:ascii="宋体" w:hAnsi="宋体" w:eastAsia="宋体"/>
          <w:color w:val="auto"/>
          <w:highlight w:val="none"/>
        </w:rPr>
        <w:t>试验</w:t>
      </w:r>
      <w:r>
        <w:rPr>
          <w:rFonts w:hint="eastAsia" w:ascii="宋体" w:hAnsi="宋体" w:eastAsia="宋体"/>
          <w:color w:val="auto"/>
          <w:highlight w:val="none"/>
          <w:lang w:val="en-US" w:eastAsia="zh-CN"/>
        </w:rPr>
        <w:t>在</w:t>
      </w:r>
      <w:r>
        <w:rPr>
          <w:rFonts w:hint="eastAsia" w:ascii="宋体" w:hAnsi="宋体" w:eastAsia="宋体"/>
          <w:color w:val="auto"/>
          <w:highlight w:val="none"/>
        </w:rPr>
        <w:t>辅助设备的供能装置</w:t>
      </w:r>
      <w:r>
        <w:rPr>
          <w:rFonts w:hint="eastAsia" w:ascii="宋体" w:hAnsi="宋体" w:eastAsia="宋体"/>
          <w:color w:val="auto"/>
          <w:highlight w:val="none"/>
          <w:lang w:val="en-US" w:eastAsia="zh-CN"/>
        </w:rPr>
        <w:t>未断开的状态下进行</w:t>
      </w:r>
      <w:r>
        <w:rPr>
          <w:rFonts w:hint="eastAsia" w:ascii="宋体" w:hAnsi="宋体" w:eastAsia="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动力装置停机，从符合制造商规定但不超过接通压力的压力开始，全行程促动</w:t>
      </w:r>
      <w:r>
        <w:rPr>
          <w:rFonts w:hint="eastAsia" w:ascii="宋体" w:hAnsi="宋体" w:eastAsia="宋体"/>
          <w:color w:val="auto"/>
          <w:highlight w:val="none"/>
          <w:lang w:val="en-US" w:eastAsia="zh-CN"/>
        </w:rPr>
        <w:t>2次</w:t>
      </w:r>
      <w:r>
        <w:rPr>
          <w:rFonts w:hint="eastAsia" w:ascii="宋体" w:hAnsi="宋体" w:eastAsia="宋体"/>
          <w:color w:val="auto"/>
          <w:highlight w:val="none"/>
        </w:rPr>
        <w:t>行车制动</w:t>
      </w:r>
      <w:r>
        <w:rPr>
          <w:rFonts w:hint="eastAsia" w:ascii="宋体" w:hAnsi="宋体" w:eastAsia="宋体"/>
          <w:color w:val="auto"/>
          <w:highlight w:val="none"/>
          <w:lang w:val="en-US" w:eastAsia="zh-CN"/>
        </w:rPr>
        <w:t>控制装置后</w:t>
      </w:r>
      <w:r>
        <w:rPr>
          <w:rFonts w:hint="eastAsia" w:ascii="宋体" w:hAnsi="宋体" w:eastAsia="宋体"/>
          <w:color w:val="auto"/>
          <w:highlight w:val="none"/>
        </w:rPr>
        <w:t>，确认报警装置不报警。</w:t>
      </w:r>
    </w:p>
    <w:p>
      <w:pPr>
        <w:pStyle w:val="71"/>
        <w:spacing w:before="156" w:after="156"/>
        <w:rPr>
          <w:color w:val="auto"/>
          <w:highlight w:val="none"/>
        </w:rPr>
      </w:pPr>
      <w:bookmarkStart w:id="199" w:name="_Toc118580323"/>
      <w:r>
        <w:rPr>
          <w:rFonts w:hint="eastAsia"/>
          <w:color w:val="auto"/>
          <w:highlight w:val="none"/>
        </w:rPr>
        <w:t>辅助设备检查</w:t>
      </w:r>
      <w:bookmarkEnd w:id="199"/>
    </w:p>
    <w:p>
      <w:pPr>
        <w:pStyle w:val="62"/>
        <w:ind w:firstLine="420"/>
        <w:rPr>
          <w:color w:val="auto"/>
          <w:highlight w:val="none"/>
        </w:rPr>
      </w:pPr>
      <w:r>
        <w:rPr>
          <w:rFonts w:hint="eastAsia" w:hAnsi="宋体"/>
          <w:color w:val="auto"/>
          <w:highlight w:val="none"/>
        </w:rPr>
        <w:t>检查确定采用制动储能装置供能的辅助设备；在未充能的情况下将储能装置调整到接通压力，打开上述所有辅助装置使其工作，检查制动系统储能装置的压力未下降至报警装置工作压力水平以下。</w:t>
      </w:r>
    </w:p>
    <w:p>
      <w:pPr>
        <w:pStyle w:val="111"/>
        <w:spacing w:before="156" w:after="156"/>
        <w:rPr>
          <w:color w:val="auto"/>
          <w:highlight w:val="none"/>
        </w:rPr>
      </w:pPr>
      <w:bookmarkStart w:id="200" w:name="_Toc72156222"/>
      <w:bookmarkEnd w:id="200"/>
      <w:bookmarkStart w:id="201" w:name="_Toc72156282"/>
      <w:bookmarkStart w:id="202" w:name="_Toc118580324"/>
      <w:bookmarkStart w:id="203" w:name="_Toc2526"/>
      <w:bookmarkStart w:id="204" w:name="_Toc109891131"/>
      <w:r>
        <w:rPr>
          <w:rFonts w:hint="eastAsia"/>
          <w:color w:val="auto"/>
          <w:highlight w:val="none"/>
        </w:rPr>
        <w:t>动态试验</w:t>
      </w:r>
      <w:bookmarkEnd w:id="201"/>
      <w:bookmarkEnd w:id="202"/>
      <w:bookmarkEnd w:id="203"/>
      <w:bookmarkEnd w:id="204"/>
    </w:p>
    <w:p>
      <w:pPr>
        <w:pStyle w:val="71"/>
        <w:spacing w:before="156" w:after="156"/>
        <w:rPr>
          <w:color w:val="auto"/>
          <w:highlight w:val="none"/>
        </w:rPr>
      </w:pPr>
      <w:bookmarkStart w:id="205" w:name="_Toc72156223"/>
      <w:bookmarkEnd w:id="205"/>
      <w:bookmarkStart w:id="206" w:name="_Toc118580325"/>
      <w:r>
        <w:rPr>
          <w:rFonts w:hint="eastAsia"/>
          <w:color w:val="auto"/>
          <w:highlight w:val="none"/>
        </w:rPr>
        <w:t>总体要求</w:t>
      </w:r>
      <w:bookmarkEnd w:id="206"/>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动态试验应在风力不致影响试验结果的情况下进行</w:t>
      </w:r>
      <w:r>
        <w:rPr>
          <w:rFonts w:ascii="宋体" w:hAnsi="宋体" w:eastAsia="宋体"/>
          <w:color w:val="auto"/>
          <w:highlight w:val="none"/>
        </w:rPr>
        <w:t>。</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试验应在规定车速</w:t>
      </w:r>
      <m:oMath>
        <m:d>
          <m:dPr>
            <m:ctrlPr>
              <w:rPr>
                <w:rFonts w:ascii="Cambria Math" w:hAnsi="Cambria Math"/>
                <w:i/>
                <w:color w:val="auto"/>
                <w:highlight w:val="none"/>
              </w:rPr>
            </m:ctrlPr>
          </m:dPr>
          <m:e>
            <m:r>
              <m:rPr/>
              <w:rPr>
                <w:rFonts w:hint="eastAsia" w:ascii="Cambria Math" w:hAnsi="Cambria Math"/>
                <w:color w:val="auto"/>
                <w:highlight w:val="none"/>
              </w:rPr>
              <m:t>v</m:t>
            </m:r>
            <m:ctrlPr>
              <w:rPr>
                <w:rFonts w:ascii="Cambria Math" w:hAnsi="Cambria Math"/>
                <w:i/>
                <w:color w:val="auto"/>
                <w:highlight w:val="none"/>
              </w:rPr>
            </m:ctrlPr>
          </m:e>
        </m:d>
      </m:oMath>
      <w:r>
        <w:rPr>
          <w:rFonts w:hint="eastAsia" w:ascii="宋体" w:hAnsi="宋体" w:eastAsia="宋体"/>
          <w:color w:val="auto"/>
          <w:highlight w:val="none"/>
        </w:rPr>
        <w:t>下进行，实际试验车速与规定车速的误差不应超过±2%。试验时，应将车辆加速至规定车速以上5</w:t>
      </w:r>
      <w:r>
        <w:rPr>
          <w:rFonts w:hint="eastAsia"/>
          <w:color w:val="auto"/>
          <w:highlight w:val="none"/>
          <w:lang w:val="en-US" w:eastAsia="zh-CN"/>
        </w:rPr>
        <w:t> </w:t>
      </w:r>
      <w:r>
        <w:rPr>
          <w:rFonts w:hint="eastAsia" w:ascii="宋体" w:hAnsi="宋体" w:eastAsia="宋体"/>
          <w:color w:val="auto"/>
          <w:highlight w:val="none"/>
        </w:rPr>
        <w:t>km/h，松开加速踏板，在车速下降至试验规定车速时进行制动。如最高设计车速低于规定试验车速，应以车辆可持续保持的最高车速进行试验。</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除特殊声明外，所有动态试验的制动操作应在最短的时间内达到预定的控制力或管路压力限值。</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车辆在制动前沿试验通道中线行驶，在制动过程中保持稳定，横摆角应小于等于15°，不应偏离3.5</w:t>
      </w:r>
      <w:r>
        <w:rPr>
          <w:rFonts w:hint="eastAsia"/>
          <w:color w:val="auto"/>
          <w:highlight w:val="none"/>
          <w:lang w:val="en-US" w:eastAsia="zh-CN"/>
        </w:rPr>
        <w:t> </w:t>
      </w:r>
      <w:r>
        <w:rPr>
          <w:rFonts w:hint="eastAsia" w:ascii="宋体" w:hAnsi="宋体" w:eastAsia="宋体"/>
          <w:color w:val="auto"/>
          <w:highlight w:val="none"/>
        </w:rPr>
        <w:t>m宽的试验通道，也不应发生异常振动。</w:t>
      </w:r>
      <w:r>
        <w:rPr>
          <w:rStyle w:val="38"/>
          <w:rFonts w:hint="eastAsia" w:ascii="Calibri" w:hAnsi="Calibri" w:eastAsia="宋体"/>
          <w:color w:val="auto"/>
          <w:kern w:val="2"/>
          <w:highlight w:val="none"/>
        </w:rPr>
        <w:t>特殊说明除外，车速</w:t>
      </w:r>
      <w:r>
        <w:rPr>
          <w:rFonts w:ascii="宋体" w:hAnsi="宋体" w:eastAsia="宋体"/>
          <w:color w:val="auto"/>
          <w:highlight w:val="none"/>
        </w:rPr>
        <w:t>超过15</w:t>
      </w:r>
      <w:r>
        <w:rPr>
          <w:rFonts w:hint="eastAsia"/>
          <w:color w:val="auto"/>
          <w:highlight w:val="none"/>
          <w:lang w:val="en-US" w:eastAsia="zh-CN"/>
        </w:rPr>
        <w:t> </w:t>
      </w:r>
      <w:r>
        <w:rPr>
          <w:rFonts w:ascii="宋体" w:hAnsi="宋体" w:eastAsia="宋体"/>
          <w:color w:val="auto"/>
          <w:highlight w:val="none"/>
        </w:rPr>
        <w:t>km/h时</w:t>
      </w:r>
      <w:r>
        <w:rPr>
          <w:rFonts w:hint="eastAsia" w:ascii="宋体" w:hAnsi="宋体" w:eastAsia="宋体"/>
          <w:color w:val="auto"/>
          <w:highlight w:val="none"/>
        </w:rPr>
        <w:t>不应</w:t>
      </w:r>
      <w:r>
        <w:rPr>
          <w:rFonts w:ascii="宋体" w:hAnsi="宋体" w:eastAsia="宋体"/>
          <w:color w:val="auto"/>
          <w:highlight w:val="none"/>
        </w:rPr>
        <w:t>发生车轮抱死</w:t>
      </w:r>
      <w:r>
        <w:rPr>
          <w:rFonts w:hint="eastAsia" w:ascii="宋体" w:hAnsi="宋体" w:eastAsia="宋体"/>
          <w:color w:val="auto"/>
          <w:highlight w:val="none"/>
        </w:rPr>
        <w:t>。</w:t>
      </w:r>
    </w:p>
    <w:p>
      <w:pPr>
        <w:pStyle w:val="71"/>
        <w:spacing w:before="156" w:after="156"/>
        <w:rPr>
          <w:color w:val="auto"/>
          <w:highlight w:val="none"/>
        </w:rPr>
      </w:pPr>
      <w:bookmarkStart w:id="207" w:name="_Toc72156224"/>
      <w:bookmarkEnd w:id="207"/>
      <w:bookmarkStart w:id="208" w:name="_Toc118580326"/>
      <w:r>
        <w:rPr>
          <w:rFonts w:hint="eastAsia"/>
          <w:color w:val="auto"/>
          <w:highlight w:val="none"/>
        </w:rPr>
        <w:t>车辆准备</w:t>
      </w:r>
      <w:bookmarkEnd w:id="208"/>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lang w:val="en-US" w:eastAsia="zh-CN"/>
        </w:rPr>
        <w:t>根据试验条件，</w:t>
      </w:r>
      <w:r>
        <w:rPr>
          <w:rFonts w:hint="eastAsia" w:ascii="宋体" w:hAnsi="宋体" w:eastAsia="宋体"/>
          <w:color w:val="auto"/>
          <w:highlight w:val="none"/>
        </w:rPr>
        <w:t>按</w:t>
      </w:r>
      <w:r>
        <w:rPr>
          <w:rFonts w:hint="eastAsia" w:ascii="宋体" w:hAnsi="宋体" w:eastAsia="宋体"/>
          <w:color w:val="auto"/>
          <w:highlight w:val="none"/>
          <w:lang w:val="en-US" w:eastAsia="zh-CN"/>
        </w:rPr>
        <w:t>如下方式</w:t>
      </w:r>
      <w:r>
        <w:rPr>
          <w:rFonts w:hint="eastAsia" w:ascii="宋体" w:hAnsi="宋体" w:eastAsia="宋体"/>
          <w:color w:val="auto"/>
          <w:highlight w:val="none"/>
        </w:rPr>
        <w:t>加载车辆：</w:t>
      </w:r>
    </w:p>
    <w:p>
      <w:pPr>
        <w:pStyle w:val="180"/>
        <w:numPr>
          <w:ilvl w:val="0"/>
          <w:numId w:val="71"/>
        </w:numPr>
        <w:rPr>
          <w:color w:val="auto"/>
          <w:kern w:val="2"/>
          <w:szCs w:val="21"/>
          <w:highlight w:val="none"/>
        </w:rPr>
      </w:pPr>
      <w:r>
        <w:rPr>
          <w:rFonts w:hint="eastAsia"/>
          <w:color w:val="auto"/>
          <w:highlight w:val="none"/>
        </w:rPr>
        <w:t>空载</w:t>
      </w:r>
      <w:r>
        <w:rPr>
          <w:rFonts w:hint="eastAsia"/>
          <w:color w:val="auto"/>
          <w:highlight w:val="none"/>
          <w:lang w:eastAsia="zh-CN"/>
        </w:rPr>
        <w:t>，</w:t>
      </w:r>
      <w:r>
        <w:rPr>
          <w:rFonts w:hint="eastAsia"/>
          <w:color w:val="auto"/>
          <w:highlight w:val="none"/>
          <w:lang w:val="en-US" w:eastAsia="zh-CN"/>
        </w:rPr>
        <w:t>将车辆加载至</w:t>
      </w:r>
      <w:r>
        <w:rPr>
          <w:rFonts w:hint="eastAsia"/>
          <w:color w:val="auto"/>
          <w:highlight w:val="none"/>
        </w:rPr>
        <w:t>整车整备质量加</w:t>
      </w:r>
      <w:r>
        <w:rPr>
          <w:rFonts w:hint="eastAsia" w:cs="Calibri"/>
          <w:color w:val="auto"/>
          <w:highlight w:val="none"/>
        </w:rPr>
        <w:t>110</w:t>
      </w:r>
      <w:r>
        <w:rPr>
          <w:rFonts w:hint="eastAsia"/>
          <w:color w:val="auto"/>
          <w:highlight w:val="none"/>
          <w:lang w:val="en-US" w:eastAsia="zh-CN"/>
        </w:rPr>
        <w:t> </w:t>
      </w:r>
      <w:r>
        <w:rPr>
          <w:rFonts w:hint="eastAsia" w:cs="Calibri"/>
          <w:color w:val="auto"/>
          <w:highlight w:val="none"/>
        </w:rPr>
        <w:t>kg</w:t>
      </w:r>
      <w:r>
        <w:rPr>
          <w:rFonts w:hint="eastAsia"/>
          <w:color w:val="auto"/>
          <w:highlight w:val="none"/>
        </w:rPr>
        <w:t>。</w:t>
      </w:r>
      <w:r>
        <w:rPr>
          <w:color w:val="auto"/>
          <w:highlight w:val="none"/>
        </w:rPr>
        <w:t>除</w:t>
      </w:r>
      <w:r>
        <w:rPr>
          <w:rFonts w:hint="eastAsia"/>
          <w:color w:val="auto"/>
          <w:highlight w:val="none"/>
          <w:lang w:eastAsia="zh-CN"/>
        </w:rPr>
        <w:t>驾驶人</w:t>
      </w:r>
      <w:r>
        <w:rPr>
          <w:color w:val="auto"/>
          <w:highlight w:val="none"/>
        </w:rPr>
        <w:t>外，前排座椅上可坐一人记录试验结果。</w:t>
      </w:r>
    </w:p>
    <w:p>
      <w:pPr>
        <w:pStyle w:val="180"/>
        <w:numPr>
          <w:ilvl w:val="0"/>
          <w:numId w:val="71"/>
        </w:numPr>
        <w:rPr>
          <w:color w:val="auto"/>
          <w:highlight w:val="none"/>
        </w:rPr>
      </w:pPr>
      <w:r>
        <w:rPr>
          <w:rFonts w:hint="eastAsia"/>
          <w:color w:val="auto"/>
          <w:highlight w:val="none"/>
        </w:rPr>
        <w:t>满载</w:t>
      </w:r>
      <w:r>
        <w:rPr>
          <w:rFonts w:hint="eastAsia"/>
          <w:color w:val="auto"/>
          <w:highlight w:val="none"/>
          <w:lang w:eastAsia="zh-CN"/>
        </w:rPr>
        <w:t>，</w:t>
      </w:r>
      <w:r>
        <w:rPr>
          <w:rFonts w:hint="eastAsia"/>
          <w:color w:val="auto"/>
          <w:highlight w:val="none"/>
        </w:rPr>
        <w:t>包括</w:t>
      </w:r>
      <w:r>
        <w:rPr>
          <w:rFonts w:hint="eastAsia"/>
          <w:color w:val="auto"/>
          <w:highlight w:val="none"/>
          <w:lang w:eastAsia="zh-CN"/>
        </w:rPr>
        <w:t>驾驶人</w:t>
      </w:r>
      <w:r>
        <w:rPr>
          <w:rFonts w:hint="eastAsia"/>
          <w:color w:val="auto"/>
          <w:highlight w:val="none"/>
        </w:rPr>
        <w:t>、试验记录人员和所有必需的试验设备的质量在内，将车辆加载至最大设计总质量，确保轴荷分配符合制造商规定。如有几种不同的轴荷分配方案，采用前后轴轴荷分配之比最大者。</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核对轮胎尺寸和型号，并检查轮胎处于相应载荷的推荐压力。</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校准所有试验设备。</w:t>
      </w:r>
    </w:p>
    <w:p>
      <w:pPr>
        <w:pStyle w:val="71"/>
        <w:spacing w:before="156" w:after="156"/>
        <w:rPr>
          <w:color w:val="auto"/>
          <w:highlight w:val="none"/>
        </w:rPr>
      </w:pPr>
      <w:bookmarkStart w:id="209" w:name="_Toc72156225"/>
      <w:bookmarkEnd w:id="209"/>
      <w:bookmarkStart w:id="210" w:name="_Toc118580327"/>
      <w:r>
        <w:rPr>
          <w:rFonts w:hint="eastAsia" w:hAnsi="黑体"/>
          <w:color w:val="auto"/>
          <w:highlight w:val="none"/>
        </w:rPr>
        <w:t>空载</w:t>
      </w:r>
      <w:r>
        <w:rPr>
          <w:rFonts w:hint="eastAsia"/>
          <w:color w:val="auto"/>
          <w:highlight w:val="none"/>
        </w:rPr>
        <w:t>-基本性能试验</w:t>
      </w:r>
      <w:bookmarkEnd w:id="210"/>
    </w:p>
    <w:p>
      <w:pPr>
        <w:pStyle w:val="100"/>
        <w:spacing w:before="156" w:after="156"/>
        <w:rPr>
          <w:color w:val="auto"/>
          <w:highlight w:val="none"/>
        </w:rPr>
      </w:pPr>
      <w:r>
        <w:rPr>
          <w:rFonts w:hint="eastAsia"/>
          <w:color w:val="auto"/>
          <w:highlight w:val="none"/>
        </w:rPr>
        <w:t>动力脱开的0型试验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本试验的规定车速为100</w:t>
      </w:r>
      <w:r>
        <w:rPr>
          <w:rFonts w:hint="eastAsia"/>
          <w:color w:val="auto"/>
          <w:highlight w:val="none"/>
          <w:lang w:val="en-US" w:eastAsia="zh-CN"/>
        </w:rPr>
        <w:t> </w:t>
      </w:r>
      <w:r>
        <w:rPr>
          <w:rFonts w:hint="eastAsia" w:ascii="宋体" w:hAnsi="宋体" w:eastAsia="宋体"/>
          <w:color w:val="auto"/>
          <w:highlight w:val="none"/>
        </w:rPr>
        <w:t>km/h，因最高设计车速限制而不能达到规定车速的车辆，可以试验时所能达到的最高车速进行试验。试验时，首先确认最热的车轴上的行车制动器的平均温度处于65</w:t>
      </w:r>
      <w:r>
        <w:rPr>
          <w:rFonts w:hint="eastAsia"/>
          <w:color w:val="auto"/>
          <w:highlight w:val="none"/>
          <w:lang w:val="en-US" w:eastAsia="zh-CN"/>
        </w:rPr>
        <w:t> </w:t>
      </w:r>
      <w:r>
        <w:rPr>
          <w:rFonts w:hint="eastAsia" w:ascii="宋体" w:hAnsi="宋体" w:eastAsia="宋体"/>
          <w:color w:val="auto"/>
          <w:highlight w:val="none"/>
        </w:rPr>
        <w:t>℃</w:t>
      </w:r>
      <w:r>
        <w:rPr>
          <w:rFonts w:hint="eastAsia" w:hAnsi="宋体"/>
          <w:color w:val="auto"/>
          <w:highlight w:val="none"/>
        </w:rPr>
        <w:t>～</w:t>
      </w:r>
      <w:r>
        <w:rPr>
          <w:rFonts w:hint="eastAsia" w:ascii="宋体" w:hAnsi="宋体" w:eastAsia="宋体"/>
          <w:color w:val="auto"/>
          <w:highlight w:val="none"/>
        </w:rPr>
        <w:t>100</w:t>
      </w:r>
      <w:r>
        <w:rPr>
          <w:rFonts w:hint="eastAsia"/>
          <w:color w:val="auto"/>
          <w:highlight w:val="none"/>
          <w:lang w:val="en-US" w:eastAsia="zh-CN"/>
        </w:rPr>
        <w:t> </w:t>
      </w:r>
      <w:r>
        <w:rPr>
          <w:rFonts w:hint="eastAsia" w:ascii="宋体" w:hAnsi="宋体" w:eastAsia="宋体"/>
          <w:color w:val="auto"/>
          <w:highlight w:val="none"/>
        </w:rPr>
        <w:t>℃；在附着条件良好（μ≥0.8）的水平路面上，将车辆加速至试验规定车速以上5</w:t>
      </w:r>
      <w:r>
        <w:rPr>
          <w:rFonts w:hint="eastAsia"/>
          <w:color w:val="auto"/>
          <w:highlight w:val="none"/>
          <w:lang w:val="en-US" w:eastAsia="zh-CN"/>
        </w:rPr>
        <w:t> </w:t>
      </w:r>
      <w:r>
        <w:rPr>
          <w:rFonts w:hint="eastAsia" w:ascii="宋体" w:hAnsi="宋体" w:eastAsia="宋体"/>
          <w:color w:val="auto"/>
          <w:highlight w:val="none"/>
        </w:rPr>
        <w:t>km/h，脱开挡位，在车速下降至试验规定车速时全力进行行车制动。</w:t>
      </w:r>
    </w:p>
    <w:p>
      <w:pPr>
        <w:pStyle w:val="62"/>
        <w:ind w:firstLine="420"/>
        <w:rPr>
          <w:rFonts w:hint="eastAsia"/>
          <w:color w:val="auto"/>
          <w:highlight w:val="none"/>
        </w:rPr>
      </w:pPr>
      <w:r>
        <w:rPr>
          <w:rFonts w:hint="eastAsia" w:hAnsi="宋体"/>
          <w:color w:val="auto"/>
          <w:highlight w:val="none"/>
        </w:rPr>
        <w:t>对电机与车轮永久连接的车辆，若没有离合器</w:t>
      </w:r>
      <w:r>
        <w:rPr>
          <w:rFonts w:hint="eastAsia"/>
          <w:color w:val="auto"/>
          <w:highlight w:val="none"/>
        </w:rPr>
        <w:t>/空挡，所有试验（脱开或接合试验）都在电机接合的条件下进行</w:t>
      </w:r>
      <w:r>
        <w:rPr>
          <w:rFonts w:hint="eastAsia"/>
          <w:color w:val="auto"/>
          <w:highlight w:val="none"/>
          <w:lang w:eastAsia="zh-CN"/>
        </w:rPr>
        <w:t>；</w:t>
      </w:r>
      <w:r>
        <w:rPr>
          <w:rFonts w:hint="eastAsia"/>
          <w:color w:val="auto"/>
          <w:highlight w:val="none"/>
        </w:rPr>
        <w:t>若在相应试验车速下无法切换到空挡，则相应试验车速对应的所有试验（脱开或接合试验）都在电机接合的条件下进行。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重复8.</w:t>
      </w:r>
      <w:r>
        <w:rPr>
          <w:rFonts w:ascii="宋体" w:hAnsi="宋体" w:eastAsia="宋体"/>
          <w:color w:val="auto"/>
          <w:highlight w:val="none"/>
        </w:rPr>
        <w:t>5</w:t>
      </w:r>
      <w:r>
        <w:rPr>
          <w:rFonts w:hint="eastAsia" w:ascii="宋体" w:hAnsi="宋体" w:eastAsia="宋体"/>
          <w:color w:val="auto"/>
          <w:highlight w:val="none"/>
        </w:rPr>
        <w:t>.3.1.1，确认车辆在未发生车轮抱死的情况下所能达到的最佳制动性能符合要求。包括熟悉车辆所需制动在内，每次试验最多进行6次制动，最多重复5次。</w:t>
      </w:r>
    </w:p>
    <w:p>
      <w:pPr>
        <w:pStyle w:val="62"/>
        <w:ind w:firstLine="420"/>
        <w:rPr>
          <w:color w:val="auto"/>
          <w:highlight w:val="none"/>
        </w:rPr>
      </w:pPr>
      <w:r>
        <w:rPr>
          <w:rFonts w:hint="eastAsia" w:hAnsi="宋体"/>
          <w:color w:val="auto"/>
          <w:highlight w:val="none"/>
        </w:rPr>
        <w:t>对在最高压力处取得临界结果的动力液压制动系统的车辆，进行进一步的试验以确认当储能器充能到接通压力时管路压力能达到最低性能。</w:t>
      </w:r>
    </w:p>
    <w:p>
      <w:pPr>
        <w:pStyle w:val="100"/>
        <w:spacing w:before="156" w:after="156"/>
        <w:rPr>
          <w:color w:val="auto"/>
          <w:highlight w:val="none"/>
        </w:rPr>
      </w:pPr>
      <w:r>
        <w:rPr>
          <w:rFonts w:hint="eastAsia"/>
          <w:color w:val="auto"/>
          <w:highlight w:val="none"/>
          <w:lang w:eastAsia="zh-CN"/>
        </w:rPr>
        <w:t>动力接合</w:t>
      </w:r>
      <w:r>
        <w:rPr>
          <w:rFonts w:hint="eastAsia"/>
          <w:color w:val="auto"/>
          <w:highlight w:val="none"/>
        </w:rPr>
        <w:t>的0型试验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本试验仅适用于最高设计车速</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v</m:t>
            </m:r>
            <m:ctrlPr>
              <w:rPr>
                <w:rFonts w:ascii="Cambria Math" w:hAnsi="Cambria Math" w:eastAsia="宋体"/>
                <w:color w:val="auto"/>
                <w:highlight w:val="none"/>
              </w:rPr>
            </m:ctrlPr>
          </m:e>
          <m:sub>
            <m:r>
              <m:rPr/>
              <w:rPr>
                <w:rFonts w:hint="eastAsia" w:ascii="Cambria Math" w:hAnsi="Cambria Math" w:eastAsia="宋体"/>
                <w:color w:val="auto"/>
                <w:highlight w:val="none"/>
              </w:rPr>
              <m:t>max</m:t>
            </m:r>
            <m:ctrlPr>
              <w:rPr>
                <w:rFonts w:ascii="Cambria Math" w:hAnsi="Cambria Math" w:eastAsia="宋体"/>
                <w:color w:val="auto"/>
                <w:highlight w:val="none"/>
              </w:rPr>
            </m:ctrlPr>
          </m:sub>
        </m:sSub>
      </m:oMath>
      <w:r>
        <w:rPr>
          <w:rFonts w:hint="eastAsia" w:ascii="宋体" w:hAnsi="宋体" w:eastAsia="宋体"/>
          <w:color w:val="auto"/>
          <w:highlight w:val="none"/>
        </w:rPr>
        <w:t>大于125</w:t>
      </w:r>
      <w:r>
        <w:rPr>
          <w:rFonts w:hint="eastAsia"/>
          <w:color w:val="auto"/>
          <w:highlight w:val="none"/>
          <w:lang w:val="en-US" w:eastAsia="zh-CN"/>
        </w:rPr>
        <w:t> </w:t>
      </w:r>
      <w:r>
        <w:rPr>
          <w:rFonts w:hint="eastAsia" w:ascii="宋体" w:hAnsi="宋体" w:eastAsia="宋体"/>
          <w:color w:val="auto"/>
          <w:highlight w:val="none"/>
        </w:rPr>
        <w:t>km/h的车辆,试验规定车速</w:t>
      </w:r>
      <w:r>
        <w:rPr>
          <w:rFonts w:hint="eastAsia" w:ascii="宋体" w:hAnsi="宋体" w:eastAsia="宋体"/>
          <w:color w:val="auto"/>
          <w:highlight w:val="none"/>
          <w:lang w:val="en-US" w:eastAsia="zh-CN"/>
        </w:rPr>
        <w:t>为最高车速的80%，但不超过160</w:t>
      </w:r>
      <w:r>
        <w:rPr>
          <w:rFonts w:hint="eastAsia"/>
          <w:color w:val="auto"/>
          <w:highlight w:val="none"/>
          <w:lang w:val="en-US" w:eastAsia="zh-CN"/>
        </w:rPr>
        <w:t> </w:t>
      </w:r>
      <w:r>
        <w:rPr>
          <w:rFonts w:hint="eastAsia" w:ascii="宋体" w:hAnsi="宋体" w:eastAsia="宋体"/>
          <w:color w:val="auto"/>
          <w:highlight w:val="none"/>
          <w:lang w:val="en-US" w:eastAsia="zh-CN"/>
        </w:rPr>
        <w:t>km/h</w:t>
      </w:r>
      <w:r>
        <w:rPr>
          <w:rFonts w:hint="eastAsia" w:ascii="宋体" w:hAnsi="宋体" w:eastAsia="宋体"/>
          <w:color w:val="auto"/>
          <w:highlight w:val="none"/>
        </w:rPr>
        <w:t>。对最高设计车速</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v</m:t>
            </m:r>
            <m:ctrlPr>
              <w:rPr>
                <w:rFonts w:ascii="Cambria Math" w:hAnsi="Cambria Math" w:eastAsia="宋体"/>
                <w:color w:val="auto"/>
                <w:highlight w:val="none"/>
              </w:rPr>
            </m:ctrlPr>
          </m:e>
          <m:sub>
            <m:r>
              <m:rPr/>
              <w:rPr>
                <w:rFonts w:hint="eastAsia" w:ascii="Cambria Math" w:hAnsi="Cambria Math" w:eastAsia="宋体"/>
                <w:color w:val="auto"/>
                <w:highlight w:val="none"/>
              </w:rPr>
              <m:t>max</m:t>
            </m:r>
            <m:ctrlPr>
              <w:rPr>
                <w:rFonts w:ascii="Cambria Math" w:hAnsi="Cambria Math" w:eastAsia="宋体"/>
                <w:color w:val="auto"/>
                <w:highlight w:val="none"/>
              </w:rPr>
            </m:ctrlPr>
          </m:sub>
        </m:sSub>
      </m:oMath>
      <w:r>
        <w:rPr>
          <w:rFonts w:hint="eastAsia" w:ascii="宋体" w:hAnsi="宋体" w:eastAsia="宋体"/>
          <w:color w:val="auto"/>
          <w:highlight w:val="none"/>
        </w:rPr>
        <w:t>大于200</w:t>
      </w:r>
      <w:r>
        <w:rPr>
          <w:rFonts w:hint="eastAsia"/>
          <w:color w:val="auto"/>
          <w:highlight w:val="none"/>
          <w:lang w:val="en-US" w:eastAsia="zh-CN"/>
        </w:rPr>
        <w:t> </w:t>
      </w:r>
      <w:r>
        <w:rPr>
          <w:rFonts w:hint="eastAsia" w:ascii="宋体" w:hAnsi="宋体" w:eastAsia="宋体"/>
          <w:color w:val="auto"/>
          <w:highlight w:val="none"/>
        </w:rPr>
        <w:t>km/h的车辆，试验车速</w:t>
      </w:r>
      <w:r>
        <w:rPr>
          <w:rFonts w:hint="eastAsia" w:ascii="宋体" w:hAnsi="宋体" w:eastAsia="宋体"/>
          <w:color w:val="auto"/>
          <w:highlight w:val="none"/>
          <w:lang w:val="en-US" w:eastAsia="zh-CN"/>
        </w:rPr>
        <w:t>取</w:t>
      </w:r>
      <w:r>
        <w:rPr>
          <w:rFonts w:hint="eastAsia" w:ascii="宋体" w:hAnsi="宋体" w:eastAsia="宋体"/>
          <w:color w:val="auto"/>
          <w:highlight w:val="none"/>
        </w:rPr>
        <w:t>160</w:t>
      </w:r>
      <w:r>
        <w:rPr>
          <w:rFonts w:hint="eastAsia"/>
          <w:color w:val="auto"/>
          <w:highlight w:val="none"/>
          <w:lang w:val="en-US" w:eastAsia="zh-CN"/>
        </w:rPr>
        <w:t> </w:t>
      </w:r>
      <w:r>
        <w:rPr>
          <w:rFonts w:hint="eastAsia" w:ascii="宋体" w:hAnsi="宋体" w:eastAsia="宋体"/>
          <w:color w:val="auto"/>
          <w:highlight w:val="none"/>
        </w:rPr>
        <w:t>km/h。</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首先确认最热的车轴上的行车制动器的平均温度处于65</w:t>
      </w:r>
      <w:r>
        <w:rPr>
          <w:rFonts w:hint="eastAsia"/>
          <w:color w:val="auto"/>
          <w:highlight w:val="none"/>
          <w:lang w:val="en-US" w:eastAsia="zh-CN"/>
        </w:rPr>
        <w:t> </w:t>
      </w:r>
      <w:r>
        <w:rPr>
          <w:rFonts w:hint="eastAsia" w:ascii="宋体" w:hAnsi="宋体" w:eastAsia="宋体"/>
          <w:color w:val="auto"/>
          <w:highlight w:val="none"/>
        </w:rPr>
        <w:t>℃</w:t>
      </w:r>
      <w:r>
        <w:rPr>
          <w:rFonts w:hint="eastAsia" w:hAnsi="宋体"/>
          <w:color w:val="auto"/>
          <w:highlight w:val="none"/>
        </w:rPr>
        <w:t>～</w:t>
      </w:r>
      <w:r>
        <w:rPr>
          <w:rFonts w:hint="eastAsia" w:ascii="宋体" w:hAnsi="宋体" w:eastAsia="宋体"/>
          <w:color w:val="auto"/>
          <w:highlight w:val="none"/>
        </w:rPr>
        <w:t>100</w:t>
      </w:r>
      <w:r>
        <w:rPr>
          <w:rFonts w:hint="eastAsia"/>
          <w:color w:val="auto"/>
          <w:highlight w:val="none"/>
          <w:lang w:val="en-US" w:eastAsia="zh-CN"/>
        </w:rPr>
        <w:t> </w:t>
      </w:r>
      <w:r>
        <w:rPr>
          <w:rFonts w:hint="eastAsia" w:ascii="宋体" w:hAnsi="宋体" w:eastAsia="宋体"/>
          <w:color w:val="auto"/>
          <w:highlight w:val="none"/>
        </w:rPr>
        <w:t>℃。在附着条件良好的水平路面上将车辆加速至试验规定车速以上5</w:t>
      </w:r>
      <w:r>
        <w:rPr>
          <w:rFonts w:hint="eastAsia"/>
          <w:color w:val="auto"/>
          <w:highlight w:val="none"/>
          <w:lang w:val="en-US" w:eastAsia="zh-CN"/>
        </w:rPr>
        <w:t> </w:t>
      </w:r>
      <w:r>
        <w:rPr>
          <w:rFonts w:hint="eastAsia" w:ascii="宋体" w:hAnsi="宋体" w:eastAsia="宋体"/>
          <w:color w:val="auto"/>
          <w:highlight w:val="none"/>
        </w:rPr>
        <w:t>km/h，采用相应的最高挡行驶，松开加速踏板但保持挡位不变，在车速下降至试验规定车速时进行行车制动。采用的制动控制力（或管路压力）与</w:t>
      </w:r>
      <w:r>
        <w:rPr>
          <w:rFonts w:ascii="宋体" w:hAnsi="宋体" w:eastAsia="宋体"/>
          <w:color w:val="auto"/>
          <w:highlight w:val="none"/>
        </w:rPr>
        <w:t>8</w:t>
      </w: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.3.1.1所述动力脱开的0型试验接近。制动控制力在整个制动过程中保持恒定，确保达到最大的制动强度但不会发生车轮抱死。</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对电机与车轮永久连接且装备</w:t>
      </w:r>
      <w:r>
        <w:rPr>
          <w:rFonts w:ascii="宋体" w:hAnsi="宋体" w:eastAsia="宋体"/>
          <w:color w:val="auto"/>
          <w:highlight w:val="none"/>
        </w:rPr>
        <w:t>A型电力再生式制动系</w:t>
      </w:r>
      <w:r>
        <w:rPr>
          <w:rFonts w:hint="eastAsia" w:ascii="宋体" w:hAnsi="宋体" w:eastAsia="宋体"/>
          <w:color w:val="auto"/>
          <w:highlight w:val="none"/>
        </w:rPr>
        <w:t>统</w:t>
      </w:r>
      <w:r>
        <w:rPr>
          <w:rFonts w:ascii="宋体" w:hAnsi="宋体" w:eastAsia="宋体"/>
          <w:color w:val="auto"/>
          <w:highlight w:val="none"/>
        </w:rPr>
        <w:t>的车辆在低附着系数路面（μ≤0.3）上</w:t>
      </w:r>
      <w:r>
        <w:rPr>
          <w:rFonts w:hint="eastAsia" w:ascii="宋体" w:hAnsi="宋体" w:eastAsia="宋体"/>
          <w:color w:val="auto"/>
          <w:highlight w:val="none"/>
        </w:rPr>
        <w:t>按</w:t>
      </w:r>
      <w:r>
        <w:rPr>
          <w:rFonts w:hint="default" w:ascii="宋体" w:hAnsi="宋体" w:eastAsia="宋体"/>
          <w:color w:val="auto"/>
          <w:highlight w:val="none"/>
          <w:lang w:val="en-US" w:eastAsia="zh-CN"/>
        </w:rPr>
        <w:t>最高车速的80%，但不超过120</w:t>
      </w:r>
      <w:r>
        <w:rPr>
          <w:rFonts w:hint="eastAsia"/>
          <w:color w:val="auto"/>
          <w:highlight w:val="none"/>
          <w:lang w:val="en-US" w:eastAsia="zh-CN"/>
        </w:rPr>
        <w:t> </w:t>
      </w:r>
      <w:r>
        <w:rPr>
          <w:rFonts w:hint="default" w:ascii="宋体" w:hAnsi="宋体" w:eastAsia="宋体"/>
          <w:color w:val="auto"/>
          <w:highlight w:val="none"/>
          <w:lang w:val="en-US" w:eastAsia="zh-CN"/>
        </w:rPr>
        <w:t>km/h的车速</w:t>
      </w:r>
      <w:r>
        <w:rPr>
          <w:rFonts w:hint="eastAsia" w:ascii="宋体" w:hAnsi="宋体" w:eastAsia="宋体"/>
          <w:color w:val="auto"/>
          <w:highlight w:val="none"/>
        </w:rPr>
        <w:t>进行上述试验。试验过程中，检查车辆状况不受挡位变换、加速踏板松开和其他瞬间状态的影响。试验允许进行转向修正，但转向盘的转角在最初</w:t>
      </w:r>
      <w:r>
        <w:rPr>
          <w:rFonts w:ascii="宋体" w:hAnsi="宋体" w:eastAsia="宋体"/>
          <w:color w:val="auto"/>
          <w:highlight w:val="none"/>
        </w:rPr>
        <w:t>2s内不应超过120°，总转角不应超过240°。</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重复8.</w:t>
      </w:r>
      <w:r>
        <w:rPr>
          <w:rFonts w:ascii="宋体" w:hAnsi="宋体" w:eastAsia="宋体"/>
          <w:color w:val="auto"/>
          <w:highlight w:val="none"/>
        </w:rPr>
        <w:t>5</w:t>
      </w:r>
      <w:r>
        <w:rPr>
          <w:rFonts w:hint="eastAsia" w:ascii="宋体" w:hAnsi="宋体" w:eastAsia="宋体"/>
          <w:color w:val="auto"/>
          <w:highlight w:val="none"/>
        </w:rPr>
        <w:t>.3.2.</w:t>
      </w:r>
      <w:r>
        <w:rPr>
          <w:rFonts w:ascii="宋体" w:hAnsi="宋体" w:eastAsia="宋体"/>
          <w:color w:val="auto"/>
          <w:highlight w:val="none"/>
        </w:rPr>
        <w:t>2</w:t>
      </w:r>
      <w:r>
        <w:rPr>
          <w:rFonts w:hint="eastAsia" w:ascii="宋体" w:hAnsi="宋体" w:eastAsia="宋体"/>
          <w:color w:val="auto"/>
          <w:highlight w:val="none"/>
        </w:rPr>
        <w:t>，确认车辆在未发生车轮抱死的情况下所能达到的最佳制动性能符合要求，每次试验最多进行6次制动，最多重复5次。</w:t>
      </w:r>
    </w:p>
    <w:p>
      <w:pPr>
        <w:pStyle w:val="71"/>
        <w:spacing w:before="156" w:after="156"/>
        <w:rPr>
          <w:color w:val="auto"/>
          <w:highlight w:val="none"/>
        </w:rPr>
      </w:pPr>
      <w:bookmarkStart w:id="211" w:name="_Toc72156226"/>
      <w:bookmarkEnd w:id="211"/>
      <w:bookmarkStart w:id="212" w:name="_Toc118580328"/>
      <w:r>
        <w:rPr>
          <w:rFonts w:hint="eastAsia" w:hAnsi="黑体"/>
          <w:color w:val="auto"/>
          <w:highlight w:val="none"/>
        </w:rPr>
        <w:t>空载</w:t>
      </w:r>
      <w:r>
        <w:rPr>
          <w:rFonts w:hint="eastAsia"/>
          <w:color w:val="auto"/>
          <w:highlight w:val="none"/>
        </w:rPr>
        <w:t>-失效试验</w:t>
      </w:r>
      <w:bookmarkEnd w:id="212"/>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参照制造商有关失效模拟的说明及静态试验结果，依次选择并模拟相应的失效条件，</w:t>
      </w:r>
      <w:r>
        <w:rPr>
          <w:rFonts w:hint="eastAsia" w:ascii="宋体" w:hAnsi="宋体" w:eastAsia="宋体"/>
          <w:color w:val="auto"/>
          <w:highlight w:val="none"/>
          <w:lang w:val="en-US" w:eastAsia="zh-CN"/>
        </w:rPr>
        <w:t>按照</w:t>
      </w:r>
      <w:r>
        <w:rPr>
          <w:rFonts w:hint="eastAsia" w:ascii="宋体" w:hAnsi="宋体" w:eastAsia="宋体"/>
          <w:color w:val="auto"/>
          <w:highlight w:val="none"/>
        </w:rPr>
        <w:t>8.</w:t>
      </w:r>
      <w:r>
        <w:rPr>
          <w:rFonts w:ascii="宋体" w:hAnsi="宋体" w:eastAsia="宋体"/>
          <w:color w:val="auto"/>
          <w:highlight w:val="none"/>
        </w:rPr>
        <w:t>5</w:t>
      </w:r>
      <w:r>
        <w:rPr>
          <w:rFonts w:hint="eastAsia" w:ascii="宋体" w:hAnsi="宋体" w:eastAsia="宋体"/>
          <w:color w:val="auto"/>
          <w:highlight w:val="none"/>
        </w:rPr>
        <w:t>.3.1.1和8.</w:t>
      </w:r>
      <w:r>
        <w:rPr>
          <w:rFonts w:ascii="宋体" w:hAnsi="宋体" w:eastAsia="宋体"/>
          <w:color w:val="auto"/>
          <w:highlight w:val="none"/>
        </w:rPr>
        <w:t>5</w:t>
      </w:r>
      <w:r>
        <w:rPr>
          <w:rFonts w:hint="eastAsia" w:ascii="宋体" w:hAnsi="宋体" w:eastAsia="宋体"/>
          <w:color w:val="auto"/>
          <w:highlight w:val="none"/>
        </w:rPr>
        <w:t>.3.1.2</w:t>
      </w:r>
      <w:r>
        <w:rPr>
          <w:rFonts w:hint="eastAsia" w:ascii="宋体" w:hAnsi="宋体" w:eastAsia="宋体"/>
          <w:color w:val="auto"/>
          <w:highlight w:val="none"/>
          <w:lang w:val="en-US" w:eastAsia="zh-CN"/>
        </w:rPr>
        <w:t>的要求</w:t>
      </w:r>
      <w:r>
        <w:rPr>
          <w:rFonts w:hint="eastAsia" w:ascii="宋体" w:hAnsi="宋体" w:eastAsia="宋体"/>
          <w:color w:val="auto"/>
          <w:highlight w:val="none"/>
        </w:rPr>
        <w:t>进行动力脱开的0型试验。因最高车速限制而不能达到规定车速的车辆，可以试验时所能达到的最高车速进行试验。</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模拟行车制动系统的一条回路失效，使失效回路的能量传输在整个试验过程中保持为零，确认能达到</w:t>
      </w:r>
      <w:r>
        <w:rPr>
          <w:rFonts w:hint="eastAsia" w:ascii="宋体" w:hAnsi="宋体" w:eastAsia="宋体"/>
          <w:color w:val="auto"/>
          <w:highlight w:val="none"/>
          <w:lang w:val="en-US" w:eastAsia="zh-CN"/>
        </w:rPr>
        <w:t>6.2.2</w:t>
      </w:r>
      <w:r>
        <w:rPr>
          <w:rFonts w:hint="eastAsia" w:ascii="宋体" w:hAnsi="宋体" w:eastAsia="宋体"/>
          <w:color w:val="auto"/>
          <w:highlight w:val="none"/>
        </w:rPr>
        <w:t>规定的应急制动性能。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.2</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a）所述车辆，通过消耗助力装置所存储的能量依次模拟助力装置失效，在能量消耗完毕的同时将助力器从能源上断开，立即进行动力脱开的0型试验，确认能达到</w:t>
      </w:r>
      <w:r>
        <w:rPr>
          <w:rFonts w:hint="eastAsia" w:ascii="宋体" w:hAnsi="宋体" w:eastAsia="宋体"/>
          <w:color w:val="auto"/>
          <w:highlight w:val="none"/>
          <w:lang w:val="en-US" w:eastAsia="zh-CN"/>
        </w:rPr>
        <w:t>6.2.2</w:t>
      </w:r>
      <w:r>
        <w:rPr>
          <w:rFonts w:hint="eastAsia" w:ascii="宋体" w:hAnsi="宋体" w:eastAsia="宋体"/>
          <w:color w:val="auto"/>
          <w:highlight w:val="none"/>
        </w:rPr>
        <w:t>规定的应急制动性能。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.2b）和8.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.3.1所述车辆，依次模拟各条回路失效，在静态试验所测定的管路压力下进行动力脱开的0型试验，确认车辆能达到</w:t>
      </w:r>
      <w:r>
        <w:rPr>
          <w:rFonts w:hint="eastAsia" w:ascii="宋体" w:hAnsi="宋体" w:eastAsia="宋体"/>
          <w:color w:val="auto"/>
          <w:highlight w:val="none"/>
          <w:lang w:val="en-US" w:eastAsia="zh-CN"/>
        </w:rPr>
        <w:t>6.2.2</w:t>
      </w:r>
      <w:r>
        <w:rPr>
          <w:rFonts w:hint="eastAsia" w:ascii="宋体" w:hAnsi="宋体" w:eastAsia="宋体"/>
          <w:color w:val="auto"/>
          <w:highlight w:val="none"/>
        </w:rPr>
        <w:t>规定的应急制动性能。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对8.4.16.2c）、8.4.16.3.2、8.4.16.4.1、8.4.16.5.2所述车辆，维持失效状态，在静态试验所测定的管路压力下进行动力脱开的0型试验，确认车辆能达到</w:t>
      </w:r>
      <w:r>
        <w:rPr>
          <w:rFonts w:hint="eastAsia" w:ascii="宋体" w:hAnsi="宋体" w:eastAsia="宋体"/>
          <w:color w:val="auto"/>
          <w:highlight w:val="none"/>
          <w:lang w:val="en-US" w:eastAsia="zh-CN"/>
        </w:rPr>
        <w:t>6.2.2</w:t>
      </w:r>
      <w:r>
        <w:rPr>
          <w:rFonts w:hint="eastAsia" w:ascii="宋体" w:hAnsi="宋体" w:eastAsia="宋体"/>
          <w:color w:val="auto"/>
          <w:highlight w:val="none"/>
        </w:rPr>
        <w:t>规定的应急制动性能。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对8.</w:t>
      </w: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6</w:t>
      </w:r>
      <w:r>
        <w:rPr>
          <w:rFonts w:hint="eastAsia" w:ascii="宋体" w:hAnsi="宋体" w:eastAsia="宋体"/>
          <w:color w:val="auto"/>
          <w:highlight w:val="none"/>
        </w:rPr>
        <w:t>.4.2所述车辆，维持失效状态，在静态试验所测定的管路压力下进行动力脱开的0型试验，确认车辆能达到</w:t>
      </w:r>
      <w:r>
        <w:rPr>
          <w:rFonts w:hint="eastAsia" w:ascii="宋体" w:hAnsi="宋体" w:eastAsia="宋体"/>
          <w:color w:val="auto"/>
          <w:highlight w:val="none"/>
          <w:lang w:val="en-US" w:eastAsia="zh-CN"/>
        </w:rPr>
        <w:t>6.2.2</w:t>
      </w:r>
      <w:r>
        <w:rPr>
          <w:rFonts w:hint="eastAsia" w:ascii="宋体" w:hAnsi="宋体" w:eastAsia="宋体"/>
          <w:color w:val="auto"/>
          <w:highlight w:val="none"/>
        </w:rPr>
        <w:t>规定的应急制动性能。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将辅助能源装置充能至正常的工作水平，然后使动力装置停止工作或断开从动力装置供应的能量，进行动力脱开的0型试验，确认能达到</w:t>
      </w:r>
      <w:r>
        <w:rPr>
          <w:rFonts w:hint="eastAsia" w:ascii="宋体" w:hAnsi="宋体" w:eastAsia="宋体"/>
          <w:color w:val="auto"/>
          <w:highlight w:val="none"/>
          <w:lang w:val="en-US" w:eastAsia="zh-CN"/>
        </w:rPr>
        <w:t>6.2.1</w:t>
      </w:r>
      <w:r>
        <w:rPr>
          <w:rFonts w:hint="eastAsia" w:ascii="宋体" w:hAnsi="宋体" w:eastAsia="宋体"/>
          <w:color w:val="auto"/>
          <w:highlight w:val="none"/>
        </w:rPr>
        <w:t>规定的行车制动性能。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依次断开防抱制动系统电源、传感器和控制器的电路，使防抱制动系统不工作，确认行车制动性能不低于动力脱开的0型试验规定性能的80%。</w:t>
      </w:r>
    </w:p>
    <w:p>
      <w:pPr>
        <w:pStyle w:val="100"/>
        <w:spacing w:before="0" w:beforeLines="0" w:after="0" w:afterLines="0"/>
        <w:rPr>
          <w:color w:val="auto"/>
          <w:highlight w:val="none"/>
        </w:rPr>
      </w:pPr>
      <w:r>
        <w:rPr>
          <w:rFonts w:hint="eastAsia" w:ascii="宋体" w:hAnsi="宋体" w:eastAsia="宋体"/>
          <w:color w:val="auto"/>
          <w:highlight w:val="none"/>
        </w:rPr>
        <w:t>对行车制动系统具有电控传输的车辆，进行下列附加试验：</w:t>
      </w:r>
    </w:p>
    <w:p>
      <w:pPr>
        <w:pStyle w:val="180"/>
        <w:numPr>
          <w:ilvl w:val="0"/>
          <w:numId w:val="72"/>
        </w:numPr>
        <w:rPr>
          <w:color w:val="auto"/>
          <w:highlight w:val="none"/>
        </w:rPr>
      </w:pPr>
      <w:r>
        <w:rPr>
          <w:rFonts w:hint="eastAsia"/>
          <w:color w:val="auto"/>
          <w:highlight w:val="none"/>
        </w:rPr>
        <w:t>通过断开电线等方式，模拟行车制动电控传输的持续失效，进行动力脱开的0型试验，确认车辆能达到规定的应急制动性能，并按5.2.21</w:t>
      </w:r>
      <w:r>
        <w:rPr>
          <w:rFonts w:hint="eastAsia"/>
          <w:color w:val="auto"/>
          <w:highlight w:val="none"/>
          <w:lang w:val="en-US" w:eastAsia="zh-CN"/>
        </w:rPr>
        <w:t xml:space="preserve"> </w:t>
      </w:r>
      <w:r>
        <w:rPr>
          <w:rFonts w:hint="eastAsia"/>
          <w:color w:val="auto"/>
          <w:highlight w:val="none"/>
        </w:rPr>
        <w:t>a）的规定点亮相应的报警信号（不满足行车制动性能时点亮红色报警信号，其他为黄色）。</w:t>
      </w:r>
    </w:p>
    <w:p>
      <w:pPr>
        <w:pStyle w:val="180"/>
        <w:numPr>
          <w:ilvl w:val="0"/>
          <w:numId w:val="72"/>
        </w:numPr>
        <w:rPr>
          <w:color w:val="auto"/>
          <w:highlight w:val="none"/>
        </w:rPr>
      </w:pPr>
      <w:r>
        <w:rPr>
          <w:rFonts w:hint="eastAsia"/>
          <w:color w:val="auto"/>
          <w:highlight w:val="none"/>
        </w:rPr>
        <w:t>调节储能装置电压至8.</w:t>
      </w:r>
      <w:r>
        <w:rPr>
          <w:color w:val="auto"/>
          <w:highlight w:val="none"/>
        </w:rPr>
        <w:t>4</w:t>
      </w:r>
      <w:r>
        <w:rPr>
          <w:rFonts w:hint="eastAsia"/>
          <w:color w:val="auto"/>
          <w:highlight w:val="none"/>
        </w:rPr>
        <w:t>.11.</w:t>
      </w:r>
      <w:r>
        <w:rPr>
          <w:color w:val="auto"/>
          <w:highlight w:val="none"/>
        </w:rPr>
        <w:t>4</w:t>
      </w:r>
      <w:r>
        <w:rPr>
          <w:rFonts w:hint="eastAsia"/>
          <w:color w:val="auto"/>
          <w:highlight w:val="none"/>
        </w:rPr>
        <w:t>确定的荷电状态并阻止储能装置充电，检查储能装置未对非关键性的辅助设备（包括外部照明装置）充电，进行动力脱开的0型试验，确认能达到</w:t>
      </w:r>
      <w:r>
        <w:rPr>
          <w:rFonts w:hint="eastAsia"/>
          <w:color w:val="auto"/>
          <w:highlight w:val="none"/>
          <w:lang w:val="en-US" w:eastAsia="zh-CN"/>
        </w:rPr>
        <w:t>6.2.2</w:t>
      </w:r>
      <w:r>
        <w:rPr>
          <w:rFonts w:hint="eastAsia"/>
          <w:color w:val="auto"/>
          <w:highlight w:val="none"/>
        </w:rPr>
        <w:t>规定的应急制动性能。</w:t>
      </w:r>
    </w:p>
    <w:p>
      <w:pPr>
        <w:pStyle w:val="100"/>
        <w:spacing w:before="0" w:beforeLines="0" w:after="0" w:afterLines="0"/>
        <w:rPr>
          <w:rFonts w:ascii="宋体" w:hAnsi="宋体" w:eastAsia="宋体"/>
          <w:color w:val="auto"/>
          <w:highlight w:val="none"/>
        </w:rPr>
      </w:pPr>
      <w:r>
        <w:rPr>
          <w:rFonts w:hint="eastAsia" w:ascii="宋体" w:hAnsi="宋体" w:eastAsia="宋体"/>
          <w:color w:val="auto"/>
          <w:highlight w:val="none"/>
        </w:rPr>
        <w:t>对装备电力再生式制动系统的车辆，进行下列附加试验：</w:t>
      </w:r>
    </w:p>
    <w:p>
      <w:pPr>
        <w:pStyle w:val="180"/>
        <w:numPr>
          <w:ilvl w:val="0"/>
          <w:numId w:val="73"/>
        </w:numPr>
        <w:rPr>
          <w:color w:val="auto"/>
          <w:highlight w:val="none"/>
        </w:rPr>
      </w:pPr>
      <w:r>
        <w:rPr>
          <w:rFonts w:hint="eastAsia"/>
          <w:color w:val="auto"/>
          <w:highlight w:val="none"/>
        </w:rPr>
        <w:t>通过断开电路等方式，模拟行车制动的电动部件失效，进行动力脱开的0型试验，确认车辆能达到规定的应急制动性能。</w:t>
      </w:r>
    </w:p>
    <w:p>
      <w:pPr>
        <w:pStyle w:val="180"/>
        <w:numPr>
          <w:ilvl w:val="0"/>
          <w:numId w:val="73"/>
        </w:numPr>
        <w:rPr>
          <w:color w:val="auto"/>
          <w:highlight w:val="none"/>
        </w:rPr>
      </w:pPr>
      <w:r>
        <w:rPr>
          <w:rFonts w:hint="eastAsia"/>
          <w:color w:val="auto"/>
          <w:highlight w:val="none"/>
        </w:rPr>
        <w:t>如行车制动的电动部件失效会导致制动器的完全作用，应安装一个能在车辆运行期间安全工作的失效开关。通过断开电线等方式，模拟电控传输装置失效，操纵失效开关进行动力脱开的0型试验，确认车辆能达到规定的应急制动性能。</w:t>
      </w:r>
    </w:p>
    <w:p>
      <w:pPr>
        <w:pStyle w:val="71"/>
        <w:spacing w:before="156" w:after="156"/>
        <w:rPr>
          <w:color w:val="auto"/>
          <w:highlight w:val="none"/>
        </w:rPr>
      </w:pPr>
      <w:bookmarkStart w:id="213" w:name="_Toc72156227"/>
      <w:bookmarkEnd w:id="213"/>
      <w:bookmarkStart w:id="214" w:name="_Toc118580329"/>
      <w:r>
        <w:rPr>
          <w:rFonts w:hint="eastAsia" w:hAnsi="黑体"/>
          <w:color w:val="auto"/>
          <w:highlight w:val="none"/>
        </w:rPr>
        <w:t>空载</w:t>
      </w:r>
      <w:r>
        <w:rPr>
          <w:rFonts w:hint="eastAsia"/>
          <w:color w:val="auto"/>
          <w:highlight w:val="none"/>
        </w:rPr>
        <w:t>-ABS试验</w:t>
      </w:r>
      <w:bookmarkEnd w:id="214"/>
    </w:p>
    <w:p>
      <w:pPr>
        <w:pStyle w:val="100"/>
        <w:spacing w:before="156" w:after="156"/>
        <w:rPr>
          <w:color w:val="auto"/>
          <w:highlight w:val="none"/>
        </w:rPr>
      </w:pPr>
      <w:bookmarkStart w:id="215" w:name="OLE_LINK2"/>
      <w:bookmarkEnd w:id="215"/>
      <w:bookmarkStart w:id="216" w:name="OLE_LINK1"/>
      <w:r>
        <w:rPr>
          <w:rFonts w:hint="eastAsia"/>
          <w:color w:val="auto"/>
          <w:highlight w:val="none"/>
        </w:rPr>
        <w:t>低附着系数路面上附着系数利用率的测定</w:t>
      </w:r>
      <w:bookmarkEnd w:id="216"/>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试验应在附着系数小于等于</w:t>
      </w:r>
      <w:r>
        <w:rPr>
          <w:rFonts w:ascii="宋体" w:hAnsi="宋体" w:eastAsia="宋体"/>
          <w:color w:val="auto"/>
          <w:highlight w:val="none"/>
        </w:rPr>
        <w:t>0.3</w:t>
      </w:r>
      <w:r>
        <w:rPr>
          <w:rFonts w:hint="eastAsia" w:ascii="宋体" w:hAnsi="宋体" w:eastAsia="宋体"/>
          <w:color w:val="auto"/>
          <w:highlight w:val="none"/>
        </w:rPr>
        <w:t>的低附着系数路面上进行。为消除制动器温度不同的影响，建议在测定</w:t>
      </w:r>
      <m:oMath>
        <m:r>
          <m:rPr/>
          <w:rPr>
            <w:rFonts w:ascii="Cambria Math" w:hAnsi="Cambria Math" w:eastAsia="宋体"/>
            <w:color w:val="auto"/>
            <w:highlight w:val="none"/>
          </w:rPr>
          <m:t>k</m:t>
        </m:r>
      </m:oMath>
      <w:r>
        <w:rPr>
          <w:rFonts w:hint="eastAsia" w:ascii="宋体" w:hAnsi="宋体" w:eastAsia="宋体"/>
          <w:color w:val="auto"/>
          <w:highlight w:val="none"/>
        </w:rPr>
        <w:t>之前先测定</w:t>
      </w:r>
      <m:oMath>
        <m:sSub>
          <m:sSubPr>
            <m:ctrlPr>
              <w:rPr>
                <w:rFonts w:ascii="Cambria Math" w:hAnsi="Cambria Math" w:eastAsia="宋体"/>
                <w:color w:val="auto"/>
                <w:highlight w:val="none"/>
              </w:rPr>
            </m:ctrlPr>
          </m:sSubPr>
          <m:e>
            <m:r>
              <m:rPr/>
              <w:rPr>
                <w:rFonts w:ascii="Cambria Math" w:hAnsi="Cambria Math" w:eastAsia="宋体"/>
                <w:color w:val="auto"/>
                <w:highlight w:val="none"/>
              </w:rPr>
              <m:t>z</m:t>
            </m:r>
            <m:ctrlPr>
              <w:rPr>
                <w:rFonts w:ascii="Cambria Math" w:hAnsi="Cambria Math" w:eastAsia="宋体"/>
                <w:color w:val="auto"/>
                <w:highlight w:val="none"/>
              </w:rPr>
            </m:ctrlPr>
          </m:e>
          <m:sub>
            <m:r>
              <m:rPr/>
              <w:rPr>
                <w:rFonts w:ascii="Cambria Math" w:hAnsi="Cambria Math" w:eastAsia="宋体"/>
                <w:color w:val="auto"/>
                <w:highlight w:val="none"/>
              </w:rPr>
              <m:t>AL</m:t>
            </m:r>
            <m:ctrlPr>
              <w:rPr>
                <w:rFonts w:ascii="Cambria Math" w:hAnsi="Cambria Math" w:eastAsia="宋体"/>
                <w:color w:val="auto"/>
                <w:highlight w:val="none"/>
              </w:rPr>
            </m:ctrlPr>
          </m:sub>
        </m:sSub>
      </m:oMath>
      <w:r>
        <w:rPr>
          <w:rFonts w:hint="eastAsia" w:ascii="宋体" w:hAnsi="宋体" w:eastAsia="宋体"/>
          <w:color w:val="auto"/>
          <w:highlight w:val="none"/>
        </w:rPr>
        <w:t>。</w:t>
      </w:r>
    </w:p>
    <w:p>
      <w:pPr>
        <w:pStyle w:val="104"/>
        <w:spacing w:before="0" w:beforeLines="0" w:after="0" w:afterLines="0"/>
        <w:rPr>
          <w:rFonts w:ascii="宋体" w:hAnsi="宋体" w:eastAsia="宋体"/>
          <w:color w:val="auto"/>
          <w:highlight w:val="none"/>
        </w:rPr>
      </w:pPr>
      <w:r>
        <w:rPr>
          <w:rFonts w:ascii="宋体" w:hAnsi="宋体" w:eastAsia="宋体"/>
          <w:color w:val="auto"/>
          <w:highlight w:val="none"/>
        </w:rPr>
        <w:t>使</w:t>
      </w:r>
      <w:r>
        <w:rPr>
          <w:rFonts w:hint="eastAsia" w:ascii="宋体" w:hAnsi="宋体" w:eastAsia="宋体"/>
          <w:color w:val="auto"/>
          <w:highlight w:val="none"/>
          <w:lang w:val="en-US" w:eastAsia="zh-CN"/>
        </w:rPr>
        <w:t>车辆</w:t>
      </w:r>
      <w:r>
        <w:rPr>
          <w:rFonts w:ascii="宋体" w:hAnsi="宋体" w:eastAsia="宋体"/>
          <w:color w:val="auto"/>
          <w:highlight w:val="none"/>
        </w:rPr>
        <w:t>全部车轮制动，测定最大制动强度</w:t>
      </w:r>
      <m:oMath>
        <m:sSub>
          <m:sSubPr>
            <m:ctrlPr>
              <w:rPr>
                <w:rFonts w:ascii="Cambria Math" w:hAnsi="Cambria Math" w:eastAsia="宋体"/>
                <w:color w:val="auto"/>
                <w:highlight w:val="none"/>
              </w:rPr>
            </m:ctrlPr>
          </m:sSubPr>
          <m:e>
            <m:r>
              <m:rPr/>
              <w:rPr>
                <w:rFonts w:ascii="Cambria Math" w:hAnsi="Cambria Math"/>
                <w:color w:val="auto"/>
                <w:highlight w:val="none"/>
              </w:rPr>
              <m:t>z</m:t>
            </m:r>
            <m:ctrlPr>
              <w:rPr>
                <w:rFonts w:ascii="Cambria Math" w:hAnsi="Cambria Math" w:eastAsia="宋体"/>
                <w:color w:val="auto"/>
                <w:highlight w:val="none"/>
              </w:rPr>
            </m:ctrlPr>
          </m:e>
          <m:sub>
            <m:r>
              <m:rPr/>
              <w:rPr>
                <w:rFonts w:ascii="Cambria Math" w:hAnsi="Cambria Math"/>
                <w:color w:val="auto"/>
                <w:highlight w:val="none"/>
              </w:rPr>
              <m:t>AL</m:t>
            </m:r>
            <m:ctrlPr>
              <w:rPr>
                <w:rFonts w:ascii="Cambria Math" w:hAnsi="Cambria Math" w:eastAsia="宋体"/>
                <w:color w:val="auto"/>
                <w:highlight w:val="none"/>
              </w:rPr>
            </m:ctrlPr>
          </m:sub>
        </m:sSub>
      </m:oMath>
      <w:r>
        <w:rPr>
          <w:rFonts w:hint="eastAsia" w:ascii="宋体" w:hAnsi="宋体" w:eastAsia="宋体"/>
          <w:color w:val="auto"/>
          <w:highlight w:val="none"/>
        </w:rPr>
        <w:t>。具体要求如下：</w:t>
      </w:r>
    </w:p>
    <w:p>
      <w:pPr>
        <w:pStyle w:val="180"/>
        <w:numPr>
          <w:ilvl w:val="0"/>
          <w:numId w:val="74"/>
        </w:numPr>
        <w:rPr>
          <w:color w:val="auto"/>
          <w:highlight w:val="none"/>
        </w:rPr>
      </w:pPr>
      <w:r>
        <w:rPr>
          <w:rFonts w:hint="eastAsia"/>
          <w:color w:val="auto"/>
          <w:highlight w:val="none"/>
        </w:rPr>
        <w:t>接通防抱制动系统，踩下制动踏板，确认每个制动器都正常工作。</w:t>
      </w:r>
    </w:p>
    <w:p>
      <w:pPr>
        <w:pStyle w:val="180"/>
        <w:numPr>
          <w:ilvl w:val="0"/>
          <w:numId w:val="74"/>
        </w:numPr>
        <w:rPr>
          <w:color w:val="auto"/>
          <w:highlight w:val="none"/>
        </w:rPr>
      </w:pPr>
      <w:r>
        <w:rPr>
          <w:rFonts w:hint="eastAsia"/>
          <w:color w:val="auto"/>
          <w:highlight w:val="none"/>
        </w:rPr>
        <w:t>以55</w:t>
      </w:r>
      <w:r>
        <w:rPr>
          <w:rFonts w:hint="eastAsia"/>
          <w:color w:val="auto"/>
          <w:highlight w:val="none"/>
          <w:lang w:val="en-US" w:eastAsia="zh-CN"/>
        </w:rPr>
        <w:t> </w:t>
      </w:r>
      <w:r>
        <w:rPr>
          <w:rFonts w:hint="eastAsia"/>
          <w:color w:val="auto"/>
          <w:highlight w:val="none"/>
        </w:rPr>
        <w:t>km/h的初速度制动，测定速度从45</w:t>
      </w:r>
      <w:r>
        <w:rPr>
          <w:rFonts w:hint="eastAsia"/>
          <w:color w:val="auto"/>
          <w:highlight w:val="none"/>
          <w:lang w:val="en-US" w:eastAsia="zh-CN"/>
        </w:rPr>
        <w:t> </w:t>
      </w:r>
      <w:r>
        <w:rPr>
          <w:rFonts w:hint="eastAsia"/>
          <w:color w:val="auto"/>
          <w:highlight w:val="none"/>
        </w:rPr>
        <w:t>km/h下降至15</w:t>
      </w:r>
      <w:r>
        <w:rPr>
          <w:rFonts w:hint="eastAsia"/>
          <w:color w:val="auto"/>
          <w:highlight w:val="none"/>
          <w:lang w:val="en-US" w:eastAsia="zh-CN"/>
        </w:rPr>
        <w:t> </w:t>
      </w:r>
      <w:r>
        <w:rPr>
          <w:rFonts w:hint="eastAsia"/>
          <w:color w:val="auto"/>
          <w:highlight w:val="none"/>
        </w:rPr>
        <w:t>km/h时的时间；制动过程中，保证防抱制动系统全循环。</w:t>
      </w:r>
    </w:p>
    <w:p>
      <w:pPr>
        <w:pStyle w:val="180"/>
        <w:numPr>
          <w:ilvl w:val="0"/>
          <w:numId w:val="74"/>
        </w:numPr>
        <w:rPr>
          <w:color w:val="auto"/>
          <w:highlight w:val="none"/>
        </w:rPr>
      </w:pPr>
      <w:r>
        <w:rPr>
          <w:rFonts w:hint="eastAsia"/>
          <w:color w:val="auto"/>
          <w:highlight w:val="none"/>
        </w:rPr>
        <w:t>根据3次试验的平均值，</w:t>
      </w:r>
      <w:r>
        <w:rPr>
          <w:rFonts w:hint="eastAsia"/>
          <w:color w:val="auto"/>
          <w:highlight w:val="none"/>
          <w:lang w:val="en-US" w:eastAsia="zh-CN"/>
        </w:rPr>
        <w:t>按照公式（20）</w:t>
      </w:r>
      <w:r>
        <w:rPr>
          <w:rFonts w:hint="eastAsia"/>
          <w:color w:val="auto"/>
          <w:highlight w:val="none"/>
        </w:rPr>
        <w:t>计算最大制动强度</w:t>
      </w:r>
      <w:r>
        <w:rPr>
          <w:rFonts w:hint="eastAsia"/>
          <w:color w:val="auto"/>
          <w:highlight w:val="none"/>
          <w:lang w:eastAsia="zh-CN"/>
        </w:rPr>
        <w:t>。</w:t>
      </w:r>
    </w:p>
    <w:p>
      <w:pPr>
        <w:pStyle w:val="180"/>
        <w:numPr>
          <w:ilvl w:val="-1"/>
          <w:numId w:val="0"/>
        </w:numPr>
        <w:tabs>
          <w:tab w:val="center" w:pos="4725"/>
          <w:tab w:val="right" w:leader="dot" w:pos="9450"/>
          <w:tab w:val="clear" w:pos="851"/>
        </w:tabs>
        <w:ind w:left="0" w:firstLine="0"/>
        <w:rPr>
          <w:color w:val="auto"/>
          <w:highlight w:val="none"/>
        </w:rPr>
      </w:pPr>
      <w:r>
        <w:rPr>
          <w:rFonts w:hint="eastAsia" w:hAnsi="Cambria Math"/>
          <w:i w:val="0"/>
          <w:color w:val="auto"/>
          <w:highlight w:val="none"/>
          <w:lang w:val="en-US" w:eastAsia="zh-CN"/>
        </w:rPr>
        <w:tab/>
      </w:r>
      <m:oMath>
        <m:sSub>
          <m:sSubPr>
            <m:ctrlPr>
              <w:rPr>
                <w:rFonts w:ascii="Cambria Math" w:hAnsi="Cambria Math"/>
                <w:color w:val="auto"/>
                <w:highlight w:val="none"/>
              </w:rPr>
            </m:ctrlPr>
          </m:sSubPr>
          <m:e>
            <m:r>
              <m:rPr/>
              <w:rPr>
                <w:rFonts w:ascii="Cambria Math" w:hAnsi="Cambria Math"/>
                <w:color w:val="auto"/>
                <w:highlight w:val="none"/>
              </w:rPr>
              <m:t>z</m:t>
            </m:r>
            <m:ctrlPr>
              <w:rPr>
                <w:rFonts w:ascii="Cambria Math" w:hAnsi="Cambria Math"/>
                <w:color w:val="auto"/>
                <w:highlight w:val="none"/>
              </w:rPr>
            </m:ctrlPr>
          </m:e>
          <m:sub>
            <m:r>
              <m:rPr/>
              <w:rPr>
                <w:rFonts w:ascii="Cambria Math" w:hAnsi="Cambria Math"/>
                <w:color w:val="auto"/>
                <w:highlight w:val="none"/>
              </w:rPr>
              <m:t>AL</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r>
              <m:rPr>
                <m:sty m:val="p"/>
              </m:rPr>
              <w:rPr>
                <w:rFonts w:ascii="Cambria Math" w:hAnsi="Cambria Math"/>
                <w:color w:val="auto"/>
                <w:highlight w:val="none"/>
              </w:rPr>
              <m:t>0.849</m:t>
            </m:r>
            <m:ctrlPr>
              <w:rPr>
                <w:rFonts w:ascii="Cambria Math" w:hAnsi="Cambria Math"/>
                <w:color w:val="auto"/>
                <w:highlight w:val="none"/>
              </w:rPr>
            </m:ctrlPr>
          </m:num>
          <m:den>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ctrlPr>
              <w:rPr>
                <w:rFonts w:ascii="Cambria Math" w:hAnsi="Cambria Math"/>
                <w:color w:val="auto"/>
                <w:highlight w:val="none"/>
              </w:rPr>
            </m:ctrlPr>
          </m:den>
        </m:f>
      </m:oMath>
      <w:r>
        <w:rPr>
          <w:rFonts w:hint="eastAsia" w:hAnsi="Cambria Math"/>
          <w:i w:val="0"/>
          <w:color w:val="auto"/>
          <w:highlight w:val="none"/>
          <w:lang w:val="en-US" w:eastAsia="zh-CN"/>
        </w:rPr>
        <w:tab/>
      </w:r>
      <w:r>
        <w:rPr>
          <w:rFonts w:hint="eastAsia" w:hAnsi="Cambria Math"/>
          <w:i w:val="0"/>
          <w:color w:val="auto"/>
          <w:highlight w:val="none"/>
          <w:lang w:val="en-US" w:eastAsia="zh-CN"/>
        </w:rPr>
        <w:t>(20)</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附着系数（</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k</m:t>
            </m:r>
            <m:ctrlPr>
              <w:rPr>
                <w:rFonts w:ascii="Cambria Math" w:hAnsi="Cambria Math" w:eastAsia="宋体"/>
                <w:color w:val="auto"/>
                <w:highlight w:val="none"/>
              </w:rPr>
            </m:ctrlPr>
          </m:e>
          <m:sub>
            <m:r>
              <m:rPr/>
              <w:rPr>
                <w:rFonts w:hint="eastAsia" w:ascii="Cambria Math" w:hAnsi="Cambria Math" w:eastAsia="宋体"/>
                <w:color w:val="auto"/>
                <w:highlight w:val="none"/>
              </w:rPr>
              <m:t>M</m:t>
            </m:r>
            <m:ctrlPr>
              <w:rPr>
                <w:rFonts w:ascii="Cambria Math" w:hAnsi="Cambria Math" w:eastAsia="宋体"/>
                <w:color w:val="auto"/>
                <w:highlight w:val="none"/>
              </w:rPr>
            </m:ctrlPr>
          </m:sub>
        </m:sSub>
      </m:oMath>
      <w:r>
        <w:rPr>
          <w:rFonts w:hint="eastAsia" w:ascii="宋体" w:hAnsi="宋体" w:eastAsia="宋体"/>
          <w:color w:val="auto"/>
          <w:highlight w:val="none"/>
        </w:rPr>
        <w:t>或</w:t>
      </w:r>
      <m:oMath>
        <m:sSub>
          <m:sSubPr>
            <m:ctrlPr>
              <w:rPr>
                <w:rFonts w:ascii="Cambria Math" w:hAnsi="Cambria Math" w:eastAsia="宋体"/>
                <w:color w:val="auto"/>
                <w:highlight w:val="none"/>
              </w:rPr>
            </m:ctrlPr>
          </m:sSubPr>
          <m:e>
            <m:r>
              <m:rPr/>
              <w:rPr>
                <w:rFonts w:hint="eastAsia" w:ascii="Cambria Math" w:hAnsi="Cambria Math" w:eastAsia="宋体"/>
                <w:color w:val="auto"/>
                <w:highlight w:val="none"/>
              </w:rPr>
              <m:t>k</m:t>
            </m:r>
            <m:ctrlPr>
              <w:rPr>
                <w:rFonts w:ascii="Cambria Math" w:hAnsi="Cambria Math" w:eastAsia="宋体"/>
                <w:color w:val="auto"/>
                <w:highlight w:val="none"/>
              </w:rPr>
            </m:ctrlPr>
          </m:e>
          <m:sub>
            <m:r>
              <m:rPr/>
              <w:rPr>
                <w:rFonts w:hint="eastAsia" w:ascii="Cambria Math" w:hAnsi="Cambria Math" w:eastAsia="宋体"/>
                <w:color w:val="auto"/>
                <w:highlight w:val="none"/>
              </w:rPr>
              <m:t>i</m:t>
            </m:r>
            <m:ctrlPr>
              <w:rPr>
                <w:rFonts w:ascii="Cambria Math" w:hAnsi="Cambria Math" w:eastAsia="宋体"/>
                <w:color w:val="auto"/>
                <w:highlight w:val="none"/>
              </w:rPr>
            </m:ctrlPr>
          </m:sub>
        </m:sSub>
      </m:oMath>
      <w:r>
        <w:rPr>
          <w:rFonts w:hint="eastAsia" w:ascii="宋体" w:hAnsi="宋体" w:eastAsia="宋体"/>
          <w:color w:val="auto"/>
          <w:highlight w:val="none"/>
        </w:rPr>
        <w:t>）的测定，具体要求如下：</w:t>
      </w:r>
    </w:p>
    <w:p>
      <w:pPr>
        <w:pStyle w:val="180"/>
        <w:numPr>
          <w:ilvl w:val="0"/>
          <w:numId w:val="75"/>
        </w:numPr>
        <w:rPr>
          <w:color w:val="auto"/>
          <w:highlight w:val="none"/>
        </w:rPr>
      </w:pPr>
      <w:r>
        <w:rPr>
          <w:rFonts w:hint="eastAsia"/>
          <w:color w:val="auto"/>
          <w:highlight w:val="none"/>
        </w:rPr>
        <w:t>脱开防抱制动系统或使其不工作，仅对试验车辆的单根车轴（桥）进行制动。试验初速度为50</w:t>
      </w:r>
      <w:r>
        <w:rPr>
          <w:rFonts w:hint="eastAsia"/>
          <w:color w:val="auto"/>
          <w:highlight w:val="none"/>
          <w:lang w:val="en-US" w:eastAsia="zh-CN"/>
        </w:rPr>
        <w:t> </w:t>
      </w:r>
      <w:r>
        <w:rPr>
          <w:rFonts w:hint="eastAsia"/>
          <w:color w:val="auto"/>
          <w:highlight w:val="none"/>
        </w:rPr>
        <w:t>km/h；为达到最佳性能，制动力应在该车轴的车轮间均匀分配。</w:t>
      </w:r>
    </w:p>
    <w:p>
      <w:pPr>
        <w:pStyle w:val="180"/>
        <w:numPr>
          <w:ilvl w:val="0"/>
          <w:numId w:val="75"/>
        </w:numPr>
        <w:rPr>
          <w:color w:val="auto"/>
          <w:highlight w:val="none"/>
        </w:rPr>
      </w:pPr>
      <w:r>
        <w:rPr>
          <w:rFonts w:hint="eastAsia" w:hAnsi="宋体"/>
          <w:color w:val="auto"/>
          <w:highlight w:val="none"/>
        </w:rPr>
        <w:t>制动强度</w:t>
      </w:r>
      <m:oMath>
        <m:sSub>
          <m:sSubPr>
            <m:ctrlPr>
              <w:rPr>
                <w:rFonts w:ascii="Cambria Math" w:hAnsi="Cambria Math"/>
                <w:color w:val="auto"/>
                <w:highlight w:val="none"/>
              </w:rPr>
            </m:ctrlPr>
          </m:sSubPr>
          <m:e>
            <m:r>
              <m:rPr/>
              <w:rPr>
                <w:rFonts w:ascii="Cambria Math" w:hAnsi="Cambria Math"/>
                <w:color w:val="auto"/>
                <w:highlight w:val="none"/>
              </w:rPr>
              <m:t>z</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oMath>
      <w:r>
        <w:rPr>
          <w:rFonts w:hint="eastAsia" w:hAnsi="宋体"/>
          <w:color w:val="auto"/>
          <w:highlight w:val="none"/>
        </w:rPr>
        <w:t>的测定：本试验中，控制力在制动作用期间保持不变，车速低于</w:t>
      </w:r>
      <w:r>
        <w:rPr>
          <w:rFonts w:hint="eastAsia"/>
          <w:color w:val="auto"/>
          <w:highlight w:val="none"/>
        </w:rPr>
        <w:t>20</w:t>
      </w:r>
      <w:r>
        <w:rPr>
          <w:rFonts w:hint="eastAsia"/>
          <w:color w:val="auto"/>
          <w:highlight w:val="none"/>
          <w:lang w:val="en-US" w:eastAsia="zh-CN"/>
        </w:rPr>
        <w:t> </w:t>
      </w:r>
      <w:r>
        <w:rPr>
          <w:rFonts w:hint="eastAsia"/>
          <w:color w:val="auto"/>
          <w:highlight w:val="none"/>
        </w:rPr>
        <w:t>km/h时允许车轮抱死。逐次增加管路压力，进行多次试验，测定车速从40</w:t>
      </w:r>
      <w:r>
        <w:rPr>
          <w:rFonts w:hint="eastAsia"/>
          <w:color w:val="auto"/>
          <w:highlight w:val="none"/>
          <w:lang w:val="en-US" w:eastAsia="zh-CN"/>
        </w:rPr>
        <w:t> </w:t>
      </w:r>
      <w:r>
        <w:rPr>
          <w:rFonts w:hint="eastAsia"/>
          <w:color w:val="auto"/>
          <w:highlight w:val="none"/>
        </w:rPr>
        <w:t>km/h下降至20</w:t>
      </w:r>
      <w:r>
        <w:rPr>
          <w:rFonts w:hint="eastAsia"/>
          <w:color w:val="auto"/>
          <w:highlight w:val="none"/>
          <w:lang w:val="en-US" w:eastAsia="zh-CN"/>
        </w:rPr>
        <w:t> </w:t>
      </w:r>
      <w:r>
        <w:rPr>
          <w:rFonts w:hint="eastAsia"/>
          <w:color w:val="auto"/>
          <w:highlight w:val="none"/>
        </w:rPr>
        <w:t>km/h所经历的时间</w:t>
      </w:r>
      <m:oMath>
        <m:r>
          <m:rPr/>
          <w:rPr>
            <w:rFonts w:ascii="Cambria Math" w:hAnsi="Cambria Math"/>
            <w:color w:val="auto"/>
            <w:highlight w:val="none"/>
          </w:rPr>
          <m:t>t</m:t>
        </m:r>
      </m:oMath>
      <w:r>
        <w:rPr>
          <w:rFonts w:hint="eastAsia"/>
          <w:color w:val="auto"/>
          <w:highlight w:val="none"/>
        </w:rPr>
        <w:t>。从</w:t>
      </w:r>
      <m:oMath>
        <m:r>
          <m:rPr/>
          <w:rPr>
            <w:rFonts w:ascii="Cambria Math" w:hAnsi="Cambria Math"/>
            <w:color w:val="auto"/>
            <w:highlight w:val="none"/>
          </w:rPr>
          <m:t>t</m:t>
        </m:r>
      </m:oMath>
      <w:r>
        <w:rPr>
          <w:rFonts w:hint="eastAsia"/>
          <w:color w:val="auto"/>
          <w:highlight w:val="none"/>
        </w:rPr>
        <w:t>的最小值</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hint="eastAsia" w:ascii="Cambria Math" w:hAnsi="Cambria Math"/>
                <w:color w:val="auto"/>
                <w:highlight w:val="none"/>
              </w:rPr>
              <m:t>m</m:t>
            </m:r>
            <m:r>
              <m:rPr/>
              <w:rPr>
                <w:rFonts w:ascii="Cambria Math" w:hAnsi="Cambria Math"/>
                <w:color w:val="auto"/>
                <w:highlight w:val="none"/>
              </w:rPr>
              <m:t>in</m:t>
            </m:r>
            <m:ctrlPr>
              <w:rPr>
                <w:rFonts w:ascii="Cambria Math" w:hAnsi="Cambria Math"/>
                <w:color w:val="auto"/>
                <w:highlight w:val="none"/>
              </w:rPr>
            </m:ctrlPr>
          </m:sub>
        </m:sSub>
      </m:oMath>
      <w:r>
        <w:rPr>
          <w:rFonts w:hint="eastAsia" w:hAnsi="宋体"/>
          <w:color w:val="auto"/>
          <w:highlight w:val="none"/>
        </w:rPr>
        <w:t>开始，在</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hint="eastAsia" w:ascii="Cambria Math" w:hAnsi="Cambria Math"/>
                <w:color w:val="auto"/>
                <w:highlight w:val="none"/>
              </w:rPr>
              <m:t>m</m:t>
            </m:r>
            <m:r>
              <m:rPr/>
              <w:rPr>
                <w:rFonts w:ascii="Cambria Math" w:hAnsi="Cambria Math"/>
                <w:color w:val="auto"/>
                <w:highlight w:val="none"/>
              </w:rPr>
              <m:t>in</m:t>
            </m:r>
            <m:ctrlPr>
              <w:rPr>
                <w:rFonts w:ascii="Cambria Math" w:hAnsi="Cambria Math"/>
                <w:color w:val="auto"/>
                <w:highlight w:val="none"/>
              </w:rPr>
            </m:ctrlPr>
          </m:sub>
        </m:sSub>
      </m:oMath>
      <w:r>
        <w:rPr>
          <w:rFonts w:hint="eastAsia" w:hAnsi="宋体"/>
          <w:color w:val="auto"/>
          <w:highlight w:val="none"/>
        </w:rPr>
        <w:t>（包括</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hint="eastAsia" w:ascii="Cambria Math" w:hAnsi="Cambria Math"/>
                <w:color w:val="auto"/>
                <w:highlight w:val="none"/>
              </w:rPr>
              <m:t>m</m:t>
            </m:r>
            <m:r>
              <m:rPr/>
              <w:rPr>
                <w:rFonts w:ascii="Cambria Math" w:hAnsi="Cambria Math"/>
                <w:color w:val="auto"/>
                <w:highlight w:val="none"/>
              </w:rPr>
              <m:t>in</m:t>
            </m:r>
            <m:ctrlPr>
              <w:rPr>
                <w:rFonts w:ascii="Cambria Math" w:hAnsi="Cambria Math"/>
                <w:color w:val="auto"/>
                <w:highlight w:val="none"/>
              </w:rPr>
            </m:ctrlPr>
          </m:sub>
        </m:sSub>
      </m:oMath>
      <w:r>
        <w:rPr>
          <w:rFonts w:hint="eastAsia" w:hAnsi="宋体"/>
          <w:color w:val="auto"/>
          <w:highlight w:val="none"/>
        </w:rPr>
        <w:t>）和</w:t>
      </w:r>
      <w:r>
        <w:rPr>
          <w:rFonts w:hint="eastAsia"/>
          <w:color w:val="auto"/>
          <w:highlight w:val="none"/>
        </w:rPr>
        <w:t>1.05</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hint="eastAsia" w:ascii="Cambria Math" w:hAnsi="Cambria Math"/>
                <w:color w:val="auto"/>
                <w:highlight w:val="none"/>
              </w:rPr>
              <m:t>m</m:t>
            </m:r>
            <m:r>
              <m:rPr/>
              <w:rPr>
                <w:rFonts w:ascii="Cambria Math" w:hAnsi="Cambria Math"/>
                <w:color w:val="auto"/>
                <w:highlight w:val="none"/>
              </w:rPr>
              <m:t>in</m:t>
            </m:r>
            <m:ctrlPr>
              <w:rPr>
                <w:rFonts w:ascii="Cambria Math" w:hAnsi="Cambria Math"/>
                <w:color w:val="auto"/>
                <w:highlight w:val="none"/>
              </w:rPr>
            </m:ctrlPr>
          </m:sub>
        </m:sSub>
      </m:oMath>
      <w:r>
        <w:rPr>
          <w:rFonts w:hint="eastAsia" w:hAnsi="宋体"/>
          <w:color w:val="auto"/>
          <w:highlight w:val="none"/>
        </w:rPr>
        <w:t>之间选择</w:t>
      </w:r>
      <w:r>
        <w:rPr>
          <w:rFonts w:hint="eastAsia"/>
          <w:color w:val="auto"/>
          <w:highlight w:val="none"/>
        </w:rPr>
        <w:t>3个</w:t>
      </w:r>
      <m:oMath>
        <m:r>
          <m:rPr/>
          <w:rPr>
            <w:rFonts w:ascii="Cambria Math" w:hAnsi="Cambria Math"/>
            <w:color w:val="auto"/>
            <w:highlight w:val="none"/>
          </w:rPr>
          <m:t>t</m:t>
        </m:r>
      </m:oMath>
      <w:r>
        <w:rPr>
          <w:rFonts w:hint="eastAsia"/>
          <w:color w:val="auto"/>
          <w:highlight w:val="none"/>
        </w:rPr>
        <w:t>值，取其算术平均值</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hint="eastAsia" w:ascii="Cambria Math" w:hAnsi="Cambria Math"/>
                <w:color w:val="auto"/>
                <w:highlight w:val="none"/>
              </w:rPr>
              <m:t>m</m:t>
            </m:r>
            <m:ctrlPr>
              <w:rPr>
                <w:rFonts w:ascii="Cambria Math" w:hAnsi="Cambria Math"/>
                <w:color w:val="auto"/>
                <w:highlight w:val="none"/>
              </w:rPr>
            </m:ctrlPr>
          </m:sub>
        </m:sSub>
      </m:oMath>
      <w:r>
        <w:rPr>
          <w:rFonts w:hint="eastAsia" w:hAnsi="宋体"/>
          <w:color w:val="auto"/>
          <w:highlight w:val="none"/>
        </w:rPr>
        <w:t>（若不能得到</w:t>
      </w:r>
      <w:r>
        <w:rPr>
          <w:rFonts w:hint="eastAsia"/>
          <w:color w:val="auto"/>
          <w:highlight w:val="none"/>
        </w:rPr>
        <w:t>3个</w:t>
      </w:r>
      <m:oMath>
        <m:r>
          <m:rPr/>
          <w:rPr>
            <w:rFonts w:ascii="Cambria Math" w:hAnsi="Cambria Math"/>
            <w:color w:val="auto"/>
            <w:highlight w:val="none"/>
          </w:rPr>
          <m:t>t</m:t>
        </m:r>
      </m:oMath>
      <w:r>
        <w:rPr>
          <w:rFonts w:hint="eastAsia" w:hAnsi="宋体"/>
          <w:color w:val="auto"/>
          <w:highlight w:val="none"/>
        </w:rPr>
        <w:t>值，可用</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hint="eastAsia" w:ascii="Cambria Math" w:hAnsi="Cambria Math"/>
                <w:color w:val="auto"/>
                <w:highlight w:val="none"/>
              </w:rPr>
              <m:t>m</m:t>
            </m:r>
            <m:r>
              <m:rPr/>
              <w:rPr>
                <w:rFonts w:ascii="Cambria Math" w:hAnsi="Cambria Math"/>
                <w:color w:val="auto"/>
                <w:highlight w:val="none"/>
              </w:rPr>
              <m:t>in</m:t>
            </m:r>
            <m:ctrlPr>
              <w:rPr>
                <w:rFonts w:ascii="Cambria Math" w:hAnsi="Cambria Math"/>
                <w:color w:val="auto"/>
                <w:highlight w:val="none"/>
              </w:rPr>
            </m:ctrlPr>
          </m:sub>
        </m:sSub>
      </m:oMath>
      <w:r>
        <w:rPr>
          <w:rFonts w:hint="eastAsia" w:hAnsi="宋体"/>
          <w:color w:val="auto"/>
          <w:highlight w:val="none"/>
        </w:rPr>
        <w:t>代替</w:t>
      </w:r>
      <m:oMath>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hint="eastAsia" w:ascii="Cambria Math" w:hAnsi="Cambria Math"/>
                <w:color w:val="auto"/>
                <w:highlight w:val="none"/>
              </w:rPr>
              <m:t>m</m:t>
            </m:r>
            <m:ctrlPr>
              <w:rPr>
                <w:rFonts w:ascii="Cambria Math" w:hAnsi="Cambria Math"/>
                <w:color w:val="auto"/>
                <w:highlight w:val="none"/>
              </w:rPr>
            </m:ctrlPr>
          </m:sub>
        </m:sSub>
      </m:oMath>
      <w:r>
        <w:rPr>
          <w:rFonts w:hint="eastAsia" w:hAnsi="宋体"/>
          <w:color w:val="auto"/>
          <w:highlight w:val="none"/>
        </w:rPr>
        <w:t>）</w:t>
      </w:r>
      <w:r>
        <w:rPr>
          <w:rFonts w:hint="eastAsia" w:hAnsi="宋体"/>
          <w:color w:val="auto"/>
          <w:highlight w:val="none"/>
          <w:lang w:val="en-US" w:eastAsia="zh-CN"/>
        </w:rPr>
        <w:t>,按照公式（21）</w:t>
      </w:r>
      <w:r>
        <w:rPr>
          <w:rFonts w:hint="eastAsia" w:hAnsi="宋体"/>
          <w:color w:val="auto"/>
          <w:highlight w:val="none"/>
        </w:rPr>
        <w:t>计算最大制动强度</w:t>
      </w:r>
      <w:r>
        <w:rPr>
          <w:rFonts w:hint="eastAsia" w:hAnsi="宋体"/>
          <w:color w:val="auto"/>
          <w:highlight w:val="none"/>
          <w:lang w:eastAsia="zh-CN"/>
        </w:rPr>
        <w:t>。</w:t>
      </w:r>
    </w:p>
    <w:p>
      <w:pPr>
        <w:pStyle w:val="180"/>
        <w:numPr>
          <w:ilvl w:val="-1"/>
          <w:numId w:val="0"/>
        </w:numPr>
        <w:tabs>
          <w:tab w:val="center" w:pos="4725"/>
          <w:tab w:val="right" w:leader="dot" w:pos="9450"/>
          <w:tab w:val="clear" w:pos="851"/>
        </w:tabs>
        <w:ind w:left="0" w:firstLine="0"/>
        <w:rPr>
          <w:color w:val="auto"/>
          <w:highlight w:val="none"/>
        </w:rPr>
      </w:pPr>
      <w:r>
        <w:rPr>
          <w:rFonts w:hint="eastAsia" w:hAnsi="Cambria Math"/>
          <w:i w:val="0"/>
          <w:color w:val="auto"/>
          <w:highlight w:val="none"/>
          <w:lang w:val="en-US" w:eastAsia="zh-CN"/>
        </w:rPr>
        <w:tab/>
      </w:r>
      <m:oMath>
        <m:sSub>
          <m:sSubPr>
            <m:ctrlPr>
              <w:rPr>
                <w:rFonts w:ascii="Cambria Math" w:hAnsi="Cambria Math"/>
                <w:color w:val="auto"/>
                <w:highlight w:val="none"/>
              </w:rPr>
            </m:ctrlPr>
          </m:sSubPr>
          <m:e>
            <m:r>
              <m:rPr/>
              <w:rPr>
                <w:rFonts w:ascii="Cambria Math" w:hAnsi="Cambria Math"/>
                <w:color w:val="auto"/>
                <w:highlight w:val="none"/>
              </w:rPr>
              <m:t>z</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r>
              <m:rPr>
                <m:sty m:val="p"/>
              </m:rPr>
              <w:rPr>
                <w:rFonts w:ascii="Cambria Math" w:hAnsi="Cambria Math"/>
                <w:color w:val="auto"/>
                <w:highlight w:val="none"/>
              </w:rPr>
              <m:t>0.566</m:t>
            </m:r>
            <m:ctrlPr>
              <w:rPr>
                <w:rFonts w:ascii="Cambria Math" w:hAnsi="Cambria Math"/>
                <w:color w:val="auto"/>
                <w:highlight w:val="none"/>
              </w:rPr>
            </m:ctrlPr>
          </m:num>
          <m:den>
            <m:sSub>
              <m:sSubPr>
                <m:ctrlPr>
                  <w:rPr>
                    <w:rFonts w:ascii="Cambria Math" w:hAnsi="Cambria Math"/>
                    <w:color w:val="auto"/>
                    <w:highlight w:val="none"/>
                  </w:rPr>
                </m:ctrlPr>
              </m:sSubPr>
              <m:e>
                <m:r>
                  <m:rPr/>
                  <w:rPr>
                    <w:rFonts w:ascii="Cambria Math" w:hAnsi="Cambria Math"/>
                    <w:color w:val="auto"/>
                    <w:highlight w:val="none"/>
                  </w:rPr>
                  <m:t>t</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ctrlPr>
              <w:rPr>
                <w:rFonts w:ascii="Cambria Math" w:hAnsi="Cambria Math"/>
                <w:color w:val="auto"/>
                <w:highlight w:val="none"/>
              </w:rPr>
            </m:ctrlPr>
          </m:den>
        </m:f>
      </m:oMath>
      <w:r>
        <w:rPr>
          <w:rFonts w:hint="eastAsia" w:hAnsi="Cambria Math"/>
          <w:i w:val="0"/>
          <w:color w:val="auto"/>
          <w:highlight w:val="none"/>
          <w:lang w:val="en-US" w:eastAsia="zh-CN"/>
        </w:rPr>
        <w:tab/>
      </w:r>
      <w:r>
        <w:rPr>
          <w:rFonts w:hint="eastAsia" w:hAnsi="Cambria Math"/>
          <w:i w:val="0"/>
          <w:color w:val="auto"/>
          <w:highlight w:val="none"/>
          <w:lang w:val="en-US" w:eastAsia="zh-CN"/>
        </w:rPr>
        <w:t>(21)</w:t>
      </w:r>
    </w:p>
    <w:p>
      <w:pPr>
        <w:pStyle w:val="180"/>
        <w:numPr>
          <w:ilvl w:val="0"/>
          <w:numId w:val="75"/>
        </w:numPr>
        <w:rPr>
          <w:rFonts w:hAnsi="宋体"/>
          <w:color w:val="auto"/>
          <w:highlight w:val="none"/>
        </w:rPr>
      </w:pPr>
      <w:r>
        <w:rPr>
          <w:rFonts w:hint="eastAsia" w:hAnsi="宋体"/>
          <w:color w:val="auto"/>
          <w:highlight w:val="none"/>
        </w:rPr>
        <w:t>根据测得的制动强度和非制动车轮的滚动阻力计算制动力及动态轴荷。以后轴驱动的两轴车为例</w:t>
      </w:r>
      <w:r>
        <w:rPr>
          <w:rFonts w:hint="eastAsia" w:hAnsi="宋体"/>
          <w:color w:val="auto"/>
          <w:highlight w:val="none"/>
          <w:lang w:val="en-US" w:eastAsia="zh-CN"/>
        </w:rPr>
        <w:t>,按照公式（22）至公式（25）计算。</w:t>
      </w:r>
    </w:p>
    <w:p>
      <w:pPr>
        <w:pStyle w:val="193"/>
        <w:numPr>
          <w:ilvl w:val="-1"/>
          <w:numId w:val="0"/>
        </w:numPr>
        <w:tabs>
          <w:tab w:val="center" w:pos="4725"/>
          <w:tab w:val="right" w:leader="dot" w:pos="9450"/>
        </w:tabs>
        <w:ind w:left="0"/>
        <w:rPr>
          <w:color w:val="auto"/>
          <w:highlight w:val="none"/>
        </w:rPr>
      </w:pPr>
      <w:r>
        <w:rPr>
          <w:rFonts w:hint="eastAsia" w:hAnsi="宋体"/>
          <w:color w:val="auto"/>
          <w:highlight w:val="none"/>
          <w:lang w:val="en-US" w:eastAsia="zh-CN"/>
        </w:rPr>
        <w:tab/>
      </w:r>
      <w:r>
        <w:rPr>
          <w:rFonts w:hint="eastAsia" w:hAnsi="宋体"/>
          <w:color w:val="auto"/>
          <w:highlight w:val="none"/>
        </w:rPr>
        <w:t>前轴制动时，制动力</w:t>
      </w:r>
      <w:r>
        <w:rPr>
          <w:rFonts w:hint="eastAsia" w:hAnsi="宋体"/>
          <w:color w:val="auto"/>
          <w:highlight w:val="none"/>
          <w:lang w:eastAsia="zh-CN"/>
        </w:rPr>
        <w:t>：</w:t>
      </w:r>
      <m:oMath>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w:rPr>
                <w:rFonts w:ascii="Cambria Math" w:hAnsi="Cambria Math"/>
                <w:color w:val="auto"/>
                <w:highlight w:val="none"/>
              </w:rPr>
              <m:t>f</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w:rPr>
                <w:rFonts w:hint="eastAsia" w:ascii="Cambria Math" w:hAnsi="Cambria Math"/>
                <w:color w:val="auto"/>
                <w:highlight w:val="none"/>
              </w:rPr>
              <m:t>z</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r>
          <m:rPr>
            <m:sty m:val="p"/>
          </m:rPr>
          <w:rPr>
            <w:rFonts w:ascii="Cambria Math" w:hAnsi="Cambria Math"/>
            <w:color w:val="auto"/>
            <w:highlight w:val="none"/>
          </w:rPr>
          <m:t>×</m:t>
        </m:r>
        <m:r>
          <m:rPr/>
          <w:rPr>
            <w:rFonts w:ascii="Cambria Math" w:hAnsi="Cambria Math"/>
            <w:color w:val="auto"/>
            <w:highlight w:val="none"/>
          </w:rPr>
          <m:t>P</m:t>
        </m:r>
        <m:r>
          <m:rPr>
            <m:sty m:val="p"/>
          </m:rPr>
          <w:rPr>
            <w:rFonts w:ascii="Cambria Math" w:hAnsi="Cambria Math"/>
            <w:color w:val="auto"/>
            <w:highlight w:val="none"/>
          </w:rPr>
          <m:t>×</m:t>
        </m:r>
        <m:r>
          <m:rPr/>
          <w:rPr>
            <w:rFonts w:ascii="Cambria Math" w:hAnsi="Cambria Math"/>
            <w:color w:val="auto"/>
            <w:highlight w:val="none"/>
          </w:rPr>
          <m:t>g</m:t>
        </m:r>
        <m:r>
          <m:rPr>
            <m:sty m:val="p"/>
          </m:rPr>
          <w:rPr>
            <w:rFonts w:ascii="Cambria Math" w:hAnsi="Cambria Math"/>
            <w:color w:val="auto"/>
            <w:highlight w:val="none"/>
          </w:rPr>
          <m:t>−0.015</m:t>
        </m:r>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2</m:t>
            </m:r>
            <m:ctrlPr>
              <w:rPr>
                <w:rFonts w:ascii="Cambria Math" w:hAnsi="Cambria Math"/>
                <w:color w:val="auto"/>
                <w:highlight w:val="none"/>
              </w:rPr>
            </m:ctrlPr>
          </m:sub>
        </m:sSub>
      </m:oMath>
      <w:r>
        <w:rPr>
          <w:rFonts w:hint="eastAsia" w:hAnsi="Cambria Math"/>
          <w:i w:val="0"/>
          <w:color w:val="auto"/>
          <w:highlight w:val="none"/>
          <w:lang w:val="en-US" w:eastAsia="zh-CN"/>
        </w:rPr>
        <w:tab/>
      </w:r>
      <w:r>
        <w:rPr>
          <w:rFonts w:hint="eastAsia" w:hAnsi="Cambria Math"/>
          <w:i w:val="0"/>
          <w:color w:val="auto"/>
          <w:highlight w:val="none"/>
          <w:lang w:val="en-US" w:eastAsia="zh-CN"/>
        </w:rPr>
        <w:t>(22)</w:t>
      </w:r>
    </w:p>
    <w:p>
      <w:pPr>
        <w:pStyle w:val="193"/>
        <w:numPr>
          <w:ilvl w:val="-1"/>
          <w:numId w:val="0"/>
        </w:numPr>
        <w:tabs>
          <w:tab w:val="center" w:pos="4725"/>
          <w:tab w:val="right" w:leader="dot" w:pos="9450"/>
        </w:tabs>
        <w:ind w:left="0"/>
        <w:rPr>
          <w:color w:val="auto"/>
          <w:highlight w:val="none"/>
        </w:rPr>
      </w:pPr>
      <w:r>
        <w:rPr>
          <w:rFonts w:hint="eastAsia" w:hAnsi="宋体"/>
          <w:color w:val="auto"/>
          <w:highlight w:val="none"/>
          <w:lang w:val="en-US" w:eastAsia="zh-CN"/>
        </w:rPr>
        <w:tab/>
      </w:r>
      <w:r>
        <w:rPr>
          <w:rFonts w:hint="eastAsia" w:hAnsi="宋体"/>
          <w:color w:val="auto"/>
          <w:highlight w:val="none"/>
        </w:rPr>
        <w:t>前轴动态轴荷</w:t>
      </w:r>
      <w:r>
        <w:rPr>
          <w:rFonts w:hint="eastAsia" w:hAnsi="宋体"/>
          <w:color w:val="auto"/>
          <w:highlight w:val="none"/>
          <w:lang w:eastAsia="zh-CN"/>
        </w:rPr>
        <w:t>：</w:t>
      </w:r>
      <m:oMath>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w:rPr>
                <w:rFonts w:ascii="Cambria Math" w:hAnsi="Cambria Math"/>
                <w:color w:val="auto"/>
                <w:highlight w:val="none"/>
              </w:rPr>
              <m:t>fdyn</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w:rPr>
                <w:rFonts w:ascii="Cambria Math" w:hAnsi="Cambria Math"/>
                <w:color w:val="auto"/>
                <w:highlight w:val="none"/>
              </w:rPr>
              <m:t>f</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r>
              <m:rPr/>
              <w:rPr>
                <w:rFonts w:ascii="Cambria Math" w:hAnsi="Cambria Math"/>
                <w:color w:val="auto"/>
                <w:highlight w:val="none"/>
              </w:rPr>
              <m:t>ℎ</m:t>
            </m:r>
            <m:ctrlPr>
              <w:rPr>
                <w:rFonts w:ascii="Cambria Math" w:hAnsi="Cambria Math"/>
                <w:color w:val="auto"/>
                <w:highlight w:val="none"/>
              </w:rPr>
            </m:ctrlPr>
          </m:num>
          <m:den>
            <m:r>
              <m:rPr/>
              <w:rPr>
                <w:rFonts w:ascii="Cambria Math" w:hAnsi="Cambria Math"/>
                <w:color w:val="auto"/>
                <w:highlight w:val="none"/>
              </w:rPr>
              <m:t>E</m:t>
            </m:r>
            <m:ctrlPr>
              <w:rPr>
                <w:rFonts w:ascii="Cambria Math" w:hAnsi="Cambria Math"/>
                <w:color w:val="auto"/>
                <w:highlight w:val="none"/>
              </w:rPr>
            </m:ctrlPr>
          </m:den>
        </m:f>
        <m:r>
          <m:rPr>
            <m:sty m:val="p"/>
          </m:rPr>
          <w:rPr>
            <w:rFonts w:ascii="Cambria Math" w:hAnsi="Cambria Math"/>
            <w:color w:val="auto"/>
            <w:highlight w:val="none"/>
          </w:rPr>
          <m:t>×</m:t>
        </m:r>
        <m:sSub>
          <m:sSubPr>
            <m:ctrlPr>
              <w:rPr>
                <w:rFonts w:ascii="Cambria Math" w:hAnsi="Cambria Math"/>
                <w:color w:val="auto"/>
                <w:highlight w:val="none"/>
              </w:rPr>
            </m:ctrlPr>
          </m:sSubPr>
          <m:e>
            <m:r>
              <m:rPr/>
              <w:rPr>
                <w:rFonts w:ascii="Cambria Math" w:hAnsi="Cambria Math"/>
                <w:color w:val="auto"/>
                <w:highlight w:val="none"/>
              </w:rPr>
              <m:t>z</m:t>
            </m:r>
            <m:ctrlPr>
              <w:rPr>
                <w:rFonts w:ascii="Cambria Math" w:hAnsi="Cambria Math"/>
                <w:color w:val="auto"/>
                <w:highlight w:val="none"/>
              </w:rPr>
            </m:ctrlPr>
          </m:e>
          <m:sub>
            <m:r>
              <m:rPr/>
              <w:rPr>
                <w:rFonts w:ascii="Cambria Math" w:hAnsi="Cambria Math"/>
                <w:color w:val="auto"/>
                <w:highlight w:val="none"/>
              </w:rPr>
              <m:t>AL</m:t>
            </m:r>
            <m:ctrlPr>
              <w:rPr>
                <w:rFonts w:ascii="Cambria Math" w:hAnsi="Cambria Math"/>
                <w:color w:val="auto"/>
                <w:highlight w:val="none"/>
              </w:rPr>
            </m:ctrlPr>
          </m:sub>
        </m:sSub>
        <m:r>
          <m:rPr>
            <m:sty m:val="p"/>
          </m:rPr>
          <w:rPr>
            <w:rFonts w:ascii="Cambria Math" w:hAnsi="Cambria Math"/>
            <w:color w:val="auto"/>
            <w:highlight w:val="none"/>
          </w:rPr>
          <m:t>×</m:t>
        </m:r>
        <m:r>
          <m:rPr/>
          <w:rPr>
            <w:rFonts w:ascii="Cambria Math" w:hAnsi="Cambria Math"/>
            <w:color w:val="auto"/>
            <w:highlight w:val="none"/>
          </w:rPr>
          <m:t>P</m:t>
        </m:r>
        <m:r>
          <m:rPr>
            <m:sty m:val="p"/>
          </m:rPr>
          <w:rPr>
            <w:rFonts w:ascii="Cambria Math" w:hAnsi="Cambria Math"/>
            <w:color w:val="auto"/>
            <w:highlight w:val="none"/>
          </w:rPr>
          <m:t>×</m:t>
        </m:r>
        <m:r>
          <m:rPr/>
          <w:rPr>
            <w:rFonts w:ascii="Cambria Math" w:hAnsi="Cambria Math"/>
            <w:color w:val="auto"/>
            <w:highlight w:val="none"/>
          </w:rPr>
          <m:t>g</m:t>
        </m:r>
      </m:oMath>
      <w:r>
        <w:rPr>
          <w:rFonts w:hint="eastAsia" w:hAnsi="Cambria Math"/>
          <w:i w:val="0"/>
          <w:color w:val="auto"/>
          <w:highlight w:val="none"/>
          <w:lang w:val="en-US" w:eastAsia="zh-CN"/>
        </w:rPr>
        <w:tab/>
      </w:r>
      <w:r>
        <w:rPr>
          <w:rFonts w:hint="eastAsia" w:hAnsi="Cambria Math"/>
          <w:i w:val="0"/>
          <w:color w:val="auto"/>
          <w:highlight w:val="none"/>
          <w:lang w:val="en-US" w:eastAsia="zh-CN"/>
        </w:rPr>
        <w:t>(23)</w:t>
      </w:r>
    </w:p>
    <w:p>
      <w:pPr>
        <w:pStyle w:val="193"/>
        <w:numPr>
          <w:ilvl w:val="-1"/>
          <w:numId w:val="0"/>
        </w:numPr>
        <w:tabs>
          <w:tab w:val="center" w:pos="4725"/>
          <w:tab w:val="right" w:leader="dot" w:pos="9450"/>
        </w:tabs>
        <w:ind w:left="0"/>
        <w:rPr>
          <w:color w:val="auto"/>
          <w:highlight w:val="none"/>
        </w:rPr>
      </w:pPr>
      <w:r>
        <w:rPr>
          <w:rFonts w:hint="eastAsia" w:hAnsi="宋体"/>
          <w:color w:val="auto"/>
          <w:highlight w:val="none"/>
          <w:lang w:val="en-US" w:eastAsia="zh-CN"/>
        </w:rPr>
        <w:tab/>
      </w:r>
      <w:r>
        <w:rPr>
          <w:rFonts w:hint="eastAsia" w:hAnsi="宋体"/>
          <w:color w:val="auto"/>
          <w:highlight w:val="none"/>
        </w:rPr>
        <w:t>后轴制动时，制动力</w:t>
      </w:r>
      <w:r>
        <w:rPr>
          <w:rFonts w:hint="eastAsia" w:hAnsi="宋体"/>
          <w:color w:val="auto"/>
          <w:highlight w:val="none"/>
          <w:lang w:eastAsia="zh-CN"/>
        </w:rPr>
        <w:t>：</w:t>
      </w:r>
      <m:oMath>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w:rPr>
                <w:rFonts w:ascii="Cambria Math" w:hAnsi="Cambria Math"/>
                <w:color w:val="auto"/>
                <w:highlight w:val="none"/>
              </w:rPr>
              <m:t>r</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w:rPr>
                <w:rFonts w:hint="eastAsia" w:ascii="Cambria Math" w:hAnsi="Cambria Math"/>
                <w:color w:val="auto"/>
                <w:highlight w:val="none"/>
              </w:rPr>
              <m:t>z</m:t>
            </m:r>
            <m:ctrlPr>
              <w:rPr>
                <w:rFonts w:ascii="Cambria Math" w:hAnsi="Cambria Math"/>
                <w:color w:val="auto"/>
                <w:highlight w:val="none"/>
              </w:rPr>
            </m:ctrlPr>
          </m:e>
          <m:sub>
            <m:r>
              <m:rPr/>
              <w:rPr>
                <w:rFonts w:ascii="Cambria Math" w:hAnsi="Cambria Math"/>
                <w:color w:val="auto"/>
                <w:highlight w:val="none"/>
              </w:rPr>
              <m:t>m</m:t>
            </m:r>
            <m:ctrlPr>
              <w:rPr>
                <w:rFonts w:ascii="Cambria Math" w:hAnsi="Cambria Math"/>
                <w:color w:val="auto"/>
                <w:highlight w:val="none"/>
              </w:rPr>
            </m:ctrlPr>
          </m:sub>
        </m:sSub>
        <m:r>
          <m:rPr>
            <m:sty m:val="p"/>
          </m:rPr>
          <w:rPr>
            <w:rFonts w:ascii="Cambria Math" w:hAnsi="Cambria Math"/>
            <w:color w:val="auto"/>
            <w:highlight w:val="none"/>
          </w:rPr>
          <m:t>×</m:t>
        </m:r>
        <m:r>
          <m:rPr/>
          <w:rPr>
            <w:rFonts w:ascii="Cambria Math" w:hAnsi="Cambria Math"/>
            <w:color w:val="auto"/>
            <w:highlight w:val="none"/>
          </w:rPr>
          <m:t>P</m:t>
        </m:r>
        <m:r>
          <m:rPr>
            <m:sty m:val="p"/>
          </m:rPr>
          <w:rPr>
            <w:rFonts w:ascii="Cambria Math" w:hAnsi="Cambria Math"/>
            <w:color w:val="auto"/>
            <w:highlight w:val="none"/>
          </w:rPr>
          <m:t>×</m:t>
        </m:r>
        <m:r>
          <m:rPr/>
          <w:rPr>
            <w:rFonts w:ascii="Cambria Math" w:hAnsi="Cambria Math"/>
            <w:color w:val="auto"/>
            <w:highlight w:val="none"/>
          </w:rPr>
          <m:t>g</m:t>
        </m:r>
        <m:r>
          <m:rPr>
            <m:sty m:val="p"/>
          </m:rPr>
          <w:rPr>
            <w:rFonts w:ascii="Cambria Math" w:hAnsi="Cambria Math"/>
            <w:color w:val="auto"/>
            <w:highlight w:val="none"/>
          </w:rPr>
          <m:t>−0.010</m:t>
        </m:r>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1</m:t>
            </m:r>
            <m:ctrlPr>
              <w:rPr>
                <w:rFonts w:ascii="Cambria Math" w:hAnsi="Cambria Math"/>
                <w:color w:val="auto"/>
                <w:highlight w:val="none"/>
              </w:rPr>
            </m:ctrlPr>
          </m:sub>
        </m:sSub>
      </m:oMath>
      <w:r>
        <w:rPr>
          <w:rFonts w:hint="eastAsia" w:hAnsi="Cambria Math"/>
          <w:i w:val="0"/>
          <w:color w:val="auto"/>
          <w:highlight w:val="none"/>
          <w:lang w:val="en-US" w:eastAsia="zh-CN"/>
        </w:rPr>
        <w:tab/>
      </w:r>
      <w:r>
        <w:rPr>
          <w:rFonts w:hint="eastAsia" w:hAnsi="Cambria Math"/>
          <w:i w:val="0"/>
          <w:color w:val="auto"/>
          <w:highlight w:val="none"/>
          <w:lang w:val="en-US" w:eastAsia="zh-CN"/>
        </w:rPr>
        <w:t>(24)</w:t>
      </w:r>
    </w:p>
    <w:p>
      <w:pPr>
        <w:pStyle w:val="193"/>
        <w:numPr>
          <w:ilvl w:val="-1"/>
          <w:numId w:val="0"/>
        </w:numPr>
        <w:tabs>
          <w:tab w:val="center" w:pos="4725"/>
          <w:tab w:val="right" w:leader="dot" w:pos="9450"/>
        </w:tabs>
        <w:ind w:left="0"/>
        <w:rPr>
          <w:color w:val="auto"/>
          <w:highlight w:val="none"/>
        </w:rPr>
      </w:pPr>
      <w:r>
        <w:rPr>
          <w:rFonts w:hint="eastAsia" w:hAnsi="宋体"/>
          <w:color w:val="auto"/>
          <w:highlight w:val="none"/>
          <w:lang w:val="en-US" w:eastAsia="zh-CN"/>
        </w:rPr>
        <w:tab/>
      </w:r>
      <w:r>
        <w:rPr>
          <w:rFonts w:hint="eastAsia" w:hAnsi="宋体"/>
          <w:color w:val="auto"/>
          <w:highlight w:val="none"/>
        </w:rPr>
        <w:t>后轴动态轴荷</w:t>
      </w:r>
      <w:r>
        <w:rPr>
          <w:rFonts w:hint="eastAsia" w:hAnsi="宋体"/>
          <w:color w:val="auto"/>
          <w:highlight w:val="none"/>
          <w:lang w:eastAsia="zh-CN"/>
        </w:rPr>
        <w:t>：</w:t>
      </w:r>
      <m:oMath>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w:rPr>
                <w:rFonts w:ascii="Cambria Math" w:hAnsi="Cambria Math"/>
                <w:color w:val="auto"/>
                <w:highlight w:val="none"/>
              </w:rPr>
              <m:t>rdyn</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w:rPr>
                <w:rFonts w:ascii="Cambria Math" w:hAnsi="Cambria Math"/>
                <w:color w:val="auto"/>
                <w:highlight w:val="none"/>
              </w:rPr>
              <m:t>F</m:t>
            </m:r>
            <m:ctrlPr>
              <w:rPr>
                <w:rFonts w:ascii="Cambria Math" w:hAnsi="Cambria Math"/>
                <w:color w:val="auto"/>
                <w:highlight w:val="none"/>
              </w:rPr>
            </m:ctrlPr>
          </m:e>
          <m:sub>
            <m:r>
              <m:rPr/>
              <w:rPr>
                <w:rFonts w:ascii="Cambria Math" w:hAnsi="Cambria Math"/>
                <w:color w:val="auto"/>
                <w:highlight w:val="none"/>
              </w:rPr>
              <m:t>r</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r>
              <m:rPr/>
              <w:rPr>
                <w:rFonts w:ascii="Cambria Math" w:hAnsi="Cambria Math"/>
                <w:color w:val="auto"/>
                <w:highlight w:val="none"/>
              </w:rPr>
              <m:t>ℎ</m:t>
            </m:r>
            <m:ctrlPr>
              <w:rPr>
                <w:rFonts w:ascii="Cambria Math" w:hAnsi="Cambria Math"/>
                <w:color w:val="auto"/>
                <w:highlight w:val="none"/>
              </w:rPr>
            </m:ctrlPr>
          </m:num>
          <m:den>
            <m:r>
              <m:rPr/>
              <w:rPr>
                <w:rFonts w:ascii="Cambria Math" w:hAnsi="Cambria Math"/>
                <w:color w:val="auto"/>
                <w:highlight w:val="none"/>
              </w:rPr>
              <m:t>E</m:t>
            </m:r>
            <m:ctrlPr>
              <w:rPr>
                <w:rFonts w:ascii="Cambria Math" w:hAnsi="Cambria Math"/>
                <w:color w:val="auto"/>
                <w:highlight w:val="none"/>
              </w:rPr>
            </m:ctrlPr>
          </m:den>
        </m:f>
        <m:r>
          <m:rPr>
            <m:sty m:val="p"/>
          </m:rPr>
          <w:rPr>
            <w:rFonts w:ascii="Cambria Math" w:hAnsi="Cambria Math"/>
            <w:color w:val="auto"/>
            <w:highlight w:val="none"/>
          </w:rPr>
          <m:t>×</m:t>
        </m:r>
        <m:sSub>
          <m:sSubPr>
            <m:ctrlPr>
              <w:rPr>
                <w:rFonts w:ascii="Cambria Math" w:hAnsi="Cambria Math"/>
                <w:color w:val="auto"/>
                <w:highlight w:val="none"/>
              </w:rPr>
            </m:ctrlPr>
          </m:sSubPr>
          <m:e>
            <m:r>
              <m:rPr/>
              <w:rPr>
                <w:rFonts w:ascii="Cambria Math" w:hAnsi="Cambria Math"/>
                <w:color w:val="auto"/>
                <w:highlight w:val="none"/>
              </w:rPr>
              <m:t>z</m:t>
            </m:r>
            <m:ctrlPr>
              <w:rPr>
                <w:rFonts w:ascii="Cambria Math" w:hAnsi="Cambria Math"/>
                <w:color w:val="auto"/>
                <w:highlight w:val="none"/>
              </w:rPr>
            </m:ctrlPr>
          </m:e>
          <m:sub>
            <m:r>
              <m:rPr/>
              <w:rPr>
                <w:rFonts w:ascii="Cambria Math" w:hAnsi="Cambria Math"/>
                <w:color w:val="auto"/>
                <w:highlight w:val="none"/>
              </w:rPr>
              <m:t>AL</m:t>
            </m:r>
            <m:ctrlPr>
              <w:rPr>
                <w:rFonts w:ascii="Cambria Math" w:hAnsi="Cambria Math"/>
                <w:color w:val="auto"/>
                <w:highlight w:val="none"/>
              </w:rPr>
            </m:ctrlPr>
          </m:sub>
        </m:sSub>
        <m:r>
          <m:rPr>
            <m:sty m:val="p"/>
          </m:rPr>
          <w:rPr>
            <w:rFonts w:ascii="Cambria Math" w:hAnsi="Cambria Math"/>
            <w:color w:val="auto"/>
            <w:highlight w:val="none"/>
          </w:rPr>
          <m:t>×</m:t>
        </m:r>
        <m:r>
          <m:rPr/>
          <w:rPr>
            <w:rFonts w:ascii="Cambria Math" w:hAnsi="Cambria Math"/>
            <w:color w:val="auto"/>
            <w:highlight w:val="none"/>
          </w:rPr>
          <m:t>P</m:t>
        </m:r>
        <m:r>
          <m:rPr>
            <m:sty m:val="p"/>
          </m:rPr>
          <w:rPr>
            <w:rFonts w:ascii="Cambria Math" w:hAnsi="Cambria Math"/>
            <w:color w:val="auto"/>
            <w:highlight w:val="none"/>
          </w:rPr>
          <m:t>×</m:t>
        </m:r>
        <m:r>
          <m:rPr/>
          <w:rPr>
            <w:rFonts w:ascii="Cambria Math" w:hAnsi="Cambria Math"/>
            <w:color w:val="auto"/>
            <w:highlight w:val="none"/>
          </w:rPr>
          <m:t>g</m:t>
        </m:r>
      </m:oMath>
      <w:r>
        <w:rPr>
          <w:rFonts w:hint="eastAsia" w:hAnsi="Cambria Math"/>
          <w:i w:val="0"/>
          <w:color w:val="auto"/>
          <w:highlight w:val="none"/>
          <w:lang w:val="en-US" w:eastAsia="zh-CN"/>
        </w:rPr>
        <w:tab/>
      </w:r>
      <w:r>
        <w:rPr>
          <w:rFonts w:hint="eastAsia" w:hAnsi="Cambria Math"/>
          <w:i w:val="0"/>
          <w:color w:val="auto"/>
          <w:highlight w:val="none"/>
          <w:lang w:val="en-US" w:eastAsia="zh-CN"/>
        </w:rPr>
        <w:t>(25)</w:t>
      </w:r>
    </w:p>
    <w:p>
      <w:pPr>
        <w:pStyle w:val="180"/>
        <w:numPr>
          <w:ilvl w:val="0"/>
          <w:numId w:val="75"/>
        </w:numPr>
        <w:rPr>
          <w:rFonts w:hAnsi="宋体"/>
          <w:color w:val="auto"/>
          <w:highlight w:val="none"/>
        </w:rPr>
      </w:pPr>
      <w:r>
        <w:rPr>
          <w:rFonts w:hint="eastAsia" w:hAnsi="宋体"/>
          <w:color w:val="auto"/>
          <w:highlight w:val="none"/>
        </w:rPr>
        <w:t>分别</w:t>
      </w:r>
      <w:r>
        <w:rPr>
          <w:rFonts w:hint="eastAsia" w:hAnsi="宋体"/>
          <w:color w:val="auto"/>
          <w:highlight w:val="none"/>
          <w:lang w:val="en-US" w:eastAsia="zh-CN"/>
        </w:rPr>
        <w:t>按照公式（26）、（27）、（28）</w:t>
      </w:r>
      <w:r>
        <w:rPr>
          <w:rFonts w:hint="eastAsia" w:hAnsi="宋体"/>
          <w:color w:val="auto"/>
          <w:highlight w:val="none"/>
        </w:rPr>
        <w:t>计算前、后轴的附着系数和整车附着系数，k值应圆整到千分位</w:t>
      </w:r>
      <w:r>
        <w:rPr>
          <w:rFonts w:hint="eastAsia" w:hAnsi="宋体"/>
          <w:color w:val="auto"/>
          <w:highlight w:val="none"/>
          <w:lang w:eastAsia="zh-CN"/>
        </w:rPr>
        <w:t>。</w:t>
      </w:r>
    </w:p>
    <w:p>
      <w:pPr>
        <w:pStyle w:val="193"/>
        <w:numPr>
          <w:ilvl w:val="-1"/>
          <w:numId w:val="0"/>
        </w:numPr>
        <w:tabs>
          <w:tab w:val="center" w:pos="4725"/>
          <w:tab w:val="right" w:leader="dot" w:pos="9450"/>
        </w:tabs>
        <w:ind w:left="0"/>
        <w:rPr>
          <w:color w:val="auto"/>
          <w:highlight w:val="none"/>
        </w:rPr>
      </w:pPr>
      <w:r>
        <w:rPr>
          <w:rFonts w:hint="eastAsia" w:hAnsi="宋体"/>
          <w:color w:val="auto"/>
          <w:highlight w:val="none"/>
          <w:lang w:val="en-US" w:eastAsia="zh-CN"/>
        </w:rPr>
        <w:tab/>
      </w:r>
      <w:r>
        <w:rPr>
          <w:rFonts w:hint="eastAsia" w:hAnsi="宋体"/>
          <w:color w:val="auto"/>
          <w:highlight w:val="none"/>
        </w:rPr>
        <w:t>前轴附着系数</w:t>
      </w:r>
      <w:r>
        <w:rPr>
          <w:rFonts w:hint="eastAsia" w:hAnsi="宋体"/>
          <w:color w:val="auto"/>
          <w:highlight w:val="none"/>
          <w:lang w:eastAsia="zh-CN"/>
        </w:rPr>
        <w:t>：</w:t>
      </w:r>
      <m:oMath>
        <m:sSub>
          <m:sSubPr>
            <m:ctrlPr>
              <w:rPr>
                <w:rFonts w:ascii="Cambria Math" w:hAnsi="Cambria Math"/>
                <w:color w:val="auto"/>
                <w:highlight w:val="none"/>
              </w:rPr>
            </m:ctrlPr>
          </m:sSubPr>
          <m:e>
            <m:r>
              <m:rPr>
                <m:sty m:val="p"/>
              </m:rPr>
              <w:rPr>
                <w:rFonts w:ascii="Cambria Math" w:hAnsi="Cambria Math"/>
                <w:color w:val="auto"/>
                <w:highlight w:val="none"/>
              </w:rPr>
              <m:t>k</m:t>
            </m:r>
            <m:ctrlPr>
              <w:rPr>
                <w:rFonts w:ascii="Cambria Math" w:hAnsi="Cambria Math"/>
                <w:color w:val="auto"/>
                <w:highlight w:val="none"/>
              </w:rPr>
            </m:ctrlPr>
          </m:e>
          <m:sub>
            <m:r>
              <m:rPr>
                <m:sty m:val="p"/>
              </m:rPr>
              <w:rPr>
                <w:rFonts w:ascii="Cambria Math" w:hAnsi="Cambria Math"/>
                <w:color w:val="auto"/>
                <w:highlight w:val="none"/>
              </w:rPr>
              <m:t>f</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sSub>
              <m:sSubPr>
                <m:ctrlPr>
                  <w:rPr>
                    <w:rFonts w:ascii="Cambria Math" w:hAnsi="Cambria Math"/>
                    <w:color w:val="auto"/>
                    <w:highlight w:val="none"/>
                  </w:rPr>
                </m:ctrlPr>
              </m:sSubPr>
              <m:e>
                <m:r>
                  <m:rPr>
                    <m:sty m:val="p"/>
                  </m:rPr>
                  <w:rPr>
                    <w:rFonts w:ascii="Cambria Math" w:hAnsi="Cambria Math"/>
                    <w:color w:val="auto"/>
                    <w:highlight w:val="none"/>
                  </w:rPr>
                  <m:t>z</m:t>
                </m:r>
                <m:ctrlPr>
                  <w:rPr>
                    <w:rFonts w:ascii="Cambria Math" w:hAnsi="Cambria Math"/>
                    <w:color w:val="auto"/>
                    <w:highlight w:val="none"/>
                  </w:rPr>
                </m:ctrlPr>
              </m:e>
              <m:sub>
                <m:r>
                  <m:rPr>
                    <m:sty m:val="p"/>
                  </m:rPr>
                  <w:rPr>
                    <w:rFonts w:ascii="Cambria Math" w:hAnsi="Cambria Math"/>
                    <w:color w:val="auto"/>
                    <w:highlight w:val="none"/>
                  </w:rPr>
                  <m:t>m</m:t>
                </m:r>
                <m:ctrlPr>
                  <w:rPr>
                    <w:rFonts w:ascii="Cambria Math" w:hAnsi="Cambria Math"/>
                    <w:color w:val="auto"/>
                    <w:highlight w:val="none"/>
                  </w:rPr>
                </m:ctrlPr>
              </m:sub>
            </m:sSub>
            <m:r>
              <m:rPr>
                <m:sty m:val="p"/>
              </m:rPr>
              <w:rPr>
                <w:rFonts w:ascii="Cambria Math" w:hAnsi="Cambria Math"/>
                <w:color w:val="auto"/>
                <w:highlight w:val="none"/>
              </w:rPr>
              <m:t>×P×g−0.015×</m:t>
            </m:r>
            <m:sSub>
              <m:sSubPr>
                <m:ctrlPr>
                  <w:rPr>
                    <w:rFonts w:ascii="Cambria Math" w:hAnsi="Cambria Math"/>
                    <w:color w:val="auto"/>
                    <w:highlight w:val="none"/>
                  </w:rPr>
                </m:ctrlPr>
              </m:sSubPr>
              <m:e>
                <m:r>
                  <m:rPr>
                    <m:sty m:val="p"/>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2</m:t>
                </m:r>
                <m:ctrlPr>
                  <w:rPr>
                    <w:rFonts w:ascii="Cambria Math" w:hAnsi="Cambria Math"/>
                    <w:color w:val="auto"/>
                    <w:highlight w:val="none"/>
                  </w:rPr>
                </m:ctrlPr>
              </m:sub>
            </m:sSub>
            <m:ctrlPr>
              <w:rPr>
                <w:rFonts w:ascii="Cambria Math" w:hAnsi="Cambria Math"/>
                <w:color w:val="auto"/>
                <w:highlight w:val="none"/>
              </w:rPr>
            </m:ctrlPr>
          </m:num>
          <m:den>
            <m:sSub>
              <m:sSubPr>
                <m:ctrlPr>
                  <w:rPr>
                    <w:rFonts w:ascii="Cambria Math" w:hAnsi="Cambria Math"/>
                    <w:color w:val="auto"/>
                    <w:highlight w:val="none"/>
                  </w:rPr>
                </m:ctrlPr>
              </m:sSubPr>
              <m:e>
                <m:r>
                  <m:rPr>
                    <m:sty m:val="p"/>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1</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r>
                  <m:rPr>
                    <m:sty m:val="p"/>
                  </m:rPr>
                  <w:rPr>
                    <w:rFonts w:ascii="Cambria Math" w:hAnsi="Cambria Math"/>
                    <w:color w:val="auto"/>
                    <w:highlight w:val="none"/>
                  </w:rPr>
                  <m:t>h</m:t>
                </m:r>
                <m:ctrlPr>
                  <w:rPr>
                    <w:rFonts w:ascii="Cambria Math" w:hAnsi="Cambria Math"/>
                    <w:color w:val="auto"/>
                    <w:highlight w:val="none"/>
                  </w:rPr>
                </m:ctrlPr>
              </m:num>
              <m:den>
                <m:r>
                  <m:rPr>
                    <m:sty m:val="p"/>
                  </m:rPr>
                  <w:rPr>
                    <w:rFonts w:ascii="Cambria Math" w:hAnsi="Cambria Math"/>
                    <w:color w:val="auto"/>
                    <w:highlight w:val="none"/>
                  </w:rPr>
                  <m:t>E</m:t>
                </m:r>
                <m:ctrlPr>
                  <w:rPr>
                    <w:rFonts w:ascii="Cambria Math" w:hAnsi="Cambria Math"/>
                    <w:color w:val="auto"/>
                    <w:highlight w:val="none"/>
                  </w:rPr>
                </m:ctrlPr>
              </m:den>
            </m:f>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z</m:t>
                </m:r>
                <m:ctrlPr>
                  <w:rPr>
                    <w:rFonts w:ascii="Cambria Math" w:hAnsi="Cambria Math"/>
                    <w:color w:val="auto"/>
                    <w:highlight w:val="none"/>
                  </w:rPr>
                </m:ctrlPr>
              </m:e>
              <m:sub>
                <m:r>
                  <m:rPr>
                    <m:sty m:val="p"/>
                  </m:rPr>
                  <w:rPr>
                    <w:rFonts w:ascii="Cambria Math" w:hAnsi="Cambria Math"/>
                    <w:color w:val="auto"/>
                    <w:highlight w:val="none"/>
                  </w:rPr>
                  <m:t>m</m:t>
                </m:r>
                <m:ctrlPr>
                  <w:rPr>
                    <w:rFonts w:ascii="Cambria Math" w:hAnsi="Cambria Math"/>
                    <w:color w:val="auto"/>
                    <w:highlight w:val="none"/>
                  </w:rPr>
                </m:ctrlPr>
              </m:sub>
            </m:sSub>
            <m:r>
              <m:rPr>
                <m:sty m:val="p"/>
              </m:rPr>
              <w:rPr>
                <w:rFonts w:ascii="Cambria Math" w:hAnsi="Cambria Math"/>
                <w:color w:val="auto"/>
                <w:highlight w:val="none"/>
              </w:rPr>
              <m:t>×P×g</m:t>
            </m:r>
            <m:ctrlPr>
              <w:rPr>
                <w:rFonts w:ascii="Cambria Math" w:hAnsi="Cambria Math"/>
                <w:color w:val="auto"/>
                <w:highlight w:val="none"/>
              </w:rPr>
            </m:ctrlPr>
          </m:den>
        </m:f>
      </m:oMath>
      <w:r>
        <w:rPr>
          <w:rFonts w:hint="eastAsia" w:hAnsi="Cambria Math"/>
          <w:i w:val="0"/>
          <w:color w:val="auto"/>
          <w:highlight w:val="none"/>
          <w:lang w:val="en-US" w:eastAsia="zh-CN"/>
        </w:rPr>
        <w:tab/>
      </w:r>
      <w:r>
        <w:rPr>
          <w:rFonts w:hint="eastAsia" w:hAnsi="Cambria Math"/>
          <w:i w:val="0"/>
          <w:color w:val="auto"/>
          <w:highlight w:val="none"/>
          <w:lang w:val="en-US" w:eastAsia="zh-CN"/>
        </w:rPr>
        <w:t>(26)</w:t>
      </w:r>
    </w:p>
    <w:p>
      <w:pPr>
        <w:pStyle w:val="193"/>
        <w:numPr>
          <w:ilvl w:val="-1"/>
          <w:numId w:val="0"/>
        </w:numPr>
        <w:tabs>
          <w:tab w:val="center" w:pos="4725"/>
          <w:tab w:val="right" w:leader="dot" w:pos="9450"/>
        </w:tabs>
        <w:ind w:left="0"/>
        <w:rPr>
          <w:color w:val="auto"/>
          <w:highlight w:val="none"/>
        </w:rPr>
      </w:pPr>
      <w:r>
        <w:rPr>
          <w:rFonts w:hint="eastAsia" w:hAnsi="宋体"/>
          <w:color w:val="auto"/>
          <w:highlight w:val="none"/>
          <w:lang w:val="en-US" w:eastAsia="zh-CN"/>
        </w:rPr>
        <w:tab/>
      </w:r>
      <w:r>
        <w:rPr>
          <w:rFonts w:hint="eastAsia" w:hAnsi="宋体"/>
          <w:color w:val="auto"/>
          <w:highlight w:val="none"/>
        </w:rPr>
        <w:t>后轴附着系数</w:t>
      </w:r>
      <w:r>
        <w:rPr>
          <w:rFonts w:hint="eastAsia" w:hAnsi="宋体"/>
          <w:color w:val="auto"/>
          <w:highlight w:val="none"/>
          <w:lang w:eastAsia="zh-CN"/>
        </w:rPr>
        <w:t>：</w:t>
      </w:r>
      <m:oMath>
        <m:sSub>
          <m:sSubPr>
            <m:ctrlPr>
              <w:rPr>
                <w:rFonts w:ascii="Cambria Math" w:hAnsi="Cambria Math"/>
                <w:color w:val="auto"/>
                <w:highlight w:val="none"/>
              </w:rPr>
            </m:ctrlPr>
          </m:sSubPr>
          <m:e>
            <m:r>
              <m:rPr>
                <m:sty m:val="p"/>
              </m:rPr>
              <w:rPr>
                <w:rFonts w:ascii="Cambria Math" w:hAnsi="Cambria Math"/>
                <w:color w:val="auto"/>
                <w:highlight w:val="none"/>
              </w:rPr>
              <m:t>k</m:t>
            </m:r>
            <m:ctrlPr>
              <w:rPr>
                <w:rFonts w:ascii="Cambria Math" w:hAnsi="Cambria Math"/>
                <w:color w:val="auto"/>
                <w:highlight w:val="none"/>
              </w:rPr>
            </m:ctrlPr>
          </m:e>
          <m:sub>
            <m:r>
              <m:rPr>
                <m:sty m:val="p"/>
              </m:rPr>
              <w:rPr>
                <w:rFonts w:ascii="Cambria Math" w:hAnsi="Cambria Math"/>
                <w:color w:val="auto"/>
                <w:highlight w:val="none"/>
              </w:rPr>
              <m:t>r</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sSub>
              <m:sSubPr>
                <m:ctrlPr>
                  <w:rPr>
                    <w:rFonts w:ascii="Cambria Math" w:hAnsi="Cambria Math"/>
                    <w:color w:val="auto"/>
                    <w:highlight w:val="none"/>
                  </w:rPr>
                </m:ctrlPr>
              </m:sSubPr>
              <m:e>
                <m:r>
                  <m:rPr>
                    <m:sty m:val="p"/>
                  </m:rPr>
                  <w:rPr>
                    <w:rFonts w:ascii="Cambria Math" w:hAnsi="Cambria Math"/>
                    <w:color w:val="auto"/>
                    <w:highlight w:val="none"/>
                  </w:rPr>
                  <m:t>z</m:t>
                </m:r>
                <m:ctrlPr>
                  <w:rPr>
                    <w:rFonts w:ascii="Cambria Math" w:hAnsi="Cambria Math"/>
                    <w:color w:val="auto"/>
                    <w:highlight w:val="none"/>
                  </w:rPr>
                </m:ctrlPr>
              </m:e>
              <m:sub>
                <m:r>
                  <m:rPr>
                    <m:sty m:val="p"/>
                  </m:rPr>
                  <w:rPr>
                    <w:rFonts w:ascii="Cambria Math" w:hAnsi="Cambria Math"/>
                    <w:color w:val="auto"/>
                    <w:highlight w:val="none"/>
                  </w:rPr>
                  <m:t>m</m:t>
                </m:r>
                <m:ctrlPr>
                  <w:rPr>
                    <w:rFonts w:ascii="Cambria Math" w:hAnsi="Cambria Math"/>
                    <w:color w:val="auto"/>
                    <w:highlight w:val="none"/>
                  </w:rPr>
                </m:ctrlPr>
              </m:sub>
            </m:sSub>
            <m:r>
              <m:rPr>
                <m:sty m:val="p"/>
              </m:rPr>
              <w:rPr>
                <w:rFonts w:ascii="Cambria Math" w:hAnsi="Cambria Math"/>
                <w:color w:val="auto"/>
                <w:highlight w:val="none"/>
              </w:rPr>
              <m:t>×P×g−0.010×</m:t>
            </m:r>
            <m:sSub>
              <m:sSubPr>
                <m:ctrlPr>
                  <w:rPr>
                    <w:rFonts w:ascii="Cambria Math" w:hAnsi="Cambria Math"/>
                    <w:color w:val="auto"/>
                    <w:highlight w:val="none"/>
                  </w:rPr>
                </m:ctrlPr>
              </m:sSubPr>
              <m:e>
                <m:r>
                  <m:rPr>
                    <m:sty m:val="p"/>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1</m:t>
                </m:r>
                <m:ctrlPr>
                  <w:rPr>
                    <w:rFonts w:ascii="Cambria Math" w:hAnsi="Cambria Math"/>
                    <w:color w:val="auto"/>
                    <w:highlight w:val="none"/>
                  </w:rPr>
                </m:ctrlPr>
              </m:sub>
            </m:sSub>
            <m:ctrlPr>
              <w:rPr>
                <w:rFonts w:ascii="Cambria Math" w:hAnsi="Cambria Math"/>
                <w:color w:val="auto"/>
                <w:highlight w:val="none"/>
              </w:rPr>
            </m:ctrlPr>
          </m:num>
          <m:den>
            <m:sSub>
              <m:sSubPr>
                <m:ctrlPr>
                  <w:rPr>
                    <w:rFonts w:ascii="Cambria Math" w:hAnsi="Cambria Math"/>
                    <w:color w:val="auto"/>
                    <w:highlight w:val="none"/>
                  </w:rPr>
                </m:ctrlPr>
              </m:sSubPr>
              <m:e>
                <m:r>
                  <m:rPr>
                    <m:sty m:val="p"/>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2</m:t>
                </m:r>
                <m:ctrlPr>
                  <w:rPr>
                    <w:rFonts w:ascii="Cambria Math" w:hAnsi="Cambria Math"/>
                    <w:color w:val="auto"/>
                    <w:highlight w:val="none"/>
                  </w:rPr>
                </m:ctrlPr>
              </m:sub>
            </m:sSub>
            <m:r>
              <m:rPr>
                <m:sty m:val="p"/>
              </m:rPr>
              <w:rPr>
                <w:rFonts w:ascii="Cambria Math" w:hAnsi="Cambria Math"/>
                <w:color w:val="auto"/>
                <w:highlight w:val="none"/>
              </w:rPr>
              <m:t>−</m:t>
            </m:r>
            <m:f>
              <m:fPr>
                <m:ctrlPr>
                  <w:rPr>
                    <w:rFonts w:ascii="Cambria Math" w:hAnsi="Cambria Math"/>
                    <w:color w:val="auto"/>
                    <w:highlight w:val="none"/>
                  </w:rPr>
                </m:ctrlPr>
              </m:fPr>
              <m:num>
                <m:r>
                  <m:rPr>
                    <m:sty m:val="p"/>
                  </m:rPr>
                  <w:rPr>
                    <w:rFonts w:ascii="Cambria Math" w:hAnsi="Cambria Math"/>
                    <w:color w:val="auto"/>
                    <w:highlight w:val="none"/>
                  </w:rPr>
                  <m:t>h</m:t>
                </m:r>
                <m:ctrlPr>
                  <w:rPr>
                    <w:rFonts w:ascii="Cambria Math" w:hAnsi="Cambria Math"/>
                    <w:color w:val="auto"/>
                    <w:highlight w:val="none"/>
                  </w:rPr>
                </m:ctrlPr>
              </m:num>
              <m:den>
                <m:r>
                  <m:rPr>
                    <m:sty m:val="p"/>
                  </m:rPr>
                  <w:rPr>
                    <w:rFonts w:ascii="Cambria Math" w:hAnsi="Cambria Math"/>
                    <w:color w:val="auto"/>
                    <w:highlight w:val="none"/>
                  </w:rPr>
                  <m:t>E</m:t>
                </m:r>
                <m:ctrlPr>
                  <w:rPr>
                    <w:rFonts w:ascii="Cambria Math" w:hAnsi="Cambria Math"/>
                    <w:color w:val="auto"/>
                    <w:highlight w:val="none"/>
                  </w:rPr>
                </m:ctrlPr>
              </m:den>
            </m:f>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z</m:t>
                </m:r>
                <m:ctrlPr>
                  <w:rPr>
                    <w:rFonts w:ascii="Cambria Math" w:hAnsi="Cambria Math"/>
                    <w:color w:val="auto"/>
                    <w:highlight w:val="none"/>
                  </w:rPr>
                </m:ctrlPr>
              </m:e>
              <m:sub>
                <m:r>
                  <m:rPr>
                    <m:sty m:val="p"/>
                  </m:rPr>
                  <w:rPr>
                    <w:rFonts w:ascii="Cambria Math" w:hAnsi="Cambria Math"/>
                    <w:color w:val="auto"/>
                    <w:highlight w:val="none"/>
                  </w:rPr>
                  <m:t>m</m:t>
                </m:r>
                <m:ctrlPr>
                  <w:rPr>
                    <w:rFonts w:ascii="Cambria Math" w:hAnsi="Cambria Math"/>
                    <w:color w:val="auto"/>
                    <w:highlight w:val="none"/>
                  </w:rPr>
                </m:ctrlPr>
              </m:sub>
            </m:sSub>
            <m:r>
              <m:rPr>
                <m:sty m:val="p"/>
              </m:rPr>
              <w:rPr>
                <w:rFonts w:ascii="Cambria Math" w:hAnsi="Cambria Math"/>
                <w:color w:val="auto"/>
                <w:highlight w:val="none"/>
              </w:rPr>
              <m:t>×P×g</m:t>
            </m:r>
            <m:ctrlPr>
              <w:rPr>
                <w:rFonts w:ascii="Cambria Math" w:hAnsi="Cambria Math"/>
                <w:color w:val="auto"/>
                <w:highlight w:val="none"/>
              </w:rPr>
            </m:ctrlPr>
          </m:den>
        </m:f>
      </m:oMath>
      <w:r>
        <w:rPr>
          <w:rFonts w:hint="eastAsia" w:hAnsi="Cambria Math"/>
          <w:i w:val="0"/>
          <w:color w:val="auto"/>
          <w:highlight w:val="none"/>
          <w:lang w:val="en-US" w:eastAsia="zh-CN"/>
        </w:rPr>
        <w:tab/>
      </w:r>
      <w:r>
        <w:rPr>
          <w:rFonts w:hint="eastAsia" w:hAnsi="Cambria Math"/>
          <w:i w:val="0"/>
          <w:color w:val="auto"/>
          <w:highlight w:val="none"/>
          <w:lang w:val="en-US" w:eastAsia="zh-CN"/>
        </w:rPr>
        <w:t>(27)</w:t>
      </w:r>
    </w:p>
    <w:p>
      <w:pPr>
        <w:pStyle w:val="193"/>
        <w:numPr>
          <w:ilvl w:val="-1"/>
          <w:numId w:val="0"/>
        </w:numPr>
        <w:tabs>
          <w:tab w:val="center" w:pos="4725"/>
          <w:tab w:val="right" w:leader="dot" w:pos="9450"/>
        </w:tabs>
        <w:ind w:left="0"/>
        <w:rPr>
          <w:color w:val="auto"/>
          <w:highlight w:val="none"/>
        </w:rPr>
      </w:pPr>
      <w:r>
        <w:rPr>
          <w:rFonts w:hint="eastAsia" w:hAnsi="宋体"/>
          <w:color w:val="auto"/>
          <w:highlight w:val="none"/>
          <w:lang w:val="en-US" w:eastAsia="zh-CN"/>
        </w:rPr>
        <w:tab/>
      </w:r>
      <w:r>
        <w:rPr>
          <w:rFonts w:hint="eastAsia"/>
          <w:color w:val="auto"/>
          <w:highlight w:val="none"/>
        </w:rPr>
        <w:t>整车附着系数</w:t>
      </w:r>
      <w:r>
        <w:rPr>
          <w:rFonts w:hint="eastAsia"/>
          <w:color w:val="auto"/>
          <w:highlight w:val="none"/>
          <w:lang w:eastAsia="zh-CN"/>
        </w:rPr>
        <w:t>：</w:t>
      </w:r>
      <m:oMath>
        <m:sSub>
          <m:sSubPr>
            <m:ctrlPr>
              <w:rPr>
                <w:rFonts w:ascii="Cambria Math" w:hAnsi="Cambria Math"/>
                <w:color w:val="auto"/>
                <w:highlight w:val="none"/>
              </w:rPr>
            </m:ctrlPr>
          </m:sSubPr>
          <m:e>
            <m:r>
              <m:rPr>
                <m:sty m:val="p"/>
              </m:rPr>
              <w:rPr>
                <w:rFonts w:ascii="Cambria Math" w:hAnsi="Cambria Math"/>
                <w:color w:val="auto"/>
                <w:highlight w:val="none"/>
              </w:rPr>
              <m:t>k</m:t>
            </m:r>
            <m:ctrlPr>
              <w:rPr>
                <w:rFonts w:ascii="Cambria Math" w:hAnsi="Cambria Math"/>
                <w:color w:val="auto"/>
                <w:highlight w:val="none"/>
              </w:rPr>
            </m:ctrlPr>
          </m:e>
          <m:sub>
            <m:r>
              <m:rPr>
                <m:sty m:val="p"/>
              </m:rPr>
              <w:rPr>
                <w:rFonts w:ascii="Cambria Math" w:hAnsi="Cambria Math"/>
                <w:color w:val="auto"/>
                <w:highlight w:val="none"/>
              </w:rPr>
              <m:t>M</m:t>
            </m:r>
            <m:ctrlPr>
              <w:rPr>
                <w:rFonts w:ascii="Cambria Math" w:hAnsi="Cambria Math"/>
                <w:color w:val="auto"/>
                <w:highlight w:val="none"/>
              </w:rPr>
            </m:ctrlPr>
          </m:sub>
        </m:sSub>
        <m:r>
          <m:rPr>
            <m:sty m:val="p"/>
          </m:rPr>
          <w:rPr>
            <w:rFonts w:hint="eastAsia" w:ascii="Cambria Math" w:hAnsi="Cambria Math"/>
            <w:color w:val="auto"/>
            <w:highlight w:val="none"/>
          </w:rPr>
          <m:t>=</m:t>
        </m:r>
        <m:f>
          <m:fPr>
            <m:ctrlPr>
              <w:rPr>
                <w:rFonts w:ascii="Cambria Math" w:hAnsi="Cambria Math"/>
                <w:color w:val="auto"/>
                <w:highlight w:val="none"/>
              </w:rPr>
            </m:ctrlPr>
          </m:fPr>
          <m:num>
            <m:sSub>
              <m:sSubPr>
                <m:ctrlPr>
                  <w:rPr>
                    <w:rFonts w:ascii="Cambria Math" w:hAnsi="Cambria Math"/>
                    <w:color w:val="auto"/>
                    <w:highlight w:val="none"/>
                  </w:rPr>
                </m:ctrlPr>
              </m:sSubPr>
              <m:e>
                <m:r>
                  <m:rPr>
                    <m:sty m:val="p"/>
                  </m:rPr>
                  <w:rPr>
                    <w:rFonts w:hint="eastAsia" w:ascii="Cambria Math" w:hAnsi="Cambria Math"/>
                    <w:color w:val="auto"/>
                    <w:highlight w:val="none"/>
                  </w:rPr>
                  <m:t>k</m:t>
                </m:r>
                <m:ctrlPr>
                  <w:rPr>
                    <w:rFonts w:ascii="Cambria Math" w:hAnsi="Cambria Math"/>
                    <w:color w:val="auto"/>
                    <w:highlight w:val="none"/>
                  </w:rPr>
                </m:ctrlPr>
              </m:e>
              <m:sub>
                <m:r>
                  <m:rPr>
                    <m:sty m:val="p"/>
                  </m:rPr>
                  <w:rPr>
                    <w:rFonts w:ascii="Cambria Math" w:hAnsi="Cambria Math"/>
                    <w:color w:val="auto"/>
                    <w:highlight w:val="none"/>
                  </w:rPr>
                  <m:t>f</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fdyn</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k</m:t>
                </m:r>
                <m:ctrlPr>
                  <w:rPr>
                    <w:rFonts w:ascii="Cambria Math" w:hAnsi="Cambria Math"/>
                    <w:color w:val="auto"/>
                    <w:highlight w:val="none"/>
                  </w:rPr>
                </m:ctrlPr>
              </m:e>
              <m:sub>
                <m:r>
                  <m:rPr>
                    <m:sty m:val="p"/>
                  </m:rPr>
                  <w:rPr>
                    <w:rFonts w:ascii="Cambria Math" w:hAnsi="Cambria Math"/>
                    <w:color w:val="auto"/>
                    <w:highlight w:val="none"/>
                  </w:rPr>
                  <m:t>r</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F</m:t>
                </m:r>
                <m:ctrlPr>
                  <w:rPr>
                    <w:rFonts w:ascii="Cambria Math" w:hAnsi="Cambria Math"/>
                    <w:color w:val="auto"/>
                    <w:highlight w:val="none"/>
                  </w:rPr>
                </m:ctrlPr>
              </m:e>
              <m:sub>
                <m:r>
                  <m:rPr>
                    <m:sty m:val="p"/>
                  </m:rPr>
                  <w:rPr>
                    <w:rFonts w:ascii="Cambria Math" w:hAnsi="Cambria Math"/>
                    <w:color w:val="auto"/>
                    <w:highlight w:val="none"/>
                  </w:rPr>
                  <m:t>rdyn</m:t>
                </m:r>
                <m:ctrlPr>
                  <w:rPr>
                    <w:rFonts w:ascii="Cambria Math" w:hAnsi="Cambria Math"/>
                    <w:color w:val="auto"/>
                    <w:highlight w:val="none"/>
                  </w:rPr>
                </m:ctrlPr>
              </m:sub>
            </m:sSub>
            <m:ctrlPr>
              <w:rPr>
                <w:rFonts w:ascii="Cambria Math" w:hAnsi="Cambria Math"/>
                <w:color w:val="auto"/>
                <w:highlight w:val="none"/>
              </w:rPr>
            </m:ctrlPr>
          </m:num>
          <m:den>
            <m:r>
              <m:rPr>
                <m:sty m:val="p"/>
              </m:rPr>
              <w:rPr>
                <w:rFonts w:ascii="Cambria Math" w:hAnsi="Cambria Math"/>
                <w:color w:val="auto"/>
                <w:highlight w:val="none"/>
              </w:rPr>
              <m:t>P×g</m:t>
            </m:r>
            <m:ctrlPr>
              <w:rPr>
                <w:rFonts w:ascii="Cambria Math" w:hAnsi="Cambria Math"/>
                <w:color w:val="auto"/>
                <w:highlight w:val="none"/>
              </w:rPr>
            </m:ctrlPr>
          </m:den>
        </m:f>
      </m:oMath>
      <w:r>
        <w:rPr>
          <w:rFonts w:hint="eastAsia" w:hAnsi="Cambria Math"/>
          <w:i w:val="0"/>
          <w:color w:val="auto"/>
          <w:highlight w:val="none"/>
          <w:lang w:val="en-US" w:eastAsia="zh-CN"/>
        </w:rPr>
        <w:tab/>
      </w:r>
      <w:r>
        <w:rPr>
          <w:rFonts w:hint="eastAsia" w:hAnsi="Cambria Math"/>
          <w:i w:val="0"/>
          <w:color w:val="auto"/>
          <w:highlight w:val="none"/>
          <w:lang w:val="en-US" w:eastAsia="zh-CN"/>
        </w:rPr>
        <w:t>(28)</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将</w:t>
      </w:r>
      <m:oMath>
        <m:r>
          <m:rPr>
            <m:sty m:val="p"/>
          </m:rPr>
          <w:rPr>
            <w:rFonts w:ascii="Cambria Math" w:hAnsi="Cambria Math"/>
            <w:color w:val="auto"/>
            <w:highlight w:val="none"/>
          </w:rPr>
          <m:t>ε</m:t>
        </m:r>
      </m:oMath>
      <w:r>
        <w:rPr>
          <w:rFonts w:hint="eastAsia" w:ascii="宋体" w:hAnsi="宋体" w:eastAsia="宋体"/>
          <w:color w:val="auto"/>
          <w:highlight w:val="none"/>
        </w:rPr>
        <w:t>圆整到2位小数，检查</w:t>
      </w:r>
      <m:oMath>
        <m:r>
          <m:rPr>
            <m:sty m:val="p"/>
          </m:rPr>
          <w:rPr>
            <w:rFonts w:ascii="Cambria Math" w:hAnsi="Cambria Math"/>
            <w:color w:val="auto"/>
            <w:highlight w:val="none"/>
          </w:rPr>
          <m:t>ε</m:t>
        </m:r>
      </m:oMath>
      <w:r>
        <w:rPr>
          <w:rFonts w:hint="eastAsia" w:ascii="宋体" w:hAnsi="宋体" w:eastAsia="宋体"/>
          <w:color w:val="auto"/>
          <w:highlight w:val="none"/>
          <w:lang w:val="en-US" w:eastAsia="zh-CN"/>
        </w:rPr>
        <w:t>大于等于</w:t>
      </w:r>
      <w:r>
        <w:rPr>
          <w:rFonts w:hint="eastAsia" w:ascii="宋体" w:hAnsi="宋体" w:eastAsia="宋体"/>
          <w:color w:val="auto"/>
          <w:highlight w:val="none"/>
        </w:rPr>
        <w:t>0.75；如</w:t>
      </w:r>
      <m:oMath>
        <m:r>
          <m:rPr>
            <m:sty m:val="p"/>
          </m:rPr>
          <w:rPr>
            <w:rFonts w:ascii="Cambria Math" w:hAnsi="Cambria Math"/>
            <w:color w:val="auto"/>
            <w:highlight w:val="none"/>
          </w:rPr>
          <m:t>ε</m:t>
        </m:r>
      </m:oMath>
      <w:r>
        <w:rPr>
          <w:rFonts w:hint="eastAsia" w:ascii="宋体" w:hAnsi="宋体" w:eastAsia="宋体"/>
          <w:color w:val="auto"/>
          <w:highlight w:val="none"/>
          <w:lang w:val="en-US" w:eastAsia="zh-CN"/>
        </w:rPr>
        <w:t>大于</w:t>
      </w:r>
      <w:r>
        <w:rPr>
          <w:rFonts w:hint="eastAsia" w:ascii="宋体" w:hAnsi="宋体" w:eastAsia="宋体"/>
          <w:color w:val="auto"/>
          <w:highlight w:val="none"/>
        </w:rPr>
        <w:t>1.00，重新测量附着系数，允许误差为10%。</w:t>
      </w:r>
    </w:p>
    <w:p>
      <w:pPr>
        <w:pStyle w:val="100"/>
        <w:spacing w:before="156" w:after="156"/>
        <w:rPr>
          <w:color w:val="auto"/>
          <w:highlight w:val="none"/>
        </w:rPr>
      </w:pPr>
      <w:r>
        <w:rPr>
          <w:rFonts w:hint="eastAsia"/>
          <w:color w:val="auto"/>
          <w:highlight w:val="none"/>
        </w:rPr>
        <w:t>高附着系数路面上附着系数利用率的测定</w:t>
      </w:r>
    </w:p>
    <w:p>
      <w:pPr>
        <w:pStyle w:val="62"/>
        <w:ind w:firstLine="420"/>
        <w:rPr>
          <w:color w:val="auto"/>
          <w:highlight w:val="none"/>
        </w:rPr>
      </w:pPr>
      <w:r>
        <w:rPr>
          <w:rFonts w:hint="eastAsia" w:hAnsi="宋体"/>
          <w:color w:val="auto"/>
          <w:highlight w:val="none"/>
          <w:lang w:val="en-US" w:eastAsia="zh-CN"/>
        </w:rPr>
        <w:t>按照</w:t>
      </w:r>
      <w:r>
        <w:rPr>
          <w:rFonts w:hint="eastAsia"/>
          <w:color w:val="auto"/>
          <w:highlight w:val="none"/>
        </w:rPr>
        <w:t>8.</w:t>
      </w:r>
      <w:r>
        <w:rPr>
          <w:color w:val="auto"/>
          <w:highlight w:val="none"/>
        </w:rPr>
        <w:t>5</w:t>
      </w:r>
      <w:r>
        <w:rPr>
          <w:rFonts w:hint="eastAsia"/>
          <w:color w:val="auto"/>
          <w:highlight w:val="none"/>
        </w:rPr>
        <w:t>.5.1.</w:t>
      </w:r>
      <w:r>
        <w:rPr>
          <w:color w:val="auto"/>
          <w:highlight w:val="none"/>
        </w:rPr>
        <w:t>2</w:t>
      </w:r>
      <w:r>
        <w:rPr>
          <w:rFonts w:hint="eastAsia" w:ascii="仿宋" w:hAnsi="仿宋" w:eastAsia="仿宋" w:cs="仿宋"/>
          <w:color w:val="auto"/>
          <w:highlight w:val="none"/>
          <w:lang w:val="en-US"/>
        </w:rPr>
        <w:t>～</w:t>
      </w:r>
      <w:r>
        <w:rPr>
          <w:rFonts w:hint="eastAsia"/>
          <w:color w:val="auto"/>
          <w:highlight w:val="none"/>
        </w:rPr>
        <w:t>8.</w:t>
      </w:r>
      <w:r>
        <w:rPr>
          <w:color w:val="auto"/>
          <w:highlight w:val="none"/>
        </w:rPr>
        <w:t>5</w:t>
      </w:r>
      <w:r>
        <w:rPr>
          <w:rFonts w:hint="eastAsia"/>
          <w:color w:val="auto"/>
          <w:highlight w:val="none"/>
        </w:rPr>
        <w:t>.5.1.</w:t>
      </w:r>
      <w:r>
        <w:rPr>
          <w:color w:val="auto"/>
          <w:highlight w:val="none"/>
        </w:rPr>
        <w:t>4</w:t>
      </w:r>
      <w:r>
        <w:rPr>
          <w:rFonts w:hint="eastAsia"/>
          <w:color w:val="auto"/>
          <w:highlight w:val="none"/>
          <w:lang w:val="en-US" w:eastAsia="zh-CN"/>
        </w:rPr>
        <w:t>的试验步骤</w:t>
      </w:r>
      <w:r>
        <w:rPr>
          <w:rFonts w:hint="eastAsia"/>
          <w:color w:val="auto"/>
          <w:highlight w:val="none"/>
        </w:rPr>
        <w:t>，在附着系数约为0.8的路面上进行试验。</w:t>
      </w:r>
    </w:p>
    <w:p>
      <w:pPr>
        <w:pStyle w:val="62"/>
        <w:ind w:firstLine="420"/>
        <w:rPr>
          <w:color w:val="auto"/>
          <w:highlight w:val="none"/>
        </w:rPr>
      </w:pPr>
      <w:r>
        <w:rPr>
          <w:rFonts w:hint="eastAsia" w:hAnsi="宋体"/>
          <w:color w:val="auto"/>
          <w:highlight w:val="none"/>
        </w:rPr>
        <w:t>如全力制动时不能实现全循环，可将控制力增加至</w:t>
      </w:r>
      <w:r>
        <w:rPr>
          <w:rFonts w:hint="eastAsia"/>
          <w:color w:val="auto"/>
          <w:highlight w:val="none"/>
        </w:rPr>
        <w:t>1000</w:t>
      </w:r>
      <w:r>
        <w:rPr>
          <w:rFonts w:hint="eastAsia"/>
          <w:color w:val="auto"/>
          <w:highlight w:val="none"/>
          <w:lang w:val="en-US" w:eastAsia="zh-CN"/>
        </w:rPr>
        <w:t> </w:t>
      </w:r>
      <w:r>
        <w:rPr>
          <w:rFonts w:hint="eastAsia"/>
          <w:color w:val="auto"/>
          <w:highlight w:val="none"/>
        </w:rPr>
        <w:t>N；如超过1000</w:t>
      </w:r>
      <w:r>
        <w:rPr>
          <w:rFonts w:hint="eastAsia"/>
          <w:color w:val="auto"/>
          <w:highlight w:val="none"/>
          <w:lang w:val="en-US" w:eastAsia="zh-CN"/>
        </w:rPr>
        <w:t> </w:t>
      </w:r>
      <w:r>
        <w:rPr>
          <w:rFonts w:hint="eastAsia"/>
          <w:color w:val="auto"/>
          <w:highlight w:val="none"/>
        </w:rPr>
        <w:t>N还不</w:t>
      </w:r>
      <w:r>
        <w:rPr>
          <w:rFonts w:hint="eastAsia" w:hAnsi="宋体"/>
          <w:color w:val="auto"/>
          <w:highlight w:val="none"/>
        </w:rPr>
        <w:t>足以使系统全循环，则不再进行该试验。</w:t>
      </w:r>
    </w:p>
    <w:p>
      <w:pPr>
        <w:pStyle w:val="100"/>
        <w:spacing w:before="156" w:after="156"/>
        <w:rPr>
          <w:color w:val="auto"/>
          <w:highlight w:val="none"/>
        </w:rPr>
      </w:pPr>
      <w:r>
        <w:rPr>
          <w:rFonts w:hint="eastAsia"/>
          <w:color w:val="auto"/>
          <w:highlight w:val="none"/>
        </w:rPr>
        <w:t>附加检查</w:t>
      </w:r>
    </w:p>
    <w:p>
      <w:pPr>
        <w:pStyle w:val="104"/>
        <w:spacing w:beforeLines="0" w:afterLines="0"/>
        <w:rPr>
          <w:color w:val="auto"/>
          <w:highlight w:val="none"/>
        </w:rPr>
      </w:pPr>
      <w:r>
        <w:rPr>
          <w:rFonts w:hint="eastAsia" w:ascii="宋体" w:hAnsi="宋体" w:eastAsia="宋体"/>
          <w:color w:val="auto"/>
          <w:highlight w:val="none"/>
        </w:rPr>
        <w:t>单一路面试验：在附着系数小于等于0.3和约为0.8的两种路面上，以40</w:t>
      </w:r>
      <w:r>
        <w:rPr>
          <w:rFonts w:hint="eastAsia"/>
          <w:color w:val="auto"/>
          <w:highlight w:val="none"/>
          <w:lang w:val="en-US" w:eastAsia="zh-CN"/>
        </w:rPr>
        <w:t> </w:t>
      </w:r>
      <w:r>
        <w:rPr>
          <w:rFonts w:hint="eastAsia" w:ascii="宋体" w:hAnsi="宋体" w:eastAsia="宋体"/>
          <w:color w:val="auto"/>
          <w:highlight w:val="none"/>
        </w:rPr>
        <w:t>km/h和</w:t>
      </w:r>
      <w:r>
        <w:rPr>
          <w:rFonts w:hint="eastAsia" w:ascii="宋体" w:hAnsi="宋体" w:eastAsia="宋体"/>
          <w:color w:val="auto"/>
          <w:highlight w:val="none"/>
          <w:lang w:val="en-US" w:eastAsia="zh-CN"/>
        </w:rPr>
        <w:t>最高车速的80%，但不超过120</w:t>
      </w:r>
      <w:r>
        <w:rPr>
          <w:rFonts w:hint="eastAsia"/>
          <w:color w:val="auto"/>
          <w:highlight w:val="none"/>
          <w:lang w:val="en-US" w:eastAsia="zh-CN"/>
        </w:rPr>
        <w:t> </w:t>
      </w:r>
      <w:r>
        <w:rPr>
          <w:rFonts w:hint="eastAsia" w:ascii="宋体" w:hAnsi="宋体" w:eastAsia="宋体"/>
          <w:color w:val="auto"/>
          <w:highlight w:val="none"/>
          <w:lang w:val="en-US" w:eastAsia="zh-CN"/>
        </w:rPr>
        <w:t>km/h</w:t>
      </w:r>
      <w:r>
        <w:rPr>
          <w:rFonts w:hint="eastAsia" w:ascii="宋体" w:hAnsi="宋体" w:eastAsia="宋体"/>
          <w:color w:val="auto"/>
          <w:highlight w:val="none"/>
        </w:rPr>
        <w:t>的初速度急促全力制动。试验过程中，由防抱制动系统直接控制车轮不应抱死。</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对接路面（</w:t>
      </w:r>
      <m:oMath>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ascii="宋体" w:hAnsi="宋体" w:eastAsia="宋体"/>
          <w:color w:val="auto"/>
          <w:highlight w:val="none"/>
        </w:rPr>
        <w:t>≥0.5，</w:t>
      </w:r>
      <m:oMath>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ascii="宋体" w:hAnsi="宋体" w:eastAsia="宋体"/>
          <w:color w:val="auto"/>
          <w:highlight w:val="none"/>
        </w:rPr>
        <w:t>≥2）试验</w:t>
      </w:r>
      <w:r>
        <w:rPr>
          <w:rFonts w:hint="eastAsia" w:ascii="宋体" w:hAnsi="宋体" w:eastAsia="宋体"/>
          <w:color w:val="auto"/>
          <w:highlight w:val="none"/>
          <w:lang w:val="en-US" w:eastAsia="zh-CN"/>
        </w:rPr>
        <w:t>步骤如下</w:t>
      </w:r>
      <w:r>
        <w:rPr>
          <w:rFonts w:hint="eastAsia" w:ascii="宋体" w:hAnsi="宋体" w:eastAsia="宋体"/>
          <w:color w:val="auto"/>
          <w:highlight w:val="none"/>
        </w:rPr>
        <w:t>:</w:t>
      </w:r>
    </w:p>
    <w:p>
      <w:pPr>
        <w:pStyle w:val="180"/>
        <w:numPr>
          <w:ilvl w:val="0"/>
          <w:numId w:val="76"/>
        </w:numPr>
        <w:rPr>
          <w:rFonts w:hAnsi="宋体"/>
          <w:color w:val="auto"/>
          <w:highlight w:val="none"/>
        </w:rPr>
      </w:pPr>
      <w:r>
        <w:rPr>
          <w:rFonts w:hint="eastAsia" w:hAnsi="宋体"/>
          <w:color w:val="auto"/>
          <w:highlight w:val="none"/>
        </w:rPr>
        <w:t>高附着系数</w:t>
      </w:r>
      <m:oMath>
        <m:d>
          <m:dPr>
            <m:ctrlPr>
              <w:rPr>
                <w:rFonts w:ascii="Cambria Math" w:hAnsi="Cambria Math"/>
                <w:color w:val="auto"/>
                <w:highlight w:val="none"/>
              </w:rPr>
            </m:ctrlPr>
          </m:dPr>
          <m:e>
            <m:sSub>
              <m:sSubPr>
                <m:ctrlPr>
                  <w:rPr>
                    <w:rFonts w:ascii="Cambria Math" w:hAnsi="Cambria Math"/>
                    <w:color w:val="auto"/>
                    <w:highlight w:val="none"/>
                  </w:rPr>
                </m:ctrlPr>
              </m:sSubPr>
              <m:e>
                <m:r>
                  <m:rPr/>
                  <w:rPr>
                    <w:rFonts w:hint="eastAsia" w:ascii="Cambria Math" w:hAnsi="Cambria Math"/>
                    <w:color w:val="auto"/>
                    <w:highlight w:val="none"/>
                  </w:rPr>
                  <m:t>k</m:t>
                </m:r>
                <m:ctrlPr>
                  <w:rPr>
                    <w:rFonts w:ascii="Cambria Math" w:hAnsi="Cambria Math"/>
                    <w:color w:val="auto"/>
                    <w:highlight w:val="none"/>
                  </w:rPr>
                </m:ctrlPr>
              </m:e>
              <m:sub>
                <m:r>
                  <m:rPr/>
                  <w:rPr>
                    <w:rFonts w:ascii="Cambria Math" w:hAnsi="Cambria Math"/>
                    <w:color w:val="auto"/>
                    <w:highlight w:val="none"/>
                  </w:rPr>
                  <m:t>H</m:t>
                </m:r>
                <m:ctrlPr>
                  <w:rPr>
                    <w:rFonts w:ascii="Cambria Math" w:hAnsi="Cambria Math"/>
                    <w:color w:val="auto"/>
                    <w:highlight w:val="none"/>
                  </w:rPr>
                </m:ctrlPr>
              </m:sub>
            </m:sSub>
            <m:ctrlPr>
              <w:rPr>
                <w:rFonts w:ascii="Cambria Math" w:hAnsi="Cambria Math"/>
                <w:color w:val="auto"/>
                <w:highlight w:val="none"/>
              </w:rPr>
            </m:ctrlPr>
          </m:e>
        </m:d>
      </m:oMath>
      <w:r>
        <w:rPr>
          <w:rFonts w:hint="eastAsia" w:hAnsi="宋体"/>
          <w:color w:val="auto"/>
          <w:highlight w:val="none"/>
        </w:rPr>
        <w:t>路面到低附着系数路面</w:t>
      </w:r>
      <m:oMath>
        <m:d>
          <m:dPr>
            <m:ctrlPr>
              <w:rPr>
                <w:rFonts w:ascii="Cambria Math" w:hAnsi="Cambria Math"/>
                <w:color w:val="auto"/>
                <w:highlight w:val="none"/>
              </w:rPr>
            </m:ctrlPr>
          </m:dPr>
          <m:e>
            <m:sSub>
              <m:sSubPr>
                <m:ctrlPr>
                  <w:rPr>
                    <w:rFonts w:ascii="Cambria Math" w:hAnsi="Cambria Math"/>
                    <w:color w:val="auto"/>
                    <w:highlight w:val="none"/>
                  </w:rPr>
                </m:ctrlPr>
              </m:sSubPr>
              <m:e>
                <m:r>
                  <m:rPr/>
                  <w:rPr>
                    <w:rFonts w:hint="eastAsia" w:ascii="Cambria Math" w:hAnsi="Cambria Math"/>
                    <w:color w:val="auto"/>
                    <w:highlight w:val="none"/>
                  </w:rPr>
                  <m:t>k</m:t>
                </m:r>
                <m:ctrlPr>
                  <w:rPr>
                    <w:rFonts w:ascii="Cambria Math" w:hAnsi="Cambria Math"/>
                    <w:color w:val="auto"/>
                    <w:highlight w:val="none"/>
                  </w:rPr>
                </m:ctrlPr>
              </m:e>
              <m:sub>
                <m:r>
                  <m:rPr/>
                  <w:rPr>
                    <w:rFonts w:ascii="Cambria Math" w:hAnsi="Cambria Math"/>
                    <w:color w:val="auto"/>
                    <w:highlight w:val="none"/>
                  </w:rPr>
                  <m:t>L</m:t>
                </m:r>
                <m:ctrlPr>
                  <w:rPr>
                    <w:rFonts w:ascii="Cambria Math" w:hAnsi="Cambria Math"/>
                    <w:color w:val="auto"/>
                    <w:highlight w:val="none"/>
                  </w:rPr>
                </m:ctrlPr>
              </m:sub>
            </m:sSub>
            <m:ctrlPr>
              <w:rPr>
                <w:rFonts w:ascii="Cambria Math" w:hAnsi="Cambria Math"/>
                <w:color w:val="auto"/>
                <w:highlight w:val="none"/>
              </w:rPr>
            </m:ctrlPr>
          </m:e>
        </m:d>
      </m:oMath>
      <w:r>
        <w:rPr>
          <w:rFonts w:hint="eastAsia" w:hAnsi="宋体"/>
          <w:color w:val="auto"/>
          <w:highlight w:val="none"/>
        </w:rPr>
        <w:t>：当试验车轴从高附着系数路面驶向低附着系数路面时，急促全力制动，检查直接控制车轮未抱死。行驶速度和制动时机应确保车辆以8.</w:t>
      </w:r>
      <w:r>
        <w:rPr>
          <w:rFonts w:hAnsi="宋体"/>
          <w:color w:val="auto"/>
          <w:highlight w:val="none"/>
        </w:rPr>
        <w:t>5</w:t>
      </w:r>
      <w:r>
        <w:rPr>
          <w:rFonts w:hint="eastAsia" w:hAnsi="宋体"/>
          <w:color w:val="auto"/>
          <w:highlight w:val="none"/>
        </w:rPr>
        <w:t>.5.3.</w:t>
      </w:r>
      <w:r>
        <w:rPr>
          <w:rFonts w:hAnsi="宋体"/>
          <w:color w:val="auto"/>
          <w:highlight w:val="none"/>
        </w:rPr>
        <w:t>2</w:t>
      </w:r>
      <w:r>
        <w:rPr>
          <w:rFonts w:hint="eastAsia" w:hAnsi="宋体"/>
          <w:color w:val="auto"/>
          <w:highlight w:val="none"/>
          <w:lang w:val="en-US" w:eastAsia="zh-CN"/>
        </w:rPr>
        <w:t xml:space="preserve"> </w:t>
      </w:r>
      <w:r>
        <w:rPr>
          <w:rFonts w:hint="eastAsia" w:hAnsi="宋体"/>
          <w:color w:val="auto"/>
          <w:highlight w:val="none"/>
        </w:rPr>
        <w:t>a）规定的高、低两种速度从高附着系数路面驶入低附着系数路面，并使防抱制动系统在高附着系数路面上全循环</w:t>
      </w:r>
      <w:r>
        <w:rPr>
          <w:rFonts w:hint="eastAsia" w:hAnsi="宋体"/>
          <w:color w:val="auto"/>
          <w:highlight w:val="none"/>
          <w:lang w:eastAsia="zh-CN"/>
        </w:rPr>
        <w:t>；</w:t>
      </w:r>
    </w:p>
    <w:p>
      <w:pPr>
        <w:pStyle w:val="180"/>
        <w:numPr>
          <w:ilvl w:val="0"/>
          <w:numId w:val="76"/>
        </w:numPr>
        <w:rPr>
          <w:rFonts w:hAnsi="宋体"/>
          <w:color w:val="auto"/>
          <w:highlight w:val="none"/>
        </w:rPr>
      </w:pPr>
      <w:r>
        <w:rPr>
          <w:rFonts w:hint="eastAsia" w:hAnsi="宋体"/>
          <w:color w:val="auto"/>
          <w:highlight w:val="none"/>
        </w:rPr>
        <w:t>低附着系数</w:t>
      </w:r>
      <m:oMath>
        <m:d>
          <m:dPr>
            <m:ctrlPr>
              <w:rPr>
                <w:rFonts w:ascii="Cambria Math" w:hAnsi="Cambria Math"/>
                <w:color w:val="auto"/>
                <w:highlight w:val="none"/>
              </w:rPr>
            </m:ctrlPr>
          </m:dPr>
          <m:e>
            <m:sSub>
              <m:sSubPr>
                <m:ctrlPr>
                  <w:rPr>
                    <w:rFonts w:ascii="Cambria Math" w:hAnsi="Cambria Math"/>
                    <w:color w:val="auto"/>
                    <w:highlight w:val="none"/>
                  </w:rPr>
                </m:ctrlPr>
              </m:sSubPr>
              <m:e>
                <m:r>
                  <m:rPr/>
                  <w:rPr>
                    <w:rFonts w:hint="eastAsia" w:ascii="Cambria Math" w:hAnsi="Cambria Math"/>
                    <w:color w:val="auto"/>
                    <w:highlight w:val="none"/>
                  </w:rPr>
                  <m:t>k</m:t>
                </m:r>
                <m:ctrlPr>
                  <w:rPr>
                    <w:rFonts w:ascii="Cambria Math" w:hAnsi="Cambria Math"/>
                    <w:color w:val="auto"/>
                    <w:highlight w:val="none"/>
                  </w:rPr>
                </m:ctrlPr>
              </m:e>
              <m:sub>
                <m:r>
                  <m:rPr/>
                  <w:rPr>
                    <w:rFonts w:ascii="Cambria Math" w:hAnsi="Cambria Math"/>
                    <w:color w:val="auto"/>
                    <w:highlight w:val="none"/>
                  </w:rPr>
                  <m:t>L</m:t>
                </m:r>
                <m:ctrlPr>
                  <w:rPr>
                    <w:rFonts w:ascii="Cambria Math" w:hAnsi="Cambria Math"/>
                    <w:color w:val="auto"/>
                    <w:highlight w:val="none"/>
                  </w:rPr>
                </m:ctrlPr>
              </m:sub>
            </m:sSub>
            <m:ctrlPr>
              <w:rPr>
                <w:rFonts w:ascii="Cambria Math" w:hAnsi="Cambria Math"/>
                <w:color w:val="auto"/>
                <w:highlight w:val="none"/>
              </w:rPr>
            </m:ctrlPr>
          </m:e>
        </m:d>
      </m:oMath>
      <w:r>
        <w:rPr>
          <w:rFonts w:hint="eastAsia" w:hAnsi="宋体"/>
          <w:color w:val="auto"/>
          <w:highlight w:val="none"/>
        </w:rPr>
        <w:t>路面到高附着系数</w:t>
      </w:r>
      <m:oMath>
        <m:d>
          <m:dPr>
            <m:ctrlPr>
              <w:rPr>
                <w:rFonts w:ascii="Cambria Math" w:hAnsi="Cambria Math"/>
                <w:color w:val="auto"/>
                <w:highlight w:val="none"/>
              </w:rPr>
            </m:ctrlPr>
          </m:dPr>
          <m:e>
            <m:sSub>
              <m:sSubPr>
                <m:ctrlPr>
                  <w:rPr>
                    <w:rFonts w:ascii="Cambria Math" w:hAnsi="Cambria Math"/>
                    <w:color w:val="auto"/>
                    <w:highlight w:val="none"/>
                  </w:rPr>
                </m:ctrlPr>
              </m:sSubPr>
              <m:e>
                <m:r>
                  <m:rPr/>
                  <w:rPr>
                    <w:rFonts w:hint="eastAsia" w:ascii="Cambria Math" w:hAnsi="Cambria Math"/>
                    <w:color w:val="auto"/>
                    <w:highlight w:val="none"/>
                  </w:rPr>
                  <m:t>k</m:t>
                </m:r>
                <m:ctrlPr>
                  <w:rPr>
                    <w:rFonts w:ascii="Cambria Math" w:hAnsi="Cambria Math"/>
                    <w:color w:val="auto"/>
                    <w:highlight w:val="none"/>
                  </w:rPr>
                </m:ctrlPr>
              </m:e>
              <m:sub>
                <m:r>
                  <m:rPr/>
                  <w:rPr>
                    <w:rFonts w:ascii="Cambria Math" w:hAnsi="Cambria Math"/>
                    <w:color w:val="auto"/>
                    <w:highlight w:val="none"/>
                  </w:rPr>
                  <m:t>H</m:t>
                </m:r>
                <m:ctrlPr>
                  <w:rPr>
                    <w:rFonts w:ascii="Cambria Math" w:hAnsi="Cambria Math"/>
                    <w:color w:val="auto"/>
                    <w:highlight w:val="none"/>
                  </w:rPr>
                </m:ctrlPr>
              </m:sub>
            </m:sSub>
            <m:ctrlPr>
              <w:rPr>
                <w:rFonts w:ascii="Cambria Math" w:hAnsi="Cambria Math"/>
                <w:color w:val="auto"/>
                <w:highlight w:val="none"/>
              </w:rPr>
            </m:ctrlPr>
          </m:e>
        </m:d>
      </m:oMath>
      <w:r>
        <w:rPr>
          <w:rFonts w:hint="eastAsia" w:hAnsi="宋体"/>
          <w:color w:val="auto"/>
          <w:highlight w:val="none"/>
        </w:rPr>
        <w:t>路面：当车辆从低附着系数路面驶向高附着系数路面时，急促全力制动，检查车辆的减速度在合适的时间内有明显的增加，且车辆未偏离既定行驶路线。行驶速度和制动时机应确保车辆以约为50</w:t>
      </w:r>
      <w:r>
        <w:rPr>
          <w:rFonts w:hint="eastAsia"/>
          <w:color w:val="auto"/>
          <w:highlight w:val="none"/>
          <w:lang w:val="en-US" w:eastAsia="zh-CN"/>
        </w:rPr>
        <w:t> </w:t>
      </w:r>
      <w:r>
        <w:rPr>
          <w:rFonts w:hint="eastAsia" w:hAnsi="宋体"/>
          <w:color w:val="auto"/>
          <w:highlight w:val="none"/>
        </w:rPr>
        <w:t>km/h的速度从低附着系数路面驶入高附着系数路面，并使防抱制动系统在低附着系数路面上全循环。</w:t>
      </w:r>
    </w:p>
    <w:p>
      <w:pPr>
        <w:pStyle w:val="104"/>
        <w:spacing w:before="0" w:beforeLines="0" w:after="0" w:afterLines="0"/>
        <w:rPr>
          <w:color w:val="auto"/>
          <w:highlight w:val="none"/>
        </w:rPr>
      </w:pPr>
      <w:r>
        <w:rPr>
          <w:rFonts w:hint="eastAsia" w:ascii="宋体" w:hAnsi="宋体" w:eastAsia="宋体"/>
          <w:color w:val="auto"/>
          <w:highlight w:val="none"/>
        </w:rPr>
        <w:t>对开路面（</w:t>
      </w:r>
      <m:oMath>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ascii="宋体" w:hAnsi="宋体" w:eastAsia="宋体"/>
          <w:color w:val="auto"/>
          <w:highlight w:val="none"/>
        </w:rPr>
        <w:t>≥0.5，</w:t>
      </w:r>
      <m:oMath>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ascii="宋体" w:hAnsi="宋体" w:eastAsia="宋体"/>
          <w:color w:val="auto"/>
          <w:highlight w:val="none"/>
        </w:rPr>
        <w:t>≥2）</w:t>
      </w:r>
      <w:r>
        <w:rPr>
          <w:rFonts w:hint="eastAsia" w:ascii="宋体" w:hAnsi="宋体" w:eastAsia="宋体"/>
          <w:color w:val="auto"/>
          <w:highlight w:val="none"/>
          <w:lang w:val="en-US" w:eastAsia="zh-CN"/>
        </w:rPr>
        <w:t>试验步骤如下</w:t>
      </w:r>
      <w:r>
        <w:rPr>
          <w:rFonts w:hint="eastAsia" w:ascii="宋体" w:hAnsi="宋体" w:eastAsia="宋体"/>
          <w:color w:val="auto"/>
          <w:highlight w:val="none"/>
        </w:rPr>
        <w:t>：</w:t>
      </w:r>
    </w:p>
    <w:p>
      <w:pPr>
        <w:pStyle w:val="180"/>
        <w:numPr>
          <w:ilvl w:val="0"/>
          <w:numId w:val="77"/>
        </w:numPr>
        <w:rPr>
          <w:color w:val="auto"/>
          <w:highlight w:val="none"/>
        </w:rPr>
      </w:pPr>
      <w:r>
        <w:rPr>
          <w:rFonts w:hint="eastAsia" w:hAnsi="宋体"/>
          <w:color w:val="auto"/>
          <w:highlight w:val="none"/>
        </w:rPr>
        <w:t>试验开始时，车辆的左右车轮分别位于附着系数不同（</w:t>
      </w:r>
      <m:oMath>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oMath>
      <w:r>
        <w:rPr>
          <w:rFonts w:hint="eastAsia" w:hAnsi="宋体"/>
          <w:color w:val="auto"/>
          <w:highlight w:val="none"/>
        </w:rPr>
        <w:t>、</w:t>
      </w:r>
      <m:oMath>
        <m:sSub>
          <m:sSubPr>
            <m:ctrlPr>
              <w:rPr>
                <w:rFonts w:ascii="Cambria Math" w:hAnsi="Cambria Math"/>
                <w:i/>
                <w:color w:val="auto"/>
                <w:highlight w:val="none"/>
              </w:rPr>
            </m:ctrlPr>
          </m:sSubPr>
          <m:e>
            <m:r>
              <m:rPr/>
              <w:rPr>
                <w:rFonts w:hint="eastAsia"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hAnsi="宋体"/>
          <w:color w:val="auto"/>
          <w:highlight w:val="none"/>
        </w:rPr>
        <w:t>）的两种路面上，车辆纵向中心平面通过高低附着系数路面的交界线</w:t>
      </w:r>
      <w:r>
        <w:rPr>
          <w:rFonts w:hint="eastAsia" w:hAnsi="宋体"/>
          <w:color w:val="auto"/>
          <w:highlight w:val="none"/>
          <w:lang w:eastAsia="zh-CN"/>
        </w:rPr>
        <w:t>；</w:t>
      </w:r>
    </w:p>
    <w:p>
      <w:pPr>
        <w:pStyle w:val="180"/>
        <w:numPr>
          <w:ilvl w:val="0"/>
          <w:numId w:val="77"/>
        </w:numPr>
        <w:rPr>
          <w:color w:val="auto"/>
          <w:highlight w:val="none"/>
        </w:rPr>
      </w:pPr>
      <w:r>
        <w:rPr>
          <w:rFonts w:hint="eastAsia" w:hAnsi="宋体"/>
          <w:color w:val="auto"/>
          <w:highlight w:val="none"/>
        </w:rPr>
        <w:t>以</w:t>
      </w:r>
      <w:r>
        <w:rPr>
          <w:rFonts w:hint="eastAsia"/>
          <w:color w:val="auto"/>
          <w:highlight w:val="none"/>
        </w:rPr>
        <w:t>50</w:t>
      </w:r>
      <w:r>
        <w:rPr>
          <w:rFonts w:hint="eastAsia"/>
          <w:color w:val="auto"/>
          <w:highlight w:val="none"/>
          <w:lang w:val="en-US" w:eastAsia="zh-CN"/>
        </w:rPr>
        <w:t> </w:t>
      </w:r>
      <w:r>
        <w:rPr>
          <w:rFonts w:hint="eastAsia"/>
          <w:color w:val="auto"/>
          <w:highlight w:val="none"/>
        </w:rPr>
        <w:t>km/h的初速度急促全力制动，确认直接控制车轮未发生抱死，轮胎（外胎）的任何部分均未越过此交界线</w:t>
      </w:r>
      <w:r>
        <w:rPr>
          <w:rFonts w:hint="eastAsia"/>
          <w:color w:val="auto"/>
          <w:highlight w:val="none"/>
          <w:lang w:eastAsia="zh-CN"/>
        </w:rPr>
        <w:t>；</w:t>
      </w:r>
    </w:p>
    <w:p>
      <w:pPr>
        <w:pStyle w:val="180"/>
        <w:numPr>
          <w:ilvl w:val="0"/>
          <w:numId w:val="77"/>
        </w:numPr>
        <w:rPr>
          <w:color w:val="auto"/>
          <w:highlight w:val="none"/>
        </w:rPr>
      </w:pPr>
      <w:r>
        <w:rPr>
          <w:rFonts w:hint="eastAsia" w:hAnsi="宋体"/>
          <w:color w:val="auto"/>
          <w:highlight w:val="none"/>
        </w:rPr>
        <w:t>试验过程中，允许进行转向修正，</w:t>
      </w:r>
      <w:r>
        <w:rPr>
          <w:rFonts w:hint="eastAsia" w:hAnsi="宋体"/>
          <w:color w:val="auto"/>
          <w:kern w:val="21"/>
          <w:highlight w:val="none"/>
        </w:rPr>
        <w:t>但转向盘的转角在最初</w:t>
      </w:r>
      <w:r>
        <w:rPr>
          <w:rFonts w:hint="eastAsia"/>
          <w:color w:val="auto"/>
          <w:kern w:val="21"/>
          <w:highlight w:val="none"/>
        </w:rPr>
        <w:t>2</w:t>
      </w:r>
      <w:r>
        <w:rPr>
          <w:rFonts w:hint="eastAsia"/>
          <w:color w:val="auto"/>
          <w:highlight w:val="none"/>
          <w:lang w:val="en-US" w:eastAsia="zh-CN"/>
        </w:rPr>
        <w:t> </w:t>
      </w:r>
      <w:r>
        <w:rPr>
          <w:rFonts w:hint="eastAsia"/>
          <w:color w:val="auto"/>
          <w:kern w:val="21"/>
          <w:highlight w:val="none"/>
        </w:rPr>
        <w:t>s内不应超过120</w:t>
      </w:r>
      <w:r>
        <w:rPr>
          <w:rFonts w:hint="eastAsia" w:ascii="Times New Roman"/>
          <w:color w:val="auto"/>
          <w:kern w:val="21"/>
          <w:highlight w:val="none"/>
        </w:rPr>
        <w:t>°</w:t>
      </w:r>
      <w:r>
        <w:rPr>
          <w:rFonts w:hint="eastAsia" w:hAnsi="宋体"/>
          <w:color w:val="auto"/>
          <w:kern w:val="21"/>
          <w:highlight w:val="none"/>
        </w:rPr>
        <w:t>，总转角不应超过240</w:t>
      </w:r>
      <w:r>
        <w:rPr>
          <w:rFonts w:hint="eastAsia" w:ascii="Times New Roman"/>
          <w:color w:val="auto"/>
          <w:kern w:val="21"/>
          <w:highlight w:val="none"/>
        </w:rPr>
        <w:t>°</w:t>
      </w:r>
      <w:r>
        <w:rPr>
          <w:rFonts w:hint="eastAsia" w:hAnsi="宋体"/>
          <w:color w:val="auto"/>
          <w:kern w:val="21"/>
          <w:highlight w:val="none"/>
        </w:rPr>
        <w:t>。</w:t>
      </w:r>
    </w:p>
    <w:p>
      <w:pPr>
        <w:pStyle w:val="104"/>
        <w:numPr>
          <w:ilvl w:val="0"/>
          <w:numId w:val="77"/>
        </w:numPr>
        <w:spacing w:beforeLines="0" w:afterLines="0"/>
        <w:rPr>
          <w:rFonts w:hint="eastAsia" w:ascii="宋体" w:hAnsi="宋体" w:eastAsia="宋体"/>
          <w:color w:val="auto"/>
          <w:highlight w:val="none"/>
        </w:rPr>
      </w:pPr>
      <w:r>
        <w:rPr>
          <w:rFonts w:hint="eastAsia" w:ascii="宋体" w:hAnsi="宋体" w:eastAsia="宋体"/>
          <w:color w:val="auto"/>
          <w:highlight w:val="none"/>
        </w:rPr>
        <w:t>本试验</w:t>
      </w:r>
      <w:r>
        <w:rPr>
          <w:rFonts w:hint="eastAsia" w:ascii="宋体" w:hAnsi="宋体" w:eastAsia="宋体"/>
          <w:color w:val="auto"/>
          <w:highlight w:val="none"/>
          <w:lang w:val="en-US" w:eastAsia="zh-CN"/>
        </w:rPr>
        <w:t>过程中确认</w:t>
      </w:r>
      <w:r>
        <w:rPr>
          <w:rFonts w:hint="eastAsia" w:ascii="宋体" w:hAnsi="宋体" w:eastAsia="宋体"/>
          <w:color w:val="auto"/>
          <w:highlight w:val="none"/>
        </w:rPr>
        <w:t>车轮未抱死且车辆稳定，不必制动至车辆停止行驶。</w:t>
      </w:r>
    </w:p>
    <w:p>
      <w:pPr>
        <w:pStyle w:val="71"/>
        <w:spacing w:before="156" w:after="156"/>
        <w:rPr>
          <w:color w:val="auto"/>
          <w:highlight w:val="none"/>
        </w:rPr>
      </w:pPr>
      <w:bookmarkStart w:id="217" w:name="_Toc72156228"/>
      <w:bookmarkEnd w:id="217"/>
      <w:bookmarkStart w:id="218" w:name="_Toc118580330"/>
      <w:r>
        <w:rPr>
          <w:rFonts w:hint="eastAsia" w:hAnsi="黑体"/>
          <w:color w:val="auto"/>
          <w:highlight w:val="none"/>
        </w:rPr>
        <w:t>满载</w:t>
      </w:r>
      <w:r>
        <w:rPr>
          <w:rFonts w:hint="eastAsia"/>
          <w:color w:val="auto"/>
          <w:highlight w:val="none"/>
        </w:rPr>
        <w:t>-ABS试验</w:t>
      </w:r>
      <w:bookmarkEnd w:id="218"/>
    </w:p>
    <w:p>
      <w:pPr>
        <w:pStyle w:val="100"/>
        <w:spacing w:before="156" w:after="156"/>
        <w:rPr>
          <w:color w:val="auto"/>
          <w:highlight w:val="none"/>
        </w:rPr>
      </w:pPr>
      <w:r>
        <w:rPr>
          <w:rFonts w:hint="eastAsia"/>
          <w:color w:val="auto"/>
          <w:highlight w:val="none"/>
        </w:rPr>
        <w:t>低附着系数路面上附着系数利用率的测定</w:t>
      </w:r>
    </w:p>
    <w:p>
      <w:pPr>
        <w:pStyle w:val="62"/>
        <w:ind w:firstLine="420"/>
        <w:rPr>
          <w:color w:val="auto"/>
          <w:highlight w:val="none"/>
        </w:rPr>
      </w:pPr>
      <w:r>
        <w:rPr>
          <w:rFonts w:hint="eastAsia" w:hAnsi="宋体"/>
          <w:color w:val="auto"/>
          <w:highlight w:val="none"/>
          <w:lang w:val="en-US" w:eastAsia="zh-CN"/>
        </w:rPr>
        <w:t>按照</w:t>
      </w:r>
      <w:r>
        <w:rPr>
          <w:rFonts w:hint="eastAsia"/>
          <w:color w:val="auto"/>
          <w:highlight w:val="none"/>
        </w:rPr>
        <w:t>8.</w:t>
      </w:r>
      <w:r>
        <w:rPr>
          <w:color w:val="auto"/>
          <w:highlight w:val="none"/>
        </w:rPr>
        <w:t>5</w:t>
      </w:r>
      <w:r>
        <w:rPr>
          <w:rFonts w:hint="eastAsia"/>
          <w:color w:val="auto"/>
          <w:highlight w:val="none"/>
        </w:rPr>
        <w:t>.5.1</w:t>
      </w:r>
      <w:r>
        <w:rPr>
          <w:rFonts w:hint="eastAsia"/>
          <w:color w:val="auto"/>
          <w:highlight w:val="none"/>
          <w:lang w:val="en-US" w:eastAsia="zh-CN"/>
        </w:rPr>
        <w:t>的规定</w:t>
      </w:r>
      <w:r>
        <w:rPr>
          <w:rFonts w:hint="eastAsia"/>
          <w:color w:val="auto"/>
          <w:highlight w:val="none"/>
        </w:rPr>
        <w:t>进行试验。</w:t>
      </w:r>
    </w:p>
    <w:p>
      <w:pPr>
        <w:pStyle w:val="100"/>
        <w:spacing w:before="156" w:after="156"/>
        <w:rPr>
          <w:color w:val="auto"/>
          <w:highlight w:val="none"/>
        </w:rPr>
      </w:pPr>
      <w:r>
        <w:rPr>
          <w:rFonts w:hint="eastAsia"/>
          <w:color w:val="auto"/>
          <w:highlight w:val="none"/>
        </w:rPr>
        <w:t>高附着系数路面上附着系数利用率的测定</w:t>
      </w:r>
    </w:p>
    <w:p>
      <w:pPr>
        <w:pStyle w:val="62"/>
        <w:ind w:firstLine="420"/>
        <w:rPr>
          <w:color w:val="auto"/>
          <w:highlight w:val="none"/>
        </w:rPr>
      </w:pPr>
      <w:r>
        <w:rPr>
          <w:rFonts w:hint="eastAsia" w:hAnsi="宋体"/>
          <w:color w:val="auto"/>
          <w:highlight w:val="none"/>
          <w:lang w:val="en-US" w:eastAsia="zh-CN"/>
        </w:rPr>
        <w:t>按照</w:t>
      </w:r>
      <w:r>
        <w:rPr>
          <w:rFonts w:hint="eastAsia"/>
          <w:color w:val="auto"/>
          <w:highlight w:val="none"/>
        </w:rPr>
        <w:t>8.</w:t>
      </w:r>
      <w:r>
        <w:rPr>
          <w:color w:val="auto"/>
          <w:highlight w:val="none"/>
        </w:rPr>
        <w:t>5</w:t>
      </w:r>
      <w:r>
        <w:rPr>
          <w:rFonts w:hint="eastAsia"/>
          <w:color w:val="auto"/>
          <w:highlight w:val="none"/>
        </w:rPr>
        <w:t>.5.2</w:t>
      </w:r>
      <w:r>
        <w:rPr>
          <w:rFonts w:hint="eastAsia"/>
          <w:color w:val="auto"/>
          <w:highlight w:val="none"/>
          <w:lang w:val="en-US" w:eastAsia="zh-CN"/>
        </w:rPr>
        <w:t>的规定</w:t>
      </w:r>
      <w:r>
        <w:rPr>
          <w:rFonts w:hint="eastAsia"/>
          <w:color w:val="auto"/>
          <w:highlight w:val="none"/>
        </w:rPr>
        <w:t>进行试验。</w:t>
      </w:r>
    </w:p>
    <w:p>
      <w:pPr>
        <w:pStyle w:val="62"/>
        <w:ind w:firstLine="420"/>
        <w:rPr>
          <w:rFonts w:ascii="Times New Roman"/>
          <w:color w:val="auto"/>
          <w:highlight w:val="none"/>
        </w:rPr>
      </w:pPr>
      <w:r>
        <w:rPr>
          <w:rFonts w:hAnsi="宋体"/>
          <w:color w:val="auto"/>
          <w:highlight w:val="none"/>
        </w:rPr>
        <w:t>如规定的控制力不能使防抱制动系统实现全循环，则不再测定附着系数利用率</w:t>
      </w:r>
      <m:oMath>
        <m:r>
          <m:rPr>
            <m:sty m:val="p"/>
          </m:rPr>
          <w:rPr>
            <w:rFonts w:ascii="Cambria Math" w:hAnsi="Cambria Math"/>
            <w:color w:val="auto"/>
            <w:highlight w:val="none"/>
          </w:rPr>
          <m:t>ε</m:t>
        </m:r>
      </m:oMath>
      <w:r>
        <w:rPr>
          <w:rFonts w:hAnsi="宋体"/>
          <w:color w:val="auto"/>
          <w:highlight w:val="none"/>
        </w:rPr>
        <w:t>。</w:t>
      </w:r>
    </w:p>
    <w:p>
      <w:pPr>
        <w:pStyle w:val="100"/>
        <w:spacing w:before="156" w:after="156"/>
        <w:rPr>
          <w:color w:val="auto"/>
          <w:highlight w:val="none"/>
        </w:rPr>
      </w:pPr>
      <w:r>
        <w:rPr>
          <w:rFonts w:hint="eastAsia"/>
          <w:color w:val="auto"/>
          <w:highlight w:val="none"/>
        </w:rPr>
        <w:t>附加检查</w:t>
      </w:r>
    </w:p>
    <w:p>
      <w:pPr>
        <w:pStyle w:val="62"/>
        <w:ind w:firstLine="420"/>
        <w:rPr>
          <w:rFonts w:hint="default" w:eastAsia="宋体"/>
          <w:color w:val="auto"/>
          <w:highlight w:val="none"/>
          <w:lang w:val="en-US" w:eastAsia="zh-CN"/>
        </w:rPr>
      </w:pPr>
      <w:r>
        <w:rPr>
          <w:rFonts w:hint="eastAsia" w:hAnsi="宋体"/>
          <w:color w:val="auto"/>
          <w:highlight w:val="none"/>
          <w:lang w:val="en-US" w:eastAsia="zh-CN"/>
        </w:rPr>
        <w:t>按照</w:t>
      </w:r>
      <w:r>
        <w:rPr>
          <w:rFonts w:hint="eastAsia"/>
          <w:color w:val="auto"/>
          <w:highlight w:val="none"/>
        </w:rPr>
        <w:t>8.</w:t>
      </w:r>
      <w:r>
        <w:rPr>
          <w:color w:val="auto"/>
          <w:highlight w:val="none"/>
        </w:rPr>
        <w:t>5</w:t>
      </w:r>
      <w:r>
        <w:rPr>
          <w:rFonts w:hint="eastAsia"/>
          <w:color w:val="auto"/>
          <w:highlight w:val="none"/>
        </w:rPr>
        <w:t>.5.3</w:t>
      </w:r>
      <w:r>
        <w:rPr>
          <w:rFonts w:hint="eastAsia"/>
          <w:color w:val="auto"/>
          <w:highlight w:val="none"/>
          <w:lang w:val="en-US" w:eastAsia="zh-CN"/>
        </w:rPr>
        <w:t>的规定</w:t>
      </w:r>
      <w:r>
        <w:rPr>
          <w:rFonts w:hint="eastAsia"/>
          <w:color w:val="auto"/>
          <w:highlight w:val="none"/>
        </w:rPr>
        <w:t>进行试验。在对开路面试验时测定制动强度，确认</w:t>
      </w: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MALS</m:t>
            </m:r>
            <m:ctrlPr>
              <w:rPr>
                <w:rFonts w:ascii="Cambria Math" w:hAnsi="Cambria Math"/>
                <w:i/>
                <w:color w:val="auto"/>
                <w:highlight w:val="none"/>
              </w:rPr>
            </m:ctrlPr>
          </m:sub>
        </m:sSub>
      </m:oMath>
      <w:r>
        <w:rPr>
          <w:rFonts w:hint="eastAsia" w:hAnsi="Cambria Math"/>
          <w:i w:val="0"/>
          <w:color w:val="auto"/>
          <w:highlight w:val="none"/>
          <w:lang w:val="en-US" w:eastAsia="zh-CN"/>
        </w:rPr>
        <w:t>满足公式（29）。</w:t>
      </w:r>
    </w:p>
    <w:p>
      <w:pPr>
        <w:pStyle w:val="62"/>
        <w:tabs>
          <w:tab w:val="center" w:pos="4725"/>
          <w:tab w:val="right" w:leader="dot" w:pos="9450"/>
        </w:tabs>
        <w:ind w:firstLine="0" w:firstLineChars="0"/>
        <w:rPr>
          <w:rFonts w:hint="default" w:hAnsi="Cambria Math" w:eastAsia="宋体"/>
          <w:i w:val="0"/>
          <w:color w:val="auto"/>
          <w:highlight w:val="none"/>
          <w:lang w:val="en-US" w:eastAsia="zh-CN"/>
        </w:rPr>
      </w:pPr>
      <w:r>
        <w:rPr>
          <w:rFonts w:hint="eastAsia" w:hAnsi="Cambria Math"/>
          <w:i w:val="0"/>
          <w:color w:val="auto"/>
          <w:highlight w:val="none"/>
          <w:lang w:val="en-US" w:eastAsia="zh-CN"/>
        </w:rPr>
        <w:tab/>
      </w: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MALS</m:t>
            </m:r>
            <m:ctrlPr>
              <w:rPr>
                <w:rFonts w:ascii="Cambria Math" w:hAnsi="Cambria Math"/>
                <w:i/>
                <w:color w:val="auto"/>
                <w:highlight w:val="none"/>
              </w:rPr>
            </m:ctrlPr>
          </m:sub>
        </m:sSub>
        <m:r>
          <m:rPr/>
          <w:rPr>
            <w:rFonts w:ascii="Cambria Math" w:hAnsi="Cambria Math"/>
            <w:color w:val="auto"/>
            <w:highlight w:val="none"/>
          </w:rPr>
          <m:t>≥0.75×</m:t>
        </m:r>
        <m:f>
          <m:fPr>
            <m:ctrlPr>
              <w:rPr>
                <w:rFonts w:ascii="Cambria Math" w:hAnsi="Cambria Math"/>
                <w:i/>
                <w:color w:val="auto"/>
                <w:highlight w:val="none"/>
              </w:rPr>
            </m:ctrlPr>
          </m:fPr>
          <m:num>
            <m:r>
              <m:rPr/>
              <w:rPr>
                <w:rFonts w:ascii="Cambria Math" w:hAnsi="Cambria Math"/>
                <w:color w:val="auto"/>
                <w:highlight w:val="none"/>
              </w:rPr>
              <m:t>4</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H</m:t>
                </m:r>
                <m:ctrlPr>
                  <w:rPr>
                    <w:rFonts w:ascii="Cambria Math" w:hAnsi="Cambria Math"/>
                    <w:i/>
                    <w:color w:val="auto"/>
                    <w:highlight w:val="none"/>
                  </w:rPr>
                </m:ctrlPr>
              </m:sub>
            </m:sSub>
            <m:ctrlPr>
              <w:rPr>
                <w:rFonts w:ascii="Cambria Math" w:hAnsi="Cambria Math"/>
                <w:i/>
                <w:color w:val="auto"/>
                <w:highlight w:val="none"/>
              </w:rPr>
            </m:ctrlPr>
          </m:num>
          <m:den>
            <m:r>
              <m:rPr/>
              <w:rPr>
                <w:rFonts w:ascii="Cambria Math" w:hAnsi="Cambria Math"/>
                <w:color w:val="auto"/>
                <w:highlight w:val="none"/>
              </w:rPr>
              <m:t>5</m:t>
            </m:r>
            <m:ctrlPr>
              <w:rPr>
                <w:rFonts w:ascii="Cambria Math" w:hAnsi="Cambria Math"/>
                <w:i/>
                <w:color w:val="auto"/>
                <w:highlight w:val="none"/>
              </w:rPr>
            </m:ctrlPr>
          </m:den>
        </m:f>
      </m:oMath>
      <w:r>
        <w:rPr>
          <w:rFonts w:hint="eastAsia" w:hAnsi="Cambria Math"/>
          <w:i w:val="0"/>
          <w:color w:val="auto"/>
          <w:highlight w:val="none"/>
          <w:lang w:eastAsia="zh-CN"/>
        </w:rPr>
        <w:t>，</w:t>
      </w:r>
      <m:oMath>
        <m:sSub>
          <m:sSubPr>
            <m:ctrlPr>
              <w:rPr>
                <w:rFonts w:ascii="Cambria Math" w:hAnsi="Cambria Math"/>
                <w:i/>
                <w:color w:val="auto"/>
                <w:highlight w:val="none"/>
              </w:rPr>
            </m:ctrlPr>
          </m:sSubPr>
          <m:e>
            <m:r>
              <m:rPr/>
              <w:rPr>
                <w:rFonts w:ascii="Cambria Math" w:hAnsi="Cambria Math"/>
                <w:color w:val="auto"/>
                <w:highlight w:val="none"/>
              </w:rPr>
              <m:t>z</m:t>
            </m:r>
            <m:ctrlPr>
              <w:rPr>
                <w:rFonts w:ascii="Cambria Math" w:hAnsi="Cambria Math"/>
                <w:i/>
                <w:color w:val="auto"/>
                <w:highlight w:val="none"/>
              </w:rPr>
            </m:ctrlPr>
          </m:e>
          <m:sub>
            <m:r>
              <m:rPr/>
              <w:rPr>
                <w:rFonts w:ascii="Cambria Math" w:hAnsi="Cambria Math"/>
                <w:color w:val="auto"/>
                <w:highlight w:val="none"/>
              </w:rPr>
              <m:t>MALS</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k</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oMath>
      <w:r>
        <w:rPr>
          <w:rFonts w:hint="eastAsia" w:hAnsi="Cambria Math"/>
          <w:i w:val="0"/>
          <w:color w:val="auto"/>
          <w:highlight w:val="none"/>
          <w:lang w:val="en-US" w:eastAsia="zh-CN"/>
        </w:rPr>
        <w:tab/>
      </w:r>
      <w:r>
        <w:rPr>
          <w:rFonts w:hint="eastAsia" w:hAnsi="Cambria Math"/>
          <w:i w:val="0"/>
          <w:color w:val="auto"/>
          <w:highlight w:val="none"/>
          <w:lang w:val="en-US" w:eastAsia="zh-CN"/>
        </w:rPr>
        <w:t>(29)</w:t>
      </w:r>
    </w:p>
    <w:p>
      <w:pPr>
        <w:pStyle w:val="100"/>
        <w:spacing w:before="156" w:after="156"/>
        <w:rPr>
          <w:color w:val="auto"/>
          <w:highlight w:val="none"/>
        </w:rPr>
      </w:pPr>
      <w:r>
        <w:rPr>
          <w:rFonts w:hint="eastAsia"/>
          <w:color w:val="auto"/>
          <w:highlight w:val="none"/>
        </w:rPr>
        <w:t>能耗试验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确认储能装置的初始能量水平符合制造商规定。</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踩下制动踏板，确认各制动器工作正常；断开储能装置对气压辅助设备的供能。</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在动力脱开且以怠速运转的状态下，在附着系数小于等于0.3的路面上，以不低于50</w:t>
      </w:r>
      <w:r>
        <w:rPr>
          <w:rFonts w:hint="eastAsia"/>
          <w:color w:val="auto"/>
          <w:highlight w:val="none"/>
          <w:lang w:val="en-US" w:eastAsia="zh-CN"/>
        </w:rPr>
        <w:t> </w:t>
      </w:r>
      <w:r>
        <w:rPr>
          <w:rFonts w:hint="eastAsia" w:ascii="宋体" w:hAnsi="宋体" w:eastAsia="宋体"/>
          <w:color w:val="auto"/>
          <w:highlight w:val="none"/>
        </w:rPr>
        <w:t>km/h的初速度全力制动。</w:t>
      </w:r>
      <w:r>
        <w:rPr>
          <w:rFonts w:hint="eastAsia" w:ascii="宋体" w:hAnsi="宋体" w:eastAsia="宋体"/>
          <w:color w:val="auto"/>
          <w:highlight w:val="none"/>
          <w:lang w:val="en-US" w:eastAsia="zh-CN"/>
        </w:rPr>
        <w:t>确认</w:t>
      </w:r>
      <w:r>
        <w:rPr>
          <w:rFonts w:hint="eastAsia" w:ascii="宋体" w:hAnsi="宋体" w:eastAsia="宋体"/>
          <w:color w:val="auto"/>
          <w:highlight w:val="none"/>
        </w:rPr>
        <w:t>制动时间</w:t>
      </w:r>
      <w:r>
        <w:rPr>
          <w:rFonts w:hint="eastAsia" w:ascii="宋体" w:hAnsi="宋体" w:eastAsia="宋体"/>
          <w:color w:val="auto"/>
          <w:highlight w:val="none"/>
          <w:lang w:eastAsia="zh-CN"/>
        </w:rPr>
        <w:t>（</w:t>
      </w:r>
      <m:oMath>
        <m:r>
          <m:rPr/>
          <w:rPr>
            <w:rFonts w:hint="eastAsia" w:ascii="Cambria Math" w:hAnsi="Cambria Math"/>
            <w:color w:val="auto"/>
            <w:highlight w:val="none"/>
          </w:rPr>
          <m:t>t</m:t>
        </m:r>
        <m:r>
          <m:rPr/>
          <w:rPr>
            <w:rFonts w:ascii="Cambria Math" w:hAnsi="Cambria Math"/>
            <w:color w:val="auto"/>
            <w:highlight w:val="none"/>
          </w:rPr>
          <m:t>=</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max</m:t>
                </m:r>
                <m:ctrlPr>
                  <w:rPr>
                    <w:rFonts w:ascii="Cambria Math" w:hAnsi="Cambria Math"/>
                    <w:i/>
                    <w:color w:val="auto"/>
                    <w:highlight w:val="none"/>
                  </w:rPr>
                </m:ctrlPr>
              </m:sub>
            </m:sSub>
            <m:ctrlPr>
              <w:rPr>
                <w:rFonts w:ascii="Cambria Math" w:hAnsi="Cambria Math"/>
                <w:i/>
                <w:color w:val="auto"/>
                <w:highlight w:val="none"/>
              </w:rPr>
            </m:ctrlPr>
          </m:num>
          <m:den>
            <m:r>
              <m:rPr/>
              <w:rPr>
                <w:rFonts w:ascii="Cambria Math" w:hAnsi="Cambria Math"/>
                <w:color w:val="auto"/>
                <w:highlight w:val="none"/>
              </w:rPr>
              <m:t>7</m:t>
            </m:r>
            <m:ctrlPr>
              <w:rPr>
                <w:rFonts w:ascii="Cambria Math" w:hAnsi="Cambria Math"/>
                <w:i/>
                <w:color w:val="auto"/>
                <w:highlight w:val="none"/>
              </w:rPr>
            </m:ctrlPr>
          </m:den>
        </m:f>
      </m:oMath>
      <w:r>
        <w:rPr>
          <w:rFonts w:hint="eastAsia" w:ascii="宋体" w:hAnsi="宋体" w:eastAsia="宋体"/>
          <w:color w:val="auto"/>
          <w:highlight w:val="none"/>
          <w:lang w:eastAsia="zh-CN"/>
        </w:rPr>
        <w:t>）</w:t>
      </w:r>
      <w:r>
        <w:rPr>
          <w:rFonts w:hint="eastAsia" w:ascii="宋体" w:hAnsi="宋体" w:eastAsia="宋体"/>
          <w:color w:val="auto"/>
          <w:highlight w:val="none"/>
        </w:rPr>
        <w:t>不小于15</w:t>
      </w:r>
      <w:r>
        <w:rPr>
          <w:rFonts w:hint="eastAsia"/>
          <w:color w:val="auto"/>
          <w:highlight w:val="none"/>
          <w:lang w:val="en-US" w:eastAsia="zh-CN"/>
        </w:rPr>
        <w:t> </w:t>
      </w:r>
      <w:r>
        <w:rPr>
          <w:rFonts w:hint="eastAsia" w:ascii="宋体" w:hAnsi="宋体" w:eastAsia="宋体"/>
          <w:color w:val="auto"/>
          <w:highlight w:val="none"/>
          <w:lang w:val="en-US" w:eastAsia="zh-CN"/>
        </w:rPr>
        <w:t>s</w:t>
      </w:r>
      <w:r>
        <w:rPr>
          <w:rFonts w:hint="eastAsia" w:ascii="宋体" w:hAnsi="宋体" w:eastAsia="宋体"/>
          <w:color w:val="auto"/>
          <w:highlight w:val="none"/>
        </w:rPr>
        <w:t>。若一次制动的时间达不到</w:t>
      </w:r>
      <m:oMath>
        <m:r>
          <m:rPr/>
          <w:rPr>
            <w:rFonts w:hint="eastAsia" w:ascii="Cambria Math" w:hAnsi="Cambria Math"/>
            <w:color w:val="auto"/>
            <w:highlight w:val="none"/>
          </w:rPr>
          <m:t>t</m:t>
        </m:r>
      </m:oMath>
      <w:r>
        <w:rPr>
          <w:rFonts w:hint="eastAsia" w:ascii="宋体" w:hAnsi="宋体" w:eastAsia="宋体"/>
          <w:color w:val="auto"/>
          <w:highlight w:val="none"/>
        </w:rPr>
        <w:t>值，可最多分为4个阶段进行制动。各阶段制动之间不补充能量；从第2阶段起，为弥补开始制动的能量消耗，从8.</w:t>
      </w:r>
      <w:r>
        <w:rPr>
          <w:rFonts w:ascii="宋体" w:hAnsi="宋体" w:eastAsia="宋体"/>
          <w:color w:val="auto"/>
          <w:highlight w:val="none"/>
        </w:rPr>
        <w:t>5</w:t>
      </w:r>
      <w:r>
        <w:rPr>
          <w:rFonts w:hint="eastAsia" w:ascii="宋体" w:hAnsi="宋体" w:eastAsia="宋体"/>
          <w:color w:val="auto"/>
          <w:highlight w:val="none"/>
        </w:rPr>
        <w:t>.6.4.4规定的全行程促动中减去一次。</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车辆静止，将储能调节至与制动时间</w:t>
      </w:r>
      <m:oMath>
        <m:r>
          <m:rPr/>
          <w:rPr>
            <w:rFonts w:hint="eastAsia" w:ascii="Cambria Math" w:hAnsi="Cambria Math"/>
            <w:color w:val="auto"/>
            <w:highlight w:val="none"/>
          </w:rPr>
          <m:t>t</m:t>
        </m:r>
      </m:oMath>
      <w:r>
        <w:rPr>
          <w:rFonts w:hint="eastAsia" w:ascii="宋体" w:hAnsi="宋体" w:eastAsia="宋体"/>
          <w:color w:val="auto"/>
          <w:highlight w:val="none"/>
        </w:rPr>
        <w:t>结束时相同的能量水平，使动力装置停止运转或切断对储能装置的供能，对行车制动连续进行4次全行程促动。</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确认进行第5次制动时，车辆至少能达到规定的应急制动效能。可通过在高附着系数路面上的试验检查，也可通过测定第5次制动时的管路压力进行判定。</w:t>
      </w:r>
    </w:p>
    <w:p>
      <w:pPr>
        <w:pStyle w:val="71"/>
        <w:spacing w:before="156" w:after="156"/>
        <w:rPr>
          <w:color w:val="auto"/>
          <w:highlight w:val="none"/>
        </w:rPr>
      </w:pPr>
      <w:bookmarkStart w:id="219" w:name="_Toc72156229"/>
      <w:bookmarkEnd w:id="219"/>
      <w:bookmarkStart w:id="220" w:name="_Toc118580331"/>
      <w:r>
        <w:rPr>
          <w:rFonts w:hint="eastAsia" w:hAnsi="黑体"/>
          <w:color w:val="auto"/>
          <w:highlight w:val="none"/>
        </w:rPr>
        <w:t>满载</w:t>
      </w:r>
      <w:r>
        <w:rPr>
          <w:rFonts w:hint="eastAsia"/>
          <w:color w:val="auto"/>
          <w:highlight w:val="none"/>
        </w:rPr>
        <w:t>-基本性能试验</w:t>
      </w:r>
      <w:bookmarkEnd w:id="220"/>
    </w:p>
    <w:p>
      <w:pPr>
        <w:pStyle w:val="100"/>
        <w:spacing w:before="156" w:after="156"/>
        <w:rPr>
          <w:color w:val="auto"/>
          <w:highlight w:val="none"/>
        </w:rPr>
      </w:pPr>
      <w:r>
        <w:rPr>
          <w:rFonts w:hint="eastAsia"/>
          <w:color w:val="auto"/>
          <w:highlight w:val="none"/>
        </w:rPr>
        <w:t>0型试验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lang w:val="en-US" w:eastAsia="zh-CN"/>
        </w:rPr>
        <w:t>按照</w:t>
      </w:r>
      <w:r>
        <w:rPr>
          <w:rFonts w:hint="eastAsia" w:ascii="宋体" w:hAnsi="宋体" w:eastAsia="宋体"/>
          <w:color w:val="auto"/>
          <w:highlight w:val="none"/>
        </w:rPr>
        <w:t>8.</w:t>
      </w:r>
      <w:r>
        <w:rPr>
          <w:rFonts w:ascii="宋体" w:hAnsi="宋体" w:eastAsia="宋体"/>
          <w:color w:val="auto"/>
          <w:highlight w:val="none"/>
        </w:rPr>
        <w:t>5</w:t>
      </w:r>
      <w:r>
        <w:rPr>
          <w:rFonts w:hint="eastAsia" w:ascii="宋体" w:hAnsi="宋体" w:eastAsia="宋体"/>
          <w:color w:val="auto"/>
          <w:highlight w:val="none"/>
        </w:rPr>
        <w:t>.3.1～8.4.3.2</w:t>
      </w:r>
      <w:r>
        <w:rPr>
          <w:rFonts w:hint="eastAsia" w:ascii="宋体" w:hAnsi="宋体" w:eastAsia="宋体"/>
          <w:color w:val="auto"/>
          <w:highlight w:val="none"/>
          <w:lang w:val="en-US" w:eastAsia="zh-CN"/>
        </w:rPr>
        <w:t>的规定</w:t>
      </w:r>
      <w:r>
        <w:rPr>
          <w:rFonts w:hint="eastAsia" w:ascii="宋体" w:hAnsi="宋体" w:eastAsia="宋体"/>
          <w:color w:val="auto"/>
          <w:highlight w:val="none"/>
        </w:rPr>
        <w:t>进行试验。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对允许挂接无制动挂车的乘用车，无需实际挂接无制动挂车进行试验，可仅以乘用车进行动力脱开的0型试验，</w:t>
      </w:r>
      <w:r>
        <w:rPr>
          <w:rFonts w:hint="eastAsia" w:ascii="宋体" w:hAnsi="宋体" w:eastAsia="宋体"/>
          <w:color w:val="auto"/>
          <w:highlight w:val="none"/>
          <w:lang w:val="en-US" w:eastAsia="zh-CN"/>
        </w:rPr>
        <w:t>按照公式（30）</w:t>
      </w:r>
      <w:r>
        <w:rPr>
          <w:rFonts w:hint="eastAsia" w:ascii="宋体" w:hAnsi="宋体" w:eastAsia="宋体"/>
          <w:color w:val="auto"/>
          <w:highlight w:val="none"/>
        </w:rPr>
        <w:t>计算乘用车列车满载时充分发出的平均减速度，确认不小于5.4</w:t>
      </w:r>
      <w:r>
        <w:rPr>
          <w:rFonts w:hint="eastAsia"/>
          <w:color w:val="auto"/>
          <w:highlight w:val="none"/>
          <w:lang w:val="en-US" w:eastAsia="zh-CN"/>
        </w:rPr>
        <w:t> </w:t>
      </w:r>
      <w:r>
        <w:rPr>
          <w:rFonts w:hint="eastAsia" w:ascii="宋体" w:hAnsi="宋体" w:eastAsia="宋体"/>
          <w:color w:val="auto"/>
          <w:highlight w:val="none"/>
        </w:rPr>
        <w:t>m/s</w:t>
      </w:r>
      <w:r>
        <w:rPr>
          <w:rFonts w:ascii="宋体" w:hAnsi="宋体" w:eastAsia="宋体"/>
          <w:color w:val="auto"/>
          <w:highlight w:val="none"/>
          <w:vertAlign w:val="superscript"/>
        </w:rPr>
        <w:t>2</w:t>
      </w:r>
      <w:r>
        <w:rPr>
          <w:rFonts w:hint="eastAsia" w:ascii="宋体" w:hAnsi="宋体" w:eastAsia="宋体"/>
          <w:color w:val="auto"/>
          <w:highlight w:val="none"/>
          <w:vertAlign w:val="baseline"/>
          <w:lang w:eastAsia="zh-CN"/>
        </w:rPr>
        <w:t>。</w:t>
      </w:r>
    </w:p>
    <w:p>
      <w:pPr>
        <w:pStyle w:val="104"/>
        <w:numPr>
          <w:ilvl w:val="-1"/>
          <w:numId w:val="0"/>
        </w:numPr>
        <w:tabs>
          <w:tab w:val="center" w:pos="4725"/>
          <w:tab w:val="right" w:leader="dot" w:pos="9450"/>
        </w:tabs>
        <w:spacing w:before="0" w:beforeLines="0" w:after="0" w:afterLines="0"/>
        <w:rPr>
          <w:rFonts w:ascii="宋体" w:hAnsi="宋体" w:eastAsia="宋体"/>
          <w:color w:val="auto"/>
          <w:highlight w:val="none"/>
        </w:rPr>
      </w:pPr>
      <w:r>
        <w:rPr>
          <w:rFonts w:hint="eastAsia" w:hAnsi="Cambria Math"/>
          <w:i w:val="0"/>
          <w:color w:val="auto"/>
          <w:highlight w:val="none"/>
          <w:lang w:val="en-US" w:eastAsia="zh-CN"/>
        </w:rPr>
        <w:tab/>
      </w:r>
      <m:oMath>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ascii="Cambria Math" w:hAnsi="Cambria Math"/>
                <w:color w:val="auto"/>
                <w:highlight w:val="none"/>
              </w:rPr>
              <m:t>M+R</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hint="eastAsia" w:ascii="Cambria Math" w:hAnsi="Cambria Math"/>
                <w:color w:val="auto"/>
                <w:highlight w:val="none"/>
              </w:rPr>
              <m:t>d</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ctrlPr>
              <w:rPr>
                <w:rFonts w:ascii="Cambria Math" w:hAnsi="Cambria Math"/>
                <w:i/>
                <w:color w:val="auto"/>
                <w:highlight w:val="none"/>
              </w:rPr>
            </m:ctrlPr>
          </m:num>
          <m:den>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M</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R</m:t>
                </m:r>
                <m:ctrlPr>
                  <w:rPr>
                    <w:rFonts w:ascii="Cambria Math" w:hAnsi="Cambria Math"/>
                    <w:i/>
                    <w:color w:val="auto"/>
                    <w:highlight w:val="none"/>
                  </w:rPr>
                </m:ctrlPr>
              </m:sub>
            </m:sSub>
            <m:ctrlPr>
              <w:rPr>
                <w:rFonts w:ascii="Cambria Math" w:hAnsi="Cambria Math"/>
                <w:i/>
                <w:color w:val="auto"/>
                <w:highlight w:val="none"/>
              </w:rPr>
            </m:ctrlPr>
          </m:den>
        </m:f>
      </m:oMath>
      <w:r>
        <w:rPr>
          <w:rFonts w:hint="eastAsia" w:hAnsi="Cambria Math"/>
          <w:i w:val="0"/>
          <w:color w:val="auto"/>
          <w:highlight w:val="none"/>
          <w:lang w:val="en-US" w:eastAsia="zh-CN"/>
        </w:rPr>
        <w:tab/>
      </w:r>
      <w:r>
        <w:rPr>
          <w:rFonts w:hint="eastAsia" w:ascii="宋体" w:hAnsi="宋体" w:eastAsia="宋体" w:cs="宋体"/>
          <w:i w:val="0"/>
          <w:color w:val="auto"/>
          <w:highlight w:val="none"/>
          <w:lang w:val="en-US" w:eastAsia="zh-CN"/>
        </w:rPr>
        <w:t>(30)</w:t>
      </w:r>
    </w:p>
    <w:p>
      <w:pPr>
        <w:pStyle w:val="100"/>
        <w:spacing w:before="156" w:after="156"/>
        <w:rPr>
          <w:color w:val="auto"/>
          <w:highlight w:val="none"/>
        </w:rPr>
      </w:pPr>
      <w:r>
        <w:rPr>
          <w:rFonts w:hint="eastAsia"/>
          <w:color w:val="auto"/>
          <w:highlight w:val="none"/>
        </w:rPr>
        <w:t>车辆行驶中的驻车制动</w:t>
      </w:r>
    </w:p>
    <w:p>
      <w:pPr>
        <w:pStyle w:val="62"/>
        <w:ind w:firstLine="420"/>
        <w:rPr>
          <w:color w:val="auto"/>
          <w:highlight w:val="none"/>
        </w:rPr>
      </w:pPr>
      <w:r>
        <w:rPr>
          <w:rFonts w:hint="eastAsia" w:hAnsi="宋体"/>
          <w:color w:val="auto"/>
          <w:highlight w:val="none"/>
          <w:lang w:val="en-US" w:eastAsia="zh-CN"/>
        </w:rPr>
        <w:t>按照</w:t>
      </w:r>
      <w:r>
        <w:rPr>
          <w:rFonts w:hint="eastAsia"/>
          <w:color w:val="auto"/>
          <w:highlight w:val="none"/>
        </w:rPr>
        <w:t>8.</w:t>
      </w:r>
      <w:r>
        <w:rPr>
          <w:color w:val="auto"/>
          <w:highlight w:val="none"/>
        </w:rPr>
        <w:t>5</w:t>
      </w:r>
      <w:r>
        <w:rPr>
          <w:rFonts w:hint="eastAsia"/>
          <w:color w:val="auto"/>
          <w:highlight w:val="none"/>
        </w:rPr>
        <w:t>.3.1的试验条件，以30</w:t>
      </w:r>
      <w:r>
        <w:rPr>
          <w:rFonts w:hint="eastAsia"/>
          <w:color w:val="auto"/>
          <w:highlight w:val="none"/>
          <w:lang w:val="en-US" w:eastAsia="zh-CN"/>
        </w:rPr>
        <w:t> </w:t>
      </w:r>
      <w:r>
        <w:rPr>
          <w:rFonts w:hint="eastAsia"/>
          <w:color w:val="auto"/>
          <w:highlight w:val="none"/>
        </w:rPr>
        <w:t>km/h的初速度施加驻车制动，进行动态驻车制动试验。控制力不超过400</w:t>
      </w:r>
      <w:r>
        <w:rPr>
          <w:rFonts w:hint="eastAsia"/>
          <w:color w:val="auto"/>
          <w:highlight w:val="none"/>
          <w:lang w:val="en-US" w:eastAsia="zh-CN"/>
        </w:rPr>
        <w:t> </w:t>
      </w:r>
      <w:r>
        <w:rPr>
          <w:rFonts w:hint="eastAsia"/>
          <w:color w:val="auto"/>
          <w:highlight w:val="none"/>
        </w:rPr>
        <w:t>N（脚控时为500</w:t>
      </w:r>
      <w:r>
        <w:rPr>
          <w:rFonts w:hint="eastAsia"/>
          <w:color w:val="auto"/>
          <w:highlight w:val="none"/>
          <w:lang w:val="en-US" w:eastAsia="zh-CN"/>
        </w:rPr>
        <w:t> </w:t>
      </w:r>
      <w:r>
        <w:rPr>
          <w:rFonts w:hint="eastAsia"/>
          <w:color w:val="auto"/>
          <w:highlight w:val="none"/>
        </w:rPr>
        <w:t>N）且在制动过程中保持恒定。确认充分发出的平均制动减速度和车辆停车前的瞬态减速度不小于1.5</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hAnsi="宋体"/>
          <w:color w:val="auto"/>
          <w:highlight w:val="none"/>
        </w:rPr>
        <w:t>。只要有一次试验能达到规定性能，即认为符合要求。</w:t>
      </w:r>
    </w:p>
    <w:p>
      <w:pPr>
        <w:pStyle w:val="100"/>
        <w:spacing w:before="156" w:after="156"/>
        <w:rPr>
          <w:color w:val="auto"/>
          <w:highlight w:val="none"/>
        </w:rPr>
      </w:pPr>
      <w:r>
        <w:rPr>
          <w:rFonts w:hint="eastAsia"/>
          <w:color w:val="auto"/>
          <w:highlight w:val="none"/>
        </w:rPr>
        <w:t>响应时间试验</w:t>
      </w:r>
    </w:p>
    <w:p>
      <w:pPr>
        <w:pStyle w:val="62"/>
        <w:ind w:firstLine="420"/>
        <w:rPr>
          <w:rFonts w:hint="eastAsia" w:hAnsi="宋体"/>
          <w:color w:val="auto"/>
          <w:highlight w:val="none"/>
        </w:rPr>
      </w:pPr>
      <w:r>
        <w:rPr>
          <w:rFonts w:hint="eastAsia" w:hAnsi="宋体"/>
          <w:color w:val="auto"/>
          <w:highlight w:val="none"/>
        </w:rPr>
        <w:t>装备助力制动系统且不使用助力就不能达到</w:t>
      </w:r>
      <w:r>
        <w:rPr>
          <w:rFonts w:hint="eastAsia" w:hAnsi="宋体"/>
          <w:color w:val="auto"/>
          <w:highlight w:val="none"/>
          <w:lang w:val="en-US" w:eastAsia="zh-CN"/>
        </w:rPr>
        <w:t>规定的</w:t>
      </w:r>
      <w:r>
        <w:rPr>
          <w:rFonts w:hint="eastAsia" w:hAnsi="宋体"/>
          <w:color w:val="auto"/>
          <w:highlight w:val="none"/>
        </w:rPr>
        <w:t>行车制动性能的车辆，安装减速度记录设备，以1</w:t>
      </w:r>
      <w:r>
        <w:rPr>
          <w:rFonts w:hint="eastAsia"/>
          <w:color w:val="auto"/>
          <w:highlight w:val="none"/>
        </w:rPr>
        <w:t>00km/h的</w:t>
      </w:r>
      <w:r>
        <w:rPr>
          <w:rFonts w:hint="eastAsia" w:hAnsi="宋体"/>
          <w:color w:val="auto"/>
          <w:highlight w:val="none"/>
        </w:rPr>
        <w:t>初速度进行动力脱开的0型试验。根据记录的减速度，确认从开始促动踏板至达到表</w:t>
      </w:r>
      <w:r>
        <w:rPr>
          <w:rFonts w:hint="eastAsia"/>
          <w:color w:val="auto"/>
          <w:highlight w:val="none"/>
          <w:lang w:val="en-US" w:eastAsia="zh-CN"/>
        </w:rPr>
        <w:t>3</w:t>
      </w:r>
      <w:r>
        <w:rPr>
          <w:rFonts w:hint="eastAsia"/>
          <w:color w:val="auto"/>
          <w:highlight w:val="none"/>
        </w:rPr>
        <w:t xml:space="preserve"> </w:t>
      </w:r>
      <w:r>
        <w:rPr>
          <w:rFonts w:hint="eastAsia" w:hAnsi="宋体"/>
          <w:color w:val="auto"/>
          <w:highlight w:val="none"/>
        </w:rPr>
        <w:t>a)规定的行车制动减速度的时间不超过0.6</w:t>
      </w:r>
      <w:r>
        <w:rPr>
          <w:rFonts w:hint="eastAsia"/>
          <w:color w:val="auto"/>
          <w:highlight w:val="none"/>
          <w:lang w:val="en-US" w:eastAsia="zh-CN"/>
        </w:rPr>
        <w:t> </w:t>
      </w:r>
      <w:r>
        <w:rPr>
          <w:rFonts w:hint="eastAsia" w:hAnsi="宋体"/>
          <w:color w:val="auto"/>
          <w:highlight w:val="none"/>
        </w:rPr>
        <w:t>s，也可以记录开始促动控制装置至最不利的制动轮缸的压力或最不利的车轴上的制动力达到规定性能对应水平的时间确认是否满足要求。本试验对行车制动控制力没有限制。</w:t>
      </w:r>
    </w:p>
    <w:p>
      <w:pPr>
        <w:pStyle w:val="100"/>
        <w:spacing w:before="156" w:after="156"/>
        <w:rPr>
          <w:color w:val="auto"/>
          <w:highlight w:val="none"/>
        </w:rPr>
      </w:pPr>
      <w:r>
        <w:rPr>
          <w:rFonts w:hint="eastAsia"/>
          <w:color w:val="auto"/>
          <w:highlight w:val="none"/>
        </w:rPr>
        <w:t>I型试验</w:t>
      </w:r>
    </w:p>
    <w:p>
      <w:pPr>
        <w:pStyle w:val="104"/>
        <w:spacing w:before="156" w:after="156"/>
        <w:rPr>
          <w:color w:val="auto"/>
          <w:highlight w:val="none"/>
        </w:rPr>
      </w:pPr>
      <w:r>
        <w:rPr>
          <w:rFonts w:hint="eastAsia"/>
          <w:color w:val="auto"/>
          <w:highlight w:val="none"/>
        </w:rPr>
        <w:t>加热过程</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采用最高挡（超速挡除外）或D挡，以</w:t>
      </w:r>
      <w:r>
        <w:rPr>
          <w:rFonts w:hint="eastAsia" w:ascii="宋体" w:hAnsi="宋体" w:eastAsia="宋体"/>
          <w:color w:val="auto"/>
          <w:highlight w:val="none"/>
          <w:lang w:val="en-US" w:eastAsia="zh-CN"/>
        </w:rPr>
        <w:t>最高车速的80%，但不超过120</w:t>
      </w:r>
      <w:r>
        <w:rPr>
          <w:rFonts w:hint="eastAsia"/>
          <w:color w:val="auto"/>
          <w:highlight w:val="none"/>
          <w:lang w:val="en-US" w:eastAsia="zh-CN"/>
        </w:rPr>
        <w:t> </w:t>
      </w:r>
      <w:r>
        <w:rPr>
          <w:rFonts w:hint="eastAsia" w:ascii="宋体" w:hAnsi="宋体" w:eastAsia="宋体"/>
          <w:color w:val="auto"/>
          <w:highlight w:val="none"/>
          <w:lang w:val="en-US" w:eastAsia="zh-CN"/>
        </w:rPr>
        <w:t>km/h的</w:t>
      </w:r>
      <w:r>
        <w:rPr>
          <w:rFonts w:hint="eastAsia" w:ascii="宋体" w:hAnsi="宋体" w:eastAsia="宋体"/>
          <w:color w:val="auto"/>
          <w:highlight w:val="none"/>
        </w:rPr>
        <w:t>初速度进行2次动力脱开的0型试验，确定车辆满载时产生3</w:t>
      </w:r>
      <w:r>
        <w:rPr>
          <w:rFonts w:hint="eastAsia"/>
          <w:color w:val="auto"/>
          <w:highlight w:val="none"/>
          <w:lang w:val="en-US" w:eastAsia="zh-CN"/>
        </w:rPr>
        <w:t> </w:t>
      </w:r>
      <w:r>
        <w:rPr>
          <w:rFonts w:hint="eastAsia" w:ascii="宋体" w:hAnsi="宋体" w:eastAsia="宋体"/>
          <w:color w:val="auto"/>
          <w:highlight w:val="none"/>
        </w:rPr>
        <w:t>m/s</w:t>
      </w:r>
      <w:r>
        <w:rPr>
          <w:rFonts w:hint="eastAsia" w:ascii="宋体" w:hAnsi="宋体" w:eastAsia="宋体"/>
          <w:color w:val="auto"/>
          <w:highlight w:val="none"/>
          <w:vertAlign w:val="superscript"/>
        </w:rPr>
        <w:t>2</w:t>
      </w:r>
      <w:r>
        <w:rPr>
          <w:rFonts w:hint="eastAsia" w:ascii="宋体" w:hAnsi="宋体" w:eastAsia="宋体"/>
          <w:color w:val="auto"/>
          <w:highlight w:val="none"/>
        </w:rPr>
        <w:t>的减速度所需的控制力或管路压力。</w:t>
      </w:r>
      <w:r>
        <w:rPr>
          <w:rFonts w:hint="eastAsia" w:ascii="宋体" w:hAnsi="宋体" w:eastAsia="宋体"/>
          <w:color w:val="auto"/>
          <w:highlight w:val="none"/>
          <w:lang w:val="en-US" w:eastAsia="zh-CN"/>
        </w:rPr>
        <w:t>并</w:t>
      </w:r>
      <w:r>
        <w:rPr>
          <w:rFonts w:hint="eastAsia" w:ascii="宋体" w:hAnsi="宋体" w:eastAsia="宋体"/>
          <w:color w:val="auto"/>
          <w:highlight w:val="none"/>
        </w:rPr>
        <w:t>确认车速能在规定的时间（</w:t>
      </w:r>
      <m:oMath>
        <m:r>
          <m:rPr>
            <m:sty m:val="p"/>
          </m:rPr>
          <w:rPr>
            <w:rFonts w:ascii="Cambria Math" w:hAnsi="Cambria Math"/>
            <w:color w:val="auto"/>
            <w:highlight w:val="none"/>
          </w:rPr>
          <m:t>Δ</m:t>
        </m:r>
        <m:r>
          <m:rPr/>
          <w:rPr>
            <w:rFonts w:hint="eastAsia" w:ascii="Cambria Math" w:hAnsi="Cambria Math"/>
            <w:color w:val="auto"/>
            <w:highlight w:val="none"/>
          </w:rPr>
          <m:t>t</m:t>
        </m:r>
        <m:r>
          <m:rPr/>
          <w:rPr>
            <w:rFonts w:ascii="Cambria Math" w:hAnsi="Cambria Math"/>
            <w:color w:val="auto"/>
            <w:highlight w:val="none"/>
          </w:rPr>
          <m:t>=45</m:t>
        </m:r>
        <m:r>
          <m:rPr>
            <m:sty m:val="p"/>
          </m:rPr>
          <w:rPr>
            <w:rFonts w:hint="eastAsia"/>
            <w:color w:val="auto"/>
            <w:highlight w:val="none"/>
            <w:lang w:val="en-US" w:eastAsia="zh-CN"/>
          </w:rPr>
          <m:t> </m:t>
        </m:r>
        <m:r>
          <m:rPr/>
          <w:rPr>
            <w:rFonts w:ascii="Cambria Math" w:hAnsi="Cambria Math"/>
            <w:color w:val="auto"/>
            <w:highlight w:val="none"/>
          </w:rPr>
          <m:t>s</m:t>
        </m:r>
      </m:oMath>
      <w:r>
        <w:rPr>
          <w:rFonts w:hint="eastAsia" w:ascii="宋体" w:hAnsi="宋体" w:eastAsia="宋体"/>
          <w:color w:val="auto"/>
          <w:highlight w:val="none"/>
        </w:rPr>
        <w:t>）内从</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oMath>
      <w:r>
        <w:rPr>
          <w:rFonts w:hint="eastAsia" w:ascii="宋体" w:hAnsi="宋体" w:eastAsia="宋体"/>
          <w:color w:val="auto"/>
          <w:highlight w:val="none"/>
        </w:rPr>
        <w:t>下降至</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2</m:t>
            </m:r>
            <m:ctrlPr>
              <w:rPr>
                <w:rFonts w:ascii="Cambria Math" w:hAnsi="Cambria Math"/>
                <w:i/>
                <w:color w:val="auto"/>
                <w:highlight w:val="none"/>
              </w:rPr>
            </m:ctrlPr>
          </m:sub>
        </m:sSub>
      </m:oMath>
      <w:r>
        <w:rPr>
          <w:rFonts w:hint="eastAsia" w:ascii="宋体" w:hAnsi="宋体" w:eastAsia="宋体"/>
          <w:color w:val="auto"/>
          <w:highlight w:val="none"/>
        </w:rPr>
        <w:t>。</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采用最高挡（超速挡除外）或D挡，以8.</w:t>
      </w:r>
      <w:r>
        <w:rPr>
          <w:rFonts w:ascii="宋体" w:hAnsi="宋体" w:eastAsia="宋体"/>
          <w:color w:val="auto"/>
          <w:highlight w:val="none"/>
        </w:rPr>
        <w:t>5</w:t>
      </w:r>
      <w:r>
        <w:rPr>
          <w:rFonts w:hint="eastAsia" w:ascii="宋体" w:hAnsi="宋体" w:eastAsia="宋体"/>
          <w:color w:val="auto"/>
          <w:highlight w:val="none"/>
        </w:rPr>
        <w:t>.7.4.1.1确定的控制力或管路压力，从车速</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oMath>
      <w:r>
        <w:rPr>
          <w:rFonts w:hint="eastAsia" w:ascii="宋体" w:hAnsi="宋体" w:eastAsia="宋体"/>
          <w:color w:val="auto"/>
          <w:highlight w:val="none"/>
        </w:rPr>
        <w:t>开始进行行车制动，使车辆产生3</w:t>
      </w:r>
      <w:r>
        <w:rPr>
          <w:rFonts w:hint="eastAsia"/>
          <w:color w:val="auto"/>
          <w:highlight w:val="none"/>
          <w:lang w:val="en-US" w:eastAsia="zh-CN"/>
        </w:rPr>
        <w:t> </w:t>
      </w:r>
      <w:r>
        <w:rPr>
          <w:rFonts w:hint="eastAsia" w:ascii="宋体" w:hAnsi="宋体" w:eastAsia="宋体"/>
          <w:color w:val="auto"/>
          <w:highlight w:val="none"/>
        </w:rPr>
        <w:t>m/s</w:t>
      </w:r>
      <w:r>
        <w:rPr>
          <w:rFonts w:hint="eastAsia" w:ascii="宋体" w:hAnsi="宋体" w:eastAsia="宋体"/>
          <w:color w:val="auto"/>
          <w:highlight w:val="none"/>
          <w:vertAlign w:val="superscript"/>
        </w:rPr>
        <w:t>2</w:t>
      </w:r>
      <w:r>
        <w:rPr>
          <w:rFonts w:hint="eastAsia" w:ascii="宋体" w:hAnsi="宋体" w:eastAsia="宋体"/>
          <w:color w:val="auto"/>
          <w:highlight w:val="none"/>
        </w:rPr>
        <w:t>的对时间的平均减速度；在车速下降至</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2</m:t>
            </m:r>
            <m:ctrlPr>
              <w:rPr>
                <w:rFonts w:ascii="Cambria Math" w:hAnsi="Cambria Math"/>
                <w:i/>
                <w:color w:val="auto"/>
                <w:highlight w:val="none"/>
              </w:rPr>
            </m:ctrlPr>
          </m:sub>
        </m:sSub>
      </m:oMath>
      <w:r>
        <w:rPr>
          <w:rFonts w:hint="eastAsia" w:ascii="宋体" w:hAnsi="宋体" w:eastAsia="宋体"/>
          <w:color w:val="auto"/>
          <w:highlight w:val="none"/>
        </w:rPr>
        <w:t>时解除制动，选择最有利的挡位使车速恢复到</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oMath>
      <w:r>
        <w:rPr>
          <w:rFonts w:hint="eastAsia" w:ascii="宋体" w:hAnsi="宋体" w:eastAsia="宋体"/>
          <w:color w:val="auto"/>
          <w:highlight w:val="none"/>
        </w:rPr>
        <w:t>，在最高挡维持该车速至少10</w:t>
      </w:r>
      <w:r>
        <w:rPr>
          <w:rFonts w:hint="eastAsia"/>
          <w:color w:val="auto"/>
          <w:highlight w:val="none"/>
          <w:lang w:val="en-US" w:eastAsia="zh-CN"/>
        </w:rPr>
        <w:t> </w:t>
      </w:r>
      <w:r>
        <w:rPr>
          <w:rFonts w:hint="eastAsia" w:ascii="宋体" w:hAnsi="宋体" w:eastAsia="宋体"/>
          <w:color w:val="auto"/>
          <w:highlight w:val="none"/>
        </w:rPr>
        <w:t>s，然后再次制动并确认两次制动开始之间的时间间隔等于</w:t>
      </w:r>
      <m:oMath>
        <m:r>
          <m:rPr>
            <m:sty m:val="p"/>
          </m:rPr>
          <w:rPr>
            <w:rFonts w:ascii="Cambria Math" w:hAnsi="Cambria Math"/>
            <w:color w:val="auto"/>
            <w:highlight w:val="none"/>
          </w:rPr>
          <m:t>Δ</m:t>
        </m:r>
        <m:r>
          <m:rPr/>
          <w:rPr>
            <w:rFonts w:hint="eastAsia" w:ascii="Cambria Math" w:hAnsi="Cambria Math"/>
            <w:color w:val="auto"/>
            <w:highlight w:val="none"/>
          </w:rPr>
          <m:t>t</m:t>
        </m:r>
      </m:oMath>
      <w:r>
        <w:rPr>
          <w:rFonts w:hint="eastAsia" w:ascii="宋体" w:hAnsi="宋体" w:eastAsia="宋体"/>
          <w:color w:val="auto"/>
          <w:highlight w:val="none"/>
        </w:rPr>
        <w:t>。时间测量装置在第一次制动操作时启动或重新设置。</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重复8.</w:t>
      </w:r>
      <w:r>
        <w:rPr>
          <w:rFonts w:ascii="宋体" w:hAnsi="宋体" w:eastAsia="宋体"/>
          <w:color w:val="auto"/>
          <w:highlight w:val="none"/>
        </w:rPr>
        <w:t>5</w:t>
      </w:r>
      <w:r>
        <w:rPr>
          <w:rFonts w:hint="eastAsia" w:ascii="宋体" w:hAnsi="宋体" w:eastAsia="宋体"/>
          <w:color w:val="auto"/>
          <w:highlight w:val="none"/>
        </w:rPr>
        <w:t>.7.4.1.2，直至制动总次数达到15次。各次制动操作的控制力确保产生3</w:t>
      </w:r>
      <w:r>
        <w:rPr>
          <w:rFonts w:hint="eastAsia"/>
          <w:color w:val="auto"/>
          <w:highlight w:val="none"/>
          <w:lang w:val="en-US" w:eastAsia="zh-CN"/>
        </w:rPr>
        <w:t> </w:t>
      </w:r>
      <w:r>
        <w:rPr>
          <w:rFonts w:hint="eastAsia" w:ascii="宋体" w:hAnsi="宋体" w:eastAsia="宋体"/>
          <w:color w:val="auto"/>
          <w:highlight w:val="none"/>
        </w:rPr>
        <w:t>m/s</w:t>
      </w:r>
      <w:r>
        <w:rPr>
          <w:rFonts w:hint="eastAsia" w:ascii="宋体" w:hAnsi="宋体" w:eastAsia="宋体"/>
          <w:color w:val="auto"/>
          <w:highlight w:val="none"/>
          <w:vertAlign w:val="superscript"/>
        </w:rPr>
        <w:t>2</w:t>
      </w:r>
      <w:r>
        <w:rPr>
          <w:rFonts w:hint="eastAsia" w:ascii="宋体" w:hAnsi="宋体" w:eastAsia="宋体"/>
          <w:color w:val="auto"/>
          <w:highlight w:val="none"/>
        </w:rPr>
        <w:t>的平均减速度。</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循环时间可能因车辆和试验回路而有所不同。对因车辆性能不足而导致循环周期变化，制动操作之间的时间间隔</w:t>
      </w:r>
      <m:oMath>
        <m:r>
          <m:rPr>
            <m:sty m:val="p"/>
          </m:rPr>
          <w:rPr>
            <w:rFonts w:ascii="Cambria Math" w:hAnsi="Cambria Math"/>
            <w:color w:val="auto"/>
            <w:highlight w:val="none"/>
          </w:rPr>
          <m:t>Δ</m:t>
        </m:r>
        <m:r>
          <m:rPr/>
          <w:rPr>
            <w:rFonts w:hint="eastAsia" w:ascii="Cambria Math" w:hAnsi="Cambria Math"/>
            <w:color w:val="auto"/>
            <w:highlight w:val="none"/>
          </w:rPr>
          <m:t>t</m:t>
        </m:r>
      </m:oMath>
      <w:r>
        <w:rPr>
          <w:rFonts w:hint="eastAsia" w:ascii="宋体" w:hAnsi="宋体" w:eastAsia="宋体"/>
          <w:color w:val="auto"/>
          <w:highlight w:val="none"/>
        </w:rPr>
        <w:t>增加至达到车速</w:t>
      </w:r>
      <m:oMath>
        <m:sSub>
          <m:sSubPr>
            <m:ctrlPr>
              <w:rPr>
                <w:rFonts w:ascii="Cambria Math" w:hAnsi="Cambria Math"/>
                <w:i/>
                <w:color w:val="auto"/>
                <w:highlight w:val="none"/>
              </w:rPr>
            </m:ctrlPr>
          </m:sSubPr>
          <m:e>
            <m:r>
              <m:rPr/>
              <w:rPr>
                <w:rFonts w:hint="eastAsia"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oMath>
      <w:r>
        <w:rPr>
          <w:rFonts w:hint="eastAsia" w:ascii="宋体" w:hAnsi="宋体" w:eastAsia="宋体"/>
          <w:color w:val="auto"/>
          <w:highlight w:val="none"/>
        </w:rPr>
        <w:t>所需的最短时间，并留出10</w:t>
      </w:r>
      <w:r>
        <w:rPr>
          <w:rFonts w:hint="eastAsia"/>
          <w:color w:val="auto"/>
          <w:highlight w:val="none"/>
          <w:lang w:val="en-US" w:eastAsia="zh-CN"/>
        </w:rPr>
        <w:t> </w:t>
      </w:r>
      <w:r>
        <w:rPr>
          <w:rFonts w:hint="eastAsia" w:ascii="宋体" w:hAnsi="宋体" w:eastAsia="宋体"/>
          <w:color w:val="auto"/>
          <w:highlight w:val="none"/>
        </w:rPr>
        <w:t>s的时间来稳定车速。但如循环周期变化是由试验回路危险或特性（如转向或下坡）引起，则4次连续制动所经历的整个循环时间应符合规定。而且，</w:t>
      </w:r>
      <w:r>
        <w:rPr>
          <w:rFonts w:hint="eastAsia" w:ascii="宋体" w:hAnsi="宋体" w:eastAsia="宋体"/>
          <w:color w:val="auto"/>
          <w:highlight w:val="none"/>
          <w:lang w:val="en-US" w:eastAsia="zh-CN"/>
        </w:rPr>
        <w:t>确认</w:t>
      </w:r>
      <w:r>
        <w:rPr>
          <w:rFonts w:hint="eastAsia" w:ascii="宋体" w:hAnsi="宋体" w:eastAsia="宋体"/>
          <w:color w:val="auto"/>
          <w:highlight w:val="none"/>
        </w:rPr>
        <w:t>所有15次制动的整个周期</w:t>
      </w:r>
      <w:r>
        <w:rPr>
          <w:rFonts w:hint="eastAsia" w:ascii="宋体" w:hAnsi="宋体" w:eastAsia="宋体"/>
          <w:color w:val="auto"/>
          <w:highlight w:val="none"/>
          <w:lang w:val="en-US" w:eastAsia="zh-CN"/>
        </w:rPr>
        <w:t>与按照</w:t>
      </w:r>
      <w:r>
        <w:rPr>
          <w:rFonts w:hint="eastAsia" w:ascii="宋体" w:hAnsi="宋体" w:eastAsia="宋体"/>
          <w:color w:val="auto"/>
          <w:highlight w:val="none"/>
        </w:rPr>
        <w:t>正确的间隔进行的各次制动操作所消耗的时间相对应。</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对不能在循环周期内达到规定车速的车辆，在规定车速下进行第一次制动，其后各次制动立即在最短的时间内加速45</w:t>
      </w:r>
      <w:r>
        <w:rPr>
          <w:rFonts w:hint="eastAsia"/>
          <w:color w:val="auto"/>
          <w:highlight w:val="none"/>
          <w:lang w:val="en-US" w:eastAsia="zh-CN"/>
        </w:rPr>
        <w:t> </w:t>
      </w:r>
      <w:r>
        <w:rPr>
          <w:rFonts w:hint="eastAsia" w:ascii="宋体" w:hAnsi="宋体" w:eastAsia="宋体"/>
          <w:color w:val="auto"/>
          <w:highlight w:val="none"/>
        </w:rPr>
        <w:t>s后所达到的车速下进行。</w:t>
      </w:r>
    </w:p>
    <w:p>
      <w:pPr>
        <w:pStyle w:val="104"/>
        <w:spacing w:before="156" w:after="156"/>
        <w:rPr>
          <w:color w:val="auto"/>
          <w:highlight w:val="none"/>
        </w:rPr>
      </w:pPr>
      <w:r>
        <w:rPr>
          <w:rFonts w:hint="eastAsia"/>
          <w:color w:val="auto"/>
          <w:highlight w:val="none"/>
        </w:rPr>
        <w:t>热态性能</w:t>
      </w:r>
    </w:p>
    <w:p>
      <w:pPr>
        <w:pStyle w:val="109"/>
        <w:spacing w:before="0" w:beforeLines="0" w:after="0" w:afterLines="0"/>
        <w:rPr>
          <w:rFonts w:ascii="宋体" w:hAnsi="宋体" w:eastAsia="宋体"/>
          <w:color w:val="auto"/>
          <w:highlight w:val="none"/>
        </w:rPr>
      </w:pPr>
      <w:r>
        <w:rPr>
          <w:rFonts w:hint="eastAsia" w:ascii="宋体" w:hAnsi="宋体" w:eastAsia="宋体"/>
          <w:color w:val="auto"/>
          <w:highlight w:val="none"/>
        </w:rPr>
        <w:t>最后一次制动结束后，立即在最短的时间内加速至0型试验车速，进行动力脱开的0型试验，</w:t>
      </w:r>
      <w:r>
        <w:rPr>
          <w:rFonts w:hint="eastAsia" w:ascii="宋体" w:hAnsi="宋体" w:eastAsia="宋体"/>
          <w:color w:val="auto"/>
          <w:highlight w:val="none"/>
          <w:lang w:val="en-US" w:eastAsia="zh-CN"/>
        </w:rPr>
        <w:t>以</w:t>
      </w:r>
      <w:r>
        <w:rPr>
          <w:rFonts w:hint="eastAsia" w:ascii="宋体" w:hAnsi="宋体" w:eastAsia="宋体"/>
          <w:color w:val="auto"/>
          <w:highlight w:val="none"/>
        </w:rPr>
        <w:t>不超过满载0型试验中实际使用的控制力</w:t>
      </w:r>
      <w:r>
        <w:rPr>
          <w:rFonts w:hint="eastAsia" w:ascii="宋体" w:hAnsi="宋体" w:eastAsia="宋体"/>
          <w:color w:val="auto"/>
          <w:highlight w:val="none"/>
          <w:lang w:val="en-US" w:eastAsia="zh-CN"/>
        </w:rPr>
        <w:t>作为</w:t>
      </w:r>
      <w:r>
        <w:rPr>
          <w:rFonts w:hint="eastAsia" w:ascii="宋体" w:hAnsi="宋体" w:eastAsia="宋体"/>
          <w:color w:val="auto"/>
          <w:highlight w:val="none"/>
        </w:rPr>
        <w:t>平均控制力，确认车辆在未发生车轮抱死的情况下至少能达到满载0型试验实际性能的60%和0型试验规定性能的75%。如车辆在0型试验控制力下能达到车辆0型试验实际性能的60%但不能达到规定性能的75%，可采用不超过500</w:t>
      </w:r>
      <w:r>
        <w:rPr>
          <w:rFonts w:hint="eastAsia"/>
          <w:color w:val="auto"/>
          <w:highlight w:val="none"/>
          <w:lang w:val="en-US" w:eastAsia="zh-CN"/>
        </w:rPr>
        <w:t> </w:t>
      </w:r>
      <w:r>
        <w:rPr>
          <w:rFonts w:hint="eastAsia" w:ascii="宋体" w:hAnsi="宋体" w:eastAsia="宋体"/>
          <w:color w:val="auto"/>
          <w:highlight w:val="none"/>
        </w:rPr>
        <w:t>N的更高的控制力进一步试验。</w:t>
      </w:r>
      <w:r>
        <w:rPr>
          <w:rFonts w:hint="eastAsia" w:ascii="宋体" w:hAnsi="宋体" w:eastAsia="宋体"/>
          <w:color w:val="auto"/>
          <w:highlight w:val="none"/>
          <w:lang w:val="en-US" w:eastAsia="zh-CN"/>
        </w:rPr>
        <w:t>在</w:t>
      </w:r>
      <w:r>
        <w:rPr>
          <w:rFonts w:hint="eastAsia" w:ascii="宋体" w:hAnsi="宋体" w:eastAsia="宋体"/>
          <w:color w:val="auto"/>
          <w:highlight w:val="none"/>
        </w:rPr>
        <w:t>试验报告</w:t>
      </w:r>
      <w:r>
        <w:rPr>
          <w:rFonts w:hint="eastAsia" w:ascii="宋体" w:hAnsi="宋体" w:eastAsia="宋体"/>
          <w:color w:val="auto"/>
          <w:highlight w:val="none"/>
          <w:lang w:val="en-US" w:eastAsia="zh-CN"/>
        </w:rPr>
        <w:t>中记录</w:t>
      </w:r>
      <w:r>
        <w:rPr>
          <w:rFonts w:hint="eastAsia" w:ascii="宋体" w:hAnsi="宋体" w:eastAsia="宋体"/>
          <w:color w:val="auto"/>
          <w:highlight w:val="none"/>
        </w:rPr>
        <w:t>两次试验的结果。</w:t>
      </w:r>
    </w:p>
    <w:p>
      <w:pPr>
        <w:pStyle w:val="109"/>
        <w:spacing w:before="0" w:beforeLines="0" w:after="0" w:afterLines="0"/>
        <w:rPr>
          <w:rFonts w:ascii="宋体" w:hAnsi="宋体" w:eastAsia="宋体"/>
          <w:color w:val="auto"/>
          <w:highlight w:val="none"/>
        </w:rPr>
      </w:pPr>
      <w:r>
        <w:rPr>
          <w:rFonts w:ascii="宋体" w:hAnsi="宋体" w:eastAsia="宋体"/>
          <w:color w:val="auto"/>
          <w:highlight w:val="none"/>
        </w:rPr>
        <w:t>对装备B型电力再生式制动系统的车辆，如不能在循环周期（</w:t>
      </w:r>
      <m:oMath>
        <m:r>
          <m:rPr>
            <m:sty m:val="p"/>
          </m:rPr>
          <w:rPr>
            <w:rFonts w:ascii="Cambria Math" w:hAnsi="Cambria Math" w:eastAsia="宋体"/>
            <w:color w:val="auto"/>
            <w:highlight w:val="none"/>
          </w:rPr>
          <m:t>Δt</m:t>
        </m:r>
      </m:oMath>
      <w:r>
        <w:rPr>
          <w:rFonts w:ascii="宋体" w:hAnsi="宋体" w:eastAsia="宋体"/>
          <w:color w:val="auto"/>
          <w:highlight w:val="none"/>
        </w:rPr>
        <w:t>）内达到规定车速</w:t>
      </w:r>
      <w:r>
        <w:rPr>
          <w:rFonts w:hint="eastAsia" w:ascii="宋体" w:hAnsi="宋体" w:eastAsia="宋体"/>
          <w:color w:val="auto"/>
          <w:highlight w:val="none"/>
        </w:rPr>
        <w:t>，在加热循环结束后所能达到的最高车速下进行热态性能试验。为进行对比，在恢复试验后以相同的车速进行冷态满载0型试验。</w:t>
      </w:r>
    </w:p>
    <w:p>
      <w:pPr>
        <w:pStyle w:val="62"/>
        <w:ind w:firstLine="420"/>
        <w:rPr>
          <w:color w:val="auto"/>
          <w:highlight w:val="none"/>
        </w:rPr>
      </w:pPr>
      <w:r>
        <w:rPr>
          <w:rFonts w:hint="eastAsia" w:hAnsi="宋体"/>
          <w:color w:val="auto"/>
          <w:highlight w:val="none"/>
        </w:rPr>
        <w:t>对装备</w:t>
      </w:r>
      <w:r>
        <w:rPr>
          <w:rFonts w:hint="eastAsia"/>
          <w:color w:val="auto"/>
          <w:highlight w:val="none"/>
        </w:rPr>
        <w:t>A型电力再生式制动系统的车辆，连续保持最高挡进行热态性能试验。如电力再生式制动系统具有单独的控制装置，确保未使用该装置。</w:t>
      </w:r>
    </w:p>
    <w:p>
      <w:pPr>
        <w:pStyle w:val="104"/>
        <w:spacing w:before="156" w:after="156"/>
        <w:rPr>
          <w:color w:val="auto"/>
          <w:highlight w:val="none"/>
        </w:rPr>
      </w:pPr>
      <w:r>
        <w:rPr>
          <w:rFonts w:hint="eastAsia"/>
          <w:color w:val="auto"/>
          <w:highlight w:val="none"/>
        </w:rPr>
        <w:t>恢复过程</w:t>
      </w:r>
    </w:p>
    <w:p>
      <w:pPr>
        <w:pStyle w:val="62"/>
        <w:ind w:firstLine="420"/>
        <w:rPr>
          <w:color w:val="auto"/>
          <w:highlight w:val="none"/>
        </w:rPr>
      </w:pPr>
      <w:r>
        <w:rPr>
          <w:rFonts w:hint="eastAsia" w:hAnsi="宋体"/>
          <w:color w:val="auto"/>
          <w:highlight w:val="none"/>
        </w:rPr>
        <w:t>热态性能试验结束后，立即在最短的时间内加速至</w:t>
      </w:r>
      <w:r>
        <w:rPr>
          <w:rFonts w:hint="eastAsia"/>
          <w:color w:val="auto"/>
          <w:highlight w:val="none"/>
        </w:rPr>
        <w:t>50</w:t>
      </w:r>
      <w:r>
        <w:rPr>
          <w:rFonts w:hint="eastAsia"/>
          <w:color w:val="auto"/>
          <w:highlight w:val="none"/>
          <w:lang w:val="en-US" w:eastAsia="zh-CN"/>
        </w:rPr>
        <w:t> </w:t>
      </w:r>
      <w:r>
        <w:rPr>
          <w:rFonts w:hint="eastAsia"/>
          <w:color w:val="auto"/>
          <w:highlight w:val="none"/>
        </w:rPr>
        <w:t>km/h，采用与车速适应的最高挡，以3</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hAnsi="宋体"/>
          <w:color w:val="auto"/>
          <w:highlight w:val="none"/>
        </w:rPr>
        <w:t>的平均减速度进行行车制动。制动结束后立即在最短的时间内加速至</w:t>
      </w:r>
      <w:r>
        <w:rPr>
          <w:rFonts w:hint="eastAsia"/>
          <w:color w:val="auto"/>
          <w:highlight w:val="none"/>
        </w:rPr>
        <w:t>50</w:t>
      </w:r>
      <w:r>
        <w:rPr>
          <w:rFonts w:hint="eastAsia"/>
          <w:color w:val="auto"/>
          <w:highlight w:val="none"/>
          <w:lang w:val="en-US" w:eastAsia="zh-CN"/>
        </w:rPr>
        <w:t> </w:t>
      </w:r>
      <w:r>
        <w:rPr>
          <w:rFonts w:hint="eastAsia"/>
          <w:color w:val="auto"/>
          <w:highlight w:val="none"/>
        </w:rPr>
        <w:t>km/h并保持该车速，在距离上次制动起点1.5</w:t>
      </w:r>
      <w:r>
        <w:rPr>
          <w:rFonts w:hint="eastAsia"/>
          <w:color w:val="auto"/>
          <w:highlight w:val="none"/>
          <w:lang w:val="en-US" w:eastAsia="zh-CN"/>
        </w:rPr>
        <w:t> </w:t>
      </w:r>
      <w:r>
        <w:rPr>
          <w:rFonts w:hint="eastAsia"/>
          <w:color w:val="auto"/>
          <w:highlight w:val="none"/>
        </w:rPr>
        <w:t>km的位置再次以3</w:t>
      </w:r>
      <w:r>
        <w:rPr>
          <w:rFonts w:hint="eastAsia"/>
          <w:color w:val="auto"/>
          <w:highlight w:val="none"/>
          <w:lang w:val="en-US" w:eastAsia="zh-CN"/>
        </w:rPr>
        <w:t> </w:t>
      </w:r>
      <w:r>
        <w:rPr>
          <w:rFonts w:hint="eastAsia"/>
          <w:color w:val="auto"/>
          <w:highlight w:val="none"/>
        </w:rPr>
        <w:t>m/s</w:t>
      </w:r>
      <w:r>
        <w:rPr>
          <w:rFonts w:hint="eastAsia"/>
          <w:color w:val="auto"/>
          <w:highlight w:val="none"/>
          <w:vertAlign w:val="superscript"/>
        </w:rPr>
        <w:t>2</w:t>
      </w:r>
      <w:r>
        <w:rPr>
          <w:rFonts w:hint="eastAsia" w:hAnsi="宋体"/>
          <w:color w:val="auto"/>
          <w:highlight w:val="none"/>
        </w:rPr>
        <w:t>的减速度进行制动。重复该过程，直至总制动次数达到</w:t>
      </w:r>
      <w:r>
        <w:rPr>
          <w:rFonts w:hint="eastAsia"/>
          <w:color w:val="auto"/>
          <w:highlight w:val="none"/>
        </w:rPr>
        <w:t>4次。在第一次制动操作时启动或重新设置时间测量装置。</w:t>
      </w:r>
    </w:p>
    <w:p>
      <w:pPr>
        <w:pStyle w:val="104"/>
        <w:spacing w:before="156" w:after="156"/>
        <w:rPr>
          <w:color w:val="auto"/>
          <w:highlight w:val="none"/>
        </w:rPr>
      </w:pPr>
      <w:r>
        <w:rPr>
          <w:rFonts w:hint="eastAsia"/>
          <w:color w:val="auto"/>
          <w:highlight w:val="none"/>
        </w:rPr>
        <w:t>恢复性能</w:t>
      </w:r>
    </w:p>
    <w:p>
      <w:pPr>
        <w:pStyle w:val="62"/>
        <w:ind w:firstLine="420"/>
        <w:rPr>
          <w:color w:val="auto"/>
          <w:highlight w:val="none"/>
        </w:rPr>
      </w:pPr>
      <w:r>
        <w:rPr>
          <w:rFonts w:hint="eastAsia" w:hAnsi="宋体"/>
          <w:color w:val="auto"/>
          <w:highlight w:val="none"/>
        </w:rPr>
        <w:t>最后一次制动结束后，立即在最短的时间内加速至</w:t>
      </w:r>
      <w:r>
        <w:rPr>
          <w:rFonts w:hint="eastAsia"/>
          <w:color w:val="auto"/>
          <w:highlight w:val="none"/>
        </w:rPr>
        <w:t>0型试验车速，进行动力脱开</w:t>
      </w:r>
      <w:r>
        <w:rPr>
          <w:rFonts w:hint="eastAsia" w:hAnsi="宋体"/>
          <w:color w:val="auto"/>
          <w:highlight w:val="none"/>
        </w:rPr>
        <w:t>的</w:t>
      </w:r>
      <w:r>
        <w:rPr>
          <w:rFonts w:hint="eastAsia"/>
          <w:color w:val="auto"/>
          <w:highlight w:val="none"/>
        </w:rPr>
        <w:t>0型试验，确认车辆在未发生车轮抱死的情况下能达到满载0型试验实际性能的70%但不超过150%。本试验不受制动器温度要求限制，所使用的平均控制力不超过满载0型试验中实际使用的控制力。</w:t>
      </w:r>
    </w:p>
    <w:p>
      <w:pPr>
        <w:pStyle w:val="104"/>
        <w:spacing w:before="156" w:after="156"/>
        <w:rPr>
          <w:color w:val="auto"/>
          <w:highlight w:val="none"/>
        </w:rPr>
      </w:pPr>
      <w:r>
        <w:rPr>
          <w:rFonts w:hint="eastAsia"/>
          <w:color w:val="auto"/>
          <w:highlight w:val="none"/>
        </w:rPr>
        <w:t>冷态检查</w:t>
      </w:r>
    </w:p>
    <w:p>
      <w:pPr>
        <w:pStyle w:val="62"/>
        <w:ind w:firstLine="420"/>
        <w:rPr>
          <w:color w:val="auto"/>
          <w:highlight w:val="none"/>
        </w:rPr>
      </w:pPr>
      <w:r>
        <w:rPr>
          <w:rFonts w:hint="eastAsia" w:hAnsi="宋体"/>
          <w:color w:val="auto"/>
          <w:highlight w:val="none"/>
        </w:rPr>
        <w:t>使制动器冷却到环境温度，确认制动器未发生粘合。对装有自动磨损补偿装置的车辆</w:t>
      </w:r>
      <w:r>
        <w:rPr>
          <w:rFonts w:hint="eastAsia" w:hAnsi="宋体"/>
          <w:color w:val="auto"/>
          <w:highlight w:val="none"/>
          <w:lang w:eastAsia="zh-CN"/>
        </w:rPr>
        <w:t>，</w:t>
      </w:r>
      <w:r>
        <w:rPr>
          <w:rFonts w:hint="eastAsia" w:hAnsi="宋体"/>
          <w:color w:val="auto"/>
          <w:highlight w:val="none"/>
        </w:rPr>
        <w:t>在最热的制动器冷却降温至</w:t>
      </w:r>
      <w:r>
        <w:rPr>
          <w:rFonts w:hint="eastAsia"/>
          <w:color w:val="auto"/>
          <w:highlight w:val="none"/>
        </w:rPr>
        <w:t>100</w:t>
      </w:r>
      <w:r>
        <w:rPr>
          <w:rFonts w:hint="eastAsia"/>
          <w:color w:val="auto"/>
          <w:highlight w:val="none"/>
          <w:lang w:val="en-US" w:eastAsia="zh-CN"/>
        </w:rPr>
        <w:t> </w:t>
      </w:r>
      <w:r>
        <w:rPr>
          <w:rFonts w:hint="eastAsia" w:ascii="Times New Roman"/>
          <w:color w:val="auto"/>
          <w:highlight w:val="none"/>
        </w:rPr>
        <w:t>º</w:t>
      </w:r>
      <w:r>
        <w:rPr>
          <w:rFonts w:hint="eastAsia" w:hAnsi="宋体"/>
          <w:color w:val="auto"/>
          <w:highlight w:val="none"/>
        </w:rPr>
        <w:t>C时，检查车轮是否能自由转动。</w:t>
      </w:r>
    </w:p>
    <w:p>
      <w:pPr>
        <w:pStyle w:val="100"/>
        <w:spacing w:before="156" w:after="156"/>
        <w:rPr>
          <w:color w:val="auto"/>
          <w:highlight w:val="none"/>
        </w:rPr>
      </w:pPr>
      <w:r>
        <w:rPr>
          <w:rFonts w:hint="eastAsia"/>
          <w:color w:val="auto"/>
          <w:highlight w:val="none"/>
        </w:rPr>
        <w:t>附加对比0型试验</w:t>
      </w:r>
    </w:p>
    <w:p>
      <w:pPr>
        <w:pStyle w:val="62"/>
        <w:ind w:firstLine="420"/>
        <w:rPr>
          <w:color w:val="auto"/>
          <w:highlight w:val="none"/>
        </w:rPr>
      </w:pPr>
      <w:r>
        <w:rPr>
          <w:rFonts w:hint="eastAsia"/>
          <w:color w:val="auto"/>
          <w:highlight w:val="none"/>
        </w:rPr>
        <w:t>对8.</w:t>
      </w:r>
      <w:r>
        <w:rPr>
          <w:color w:val="auto"/>
          <w:highlight w:val="none"/>
        </w:rPr>
        <w:t>5</w:t>
      </w:r>
      <w:r>
        <w:rPr>
          <w:rFonts w:hint="eastAsia"/>
          <w:color w:val="auto"/>
          <w:highlight w:val="none"/>
        </w:rPr>
        <w:t>.7.4.2.2所述</w:t>
      </w:r>
      <w:r>
        <w:rPr>
          <w:rFonts w:hint="eastAsia" w:hAnsi="宋体"/>
          <w:color w:val="auto"/>
          <w:highlight w:val="none"/>
        </w:rPr>
        <w:t>装备B型电力再生式制动系统的车辆</w:t>
      </w:r>
      <w:r>
        <w:rPr>
          <w:rFonts w:hint="eastAsia"/>
          <w:color w:val="auto"/>
          <w:highlight w:val="none"/>
        </w:rPr>
        <w:t>进行附加满载0型试验。首先按0型试验要求进行几次制动操作，对制动衬片进行恢复；然后以与热态性能试验相同的车速进行动力脱开的0型试验，确认车辆至少能达到冷态制动实际性能的60%和与所使用的车速相对应的0型试验规定性能的75%。</w:t>
      </w:r>
    </w:p>
    <w:p>
      <w:pPr>
        <w:pStyle w:val="100"/>
        <w:spacing w:before="156" w:after="156"/>
        <w:rPr>
          <w:color w:val="auto"/>
          <w:highlight w:val="none"/>
        </w:rPr>
      </w:pPr>
      <w:r>
        <w:rPr>
          <w:rFonts w:hint="eastAsia"/>
          <w:color w:val="auto"/>
          <w:highlight w:val="none"/>
        </w:rPr>
        <w:t>对装备B型电力再生式制动系统的车辆的附加试验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对装备B型（或同时具有A型和B型）电力再生式制动系统的车辆，在8.</w:t>
      </w:r>
      <w:r>
        <w:rPr>
          <w:rFonts w:ascii="宋体" w:hAnsi="宋体" w:eastAsia="宋体"/>
          <w:color w:val="auto"/>
          <w:highlight w:val="none"/>
        </w:rPr>
        <w:t>4</w:t>
      </w:r>
      <w:r>
        <w:rPr>
          <w:rFonts w:hint="eastAsia" w:ascii="宋体" w:hAnsi="宋体" w:eastAsia="宋体"/>
          <w:color w:val="auto"/>
          <w:highlight w:val="none"/>
        </w:rPr>
        <w:t>.8.3静态检查后进行下列附加试验。</w:t>
      </w:r>
    </w:p>
    <w:p>
      <w:pPr>
        <w:pStyle w:val="62"/>
        <w:ind w:firstLine="420"/>
        <w:rPr>
          <w:color w:val="auto"/>
          <w:highlight w:val="none"/>
        </w:rPr>
      </w:pPr>
      <w:r>
        <w:rPr>
          <w:rFonts w:hint="eastAsia" w:hAnsi="宋体"/>
          <w:color w:val="auto"/>
          <w:highlight w:val="none"/>
        </w:rPr>
        <w:t>在动力接合的情况下，以适度的控制力、从大约</w:t>
      </w:r>
      <w:r>
        <w:rPr>
          <w:rFonts w:hint="eastAsia"/>
          <w:color w:val="auto"/>
          <w:highlight w:val="none"/>
        </w:rPr>
        <w:t>100</w:t>
      </w:r>
      <w:r>
        <w:rPr>
          <w:rFonts w:hint="eastAsia"/>
          <w:color w:val="auto"/>
          <w:highlight w:val="none"/>
          <w:lang w:val="en-US" w:eastAsia="zh-CN"/>
        </w:rPr>
        <w:t> </w:t>
      </w:r>
      <w:r>
        <w:rPr>
          <w:rFonts w:hint="eastAsia"/>
          <w:color w:val="auto"/>
          <w:highlight w:val="none"/>
        </w:rPr>
        <w:t>km/h的车速进行行车制动。制动期间，断开与电机的连接，检查行车制动系统产生的制动力没有降低。采用类似的试验车速在各挡位依次进行动力接合的制动试验，确认行车制动力与所采用的挡位无关。</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对通过松开加速踏板和/或空挡启动的同时具有A型和B型的电力再生式制动系统，应在8.</w:t>
      </w:r>
      <w:r>
        <w:rPr>
          <w:rFonts w:ascii="宋体" w:hAnsi="宋体" w:eastAsia="宋体"/>
          <w:color w:val="auto"/>
          <w:highlight w:val="none"/>
        </w:rPr>
        <w:t>4</w:t>
      </w:r>
      <w:r>
        <w:rPr>
          <w:rFonts w:hint="eastAsia" w:ascii="宋体" w:hAnsi="宋体" w:eastAsia="宋体"/>
          <w:color w:val="auto"/>
          <w:highlight w:val="none"/>
        </w:rPr>
        <w:t>.8.2静态检查后进行下列附加</w:t>
      </w:r>
      <w:r>
        <w:rPr>
          <w:rFonts w:hint="eastAsia" w:ascii="宋体" w:hAnsi="宋体" w:eastAsia="宋体"/>
          <w:color w:val="auto"/>
          <w:highlight w:val="none"/>
          <w:lang w:val="en-US" w:eastAsia="zh-CN"/>
        </w:rPr>
        <w:t>试验</w:t>
      </w:r>
      <w:r>
        <w:rPr>
          <w:rFonts w:hint="eastAsia" w:ascii="宋体" w:hAnsi="宋体" w:eastAsia="宋体"/>
          <w:color w:val="auto"/>
          <w:highlight w:val="none"/>
        </w:rPr>
        <w:t>。</w:t>
      </w:r>
    </w:p>
    <w:p>
      <w:pPr>
        <w:pStyle w:val="62"/>
        <w:ind w:firstLine="420"/>
        <w:rPr>
          <w:color w:val="auto"/>
          <w:highlight w:val="none"/>
        </w:rPr>
      </w:pPr>
      <w:r>
        <w:rPr>
          <w:rFonts w:hint="eastAsia" w:hAnsi="宋体"/>
          <w:color w:val="auto"/>
          <w:highlight w:val="none"/>
        </w:rPr>
        <w:t>在动力接合的情况下，从大约</w:t>
      </w:r>
      <w:r>
        <w:rPr>
          <w:rFonts w:hint="eastAsia"/>
          <w:color w:val="auto"/>
          <w:highlight w:val="none"/>
        </w:rPr>
        <w:t>100</w:t>
      </w:r>
      <w:r>
        <w:rPr>
          <w:rFonts w:hint="eastAsia"/>
          <w:color w:val="auto"/>
          <w:highlight w:val="none"/>
          <w:lang w:val="en-US" w:eastAsia="zh-CN"/>
        </w:rPr>
        <w:t> </w:t>
      </w:r>
      <w:r>
        <w:rPr>
          <w:rFonts w:hint="eastAsia"/>
          <w:color w:val="auto"/>
          <w:highlight w:val="none"/>
        </w:rPr>
        <w:t>km/h的车速松开加速踏板来启动电力再生式制动系统，轻微施加行车制动，确认电力再生制动作用没有降低。</w:t>
      </w:r>
    </w:p>
    <w:p>
      <w:pPr>
        <w:pStyle w:val="100"/>
        <w:spacing w:before="156" w:after="156"/>
        <w:rPr>
          <w:color w:val="auto"/>
          <w:highlight w:val="none"/>
        </w:rPr>
      </w:pPr>
      <w:r>
        <w:rPr>
          <w:rFonts w:hint="eastAsia"/>
          <w:color w:val="auto"/>
          <w:highlight w:val="none"/>
        </w:rPr>
        <w:t>对电控传输的行车制动系统的附加</w:t>
      </w:r>
      <w:r>
        <w:rPr>
          <w:rFonts w:hint="eastAsia"/>
          <w:color w:val="auto"/>
          <w:highlight w:val="none"/>
          <w:lang w:val="en-US" w:eastAsia="zh-CN"/>
        </w:rPr>
        <w:t>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对辅助设备或驻车制动系统由行车制动系统电控传输装置的储能装置供电的车辆，若</w:t>
      </w:r>
      <w:r>
        <w:rPr>
          <w:rFonts w:ascii="宋体" w:hAnsi="宋体" w:eastAsia="宋体"/>
          <w:color w:val="auto"/>
          <w:highlight w:val="none"/>
        </w:rPr>
        <w:t>8</w:t>
      </w: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.11.</w:t>
      </w:r>
      <w:r>
        <w:rPr>
          <w:rFonts w:ascii="宋体" w:hAnsi="宋体" w:eastAsia="宋体"/>
          <w:color w:val="auto"/>
          <w:highlight w:val="none"/>
        </w:rPr>
        <w:t>5</w:t>
      </w:r>
      <w:r>
        <w:rPr>
          <w:rFonts w:hint="eastAsia" w:ascii="宋体" w:hAnsi="宋体" w:eastAsia="宋体"/>
          <w:color w:val="auto"/>
          <w:highlight w:val="none"/>
        </w:rPr>
        <w:t>的静态试验表明需要进行附加</w:t>
      </w:r>
      <w:r>
        <w:rPr>
          <w:rFonts w:hint="eastAsia" w:ascii="宋体" w:hAnsi="宋体" w:eastAsia="宋体"/>
          <w:color w:val="auto"/>
          <w:highlight w:val="none"/>
          <w:lang w:val="en-US" w:eastAsia="zh-CN"/>
        </w:rPr>
        <w:t>试验</w:t>
      </w:r>
      <w:r>
        <w:rPr>
          <w:rFonts w:hint="eastAsia" w:ascii="宋体" w:hAnsi="宋体" w:eastAsia="宋体"/>
          <w:color w:val="auto"/>
          <w:highlight w:val="none"/>
        </w:rPr>
        <w:t>，使上述所有辅助设备运转，进行动力脱开的0型试验。必要时可通过选择使用辅助设备来控制放电，使制动前的储能装置电压处于</w:t>
      </w:r>
      <w:r>
        <w:rPr>
          <w:rFonts w:ascii="宋体" w:hAnsi="宋体" w:eastAsia="宋体"/>
          <w:color w:val="auto"/>
          <w:highlight w:val="none"/>
        </w:rPr>
        <w:t>8</w:t>
      </w: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.11.6所记录的水平，确认车辆能达到规定的行车制动性能。如8.</w:t>
      </w:r>
      <w:r>
        <w:rPr>
          <w:rFonts w:ascii="宋体" w:hAnsi="宋体" w:eastAsia="宋体"/>
          <w:color w:val="auto"/>
          <w:highlight w:val="none"/>
        </w:rPr>
        <w:t>4</w:t>
      </w:r>
      <w:r>
        <w:rPr>
          <w:rFonts w:hint="eastAsia" w:ascii="宋体" w:hAnsi="宋体" w:eastAsia="宋体"/>
          <w:color w:val="auto"/>
          <w:highlight w:val="none"/>
        </w:rPr>
        <w:t>.11.</w:t>
      </w:r>
      <w:r>
        <w:rPr>
          <w:rFonts w:ascii="宋体" w:hAnsi="宋体" w:eastAsia="宋体"/>
          <w:color w:val="auto"/>
          <w:highlight w:val="none"/>
        </w:rPr>
        <w:t>5</w:t>
      </w:r>
      <w:r>
        <w:rPr>
          <w:rFonts w:hint="eastAsia" w:ascii="宋体" w:hAnsi="宋体" w:eastAsia="宋体"/>
          <w:color w:val="auto"/>
          <w:highlight w:val="none"/>
        </w:rPr>
        <w:t>的试验导致储能装置放电，在该条件下进行上述动力脱开的0型试验。</w:t>
      </w:r>
    </w:p>
    <w:p>
      <w:pPr>
        <w:pStyle w:val="104"/>
        <w:spacing w:before="0" w:beforeLines="0" w:after="0" w:afterLines="0"/>
        <w:rPr>
          <w:rFonts w:ascii="宋体" w:hAnsi="宋体" w:eastAsia="宋体"/>
          <w:color w:val="auto"/>
          <w:highlight w:val="none"/>
        </w:rPr>
      </w:pPr>
      <w:r>
        <w:rPr>
          <w:rFonts w:hint="eastAsia" w:ascii="宋体" w:hAnsi="宋体" w:eastAsia="宋体"/>
          <w:color w:val="auto"/>
          <w:highlight w:val="none"/>
        </w:rPr>
        <w:t>对辅助设备由行车制动系统电控传输装置的储能装置供电的车辆，在电池处于未充电状态的情况下，以不超过20</w:t>
      </w:r>
      <w:r>
        <w:rPr>
          <w:rFonts w:hint="eastAsia"/>
          <w:color w:val="auto"/>
          <w:highlight w:val="none"/>
          <w:lang w:val="en-US" w:eastAsia="zh-CN"/>
        </w:rPr>
        <w:t> </w:t>
      </w:r>
      <w:r>
        <w:rPr>
          <w:rFonts w:hint="eastAsia" w:ascii="宋体" w:hAnsi="宋体" w:eastAsia="宋体"/>
          <w:color w:val="auto"/>
          <w:highlight w:val="none"/>
        </w:rPr>
        <w:t>km/h的车速进行行车制动，确认行车制动系统能完全制动。</w:t>
      </w:r>
    </w:p>
    <w:p>
      <w:pPr>
        <w:pStyle w:val="71"/>
        <w:spacing w:before="156" w:after="156"/>
        <w:rPr>
          <w:color w:val="auto"/>
          <w:highlight w:val="none"/>
        </w:rPr>
      </w:pPr>
      <w:bookmarkStart w:id="221" w:name="_Toc72156230"/>
      <w:bookmarkEnd w:id="221"/>
      <w:bookmarkStart w:id="222" w:name="_Toc118580332"/>
      <w:r>
        <w:rPr>
          <w:rFonts w:hint="eastAsia" w:hAnsi="黑体"/>
          <w:color w:val="auto"/>
          <w:highlight w:val="none"/>
        </w:rPr>
        <w:t>满载</w:t>
      </w:r>
      <w:r>
        <w:rPr>
          <w:rFonts w:hint="eastAsia"/>
          <w:color w:val="auto"/>
          <w:highlight w:val="none"/>
        </w:rPr>
        <w:t>-失效试验</w:t>
      </w:r>
      <w:bookmarkEnd w:id="222"/>
    </w:p>
    <w:p>
      <w:pPr>
        <w:pStyle w:val="62"/>
        <w:ind w:firstLine="420"/>
        <w:rPr>
          <w:rFonts w:hint="eastAsia"/>
          <w:color w:val="auto"/>
          <w:highlight w:val="none"/>
        </w:rPr>
      </w:pPr>
      <w:r>
        <w:rPr>
          <w:rFonts w:hint="eastAsia" w:hAnsi="宋体"/>
          <w:color w:val="auto"/>
          <w:highlight w:val="none"/>
          <w:lang w:val="en-US" w:eastAsia="zh-CN"/>
        </w:rPr>
        <w:t>按照</w:t>
      </w:r>
      <w:r>
        <w:rPr>
          <w:rFonts w:hint="eastAsia"/>
          <w:color w:val="auto"/>
          <w:highlight w:val="none"/>
        </w:rPr>
        <w:t>8.</w:t>
      </w:r>
      <w:r>
        <w:rPr>
          <w:color w:val="auto"/>
          <w:highlight w:val="none"/>
        </w:rPr>
        <w:t>5</w:t>
      </w:r>
      <w:r>
        <w:rPr>
          <w:rFonts w:hint="eastAsia"/>
          <w:color w:val="auto"/>
          <w:highlight w:val="none"/>
        </w:rPr>
        <w:t>.4的规定，在满载条件下依次选择并模拟相应的失效条件，进行动力脱开</w:t>
      </w:r>
      <w:r>
        <w:rPr>
          <w:rFonts w:hint="eastAsia" w:hAnsi="宋体"/>
          <w:color w:val="auto"/>
          <w:highlight w:val="none"/>
        </w:rPr>
        <w:t>的</w:t>
      </w:r>
      <w:r>
        <w:rPr>
          <w:rFonts w:hint="eastAsia"/>
          <w:color w:val="auto"/>
          <w:highlight w:val="none"/>
        </w:rPr>
        <w:t>0型试验，确认车辆在每种失效条件下均达到规定的应急制动性能。</w:t>
      </w:r>
    </w:p>
    <w:p>
      <w:pPr>
        <w:pStyle w:val="71"/>
        <w:spacing w:before="156" w:after="156"/>
        <w:rPr>
          <w:color w:val="auto"/>
          <w:highlight w:val="none"/>
        </w:rPr>
      </w:pPr>
      <w:bookmarkStart w:id="223" w:name="_Toc118580333"/>
      <w:r>
        <w:rPr>
          <w:rFonts w:hint="eastAsia"/>
          <w:color w:val="auto"/>
          <w:highlight w:val="none"/>
        </w:rPr>
        <w:t>制动信号试验</w:t>
      </w:r>
      <w:bookmarkEnd w:id="223"/>
    </w:p>
    <w:p>
      <w:pPr>
        <w:pStyle w:val="62"/>
        <w:ind w:firstLine="0" w:firstLineChars="0"/>
        <w:rPr>
          <w:rFonts w:hint="eastAsia" w:ascii="宋体" w:hAnsi="宋体" w:eastAsia="宋体"/>
          <w:color w:val="auto"/>
          <w:highlight w:val="none"/>
        </w:rPr>
      </w:pPr>
      <w:r>
        <w:rPr>
          <w:rFonts w:hint="eastAsia" w:ascii="黑体" w:hAnsi="黑体" w:eastAsia="黑体" w:cs="黑体"/>
          <w:color w:val="auto"/>
          <w:highlight w:val="none"/>
          <w:lang w:val="en-US" w:eastAsia="zh-CN"/>
        </w:rPr>
        <w:t>8.5.9.1</w:t>
      </w:r>
      <w:r>
        <w:rPr>
          <w:rFonts w:hint="eastAsia" w:hAnsi="宋体"/>
          <w:color w:val="auto"/>
          <w:highlight w:val="none"/>
          <w:lang w:val="en-US" w:eastAsia="zh-CN"/>
        </w:rPr>
        <w:t xml:space="preserve">  </w:t>
      </w:r>
      <w:r>
        <w:rPr>
          <w:rFonts w:hint="eastAsia" w:hAnsi="宋体"/>
          <w:color w:val="auto"/>
          <w:highlight w:val="none"/>
        </w:rPr>
        <w:t>对于装备能够产生减速力（例如，在释放油门控制时）的自动控制制动和/或再生制动的车辆，</w:t>
      </w:r>
      <w:r>
        <w:rPr>
          <w:rFonts w:hint="eastAsia" w:ascii="宋体" w:hAnsi="宋体" w:eastAsia="宋体"/>
          <w:color w:val="auto"/>
          <w:highlight w:val="none"/>
        </w:rPr>
        <w:t>根据制造商推荐的方式</w:t>
      </w:r>
      <w:r>
        <w:rPr>
          <w:rFonts w:hint="eastAsia" w:hAnsi="宋体"/>
          <w:color w:val="auto"/>
          <w:highlight w:val="none"/>
          <w:lang w:val="en-US" w:eastAsia="zh-CN"/>
        </w:rPr>
        <w:t>进行制动</w:t>
      </w:r>
      <w:r>
        <w:rPr>
          <w:rFonts w:hint="eastAsia" w:ascii="宋体" w:hAnsi="宋体" w:eastAsia="宋体"/>
          <w:color w:val="auto"/>
          <w:highlight w:val="none"/>
        </w:rPr>
        <w:t>，</w:t>
      </w:r>
      <w:r>
        <w:rPr>
          <w:rFonts w:hint="eastAsia" w:hAnsi="宋体"/>
          <w:color w:val="auto"/>
          <w:highlight w:val="none"/>
          <w:lang w:val="en-US" w:eastAsia="zh-CN"/>
        </w:rPr>
        <w:t>确认大于制造商声明的制动灯点亮对应的减速度时制动信号是否发出。</w:t>
      </w:r>
      <w:r>
        <w:rPr>
          <w:rFonts w:hint="eastAsia" w:ascii="宋体" w:hAnsi="宋体" w:eastAsia="宋体"/>
          <w:color w:val="auto"/>
          <w:highlight w:val="none"/>
        </w:rPr>
        <w:t>制动信号发出后，保持减速需求，确认制动信号持续发出。根据制造商推荐的方式，以大于且接近制造商声明的制动灯</w:t>
      </w:r>
      <w:r>
        <w:rPr>
          <w:rFonts w:hint="eastAsia" w:ascii="宋体" w:hAnsi="宋体" w:eastAsia="宋体"/>
          <w:color w:val="auto"/>
          <w:highlight w:val="none"/>
          <w:lang w:val="en-US" w:eastAsia="zh-CN"/>
        </w:rPr>
        <w:t>抑制</w:t>
      </w:r>
      <w:r>
        <w:rPr>
          <w:rFonts w:hint="eastAsia" w:ascii="宋体" w:hAnsi="宋体" w:eastAsia="宋体"/>
          <w:color w:val="auto"/>
          <w:highlight w:val="none"/>
        </w:rPr>
        <w:t>对应的减速度进行制动，</w:t>
      </w:r>
      <w:r>
        <w:rPr>
          <w:rFonts w:hint="eastAsia" w:ascii="宋体" w:hAnsi="宋体" w:eastAsia="宋体"/>
          <w:color w:val="auto"/>
          <w:highlight w:val="none"/>
          <w:lang w:val="en-US" w:eastAsia="zh-CN"/>
        </w:rPr>
        <w:t>逐渐减小制动减速度，</w:t>
      </w:r>
      <w:r>
        <w:rPr>
          <w:rFonts w:hint="eastAsia" w:ascii="宋体" w:hAnsi="宋体" w:eastAsia="宋体"/>
          <w:color w:val="auto"/>
          <w:highlight w:val="none"/>
        </w:rPr>
        <w:t>确认并记录该信号是否被抑制</w:t>
      </w:r>
      <w:r>
        <w:rPr>
          <w:rFonts w:hint="eastAsia" w:ascii="宋体" w:hAnsi="宋体" w:eastAsia="宋体"/>
          <w:color w:val="auto"/>
          <w:highlight w:val="none"/>
          <w:lang w:val="en-US" w:eastAsia="zh-CN"/>
        </w:rPr>
        <w:t>以及对应的减速度与声明的逻辑一致</w:t>
      </w:r>
      <w:r>
        <w:rPr>
          <w:rFonts w:hint="eastAsia" w:ascii="宋体" w:hAnsi="宋体" w:eastAsia="宋体"/>
          <w:color w:val="auto"/>
          <w:highlight w:val="none"/>
        </w:rPr>
        <w:t>。</w:t>
      </w:r>
    </w:p>
    <w:p>
      <w:pPr>
        <w:pStyle w:val="62"/>
        <w:ind w:firstLine="420"/>
        <w:rPr>
          <w:rFonts w:hint="eastAsia" w:ascii="宋体" w:hAnsi="宋体" w:eastAsia="宋体"/>
          <w:color w:val="auto"/>
          <w:highlight w:val="none"/>
        </w:rPr>
      </w:pPr>
      <w:r>
        <w:rPr>
          <w:rFonts w:hint="eastAsia" w:hAnsi="宋体"/>
          <w:color w:val="auto"/>
          <w:highlight w:val="none"/>
          <w:lang w:val="en-US" w:eastAsia="zh-CN"/>
        </w:rPr>
        <w:t>试验过程中，</w:t>
      </w:r>
      <w:r>
        <w:rPr>
          <w:rFonts w:hint="eastAsia" w:ascii="宋体" w:hAnsi="宋体" w:eastAsia="宋体"/>
          <w:color w:val="auto"/>
          <w:highlight w:val="none"/>
        </w:rPr>
        <w:t>允许制动信号采取适当的措施（例如，滞后、平均、延时等）避免因快速变化而导致制动灯闪烁。</w:t>
      </w:r>
    </w:p>
    <w:p>
      <w:pPr>
        <w:pStyle w:val="62"/>
        <w:ind w:firstLine="0" w:firstLineChars="0"/>
        <w:rPr>
          <w:rFonts w:hint="default" w:ascii="宋体" w:hAnsi="宋体" w:eastAsia="宋体"/>
          <w:color w:val="auto"/>
          <w:highlight w:val="none"/>
          <w:lang w:val="en-US" w:eastAsia="zh-CN"/>
        </w:rPr>
      </w:pPr>
      <w:r>
        <w:rPr>
          <w:rFonts w:hint="eastAsia" w:ascii="黑体" w:hAnsi="黑体" w:eastAsia="黑体" w:cs="黑体"/>
          <w:color w:val="auto"/>
          <w:highlight w:val="none"/>
          <w:lang w:val="en-US" w:eastAsia="zh-CN"/>
        </w:rPr>
        <w:t>8.5.9.2</w:t>
      </w:r>
      <w:r>
        <w:rPr>
          <w:rFonts w:hint="eastAsia" w:hAnsi="宋体"/>
          <w:color w:val="auto"/>
          <w:highlight w:val="none"/>
          <w:lang w:val="en-US" w:eastAsia="zh-CN"/>
        </w:rPr>
        <w:t xml:space="preserve">  对于车辆在通过选择制动或主要目的不是使车辆减速的功能（例如，轻微促动摩擦制动器以清洁制动盘）启动部分行车制动系时，按照制造商推荐的条件（例如通过激活此类功能、在风阻/坡度较大的路面行驶等方式），进行动态确认。</w:t>
      </w:r>
    </w:p>
    <w:p>
      <w:pPr>
        <w:pStyle w:val="71"/>
        <w:spacing w:before="156" w:after="156"/>
        <w:rPr>
          <w:color w:val="auto"/>
          <w:highlight w:val="none"/>
        </w:rPr>
      </w:pPr>
      <w:bookmarkStart w:id="224" w:name="_Toc118580334"/>
      <w:r>
        <w:rPr>
          <w:rFonts w:hint="eastAsia"/>
          <w:color w:val="auto"/>
          <w:highlight w:val="none"/>
        </w:rPr>
        <w:t>紧急制动信号试验</w:t>
      </w:r>
      <w:bookmarkEnd w:id="224"/>
    </w:p>
    <w:p>
      <w:pPr>
        <w:pStyle w:val="62"/>
        <w:ind w:left="0" w:leftChars="0" w:firstLine="0" w:firstLineChars="0"/>
        <w:rPr>
          <w:rFonts w:hint="eastAsia"/>
          <w:b/>
          <w:bCs/>
          <w:color w:val="auto"/>
          <w:highlight w:val="none"/>
          <w:lang w:val="en-US" w:eastAsia="zh-CN"/>
        </w:rPr>
      </w:pPr>
      <w:r>
        <w:rPr>
          <w:rFonts w:hint="eastAsia" w:ascii="黑体" w:hAnsi="黑体" w:eastAsia="黑体" w:cs="黑体"/>
          <w:color w:val="auto"/>
          <w:highlight w:val="none"/>
          <w:lang w:val="en-US" w:eastAsia="zh-CN"/>
        </w:rPr>
        <w:t>8.5.10.1</w:t>
      </w:r>
      <w:r>
        <w:rPr>
          <w:rFonts w:hint="eastAsia"/>
          <w:b/>
          <w:bCs/>
          <w:color w:val="auto"/>
          <w:highlight w:val="none"/>
          <w:lang w:val="en-US" w:eastAsia="zh-CN"/>
        </w:rPr>
        <w:t xml:space="preserve">  </w:t>
      </w:r>
      <w:r>
        <w:rPr>
          <w:rFonts w:hint="eastAsia"/>
          <w:b w:val="0"/>
          <w:bCs w:val="0"/>
          <w:color w:val="auto"/>
          <w:highlight w:val="none"/>
          <w:lang w:val="en-US" w:eastAsia="zh-CN"/>
        </w:rPr>
        <w:t>当车辆配备了可以指示紧急制动的装置时，根据静态检查确认的紧急制动信号发出和解除条件，进行8.5.10.2-8.5.10.4的试验。</w:t>
      </w:r>
    </w:p>
    <w:p>
      <w:pPr>
        <w:pStyle w:val="62"/>
        <w:ind w:left="0" w:leftChars="0" w:firstLine="0" w:firstLineChars="0"/>
        <w:rPr>
          <w:rFonts w:hint="default"/>
          <w:color w:val="auto"/>
          <w:highlight w:val="none"/>
          <w:lang w:val="en-US" w:eastAsia="zh-CN"/>
        </w:rPr>
      </w:pPr>
      <w:r>
        <w:rPr>
          <w:rFonts w:hint="eastAsia" w:ascii="黑体" w:hAnsi="黑体" w:eastAsia="黑体" w:cs="黑体"/>
          <w:color w:val="auto"/>
          <w:highlight w:val="none"/>
          <w:lang w:val="en-US" w:eastAsia="zh-CN"/>
        </w:rPr>
        <w:t xml:space="preserve">8.5.10.2  </w:t>
      </w:r>
      <w:r>
        <w:rPr>
          <w:rFonts w:hint="eastAsia"/>
          <w:color w:val="auto"/>
          <w:highlight w:val="none"/>
          <w:lang w:val="en-US" w:eastAsia="zh-CN"/>
        </w:rPr>
        <w:t>如适用，根据制造商推荐的方式进行如下试验：</w:t>
      </w:r>
    </w:p>
    <w:p>
      <w:pPr>
        <w:pStyle w:val="62"/>
        <w:ind w:firstLine="420"/>
        <w:rPr>
          <w:rFonts w:hint="default" w:eastAsia="宋体"/>
          <w:color w:val="auto"/>
          <w:highlight w:val="none"/>
          <w:lang w:val="en-US" w:eastAsia="zh-CN"/>
        </w:rPr>
      </w:pPr>
      <w:r>
        <w:rPr>
          <w:rFonts w:hint="eastAsia"/>
          <w:color w:val="auto"/>
          <w:highlight w:val="none"/>
          <w:lang w:val="en-US" w:eastAsia="zh-CN"/>
        </w:rPr>
        <w:t>a）</w:t>
      </w:r>
      <w:r>
        <w:rPr>
          <w:rFonts w:hint="eastAsia"/>
          <w:color w:val="auto"/>
          <w:highlight w:val="none"/>
        </w:rPr>
        <w:t>以低于</w:t>
      </w:r>
      <w:r>
        <w:rPr>
          <w:rFonts w:hint="eastAsia"/>
          <w:color w:val="auto"/>
          <w:highlight w:val="none"/>
          <w:lang w:val="en-US" w:eastAsia="zh-CN"/>
        </w:rPr>
        <w:t>且接近</w:t>
      </w:r>
      <w:r>
        <w:rPr>
          <w:rFonts w:hint="eastAsia"/>
          <w:color w:val="auto"/>
          <w:highlight w:val="none"/>
        </w:rPr>
        <w:t>6</w:t>
      </w:r>
      <w:r>
        <w:rPr>
          <w:rFonts w:hint="eastAsia"/>
          <w:color w:val="auto"/>
          <w:highlight w:val="none"/>
          <w:lang w:val="en-US" w:eastAsia="zh-CN"/>
        </w:rPr>
        <w:t> </w:t>
      </w:r>
      <w:r>
        <w:rPr>
          <w:rFonts w:hint="eastAsia"/>
          <w:color w:val="auto"/>
          <w:highlight w:val="none"/>
        </w:rPr>
        <w:t>m/s²</w:t>
      </w:r>
      <w:r>
        <w:rPr>
          <w:rFonts w:hint="eastAsia"/>
          <w:color w:val="auto"/>
          <w:highlight w:val="none"/>
          <w:lang w:val="en-US" w:eastAsia="zh-CN"/>
        </w:rPr>
        <w:t>的减速度进行行车制动，确认不发出紧急制动信号；</w:t>
      </w:r>
    </w:p>
    <w:p>
      <w:pPr>
        <w:pStyle w:val="62"/>
        <w:ind w:firstLine="420"/>
        <w:rPr>
          <w:rFonts w:hint="eastAsia"/>
          <w:color w:val="auto"/>
          <w:highlight w:val="none"/>
          <w:lang w:eastAsia="zh-CN"/>
        </w:rPr>
      </w:pPr>
      <w:r>
        <w:rPr>
          <w:rFonts w:hint="eastAsia"/>
          <w:color w:val="auto"/>
          <w:highlight w:val="none"/>
          <w:lang w:val="en-US" w:eastAsia="zh-CN"/>
        </w:rPr>
        <w:t>b)</w:t>
      </w:r>
      <w:r>
        <w:rPr>
          <w:rFonts w:hint="eastAsia" w:hAnsi="宋体"/>
          <w:color w:val="auto"/>
          <w:highlight w:val="none"/>
          <w:lang w:val="en-US" w:eastAsia="zh-CN"/>
        </w:rPr>
        <w:t>分别以低于且接近、高于且接近</w:t>
      </w:r>
      <w:r>
        <w:rPr>
          <w:rFonts w:hint="eastAsia"/>
          <w:color w:val="auto"/>
          <w:highlight w:val="none"/>
        </w:rPr>
        <w:t>车辆制造商定义的车辆减速度</w:t>
      </w:r>
      <w:r>
        <w:rPr>
          <w:rFonts w:hint="eastAsia"/>
          <w:color w:val="auto"/>
          <w:highlight w:val="none"/>
          <w:lang w:val="en-US" w:eastAsia="zh-CN"/>
        </w:rPr>
        <w:t>限值</w:t>
      </w:r>
      <w:r>
        <w:rPr>
          <w:rFonts w:hint="eastAsia"/>
          <w:color w:val="auto"/>
          <w:highlight w:val="none"/>
        </w:rPr>
        <w:t>进行行车制动，确认</w:t>
      </w:r>
      <w:r>
        <w:rPr>
          <w:rFonts w:hint="eastAsia"/>
          <w:color w:val="auto"/>
          <w:highlight w:val="none"/>
          <w:lang w:val="en-US" w:eastAsia="zh-CN"/>
        </w:rPr>
        <w:t>是否</w:t>
      </w:r>
      <w:r>
        <w:rPr>
          <w:rFonts w:hint="eastAsia"/>
          <w:color w:val="auto"/>
          <w:highlight w:val="none"/>
        </w:rPr>
        <w:t>发出紧急制动信号</w:t>
      </w:r>
      <w:r>
        <w:rPr>
          <w:rFonts w:hint="eastAsia"/>
          <w:color w:val="auto"/>
          <w:highlight w:val="none"/>
          <w:lang w:eastAsia="zh-CN"/>
        </w:rPr>
        <w:t>；</w:t>
      </w:r>
    </w:p>
    <w:p>
      <w:pPr>
        <w:pStyle w:val="62"/>
        <w:ind w:firstLine="420"/>
        <w:rPr>
          <w:rFonts w:hint="eastAsia"/>
          <w:color w:val="auto"/>
          <w:highlight w:val="none"/>
        </w:rPr>
      </w:pPr>
      <w:r>
        <w:rPr>
          <w:rFonts w:hint="eastAsia" w:hAnsi="宋体"/>
          <w:color w:val="auto"/>
          <w:highlight w:val="none"/>
          <w:lang w:val="en-US" w:eastAsia="zh-CN"/>
        </w:rPr>
        <w:t>c）以高于</w:t>
      </w:r>
      <w:r>
        <w:rPr>
          <w:rFonts w:hint="eastAsia"/>
          <w:color w:val="auto"/>
          <w:highlight w:val="none"/>
        </w:rPr>
        <w:t>车辆制造商定义的车辆减速度</w:t>
      </w:r>
      <w:r>
        <w:rPr>
          <w:rFonts w:hint="eastAsia"/>
          <w:color w:val="auto"/>
          <w:highlight w:val="none"/>
          <w:lang w:val="en-US" w:eastAsia="zh-CN"/>
        </w:rPr>
        <w:t>限值</w:t>
      </w:r>
      <w:r>
        <w:rPr>
          <w:rFonts w:hint="eastAsia"/>
          <w:color w:val="auto"/>
          <w:highlight w:val="none"/>
        </w:rPr>
        <w:t>进行行车制动，</w:t>
      </w:r>
      <w:r>
        <w:rPr>
          <w:rFonts w:hint="eastAsia"/>
          <w:color w:val="auto"/>
          <w:highlight w:val="none"/>
          <w:lang w:val="en-US" w:eastAsia="zh-CN"/>
        </w:rPr>
        <w:t>发出</w:t>
      </w:r>
      <w:r>
        <w:rPr>
          <w:rFonts w:hint="eastAsia"/>
          <w:color w:val="auto"/>
          <w:highlight w:val="none"/>
        </w:rPr>
        <w:t>紧急制动信号</w:t>
      </w:r>
      <w:r>
        <w:rPr>
          <w:rFonts w:hint="eastAsia"/>
          <w:color w:val="auto"/>
          <w:highlight w:val="none"/>
          <w:lang w:eastAsia="zh-CN"/>
        </w:rPr>
        <w:t>，</w:t>
      </w:r>
      <w:r>
        <w:rPr>
          <w:rFonts w:hint="eastAsia"/>
          <w:color w:val="auto"/>
          <w:highlight w:val="none"/>
          <w:lang w:val="en-US" w:eastAsia="zh-CN"/>
        </w:rPr>
        <w:t>逐渐降低</w:t>
      </w:r>
      <w:r>
        <w:rPr>
          <w:rFonts w:hint="eastAsia"/>
          <w:color w:val="auto"/>
          <w:highlight w:val="none"/>
        </w:rPr>
        <w:t>车辆减速度至低于2.5</w:t>
      </w:r>
      <w:r>
        <w:rPr>
          <w:rFonts w:hint="eastAsia"/>
          <w:color w:val="auto"/>
          <w:highlight w:val="none"/>
          <w:lang w:val="en-US" w:eastAsia="zh-CN"/>
        </w:rPr>
        <w:t> </w:t>
      </w:r>
      <w:r>
        <w:rPr>
          <w:rFonts w:hint="eastAsia"/>
          <w:color w:val="auto"/>
          <w:highlight w:val="none"/>
        </w:rPr>
        <w:t>m/s²，确认紧急制动信号解除。</w:t>
      </w:r>
    </w:p>
    <w:p>
      <w:pPr>
        <w:pStyle w:val="62"/>
        <w:ind w:left="0" w:leftChars="0" w:firstLine="0" w:firstLineChars="0"/>
        <w:rPr>
          <w:rFonts w:hint="eastAsia"/>
          <w:color w:val="auto"/>
          <w:highlight w:val="none"/>
        </w:rPr>
      </w:pPr>
      <w:r>
        <w:rPr>
          <w:rFonts w:hint="eastAsia" w:ascii="黑体" w:hAnsi="黑体" w:eastAsia="黑体" w:cs="黑体"/>
          <w:color w:val="auto"/>
          <w:highlight w:val="none"/>
          <w:lang w:val="en-US" w:eastAsia="zh-CN"/>
        </w:rPr>
        <w:t xml:space="preserve">8.5.10.3  </w:t>
      </w:r>
      <w:r>
        <w:rPr>
          <w:rFonts w:hint="eastAsia"/>
          <w:color w:val="auto"/>
          <w:highlight w:val="none"/>
          <w:lang w:val="en-US" w:eastAsia="zh-CN"/>
        </w:rPr>
        <w:t>如适用，8.5.10.2试验中</w:t>
      </w:r>
      <w:r>
        <w:rPr>
          <w:rFonts w:hint="eastAsia"/>
          <w:color w:val="auto"/>
          <w:highlight w:val="none"/>
        </w:rPr>
        <w:t>紧急制动信号的发出和解除，可基于通过制动需求预测的车辆减速度</w:t>
      </w:r>
      <w:r>
        <w:rPr>
          <w:rFonts w:hint="eastAsia"/>
          <w:color w:val="auto"/>
          <w:highlight w:val="none"/>
          <w:lang w:val="en-US" w:eastAsia="zh-CN"/>
        </w:rPr>
        <w:t>进行</w:t>
      </w:r>
      <w:r>
        <w:rPr>
          <w:rFonts w:hint="eastAsia"/>
          <w:color w:val="auto"/>
          <w:kern w:val="2"/>
          <w:highlight w:val="none"/>
          <w:lang w:val="en-US" w:eastAsia="zh-CN"/>
        </w:rPr>
        <w:t>。</w:t>
      </w:r>
    </w:p>
    <w:p>
      <w:pPr>
        <w:pStyle w:val="62"/>
        <w:ind w:left="0" w:leftChars="0" w:firstLine="0" w:firstLineChars="0"/>
        <w:rPr>
          <w:color w:val="auto"/>
          <w:highlight w:val="none"/>
        </w:rPr>
      </w:pPr>
      <w:r>
        <w:rPr>
          <w:rFonts w:hint="eastAsia" w:ascii="黑体" w:hAnsi="黑体" w:eastAsia="黑体" w:cs="黑体"/>
          <w:color w:val="auto"/>
          <w:highlight w:val="none"/>
          <w:lang w:val="en-US" w:eastAsia="zh-CN"/>
        </w:rPr>
        <w:t xml:space="preserve">8.5.10.4  </w:t>
      </w:r>
      <w:r>
        <w:rPr>
          <w:rFonts w:hint="eastAsia"/>
          <w:color w:val="auto"/>
          <w:highlight w:val="none"/>
          <w:lang w:val="en-US" w:eastAsia="zh-CN"/>
        </w:rPr>
        <w:t>如适用，根据制造商推荐的方式，以</w:t>
      </w:r>
      <w:r>
        <w:rPr>
          <w:rFonts w:hint="eastAsia"/>
          <w:color w:val="auto"/>
          <w:highlight w:val="none"/>
        </w:rPr>
        <w:t>大于50</w:t>
      </w:r>
      <w:r>
        <w:rPr>
          <w:rFonts w:hint="eastAsia"/>
          <w:color w:val="auto"/>
          <w:highlight w:val="none"/>
          <w:lang w:val="en-US" w:eastAsia="zh-CN"/>
        </w:rPr>
        <w:t> </w:t>
      </w:r>
      <w:r>
        <w:rPr>
          <w:rFonts w:hint="eastAsia"/>
          <w:color w:val="auto"/>
          <w:highlight w:val="none"/>
        </w:rPr>
        <w:t>km/h车速</w:t>
      </w:r>
      <w:r>
        <w:rPr>
          <w:rFonts w:hint="eastAsia"/>
          <w:color w:val="auto"/>
          <w:highlight w:val="none"/>
          <w:lang w:val="en-US" w:eastAsia="zh-CN"/>
        </w:rPr>
        <w:t>触发</w:t>
      </w:r>
      <w:r>
        <w:rPr>
          <w:rFonts w:hint="eastAsia"/>
          <w:color w:val="auto"/>
          <w:highlight w:val="none"/>
          <w:lang w:eastAsia="zh-CN"/>
        </w:rPr>
        <w:t>防抱</w:t>
      </w:r>
      <w:r>
        <w:rPr>
          <w:rFonts w:hint="eastAsia"/>
          <w:color w:val="auto"/>
          <w:highlight w:val="none"/>
        </w:rPr>
        <w:t>制动系统全循环，</w:t>
      </w:r>
      <w:r>
        <w:rPr>
          <w:rFonts w:hint="eastAsia"/>
          <w:color w:val="auto"/>
          <w:highlight w:val="none"/>
          <w:lang w:val="en-US" w:eastAsia="zh-CN"/>
        </w:rPr>
        <w:t>确认</w:t>
      </w:r>
      <w:r>
        <w:rPr>
          <w:rFonts w:hint="eastAsia"/>
          <w:color w:val="auto"/>
          <w:highlight w:val="none"/>
        </w:rPr>
        <w:t>发出紧急制动信号</w:t>
      </w:r>
      <w:r>
        <w:rPr>
          <w:rFonts w:hint="eastAsia"/>
          <w:color w:val="auto"/>
          <w:highlight w:val="none"/>
          <w:lang w:eastAsia="zh-CN"/>
        </w:rPr>
        <w:t>；</w:t>
      </w:r>
      <w:r>
        <w:rPr>
          <w:rFonts w:hint="eastAsia"/>
          <w:color w:val="auto"/>
          <w:highlight w:val="none"/>
        </w:rPr>
        <w:t>防抱制动系统不再全循环时确认解除紧急制动信号。</w:t>
      </w:r>
    </w:p>
    <w:p>
      <w:pPr>
        <w:pStyle w:val="71"/>
        <w:spacing w:before="156" w:after="156"/>
        <w:rPr>
          <w:color w:val="auto"/>
          <w:highlight w:val="none"/>
        </w:rPr>
      </w:pPr>
      <w:bookmarkStart w:id="225" w:name="_Toc118580335"/>
      <w:r>
        <w:rPr>
          <w:rFonts w:hint="eastAsia"/>
          <w:color w:val="auto"/>
          <w:highlight w:val="none"/>
        </w:rPr>
        <w:t>配备临时备用车轮/轮胎的车辆制动和跑偏试验</w:t>
      </w:r>
      <w:bookmarkEnd w:id="225"/>
    </w:p>
    <w:p>
      <w:pPr>
        <w:pStyle w:val="104"/>
        <w:numPr>
          <w:ilvl w:val="0"/>
          <w:numId w:val="0"/>
        </w:numPr>
        <w:spacing w:before="156" w:after="0" w:afterLines="0"/>
        <w:ind w:firstLine="420" w:firstLineChars="200"/>
        <w:outlineLvl w:val="9"/>
        <w:rPr>
          <w:rFonts w:ascii="宋体" w:hAnsi="宋体" w:eastAsia="宋体"/>
          <w:color w:val="auto"/>
          <w:highlight w:val="none"/>
        </w:rPr>
      </w:pPr>
      <w:r>
        <w:rPr>
          <w:rFonts w:hint="eastAsia" w:ascii="宋体" w:hAnsi="宋体" w:eastAsia="宋体"/>
          <w:color w:val="auto"/>
          <w:highlight w:val="none"/>
        </w:rPr>
        <w:t>对于配备临时备用车轮/轮胎的车辆，按照附录</w:t>
      </w:r>
      <w:r>
        <w:rPr>
          <w:rFonts w:hint="eastAsia" w:ascii="宋体" w:hAnsi="宋体" w:eastAsia="宋体"/>
          <w:color w:val="auto"/>
          <w:highlight w:val="none"/>
          <w:lang w:val="en-US" w:eastAsia="zh-CN"/>
        </w:rPr>
        <w:t>F</w:t>
      </w:r>
      <w:r>
        <w:rPr>
          <w:rFonts w:hint="eastAsia" w:ascii="宋体" w:hAnsi="宋体" w:eastAsia="宋体"/>
          <w:color w:val="auto"/>
          <w:highlight w:val="none"/>
        </w:rPr>
        <w:t>的要求进行制动和跑偏试验。</w:t>
      </w:r>
    </w:p>
    <w:p>
      <w:pPr>
        <w:pStyle w:val="110"/>
        <w:spacing w:before="312" w:after="312"/>
        <w:rPr>
          <w:color w:val="auto"/>
          <w:highlight w:val="none"/>
        </w:rPr>
      </w:pPr>
      <w:bookmarkStart w:id="226" w:name="_Toc72156231"/>
      <w:bookmarkEnd w:id="226"/>
      <w:bookmarkStart w:id="227" w:name="_Toc72156283"/>
      <w:bookmarkEnd w:id="227"/>
      <w:bookmarkStart w:id="228" w:name="_Toc109891132"/>
      <w:bookmarkStart w:id="229" w:name="_Toc118580337"/>
      <w:bookmarkStart w:id="230" w:name="_Toc72156232"/>
      <w:bookmarkStart w:id="231" w:name="_Toc27619"/>
      <w:r>
        <w:rPr>
          <w:rFonts w:hint="eastAsia"/>
          <w:color w:val="auto"/>
          <w:highlight w:val="none"/>
        </w:rPr>
        <w:t>实施日期</w:t>
      </w:r>
      <w:bookmarkEnd w:id="228"/>
      <w:bookmarkEnd w:id="229"/>
      <w:bookmarkEnd w:id="230"/>
      <w:bookmarkEnd w:id="231"/>
    </w:p>
    <w:p>
      <w:pPr>
        <w:pStyle w:val="61"/>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color w:val="auto"/>
          <w:highlight w:val="none"/>
          <w:lang w:val="en-US"/>
        </w:rPr>
      </w:pPr>
      <w:r>
        <w:rPr>
          <w:rFonts w:hint="eastAsia"/>
          <w:color w:val="auto"/>
          <w:highlight w:val="none"/>
        </w:rPr>
        <w:t>对于新申请型式批准的车型，</w:t>
      </w:r>
      <w:r>
        <w:rPr>
          <w:rFonts w:hint="eastAsia" w:ascii="宋体" w:hAnsi="Times New Roman" w:cs="Times New Roman"/>
          <w:b w:val="0"/>
          <w:bCs w:val="0"/>
          <w:color w:val="auto"/>
          <w:highlight w:val="none"/>
          <w:lang w:val="en-US" w:eastAsia="zh-CN"/>
        </w:rPr>
        <w:t>5.2.18 f）、5.2.19 b）的要求，</w:t>
      </w:r>
      <w:r>
        <w:rPr>
          <w:rFonts w:hint="eastAsia"/>
          <w:color w:val="auto"/>
          <w:highlight w:val="none"/>
        </w:rPr>
        <w:t>自</w:t>
      </w:r>
      <w:r>
        <w:rPr>
          <w:rFonts w:hint="eastAsia"/>
          <w:color w:val="auto"/>
          <w:highlight w:val="none"/>
          <w:lang w:val="en-US" w:eastAsia="zh-CN"/>
        </w:rPr>
        <w:t>本文件</w:t>
      </w:r>
      <w:r>
        <w:rPr>
          <w:rFonts w:hint="eastAsia"/>
          <w:color w:val="auto"/>
          <w:highlight w:val="none"/>
        </w:rPr>
        <w:t>实施之日起</w:t>
      </w:r>
      <w:r>
        <w:rPr>
          <w:rFonts w:hint="eastAsia"/>
          <w:color w:val="auto"/>
          <w:highlight w:val="none"/>
          <w:lang w:val="en-US" w:eastAsia="zh-CN"/>
        </w:rPr>
        <w:t>第13个月</w:t>
      </w:r>
      <w:r>
        <w:rPr>
          <w:rFonts w:hint="eastAsia"/>
          <w:color w:val="auto"/>
          <w:highlight w:val="none"/>
        </w:rPr>
        <w:t>开始执行。上述条款之外的其余要求，自</w:t>
      </w:r>
      <w:r>
        <w:rPr>
          <w:rFonts w:hint="eastAsia"/>
          <w:color w:val="auto"/>
          <w:highlight w:val="none"/>
          <w:lang w:val="en-US" w:eastAsia="zh-CN"/>
        </w:rPr>
        <w:t>本文件</w:t>
      </w:r>
      <w:r>
        <w:rPr>
          <w:rFonts w:hint="eastAsia"/>
          <w:color w:val="auto"/>
          <w:highlight w:val="none"/>
        </w:rPr>
        <w:t>实施之日起开始执行。</w:t>
      </w:r>
    </w:p>
    <w:p>
      <w:pPr>
        <w:pStyle w:val="62"/>
        <w:keepNext w:val="0"/>
        <w:keepLines w:val="0"/>
        <w:pageBreakBefore w:val="0"/>
        <w:kinsoku/>
        <w:wordWrap/>
        <w:overflowPunct/>
        <w:topLinePunct w:val="0"/>
        <w:bidi w:val="0"/>
        <w:adjustRightInd w:val="0"/>
        <w:snapToGrid w:val="0"/>
        <w:spacing w:line="240" w:lineRule="auto"/>
        <w:ind w:left="0" w:leftChars="0" w:firstLine="420" w:firstLineChars="200"/>
        <w:textAlignment w:val="auto"/>
        <w:rPr>
          <w:color w:val="auto"/>
          <w:highlight w:val="none"/>
        </w:rPr>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r>
        <w:rPr>
          <w:rFonts w:hint="eastAsia"/>
          <w:color w:val="auto"/>
          <w:highlight w:val="none"/>
        </w:rPr>
        <w:t>对于已获得型式批准的车型，自</w:t>
      </w:r>
      <w:r>
        <w:rPr>
          <w:rFonts w:hint="eastAsia"/>
          <w:color w:val="auto"/>
          <w:highlight w:val="none"/>
          <w:lang w:val="en-US" w:eastAsia="zh-CN"/>
        </w:rPr>
        <w:t>本文件</w:t>
      </w:r>
      <w:r>
        <w:rPr>
          <w:rFonts w:hint="eastAsia"/>
          <w:color w:val="auto"/>
          <w:highlight w:val="none"/>
        </w:rPr>
        <w:t>实施之日起第</w:t>
      </w:r>
      <w:r>
        <w:rPr>
          <w:rFonts w:hint="eastAsia"/>
          <w:color w:val="auto"/>
          <w:highlight w:val="none"/>
          <w:lang w:val="en-US" w:eastAsia="zh-CN"/>
        </w:rPr>
        <w:t>13</w:t>
      </w:r>
      <w:r>
        <w:rPr>
          <w:rFonts w:hint="eastAsia"/>
          <w:color w:val="auto"/>
          <w:highlight w:val="none"/>
        </w:rPr>
        <w:t>个月开始执行。</w:t>
      </w:r>
    </w:p>
    <w:bookmarkEnd w:id="23"/>
    <w:p>
      <w:pPr>
        <w:pStyle w:val="204"/>
        <w:rPr>
          <w:vanish w:val="0"/>
          <w:color w:val="auto"/>
          <w:highlight w:val="none"/>
        </w:rPr>
      </w:pPr>
      <w:bookmarkStart w:id="232" w:name="BookMark5"/>
    </w:p>
    <w:p>
      <w:pPr>
        <w:pStyle w:val="205"/>
        <w:rPr>
          <w:vanish w:val="0"/>
          <w:color w:val="auto"/>
          <w:highlight w:val="none"/>
        </w:rPr>
      </w:pPr>
    </w:p>
    <w:p>
      <w:pPr>
        <w:pStyle w:val="82"/>
        <w:spacing w:after="156"/>
        <w:rPr>
          <w:color w:val="auto"/>
          <w:highlight w:val="none"/>
        </w:rPr>
      </w:pPr>
      <w:bookmarkStart w:id="233" w:name="_Toc553"/>
      <w:r>
        <w:rPr>
          <w:color w:val="auto"/>
          <w:highlight w:val="none"/>
        </w:rPr>
        <w:br w:type="textWrapping"/>
      </w:r>
      <w:bookmarkStart w:id="234" w:name="_Toc118580338"/>
      <w:r>
        <w:rPr>
          <w:rFonts w:hint="eastAsia"/>
          <w:color w:val="auto"/>
          <w:highlight w:val="none"/>
        </w:rPr>
        <w:t>（规范性）</w:t>
      </w:r>
      <w:r>
        <w:rPr>
          <w:color w:val="auto"/>
          <w:highlight w:val="none"/>
        </w:rPr>
        <w:br w:type="textWrapping"/>
      </w:r>
      <w:r>
        <w:rPr>
          <w:rFonts w:hint="eastAsia"/>
          <w:color w:val="auto"/>
          <w:highlight w:val="none"/>
        </w:rPr>
        <w:t>动力蓄电池荷电状态检验规程</w:t>
      </w:r>
      <w:bookmarkEnd w:id="233"/>
      <w:bookmarkEnd w:id="234"/>
    </w:p>
    <w:p>
      <w:pPr>
        <w:pStyle w:val="84"/>
        <w:spacing w:before="156" w:after="156"/>
        <w:rPr>
          <w:color w:val="auto"/>
          <w:highlight w:val="none"/>
        </w:rPr>
      </w:pPr>
      <w:bookmarkStart w:id="235" w:name="_Toc109891134"/>
      <w:bookmarkStart w:id="236" w:name="_Toc26502"/>
      <w:bookmarkStart w:id="237" w:name="_Toc118580339"/>
      <w:r>
        <w:rPr>
          <w:rFonts w:hint="eastAsia"/>
          <w:color w:val="auto"/>
          <w:highlight w:val="none"/>
          <w:lang w:val="en-US" w:eastAsia="zh-CN"/>
        </w:rPr>
        <w:t>总体要求</w:t>
      </w:r>
      <w:bookmarkEnd w:id="235"/>
      <w:bookmarkEnd w:id="236"/>
      <w:bookmarkEnd w:id="237"/>
    </w:p>
    <w:p>
      <w:pPr>
        <w:pStyle w:val="62"/>
        <w:ind w:firstLine="420"/>
        <w:rPr>
          <w:color w:val="auto"/>
          <w:highlight w:val="none"/>
        </w:rPr>
      </w:pPr>
      <w:r>
        <w:rPr>
          <w:rFonts w:hint="eastAsia"/>
          <w:color w:val="auto"/>
          <w:highlight w:val="none"/>
        </w:rPr>
        <w:t>本</w:t>
      </w:r>
      <w:r>
        <w:rPr>
          <w:rFonts w:hint="eastAsia"/>
          <w:color w:val="auto"/>
          <w:highlight w:val="none"/>
          <w:lang w:val="en-US" w:eastAsia="zh-CN"/>
        </w:rPr>
        <w:t>附录</w:t>
      </w:r>
      <w:r>
        <w:rPr>
          <w:rFonts w:hint="eastAsia"/>
          <w:color w:val="auto"/>
          <w:highlight w:val="none"/>
        </w:rPr>
        <w:t>适用于驱动和再生制动用的车辆动力蓄电池。</w:t>
      </w:r>
    </w:p>
    <w:p>
      <w:pPr>
        <w:pStyle w:val="84"/>
        <w:spacing w:before="156" w:after="156"/>
        <w:rPr>
          <w:color w:val="auto"/>
          <w:highlight w:val="none"/>
        </w:rPr>
      </w:pPr>
      <w:bookmarkStart w:id="238" w:name="_Toc118580340"/>
      <w:bookmarkStart w:id="239" w:name="_Toc26449"/>
      <w:bookmarkStart w:id="240" w:name="_Toc109891135"/>
      <w:r>
        <w:rPr>
          <w:rFonts w:hint="eastAsia"/>
          <w:color w:val="auto"/>
          <w:highlight w:val="none"/>
        </w:rPr>
        <w:t>检验规程</w:t>
      </w:r>
      <w:bookmarkEnd w:id="238"/>
      <w:bookmarkEnd w:id="239"/>
      <w:bookmarkEnd w:id="240"/>
    </w:p>
    <w:p>
      <w:pPr>
        <w:pStyle w:val="85"/>
        <w:spacing w:before="0" w:beforeLines="0" w:after="0" w:afterLines="0"/>
        <w:rPr>
          <w:rFonts w:ascii="宋体" w:hAnsi="宋体" w:eastAsia="宋体"/>
          <w:color w:val="auto"/>
          <w:highlight w:val="none"/>
        </w:rPr>
      </w:pPr>
      <w:bookmarkStart w:id="241" w:name="_Toc118580341"/>
      <w:r>
        <w:rPr>
          <w:rFonts w:hint="eastAsia" w:ascii="宋体" w:hAnsi="宋体" w:eastAsia="宋体"/>
          <w:color w:val="auto"/>
          <w:highlight w:val="none"/>
        </w:rPr>
        <w:t>对新的动力蓄电池或久置未用的动力蓄电池，应按制造商的建议进行充放电循环。循环结束后可至少在室温条件下放置8个小时。应根据制造商推荐的充电程序将动力蓄电池充满。</w:t>
      </w:r>
      <w:bookmarkEnd w:id="241"/>
    </w:p>
    <w:p>
      <w:pPr>
        <w:pStyle w:val="85"/>
        <w:spacing w:before="0" w:beforeLines="0" w:after="0" w:afterLines="0"/>
        <w:rPr>
          <w:rFonts w:ascii="宋体" w:hAnsi="宋体" w:eastAsia="宋体"/>
          <w:color w:val="auto"/>
          <w:highlight w:val="none"/>
        </w:rPr>
      </w:pPr>
      <w:bookmarkStart w:id="242" w:name="_Toc118580342"/>
      <w:r>
        <w:rPr>
          <w:rFonts w:hint="eastAsia" w:ascii="宋体" w:hAnsi="宋体" w:eastAsia="宋体"/>
          <w:color w:val="auto"/>
          <w:highlight w:val="none"/>
        </w:rPr>
        <w:t>进行6.1.2.11、6.1.4.1.2c）和d）、6.1.5.1.6、6.1.5.1.7和6.1.5.2c）的制动试验时，应连续记录驱动电机所消耗的电能和电力再生式制动系统所提供的电能的差额，并以此确定试验开始或结束时的荷电状态。</w:t>
      </w:r>
      <w:bookmarkEnd w:id="242"/>
    </w:p>
    <w:p>
      <w:pPr>
        <w:pStyle w:val="85"/>
        <w:spacing w:before="0" w:beforeLines="0" w:after="0" w:afterLines="0"/>
        <w:rPr>
          <w:rFonts w:ascii="宋体" w:hAnsi="宋体" w:eastAsia="宋体"/>
          <w:color w:val="auto"/>
          <w:highlight w:val="none"/>
        </w:rPr>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pPr>
      <w:bookmarkStart w:id="243" w:name="_Toc118580343"/>
      <w:r>
        <w:rPr>
          <w:rFonts w:hint="eastAsia" w:ascii="宋体" w:hAnsi="宋体" w:eastAsia="宋体"/>
          <w:color w:val="auto"/>
          <w:highlight w:val="none"/>
        </w:rPr>
        <w:t>在进行6.1.5.2c）的比对试验时，为复制动力蓄电池的荷电状态，可直接将动力蓄电池充电至该荷电状态或首先充电至该状态以上然后以大致恒定的功率对固定负载放电直至达到相应的荷电状态。对仅靠动力蓄电池供电的车辆，可通过车辆行驶来调整荷电状态。对在动力蓄电池部分充电的情况下进行的试验，应在达到所需的荷电状态后尽快进行。</w:t>
      </w:r>
      <w:bookmarkEnd w:id="243"/>
    </w:p>
    <w:p>
      <w:pPr>
        <w:pStyle w:val="204"/>
        <w:rPr>
          <w:vanish w:val="0"/>
          <w:color w:val="auto"/>
          <w:highlight w:val="none"/>
        </w:rPr>
      </w:pPr>
    </w:p>
    <w:p>
      <w:pPr>
        <w:pStyle w:val="205"/>
        <w:rPr>
          <w:vanish w:val="0"/>
          <w:color w:val="auto"/>
          <w:highlight w:val="none"/>
        </w:rPr>
      </w:pPr>
    </w:p>
    <w:p>
      <w:pPr>
        <w:pStyle w:val="82"/>
        <w:spacing w:after="156"/>
        <w:rPr>
          <w:color w:val="auto"/>
          <w:highlight w:val="none"/>
        </w:rPr>
      </w:pPr>
      <w:bookmarkStart w:id="244" w:name="_Toc7929"/>
      <w:r>
        <w:rPr>
          <w:color w:val="auto"/>
          <w:highlight w:val="none"/>
        </w:rPr>
        <w:br w:type="textWrapping"/>
      </w:r>
      <w:bookmarkStart w:id="245" w:name="_Toc118580344"/>
      <w:r>
        <w:rPr>
          <w:rFonts w:hint="eastAsia"/>
          <w:color w:val="auto"/>
          <w:highlight w:val="none"/>
        </w:rPr>
        <w:t>（规范性）</w:t>
      </w:r>
      <w:r>
        <w:rPr>
          <w:color w:val="auto"/>
          <w:highlight w:val="none"/>
        </w:rPr>
        <w:br w:type="textWrapping"/>
      </w:r>
      <w:r>
        <w:rPr>
          <w:rFonts w:hint="eastAsia"/>
          <w:color w:val="auto"/>
          <w:highlight w:val="none"/>
        </w:rPr>
        <w:t>制动电子控制系统功能安全要求</w:t>
      </w:r>
      <w:bookmarkEnd w:id="244"/>
      <w:bookmarkEnd w:id="245"/>
    </w:p>
    <w:p>
      <w:pPr>
        <w:pStyle w:val="84"/>
        <w:spacing w:before="156" w:after="156"/>
        <w:rPr>
          <w:color w:val="auto"/>
          <w:szCs w:val="21"/>
          <w:highlight w:val="none"/>
        </w:rPr>
      </w:pPr>
      <w:bookmarkStart w:id="246" w:name="_Toc16083"/>
      <w:r>
        <w:rPr>
          <w:rFonts w:hint="eastAsia"/>
          <w:color w:val="auto"/>
          <w:highlight w:val="none"/>
        </w:rPr>
        <w:t>总则</w:t>
      </w:r>
      <w:bookmarkEnd w:id="246"/>
    </w:p>
    <w:p>
      <w:pPr>
        <w:pStyle w:val="62"/>
        <w:ind w:firstLine="420"/>
        <w:rPr>
          <w:color w:val="auto"/>
          <w:szCs w:val="21"/>
          <w:highlight w:val="none"/>
        </w:rPr>
      </w:pPr>
      <w:r>
        <w:rPr>
          <w:rFonts w:hint="eastAsia"/>
          <w:color w:val="auto"/>
          <w:highlight w:val="none"/>
        </w:rPr>
        <w:t>车辆安全相关电子电气系统发生功能异常时，将会导致潜在的危害事件。GB/T 34590-</w:t>
      </w:r>
      <w:r>
        <w:rPr>
          <w:color w:val="auto"/>
          <w:highlight w:val="none"/>
        </w:rPr>
        <w:t>2022</w:t>
      </w:r>
      <w:r>
        <w:rPr>
          <w:rFonts w:hint="eastAsia"/>
          <w:color w:val="auto"/>
          <w:highlight w:val="none"/>
        </w:rPr>
        <w:t>（所有部分）阐明了车辆安全相关电子电气系统在安全生命周期内应满足的功能安全要求，以避免或降低因系统发生故障所导致的风险。</w:t>
      </w:r>
    </w:p>
    <w:p>
      <w:pPr>
        <w:pStyle w:val="62"/>
        <w:ind w:firstLine="420"/>
        <w:rPr>
          <w:color w:val="auto"/>
          <w:highlight w:val="none"/>
        </w:rPr>
      </w:pPr>
      <w:r>
        <w:rPr>
          <w:rFonts w:hint="eastAsia"/>
          <w:color w:val="auto"/>
          <w:highlight w:val="none"/>
        </w:rPr>
        <w:t>本附录规定了制动电子控制系统在功能安全方面的文档及验证确认的要求。</w:t>
      </w:r>
    </w:p>
    <w:p>
      <w:pPr>
        <w:pStyle w:val="62"/>
        <w:ind w:firstLine="420"/>
        <w:rPr>
          <w:color w:val="auto"/>
          <w:highlight w:val="none"/>
        </w:rPr>
      </w:pPr>
      <w:r>
        <w:rPr>
          <w:rFonts w:hint="eastAsia"/>
          <w:color w:val="auto"/>
          <w:highlight w:val="none"/>
        </w:rPr>
        <w:t>本附录不针对制动电子控制系统的标称性能，而是规定设计过程中应遵循的方法和系统验证确认时应具备的信息。检测机构应按照5.1.3和本附录的要求，针对制造商提交及备查的制动电子控制系统功能安全相关文档，进行文档审核评估及抽查试验。以证明系统在非故障和故障状态下实现了功能概念和功能安全概念，并满足本文件规定的、所有适用的性能要求。</w:t>
      </w:r>
    </w:p>
    <w:p>
      <w:pPr>
        <w:pStyle w:val="84"/>
        <w:spacing w:before="156" w:after="156"/>
        <w:rPr>
          <w:color w:val="auto"/>
          <w:highlight w:val="none"/>
        </w:rPr>
      </w:pPr>
      <w:bookmarkStart w:id="247" w:name="_Toc1795"/>
      <w:r>
        <w:rPr>
          <w:rFonts w:hint="eastAsia"/>
          <w:color w:val="auto"/>
          <w:highlight w:val="none"/>
        </w:rPr>
        <w:t>文档要求</w:t>
      </w:r>
      <w:bookmarkEnd w:id="247"/>
    </w:p>
    <w:p>
      <w:pPr>
        <w:pStyle w:val="85"/>
        <w:spacing w:before="156" w:after="156"/>
        <w:rPr>
          <w:color w:val="auto"/>
          <w:highlight w:val="none"/>
        </w:rPr>
      </w:pPr>
      <w:r>
        <w:rPr>
          <w:rFonts w:hint="eastAsia"/>
          <w:color w:val="auto"/>
          <w:highlight w:val="none"/>
        </w:rPr>
        <w:t>总体要求</w:t>
      </w:r>
    </w:p>
    <w:p>
      <w:pPr>
        <w:pStyle w:val="62"/>
        <w:ind w:firstLine="420"/>
        <w:rPr>
          <w:color w:val="auto"/>
          <w:highlight w:val="none"/>
        </w:rPr>
      </w:pPr>
      <w:r>
        <w:rPr>
          <w:rFonts w:hint="eastAsia"/>
          <w:color w:val="auto"/>
          <w:highlight w:val="none"/>
        </w:rPr>
        <w:t>制造商应具有相应的文档以说明制动电子控制系统的功能概念、为实现安全目标而制定的功能安全概念、安全措施、开发过程和方法，以证明系统：</w:t>
      </w:r>
    </w:p>
    <w:p>
      <w:pPr>
        <w:pStyle w:val="138"/>
        <w:rPr>
          <w:rFonts w:hint="eastAsia"/>
          <w:color w:val="auto"/>
          <w:highlight w:val="none"/>
        </w:rPr>
      </w:pPr>
      <w:r>
        <w:rPr>
          <w:rFonts w:hint="eastAsia"/>
          <w:color w:val="auto"/>
          <w:highlight w:val="none"/>
        </w:rPr>
        <w:t>通过设计保证系统在非故障和故障状态下实现了功能概念和功能安全概念；</w:t>
      </w:r>
    </w:p>
    <w:p>
      <w:pPr>
        <w:pStyle w:val="138"/>
        <w:rPr>
          <w:rFonts w:hint="eastAsia"/>
          <w:color w:val="auto"/>
          <w:highlight w:val="none"/>
        </w:rPr>
      </w:pPr>
      <w:r>
        <w:rPr>
          <w:rFonts w:hint="eastAsia"/>
          <w:color w:val="auto"/>
          <w:highlight w:val="none"/>
        </w:rPr>
        <w:t>满足本文件规定的非故障和故障状态下的性能要求；</w:t>
      </w:r>
    </w:p>
    <w:p>
      <w:pPr>
        <w:pStyle w:val="138"/>
        <w:rPr>
          <w:rFonts w:hint="eastAsia"/>
          <w:color w:val="auto"/>
          <w:highlight w:val="none"/>
        </w:rPr>
      </w:pPr>
      <w:r>
        <w:rPr>
          <w:rFonts w:hint="eastAsia"/>
          <w:color w:val="auto"/>
          <w:highlight w:val="none"/>
        </w:rPr>
        <w:t>开发过程和方法是适用的。</w:t>
      </w:r>
    </w:p>
    <w:p>
      <w:pPr>
        <w:pStyle w:val="62"/>
        <w:ind w:firstLine="420"/>
        <w:rPr>
          <w:color w:val="auto"/>
          <w:highlight w:val="none"/>
        </w:rPr>
      </w:pPr>
      <w:r>
        <w:rPr>
          <w:rFonts w:hint="eastAsia"/>
          <w:color w:val="auto"/>
          <w:highlight w:val="none"/>
        </w:rPr>
        <w:t>文档共包括以下两个部分：</w:t>
      </w:r>
    </w:p>
    <w:p>
      <w:pPr>
        <w:pStyle w:val="180"/>
        <w:numPr>
          <w:ilvl w:val="0"/>
          <w:numId w:val="78"/>
        </w:numPr>
        <w:rPr>
          <w:color w:val="auto"/>
          <w:highlight w:val="none"/>
        </w:rPr>
      </w:pPr>
      <w:r>
        <w:rPr>
          <w:rFonts w:hint="eastAsia"/>
          <w:color w:val="auto"/>
          <w:highlight w:val="none"/>
        </w:rPr>
        <w:t>提交的文档</w:t>
      </w:r>
    </w:p>
    <w:p>
      <w:pPr>
        <w:pStyle w:val="62"/>
        <w:ind w:firstLine="420"/>
        <w:rPr>
          <w:color w:val="auto"/>
          <w:highlight w:val="none"/>
        </w:rPr>
      </w:pPr>
      <w:r>
        <w:rPr>
          <w:rFonts w:hint="eastAsia"/>
          <w:color w:val="auto"/>
          <w:highlight w:val="none"/>
        </w:rPr>
        <w:t>制造商应将以下文档提交至检测机构，制造商应对所提交的文档与产品实际开发的一致性、可追溯性做出自我声明。具体包括：</w:t>
      </w:r>
    </w:p>
    <w:p>
      <w:pPr>
        <w:pStyle w:val="115"/>
        <w:numPr>
          <w:ilvl w:val="1"/>
          <w:numId w:val="32"/>
        </w:numPr>
        <w:rPr>
          <w:color w:val="auto"/>
          <w:highlight w:val="none"/>
        </w:rPr>
      </w:pPr>
      <w:r>
        <w:rPr>
          <w:rFonts w:hint="eastAsia"/>
          <w:color w:val="auto"/>
          <w:highlight w:val="none"/>
        </w:rPr>
        <w:t>制动电子控制系统描述（见B.2.2）；</w:t>
      </w:r>
    </w:p>
    <w:p>
      <w:pPr>
        <w:pStyle w:val="115"/>
        <w:numPr>
          <w:ilvl w:val="1"/>
          <w:numId w:val="32"/>
        </w:numPr>
        <w:rPr>
          <w:color w:val="auto"/>
          <w:highlight w:val="none"/>
        </w:rPr>
      </w:pPr>
      <w:r>
        <w:rPr>
          <w:rFonts w:hint="eastAsia"/>
          <w:color w:val="auto"/>
          <w:highlight w:val="none"/>
        </w:rPr>
        <w:t>危害分析和风险评估总结（见</w:t>
      </w:r>
      <w:r>
        <w:rPr>
          <w:color w:val="auto"/>
          <w:highlight w:val="none"/>
        </w:rPr>
        <w:t>B</w:t>
      </w:r>
      <w:r>
        <w:rPr>
          <w:rFonts w:hint="eastAsia"/>
          <w:color w:val="auto"/>
          <w:highlight w:val="none"/>
        </w:rPr>
        <w:t>.2.3.1）；</w:t>
      </w:r>
    </w:p>
    <w:p>
      <w:pPr>
        <w:pStyle w:val="115"/>
        <w:numPr>
          <w:ilvl w:val="1"/>
          <w:numId w:val="32"/>
        </w:numPr>
        <w:rPr>
          <w:color w:val="auto"/>
          <w:highlight w:val="none"/>
        </w:rPr>
      </w:pPr>
      <w:r>
        <w:rPr>
          <w:rFonts w:hint="eastAsia"/>
          <w:color w:val="auto"/>
          <w:highlight w:val="none"/>
        </w:rPr>
        <w:t>安全措施说明（见</w:t>
      </w:r>
      <w:r>
        <w:rPr>
          <w:color w:val="auto"/>
          <w:highlight w:val="none"/>
        </w:rPr>
        <w:t>B</w:t>
      </w:r>
      <w:r>
        <w:rPr>
          <w:rFonts w:hint="eastAsia"/>
          <w:color w:val="auto"/>
          <w:highlight w:val="none"/>
        </w:rPr>
        <w:t>.2.4）；</w:t>
      </w:r>
    </w:p>
    <w:p>
      <w:pPr>
        <w:pStyle w:val="115"/>
        <w:numPr>
          <w:ilvl w:val="1"/>
          <w:numId w:val="32"/>
        </w:numPr>
        <w:rPr>
          <w:color w:val="auto"/>
          <w:highlight w:val="none"/>
        </w:rPr>
      </w:pPr>
      <w:r>
        <w:rPr>
          <w:rFonts w:hint="eastAsia"/>
          <w:bCs/>
          <w:color w:val="auto"/>
          <w:highlight w:val="none"/>
        </w:rPr>
        <w:t>整车层面的安全分析总结</w:t>
      </w:r>
      <w:r>
        <w:rPr>
          <w:rFonts w:hint="eastAsia"/>
          <w:color w:val="auto"/>
          <w:highlight w:val="none"/>
        </w:rPr>
        <w:t>（见</w:t>
      </w:r>
      <w:r>
        <w:rPr>
          <w:color w:val="auto"/>
          <w:highlight w:val="none"/>
        </w:rPr>
        <w:t>B</w:t>
      </w:r>
      <w:r>
        <w:rPr>
          <w:rFonts w:hint="eastAsia"/>
          <w:color w:val="auto"/>
          <w:highlight w:val="none"/>
        </w:rPr>
        <w:t>.2.5.2）；</w:t>
      </w:r>
    </w:p>
    <w:p>
      <w:pPr>
        <w:pStyle w:val="115"/>
        <w:numPr>
          <w:ilvl w:val="1"/>
          <w:numId w:val="32"/>
        </w:numPr>
        <w:rPr>
          <w:color w:val="auto"/>
          <w:highlight w:val="none"/>
        </w:rPr>
      </w:pPr>
      <w:r>
        <w:rPr>
          <w:rFonts w:hint="eastAsia"/>
          <w:color w:val="auto"/>
          <w:highlight w:val="none"/>
        </w:rPr>
        <w:t>系统层面的安全分析总结（见</w:t>
      </w:r>
      <w:r>
        <w:rPr>
          <w:color w:val="auto"/>
          <w:highlight w:val="none"/>
        </w:rPr>
        <w:t>B</w:t>
      </w:r>
      <w:r>
        <w:rPr>
          <w:rFonts w:hint="eastAsia"/>
          <w:color w:val="auto"/>
          <w:highlight w:val="none"/>
        </w:rPr>
        <w:t>.2.5.4）；</w:t>
      </w:r>
    </w:p>
    <w:p>
      <w:pPr>
        <w:pStyle w:val="115"/>
        <w:numPr>
          <w:ilvl w:val="1"/>
          <w:numId w:val="32"/>
        </w:numPr>
        <w:rPr>
          <w:color w:val="auto"/>
          <w:highlight w:val="none"/>
        </w:rPr>
      </w:pPr>
      <w:r>
        <w:rPr>
          <w:rFonts w:hint="eastAsia"/>
          <w:color w:val="auto"/>
          <w:highlight w:val="none"/>
        </w:rPr>
        <w:t>系统层面的验证确认计划和结果总结（见</w:t>
      </w:r>
      <w:r>
        <w:rPr>
          <w:color w:val="auto"/>
          <w:highlight w:val="none"/>
        </w:rPr>
        <w:t>B</w:t>
      </w:r>
      <w:r>
        <w:rPr>
          <w:rFonts w:hint="eastAsia"/>
          <w:color w:val="auto"/>
          <w:highlight w:val="none"/>
        </w:rPr>
        <w:t>.2.6.2.1）；</w:t>
      </w:r>
    </w:p>
    <w:p>
      <w:pPr>
        <w:pStyle w:val="115"/>
        <w:numPr>
          <w:ilvl w:val="1"/>
          <w:numId w:val="32"/>
        </w:numPr>
        <w:rPr>
          <w:color w:val="auto"/>
          <w:highlight w:val="none"/>
        </w:rPr>
      </w:pPr>
      <w:r>
        <w:rPr>
          <w:rFonts w:hint="eastAsia"/>
          <w:color w:val="auto"/>
          <w:highlight w:val="none"/>
        </w:rPr>
        <w:t>整车层面的确认计划和结果总结（见</w:t>
      </w:r>
      <w:r>
        <w:rPr>
          <w:color w:val="auto"/>
          <w:highlight w:val="none"/>
        </w:rPr>
        <w:t>B</w:t>
      </w:r>
      <w:r>
        <w:rPr>
          <w:rFonts w:hint="eastAsia"/>
          <w:color w:val="auto"/>
          <w:highlight w:val="none"/>
        </w:rPr>
        <w:t>.2.6.3.1）。</w:t>
      </w:r>
    </w:p>
    <w:p>
      <w:pPr>
        <w:pStyle w:val="180"/>
        <w:numPr>
          <w:ilvl w:val="0"/>
          <w:numId w:val="32"/>
        </w:numPr>
        <w:rPr>
          <w:color w:val="auto"/>
          <w:kern w:val="2"/>
          <w:highlight w:val="none"/>
        </w:rPr>
      </w:pPr>
      <w:r>
        <w:rPr>
          <w:rFonts w:hint="eastAsia"/>
          <w:color w:val="auto"/>
          <w:highlight w:val="none"/>
        </w:rPr>
        <w:t>备查的文档</w:t>
      </w:r>
    </w:p>
    <w:p>
      <w:pPr>
        <w:pStyle w:val="62"/>
        <w:ind w:firstLine="420"/>
        <w:rPr>
          <w:strike/>
          <w:color w:val="auto"/>
          <w:highlight w:val="none"/>
        </w:rPr>
      </w:pPr>
      <w:r>
        <w:rPr>
          <w:rFonts w:hint="eastAsia"/>
          <w:color w:val="auto"/>
          <w:highlight w:val="none"/>
        </w:rPr>
        <w:t>制造商应具有下列相关文档，以供检测机构开展审核评估及抽查试验时公开备查。制造商应对所保管的文档一致性、可追溯性及所采取的安全策略不会对车辆安全运行产生影响做出自我声明。</w:t>
      </w:r>
    </w:p>
    <w:p>
      <w:pPr>
        <w:pStyle w:val="115"/>
        <w:numPr>
          <w:ilvl w:val="1"/>
          <w:numId w:val="32"/>
        </w:numPr>
        <w:rPr>
          <w:color w:val="auto"/>
          <w:highlight w:val="none"/>
        </w:rPr>
      </w:pPr>
      <w:r>
        <w:rPr>
          <w:rFonts w:hint="eastAsia"/>
          <w:color w:val="auto"/>
          <w:highlight w:val="none"/>
        </w:rPr>
        <w:t>详细危害分析和风险评估（见</w:t>
      </w:r>
      <w:r>
        <w:rPr>
          <w:color w:val="auto"/>
          <w:highlight w:val="none"/>
        </w:rPr>
        <w:t>B</w:t>
      </w:r>
      <w:r>
        <w:rPr>
          <w:rFonts w:hint="eastAsia"/>
          <w:color w:val="auto"/>
          <w:highlight w:val="none"/>
        </w:rPr>
        <w:t xml:space="preserve">.2.3.2）； </w:t>
      </w:r>
    </w:p>
    <w:p>
      <w:pPr>
        <w:pStyle w:val="115"/>
        <w:numPr>
          <w:ilvl w:val="1"/>
          <w:numId w:val="32"/>
        </w:numPr>
        <w:rPr>
          <w:color w:val="auto"/>
          <w:highlight w:val="none"/>
        </w:rPr>
      </w:pPr>
      <w:r>
        <w:rPr>
          <w:rFonts w:hint="eastAsia"/>
          <w:color w:val="auto"/>
          <w:highlight w:val="none"/>
        </w:rPr>
        <w:t>详细整车层面的安全分析（见</w:t>
      </w:r>
      <w:r>
        <w:rPr>
          <w:color w:val="auto"/>
          <w:highlight w:val="none"/>
        </w:rPr>
        <w:t>B</w:t>
      </w:r>
      <w:r>
        <w:rPr>
          <w:rFonts w:hint="eastAsia"/>
          <w:color w:val="auto"/>
          <w:highlight w:val="none"/>
        </w:rPr>
        <w:t>.2.5.3）</w:t>
      </w:r>
    </w:p>
    <w:p>
      <w:pPr>
        <w:pStyle w:val="115"/>
        <w:numPr>
          <w:ilvl w:val="1"/>
          <w:numId w:val="32"/>
        </w:numPr>
        <w:rPr>
          <w:color w:val="auto"/>
          <w:highlight w:val="none"/>
        </w:rPr>
      </w:pPr>
      <w:r>
        <w:rPr>
          <w:rFonts w:hint="eastAsia"/>
          <w:color w:val="auto"/>
          <w:highlight w:val="none"/>
        </w:rPr>
        <w:t>详细系统层面的安全分析（见</w:t>
      </w:r>
      <w:r>
        <w:rPr>
          <w:color w:val="auto"/>
          <w:highlight w:val="none"/>
        </w:rPr>
        <w:t>B</w:t>
      </w:r>
      <w:r>
        <w:rPr>
          <w:rFonts w:hint="eastAsia"/>
          <w:color w:val="auto"/>
          <w:highlight w:val="none"/>
        </w:rPr>
        <w:t>.2.5.5）</w:t>
      </w:r>
    </w:p>
    <w:p>
      <w:pPr>
        <w:pStyle w:val="115"/>
        <w:numPr>
          <w:ilvl w:val="1"/>
          <w:numId w:val="32"/>
        </w:numPr>
        <w:rPr>
          <w:color w:val="auto"/>
          <w:highlight w:val="none"/>
        </w:rPr>
      </w:pPr>
      <w:r>
        <w:rPr>
          <w:rFonts w:hint="eastAsia"/>
          <w:color w:val="auto"/>
          <w:highlight w:val="none"/>
        </w:rPr>
        <w:t>详细系统层面的验证确认计划和结果（见</w:t>
      </w:r>
      <w:r>
        <w:rPr>
          <w:color w:val="auto"/>
          <w:highlight w:val="none"/>
        </w:rPr>
        <w:t>B</w:t>
      </w:r>
      <w:r>
        <w:rPr>
          <w:rFonts w:hint="eastAsia"/>
          <w:color w:val="auto"/>
          <w:highlight w:val="none"/>
        </w:rPr>
        <w:t xml:space="preserve">.2.6.2.2）； </w:t>
      </w:r>
    </w:p>
    <w:p>
      <w:pPr>
        <w:pStyle w:val="115"/>
        <w:numPr>
          <w:ilvl w:val="1"/>
          <w:numId w:val="32"/>
        </w:numPr>
        <w:rPr>
          <w:color w:val="auto"/>
          <w:highlight w:val="none"/>
        </w:rPr>
      </w:pPr>
      <w:r>
        <w:rPr>
          <w:rFonts w:hint="eastAsia"/>
          <w:color w:val="auto"/>
          <w:highlight w:val="none"/>
        </w:rPr>
        <w:t>详细整车层面的确认计划和结果（见</w:t>
      </w:r>
      <w:r>
        <w:rPr>
          <w:color w:val="auto"/>
          <w:highlight w:val="none"/>
        </w:rPr>
        <w:t>B</w:t>
      </w:r>
      <w:r>
        <w:rPr>
          <w:rFonts w:hint="eastAsia"/>
          <w:color w:val="auto"/>
          <w:highlight w:val="none"/>
        </w:rPr>
        <w:t>.2.6.3.2）；</w:t>
      </w:r>
    </w:p>
    <w:p>
      <w:pPr>
        <w:pStyle w:val="115"/>
        <w:numPr>
          <w:ilvl w:val="1"/>
          <w:numId w:val="32"/>
        </w:numPr>
        <w:rPr>
          <w:rFonts w:ascii="Calibri" w:hAnsi="Calibri"/>
          <w:color w:val="auto"/>
          <w:kern w:val="2"/>
          <w:highlight w:val="none"/>
        </w:rPr>
      </w:pPr>
      <w:r>
        <w:rPr>
          <w:rFonts w:hint="eastAsia"/>
          <w:color w:val="auto"/>
          <w:highlight w:val="none"/>
        </w:rPr>
        <w:t>若有，其他支撑性材料或数据。</w:t>
      </w:r>
    </w:p>
    <w:p>
      <w:pPr>
        <w:pStyle w:val="85"/>
        <w:spacing w:before="156" w:after="156"/>
        <w:rPr>
          <w:color w:val="auto"/>
          <w:highlight w:val="none"/>
        </w:rPr>
      </w:pPr>
      <w:r>
        <w:rPr>
          <w:rFonts w:hint="eastAsia" w:hAnsi="黑体"/>
          <w:color w:val="auto"/>
          <w:highlight w:val="none"/>
        </w:rPr>
        <w:t>制动电子控制系统描述</w:t>
      </w:r>
    </w:p>
    <w:p>
      <w:pPr>
        <w:pStyle w:val="62"/>
        <w:ind w:firstLine="420"/>
        <w:rPr>
          <w:color w:val="auto"/>
          <w:highlight w:val="none"/>
        </w:rPr>
      </w:pPr>
      <w:r>
        <w:rPr>
          <w:rFonts w:hint="eastAsia"/>
          <w:color w:val="auto"/>
          <w:highlight w:val="none"/>
        </w:rPr>
        <w:t>制造商应提交制动电子控制系统描述，至少包括：</w:t>
      </w:r>
    </w:p>
    <w:p>
      <w:pPr>
        <w:pStyle w:val="180"/>
        <w:numPr>
          <w:ilvl w:val="0"/>
          <w:numId w:val="79"/>
        </w:numPr>
        <w:rPr>
          <w:color w:val="auto"/>
          <w:highlight w:val="none"/>
        </w:rPr>
      </w:pPr>
      <w:r>
        <w:rPr>
          <w:rFonts w:hint="eastAsia"/>
          <w:color w:val="auto"/>
          <w:highlight w:val="none"/>
        </w:rPr>
        <w:t>基本信息</w:t>
      </w:r>
    </w:p>
    <w:p>
      <w:pPr>
        <w:pStyle w:val="62"/>
        <w:ind w:firstLine="420"/>
        <w:rPr>
          <w:color w:val="auto"/>
          <w:highlight w:val="none"/>
        </w:rPr>
      </w:pPr>
      <w:r>
        <w:rPr>
          <w:rFonts w:hint="eastAsia"/>
          <w:color w:val="auto"/>
          <w:highlight w:val="none"/>
        </w:rPr>
        <w:t>描述制动电子控制系统的基本信息，至少应包括：制动电子控制系统型号、生产企业、软件版本号等。</w:t>
      </w:r>
    </w:p>
    <w:p>
      <w:pPr>
        <w:pStyle w:val="180"/>
        <w:numPr>
          <w:ilvl w:val="0"/>
          <w:numId w:val="32"/>
        </w:numPr>
        <w:rPr>
          <w:color w:val="auto"/>
          <w:highlight w:val="none"/>
        </w:rPr>
      </w:pPr>
      <w:r>
        <w:rPr>
          <w:rFonts w:hint="eastAsia"/>
          <w:color w:val="auto"/>
          <w:highlight w:val="none"/>
        </w:rPr>
        <w:t>功能描述</w:t>
      </w:r>
    </w:p>
    <w:p>
      <w:pPr>
        <w:pStyle w:val="62"/>
        <w:ind w:firstLine="420"/>
        <w:rPr>
          <w:color w:val="auto"/>
          <w:highlight w:val="none"/>
        </w:rPr>
      </w:pPr>
      <w:r>
        <w:rPr>
          <w:rFonts w:hint="eastAsia"/>
          <w:color w:val="auto"/>
          <w:highlight w:val="none"/>
        </w:rPr>
        <w:t>描述制动电子控制系统的功能概念，包括目的和功能描述清单。</w:t>
      </w:r>
    </w:p>
    <w:p>
      <w:pPr>
        <w:pStyle w:val="180"/>
        <w:numPr>
          <w:ilvl w:val="0"/>
          <w:numId w:val="32"/>
        </w:numPr>
        <w:rPr>
          <w:color w:val="auto"/>
          <w:highlight w:val="none"/>
        </w:rPr>
      </w:pPr>
      <w:r>
        <w:rPr>
          <w:rFonts w:hint="eastAsia"/>
          <w:color w:val="auto"/>
          <w:highlight w:val="none"/>
        </w:rPr>
        <w:t>系统的范围、边界、接口</w:t>
      </w:r>
    </w:p>
    <w:p>
      <w:pPr>
        <w:pStyle w:val="62"/>
        <w:ind w:firstLine="420"/>
        <w:rPr>
          <w:color w:val="auto"/>
          <w:highlight w:val="none"/>
        </w:rPr>
      </w:pPr>
      <w:r>
        <w:rPr>
          <w:rFonts w:hint="eastAsia"/>
          <w:color w:val="auto"/>
          <w:highlight w:val="none"/>
        </w:rPr>
        <w:t>描述制动电子控制系统的范围、边界、接口、内部包含的子系统和要素，并识别与其存在交互关系的外部系统或要素，以系统架构框图展示。</w:t>
      </w:r>
    </w:p>
    <w:p>
      <w:pPr>
        <w:pStyle w:val="180"/>
        <w:numPr>
          <w:ilvl w:val="0"/>
          <w:numId w:val="32"/>
        </w:numPr>
        <w:rPr>
          <w:color w:val="auto"/>
          <w:highlight w:val="none"/>
        </w:rPr>
      </w:pPr>
      <w:r>
        <w:rPr>
          <w:rFonts w:hint="eastAsia"/>
          <w:color w:val="auto"/>
          <w:highlight w:val="none"/>
        </w:rPr>
        <w:t>系统运行条件和约束限制</w:t>
      </w:r>
    </w:p>
    <w:p>
      <w:pPr>
        <w:pStyle w:val="62"/>
        <w:ind w:firstLine="420"/>
        <w:rPr>
          <w:color w:val="auto"/>
          <w:highlight w:val="none"/>
        </w:rPr>
      </w:pPr>
      <w:r>
        <w:rPr>
          <w:rFonts w:hint="eastAsia"/>
          <w:color w:val="auto"/>
          <w:highlight w:val="none"/>
        </w:rPr>
        <w:t>描述制动电子控制系统的运行条件和约束限制，针对相应的系统功能，说明有效工作范围的界限。</w:t>
      </w:r>
    </w:p>
    <w:p>
      <w:pPr>
        <w:pStyle w:val="180"/>
        <w:numPr>
          <w:ilvl w:val="0"/>
          <w:numId w:val="32"/>
        </w:numPr>
        <w:rPr>
          <w:color w:val="auto"/>
          <w:highlight w:val="none"/>
        </w:rPr>
      </w:pPr>
      <w:r>
        <w:rPr>
          <w:rFonts w:hint="eastAsia"/>
          <w:color w:val="auto"/>
          <w:highlight w:val="none"/>
        </w:rPr>
        <w:t>系统在整车上的布置及外观</w:t>
      </w:r>
    </w:p>
    <w:p>
      <w:pPr>
        <w:pStyle w:val="62"/>
        <w:ind w:firstLine="420"/>
        <w:rPr>
          <w:color w:val="auto"/>
          <w:highlight w:val="none"/>
        </w:rPr>
      </w:pPr>
      <w:r>
        <w:rPr>
          <w:rFonts w:hint="eastAsia"/>
          <w:color w:val="auto"/>
          <w:highlight w:val="none"/>
        </w:rPr>
        <w:t>以示意图展示系统在整车上的布置及系统外观。</w:t>
      </w:r>
    </w:p>
    <w:p>
      <w:pPr>
        <w:pStyle w:val="180"/>
        <w:numPr>
          <w:ilvl w:val="0"/>
          <w:numId w:val="32"/>
        </w:numPr>
        <w:rPr>
          <w:color w:val="auto"/>
          <w:highlight w:val="none"/>
        </w:rPr>
      </w:pPr>
      <w:r>
        <w:rPr>
          <w:rFonts w:hint="eastAsia"/>
          <w:color w:val="auto"/>
          <w:highlight w:val="none"/>
        </w:rPr>
        <w:t>系统布局及原理图</w:t>
      </w:r>
    </w:p>
    <w:p>
      <w:pPr>
        <w:pStyle w:val="115"/>
        <w:widowControl w:val="0"/>
        <w:numPr>
          <w:ilvl w:val="1"/>
          <w:numId w:val="32"/>
        </w:numPr>
        <w:ind w:left="0" w:leftChars="0" w:firstLine="420" w:firstLineChars="200"/>
        <w:rPr>
          <w:rFonts w:hint="eastAsia" w:ascii="宋体" w:hAnsi="Times New Roman" w:eastAsia="宋体"/>
          <w:color w:val="auto"/>
          <w:highlight w:val="none"/>
        </w:rPr>
      </w:pPr>
      <w:r>
        <w:rPr>
          <w:rFonts w:hint="eastAsia" w:ascii="宋体" w:hAnsi="Times New Roman" w:eastAsia="宋体"/>
          <w:color w:val="auto"/>
          <w:highlight w:val="none"/>
        </w:rPr>
        <w:t>系统组件清单</w:t>
      </w:r>
    </w:p>
    <w:p>
      <w:pPr>
        <w:pStyle w:val="115"/>
        <w:numPr>
          <w:ilvl w:val="-1"/>
          <w:numId w:val="0"/>
        </w:numPr>
        <w:tabs>
          <w:tab w:val="clear" w:pos="1276"/>
        </w:tabs>
        <w:ind w:left="0" w:leftChars="0" w:firstLine="420" w:firstLineChars="200"/>
        <w:rPr>
          <w:rFonts w:hint="eastAsia" w:hAnsi="Times New Roman"/>
          <w:color w:val="auto"/>
          <w:highlight w:val="none"/>
        </w:rPr>
      </w:pPr>
      <w:r>
        <w:rPr>
          <w:rFonts w:hint="eastAsia" w:hAnsi="Times New Roman"/>
          <w:color w:val="auto"/>
          <w:highlight w:val="none"/>
        </w:rPr>
        <w:t>应提交组件清单，该清单应包含系统的所有单元，同时也应列明为实现相关控制功能所需的车辆其他系统。</w:t>
      </w:r>
    </w:p>
    <w:p>
      <w:pPr>
        <w:pStyle w:val="115"/>
        <w:numPr>
          <w:ilvl w:val="-1"/>
          <w:numId w:val="0"/>
        </w:numPr>
        <w:tabs>
          <w:tab w:val="clear" w:pos="1276"/>
        </w:tabs>
        <w:ind w:left="0" w:leftChars="0" w:firstLine="420" w:firstLineChars="200"/>
        <w:rPr>
          <w:rFonts w:hint="eastAsia" w:ascii="宋体" w:hAnsi="Times New Roman"/>
          <w:color w:val="auto"/>
          <w:highlight w:val="none"/>
        </w:rPr>
      </w:pPr>
      <w:r>
        <w:rPr>
          <w:rFonts w:hint="eastAsia" w:ascii="宋体" w:hAnsi="Times New Roman"/>
          <w:color w:val="auto"/>
          <w:highlight w:val="none"/>
        </w:rPr>
        <w:t>应基于这些单元提供系统布局及原理图，该图应能够清晰地展示组件分布和相互连接。</w:t>
      </w:r>
    </w:p>
    <w:p>
      <w:pPr>
        <w:pStyle w:val="115"/>
        <w:widowControl w:val="0"/>
        <w:numPr>
          <w:ilvl w:val="1"/>
          <w:numId w:val="32"/>
        </w:numPr>
        <w:ind w:left="0" w:leftChars="0" w:firstLine="420" w:firstLineChars="200"/>
        <w:rPr>
          <w:rFonts w:hint="eastAsia" w:ascii="宋体" w:hAnsi="Times New Roman" w:eastAsia="宋体"/>
          <w:color w:val="auto"/>
          <w:highlight w:val="none"/>
        </w:rPr>
      </w:pPr>
      <w:r>
        <w:rPr>
          <w:rFonts w:hint="eastAsia" w:ascii="宋体" w:hAnsi="Times New Roman" w:eastAsia="宋体"/>
          <w:color w:val="auto"/>
          <w:highlight w:val="none"/>
        </w:rPr>
        <w:t>单元功能</w:t>
      </w:r>
    </w:p>
    <w:p>
      <w:pPr>
        <w:pStyle w:val="115"/>
        <w:numPr>
          <w:ilvl w:val="-1"/>
          <w:numId w:val="0"/>
        </w:numPr>
        <w:tabs>
          <w:tab w:val="clear" w:pos="1276"/>
        </w:tabs>
        <w:ind w:left="0" w:leftChars="0" w:firstLine="420" w:firstLineChars="200"/>
        <w:rPr>
          <w:rFonts w:hint="eastAsia" w:ascii="宋体" w:hAnsi="Times New Roman"/>
          <w:color w:val="auto"/>
          <w:highlight w:val="none"/>
        </w:rPr>
      </w:pPr>
      <w:r>
        <w:rPr>
          <w:rFonts w:hint="eastAsia" w:ascii="宋体" w:hAnsi="Times New Roman"/>
          <w:color w:val="auto"/>
          <w:highlight w:val="none"/>
        </w:rPr>
        <w:t>应概述系统各单元的功能，并展示该单元与其他单元或车辆其他系统间的信号连接。可使用带标记的框图或其他示意图，也可借助图表说明。</w:t>
      </w:r>
    </w:p>
    <w:p>
      <w:pPr>
        <w:pStyle w:val="115"/>
        <w:widowControl w:val="0"/>
        <w:numPr>
          <w:ilvl w:val="1"/>
          <w:numId w:val="32"/>
        </w:numPr>
        <w:ind w:left="0" w:leftChars="0" w:firstLine="420" w:firstLineChars="200"/>
        <w:rPr>
          <w:rFonts w:hint="eastAsia" w:ascii="宋体" w:hAnsi="Times New Roman" w:eastAsia="宋体"/>
          <w:color w:val="auto"/>
          <w:highlight w:val="none"/>
        </w:rPr>
      </w:pPr>
      <w:r>
        <w:rPr>
          <w:rFonts w:hint="eastAsia" w:ascii="宋体" w:hAnsi="Times New Roman" w:eastAsia="宋体"/>
          <w:color w:val="auto"/>
          <w:highlight w:val="none"/>
        </w:rPr>
        <w:t>相互连接</w:t>
      </w:r>
    </w:p>
    <w:p>
      <w:pPr>
        <w:pStyle w:val="115"/>
        <w:numPr>
          <w:ilvl w:val="-1"/>
          <w:numId w:val="0"/>
        </w:numPr>
        <w:tabs>
          <w:tab w:val="clear" w:pos="1276"/>
        </w:tabs>
        <w:ind w:left="0" w:leftChars="0" w:firstLine="420" w:firstLineChars="200"/>
        <w:rPr>
          <w:rFonts w:hint="eastAsia" w:ascii="宋体" w:hAnsi="Times New Roman"/>
          <w:color w:val="auto"/>
          <w:highlight w:val="none"/>
        </w:rPr>
      </w:pPr>
      <w:r>
        <w:rPr>
          <w:rFonts w:hint="eastAsia" w:ascii="宋体" w:hAnsi="Times New Roman"/>
          <w:color w:val="auto"/>
          <w:highlight w:val="none"/>
        </w:rPr>
        <w:t>用电路图、管路图和布置简图分别说明电子传输链、气压或液压传输链和机械连接装置在系统内部的相互连接。</w:t>
      </w:r>
    </w:p>
    <w:p>
      <w:pPr>
        <w:pStyle w:val="115"/>
        <w:widowControl w:val="0"/>
        <w:numPr>
          <w:ilvl w:val="1"/>
          <w:numId w:val="32"/>
        </w:numPr>
        <w:ind w:left="0" w:leftChars="0" w:firstLine="420" w:firstLineChars="200"/>
        <w:rPr>
          <w:rFonts w:hint="eastAsia" w:ascii="宋体" w:hAnsi="Times New Roman" w:eastAsia="宋体"/>
          <w:color w:val="auto"/>
          <w:highlight w:val="none"/>
        </w:rPr>
      </w:pPr>
      <w:r>
        <w:rPr>
          <w:rFonts w:hint="eastAsia" w:ascii="宋体" w:hAnsi="Times New Roman" w:eastAsia="宋体"/>
          <w:color w:val="auto"/>
          <w:highlight w:val="none"/>
        </w:rPr>
        <w:t>信号流和优先顺序</w:t>
      </w:r>
    </w:p>
    <w:p>
      <w:pPr>
        <w:pStyle w:val="115"/>
        <w:numPr>
          <w:ilvl w:val="-1"/>
          <w:numId w:val="0"/>
        </w:numPr>
        <w:tabs>
          <w:tab w:val="clear" w:pos="1276"/>
        </w:tabs>
        <w:ind w:left="0" w:leftChars="0" w:firstLine="420" w:firstLineChars="200"/>
        <w:rPr>
          <w:rFonts w:hint="eastAsia" w:hAnsi="Times New Roman"/>
          <w:color w:val="auto"/>
          <w:highlight w:val="none"/>
        </w:rPr>
      </w:pPr>
      <w:r>
        <w:rPr>
          <w:rFonts w:hint="eastAsia" w:hAnsi="Times New Roman"/>
          <w:color w:val="auto"/>
          <w:highlight w:val="none"/>
        </w:rPr>
        <w:t>单元间的传输链与信号应有明确的对应关系。</w:t>
      </w:r>
    </w:p>
    <w:p>
      <w:pPr>
        <w:pStyle w:val="115"/>
        <w:numPr>
          <w:ilvl w:val="-1"/>
          <w:numId w:val="0"/>
        </w:numPr>
        <w:tabs>
          <w:tab w:val="clear" w:pos="1276"/>
        </w:tabs>
        <w:ind w:left="0" w:leftChars="0" w:firstLine="420" w:firstLineChars="200"/>
        <w:rPr>
          <w:rFonts w:hint="eastAsia" w:ascii="宋体" w:hAnsi="Times New Roman"/>
          <w:color w:val="auto"/>
          <w:highlight w:val="none"/>
        </w:rPr>
      </w:pPr>
      <w:r>
        <w:rPr>
          <w:rFonts w:hint="eastAsia" w:ascii="宋体" w:hAnsi="Times New Roman"/>
          <w:color w:val="auto"/>
          <w:highlight w:val="none"/>
        </w:rPr>
        <w:t>如优先顺序影响本</w:t>
      </w:r>
      <w:r>
        <w:rPr>
          <w:rFonts w:hint="eastAsia"/>
          <w:color w:val="auto"/>
          <w:highlight w:val="none"/>
          <w:lang w:val="en-US" w:eastAsia="zh-CN"/>
        </w:rPr>
        <w:t>文件</w:t>
      </w:r>
      <w:r>
        <w:rPr>
          <w:rFonts w:hint="eastAsia" w:ascii="宋体" w:hAnsi="Times New Roman"/>
          <w:color w:val="auto"/>
          <w:highlight w:val="none"/>
        </w:rPr>
        <w:t>所述性能或安全，应确定多元数据通道内的信号的优先顺序。</w:t>
      </w:r>
    </w:p>
    <w:p>
      <w:pPr>
        <w:pStyle w:val="115"/>
        <w:widowControl w:val="0"/>
        <w:numPr>
          <w:ilvl w:val="1"/>
          <w:numId w:val="32"/>
        </w:numPr>
        <w:ind w:left="0" w:leftChars="0" w:firstLine="420" w:firstLineChars="200"/>
        <w:rPr>
          <w:rFonts w:hint="eastAsia" w:ascii="宋体" w:hAnsi="Times New Roman" w:eastAsia="宋体"/>
          <w:color w:val="auto"/>
          <w:highlight w:val="none"/>
        </w:rPr>
      </w:pPr>
      <w:r>
        <w:rPr>
          <w:rFonts w:hint="eastAsia" w:ascii="宋体" w:hAnsi="Times New Roman" w:eastAsia="宋体"/>
          <w:color w:val="auto"/>
          <w:highlight w:val="none"/>
        </w:rPr>
        <w:t>单元的识别</w:t>
      </w:r>
    </w:p>
    <w:p>
      <w:pPr>
        <w:pStyle w:val="115"/>
        <w:numPr>
          <w:ilvl w:val="-1"/>
          <w:numId w:val="0"/>
        </w:numPr>
        <w:tabs>
          <w:tab w:val="clear" w:pos="1276"/>
        </w:tabs>
        <w:ind w:left="0" w:leftChars="0" w:firstLine="420" w:firstLineChars="200"/>
        <w:rPr>
          <w:rFonts w:hint="eastAsia" w:ascii="宋体" w:hAnsi="Times New Roman"/>
          <w:color w:val="auto"/>
          <w:highlight w:val="none"/>
        </w:rPr>
      </w:pPr>
      <w:r>
        <w:rPr>
          <w:rFonts w:hint="eastAsia" w:ascii="宋体" w:hAnsi="Times New Roman"/>
          <w:color w:val="auto"/>
          <w:highlight w:val="none"/>
        </w:rPr>
        <w:t>应能清晰明确地识别每个单元并提供相应的说明。</w:t>
      </w:r>
    </w:p>
    <w:p>
      <w:pPr>
        <w:pStyle w:val="115"/>
        <w:numPr>
          <w:ilvl w:val="-1"/>
          <w:numId w:val="0"/>
        </w:numPr>
        <w:tabs>
          <w:tab w:val="clear" w:pos="1276"/>
        </w:tabs>
        <w:ind w:left="0" w:leftChars="0" w:firstLine="420" w:firstLineChars="200"/>
        <w:rPr>
          <w:rFonts w:hint="eastAsia" w:hAnsi="Times New Roman"/>
          <w:color w:val="auto"/>
          <w:highlight w:val="none"/>
        </w:rPr>
      </w:pPr>
      <w:r>
        <w:rPr>
          <w:rFonts w:hint="eastAsia" w:hAnsi="Times New Roman"/>
          <w:color w:val="auto"/>
          <w:highlight w:val="none"/>
        </w:rPr>
        <w:t>内部集成了多个功能的单个单元或单个处理器，在框图里多次出现时，为清晰和便于解释，仅用一个识别标志。应利用识别标志确认所提供的装置与相应的文档一致。</w:t>
      </w:r>
    </w:p>
    <w:p>
      <w:pPr>
        <w:pStyle w:val="115"/>
        <w:numPr>
          <w:ilvl w:val="-1"/>
          <w:numId w:val="0"/>
        </w:numPr>
        <w:tabs>
          <w:tab w:val="clear" w:pos="1276"/>
        </w:tabs>
        <w:ind w:left="0" w:leftChars="0" w:firstLine="420" w:firstLineChars="200"/>
        <w:rPr>
          <w:color w:val="auto"/>
          <w:highlight w:val="none"/>
        </w:rPr>
      </w:pPr>
      <w:r>
        <w:rPr>
          <w:rFonts w:hint="eastAsia"/>
          <w:color w:val="auto"/>
          <w:highlight w:val="none"/>
        </w:rPr>
        <w:t>识别标志应明确硬件的版本、软件（若有）的版本，如版本变化引起本</w:t>
      </w:r>
      <w:r>
        <w:rPr>
          <w:rFonts w:hint="eastAsia"/>
          <w:color w:val="auto"/>
          <w:highlight w:val="none"/>
          <w:lang w:val="en-US" w:eastAsia="zh-CN"/>
        </w:rPr>
        <w:t>文件</w:t>
      </w:r>
      <w:r>
        <w:rPr>
          <w:rFonts w:hint="eastAsia"/>
          <w:color w:val="auto"/>
          <w:highlight w:val="none"/>
        </w:rPr>
        <w:t>所述功能的改变，应对识别标志作相应地改变。</w:t>
      </w:r>
    </w:p>
    <w:p>
      <w:pPr>
        <w:pStyle w:val="85"/>
        <w:spacing w:before="156" w:after="156"/>
        <w:rPr>
          <w:color w:val="auto"/>
          <w:highlight w:val="none"/>
        </w:rPr>
      </w:pPr>
      <w:r>
        <w:rPr>
          <w:rFonts w:hint="eastAsia"/>
          <w:color w:val="auto"/>
          <w:highlight w:val="none"/>
        </w:rPr>
        <w:t>危害分析和风险评估</w:t>
      </w:r>
    </w:p>
    <w:p>
      <w:pPr>
        <w:pStyle w:val="87"/>
        <w:spacing w:before="156" w:after="156"/>
        <w:rPr>
          <w:color w:val="auto"/>
          <w:highlight w:val="none"/>
        </w:rPr>
      </w:pPr>
      <w:r>
        <w:rPr>
          <w:rFonts w:hint="eastAsia"/>
          <w:color w:val="auto"/>
          <w:highlight w:val="none"/>
        </w:rPr>
        <w:t>危害分析和风险评估总结</w:t>
      </w:r>
    </w:p>
    <w:p>
      <w:pPr>
        <w:pStyle w:val="62"/>
        <w:ind w:firstLine="420"/>
        <w:rPr>
          <w:rFonts w:hAnsi="宋体"/>
          <w:color w:val="auto"/>
          <w:highlight w:val="none"/>
        </w:rPr>
      </w:pPr>
      <w:r>
        <w:rPr>
          <w:rFonts w:hint="eastAsia" w:hAnsi="宋体"/>
          <w:color w:val="auto"/>
          <w:highlight w:val="none"/>
        </w:rPr>
        <w:t>制造商应</w:t>
      </w:r>
      <w:r>
        <w:rPr>
          <w:rFonts w:hint="eastAsia" w:hAnsi="宋体"/>
          <w:strike w:val="0"/>
          <w:color w:val="auto"/>
          <w:highlight w:val="none"/>
        </w:rPr>
        <w:t>提</w:t>
      </w:r>
      <w:r>
        <w:rPr>
          <w:rFonts w:hint="eastAsia" w:hAnsi="宋体"/>
          <w:color w:val="auto"/>
          <w:highlight w:val="none"/>
        </w:rPr>
        <w:t>交危害分析和风险评估总结，</w:t>
      </w:r>
      <w:r>
        <w:rPr>
          <w:rFonts w:hint="eastAsia" w:hAnsi="宋体"/>
          <w:bCs/>
          <w:color w:val="auto"/>
          <w:highlight w:val="none"/>
        </w:rPr>
        <w:t>描述</w:t>
      </w:r>
      <w:r>
        <w:rPr>
          <w:rFonts w:hint="eastAsia" w:hAnsi="宋体"/>
          <w:color w:val="auto"/>
          <w:highlight w:val="none"/>
        </w:rPr>
        <w:t>制动电子控制系统的功能</w:t>
      </w:r>
      <w:r>
        <w:rPr>
          <w:rFonts w:hint="eastAsia" w:hAnsi="宋体"/>
          <w:color w:val="auto"/>
          <w:highlight w:val="none"/>
          <w:lang w:val="en-US" w:eastAsia="zh-CN"/>
        </w:rPr>
        <w:t>异常表现</w:t>
      </w:r>
      <w:r>
        <w:rPr>
          <w:rFonts w:hint="eastAsia" w:hAnsi="宋体"/>
          <w:color w:val="auto"/>
          <w:highlight w:val="none"/>
        </w:rPr>
        <w:t>、</w:t>
      </w:r>
      <w:r>
        <w:rPr>
          <w:rFonts w:hint="eastAsia" w:hAnsi="宋体"/>
          <w:bCs/>
          <w:color w:val="auto"/>
          <w:highlight w:val="none"/>
        </w:rPr>
        <w:t>整车层面</w:t>
      </w:r>
      <w:r>
        <w:rPr>
          <w:rFonts w:hint="eastAsia" w:hAnsi="宋体"/>
          <w:color w:val="auto"/>
          <w:highlight w:val="none"/>
        </w:rPr>
        <w:t>危害、汽车安全完整性等级（ASIL）、安全目标。检测机构根据危害分析和风险评估总结，审核危害分析和风险评估的结果至少涵盖表</w:t>
      </w:r>
      <w:r>
        <w:rPr>
          <w:rFonts w:hint="eastAsia" w:hAnsi="宋体"/>
          <w:color w:val="auto"/>
          <w:highlight w:val="none"/>
          <w:lang w:val="en-US" w:eastAsia="zh-CN"/>
        </w:rPr>
        <w:t>B</w:t>
      </w:r>
      <w:r>
        <w:rPr>
          <w:rFonts w:hint="eastAsia" w:hAnsi="宋体"/>
          <w:color w:val="auto"/>
          <w:highlight w:val="none"/>
        </w:rPr>
        <w:t>.1中的整车危害及对应的安全目标。</w:t>
      </w:r>
    </w:p>
    <w:p>
      <w:pPr>
        <w:pStyle w:val="83"/>
        <w:spacing w:before="156" w:after="156"/>
        <w:rPr>
          <w:color w:val="auto"/>
          <w:highlight w:val="none"/>
        </w:rPr>
      </w:pPr>
      <w:r>
        <w:rPr>
          <w:rFonts w:hint="eastAsia"/>
          <w:color w:val="auto"/>
          <w:highlight w:val="none"/>
        </w:rPr>
        <w:t>制动电子控制系统相关危害的安全要求</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418"/>
        <w:gridCol w:w="3685"/>
        <w:gridCol w:w="3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pPr>
              <w:pStyle w:val="184"/>
              <w:rPr>
                <w:color w:val="auto"/>
                <w:highlight w:val="none"/>
              </w:rPr>
            </w:pPr>
            <w:r>
              <w:rPr>
                <w:rFonts w:hint="eastAsia" w:hAnsi="宋体"/>
                <w:color w:val="auto"/>
                <w:szCs w:val="18"/>
                <w:highlight w:val="none"/>
              </w:rPr>
              <w:t>序号</w:t>
            </w:r>
          </w:p>
        </w:tc>
        <w:tc>
          <w:tcPr>
            <w:tcW w:w="1418" w:type="dxa"/>
            <w:tcBorders>
              <w:top w:val="single" w:color="auto" w:sz="8" w:space="0"/>
              <w:bottom w:val="single" w:color="auto" w:sz="8" w:space="0"/>
            </w:tcBorders>
            <w:shd w:val="clear" w:color="auto" w:fill="auto"/>
            <w:vAlign w:val="center"/>
          </w:tcPr>
          <w:p>
            <w:pPr>
              <w:pStyle w:val="184"/>
              <w:rPr>
                <w:color w:val="auto"/>
                <w:highlight w:val="none"/>
              </w:rPr>
            </w:pPr>
            <w:r>
              <w:rPr>
                <w:rFonts w:hint="eastAsia" w:hAnsi="宋体"/>
                <w:color w:val="auto"/>
                <w:szCs w:val="18"/>
                <w:highlight w:val="none"/>
              </w:rPr>
              <w:t>整车危害</w:t>
            </w:r>
          </w:p>
        </w:tc>
        <w:tc>
          <w:tcPr>
            <w:tcW w:w="3685" w:type="dxa"/>
            <w:tcBorders>
              <w:top w:val="single" w:color="auto" w:sz="8" w:space="0"/>
              <w:bottom w:val="single" w:color="auto" w:sz="8" w:space="0"/>
            </w:tcBorders>
            <w:shd w:val="clear" w:color="auto" w:fill="auto"/>
            <w:vAlign w:val="center"/>
          </w:tcPr>
          <w:p>
            <w:pPr>
              <w:pStyle w:val="184"/>
              <w:rPr>
                <w:color w:val="auto"/>
                <w:highlight w:val="none"/>
              </w:rPr>
            </w:pPr>
            <w:r>
              <w:rPr>
                <w:rFonts w:hint="eastAsia" w:hAnsi="宋体"/>
                <w:color w:val="auto"/>
                <w:szCs w:val="18"/>
                <w:highlight w:val="none"/>
              </w:rPr>
              <w:t>安全目标</w:t>
            </w:r>
          </w:p>
        </w:tc>
        <w:tc>
          <w:tcPr>
            <w:tcW w:w="3674" w:type="dxa"/>
            <w:tcBorders>
              <w:top w:val="single" w:color="auto" w:sz="8" w:space="0"/>
              <w:bottom w:val="single" w:color="auto" w:sz="8" w:space="0"/>
            </w:tcBorders>
            <w:shd w:val="clear" w:color="auto" w:fill="auto"/>
            <w:vAlign w:val="center"/>
          </w:tcPr>
          <w:p>
            <w:pPr>
              <w:pStyle w:val="184"/>
              <w:rPr>
                <w:color w:val="auto"/>
                <w:highlight w:val="none"/>
              </w:rPr>
            </w:pPr>
            <w:r>
              <w:rPr>
                <w:rFonts w:hint="eastAsia" w:hAnsi="宋体"/>
                <w:color w:val="auto"/>
                <w:szCs w:val="18"/>
                <w:highlight w:val="none"/>
              </w:rPr>
              <w:t>制动电子控制系统功能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pPr>
              <w:pStyle w:val="184"/>
              <w:rPr>
                <w:color w:val="auto"/>
                <w:highlight w:val="none"/>
              </w:rPr>
            </w:pPr>
            <w:r>
              <w:rPr>
                <w:rFonts w:hint="eastAsia" w:hAnsi="宋体"/>
                <w:color w:val="auto"/>
                <w:szCs w:val="18"/>
                <w:highlight w:val="none"/>
              </w:rPr>
              <w:t>1</w:t>
            </w:r>
          </w:p>
        </w:tc>
        <w:tc>
          <w:tcPr>
            <w:tcW w:w="1418" w:type="dxa"/>
            <w:tcBorders>
              <w:top w:val="single" w:color="auto" w:sz="8" w:space="0"/>
            </w:tcBorders>
            <w:shd w:val="clear" w:color="auto" w:fill="auto"/>
            <w:vAlign w:val="center"/>
          </w:tcPr>
          <w:p>
            <w:pPr>
              <w:pStyle w:val="184"/>
              <w:jc w:val="left"/>
              <w:rPr>
                <w:color w:val="auto"/>
                <w:highlight w:val="none"/>
              </w:rPr>
            </w:pPr>
            <w:r>
              <w:rPr>
                <w:rFonts w:hint="eastAsia" w:hAnsi="宋体"/>
                <w:color w:val="auto"/>
                <w:szCs w:val="18"/>
                <w:highlight w:val="none"/>
              </w:rPr>
              <w:t>非预期的减速</w:t>
            </w:r>
          </w:p>
        </w:tc>
        <w:tc>
          <w:tcPr>
            <w:tcW w:w="3685" w:type="dxa"/>
            <w:tcBorders>
              <w:top w:val="single" w:color="auto" w:sz="8" w:space="0"/>
            </w:tcBorders>
            <w:shd w:val="clear" w:color="auto" w:fill="auto"/>
            <w:vAlign w:val="center"/>
          </w:tcPr>
          <w:p>
            <w:pPr>
              <w:pStyle w:val="184"/>
              <w:jc w:val="left"/>
              <w:rPr>
                <w:color w:val="auto"/>
                <w:highlight w:val="none"/>
              </w:rPr>
            </w:pPr>
            <w:r>
              <w:rPr>
                <w:rFonts w:hint="eastAsia" w:hAnsi="宋体"/>
                <w:color w:val="auto"/>
                <w:szCs w:val="18"/>
                <w:highlight w:val="none"/>
              </w:rPr>
              <w:t>车辆非预期的减速应满足非预期减速的安全度量</w:t>
            </w:r>
            <w:r>
              <w:rPr>
                <w:rFonts w:hAnsi="宋体"/>
                <w:color w:val="auto"/>
                <w:szCs w:val="18"/>
                <w:highlight w:val="none"/>
                <w:vertAlign w:val="superscript"/>
              </w:rPr>
              <w:t>a</w:t>
            </w:r>
          </w:p>
        </w:tc>
        <w:tc>
          <w:tcPr>
            <w:tcW w:w="3674" w:type="dxa"/>
            <w:tcBorders>
              <w:top w:val="single" w:color="auto" w:sz="8" w:space="0"/>
            </w:tcBorders>
            <w:shd w:val="clear" w:color="auto" w:fill="auto"/>
            <w:vAlign w:val="center"/>
          </w:tcPr>
          <w:p>
            <w:pPr>
              <w:pStyle w:val="184"/>
              <w:jc w:val="left"/>
              <w:rPr>
                <w:color w:val="auto"/>
                <w:highlight w:val="none"/>
              </w:rPr>
            </w:pPr>
            <w:r>
              <w:rPr>
                <w:rFonts w:hint="eastAsia" w:hAnsi="宋体"/>
                <w:color w:val="auto"/>
                <w:szCs w:val="18"/>
                <w:highlight w:val="none"/>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pPr>
              <w:pStyle w:val="184"/>
              <w:rPr>
                <w:rFonts w:hAnsi="宋体"/>
                <w:color w:val="auto"/>
                <w:szCs w:val="18"/>
                <w:highlight w:val="none"/>
              </w:rPr>
            </w:pPr>
            <w:r>
              <w:rPr>
                <w:rFonts w:hint="eastAsia" w:hAnsi="宋体"/>
                <w:color w:val="auto"/>
                <w:szCs w:val="18"/>
                <w:highlight w:val="none"/>
              </w:rPr>
              <w:t>2</w:t>
            </w:r>
          </w:p>
        </w:tc>
        <w:tc>
          <w:tcPr>
            <w:tcW w:w="1418" w:type="dxa"/>
            <w:shd w:val="clear" w:color="auto" w:fill="auto"/>
            <w:vAlign w:val="center"/>
          </w:tcPr>
          <w:p>
            <w:pPr>
              <w:pStyle w:val="184"/>
              <w:jc w:val="left"/>
              <w:rPr>
                <w:rFonts w:hAnsi="宋体"/>
                <w:color w:val="auto"/>
                <w:szCs w:val="18"/>
                <w:highlight w:val="none"/>
              </w:rPr>
            </w:pPr>
            <w:r>
              <w:rPr>
                <w:rFonts w:hint="eastAsia" w:hAnsi="宋体"/>
                <w:color w:val="auto"/>
                <w:szCs w:val="18"/>
                <w:highlight w:val="none"/>
              </w:rPr>
              <w:t>非预期的减速能力下降</w:t>
            </w:r>
          </w:p>
        </w:tc>
        <w:tc>
          <w:tcPr>
            <w:tcW w:w="3685" w:type="dxa"/>
            <w:shd w:val="clear" w:color="auto" w:fill="auto"/>
            <w:vAlign w:val="center"/>
          </w:tcPr>
          <w:p>
            <w:pPr>
              <w:pStyle w:val="184"/>
              <w:jc w:val="left"/>
              <w:rPr>
                <w:rFonts w:hAnsi="宋体"/>
                <w:color w:val="auto"/>
                <w:szCs w:val="18"/>
                <w:highlight w:val="none"/>
              </w:rPr>
            </w:pPr>
            <w:r>
              <w:rPr>
                <w:rFonts w:hint="eastAsia" w:hAnsi="宋体"/>
                <w:color w:val="auto"/>
                <w:szCs w:val="18"/>
                <w:highlight w:val="none"/>
              </w:rPr>
              <w:t>车辆非预期的减速能力下降应满足非预期减速能力下降的安全度量</w:t>
            </w:r>
            <w:r>
              <w:rPr>
                <w:rFonts w:hAnsi="宋体"/>
                <w:color w:val="auto"/>
                <w:szCs w:val="18"/>
                <w:highlight w:val="none"/>
                <w:vertAlign w:val="superscript"/>
              </w:rPr>
              <w:t>a</w:t>
            </w:r>
          </w:p>
        </w:tc>
        <w:tc>
          <w:tcPr>
            <w:tcW w:w="3674" w:type="dxa"/>
            <w:shd w:val="clear" w:color="auto" w:fill="auto"/>
            <w:vAlign w:val="center"/>
          </w:tcPr>
          <w:p>
            <w:pPr>
              <w:pStyle w:val="184"/>
              <w:jc w:val="left"/>
              <w:rPr>
                <w:rFonts w:hAnsi="宋体"/>
                <w:color w:val="auto"/>
                <w:szCs w:val="18"/>
                <w:highlight w:val="none"/>
              </w:rPr>
            </w:pPr>
            <w:r>
              <w:rPr>
                <w:rFonts w:hint="eastAsia" w:hAnsi="宋体"/>
                <w:color w:val="auto"/>
                <w:szCs w:val="18"/>
                <w:highlight w:val="none"/>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pPr>
              <w:pStyle w:val="184"/>
              <w:rPr>
                <w:color w:val="auto"/>
                <w:highlight w:val="none"/>
              </w:rPr>
            </w:pPr>
            <w:r>
              <w:rPr>
                <w:rFonts w:hint="eastAsia" w:hAnsi="宋体"/>
                <w:color w:val="auto"/>
                <w:szCs w:val="18"/>
                <w:highlight w:val="none"/>
              </w:rPr>
              <w:t>3</w:t>
            </w:r>
          </w:p>
        </w:tc>
        <w:tc>
          <w:tcPr>
            <w:tcW w:w="1418" w:type="dxa"/>
            <w:shd w:val="clear" w:color="auto" w:fill="auto"/>
            <w:vAlign w:val="center"/>
          </w:tcPr>
          <w:p>
            <w:pPr>
              <w:pStyle w:val="184"/>
              <w:jc w:val="left"/>
              <w:rPr>
                <w:color w:val="auto"/>
                <w:highlight w:val="none"/>
              </w:rPr>
            </w:pPr>
            <w:r>
              <w:rPr>
                <w:rFonts w:hint="eastAsia" w:hAnsi="宋体"/>
                <w:color w:val="auto"/>
                <w:szCs w:val="18"/>
                <w:highlight w:val="none"/>
              </w:rPr>
              <w:t>非预期的纵向运动</w:t>
            </w:r>
          </w:p>
        </w:tc>
        <w:tc>
          <w:tcPr>
            <w:tcW w:w="3685" w:type="dxa"/>
            <w:shd w:val="clear" w:color="auto" w:fill="auto"/>
            <w:vAlign w:val="center"/>
          </w:tcPr>
          <w:p>
            <w:pPr>
              <w:pStyle w:val="184"/>
              <w:jc w:val="left"/>
              <w:rPr>
                <w:color w:val="auto"/>
                <w:highlight w:val="none"/>
              </w:rPr>
            </w:pPr>
            <w:r>
              <w:rPr>
                <w:rFonts w:hint="eastAsia" w:hAnsi="宋体"/>
                <w:color w:val="auto"/>
                <w:szCs w:val="18"/>
                <w:highlight w:val="none"/>
              </w:rPr>
              <w:t>车辆非预期的纵向运动位移应满足非预期的纵向运动的安全度量</w:t>
            </w:r>
            <w:r>
              <w:rPr>
                <w:rFonts w:hAnsi="宋体"/>
                <w:color w:val="auto"/>
                <w:szCs w:val="18"/>
                <w:highlight w:val="none"/>
                <w:vertAlign w:val="superscript"/>
              </w:rPr>
              <w:t>a</w:t>
            </w:r>
          </w:p>
        </w:tc>
        <w:tc>
          <w:tcPr>
            <w:tcW w:w="3674" w:type="dxa"/>
            <w:shd w:val="clear" w:color="auto" w:fill="auto"/>
            <w:vAlign w:val="center"/>
          </w:tcPr>
          <w:p>
            <w:pPr>
              <w:pStyle w:val="184"/>
              <w:jc w:val="left"/>
              <w:rPr>
                <w:color w:val="auto"/>
                <w:highlight w:val="none"/>
              </w:rPr>
            </w:pPr>
            <w:r>
              <w:rPr>
                <w:rFonts w:hint="eastAsia" w:hAnsi="宋体"/>
                <w:color w:val="auto"/>
                <w:szCs w:val="18"/>
                <w:highlight w:val="none"/>
              </w:rPr>
              <w:t>采用电子传输的驻车制动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bottom w:val="single" w:color="auto" w:sz="8" w:space="0"/>
            </w:tcBorders>
            <w:shd w:val="clear" w:color="auto" w:fill="auto"/>
            <w:vAlign w:val="center"/>
          </w:tcPr>
          <w:p>
            <w:pPr>
              <w:pStyle w:val="184"/>
              <w:rPr>
                <w:color w:val="auto"/>
                <w:highlight w:val="none"/>
              </w:rPr>
            </w:pPr>
            <w:r>
              <w:rPr>
                <w:rFonts w:hint="eastAsia" w:hAnsi="宋体"/>
                <w:color w:val="auto"/>
                <w:szCs w:val="18"/>
                <w:highlight w:val="none"/>
              </w:rPr>
              <w:t>4</w:t>
            </w:r>
          </w:p>
        </w:tc>
        <w:tc>
          <w:tcPr>
            <w:tcW w:w="1418" w:type="dxa"/>
            <w:tcBorders>
              <w:bottom w:val="single" w:color="auto" w:sz="8" w:space="0"/>
            </w:tcBorders>
            <w:shd w:val="clear" w:color="auto" w:fill="auto"/>
            <w:vAlign w:val="center"/>
          </w:tcPr>
          <w:p>
            <w:pPr>
              <w:pStyle w:val="184"/>
              <w:jc w:val="left"/>
              <w:rPr>
                <w:color w:val="auto"/>
                <w:highlight w:val="none"/>
              </w:rPr>
            </w:pPr>
            <w:r>
              <w:rPr>
                <w:rFonts w:hint="eastAsia" w:hAnsi="宋体"/>
                <w:color w:val="auto"/>
                <w:szCs w:val="18"/>
                <w:highlight w:val="none"/>
              </w:rPr>
              <w:t>非预期的侧向运动</w:t>
            </w:r>
            <w:r>
              <w:rPr>
                <w:rFonts w:hAnsi="宋体"/>
                <w:color w:val="auto"/>
                <w:szCs w:val="18"/>
                <w:highlight w:val="none"/>
                <w:vertAlign w:val="superscript"/>
              </w:rPr>
              <w:t>b</w:t>
            </w:r>
          </w:p>
        </w:tc>
        <w:tc>
          <w:tcPr>
            <w:tcW w:w="3685" w:type="dxa"/>
            <w:tcBorders>
              <w:bottom w:val="single" w:color="auto" w:sz="8" w:space="0"/>
            </w:tcBorders>
            <w:shd w:val="clear" w:color="auto" w:fill="auto"/>
            <w:vAlign w:val="center"/>
          </w:tcPr>
          <w:p>
            <w:pPr>
              <w:pStyle w:val="184"/>
              <w:jc w:val="left"/>
              <w:rPr>
                <w:color w:val="auto"/>
                <w:highlight w:val="none"/>
              </w:rPr>
            </w:pPr>
            <w:r>
              <w:rPr>
                <w:rFonts w:hint="eastAsia" w:hAnsi="宋体"/>
                <w:color w:val="auto"/>
                <w:szCs w:val="18"/>
                <w:highlight w:val="none"/>
              </w:rPr>
              <w:t>车辆非预期的侧向运动应满足非预期侧向运动的安全度量</w:t>
            </w:r>
          </w:p>
        </w:tc>
        <w:tc>
          <w:tcPr>
            <w:tcW w:w="3674" w:type="dxa"/>
            <w:tcBorders>
              <w:bottom w:val="single" w:color="auto" w:sz="8" w:space="0"/>
            </w:tcBorders>
            <w:shd w:val="clear" w:color="auto" w:fill="auto"/>
            <w:vAlign w:val="center"/>
          </w:tcPr>
          <w:p>
            <w:pPr>
              <w:pStyle w:val="184"/>
              <w:jc w:val="left"/>
              <w:rPr>
                <w:color w:val="auto"/>
                <w:highlight w:val="none"/>
              </w:rPr>
            </w:pPr>
            <w:r>
              <w:rPr>
                <w:rFonts w:hint="eastAsia" w:hAnsi="宋体"/>
                <w:color w:val="auto"/>
                <w:szCs w:val="18"/>
                <w:highlight w:val="none"/>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07"/>
              <w:numPr>
                <w:ilvl w:val="0"/>
                <w:numId w:val="80"/>
              </w:numPr>
              <w:rPr>
                <w:color w:val="auto"/>
                <w:highlight w:val="none"/>
              </w:rPr>
            </w:pPr>
            <w:r>
              <w:rPr>
                <w:color w:val="auto"/>
                <w:highlight w:val="none"/>
              </w:rPr>
              <w:t>制造商应针对相关整车危害定义安全度量，例如：车辆减速度值、施加在制动控制装置上的控制力、车辆位移等在某个安全范围内。</w:t>
            </w:r>
          </w:p>
          <w:p>
            <w:pPr>
              <w:pStyle w:val="107"/>
              <w:rPr>
                <w:color w:val="auto"/>
                <w:highlight w:val="none"/>
              </w:rPr>
            </w:pPr>
            <w:r>
              <w:rPr>
                <w:color w:val="auto"/>
                <w:highlight w:val="none"/>
              </w:rPr>
              <w:t>非预期的侧向运动可能由制动力不均衡、非预期的制动功能激活或丢失而导致车辆偏离预期轨迹。</w:t>
            </w:r>
          </w:p>
        </w:tc>
      </w:tr>
    </w:tbl>
    <w:p>
      <w:pPr>
        <w:pStyle w:val="87"/>
        <w:spacing w:before="156" w:after="156"/>
        <w:rPr>
          <w:color w:val="auto"/>
          <w:szCs w:val="21"/>
          <w:highlight w:val="none"/>
        </w:rPr>
      </w:pPr>
      <w:r>
        <w:rPr>
          <w:rFonts w:hint="eastAsia"/>
          <w:color w:val="auto"/>
          <w:highlight w:val="none"/>
        </w:rPr>
        <w:t>详细危害分析和风险评估</w:t>
      </w:r>
    </w:p>
    <w:p>
      <w:pPr>
        <w:pStyle w:val="62"/>
        <w:ind w:firstLine="420"/>
        <w:rPr>
          <w:color w:val="auto"/>
          <w:highlight w:val="none"/>
        </w:rPr>
      </w:pPr>
      <w:r>
        <w:rPr>
          <w:rFonts w:hint="eastAsia"/>
          <w:color w:val="auto"/>
          <w:highlight w:val="none"/>
        </w:rPr>
        <w:t>制造商应具有详细危害分析和风险评估以备查，并提供相关的企业名称、文件名、版本、状态、日期、储存位置等基本信息。</w:t>
      </w:r>
    </w:p>
    <w:p>
      <w:pPr>
        <w:pStyle w:val="85"/>
        <w:spacing w:before="156" w:after="156"/>
        <w:rPr>
          <w:color w:val="auto"/>
          <w:highlight w:val="none"/>
        </w:rPr>
      </w:pPr>
      <w:r>
        <w:rPr>
          <w:rFonts w:hint="eastAsia"/>
          <w:color w:val="auto"/>
          <w:highlight w:val="none"/>
        </w:rPr>
        <w:t>安全措施说明</w:t>
      </w:r>
    </w:p>
    <w:p>
      <w:pPr>
        <w:pStyle w:val="62"/>
        <w:ind w:firstLine="420"/>
        <w:rPr>
          <w:color w:val="auto"/>
          <w:highlight w:val="none"/>
        </w:rPr>
      </w:pPr>
      <w:r>
        <w:rPr>
          <w:rFonts w:hint="eastAsia"/>
          <w:color w:val="auto"/>
          <w:highlight w:val="none"/>
        </w:rPr>
        <w:t>制造商应提交安全措施说明，描述制动电子控制系统发生的功能</w:t>
      </w:r>
      <w:r>
        <w:rPr>
          <w:rFonts w:hint="eastAsia"/>
          <w:color w:val="auto"/>
          <w:highlight w:val="none"/>
          <w:lang w:val="en-US" w:eastAsia="zh-CN"/>
        </w:rPr>
        <w:t>异常表现</w:t>
      </w:r>
      <w:r>
        <w:rPr>
          <w:rFonts w:hint="eastAsia"/>
          <w:color w:val="auto"/>
          <w:highlight w:val="none"/>
        </w:rPr>
        <w:t>、导致的整车危害、对应采取的安全措施。确保为实现安全目标而选择的安全措施不会在故障条件、非故障条件下影响车辆的安全运行。</w:t>
      </w:r>
    </w:p>
    <w:p>
      <w:pPr>
        <w:pStyle w:val="62"/>
        <w:ind w:firstLine="420"/>
        <w:rPr>
          <w:color w:val="auto"/>
          <w:highlight w:val="none"/>
        </w:rPr>
      </w:pPr>
      <w:r>
        <w:rPr>
          <w:rFonts w:hint="eastAsia"/>
          <w:color w:val="auto"/>
          <w:highlight w:val="none"/>
        </w:rPr>
        <w:t>制动电子控制系统安全相关功能发生失效时，应通过警告信号或提示信息等方式警告</w:t>
      </w:r>
      <w:r>
        <w:rPr>
          <w:rFonts w:hint="eastAsia"/>
          <w:color w:val="auto"/>
          <w:highlight w:val="none"/>
          <w:lang w:eastAsia="zh-CN"/>
        </w:rPr>
        <w:t>驾驶人</w:t>
      </w:r>
      <w:r>
        <w:rPr>
          <w:rFonts w:hint="eastAsia"/>
          <w:color w:val="auto"/>
          <w:highlight w:val="none"/>
        </w:rPr>
        <w:t>。</w:t>
      </w:r>
    </w:p>
    <w:p>
      <w:pPr>
        <w:pStyle w:val="62"/>
        <w:ind w:firstLine="420"/>
        <w:rPr>
          <w:color w:val="auto"/>
          <w:highlight w:val="none"/>
        </w:rPr>
      </w:pPr>
      <w:r>
        <w:rPr>
          <w:rFonts w:hint="eastAsia"/>
          <w:color w:val="auto"/>
          <w:highlight w:val="none"/>
        </w:rPr>
        <w:t>在制动电子控制系统发生故障时，为满足安全目标而在设计时可采取的安全措施（含外部措施）如下：</w:t>
      </w:r>
    </w:p>
    <w:p>
      <w:pPr>
        <w:pStyle w:val="138"/>
        <w:rPr>
          <w:color w:val="auto"/>
          <w:highlight w:val="none"/>
        </w:rPr>
      </w:pPr>
      <w:r>
        <w:rPr>
          <w:rFonts w:hint="eastAsia"/>
          <w:color w:val="auto"/>
          <w:highlight w:val="none"/>
        </w:rPr>
        <w:t>利用部分系统维持工作。如在特定条件下发生失效时选择维持部分性能的运行模式，应说明该条件并界定其效果。</w:t>
      </w:r>
    </w:p>
    <w:p>
      <w:pPr>
        <w:pStyle w:val="138"/>
        <w:rPr>
          <w:color w:val="auto"/>
          <w:highlight w:val="none"/>
        </w:rPr>
      </w:pPr>
      <w:r>
        <w:rPr>
          <w:rFonts w:hint="eastAsia"/>
          <w:color w:val="auto"/>
          <w:highlight w:val="none"/>
        </w:rPr>
        <w:t>切换到独立的备用系统。如选择备用系统方式来实现安全目标，应对切换机制的原理、冗余的逻辑和层级、备用系统检查特征进行说明并界定备用系统的效果。</w:t>
      </w:r>
    </w:p>
    <w:p>
      <w:pPr>
        <w:pStyle w:val="138"/>
        <w:rPr>
          <w:color w:val="auto"/>
          <w:highlight w:val="none"/>
        </w:rPr>
      </w:pPr>
      <w:r>
        <w:rPr>
          <w:rFonts w:hint="eastAsia"/>
          <w:color w:val="auto"/>
          <w:highlight w:val="none"/>
        </w:rPr>
        <w:t>通过关闭功能而进入安全状态。如选择关闭上层功能，应禁止与该功能有关的所有相应的输出控制信号，以此来限制干扰的传播。</w:t>
      </w:r>
    </w:p>
    <w:p>
      <w:pPr>
        <w:pStyle w:val="138"/>
        <w:rPr>
          <w:color w:val="auto"/>
          <w:highlight w:val="none"/>
        </w:rPr>
      </w:pPr>
      <w:r>
        <w:rPr>
          <w:rFonts w:hint="eastAsia"/>
          <w:color w:val="auto"/>
          <w:highlight w:val="none"/>
        </w:rPr>
        <w:t>通过警告</w:t>
      </w:r>
      <w:r>
        <w:rPr>
          <w:rFonts w:hint="eastAsia"/>
          <w:color w:val="auto"/>
          <w:highlight w:val="none"/>
          <w:lang w:eastAsia="zh-CN"/>
        </w:rPr>
        <w:t>驾驶人</w:t>
      </w:r>
      <w:r>
        <w:rPr>
          <w:rFonts w:hint="eastAsia"/>
          <w:color w:val="auto"/>
          <w:highlight w:val="none"/>
        </w:rPr>
        <w:t>，将风险暴露时间降低到一个可接受的时间区间内。</w:t>
      </w:r>
    </w:p>
    <w:p>
      <w:pPr>
        <w:pStyle w:val="85"/>
        <w:spacing w:before="156" w:after="156"/>
        <w:rPr>
          <w:color w:val="auto"/>
          <w:highlight w:val="none"/>
        </w:rPr>
      </w:pPr>
      <w:r>
        <w:rPr>
          <w:rFonts w:hint="eastAsia"/>
          <w:color w:val="auto"/>
          <w:highlight w:val="none"/>
        </w:rPr>
        <w:t>安全分析</w:t>
      </w:r>
    </w:p>
    <w:p>
      <w:pPr>
        <w:pStyle w:val="87"/>
        <w:spacing w:before="156" w:after="156"/>
        <w:rPr>
          <w:color w:val="auto"/>
          <w:highlight w:val="none"/>
        </w:rPr>
      </w:pPr>
      <w:r>
        <w:rPr>
          <w:rFonts w:hint="eastAsia"/>
          <w:color w:val="auto"/>
          <w:highlight w:val="none"/>
        </w:rPr>
        <w:t>总体要求</w:t>
      </w:r>
    </w:p>
    <w:p>
      <w:pPr>
        <w:pStyle w:val="62"/>
        <w:ind w:firstLine="420"/>
        <w:rPr>
          <w:color w:val="auto"/>
          <w:highlight w:val="none"/>
        </w:rPr>
      </w:pPr>
      <w:r>
        <w:rPr>
          <w:rFonts w:hint="eastAsia"/>
          <w:color w:val="auto"/>
          <w:highlight w:val="none"/>
        </w:rPr>
        <w:t>制造商应提交整车层面和系统层面的安全分析，说明对影响</w:t>
      </w:r>
      <w:r>
        <w:rPr>
          <w:rFonts w:hint="eastAsia"/>
          <w:color w:val="auto"/>
          <w:highlight w:val="none"/>
          <w:lang w:val="en-US" w:eastAsia="zh-CN"/>
        </w:rPr>
        <w:t>表B.1中</w:t>
      </w:r>
      <w:r>
        <w:rPr>
          <w:rFonts w:hint="eastAsia"/>
          <w:color w:val="auto"/>
          <w:highlight w:val="none"/>
        </w:rPr>
        <w:t>安全目标的危害和故障进行了有效识别和处理。安全分析应包括但不限于：</w:t>
      </w:r>
    </w:p>
    <w:p>
      <w:pPr>
        <w:pStyle w:val="180"/>
        <w:numPr>
          <w:ilvl w:val="0"/>
          <w:numId w:val="81"/>
        </w:numPr>
        <w:rPr>
          <w:color w:val="auto"/>
          <w:highlight w:val="none"/>
        </w:rPr>
      </w:pPr>
      <w:r>
        <w:rPr>
          <w:rFonts w:hint="eastAsia"/>
          <w:color w:val="auto"/>
          <w:highlight w:val="none"/>
        </w:rPr>
        <w:t>整车层面的安全分析,可采用危害分析和风险评估、失效模式与影响分析（FMEA）、故障树分析（FTA）或适合整车安全分析的其</w:t>
      </w:r>
      <w:r>
        <w:rPr>
          <w:rFonts w:hint="eastAsia"/>
          <w:color w:val="auto"/>
          <w:highlight w:val="none"/>
          <w:lang w:val="en-US" w:eastAsia="zh-CN"/>
        </w:rPr>
        <w:t>他</w:t>
      </w:r>
      <w:r>
        <w:rPr>
          <w:rFonts w:hint="eastAsia"/>
          <w:color w:val="auto"/>
          <w:highlight w:val="none"/>
        </w:rPr>
        <w:t>类似方法。</w:t>
      </w:r>
    </w:p>
    <w:p>
      <w:pPr>
        <w:pStyle w:val="180"/>
        <w:numPr>
          <w:ilvl w:val="0"/>
          <w:numId w:val="32"/>
        </w:numPr>
        <w:rPr>
          <w:color w:val="auto"/>
          <w:highlight w:val="none"/>
        </w:rPr>
      </w:pPr>
      <w:r>
        <w:rPr>
          <w:rFonts w:hint="eastAsia"/>
          <w:color w:val="auto"/>
          <w:highlight w:val="none"/>
        </w:rPr>
        <w:t>系统层面的安全分析,可采用失效模式与影响分析（FMEA）、故障树分析（FTA）或适合系统安全分析的其他类似方法。</w:t>
      </w:r>
    </w:p>
    <w:p>
      <w:pPr>
        <w:pStyle w:val="62"/>
        <w:ind w:firstLine="420"/>
        <w:rPr>
          <w:color w:val="auto"/>
          <w:highlight w:val="none"/>
        </w:rPr>
      </w:pPr>
      <w:r>
        <w:rPr>
          <w:rFonts w:hint="eastAsia"/>
          <w:color w:val="auto"/>
          <w:highlight w:val="none"/>
        </w:rPr>
        <w:t>在</w:t>
      </w:r>
      <w:r>
        <w:rPr>
          <w:rFonts w:hint="eastAsia"/>
          <w:color w:val="auto"/>
          <w:highlight w:val="none"/>
          <w:lang w:val="en-US" w:eastAsia="zh-CN"/>
        </w:rPr>
        <w:t>B</w:t>
      </w:r>
      <w:r>
        <w:rPr>
          <w:rFonts w:hint="eastAsia"/>
          <w:color w:val="auto"/>
          <w:highlight w:val="none"/>
        </w:rPr>
        <w:t>.2.5.2、</w:t>
      </w:r>
      <w:r>
        <w:rPr>
          <w:rFonts w:hint="eastAsia"/>
          <w:color w:val="auto"/>
          <w:highlight w:val="none"/>
          <w:lang w:val="en-US" w:eastAsia="zh-CN"/>
        </w:rPr>
        <w:t>B</w:t>
      </w:r>
      <w:r>
        <w:rPr>
          <w:rFonts w:hint="eastAsia"/>
          <w:color w:val="auto"/>
          <w:highlight w:val="none"/>
        </w:rPr>
        <w:t>.2.5.4规定的整车及系统层面的安全分析总结中，应列出系统所监测的参数，针对安全分析中的每一种故障情况，列出给予</w:t>
      </w:r>
      <w:r>
        <w:rPr>
          <w:rFonts w:hint="eastAsia"/>
          <w:color w:val="auto"/>
          <w:highlight w:val="none"/>
          <w:lang w:eastAsia="zh-CN"/>
        </w:rPr>
        <w:t>驾驶人</w:t>
      </w:r>
      <w:r>
        <w:rPr>
          <w:rFonts w:hint="eastAsia"/>
          <w:color w:val="auto"/>
          <w:highlight w:val="none"/>
        </w:rPr>
        <w:t>、维修人员、检测机构人员的警告信号。</w:t>
      </w:r>
    </w:p>
    <w:p>
      <w:pPr>
        <w:pStyle w:val="62"/>
        <w:ind w:firstLine="420"/>
        <w:rPr>
          <w:color w:val="auto"/>
          <w:sz w:val="18"/>
          <w:szCs w:val="18"/>
          <w:highlight w:val="none"/>
        </w:rPr>
      </w:pPr>
      <w:r>
        <w:rPr>
          <w:rFonts w:hint="eastAsia"/>
          <w:color w:val="auto"/>
          <w:highlight w:val="none"/>
        </w:rPr>
        <w:t>在</w:t>
      </w:r>
      <w:r>
        <w:rPr>
          <w:rFonts w:hint="eastAsia"/>
          <w:color w:val="auto"/>
          <w:highlight w:val="none"/>
          <w:lang w:val="en-US" w:eastAsia="zh-CN"/>
        </w:rPr>
        <w:t>B</w:t>
      </w:r>
      <w:r>
        <w:rPr>
          <w:rFonts w:hint="eastAsia"/>
          <w:color w:val="auto"/>
          <w:highlight w:val="none"/>
        </w:rPr>
        <w:t>.2.5.2、</w:t>
      </w:r>
      <w:r>
        <w:rPr>
          <w:rFonts w:hint="eastAsia"/>
          <w:color w:val="auto"/>
          <w:highlight w:val="none"/>
          <w:lang w:val="en-US" w:eastAsia="zh-CN"/>
        </w:rPr>
        <w:t>B</w:t>
      </w:r>
      <w:r>
        <w:rPr>
          <w:rFonts w:hint="eastAsia"/>
          <w:color w:val="auto"/>
          <w:highlight w:val="none"/>
        </w:rPr>
        <w:t>.2.5.4规定的整车及系统层面的安全分析总结中，应描述对应的措施，确保系统在性能受环境条件（如气候、温度、灰尘进入、进水、冰封等）影响时，不会妨碍车辆的安全运行。</w:t>
      </w:r>
    </w:p>
    <w:p>
      <w:pPr>
        <w:pStyle w:val="87"/>
        <w:spacing w:before="156" w:after="156"/>
        <w:rPr>
          <w:rFonts w:eastAsia="宋体" w:cs="宋体"/>
          <w:bCs/>
          <w:color w:val="auto"/>
          <w:szCs w:val="21"/>
          <w:highlight w:val="none"/>
        </w:rPr>
      </w:pPr>
      <w:r>
        <w:rPr>
          <w:rFonts w:hint="eastAsia"/>
          <w:color w:val="auto"/>
          <w:highlight w:val="none"/>
        </w:rPr>
        <w:t>整车层面的安全分析总结</w:t>
      </w:r>
    </w:p>
    <w:p>
      <w:pPr>
        <w:pStyle w:val="62"/>
        <w:ind w:firstLine="420"/>
        <w:rPr>
          <w:color w:val="auto"/>
          <w:highlight w:val="none"/>
        </w:rPr>
      </w:pPr>
      <w:r>
        <w:rPr>
          <w:rFonts w:hint="eastAsia"/>
          <w:color w:val="auto"/>
          <w:highlight w:val="none"/>
        </w:rPr>
        <w:t>制造商应提交整车层面的安全分析总结，且至少包括：</w:t>
      </w:r>
    </w:p>
    <w:p>
      <w:pPr>
        <w:pStyle w:val="180"/>
        <w:numPr>
          <w:ilvl w:val="0"/>
          <w:numId w:val="82"/>
        </w:numPr>
        <w:rPr>
          <w:color w:val="auto"/>
          <w:highlight w:val="none"/>
        </w:rPr>
      </w:pPr>
      <w:r>
        <w:rPr>
          <w:rFonts w:hint="eastAsia"/>
          <w:color w:val="auto"/>
          <w:highlight w:val="none"/>
        </w:rPr>
        <w:t>制动电子控制系统与车辆其他系统的交互（含故障条件下）可能导致的潜在安全风险及对应的安全措施；</w:t>
      </w:r>
    </w:p>
    <w:p>
      <w:pPr>
        <w:pStyle w:val="180"/>
        <w:numPr>
          <w:ilvl w:val="0"/>
          <w:numId w:val="82"/>
        </w:numPr>
        <w:rPr>
          <w:color w:val="auto"/>
          <w:highlight w:val="none"/>
        </w:rPr>
      </w:pPr>
      <w:r>
        <w:rPr>
          <w:rFonts w:hint="eastAsia"/>
          <w:color w:val="auto"/>
          <w:highlight w:val="none"/>
        </w:rPr>
        <w:t>制动电子控制系统功能异常表现引起的整车安全风险及对应的安全措施。</w:t>
      </w:r>
    </w:p>
    <w:p>
      <w:pPr>
        <w:pStyle w:val="87"/>
        <w:spacing w:before="156" w:after="156"/>
        <w:rPr>
          <w:rFonts w:eastAsia="宋体" w:cs="宋体"/>
          <w:bCs/>
          <w:color w:val="auto"/>
          <w:highlight w:val="none"/>
        </w:rPr>
      </w:pPr>
      <w:r>
        <w:rPr>
          <w:rFonts w:hint="eastAsia"/>
          <w:color w:val="auto"/>
          <w:highlight w:val="none"/>
        </w:rPr>
        <w:t>详细整车层面的安全分析</w:t>
      </w:r>
    </w:p>
    <w:p>
      <w:pPr>
        <w:pStyle w:val="62"/>
        <w:ind w:firstLine="420"/>
        <w:rPr>
          <w:rFonts w:cs="宋体"/>
          <w:color w:val="auto"/>
          <w:highlight w:val="none"/>
        </w:rPr>
      </w:pPr>
      <w:r>
        <w:rPr>
          <w:rFonts w:hint="eastAsia"/>
          <w:color w:val="auto"/>
          <w:highlight w:val="none"/>
        </w:rPr>
        <w:t>制造商应具有详细整车层面的安全分析以备查，并提供相关的企业名称、文件名、版本、状态、日期、储存位置等基本信息。</w:t>
      </w:r>
    </w:p>
    <w:p>
      <w:pPr>
        <w:pStyle w:val="87"/>
        <w:spacing w:before="156" w:after="156"/>
        <w:rPr>
          <w:rFonts w:eastAsia="宋体" w:cs="宋体"/>
          <w:bCs/>
          <w:color w:val="auto"/>
          <w:highlight w:val="none"/>
        </w:rPr>
      </w:pPr>
      <w:r>
        <w:rPr>
          <w:rFonts w:hint="eastAsia"/>
          <w:color w:val="auto"/>
          <w:highlight w:val="none"/>
        </w:rPr>
        <w:t>系统层面的安全分析总结</w:t>
      </w:r>
    </w:p>
    <w:p>
      <w:pPr>
        <w:pStyle w:val="62"/>
        <w:ind w:firstLine="420"/>
        <w:rPr>
          <w:rFonts w:cs="宋体"/>
          <w:color w:val="auto"/>
          <w:highlight w:val="none"/>
        </w:rPr>
      </w:pPr>
      <w:r>
        <w:rPr>
          <w:rFonts w:hint="eastAsia"/>
          <w:color w:val="auto"/>
          <w:highlight w:val="none"/>
        </w:rPr>
        <w:t>制造商应提交系统层面的安全分析总结，且至少包括：</w:t>
      </w:r>
    </w:p>
    <w:p>
      <w:pPr>
        <w:pStyle w:val="180"/>
        <w:numPr>
          <w:ilvl w:val="0"/>
          <w:numId w:val="83"/>
        </w:numPr>
        <w:rPr>
          <w:color w:val="auto"/>
          <w:highlight w:val="none"/>
        </w:rPr>
      </w:pPr>
      <w:r>
        <w:rPr>
          <w:rFonts w:hint="eastAsia"/>
          <w:color w:val="auto"/>
          <w:highlight w:val="none"/>
        </w:rPr>
        <w:t>系统架构层级要素；</w:t>
      </w:r>
    </w:p>
    <w:p>
      <w:pPr>
        <w:pStyle w:val="180"/>
        <w:numPr>
          <w:ilvl w:val="0"/>
          <w:numId w:val="83"/>
        </w:numPr>
        <w:rPr>
          <w:color w:val="auto"/>
          <w:highlight w:val="none"/>
        </w:rPr>
      </w:pPr>
      <w:r>
        <w:rPr>
          <w:rFonts w:hint="eastAsia"/>
          <w:color w:val="auto"/>
          <w:highlight w:val="none"/>
        </w:rPr>
        <w:t>要素的功能描述；</w:t>
      </w:r>
    </w:p>
    <w:p>
      <w:pPr>
        <w:pStyle w:val="180"/>
        <w:numPr>
          <w:ilvl w:val="0"/>
          <w:numId w:val="83"/>
        </w:numPr>
        <w:rPr>
          <w:color w:val="auto"/>
          <w:highlight w:val="none"/>
        </w:rPr>
      </w:pPr>
      <w:r>
        <w:rPr>
          <w:rFonts w:hint="eastAsia"/>
          <w:color w:val="auto"/>
          <w:highlight w:val="none"/>
        </w:rPr>
        <w:t>要素的潜在安全相关失效模式；</w:t>
      </w:r>
    </w:p>
    <w:p>
      <w:pPr>
        <w:pStyle w:val="180"/>
        <w:numPr>
          <w:ilvl w:val="0"/>
          <w:numId w:val="83"/>
        </w:numPr>
        <w:rPr>
          <w:color w:val="auto"/>
          <w:highlight w:val="none"/>
        </w:rPr>
      </w:pPr>
      <w:r>
        <w:rPr>
          <w:rFonts w:hint="eastAsia"/>
          <w:color w:val="auto"/>
          <w:highlight w:val="none"/>
        </w:rPr>
        <w:t>失效</w:t>
      </w:r>
      <w:r>
        <w:rPr>
          <w:rFonts w:hint="eastAsia"/>
          <w:color w:val="auto"/>
          <w:highlight w:val="none"/>
          <w:lang w:val="en-US" w:eastAsia="zh-CN"/>
        </w:rPr>
        <w:t>影响</w:t>
      </w:r>
      <w:r>
        <w:rPr>
          <w:rFonts w:hint="eastAsia"/>
          <w:color w:val="auto"/>
          <w:highlight w:val="none"/>
        </w:rPr>
        <w:t>（系统层面、整车层面）；</w:t>
      </w:r>
    </w:p>
    <w:p>
      <w:pPr>
        <w:pStyle w:val="180"/>
        <w:numPr>
          <w:ilvl w:val="0"/>
          <w:numId w:val="83"/>
        </w:numPr>
        <w:rPr>
          <w:color w:val="auto"/>
          <w:highlight w:val="none"/>
        </w:rPr>
      </w:pPr>
      <w:r>
        <w:rPr>
          <w:rFonts w:hint="eastAsia"/>
          <w:color w:val="auto"/>
          <w:highlight w:val="none"/>
        </w:rPr>
        <w:t>安全机制的说明。</w:t>
      </w:r>
    </w:p>
    <w:p>
      <w:pPr>
        <w:pStyle w:val="87"/>
        <w:spacing w:before="156" w:after="156"/>
        <w:rPr>
          <w:rFonts w:eastAsia="宋体" w:cs="宋体"/>
          <w:bCs/>
          <w:color w:val="auto"/>
          <w:highlight w:val="none"/>
        </w:rPr>
      </w:pPr>
      <w:r>
        <w:rPr>
          <w:rFonts w:hint="eastAsia"/>
          <w:color w:val="auto"/>
          <w:highlight w:val="none"/>
        </w:rPr>
        <w:t>详细系统层面的安全分析</w:t>
      </w:r>
    </w:p>
    <w:p>
      <w:pPr>
        <w:pStyle w:val="62"/>
        <w:ind w:firstLine="420"/>
        <w:rPr>
          <w:rFonts w:cs="宋体"/>
          <w:color w:val="auto"/>
          <w:highlight w:val="none"/>
        </w:rPr>
      </w:pPr>
      <w:r>
        <w:rPr>
          <w:rFonts w:hint="eastAsia"/>
          <w:color w:val="auto"/>
          <w:highlight w:val="none"/>
        </w:rPr>
        <w:t>制造商应具有详细系统层面的安全分析以备查，并提供相关的企业名称、文件名、版本、状态、日期、储存位置等基本信息。</w:t>
      </w:r>
    </w:p>
    <w:p>
      <w:pPr>
        <w:pStyle w:val="85"/>
        <w:spacing w:before="156" w:after="156"/>
        <w:rPr>
          <w:color w:val="auto"/>
          <w:highlight w:val="none"/>
        </w:rPr>
      </w:pPr>
      <w:r>
        <w:rPr>
          <w:rFonts w:hint="eastAsia"/>
          <w:color w:val="auto"/>
          <w:highlight w:val="none"/>
        </w:rPr>
        <w:t>整车及系统层面的验证确认计划和结果</w:t>
      </w:r>
    </w:p>
    <w:p>
      <w:pPr>
        <w:pStyle w:val="87"/>
        <w:spacing w:before="156" w:after="156"/>
        <w:rPr>
          <w:color w:val="auto"/>
          <w:highlight w:val="none"/>
        </w:rPr>
      </w:pPr>
      <w:r>
        <w:rPr>
          <w:rFonts w:hint="eastAsia"/>
          <w:color w:val="auto"/>
          <w:highlight w:val="none"/>
        </w:rPr>
        <w:t>总体要求</w:t>
      </w:r>
    </w:p>
    <w:p>
      <w:pPr>
        <w:pStyle w:val="62"/>
        <w:ind w:firstLine="420"/>
        <w:rPr>
          <w:rFonts w:hAnsi="Calibri" w:cs="宋体"/>
          <w:color w:val="auto"/>
          <w:highlight w:val="none"/>
        </w:rPr>
      </w:pPr>
      <w:r>
        <w:rPr>
          <w:rFonts w:hint="eastAsia"/>
          <w:color w:val="auto"/>
          <w:highlight w:val="none"/>
        </w:rPr>
        <w:t>制造商应提交整车层面和系统层面的验证确认计划和结果，说明对影响</w:t>
      </w:r>
      <w:r>
        <w:rPr>
          <w:rFonts w:hint="eastAsia"/>
          <w:color w:val="auto"/>
          <w:highlight w:val="none"/>
          <w:lang w:val="en-US" w:eastAsia="zh-CN"/>
        </w:rPr>
        <w:t>表B.1中</w:t>
      </w:r>
      <w:r>
        <w:rPr>
          <w:rFonts w:hint="eastAsia"/>
          <w:color w:val="auto"/>
          <w:highlight w:val="none"/>
        </w:rPr>
        <w:t>安全目标的所有危害和故障，进行了验证和确认。验证确认应基于硬件在环（</w:t>
      </w:r>
      <w:r>
        <w:rPr>
          <w:rFonts w:hint="eastAsia" w:cs="Calibri"/>
          <w:color w:val="auto"/>
          <w:highlight w:val="none"/>
        </w:rPr>
        <w:t>HIL</w:t>
      </w:r>
      <w:r>
        <w:rPr>
          <w:rFonts w:hint="eastAsia"/>
          <w:color w:val="auto"/>
          <w:highlight w:val="none"/>
        </w:rPr>
        <w:t>）测试、实车测试或其</w:t>
      </w:r>
      <w:r>
        <w:rPr>
          <w:rFonts w:hint="eastAsia"/>
          <w:color w:val="auto"/>
          <w:highlight w:val="none"/>
          <w:lang w:val="en-US" w:eastAsia="zh-CN"/>
        </w:rPr>
        <w:t>他</w:t>
      </w:r>
      <w:r>
        <w:rPr>
          <w:rFonts w:hint="eastAsia"/>
          <w:color w:val="auto"/>
          <w:highlight w:val="none"/>
        </w:rPr>
        <w:t>适当的方法。</w:t>
      </w:r>
    </w:p>
    <w:p>
      <w:pPr>
        <w:pStyle w:val="87"/>
        <w:spacing w:before="156" w:after="156"/>
        <w:rPr>
          <w:color w:val="auto"/>
          <w:highlight w:val="none"/>
        </w:rPr>
      </w:pPr>
      <w:r>
        <w:rPr>
          <w:rFonts w:hint="eastAsia"/>
          <w:color w:val="auto"/>
          <w:highlight w:val="none"/>
        </w:rPr>
        <w:t>系统层面的验证确认计划和结果</w:t>
      </w:r>
    </w:p>
    <w:p>
      <w:pPr>
        <w:pStyle w:val="88"/>
        <w:spacing w:before="156" w:after="156"/>
        <w:rPr>
          <w:color w:val="auto"/>
          <w:highlight w:val="none"/>
        </w:rPr>
      </w:pPr>
      <w:r>
        <w:rPr>
          <w:rFonts w:hint="eastAsia"/>
          <w:color w:val="auto"/>
          <w:highlight w:val="none"/>
        </w:rPr>
        <w:t>系统层面的验证确认计划和结果总结</w:t>
      </w:r>
    </w:p>
    <w:p>
      <w:pPr>
        <w:pStyle w:val="62"/>
        <w:ind w:firstLine="420"/>
        <w:rPr>
          <w:color w:val="auto"/>
          <w:highlight w:val="none"/>
        </w:rPr>
      </w:pPr>
      <w:r>
        <w:rPr>
          <w:rFonts w:hint="eastAsia"/>
          <w:color w:val="auto"/>
          <w:highlight w:val="none"/>
        </w:rPr>
        <w:t>制造商应提交系统层面的验证确认计划和结果总结，说明对影响</w:t>
      </w:r>
      <w:r>
        <w:rPr>
          <w:rFonts w:hint="eastAsia"/>
          <w:color w:val="auto"/>
          <w:highlight w:val="none"/>
          <w:lang w:val="en-US" w:eastAsia="zh-CN"/>
        </w:rPr>
        <w:t>表B.1中</w:t>
      </w:r>
      <w:r>
        <w:rPr>
          <w:rFonts w:hint="eastAsia"/>
          <w:color w:val="auto"/>
          <w:highlight w:val="none"/>
        </w:rPr>
        <w:t>安全目标的所有故障进行了验证和确认。且至少包括：</w:t>
      </w:r>
    </w:p>
    <w:p>
      <w:pPr>
        <w:pStyle w:val="180"/>
        <w:numPr>
          <w:ilvl w:val="0"/>
          <w:numId w:val="84"/>
        </w:numPr>
        <w:rPr>
          <w:color w:val="auto"/>
          <w:highlight w:val="none"/>
        </w:rPr>
      </w:pPr>
      <w:r>
        <w:rPr>
          <w:rFonts w:hint="eastAsia"/>
          <w:color w:val="auto"/>
          <w:highlight w:val="none"/>
        </w:rPr>
        <w:t>验证确认对象，例如车辆型号、系统名称、软件和硬件版本等；</w:t>
      </w:r>
    </w:p>
    <w:p>
      <w:pPr>
        <w:pStyle w:val="180"/>
        <w:numPr>
          <w:ilvl w:val="0"/>
          <w:numId w:val="84"/>
        </w:numPr>
        <w:rPr>
          <w:color w:val="auto"/>
          <w:highlight w:val="none"/>
        </w:rPr>
      </w:pPr>
      <w:r>
        <w:rPr>
          <w:rFonts w:hint="eastAsia"/>
          <w:color w:val="auto"/>
          <w:highlight w:val="none"/>
        </w:rPr>
        <w:t>验证确认目的，例如验证确认功能安全概念是否充分实现了安全目标；</w:t>
      </w:r>
    </w:p>
    <w:p>
      <w:pPr>
        <w:pStyle w:val="180"/>
        <w:numPr>
          <w:ilvl w:val="0"/>
          <w:numId w:val="84"/>
        </w:numPr>
        <w:rPr>
          <w:color w:val="auto"/>
          <w:highlight w:val="none"/>
        </w:rPr>
      </w:pPr>
      <w:r>
        <w:rPr>
          <w:rFonts w:hint="eastAsia"/>
          <w:color w:val="auto"/>
          <w:highlight w:val="none"/>
        </w:rPr>
        <w:t>验证确认方法及步骤概述（如果通过测试开展</w:t>
      </w:r>
      <w:r>
        <w:rPr>
          <w:rFonts w:hint="eastAsia"/>
          <w:color w:val="auto"/>
          <w:highlight w:val="none"/>
          <w:lang w:val="en-US" w:eastAsia="zh-CN"/>
        </w:rPr>
        <w:t>验证</w:t>
      </w:r>
      <w:r>
        <w:rPr>
          <w:rFonts w:hint="eastAsia"/>
          <w:color w:val="auto"/>
          <w:highlight w:val="none"/>
        </w:rPr>
        <w:t>确认，还需说明测试设备、测试环境）；</w:t>
      </w:r>
    </w:p>
    <w:p>
      <w:pPr>
        <w:pStyle w:val="180"/>
        <w:numPr>
          <w:ilvl w:val="0"/>
          <w:numId w:val="84"/>
        </w:numPr>
        <w:rPr>
          <w:color w:val="auto"/>
          <w:highlight w:val="none"/>
        </w:rPr>
      </w:pPr>
      <w:r>
        <w:rPr>
          <w:rFonts w:hint="eastAsia"/>
          <w:color w:val="auto"/>
          <w:highlight w:val="none"/>
        </w:rPr>
        <w:t>接受准则，包括安全度量、其他接受准则（如有）；</w:t>
      </w:r>
    </w:p>
    <w:p>
      <w:pPr>
        <w:pStyle w:val="180"/>
        <w:numPr>
          <w:ilvl w:val="0"/>
          <w:numId w:val="84"/>
        </w:numPr>
        <w:rPr>
          <w:color w:val="auto"/>
          <w:highlight w:val="none"/>
        </w:rPr>
      </w:pPr>
      <w:r>
        <w:rPr>
          <w:rFonts w:hint="eastAsia"/>
          <w:color w:val="auto"/>
          <w:highlight w:val="none"/>
        </w:rPr>
        <w:t>验证确认结果概述。</w:t>
      </w:r>
    </w:p>
    <w:p>
      <w:pPr>
        <w:pStyle w:val="88"/>
        <w:spacing w:before="156" w:after="156"/>
        <w:rPr>
          <w:color w:val="auto"/>
          <w:highlight w:val="none"/>
        </w:rPr>
      </w:pPr>
      <w:r>
        <w:rPr>
          <w:rFonts w:hint="eastAsia"/>
          <w:color w:val="auto"/>
          <w:highlight w:val="none"/>
        </w:rPr>
        <w:t>详细系统层面的验证确认计划和结果</w:t>
      </w:r>
    </w:p>
    <w:p>
      <w:pPr>
        <w:pStyle w:val="62"/>
        <w:ind w:firstLine="420"/>
        <w:rPr>
          <w:color w:val="auto"/>
          <w:highlight w:val="none"/>
        </w:rPr>
      </w:pPr>
      <w:r>
        <w:rPr>
          <w:rFonts w:hint="eastAsia"/>
          <w:color w:val="auto"/>
          <w:highlight w:val="none"/>
        </w:rPr>
        <w:t>制造商应具有详细系统层面的验证确认计划和结果以备查，并提供相关的企业名称、文件名、版本、状态、日期、储存位置等基本信息。</w:t>
      </w:r>
    </w:p>
    <w:p>
      <w:pPr>
        <w:pStyle w:val="87"/>
        <w:spacing w:before="156" w:after="156"/>
        <w:rPr>
          <w:color w:val="auto"/>
          <w:highlight w:val="none"/>
        </w:rPr>
      </w:pPr>
      <w:r>
        <w:rPr>
          <w:rFonts w:hint="eastAsia"/>
          <w:color w:val="auto"/>
          <w:highlight w:val="none"/>
        </w:rPr>
        <w:t>整车层面的确认计划和结果</w:t>
      </w:r>
    </w:p>
    <w:p>
      <w:pPr>
        <w:pStyle w:val="88"/>
        <w:spacing w:before="156" w:after="156"/>
        <w:rPr>
          <w:color w:val="auto"/>
          <w:highlight w:val="none"/>
        </w:rPr>
      </w:pPr>
      <w:r>
        <w:rPr>
          <w:rFonts w:hint="eastAsia"/>
          <w:color w:val="auto"/>
          <w:highlight w:val="none"/>
        </w:rPr>
        <w:t>整车层面的确认计划和结果总结</w:t>
      </w:r>
    </w:p>
    <w:p>
      <w:pPr>
        <w:pStyle w:val="62"/>
        <w:ind w:firstLine="420"/>
        <w:rPr>
          <w:color w:val="auto"/>
          <w:highlight w:val="none"/>
        </w:rPr>
      </w:pPr>
      <w:r>
        <w:rPr>
          <w:rFonts w:hint="eastAsia"/>
          <w:color w:val="auto"/>
          <w:highlight w:val="none"/>
        </w:rPr>
        <w:t>制造商应提交整车层面的确认计划和结果总结，说明对所有安全目标进行了完整的确认，且至少包括：</w:t>
      </w:r>
    </w:p>
    <w:p>
      <w:pPr>
        <w:pStyle w:val="180"/>
        <w:numPr>
          <w:ilvl w:val="0"/>
          <w:numId w:val="85"/>
        </w:numPr>
        <w:rPr>
          <w:color w:val="auto"/>
          <w:highlight w:val="none"/>
        </w:rPr>
      </w:pPr>
      <w:r>
        <w:rPr>
          <w:rFonts w:hint="eastAsia"/>
          <w:color w:val="auto"/>
          <w:highlight w:val="none"/>
        </w:rPr>
        <w:t>确认对象，例如车辆型号、系统名称、软件和硬件版本等；</w:t>
      </w:r>
    </w:p>
    <w:p>
      <w:pPr>
        <w:pStyle w:val="180"/>
        <w:numPr>
          <w:ilvl w:val="0"/>
          <w:numId w:val="85"/>
        </w:numPr>
        <w:rPr>
          <w:color w:val="auto"/>
          <w:highlight w:val="none"/>
        </w:rPr>
      </w:pPr>
      <w:r>
        <w:rPr>
          <w:rFonts w:hint="eastAsia"/>
          <w:color w:val="auto"/>
          <w:highlight w:val="none"/>
        </w:rPr>
        <w:t>确认目的，例如确认安全目标正确、完整且得到充分实现；</w:t>
      </w:r>
    </w:p>
    <w:p>
      <w:pPr>
        <w:pStyle w:val="180"/>
        <w:numPr>
          <w:ilvl w:val="0"/>
          <w:numId w:val="85"/>
        </w:numPr>
        <w:rPr>
          <w:color w:val="auto"/>
          <w:highlight w:val="none"/>
        </w:rPr>
      </w:pPr>
      <w:r>
        <w:rPr>
          <w:rFonts w:hint="eastAsia"/>
          <w:color w:val="auto"/>
          <w:highlight w:val="none"/>
        </w:rPr>
        <w:t>确认方法及步骤概述（如果通过测试开展确认，还需说明测试设备、测试环境）；</w:t>
      </w:r>
    </w:p>
    <w:p>
      <w:pPr>
        <w:pStyle w:val="180"/>
        <w:numPr>
          <w:ilvl w:val="0"/>
          <w:numId w:val="85"/>
        </w:numPr>
        <w:rPr>
          <w:color w:val="auto"/>
          <w:highlight w:val="none"/>
        </w:rPr>
      </w:pPr>
      <w:r>
        <w:rPr>
          <w:rFonts w:hint="eastAsia"/>
          <w:color w:val="auto"/>
          <w:highlight w:val="none"/>
        </w:rPr>
        <w:t>接受准则，包括安全度量、其他接受准则（如有）；</w:t>
      </w:r>
    </w:p>
    <w:p>
      <w:pPr>
        <w:pStyle w:val="180"/>
        <w:numPr>
          <w:ilvl w:val="0"/>
          <w:numId w:val="85"/>
        </w:numPr>
        <w:rPr>
          <w:color w:val="auto"/>
          <w:highlight w:val="none"/>
        </w:rPr>
      </w:pPr>
      <w:r>
        <w:rPr>
          <w:rFonts w:hint="eastAsia"/>
          <w:color w:val="auto"/>
          <w:highlight w:val="none"/>
        </w:rPr>
        <w:t>确认结果概述。</w:t>
      </w:r>
    </w:p>
    <w:p>
      <w:pPr>
        <w:pStyle w:val="88"/>
        <w:spacing w:before="156" w:after="156"/>
        <w:rPr>
          <w:color w:val="auto"/>
          <w:highlight w:val="none"/>
        </w:rPr>
      </w:pPr>
      <w:r>
        <w:rPr>
          <w:rFonts w:hint="eastAsia"/>
          <w:color w:val="auto"/>
          <w:highlight w:val="none"/>
        </w:rPr>
        <w:t>详细整车层面的确认计划和结果</w:t>
      </w:r>
    </w:p>
    <w:p>
      <w:pPr>
        <w:pStyle w:val="62"/>
        <w:ind w:firstLine="420"/>
        <w:rPr>
          <w:color w:val="auto"/>
          <w:highlight w:val="none"/>
        </w:rPr>
      </w:pPr>
      <w:r>
        <w:rPr>
          <w:rFonts w:hint="eastAsia"/>
          <w:color w:val="auto"/>
          <w:highlight w:val="none"/>
        </w:rPr>
        <w:t>制造商应具有详细整车层面的确认计划和结果以备查，并提供相关的企业名称、文件名、版本、状态、日期、储存位置等基本信息。</w:t>
      </w:r>
    </w:p>
    <w:p>
      <w:pPr>
        <w:pStyle w:val="84"/>
        <w:spacing w:before="156" w:after="156"/>
        <w:rPr>
          <w:color w:val="auto"/>
          <w:highlight w:val="none"/>
        </w:rPr>
      </w:pPr>
      <w:bookmarkStart w:id="248" w:name="_Toc685"/>
      <w:r>
        <w:rPr>
          <w:rFonts w:hint="eastAsia"/>
          <w:color w:val="auto"/>
          <w:highlight w:val="none"/>
        </w:rPr>
        <w:t>验证和确认</w:t>
      </w:r>
      <w:bookmarkEnd w:id="248"/>
    </w:p>
    <w:p>
      <w:pPr>
        <w:pStyle w:val="85"/>
        <w:spacing w:before="156" w:after="156"/>
        <w:rPr>
          <w:color w:val="auto"/>
          <w:highlight w:val="none"/>
        </w:rPr>
      </w:pPr>
      <w:r>
        <w:rPr>
          <w:rFonts w:hint="eastAsia"/>
          <w:color w:val="auto"/>
          <w:highlight w:val="none"/>
        </w:rPr>
        <w:t>总则</w:t>
      </w:r>
    </w:p>
    <w:p>
      <w:pPr>
        <w:pStyle w:val="62"/>
        <w:ind w:firstLine="420"/>
        <w:rPr>
          <w:color w:val="auto"/>
          <w:highlight w:val="none"/>
        </w:rPr>
      </w:pPr>
      <w:r>
        <w:rPr>
          <w:rFonts w:hint="eastAsia"/>
          <w:color w:val="auto"/>
          <w:highlight w:val="none"/>
        </w:rPr>
        <w:t>应按照</w:t>
      </w:r>
      <w:r>
        <w:rPr>
          <w:rFonts w:hint="eastAsia"/>
          <w:color w:val="auto"/>
          <w:highlight w:val="none"/>
          <w:lang w:val="en-US" w:eastAsia="zh-CN"/>
        </w:rPr>
        <w:t>B</w:t>
      </w:r>
      <w:r>
        <w:rPr>
          <w:rFonts w:hint="eastAsia"/>
          <w:color w:val="auto"/>
          <w:highlight w:val="none"/>
        </w:rPr>
        <w:t>.2中相关文档的描述，进行下列试验，对制动电子控制系统的功能概念和功能安全概念进行验证和确认。</w:t>
      </w:r>
    </w:p>
    <w:p>
      <w:pPr>
        <w:pStyle w:val="85"/>
        <w:spacing w:before="156" w:after="156"/>
        <w:rPr>
          <w:color w:val="auto"/>
          <w:highlight w:val="none"/>
        </w:rPr>
      </w:pPr>
      <w:r>
        <w:rPr>
          <w:rFonts w:hint="eastAsia"/>
          <w:color w:val="auto"/>
          <w:highlight w:val="none"/>
        </w:rPr>
        <w:t>功能概念的验证和确认</w:t>
      </w:r>
    </w:p>
    <w:p>
      <w:pPr>
        <w:pStyle w:val="62"/>
        <w:ind w:firstLine="420"/>
        <w:rPr>
          <w:color w:val="auto"/>
          <w:highlight w:val="none"/>
        </w:rPr>
      </w:pPr>
      <w:r>
        <w:rPr>
          <w:rFonts w:hint="eastAsia"/>
          <w:color w:val="auto"/>
          <w:highlight w:val="none"/>
        </w:rPr>
        <w:t>按照</w:t>
      </w:r>
      <w:r>
        <w:rPr>
          <w:rFonts w:hint="eastAsia"/>
          <w:color w:val="auto"/>
          <w:highlight w:val="none"/>
          <w:lang w:val="en-US" w:eastAsia="zh-CN"/>
        </w:rPr>
        <w:t>B</w:t>
      </w:r>
      <w:r>
        <w:rPr>
          <w:rFonts w:hint="eastAsia"/>
          <w:color w:val="auto"/>
          <w:highlight w:val="none"/>
        </w:rPr>
        <w:t>.2.2中的功能概念，执行制动电子控制系统非故障状态下的功能试验，确认系统正常运行。</w:t>
      </w:r>
    </w:p>
    <w:p>
      <w:pPr>
        <w:pStyle w:val="85"/>
        <w:spacing w:before="156" w:after="156"/>
        <w:rPr>
          <w:color w:val="auto"/>
          <w:highlight w:val="none"/>
        </w:rPr>
      </w:pPr>
      <w:r>
        <w:rPr>
          <w:rFonts w:hint="eastAsia"/>
          <w:color w:val="auto"/>
          <w:highlight w:val="none"/>
        </w:rPr>
        <w:t>功能安全概念的验证和确认</w:t>
      </w:r>
    </w:p>
    <w:p>
      <w:pPr>
        <w:pStyle w:val="62"/>
        <w:ind w:firstLine="420"/>
        <w:rPr>
          <w:color w:val="auto"/>
          <w:highlight w:val="none"/>
        </w:rPr>
      </w:pPr>
      <w:r>
        <w:rPr>
          <w:rFonts w:hint="eastAsia"/>
          <w:color w:val="auto"/>
          <w:highlight w:val="none"/>
        </w:rPr>
        <w:t>应通过向电子电气组件或机械组件施加相应的输入，来模拟电子电气组件内部故障对整车运动行为的影响，以检查单个组件失效时的反应。</w:t>
      </w:r>
    </w:p>
    <w:p>
      <w:pPr>
        <w:pStyle w:val="62"/>
        <w:ind w:firstLine="420"/>
        <w:rPr>
          <w:color w:val="auto"/>
          <w:highlight w:val="none"/>
        </w:rPr>
      </w:pPr>
      <w:r>
        <w:rPr>
          <w:rFonts w:hint="eastAsia"/>
          <w:color w:val="auto"/>
          <w:highlight w:val="none"/>
        </w:rPr>
        <w:t>应针对B.2.5中的故障</w:t>
      </w:r>
      <w:r>
        <w:rPr>
          <w:rFonts w:hint="eastAsia"/>
          <w:strike w:val="0"/>
          <w:color w:val="auto"/>
          <w:highlight w:val="none"/>
        </w:rPr>
        <w:t>条件</w:t>
      </w:r>
      <w:r>
        <w:rPr>
          <w:rFonts w:hint="eastAsia"/>
          <w:color w:val="auto"/>
          <w:highlight w:val="none"/>
        </w:rPr>
        <w:t>下的可控性、人机交互（HMI）进行验证和确认。</w:t>
      </w:r>
    </w:p>
    <w:p>
      <w:pPr>
        <w:pStyle w:val="62"/>
        <w:ind w:firstLine="420"/>
        <w:rPr>
          <w:rFonts w:ascii="Calibri" w:hAnsi="Calibri"/>
          <w:color w:val="auto"/>
          <w:highlight w:val="none"/>
        </w:rPr>
      </w:pPr>
      <w:r>
        <w:rPr>
          <w:rFonts w:hint="eastAsia"/>
          <w:color w:val="auto"/>
          <w:highlight w:val="none"/>
        </w:rPr>
        <w:t>基于B.2.</w:t>
      </w:r>
      <w:r>
        <w:rPr>
          <w:rFonts w:hint="eastAsia" w:cs="Calibri"/>
          <w:color w:val="auto"/>
          <w:highlight w:val="none"/>
        </w:rPr>
        <w:t>5</w:t>
      </w:r>
      <w:r>
        <w:rPr>
          <w:rFonts w:hint="eastAsia" w:ascii="黑体" w:hAnsi="黑体" w:eastAsia="黑体"/>
          <w:color w:val="auto"/>
          <w:highlight w:val="none"/>
        </w:rPr>
        <w:t xml:space="preserve"> </w:t>
      </w:r>
      <w:r>
        <w:rPr>
          <w:rFonts w:hint="eastAsia"/>
          <w:color w:val="auto"/>
          <w:highlight w:val="none"/>
        </w:rPr>
        <w:t>中安全分析识别出的典型故障、整车及系统层面的验证确认计划和结果，开展验证确认试验。故障应在制动系统运行过程中进行注入，模拟实际出现故障的情况。制造商应配合检测机构开展故障模拟测试，以验证可能导致整车危害的相关故障已被安全措施有效的覆盖，并确认系统及整车实现了功能安全目标。应按照表B.2的要求开展验证和确认试验。</w:t>
      </w:r>
    </w:p>
    <w:p>
      <w:pPr>
        <w:pStyle w:val="62"/>
        <w:ind w:firstLine="420"/>
        <w:rPr>
          <w:color w:val="auto"/>
          <w:highlight w:val="none"/>
        </w:rPr>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type="lines" w:linePitch="312" w:charSpace="0"/>
        </w:sectPr>
      </w:pPr>
    </w:p>
    <w:p>
      <w:pPr>
        <w:pStyle w:val="83"/>
        <w:spacing w:before="156" w:after="156"/>
        <w:rPr>
          <w:color w:val="auto"/>
          <w:kern w:val="2"/>
          <w:szCs w:val="21"/>
          <w:highlight w:val="none"/>
        </w:rPr>
      </w:pPr>
      <w:r>
        <w:rPr>
          <w:rFonts w:hint="eastAsia"/>
          <w:color w:val="auto"/>
          <w:highlight w:val="none"/>
        </w:rPr>
        <w:t>制动电子控制系统验证和确认测试要求</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934"/>
        <w:gridCol w:w="8328"/>
        <w:gridCol w:w="1129"/>
        <w:gridCol w:w="1671"/>
        <w:gridCol w:w="10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934" w:type="dxa"/>
            <w:tcBorders>
              <w:top w:val="single" w:color="auto" w:sz="8" w:space="0"/>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涉及功能</w:t>
            </w:r>
          </w:p>
        </w:tc>
        <w:tc>
          <w:tcPr>
            <w:tcW w:w="8328" w:type="dxa"/>
            <w:tcBorders>
              <w:top w:val="single" w:color="auto" w:sz="8" w:space="0"/>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故障类型</w:t>
            </w:r>
            <w:r>
              <w:rPr>
                <w:rFonts w:hint="eastAsia" w:ascii="宋体" w:hAnsi="宋体" w:eastAsia="宋体" w:cs="宋体"/>
                <w:color w:val="auto"/>
                <w:sz w:val="18"/>
                <w:szCs w:val="18"/>
                <w:highlight w:val="none"/>
                <w:vertAlign w:val="superscript"/>
              </w:rPr>
              <w:t>a,b</w:t>
            </w:r>
          </w:p>
        </w:tc>
        <w:tc>
          <w:tcPr>
            <w:tcW w:w="1129" w:type="dxa"/>
            <w:tcBorders>
              <w:top w:val="single" w:color="auto" w:sz="8" w:space="0"/>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整车危害</w:t>
            </w:r>
          </w:p>
        </w:tc>
        <w:tc>
          <w:tcPr>
            <w:tcW w:w="1671" w:type="dxa"/>
            <w:tcBorders>
              <w:top w:val="single" w:color="auto" w:sz="8" w:space="0"/>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试验工况</w:t>
            </w:r>
            <w:r>
              <w:rPr>
                <w:rFonts w:hint="eastAsia" w:ascii="宋体" w:hAnsi="宋体" w:eastAsia="宋体" w:cs="宋体"/>
                <w:color w:val="auto"/>
                <w:sz w:val="18"/>
                <w:szCs w:val="18"/>
                <w:highlight w:val="none"/>
                <w:vertAlign w:val="superscript"/>
              </w:rPr>
              <w:t>b,c</w:t>
            </w:r>
          </w:p>
        </w:tc>
        <w:tc>
          <w:tcPr>
            <w:tcW w:w="1052" w:type="dxa"/>
            <w:tcBorders>
              <w:top w:val="single" w:color="auto" w:sz="8" w:space="0"/>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接受准则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tcBorders>
              <w:top w:val="single" w:color="auto" w:sz="8" w:space="0"/>
            </w:tcBorders>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934" w:type="dxa"/>
            <w:tcBorders>
              <w:top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具有电控传输的行车制动</w:t>
            </w:r>
          </w:p>
        </w:tc>
        <w:tc>
          <w:tcPr>
            <w:tcW w:w="8328" w:type="dxa"/>
            <w:tcBorders>
              <w:top w:val="single" w:color="auto" w:sz="8" w:space="0"/>
            </w:tcBorders>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制动踏板位移传感器故障，包括：短路、偏移（含比例缩放）、卡滞、扰动。</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通信接口类故障，包括：制动系统内部通信接口故障、制动系统与其他系统通信接口故障导致</w:t>
            </w:r>
            <w:r>
              <w:rPr>
                <w:rFonts w:hint="eastAsia" w:hAnsi="宋体" w:cs="宋体"/>
                <w:color w:val="auto"/>
                <w:sz w:val="18"/>
                <w:szCs w:val="18"/>
                <w:highlight w:val="none"/>
              </w:rPr>
              <w:t>产生非预期的制动力</w:t>
            </w:r>
            <w:r>
              <w:rPr>
                <w:rFonts w:hint="eastAsia" w:ascii="宋体" w:hAnsi="宋体" w:eastAsia="宋体" w:cs="宋体"/>
                <w:color w:val="auto"/>
                <w:sz w:val="18"/>
                <w:szCs w:val="18"/>
                <w:highlight w:val="none"/>
              </w:rPr>
              <w:t>。</w:t>
            </w:r>
          </w:p>
        </w:tc>
        <w:tc>
          <w:tcPr>
            <w:tcW w:w="1129" w:type="dxa"/>
            <w:vMerge w:val="restart"/>
            <w:tcBorders>
              <w:top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非预期的减速、非预期的侧向运动（如适用）</w:t>
            </w:r>
          </w:p>
        </w:tc>
        <w:tc>
          <w:tcPr>
            <w:tcW w:w="1671" w:type="dxa"/>
            <w:vMerge w:val="restart"/>
            <w:tcBorders>
              <w:top w:val="single" w:color="auto" w:sz="8" w:space="0"/>
            </w:tcBorders>
            <w:shd w:val="clear" w:color="auto" w:fill="auto"/>
          </w:tcPr>
          <w:p>
            <w:pPr>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在附着系数约为0.8的水平路面上，空载车辆以100km/h的车速沿试验通道中线直线行驶，注入故障</w:t>
            </w:r>
            <w:r>
              <w:rPr>
                <w:rFonts w:hint="eastAsia" w:ascii="宋体" w:hAnsi="宋体" w:cs="宋体"/>
                <w:color w:val="auto"/>
                <w:sz w:val="18"/>
                <w:szCs w:val="18"/>
                <w:highlight w:val="none"/>
                <w:vertAlign w:val="superscript"/>
                <w:lang w:val="en-US" w:eastAsia="zh-CN"/>
              </w:rPr>
              <w:t>d</w:t>
            </w:r>
            <w:r>
              <w:rPr>
                <w:rFonts w:hint="eastAsia" w:ascii="宋体" w:hAnsi="宋体" w:eastAsia="宋体" w:cs="宋体"/>
                <w:color w:val="auto"/>
                <w:sz w:val="18"/>
                <w:szCs w:val="18"/>
                <w:highlight w:val="none"/>
              </w:rPr>
              <w:t>。</w:t>
            </w:r>
          </w:p>
        </w:tc>
        <w:tc>
          <w:tcPr>
            <w:tcW w:w="1052" w:type="dxa"/>
            <w:vMerge w:val="restart"/>
            <w:tcBorders>
              <w:top w:val="single" w:color="auto" w:sz="8" w:space="0"/>
            </w:tcBorders>
            <w:shd w:val="clear" w:color="auto" w:fill="auto"/>
          </w:tcPr>
          <w:p>
            <w:pPr>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1）满足</w:t>
            </w:r>
            <w:r>
              <w:rPr>
                <w:rFonts w:hint="eastAsia" w:ascii="宋体" w:hAnsi="宋体" w:eastAsia="宋体" w:cs="宋体"/>
                <w:color w:val="auto"/>
                <w:sz w:val="18"/>
                <w:szCs w:val="18"/>
                <w:highlight w:val="none"/>
                <w:lang w:val="en-US" w:eastAsia="zh-CN"/>
              </w:rPr>
              <w:t>B</w:t>
            </w:r>
            <w:r>
              <w:rPr>
                <w:rFonts w:hint="eastAsia" w:ascii="宋体" w:hAnsi="宋体" w:eastAsia="宋体" w:cs="宋体"/>
                <w:color w:val="auto"/>
                <w:sz w:val="18"/>
                <w:szCs w:val="18"/>
                <w:highlight w:val="none"/>
              </w:rPr>
              <w:t>.2.6.3中验证和确认计划中的接受准则。</w:t>
            </w:r>
          </w:p>
          <w:p>
            <w:pPr>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2）车辆发生非预期的减速后不应偏离3.5m宽的试验通道。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934" w:type="dxa"/>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采用电子传输的驻车制动</w:t>
            </w:r>
          </w:p>
        </w:tc>
        <w:tc>
          <w:tcPr>
            <w:tcW w:w="8328" w:type="dxa"/>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驻车控制装置故障，包括：短路、卡滞。</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通信接口类故障，包括：制动系统内部通信接口故障导致非预期激活驻车功能。</w:t>
            </w:r>
          </w:p>
        </w:tc>
        <w:tc>
          <w:tcPr>
            <w:tcW w:w="112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671"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052"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934" w:type="dxa"/>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B型、A+B型电力再生式制动</w:t>
            </w:r>
          </w:p>
        </w:tc>
        <w:tc>
          <w:tcPr>
            <w:tcW w:w="8328" w:type="dxa"/>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制动踏板位移传感器故障，包括：短路、偏移（含比例缩放）、卡滞、扰动。</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w:t>
            </w:r>
            <w:r>
              <w:rPr>
                <w:rFonts w:hint="eastAsia" w:ascii="宋体" w:hAnsi="宋体" w:eastAsia="宋体" w:cs="宋体"/>
                <w:color w:val="auto"/>
                <w:sz w:val="18"/>
                <w:szCs w:val="18"/>
                <w:highlight w:val="none"/>
                <w:lang w:val="en-US" w:eastAsia="zh-CN"/>
              </w:rPr>
              <w:t>B型</w:t>
            </w:r>
            <w:r>
              <w:rPr>
                <w:rFonts w:hint="eastAsia" w:ascii="宋体" w:hAnsi="宋体" w:eastAsia="宋体" w:cs="宋体"/>
                <w:color w:val="auto"/>
                <w:sz w:val="18"/>
                <w:szCs w:val="18"/>
                <w:highlight w:val="none"/>
              </w:rPr>
              <w:t>电力再生式制动系统内部通信接口故障、</w:t>
            </w:r>
            <w:r>
              <w:rPr>
                <w:rFonts w:hint="eastAsia" w:ascii="宋体" w:hAnsi="宋体" w:eastAsia="宋体" w:cs="宋体"/>
                <w:color w:val="auto"/>
                <w:sz w:val="18"/>
                <w:szCs w:val="18"/>
                <w:highlight w:val="none"/>
                <w:lang w:val="en-US" w:eastAsia="zh-CN"/>
              </w:rPr>
              <w:t>B型</w:t>
            </w:r>
            <w:r>
              <w:rPr>
                <w:rFonts w:hint="eastAsia" w:ascii="宋体" w:hAnsi="宋体" w:eastAsia="宋体" w:cs="宋体"/>
                <w:color w:val="auto"/>
                <w:sz w:val="18"/>
                <w:szCs w:val="18"/>
                <w:highlight w:val="none"/>
              </w:rPr>
              <w:t>电力再生式制动系统与其他系统通信接口故障导致电动部件产生过大制动力。</w:t>
            </w:r>
          </w:p>
        </w:tc>
        <w:tc>
          <w:tcPr>
            <w:tcW w:w="112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671"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052"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934" w:type="dxa"/>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A型、A+B型电力再生式制动</w:t>
            </w:r>
          </w:p>
        </w:tc>
        <w:tc>
          <w:tcPr>
            <w:tcW w:w="8328" w:type="dxa"/>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加速踏板位移传感器故障：短路、偏移（含比例缩放）、卡滞、扰动。</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通信接口类故障，包括：A型电力再生式制动系统内部通信接口故障、A型电力再生式制动系统与其他系统通信接口故障导致电动部件产生过大制动力。</w:t>
            </w:r>
          </w:p>
        </w:tc>
        <w:tc>
          <w:tcPr>
            <w:tcW w:w="112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671" w:type="dxa"/>
            <w:shd w:val="clear" w:color="auto" w:fill="auto"/>
            <w:vAlign w:val="top"/>
          </w:tcPr>
          <w:p>
            <w:pPr>
              <w:pStyle w:val="184"/>
              <w:spacing w:before="157" w:beforeLines="50" w:after="157" w:afterLines="5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在附着系数约为0.8的水平路面上，空载车辆以100km/h的车速沿试验通道中线直线行驶，注入故障</w:t>
            </w:r>
            <w:r>
              <w:rPr>
                <w:rFonts w:hint="eastAsia" w:ascii="宋体" w:hAnsi="宋体" w:eastAsia="宋体" w:cs="宋体"/>
                <w:color w:val="auto"/>
                <w:sz w:val="18"/>
                <w:szCs w:val="18"/>
                <w:highlight w:val="none"/>
                <w:vertAlign w:val="superscript"/>
                <w:lang w:val="en-US" w:eastAsia="zh-CN"/>
              </w:rPr>
              <w:t>d</w:t>
            </w:r>
            <w:r>
              <w:rPr>
                <w:rFonts w:hint="eastAsia" w:ascii="宋体" w:hAnsi="宋体" w:eastAsia="宋体" w:cs="宋体"/>
                <w:color w:val="auto"/>
                <w:sz w:val="18"/>
                <w:szCs w:val="18"/>
                <w:highlight w:val="none"/>
              </w:rPr>
              <w:t>。</w:t>
            </w:r>
          </w:p>
        </w:tc>
        <w:tc>
          <w:tcPr>
            <w:tcW w:w="1052" w:type="dxa"/>
            <w:shd w:val="clear" w:color="auto" w:fill="auto"/>
            <w:vAlign w:val="center"/>
          </w:tcPr>
          <w:p>
            <w:pPr>
              <w:numPr>
                <w:ilvl w:val="0"/>
                <w:numId w:val="86"/>
              </w:numPr>
              <w:spacing w:before="157" w:beforeLines="50" w:after="157" w:afterLines="50"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由A型电力再生式制动系统输出的车辆减速度值不超过某值。</w:t>
            </w:r>
          </w:p>
          <w:p>
            <w:pPr>
              <w:numPr>
                <w:ilvl w:val="0"/>
                <w:numId w:val="86"/>
              </w:numPr>
              <w:spacing w:before="157" w:beforeLines="50" w:after="157" w:afterLines="50"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满足B.2.6.3中验证和确认计划中的接受准则。</w:t>
            </w:r>
          </w:p>
          <w:p>
            <w:pPr>
              <w:numPr>
                <w:ilvl w:val="0"/>
                <w:numId w:val="86"/>
              </w:numPr>
              <w:spacing w:before="157" w:beforeLines="50" w:after="157" w:afterLines="50" w:line="24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车辆发生非预期的减速后不应偏离3.5m宽的试验通道。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934" w:type="dxa"/>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具有电控传输的行车制动</w:t>
            </w:r>
          </w:p>
        </w:tc>
        <w:tc>
          <w:tcPr>
            <w:tcW w:w="8328" w:type="dxa"/>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纵向加速度传感器故障，包括：断路（含接触不良）、偏移（含比例缩放）、卡滞、扰动、校验位错误、循环滚动码错误、丢帧。</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制动液位传感器故障，包括：短路、断路（含接触不良）、信号超过范围。</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制动踏板位移传感器故障，包括：短路、断路、偏移（含比例缩放）、卡滞、扰动、校</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验位错误、循环滚动码错误、丢帧。</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供电类故障，包括：系统工作电压过低、过高、断路、限流。</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通信接口类故障，包括：制动系统内部通信接口故障、制动系统与其他系统通信接口故障导致制动力不足。</w:t>
            </w:r>
          </w:p>
        </w:tc>
        <w:tc>
          <w:tcPr>
            <w:tcW w:w="1129" w:type="dxa"/>
            <w:vMerge w:val="restart"/>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非预期的减速能力下降、非预期的侧向运动（如适用）</w:t>
            </w:r>
          </w:p>
        </w:tc>
        <w:tc>
          <w:tcPr>
            <w:tcW w:w="1671" w:type="dxa"/>
            <w:vMerge w:val="restart"/>
            <w:shd w:val="clear" w:color="auto" w:fill="auto"/>
          </w:tcPr>
          <w:p>
            <w:pPr>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在附着系数约为0.8的水平路面上，满载车辆以100km/h的车速沿试验通道中线直线行驶，以一定的控制力进行行车制动并注入故障</w:t>
            </w:r>
            <w:r>
              <w:rPr>
                <w:rFonts w:hint="eastAsia" w:ascii="宋体" w:hAnsi="宋体" w:eastAsia="宋体" w:cs="宋体"/>
                <w:color w:val="auto"/>
                <w:sz w:val="18"/>
                <w:szCs w:val="18"/>
                <w:highlight w:val="none"/>
                <w:vertAlign w:val="superscript"/>
                <w:lang w:val="en-US" w:eastAsia="zh-CN"/>
              </w:rPr>
              <w:t>d</w:t>
            </w:r>
            <w:r>
              <w:rPr>
                <w:rFonts w:hint="eastAsia" w:ascii="宋体" w:hAnsi="宋体" w:eastAsia="宋体" w:cs="宋体"/>
                <w:color w:val="auto"/>
                <w:sz w:val="18"/>
                <w:szCs w:val="18"/>
                <w:highlight w:val="none"/>
              </w:rPr>
              <w:t>。</w:t>
            </w:r>
          </w:p>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p>
        </w:tc>
        <w:tc>
          <w:tcPr>
            <w:tcW w:w="1052" w:type="dxa"/>
            <w:vMerge w:val="restart"/>
            <w:shd w:val="clear" w:color="auto" w:fill="auto"/>
          </w:tcPr>
          <w:p>
            <w:pPr>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1）满足</w:t>
            </w:r>
            <w:r>
              <w:rPr>
                <w:rFonts w:hint="eastAsia" w:ascii="宋体" w:hAnsi="宋体" w:cs="宋体"/>
                <w:color w:val="auto"/>
                <w:sz w:val="18"/>
                <w:szCs w:val="18"/>
                <w:highlight w:val="none"/>
                <w:lang w:val="en-US" w:eastAsia="zh-CN"/>
              </w:rPr>
              <w:t>B</w:t>
            </w:r>
            <w:r>
              <w:rPr>
                <w:rFonts w:hint="eastAsia" w:ascii="宋体" w:hAnsi="宋体" w:eastAsia="宋体" w:cs="宋体"/>
                <w:color w:val="auto"/>
                <w:sz w:val="18"/>
                <w:szCs w:val="18"/>
                <w:highlight w:val="none"/>
              </w:rPr>
              <w:t>.2.6.3中验证和确认计划中的接受准则。</w:t>
            </w:r>
          </w:p>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2）车辆制动后不应偏离3.5m宽的试验通道。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934" w:type="dxa"/>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防抱制动</w:t>
            </w:r>
          </w:p>
        </w:tc>
        <w:tc>
          <w:tcPr>
            <w:tcW w:w="8328" w:type="dxa"/>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供电类故障，包括：系统工作电压过低、过高、断路、限流。</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轮速信号故障，包括：短路、断路（含接触不良）、偏移（含比例缩放、阶跃跳动）、卡滞、扰动（含齿数错误、缺齿、传感器与齿圈空隙错误）、轮速有效性错误；对于带方向的轮速传感器：方向错误、方向有效性错误、传感器类型错误等。</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通信接口类故障，包括：制动系统内部通信接口故障、制动系统与其他系统通信接口故障导致制动力不足。</w:t>
            </w:r>
          </w:p>
        </w:tc>
        <w:tc>
          <w:tcPr>
            <w:tcW w:w="112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671"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052"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934" w:type="dxa"/>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B型、A+B型电力再生式制动</w:t>
            </w:r>
          </w:p>
        </w:tc>
        <w:tc>
          <w:tcPr>
            <w:tcW w:w="8328" w:type="dxa"/>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轮速信号故障，包括：短路、断路（含接触不良）、偏移（含比例缩放、阶跃跳动）、卡滞、扰动（含齿数错误、缺齿、传感器与齿圈空隙错误）、轮速有效性错误；对于带方向的轮速传感器：方向错误、方向有效性错误、传感器类型错误等。</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通信接口类故障，包括：B型电力再生式制动系统内部通信接口故障、B型电力再生式制动系统与其他系统通信接口故障导致电动部件制动力不足或丧失。</w:t>
            </w:r>
          </w:p>
        </w:tc>
        <w:tc>
          <w:tcPr>
            <w:tcW w:w="112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671"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052"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934" w:type="dxa"/>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A型、A+B型电力再生式制动</w:t>
            </w:r>
          </w:p>
        </w:tc>
        <w:tc>
          <w:tcPr>
            <w:tcW w:w="8328" w:type="dxa"/>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加速踏板位移传感器故障：断路、偏移（含比例缩放）、卡滞、扰动。</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通信接口类故障，包括：A型电力再生式制动系统内部通信接口故障、A型电力再生式制动系统与其他系统通信接口故障导致电动部件制动力不足或丧失，或非预期退出A型电力再生制动。</w:t>
            </w:r>
          </w:p>
        </w:tc>
        <w:tc>
          <w:tcPr>
            <w:tcW w:w="1129" w:type="dxa"/>
            <w:vMerge w:val="continue"/>
            <w:shd w:val="clear" w:color="auto" w:fill="auto"/>
            <w:vAlign w:val="center"/>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p>
        </w:tc>
        <w:tc>
          <w:tcPr>
            <w:tcW w:w="1671" w:type="dxa"/>
            <w:shd w:val="clear" w:color="auto" w:fill="auto"/>
            <w:vAlign w:val="top"/>
          </w:tcPr>
          <w:p>
            <w:pPr>
              <w:numPr>
                <w:ilvl w:val="-1"/>
                <w:numId w:val="0"/>
              </w:numPr>
              <w:spacing w:before="157" w:beforeLines="50" w:after="157" w:afterLines="50" w:line="24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在附着系数约为0.8的水平路面上，满载车辆以100km/h的车速沿试验通道中线直线行驶，以一定的控制力进行A型电力再生制动并注入故障</w:t>
            </w:r>
            <w:r>
              <w:rPr>
                <w:rFonts w:hint="eastAsia" w:ascii="宋体" w:hAnsi="宋体" w:cs="宋体"/>
                <w:color w:val="auto"/>
                <w:sz w:val="18"/>
                <w:szCs w:val="18"/>
                <w:highlight w:val="none"/>
                <w:vertAlign w:val="superscript"/>
                <w:lang w:val="en-US" w:eastAsia="zh-CN"/>
              </w:rPr>
              <w:t>d</w:t>
            </w:r>
            <w:r>
              <w:rPr>
                <w:rFonts w:hint="eastAsia" w:ascii="宋体" w:hAnsi="宋体" w:cs="宋体"/>
                <w:color w:val="auto"/>
                <w:sz w:val="18"/>
                <w:szCs w:val="18"/>
                <w:highlight w:val="none"/>
              </w:rPr>
              <w:t>。</w:t>
            </w:r>
          </w:p>
        </w:tc>
        <w:tc>
          <w:tcPr>
            <w:tcW w:w="1052" w:type="dxa"/>
            <w:shd w:val="clear" w:color="auto" w:fill="auto"/>
            <w:vAlign w:val="center"/>
          </w:tcPr>
          <w:p>
            <w:pPr>
              <w:numPr>
                <w:ilvl w:val="0"/>
                <w:numId w:val="87"/>
              </w:numPr>
              <w:spacing w:before="157" w:beforeLines="50" w:after="157" w:afterLines="50"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通过操纵行车制动控制装置或通过自动方式，由行车制动系统充分发出的平均减速度至少大于某值。</w:t>
            </w:r>
          </w:p>
          <w:p>
            <w:pPr>
              <w:numPr>
                <w:ilvl w:val="0"/>
                <w:numId w:val="87"/>
              </w:numPr>
              <w:spacing w:before="157" w:beforeLines="50" w:after="157" w:afterLines="50"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满足B.2.6.3中验证和确认计划中的接受准则。</w:t>
            </w:r>
          </w:p>
          <w:p>
            <w:pPr>
              <w:numPr>
                <w:ilvl w:val="0"/>
                <w:numId w:val="87"/>
              </w:numPr>
              <w:spacing w:before="157" w:beforeLines="50" w:after="157" w:afterLines="50" w:line="24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车辆发生非预期的减速后不应偏离3.5m宽的试验通道。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934" w:type="dxa"/>
            <w:tcBorders>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采用电子传输的驻车制动</w:t>
            </w:r>
          </w:p>
        </w:tc>
        <w:tc>
          <w:tcPr>
            <w:tcW w:w="8328" w:type="dxa"/>
            <w:tcBorders>
              <w:bottom w:val="single" w:color="auto" w:sz="8" w:space="0"/>
            </w:tcBorders>
            <w:shd w:val="clear" w:color="auto" w:fill="auto"/>
          </w:tcPr>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驻车控制装置故障，包括：短路、断路、卡滞。</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卡钳电机故障，包括：左后电机正向断路、左后电机反向断路、右后电机正向断路、右后电机反向断路。</w:t>
            </w:r>
          </w:p>
          <w:p>
            <w:pPr>
              <w:pStyle w:val="138"/>
              <w:keepNext w:val="0"/>
              <w:keepLines w:val="0"/>
              <w:pageBreakBefore w:val="0"/>
              <w:kinsoku/>
              <w:wordWrap/>
              <w:overflowPunct/>
              <w:topLinePunct w:val="0"/>
              <w:bidi w:val="0"/>
              <w:snapToGrid/>
              <w:spacing w:before="157" w:beforeLines="50" w:after="157" w:afterLines="5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通信接口类故障，包括：制动系统内部通信接口故障、制动系统与其他系统通信接口故障导致非预期的驻车制动释放、驻车制动失效、驻车制动力不足。</w:t>
            </w:r>
          </w:p>
        </w:tc>
        <w:tc>
          <w:tcPr>
            <w:tcW w:w="1129" w:type="dxa"/>
            <w:tcBorders>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非预期的纵向运动</w:t>
            </w:r>
          </w:p>
        </w:tc>
        <w:tc>
          <w:tcPr>
            <w:tcW w:w="1671" w:type="dxa"/>
            <w:tcBorders>
              <w:bottom w:val="single" w:color="auto" w:sz="8" w:space="0"/>
            </w:tcBorders>
            <w:shd w:val="clear" w:color="auto" w:fill="auto"/>
          </w:tcPr>
          <w:p>
            <w:pPr>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满载车辆在上、下坡道（坡度大于等于8%）保持静止，在施加驻车制动前、施加驻车制动后注入故障。</w:t>
            </w:r>
          </w:p>
        </w:tc>
        <w:tc>
          <w:tcPr>
            <w:tcW w:w="1052" w:type="dxa"/>
            <w:tcBorders>
              <w:bottom w:val="single" w:color="auto" w:sz="8" w:space="0"/>
            </w:tcBorders>
            <w:shd w:val="clear" w:color="auto" w:fill="auto"/>
          </w:tcPr>
          <w:p>
            <w:pPr>
              <w:pStyle w:val="184"/>
              <w:keepNext w:val="0"/>
              <w:keepLines w:val="0"/>
              <w:pageBreakBefore w:val="0"/>
              <w:kinsoku/>
              <w:wordWrap/>
              <w:overflowPunct/>
              <w:topLinePunct w:val="0"/>
              <w:bidi w:val="0"/>
              <w:snapToGrid/>
              <w:spacing w:before="157" w:beforeLines="50" w:after="157" w:afterLines="50"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w:t>
            </w:r>
            <w:r>
              <w:rPr>
                <w:rFonts w:hint="eastAsia" w:ascii="宋体" w:hAnsi="宋体" w:eastAsia="宋体" w:cs="宋体"/>
                <w:color w:val="auto"/>
                <w:sz w:val="18"/>
                <w:szCs w:val="18"/>
                <w:highlight w:val="none"/>
                <w:lang w:val="en-US" w:eastAsia="zh-CN"/>
              </w:rPr>
              <w:t>B</w:t>
            </w:r>
            <w:r>
              <w:rPr>
                <w:rFonts w:hint="eastAsia" w:ascii="宋体" w:hAnsi="宋体" w:eastAsia="宋体" w:cs="宋体"/>
                <w:color w:val="auto"/>
                <w:sz w:val="18"/>
                <w:szCs w:val="18"/>
                <w:highlight w:val="none"/>
              </w:rPr>
              <w:t>.2.6.3中验证和确认计划中的接受准则。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13" w:type="dxa"/>
            <w:gridSpan w:val="6"/>
            <w:tcBorders>
              <w:top w:val="single" w:color="auto" w:sz="8" w:space="0"/>
              <w:bottom w:val="single" w:color="auto" w:sz="8" w:space="0"/>
            </w:tcBorders>
            <w:shd w:val="clear" w:color="auto" w:fill="auto"/>
            <w:vAlign w:val="center"/>
          </w:tcPr>
          <w:p>
            <w:pPr>
              <w:pStyle w:val="107"/>
              <w:keepNext w:val="0"/>
              <w:keepLines w:val="0"/>
              <w:pageBreakBefore w:val="0"/>
              <w:numPr>
                <w:ilvl w:val="0"/>
                <w:numId w:val="88"/>
              </w:numPr>
              <w:kinsoku/>
              <w:wordWrap/>
              <w:overflowPunct/>
              <w:topLinePunct w:val="0"/>
              <w:bidi w:val="0"/>
              <w:snapToGrid/>
              <w:spacing w:before="157" w:beforeLines="50" w:after="157" w:afterLines="50" w:line="240" w:lineRule="auto"/>
              <w:textAlignment w:val="auto"/>
              <w:rPr>
                <w:rFonts w:hint="eastAsia"/>
                <w:color w:val="auto"/>
                <w:highlight w:val="none"/>
              </w:rPr>
            </w:pPr>
            <w:r>
              <w:rPr>
                <w:rFonts w:hint="eastAsia"/>
                <w:color w:val="auto"/>
                <w:highlight w:val="none"/>
              </w:rPr>
              <w:t>检测机构应通过审核B.2.5要求的安全分析相关文档，确认上述故障类型是否存在，且影响表B.1中安全目标的实现。</w:t>
            </w:r>
          </w:p>
          <w:p>
            <w:pPr>
              <w:pStyle w:val="107"/>
              <w:keepNext w:val="0"/>
              <w:keepLines w:val="0"/>
              <w:pageBreakBefore w:val="0"/>
              <w:kinsoku/>
              <w:wordWrap/>
              <w:overflowPunct/>
              <w:topLinePunct w:val="0"/>
              <w:bidi w:val="0"/>
              <w:snapToGrid/>
              <w:spacing w:before="157" w:beforeLines="50" w:after="157" w:afterLines="50" w:line="240" w:lineRule="auto"/>
              <w:textAlignment w:val="auto"/>
              <w:rPr>
                <w:rFonts w:hint="eastAsia"/>
                <w:color w:val="auto"/>
                <w:highlight w:val="none"/>
              </w:rPr>
            </w:pPr>
            <w:r>
              <w:rPr>
                <w:rFonts w:hint="eastAsia"/>
                <w:color w:val="auto"/>
                <w:highlight w:val="none"/>
              </w:rPr>
              <w:t>对于确认后的故障类型，均应开展验证确认试验，验证确认试验应至少包括本表中规定的试验工况，具体注入故障方式由制造商和检测机构协商确定。对于传感器集成等特殊原因无法在实车层面模拟的故障类型，以及无法通过软件对量产车型实现的故障类型，检测机构应通过审核“详细系统层面的验证确认计划和验证确认结果”、“详细整车层面的确认计划和确认结果”等相关技术文件的方式进行确认，并在试验报告中进行记录。</w:t>
            </w:r>
          </w:p>
          <w:p>
            <w:pPr>
              <w:pStyle w:val="107"/>
              <w:keepNext w:val="0"/>
              <w:keepLines w:val="0"/>
              <w:pageBreakBefore w:val="0"/>
              <w:kinsoku/>
              <w:wordWrap/>
              <w:overflowPunct/>
              <w:topLinePunct w:val="0"/>
              <w:bidi w:val="0"/>
              <w:snapToGrid/>
              <w:spacing w:before="157" w:beforeLines="50" w:after="157" w:afterLines="50" w:line="240" w:lineRule="auto"/>
              <w:textAlignment w:val="auto"/>
              <w:rPr>
                <w:rFonts w:hint="eastAsia"/>
                <w:color w:val="auto"/>
                <w:highlight w:val="none"/>
              </w:rPr>
            </w:pPr>
            <w:r>
              <w:rPr>
                <w:rFonts w:hint="eastAsia"/>
                <w:color w:val="auto"/>
                <w:highlight w:val="none"/>
              </w:rPr>
              <w:t>因最高设计车速限制而不能达到规定车速的车辆，可以试验时所能达到的最高车速进行试验。试验车速</w:t>
            </w:r>
            <w:r>
              <w:rPr>
                <w:rFonts w:hint="eastAsia"/>
                <w:color w:val="auto"/>
                <w:highlight w:val="none"/>
                <w:lang w:eastAsia="zh-CN"/>
              </w:rPr>
              <w:t>、</w:t>
            </w:r>
            <w:r>
              <w:rPr>
                <w:rFonts w:hint="eastAsia"/>
                <w:color w:val="auto"/>
                <w:highlight w:val="none"/>
              </w:rPr>
              <w:t>车辆质量状态</w:t>
            </w:r>
            <w:r>
              <w:rPr>
                <w:rFonts w:hint="eastAsia"/>
                <w:color w:val="auto"/>
                <w:highlight w:val="none"/>
                <w:lang w:eastAsia="zh-CN"/>
              </w:rPr>
              <w:t>、路面附着系数、转弯半径</w:t>
            </w:r>
            <w:r>
              <w:rPr>
                <w:rFonts w:hint="eastAsia"/>
                <w:color w:val="auto"/>
                <w:highlight w:val="none"/>
              </w:rPr>
              <w:t>可根据B.2.6.3验证和确认计划中的相关试验工况进行调整。</w:t>
            </w:r>
          </w:p>
          <w:p>
            <w:pPr>
              <w:pStyle w:val="62"/>
              <w:rPr>
                <w:rFonts w:hint="eastAsia"/>
                <w:color w:val="auto"/>
                <w:highlight w:val="none"/>
              </w:rPr>
            </w:pPr>
            <w:r>
              <w:rPr>
                <w:rFonts w:hint="eastAsia"/>
                <w:color w:val="auto"/>
                <w:highlight w:val="none"/>
                <w:vertAlign w:val="superscript"/>
                <w:lang w:val="en-US" w:eastAsia="zh-CN"/>
              </w:rPr>
              <w:t>d</w:t>
            </w:r>
            <w:r>
              <w:rPr>
                <w:rFonts w:hint="eastAsia"/>
                <w:color w:val="auto"/>
                <w:highlight w:val="none"/>
                <w:vertAlign w:val="baseline"/>
                <w:lang w:val="en-US" w:eastAsia="zh-CN"/>
              </w:rPr>
              <w:t>注入故障后允许进行转向修正，但转向盘在最初2 s内的转角不应超过120°，且总转角不应超过240°。</w:t>
            </w:r>
          </w:p>
        </w:tc>
      </w:tr>
    </w:tbl>
    <w:p>
      <w:pPr>
        <w:keepNext w:val="0"/>
        <w:keepLines w:val="0"/>
        <w:pageBreakBefore w:val="0"/>
        <w:widowControl/>
        <w:kinsoku/>
        <w:wordWrap/>
        <w:overflowPunct/>
        <w:topLinePunct w:val="0"/>
        <w:bidi w:val="0"/>
        <w:adjustRightInd/>
        <w:snapToGrid/>
        <w:spacing w:before="157" w:beforeLines="50" w:after="157" w:afterLines="50" w:line="240" w:lineRule="auto"/>
        <w:jc w:val="left"/>
        <w:textAlignment w:val="auto"/>
        <w:rPr>
          <w:color w:val="auto"/>
          <w:highlight w:val="none"/>
        </w:rPr>
      </w:pPr>
    </w:p>
    <w:p>
      <w:pPr>
        <w:widowControl/>
        <w:adjustRightInd/>
        <w:spacing w:line="240" w:lineRule="auto"/>
        <w:jc w:val="left"/>
        <w:rPr>
          <w:color w:val="auto"/>
          <w:highlight w:val="none"/>
        </w:rPr>
      </w:pPr>
    </w:p>
    <w:p>
      <w:pPr>
        <w:widowControl/>
        <w:adjustRightInd/>
        <w:spacing w:line="240" w:lineRule="auto"/>
        <w:jc w:val="left"/>
        <w:rPr>
          <w:rFonts w:ascii="宋体" w:hAnsi="Times New Roman"/>
          <w:color w:val="auto"/>
          <w:kern w:val="0"/>
          <w:szCs w:val="20"/>
          <w:highlight w:val="none"/>
        </w:rPr>
      </w:pPr>
      <w:r>
        <w:rPr>
          <w:color w:val="auto"/>
          <w:highlight w:val="none"/>
        </w:rPr>
        <w:br w:type="page"/>
      </w:r>
    </w:p>
    <w:p>
      <w:pPr>
        <w:pStyle w:val="62"/>
        <w:ind w:firstLine="420"/>
        <w:rPr>
          <w:color w:val="auto"/>
          <w:highlight w:val="none"/>
        </w:rPr>
        <w:sectPr>
          <w:headerReference r:id="rId29" w:type="default"/>
          <w:footerReference r:id="rId31" w:type="default"/>
          <w:headerReference r:id="rId30" w:type="even"/>
          <w:footerReference r:id="rId32" w:type="even"/>
          <w:pgSz w:w="16838" w:h="11906" w:orient="landscape"/>
          <w:pgMar w:top="1134" w:right="1871" w:bottom="1134" w:left="1134" w:header="1418" w:footer="1247" w:gutter="284"/>
          <w:cols w:space="425" w:num="1"/>
          <w:formProt w:val="0"/>
          <w:docGrid w:type="lines" w:linePitch="312" w:charSpace="0"/>
        </w:sectPr>
      </w:pPr>
    </w:p>
    <w:p>
      <w:pPr>
        <w:pStyle w:val="85"/>
        <w:spacing w:before="156" w:after="156"/>
        <w:rPr>
          <w:rFonts w:ascii="宋体" w:eastAsia="宋体" w:cs="黑体"/>
          <w:b/>
          <w:color w:val="auto"/>
          <w:szCs w:val="21"/>
          <w:highlight w:val="none"/>
        </w:rPr>
      </w:pPr>
      <w:r>
        <w:rPr>
          <w:rFonts w:hint="eastAsia"/>
          <w:color w:val="auto"/>
          <w:highlight w:val="none"/>
        </w:rPr>
        <w:t>验证和确认的结论</w:t>
      </w:r>
    </w:p>
    <w:p>
      <w:pPr>
        <w:pStyle w:val="62"/>
        <w:ind w:firstLine="420"/>
        <w:rPr>
          <w:color w:val="auto"/>
          <w:highlight w:val="none"/>
        </w:rPr>
        <w:sectPr>
          <w:headerReference r:id="rId33" w:type="default"/>
          <w:footerReference r:id="rId35" w:type="default"/>
          <w:headerReference r:id="rId34" w:type="even"/>
          <w:footerReference r:id="rId36" w:type="even"/>
          <w:pgSz w:w="11906" w:h="16838"/>
          <w:pgMar w:top="1928" w:right="1134" w:bottom="1134" w:left="1134" w:header="1418" w:footer="1134" w:gutter="284"/>
          <w:cols w:space="425" w:num="1"/>
          <w:formProt w:val="0"/>
          <w:docGrid w:type="lines" w:linePitch="312" w:charSpace="0"/>
        </w:sectPr>
      </w:pPr>
      <w:r>
        <w:rPr>
          <w:rFonts w:hint="eastAsia"/>
          <w:color w:val="auto"/>
          <w:highlight w:val="none"/>
        </w:rPr>
        <w:t>验证和确认的结果应与</w:t>
      </w:r>
      <w:r>
        <w:rPr>
          <w:rFonts w:hint="eastAsia"/>
          <w:color w:val="auto"/>
          <w:highlight w:val="none"/>
          <w:lang w:val="en-US" w:eastAsia="zh-CN"/>
        </w:rPr>
        <w:t>B</w:t>
      </w:r>
      <w:r>
        <w:rPr>
          <w:rFonts w:hint="eastAsia"/>
          <w:color w:val="auto"/>
          <w:highlight w:val="none"/>
        </w:rPr>
        <w:t>.2.6一致，并说明功能安全概念及其实施效果的充分性和有效性。</w:t>
      </w:r>
      <w:r>
        <w:rPr>
          <w:rFonts w:hint="eastAsia"/>
          <w:color w:val="auto"/>
          <w:highlight w:val="none"/>
          <w:lang w:val="en-US" w:eastAsia="zh-CN"/>
        </w:rPr>
        <w:t>试验</w:t>
      </w:r>
      <w:r>
        <w:rPr>
          <w:rFonts w:hint="eastAsia"/>
          <w:color w:val="auto"/>
          <w:highlight w:val="none"/>
        </w:rPr>
        <w:t>报告应描述整车及系统层面开展的验证和确认情况，包括验证和确认的对象、目的、内容及结果。</w:t>
      </w:r>
    </w:p>
    <w:p>
      <w:pPr>
        <w:pStyle w:val="204"/>
        <w:rPr>
          <w:vanish w:val="0"/>
          <w:color w:val="auto"/>
          <w:highlight w:val="none"/>
        </w:rPr>
      </w:pPr>
    </w:p>
    <w:p>
      <w:pPr>
        <w:pStyle w:val="205"/>
        <w:rPr>
          <w:vanish w:val="0"/>
          <w:color w:val="auto"/>
          <w:highlight w:val="none"/>
        </w:rPr>
      </w:pPr>
    </w:p>
    <w:p>
      <w:pPr>
        <w:pStyle w:val="82"/>
        <w:spacing w:after="156"/>
        <w:rPr>
          <w:color w:val="auto"/>
          <w:highlight w:val="none"/>
        </w:rPr>
      </w:pPr>
      <w:bookmarkStart w:id="249" w:name="_Toc28845"/>
      <w:r>
        <w:rPr>
          <w:color w:val="auto"/>
          <w:highlight w:val="none"/>
        </w:rPr>
        <w:br w:type="textWrapping"/>
      </w:r>
      <w:r>
        <w:rPr>
          <w:rFonts w:hint="eastAsia"/>
          <w:color w:val="auto"/>
          <w:highlight w:val="none"/>
        </w:rPr>
        <w:t>（规范性）</w:t>
      </w:r>
      <w:r>
        <w:rPr>
          <w:color w:val="auto"/>
          <w:highlight w:val="none"/>
        </w:rPr>
        <w:br w:type="textWrapping"/>
      </w:r>
      <w:r>
        <w:rPr>
          <w:rFonts w:hint="eastAsia"/>
          <w:color w:val="auto"/>
          <w:highlight w:val="none"/>
        </w:rPr>
        <w:t>制动电子控制系统功能安全试验报告要求</w:t>
      </w:r>
      <w:bookmarkEnd w:id="249"/>
    </w:p>
    <w:p>
      <w:pPr>
        <w:pStyle w:val="84"/>
        <w:spacing w:before="156" w:after="156"/>
        <w:rPr>
          <w:color w:val="auto"/>
          <w:szCs w:val="21"/>
          <w:highlight w:val="none"/>
        </w:rPr>
      </w:pPr>
      <w:bookmarkStart w:id="250" w:name="_Toc10919"/>
      <w:r>
        <w:rPr>
          <w:rFonts w:hint="eastAsia"/>
          <w:color w:val="auto"/>
          <w:highlight w:val="none"/>
        </w:rPr>
        <w:t>总则</w:t>
      </w:r>
      <w:bookmarkEnd w:id="250"/>
    </w:p>
    <w:p>
      <w:pPr>
        <w:pStyle w:val="62"/>
        <w:ind w:firstLine="420"/>
        <w:rPr>
          <w:color w:val="auto"/>
          <w:highlight w:val="none"/>
        </w:rPr>
      </w:pPr>
      <w:r>
        <w:rPr>
          <w:rFonts w:hint="eastAsia"/>
          <w:color w:val="auto"/>
          <w:highlight w:val="none"/>
        </w:rPr>
        <w:t>检测机构应按照5.1.3和附录</w:t>
      </w:r>
      <w:r>
        <w:rPr>
          <w:rFonts w:hint="eastAsia"/>
          <w:color w:val="auto"/>
          <w:highlight w:val="none"/>
          <w:lang w:val="en-US" w:eastAsia="zh-CN"/>
        </w:rPr>
        <w:t>B</w:t>
      </w:r>
      <w:r>
        <w:rPr>
          <w:rFonts w:hint="eastAsia"/>
          <w:color w:val="auto"/>
          <w:highlight w:val="none"/>
        </w:rPr>
        <w:t>的要求，针对制造商提交及备查的制动电子控制系统功能安全相关文档，进行文档审核评估及抽查试验，并根据本附录的要求在试验报告中记录文档审核评估的内容和结果、验证确认试验步骤和结果。</w:t>
      </w:r>
    </w:p>
    <w:p>
      <w:pPr>
        <w:pStyle w:val="84"/>
        <w:spacing w:before="156" w:after="156"/>
        <w:rPr>
          <w:color w:val="auto"/>
          <w:highlight w:val="none"/>
        </w:rPr>
      </w:pPr>
      <w:bookmarkStart w:id="251" w:name="_Toc15358"/>
      <w:r>
        <w:rPr>
          <w:rFonts w:hint="eastAsia"/>
          <w:color w:val="auto"/>
          <w:highlight w:val="none"/>
        </w:rPr>
        <w:t>文档内容</w:t>
      </w:r>
      <w:bookmarkEnd w:id="251"/>
    </w:p>
    <w:p>
      <w:pPr>
        <w:pStyle w:val="85"/>
        <w:spacing w:before="156" w:after="156"/>
        <w:rPr>
          <w:color w:val="auto"/>
          <w:highlight w:val="none"/>
        </w:rPr>
      </w:pPr>
      <w:r>
        <w:rPr>
          <w:rFonts w:hint="eastAsia"/>
          <w:color w:val="auto"/>
          <w:highlight w:val="none"/>
        </w:rPr>
        <w:t>要求</w:t>
      </w:r>
    </w:p>
    <w:p>
      <w:pPr>
        <w:pStyle w:val="62"/>
        <w:ind w:firstLine="420"/>
        <w:rPr>
          <w:color w:val="auto"/>
          <w:highlight w:val="none"/>
        </w:rPr>
      </w:pPr>
      <w:r>
        <w:rPr>
          <w:rFonts w:hint="eastAsia"/>
          <w:color w:val="auto"/>
          <w:highlight w:val="none"/>
        </w:rPr>
        <w:t>检测机构对</w:t>
      </w:r>
      <w:r>
        <w:rPr>
          <w:rFonts w:hint="eastAsia"/>
          <w:color w:val="auto"/>
          <w:highlight w:val="none"/>
          <w:lang w:val="en-US" w:eastAsia="zh-CN"/>
        </w:rPr>
        <w:t>B</w:t>
      </w:r>
      <w:r>
        <w:rPr>
          <w:rFonts w:hint="eastAsia"/>
          <w:color w:val="auto"/>
          <w:highlight w:val="none"/>
        </w:rPr>
        <w:t>.2.1规定提交的文档和备查的文档进行审核，并在试验报告按照</w:t>
      </w:r>
      <w:r>
        <w:rPr>
          <w:rFonts w:hint="eastAsia"/>
          <w:color w:val="auto"/>
          <w:highlight w:val="none"/>
          <w:lang w:val="en-US" w:eastAsia="zh-CN"/>
        </w:rPr>
        <w:t>C</w:t>
      </w:r>
      <w:r>
        <w:rPr>
          <w:rFonts w:hint="eastAsia"/>
          <w:color w:val="auto"/>
          <w:highlight w:val="none"/>
        </w:rPr>
        <w:t>.2.2～</w:t>
      </w:r>
      <w:r>
        <w:rPr>
          <w:rFonts w:hint="eastAsia"/>
          <w:color w:val="auto"/>
          <w:highlight w:val="none"/>
          <w:lang w:val="en-US" w:eastAsia="zh-CN"/>
        </w:rPr>
        <w:t>C</w:t>
      </w:r>
      <w:r>
        <w:rPr>
          <w:rFonts w:hint="eastAsia"/>
          <w:color w:val="auto"/>
          <w:highlight w:val="none"/>
        </w:rPr>
        <w:t>.2.7的要求对所审核的内容进行记录。</w:t>
      </w:r>
    </w:p>
    <w:p>
      <w:pPr>
        <w:pStyle w:val="85"/>
        <w:spacing w:before="156" w:after="156"/>
        <w:rPr>
          <w:color w:val="auto"/>
          <w:highlight w:val="none"/>
        </w:rPr>
      </w:pPr>
      <w:r>
        <w:rPr>
          <w:rFonts w:hint="eastAsia"/>
          <w:color w:val="auto"/>
          <w:highlight w:val="none"/>
        </w:rPr>
        <w:t>制动电子控制系统描述</w:t>
      </w:r>
    </w:p>
    <w:p>
      <w:pPr>
        <w:pStyle w:val="219"/>
        <w:spacing w:line="240" w:lineRule="auto"/>
        <w:rPr>
          <w:color w:val="auto"/>
          <w:highlight w:val="none"/>
        </w:rPr>
      </w:pPr>
      <w:r>
        <w:rPr>
          <w:rFonts w:hint="eastAsia"/>
          <w:color w:val="auto"/>
          <w:highlight w:val="none"/>
        </w:rPr>
        <w:t>记录制动电子控制系统型号、生产企业、系统名称、软件版本号等基本信息。</w:t>
      </w:r>
    </w:p>
    <w:p>
      <w:pPr>
        <w:pStyle w:val="219"/>
        <w:spacing w:line="240" w:lineRule="auto"/>
        <w:rPr>
          <w:color w:val="auto"/>
          <w:highlight w:val="none"/>
        </w:rPr>
      </w:pPr>
      <w:r>
        <w:rPr>
          <w:rFonts w:hint="eastAsia"/>
          <w:color w:val="auto"/>
          <w:highlight w:val="none"/>
        </w:rPr>
        <w:t>记录并描述制动电子控制系统的功能。</w:t>
      </w:r>
    </w:p>
    <w:p>
      <w:pPr>
        <w:pStyle w:val="219"/>
        <w:spacing w:line="240" w:lineRule="auto"/>
        <w:rPr>
          <w:color w:val="auto"/>
          <w:highlight w:val="none"/>
        </w:rPr>
      </w:pPr>
      <w:r>
        <w:rPr>
          <w:rFonts w:hint="eastAsia"/>
          <w:color w:val="auto"/>
          <w:highlight w:val="none"/>
        </w:rPr>
        <w:t>记录并描述制动电子控制系统的范围、边界、接口、内部包含的子系统或要素（附系统架构框图）。</w:t>
      </w:r>
    </w:p>
    <w:p>
      <w:pPr>
        <w:pStyle w:val="219"/>
        <w:spacing w:line="240" w:lineRule="auto"/>
        <w:rPr>
          <w:color w:val="auto"/>
          <w:highlight w:val="none"/>
        </w:rPr>
      </w:pPr>
      <w:r>
        <w:rPr>
          <w:rFonts w:hint="eastAsia"/>
          <w:color w:val="auto"/>
          <w:highlight w:val="none"/>
        </w:rPr>
        <w:t>记录并描述制动电子控制系统的运行条件、约束限制、有效工作范围。</w:t>
      </w:r>
    </w:p>
    <w:p>
      <w:pPr>
        <w:pStyle w:val="219"/>
        <w:spacing w:line="240" w:lineRule="auto"/>
        <w:rPr>
          <w:color w:val="auto"/>
          <w:highlight w:val="none"/>
        </w:rPr>
      </w:pPr>
      <w:r>
        <w:rPr>
          <w:rFonts w:hint="eastAsia"/>
          <w:color w:val="auto"/>
          <w:highlight w:val="none"/>
        </w:rPr>
        <w:t>记录系统在整车上的布置及外观（附示意图）。</w:t>
      </w:r>
    </w:p>
    <w:p>
      <w:pPr>
        <w:pStyle w:val="219"/>
        <w:spacing w:line="240" w:lineRule="auto"/>
        <w:rPr>
          <w:color w:val="auto"/>
          <w:highlight w:val="none"/>
        </w:rPr>
      </w:pPr>
      <w:r>
        <w:rPr>
          <w:rFonts w:hint="eastAsia"/>
          <w:color w:val="auto"/>
          <w:highlight w:val="none"/>
        </w:rPr>
        <w:t>记录并描述系统布局，至少包括：</w:t>
      </w:r>
    </w:p>
    <w:p>
      <w:pPr>
        <w:pStyle w:val="180"/>
        <w:numPr>
          <w:ilvl w:val="0"/>
          <w:numId w:val="89"/>
        </w:numPr>
        <w:rPr>
          <w:color w:val="auto"/>
          <w:kern w:val="2"/>
          <w:highlight w:val="none"/>
        </w:rPr>
      </w:pPr>
      <w:r>
        <w:rPr>
          <w:rFonts w:hint="eastAsia"/>
          <w:color w:val="auto"/>
          <w:highlight w:val="none"/>
        </w:rPr>
        <w:t>系统组件清单：列出系统的所有组件和单元，以及为实现相关控制功能所需的车辆其他系统。列出上述所有单元的功能、识别标志，包括硬件和软件的版本。</w:t>
      </w:r>
    </w:p>
    <w:p>
      <w:pPr>
        <w:pStyle w:val="180"/>
        <w:numPr>
          <w:ilvl w:val="0"/>
          <w:numId w:val="32"/>
        </w:numPr>
        <w:rPr>
          <w:color w:val="auto"/>
          <w:highlight w:val="none"/>
        </w:rPr>
      </w:pPr>
      <w:r>
        <w:rPr>
          <w:rFonts w:hint="eastAsia"/>
          <w:color w:val="auto"/>
          <w:highlight w:val="none"/>
        </w:rPr>
        <w:t>相互连接：基于上述所有单元，附系统架构框图、电路图、管路图、布置简图等，对系统内、外的机械连接、电气连接、信号连接及交互进行标识。</w:t>
      </w:r>
    </w:p>
    <w:p>
      <w:pPr>
        <w:pStyle w:val="180"/>
        <w:numPr>
          <w:ilvl w:val="0"/>
          <w:numId w:val="32"/>
        </w:numPr>
        <w:rPr>
          <w:color w:val="auto"/>
          <w:highlight w:val="none"/>
        </w:rPr>
      </w:pPr>
      <w:r>
        <w:rPr>
          <w:rFonts w:hint="eastAsia"/>
          <w:color w:val="auto"/>
          <w:highlight w:val="none"/>
        </w:rPr>
        <w:t>信号流和优先顺序：描述单元间的传输链与信号的对应关系，描述多元数据通道内的信号的优先顺序。</w:t>
      </w:r>
    </w:p>
    <w:p>
      <w:pPr>
        <w:pStyle w:val="85"/>
        <w:spacing w:before="156" w:after="156"/>
        <w:rPr>
          <w:color w:val="auto"/>
          <w:highlight w:val="none"/>
        </w:rPr>
      </w:pPr>
      <w:r>
        <w:rPr>
          <w:rFonts w:hint="eastAsia"/>
          <w:color w:val="auto"/>
          <w:highlight w:val="none"/>
        </w:rPr>
        <w:t>危害分析和风险评估</w:t>
      </w:r>
    </w:p>
    <w:p>
      <w:pPr>
        <w:pStyle w:val="219"/>
        <w:spacing w:line="240" w:lineRule="auto"/>
        <w:rPr>
          <w:color w:val="auto"/>
          <w:highlight w:val="none"/>
        </w:rPr>
      </w:pPr>
      <w:r>
        <w:rPr>
          <w:rFonts w:hint="eastAsia"/>
          <w:color w:val="auto"/>
          <w:highlight w:val="none"/>
        </w:rPr>
        <w:t>根据制造商提交和备查的相关文档，至少包括：危害分析和风险评估总结（见</w:t>
      </w:r>
      <w:r>
        <w:rPr>
          <w:rFonts w:hint="eastAsia"/>
          <w:color w:val="auto"/>
          <w:highlight w:val="none"/>
          <w:lang w:val="en-US" w:eastAsia="zh-CN"/>
        </w:rPr>
        <w:t>B</w:t>
      </w:r>
      <w:r>
        <w:rPr>
          <w:rFonts w:hint="eastAsia"/>
          <w:color w:val="auto"/>
          <w:highlight w:val="none"/>
        </w:rPr>
        <w:t>.2.3.1）、详细危害分析和风险评估（见</w:t>
      </w:r>
      <w:r>
        <w:rPr>
          <w:rFonts w:hint="eastAsia"/>
          <w:color w:val="auto"/>
          <w:highlight w:val="none"/>
          <w:lang w:val="en-US" w:eastAsia="zh-CN"/>
        </w:rPr>
        <w:t>B</w:t>
      </w:r>
      <w:r>
        <w:rPr>
          <w:rFonts w:hint="eastAsia"/>
          <w:color w:val="auto"/>
          <w:highlight w:val="none"/>
        </w:rPr>
        <w:t>.2.3.2），总结并列出制动电子控制系统的功能</w:t>
      </w:r>
      <w:r>
        <w:rPr>
          <w:rFonts w:hint="eastAsia"/>
          <w:color w:val="auto"/>
          <w:highlight w:val="none"/>
          <w:lang w:val="en-US" w:eastAsia="zh-CN"/>
        </w:rPr>
        <w:t>异常表现</w:t>
      </w:r>
      <w:r>
        <w:rPr>
          <w:rFonts w:hint="eastAsia"/>
          <w:color w:val="auto"/>
          <w:highlight w:val="none"/>
        </w:rPr>
        <w:t>、导致整车层面的危害、安全目标、ASIL等级。</w:t>
      </w:r>
    </w:p>
    <w:p>
      <w:pPr>
        <w:pStyle w:val="219"/>
        <w:spacing w:line="240" w:lineRule="auto"/>
        <w:rPr>
          <w:color w:val="auto"/>
          <w:highlight w:val="none"/>
        </w:rPr>
      </w:pPr>
      <w:r>
        <w:rPr>
          <w:rFonts w:hint="eastAsia"/>
          <w:color w:val="auto"/>
          <w:highlight w:val="none"/>
        </w:rPr>
        <w:t>描述审核上述危害分析和风险评估的结果是否涵盖了非预期的减速、非预期的减速能力下降、非预期的纵向运动、非预期的侧向运动等整车危害，及对应的安全目标。</w:t>
      </w:r>
    </w:p>
    <w:p>
      <w:pPr>
        <w:pStyle w:val="219"/>
        <w:spacing w:line="240" w:lineRule="auto"/>
        <w:rPr>
          <w:color w:val="auto"/>
          <w:highlight w:val="none"/>
        </w:rPr>
      </w:pPr>
      <w:r>
        <w:rPr>
          <w:rFonts w:hint="eastAsia"/>
          <w:color w:val="auto"/>
          <w:highlight w:val="none"/>
        </w:rPr>
        <w:t>记录备查文档的清单和相关信息，至少包括相关的企业名称、文件名、版本、状态、日期、储存位置等基本信息，并总结描述审核的内容。</w:t>
      </w:r>
    </w:p>
    <w:p>
      <w:pPr>
        <w:pStyle w:val="85"/>
        <w:spacing w:before="156" w:after="156"/>
        <w:rPr>
          <w:color w:val="auto"/>
          <w:highlight w:val="none"/>
        </w:rPr>
      </w:pPr>
      <w:r>
        <w:rPr>
          <w:rFonts w:hint="eastAsia"/>
          <w:color w:val="auto"/>
          <w:highlight w:val="none"/>
        </w:rPr>
        <w:t>安全措施说明</w:t>
      </w:r>
    </w:p>
    <w:p>
      <w:pPr>
        <w:pStyle w:val="219"/>
        <w:spacing w:line="240" w:lineRule="auto"/>
        <w:rPr>
          <w:color w:val="auto"/>
          <w:highlight w:val="none"/>
        </w:rPr>
      </w:pPr>
      <w:r>
        <w:rPr>
          <w:rFonts w:hint="eastAsia"/>
          <w:color w:val="auto"/>
          <w:highlight w:val="none"/>
        </w:rPr>
        <w:t>根据制造商提交和备查的相关文档，至少包括：安全措施说明（见</w:t>
      </w:r>
      <w:r>
        <w:rPr>
          <w:rFonts w:hint="eastAsia"/>
          <w:color w:val="auto"/>
          <w:highlight w:val="none"/>
          <w:lang w:val="en-US" w:eastAsia="zh-CN"/>
        </w:rPr>
        <w:t>B</w:t>
      </w:r>
      <w:r>
        <w:rPr>
          <w:rFonts w:hint="eastAsia"/>
          <w:color w:val="auto"/>
          <w:highlight w:val="none"/>
        </w:rPr>
        <w:t>.2.4.1），总结并列出制动电子控制系统发生的功能</w:t>
      </w:r>
      <w:r>
        <w:rPr>
          <w:rFonts w:hint="eastAsia"/>
          <w:color w:val="auto"/>
          <w:highlight w:val="none"/>
          <w:lang w:val="en-US" w:eastAsia="zh-CN"/>
        </w:rPr>
        <w:t>异常表现</w:t>
      </w:r>
      <w:r>
        <w:rPr>
          <w:rFonts w:hint="eastAsia"/>
          <w:color w:val="auto"/>
          <w:highlight w:val="none"/>
        </w:rPr>
        <w:t>，导致的整车危害，对应采取的安全措施。</w:t>
      </w:r>
    </w:p>
    <w:p>
      <w:pPr>
        <w:pStyle w:val="219"/>
        <w:spacing w:line="240" w:lineRule="auto"/>
        <w:rPr>
          <w:color w:val="auto"/>
          <w:highlight w:val="none"/>
        </w:rPr>
      </w:pPr>
      <w:r>
        <w:rPr>
          <w:rFonts w:hint="eastAsia"/>
          <w:color w:val="auto"/>
          <w:highlight w:val="none"/>
        </w:rPr>
        <w:t>如有其他支撑性材料或数据，记录支撑性材料或数据的基本信息，并描述审核的内容。</w:t>
      </w:r>
    </w:p>
    <w:p>
      <w:pPr>
        <w:pStyle w:val="85"/>
        <w:spacing w:before="156" w:after="156"/>
        <w:rPr>
          <w:color w:val="auto"/>
          <w:highlight w:val="none"/>
        </w:rPr>
      </w:pPr>
      <w:r>
        <w:rPr>
          <w:rFonts w:hint="eastAsia"/>
          <w:color w:val="auto"/>
          <w:highlight w:val="none"/>
        </w:rPr>
        <w:t>安全分析</w:t>
      </w:r>
    </w:p>
    <w:p>
      <w:pPr>
        <w:pStyle w:val="219"/>
        <w:spacing w:line="240" w:lineRule="auto"/>
        <w:rPr>
          <w:color w:val="auto"/>
          <w:highlight w:val="none"/>
        </w:rPr>
      </w:pPr>
      <w:r>
        <w:rPr>
          <w:rFonts w:hint="eastAsia"/>
          <w:color w:val="auto"/>
          <w:highlight w:val="none"/>
        </w:rPr>
        <w:t>根据制造商提交和备查的相关文档，至少包括：整车层面的安全分析总结（见</w:t>
      </w:r>
      <w:r>
        <w:rPr>
          <w:rFonts w:hint="eastAsia"/>
          <w:color w:val="auto"/>
          <w:highlight w:val="none"/>
          <w:lang w:val="en-US" w:eastAsia="zh-CN"/>
        </w:rPr>
        <w:t>B</w:t>
      </w:r>
      <w:r>
        <w:rPr>
          <w:rFonts w:hint="eastAsia"/>
          <w:color w:val="auto"/>
          <w:highlight w:val="none"/>
        </w:rPr>
        <w:t>.2.5.2）、详细整车层面的安全分析（见</w:t>
      </w:r>
      <w:r>
        <w:rPr>
          <w:rFonts w:hint="eastAsia"/>
          <w:color w:val="auto"/>
          <w:highlight w:val="none"/>
          <w:lang w:val="en-US" w:eastAsia="zh-CN"/>
        </w:rPr>
        <w:t>B</w:t>
      </w:r>
      <w:r>
        <w:rPr>
          <w:rFonts w:hint="eastAsia"/>
          <w:color w:val="auto"/>
          <w:highlight w:val="none"/>
        </w:rPr>
        <w:t>.2.5.3），描述制动电子控制系统与车辆其他系统的交互（含故障条件下）可能导致的潜在安全风险及对应的安全措施，描述分析功能异常表现引起的整车安全风险及对应的安全措施的有效性。</w:t>
      </w:r>
    </w:p>
    <w:p>
      <w:pPr>
        <w:pStyle w:val="219"/>
        <w:spacing w:line="240" w:lineRule="auto"/>
        <w:rPr>
          <w:color w:val="auto"/>
          <w:highlight w:val="none"/>
        </w:rPr>
      </w:pPr>
      <w:r>
        <w:rPr>
          <w:rFonts w:hint="eastAsia"/>
          <w:color w:val="auto"/>
          <w:highlight w:val="none"/>
        </w:rPr>
        <w:t>根据制造商提交和备查的相关文档，至少包括：系统层面的安全分析总结（见</w:t>
      </w:r>
      <w:r>
        <w:rPr>
          <w:rFonts w:hint="eastAsia"/>
          <w:color w:val="auto"/>
          <w:highlight w:val="none"/>
          <w:lang w:val="en-US" w:eastAsia="zh-CN"/>
        </w:rPr>
        <w:t>B</w:t>
      </w:r>
      <w:r>
        <w:rPr>
          <w:rFonts w:hint="eastAsia"/>
          <w:color w:val="auto"/>
          <w:highlight w:val="none"/>
        </w:rPr>
        <w:t>.2.5.4）、详细系统层面的安全分析（见</w:t>
      </w:r>
      <w:r>
        <w:rPr>
          <w:rFonts w:hint="eastAsia"/>
          <w:color w:val="auto"/>
          <w:highlight w:val="none"/>
          <w:lang w:val="en-US" w:eastAsia="zh-CN"/>
        </w:rPr>
        <w:t>B</w:t>
      </w:r>
      <w:r>
        <w:rPr>
          <w:rFonts w:hint="eastAsia"/>
          <w:color w:val="auto"/>
          <w:highlight w:val="none"/>
        </w:rPr>
        <w:t>.2.5.5），描述系统层面的安全分析结果[至少包括：系统架构层级要素、要素的功能描述、要素的潜在安全相关失效模式、失效</w:t>
      </w:r>
      <w:r>
        <w:rPr>
          <w:rFonts w:hint="eastAsia"/>
          <w:color w:val="auto"/>
          <w:highlight w:val="none"/>
          <w:lang w:val="en-US" w:eastAsia="zh-CN"/>
        </w:rPr>
        <w:t>影响</w:t>
      </w:r>
      <w:r>
        <w:rPr>
          <w:rFonts w:hint="eastAsia"/>
          <w:color w:val="auto"/>
          <w:highlight w:val="none"/>
        </w:rPr>
        <w:t>（系统层面、整车层面）、安全机制的说明]结果。</w:t>
      </w:r>
    </w:p>
    <w:p>
      <w:pPr>
        <w:pStyle w:val="219"/>
        <w:spacing w:line="240" w:lineRule="auto"/>
        <w:rPr>
          <w:color w:val="auto"/>
          <w:highlight w:val="none"/>
        </w:rPr>
      </w:pPr>
      <w:r>
        <w:rPr>
          <w:rFonts w:hint="eastAsia"/>
          <w:color w:val="auto"/>
          <w:highlight w:val="none"/>
        </w:rPr>
        <w:t>根据制造商提交的相关文档，至少包括：整车层面的安全分析总结（见</w:t>
      </w:r>
      <w:r>
        <w:rPr>
          <w:rFonts w:hint="eastAsia"/>
          <w:color w:val="auto"/>
          <w:highlight w:val="none"/>
          <w:lang w:val="en-US" w:eastAsia="zh-CN"/>
        </w:rPr>
        <w:t>B</w:t>
      </w:r>
      <w:r>
        <w:rPr>
          <w:rFonts w:hint="eastAsia"/>
          <w:color w:val="auto"/>
          <w:highlight w:val="none"/>
        </w:rPr>
        <w:t>.2.5.2）、系统层面的安全分析总结（见</w:t>
      </w:r>
      <w:r>
        <w:rPr>
          <w:rFonts w:hint="eastAsia"/>
          <w:color w:val="auto"/>
          <w:highlight w:val="none"/>
          <w:lang w:val="en-US" w:eastAsia="zh-CN"/>
        </w:rPr>
        <w:t>B</w:t>
      </w:r>
      <w:r>
        <w:rPr>
          <w:rFonts w:hint="eastAsia"/>
          <w:color w:val="auto"/>
          <w:highlight w:val="none"/>
        </w:rPr>
        <w:t>.2.5.4），描述系统所监测的参数，针对安全分析中的每一种故障情况，列出给予</w:t>
      </w:r>
      <w:r>
        <w:rPr>
          <w:rFonts w:hint="eastAsia"/>
          <w:color w:val="auto"/>
          <w:highlight w:val="none"/>
          <w:lang w:eastAsia="zh-CN"/>
        </w:rPr>
        <w:t>驾驶人</w:t>
      </w:r>
      <w:r>
        <w:rPr>
          <w:rFonts w:hint="eastAsia"/>
          <w:color w:val="auto"/>
          <w:highlight w:val="none"/>
        </w:rPr>
        <w:t>、维修人员、检测机构人员的警告信号。描述对应的措施，确保系统在性能受环境条件影响时，如气候、温度、灰尘进入、进水、冰封等，不会妨碍车辆的安全运行。</w:t>
      </w:r>
    </w:p>
    <w:p>
      <w:pPr>
        <w:pStyle w:val="219"/>
        <w:spacing w:line="240" w:lineRule="auto"/>
        <w:rPr>
          <w:color w:val="auto"/>
          <w:highlight w:val="none"/>
        </w:rPr>
      </w:pPr>
      <w:r>
        <w:rPr>
          <w:rFonts w:hint="eastAsia"/>
          <w:color w:val="auto"/>
          <w:highlight w:val="none"/>
        </w:rPr>
        <w:t>记录备查文档的清单和相关信息，至少包括相关的企业名称、文件名、版本、状态、日期、储存位置等基本信息，并总结描述审核的内容。如有其他支撑性材料或数据，记录支撑性材料或数据的基本信息，并描述审核的内容。</w:t>
      </w:r>
    </w:p>
    <w:p>
      <w:pPr>
        <w:pStyle w:val="85"/>
        <w:spacing w:before="156" w:after="156"/>
        <w:rPr>
          <w:color w:val="auto"/>
          <w:highlight w:val="none"/>
        </w:rPr>
      </w:pPr>
      <w:r>
        <w:rPr>
          <w:rFonts w:hint="eastAsia"/>
          <w:color w:val="auto"/>
          <w:highlight w:val="none"/>
        </w:rPr>
        <w:t>整车及系统层面的验证确认计划和结果</w:t>
      </w:r>
    </w:p>
    <w:p>
      <w:pPr>
        <w:pStyle w:val="219"/>
        <w:spacing w:line="240" w:lineRule="auto"/>
        <w:rPr>
          <w:color w:val="auto"/>
          <w:highlight w:val="none"/>
        </w:rPr>
      </w:pPr>
      <w:r>
        <w:rPr>
          <w:rFonts w:hint="eastAsia"/>
          <w:bCs/>
          <w:color w:val="auto"/>
          <w:highlight w:val="none"/>
        </w:rPr>
        <w:t>根据制造商提</w:t>
      </w:r>
      <w:r>
        <w:rPr>
          <w:rFonts w:hint="eastAsia"/>
          <w:color w:val="auto"/>
          <w:highlight w:val="none"/>
        </w:rPr>
        <w:t>交</w:t>
      </w:r>
      <w:r>
        <w:rPr>
          <w:rFonts w:hint="eastAsia"/>
          <w:bCs/>
          <w:color w:val="auto"/>
          <w:highlight w:val="none"/>
        </w:rPr>
        <w:t>和备查的相关文档，至少包括：</w:t>
      </w:r>
      <w:r>
        <w:rPr>
          <w:rFonts w:hint="eastAsia"/>
          <w:color w:val="auto"/>
          <w:highlight w:val="none"/>
        </w:rPr>
        <w:t>系统层面的验证确认计划和结果总结（见</w:t>
      </w:r>
      <w:r>
        <w:rPr>
          <w:rFonts w:hint="eastAsia"/>
          <w:color w:val="auto"/>
          <w:highlight w:val="none"/>
          <w:lang w:val="en-US" w:eastAsia="zh-CN"/>
        </w:rPr>
        <w:t>B</w:t>
      </w:r>
      <w:r>
        <w:rPr>
          <w:rFonts w:hint="eastAsia"/>
          <w:color w:val="auto"/>
          <w:highlight w:val="none"/>
        </w:rPr>
        <w:t>.2.6.2.1）、详细系统层面的验证确认计划和结果（见</w:t>
      </w:r>
      <w:r>
        <w:rPr>
          <w:rFonts w:hint="eastAsia"/>
          <w:color w:val="auto"/>
          <w:highlight w:val="none"/>
          <w:lang w:val="en-US" w:eastAsia="zh-CN"/>
        </w:rPr>
        <w:t>B</w:t>
      </w:r>
      <w:r>
        <w:rPr>
          <w:rFonts w:hint="eastAsia"/>
          <w:color w:val="auto"/>
          <w:highlight w:val="none"/>
        </w:rPr>
        <w:t>.2.6.2.2），总结说明对影响</w:t>
      </w:r>
      <w:r>
        <w:rPr>
          <w:rFonts w:hint="eastAsia"/>
          <w:color w:val="auto"/>
          <w:highlight w:val="none"/>
          <w:lang w:val="en-US" w:eastAsia="zh-CN"/>
        </w:rPr>
        <w:t>表B.1中</w:t>
      </w:r>
      <w:r>
        <w:rPr>
          <w:rFonts w:hint="eastAsia"/>
          <w:color w:val="auto"/>
          <w:highlight w:val="none"/>
        </w:rPr>
        <w:t>安全目标的所有故障，进行了验证确认[且至少包括：验证确认对象，例如车辆型号、系统名称，软、硬件版本等；验证确认目的，例如验证确认功能安全概念是否充分实现了安全目标；验证确认方法及步骤概述（如果通过测试开展确认，还需说明测试设备、测试环境）；接受准则；验证确认结果]。</w:t>
      </w:r>
    </w:p>
    <w:p>
      <w:pPr>
        <w:pStyle w:val="219"/>
        <w:spacing w:line="240" w:lineRule="auto"/>
        <w:rPr>
          <w:color w:val="auto"/>
          <w:kern w:val="2"/>
          <w:highlight w:val="none"/>
        </w:rPr>
      </w:pPr>
      <w:r>
        <w:rPr>
          <w:rFonts w:hint="eastAsia"/>
          <w:color w:val="auto"/>
          <w:highlight w:val="none"/>
        </w:rPr>
        <w:t>根据制造商提交和备查的相关文档，至少包括：整车层面的确认计划和结果总结（见</w:t>
      </w:r>
      <w:r>
        <w:rPr>
          <w:rFonts w:hint="eastAsia"/>
          <w:color w:val="auto"/>
          <w:highlight w:val="none"/>
          <w:lang w:val="en-US" w:eastAsia="zh-CN"/>
        </w:rPr>
        <w:t>B</w:t>
      </w:r>
      <w:r>
        <w:rPr>
          <w:rFonts w:hint="eastAsia"/>
          <w:color w:val="auto"/>
          <w:highlight w:val="none"/>
        </w:rPr>
        <w:t>.2.6.3.1）、详细整车层面的确认计划和结果（见</w:t>
      </w:r>
      <w:r>
        <w:rPr>
          <w:rFonts w:hint="eastAsia"/>
          <w:color w:val="auto"/>
          <w:highlight w:val="none"/>
          <w:lang w:val="en-US" w:eastAsia="zh-CN"/>
        </w:rPr>
        <w:t>B</w:t>
      </w:r>
      <w:r>
        <w:rPr>
          <w:rFonts w:hint="eastAsia"/>
          <w:color w:val="auto"/>
          <w:highlight w:val="none"/>
        </w:rPr>
        <w:t>.2.6.3.2），总结说明对所有安全目标进行了完整的确认[至少包括：确认对象，例如车辆型号、系统名称，软、硬件版本等；确认目的，例如确认安全目标正确、完整且得到充分实现；确认方法及步骤概述（如果通过测试开展确认，还需说明测试设备、测试环境）；接受准则；确认结果]。</w:t>
      </w:r>
    </w:p>
    <w:p>
      <w:pPr>
        <w:pStyle w:val="219"/>
        <w:spacing w:line="240" w:lineRule="auto"/>
        <w:rPr>
          <w:color w:val="auto"/>
          <w:highlight w:val="none"/>
        </w:rPr>
      </w:pPr>
      <w:r>
        <w:rPr>
          <w:rFonts w:hint="eastAsia"/>
          <w:color w:val="auto"/>
          <w:highlight w:val="none"/>
        </w:rPr>
        <w:t>记录备查文档的清单和相关信息，至少包括相关的企业名称、文件名、版本、状态、日期、储存位置等基本信息，并总结描述审核的内容。如有其他支撑性材料或数据，记录支撑性材料或数据的基本信息，并描述审核的内容。</w:t>
      </w:r>
    </w:p>
    <w:p>
      <w:pPr>
        <w:pStyle w:val="84"/>
        <w:spacing w:before="156" w:after="156"/>
        <w:rPr>
          <w:color w:val="auto"/>
          <w:highlight w:val="none"/>
        </w:rPr>
      </w:pPr>
      <w:bookmarkStart w:id="252" w:name="_Toc10394"/>
      <w:r>
        <w:rPr>
          <w:rFonts w:hint="eastAsia"/>
          <w:color w:val="auto"/>
          <w:highlight w:val="none"/>
        </w:rPr>
        <w:t>验证和确认试验</w:t>
      </w:r>
      <w:bookmarkEnd w:id="252"/>
    </w:p>
    <w:p>
      <w:pPr>
        <w:pStyle w:val="85"/>
        <w:spacing w:before="156" w:after="156"/>
        <w:rPr>
          <w:color w:val="auto"/>
          <w:highlight w:val="none"/>
        </w:rPr>
      </w:pPr>
      <w:r>
        <w:rPr>
          <w:rFonts w:hint="eastAsia"/>
          <w:color w:val="auto"/>
          <w:highlight w:val="none"/>
        </w:rPr>
        <w:t>功能概念的验证和确认</w:t>
      </w:r>
    </w:p>
    <w:p>
      <w:pPr>
        <w:pStyle w:val="62"/>
        <w:ind w:firstLine="420"/>
        <w:rPr>
          <w:color w:val="auto"/>
          <w:highlight w:val="none"/>
        </w:rPr>
      </w:pPr>
      <w:r>
        <w:rPr>
          <w:rFonts w:hint="eastAsia"/>
          <w:color w:val="auto"/>
          <w:highlight w:val="none"/>
        </w:rPr>
        <w:t>根据</w:t>
      </w:r>
      <w:r>
        <w:rPr>
          <w:rFonts w:hint="eastAsia"/>
          <w:color w:val="auto"/>
          <w:highlight w:val="none"/>
          <w:lang w:val="en-US" w:eastAsia="zh-CN"/>
        </w:rPr>
        <w:t>B</w:t>
      </w:r>
      <w:r>
        <w:rPr>
          <w:rFonts w:hint="eastAsia"/>
          <w:color w:val="auto"/>
          <w:highlight w:val="none"/>
        </w:rPr>
        <w:t>.3.2要求进行功能概念的验证和确认测试，并在试验报告中至少记录测试目的、测试内容、测试方法及步骤、测试结果等内容，见表</w:t>
      </w:r>
      <w:r>
        <w:rPr>
          <w:rFonts w:hint="eastAsia"/>
          <w:color w:val="auto"/>
          <w:highlight w:val="none"/>
          <w:lang w:val="en-US" w:eastAsia="zh-CN"/>
        </w:rPr>
        <w:t>C</w:t>
      </w:r>
      <w:r>
        <w:rPr>
          <w:rFonts w:hint="eastAsia"/>
          <w:color w:val="auto"/>
          <w:highlight w:val="none"/>
        </w:rPr>
        <w:t>.1。</w:t>
      </w:r>
    </w:p>
    <w:p>
      <w:pPr>
        <w:pStyle w:val="83"/>
        <w:spacing w:before="156" w:after="156"/>
        <w:rPr>
          <w:color w:val="auto"/>
          <w:highlight w:val="none"/>
        </w:rPr>
      </w:pPr>
      <w:r>
        <w:rPr>
          <w:rFonts w:hint="eastAsia"/>
          <w:color w:val="auto"/>
          <w:highlight w:val="none"/>
        </w:rPr>
        <w:t>功能概念的验证和确认测试记录表</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pPr>
              <w:pStyle w:val="184"/>
              <w:rPr>
                <w:color w:val="auto"/>
                <w:highlight w:val="none"/>
              </w:rPr>
            </w:pPr>
            <w:r>
              <w:rPr>
                <w:rFonts w:hint="eastAsia" w:hAnsi="宋体"/>
                <w:bCs/>
                <w:color w:val="auto"/>
                <w:szCs w:val="18"/>
                <w:highlight w:val="none"/>
              </w:rPr>
              <w:t>测试目的</w:t>
            </w:r>
          </w:p>
        </w:tc>
        <w:tc>
          <w:tcPr>
            <w:tcW w:w="2333" w:type="dxa"/>
            <w:tcBorders>
              <w:top w:val="single" w:color="auto" w:sz="8" w:space="0"/>
              <w:bottom w:val="single" w:color="auto" w:sz="8" w:space="0"/>
            </w:tcBorders>
            <w:shd w:val="clear" w:color="auto" w:fill="auto"/>
          </w:tcPr>
          <w:p>
            <w:pPr>
              <w:pStyle w:val="184"/>
              <w:rPr>
                <w:color w:val="auto"/>
                <w:highlight w:val="none"/>
              </w:rPr>
            </w:pPr>
            <w:r>
              <w:rPr>
                <w:rFonts w:hint="eastAsia" w:hAnsi="宋体"/>
                <w:bCs/>
                <w:color w:val="auto"/>
                <w:szCs w:val="18"/>
                <w:highlight w:val="none"/>
              </w:rPr>
              <w:t>测试内容</w:t>
            </w:r>
          </w:p>
        </w:tc>
        <w:tc>
          <w:tcPr>
            <w:tcW w:w="2333" w:type="dxa"/>
            <w:tcBorders>
              <w:top w:val="single" w:color="auto" w:sz="8" w:space="0"/>
              <w:bottom w:val="single" w:color="auto" w:sz="8" w:space="0"/>
            </w:tcBorders>
            <w:shd w:val="clear" w:color="auto" w:fill="auto"/>
          </w:tcPr>
          <w:p>
            <w:pPr>
              <w:pStyle w:val="184"/>
              <w:rPr>
                <w:color w:val="auto"/>
                <w:highlight w:val="none"/>
              </w:rPr>
            </w:pPr>
            <w:r>
              <w:rPr>
                <w:rFonts w:hint="eastAsia" w:hAnsi="宋体"/>
                <w:bCs/>
                <w:color w:val="auto"/>
                <w:szCs w:val="18"/>
                <w:highlight w:val="none"/>
              </w:rPr>
              <w:t>测试方法及步骤</w:t>
            </w:r>
          </w:p>
        </w:tc>
        <w:tc>
          <w:tcPr>
            <w:tcW w:w="2334" w:type="dxa"/>
            <w:tcBorders>
              <w:top w:val="single" w:color="auto" w:sz="8" w:space="0"/>
              <w:bottom w:val="single" w:color="auto" w:sz="8" w:space="0"/>
            </w:tcBorders>
            <w:shd w:val="clear" w:color="auto" w:fill="auto"/>
          </w:tcPr>
          <w:p>
            <w:pPr>
              <w:pStyle w:val="184"/>
              <w:rPr>
                <w:color w:val="auto"/>
                <w:highlight w:val="none"/>
              </w:rPr>
            </w:pPr>
            <w:r>
              <w:rPr>
                <w:rFonts w:hint="eastAsia" w:hAnsi="宋体"/>
                <w:bCs/>
                <w:color w:val="auto"/>
                <w:szCs w:val="18"/>
                <w:highlight w:val="none"/>
              </w:rPr>
              <w:t>测试结果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pPr>
              <w:pStyle w:val="184"/>
              <w:rPr>
                <w:color w:val="auto"/>
                <w:highlight w:val="none"/>
              </w:rPr>
            </w:pPr>
          </w:p>
        </w:tc>
        <w:tc>
          <w:tcPr>
            <w:tcW w:w="2333" w:type="dxa"/>
            <w:tcBorders>
              <w:top w:val="single" w:color="auto" w:sz="8" w:space="0"/>
            </w:tcBorders>
            <w:shd w:val="clear" w:color="auto" w:fill="auto"/>
            <w:vAlign w:val="center"/>
          </w:tcPr>
          <w:p>
            <w:pPr>
              <w:pStyle w:val="184"/>
              <w:rPr>
                <w:color w:val="auto"/>
                <w:highlight w:val="none"/>
              </w:rPr>
            </w:pPr>
          </w:p>
        </w:tc>
        <w:tc>
          <w:tcPr>
            <w:tcW w:w="2333" w:type="dxa"/>
            <w:tcBorders>
              <w:top w:val="single" w:color="auto" w:sz="8" w:space="0"/>
            </w:tcBorders>
            <w:shd w:val="clear" w:color="auto" w:fill="auto"/>
            <w:vAlign w:val="center"/>
          </w:tcPr>
          <w:p>
            <w:pPr>
              <w:pStyle w:val="184"/>
              <w:rPr>
                <w:color w:val="auto"/>
                <w:highlight w:val="none"/>
              </w:rPr>
            </w:pPr>
          </w:p>
        </w:tc>
        <w:tc>
          <w:tcPr>
            <w:tcW w:w="2334" w:type="dxa"/>
            <w:tcBorders>
              <w:top w:val="single" w:color="auto" w:sz="8" w:space="0"/>
            </w:tcBorders>
            <w:shd w:val="clear" w:color="auto" w:fill="auto"/>
            <w:vAlign w:val="center"/>
          </w:tcPr>
          <w:p>
            <w:pPr>
              <w:pStyle w:val="184"/>
              <w:rPr>
                <w:color w:val="auto"/>
                <w:highlight w:val="none"/>
              </w:rPr>
            </w:pPr>
          </w:p>
        </w:tc>
      </w:tr>
    </w:tbl>
    <w:p>
      <w:pPr>
        <w:pStyle w:val="85"/>
        <w:spacing w:before="156" w:after="156"/>
        <w:rPr>
          <w:color w:val="auto"/>
          <w:kern w:val="0"/>
          <w:szCs w:val="21"/>
          <w:highlight w:val="none"/>
        </w:rPr>
      </w:pPr>
      <w:r>
        <w:rPr>
          <w:rFonts w:hint="eastAsia"/>
          <w:color w:val="auto"/>
          <w:highlight w:val="none"/>
        </w:rPr>
        <w:t>功能安全概念的验证和确认</w:t>
      </w:r>
    </w:p>
    <w:p>
      <w:pPr>
        <w:pStyle w:val="62"/>
        <w:ind w:firstLine="420"/>
        <w:rPr>
          <w:color w:val="auto"/>
          <w:highlight w:val="none"/>
        </w:rPr>
      </w:pPr>
      <w:r>
        <w:rPr>
          <w:rFonts w:hint="eastAsia"/>
          <w:color w:val="auto"/>
          <w:highlight w:val="none"/>
        </w:rPr>
        <w:t>根据</w:t>
      </w:r>
      <w:r>
        <w:rPr>
          <w:rFonts w:hint="eastAsia"/>
          <w:color w:val="auto"/>
          <w:highlight w:val="none"/>
          <w:lang w:val="en-US" w:eastAsia="zh-CN"/>
        </w:rPr>
        <w:t>B</w:t>
      </w:r>
      <w:r>
        <w:rPr>
          <w:rFonts w:hint="eastAsia"/>
          <w:color w:val="auto"/>
          <w:highlight w:val="none"/>
        </w:rPr>
        <w:t>.3.3要求进行功能安全概念的验证和确认测试，并在试验报告中至少记录测试目的、测试方法及步骤、测试设备、测试环境、接受准则、测试结果等内容，见表</w:t>
      </w:r>
      <w:r>
        <w:rPr>
          <w:rFonts w:hint="eastAsia"/>
          <w:color w:val="auto"/>
          <w:highlight w:val="none"/>
          <w:lang w:val="en-US" w:eastAsia="zh-CN"/>
        </w:rPr>
        <w:t>C</w:t>
      </w:r>
      <w:r>
        <w:rPr>
          <w:rFonts w:hint="eastAsia"/>
          <w:color w:val="auto"/>
          <w:highlight w:val="none"/>
        </w:rPr>
        <w:t>.2。</w:t>
      </w:r>
    </w:p>
    <w:p>
      <w:pPr>
        <w:pStyle w:val="83"/>
        <w:spacing w:before="156" w:after="156"/>
        <w:rPr>
          <w:color w:val="auto"/>
          <w:highlight w:val="none"/>
        </w:rPr>
      </w:pPr>
      <w:r>
        <w:rPr>
          <w:rFonts w:hint="eastAsia"/>
          <w:color w:val="auto"/>
          <w:highlight w:val="none"/>
        </w:rPr>
        <w:t>功能安全概念的验证和确认测试记录表</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pStyle w:val="184"/>
              <w:rPr>
                <w:color w:val="auto"/>
                <w:highlight w:val="none"/>
              </w:rPr>
            </w:pPr>
            <w:r>
              <w:rPr>
                <w:rFonts w:hint="eastAsia" w:hAnsi="宋体"/>
                <w:bCs/>
                <w:color w:val="auto"/>
                <w:szCs w:val="18"/>
                <w:highlight w:val="none"/>
              </w:rPr>
              <w:t>内容</w:t>
            </w:r>
          </w:p>
        </w:tc>
        <w:tc>
          <w:tcPr>
            <w:tcW w:w="4667" w:type="dxa"/>
            <w:tcBorders>
              <w:top w:val="single" w:color="auto" w:sz="8" w:space="0"/>
              <w:bottom w:val="single" w:color="auto" w:sz="8" w:space="0"/>
            </w:tcBorders>
            <w:shd w:val="clear" w:color="auto" w:fill="auto"/>
          </w:tcPr>
          <w:p>
            <w:pPr>
              <w:pStyle w:val="184"/>
              <w:rPr>
                <w:color w:val="auto"/>
                <w:highlight w:val="none"/>
              </w:rPr>
            </w:pPr>
            <w:r>
              <w:rPr>
                <w:rFonts w:hint="eastAsia" w:hAnsi="宋体"/>
                <w:bCs/>
                <w:color w:val="auto"/>
                <w:szCs w:val="18"/>
                <w:highlight w:val="none"/>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84"/>
              <w:jc w:val="left"/>
              <w:rPr>
                <w:color w:val="auto"/>
                <w:highlight w:val="none"/>
              </w:rPr>
            </w:pPr>
            <w:r>
              <w:rPr>
                <w:rFonts w:hint="eastAsia" w:hAnsi="宋体"/>
                <w:bCs/>
                <w:color w:val="auto"/>
                <w:szCs w:val="18"/>
                <w:highlight w:val="none"/>
              </w:rPr>
              <w:t>试验方式（实车测试/检查技术文件</w:t>
            </w:r>
            <w:r>
              <w:rPr>
                <w:rFonts w:hAnsi="宋体"/>
                <w:bCs/>
                <w:color w:val="auto"/>
                <w:szCs w:val="18"/>
                <w:highlight w:val="none"/>
                <w:vertAlign w:val="superscript"/>
              </w:rPr>
              <w:t>a</w:t>
            </w:r>
            <w:r>
              <w:rPr>
                <w:rFonts w:hint="eastAsia" w:hAnsi="宋体"/>
                <w:bCs/>
                <w:color w:val="auto"/>
                <w:szCs w:val="18"/>
                <w:highlight w:val="none"/>
              </w:rPr>
              <w:t>）</w:t>
            </w:r>
          </w:p>
        </w:tc>
        <w:tc>
          <w:tcPr>
            <w:tcW w:w="4667" w:type="dxa"/>
            <w:tcBorders>
              <w:top w:val="single" w:color="auto" w:sz="8" w:space="0"/>
            </w:tcBorders>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测试目的</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测试内容</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测试方法及步骤</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测试设备（名称、型号及编号、校准有效日期等）</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测试环境[硬件在环（</w:t>
            </w:r>
            <w:r>
              <w:rPr>
                <w:rFonts w:cs="宋体"/>
                <w:bCs/>
                <w:color w:val="auto"/>
                <w:szCs w:val="18"/>
                <w:highlight w:val="none"/>
              </w:rPr>
              <w:t>HIL</w:t>
            </w:r>
            <w:r>
              <w:rPr>
                <w:rFonts w:hAnsi="宋体" w:cs="宋体"/>
                <w:bCs/>
                <w:color w:val="auto"/>
                <w:szCs w:val="18"/>
                <w:highlight w:val="none"/>
              </w:rPr>
              <w:t>）测试、实车测试或其它</w:t>
            </w:r>
            <w:r>
              <w:rPr>
                <w:rFonts w:cs="Calibri"/>
                <w:bCs/>
                <w:color w:val="auto"/>
                <w:szCs w:val="18"/>
                <w:highlight w:val="none"/>
              </w:rPr>
              <w:t>]</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接受准则（安全度量、其他接受准则）</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测试结果</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pPr>
              <w:pStyle w:val="184"/>
              <w:jc w:val="left"/>
              <w:rPr>
                <w:color w:val="auto"/>
                <w:highlight w:val="none"/>
              </w:rPr>
            </w:pPr>
            <w:r>
              <w:rPr>
                <w:rFonts w:hint="eastAsia" w:hAnsi="宋体"/>
                <w:bCs/>
                <w:color w:val="auto"/>
                <w:szCs w:val="18"/>
                <w:highlight w:val="none"/>
              </w:rPr>
              <w:t>试验照片</w:t>
            </w:r>
          </w:p>
        </w:tc>
        <w:tc>
          <w:tcPr>
            <w:tcW w:w="4667" w:type="dxa"/>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bottom w:val="single" w:color="auto" w:sz="8" w:space="0"/>
            </w:tcBorders>
            <w:shd w:val="clear" w:color="auto" w:fill="auto"/>
          </w:tcPr>
          <w:p>
            <w:pPr>
              <w:pStyle w:val="184"/>
              <w:jc w:val="left"/>
              <w:rPr>
                <w:color w:val="auto"/>
                <w:highlight w:val="none"/>
              </w:rPr>
            </w:pPr>
            <w:r>
              <w:rPr>
                <w:rFonts w:hint="eastAsia" w:hAnsi="宋体"/>
                <w:bCs/>
                <w:color w:val="auto"/>
                <w:szCs w:val="18"/>
                <w:highlight w:val="none"/>
              </w:rPr>
              <w:t>样车参数表</w:t>
            </w:r>
          </w:p>
        </w:tc>
        <w:tc>
          <w:tcPr>
            <w:tcW w:w="4667" w:type="dxa"/>
            <w:tcBorders>
              <w:bottom w:val="single" w:color="auto" w:sz="8" w:space="0"/>
            </w:tcBorders>
            <w:shd w:val="clear" w:color="auto" w:fill="auto"/>
          </w:tcPr>
          <w:p>
            <w:pPr>
              <w:pStyle w:val="184"/>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tcBorders>
              <w:top w:val="single" w:color="auto" w:sz="8" w:space="0"/>
              <w:bottom w:val="single" w:color="auto" w:sz="8" w:space="0"/>
            </w:tcBorders>
            <w:shd w:val="clear" w:color="auto" w:fill="auto"/>
            <w:vAlign w:val="center"/>
          </w:tcPr>
          <w:p>
            <w:pPr>
              <w:pStyle w:val="185"/>
              <w:rPr>
                <w:color w:val="auto"/>
                <w:kern w:val="2"/>
                <w:sz w:val="21"/>
                <w:szCs w:val="21"/>
                <w:highlight w:val="none"/>
              </w:rPr>
            </w:pPr>
            <w:r>
              <w:rPr>
                <w:rFonts w:hint="eastAsia"/>
                <w:color w:val="auto"/>
                <w:highlight w:val="none"/>
              </w:rPr>
              <w:t>根据表</w:t>
            </w:r>
            <w:r>
              <w:rPr>
                <w:rFonts w:hint="eastAsia"/>
                <w:color w:val="auto"/>
                <w:highlight w:val="none"/>
                <w:lang w:val="en-US" w:eastAsia="zh-CN"/>
              </w:rPr>
              <w:t>B</w:t>
            </w:r>
            <w:r>
              <w:rPr>
                <w:rFonts w:hint="eastAsia"/>
                <w:color w:val="auto"/>
                <w:highlight w:val="none"/>
              </w:rPr>
              <w:t>.2的要求，对于传感器集成等特殊原因无法在实车层面模拟的故障类型，以及无法通过量产软件实现的故障类型，将“详细系统层面的验证确认计划和验证确认结果”、“详细整车层面的确认计划和确认结果”等相关技术文件中的相关内容总结，按照本表的要求在试验报告中进行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tcBorders>
              <w:top w:val="single" w:color="auto" w:sz="8" w:space="0"/>
            </w:tcBorders>
            <w:shd w:val="clear" w:color="auto" w:fill="auto"/>
            <w:vAlign w:val="center"/>
          </w:tcPr>
          <w:p>
            <w:pPr>
              <w:pStyle w:val="107"/>
              <w:numPr>
                <w:ilvl w:val="0"/>
                <w:numId w:val="90"/>
              </w:numPr>
              <w:rPr>
                <w:color w:val="auto"/>
                <w:highlight w:val="none"/>
              </w:rPr>
            </w:pPr>
            <w:r>
              <w:rPr>
                <w:rFonts w:hint="eastAsia"/>
                <w:color w:val="auto"/>
                <w:highlight w:val="none"/>
              </w:rPr>
              <w:t>如选择检查技术文件的方式，应描述理由，并记录备查文档的信息。</w:t>
            </w:r>
          </w:p>
        </w:tc>
      </w:tr>
    </w:tbl>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sectPr>
          <w:pgSz w:w="11906" w:h="16838"/>
          <w:pgMar w:top="1928" w:right="1134" w:bottom="1134" w:left="1134" w:header="1418" w:footer="1134" w:gutter="284"/>
          <w:cols w:space="425" w:num="1"/>
          <w:formProt w:val="0"/>
          <w:docGrid w:type="lines" w:linePitch="312" w:charSpace="0"/>
        </w:sectPr>
      </w:pPr>
    </w:p>
    <w:p>
      <w:pPr>
        <w:pStyle w:val="204"/>
        <w:rPr>
          <w:vanish w:val="0"/>
          <w:color w:val="auto"/>
          <w:highlight w:val="none"/>
        </w:rPr>
      </w:pPr>
    </w:p>
    <w:p>
      <w:pPr>
        <w:pStyle w:val="205"/>
        <w:rPr>
          <w:vanish w:val="0"/>
          <w:color w:val="auto"/>
          <w:highlight w:val="none"/>
        </w:rPr>
      </w:pPr>
    </w:p>
    <w:p>
      <w:pPr>
        <w:pStyle w:val="82"/>
        <w:spacing w:after="156"/>
        <w:rPr>
          <w:color w:val="auto"/>
          <w:highlight w:val="none"/>
        </w:rPr>
      </w:pPr>
      <w:bookmarkStart w:id="253" w:name="_Toc9617"/>
      <w:r>
        <w:rPr>
          <w:color w:val="auto"/>
          <w:highlight w:val="none"/>
        </w:rPr>
        <w:br w:type="textWrapping"/>
      </w:r>
      <w:r>
        <w:rPr>
          <w:rFonts w:hint="eastAsia"/>
          <w:color w:val="auto"/>
          <w:highlight w:val="none"/>
        </w:rPr>
        <w:t>（规范性）</w:t>
      </w:r>
      <w:r>
        <w:rPr>
          <w:color w:val="auto"/>
          <w:highlight w:val="none"/>
        </w:rPr>
        <w:br w:type="textWrapping"/>
      </w:r>
      <w:r>
        <w:rPr>
          <w:rFonts w:hint="eastAsia"/>
          <w:color w:val="auto"/>
          <w:highlight w:val="none"/>
        </w:rPr>
        <w:t>制动电子控制系统功能安全描述要求</w:t>
      </w:r>
      <w:bookmarkEnd w:id="253"/>
    </w:p>
    <w:p>
      <w:pPr>
        <w:pStyle w:val="84"/>
        <w:spacing w:before="156" w:after="156"/>
        <w:rPr>
          <w:color w:val="auto"/>
          <w:kern w:val="2"/>
          <w:szCs w:val="21"/>
          <w:highlight w:val="none"/>
        </w:rPr>
      </w:pPr>
      <w:bookmarkStart w:id="254" w:name="_Toc14394"/>
      <w:r>
        <w:rPr>
          <w:rFonts w:hint="eastAsia"/>
          <w:color w:val="auto"/>
          <w:highlight w:val="none"/>
        </w:rPr>
        <w:t>总体要求</w:t>
      </w:r>
      <w:bookmarkEnd w:id="254"/>
    </w:p>
    <w:p>
      <w:pPr>
        <w:pStyle w:val="62"/>
        <w:ind w:firstLine="420"/>
        <w:rPr>
          <w:rFonts w:hint="eastAsia"/>
          <w:color w:val="auto"/>
          <w:highlight w:val="none"/>
        </w:rPr>
      </w:pPr>
      <w:r>
        <w:rPr>
          <w:rFonts w:hint="eastAsia"/>
          <w:color w:val="auto"/>
          <w:highlight w:val="none"/>
        </w:rPr>
        <w:t>制造商应提交制动电子控制系统功能安全描述，并应至少包括</w:t>
      </w:r>
      <w:r>
        <w:rPr>
          <w:rFonts w:hint="eastAsia"/>
          <w:color w:val="auto"/>
          <w:highlight w:val="none"/>
          <w:lang w:val="en-US" w:eastAsia="zh-CN"/>
        </w:rPr>
        <w:t>D</w:t>
      </w:r>
      <w:r>
        <w:rPr>
          <w:rFonts w:hint="eastAsia"/>
          <w:color w:val="auto"/>
          <w:highlight w:val="none"/>
        </w:rPr>
        <w:t>.2规定的所有内容，其描述内容应与产品实际开发一致。</w:t>
      </w:r>
    </w:p>
    <w:p>
      <w:pPr>
        <w:pStyle w:val="84"/>
        <w:spacing w:before="156" w:after="156"/>
        <w:rPr>
          <w:color w:val="auto"/>
          <w:highlight w:val="none"/>
        </w:rPr>
      </w:pPr>
      <w:bookmarkStart w:id="255" w:name="_Toc11720"/>
      <w:r>
        <w:rPr>
          <w:rFonts w:hint="eastAsia"/>
          <w:color w:val="auto"/>
          <w:highlight w:val="none"/>
        </w:rPr>
        <w:t>内容要求</w:t>
      </w:r>
      <w:bookmarkEnd w:id="255"/>
    </w:p>
    <w:p>
      <w:pPr>
        <w:pStyle w:val="85"/>
        <w:spacing w:before="156" w:after="156"/>
        <w:rPr>
          <w:color w:val="auto"/>
          <w:highlight w:val="none"/>
        </w:rPr>
      </w:pPr>
      <w:r>
        <w:rPr>
          <w:rFonts w:hint="eastAsia"/>
          <w:color w:val="auto"/>
          <w:highlight w:val="none"/>
        </w:rPr>
        <w:t>制动电子控制系统描述</w:t>
      </w:r>
    </w:p>
    <w:p>
      <w:pPr>
        <w:pStyle w:val="62"/>
        <w:ind w:firstLine="420"/>
        <w:rPr>
          <w:color w:val="auto"/>
          <w:highlight w:val="none"/>
        </w:rPr>
      </w:pPr>
      <w:r>
        <w:rPr>
          <w:rFonts w:hint="eastAsia"/>
          <w:color w:val="auto"/>
          <w:highlight w:val="none"/>
        </w:rPr>
        <w:t>至少包括：</w:t>
      </w:r>
    </w:p>
    <w:p>
      <w:pPr>
        <w:pStyle w:val="180"/>
        <w:numPr>
          <w:ilvl w:val="0"/>
          <w:numId w:val="91"/>
        </w:numPr>
        <w:rPr>
          <w:color w:val="auto"/>
          <w:highlight w:val="none"/>
        </w:rPr>
      </w:pPr>
      <w:r>
        <w:rPr>
          <w:rFonts w:hint="eastAsia"/>
          <w:color w:val="auto"/>
          <w:highlight w:val="none"/>
        </w:rPr>
        <w:t>制动电子控制系统的功能描述：提供并列出制动电子控制系统的功能，并给出描述。</w:t>
      </w:r>
    </w:p>
    <w:p>
      <w:pPr>
        <w:pStyle w:val="180"/>
        <w:numPr>
          <w:ilvl w:val="0"/>
          <w:numId w:val="91"/>
        </w:numPr>
        <w:ind w:left="851" w:hanging="431"/>
        <w:rPr>
          <w:color w:val="auto"/>
          <w:highlight w:val="none"/>
        </w:rPr>
      </w:pPr>
      <w:r>
        <w:rPr>
          <w:rFonts w:hint="eastAsia"/>
          <w:color w:val="auto"/>
          <w:highlight w:val="none"/>
        </w:rPr>
        <w:t>系统的范围、边界、接口：提供并描述制动电子控制系统的范围、边界、接口、内部包含的子系统或要素，并识别与其存在交互关系的外部系统或要素，以系统架构框图展示。</w:t>
      </w:r>
    </w:p>
    <w:p>
      <w:pPr>
        <w:pStyle w:val="180"/>
        <w:numPr>
          <w:ilvl w:val="0"/>
          <w:numId w:val="32"/>
        </w:numPr>
        <w:rPr>
          <w:color w:val="auto"/>
          <w:highlight w:val="none"/>
        </w:rPr>
      </w:pPr>
      <w:r>
        <w:rPr>
          <w:rFonts w:hint="eastAsia"/>
          <w:color w:val="auto"/>
          <w:highlight w:val="none"/>
        </w:rPr>
        <w:t>系统运行条件和约束限制：提供并描述制动电子控制系统的运行条件、约束限制、有效工作范围。</w:t>
      </w:r>
    </w:p>
    <w:p>
      <w:pPr>
        <w:pStyle w:val="180"/>
        <w:numPr>
          <w:ilvl w:val="0"/>
          <w:numId w:val="32"/>
        </w:numPr>
        <w:rPr>
          <w:color w:val="auto"/>
          <w:highlight w:val="none"/>
        </w:rPr>
      </w:pPr>
      <w:r>
        <w:rPr>
          <w:rFonts w:hint="eastAsia"/>
          <w:color w:val="auto"/>
          <w:highlight w:val="none"/>
        </w:rPr>
        <w:t>系统在整车上的布置及外观：提供并以示意图展示系统在整车上的布置及系统外观。</w:t>
      </w:r>
    </w:p>
    <w:p>
      <w:pPr>
        <w:pStyle w:val="180"/>
        <w:numPr>
          <w:ilvl w:val="0"/>
          <w:numId w:val="32"/>
        </w:numPr>
        <w:rPr>
          <w:color w:val="auto"/>
          <w:highlight w:val="none"/>
        </w:rPr>
      </w:pPr>
      <w:r>
        <w:rPr>
          <w:rFonts w:hint="eastAsia"/>
          <w:color w:val="auto"/>
          <w:highlight w:val="none"/>
        </w:rPr>
        <w:t>系统布局及原理图，包括：</w:t>
      </w:r>
    </w:p>
    <w:p>
      <w:pPr>
        <w:pStyle w:val="62"/>
        <w:ind w:firstLine="420"/>
        <w:rPr>
          <w:color w:val="auto"/>
          <w:highlight w:val="none"/>
        </w:rPr>
      </w:pPr>
      <w:r>
        <w:rPr>
          <w:rFonts w:hint="eastAsia"/>
          <w:color w:val="auto"/>
          <w:highlight w:val="none"/>
        </w:rPr>
        <w:t>系统组件清单：提供并列出系统的所有单元，以及为实现相关控制功能所需的车辆其他系统。例如，轮速传感器、控制单元、电磁阀、电源模块等。提供并列出上述所有组件单元的功能、识别标志，包括硬件和软件的版本。</w:t>
      </w:r>
    </w:p>
    <w:p>
      <w:pPr>
        <w:pStyle w:val="62"/>
        <w:ind w:firstLine="420"/>
        <w:rPr>
          <w:color w:val="auto"/>
          <w:highlight w:val="none"/>
        </w:rPr>
      </w:pPr>
      <w:r>
        <w:rPr>
          <w:rFonts w:hint="eastAsia"/>
          <w:color w:val="auto"/>
          <w:highlight w:val="none"/>
        </w:rPr>
        <w:t>相互连接：基于上述所有组件，提供系统架构框图、电路图、管路图、布置简图等，对系统内、外的机械连接、电气连接、信号连接及交互进行标识。</w:t>
      </w:r>
    </w:p>
    <w:p>
      <w:pPr>
        <w:pStyle w:val="62"/>
        <w:ind w:firstLine="420"/>
        <w:rPr>
          <w:color w:val="auto"/>
          <w:highlight w:val="none"/>
        </w:rPr>
      </w:pPr>
      <w:r>
        <w:rPr>
          <w:rFonts w:hint="eastAsia"/>
          <w:color w:val="auto"/>
          <w:highlight w:val="none"/>
        </w:rPr>
        <w:t>信号流和优先顺序：提供并描述单元间的传输链与信号的对应关系，如优先顺序影响性能或安全，应确定多元数据通道内的信号的优先顺序。</w:t>
      </w:r>
    </w:p>
    <w:p>
      <w:pPr>
        <w:pStyle w:val="85"/>
        <w:spacing w:before="156" w:after="156"/>
        <w:rPr>
          <w:color w:val="auto"/>
          <w:highlight w:val="none"/>
        </w:rPr>
      </w:pPr>
      <w:r>
        <w:rPr>
          <w:rFonts w:hint="eastAsia"/>
          <w:color w:val="auto"/>
          <w:highlight w:val="none"/>
        </w:rPr>
        <w:t>危害分析和风险评估总结</w:t>
      </w:r>
    </w:p>
    <w:p>
      <w:pPr>
        <w:pStyle w:val="62"/>
        <w:ind w:firstLine="420"/>
        <w:rPr>
          <w:color w:val="auto"/>
          <w:highlight w:val="none"/>
        </w:rPr>
      </w:pPr>
      <w:r>
        <w:rPr>
          <w:rFonts w:hint="eastAsia"/>
          <w:color w:val="auto"/>
          <w:highlight w:val="none"/>
        </w:rPr>
        <w:t>说明制动电子控制系统的功能</w:t>
      </w:r>
      <w:r>
        <w:rPr>
          <w:rFonts w:hint="eastAsia"/>
          <w:color w:val="auto"/>
          <w:highlight w:val="none"/>
          <w:lang w:val="en-US" w:eastAsia="zh-CN"/>
        </w:rPr>
        <w:t>异常表现</w:t>
      </w:r>
      <w:r>
        <w:rPr>
          <w:rFonts w:hint="eastAsia"/>
          <w:color w:val="auto"/>
          <w:highlight w:val="none"/>
        </w:rPr>
        <w:t>、导致的整车危害、对应的ASIL等级及安全目标。</w:t>
      </w:r>
    </w:p>
    <w:p>
      <w:pPr>
        <w:pStyle w:val="85"/>
        <w:spacing w:before="156" w:after="156"/>
        <w:rPr>
          <w:color w:val="auto"/>
          <w:highlight w:val="none"/>
        </w:rPr>
      </w:pPr>
      <w:r>
        <w:rPr>
          <w:rFonts w:hint="eastAsia"/>
          <w:color w:val="auto"/>
          <w:highlight w:val="none"/>
        </w:rPr>
        <w:t>安全措施说明</w:t>
      </w:r>
    </w:p>
    <w:p>
      <w:pPr>
        <w:pStyle w:val="62"/>
        <w:ind w:firstLine="420"/>
        <w:rPr>
          <w:color w:val="auto"/>
          <w:highlight w:val="none"/>
        </w:rPr>
      </w:pPr>
      <w:r>
        <w:rPr>
          <w:rFonts w:hint="eastAsia"/>
          <w:color w:val="auto"/>
          <w:highlight w:val="none"/>
        </w:rPr>
        <w:t>说明制动电子控制系统发生的功能</w:t>
      </w:r>
      <w:r>
        <w:rPr>
          <w:rFonts w:hint="eastAsia"/>
          <w:color w:val="auto"/>
          <w:highlight w:val="none"/>
          <w:lang w:val="en-US" w:eastAsia="zh-CN"/>
        </w:rPr>
        <w:t>异常表现</w:t>
      </w:r>
      <w:r>
        <w:rPr>
          <w:rFonts w:hint="eastAsia"/>
          <w:color w:val="auto"/>
          <w:highlight w:val="none"/>
        </w:rPr>
        <w:t>导致的整车危害，对应采取的安全措施。</w:t>
      </w:r>
    </w:p>
    <w:p>
      <w:pPr>
        <w:pStyle w:val="85"/>
        <w:spacing w:before="156" w:after="156"/>
        <w:ind w:firstLine="0"/>
        <w:rPr>
          <w:color w:val="auto"/>
          <w:highlight w:val="none"/>
        </w:rPr>
      </w:pPr>
      <w:r>
        <w:rPr>
          <w:rFonts w:hint="eastAsia"/>
          <w:color w:val="auto"/>
          <w:highlight w:val="none"/>
          <w:lang w:val="en-US" w:eastAsia="zh-CN"/>
        </w:rPr>
        <w:t>总体要求</w:t>
      </w:r>
    </w:p>
    <w:p>
      <w:pPr>
        <w:pStyle w:val="62"/>
        <w:widowControl/>
        <w:ind w:firstLine="420" w:firstLineChars="200"/>
        <w:jc w:val="left"/>
        <w:rPr>
          <w:rFonts w:hint="eastAsia" w:ascii="宋体" w:hAnsi="Times New Roman" w:eastAsia="宋体" w:cs="Times New Roman"/>
          <w:color w:val="auto"/>
          <w:kern w:val="0"/>
          <w:sz w:val="21"/>
          <w:szCs w:val="20"/>
          <w:highlight w:val="none"/>
        </w:rPr>
      </w:pPr>
      <w:r>
        <w:rPr>
          <w:rFonts w:hint="eastAsia" w:ascii="宋体" w:hAnsi="Times New Roman" w:eastAsia="宋体" w:cs="Times New Roman"/>
          <w:color w:val="auto"/>
          <w:kern w:val="0"/>
          <w:sz w:val="21"/>
          <w:szCs w:val="20"/>
          <w:highlight w:val="none"/>
        </w:rPr>
        <w:t>对于以下情况可视为具有相同的功能安全描述，制造商应提供变更内容说明及相应声明，确认以下变更不影响制动电子控制系统功能安全：</w:t>
      </w:r>
    </w:p>
    <w:p>
      <w:pPr>
        <w:pStyle w:val="62"/>
        <w:widowControl/>
        <w:ind w:firstLine="420" w:firstLineChars="200"/>
        <w:jc w:val="left"/>
        <w:rPr>
          <w:rFonts w:hint="eastAsia" w:ascii="宋体" w:hAnsi="Times New Roman" w:eastAsia="宋体" w:cs="Times New Roman"/>
          <w:color w:val="auto"/>
          <w:kern w:val="0"/>
          <w:sz w:val="21"/>
          <w:szCs w:val="20"/>
          <w:highlight w:val="none"/>
        </w:rPr>
      </w:pPr>
      <w:r>
        <w:rPr>
          <w:rFonts w:hint="eastAsia" w:ascii="宋体" w:hAnsi="Times New Roman" w:eastAsia="宋体" w:cs="Times New Roman"/>
          <w:color w:val="auto"/>
          <w:kern w:val="0"/>
          <w:sz w:val="21"/>
          <w:szCs w:val="20"/>
          <w:highlight w:val="none"/>
        </w:rPr>
        <w:t>a)制动电子控制系统功能减少，其余功能描述内容一致；</w:t>
      </w:r>
    </w:p>
    <w:p>
      <w:pPr>
        <w:pStyle w:val="62"/>
        <w:widowControl/>
        <w:ind w:firstLine="420" w:firstLineChars="200"/>
        <w:jc w:val="left"/>
        <w:rPr>
          <w:rFonts w:hint="eastAsia" w:ascii="宋体" w:hAnsi="Times New Roman" w:eastAsia="宋体" w:cs="Times New Roman"/>
          <w:color w:val="auto"/>
          <w:kern w:val="0"/>
          <w:sz w:val="21"/>
          <w:szCs w:val="20"/>
          <w:highlight w:val="none"/>
        </w:rPr>
      </w:pPr>
      <w:r>
        <w:rPr>
          <w:rFonts w:hint="eastAsia" w:ascii="宋体" w:hAnsi="Times New Roman" w:eastAsia="宋体" w:cs="Times New Roman"/>
          <w:color w:val="auto"/>
          <w:kern w:val="0"/>
          <w:sz w:val="21"/>
          <w:szCs w:val="20"/>
          <w:highlight w:val="none"/>
        </w:rPr>
        <w:t>b)制动电子控制系统在整车上的布置及外观的变更；</w:t>
      </w:r>
    </w:p>
    <w:p>
      <w:pPr>
        <w:pStyle w:val="62"/>
        <w:widowControl/>
        <w:ind w:firstLine="420" w:firstLineChars="200"/>
        <w:jc w:val="left"/>
        <w:rPr>
          <w:rFonts w:hint="eastAsia" w:ascii="宋体" w:hAnsi="Times New Roman" w:eastAsia="宋体" w:cs="Times New Roman"/>
          <w:color w:val="auto"/>
          <w:kern w:val="0"/>
          <w:sz w:val="21"/>
          <w:szCs w:val="20"/>
          <w:highlight w:val="none"/>
        </w:rPr>
      </w:pPr>
      <w:r>
        <w:rPr>
          <w:rFonts w:hint="eastAsia" w:ascii="宋体" w:hAnsi="Times New Roman" w:eastAsia="宋体" w:cs="Times New Roman"/>
          <w:color w:val="auto"/>
          <w:kern w:val="0"/>
          <w:sz w:val="21"/>
          <w:szCs w:val="20"/>
          <w:highlight w:val="none"/>
        </w:rPr>
        <w:t>c)系统组件清单的变更，允许采用不同识别标志的单元（控制单元除外）；</w:t>
      </w:r>
    </w:p>
    <w:p>
      <w:pPr>
        <w:pStyle w:val="62"/>
        <w:widowControl/>
        <w:ind w:firstLine="420" w:firstLineChars="200"/>
        <w:jc w:val="left"/>
        <w:rPr>
          <w:rFonts w:hint="eastAsia" w:ascii="宋体" w:hAnsi="Times New Roman" w:eastAsia="宋体" w:cs="Times New Roman"/>
          <w:color w:val="auto"/>
          <w:kern w:val="0"/>
          <w:sz w:val="21"/>
          <w:szCs w:val="20"/>
          <w:highlight w:val="none"/>
        </w:rPr>
      </w:pPr>
      <w:r>
        <w:rPr>
          <w:rFonts w:hint="eastAsia" w:ascii="宋体" w:hAnsi="Times New Roman" w:eastAsia="宋体" w:cs="Times New Roman"/>
          <w:color w:val="auto"/>
          <w:kern w:val="0"/>
          <w:sz w:val="21"/>
          <w:szCs w:val="20"/>
          <w:highlight w:val="none"/>
        </w:rPr>
        <w:t>d)信号流和优先顺序的变更</w:t>
      </w:r>
      <w:r>
        <w:rPr>
          <w:rFonts w:hint="eastAsia" w:ascii="宋体" w:hAnsi="Times New Roman" w:eastAsia="宋体" w:cs="Times New Roman"/>
          <w:color w:val="auto"/>
          <w:kern w:val="0"/>
          <w:sz w:val="21"/>
          <w:szCs w:val="20"/>
          <w:highlight w:val="none"/>
          <w:lang w:eastAsia="zh-CN"/>
        </w:rPr>
        <w:t>。</w:t>
      </w: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sectPr>
          <w:pgSz w:w="11906" w:h="16838"/>
          <w:pgMar w:top="1928" w:right="1134" w:bottom="1134" w:left="1134" w:header="1418" w:footer="1134" w:gutter="284"/>
          <w:cols w:space="425" w:num="1"/>
          <w:formProt w:val="0"/>
          <w:docGrid w:type="lines" w:linePitch="312" w:charSpace="0"/>
        </w:sectPr>
      </w:pPr>
    </w:p>
    <w:p>
      <w:pPr>
        <w:pStyle w:val="204"/>
        <w:rPr>
          <w:vanish w:val="0"/>
          <w:color w:val="auto"/>
          <w:highlight w:val="none"/>
        </w:rPr>
      </w:pPr>
    </w:p>
    <w:p>
      <w:pPr>
        <w:pStyle w:val="205"/>
        <w:rPr>
          <w:vanish w:val="0"/>
          <w:color w:val="auto"/>
          <w:highlight w:val="none"/>
        </w:rPr>
      </w:pPr>
    </w:p>
    <w:p>
      <w:pPr>
        <w:pStyle w:val="82"/>
        <w:spacing w:after="156"/>
        <w:rPr>
          <w:color w:val="auto"/>
          <w:highlight w:val="none"/>
        </w:rPr>
      </w:pPr>
      <w:bookmarkStart w:id="256" w:name="_Toc9713"/>
      <w:r>
        <w:rPr>
          <w:color w:val="auto"/>
          <w:highlight w:val="none"/>
        </w:rPr>
        <w:br w:type="textWrapping"/>
      </w:r>
      <w:bookmarkStart w:id="257" w:name="_Toc118580380"/>
      <w:r>
        <w:rPr>
          <w:rFonts w:hint="eastAsia"/>
          <w:color w:val="auto"/>
          <w:highlight w:val="none"/>
        </w:rPr>
        <w:t>（规范性）</w:t>
      </w:r>
      <w:r>
        <w:rPr>
          <w:color w:val="auto"/>
          <w:highlight w:val="none"/>
        </w:rPr>
        <w:br w:type="textWrapping"/>
      </w:r>
      <w:r>
        <w:rPr>
          <w:rFonts w:hint="eastAsia"/>
          <w:color w:val="auto"/>
          <w:highlight w:val="none"/>
        </w:rPr>
        <w:t>车辆参数和试验数据处理要求</w:t>
      </w:r>
      <w:bookmarkEnd w:id="256"/>
      <w:bookmarkEnd w:id="257"/>
    </w:p>
    <w:p>
      <w:pPr>
        <w:pStyle w:val="84"/>
        <w:spacing w:before="156" w:after="156"/>
        <w:rPr>
          <w:color w:val="auto"/>
          <w:highlight w:val="none"/>
        </w:rPr>
      </w:pPr>
      <w:bookmarkStart w:id="258" w:name="_Toc118580381"/>
      <w:bookmarkStart w:id="259" w:name="_Toc109891147"/>
      <w:bookmarkStart w:id="260" w:name="_Toc20139"/>
      <w:r>
        <w:rPr>
          <w:rFonts w:hint="eastAsia"/>
          <w:color w:val="auto"/>
          <w:highlight w:val="none"/>
        </w:rPr>
        <w:t>车辆参数</w:t>
      </w:r>
      <w:bookmarkEnd w:id="258"/>
      <w:bookmarkEnd w:id="259"/>
      <w:bookmarkEnd w:id="260"/>
    </w:p>
    <w:p>
      <w:pPr>
        <w:pStyle w:val="62"/>
        <w:ind w:firstLine="420"/>
        <w:rPr>
          <w:color w:val="auto"/>
          <w:highlight w:val="none"/>
        </w:rPr>
      </w:pPr>
      <w:r>
        <w:rPr>
          <w:rFonts w:hint="eastAsia"/>
          <w:color w:val="auto"/>
          <w:highlight w:val="none"/>
        </w:rPr>
        <w:t>车辆参数记录应满足表</w:t>
      </w:r>
      <w:r>
        <w:rPr>
          <w:rFonts w:hint="eastAsia"/>
          <w:color w:val="auto"/>
          <w:highlight w:val="none"/>
          <w:lang w:val="en-US" w:eastAsia="zh-CN"/>
        </w:rPr>
        <w:t>E</w:t>
      </w:r>
      <w:r>
        <w:rPr>
          <w:color w:val="auto"/>
          <w:highlight w:val="none"/>
        </w:rPr>
        <w:t>.1</w:t>
      </w:r>
      <w:r>
        <w:rPr>
          <w:rFonts w:hint="eastAsia"/>
          <w:color w:val="auto"/>
          <w:highlight w:val="none"/>
        </w:rPr>
        <w:t>的要求。</w:t>
      </w:r>
    </w:p>
    <w:p>
      <w:pPr>
        <w:pStyle w:val="83"/>
        <w:spacing w:before="156" w:after="156"/>
        <w:rPr>
          <w:color w:val="auto"/>
          <w:highlight w:val="none"/>
        </w:rPr>
      </w:pPr>
      <w:r>
        <w:rPr>
          <w:rFonts w:hint="eastAsia"/>
          <w:color w:val="auto"/>
          <w:highlight w:val="none"/>
        </w:rPr>
        <w:t>车辆参数要求</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667" w:type="dxa"/>
            <w:tcBorders>
              <w:top w:val="single" w:color="auto" w:sz="8" w:space="0"/>
              <w:bottom w:val="single" w:color="auto" w:sz="8" w:space="0"/>
            </w:tcBorders>
            <w:shd w:val="clear" w:color="auto" w:fill="auto"/>
            <w:vAlign w:val="center"/>
          </w:tcPr>
          <w:p>
            <w:pPr>
              <w:pStyle w:val="184"/>
              <w:rPr>
                <w:color w:val="auto"/>
                <w:highlight w:val="none"/>
              </w:rPr>
            </w:pPr>
            <w:r>
              <w:rPr>
                <w:color w:val="auto"/>
                <w:szCs w:val="18"/>
                <w:highlight w:val="none"/>
              </w:rPr>
              <w:t>项目</w:t>
            </w:r>
          </w:p>
        </w:tc>
        <w:tc>
          <w:tcPr>
            <w:tcW w:w="4667" w:type="dxa"/>
            <w:tcBorders>
              <w:top w:val="single" w:color="auto" w:sz="8" w:space="0"/>
              <w:bottom w:val="single" w:color="auto" w:sz="8" w:space="0"/>
            </w:tcBorders>
            <w:shd w:val="clear" w:color="auto" w:fill="auto"/>
            <w:vAlign w:val="center"/>
          </w:tcPr>
          <w:p>
            <w:pPr>
              <w:pStyle w:val="184"/>
              <w:rPr>
                <w:color w:val="auto"/>
                <w:highlight w:val="none"/>
              </w:rPr>
            </w:pPr>
            <w:r>
              <w:rPr>
                <w:rFonts w:hint="eastAsia"/>
                <w:color w:val="auto"/>
                <w:szCs w:val="18"/>
                <w:highlight w:val="none"/>
                <w:lang w:val="en-US" w:eastAsia="zh-CN"/>
              </w:rPr>
              <w:t>数据</w:t>
            </w:r>
            <w:r>
              <w:rPr>
                <w:color w:val="auto"/>
                <w:szCs w:val="18"/>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84"/>
              <w:jc w:val="left"/>
              <w:rPr>
                <w:color w:val="auto"/>
                <w:highlight w:val="none"/>
              </w:rPr>
            </w:pPr>
            <w:r>
              <w:rPr>
                <w:color w:val="auto"/>
                <w:szCs w:val="18"/>
                <w:highlight w:val="none"/>
              </w:rPr>
              <w:t>最高车速</w:t>
            </w:r>
          </w:p>
        </w:tc>
        <w:tc>
          <w:tcPr>
            <w:tcW w:w="4667" w:type="dxa"/>
            <w:tcBorders>
              <w:top w:val="single" w:color="auto" w:sz="8" w:space="0"/>
            </w:tcBorders>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单位为千米每小时</w:t>
            </w:r>
            <w:r>
              <w:rPr>
                <w:color w:val="auto"/>
                <w:szCs w:val="18"/>
                <w:highlight w:val="none"/>
              </w:rPr>
              <w:t>（</w:t>
            </w:r>
            <w:r>
              <w:rPr>
                <w:rFonts w:cs="Calibri"/>
                <w:color w:val="auto"/>
                <w:szCs w:val="18"/>
                <w:highlight w:val="none"/>
              </w:rPr>
              <w:t>km/h</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84"/>
              <w:jc w:val="left"/>
              <w:rPr>
                <w:color w:val="auto"/>
                <w:highlight w:val="none"/>
              </w:rPr>
            </w:pPr>
            <w:r>
              <w:rPr>
                <w:color w:val="auto"/>
                <w:szCs w:val="18"/>
                <w:highlight w:val="none"/>
              </w:rPr>
              <w:t>质量</w:t>
            </w:r>
          </w:p>
        </w:tc>
        <w:tc>
          <w:tcPr>
            <w:tcW w:w="4667" w:type="dxa"/>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单位为千克</w:t>
            </w:r>
            <w:r>
              <w:rPr>
                <w:color w:val="auto"/>
                <w:szCs w:val="18"/>
                <w:highlight w:val="none"/>
              </w:rPr>
              <w:t>（</w:t>
            </w:r>
            <w:r>
              <w:rPr>
                <w:rFonts w:cs="Calibri"/>
                <w:color w:val="auto"/>
                <w:szCs w:val="18"/>
                <w:highlight w:val="none"/>
              </w:rPr>
              <w:t>kg</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84"/>
              <w:jc w:val="left"/>
              <w:rPr>
                <w:color w:val="auto"/>
                <w:highlight w:val="none"/>
              </w:rPr>
            </w:pPr>
            <w:r>
              <w:rPr>
                <w:color w:val="auto"/>
                <w:szCs w:val="18"/>
                <w:highlight w:val="none"/>
              </w:rPr>
              <w:t>轮胎气压</w:t>
            </w:r>
          </w:p>
        </w:tc>
        <w:tc>
          <w:tcPr>
            <w:tcW w:w="4667" w:type="dxa"/>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单位为千帕</w:t>
            </w:r>
            <w:r>
              <w:rPr>
                <w:color w:val="auto"/>
                <w:szCs w:val="18"/>
                <w:highlight w:val="none"/>
              </w:rPr>
              <w:t>（</w:t>
            </w:r>
            <w:r>
              <w:rPr>
                <w:rFonts w:hint="eastAsia" w:cs="Calibri"/>
                <w:color w:val="auto"/>
                <w:szCs w:val="18"/>
                <w:highlight w:val="none"/>
              </w:rPr>
              <w:t>k</w:t>
            </w:r>
            <w:r>
              <w:rPr>
                <w:color w:val="auto"/>
                <w:szCs w:val="18"/>
                <w:highlight w:val="none"/>
              </w:rPr>
              <w:t>Pa</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84"/>
              <w:jc w:val="left"/>
              <w:rPr>
                <w:color w:val="auto"/>
                <w:highlight w:val="none"/>
              </w:rPr>
            </w:pPr>
            <w:r>
              <w:rPr>
                <w:color w:val="auto"/>
                <w:szCs w:val="18"/>
                <w:highlight w:val="none"/>
              </w:rPr>
              <w:t>轴距</w:t>
            </w:r>
          </w:p>
        </w:tc>
        <w:tc>
          <w:tcPr>
            <w:tcW w:w="4667" w:type="dxa"/>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单位为毫米</w:t>
            </w:r>
            <w:r>
              <w:rPr>
                <w:color w:val="auto"/>
                <w:szCs w:val="18"/>
                <w:highlight w:val="none"/>
              </w:rPr>
              <w:t>（</w:t>
            </w:r>
            <w:r>
              <w:rPr>
                <w:rFonts w:cs="Calibri"/>
                <w:color w:val="auto"/>
                <w:szCs w:val="18"/>
                <w:highlight w:val="none"/>
              </w:rPr>
              <w:t>mm</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84"/>
              <w:jc w:val="left"/>
              <w:rPr>
                <w:color w:val="auto"/>
                <w:highlight w:val="none"/>
              </w:rPr>
            </w:pPr>
            <w:r>
              <w:rPr>
                <w:color w:val="auto"/>
                <w:szCs w:val="18"/>
                <w:highlight w:val="none"/>
              </w:rPr>
              <w:t>质心高度（空载</w:t>
            </w:r>
            <w:r>
              <w:rPr>
                <w:rFonts w:cs="Calibri"/>
                <w:color w:val="auto"/>
                <w:szCs w:val="18"/>
                <w:highlight w:val="none"/>
              </w:rPr>
              <w:t>/</w:t>
            </w:r>
            <w:r>
              <w:rPr>
                <w:rFonts w:hAnsi="宋体"/>
                <w:color w:val="auto"/>
                <w:szCs w:val="18"/>
                <w:highlight w:val="none"/>
              </w:rPr>
              <w:t>满载）</w:t>
            </w:r>
          </w:p>
        </w:tc>
        <w:tc>
          <w:tcPr>
            <w:tcW w:w="4667" w:type="dxa"/>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单位为毫米</w:t>
            </w:r>
            <w:r>
              <w:rPr>
                <w:color w:val="auto"/>
                <w:szCs w:val="18"/>
                <w:highlight w:val="none"/>
              </w:rPr>
              <w:t>（</w:t>
            </w:r>
            <w:r>
              <w:rPr>
                <w:rFonts w:cs="Calibri"/>
                <w:color w:val="auto"/>
                <w:szCs w:val="18"/>
                <w:highlight w:val="none"/>
              </w:rPr>
              <w:t>mm</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84"/>
              <w:jc w:val="left"/>
              <w:rPr>
                <w:color w:val="auto"/>
                <w:highlight w:val="none"/>
              </w:rPr>
            </w:pPr>
            <w:r>
              <w:rPr>
                <w:color w:val="auto"/>
                <w:szCs w:val="18"/>
                <w:highlight w:val="none"/>
              </w:rPr>
              <w:t>制动器尺寸</w:t>
            </w:r>
          </w:p>
        </w:tc>
        <w:tc>
          <w:tcPr>
            <w:tcW w:w="4667" w:type="dxa"/>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单位为毫米</w:t>
            </w:r>
            <w:r>
              <w:rPr>
                <w:color w:val="auto"/>
                <w:szCs w:val="18"/>
                <w:highlight w:val="none"/>
              </w:rPr>
              <w:t>（</w:t>
            </w:r>
            <w:r>
              <w:rPr>
                <w:rFonts w:cs="Calibri"/>
                <w:color w:val="auto"/>
                <w:szCs w:val="18"/>
                <w:highlight w:val="none"/>
              </w:rPr>
              <w:t>mm</w:t>
            </w:r>
            <w:r>
              <w:rPr>
                <w:rFonts w:hAnsi="宋体"/>
                <w:color w:val="auto"/>
                <w:szCs w:val="18"/>
                <w:highlight w:val="none"/>
              </w:rPr>
              <w:t>）</w:t>
            </w:r>
          </w:p>
        </w:tc>
      </w:tr>
    </w:tbl>
    <w:p>
      <w:pPr>
        <w:pStyle w:val="84"/>
        <w:spacing w:before="156" w:after="156"/>
        <w:rPr>
          <w:color w:val="auto"/>
          <w:highlight w:val="none"/>
        </w:rPr>
      </w:pPr>
      <w:bookmarkStart w:id="261" w:name="_Toc109891148"/>
      <w:bookmarkStart w:id="262" w:name="_Toc118580382"/>
      <w:bookmarkStart w:id="263" w:name="_Toc3530"/>
      <w:r>
        <w:rPr>
          <w:rFonts w:hint="eastAsia"/>
          <w:color w:val="auto"/>
          <w:highlight w:val="none"/>
        </w:rPr>
        <w:t>试验数据</w:t>
      </w:r>
      <w:bookmarkEnd w:id="261"/>
      <w:bookmarkEnd w:id="262"/>
      <w:bookmarkEnd w:id="263"/>
    </w:p>
    <w:p>
      <w:pPr>
        <w:pStyle w:val="62"/>
        <w:ind w:firstLine="420"/>
        <w:rPr>
          <w:color w:val="auto"/>
          <w:highlight w:val="none"/>
        </w:rPr>
      </w:pPr>
      <w:r>
        <w:rPr>
          <w:rFonts w:hint="eastAsia"/>
          <w:color w:val="auto"/>
          <w:highlight w:val="none"/>
        </w:rPr>
        <w:t>试验数据记录和计算应满足表</w:t>
      </w:r>
      <w:r>
        <w:rPr>
          <w:rFonts w:hint="eastAsia"/>
          <w:color w:val="auto"/>
          <w:highlight w:val="none"/>
          <w:lang w:val="en-US" w:eastAsia="zh-CN"/>
        </w:rPr>
        <w:t>E</w:t>
      </w:r>
      <w:r>
        <w:rPr>
          <w:color w:val="auto"/>
          <w:highlight w:val="none"/>
        </w:rPr>
        <w:t>.2</w:t>
      </w:r>
      <w:r>
        <w:rPr>
          <w:rFonts w:hint="eastAsia"/>
          <w:color w:val="auto"/>
          <w:highlight w:val="none"/>
        </w:rPr>
        <w:t>的要求。</w:t>
      </w:r>
    </w:p>
    <w:p>
      <w:pPr>
        <w:pStyle w:val="83"/>
        <w:spacing w:before="156" w:after="156"/>
        <w:rPr>
          <w:color w:val="auto"/>
          <w:highlight w:val="none"/>
        </w:rPr>
      </w:pPr>
      <w:r>
        <w:rPr>
          <w:rFonts w:hint="eastAsia"/>
          <w:color w:val="auto"/>
          <w:highlight w:val="none"/>
        </w:rPr>
        <w:t>试验数据处理要求</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251"/>
        <w:gridCol w:w="60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251" w:type="dxa"/>
            <w:tcBorders>
              <w:top w:val="single" w:color="auto" w:sz="8" w:space="0"/>
              <w:bottom w:val="single" w:color="auto" w:sz="8" w:space="0"/>
            </w:tcBorders>
            <w:shd w:val="clear" w:color="auto" w:fill="auto"/>
            <w:vAlign w:val="center"/>
          </w:tcPr>
          <w:p>
            <w:pPr>
              <w:pStyle w:val="184"/>
              <w:jc w:val="center"/>
              <w:rPr>
                <w:color w:val="auto"/>
                <w:highlight w:val="none"/>
              </w:rPr>
            </w:pPr>
            <w:r>
              <w:rPr>
                <w:color w:val="auto"/>
                <w:szCs w:val="18"/>
                <w:highlight w:val="none"/>
              </w:rPr>
              <w:t>项目</w:t>
            </w:r>
          </w:p>
        </w:tc>
        <w:tc>
          <w:tcPr>
            <w:tcW w:w="6083" w:type="dxa"/>
            <w:tcBorders>
              <w:top w:val="single" w:color="auto" w:sz="8" w:space="0"/>
              <w:bottom w:val="single" w:color="auto" w:sz="8" w:space="0"/>
            </w:tcBorders>
            <w:shd w:val="clear" w:color="auto" w:fill="auto"/>
            <w:vAlign w:val="center"/>
          </w:tcPr>
          <w:p>
            <w:pPr>
              <w:pStyle w:val="184"/>
              <w:jc w:val="center"/>
              <w:rPr>
                <w:color w:val="auto"/>
                <w:highlight w:val="none"/>
              </w:rPr>
            </w:pPr>
            <w:r>
              <w:rPr>
                <w:rFonts w:hint="eastAsia"/>
                <w:color w:val="auto"/>
                <w:szCs w:val="18"/>
                <w:highlight w:val="none"/>
                <w:lang w:val="en-US" w:eastAsia="zh-CN"/>
              </w:rPr>
              <w:t>数据</w:t>
            </w:r>
            <w:r>
              <w:rPr>
                <w:color w:val="auto"/>
                <w:szCs w:val="18"/>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tcBorders>
              <w:top w:val="single" w:color="auto" w:sz="8" w:space="0"/>
            </w:tcBorders>
            <w:shd w:val="clear" w:color="auto" w:fill="auto"/>
            <w:vAlign w:val="center"/>
          </w:tcPr>
          <w:p>
            <w:pPr>
              <w:pStyle w:val="184"/>
              <w:jc w:val="left"/>
              <w:rPr>
                <w:color w:val="auto"/>
                <w:highlight w:val="none"/>
              </w:rPr>
            </w:pPr>
            <w:r>
              <w:rPr>
                <w:color w:val="auto"/>
                <w:szCs w:val="18"/>
                <w:highlight w:val="none"/>
              </w:rPr>
              <w:t>制动初速度</w:t>
            </w:r>
          </w:p>
        </w:tc>
        <w:tc>
          <w:tcPr>
            <w:tcW w:w="6083" w:type="dxa"/>
            <w:tcBorders>
              <w:top w:val="single" w:color="auto" w:sz="8" w:space="0"/>
            </w:tcBorders>
            <w:shd w:val="clear" w:color="auto" w:fill="auto"/>
            <w:vAlign w:val="center"/>
          </w:tcPr>
          <w:p>
            <w:pPr>
              <w:pStyle w:val="184"/>
              <w:jc w:val="left"/>
              <w:rPr>
                <w:color w:val="auto"/>
                <w:highlight w:val="none"/>
              </w:rPr>
            </w:pPr>
            <w:r>
              <w:rPr>
                <w:color w:val="auto"/>
                <w:szCs w:val="18"/>
                <w:highlight w:val="none"/>
              </w:rPr>
              <w:t>取小数点后一位</w:t>
            </w:r>
            <w:r>
              <w:rPr>
                <w:rFonts w:hint="eastAsia"/>
                <w:color w:val="auto"/>
                <w:szCs w:val="18"/>
                <w:highlight w:val="none"/>
                <w:lang w:eastAsia="zh-CN"/>
              </w:rPr>
              <w:t>，</w:t>
            </w:r>
            <w:r>
              <w:rPr>
                <w:rFonts w:hint="eastAsia"/>
                <w:color w:val="auto"/>
                <w:szCs w:val="18"/>
                <w:highlight w:val="none"/>
                <w:lang w:val="en-US" w:eastAsia="zh-CN"/>
              </w:rPr>
              <w:t>单位为千米每小时</w:t>
            </w:r>
            <w:r>
              <w:rPr>
                <w:color w:val="auto"/>
                <w:szCs w:val="18"/>
                <w:highlight w:val="none"/>
              </w:rPr>
              <w:t>（</w:t>
            </w:r>
            <w:r>
              <w:rPr>
                <w:rFonts w:cs="Calibri"/>
                <w:color w:val="auto"/>
                <w:szCs w:val="18"/>
                <w:highlight w:val="none"/>
              </w:rPr>
              <w:t>km/h</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制动距离</w:t>
            </w:r>
          </w:p>
        </w:tc>
        <w:tc>
          <w:tcPr>
            <w:tcW w:w="6083" w:type="dxa"/>
            <w:shd w:val="clear" w:color="auto" w:fill="auto"/>
            <w:vAlign w:val="center"/>
          </w:tcPr>
          <w:p>
            <w:pPr>
              <w:pStyle w:val="184"/>
              <w:jc w:val="left"/>
              <w:rPr>
                <w:color w:val="auto"/>
                <w:highlight w:val="none"/>
              </w:rPr>
            </w:pPr>
            <w:r>
              <w:rPr>
                <w:color w:val="auto"/>
                <w:szCs w:val="18"/>
                <w:highlight w:val="none"/>
              </w:rPr>
              <w:t>取小数点后一位</w:t>
            </w:r>
            <w:r>
              <w:rPr>
                <w:rFonts w:hint="eastAsia"/>
                <w:color w:val="auto"/>
                <w:szCs w:val="18"/>
                <w:highlight w:val="none"/>
                <w:lang w:eastAsia="zh-CN"/>
              </w:rPr>
              <w:t>，</w:t>
            </w:r>
            <w:r>
              <w:rPr>
                <w:rFonts w:hint="eastAsia"/>
                <w:color w:val="auto"/>
                <w:szCs w:val="18"/>
                <w:highlight w:val="none"/>
                <w:lang w:val="en-US" w:eastAsia="zh-CN"/>
              </w:rPr>
              <w:t>单位为米</w:t>
            </w:r>
            <w:r>
              <w:rPr>
                <w:color w:val="auto"/>
                <w:szCs w:val="18"/>
                <w:highlight w:val="none"/>
              </w:rPr>
              <w:t>（</w:t>
            </w:r>
            <w:r>
              <w:rPr>
                <w:rFonts w:cs="Calibri"/>
                <w:color w:val="auto"/>
                <w:szCs w:val="18"/>
                <w:highlight w:val="none"/>
              </w:rPr>
              <w:t>m</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6" w:hRule="atLeast"/>
          <w:jc w:val="center"/>
        </w:trPr>
        <w:tc>
          <w:tcPr>
            <w:tcW w:w="3251" w:type="dxa"/>
            <w:shd w:val="clear" w:color="auto" w:fill="auto"/>
            <w:vAlign w:val="center"/>
          </w:tcPr>
          <w:p>
            <w:pPr>
              <w:pStyle w:val="184"/>
              <w:jc w:val="left"/>
              <w:rPr>
                <w:color w:val="auto"/>
                <w:highlight w:val="none"/>
              </w:rPr>
            </w:pPr>
            <w:r>
              <w:rPr>
                <w:color w:val="auto"/>
                <w:szCs w:val="18"/>
                <w:highlight w:val="none"/>
              </w:rPr>
              <w:t>制动距离限值</w:t>
            </w:r>
          </w:p>
        </w:tc>
        <w:tc>
          <w:tcPr>
            <w:tcW w:w="6083" w:type="dxa"/>
            <w:shd w:val="clear" w:color="auto" w:fill="auto"/>
            <w:vAlign w:val="center"/>
          </w:tcPr>
          <w:p>
            <w:pPr>
              <w:spacing w:line="240" w:lineRule="auto"/>
              <w:jc w:val="left"/>
              <w:rPr>
                <w:rFonts w:hint="default" w:eastAsia="宋体"/>
                <w:i/>
                <w:color w:val="auto"/>
                <w:sz w:val="18"/>
                <w:szCs w:val="18"/>
                <w:highlight w:val="none"/>
                <w:lang w:val="en-US" w:eastAsia="zh-CN"/>
              </w:rPr>
            </w:pPr>
            <w:r>
              <w:rPr>
                <w:rFonts w:hint="eastAsia"/>
                <w:i w:val="0"/>
                <w:iCs/>
                <w:color w:val="auto"/>
                <w:sz w:val="18"/>
                <w:szCs w:val="18"/>
                <w:highlight w:val="none"/>
                <w:lang w:val="en-US" w:eastAsia="zh-CN"/>
              </w:rPr>
              <w:t>按照公式</w:t>
            </w:r>
            <w:r>
              <w:rPr>
                <w:rFonts w:hint="eastAsia"/>
                <w:i/>
                <w:color w:val="auto"/>
                <w:sz w:val="18"/>
                <w:szCs w:val="18"/>
                <w:highlight w:val="none"/>
                <w:lang w:val="en-US" w:eastAsia="zh-CN"/>
              </w:rPr>
              <w:t xml:space="preserve">  </w:t>
            </w:r>
            <w:r>
              <w:rPr>
                <w:rFonts w:hint="eastAsia" w:cs="Calibri"/>
                <w:color w:val="auto"/>
                <w:szCs w:val="18"/>
                <w:highlight w:val="none"/>
              </w:rPr>
              <w:t>S=</w:t>
            </w:r>
            <w:r>
              <w:rPr>
                <w:rFonts w:hint="eastAsia" w:hAnsi="宋体"/>
                <w:color w:val="auto"/>
                <w:szCs w:val="18"/>
                <w:highlight w:val="none"/>
              </w:rPr>
              <w:t>（</w:t>
            </w:r>
            <w:r>
              <w:rPr>
                <w:i/>
                <w:color w:val="auto"/>
                <w:szCs w:val="18"/>
                <w:highlight w:val="none"/>
              </w:rPr>
              <w:t>v</w:t>
            </w:r>
            <w:r>
              <w:rPr>
                <w:i/>
                <w:color w:val="auto"/>
                <w:szCs w:val="18"/>
                <w:highlight w:val="none"/>
                <w:vertAlign w:val="subscript"/>
              </w:rPr>
              <w:t>s</w:t>
            </w:r>
            <w:r>
              <w:rPr>
                <w:rFonts w:hint="eastAsia"/>
                <w:color w:val="auto"/>
                <w:szCs w:val="18"/>
                <w:highlight w:val="none"/>
                <w:vertAlign w:val="superscript"/>
              </w:rPr>
              <w:t xml:space="preserve"> </w:t>
            </w:r>
            <w:r>
              <w:rPr>
                <w:rFonts w:hint="eastAsia" w:cs="Calibri"/>
                <w:color w:val="auto"/>
                <w:szCs w:val="18"/>
                <w:highlight w:val="none"/>
                <w:vertAlign w:val="superscript"/>
              </w:rPr>
              <w:t>2</w:t>
            </w:r>
            <w:r>
              <w:rPr>
                <w:rFonts w:hint="eastAsia" w:cs="Calibri"/>
                <w:color w:val="auto"/>
                <w:szCs w:val="18"/>
                <w:highlight w:val="none"/>
              </w:rPr>
              <w:t>/</w:t>
            </w:r>
            <w:r>
              <w:rPr>
                <w:i/>
                <w:color w:val="auto"/>
                <w:szCs w:val="18"/>
                <w:highlight w:val="none"/>
              </w:rPr>
              <w:t xml:space="preserve"> v</w:t>
            </w:r>
            <w:r>
              <w:rPr>
                <w:i/>
                <w:color w:val="auto"/>
                <w:szCs w:val="18"/>
                <w:highlight w:val="none"/>
                <w:vertAlign w:val="subscript"/>
              </w:rPr>
              <w:t>a</w:t>
            </w:r>
            <w:r>
              <w:rPr>
                <w:rFonts w:hint="eastAsia"/>
                <w:color w:val="auto"/>
                <w:szCs w:val="18"/>
                <w:highlight w:val="none"/>
                <w:vertAlign w:val="superscript"/>
              </w:rPr>
              <w:t xml:space="preserve"> </w:t>
            </w:r>
            <w:r>
              <w:rPr>
                <w:rFonts w:hint="eastAsia" w:cs="Calibri"/>
                <w:color w:val="auto"/>
                <w:szCs w:val="18"/>
                <w:highlight w:val="none"/>
                <w:vertAlign w:val="superscript"/>
              </w:rPr>
              <w:t>2</w:t>
            </w:r>
            <w:r>
              <w:rPr>
                <w:rFonts w:hint="eastAsia"/>
                <w:color w:val="auto"/>
                <w:szCs w:val="18"/>
                <w:highlight w:val="none"/>
              </w:rPr>
              <w:t>）×</w:t>
            </w:r>
            <w:r>
              <w:rPr>
                <w:i/>
                <w:color w:val="auto"/>
                <w:szCs w:val="18"/>
                <w:highlight w:val="none"/>
              </w:rPr>
              <w:t>S</w:t>
            </w:r>
            <w:r>
              <w:rPr>
                <w:i/>
                <w:color w:val="auto"/>
                <w:szCs w:val="18"/>
                <w:highlight w:val="none"/>
                <w:vertAlign w:val="subscript"/>
              </w:rPr>
              <w:t>a</w:t>
            </w:r>
            <w:r>
              <w:rPr>
                <w:rFonts w:hint="eastAsia"/>
                <w:i/>
                <w:color w:val="auto"/>
                <w:szCs w:val="18"/>
                <w:highlight w:val="none"/>
                <w:vertAlign w:val="subscript"/>
                <w:lang w:val="en-US" w:eastAsia="zh-CN"/>
              </w:rPr>
              <w:t xml:space="preserve"> </w:t>
            </w:r>
            <w:r>
              <w:rPr>
                <w:rFonts w:hint="eastAsia"/>
                <w:i w:val="0"/>
                <w:iCs/>
                <w:color w:val="auto"/>
                <w:szCs w:val="18"/>
                <w:highlight w:val="none"/>
                <w:vertAlign w:val="baseline"/>
                <w:lang w:val="en-US" w:eastAsia="zh-CN"/>
              </w:rPr>
              <w:t>进行计算</w:t>
            </w:r>
          </w:p>
          <w:p>
            <w:pPr>
              <w:spacing w:line="240" w:lineRule="auto"/>
              <w:jc w:val="left"/>
              <w:rPr>
                <w:rFonts w:hint="eastAsia" w:ascii="宋体" w:hAnsi="Times New Roman" w:eastAsia="宋体" w:cs="Times New Roman"/>
                <w:color w:val="auto"/>
                <w:kern w:val="0"/>
                <w:sz w:val="18"/>
                <w:szCs w:val="18"/>
                <w:highlight w:val="none"/>
                <w:lang w:val="en-US" w:eastAsia="zh-CN" w:bidi="ar-SA"/>
              </w:rPr>
            </w:pPr>
            <w:r>
              <w:rPr>
                <w:rFonts w:hint="eastAsia" w:ascii="宋体" w:hAnsi="宋体"/>
                <w:color w:val="auto"/>
                <w:sz w:val="18"/>
                <w:szCs w:val="18"/>
                <w:highlight w:val="none"/>
                <w:lang w:val="en-US" w:eastAsia="zh-CN"/>
              </w:rPr>
              <w:t>其中</w:t>
            </w:r>
            <w:r>
              <w:rPr>
                <w:i/>
                <w:color w:val="auto"/>
                <w:sz w:val="18"/>
                <w:szCs w:val="18"/>
                <w:highlight w:val="none"/>
              </w:rPr>
              <w:t>S</w:t>
            </w:r>
            <w:r>
              <w:rPr>
                <w:rFonts w:hint="eastAsia"/>
                <w:color w:val="auto"/>
                <w:sz w:val="18"/>
                <w:szCs w:val="18"/>
                <w:highlight w:val="none"/>
                <w:lang w:val="en-US" w:eastAsia="zh-CN"/>
              </w:rPr>
              <w:t>为</w:t>
            </w:r>
            <w:r>
              <w:rPr>
                <w:rFonts w:ascii="宋体" w:hAnsi="宋体"/>
                <w:color w:val="auto"/>
                <w:sz w:val="18"/>
                <w:szCs w:val="18"/>
                <w:highlight w:val="none"/>
              </w:rPr>
              <w:t>修正制动距离</w:t>
            </w:r>
            <w:r>
              <w:rPr>
                <w:rFonts w:hint="eastAsia" w:ascii="宋体" w:hAnsi="宋体"/>
                <w:color w:val="auto"/>
                <w:sz w:val="18"/>
                <w:szCs w:val="18"/>
                <w:highlight w:val="none"/>
                <w:lang w:eastAsia="zh-CN"/>
              </w:rPr>
              <w:t>，</w:t>
            </w:r>
            <w:r>
              <w:rPr>
                <w:rFonts w:hint="eastAsia" w:ascii="宋体" w:hAnsi="Times New Roman" w:eastAsia="宋体" w:cs="Times New Roman"/>
                <w:color w:val="auto"/>
                <w:kern w:val="0"/>
                <w:sz w:val="18"/>
                <w:szCs w:val="18"/>
                <w:highlight w:val="none"/>
                <w:lang w:val="en-US" w:eastAsia="zh-CN" w:bidi="ar-SA"/>
              </w:rPr>
              <w:t>单位为米（m）</w:t>
            </w:r>
          </w:p>
          <w:p>
            <w:pPr>
              <w:spacing w:line="240" w:lineRule="auto"/>
              <w:jc w:val="left"/>
              <w:rPr>
                <w:rFonts w:hint="eastAsia" w:ascii="宋体" w:hAnsi="Times New Roman" w:eastAsia="宋体" w:cs="Times New Roman"/>
                <w:color w:val="auto"/>
                <w:kern w:val="0"/>
                <w:sz w:val="18"/>
                <w:szCs w:val="18"/>
                <w:highlight w:val="none"/>
                <w:lang w:val="en-US" w:eastAsia="zh-CN" w:bidi="ar-SA"/>
              </w:rPr>
            </w:pPr>
            <w:r>
              <w:rPr>
                <w:i/>
                <w:color w:val="auto"/>
                <w:sz w:val="18"/>
                <w:szCs w:val="18"/>
                <w:highlight w:val="none"/>
              </w:rPr>
              <w:t>S</w:t>
            </w:r>
            <w:r>
              <w:rPr>
                <w:i/>
                <w:color w:val="auto"/>
                <w:sz w:val="18"/>
                <w:szCs w:val="18"/>
                <w:highlight w:val="none"/>
                <w:vertAlign w:val="subscript"/>
              </w:rPr>
              <w:t>a</w:t>
            </w:r>
            <w:r>
              <w:rPr>
                <w:rFonts w:hint="eastAsia"/>
                <w:color w:val="auto"/>
                <w:sz w:val="18"/>
                <w:szCs w:val="18"/>
                <w:highlight w:val="none"/>
                <w:lang w:val="en-US" w:eastAsia="zh-CN"/>
              </w:rPr>
              <w:t>为</w:t>
            </w:r>
            <w:r>
              <w:rPr>
                <w:rFonts w:ascii="宋体" w:hAnsi="宋体"/>
                <w:color w:val="auto"/>
                <w:sz w:val="18"/>
                <w:szCs w:val="18"/>
                <w:highlight w:val="none"/>
              </w:rPr>
              <w:t>实测制动距离</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单</w:t>
            </w:r>
            <w:r>
              <w:rPr>
                <w:rFonts w:hint="eastAsia" w:ascii="宋体" w:hAnsi="Times New Roman" w:eastAsia="宋体" w:cs="Times New Roman"/>
                <w:color w:val="auto"/>
                <w:kern w:val="0"/>
                <w:sz w:val="18"/>
                <w:szCs w:val="18"/>
                <w:highlight w:val="none"/>
                <w:lang w:val="en-US" w:eastAsia="zh-CN" w:bidi="ar-SA"/>
              </w:rPr>
              <w:t>位为米（m）</w:t>
            </w:r>
          </w:p>
          <w:p>
            <w:pPr>
              <w:spacing w:line="240" w:lineRule="auto"/>
              <w:jc w:val="left"/>
              <w:rPr>
                <w:rFonts w:hint="eastAsia" w:ascii="宋体" w:hAnsi="Times New Roman" w:eastAsia="宋体" w:cs="Times New Roman"/>
                <w:color w:val="auto"/>
                <w:kern w:val="0"/>
                <w:sz w:val="18"/>
                <w:szCs w:val="18"/>
                <w:highlight w:val="none"/>
                <w:lang w:val="en-US" w:eastAsia="zh-CN" w:bidi="ar-SA"/>
              </w:rPr>
            </w:pPr>
            <w:r>
              <w:rPr>
                <w:i/>
                <w:color w:val="auto"/>
                <w:sz w:val="18"/>
                <w:szCs w:val="18"/>
                <w:highlight w:val="none"/>
              </w:rPr>
              <w:t>v</w:t>
            </w:r>
            <w:r>
              <w:rPr>
                <w:i/>
                <w:color w:val="auto"/>
                <w:sz w:val="18"/>
                <w:szCs w:val="18"/>
                <w:highlight w:val="none"/>
                <w:vertAlign w:val="subscript"/>
              </w:rPr>
              <w:t>s</w:t>
            </w:r>
            <w:r>
              <w:rPr>
                <w:rFonts w:hint="eastAsia"/>
                <w:color w:val="auto"/>
                <w:sz w:val="18"/>
                <w:szCs w:val="18"/>
                <w:highlight w:val="none"/>
                <w:lang w:val="en-US" w:eastAsia="zh-CN"/>
              </w:rPr>
              <w:t>为</w:t>
            </w:r>
            <w:r>
              <w:rPr>
                <w:rFonts w:ascii="宋体" w:hAnsi="宋体"/>
                <w:color w:val="auto"/>
                <w:sz w:val="18"/>
                <w:szCs w:val="18"/>
                <w:highlight w:val="none"/>
              </w:rPr>
              <w:t>额定制动初速度</w:t>
            </w:r>
            <w:r>
              <w:rPr>
                <w:rFonts w:hint="eastAsia" w:ascii="宋体" w:hAnsi="宋体"/>
                <w:color w:val="auto"/>
                <w:sz w:val="18"/>
                <w:szCs w:val="18"/>
                <w:highlight w:val="none"/>
                <w:lang w:eastAsia="zh-CN"/>
              </w:rPr>
              <w:t>，</w:t>
            </w:r>
            <w:r>
              <w:rPr>
                <w:rFonts w:hint="eastAsia" w:ascii="宋体" w:hAnsi="Times New Roman" w:eastAsia="宋体" w:cs="Times New Roman"/>
                <w:color w:val="auto"/>
                <w:kern w:val="0"/>
                <w:sz w:val="18"/>
                <w:szCs w:val="18"/>
                <w:highlight w:val="none"/>
                <w:lang w:val="en-US" w:eastAsia="zh-CN" w:bidi="ar-SA"/>
              </w:rPr>
              <w:t>单位为千米每小时（km/h）</w:t>
            </w:r>
          </w:p>
          <w:p>
            <w:pPr>
              <w:spacing w:line="240" w:lineRule="auto"/>
              <w:jc w:val="left"/>
              <w:rPr>
                <w:rFonts w:hint="eastAsia" w:ascii="宋体" w:hAnsi="Times New Roman" w:eastAsia="宋体" w:cs="Times New Roman"/>
                <w:color w:val="auto"/>
                <w:kern w:val="0"/>
                <w:sz w:val="18"/>
                <w:szCs w:val="18"/>
                <w:highlight w:val="none"/>
                <w:lang w:val="en-US" w:eastAsia="zh-CN" w:bidi="ar-SA"/>
              </w:rPr>
            </w:pPr>
            <w:r>
              <w:rPr>
                <w:i/>
                <w:color w:val="auto"/>
                <w:sz w:val="18"/>
                <w:szCs w:val="18"/>
                <w:highlight w:val="none"/>
              </w:rPr>
              <w:t>v</w:t>
            </w:r>
            <w:r>
              <w:rPr>
                <w:i/>
                <w:color w:val="auto"/>
                <w:sz w:val="18"/>
                <w:szCs w:val="18"/>
                <w:highlight w:val="none"/>
                <w:vertAlign w:val="subscript"/>
              </w:rPr>
              <w:t>a</w:t>
            </w:r>
            <w:r>
              <w:rPr>
                <w:rFonts w:hint="eastAsia"/>
                <w:i/>
                <w:color w:val="auto"/>
                <w:sz w:val="18"/>
                <w:szCs w:val="18"/>
                <w:highlight w:val="none"/>
                <w:vertAlign w:val="subscript"/>
                <w:lang w:val="en-US" w:eastAsia="zh-CN"/>
              </w:rPr>
              <w:t>为</w:t>
            </w:r>
            <w:r>
              <w:rPr>
                <w:rFonts w:ascii="宋体" w:hAnsi="宋体"/>
                <w:color w:val="auto"/>
                <w:sz w:val="18"/>
                <w:szCs w:val="18"/>
                <w:highlight w:val="none"/>
              </w:rPr>
              <w:t>实测制动初速度</w:t>
            </w:r>
            <w:r>
              <w:rPr>
                <w:rFonts w:hint="eastAsia" w:ascii="宋体" w:hAnsi="宋体"/>
                <w:color w:val="auto"/>
                <w:sz w:val="18"/>
                <w:szCs w:val="18"/>
                <w:highlight w:val="none"/>
                <w:lang w:eastAsia="zh-CN"/>
              </w:rPr>
              <w:t>，</w:t>
            </w:r>
            <w:r>
              <w:rPr>
                <w:rFonts w:hint="eastAsia" w:ascii="宋体" w:hAnsi="Times New Roman" w:eastAsia="宋体" w:cs="Times New Roman"/>
                <w:color w:val="auto"/>
                <w:kern w:val="0"/>
                <w:sz w:val="18"/>
                <w:szCs w:val="18"/>
                <w:highlight w:val="none"/>
                <w:lang w:val="en-US" w:eastAsia="zh-CN" w:bidi="ar-SA"/>
              </w:rPr>
              <w:t>单位为千米每小时（km/h）</w:t>
            </w:r>
          </w:p>
          <w:p>
            <w:pPr>
              <w:spacing w:line="240" w:lineRule="auto"/>
              <w:jc w:val="left"/>
              <w:rPr>
                <w:color w:val="auto"/>
                <w:highlight w:val="none"/>
              </w:rPr>
            </w:pPr>
            <w:r>
              <w:rPr>
                <w:rFonts w:hint="eastAsia" w:ascii="宋体" w:hAnsi="Times New Roman" w:eastAsia="宋体" w:cs="Times New Roman"/>
                <w:color w:val="auto"/>
                <w:kern w:val="0"/>
                <w:sz w:val="18"/>
                <w:szCs w:val="18"/>
                <w:highlight w:val="none"/>
                <w:lang w:val="en-US" w:eastAsia="zh-CN" w:bidi="ar-SA"/>
              </w:rPr>
              <w:t>以上参数均保留</w:t>
            </w:r>
            <w:r>
              <w:rPr>
                <w:rFonts w:hint="eastAsia"/>
                <w:color w:val="auto"/>
                <w:sz w:val="18"/>
                <w:szCs w:val="18"/>
                <w:highlight w:val="none"/>
                <w:lang w:val="en-US" w:eastAsia="zh-CN"/>
              </w:rPr>
              <w:t>一位小数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充分发出的平均减速度</w:t>
            </w:r>
          </w:p>
        </w:tc>
        <w:tc>
          <w:tcPr>
            <w:tcW w:w="6083" w:type="dxa"/>
            <w:shd w:val="clear" w:color="auto" w:fill="auto"/>
            <w:vAlign w:val="center"/>
          </w:tcPr>
          <w:p>
            <w:pPr>
              <w:pStyle w:val="184"/>
              <w:jc w:val="left"/>
              <w:rPr>
                <w:color w:val="auto"/>
                <w:highlight w:val="none"/>
              </w:rPr>
            </w:pPr>
            <w:r>
              <w:rPr>
                <w:color w:val="auto"/>
                <w:szCs w:val="18"/>
                <w:highlight w:val="none"/>
              </w:rPr>
              <w:t>保留两位小数</w:t>
            </w:r>
            <w:r>
              <w:rPr>
                <w:rFonts w:hint="eastAsia"/>
                <w:color w:val="auto"/>
                <w:szCs w:val="18"/>
                <w:highlight w:val="none"/>
                <w:lang w:eastAsia="zh-CN"/>
              </w:rPr>
              <w:t>，</w:t>
            </w:r>
            <w:r>
              <w:rPr>
                <w:rFonts w:hint="eastAsia"/>
                <w:color w:val="auto"/>
                <w:szCs w:val="18"/>
                <w:highlight w:val="none"/>
                <w:lang w:val="en-US" w:eastAsia="zh-CN"/>
              </w:rPr>
              <w:t>单位为米每二次方秒</w:t>
            </w:r>
            <w:r>
              <w:rPr>
                <w:color w:val="auto"/>
                <w:szCs w:val="18"/>
                <w:highlight w:val="none"/>
              </w:rPr>
              <w:t>（</w:t>
            </w:r>
            <w:r>
              <w:rPr>
                <w:rFonts w:cs="Calibri"/>
                <w:color w:val="auto"/>
                <w:szCs w:val="18"/>
                <w:highlight w:val="none"/>
              </w:rPr>
              <w:t>m/s</w:t>
            </w:r>
            <w:r>
              <w:rPr>
                <w:color w:val="auto"/>
                <w:szCs w:val="18"/>
                <w:highlight w:val="none"/>
                <w:vertAlign w:val="superscript"/>
              </w:rPr>
              <w:t>2</w:t>
            </w:r>
            <w:r>
              <w:rPr>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减速度</w:t>
            </w:r>
          </w:p>
        </w:tc>
        <w:tc>
          <w:tcPr>
            <w:tcW w:w="6083" w:type="dxa"/>
            <w:shd w:val="clear" w:color="auto" w:fill="auto"/>
            <w:vAlign w:val="center"/>
          </w:tcPr>
          <w:p>
            <w:pPr>
              <w:pStyle w:val="184"/>
              <w:jc w:val="left"/>
              <w:rPr>
                <w:color w:val="auto"/>
                <w:highlight w:val="none"/>
              </w:rPr>
            </w:pPr>
            <w:r>
              <w:rPr>
                <w:color w:val="auto"/>
                <w:szCs w:val="18"/>
                <w:highlight w:val="none"/>
              </w:rPr>
              <w:t>保留一位小数</w:t>
            </w:r>
            <w:r>
              <w:rPr>
                <w:rFonts w:hint="eastAsia"/>
                <w:color w:val="auto"/>
                <w:szCs w:val="18"/>
                <w:highlight w:val="none"/>
                <w:lang w:eastAsia="zh-CN"/>
              </w:rPr>
              <w:t>，</w:t>
            </w:r>
            <w:r>
              <w:rPr>
                <w:rFonts w:hint="eastAsia"/>
                <w:color w:val="auto"/>
                <w:szCs w:val="18"/>
                <w:highlight w:val="none"/>
                <w:lang w:val="en-US" w:eastAsia="zh-CN"/>
              </w:rPr>
              <w:t>单位为米每二次方秒</w:t>
            </w:r>
            <w:r>
              <w:rPr>
                <w:color w:val="auto"/>
                <w:szCs w:val="18"/>
                <w:highlight w:val="none"/>
              </w:rPr>
              <w:t>（</w:t>
            </w:r>
            <w:r>
              <w:rPr>
                <w:rFonts w:cs="Calibri"/>
                <w:color w:val="auto"/>
                <w:szCs w:val="18"/>
                <w:highlight w:val="none"/>
              </w:rPr>
              <w:t>m/s</w:t>
            </w:r>
            <w:r>
              <w:rPr>
                <w:color w:val="auto"/>
                <w:szCs w:val="18"/>
                <w:highlight w:val="none"/>
                <w:vertAlign w:val="superscript"/>
              </w:rPr>
              <w:t>2</w:t>
            </w:r>
            <w:r>
              <w:rPr>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控制力</w:t>
            </w:r>
          </w:p>
        </w:tc>
        <w:tc>
          <w:tcPr>
            <w:tcW w:w="6083" w:type="dxa"/>
            <w:shd w:val="clear" w:color="auto" w:fill="auto"/>
            <w:vAlign w:val="center"/>
          </w:tcPr>
          <w:p>
            <w:pPr>
              <w:pStyle w:val="184"/>
              <w:jc w:val="left"/>
              <w:rPr>
                <w:color w:val="auto"/>
                <w:highlight w:val="none"/>
              </w:rPr>
            </w:pPr>
            <w:r>
              <w:rPr>
                <w:color w:val="auto"/>
                <w:szCs w:val="18"/>
                <w:highlight w:val="none"/>
              </w:rPr>
              <w:t>以</w:t>
            </w:r>
            <w:r>
              <w:rPr>
                <w:rFonts w:cs="Calibri"/>
                <w:color w:val="auto"/>
                <w:szCs w:val="18"/>
                <w:highlight w:val="none"/>
              </w:rPr>
              <w:t>5N</w:t>
            </w:r>
            <w:r>
              <w:rPr>
                <w:rFonts w:hAnsi="宋体"/>
                <w:color w:val="auto"/>
                <w:szCs w:val="18"/>
                <w:highlight w:val="none"/>
              </w:rPr>
              <w:t>为单位取整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牵引力</w:t>
            </w:r>
          </w:p>
        </w:tc>
        <w:tc>
          <w:tcPr>
            <w:tcW w:w="6083" w:type="dxa"/>
            <w:shd w:val="clear" w:color="auto" w:fill="auto"/>
            <w:vAlign w:val="center"/>
          </w:tcPr>
          <w:p>
            <w:pPr>
              <w:pStyle w:val="184"/>
              <w:jc w:val="left"/>
              <w:rPr>
                <w:color w:val="auto"/>
                <w:highlight w:val="none"/>
              </w:rPr>
            </w:pPr>
            <w:r>
              <w:rPr>
                <w:color w:val="auto"/>
                <w:szCs w:val="18"/>
                <w:highlight w:val="none"/>
              </w:rPr>
              <w:t>以</w:t>
            </w:r>
            <w:r>
              <w:rPr>
                <w:rFonts w:cs="Calibri"/>
                <w:color w:val="auto"/>
                <w:szCs w:val="18"/>
                <w:highlight w:val="none"/>
              </w:rPr>
              <w:t>100N</w:t>
            </w:r>
            <w:r>
              <w:rPr>
                <w:rFonts w:hAnsi="宋体"/>
                <w:color w:val="auto"/>
                <w:szCs w:val="18"/>
                <w:highlight w:val="none"/>
              </w:rPr>
              <w:t>为单位取整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制动强度</w:t>
            </w:r>
            <w:r>
              <w:rPr>
                <w:i/>
                <w:color w:val="auto"/>
                <w:szCs w:val="18"/>
                <w:highlight w:val="none"/>
              </w:rPr>
              <w:t>z</w:t>
            </w:r>
            <w:r>
              <w:rPr>
                <w:i/>
                <w:color w:val="auto"/>
                <w:szCs w:val="18"/>
                <w:highlight w:val="none"/>
                <w:vertAlign w:val="subscript"/>
              </w:rPr>
              <w:t>p</w:t>
            </w:r>
            <w:r>
              <w:rPr>
                <w:color w:val="auto"/>
                <w:szCs w:val="18"/>
                <w:highlight w:val="none"/>
              </w:rPr>
              <w:t>（单车）</w:t>
            </w:r>
          </w:p>
        </w:tc>
        <w:tc>
          <w:tcPr>
            <w:tcW w:w="6083" w:type="dxa"/>
            <w:shd w:val="clear" w:color="auto" w:fill="auto"/>
            <w:vAlign w:val="center"/>
          </w:tcPr>
          <w:p>
            <w:pPr>
              <w:keepNext w:val="0"/>
              <w:keepLines w:val="0"/>
              <w:pageBreakBefore w:val="0"/>
              <w:kinsoku/>
              <w:wordWrap/>
              <w:overflowPunct/>
              <w:topLinePunct w:val="0"/>
              <w:bidi w:val="0"/>
              <w:snapToGrid/>
              <w:spacing w:line="240" w:lineRule="auto"/>
              <w:jc w:val="left"/>
              <w:textAlignment w:val="auto"/>
              <w:rPr>
                <w:rFonts w:hint="default"/>
                <w:i w:val="0"/>
                <w:iCs/>
                <w:color w:val="auto"/>
                <w:szCs w:val="18"/>
                <w:highlight w:val="none"/>
                <w:vertAlign w:val="baseline"/>
                <w:lang w:val="en-US" w:eastAsia="zh-CN"/>
              </w:rPr>
            </w:pPr>
            <w:r>
              <w:rPr>
                <w:rFonts w:hint="eastAsia"/>
                <w:i w:val="0"/>
                <w:iCs/>
                <w:color w:val="auto"/>
                <w:sz w:val="18"/>
                <w:szCs w:val="18"/>
                <w:highlight w:val="none"/>
                <w:lang w:val="en-US" w:eastAsia="zh-CN"/>
              </w:rPr>
              <w:t>按照公式</w:t>
            </w:r>
            <w:r>
              <w:rPr>
                <w:i/>
                <w:color w:val="auto"/>
                <w:sz w:val="18"/>
                <w:szCs w:val="18"/>
                <w:highlight w:val="none"/>
              </w:rPr>
              <w:t>z</w:t>
            </w:r>
            <w:r>
              <w:rPr>
                <w:i/>
                <w:color w:val="auto"/>
                <w:sz w:val="18"/>
                <w:szCs w:val="18"/>
                <w:highlight w:val="none"/>
                <w:vertAlign w:val="subscript"/>
              </w:rPr>
              <w:t>P</w:t>
            </w:r>
            <w:r>
              <w:rPr>
                <w:color w:val="auto"/>
                <w:sz w:val="18"/>
                <w:szCs w:val="18"/>
                <w:highlight w:val="none"/>
              </w:rPr>
              <w:t xml:space="preserve">= </w:t>
            </w:r>
            <w:r>
              <w:rPr>
                <w:i/>
                <w:color w:val="auto"/>
                <w:sz w:val="18"/>
                <w:szCs w:val="18"/>
                <w:highlight w:val="none"/>
              </w:rPr>
              <w:t>T</w:t>
            </w:r>
            <w:r>
              <w:rPr>
                <w:i/>
                <w:color w:val="auto"/>
                <w:sz w:val="18"/>
                <w:szCs w:val="18"/>
                <w:highlight w:val="none"/>
                <w:vertAlign w:val="subscript"/>
              </w:rPr>
              <w:t>P</w:t>
            </w:r>
            <w:r>
              <w:rPr>
                <w:color w:val="auto"/>
                <w:sz w:val="18"/>
                <w:szCs w:val="18"/>
                <w:highlight w:val="none"/>
              </w:rPr>
              <w:t xml:space="preserve"> /</w:t>
            </w:r>
            <w:r>
              <w:rPr>
                <w:i/>
                <w:color w:val="auto"/>
                <w:sz w:val="18"/>
                <w:szCs w:val="18"/>
                <w:highlight w:val="none"/>
              </w:rPr>
              <w:t>P</w:t>
            </w:r>
            <w:r>
              <w:rPr>
                <w:i/>
                <w:color w:val="auto"/>
                <w:sz w:val="18"/>
                <w:szCs w:val="18"/>
                <w:highlight w:val="none"/>
                <w:vertAlign w:val="subscript"/>
              </w:rPr>
              <w:t>U</w:t>
            </w:r>
            <w:r>
              <w:rPr>
                <w:rFonts w:hint="eastAsia"/>
                <w:i/>
                <w:color w:val="auto"/>
                <w:sz w:val="18"/>
                <w:szCs w:val="18"/>
                <w:highlight w:val="none"/>
                <w:vertAlign w:val="subscript"/>
                <w:lang w:val="en-US" w:eastAsia="zh-CN"/>
              </w:rPr>
              <w:t xml:space="preserve"> </w:t>
            </w:r>
            <w:r>
              <w:rPr>
                <w:rFonts w:hint="eastAsia"/>
                <w:i w:val="0"/>
                <w:iCs/>
                <w:color w:val="auto"/>
                <w:szCs w:val="18"/>
                <w:highlight w:val="none"/>
                <w:vertAlign w:val="baseline"/>
                <w:lang w:val="en-US" w:eastAsia="zh-CN"/>
              </w:rPr>
              <w:t>进行计算</w:t>
            </w:r>
          </w:p>
          <w:p>
            <w:pPr>
              <w:keepNext w:val="0"/>
              <w:keepLines w:val="0"/>
              <w:pageBreakBefore w:val="0"/>
              <w:kinsoku/>
              <w:wordWrap/>
              <w:overflowPunct/>
              <w:topLinePunct w:val="0"/>
              <w:bidi w:val="0"/>
              <w:snapToGrid/>
              <w:spacing w:line="240" w:lineRule="auto"/>
              <w:jc w:val="left"/>
              <w:textAlignment w:val="auto"/>
              <w:rPr>
                <w:color w:val="auto"/>
                <w:sz w:val="18"/>
                <w:szCs w:val="18"/>
                <w:highlight w:val="none"/>
              </w:rPr>
            </w:pPr>
            <w:r>
              <w:rPr>
                <w:rFonts w:hint="eastAsia"/>
                <w:color w:val="auto"/>
                <w:sz w:val="18"/>
                <w:szCs w:val="18"/>
                <w:highlight w:val="none"/>
                <w:lang w:val="en-US" w:eastAsia="zh-CN"/>
              </w:rPr>
              <w:t>其中</w:t>
            </w:r>
            <w:r>
              <w:rPr>
                <w:color w:val="auto"/>
                <w:sz w:val="18"/>
                <w:szCs w:val="18"/>
                <w:highlight w:val="none"/>
              </w:rPr>
              <w:t>z</w:t>
            </w:r>
            <w:r>
              <w:rPr>
                <w:color w:val="auto"/>
                <w:sz w:val="18"/>
                <w:szCs w:val="18"/>
                <w:highlight w:val="none"/>
                <w:vertAlign w:val="subscript"/>
              </w:rPr>
              <w:t>p</w:t>
            </w:r>
            <w:r>
              <w:rPr>
                <w:rFonts w:hint="eastAsia"/>
                <w:color w:val="auto"/>
                <w:sz w:val="18"/>
                <w:szCs w:val="18"/>
                <w:highlight w:val="none"/>
                <w:lang w:val="en-US" w:eastAsia="zh-CN"/>
              </w:rPr>
              <w:t>为</w:t>
            </w:r>
            <w:r>
              <w:rPr>
                <w:rFonts w:ascii="宋体" w:hAnsi="宋体"/>
                <w:color w:val="auto"/>
                <w:sz w:val="18"/>
                <w:szCs w:val="18"/>
                <w:highlight w:val="none"/>
              </w:rPr>
              <w:t>制动强度</w:t>
            </w:r>
          </w:p>
          <w:p>
            <w:pPr>
              <w:keepNext w:val="0"/>
              <w:keepLines w:val="0"/>
              <w:pageBreakBefore w:val="0"/>
              <w:kinsoku/>
              <w:wordWrap/>
              <w:overflowPunct/>
              <w:topLinePunct w:val="0"/>
              <w:bidi w:val="0"/>
              <w:snapToGrid/>
              <w:spacing w:line="240" w:lineRule="auto"/>
              <w:jc w:val="left"/>
              <w:textAlignment w:val="auto"/>
              <w:rPr>
                <w:rFonts w:hint="eastAsia" w:eastAsia="宋体"/>
                <w:color w:val="auto"/>
                <w:sz w:val="18"/>
                <w:szCs w:val="18"/>
                <w:highlight w:val="none"/>
                <w:lang w:eastAsia="zh-CN"/>
              </w:rPr>
            </w:pPr>
            <w:r>
              <w:rPr>
                <w:i/>
                <w:color w:val="auto"/>
                <w:sz w:val="18"/>
                <w:szCs w:val="18"/>
                <w:highlight w:val="none"/>
              </w:rPr>
              <w:t>T</w:t>
            </w:r>
            <w:r>
              <w:rPr>
                <w:i/>
                <w:color w:val="auto"/>
                <w:sz w:val="18"/>
                <w:szCs w:val="18"/>
                <w:highlight w:val="none"/>
                <w:vertAlign w:val="subscript"/>
              </w:rPr>
              <w:t>p</w:t>
            </w:r>
            <w:r>
              <w:rPr>
                <w:rFonts w:hint="eastAsia"/>
                <w:color w:val="auto"/>
                <w:sz w:val="18"/>
                <w:szCs w:val="18"/>
                <w:highlight w:val="none"/>
                <w:lang w:val="en-US" w:eastAsia="zh-CN"/>
              </w:rPr>
              <w:t>为</w:t>
            </w:r>
            <w:r>
              <w:rPr>
                <w:rFonts w:ascii="宋体" w:hAnsi="宋体"/>
                <w:color w:val="auto"/>
                <w:sz w:val="18"/>
                <w:szCs w:val="18"/>
                <w:highlight w:val="none"/>
              </w:rPr>
              <w:t>牵引力</w:t>
            </w:r>
            <w:r>
              <w:rPr>
                <w:rFonts w:hint="eastAsia" w:ascii="宋体" w:hAnsi="宋体"/>
                <w:color w:val="auto"/>
                <w:sz w:val="18"/>
                <w:szCs w:val="18"/>
                <w:highlight w:val="none"/>
                <w:lang w:eastAsia="zh-CN"/>
              </w:rPr>
              <w:t>，单位为牛（N）</w:t>
            </w:r>
          </w:p>
          <w:p>
            <w:pPr>
              <w:keepNext w:val="0"/>
              <w:keepLines w:val="0"/>
              <w:pageBreakBefore w:val="0"/>
              <w:kinsoku/>
              <w:wordWrap/>
              <w:overflowPunct/>
              <w:topLinePunct w:val="0"/>
              <w:bidi w:val="0"/>
              <w:snapToGrid/>
              <w:spacing w:line="240" w:lineRule="auto"/>
              <w:jc w:val="left"/>
              <w:textAlignment w:val="auto"/>
              <w:rPr>
                <w:color w:val="auto"/>
                <w:sz w:val="18"/>
                <w:szCs w:val="18"/>
                <w:highlight w:val="none"/>
              </w:rPr>
            </w:pPr>
            <w:r>
              <w:rPr>
                <w:i/>
                <w:color w:val="auto"/>
                <w:sz w:val="18"/>
                <w:szCs w:val="18"/>
                <w:highlight w:val="none"/>
              </w:rPr>
              <w:t>P</w:t>
            </w:r>
            <w:r>
              <w:rPr>
                <w:i/>
                <w:color w:val="auto"/>
                <w:sz w:val="18"/>
                <w:szCs w:val="18"/>
                <w:highlight w:val="none"/>
                <w:vertAlign w:val="subscript"/>
              </w:rPr>
              <w:t>u</w:t>
            </w:r>
            <w:r>
              <w:rPr>
                <w:rFonts w:hint="eastAsia"/>
                <w:color w:val="auto"/>
                <w:sz w:val="18"/>
                <w:szCs w:val="18"/>
                <w:highlight w:val="none"/>
                <w:lang w:val="en-US" w:eastAsia="zh-CN"/>
              </w:rPr>
              <w:t>为</w:t>
            </w:r>
            <w:r>
              <w:rPr>
                <w:rFonts w:ascii="宋体" w:hAnsi="宋体"/>
                <w:color w:val="auto"/>
                <w:sz w:val="18"/>
                <w:szCs w:val="18"/>
                <w:highlight w:val="none"/>
              </w:rPr>
              <w:t>整车质量</w:t>
            </w:r>
            <w:r>
              <w:rPr>
                <w:rFonts w:hint="eastAsia" w:ascii="宋体" w:hAnsi="宋体"/>
                <w:color w:val="auto"/>
                <w:sz w:val="18"/>
                <w:szCs w:val="18"/>
                <w:highlight w:val="none"/>
                <w:lang w:val="en-US" w:eastAsia="zh-CN"/>
              </w:rPr>
              <w:t>的10倍</w:t>
            </w:r>
            <w:r>
              <w:rPr>
                <w:rFonts w:hint="eastAsia" w:ascii="宋体" w:hAnsi="宋体"/>
                <w:color w:val="auto"/>
                <w:sz w:val="18"/>
                <w:szCs w:val="18"/>
                <w:highlight w:val="none"/>
                <w:lang w:eastAsia="zh-CN"/>
              </w:rPr>
              <w:t>，单位为牛（N）</w:t>
            </w:r>
          </w:p>
          <w:p>
            <w:pPr>
              <w:pStyle w:val="184"/>
              <w:keepNext w:val="0"/>
              <w:keepLines w:val="0"/>
              <w:pageBreakBefore w:val="0"/>
              <w:kinsoku/>
              <w:wordWrap/>
              <w:overflowPunct/>
              <w:topLinePunct w:val="0"/>
              <w:bidi w:val="0"/>
              <w:snapToGrid/>
              <w:spacing w:line="240" w:lineRule="auto"/>
              <w:jc w:val="left"/>
              <w:textAlignment w:val="auto"/>
              <w:rPr>
                <w:rFonts w:hint="eastAsia" w:eastAsia="宋体"/>
                <w:color w:val="auto"/>
                <w:highlight w:val="none"/>
                <w:lang w:eastAsia="zh-CN"/>
              </w:rPr>
            </w:pPr>
            <w:r>
              <w:rPr>
                <w:rFonts w:hint="eastAsia"/>
                <w:color w:val="auto"/>
                <w:sz w:val="18"/>
                <w:szCs w:val="18"/>
                <w:highlight w:val="none"/>
                <w:lang w:val="en-US" w:eastAsia="zh-CN"/>
              </w:rPr>
              <w:t>以上参数</w:t>
            </w:r>
            <w:r>
              <w:rPr>
                <w:color w:val="auto"/>
                <w:szCs w:val="18"/>
                <w:highlight w:val="none"/>
              </w:rPr>
              <w:t>保留两位小数</w:t>
            </w:r>
            <w:r>
              <w:rPr>
                <w:rFonts w:hint="eastAsia"/>
                <w:color w:val="auto"/>
                <w:szCs w:val="1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制动强度</w:t>
            </w:r>
            <w:r>
              <w:rPr>
                <w:i/>
                <w:color w:val="auto"/>
                <w:szCs w:val="18"/>
                <w:highlight w:val="none"/>
              </w:rPr>
              <w:t>z</w:t>
            </w:r>
            <w:r>
              <w:rPr>
                <w:i/>
                <w:color w:val="auto"/>
                <w:szCs w:val="18"/>
                <w:highlight w:val="none"/>
                <w:vertAlign w:val="subscript"/>
              </w:rPr>
              <w:t>p</w:t>
            </w:r>
            <w:r>
              <w:rPr>
                <w:color w:val="auto"/>
                <w:szCs w:val="18"/>
                <w:highlight w:val="none"/>
              </w:rPr>
              <w:t>（列车）</w:t>
            </w:r>
          </w:p>
        </w:tc>
        <w:tc>
          <w:tcPr>
            <w:tcW w:w="6083" w:type="dxa"/>
            <w:shd w:val="clear" w:color="auto" w:fill="auto"/>
            <w:vAlign w:val="center"/>
          </w:tcPr>
          <w:p>
            <w:pPr>
              <w:keepNext w:val="0"/>
              <w:keepLines w:val="0"/>
              <w:pageBreakBefore w:val="0"/>
              <w:kinsoku/>
              <w:wordWrap/>
              <w:overflowPunct/>
              <w:topLinePunct w:val="0"/>
              <w:bidi w:val="0"/>
              <w:snapToGrid/>
              <w:spacing w:line="240" w:lineRule="auto"/>
              <w:jc w:val="left"/>
              <w:textAlignment w:val="auto"/>
              <w:rPr>
                <w:rFonts w:hint="default"/>
                <w:i w:val="0"/>
                <w:iCs/>
                <w:color w:val="auto"/>
                <w:szCs w:val="18"/>
                <w:highlight w:val="none"/>
                <w:vertAlign w:val="baseline"/>
                <w:lang w:val="en-US" w:eastAsia="zh-CN"/>
              </w:rPr>
            </w:pPr>
            <w:r>
              <w:rPr>
                <w:rFonts w:hint="eastAsia"/>
                <w:i w:val="0"/>
                <w:iCs/>
                <w:color w:val="auto"/>
                <w:sz w:val="18"/>
                <w:szCs w:val="18"/>
                <w:highlight w:val="none"/>
                <w:lang w:val="en-US" w:eastAsia="zh-CN"/>
              </w:rPr>
              <w:t>按照公式</w:t>
            </w:r>
            <w:r>
              <w:rPr>
                <w:i/>
                <w:color w:val="auto"/>
                <w:sz w:val="18"/>
                <w:szCs w:val="18"/>
                <w:highlight w:val="none"/>
              </w:rPr>
              <w:t>z</w:t>
            </w:r>
            <w:r>
              <w:rPr>
                <w:i/>
                <w:color w:val="auto"/>
                <w:sz w:val="18"/>
                <w:szCs w:val="18"/>
                <w:highlight w:val="none"/>
                <w:vertAlign w:val="subscript"/>
              </w:rPr>
              <w:t>P</w:t>
            </w:r>
            <w:r>
              <w:rPr>
                <w:color w:val="auto"/>
                <w:sz w:val="18"/>
                <w:szCs w:val="18"/>
                <w:highlight w:val="none"/>
              </w:rPr>
              <w:t xml:space="preserve">= </w:t>
            </w:r>
            <w:r>
              <w:rPr>
                <w:i/>
                <w:color w:val="auto"/>
                <w:sz w:val="18"/>
                <w:szCs w:val="18"/>
                <w:highlight w:val="none"/>
              </w:rPr>
              <w:t>T</w:t>
            </w:r>
            <w:r>
              <w:rPr>
                <w:i/>
                <w:color w:val="auto"/>
                <w:sz w:val="18"/>
                <w:szCs w:val="18"/>
                <w:highlight w:val="none"/>
                <w:vertAlign w:val="subscript"/>
              </w:rPr>
              <w:t>P</w:t>
            </w:r>
            <w:r>
              <w:rPr>
                <w:color w:val="auto"/>
                <w:sz w:val="18"/>
                <w:szCs w:val="18"/>
                <w:highlight w:val="none"/>
              </w:rPr>
              <w:t xml:space="preserve"> /</w:t>
            </w:r>
            <w:r>
              <w:rPr>
                <w:i/>
                <w:color w:val="auto"/>
                <w:sz w:val="18"/>
                <w:szCs w:val="18"/>
                <w:highlight w:val="none"/>
              </w:rPr>
              <w:t>P</w:t>
            </w:r>
            <w:r>
              <w:rPr>
                <w:i/>
                <w:color w:val="auto"/>
                <w:sz w:val="18"/>
                <w:szCs w:val="18"/>
                <w:highlight w:val="none"/>
                <w:vertAlign w:val="subscript"/>
              </w:rPr>
              <w:t>U</w:t>
            </w:r>
            <w:r>
              <w:rPr>
                <w:rFonts w:hint="eastAsia"/>
                <w:i/>
                <w:color w:val="auto"/>
                <w:sz w:val="18"/>
                <w:szCs w:val="18"/>
                <w:highlight w:val="none"/>
                <w:vertAlign w:val="subscript"/>
                <w:lang w:val="en-US" w:eastAsia="zh-CN"/>
              </w:rPr>
              <w:t xml:space="preserve"> </w:t>
            </w:r>
            <w:r>
              <w:rPr>
                <w:rFonts w:hint="eastAsia"/>
                <w:i w:val="0"/>
                <w:iCs/>
                <w:color w:val="auto"/>
                <w:szCs w:val="18"/>
                <w:highlight w:val="none"/>
                <w:vertAlign w:val="baseline"/>
                <w:lang w:val="en-US" w:eastAsia="zh-CN"/>
              </w:rPr>
              <w:t>进行计算</w:t>
            </w:r>
          </w:p>
          <w:p>
            <w:pPr>
              <w:keepNext w:val="0"/>
              <w:keepLines w:val="0"/>
              <w:pageBreakBefore w:val="0"/>
              <w:kinsoku/>
              <w:wordWrap/>
              <w:overflowPunct/>
              <w:topLinePunct w:val="0"/>
              <w:bidi w:val="0"/>
              <w:snapToGrid/>
              <w:spacing w:line="240" w:lineRule="auto"/>
              <w:jc w:val="left"/>
              <w:textAlignment w:val="auto"/>
              <w:rPr>
                <w:color w:val="auto"/>
                <w:sz w:val="18"/>
                <w:szCs w:val="18"/>
                <w:highlight w:val="none"/>
              </w:rPr>
            </w:pPr>
            <w:r>
              <w:rPr>
                <w:rFonts w:hint="eastAsia"/>
                <w:color w:val="auto"/>
                <w:sz w:val="18"/>
                <w:szCs w:val="18"/>
                <w:highlight w:val="none"/>
                <w:lang w:val="en-US" w:eastAsia="zh-CN"/>
              </w:rPr>
              <w:t>其中</w:t>
            </w:r>
            <w:r>
              <w:rPr>
                <w:color w:val="auto"/>
                <w:sz w:val="18"/>
                <w:szCs w:val="18"/>
                <w:highlight w:val="none"/>
              </w:rPr>
              <w:t>z</w:t>
            </w:r>
            <w:r>
              <w:rPr>
                <w:color w:val="auto"/>
                <w:sz w:val="18"/>
                <w:szCs w:val="18"/>
                <w:highlight w:val="none"/>
                <w:vertAlign w:val="subscript"/>
              </w:rPr>
              <w:t>p</w:t>
            </w:r>
            <w:r>
              <w:rPr>
                <w:rFonts w:hint="eastAsia"/>
                <w:color w:val="auto"/>
                <w:sz w:val="18"/>
                <w:szCs w:val="18"/>
                <w:highlight w:val="none"/>
                <w:lang w:val="en-US" w:eastAsia="zh-CN"/>
              </w:rPr>
              <w:t>为</w:t>
            </w:r>
            <w:r>
              <w:rPr>
                <w:rFonts w:ascii="宋体" w:hAnsi="宋体"/>
                <w:color w:val="auto"/>
                <w:sz w:val="18"/>
                <w:szCs w:val="18"/>
                <w:highlight w:val="none"/>
              </w:rPr>
              <w:t>制动强度</w:t>
            </w:r>
          </w:p>
          <w:p>
            <w:pPr>
              <w:keepNext w:val="0"/>
              <w:keepLines w:val="0"/>
              <w:pageBreakBefore w:val="0"/>
              <w:kinsoku/>
              <w:wordWrap/>
              <w:overflowPunct/>
              <w:topLinePunct w:val="0"/>
              <w:bidi w:val="0"/>
              <w:snapToGrid/>
              <w:spacing w:line="240" w:lineRule="auto"/>
              <w:jc w:val="left"/>
              <w:textAlignment w:val="auto"/>
              <w:rPr>
                <w:rFonts w:hint="eastAsia" w:eastAsia="宋体"/>
                <w:color w:val="auto"/>
                <w:sz w:val="18"/>
                <w:szCs w:val="18"/>
                <w:highlight w:val="none"/>
                <w:lang w:eastAsia="zh-CN"/>
              </w:rPr>
            </w:pPr>
            <w:r>
              <w:rPr>
                <w:i/>
                <w:color w:val="auto"/>
                <w:sz w:val="18"/>
                <w:szCs w:val="18"/>
                <w:highlight w:val="none"/>
              </w:rPr>
              <w:t>T</w:t>
            </w:r>
            <w:r>
              <w:rPr>
                <w:i/>
                <w:color w:val="auto"/>
                <w:sz w:val="18"/>
                <w:szCs w:val="18"/>
                <w:highlight w:val="none"/>
                <w:vertAlign w:val="subscript"/>
              </w:rPr>
              <w:t>p</w:t>
            </w:r>
            <w:r>
              <w:rPr>
                <w:rFonts w:hint="eastAsia"/>
                <w:color w:val="auto"/>
                <w:sz w:val="18"/>
                <w:szCs w:val="18"/>
                <w:highlight w:val="none"/>
                <w:lang w:val="en-US" w:eastAsia="zh-CN"/>
              </w:rPr>
              <w:t>为</w:t>
            </w:r>
            <w:r>
              <w:rPr>
                <w:rFonts w:ascii="宋体" w:hAnsi="宋体"/>
                <w:color w:val="auto"/>
                <w:sz w:val="18"/>
                <w:szCs w:val="18"/>
                <w:highlight w:val="none"/>
              </w:rPr>
              <w:t>牵引力</w:t>
            </w:r>
            <w:r>
              <w:rPr>
                <w:rFonts w:hint="eastAsia" w:ascii="宋体" w:hAnsi="宋体"/>
                <w:color w:val="auto"/>
                <w:sz w:val="18"/>
                <w:szCs w:val="18"/>
                <w:highlight w:val="none"/>
                <w:lang w:eastAsia="zh-CN"/>
              </w:rPr>
              <w:t>，单位为牛（N）</w:t>
            </w:r>
          </w:p>
          <w:p>
            <w:pPr>
              <w:keepNext w:val="0"/>
              <w:keepLines w:val="0"/>
              <w:pageBreakBefore w:val="0"/>
              <w:kinsoku/>
              <w:wordWrap/>
              <w:overflowPunct/>
              <w:topLinePunct w:val="0"/>
              <w:bidi w:val="0"/>
              <w:snapToGrid/>
              <w:spacing w:line="240" w:lineRule="auto"/>
              <w:jc w:val="left"/>
              <w:textAlignment w:val="auto"/>
              <w:rPr>
                <w:color w:val="auto"/>
                <w:sz w:val="18"/>
                <w:szCs w:val="18"/>
                <w:highlight w:val="none"/>
              </w:rPr>
            </w:pPr>
            <w:r>
              <w:rPr>
                <w:i/>
                <w:color w:val="auto"/>
                <w:sz w:val="18"/>
                <w:szCs w:val="18"/>
                <w:highlight w:val="none"/>
              </w:rPr>
              <w:t>P</w:t>
            </w:r>
            <w:r>
              <w:rPr>
                <w:i/>
                <w:color w:val="auto"/>
                <w:sz w:val="18"/>
                <w:szCs w:val="18"/>
                <w:highlight w:val="none"/>
                <w:vertAlign w:val="subscript"/>
              </w:rPr>
              <w:t>u</w:t>
            </w:r>
            <w:r>
              <w:rPr>
                <w:rFonts w:hint="eastAsia"/>
                <w:color w:val="auto"/>
                <w:sz w:val="18"/>
                <w:szCs w:val="18"/>
                <w:highlight w:val="none"/>
                <w:lang w:val="en-US" w:eastAsia="zh-CN"/>
              </w:rPr>
              <w:t>为</w:t>
            </w:r>
            <w:r>
              <w:rPr>
                <w:rFonts w:ascii="宋体" w:hAnsi="宋体"/>
                <w:color w:val="auto"/>
                <w:sz w:val="18"/>
                <w:szCs w:val="18"/>
                <w:highlight w:val="none"/>
              </w:rPr>
              <w:t>整车质量</w:t>
            </w:r>
            <w:r>
              <w:rPr>
                <w:rFonts w:hint="eastAsia" w:ascii="宋体" w:hAnsi="宋体"/>
                <w:color w:val="auto"/>
                <w:sz w:val="18"/>
                <w:szCs w:val="18"/>
                <w:highlight w:val="none"/>
                <w:lang w:val="en-US" w:eastAsia="zh-CN"/>
              </w:rPr>
              <w:t>的10倍</w:t>
            </w:r>
            <w:r>
              <w:rPr>
                <w:rFonts w:hint="eastAsia" w:ascii="宋体" w:hAnsi="宋体"/>
                <w:color w:val="auto"/>
                <w:sz w:val="18"/>
                <w:szCs w:val="18"/>
                <w:highlight w:val="none"/>
                <w:lang w:eastAsia="zh-CN"/>
              </w:rPr>
              <w:t>，单位为牛（N）</w:t>
            </w:r>
          </w:p>
          <w:p>
            <w:pPr>
              <w:pStyle w:val="184"/>
              <w:jc w:val="left"/>
              <w:rPr>
                <w:color w:val="auto"/>
                <w:highlight w:val="none"/>
              </w:rPr>
            </w:pPr>
            <w:r>
              <w:rPr>
                <w:rFonts w:hint="eastAsia"/>
                <w:color w:val="auto"/>
                <w:sz w:val="18"/>
                <w:szCs w:val="18"/>
                <w:highlight w:val="none"/>
                <w:lang w:val="en-US" w:eastAsia="zh-CN"/>
              </w:rPr>
              <w:t>以上参数</w:t>
            </w:r>
            <w:r>
              <w:rPr>
                <w:color w:val="auto"/>
                <w:szCs w:val="18"/>
                <w:highlight w:val="none"/>
              </w:rPr>
              <w:t>保留两位小数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响应时间</w:t>
            </w:r>
          </w:p>
        </w:tc>
        <w:tc>
          <w:tcPr>
            <w:tcW w:w="6083" w:type="dxa"/>
            <w:shd w:val="clear" w:color="auto" w:fill="auto"/>
            <w:vAlign w:val="center"/>
          </w:tcPr>
          <w:p>
            <w:pPr>
              <w:pStyle w:val="184"/>
              <w:jc w:val="left"/>
              <w:rPr>
                <w:color w:val="auto"/>
                <w:highlight w:val="none"/>
              </w:rPr>
            </w:pPr>
            <w:r>
              <w:rPr>
                <w:color w:val="auto"/>
                <w:szCs w:val="18"/>
                <w:highlight w:val="none"/>
              </w:rPr>
              <w:t>保留一位小数（</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制动压力与制动力的转换</w:t>
            </w:r>
          </w:p>
        </w:tc>
        <w:tc>
          <w:tcPr>
            <w:tcW w:w="6083" w:type="dxa"/>
            <w:shd w:val="clear" w:color="auto" w:fill="auto"/>
            <w:vAlign w:val="center"/>
          </w:tcPr>
          <w:p>
            <w:pPr>
              <w:keepNext w:val="0"/>
              <w:keepLines w:val="0"/>
              <w:pageBreakBefore w:val="0"/>
              <w:kinsoku/>
              <w:wordWrap/>
              <w:overflowPunct/>
              <w:topLinePunct w:val="0"/>
              <w:bidi w:val="0"/>
              <w:adjustRightInd/>
              <w:snapToGrid/>
              <w:spacing w:line="240" w:lineRule="auto"/>
              <w:jc w:val="left"/>
              <w:textAlignment w:val="auto"/>
              <w:rPr>
                <w:rFonts w:hint="default" w:eastAsia="宋体"/>
                <w:color w:val="auto"/>
                <w:sz w:val="18"/>
                <w:szCs w:val="18"/>
                <w:highlight w:val="none"/>
                <w:lang w:val="en-US" w:eastAsia="zh-CN"/>
              </w:rPr>
            </w:pPr>
            <w:r>
              <w:rPr>
                <w:rFonts w:hint="eastAsia" w:ascii="宋体" w:hAnsi="Times New Roman" w:eastAsia="宋体" w:cs="Times New Roman"/>
                <w:color w:val="auto"/>
                <w:kern w:val="0"/>
                <w:sz w:val="18"/>
                <w:szCs w:val="18"/>
                <w:highlight w:val="none"/>
                <w:lang w:val="en-US" w:eastAsia="zh-CN" w:bidi="ar-SA"/>
              </w:rPr>
              <w:t>按照公式</w:t>
            </w:r>
            <w:r>
              <w:rPr>
                <w:i/>
                <w:color w:val="auto"/>
                <w:sz w:val="18"/>
                <w:szCs w:val="18"/>
                <w:highlight w:val="none"/>
              </w:rPr>
              <w:t>B</w:t>
            </w:r>
            <w:r>
              <w:rPr>
                <w:color w:val="auto"/>
                <w:sz w:val="18"/>
                <w:szCs w:val="18"/>
                <w:highlight w:val="none"/>
              </w:rPr>
              <w:t>=</w:t>
            </w:r>
            <w:r>
              <w:rPr>
                <w:i/>
                <w:color w:val="auto"/>
                <w:sz w:val="18"/>
                <w:szCs w:val="18"/>
                <w:highlight w:val="none"/>
              </w:rPr>
              <w:t>P·</w:t>
            </w:r>
            <w:r>
              <w:rPr>
                <w:color w:val="auto"/>
                <w:sz w:val="18"/>
                <w:szCs w:val="18"/>
                <w:highlight w:val="none"/>
              </w:rPr>
              <w:t>π</w:t>
            </w:r>
            <w:r>
              <w:rPr>
                <w:i/>
                <w:color w:val="auto"/>
                <w:sz w:val="18"/>
                <w:szCs w:val="18"/>
                <w:highlight w:val="none"/>
              </w:rPr>
              <w:t>·D</w:t>
            </w:r>
            <w:r>
              <w:rPr>
                <w:i/>
                <w:color w:val="auto"/>
                <w:sz w:val="18"/>
                <w:szCs w:val="18"/>
                <w:highlight w:val="none"/>
                <w:vertAlign w:val="subscript"/>
              </w:rPr>
              <w:t>w</w:t>
            </w:r>
            <w:r>
              <w:rPr>
                <w:color w:val="auto"/>
                <w:sz w:val="18"/>
                <w:szCs w:val="18"/>
                <w:highlight w:val="none"/>
                <w:vertAlign w:val="superscript"/>
              </w:rPr>
              <w:t>2</w:t>
            </w:r>
            <w:r>
              <w:rPr>
                <w:i/>
                <w:color w:val="auto"/>
                <w:sz w:val="18"/>
                <w:szCs w:val="18"/>
                <w:highlight w:val="none"/>
              </w:rPr>
              <w:t>·BEF·r</w:t>
            </w:r>
            <w:r>
              <w:rPr>
                <w:color w:val="auto"/>
                <w:sz w:val="18"/>
                <w:szCs w:val="18"/>
                <w:highlight w:val="none"/>
              </w:rPr>
              <w:t>/(4·</w:t>
            </w:r>
            <w:r>
              <w:rPr>
                <w:i/>
                <w:color w:val="auto"/>
                <w:sz w:val="18"/>
                <w:szCs w:val="18"/>
                <w:highlight w:val="none"/>
              </w:rPr>
              <w:t>R</w:t>
            </w:r>
            <w:r>
              <w:rPr>
                <w:color w:val="auto"/>
                <w:sz w:val="18"/>
                <w:szCs w:val="18"/>
                <w:highlight w:val="none"/>
              </w:rPr>
              <w:t>)</w:t>
            </w:r>
            <w:r>
              <w:rPr>
                <w:rFonts w:hint="eastAsia"/>
                <w:color w:val="auto"/>
                <w:sz w:val="18"/>
                <w:szCs w:val="18"/>
                <w:highlight w:val="none"/>
                <w:lang w:val="en-US" w:eastAsia="zh-CN"/>
              </w:rPr>
              <w:t xml:space="preserve"> 进行计算</w:t>
            </w:r>
          </w:p>
          <w:p>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olor w:val="auto"/>
                <w:sz w:val="18"/>
                <w:szCs w:val="18"/>
                <w:highlight w:val="none"/>
                <w:lang w:eastAsia="zh-CN"/>
              </w:rPr>
            </w:pPr>
            <w:r>
              <w:rPr>
                <w:rFonts w:hint="eastAsia" w:ascii="宋体" w:hAnsi="Times New Roman" w:eastAsia="宋体" w:cs="Times New Roman"/>
                <w:color w:val="auto"/>
                <w:kern w:val="0"/>
                <w:sz w:val="18"/>
                <w:szCs w:val="18"/>
                <w:highlight w:val="none"/>
                <w:lang w:val="en-US" w:eastAsia="zh-CN" w:bidi="ar-SA"/>
              </w:rPr>
              <w:t>式中</w:t>
            </w:r>
            <w:r>
              <w:rPr>
                <w:i/>
                <w:color w:val="auto"/>
                <w:sz w:val="18"/>
                <w:szCs w:val="18"/>
                <w:highlight w:val="none"/>
              </w:rPr>
              <w:t>B</w:t>
            </w:r>
            <w:r>
              <w:rPr>
                <w:rFonts w:hint="eastAsia"/>
                <w:color w:val="auto"/>
                <w:sz w:val="18"/>
                <w:szCs w:val="18"/>
                <w:highlight w:val="none"/>
                <w:lang w:val="en-US" w:eastAsia="zh-CN"/>
              </w:rPr>
              <w:t>为</w:t>
            </w:r>
            <w:r>
              <w:rPr>
                <w:color w:val="auto"/>
                <w:sz w:val="18"/>
                <w:szCs w:val="18"/>
                <w:highlight w:val="none"/>
              </w:rPr>
              <w:t>制动力</w:t>
            </w:r>
            <w:r>
              <w:rPr>
                <w:rFonts w:hint="eastAsia"/>
                <w:color w:val="auto"/>
                <w:sz w:val="18"/>
                <w:szCs w:val="18"/>
                <w:highlight w:val="none"/>
                <w:lang w:eastAsia="zh-CN"/>
              </w:rPr>
              <w:t>，</w:t>
            </w:r>
            <w:r>
              <w:rPr>
                <w:rFonts w:hint="eastAsia" w:ascii="宋体" w:hAnsi="宋体"/>
                <w:color w:val="auto"/>
                <w:sz w:val="18"/>
                <w:szCs w:val="18"/>
                <w:highlight w:val="none"/>
                <w:lang w:eastAsia="zh-CN"/>
              </w:rPr>
              <w:t>单位为牛（N）</w:t>
            </w:r>
          </w:p>
          <w:p>
            <w:pPr>
              <w:keepNext w:val="0"/>
              <w:keepLines w:val="0"/>
              <w:pageBreakBefore w:val="0"/>
              <w:kinsoku/>
              <w:wordWrap/>
              <w:overflowPunct/>
              <w:topLinePunct w:val="0"/>
              <w:bidi w:val="0"/>
              <w:adjustRightInd/>
              <w:snapToGrid/>
              <w:spacing w:line="240" w:lineRule="auto"/>
              <w:jc w:val="left"/>
              <w:textAlignment w:val="auto"/>
              <w:rPr>
                <w:rFonts w:hint="eastAsia" w:ascii="宋体" w:hAnsi="Times New Roman" w:eastAsia="宋体" w:cs="Times New Roman"/>
                <w:color w:val="auto"/>
                <w:kern w:val="0"/>
                <w:sz w:val="18"/>
                <w:szCs w:val="18"/>
                <w:highlight w:val="none"/>
                <w:lang w:val="en-US" w:eastAsia="zh-CN" w:bidi="ar-SA"/>
              </w:rPr>
            </w:pPr>
            <w:r>
              <w:rPr>
                <w:i/>
                <w:color w:val="auto"/>
                <w:sz w:val="18"/>
                <w:szCs w:val="18"/>
                <w:highlight w:val="none"/>
              </w:rPr>
              <w:t>P</w:t>
            </w:r>
            <w:r>
              <w:rPr>
                <w:rFonts w:hint="eastAsia"/>
                <w:color w:val="auto"/>
                <w:sz w:val="18"/>
                <w:szCs w:val="18"/>
                <w:highlight w:val="none"/>
                <w:lang w:val="en-US" w:eastAsia="zh-CN"/>
              </w:rPr>
              <w:t>为</w:t>
            </w:r>
            <w:r>
              <w:rPr>
                <w:color w:val="auto"/>
                <w:sz w:val="18"/>
                <w:szCs w:val="18"/>
                <w:highlight w:val="none"/>
              </w:rPr>
              <w:t>制动管路压力</w:t>
            </w:r>
            <w:r>
              <w:rPr>
                <w:rFonts w:hint="eastAsia"/>
                <w:color w:val="auto"/>
                <w:sz w:val="18"/>
                <w:szCs w:val="18"/>
                <w:highlight w:val="none"/>
                <w:lang w:eastAsia="zh-CN"/>
              </w:rPr>
              <w:t>，</w:t>
            </w:r>
            <w:r>
              <w:rPr>
                <w:rFonts w:hint="eastAsia"/>
                <w:color w:val="auto"/>
                <w:sz w:val="18"/>
                <w:szCs w:val="18"/>
                <w:highlight w:val="none"/>
                <w:lang w:val="en-US" w:eastAsia="zh-CN"/>
              </w:rPr>
              <w:t>单位</w:t>
            </w:r>
            <w:r>
              <w:rPr>
                <w:rFonts w:hint="eastAsia" w:ascii="宋体" w:hAnsi="Times New Roman" w:eastAsia="宋体" w:cs="Times New Roman"/>
                <w:color w:val="auto"/>
                <w:kern w:val="0"/>
                <w:sz w:val="18"/>
                <w:szCs w:val="18"/>
                <w:highlight w:val="none"/>
                <w:lang w:val="en-US" w:eastAsia="zh-CN" w:bidi="ar-SA"/>
              </w:rPr>
              <w:t>为兆帕（MPa）</w:t>
            </w:r>
          </w:p>
          <w:p>
            <w:pPr>
              <w:keepNext w:val="0"/>
              <w:keepLines w:val="0"/>
              <w:pageBreakBefore w:val="0"/>
              <w:kinsoku/>
              <w:wordWrap/>
              <w:overflowPunct/>
              <w:topLinePunct w:val="0"/>
              <w:bidi w:val="0"/>
              <w:adjustRightInd/>
              <w:snapToGrid/>
              <w:spacing w:line="240" w:lineRule="auto"/>
              <w:jc w:val="left"/>
              <w:textAlignment w:val="auto"/>
              <w:rPr>
                <w:color w:val="auto"/>
                <w:sz w:val="18"/>
                <w:szCs w:val="18"/>
                <w:highlight w:val="none"/>
              </w:rPr>
            </w:pPr>
            <w:r>
              <w:rPr>
                <w:color w:val="auto"/>
                <w:sz w:val="18"/>
                <w:szCs w:val="18"/>
                <w:highlight w:val="none"/>
              </w:rPr>
              <w:t>π</w:t>
            </w:r>
            <w:r>
              <w:rPr>
                <w:rFonts w:hint="eastAsia" w:ascii="宋体" w:hAnsi="宋体"/>
                <w:color w:val="auto"/>
                <w:sz w:val="18"/>
                <w:szCs w:val="18"/>
                <w:highlight w:val="none"/>
                <w:lang w:val="en-US" w:eastAsia="zh-CN"/>
              </w:rPr>
              <w:t>取</w:t>
            </w:r>
            <w:r>
              <w:rPr>
                <w:rFonts w:cs="Calibri"/>
                <w:color w:val="auto"/>
                <w:sz w:val="18"/>
                <w:szCs w:val="18"/>
                <w:highlight w:val="none"/>
              </w:rPr>
              <w:t>3.1416</w:t>
            </w:r>
          </w:p>
          <w:p>
            <w:pPr>
              <w:keepNext w:val="0"/>
              <w:keepLines w:val="0"/>
              <w:pageBreakBefore w:val="0"/>
              <w:kinsoku/>
              <w:wordWrap/>
              <w:overflowPunct/>
              <w:topLinePunct w:val="0"/>
              <w:bidi w:val="0"/>
              <w:adjustRightInd/>
              <w:snapToGrid/>
              <w:spacing w:line="240" w:lineRule="auto"/>
              <w:jc w:val="left"/>
              <w:textAlignment w:val="auto"/>
              <w:rPr>
                <w:rFonts w:hint="eastAsia" w:ascii="宋体" w:hAnsi="Times New Roman" w:eastAsia="宋体" w:cs="Times New Roman"/>
                <w:color w:val="auto"/>
                <w:kern w:val="0"/>
                <w:sz w:val="18"/>
                <w:szCs w:val="18"/>
                <w:highlight w:val="none"/>
                <w:lang w:val="en-US" w:eastAsia="zh-CN" w:bidi="ar-SA"/>
              </w:rPr>
            </w:pPr>
            <w:r>
              <w:rPr>
                <w:i/>
                <w:color w:val="auto"/>
                <w:sz w:val="18"/>
                <w:szCs w:val="18"/>
                <w:highlight w:val="none"/>
              </w:rPr>
              <w:t>D</w:t>
            </w:r>
            <w:r>
              <w:rPr>
                <w:i/>
                <w:color w:val="auto"/>
                <w:sz w:val="18"/>
                <w:szCs w:val="18"/>
                <w:highlight w:val="none"/>
                <w:vertAlign w:val="subscript"/>
              </w:rPr>
              <w:t>w</w:t>
            </w:r>
            <w:r>
              <w:rPr>
                <w:rFonts w:hint="eastAsia"/>
                <w:color w:val="auto"/>
                <w:sz w:val="18"/>
                <w:szCs w:val="18"/>
                <w:highlight w:val="none"/>
                <w:lang w:val="en-US" w:eastAsia="zh-CN"/>
              </w:rPr>
              <w:t>为</w:t>
            </w:r>
            <w:r>
              <w:rPr>
                <w:color w:val="auto"/>
                <w:sz w:val="18"/>
                <w:szCs w:val="18"/>
                <w:highlight w:val="none"/>
              </w:rPr>
              <w:t>轮缸内径</w:t>
            </w:r>
            <w:r>
              <w:rPr>
                <w:rFonts w:hint="eastAsia"/>
                <w:color w:val="auto"/>
                <w:sz w:val="18"/>
                <w:szCs w:val="18"/>
                <w:highlight w:val="none"/>
                <w:lang w:eastAsia="zh-CN"/>
              </w:rPr>
              <w:t>，</w:t>
            </w:r>
            <w:r>
              <w:rPr>
                <w:rFonts w:hint="eastAsia"/>
                <w:color w:val="auto"/>
                <w:sz w:val="18"/>
                <w:szCs w:val="18"/>
                <w:highlight w:val="none"/>
                <w:lang w:val="en-US" w:eastAsia="zh-CN"/>
              </w:rPr>
              <w:t>单位</w:t>
            </w:r>
            <w:r>
              <w:rPr>
                <w:rFonts w:hint="eastAsia" w:ascii="宋体" w:hAnsi="Times New Roman" w:eastAsia="宋体" w:cs="Times New Roman"/>
                <w:color w:val="auto"/>
                <w:kern w:val="0"/>
                <w:sz w:val="18"/>
                <w:szCs w:val="18"/>
                <w:highlight w:val="none"/>
                <w:lang w:val="en-US" w:eastAsia="zh-CN" w:bidi="ar-SA"/>
              </w:rPr>
              <w:t>为毫米（mm）</w:t>
            </w:r>
          </w:p>
          <w:p>
            <w:pPr>
              <w:keepNext w:val="0"/>
              <w:keepLines w:val="0"/>
              <w:pageBreakBefore w:val="0"/>
              <w:kinsoku/>
              <w:wordWrap/>
              <w:overflowPunct/>
              <w:topLinePunct w:val="0"/>
              <w:bidi w:val="0"/>
              <w:adjustRightInd/>
              <w:snapToGrid/>
              <w:spacing w:line="240" w:lineRule="auto"/>
              <w:jc w:val="left"/>
              <w:textAlignment w:val="auto"/>
              <w:rPr>
                <w:color w:val="auto"/>
                <w:sz w:val="18"/>
                <w:szCs w:val="18"/>
                <w:highlight w:val="none"/>
              </w:rPr>
            </w:pPr>
            <w:r>
              <w:rPr>
                <w:i/>
                <w:color w:val="auto"/>
                <w:sz w:val="18"/>
                <w:szCs w:val="18"/>
                <w:highlight w:val="none"/>
              </w:rPr>
              <w:t>BEF</w:t>
            </w:r>
            <w:r>
              <w:rPr>
                <w:rFonts w:hint="eastAsia"/>
                <w:color w:val="auto"/>
                <w:sz w:val="18"/>
                <w:szCs w:val="18"/>
                <w:highlight w:val="none"/>
                <w:lang w:val="en-US" w:eastAsia="zh-CN"/>
              </w:rPr>
              <w:t>为</w:t>
            </w:r>
            <w:r>
              <w:rPr>
                <w:color w:val="auto"/>
                <w:sz w:val="18"/>
                <w:szCs w:val="18"/>
                <w:highlight w:val="none"/>
              </w:rPr>
              <w:t>制动</w:t>
            </w:r>
            <w:r>
              <w:rPr>
                <w:rFonts w:hint="eastAsia"/>
                <w:color w:val="auto"/>
                <w:sz w:val="18"/>
                <w:szCs w:val="18"/>
                <w:highlight w:val="none"/>
              </w:rPr>
              <w:t>器因数</w:t>
            </w:r>
          </w:p>
          <w:p>
            <w:pPr>
              <w:keepNext w:val="0"/>
              <w:keepLines w:val="0"/>
              <w:pageBreakBefore w:val="0"/>
              <w:kinsoku/>
              <w:wordWrap/>
              <w:overflowPunct/>
              <w:topLinePunct w:val="0"/>
              <w:bidi w:val="0"/>
              <w:adjustRightInd/>
              <w:snapToGrid/>
              <w:spacing w:line="240" w:lineRule="auto"/>
              <w:jc w:val="left"/>
              <w:textAlignment w:val="auto"/>
              <w:rPr>
                <w:rFonts w:hint="eastAsia" w:ascii="宋体" w:hAnsi="Times New Roman" w:eastAsia="宋体" w:cs="Times New Roman"/>
                <w:color w:val="auto"/>
                <w:kern w:val="0"/>
                <w:sz w:val="18"/>
                <w:szCs w:val="18"/>
                <w:highlight w:val="none"/>
                <w:lang w:val="en-US" w:eastAsia="zh-CN" w:bidi="ar-SA"/>
              </w:rPr>
            </w:pPr>
            <w:r>
              <w:rPr>
                <w:i/>
                <w:color w:val="auto"/>
                <w:sz w:val="18"/>
                <w:szCs w:val="18"/>
                <w:highlight w:val="none"/>
              </w:rPr>
              <w:t>r</w:t>
            </w:r>
            <w:r>
              <w:rPr>
                <w:rFonts w:hint="eastAsia"/>
                <w:color w:val="auto"/>
                <w:sz w:val="18"/>
                <w:szCs w:val="18"/>
                <w:highlight w:val="none"/>
                <w:lang w:val="en-US" w:eastAsia="zh-CN"/>
              </w:rPr>
              <w:t>为</w:t>
            </w:r>
            <w:r>
              <w:rPr>
                <w:color w:val="auto"/>
                <w:sz w:val="18"/>
                <w:szCs w:val="18"/>
                <w:highlight w:val="none"/>
              </w:rPr>
              <w:t>制动器有效半径</w:t>
            </w:r>
            <w:r>
              <w:rPr>
                <w:rFonts w:hint="eastAsia"/>
                <w:color w:val="auto"/>
                <w:sz w:val="18"/>
                <w:szCs w:val="18"/>
                <w:highlight w:val="none"/>
                <w:lang w:eastAsia="zh-CN"/>
              </w:rPr>
              <w:t>，</w:t>
            </w:r>
            <w:r>
              <w:rPr>
                <w:rFonts w:hint="eastAsia"/>
                <w:color w:val="auto"/>
                <w:sz w:val="18"/>
                <w:szCs w:val="18"/>
                <w:highlight w:val="none"/>
                <w:lang w:val="en-US" w:eastAsia="zh-CN"/>
              </w:rPr>
              <w:t>单</w:t>
            </w:r>
            <w:r>
              <w:rPr>
                <w:rFonts w:hint="eastAsia" w:ascii="宋体" w:hAnsi="Times New Roman" w:eastAsia="宋体" w:cs="Times New Roman"/>
                <w:color w:val="auto"/>
                <w:kern w:val="0"/>
                <w:sz w:val="18"/>
                <w:szCs w:val="18"/>
                <w:highlight w:val="none"/>
                <w:lang w:val="en-US" w:eastAsia="zh-CN" w:bidi="ar-SA"/>
              </w:rPr>
              <w:t>位为毫米（mm）</w:t>
            </w:r>
          </w:p>
          <w:p>
            <w:pPr>
              <w:keepNext w:val="0"/>
              <w:keepLines w:val="0"/>
              <w:pageBreakBefore w:val="0"/>
              <w:kinsoku/>
              <w:wordWrap/>
              <w:overflowPunct/>
              <w:topLinePunct w:val="0"/>
              <w:bidi w:val="0"/>
              <w:adjustRightInd/>
              <w:snapToGrid/>
              <w:spacing w:line="240" w:lineRule="auto"/>
              <w:jc w:val="left"/>
              <w:textAlignment w:val="auto"/>
              <w:rPr>
                <w:rFonts w:hint="eastAsia" w:ascii="宋体" w:hAnsi="Times New Roman" w:eastAsia="宋体" w:cs="Times New Roman"/>
                <w:color w:val="auto"/>
                <w:kern w:val="0"/>
                <w:sz w:val="18"/>
                <w:szCs w:val="18"/>
                <w:highlight w:val="none"/>
                <w:lang w:val="en-US" w:eastAsia="zh-CN" w:bidi="ar-SA"/>
              </w:rPr>
            </w:pPr>
            <w:r>
              <w:rPr>
                <w:i/>
                <w:color w:val="auto"/>
                <w:sz w:val="18"/>
                <w:szCs w:val="18"/>
                <w:highlight w:val="none"/>
              </w:rPr>
              <w:t>R</w:t>
            </w:r>
            <w:r>
              <w:rPr>
                <w:rFonts w:hint="eastAsia"/>
                <w:color w:val="auto"/>
                <w:sz w:val="18"/>
                <w:szCs w:val="18"/>
                <w:highlight w:val="none"/>
                <w:lang w:val="en-US" w:eastAsia="zh-CN"/>
              </w:rPr>
              <w:t>为</w:t>
            </w:r>
            <w:r>
              <w:rPr>
                <w:color w:val="auto"/>
                <w:sz w:val="18"/>
                <w:szCs w:val="18"/>
                <w:highlight w:val="none"/>
              </w:rPr>
              <w:t>轮胎</w:t>
            </w:r>
            <w:r>
              <w:rPr>
                <w:rFonts w:hint="eastAsia"/>
                <w:color w:val="auto"/>
                <w:sz w:val="18"/>
                <w:szCs w:val="18"/>
                <w:highlight w:val="none"/>
              </w:rPr>
              <w:t>滚动</w:t>
            </w:r>
            <w:r>
              <w:rPr>
                <w:color w:val="auto"/>
                <w:sz w:val="18"/>
                <w:szCs w:val="18"/>
                <w:highlight w:val="none"/>
              </w:rPr>
              <w:t>半径</w:t>
            </w:r>
            <w:r>
              <w:rPr>
                <w:rFonts w:hint="eastAsia"/>
                <w:color w:val="auto"/>
                <w:sz w:val="18"/>
                <w:szCs w:val="18"/>
                <w:highlight w:val="none"/>
                <w:lang w:eastAsia="zh-CN"/>
              </w:rPr>
              <w:t>，</w:t>
            </w:r>
            <w:r>
              <w:rPr>
                <w:rFonts w:hint="eastAsia"/>
                <w:color w:val="auto"/>
                <w:sz w:val="18"/>
                <w:szCs w:val="18"/>
                <w:highlight w:val="none"/>
                <w:lang w:val="en-US" w:eastAsia="zh-CN"/>
              </w:rPr>
              <w:t>单</w:t>
            </w:r>
            <w:r>
              <w:rPr>
                <w:rFonts w:hint="eastAsia" w:ascii="宋体" w:hAnsi="Times New Roman" w:eastAsia="宋体" w:cs="Times New Roman"/>
                <w:color w:val="auto"/>
                <w:kern w:val="0"/>
                <w:sz w:val="18"/>
                <w:szCs w:val="18"/>
                <w:highlight w:val="none"/>
                <w:lang w:val="en-US" w:eastAsia="zh-CN" w:bidi="ar-SA"/>
              </w:rPr>
              <w:t>位为毫米（mm）</w:t>
            </w:r>
          </w:p>
          <w:p>
            <w:pPr>
              <w:pStyle w:val="184"/>
              <w:keepNext w:val="0"/>
              <w:keepLines w:val="0"/>
              <w:pageBreakBefore w:val="0"/>
              <w:kinsoku/>
              <w:wordWrap/>
              <w:overflowPunct/>
              <w:topLinePunct w:val="0"/>
              <w:bidi w:val="0"/>
              <w:adjustRightInd/>
              <w:snapToGrid/>
              <w:spacing w:line="240" w:lineRule="auto"/>
              <w:jc w:val="left"/>
              <w:textAlignment w:val="auto"/>
              <w:rPr>
                <w:rFonts w:hint="eastAsia" w:eastAsia="宋体"/>
                <w:color w:val="auto"/>
                <w:highlight w:val="none"/>
                <w:lang w:eastAsia="zh-CN"/>
              </w:rPr>
            </w:pPr>
            <w:r>
              <w:rPr>
                <w:rFonts w:hint="eastAsia"/>
                <w:color w:val="auto"/>
                <w:szCs w:val="18"/>
                <w:highlight w:val="none"/>
                <w:lang w:val="en-US" w:eastAsia="zh-CN"/>
              </w:rPr>
              <w:t>以上参数均</w:t>
            </w:r>
            <w:r>
              <w:rPr>
                <w:color w:val="auto"/>
                <w:szCs w:val="18"/>
                <w:highlight w:val="none"/>
              </w:rPr>
              <w:t>取整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达到截止压力的时间</w:t>
            </w:r>
          </w:p>
        </w:tc>
        <w:tc>
          <w:tcPr>
            <w:tcW w:w="6083" w:type="dxa"/>
            <w:shd w:val="clear" w:color="auto" w:fill="auto"/>
            <w:vAlign w:val="center"/>
          </w:tcPr>
          <w:p>
            <w:pPr>
              <w:pStyle w:val="184"/>
              <w:jc w:val="left"/>
              <w:rPr>
                <w:color w:val="auto"/>
                <w:highlight w:val="none"/>
              </w:rPr>
            </w:pPr>
            <w:r>
              <w:rPr>
                <w:color w:val="auto"/>
                <w:szCs w:val="18"/>
                <w:highlight w:val="none"/>
              </w:rPr>
              <w:t>保留一位小数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发动机转速</w:t>
            </w:r>
          </w:p>
        </w:tc>
        <w:tc>
          <w:tcPr>
            <w:tcW w:w="6083" w:type="dxa"/>
            <w:shd w:val="clear" w:color="auto" w:fill="auto"/>
            <w:vAlign w:val="center"/>
          </w:tcPr>
          <w:p>
            <w:pPr>
              <w:pStyle w:val="184"/>
              <w:jc w:val="left"/>
              <w:rPr>
                <w:color w:val="auto"/>
                <w:highlight w:val="none"/>
              </w:rPr>
            </w:pPr>
            <w:r>
              <w:rPr>
                <w:color w:val="auto"/>
                <w:szCs w:val="18"/>
                <w:highlight w:val="none"/>
              </w:rPr>
              <w:t>以</w:t>
            </w:r>
            <w:r>
              <w:rPr>
                <w:rFonts w:cs="Calibri"/>
                <w:color w:val="auto"/>
                <w:szCs w:val="18"/>
                <w:highlight w:val="none"/>
              </w:rPr>
              <w:t>100</w:t>
            </w:r>
            <w:r>
              <w:rPr>
                <w:rFonts w:hAnsi="宋体"/>
                <w:color w:val="auto"/>
                <w:szCs w:val="18"/>
                <w:highlight w:val="none"/>
              </w:rPr>
              <w:t>转</w:t>
            </w:r>
            <w:r>
              <w:rPr>
                <w:rFonts w:cs="Calibri"/>
                <w:color w:val="auto"/>
                <w:szCs w:val="18"/>
                <w:highlight w:val="none"/>
              </w:rPr>
              <w:t>/</w:t>
            </w:r>
            <w:r>
              <w:rPr>
                <w:rFonts w:hAnsi="宋体"/>
                <w:color w:val="auto"/>
                <w:szCs w:val="18"/>
                <w:highlight w:val="none"/>
              </w:rPr>
              <w:t>分为单位取整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电流</w:t>
            </w:r>
          </w:p>
        </w:tc>
        <w:tc>
          <w:tcPr>
            <w:tcW w:w="6083" w:type="dxa"/>
            <w:shd w:val="clear" w:color="auto" w:fill="auto"/>
            <w:vAlign w:val="center"/>
          </w:tcPr>
          <w:p>
            <w:pPr>
              <w:pStyle w:val="184"/>
              <w:jc w:val="left"/>
              <w:rPr>
                <w:color w:val="auto"/>
                <w:highlight w:val="none"/>
              </w:rPr>
            </w:pPr>
            <w:r>
              <w:rPr>
                <w:color w:val="auto"/>
                <w:szCs w:val="18"/>
                <w:highlight w:val="none"/>
              </w:rPr>
              <w:t>以</w:t>
            </w:r>
            <w:r>
              <w:rPr>
                <w:rFonts w:cs="Calibri"/>
                <w:color w:val="auto"/>
                <w:szCs w:val="18"/>
                <w:highlight w:val="none"/>
              </w:rPr>
              <w:t>0.5A</w:t>
            </w:r>
            <w:r>
              <w:rPr>
                <w:rFonts w:hAnsi="宋体"/>
                <w:color w:val="auto"/>
                <w:szCs w:val="18"/>
                <w:highlight w:val="none"/>
              </w:rPr>
              <w:t>为单位取值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电压</w:t>
            </w:r>
          </w:p>
        </w:tc>
        <w:tc>
          <w:tcPr>
            <w:tcW w:w="6083" w:type="dxa"/>
            <w:shd w:val="clear" w:color="auto" w:fill="auto"/>
            <w:vAlign w:val="center"/>
          </w:tcPr>
          <w:p>
            <w:pPr>
              <w:pStyle w:val="184"/>
              <w:jc w:val="left"/>
              <w:rPr>
                <w:color w:val="auto"/>
                <w:highlight w:val="none"/>
              </w:rPr>
            </w:pPr>
            <w:r>
              <w:rPr>
                <w:color w:val="auto"/>
                <w:szCs w:val="18"/>
                <w:highlight w:val="none"/>
              </w:rPr>
              <w:t>以</w:t>
            </w:r>
            <w:r>
              <w:rPr>
                <w:rFonts w:cs="Calibri"/>
                <w:color w:val="auto"/>
                <w:szCs w:val="18"/>
                <w:highlight w:val="none"/>
              </w:rPr>
              <w:t>0.05V</w:t>
            </w:r>
            <w:r>
              <w:rPr>
                <w:rFonts w:hAnsi="宋体"/>
                <w:color w:val="auto"/>
                <w:szCs w:val="18"/>
                <w:highlight w:val="none"/>
              </w:rPr>
              <w:t>为单位取值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制动时间</w:t>
            </w:r>
          </w:p>
        </w:tc>
        <w:tc>
          <w:tcPr>
            <w:tcW w:w="6083" w:type="dxa"/>
            <w:shd w:val="clear" w:color="auto" w:fill="auto"/>
            <w:vAlign w:val="center"/>
          </w:tcPr>
          <w:p>
            <w:pPr>
              <w:pStyle w:val="184"/>
              <w:jc w:val="left"/>
              <w:rPr>
                <w:color w:val="auto"/>
                <w:highlight w:val="none"/>
              </w:rPr>
            </w:pPr>
            <w:r>
              <w:rPr>
                <w:color w:val="auto"/>
                <w:szCs w:val="18"/>
                <w:highlight w:val="none"/>
              </w:rPr>
              <w:t>保留两位小数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t</w:t>
            </w:r>
            <w:r>
              <w:rPr>
                <w:i/>
                <w:color w:val="auto"/>
                <w:szCs w:val="18"/>
                <w:highlight w:val="none"/>
                <w:vertAlign w:val="subscript"/>
              </w:rPr>
              <w:t>m</w:t>
            </w:r>
          </w:p>
        </w:tc>
        <w:tc>
          <w:tcPr>
            <w:tcW w:w="6083" w:type="dxa"/>
            <w:shd w:val="clear" w:color="auto" w:fill="auto"/>
            <w:vAlign w:val="center"/>
          </w:tcPr>
          <w:p>
            <w:pPr>
              <w:pStyle w:val="184"/>
              <w:jc w:val="left"/>
              <w:rPr>
                <w:color w:val="auto"/>
                <w:highlight w:val="none"/>
              </w:rPr>
            </w:pPr>
            <w:r>
              <w:rPr>
                <w:color w:val="auto"/>
                <w:szCs w:val="18"/>
                <w:highlight w:val="none"/>
              </w:rPr>
              <w:t>保留两位小数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z</w:t>
            </w:r>
            <w:r>
              <w:rPr>
                <w:i/>
                <w:color w:val="auto"/>
                <w:szCs w:val="18"/>
                <w:highlight w:val="none"/>
                <w:vertAlign w:val="subscript"/>
              </w:rPr>
              <w:t>m</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z</w:t>
            </w:r>
            <w:r>
              <w:rPr>
                <w:i/>
                <w:color w:val="auto"/>
                <w:szCs w:val="18"/>
                <w:highlight w:val="none"/>
                <w:vertAlign w:val="subscript"/>
              </w:rPr>
              <w:t>AL</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k</w:t>
            </w:r>
            <w:r>
              <w:rPr>
                <w:i/>
                <w:color w:val="auto"/>
                <w:szCs w:val="18"/>
                <w:highlight w:val="none"/>
                <w:vertAlign w:val="subscript"/>
              </w:rPr>
              <w:t>f</w:t>
            </w:r>
            <w:r>
              <w:rPr>
                <w:color w:val="auto"/>
                <w:szCs w:val="18"/>
                <w:highlight w:val="none"/>
              </w:rPr>
              <w:t>，</w:t>
            </w:r>
            <w:r>
              <w:rPr>
                <w:i/>
                <w:color w:val="auto"/>
                <w:szCs w:val="18"/>
                <w:highlight w:val="none"/>
              </w:rPr>
              <w:t>k</w:t>
            </w:r>
            <w:r>
              <w:rPr>
                <w:i/>
                <w:color w:val="auto"/>
                <w:szCs w:val="18"/>
                <w:highlight w:val="none"/>
                <w:vertAlign w:val="subscript"/>
              </w:rPr>
              <w:t>r</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k</w:t>
            </w:r>
            <w:r>
              <w:rPr>
                <w:i/>
                <w:color w:val="auto"/>
                <w:szCs w:val="18"/>
                <w:highlight w:val="none"/>
                <w:vertAlign w:val="subscript"/>
              </w:rPr>
              <w:t>M</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k</w:t>
            </w:r>
            <w:r>
              <w:rPr>
                <w:i/>
                <w:color w:val="auto"/>
                <w:szCs w:val="18"/>
                <w:highlight w:val="none"/>
                <w:vertAlign w:val="subscript"/>
              </w:rPr>
              <w:t>L</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k</w:t>
            </w:r>
            <w:r>
              <w:rPr>
                <w:i/>
                <w:color w:val="auto"/>
                <w:szCs w:val="18"/>
                <w:highlight w:val="none"/>
                <w:vertAlign w:val="subscript"/>
              </w:rPr>
              <w:t>H</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z</w:t>
            </w:r>
            <w:r>
              <w:rPr>
                <w:i/>
                <w:color w:val="auto"/>
                <w:szCs w:val="18"/>
                <w:highlight w:val="none"/>
                <w:vertAlign w:val="subscript"/>
              </w:rPr>
              <w:t>MALS</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0.75(4</w:t>
            </w:r>
            <w:r>
              <w:rPr>
                <w:i/>
                <w:color w:val="auto"/>
                <w:szCs w:val="18"/>
                <w:highlight w:val="none"/>
              </w:rPr>
              <w:t>k</w:t>
            </w:r>
            <w:r>
              <w:rPr>
                <w:i/>
                <w:color w:val="auto"/>
                <w:szCs w:val="18"/>
                <w:highlight w:val="none"/>
                <w:vertAlign w:val="subscript"/>
              </w:rPr>
              <w:t>L</w:t>
            </w:r>
            <w:r>
              <w:rPr>
                <w:color w:val="auto"/>
                <w:szCs w:val="18"/>
                <w:highlight w:val="none"/>
              </w:rPr>
              <w:t xml:space="preserve"> +</w:t>
            </w:r>
            <w:r>
              <w:rPr>
                <w:i/>
                <w:color w:val="auto"/>
                <w:szCs w:val="18"/>
                <w:highlight w:val="none"/>
              </w:rPr>
              <w:t>k</w:t>
            </w:r>
            <w:r>
              <w:rPr>
                <w:i/>
                <w:color w:val="auto"/>
                <w:szCs w:val="18"/>
                <w:highlight w:val="none"/>
                <w:vertAlign w:val="subscript"/>
              </w:rPr>
              <w:t>H</w:t>
            </w:r>
            <w:r>
              <w:rPr>
                <w:color w:val="auto"/>
                <w:szCs w:val="18"/>
                <w:highlight w:val="none"/>
              </w:rPr>
              <w:t>)/5</w:t>
            </w:r>
          </w:p>
        </w:tc>
        <w:tc>
          <w:tcPr>
            <w:tcW w:w="6083" w:type="dxa"/>
            <w:shd w:val="clear" w:color="auto" w:fill="auto"/>
            <w:vAlign w:val="center"/>
          </w:tcPr>
          <w:p>
            <w:pPr>
              <w:pStyle w:val="184"/>
              <w:jc w:val="left"/>
              <w:rPr>
                <w:color w:val="auto"/>
                <w:highlight w:val="none"/>
              </w:rPr>
            </w:pPr>
            <w:r>
              <w:rPr>
                <w:color w:val="auto"/>
                <w:szCs w:val="18"/>
                <w:highlight w:val="none"/>
              </w:rPr>
              <w:t>保留三位小数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i/>
                <w:color w:val="auto"/>
                <w:szCs w:val="18"/>
                <w:highlight w:val="none"/>
              </w:rPr>
              <w:t>Ε</w:t>
            </w:r>
          </w:p>
        </w:tc>
        <w:tc>
          <w:tcPr>
            <w:tcW w:w="6083" w:type="dxa"/>
            <w:shd w:val="clear" w:color="auto" w:fill="auto"/>
            <w:vAlign w:val="center"/>
          </w:tcPr>
          <w:p>
            <w:pPr>
              <w:pStyle w:val="184"/>
              <w:jc w:val="left"/>
              <w:rPr>
                <w:color w:val="auto"/>
                <w:highlight w:val="none"/>
              </w:rPr>
            </w:pPr>
            <w:r>
              <w:rPr>
                <w:color w:val="auto"/>
                <w:szCs w:val="18"/>
                <w:highlight w:val="none"/>
              </w:rPr>
              <w:t>保留两位小数</w:t>
            </w:r>
            <w:r>
              <w:rPr>
                <w:rFonts w:hint="eastAsia"/>
                <w:color w:val="auto"/>
                <w:szCs w:val="18"/>
                <w:highlight w:val="none"/>
                <w:lang w:eastAsia="zh-CN"/>
              </w:rPr>
              <w:t>，</w:t>
            </w:r>
            <w:r>
              <w:rPr>
                <w:rFonts w:hint="eastAsia"/>
                <w:color w:val="auto"/>
                <w:szCs w:val="18"/>
                <w:highlight w:val="none"/>
                <w:lang w:val="en-US" w:eastAsia="zh-CN"/>
              </w:rPr>
              <w:t>单位为秒</w:t>
            </w:r>
            <w:r>
              <w:rPr>
                <w:color w:val="auto"/>
                <w:szCs w:val="18"/>
                <w:highlight w:val="none"/>
              </w:rPr>
              <w:t>（</w:t>
            </w:r>
            <w:r>
              <w:rPr>
                <w:rFonts w:cs="Calibri"/>
                <w:color w:val="auto"/>
                <w:szCs w:val="18"/>
                <w:highlight w:val="none"/>
              </w:rPr>
              <w:t>s</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制动力矩</w:t>
            </w:r>
          </w:p>
        </w:tc>
        <w:tc>
          <w:tcPr>
            <w:tcW w:w="6083" w:type="dxa"/>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单位为牛米</w:t>
            </w:r>
            <w:r>
              <w:rPr>
                <w:color w:val="auto"/>
                <w:szCs w:val="18"/>
                <w:highlight w:val="none"/>
              </w:rPr>
              <w:t>（</w:t>
            </w:r>
            <w:r>
              <w:rPr>
                <w:rFonts w:cs="Calibri"/>
                <w:color w:val="auto"/>
                <w:szCs w:val="18"/>
                <w:highlight w:val="none"/>
              </w:rPr>
              <w:t>N·m</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制动力</w:t>
            </w:r>
          </w:p>
        </w:tc>
        <w:tc>
          <w:tcPr>
            <w:tcW w:w="6083" w:type="dxa"/>
            <w:shd w:val="clear" w:color="auto" w:fill="auto"/>
            <w:vAlign w:val="center"/>
          </w:tcPr>
          <w:p>
            <w:pPr>
              <w:pStyle w:val="184"/>
              <w:jc w:val="left"/>
              <w:rPr>
                <w:color w:val="auto"/>
                <w:highlight w:val="none"/>
              </w:rPr>
            </w:pPr>
            <w:r>
              <w:rPr>
                <w:color w:val="auto"/>
                <w:szCs w:val="18"/>
                <w:highlight w:val="none"/>
              </w:rPr>
              <w:t>取整数值</w:t>
            </w:r>
            <w:r>
              <w:rPr>
                <w:rFonts w:hint="eastAsia"/>
                <w:color w:val="auto"/>
                <w:szCs w:val="18"/>
                <w:highlight w:val="none"/>
                <w:lang w:eastAsia="zh-CN"/>
              </w:rPr>
              <w:t>，</w:t>
            </w:r>
            <w:r>
              <w:rPr>
                <w:rFonts w:hint="eastAsia"/>
                <w:color w:val="auto"/>
                <w:szCs w:val="18"/>
                <w:highlight w:val="none"/>
                <w:lang w:val="en-US" w:eastAsia="zh-CN"/>
              </w:rPr>
              <w:t>单位为牛</w:t>
            </w:r>
            <w:r>
              <w:rPr>
                <w:color w:val="auto"/>
                <w:szCs w:val="18"/>
                <w:highlight w:val="none"/>
              </w:rPr>
              <w:t>（</w:t>
            </w:r>
            <w:r>
              <w:rPr>
                <w:rFonts w:cs="Calibri"/>
                <w:color w:val="auto"/>
                <w:szCs w:val="18"/>
                <w:highlight w:val="none"/>
              </w:rPr>
              <w:t>N</w:t>
            </w:r>
            <w:r>
              <w:rPr>
                <w:rFonts w:hAnsi="宋体"/>
                <w:color w:val="auto"/>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shd w:val="clear" w:color="auto" w:fill="auto"/>
            <w:vAlign w:val="center"/>
          </w:tcPr>
          <w:p>
            <w:pPr>
              <w:pStyle w:val="184"/>
              <w:jc w:val="left"/>
              <w:rPr>
                <w:color w:val="auto"/>
                <w:highlight w:val="none"/>
              </w:rPr>
            </w:pPr>
            <w:r>
              <w:rPr>
                <w:color w:val="auto"/>
                <w:szCs w:val="18"/>
                <w:highlight w:val="none"/>
              </w:rPr>
              <w:t>制动压力</w:t>
            </w:r>
          </w:p>
        </w:tc>
        <w:tc>
          <w:tcPr>
            <w:tcW w:w="6083" w:type="dxa"/>
            <w:shd w:val="clear" w:color="auto" w:fill="auto"/>
            <w:vAlign w:val="center"/>
          </w:tcPr>
          <w:p>
            <w:pPr>
              <w:pStyle w:val="184"/>
              <w:jc w:val="left"/>
              <w:rPr>
                <w:color w:val="auto"/>
                <w:highlight w:val="none"/>
              </w:rPr>
            </w:pPr>
            <w:r>
              <w:rPr>
                <w:color w:val="auto"/>
                <w:szCs w:val="18"/>
                <w:highlight w:val="none"/>
              </w:rPr>
              <w:t>以</w:t>
            </w:r>
            <w:r>
              <w:rPr>
                <w:rFonts w:cs="Calibri"/>
                <w:color w:val="auto"/>
                <w:szCs w:val="18"/>
                <w:highlight w:val="none"/>
              </w:rPr>
              <w:t>0.5MPa</w:t>
            </w:r>
            <w:r>
              <w:rPr>
                <w:rFonts w:hAnsi="宋体"/>
                <w:color w:val="auto"/>
                <w:szCs w:val="18"/>
                <w:highlight w:val="none"/>
              </w:rPr>
              <w:t>为单位取值</w:t>
            </w:r>
          </w:p>
        </w:tc>
      </w:tr>
    </w:tbl>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sectPr>
          <w:headerReference r:id="rId37" w:type="default"/>
          <w:footerReference r:id="rId39" w:type="default"/>
          <w:headerReference r:id="rId38" w:type="even"/>
          <w:footerReference r:id="rId40" w:type="even"/>
          <w:pgSz w:w="11906" w:h="16838"/>
          <w:pgMar w:top="1928" w:right="1134" w:bottom="1134" w:left="1134" w:header="1418" w:footer="1134" w:gutter="284"/>
          <w:cols w:space="425" w:num="1"/>
          <w:formProt w:val="0"/>
          <w:docGrid w:type="lines" w:linePitch="312" w:charSpace="0"/>
        </w:sectPr>
      </w:pPr>
    </w:p>
    <w:p>
      <w:pPr>
        <w:pStyle w:val="204"/>
        <w:rPr>
          <w:vanish w:val="0"/>
          <w:color w:val="auto"/>
          <w:highlight w:val="none"/>
        </w:rPr>
      </w:pPr>
    </w:p>
    <w:p>
      <w:pPr>
        <w:pStyle w:val="205"/>
        <w:rPr>
          <w:vanish w:val="0"/>
          <w:color w:val="auto"/>
          <w:highlight w:val="none"/>
        </w:rPr>
      </w:pPr>
    </w:p>
    <w:p>
      <w:pPr>
        <w:pStyle w:val="82"/>
        <w:spacing w:after="156"/>
        <w:rPr>
          <w:color w:val="auto"/>
          <w:highlight w:val="none"/>
        </w:rPr>
      </w:pPr>
      <w:bookmarkStart w:id="264" w:name="_Toc7608"/>
      <w:r>
        <w:rPr>
          <w:color w:val="auto"/>
          <w:highlight w:val="none"/>
        </w:rPr>
        <w:br w:type="textWrapping"/>
      </w:r>
      <w:bookmarkStart w:id="265" w:name="_Toc118580383"/>
      <w:r>
        <w:rPr>
          <w:rFonts w:hint="eastAsia"/>
          <w:color w:val="auto"/>
          <w:highlight w:val="none"/>
        </w:rPr>
        <w:t>（规范性）</w:t>
      </w:r>
      <w:r>
        <w:rPr>
          <w:color w:val="auto"/>
          <w:highlight w:val="none"/>
        </w:rPr>
        <w:br w:type="textWrapping"/>
      </w:r>
      <w:r>
        <w:rPr>
          <w:rFonts w:hint="eastAsia"/>
          <w:color w:val="auto"/>
          <w:highlight w:val="none"/>
        </w:rPr>
        <w:t>配备临时备用车轮/轮胎的车辆制动和跑偏试验要求</w:t>
      </w:r>
      <w:bookmarkEnd w:id="264"/>
      <w:bookmarkEnd w:id="265"/>
    </w:p>
    <w:p>
      <w:pPr>
        <w:pStyle w:val="84"/>
        <w:spacing w:before="156" w:after="156"/>
        <w:rPr>
          <w:color w:val="auto"/>
          <w:szCs w:val="21"/>
          <w:highlight w:val="none"/>
        </w:rPr>
      </w:pPr>
      <w:bookmarkStart w:id="266" w:name="_Toc72156254"/>
      <w:bookmarkStart w:id="267" w:name="_Toc118580384"/>
      <w:bookmarkStart w:id="268" w:name="_Toc109891150"/>
      <w:bookmarkStart w:id="269" w:name="_Toc23166"/>
      <w:r>
        <w:rPr>
          <w:rFonts w:hint="eastAsia"/>
          <w:color w:val="auto"/>
          <w:highlight w:val="none"/>
        </w:rPr>
        <w:t>概述</w:t>
      </w:r>
      <w:bookmarkEnd w:id="266"/>
      <w:bookmarkEnd w:id="267"/>
      <w:bookmarkEnd w:id="268"/>
      <w:bookmarkEnd w:id="269"/>
    </w:p>
    <w:p>
      <w:pPr>
        <w:pStyle w:val="85"/>
        <w:spacing w:before="0" w:beforeLines="0" w:after="0" w:afterLines="0"/>
        <w:rPr>
          <w:rFonts w:ascii="宋体" w:hAnsi="宋体" w:eastAsia="宋体"/>
          <w:color w:val="auto"/>
          <w:highlight w:val="none"/>
        </w:rPr>
      </w:pPr>
      <w:bookmarkStart w:id="270" w:name="_Toc118580385"/>
      <w:r>
        <w:rPr>
          <w:rFonts w:hint="eastAsia" w:ascii="宋体" w:hAnsi="宋体" w:eastAsia="宋体"/>
          <w:color w:val="auto"/>
          <w:highlight w:val="none"/>
        </w:rPr>
        <w:t>临时备用车轮/轮胎包括“非全尺寸备胎”及“泄气保用轮胎”。“非全尺寸备胎”是指专门设计为的与普通轮胎尺寸、参数不同的轮胎，仅用于在限制驾驶条件下临时使用；“泄气保用轮胎”或“自支撑轮胎”描述了一种充气轮胎结构，其具有任何技术解决方案（例如，加强侧壁等），允许充气轮胎安装在合适的车轮上并且在没有任何辅助部件的情况下，至少在80</w:t>
      </w:r>
      <w:r>
        <w:rPr>
          <w:rFonts w:hint="eastAsia"/>
          <w:color w:val="auto"/>
          <w:highlight w:val="none"/>
          <w:lang w:val="en-US" w:eastAsia="zh-CN"/>
        </w:rPr>
        <w:t> </w:t>
      </w:r>
      <w:r>
        <w:rPr>
          <w:rFonts w:hint="eastAsia" w:ascii="宋体" w:hAnsi="宋体" w:eastAsia="宋体"/>
          <w:color w:val="auto"/>
          <w:highlight w:val="none"/>
        </w:rPr>
        <w:t>km/h的速度和在瘪胎运行模式下运行时为车辆提供基本的轮胎功能。</w:t>
      </w:r>
      <w:bookmarkEnd w:id="270"/>
    </w:p>
    <w:p>
      <w:pPr>
        <w:pStyle w:val="85"/>
        <w:spacing w:before="0" w:beforeLines="0" w:after="0" w:afterLines="0"/>
        <w:rPr>
          <w:rFonts w:ascii="宋体" w:hAnsi="宋体" w:eastAsia="宋体"/>
          <w:color w:val="auto"/>
          <w:highlight w:val="none"/>
        </w:rPr>
      </w:pPr>
      <w:bookmarkStart w:id="271" w:name="_Toc118580386"/>
      <w:r>
        <w:rPr>
          <w:rFonts w:hint="eastAsia" w:ascii="宋体" w:hAnsi="宋体" w:eastAsia="宋体"/>
          <w:color w:val="auto"/>
          <w:highlight w:val="none"/>
        </w:rPr>
        <w:t>试验路面应当坚实平整，同时具有良好附着性。</w:t>
      </w:r>
      <w:bookmarkEnd w:id="271"/>
    </w:p>
    <w:p>
      <w:pPr>
        <w:pStyle w:val="85"/>
        <w:spacing w:before="0" w:beforeLines="0" w:after="0" w:afterLines="0"/>
        <w:rPr>
          <w:rFonts w:ascii="宋体" w:hAnsi="宋体" w:eastAsia="宋体"/>
          <w:color w:val="auto"/>
          <w:highlight w:val="none"/>
        </w:rPr>
      </w:pPr>
      <w:bookmarkStart w:id="272" w:name="_Toc118580387"/>
      <w:r>
        <w:rPr>
          <w:rFonts w:hint="eastAsia" w:ascii="宋体" w:hAnsi="宋体" w:eastAsia="宋体"/>
          <w:color w:val="auto"/>
          <w:highlight w:val="none"/>
        </w:rPr>
        <w:t>在无风、不会对试验结果有影响的情况下完成该项试验。</w:t>
      </w:r>
      <w:bookmarkEnd w:id="272"/>
    </w:p>
    <w:p>
      <w:pPr>
        <w:pStyle w:val="85"/>
        <w:spacing w:before="0" w:beforeLines="0" w:after="0" w:afterLines="0"/>
        <w:rPr>
          <w:rFonts w:ascii="宋体" w:hAnsi="宋体" w:eastAsia="宋体"/>
          <w:color w:val="auto"/>
          <w:highlight w:val="none"/>
        </w:rPr>
      </w:pPr>
      <w:bookmarkStart w:id="273" w:name="_Toc118580388"/>
      <w:r>
        <w:rPr>
          <w:rFonts w:hint="eastAsia" w:ascii="宋体" w:hAnsi="宋体" w:eastAsia="宋体"/>
          <w:color w:val="auto"/>
          <w:highlight w:val="none"/>
        </w:rPr>
        <w:t>车辆应按照</w:t>
      </w:r>
      <w:r>
        <w:rPr>
          <w:rFonts w:hint="eastAsia" w:ascii="宋体" w:hAnsi="宋体" w:eastAsia="宋体"/>
          <w:color w:val="auto"/>
          <w:highlight w:val="none"/>
          <w:lang w:val="en-US" w:eastAsia="zh-CN"/>
        </w:rPr>
        <w:t>制造商</w:t>
      </w:r>
      <w:r>
        <w:rPr>
          <w:rFonts w:hint="eastAsia" w:ascii="宋体" w:hAnsi="宋体" w:eastAsia="宋体"/>
          <w:color w:val="auto"/>
          <w:highlight w:val="none"/>
        </w:rPr>
        <w:t>规定的满载质量及轴荷分配进行加载。</w:t>
      </w:r>
      <w:bookmarkEnd w:id="273"/>
    </w:p>
    <w:p>
      <w:pPr>
        <w:pStyle w:val="85"/>
        <w:spacing w:before="0" w:beforeLines="0" w:after="0" w:afterLines="0"/>
        <w:rPr>
          <w:rFonts w:ascii="宋体" w:hAnsi="宋体" w:eastAsia="宋体"/>
          <w:color w:val="auto"/>
          <w:highlight w:val="none"/>
        </w:rPr>
      </w:pPr>
      <w:bookmarkStart w:id="274" w:name="_Toc118580389"/>
      <w:r>
        <w:rPr>
          <w:rFonts w:hint="eastAsia" w:ascii="宋体" w:hAnsi="宋体" w:eastAsia="宋体"/>
          <w:color w:val="auto"/>
          <w:highlight w:val="none"/>
        </w:rPr>
        <w:t>非全尺寸备胎应当按制造</w:t>
      </w:r>
      <w:r>
        <w:rPr>
          <w:rFonts w:hint="eastAsia" w:ascii="宋体" w:hAnsi="宋体" w:eastAsia="宋体"/>
          <w:color w:val="auto"/>
          <w:highlight w:val="none"/>
          <w:lang w:val="en-US" w:eastAsia="zh-CN"/>
        </w:rPr>
        <w:t>商</w:t>
      </w:r>
      <w:r>
        <w:rPr>
          <w:rFonts w:hint="eastAsia" w:ascii="宋体" w:hAnsi="宋体" w:eastAsia="宋体"/>
          <w:color w:val="auto"/>
          <w:highlight w:val="none"/>
        </w:rPr>
        <w:t>推荐的压力充气。泄气保用轮胎应在完全放气状态下进行测试。</w:t>
      </w:r>
      <w:bookmarkEnd w:id="274"/>
    </w:p>
    <w:p>
      <w:pPr>
        <w:pStyle w:val="84"/>
        <w:spacing w:before="156" w:after="156"/>
        <w:rPr>
          <w:color w:val="auto"/>
          <w:highlight w:val="none"/>
        </w:rPr>
      </w:pPr>
      <w:bookmarkStart w:id="275" w:name="_Toc72156255"/>
      <w:bookmarkEnd w:id="275"/>
      <w:bookmarkStart w:id="276" w:name="_Toc118580390"/>
      <w:bookmarkStart w:id="277" w:name="_Toc109891151"/>
      <w:bookmarkStart w:id="278" w:name="_Toc72156300"/>
      <w:bookmarkStart w:id="279" w:name="_Toc8489"/>
      <w:r>
        <w:rPr>
          <w:rFonts w:hint="eastAsia"/>
          <w:color w:val="auto"/>
          <w:highlight w:val="none"/>
        </w:rPr>
        <w:t>制动和跑偏试验</w:t>
      </w:r>
      <w:bookmarkEnd w:id="276"/>
      <w:bookmarkEnd w:id="277"/>
      <w:bookmarkEnd w:id="278"/>
      <w:bookmarkEnd w:id="279"/>
    </w:p>
    <w:p>
      <w:pPr>
        <w:pStyle w:val="85"/>
        <w:spacing w:before="0" w:beforeLines="0" w:after="0" w:afterLines="0"/>
        <w:rPr>
          <w:rFonts w:ascii="宋体" w:hAnsi="宋体" w:eastAsia="宋体"/>
          <w:color w:val="auto"/>
          <w:highlight w:val="none"/>
        </w:rPr>
      </w:pPr>
      <w:bookmarkStart w:id="280" w:name="_Toc118580391"/>
      <w:r>
        <w:rPr>
          <w:rFonts w:hint="eastAsia" w:ascii="宋体" w:hAnsi="宋体" w:eastAsia="宋体"/>
          <w:color w:val="auto"/>
          <w:highlight w:val="none"/>
        </w:rPr>
        <w:t>前后轮均应单独安装临时备用车轮总成进行试验（不区分左右轮）。但是，临时备用总成只限在特定轴上使用的，应当将临时备用车轮总成只装在该特定轴上进行试验。</w:t>
      </w:r>
      <w:bookmarkEnd w:id="280"/>
    </w:p>
    <w:p>
      <w:pPr>
        <w:pStyle w:val="85"/>
        <w:spacing w:before="0" w:beforeLines="0" w:after="0" w:afterLines="0"/>
        <w:rPr>
          <w:rFonts w:ascii="宋体" w:hAnsi="宋体" w:eastAsia="宋体"/>
          <w:color w:val="auto"/>
          <w:highlight w:val="none"/>
        </w:rPr>
      </w:pPr>
      <w:bookmarkStart w:id="281" w:name="_Toc118580392"/>
      <w:r>
        <w:rPr>
          <w:rFonts w:hint="eastAsia" w:ascii="宋体" w:hAnsi="宋体" w:eastAsia="宋体"/>
          <w:color w:val="auto"/>
          <w:highlight w:val="none"/>
        </w:rPr>
        <w:t>试验按本文件</w:t>
      </w:r>
      <w:r>
        <w:rPr>
          <w:rFonts w:ascii="宋体" w:hAnsi="宋体" w:eastAsia="宋体"/>
          <w:color w:val="auto"/>
          <w:highlight w:val="none"/>
        </w:rPr>
        <w:t>6</w:t>
      </w:r>
      <w:r>
        <w:rPr>
          <w:rFonts w:hint="eastAsia" w:ascii="宋体" w:hAnsi="宋体" w:eastAsia="宋体"/>
          <w:color w:val="auto"/>
          <w:highlight w:val="none"/>
        </w:rPr>
        <w:t>.1.4规定的动力脱开的O型试验要求进行，制动初始速度</w:t>
      </w:r>
      <m:oMath>
        <m:r>
          <m:rPr/>
          <w:rPr>
            <w:rFonts w:hint="eastAsia" w:ascii="Cambria Math" w:hAnsi="Cambria Math" w:eastAsia="宋体"/>
            <w:color w:val="auto"/>
            <w:highlight w:val="none"/>
          </w:rPr>
          <m:t>v</m:t>
        </m:r>
      </m:oMath>
      <w:r>
        <w:rPr>
          <w:rFonts w:hint="eastAsia" w:ascii="宋体" w:hAnsi="宋体" w:eastAsia="宋体"/>
          <w:color w:val="auto"/>
          <w:highlight w:val="none"/>
        </w:rPr>
        <w:t>为 80</w:t>
      </w:r>
      <w:r>
        <w:rPr>
          <w:rFonts w:hint="eastAsia"/>
          <w:color w:val="auto"/>
          <w:highlight w:val="none"/>
          <w:lang w:val="en-US" w:eastAsia="zh-CN"/>
        </w:rPr>
        <w:t> </w:t>
      </w:r>
      <w:r>
        <w:rPr>
          <w:rFonts w:hint="eastAsia" w:ascii="宋体" w:hAnsi="宋体" w:eastAsia="宋体"/>
          <w:color w:val="auto"/>
          <w:highlight w:val="none"/>
        </w:rPr>
        <w:t>km/h，作用在行车制动控制装置上的力不超过</w:t>
      </w:r>
      <w:r>
        <w:rPr>
          <w:rFonts w:ascii="宋体" w:hAnsi="宋体" w:eastAsia="宋体"/>
          <w:color w:val="auto"/>
          <w:highlight w:val="none"/>
        </w:rPr>
        <w:t>5</w:t>
      </w:r>
      <w:r>
        <w:rPr>
          <w:rFonts w:hint="eastAsia" w:ascii="宋体" w:hAnsi="宋体" w:eastAsia="宋体"/>
          <w:color w:val="auto"/>
          <w:highlight w:val="none"/>
        </w:rPr>
        <w:t>00</w:t>
      </w:r>
      <w:r>
        <w:rPr>
          <w:rFonts w:hint="eastAsia"/>
          <w:color w:val="auto"/>
          <w:highlight w:val="none"/>
          <w:lang w:val="en-US" w:eastAsia="zh-CN"/>
        </w:rPr>
        <w:t> </w:t>
      </w:r>
      <w:r>
        <w:rPr>
          <w:rFonts w:hint="eastAsia" w:ascii="宋体" w:hAnsi="宋体" w:eastAsia="宋体"/>
          <w:color w:val="auto"/>
          <w:highlight w:val="none"/>
        </w:rPr>
        <w:t>N。</w:t>
      </w:r>
      <w:bookmarkEnd w:id="281"/>
    </w:p>
    <w:p>
      <w:pPr>
        <w:pStyle w:val="85"/>
        <w:spacing w:before="0" w:beforeLines="0" w:after="0" w:afterLines="0"/>
        <w:rPr>
          <w:rFonts w:ascii="宋体" w:hAnsi="宋体" w:eastAsia="宋体"/>
          <w:color w:val="auto"/>
          <w:highlight w:val="none"/>
        </w:rPr>
      </w:pPr>
      <w:bookmarkStart w:id="282" w:name="_Toc118580393"/>
      <w:r>
        <w:rPr>
          <w:rFonts w:hint="eastAsia" w:ascii="宋体" w:hAnsi="宋体" w:eastAsia="宋体"/>
          <w:color w:val="auto"/>
          <w:highlight w:val="none"/>
        </w:rPr>
        <w:t>充分发出的平均减速度应不小于6.43</w:t>
      </w:r>
      <w:r>
        <w:rPr>
          <w:rFonts w:hint="eastAsia"/>
          <w:color w:val="auto"/>
          <w:highlight w:val="none"/>
          <w:lang w:val="en-US" w:eastAsia="zh-CN"/>
        </w:rPr>
        <w:t> </w:t>
      </w:r>
      <w:r>
        <w:rPr>
          <w:rFonts w:hint="eastAsia" w:ascii="宋体" w:hAnsi="宋体" w:eastAsia="宋体"/>
          <w:color w:val="auto"/>
          <w:highlight w:val="none"/>
        </w:rPr>
        <w:t>m/s</w:t>
      </w:r>
      <w:r>
        <w:rPr>
          <w:rFonts w:ascii="宋体" w:hAnsi="宋体" w:eastAsia="宋体"/>
          <w:color w:val="auto"/>
          <w:highlight w:val="none"/>
          <w:vertAlign w:val="superscript"/>
        </w:rPr>
        <w:t>2</w:t>
      </w:r>
      <w:r>
        <w:rPr>
          <w:rFonts w:hint="eastAsia" w:ascii="宋体" w:hAnsi="宋体" w:eastAsia="宋体"/>
          <w:color w:val="auto"/>
          <w:highlight w:val="none"/>
        </w:rPr>
        <w:t>，制动距离不应超过公式</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F.1)的</w:t>
      </w:r>
      <w:r>
        <w:rPr>
          <w:rFonts w:hint="eastAsia" w:ascii="宋体" w:hAnsi="宋体" w:eastAsia="宋体"/>
          <w:color w:val="auto"/>
          <w:highlight w:val="none"/>
        </w:rPr>
        <w:t>计算值：</w:t>
      </w:r>
      <w:bookmarkEnd w:id="282"/>
    </w:p>
    <w:p>
      <w:pPr>
        <w:pStyle w:val="119"/>
        <w:tabs>
          <w:tab w:val="center" w:pos="4725"/>
          <w:tab w:val="right" w:leader="dot" w:pos="9450"/>
          <w:tab w:val="clear" w:pos="4678"/>
          <w:tab w:val="clear" w:pos="9356"/>
        </w:tabs>
        <w:ind w:left="181" w:leftChars="86"/>
        <w:rPr>
          <w:color w:val="auto"/>
          <w:highlight w:val="none"/>
        </w:rPr>
      </w:pPr>
      <w:r>
        <w:rPr>
          <w:color w:val="auto"/>
          <w:highlight w:val="none"/>
        </w:rPr>
        <w:tab/>
      </w:r>
      <m:oMath>
        <m:r>
          <m:rPr/>
          <w:rPr>
            <w:rFonts w:hint="eastAsia" w:ascii="Cambria Math" w:hAnsi="Cambria Math"/>
            <w:color w:val="auto"/>
            <w:highlight w:val="none"/>
          </w:rPr>
          <m:t>S≤</m:t>
        </m:r>
        <m:r>
          <m:rPr/>
          <w:rPr>
            <w:rFonts w:ascii="Cambria Math" w:hAnsi="Cambria Math"/>
            <w:color w:val="auto"/>
            <w:highlight w:val="none"/>
          </w:rPr>
          <m:t>0.1</m:t>
        </m:r>
        <m:r>
          <m:rPr/>
          <w:rPr>
            <w:rFonts w:hint="eastAsia" w:ascii="Cambria Math" w:hAnsi="Cambria Math"/>
            <w:color w:val="auto"/>
            <w:highlight w:val="none"/>
          </w:rPr>
          <m:t>v</m:t>
        </m:r>
        <m:r>
          <m:rPr/>
          <w:rPr>
            <w:rFonts w:ascii="Cambria Math" w:hAnsi="Cambria Math"/>
            <w:color w:val="auto"/>
            <w:highlight w:val="none"/>
          </w:rPr>
          <m:t>+0.0060</m:t>
        </m:r>
        <m:sSup>
          <m:sSupPr>
            <m:ctrlPr>
              <w:rPr>
                <w:rFonts w:ascii="Cambria Math" w:hAnsi="Cambria Math"/>
                <w:i/>
                <w:color w:val="auto"/>
                <w:highlight w:val="none"/>
              </w:rPr>
            </m:ctrlPr>
          </m:sSupPr>
          <m:e>
            <m:r>
              <m:rPr/>
              <w:rPr>
                <w:rFonts w:ascii="Cambria Math" w:hAnsi="Cambria Math"/>
                <w:color w:val="auto"/>
                <w:highlight w:val="none"/>
              </w:rPr>
              <m:t>v</m:t>
            </m:r>
            <m:ctrlPr>
              <w:rPr>
                <w:rFonts w:ascii="Cambria Math" w:hAnsi="Cambria Math"/>
                <w:i/>
                <w:color w:val="auto"/>
                <w:highlight w:val="none"/>
              </w:rPr>
            </m:ctrlPr>
          </m:e>
          <m:sup>
            <m:r>
              <m:rPr/>
              <w:rPr>
                <w:rFonts w:ascii="Cambria Math" w:hAnsi="Cambria Math"/>
                <w:color w:val="auto"/>
                <w:highlight w:val="none"/>
              </w:rPr>
              <m:t>2</m:t>
            </m:r>
            <m:ctrlPr>
              <w:rPr>
                <w:rFonts w:ascii="Cambria Math" w:hAnsi="Cambria Math"/>
                <w:i/>
                <w:color w:val="auto"/>
                <w:highlight w:val="none"/>
              </w:rPr>
            </m:ctrlPr>
          </m:sup>
        </m:sSup>
      </m:oMath>
      <w:r>
        <w:rPr>
          <w:rFonts w:ascii="微软雅黑" w:hAnsi="微软雅黑" w:eastAsia="微软雅黑"/>
          <w:color w:val="auto"/>
          <w:highlight w:val="none"/>
        </w:rPr>
        <w:tab/>
      </w:r>
      <w:r>
        <w:rPr>
          <w:color w:val="auto"/>
          <w:highlight w:val="none"/>
        </w:rPr>
        <w:t>(</w:t>
      </w:r>
      <w:r>
        <w:rPr>
          <w:rFonts w:hint="eastAsia"/>
          <w:color w:val="auto"/>
          <w:highlight w:val="none"/>
          <w:lang w:val="en-US" w:eastAsia="zh-CN"/>
        </w:rPr>
        <w:t>F</w:t>
      </w:r>
      <w:r>
        <w:rPr>
          <w:color w:val="auto"/>
          <w:highlight w:val="none"/>
        </w:rPr>
        <w:t>.</w:t>
      </w:r>
      <w:r>
        <w:rPr>
          <w:color w:val="auto"/>
          <w:highlight w:val="none"/>
        </w:rPr>
        <w:fldChar w:fldCharType="begin"/>
      </w:r>
      <w:r>
        <w:rPr>
          <w:color w:val="auto"/>
          <w:highlight w:val="none"/>
        </w:rPr>
        <w:instrText xml:space="preserve"> seq fulu_equation_133031405680418095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t>)</w:t>
      </w:r>
    </w:p>
    <w:p>
      <w:pPr>
        <w:pStyle w:val="62"/>
        <w:ind w:firstLine="420"/>
        <w:rPr>
          <w:color w:val="auto"/>
          <w:highlight w:val="none"/>
        </w:rPr>
      </w:pPr>
      <w:r>
        <w:rPr>
          <w:rFonts w:hint="eastAsia"/>
          <w:color w:val="auto"/>
          <w:highlight w:val="none"/>
        </w:rPr>
        <w:t>式中：</w:t>
      </w:r>
    </w:p>
    <w:p>
      <w:pPr>
        <w:pStyle w:val="62"/>
        <w:ind w:firstLine="420"/>
        <w:rPr>
          <w:rFonts w:hint="eastAsia" w:ascii="宋体" w:hAnsi="Times New Roman" w:eastAsia="宋体" w:cs="Times New Roman"/>
          <w:color w:val="auto"/>
          <w:sz w:val="18"/>
          <w:szCs w:val="18"/>
          <w:highlight w:val="none"/>
          <w:lang w:val="en-US" w:eastAsia="zh-CN" w:bidi="ar-SA"/>
        </w:rPr>
      </w:pPr>
      <m:oMath>
        <m:r>
          <m:rPr/>
          <w:rPr>
            <w:rFonts w:ascii="Cambria Math" w:hAnsi="Cambria Math"/>
            <w:color w:val="auto"/>
            <w:highlight w:val="none"/>
          </w:rPr>
          <m:t>S</m:t>
        </m:r>
      </m:oMath>
      <w:r>
        <w:rPr>
          <w:rFonts w:hint="eastAsia"/>
          <w:color w:val="auto"/>
          <w:highlight w:val="none"/>
        </w:rPr>
        <w:t xml:space="preserve"> </w:t>
      </w:r>
      <w:r>
        <w:rPr>
          <w:color w:val="auto"/>
          <w:highlight w:val="none"/>
        </w:rPr>
        <w:t xml:space="preserve">  </w:t>
      </w:r>
      <w:r>
        <w:rPr>
          <w:rFonts w:hint="eastAsia"/>
          <w:color w:val="auto"/>
          <w:highlight w:val="none"/>
        </w:rPr>
        <w:t>——</w:t>
      </w:r>
      <w:r>
        <w:rPr>
          <w:rFonts w:hint="eastAsia"/>
          <w:color w:val="auto"/>
          <w:sz w:val="21"/>
          <w:szCs w:val="21"/>
          <w:highlight w:val="none"/>
        </w:rPr>
        <w:t>制动距离</w:t>
      </w:r>
      <w:r>
        <w:rPr>
          <w:rFonts w:hint="eastAsia"/>
          <w:color w:val="auto"/>
          <w:sz w:val="21"/>
          <w:szCs w:val="21"/>
          <w:highlight w:val="none"/>
          <w:lang w:val="en-US" w:eastAsia="zh-CN"/>
        </w:rPr>
        <w:t>的数值</w:t>
      </w:r>
      <w:r>
        <w:rPr>
          <w:rFonts w:hint="eastAsia"/>
          <w:color w:val="auto"/>
          <w:sz w:val="21"/>
          <w:szCs w:val="21"/>
          <w:highlight w:val="none"/>
        </w:rPr>
        <w:t>，</w:t>
      </w:r>
      <w:r>
        <w:rPr>
          <w:rFonts w:hint="eastAsia" w:ascii="宋体" w:hAnsi="Times New Roman" w:eastAsia="宋体" w:cs="Times New Roman"/>
          <w:color w:val="auto"/>
          <w:sz w:val="21"/>
          <w:szCs w:val="21"/>
          <w:highlight w:val="none"/>
          <w:lang w:val="en-US" w:eastAsia="zh-CN" w:bidi="ar-SA"/>
        </w:rPr>
        <w:t>单位为米</w:t>
      </w:r>
      <w:r>
        <w:rPr>
          <w:rFonts w:hint="eastAsia" w:cs="Times New Roman"/>
          <w:color w:val="auto"/>
          <w:sz w:val="21"/>
          <w:szCs w:val="21"/>
          <w:highlight w:val="none"/>
          <w:lang w:val="en-US" w:eastAsia="zh-CN" w:bidi="ar-SA"/>
        </w:rPr>
        <w:t>（m）</w:t>
      </w:r>
      <w:r>
        <w:rPr>
          <w:rFonts w:hint="eastAsia" w:ascii="宋体" w:hAnsi="Times New Roman" w:eastAsia="宋体" w:cs="Times New Roman"/>
          <w:color w:val="auto"/>
          <w:sz w:val="21"/>
          <w:szCs w:val="21"/>
          <w:highlight w:val="none"/>
          <w:lang w:val="en-US" w:eastAsia="zh-CN" w:bidi="ar-SA"/>
        </w:rPr>
        <w:t>。</w:t>
      </w:r>
    </w:p>
    <w:p>
      <w:pPr>
        <w:pStyle w:val="62"/>
        <w:ind w:firstLine="420"/>
        <w:rPr>
          <w:rFonts w:hint="eastAsia" w:ascii="宋体" w:hAnsi="Times New Roman" w:eastAsia="宋体" w:cs="Times New Roman"/>
          <w:color w:val="auto"/>
          <w:sz w:val="18"/>
          <w:szCs w:val="18"/>
          <w:highlight w:val="none"/>
          <w:lang w:val="en-US" w:eastAsia="zh-CN" w:bidi="ar-SA"/>
        </w:rPr>
      </w:pPr>
      <m:oMath>
        <m:r>
          <m:rPr/>
          <w:rPr>
            <w:rFonts w:hint="eastAsia" w:ascii="Cambria Math" w:hAnsi="Cambria Math"/>
            <w:color w:val="auto"/>
            <w:highlight w:val="none"/>
          </w:rPr>
          <m:t>v</m:t>
        </m:r>
      </m:oMath>
      <w:r>
        <w:rPr>
          <w:rFonts w:hint="eastAsia"/>
          <w:color w:val="auto"/>
          <w:highlight w:val="none"/>
        </w:rPr>
        <w:t xml:space="preserve"> </w:t>
      </w:r>
      <w:r>
        <w:rPr>
          <w:color w:val="auto"/>
          <w:highlight w:val="none"/>
        </w:rPr>
        <w:t xml:space="preserve">  </w:t>
      </w:r>
      <w:r>
        <w:rPr>
          <w:rFonts w:hint="eastAsia"/>
          <w:color w:val="auto"/>
          <w:highlight w:val="none"/>
        </w:rPr>
        <w:t>——</w:t>
      </w:r>
      <w:r>
        <w:rPr>
          <w:rFonts w:hint="eastAsia"/>
          <w:color w:val="auto"/>
          <w:sz w:val="21"/>
          <w:szCs w:val="21"/>
          <w:highlight w:val="none"/>
        </w:rPr>
        <w:t>试验车速</w:t>
      </w:r>
      <w:r>
        <w:rPr>
          <w:rFonts w:hint="eastAsia"/>
          <w:color w:val="auto"/>
          <w:sz w:val="21"/>
          <w:szCs w:val="21"/>
          <w:highlight w:val="none"/>
          <w:lang w:val="en-US" w:eastAsia="zh-CN"/>
        </w:rPr>
        <w:t>的数值</w:t>
      </w:r>
      <w:r>
        <w:rPr>
          <w:rFonts w:hint="eastAsia"/>
          <w:color w:val="auto"/>
          <w:sz w:val="21"/>
          <w:szCs w:val="21"/>
          <w:highlight w:val="none"/>
          <w:lang w:eastAsia="zh-CN"/>
        </w:rPr>
        <w:t>，</w:t>
      </w:r>
      <w:r>
        <w:rPr>
          <w:rFonts w:hint="eastAsia"/>
          <w:color w:val="auto"/>
          <w:sz w:val="21"/>
          <w:szCs w:val="21"/>
          <w:highlight w:val="none"/>
        </w:rPr>
        <w:t>单</w:t>
      </w:r>
      <w:r>
        <w:rPr>
          <w:rFonts w:hint="eastAsia" w:ascii="宋体" w:hAnsi="Times New Roman" w:eastAsia="宋体" w:cs="Times New Roman"/>
          <w:color w:val="auto"/>
          <w:sz w:val="21"/>
          <w:szCs w:val="21"/>
          <w:highlight w:val="none"/>
          <w:lang w:val="en-US" w:eastAsia="zh-CN" w:bidi="ar-SA"/>
        </w:rPr>
        <w:t>位为千米每小时</w:t>
      </w:r>
      <w:r>
        <w:rPr>
          <w:rFonts w:hint="eastAsia" w:cs="Times New Roman"/>
          <w:color w:val="auto"/>
          <w:sz w:val="21"/>
          <w:szCs w:val="21"/>
          <w:highlight w:val="none"/>
          <w:lang w:val="en-US" w:eastAsia="zh-CN" w:bidi="ar-SA"/>
        </w:rPr>
        <w:t>（km/h）</w:t>
      </w:r>
      <w:r>
        <w:rPr>
          <w:rFonts w:hint="eastAsia" w:ascii="宋体" w:hAnsi="Times New Roman" w:eastAsia="宋体" w:cs="Times New Roman"/>
          <w:color w:val="auto"/>
          <w:sz w:val="21"/>
          <w:szCs w:val="21"/>
          <w:highlight w:val="none"/>
          <w:lang w:val="en-US" w:eastAsia="zh-CN" w:bidi="ar-SA"/>
        </w:rPr>
        <w:t>。</w:t>
      </w:r>
    </w:p>
    <w:p>
      <w:pPr>
        <w:pStyle w:val="85"/>
        <w:spacing w:before="0" w:beforeLines="0" w:after="0" w:afterLines="0"/>
        <w:rPr>
          <w:rFonts w:ascii="宋体" w:hAnsi="宋体" w:eastAsia="宋体"/>
          <w:color w:val="auto"/>
          <w:highlight w:val="none"/>
        </w:rPr>
      </w:pPr>
      <w:bookmarkStart w:id="283" w:name="_Toc118580394"/>
      <w:r>
        <w:rPr>
          <w:rFonts w:hint="eastAsia" w:ascii="宋体" w:hAnsi="宋体" w:eastAsia="宋体"/>
          <w:color w:val="auto"/>
          <w:highlight w:val="none"/>
        </w:rPr>
        <w:t>试验应在F.2.1中所规定的分别装有临时备用车轮/轮胎的状态下进行。</w:t>
      </w:r>
      <w:bookmarkEnd w:id="283"/>
    </w:p>
    <w:p>
      <w:pPr>
        <w:pStyle w:val="85"/>
        <w:spacing w:before="0" w:beforeLines="0" w:after="0" w:afterLines="0"/>
        <w:rPr>
          <w:rFonts w:ascii="宋体" w:hAnsi="宋体" w:eastAsia="宋体"/>
          <w:color w:val="auto"/>
          <w:highlight w:val="none"/>
        </w:rPr>
      </w:pPr>
      <w:bookmarkStart w:id="284" w:name="_Toc118580395"/>
      <w:r>
        <w:rPr>
          <w:rFonts w:hint="eastAsia" w:ascii="宋体" w:hAnsi="宋体" w:eastAsia="宋体"/>
          <w:color w:val="auto"/>
          <w:highlight w:val="none"/>
        </w:rPr>
        <w:t>应在车速大于15</w:t>
      </w:r>
      <w:r>
        <w:rPr>
          <w:rFonts w:hint="eastAsia"/>
          <w:color w:val="auto"/>
          <w:highlight w:val="none"/>
          <w:lang w:val="en-US" w:eastAsia="zh-CN"/>
        </w:rPr>
        <w:t> </w:t>
      </w:r>
      <w:r>
        <w:rPr>
          <w:rFonts w:hint="eastAsia" w:ascii="宋体" w:hAnsi="宋体" w:eastAsia="宋体"/>
          <w:color w:val="auto"/>
          <w:highlight w:val="none"/>
        </w:rPr>
        <w:t>km/h时未发生车轮抱死、车辆未偏离3.5</w:t>
      </w:r>
      <w:r>
        <w:rPr>
          <w:rFonts w:hint="eastAsia"/>
          <w:color w:val="auto"/>
          <w:highlight w:val="none"/>
          <w:lang w:val="en-US" w:eastAsia="zh-CN"/>
        </w:rPr>
        <w:t> </w:t>
      </w:r>
      <w:r>
        <w:rPr>
          <w:rFonts w:hint="eastAsia" w:ascii="宋体" w:hAnsi="宋体" w:eastAsia="宋体"/>
          <w:color w:val="auto"/>
          <w:highlight w:val="none"/>
        </w:rPr>
        <w:t>m宽的试验通道、横摆角</w:t>
      </w:r>
      <w:r>
        <w:rPr>
          <w:rFonts w:hint="eastAsia" w:ascii="宋体" w:hAnsi="宋体" w:eastAsia="宋体"/>
          <w:color w:val="auto"/>
          <w:highlight w:val="none"/>
          <w:lang w:val="en-US" w:eastAsia="zh-CN"/>
        </w:rPr>
        <w:t>不超过</w:t>
      </w:r>
      <w:r>
        <w:rPr>
          <w:rFonts w:hint="eastAsia" w:ascii="宋体" w:hAnsi="宋体" w:eastAsia="宋体"/>
          <w:color w:val="auto"/>
          <w:highlight w:val="none"/>
        </w:rPr>
        <w:t>15°且无异常振动的情况下达到所规定的性能。</w:t>
      </w:r>
      <w:bookmarkEnd w:id="284"/>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p>
      <w:pPr>
        <w:pStyle w:val="62"/>
        <w:ind w:firstLine="420"/>
        <w:rPr>
          <w:color w:val="auto"/>
          <w:highlight w:val="none"/>
        </w:rPr>
      </w:pPr>
    </w:p>
    <w:bookmarkEnd w:id="232"/>
    <w:p>
      <w:pPr>
        <w:pStyle w:val="62"/>
        <w:ind w:firstLine="0" w:firstLineChars="0"/>
        <w:jc w:val="center"/>
        <w:rPr>
          <w:color w:val="auto"/>
          <w:highlight w:val="none"/>
        </w:rPr>
      </w:pPr>
      <w:bookmarkStart w:id="285" w:name="BookMark8"/>
      <w:r>
        <w:rPr>
          <w:color w:val="auto"/>
          <w:highlight w:val="none"/>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5"/>
    </w:p>
    <w:sectPr>
      <w:headerReference r:id="rId41" w:type="default"/>
      <w:footerReference r:id="rId43" w:type="default"/>
      <w:headerReference r:id="rId42" w:type="even"/>
      <w:footerReference r:id="rId4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50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61</w:t>
    </w:r>
    <w:r>
      <w:fldChar w:fldCharType="end"/>
    </w:r>
  </w:p>
  <w:p>
    <w:pPr>
      <w:pStyle w:val="5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62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6427470</wp:posOffset>
              </wp:positionV>
              <wp:extent cx="1828800" cy="1828800"/>
              <wp:effectExtent l="0" t="0" r="0" b="5080"/>
              <wp:wrapNone/>
              <wp:docPr id="4833783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8"/>
                          </w:pPr>
                          <w:r>
                            <w:fldChar w:fldCharType="begin"/>
                          </w:r>
                          <w:r>
                            <w:instrText xml:space="preserve">PAGE   \* MERGEFORMAT</w:instrText>
                          </w:r>
                          <w:r>
                            <w:fldChar w:fldCharType="separate"/>
                          </w:r>
                          <w:r>
                            <w:rPr>
                              <w:lang w:val="zh-CN"/>
                            </w:rPr>
                            <w:t>61</w:t>
                          </w:r>
                          <w:r>
                            <w:fldChar w:fldCharType="end"/>
                          </w:r>
                        </w:p>
                        <w:p>
                          <w:pPr>
                            <w:pStyle w:val="58"/>
                          </w:pP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506.1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3jNjtsAAAANAQAADwAAAAAAAAABACAAAAAi&#10;AAAAZHJzL2Rvd25yZXYueG1sUEsBAhQAFAAAAAgAh07iQBYrM0pAAgAAbwQAAA4AAAAAAAAAAQAg&#10;AAAAKgEAAGRycy9lMm9Eb2MueG1sUEsFBgAAAAAGAAYAWQEAANwFAAAAAA==&#10;">
              <v:fill on="f" focussize="0,0"/>
              <v:stroke on="f" weight="0.5pt"/>
              <v:imagedata o:title=""/>
              <o:lock v:ext="edit" aspectratio="f"/>
              <v:textbox style="layout-flow:vertical-ideographic;mso-fit-shape-to-text:t;">
                <w:txbxContent>
                  <w:p>
                    <w:pPr>
                      <w:pStyle w:val="58"/>
                    </w:pPr>
                    <w:r>
                      <w:fldChar w:fldCharType="begin"/>
                    </w:r>
                    <w:r>
                      <w:instrText xml:space="preserve">PAGE   \* MERGEFORMAT</w:instrText>
                    </w:r>
                    <w:r>
                      <w:fldChar w:fldCharType="separate"/>
                    </w:r>
                    <w:r>
                      <w:rPr>
                        <w:lang w:val="zh-CN"/>
                      </w:rPr>
                      <w:t>61</w:t>
                    </w:r>
                    <w:r>
                      <w:fldChar w:fldCharType="end"/>
                    </w:r>
                  </w:p>
                  <w:p>
                    <w:pPr>
                      <w:pStyle w:val="58"/>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4384" behindDoc="0" locked="0" layoutInCell="1" allowOverlap="1">
              <wp:simplePos x="0" y="0"/>
              <wp:positionH relativeFrom="page">
                <wp:posOffset>719455</wp:posOffset>
              </wp:positionH>
              <wp:positionV relativeFrom="page">
                <wp:posOffset>863600</wp:posOffset>
              </wp:positionV>
              <wp:extent cx="1828800" cy="1828800"/>
              <wp:effectExtent l="0" t="0" r="11430" b="635"/>
              <wp:wrapNone/>
              <wp:docPr id="19527301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7"/>
                          </w:pPr>
                          <w:r>
                            <w:fldChar w:fldCharType="begin"/>
                          </w:r>
                          <w:r>
                            <w:instrText xml:space="preserve"> PAGE   \* MERGEFORMAT \* MERGEFORMAT </w:instrText>
                          </w:r>
                          <w:r>
                            <w:fldChar w:fldCharType="separate"/>
                          </w:r>
                          <w:r>
                            <w:t>62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68pt;height:144pt;width:144pt;mso-position-horizontal-relative:page;mso-position-vertical-relative:page;mso-wrap-style:none;z-index:251664384;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gYhOXWAAAACwEAAA8AAAAAAAAAAQAgAAAAIgAAAGRycy9kb3ducmV2&#10;LnhtbFBLAQIUABQAAAAIAIdO4kAEb9CdNwIAAGAEAAAOAAAAAAAAAAEAIAAAACUBAABkcnMvZTJv&#10;RG9jLnhtbFBLBQYAAAAABgAGAFkBAADOBQAAAAA=&#10;">
              <v:fill on="f" focussize="0,0"/>
              <v:stroke on="f" weight="0.5pt"/>
              <v:imagedata o:title=""/>
              <o:lock v:ext="edit" aspectratio="f"/>
              <v:textbox inset="0mm,0mm,0mm,0mm" style="layout-flow:vertical-ideographic;mso-fit-shape-to-text:t;">
                <w:txbxContent>
                  <w:p>
                    <w:pPr>
                      <w:pStyle w:val="57"/>
                    </w:pPr>
                    <w:r>
                      <w:fldChar w:fldCharType="begin"/>
                    </w:r>
                    <w:r>
                      <w:instrText xml:space="preserve"> PAGE   \* MERGEFORMAT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61</w:t>
    </w:r>
    <w:r>
      <w:fldChar w:fldCharType="end"/>
    </w:r>
  </w:p>
  <w:p>
    <w:pPr>
      <w:pStyle w:val="5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62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63</w:t>
    </w:r>
    <w:r>
      <w:fldChar w:fldCharType="end"/>
    </w:r>
  </w:p>
  <w:p>
    <w:pPr>
      <w:pStyle w:val="5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64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65</w:t>
    </w:r>
    <w:r>
      <w:fldChar w:fldCharType="end"/>
    </w:r>
  </w:p>
  <w:p>
    <w:pPr>
      <w:pStyle w:val="5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IV</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38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line="240" w:lineRule="auto"/>
      </w:pPr>
      <w:r>
        <w:separator/>
      </w:r>
    </w:p>
  </w:footnote>
  <w:footnote w:type="continuationSeparator" w:id="21">
    <w:p>
      <w:pPr>
        <w:spacing w:line="240" w:lineRule="auto"/>
      </w:pPr>
      <w:r>
        <w:continuationSeparator/>
      </w:r>
    </w:p>
  </w:footnote>
  <w:footnote w:id="0">
    <w:p>
      <w:pPr>
        <w:pStyle w:val="23"/>
        <w:ind w:left="720" w:hanging="300"/>
        <w:rPr>
          <w:sz w:val="15"/>
        </w:rPr>
      </w:pPr>
      <w:r>
        <w:rPr>
          <w:rStyle w:val="39"/>
          <w:sz w:val="15"/>
          <w:vertAlign w:val="baseline"/>
        </w:rPr>
        <w:footnoteRef/>
      </w:r>
      <w:r>
        <w:rPr>
          <w:rFonts w:hint="eastAsia"/>
          <w:sz w:val="15"/>
        </w:rPr>
        <w:t>) 高选控制的防抱制动系统可认为包括直接控制车轮和间接控制车轮。低选控制的防抱制动系统，其所有装备传感器的车轮均视为直接控制车轮。</w:t>
      </w:r>
    </w:p>
  </w:footnote>
  <w:footnote w:id="1">
    <w:p>
      <w:pPr>
        <w:pStyle w:val="228"/>
        <w:ind w:left="720" w:hanging="300"/>
      </w:pPr>
      <w:r>
        <w:rPr>
          <w:rStyle w:val="39"/>
          <w:sz w:val="15"/>
          <w:vertAlign w:val="baseline"/>
        </w:rPr>
        <w:footnoteRef/>
      </w:r>
      <w:r>
        <w:t xml:space="preserve">) </w:t>
      </w:r>
      <w:r>
        <w:rPr>
          <w:rFonts w:hint="eastAsia"/>
        </w:rPr>
        <w:t>经检测机构同意，如车载能源可对动力蓄电池充电并调节其荷电状态，可不要求车辆进行荷电状态评价</w:t>
      </w:r>
    </w:p>
  </w:footnote>
  <w:footnote w:id="2">
    <w:p>
      <w:pPr>
        <w:pStyle w:val="228"/>
        <w:ind w:left="720" w:hanging="300"/>
      </w:pPr>
      <w:r>
        <w:rPr>
          <w:rStyle w:val="39"/>
          <w:sz w:val="15"/>
          <w:vertAlign w:val="baseline"/>
        </w:rPr>
        <w:footnoteRef/>
      </w:r>
      <w:r>
        <w:t xml:space="preserve">) </w:t>
      </w:r>
      <w:r>
        <w:rPr>
          <w:rFonts w:hint="eastAsia"/>
        </w:rPr>
        <w:t>制造商向检测机构提供控制传输装置潜在失效及影响分析，这些信息经检测机构和制造商协商一致。</w:t>
      </w:r>
    </w:p>
  </w:footnote>
  <w:footnote w:id="3">
    <w:p>
      <w:pPr>
        <w:pStyle w:val="228"/>
        <w:ind w:left="720" w:hanging="300"/>
      </w:pPr>
      <w:r>
        <w:rPr>
          <w:rStyle w:val="39"/>
          <w:sz w:val="15"/>
          <w:vertAlign w:val="baseline"/>
        </w:rPr>
        <w:footnoteRef/>
      </w:r>
      <w:r>
        <w:t xml:space="preserve">) </w:t>
      </w:r>
      <w:r>
        <w:rPr>
          <w:rFonts w:hint="eastAsia"/>
        </w:rPr>
        <w:t>选择制动期间，可能会切换为自动控制制动。</w:t>
      </w:r>
    </w:p>
  </w:footnote>
  <w:footnote w:id="4">
    <w:p>
      <w:pPr>
        <w:pStyle w:val="228"/>
        <w:ind w:left="720" w:hanging="300"/>
      </w:pPr>
      <w:r>
        <w:rPr>
          <w:rStyle w:val="39"/>
          <w:sz w:val="15"/>
          <w:vertAlign w:val="baseline"/>
        </w:rPr>
        <w:footnoteRef/>
      </w:r>
      <w:r>
        <w:t xml:space="preserve">) </w:t>
      </w:r>
      <w:r>
        <w:rPr>
          <w:rFonts w:hint="eastAsia"/>
        </w:rPr>
        <w:t>如有必要，制造商可向检测机构提供自动控制策略所允许的制动曲线族，检测机构可对这些曲线进行验证。</w:t>
      </w:r>
    </w:p>
  </w:footnote>
  <w:footnote w:id="5">
    <w:p>
      <w:pPr>
        <w:pStyle w:val="228"/>
        <w:ind w:left="720" w:hanging="300"/>
      </w:pPr>
      <w:r>
        <w:rPr>
          <w:rStyle w:val="39"/>
          <w:sz w:val="15"/>
          <w:vertAlign w:val="baseline"/>
        </w:rPr>
        <w:footnoteRef/>
      </w:r>
      <w:r>
        <w:t xml:space="preserve">) </w:t>
      </w:r>
      <w:r>
        <w:rPr>
          <w:rFonts w:hint="eastAsia"/>
        </w:rPr>
        <w:t>制造商向检测机构说明初始能量水平。</w:t>
      </w:r>
    </w:p>
  </w:footnote>
  <w:footnote w:id="6">
    <w:p>
      <w:pPr>
        <w:pStyle w:val="228"/>
        <w:ind w:left="720" w:hanging="300"/>
      </w:pPr>
      <w:r>
        <w:rPr>
          <w:rStyle w:val="39"/>
          <w:sz w:val="15"/>
          <w:vertAlign w:val="baseline"/>
        </w:rPr>
        <w:footnoteRef/>
      </w:r>
      <w:r>
        <w:t xml:space="preserve">) </w:t>
      </w:r>
      <w:r>
        <w:rPr>
          <w:rFonts w:hint="eastAsia"/>
        </w:rPr>
        <w:t>若不存在故障，在车速达到10km/h或15km/h之前报警信号熄灭，当车辆静止时报警信号可以重新点亮。</w:t>
      </w:r>
    </w:p>
  </w:footnote>
  <w:footnote w:id="7">
    <w:p>
      <w:pPr>
        <w:pStyle w:val="23"/>
        <w:ind w:left="720" w:hanging="300"/>
        <w:rPr>
          <w:sz w:val="15"/>
        </w:rPr>
      </w:pPr>
      <w:r>
        <w:rPr>
          <w:rStyle w:val="39"/>
          <w:sz w:val="15"/>
          <w:vertAlign w:val="baseline"/>
        </w:rPr>
        <w:footnoteRef/>
      </w:r>
      <w:r>
        <w:rPr>
          <w:rFonts w:hint="eastAsia"/>
          <w:sz w:val="15"/>
        </w:rPr>
        <w:t>) 如改变控制模式后能满足车辆所装备的防抱制动系统所属类型的全部要求，则认为改变防抱制动系统控制模式的装置不受6.5.2.6的限制。</w:t>
      </w:r>
    </w:p>
  </w:footnote>
  <w:footnote w:id="8">
    <w:p>
      <w:pPr>
        <w:pStyle w:val="228"/>
        <w:ind w:left="720" w:hanging="300"/>
      </w:pPr>
      <w:r>
        <w:rPr>
          <w:rStyle w:val="39"/>
          <w:sz w:val="15"/>
          <w:vertAlign w:val="baseline"/>
        </w:rPr>
        <w:footnoteRef/>
      </w:r>
      <w:r>
        <w:t xml:space="preserve">) </w:t>
      </w:r>
      <w:r>
        <w:rPr>
          <w:rFonts w:hint="eastAsia"/>
        </w:rPr>
        <w:t>为确定车辆自动功能提供的不同的制动力分配方案的效果，本试验可能需要在装备电力再生式制动系统的车辆上重复一次。</w:t>
      </w:r>
    </w:p>
  </w:footnote>
  <w:footnote w:id="9">
    <w:p>
      <w:pPr>
        <w:pStyle w:val="228"/>
        <w:ind w:left="720" w:hanging="300"/>
      </w:pPr>
      <w:r>
        <w:rPr>
          <w:rStyle w:val="39"/>
          <w:sz w:val="15"/>
          <w:vertAlign w:val="baseline"/>
        </w:rPr>
        <w:footnoteRef/>
      </w:r>
      <w:r>
        <w:t xml:space="preserve">) </w:t>
      </w:r>
      <w:r>
        <w:rPr>
          <w:rFonts w:hint="eastAsia"/>
        </w:rPr>
        <w:t>“全力”是指6.2.1.1表</w:t>
      </w:r>
      <w:r>
        <w:rPr>
          <w:rFonts w:hint="eastAsia"/>
          <w:lang w:val="en-US" w:eastAsia="zh-CN"/>
        </w:rPr>
        <w:t>3</w:t>
      </w:r>
      <w:r>
        <w:rPr>
          <w:rFonts w:hint="eastAsia"/>
        </w:rPr>
        <w:t>中规定的最大控制力。如要求使防抱制动系统工作，可采用更大的控制力。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p>
    <w:pPr>
      <w:pStyle w:val="6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5311140</wp:posOffset>
              </wp:positionV>
              <wp:extent cx="1828800" cy="1828800"/>
              <wp:effectExtent l="0" t="0" r="0" b="0"/>
              <wp:wrapNone/>
              <wp:docPr id="128223409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7"/>
                          </w:pPr>
                          <w:r>
                            <w:fldChar w:fldCharType="begin"/>
                          </w:r>
                          <w:r>
                            <w:instrText xml:space="preserve"> STYLEREF  标准文件_文件编号  \* MERGEFORMAT </w:instrText>
                          </w:r>
                          <w:r>
                            <w:fldChar w:fldCharType="separate"/>
                          </w:r>
                          <w:r>
                            <w:t>GB 21670—XXXX</w:t>
                          </w:r>
                          <w:r>
                            <w:fldChar w:fldCharType="end"/>
                          </w:r>
                        </w:p>
                        <w:p>
                          <w:pPr>
                            <w:pStyle w:val="67"/>
                          </w:pP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751.15pt;margin-top:418.2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Aeu+3QAAAA4BAAAPAAAAAAAAAAEAIAAA&#10;ACIAAABkcnMvZG93bnJldi54bWxQSwECFAAUAAAACACHTuJAKqOau0ACAABwBAAADgAAAAAAAAAB&#10;ACAAAAAsAQAAZHJzL2Uyb0RvYy54bWxQSwUGAAAAAAYABgBZAQAA3gUAAAAA&#10;">
              <v:fill on="f" focussize="0,0"/>
              <v:stroke on="f" weight="0.5pt"/>
              <v:imagedata o:title=""/>
              <o:lock v:ext="edit" aspectratio="f"/>
              <v:textbox style="layout-flow:vertical-ideographic;mso-fit-shape-to-text:t;">
                <w:txbxContent>
                  <w:p>
                    <w:pPr>
                      <w:pStyle w:val="67"/>
                    </w:pPr>
                    <w:r>
                      <w:fldChar w:fldCharType="begin"/>
                    </w:r>
                    <w:r>
                      <w:instrText xml:space="preserve"> STYLEREF  标准文件_文件编号  \* MERGEFORMAT </w:instrText>
                    </w:r>
                    <w:r>
                      <w:fldChar w:fldCharType="separate"/>
                    </w:r>
                    <w:r>
                      <w:t>GB 21670—XXXX</w:t>
                    </w:r>
                    <w:r>
                      <w:fldChar w:fldCharType="end"/>
                    </w:r>
                  </w:p>
                  <w:p>
                    <w:pPr>
                      <w:pStyle w:val="67"/>
                    </w:pP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mc:AlternateContent>
        <mc:Choice Requires="wps">
          <w:drawing>
            <wp:anchor distT="0" distB="0" distL="114300" distR="114300" simplePos="0" relativeHeight="251663360"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12794032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8"/>
                          </w:pPr>
                          <w:r>
                            <w:fldChar w:fldCharType="begin"/>
                          </w:r>
                          <w:r>
                            <w:instrText xml:space="preserve"> STYLEREF  标准文件_文件编号 \* MERGEFORMAT </w:instrText>
                          </w:r>
                          <w:r>
                            <w:fldChar w:fldCharType="separate"/>
                          </w:r>
                          <w:r>
                            <w:t>GB 21670—XXXX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765.35pt;margin-top:70.85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LIuxzZAAAADQEAAA8AAAAAAAAAAQAgAAAAIgAAAGRycy9kb3du&#10;cmV2LnhtbFBLAQIUABQAAAAIAIdO4kBmJhRdNwIAAGAEAAAOAAAAAAAAAAEAIAAAACgBAABkcnMv&#10;ZTJvRG9jLnhtbFBLBQYAAAAABgAGAFkBAADRBQAAAAA=&#10;">
              <v:fill on="f" focussize="0,0"/>
              <v:stroke on="f" weight="0.5pt"/>
              <v:imagedata o:title=""/>
              <o:lock v:ext="edit" aspectratio="f"/>
              <v:textbox inset="0mm,0mm,0mm,0mm" style="layout-flow:vertical-ideographic;mso-fit-shape-to-text:t;">
                <w:txbxContent>
                  <w:p>
                    <w:pPr>
                      <w:pStyle w:val="68"/>
                    </w:pPr>
                    <w:r>
                      <w:fldChar w:fldCharType="begin"/>
                    </w:r>
                    <w:r>
                      <w:instrText xml:space="preserve"> STYLEREF  标准文件_文件编号 \* MERGEFORMAT </w:instrText>
                    </w:r>
                    <w:r>
                      <w:fldChar w:fldCharType="separate"/>
                    </w:r>
                    <w:r>
                      <w:t>GB 21670—XXXX</w:t>
                    </w:r>
                    <w:r>
                      <w:fldChar w:fldCharType="end"/>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p>
    <w:pPr>
      <w:pStyle w:val="6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p>
    <w:pPr>
      <w:pStyle w:val="6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p>
    <w:pPr>
      <w:pStyle w:val="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GB 21670—XXXX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GB 21670—XXXX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818A6"/>
    <w:multiLevelType w:val="singleLevel"/>
    <w:tmpl w:val="90E818A6"/>
    <w:lvl w:ilvl="0" w:tentative="0">
      <w:start w:val="1"/>
      <w:numFmt w:val="decimal"/>
      <w:suff w:val="nothing"/>
      <w:lvlText w:val="%1）"/>
      <w:lvlJc w:val="left"/>
      <w:rPr>
        <w:rFonts w:hint="default" w:ascii="宋体" w:hAnsi="宋体" w:eastAsia="宋体" w:cs="宋体"/>
        <w:color w:val="000000" w:themeColor="text1"/>
        <w:sz w:val="18"/>
        <w:szCs w:val="18"/>
        <w14:textFill>
          <w14:solidFill>
            <w14:schemeClr w14:val="tx1"/>
          </w14:solidFill>
        </w14:textFill>
      </w:rPr>
    </w:lvl>
  </w:abstractNum>
  <w:abstractNum w:abstractNumId="1">
    <w:nsid w:val="9852A645"/>
    <w:multiLevelType w:val="singleLevel"/>
    <w:tmpl w:val="9852A645"/>
    <w:lvl w:ilvl="0" w:tentative="0">
      <w:start w:val="1"/>
      <w:numFmt w:val="decimal"/>
      <w:suff w:val="nothing"/>
      <w:lvlText w:val="%1）"/>
      <w:lvlJc w:val="left"/>
      <w:rPr>
        <w:rFonts w:hint="default" w:ascii="宋体" w:hAnsi="宋体" w:eastAsia="宋体" w:cs="宋体"/>
        <w:color w:val="000000" w:themeColor="text1"/>
        <w:sz w:val="18"/>
        <w:szCs w:val="18"/>
        <w14:textFill>
          <w14:solidFill>
            <w14:schemeClr w14:val="tx1"/>
          </w14:solidFill>
        </w14:textFill>
      </w:rPr>
    </w:lvl>
  </w:abstractNum>
  <w:abstractNum w:abstractNumId="2">
    <w:nsid w:val="C1223754"/>
    <w:multiLevelType w:val="multilevel"/>
    <w:tmpl w:val="C1223754"/>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3C66522"/>
    <w:multiLevelType w:val="multilevel"/>
    <w:tmpl w:val="03C6652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AF6CF4"/>
    <w:multiLevelType w:val="multilevel"/>
    <w:tmpl w:val="07AF6CF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0FAA2276"/>
    <w:multiLevelType w:val="multilevel"/>
    <w:tmpl w:val="0FAA227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108C75A6"/>
    <w:multiLevelType w:val="multilevel"/>
    <w:tmpl w:val="108C75A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7">
    <w:nsid w:val="207A194D"/>
    <w:multiLevelType w:val="multilevel"/>
    <w:tmpl w:val="207A194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22094489"/>
    <w:multiLevelType w:val="multilevel"/>
    <w:tmpl w:val="22094489"/>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231B7309"/>
    <w:multiLevelType w:val="multilevel"/>
    <w:tmpl w:val="231B730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2E5F24CC"/>
    <w:multiLevelType w:val="multilevel"/>
    <w:tmpl w:val="2E5F24C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3">
    <w:nsid w:val="435A1663"/>
    <w:multiLevelType w:val="multilevel"/>
    <w:tmpl w:val="435A166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7">
    <w:nsid w:val="4CB62219"/>
    <w:multiLevelType w:val="multilevel"/>
    <w:tmpl w:val="4CB62219"/>
    <w:lvl w:ilvl="0" w:tentative="0">
      <w:start w:val="7"/>
      <w:numFmt w:val="decimal"/>
      <w:lvlText w:val="%1"/>
      <w:lvlJc w:val="left"/>
      <w:pPr>
        <w:ind w:left="360" w:hanging="360"/>
      </w:pPr>
      <w:rPr>
        <w:rFonts w:hint="default"/>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8">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20373A8"/>
    <w:multiLevelType w:val="multilevel"/>
    <w:tmpl w:val="520373A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1">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5">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6">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7">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7B01BA7"/>
    <w:multiLevelType w:val="multilevel"/>
    <w:tmpl w:val="67B01BA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6880365C"/>
    <w:multiLevelType w:val="multilevel"/>
    <w:tmpl w:val="6880365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0">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1">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4">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5">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6">
    <w:nsid w:val="74827A5C"/>
    <w:multiLevelType w:val="multilevel"/>
    <w:tmpl w:val="74827A5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D5A79F0"/>
    <w:multiLevelType w:val="multilevel"/>
    <w:tmpl w:val="7D5A79F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3"/>
  </w:num>
  <w:num w:numId="2">
    <w:abstractNumId w:val="43"/>
  </w:num>
  <w:num w:numId="3">
    <w:abstractNumId w:val="10"/>
  </w:num>
  <w:num w:numId="4">
    <w:abstractNumId w:val="37"/>
  </w:num>
  <w:num w:numId="5">
    <w:abstractNumId w:val="32"/>
  </w:num>
  <w:num w:numId="6">
    <w:abstractNumId w:val="25"/>
  </w:num>
  <w:num w:numId="7">
    <w:abstractNumId w:val="15"/>
  </w:num>
  <w:num w:numId="8">
    <w:abstractNumId w:val="8"/>
  </w:num>
  <w:num w:numId="9">
    <w:abstractNumId w:val="16"/>
  </w:num>
  <w:num w:numId="10">
    <w:abstractNumId w:val="30"/>
  </w:num>
  <w:num w:numId="11">
    <w:abstractNumId w:val="41"/>
  </w:num>
  <w:num w:numId="12">
    <w:abstractNumId w:val="22"/>
  </w:num>
  <w:num w:numId="13">
    <w:abstractNumId w:val="18"/>
  </w:num>
  <w:num w:numId="14">
    <w:abstractNumId w:val="14"/>
  </w:num>
  <w:num w:numId="15">
    <w:abstractNumId w:val="33"/>
  </w:num>
  <w:num w:numId="16">
    <w:abstractNumId w:val="35"/>
  </w:num>
  <w:num w:numId="17">
    <w:abstractNumId w:val="31"/>
  </w:num>
  <w:num w:numId="18">
    <w:abstractNumId w:val="45"/>
  </w:num>
  <w:num w:numId="19">
    <w:abstractNumId w:val="28"/>
  </w:num>
  <w:num w:numId="20">
    <w:abstractNumId w:val="5"/>
  </w:num>
  <w:num w:numId="21">
    <w:abstractNumId w:val="20"/>
  </w:num>
  <w:num w:numId="22">
    <w:abstractNumId w:val="47"/>
  </w:num>
  <w:num w:numId="23">
    <w:abstractNumId w:val="34"/>
  </w:num>
  <w:num w:numId="24">
    <w:abstractNumId w:val="11"/>
  </w:num>
  <w:num w:numId="25">
    <w:abstractNumId w:val="42"/>
  </w:num>
  <w:num w:numId="26">
    <w:abstractNumId w:val="44"/>
  </w:num>
  <w:num w:numId="27">
    <w:abstractNumId w:val="6"/>
  </w:num>
  <w:num w:numId="28">
    <w:abstractNumId w:val="9"/>
  </w:num>
  <w:num w:numId="29">
    <w:abstractNumId w:val="26"/>
  </w:num>
  <w:num w:numId="30">
    <w:abstractNumId w:val="40"/>
  </w:num>
  <w:num w:numId="31">
    <w:abstractNumId w:val="3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9"/>
  </w:num>
  <w:num w:numId="54">
    <w:abstractNumId w:val="13"/>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48"/>
  </w:num>
  <w:num w:numId="63">
    <w:abstractNumId w:val="7"/>
  </w:num>
  <w:num w:numId="64">
    <w:abstractNumId w:val="4"/>
  </w:num>
  <w:num w:numId="65">
    <w:abstractNumId w:val="23"/>
  </w:num>
  <w:num w:numId="66">
    <w:abstractNumId w:val="12"/>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num>
  <w:num w:numId="73">
    <w:abstractNumId w:val="46"/>
  </w:num>
  <w:num w:numId="74">
    <w:abstractNumId w:val="39"/>
  </w:num>
  <w:num w:numId="75">
    <w:abstractNumId w:val="19"/>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num>
  <w:num w:numId="87">
    <w:abstractNumId w:val="0"/>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越">
    <w15:presenceInfo w15:providerId="None" w15:userId="付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doNotCompress"/>
  <w:footnotePr>
    <w:footnote w:id="20"/>
    <w:footnote w:id="2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C8"/>
    <w:rsid w:val="0000040A"/>
    <w:rsid w:val="00000A94"/>
    <w:rsid w:val="00001972"/>
    <w:rsid w:val="00001AA6"/>
    <w:rsid w:val="00001D9A"/>
    <w:rsid w:val="00002331"/>
    <w:rsid w:val="000052FA"/>
    <w:rsid w:val="00007AD7"/>
    <w:rsid w:val="00007B3A"/>
    <w:rsid w:val="000103F2"/>
    <w:rsid w:val="000107E0"/>
    <w:rsid w:val="00010DD9"/>
    <w:rsid w:val="00011FDE"/>
    <w:rsid w:val="00012FFD"/>
    <w:rsid w:val="00014162"/>
    <w:rsid w:val="00014340"/>
    <w:rsid w:val="00015D64"/>
    <w:rsid w:val="00016A9C"/>
    <w:rsid w:val="00022184"/>
    <w:rsid w:val="00022372"/>
    <w:rsid w:val="00022762"/>
    <w:rsid w:val="000238E0"/>
    <w:rsid w:val="000249DB"/>
    <w:rsid w:val="0002595E"/>
    <w:rsid w:val="00027A67"/>
    <w:rsid w:val="000303C3"/>
    <w:rsid w:val="000331D3"/>
    <w:rsid w:val="000346A5"/>
    <w:rsid w:val="000359C3"/>
    <w:rsid w:val="00035A7D"/>
    <w:rsid w:val="0004249A"/>
    <w:rsid w:val="00043282"/>
    <w:rsid w:val="00044286"/>
    <w:rsid w:val="00047F28"/>
    <w:rsid w:val="0005005B"/>
    <w:rsid w:val="000503AA"/>
    <w:rsid w:val="000506A1"/>
    <w:rsid w:val="000515DD"/>
    <w:rsid w:val="0005265A"/>
    <w:rsid w:val="0005370C"/>
    <w:rsid w:val="000539DD"/>
    <w:rsid w:val="00053BD3"/>
    <w:rsid w:val="000556ED"/>
    <w:rsid w:val="00055FE2"/>
    <w:rsid w:val="0005616F"/>
    <w:rsid w:val="0006024F"/>
    <w:rsid w:val="00060C2E"/>
    <w:rsid w:val="00061033"/>
    <w:rsid w:val="000619E9"/>
    <w:rsid w:val="000622D4"/>
    <w:rsid w:val="000629A0"/>
    <w:rsid w:val="0006357D"/>
    <w:rsid w:val="00063CF5"/>
    <w:rsid w:val="000655E4"/>
    <w:rsid w:val="00067F1E"/>
    <w:rsid w:val="00071CC0"/>
    <w:rsid w:val="00073C8C"/>
    <w:rsid w:val="00073FB1"/>
    <w:rsid w:val="00077B64"/>
    <w:rsid w:val="00080A1C"/>
    <w:rsid w:val="00082317"/>
    <w:rsid w:val="00083D2C"/>
    <w:rsid w:val="00086AA1"/>
    <w:rsid w:val="00087A77"/>
    <w:rsid w:val="00090CA6"/>
    <w:rsid w:val="000921D0"/>
    <w:rsid w:val="00092B8A"/>
    <w:rsid w:val="00092FB0"/>
    <w:rsid w:val="000934C5"/>
    <w:rsid w:val="00093D25"/>
    <w:rsid w:val="00094D73"/>
    <w:rsid w:val="00096D63"/>
    <w:rsid w:val="000A0B60"/>
    <w:rsid w:val="000A0EB8"/>
    <w:rsid w:val="000A0FDB"/>
    <w:rsid w:val="000A19CD"/>
    <w:rsid w:val="000A19FC"/>
    <w:rsid w:val="000A2445"/>
    <w:rsid w:val="000A296B"/>
    <w:rsid w:val="000A7311"/>
    <w:rsid w:val="000B060F"/>
    <w:rsid w:val="000B0670"/>
    <w:rsid w:val="000B1592"/>
    <w:rsid w:val="000B1FF2"/>
    <w:rsid w:val="000B3CDA"/>
    <w:rsid w:val="000B4672"/>
    <w:rsid w:val="000B52AE"/>
    <w:rsid w:val="000B5613"/>
    <w:rsid w:val="000B6A0B"/>
    <w:rsid w:val="000C0F6C"/>
    <w:rsid w:val="000C11DB"/>
    <w:rsid w:val="000C2FBD"/>
    <w:rsid w:val="000C3E10"/>
    <w:rsid w:val="000C4B41"/>
    <w:rsid w:val="000C57D6"/>
    <w:rsid w:val="000C72BA"/>
    <w:rsid w:val="000C7666"/>
    <w:rsid w:val="000D0A9C"/>
    <w:rsid w:val="000D1795"/>
    <w:rsid w:val="000D329A"/>
    <w:rsid w:val="000D3DBF"/>
    <w:rsid w:val="000D4B9C"/>
    <w:rsid w:val="000D4EB6"/>
    <w:rsid w:val="000D753B"/>
    <w:rsid w:val="000E18CF"/>
    <w:rsid w:val="000E1D10"/>
    <w:rsid w:val="000E4C9E"/>
    <w:rsid w:val="000E6FD7"/>
    <w:rsid w:val="000F06E1"/>
    <w:rsid w:val="000F0E3C"/>
    <w:rsid w:val="000F19D5"/>
    <w:rsid w:val="000F2E41"/>
    <w:rsid w:val="000F4AEA"/>
    <w:rsid w:val="000F6501"/>
    <w:rsid w:val="000F6667"/>
    <w:rsid w:val="000F67E9"/>
    <w:rsid w:val="000F6EF1"/>
    <w:rsid w:val="001016A7"/>
    <w:rsid w:val="00103DF3"/>
    <w:rsid w:val="0010436B"/>
    <w:rsid w:val="00104926"/>
    <w:rsid w:val="00107ACE"/>
    <w:rsid w:val="00113B1E"/>
    <w:rsid w:val="00115688"/>
    <w:rsid w:val="0011711C"/>
    <w:rsid w:val="00117799"/>
    <w:rsid w:val="00120FB6"/>
    <w:rsid w:val="00121B28"/>
    <w:rsid w:val="00124E4F"/>
    <w:rsid w:val="00125488"/>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478AB"/>
    <w:rsid w:val="00150BB1"/>
    <w:rsid w:val="001529E5"/>
    <w:rsid w:val="001538F2"/>
    <w:rsid w:val="00153C7E"/>
    <w:rsid w:val="00156B25"/>
    <w:rsid w:val="00156E1A"/>
    <w:rsid w:val="00157B55"/>
    <w:rsid w:val="001642FA"/>
    <w:rsid w:val="001649EB"/>
    <w:rsid w:val="00164BAF"/>
    <w:rsid w:val="00164FA8"/>
    <w:rsid w:val="00165065"/>
    <w:rsid w:val="00165434"/>
    <w:rsid w:val="0016580B"/>
    <w:rsid w:val="00165E62"/>
    <w:rsid w:val="00165F49"/>
    <w:rsid w:val="00166B88"/>
    <w:rsid w:val="0016770A"/>
    <w:rsid w:val="00170804"/>
    <w:rsid w:val="001708E9"/>
    <w:rsid w:val="0017340B"/>
    <w:rsid w:val="00173FB1"/>
    <w:rsid w:val="00176DFD"/>
    <w:rsid w:val="00177D2A"/>
    <w:rsid w:val="001852C9"/>
    <w:rsid w:val="00187BE5"/>
    <w:rsid w:val="00190087"/>
    <w:rsid w:val="001913C4"/>
    <w:rsid w:val="0019348F"/>
    <w:rsid w:val="00193A07"/>
    <w:rsid w:val="00194C95"/>
    <w:rsid w:val="00195C34"/>
    <w:rsid w:val="00196109"/>
    <w:rsid w:val="001A1101"/>
    <w:rsid w:val="001A1A53"/>
    <w:rsid w:val="001A234A"/>
    <w:rsid w:val="001A76CB"/>
    <w:rsid w:val="001B06E8"/>
    <w:rsid w:val="001B1299"/>
    <w:rsid w:val="001B71D0"/>
    <w:rsid w:val="001B71EE"/>
    <w:rsid w:val="001C04A8"/>
    <w:rsid w:val="001C2C03"/>
    <w:rsid w:val="001C42F7"/>
    <w:rsid w:val="001C49E5"/>
    <w:rsid w:val="001C5645"/>
    <w:rsid w:val="001C612F"/>
    <w:rsid w:val="001C680C"/>
    <w:rsid w:val="001C7FBC"/>
    <w:rsid w:val="001C7FEA"/>
    <w:rsid w:val="001D0499"/>
    <w:rsid w:val="001D0BBE"/>
    <w:rsid w:val="001D0ED4"/>
    <w:rsid w:val="001D1C53"/>
    <w:rsid w:val="001D212F"/>
    <w:rsid w:val="001D29D7"/>
    <w:rsid w:val="001D2DE7"/>
    <w:rsid w:val="001D411C"/>
    <w:rsid w:val="001E03BB"/>
    <w:rsid w:val="001E1B6A"/>
    <w:rsid w:val="001E2484"/>
    <w:rsid w:val="001E3135"/>
    <w:rsid w:val="001E3CC4"/>
    <w:rsid w:val="001E4882"/>
    <w:rsid w:val="001E638D"/>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7767"/>
    <w:rsid w:val="002204BB"/>
    <w:rsid w:val="00221B79"/>
    <w:rsid w:val="00221C6B"/>
    <w:rsid w:val="00223394"/>
    <w:rsid w:val="002253A1"/>
    <w:rsid w:val="00225CF8"/>
    <w:rsid w:val="0022725D"/>
    <w:rsid w:val="00227790"/>
    <w:rsid w:val="0022794E"/>
    <w:rsid w:val="00233D64"/>
    <w:rsid w:val="0023482A"/>
    <w:rsid w:val="00234C5A"/>
    <w:rsid w:val="002359CB"/>
    <w:rsid w:val="002375D9"/>
    <w:rsid w:val="0023799D"/>
    <w:rsid w:val="00237B00"/>
    <w:rsid w:val="00240040"/>
    <w:rsid w:val="00243540"/>
    <w:rsid w:val="0024497B"/>
    <w:rsid w:val="0024515B"/>
    <w:rsid w:val="00246021"/>
    <w:rsid w:val="0024666E"/>
    <w:rsid w:val="00247F52"/>
    <w:rsid w:val="0025010F"/>
    <w:rsid w:val="00250B25"/>
    <w:rsid w:val="00250BBE"/>
    <w:rsid w:val="0025194F"/>
    <w:rsid w:val="00252BBF"/>
    <w:rsid w:val="0026023B"/>
    <w:rsid w:val="0026148A"/>
    <w:rsid w:val="00262696"/>
    <w:rsid w:val="002637F8"/>
    <w:rsid w:val="002643C3"/>
    <w:rsid w:val="00264A0C"/>
    <w:rsid w:val="00265848"/>
    <w:rsid w:val="00266B9D"/>
    <w:rsid w:val="00267E5F"/>
    <w:rsid w:val="00267EF4"/>
    <w:rsid w:val="00270CB8"/>
    <w:rsid w:val="00272375"/>
    <w:rsid w:val="00272B08"/>
    <w:rsid w:val="00274D15"/>
    <w:rsid w:val="00280703"/>
    <w:rsid w:val="002819F3"/>
    <w:rsid w:val="00281BB8"/>
    <w:rsid w:val="00281E9E"/>
    <w:rsid w:val="00283A28"/>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291A"/>
    <w:rsid w:val="002A3AAB"/>
    <w:rsid w:val="002A4CEA"/>
    <w:rsid w:val="002A5977"/>
    <w:rsid w:val="002A5A13"/>
    <w:rsid w:val="002A7F44"/>
    <w:rsid w:val="002B0C40"/>
    <w:rsid w:val="002B1966"/>
    <w:rsid w:val="002B1EEA"/>
    <w:rsid w:val="002B33A5"/>
    <w:rsid w:val="002B3E54"/>
    <w:rsid w:val="002B4508"/>
    <w:rsid w:val="002B5779"/>
    <w:rsid w:val="002B7332"/>
    <w:rsid w:val="002B7F51"/>
    <w:rsid w:val="002C09E7"/>
    <w:rsid w:val="002C10B0"/>
    <w:rsid w:val="002C1B28"/>
    <w:rsid w:val="002C2E34"/>
    <w:rsid w:val="002C3F07"/>
    <w:rsid w:val="002C5278"/>
    <w:rsid w:val="002C5F78"/>
    <w:rsid w:val="002C7EBB"/>
    <w:rsid w:val="002D06C1"/>
    <w:rsid w:val="002D107B"/>
    <w:rsid w:val="002D42B5"/>
    <w:rsid w:val="002D47CD"/>
    <w:rsid w:val="002D4F1A"/>
    <w:rsid w:val="002D6EC6"/>
    <w:rsid w:val="002D79AC"/>
    <w:rsid w:val="002E039D"/>
    <w:rsid w:val="002E33F2"/>
    <w:rsid w:val="002E4D5A"/>
    <w:rsid w:val="002E6326"/>
    <w:rsid w:val="002E7309"/>
    <w:rsid w:val="002F30E0"/>
    <w:rsid w:val="002F35E4"/>
    <w:rsid w:val="002F3730"/>
    <w:rsid w:val="002F38E1"/>
    <w:rsid w:val="002F7AF6"/>
    <w:rsid w:val="00300E63"/>
    <w:rsid w:val="00302F5F"/>
    <w:rsid w:val="00303539"/>
    <w:rsid w:val="0030441D"/>
    <w:rsid w:val="00305AA3"/>
    <w:rsid w:val="00306063"/>
    <w:rsid w:val="0030744D"/>
    <w:rsid w:val="00311547"/>
    <w:rsid w:val="003115C6"/>
    <w:rsid w:val="00311C85"/>
    <w:rsid w:val="00313B85"/>
    <w:rsid w:val="00314BDF"/>
    <w:rsid w:val="00317988"/>
    <w:rsid w:val="003221B4"/>
    <w:rsid w:val="00322C31"/>
    <w:rsid w:val="00322E62"/>
    <w:rsid w:val="00324EDD"/>
    <w:rsid w:val="0033206A"/>
    <w:rsid w:val="00332C78"/>
    <w:rsid w:val="00336C64"/>
    <w:rsid w:val="00337162"/>
    <w:rsid w:val="003416F0"/>
    <w:rsid w:val="0034194F"/>
    <w:rsid w:val="00344605"/>
    <w:rsid w:val="003474AA"/>
    <w:rsid w:val="00350D1D"/>
    <w:rsid w:val="00352C83"/>
    <w:rsid w:val="003605AB"/>
    <w:rsid w:val="003615D2"/>
    <w:rsid w:val="0036183E"/>
    <w:rsid w:val="0036223E"/>
    <w:rsid w:val="0036429C"/>
    <w:rsid w:val="00364A53"/>
    <w:rsid w:val="003654CB"/>
    <w:rsid w:val="00365F86"/>
    <w:rsid w:val="00365F87"/>
    <w:rsid w:val="00367BAF"/>
    <w:rsid w:val="003705F4"/>
    <w:rsid w:val="00370D58"/>
    <w:rsid w:val="00371316"/>
    <w:rsid w:val="003719DF"/>
    <w:rsid w:val="00376713"/>
    <w:rsid w:val="00381815"/>
    <w:rsid w:val="003819AF"/>
    <w:rsid w:val="003820E9"/>
    <w:rsid w:val="00382DE7"/>
    <w:rsid w:val="00384FFC"/>
    <w:rsid w:val="003865CC"/>
    <w:rsid w:val="003872FC"/>
    <w:rsid w:val="00387ADC"/>
    <w:rsid w:val="00390020"/>
    <w:rsid w:val="003903D6"/>
    <w:rsid w:val="003906E5"/>
    <w:rsid w:val="00390EE6"/>
    <w:rsid w:val="0039118F"/>
    <w:rsid w:val="00392AD7"/>
    <w:rsid w:val="00392C1E"/>
    <w:rsid w:val="003938D9"/>
    <w:rsid w:val="00394376"/>
    <w:rsid w:val="003943FF"/>
    <w:rsid w:val="00394458"/>
    <w:rsid w:val="003974EB"/>
    <w:rsid w:val="00397CC5"/>
    <w:rsid w:val="003A1582"/>
    <w:rsid w:val="003A1FAE"/>
    <w:rsid w:val="003A4077"/>
    <w:rsid w:val="003A4B2A"/>
    <w:rsid w:val="003B09AD"/>
    <w:rsid w:val="003B1F18"/>
    <w:rsid w:val="003B5BF0"/>
    <w:rsid w:val="003B60BF"/>
    <w:rsid w:val="003B6BE3"/>
    <w:rsid w:val="003C010C"/>
    <w:rsid w:val="003C0A6C"/>
    <w:rsid w:val="003C2126"/>
    <w:rsid w:val="003C4717"/>
    <w:rsid w:val="003C5A43"/>
    <w:rsid w:val="003C6314"/>
    <w:rsid w:val="003C67CE"/>
    <w:rsid w:val="003D0519"/>
    <w:rsid w:val="003D0FF6"/>
    <w:rsid w:val="003D257E"/>
    <w:rsid w:val="003D262C"/>
    <w:rsid w:val="003D6D61"/>
    <w:rsid w:val="003E091D"/>
    <w:rsid w:val="003E1C53"/>
    <w:rsid w:val="003E2A69"/>
    <w:rsid w:val="003E2D49"/>
    <w:rsid w:val="003E2FD4"/>
    <w:rsid w:val="003E49F6"/>
    <w:rsid w:val="003F0841"/>
    <w:rsid w:val="003F23D3"/>
    <w:rsid w:val="003F3F08"/>
    <w:rsid w:val="003F49F1"/>
    <w:rsid w:val="003F6272"/>
    <w:rsid w:val="00400BE9"/>
    <w:rsid w:val="00400E72"/>
    <w:rsid w:val="00401400"/>
    <w:rsid w:val="00404869"/>
    <w:rsid w:val="00405884"/>
    <w:rsid w:val="00406812"/>
    <w:rsid w:val="00407D39"/>
    <w:rsid w:val="004127BC"/>
    <w:rsid w:val="00412F4D"/>
    <w:rsid w:val="00414125"/>
    <w:rsid w:val="0041477A"/>
    <w:rsid w:val="004167A3"/>
    <w:rsid w:val="00416D65"/>
    <w:rsid w:val="0041701E"/>
    <w:rsid w:val="0042030B"/>
    <w:rsid w:val="00432DAA"/>
    <w:rsid w:val="00434305"/>
    <w:rsid w:val="004347D3"/>
    <w:rsid w:val="0043580C"/>
    <w:rsid w:val="00435DF7"/>
    <w:rsid w:val="004378B4"/>
    <w:rsid w:val="0044083F"/>
    <w:rsid w:val="00440F18"/>
    <w:rsid w:val="00441AE7"/>
    <w:rsid w:val="00441DDA"/>
    <w:rsid w:val="00445574"/>
    <w:rsid w:val="004467FB"/>
    <w:rsid w:val="00452D6B"/>
    <w:rsid w:val="0045373F"/>
    <w:rsid w:val="004537FA"/>
    <w:rsid w:val="00454402"/>
    <w:rsid w:val="00454484"/>
    <w:rsid w:val="0045517B"/>
    <w:rsid w:val="004554F6"/>
    <w:rsid w:val="004567D0"/>
    <w:rsid w:val="00463B77"/>
    <w:rsid w:val="00463C7B"/>
    <w:rsid w:val="004644A6"/>
    <w:rsid w:val="004659BD"/>
    <w:rsid w:val="00466834"/>
    <w:rsid w:val="004674CB"/>
    <w:rsid w:val="00470775"/>
    <w:rsid w:val="004746B1"/>
    <w:rsid w:val="0047583F"/>
    <w:rsid w:val="0048321A"/>
    <w:rsid w:val="00484936"/>
    <w:rsid w:val="00485C89"/>
    <w:rsid w:val="00485E4A"/>
    <w:rsid w:val="00486BE3"/>
    <w:rsid w:val="004904EB"/>
    <w:rsid w:val="004905E4"/>
    <w:rsid w:val="00490A89"/>
    <w:rsid w:val="00490AB4"/>
    <w:rsid w:val="00492F02"/>
    <w:rsid w:val="004937FB"/>
    <w:rsid w:val="004939AE"/>
    <w:rsid w:val="00493D58"/>
    <w:rsid w:val="00496062"/>
    <w:rsid w:val="004A12DF"/>
    <w:rsid w:val="004A1BA8"/>
    <w:rsid w:val="004A33BE"/>
    <w:rsid w:val="004A4B57"/>
    <w:rsid w:val="004A63FA"/>
    <w:rsid w:val="004B2701"/>
    <w:rsid w:val="004B2E1B"/>
    <w:rsid w:val="004B3E93"/>
    <w:rsid w:val="004B70A8"/>
    <w:rsid w:val="004C1FBC"/>
    <w:rsid w:val="004C3F1D"/>
    <w:rsid w:val="004C458D"/>
    <w:rsid w:val="004C4EA7"/>
    <w:rsid w:val="004C716D"/>
    <w:rsid w:val="004C7556"/>
    <w:rsid w:val="004C7E9D"/>
    <w:rsid w:val="004C7F67"/>
    <w:rsid w:val="004D02E2"/>
    <w:rsid w:val="004D076D"/>
    <w:rsid w:val="004D0EF1"/>
    <w:rsid w:val="004D2253"/>
    <w:rsid w:val="004D4406"/>
    <w:rsid w:val="004D74F9"/>
    <w:rsid w:val="004D77AB"/>
    <w:rsid w:val="004D7C42"/>
    <w:rsid w:val="004E0465"/>
    <w:rsid w:val="004E0511"/>
    <w:rsid w:val="004E127B"/>
    <w:rsid w:val="004E1C0A"/>
    <w:rsid w:val="004E30C5"/>
    <w:rsid w:val="004E4AA5"/>
    <w:rsid w:val="004E4AEE"/>
    <w:rsid w:val="004E59A0"/>
    <w:rsid w:val="004E59E3"/>
    <w:rsid w:val="004E67C0"/>
    <w:rsid w:val="004F0631"/>
    <w:rsid w:val="004F17C8"/>
    <w:rsid w:val="004F25D7"/>
    <w:rsid w:val="004F2FCE"/>
    <w:rsid w:val="004F391A"/>
    <w:rsid w:val="004F3CFB"/>
    <w:rsid w:val="004F6456"/>
    <w:rsid w:val="004F696E"/>
    <w:rsid w:val="004F6C71"/>
    <w:rsid w:val="00501139"/>
    <w:rsid w:val="0050363E"/>
    <w:rsid w:val="005039BC"/>
    <w:rsid w:val="00503AEC"/>
    <w:rsid w:val="00504302"/>
    <w:rsid w:val="00504353"/>
    <w:rsid w:val="005043BB"/>
    <w:rsid w:val="00504A3D"/>
    <w:rsid w:val="00505767"/>
    <w:rsid w:val="005073F0"/>
    <w:rsid w:val="00510A7B"/>
    <w:rsid w:val="00510BB0"/>
    <w:rsid w:val="0051272B"/>
    <w:rsid w:val="00512F6E"/>
    <w:rsid w:val="00513038"/>
    <w:rsid w:val="00514174"/>
    <w:rsid w:val="00514DF9"/>
    <w:rsid w:val="00516088"/>
    <w:rsid w:val="00516B0B"/>
    <w:rsid w:val="005211DE"/>
    <w:rsid w:val="00521578"/>
    <w:rsid w:val="005220EC"/>
    <w:rsid w:val="00523461"/>
    <w:rsid w:val="00523F95"/>
    <w:rsid w:val="00524D65"/>
    <w:rsid w:val="00525B16"/>
    <w:rsid w:val="00533D04"/>
    <w:rsid w:val="00534286"/>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715C"/>
    <w:rsid w:val="00561369"/>
    <w:rsid w:val="00561475"/>
    <w:rsid w:val="0056487B"/>
    <w:rsid w:val="00564FB9"/>
    <w:rsid w:val="0056505A"/>
    <w:rsid w:val="00570904"/>
    <w:rsid w:val="00573D9E"/>
    <w:rsid w:val="005745AF"/>
    <w:rsid w:val="00574F18"/>
    <w:rsid w:val="005801E3"/>
    <w:rsid w:val="005817C9"/>
    <w:rsid w:val="00581802"/>
    <w:rsid w:val="005836A8"/>
    <w:rsid w:val="00584262"/>
    <w:rsid w:val="00585B50"/>
    <w:rsid w:val="00586630"/>
    <w:rsid w:val="00587ADD"/>
    <w:rsid w:val="00591F46"/>
    <w:rsid w:val="005931D9"/>
    <w:rsid w:val="00596160"/>
    <w:rsid w:val="005966E2"/>
    <w:rsid w:val="00597007"/>
    <w:rsid w:val="005A0966"/>
    <w:rsid w:val="005A11B7"/>
    <w:rsid w:val="005A1E34"/>
    <w:rsid w:val="005A260B"/>
    <w:rsid w:val="005A2E0C"/>
    <w:rsid w:val="005A4A1B"/>
    <w:rsid w:val="005A631C"/>
    <w:rsid w:val="005A7830"/>
    <w:rsid w:val="005A7FCE"/>
    <w:rsid w:val="005B0A5D"/>
    <w:rsid w:val="005B0AB5"/>
    <w:rsid w:val="005B0F3F"/>
    <w:rsid w:val="005B4903"/>
    <w:rsid w:val="005B51CE"/>
    <w:rsid w:val="005B5885"/>
    <w:rsid w:val="005B5CD7"/>
    <w:rsid w:val="005B6CF6"/>
    <w:rsid w:val="005B7422"/>
    <w:rsid w:val="005C01D3"/>
    <w:rsid w:val="005C29B8"/>
    <w:rsid w:val="005C3B98"/>
    <w:rsid w:val="005C417B"/>
    <w:rsid w:val="005C553A"/>
    <w:rsid w:val="005C5F21"/>
    <w:rsid w:val="005C7156"/>
    <w:rsid w:val="005D0266"/>
    <w:rsid w:val="005D0C75"/>
    <w:rsid w:val="005D4171"/>
    <w:rsid w:val="005D5D16"/>
    <w:rsid w:val="005D5D95"/>
    <w:rsid w:val="005D6A95"/>
    <w:rsid w:val="005D6B2C"/>
    <w:rsid w:val="005D6D9C"/>
    <w:rsid w:val="005E2335"/>
    <w:rsid w:val="005E34CA"/>
    <w:rsid w:val="005E3C18"/>
    <w:rsid w:val="005E727F"/>
    <w:rsid w:val="005E7881"/>
    <w:rsid w:val="005E78E0"/>
    <w:rsid w:val="005F0D9C"/>
    <w:rsid w:val="005F284E"/>
    <w:rsid w:val="005F5ED3"/>
    <w:rsid w:val="005F7AB1"/>
    <w:rsid w:val="006002B2"/>
    <w:rsid w:val="006015CE"/>
    <w:rsid w:val="006033A7"/>
    <w:rsid w:val="00604784"/>
    <w:rsid w:val="00606419"/>
    <w:rsid w:val="00607D29"/>
    <w:rsid w:val="00612952"/>
    <w:rsid w:val="00614CC1"/>
    <w:rsid w:val="00615A9D"/>
    <w:rsid w:val="006162BE"/>
    <w:rsid w:val="00616BBB"/>
    <w:rsid w:val="00617387"/>
    <w:rsid w:val="006252D8"/>
    <w:rsid w:val="00625764"/>
    <w:rsid w:val="006259BC"/>
    <w:rsid w:val="00625E83"/>
    <w:rsid w:val="0062636B"/>
    <w:rsid w:val="00626922"/>
    <w:rsid w:val="00631EDB"/>
    <w:rsid w:val="00632182"/>
    <w:rsid w:val="00632AE0"/>
    <w:rsid w:val="00633C17"/>
    <w:rsid w:val="00634C6F"/>
    <w:rsid w:val="00636E3E"/>
    <w:rsid w:val="006379F7"/>
    <w:rsid w:val="00637E4D"/>
    <w:rsid w:val="00640620"/>
    <w:rsid w:val="00641A1F"/>
    <w:rsid w:val="006449BB"/>
    <w:rsid w:val="00645904"/>
    <w:rsid w:val="00645E5C"/>
    <w:rsid w:val="00651ACB"/>
    <w:rsid w:val="00651C47"/>
    <w:rsid w:val="00652AB2"/>
    <w:rsid w:val="00654EC0"/>
    <w:rsid w:val="0065525B"/>
    <w:rsid w:val="006559F7"/>
    <w:rsid w:val="00655D4F"/>
    <w:rsid w:val="006563D9"/>
    <w:rsid w:val="006640E5"/>
    <w:rsid w:val="00664679"/>
    <w:rsid w:val="006646F1"/>
    <w:rsid w:val="00664929"/>
    <w:rsid w:val="00664F62"/>
    <w:rsid w:val="006655E1"/>
    <w:rsid w:val="00666BF9"/>
    <w:rsid w:val="00672060"/>
    <w:rsid w:val="0067218E"/>
    <w:rsid w:val="00672BFD"/>
    <w:rsid w:val="006770F4"/>
    <w:rsid w:val="00677A84"/>
    <w:rsid w:val="0068026D"/>
    <w:rsid w:val="00680A27"/>
    <w:rsid w:val="006816A4"/>
    <w:rsid w:val="006819B8"/>
    <w:rsid w:val="006840A6"/>
    <w:rsid w:val="006850CD"/>
    <w:rsid w:val="00685AAB"/>
    <w:rsid w:val="0068781A"/>
    <w:rsid w:val="006921C1"/>
    <w:rsid w:val="006A07AA"/>
    <w:rsid w:val="006A25E5"/>
    <w:rsid w:val="006A284A"/>
    <w:rsid w:val="006A2B46"/>
    <w:rsid w:val="006A2CF4"/>
    <w:rsid w:val="006A336D"/>
    <w:rsid w:val="006A37B9"/>
    <w:rsid w:val="006A782F"/>
    <w:rsid w:val="006A7904"/>
    <w:rsid w:val="006B0C25"/>
    <w:rsid w:val="006B1EE0"/>
    <w:rsid w:val="006B2672"/>
    <w:rsid w:val="006B32C7"/>
    <w:rsid w:val="006B4471"/>
    <w:rsid w:val="006B54BF"/>
    <w:rsid w:val="006B5F44"/>
    <w:rsid w:val="006B5F90"/>
    <w:rsid w:val="006B62E4"/>
    <w:rsid w:val="006B7166"/>
    <w:rsid w:val="006C0958"/>
    <w:rsid w:val="006C1BBA"/>
    <w:rsid w:val="006C2079"/>
    <w:rsid w:val="006C2137"/>
    <w:rsid w:val="006C5A62"/>
    <w:rsid w:val="006C5D68"/>
    <w:rsid w:val="006C6976"/>
    <w:rsid w:val="006C6DD0"/>
    <w:rsid w:val="006D04EA"/>
    <w:rsid w:val="006D16C4"/>
    <w:rsid w:val="006D3E96"/>
    <w:rsid w:val="006D4515"/>
    <w:rsid w:val="006D4BB1"/>
    <w:rsid w:val="006D565E"/>
    <w:rsid w:val="006D6593"/>
    <w:rsid w:val="006D7299"/>
    <w:rsid w:val="006E5658"/>
    <w:rsid w:val="006E5DEE"/>
    <w:rsid w:val="006E7BBF"/>
    <w:rsid w:val="006F03A8"/>
    <w:rsid w:val="006F0CF1"/>
    <w:rsid w:val="006F0ED7"/>
    <w:rsid w:val="006F2ACA"/>
    <w:rsid w:val="006F2ADC"/>
    <w:rsid w:val="006F2BFE"/>
    <w:rsid w:val="006F31E9"/>
    <w:rsid w:val="006F6284"/>
    <w:rsid w:val="007002C5"/>
    <w:rsid w:val="00704387"/>
    <w:rsid w:val="00707669"/>
    <w:rsid w:val="00711CBA"/>
    <w:rsid w:val="00711FB5"/>
    <w:rsid w:val="00712A01"/>
    <w:rsid w:val="00714F58"/>
    <w:rsid w:val="00717C0A"/>
    <w:rsid w:val="00722FBF"/>
    <w:rsid w:val="00722FC2"/>
    <w:rsid w:val="007250A3"/>
    <w:rsid w:val="00725949"/>
    <w:rsid w:val="00727FA2"/>
    <w:rsid w:val="007322D9"/>
    <w:rsid w:val="0073290B"/>
    <w:rsid w:val="00732BC0"/>
    <w:rsid w:val="007331AD"/>
    <w:rsid w:val="0073720F"/>
    <w:rsid w:val="00737796"/>
    <w:rsid w:val="0074165C"/>
    <w:rsid w:val="007432CA"/>
    <w:rsid w:val="007439EB"/>
    <w:rsid w:val="00743CB4"/>
    <w:rsid w:val="00743F0A"/>
    <w:rsid w:val="007444E8"/>
    <w:rsid w:val="0074548E"/>
    <w:rsid w:val="00745773"/>
    <w:rsid w:val="0074604C"/>
    <w:rsid w:val="00746800"/>
    <w:rsid w:val="007501A8"/>
    <w:rsid w:val="00750EE1"/>
    <w:rsid w:val="00752B4D"/>
    <w:rsid w:val="00755402"/>
    <w:rsid w:val="00756B26"/>
    <w:rsid w:val="00756EDF"/>
    <w:rsid w:val="00757895"/>
    <w:rsid w:val="007609A2"/>
    <w:rsid w:val="00761749"/>
    <w:rsid w:val="00762F11"/>
    <w:rsid w:val="00765C43"/>
    <w:rsid w:val="00765EFB"/>
    <w:rsid w:val="007671CA"/>
    <w:rsid w:val="00767C61"/>
    <w:rsid w:val="0077008A"/>
    <w:rsid w:val="0077082C"/>
    <w:rsid w:val="00773C1F"/>
    <w:rsid w:val="007744A2"/>
    <w:rsid w:val="00774DA4"/>
    <w:rsid w:val="00776599"/>
    <w:rsid w:val="00777B6D"/>
    <w:rsid w:val="00780113"/>
    <w:rsid w:val="0078114B"/>
    <w:rsid w:val="00781DD2"/>
    <w:rsid w:val="00783ECF"/>
    <w:rsid w:val="0078413A"/>
    <w:rsid w:val="0078470C"/>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8D1"/>
    <w:rsid w:val="007C2BD0"/>
    <w:rsid w:val="007C2D89"/>
    <w:rsid w:val="007C4593"/>
    <w:rsid w:val="007C5309"/>
    <w:rsid w:val="007C6069"/>
    <w:rsid w:val="007D06C4"/>
    <w:rsid w:val="007D1352"/>
    <w:rsid w:val="007D2508"/>
    <w:rsid w:val="007D346A"/>
    <w:rsid w:val="007D4686"/>
    <w:rsid w:val="007D6518"/>
    <w:rsid w:val="007D76BD"/>
    <w:rsid w:val="007D7A15"/>
    <w:rsid w:val="007E0BF1"/>
    <w:rsid w:val="007E2FD7"/>
    <w:rsid w:val="007E3EBC"/>
    <w:rsid w:val="007E5EF2"/>
    <w:rsid w:val="007F07BA"/>
    <w:rsid w:val="007F0ED8"/>
    <w:rsid w:val="007F0F63"/>
    <w:rsid w:val="007F34BE"/>
    <w:rsid w:val="007F75CE"/>
    <w:rsid w:val="008013A4"/>
    <w:rsid w:val="008027CE"/>
    <w:rsid w:val="00802F42"/>
    <w:rsid w:val="00804383"/>
    <w:rsid w:val="00804BB7"/>
    <w:rsid w:val="008055AA"/>
    <w:rsid w:val="00810257"/>
    <w:rsid w:val="008104F5"/>
    <w:rsid w:val="00811072"/>
    <w:rsid w:val="00811369"/>
    <w:rsid w:val="00814E50"/>
    <w:rsid w:val="00815419"/>
    <w:rsid w:val="008163C8"/>
    <w:rsid w:val="00817325"/>
    <w:rsid w:val="00817BFA"/>
    <w:rsid w:val="008209E6"/>
    <w:rsid w:val="00822A2B"/>
    <w:rsid w:val="00823303"/>
    <w:rsid w:val="008233B2"/>
    <w:rsid w:val="00823A9F"/>
    <w:rsid w:val="00823C85"/>
    <w:rsid w:val="00824AFE"/>
    <w:rsid w:val="00825138"/>
    <w:rsid w:val="008269DD"/>
    <w:rsid w:val="00827C12"/>
    <w:rsid w:val="00830621"/>
    <w:rsid w:val="0083348C"/>
    <w:rsid w:val="0083486F"/>
    <w:rsid w:val="00836B20"/>
    <w:rsid w:val="008373D3"/>
    <w:rsid w:val="00840617"/>
    <w:rsid w:val="00842A47"/>
    <w:rsid w:val="00843C13"/>
    <w:rsid w:val="008454F8"/>
    <w:rsid w:val="00851342"/>
    <w:rsid w:val="0085173A"/>
    <w:rsid w:val="00854563"/>
    <w:rsid w:val="008556F7"/>
    <w:rsid w:val="00857CF9"/>
    <w:rsid w:val="008603CE"/>
    <w:rsid w:val="008620FC"/>
    <w:rsid w:val="008627A5"/>
    <w:rsid w:val="00863E05"/>
    <w:rsid w:val="00865092"/>
    <w:rsid w:val="00865ACA"/>
    <w:rsid w:val="00865D28"/>
    <w:rsid w:val="00865E0F"/>
    <w:rsid w:val="00865F85"/>
    <w:rsid w:val="00867B02"/>
    <w:rsid w:val="00867C10"/>
    <w:rsid w:val="00870439"/>
    <w:rsid w:val="00870DA1"/>
    <w:rsid w:val="00871168"/>
    <w:rsid w:val="00883F93"/>
    <w:rsid w:val="00884DB3"/>
    <w:rsid w:val="0088559F"/>
    <w:rsid w:val="00885A9D"/>
    <w:rsid w:val="008864F6"/>
    <w:rsid w:val="0089049D"/>
    <w:rsid w:val="008928C9"/>
    <w:rsid w:val="008938DC"/>
    <w:rsid w:val="008939E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03DD"/>
    <w:rsid w:val="008C15ED"/>
    <w:rsid w:val="008C1797"/>
    <w:rsid w:val="008C219C"/>
    <w:rsid w:val="008C475E"/>
    <w:rsid w:val="008C4D94"/>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E4B"/>
    <w:rsid w:val="008F17A3"/>
    <w:rsid w:val="008F1ED3"/>
    <w:rsid w:val="008F4C29"/>
    <w:rsid w:val="008F53FD"/>
    <w:rsid w:val="008F70BD"/>
    <w:rsid w:val="008F788F"/>
    <w:rsid w:val="008F7EA2"/>
    <w:rsid w:val="00902722"/>
    <w:rsid w:val="009027BC"/>
    <w:rsid w:val="009062E6"/>
    <w:rsid w:val="00911BE5"/>
    <w:rsid w:val="00913098"/>
    <w:rsid w:val="00913CA9"/>
    <w:rsid w:val="009145AE"/>
    <w:rsid w:val="009146CE"/>
    <w:rsid w:val="00914CA7"/>
    <w:rsid w:val="00915695"/>
    <w:rsid w:val="00915C3E"/>
    <w:rsid w:val="00915CBE"/>
    <w:rsid w:val="009161A8"/>
    <w:rsid w:val="0091673D"/>
    <w:rsid w:val="009245F5"/>
    <w:rsid w:val="009249EC"/>
    <w:rsid w:val="00926375"/>
    <w:rsid w:val="009273B3"/>
    <w:rsid w:val="009305B5"/>
    <w:rsid w:val="00931711"/>
    <w:rsid w:val="00934C12"/>
    <w:rsid w:val="009356FD"/>
    <w:rsid w:val="00941E90"/>
    <w:rsid w:val="009429D5"/>
    <w:rsid w:val="00942BF1"/>
    <w:rsid w:val="00945180"/>
    <w:rsid w:val="00945428"/>
    <w:rsid w:val="0094607B"/>
    <w:rsid w:val="009505EA"/>
    <w:rsid w:val="00952C52"/>
    <w:rsid w:val="00953604"/>
    <w:rsid w:val="00954EFF"/>
    <w:rsid w:val="00955678"/>
    <w:rsid w:val="00955AE5"/>
    <w:rsid w:val="00957FA8"/>
    <w:rsid w:val="00960519"/>
    <w:rsid w:val="009610DC"/>
    <w:rsid w:val="00961490"/>
    <w:rsid w:val="0096381A"/>
    <w:rsid w:val="00965E04"/>
    <w:rsid w:val="009674AD"/>
    <w:rsid w:val="0097094E"/>
    <w:rsid w:val="00970C8C"/>
    <w:rsid w:val="00970CDC"/>
    <w:rsid w:val="0097618A"/>
    <w:rsid w:val="00977010"/>
    <w:rsid w:val="00977D02"/>
    <w:rsid w:val="009809BB"/>
    <w:rsid w:val="009810B7"/>
    <w:rsid w:val="00982D22"/>
    <w:rsid w:val="0098364B"/>
    <w:rsid w:val="00983BF9"/>
    <w:rsid w:val="009911AF"/>
    <w:rsid w:val="00991875"/>
    <w:rsid w:val="00991F92"/>
    <w:rsid w:val="00992985"/>
    <w:rsid w:val="00993889"/>
    <w:rsid w:val="00994F34"/>
    <w:rsid w:val="0099551B"/>
    <w:rsid w:val="00997BF1"/>
    <w:rsid w:val="00997CEA"/>
    <w:rsid w:val="009A089C"/>
    <w:rsid w:val="009A0B84"/>
    <w:rsid w:val="009A118E"/>
    <w:rsid w:val="009A21CD"/>
    <w:rsid w:val="009A278C"/>
    <w:rsid w:val="009A2BC2"/>
    <w:rsid w:val="009A3EEC"/>
    <w:rsid w:val="009A42C1"/>
    <w:rsid w:val="009A5429"/>
    <w:rsid w:val="009A56DB"/>
    <w:rsid w:val="009A72AD"/>
    <w:rsid w:val="009B042E"/>
    <w:rsid w:val="009B09E0"/>
    <w:rsid w:val="009B0BC5"/>
    <w:rsid w:val="009B1247"/>
    <w:rsid w:val="009B314E"/>
    <w:rsid w:val="009B43B0"/>
    <w:rsid w:val="009B5053"/>
    <w:rsid w:val="009B6029"/>
    <w:rsid w:val="009B67FF"/>
    <w:rsid w:val="009B6971"/>
    <w:rsid w:val="009C27F1"/>
    <w:rsid w:val="009C3152"/>
    <w:rsid w:val="009C4CFA"/>
    <w:rsid w:val="009C4F79"/>
    <w:rsid w:val="009C5070"/>
    <w:rsid w:val="009C5E4E"/>
    <w:rsid w:val="009C7228"/>
    <w:rsid w:val="009D112C"/>
    <w:rsid w:val="009D19F6"/>
    <w:rsid w:val="009D2EF9"/>
    <w:rsid w:val="009D47FA"/>
    <w:rsid w:val="009D50D2"/>
    <w:rsid w:val="009D5483"/>
    <w:rsid w:val="009D570B"/>
    <w:rsid w:val="009D6BCA"/>
    <w:rsid w:val="009E0F62"/>
    <w:rsid w:val="009E4A58"/>
    <w:rsid w:val="009E5A2D"/>
    <w:rsid w:val="009E5AB2"/>
    <w:rsid w:val="009E6219"/>
    <w:rsid w:val="009E7D1F"/>
    <w:rsid w:val="009F03B3"/>
    <w:rsid w:val="00A01757"/>
    <w:rsid w:val="00A028C0"/>
    <w:rsid w:val="00A02BAE"/>
    <w:rsid w:val="00A04943"/>
    <w:rsid w:val="00A055A3"/>
    <w:rsid w:val="00A06A6B"/>
    <w:rsid w:val="00A0704D"/>
    <w:rsid w:val="00A07E47"/>
    <w:rsid w:val="00A129D0"/>
    <w:rsid w:val="00A12C33"/>
    <w:rsid w:val="00A138BA"/>
    <w:rsid w:val="00A141A5"/>
    <w:rsid w:val="00A14C8E"/>
    <w:rsid w:val="00A14F4C"/>
    <w:rsid w:val="00A153D9"/>
    <w:rsid w:val="00A15F09"/>
    <w:rsid w:val="00A169B6"/>
    <w:rsid w:val="00A2271D"/>
    <w:rsid w:val="00A236E5"/>
    <w:rsid w:val="00A237D5"/>
    <w:rsid w:val="00A24F7B"/>
    <w:rsid w:val="00A30EFC"/>
    <w:rsid w:val="00A31984"/>
    <w:rsid w:val="00A327B5"/>
    <w:rsid w:val="00A32D73"/>
    <w:rsid w:val="00A32ECE"/>
    <w:rsid w:val="00A3367B"/>
    <w:rsid w:val="00A34EA6"/>
    <w:rsid w:val="00A3597D"/>
    <w:rsid w:val="00A40091"/>
    <w:rsid w:val="00A4030F"/>
    <w:rsid w:val="00A41C79"/>
    <w:rsid w:val="00A41CB5"/>
    <w:rsid w:val="00A42CDF"/>
    <w:rsid w:val="00A4452E"/>
    <w:rsid w:val="00A4472C"/>
    <w:rsid w:val="00A44E69"/>
    <w:rsid w:val="00A4661E"/>
    <w:rsid w:val="00A55BD6"/>
    <w:rsid w:val="00A55D50"/>
    <w:rsid w:val="00A57142"/>
    <w:rsid w:val="00A571C0"/>
    <w:rsid w:val="00A608BF"/>
    <w:rsid w:val="00A62528"/>
    <w:rsid w:val="00A63368"/>
    <w:rsid w:val="00A648CD"/>
    <w:rsid w:val="00A6537A"/>
    <w:rsid w:val="00A66CFB"/>
    <w:rsid w:val="00A67866"/>
    <w:rsid w:val="00A70B07"/>
    <w:rsid w:val="00A723F8"/>
    <w:rsid w:val="00A72CD8"/>
    <w:rsid w:val="00A77CCB"/>
    <w:rsid w:val="00A83D8D"/>
    <w:rsid w:val="00A8410A"/>
    <w:rsid w:val="00A8446B"/>
    <w:rsid w:val="00A8473F"/>
    <w:rsid w:val="00A862D6"/>
    <w:rsid w:val="00A865C7"/>
    <w:rsid w:val="00A86664"/>
    <w:rsid w:val="00A86A18"/>
    <w:rsid w:val="00A8715E"/>
    <w:rsid w:val="00A9295B"/>
    <w:rsid w:val="00A93B09"/>
    <w:rsid w:val="00A952D7"/>
    <w:rsid w:val="00A95595"/>
    <w:rsid w:val="00A963F7"/>
    <w:rsid w:val="00A96AD8"/>
    <w:rsid w:val="00A96B3C"/>
    <w:rsid w:val="00AA052C"/>
    <w:rsid w:val="00AA1E45"/>
    <w:rsid w:val="00AA2A24"/>
    <w:rsid w:val="00AA4286"/>
    <w:rsid w:val="00AA456B"/>
    <w:rsid w:val="00AA521A"/>
    <w:rsid w:val="00AA57F5"/>
    <w:rsid w:val="00AA5D8A"/>
    <w:rsid w:val="00AA672E"/>
    <w:rsid w:val="00AA6EC9"/>
    <w:rsid w:val="00AB6309"/>
    <w:rsid w:val="00AB6C5F"/>
    <w:rsid w:val="00AB70F6"/>
    <w:rsid w:val="00AB7129"/>
    <w:rsid w:val="00AC27A6"/>
    <w:rsid w:val="00AC30F7"/>
    <w:rsid w:val="00AC3400"/>
    <w:rsid w:val="00AC3A5A"/>
    <w:rsid w:val="00AC4A58"/>
    <w:rsid w:val="00AC4D95"/>
    <w:rsid w:val="00AC5DF4"/>
    <w:rsid w:val="00AD0AEF"/>
    <w:rsid w:val="00AD11B7"/>
    <w:rsid w:val="00AD1A94"/>
    <w:rsid w:val="00AD1C05"/>
    <w:rsid w:val="00AD2278"/>
    <w:rsid w:val="00AD29E8"/>
    <w:rsid w:val="00AD2F6E"/>
    <w:rsid w:val="00AD3367"/>
    <w:rsid w:val="00AD4126"/>
    <w:rsid w:val="00AD421C"/>
    <w:rsid w:val="00AD44FA"/>
    <w:rsid w:val="00AD5803"/>
    <w:rsid w:val="00AE070A"/>
    <w:rsid w:val="00AE07EB"/>
    <w:rsid w:val="00AE101C"/>
    <w:rsid w:val="00AE719D"/>
    <w:rsid w:val="00AF0C18"/>
    <w:rsid w:val="00AF3FB0"/>
    <w:rsid w:val="00AF47C5"/>
    <w:rsid w:val="00AF5398"/>
    <w:rsid w:val="00B049AF"/>
    <w:rsid w:val="00B05648"/>
    <w:rsid w:val="00B064BD"/>
    <w:rsid w:val="00B06C60"/>
    <w:rsid w:val="00B07242"/>
    <w:rsid w:val="00B10534"/>
    <w:rsid w:val="00B113DB"/>
    <w:rsid w:val="00B11D8A"/>
    <w:rsid w:val="00B12981"/>
    <w:rsid w:val="00B147DD"/>
    <w:rsid w:val="00B156FD"/>
    <w:rsid w:val="00B21F61"/>
    <w:rsid w:val="00B23045"/>
    <w:rsid w:val="00B23ADD"/>
    <w:rsid w:val="00B261F1"/>
    <w:rsid w:val="00B265BC"/>
    <w:rsid w:val="00B26B0E"/>
    <w:rsid w:val="00B27796"/>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525"/>
    <w:rsid w:val="00B56FBE"/>
    <w:rsid w:val="00B62B58"/>
    <w:rsid w:val="00B65149"/>
    <w:rsid w:val="00B66133"/>
    <w:rsid w:val="00B66567"/>
    <w:rsid w:val="00B66F52"/>
    <w:rsid w:val="00B66FE5"/>
    <w:rsid w:val="00B675B7"/>
    <w:rsid w:val="00B726DE"/>
    <w:rsid w:val="00B72880"/>
    <w:rsid w:val="00B734D2"/>
    <w:rsid w:val="00B74CE8"/>
    <w:rsid w:val="00B758BF"/>
    <w:rsid w:val="00B75952"/>
    <w:rsid w:val="00B827A6"/>
    <w:rsid w:val="00B831CE"/>
    <w:rsid w:val="00B84887"/>
    <w:rsid w:val="00B86677"/>
    <w:rsid w:val="00B87131"/>
    <w:rsid w:val="00B9127B"/>
    <w:rsid w:val="00B91566"/>
    <w:rsid w:val="00B930E4"/>
    <w:rsid w:val="00B9320C"/>
    <w:rsid w:val="00B939B1"/>
    <w:rsid w:val="00B96D40"/>
    <w:rsid w:val="00B97386"/>
    <w:rsid w:val="00BA1945"/>
    <w:rsid w:val="00BA22BD"/>
    <w:rsid w:val="00BA263B"/>
    <w:rsid w:val="00BA42B2"/>
    <w:rsid w:val="00BA58D4"/>
    <w:rsid w:val="00BA5B9E"/>
    <w:rsid w:val="00BA68C1"/>
    <w:rsid w:val="00BA7556"/>
    <w:rsid w:val="00BA7C9A"/>
    <w:rsid w:val="00BB260F"/>
    <w:rsid w:val="00BB5F8F"/>
    <w:rsid w:val="00BB657A"/>
    <w:rsid w:val="00BB66F8"/>
    <w:rsid w:val="00BB7A70"/>
    <w:rsid w:val="00BC1A4E"/>
    <w:rsid w:val="00BC5DC7"/>
    <w:rsid w:val="00BC6B8B"/>
    <w:rsid w:val="00BC73D8"/>
    <w:rsid w:val="00BD0803"/>
    <w:rsid w:val="00BD52D7"/>
    <w:rsid w:val="00BD5AD2"/>
    <w:rsid w:val="00BD6082"/>
    <w:rsid w:val="00BE22F3"/>
    <w:rsid w:val="00BE49EE"/>
    <w:rsid w:val="00BE5B52"/>
    <w:rsid w:val="00BE66A9"/>
    <w:rsid w:val="00BE7B8D"/>
    <w:rsid w:val="00BE7F60"/>
    <w:rsid w:val="00BF0993"/>
    <w:rsid w:val="00BF0DB7"/>
    <w:rsid w:val="00BF10A9"/>
    <w:rsid w:val="00BF1703"/>
    <w:rsid w:val="00BF1BCB"/>
    <w:rsid w:val="00BF1FAE"/>
    <w:rsid w:val="00BF231C"/>
    <w:rsid w:val="00BF3B55"/>
    <w:rsid w:val="00BF51E5"/>
    <w:rsid w:val="00BF6F5B"/>
    <w:rsid w:val="00BF74A6"/>
    <w:rsid w:val="00C013AD"/>
    <w:rsid w:val="00C04904"/>
    <w:rsid w:val="00C056B3"/>
    <w:rsid w:val="00C06C48"/>
    <w:rsid w:val="00C103E5"/>
    <w:rsid w:val="00C13319"/>
    <w:rsid w:val="00C13EE9"/>
    <w:rsid w:val="00C14D87"/>
    <w:rsid w:val="00C21540"/>
    <w:rsid w:val="00C21906"/>
    <w:rsid w:val="00C21BFA"/>
    <w:rsid w:val="00C24C8D"/>
    <w:rsid w:val="00C25ED6"/>
    <w:rsid w:val="00C25FE2"/>
    <w:rsid w:val="00C26B53"/>
    <w:rsid w:val="00C279B2"/>
    <w:rsid w:val="00C3242A"/>
    <w:rsid w:val="00C33E50"/>
    <w:rsid w:val="00C34C20"/>
    <w:rsid w:val="00C35A3E"/>
    <w:rsid w:val="00C37136"/>
    <w:rsid w:val="00C41A97"/>
    <w:rsid w:val="00C42130"/>
    <w:rsid w:val="00C423A4"/>
    <w:rsid w:val="00C43CE2"/>
    <w:rsid w:val="00C44BF5"/>
    <w:rsid w:val="00C50BA7"/>
    <w:rsid w:val="00C50E62"/>
    <w:rsid w:val="00C524DB"/>
    <w:rsid w:val="00C55232"/>
    <w:rsid w:val="00C553A4"/>
    <w:rsid w:val="00C55A06"/>
    <w:rsid w:val="00C55D03"/>
    <w:rsid w:val="00C601BC"/>
    <w:rsid w:val="00C619EF"/>
    <w:rsid w:val="00C6329F"/>
    <w:rsid w:val="00C63340"/>
    <w:rsid w:val="00C63B21"/>
    <w:rsid w:val="00C643F9"/>
    <w:rsid w:val="00C64E95"/>
    <w:rsid w:val="00C655FD"/>
    <w:rsid w:val="00C71372"/>
    <w:rsid w:val="00C72410"/>
    <w:rsid w:val="00C7287F"/>
    <w:rsid w:val="00C72F0E"/>
    <w:rsid w:val="00C734BC"/>
    <w:rsid w:val="00C807A2"/>
    <w:rsid w:val="00C80CB8"/>
    <w:rsid w:val="00C819F8"/>
    <w:rsid w:val="00C8248C"/>
    <w:rsid w:val="00C84E33"/>
    <w:rsid w:val="00C86D6F"/>
    <w:rsid w:val="00C905FC"/>
    <w:rsid w:val="00C914E1"/>
    <w:rsid w:val="00C92916"/>
    <w:rsid w:val="00C92D03"/>
    <w:rsid w:val="00C9319C"/>
    <w:rsid w:val="00C941EA"/>
    <w:rsid w:val="00C9435D"/>
    <w:rsid w:val="00C9517F"/>
    <w:rsid w:val="00C96741"/>
    <w:rsid w:val="00CA0357"/>
    <w:rsid w:val="00CA2D1B"/>
    <w:rsid w:val="00CA3D61"/>
    <w:rsid w:val="00CA482B"/>
    <w:rsid w:val="00CA662A"/>
    <w:rsid w:val="00CA7AFD"/>
    <w:rsid w:val="00CA7C3C"/>
    <w:rsid w:val="00CB0189"/>
    <w:rsid w:val="00CB0BA2"/>
    <w:rsid w:val="00CB1A42"/>
    <w:rsid w:val="00CB1B0C"/>
    <w:rsid w:val="00CB2C0B"/>
    <w:rsid w:val="00CB4C8A"/>
    <w:rsid w:val="00CB517D"/>
    <w:rsid w:val="00CB5D16"/>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002"/>
    <w:rsid w:val="00CE0C4F"/>
    <w:rsid w:val="00CE2839"/>
    <w:rsid w:val="00CE30EA"/>
    <w:rsid w:val="00CE5B7C"/>
    <w:rsid w:val="00CF048A"/>
    <w:rsid w:val="00CF1360"/>
    <w:rsid w:val="00CF155A"/>
    <w:rsid w:val="00CF18C2"/>
    <w:rsid w:val="00CF2947"/>
    <w:rsid w:val="00CF44B1"/>
    <w:rsid w:val="00CF686F"/>
    <w:rsid w:val="00CF6E60"/>
    <w:rsid w:val="00CF7A4E"/>
    <w:rsid w:val="00CF7BCA"/>
    <w:rsid w:val="00D008FD"/>
    <w:rsid w:val="00D0321C"/>
    <w:rsid w:val="00D035EC"/>
    <w:rsid w:val="00D03A8B"/>
    <w:rsid w:val="00D041A6"/>
    <w:rsid w:val="00D06AB1"/>
    <w:rsid w:val="00D072ED"/>
    <w:rsid w:val="00D07A16"/>
    <w:rsid w:val="00D1045E"/>
    <w:rsid w:val="00D1067E"/>
    <w:rsid w:val="00D10F50"/>
    <w:rsid w:val="00D11272"/>
    <w:rsid w:val="00D126F5"/>
    <w:rsid w:val="00D1489E"/>
    <w:rsid w:val="00D20737"/>
    <w:rsid w:val="00D21E81"/>
    <w:rsid w:val="00D223DE"/>
    <w:rsid w:val="00D228F0"/>
    <w:rsid w:val="00D25E37"/>
    <w:rsid w:val="00D2661A"/>
    <w:rsid w:val="00D27582"/>
    <w:rsid w:val="00D3074C"/>
    <w:rsid w:val="00D3093F"/>
    <w:rsid w:val="00D31B2C"/>
    <w:rsid w:val="00D32719"/>
    <w:rsid w:val="00D33333"/>
    <w:rsid w:val="00D352A2"/>
    <w:rsid w:val="00D35FED"/>
    <w:rsid w:val="00D37C75"/>
    <w:rsid w:val="00D40A83"/>
    <w:rsid w:val="00D415EA"/>
    <w:rsid w:val="00D4162B"/>
    <w:rsid w:val="00D42DC8"/>
    <w:rsid w:val="00D4514F"/>
    <w:rsid w:val="00D451E2"/>
    <w:rsid w:val="00D4545E"/>
    <w:rsid w:val="00D45E89"/>
    <w:rsid w:val="00D45E8D"/>
    <w:rsid w:val="00D466AE"/>
    <w:rsid w:val="00D4734F"/>
    <w:rsid w:val="00D51234"/>
    <w:rsid w:val="00D51BF3"/>
    <w:rsid w:val="00D56535"/>
    <w:rsid w:val="00D5672E"/>
    <w:rsid w:val="00D63276"/>
    <w:rsid w:val="00D66846"/>
    <w:rsid w:val="00D672D4"/>
    <w:rsid w:val="00D675FB"/>
    <w:rsid w:val="00D705F8"/>
    <w:rsid w:val="00D70A20"/>
    <w:rsid w:val="00D71F25"/>
    <w:rsid w:val="00D733C9"/>
    <w:rsid w:val="00D73F29"/>
    <w:rsid w:val="00D77031"/>
    <w:rsid w:val="00D77EC4"/>
    <w:rsid w:val="00D805AD"/>
    <w:rsid w:val="00D84941"/>
    <w:rsid w:val="00D84FA1"/>
    <w:rsid w:val="00D851F0"/>
    <w:rsid w:val="00D85AAE"/>
    <w:rsid w:val="00D86DB7"/>
    <w:rsid w:val="00D90CC0"/>
    <w:rsid w:val="00D926D0"/>
    <w:rsid w:val="00D93030"/>
    <w:rsid w:val="00D950E1"/>
    <w:rsid w:val="00D952A6"/>
    <w:rsid w:val="00D95E18"/>
    <w:rsid w:val="00D97F99"/>
    <w:rsid w:val="00DA10CD"/>
    <w:rsid w:val="00DA177F"/>
    <w:rsid w:val="00DA19E7"/>
    <w:rsid w:val="00DA1E08"/>
    <w:rsid w:val="00DA24F8"/>
    <w:rsid w:val="00DA28E8"/>
    <w:rsid w:val="00DA38D3"/>
    <w:rsid w:val="00DA3918"/>
    <w:rsid w:val="00DA3932"/>
    <w:rsid w:val="00DA64F8"/>
    <w:rsid w:val="00DA6C15"/>
    <w:rsid w:val="00DA7370"/>
    <w:rsid w:val="00DB38EE"/>
    <w:rsid w:val="00DB4718"/>
    <w:rsid w:val="00DB498B"/>
    <w:rsid w:val="00DB6528"/>
    <w:rsid w:val="00DB66CA"/>
    <w:rsid w:val="00DB6BCA"/>
    <w:rsid w:val="00DC0321"/>
    <w:rsid w:val="00DC20A7"/>
    <w:rsid w:val="00DC3067"/>
    <w:rsid w:val="00DC370B"/>
    <w:rsid w:val="00DC5B90"/>
    <w:rsid w:val="00DC66A3"/>
    <w:rsid w:val="00DD00F2"/>
    <w:rsid w:val="00DD00FF"/>
    <w:rsid w:val="00DD0274"/>
    <w:rsid w:val="00DD0619"/>
    <w:rsid w:val="00DD07FB"/>
    <w:rsid w:val="00DD25C6"/>
    <w:rsid w:val="00DD54B0"/>
    <w:rsid w:val="00DD57EE"/>
    <w:rsid w:val="00DD6BCC"/>
    <w:rsid w:val="00DE0A4B"/>
    <w:rsid w:val="00DE2410"/>
    <w:rsid w:val="00DE2939"/>
    <w:rsid w:val="00DE3214"/>
    <w:rsid w:val="00DE3C96"/>
    <w:rsid w:val="00DE3E2A"/>
    <w:rsid w:val="00DE51F0"/>
    <w:rsid w:val="00DE6E81"/>
    <w:rsid w:val="00DE703F"/>
    <w:rsid w:val="00DE7595"/>
    <w:rsid w:val="00DF15BE"/>
    <w:rsid w:val="00DF1961"/>
    <w:rsid w:val="00DF2BEA"/>
    <w:rsid w:val="00DF2E39"/>
    <w:rsid w:val="00DF44DE"/>
    <w:rsid w:val="00DF6FFB"/>
    <w:rsid w:val="00E00D40"/>
    <w:rsid w:val="00E01138"/>
    <w:rsid w:val="00E02DFB"/>
    <w:rsid w:val="00E030F9"/>
    <w:rsid w:val="00E0311A"/>
    <w:rsid w:val="00E03138"/>
    <w:rsid w:val="00E037F5"/>
    <w:rsid w:val="00E0469E"/>
    <w:rsid w:val="00E04F37"/>
    <w:rsid w:val="00E06404"/>
    <w:rsid w:val="00E11A85"/>
    <w:rsid w:val="00E12495"/>
    <w:rsid w:val="00E15CCD"/>
    <w:rsid w:val="00E15FDA"/>
    <w:rsid w:val="00E176BB"/>
    <w:rsid w:val="00E202EF"/>
    <w:rsid w:val="00E20878"/>
    <w:rsid w:val="00E210B5"/>
    <w:rsid w:val="00E21F7B"/>
    <w:rsid w:val="00E2552F"/>
    <w:rsid w:val="00E30996"/>
    <w:rsid w:val="00E3137A"/>
    <w:rsid w:val="00E32CCF"/>
    <w:rsid w:val="00E33808"/>
    <w:rsid w:val="00E34A98"/>
    <w:rsid w:val="00E35D1E"/>
    <w:rsid w:val="00E364F9"/>
    <w:rsid w:val="00E365FA"/>
    <w:rsid w:val="00E40C94"/>
    <w:rsid w:val="00E41156"/>
    <w:rsid w:val="00E44A83"/>
    <w:rsid w:val="00E45DF9"/>
    <w:rsid w:val="00E460E9"/>
    <w:rsid w:val="00E502C1"/>
    <w:rsid w:val="00E502DD"/>
    <w:rsid w:val="00E50D3A"/>
    <w:rsid w:val="00E51387"/>
    <w:rsid w:val="00E51A78"/>
    <w:rsid w:val="00E51E68"/>
    <w:rsid w:val="00E52EFD"/>
    <w:rsid w:val="00E5408A"/>
    <w:rsid w:val="00E56800"/>
    <w:rsid w:val="00E60CD7"/>
    <w:rsid w:val="00E62FF9"/>
    <w:rsid w:val="00E635D6"/>
    <w:rsid w:val="00E639BC"/>
    <w:rsid w:val="00E663D4"/>
    <w:rsid w:val="00E664CC"/>
    <w:rsid w:val="00E67EB2"/>
    <w:rsid w:val="00E70388"/>
    <w:rsid w:val="00E70F92"/>
    <w:rsid w:val="00E74C54"/>
    <w:rsid w:val="00E77A03"/>
    <w:rsid w:val="00E822E8"/>
    <w:rsid w:val="00E82554"/>
    <w:rsid w:val="00E82606"/>
    <w:rsid w:val="00E846C8"/>
    <w:rsid w:val="00E84957"/>
    <w:rsid w:val="00E84A55"/>
    <w:rsid w:val="00E8531B"/>
    <w:rsid w:val="00E85BFF"/>
    <w:rsid w:val="00E86ADB"/>
    <w:rsid w:val="00E86E10"/>
    <w:rsid w:val="00E900CF"/>
    <w:rsid w:val="00E90391"/>
    <w:rsid w:val="00E906C2"/>
    <w:rsid w:val="00E9273D"/>
    <w:rsid w:val="00E9311F"/>
    <w:rsid w:val="00E934D1"/>
    <w:rsid w:val="00E93962"/>
    <w:rsid w:val="00E94AF0"/>
    <w:rsid w:val="00E95D13"/>
    <w:rsid w:val="00E95DD3"/>
    <w:rsid w:val="00E969D5"/>
    <w:rsid w:val="00EA1679"/>
    <w:rsid w:val="00EA58D1"/>
    <w:rsid w:val="00EA61BC"/>
    <w:rsid w:val="00EA681A"/>
    <w:rsid w:val="00EA7205"/>
    <w:rsid w:val="00EA735B"/>
    <w:rsid w:val="00EB0FC4"/>
    <w:rsid w:val="00EB1E69"/>
    <w:rsid w:val="00EB2086"/>
    <w:rsid w:val="00EB21BF"/>
    <w:rsid w:val="00EB5EDF"/>
    <w:rsid w:val="00EB60FE"/>
    <w:rsid w:val="00EB62E2"/>
    <w:rsid w:val="00EB74DB"/>
    <w:rsid w:val="00EC0F60"/>
    <w:rsid w:val="00EC5359"/>
    <w:rsid w:val="00EC562A"/>
    <w:rsid w:val="00ED067A"/>
    <w:rsid w:val="00ED1856"/>
    <w:rsid w:val="00ED2B50"/>
    <w:rsid w:val="00ED3AAB"/>
    <w:rsid w:val="00ED742E"/>
    <w:rsid w:val="00ED7A26"/>
    <w:rsid w:val="00EE0350"/>
    <w:rsid w:val="00EE0719"/>
    <w:rsid w:val="00EE0E80"/>
    <w:rsid w:val="00EE613F"/>
    <w:rsid w:val="00EE7295"/>
    <w:rsid w:val="00EE7869"/>
    <w:rsid w:val="00EF054A"/>
    <w:rsid w:val="00EF2AD4"/>
    <w:rsid w:val="00EF3235"/>
    <w:rsid w:val="00EF3523"/>
    <w:rsid w:val="00EF59E3"/>
    <w:rsid w:val="00EF7E72"/>
    <w:rsid w:val="00F00DD7"/>
    <w:rsid w:val="00F03B2B"/>
    <w:rsid w:val="00F06A37"/>
    <w:rsid w:val="00F06D37"/>
    <w:rsid w:val="00F07B9D"/>
    <w:rsid w:val="00F11586"/>
    <w:rsid w:val="00F1183B"/>
    <w:rsid w:val="00F11C9F"/>
    <w:rsid w:val="00F12263"/>
    <w:rsid w:val="00F1409D"/>
    <w:rsid w:val="00F14214"/>
    <w:rsid w:val="00F146BD"/>
    <w:rsid w:val="00F157A9"/>
    <w:rsid w:val="00F25BB6"/>
    <w:rsid w:val="00F26B7E"/>
    <w:rsid w:val="00F27812"/>
    <w:rsid w:val="00F27A3B"/>
    <w:rsid w:val="00F33817"/>
    <w:rsid w:val="00F4029C"/>
    <w:rsid w:val="00F420D5"/>
    <w:rsid w:val="00F447EE"/>
    <w:rsid w:val="00F451EA"/>
    <w:rsid w:val="00F45447"/>
    <w:rsid w:val="00F456C6"/>
    <w:rsid w:val="00F4577B"/>
    <w:rsid w:val="00F46496"/>
    <w:rsid w:val="00F474D0"/>
    <w:rsid w:val="00F50179"/>
    <w:rsid w:val="00F516A1"/>
    <w:rsid w:val="00F516C9"/>
    <w:rsid w:val="00F527A6"/>
    <w:rsid w:val="00F56511"/>
    <w:rsid w:val="00F60B7C"/>
    <w:rsid w:val="00F6194E"/>
    <w:rsid w:val="00F623AC"/>
    <w:rsid w:val="00F6297A"/>
    <w:rsid w:val="00F6412A"/>
    <w:rsid w:val="00F64F2F"/>
    <w:rsid w:val="00F65893"/>
    <w:rsid w:val="00F66A4A"/>
    <w:rsid w:val="00F678D7"/>
    <w:rsid w:val="00F7057D"/>
    <w:rsid w:val="00F71632"/>
    <w:rsid w:val="00F71E22"/>
    <w:rsid w:val="00F72142"/>
    <w:rsid w:val="00F72AE7"/>
    <w:rsid w:val="00F744FA"/>
    <w:rsid w:val="00F806E0"/>
    <w:rsid w:val="00F80D26"/>
    <w:rsid w:val="00F84934"/>
    <w:rsid w:val="00F84A45"/>
    <w:rsid w:val="00F84FD0"/>
    <w:rsid w:val="00F859A8"/>
    <w:rsid w:val="00F9108B"/>
    <w:rsid w:val="00F91349"/>
    <w:rsid w:val="00F92EED"/>
    <w:rsid w:val="00F93A8A"/>
    <w:rsid w:val="00F95248"/>
    <w:rsid w:val="00F956A9"/>
    <w:rsid w:val="00F963ED"/>
    <w:rsid w:val="00F966CF"/>
    <w:rsid w:val="00F96CAE"/>
    <w:rsid w:val="00F97C99"/>
    <w:rsid w:val="00FA2661"/>
    <w:rsid w:val="00FA578B"/>
    <w:rsid w:val="00FA662D"/>
    <w:rsid w:val="00FA73B1"/>
    <w:rsid w:val="00FB0CB9"/>
    <w:rsid w:val="00FB45F1"/>
    <w:rsid w:val="00FB4A72"/>
    <w:rsid w:val="00FB54E8"/>
    <w:rsid w:val="00FB7054"/>
    <w:rsid w:val="00FB7C01"/>
    <w:rsid w:val="00FC17B7"/>
    <w:rsid w:val="00FC2CB7"/>
    <w:rsid w:val="00FC4090"/>
    <w:rsid w:val="00FC55B4"/>
    <w:rsid w:val="00FC7292"/>
    <w:rsid w:val="00FD00E6"/>
    <w:rsid w:val="00FD09A1"/>
    <w:rsid w:val="00FD2A7C"/>
    <w:rsid w:val="00FD59EB"/>
    <w:rsid w:val="00FD7299"/>
    <w:rsid w:val="00FD7C2A"/>
    <w:rsid w:val="00FE1FBE"/>
    <w:rsid w:val="00FE35B5"/>
    <w:rsid w:val="00FE3901"/>
    <w:rsid w:val="00FE4BCE"/>
    <w:rsid w:val="00FE54AE"/>
    <w:rsid w:val="00FE576A"/>
    <w:rsid w:val="00FE61CF"/>
    <w:rsid w:val="00FE7E79"/>
    <w:rsid w:val="00FF3E7D"/>
    <w:rsid w:val="00FF5B99"/>
    <w:rsid w:val="00FF730C"/>
    <w:rsid w:val="00FF73F4"/>
    <w:rsid w:val="00FF7CE4"/>
    <w:rsid w:val="00FF7E39"/>
    <w:rsid w:val="016545A8"/>
    <w:rsid w:val="01EE2A96"/>
    <w:rsid w:val="020D13EC"/>
    <w:rsid w:val="02FB3A1D"/>
    <w:rsid w:val="03090547"/>
    <w:rsid w:val="03427629"/>
    <w:rsid w:val="03636A8F"/>
    <w:rsid w:val="03A74512"/>
    <w:rsid w:val="03F02090"/>
    <w:rsid w:val="06106E74"/>
    <w:rsid w:val="06D94C6D"/>
    <w:rsid w:val="071C1AB9"/>
    <w:rsid w:val="07C1527A"/>
    <w:rsid w:val="07D40B84"/>
    <w:rsid w:val="07DE1C4E"/>
    <w:rsid w:val="07EC4726"/>
    <w:rsid w:val="08525B41"/>
    <w:rsid w:val="094500B6"/>
    <w:rsid w:val="094F0C50"/>
    <w:rsid w:val="0955056D"/>
    <w:rsid w:val="096F567C"/>
    <w:rsid w:val="098D3908"/>
    <w:rsid w:val="099616F5"/>
    <w:rsid w:val="09F064E7"/>
    <w:rsid w:val="0A244FE9"/>
    <w:rsid w:val="0A9269FD"/>
    <w:rsid w:val="0A9A46E8"/>
    <w:rsid w:val="0AC2409D"/>
    <w:rsid w:val="0AD30B73"/>
    <w:rsid w:val="0ADE22E5"/>
    <w:rsid w:val="0B6D461E"/>
    <w:rsid w:val="0C1B7024"/>
    <w:rsid w:val="0D5C1DAC"/>
    <w:rsid w:val="0D5D357C"/>
    <w:rsid w:val="0D7C2D5B"/>
    <w:rsid w:val="0E8B5D42"/>
    <w:rsid w:val="0F4830E3"/>
    <w:rsid w:val="0F82399C"/>
    <w:rsid w:val="0F9B0CA3"/>
    <w:rsid w:val="101D58FF"/>
    <w:rsid w:val="122A223B"/>
    <w:rsid w:val="124B7969"/>
    <w:rsid w:val="131055FE"/>
    <w:rsid w:val="13BD511D"/>
    <w:rsid w:val="13E66ABE"/>
    <w:rsid w:val="141305AB"/>
    <w:rsid w:val="1546436C"/>
    <w:rsid w:val="15A3368D"/>
    <w:rsid w:val="1687197C"/>
    <w:rsid w:val="1697220B"/>
    <w:rsid w:val="17461B3F"/>
    <w:rsid w:val="18582AAB"/>
    <w:rsid w:val="188D056B"/>
    <w:rsid w:val="1982209E"/>
    <w:rsid w:val="19F53FC1"/>
    <w:rsid w:val="1AA1023C"/>
    <w:rsid w:val="1B145825"/>
    <w:rsid w:val="1B8776DE"/>
    <w:rsid w:val="1C1C151D"/>
    <w:rsid w:val="1C506352"/>
    <w:rsid w:val="1CE70036"/>
    <w:rsid w:val="1D884E16"/>
    <w:rsid w:val="1EC02B6F"/>
    <w:rsid w:val="1F4C2E8A"/>
    <w:rsid w:val="1FEA2C34"/>
    <w:rsid w:val="206359EA"/>
    <w:rsid w:val="210112B9"/>
    <w:rsid w:val="2288548E"/>
    <w:rsid w:val="22AB76F8"/>
    <w:rsid w:val="23340E09"/>
    <w:rsid w:val="24601AFE"/>
    <w:rsid w:val="24C4164F"/>
    <w:rsid w:val="24CF77DD"/>
    <w:rsid w:val="24DE52D1"/>
    <w:rsid w:val="25884F65"/>
    <w:rsid w:val="25CF477C"/>
    <w:rsid w:val="27232817"/>
    <w:rsid w:val="27E06BB4"/>
    <w:rsid w:val="290E35F8"/>
    <w:rsid w:val="291B77F8"/>
    <w:rsid w:val="292744BE"/>
    <w:rsid w:val="29DC5CEB"/>
    <w:rsid w:val="29EA4435"/>
    <w:rsid w:val="2A0C36C0"/>
    <w:rsid w:val="2A256337"/>
    <w:rsid w:val="2A2A61BA"/>
    <w:rsid w:val="2AD62E25"/>
    <w:rsid w:val="2B011EB4"/>
    <w:rsid w:val="2B6859DA"/>
    <w:rsid w:val="2BEC740C"/>
    <w:rsid w:val="2BF1692E"/>
    <w:rsid w:val="2BF32252"/>
    <w:rsid w:val="2C190DEB"/>
    <w:rsid w:val="2D843E3F"/>
    <w:rsid w:val="2DC25D28"/>
    <w:rsid w:val="2DD52260"/>
    <w:rsid w:val="2DE3116F"/>
    <w:rsid w:val="2E082424"/>
    <w:rsid w:val="2E1F5633"/>
    <w:rsid w:val="2F0625D2"/>
    <w:rsid w:val="2F1A4050"/>
    <w:rsid w:val="2F7F5760"/>
    <w:rsid w:val="30A50625"/>
    <w:rsid w:val="30B732D8"/>
    <w:rsid w:val="31790ACC"/>
    <w:rsid w:val="318E43F6"/>
    <w:rsid w:val="322046F4"/>
    <w:rsid w:val="324300D3"/>
    <w:rsid w:val="32D8108D"/>
    <w:rsid w:val="332F2AB2"/>
    <w:rsid w:val="333C5873"/>
    <w:rsid w:val="334B01CB"/>
    <w:rsid w:val="35B2379F"/>
    <w:rsid w:val="36767BF1"/>
    <w:rsid w:val="378E34DE"/>
    <w:rsid w:val="38F7309E"/>
    <w:rsid w:val="397F6767"/>
    <w:rsid w:val="3B296FFF"/>
    <w:rsid w:val="3BC1190E"/>
    <w:rsid w:val="3BC14105"/>
    <w:rsid w:val="3C157403"/>
    <w:rsid w:val="3C3A5D8F"/>
    <w:rsid w:val="3CC47B3A"/>
    <w:rsid w:val="3DA86637"/>
    <w:rsid w:val="3DD057A6"/>
    <w:rsid w:val="3E031382"/>
    <w:rsid w:val="3E6743C5"/>
    <w:rsid w:val="3E6A08F3"/>
    <w:rsid w:val="3E862DC4"/>
    <w:rsid w:val="3FCD417F"/>
    <w:rsid w:val="3FE63663"/>
    <w:rsid w:val="40A935F1"/>
    <w:rsid w:val="40C813CB"/>
    <w:rsid w:val="41783287"/>
    <w:rsid w:val="44C20325"/>
    <w:rsid w:val="45E85D34"/>
    <w:rsid w:val="45FF471F"/>
    <w:rsid w:val="460D656F"/>
    <w:rsid w:val="468066F6"/>
    <w:rsid w:val="46D4777D"/>
    <w:rsid w:val="474D674C"/>
    <w:rsid w:val="476E7684"/>
    <w:rsid w:val="48A31A11"/>
    <w:rsid w:val="490555D2"/>
    <w:rsid w:val="4926454D"/>
    <w:rsid w:val="497D2E9F"/>
    <w:rsid w:val="49D0445E"/>
    <w:rsid w:val="4A420915"/>
    <w:rsid w:val="4A4B3B12"/>
    <w:rsid w:val="4AB10FF8"/>
    <w:rsid w:val="4AE25EF2"/>
    <w:rsid w:val="4AEE38FB"/>
    <w:rsid w:val="4C200289"/>
    <w:rsid w:val="4D1D5A66"/>
    <w:rsid w:val="4D627302"/>
    <w:rsid w:val="4E247515"/>
    <w:rsid w:val="4E4F74C1"/>
    <w:rsid w:val="4E732BAA"/>
    <w:rsid w:val="4F0B7DFA"/>
    <w:rsid w:val="4F392B79"/>
    <w:rsid w:val="4F563FBD"/>
    <w:rsid w:val="50712398"/>
    <w:rsid w:val="50A772DB"/>
    <w:rsid w:val="50B751C7"/>
    <w:rsid w:val="51223467"/>
    <w:rsid w:val="517E3A90"/>
    <w:rsid w:val="530214BD"/>
    <w:rsid w:val="53CF00AD"/>
    <w:rsid w:val="53FB1C28"/>
    <w:rsid w:val="5405437A"/>
    <w:rsid w:val="5677786A"/>
    <w:rsid w:val="56A33C92"/>
    <w:rsid w:val="57426753"/>
    <w:rsid w:val="57C00B06"/>
    <w:rsid w:val="58626F80"/>
    <w:rsid w:val="58DA710E"/>
    <w:rsid w:val="59291896"/>
    <w:rsid w:val="5ACD33E9"/>
    <w:rsid w:val="5C771D4A"/>
    <w:rsid w:val="5C7C431C"/>
    <w:rsid w:val="5CBC4617"/>
    <w:rsid w:val="5D4F3AC6"/>
    <w:rsid w:val="5DA802F2"/>
    <w:rsid w:val="5E1B7B71"/>
    <w:rsid w:val="5E600665"/>
    <w:rsid w:val="5E970697"/>
    <w:rsid w:val="5F921CDC"/>
    <w:rsid w:val="6016217F"/>
    <w:rsid w:val="6058743E"/>
    <w:rsid w:val="60D96B8E"/>
    <w:rsid w:val="613B4EDE"/>
    <w:rsid w:val="617526CF"/>
    <w:rsid w:val="617940FB"/>
    <w:rsid w:val="61901946"/>
    <w:rsid w:val="61DD4907"/>
    <w:rsid w:val="62786CD3"/>
    <w:rsid w:val="62C95FD9"/>
    <w:rsid w:val="63B47A89"/>
    <w:rsid w:val="64236257"/>
    <w:rsid w:val="65E4456D"/>
    <w:rsid w:val="66A065EB"/>
    <w:rsid w:val="67057615"/>
    <w:rsid w:val="67580D7D"/>
    <w:rsid w:val="67AF05BF"/>
    <w:rsid w:val="67B42FF2"/>
    <w:rsid w:val="68435DDC"/>
    <w:rsid w:val="685A7CBF"/>
    <w:rsid w:val="692A10FE"/>
    <w:rsid w:val="694C74CE"/>
    <w:rsid w:val="6A581B55"/>
    <w:rsid w:val="6B2F7D93"/>
    <w:rsid w:val="6B5B5329"/>
    <w:rsid w:val="6BC71B33"/>
    <w:rsid w:val="6BD24C3F"/>
    <w:rsid w:val="6C784183"/>
    <w:rsid w:val="6CFC3433"/>
    <w:rsid w:val="6D2D1696"/>
    <w:rsid w:val="6D3867BF"/>
    <w:rsid w:val="6D517422"/>
    <w:rsid w:val="6D582FC7"/>
    <w:rsid w:val="6E4F4C4F"/>
    <w:rsid w:val="6F106A8F"/>
    <w:rsid w:val="6F914A9C"/>
    <w:rsid w:val="709E580C"/>
    <w:rsid w:val="71174225"/>
    <w:rsid w:val="714A6199"/>
    <w:rsid w:val="71CF32E1"/>
    <w:rsid w:val="722E5A47"/>
    <w:rsid w:val="72610664"/>
    <w:rsid w:val="727770F3"/>
    <w:rsid w:val="728A4AC1"/>
    <w:rsid w:val="72AC69E9"/>
    <w:rsid w:val="738B31CF"/>
    <w:rsid w:val="744257EA"/>
    <w:rsid w:val="753C390E"/>
    <w:rsid w:val="75733B41"/>
    <w:rsid w:val="76C97263"/>
    <w:rsid w:val="77723AE8"/>
    <w:rsid w:val="7954692C"/>
    <w:rsid w:val="797D0D0A"/>
    <w:rsid w:val="7A010C90"/>
    <w:rsid w:val="7A6D340A"/>
    <w:rsid w:val="7AF851A7"/>
    <w:rsid w:val="7BA10DE3"/>
    <w:rsid w:val="7BD93E65"/>
    <w:rsid w:val="7C083E54"/>
    <w:rsid w:val="7C263F9F"/>
    <w:rsid w:val="7C7A0F72"/>
    <w:rsid w:val="7CC63BE4"/>
    <w:rsid w:val="7D3B255A"/>
    <w:rsid w:val="7D9A0B9D"/>
    <w:rsid w:val="7EE352CC"/>
    <w:rsid w:val="7F900150"/>
    <w:rsid w:val="7FFD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宋体"/>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8"/>
    <w:unhideWhenUsed/>
    <w:qFormat/>
    <w:uiPriority w:val="99"/>
    <w:pPr>
      <w:jc w:val="left"/>
    </w:pPr>
  </w:style>
  <w:style w:type="paragraph" w:styleId="15">
    <w:name w:val="Body Text"/>
    <w:basedOn w:val="1"/>
    <w:link w:val="92"/>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9">
    <w:name w:val="Balloon Text"/>
    <w:basedOn w:val="1"/>
    <w:link w:val="51"/>
    <w:semiHidden/>
    <w:unhideWhenUsed/>
    <w:qFormat/>
    <w:uiPriority w:val="99"/>
    <w:rPr>
      <w:sz w:val="18"/>
      <w:szCs w:val="18"/>
    </w:rPr>
  </w:style>
  <w:style w:type="paragraph" w:styleId="20">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9"/>
    <w:qFormat/>
    <w:uiPriority w:val="99"/>
    <w:pPr>
      <w:tabs>
        <w:tab w:val="center" w:pos="4153"/>
        <w:tab w:val="right" w:pos="8306"/>
      </w:tabs>
      <w:adjustRightInd/>
      <w:snapToGrid w:val="0"/>
      <w:jc w:val="center"/>
    </w:pPr>
    <w:rPr>
      <w:sz w:val="18"/>
      <w:szCs w:val="18"/>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5"/>
    <w:qFormat/>
    <w:uiPriority w:val="99"/>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8">
    <w:name w:val="Normal (Web)"/>
    <w:basedOn w:val="1"/>
    <w:qFormat/>
    <w:uiPriority w:val="0"/>
    <w:rPr>
      <w:sz w:val="24"/>
    </w:rPr>
  </w:style>
  <w:style w:type="paragraph" w:styleId="29">
    <w:name w:val="Title"/>
    <w:basedOn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4"/>
    <w:next w:val="14"/>
    <w:link w:val="239"/>
    <w:semiHidden/>
    <w:unhideWhenUsed/>
    <w:qFormat/>
    <w:uiPriority w:val="99"/>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3"/>
    <w:qFormat/>
    <w:uiPriority w:val="0"/>
    <w:rPr>
      <w:rFonts w:ascii="Times New Roman" w:hAnsi="Times New Roman" w:eastAsia="宋体" w:cs="Times New Roman"/>
      <w:b/>
      <w:bCs/>
      <w:kern w:val="44"/>
      <w:sz w:val="44"/>
      <w:szCs w:val="44"/>
    </w:rPr>
  </w:style>
  <w:style w:type="character" w:customStyle="1" w:styleId="41">
    <w:name w:val="标题 2 字符"/>
    <w:link w:val="4"/>
    <w:qFormat/>
    <w:uiPriority w:val="0"/>
    <w:rPr>
      <w:rFonts w:ascii="Arial" w:hAnsi="Arial" w:eastAsia="黑体" w:cs="Times New Roman"/>
      <w:b/>
      <w:bCs/>
      <w:sz w:val="32"/>
      <w:szCs w:val="32"/>
    </w:rPr>
  </w:style>
  <w:style w:type="character" w:customStyle="1" w:styleId="42">
    <w:name w:val="标题 3 字符"/>
    <w:link w:val="5"/>
    <w:qFormat/>
    <w:uiPriority w:val="0"/>
    <w:rPr>
      <w:rFonts w:ascii="Times New Roman" w:hAnsi="Times New Roman" w:eastAsia="宋体" w:cs="Times New Roman"/>
      <w:b/>
      <w:bCs/>
      <w:sz w:val="32"/>
      <w:szCs w:val="32"/>
    </w:rPr>
  </w:style>
  <w:style w:type="character" w:customStyle="1" w:styleId="43">
    <w:name w:val="标题 4 字符"/>
    <w:link w:val="6"/>
    <w:qFormat/>
    <w:uiPriority w:val="0"/>
    <w:rPr>
      <w:rFonts w:ascii="Arial" w:hAnsi="Arial" w:eastAsia="黑体" w:cs="Times New Roman"/>
      <w:b/>
      <w:bCs/>
      <w:sz w:val="28"/>
      <w:szCs w:val="28"/>
    </w:rPr>
  </w:style>
  <w:style w:type="character" w:customStyle="1" w:styleId="44">
    <w:name w:val="标题 5 字符"/>
    <w:link w:val="7"/>
    <w:qFormat/>
    <w:uiPriority w:val="0"/>
    <w:rPr>
      <w:rFonts w:ascii="Times New Roman" w:hAnsi="Times New Roman" w:eastAsia="宋体" w:cs="Times New Roman"/>
      <w:b/>
      <w:bCs/>
      <w:sz w:val="28"/>
      <w:szCs w:val="28"/>
    </w:rPr>
  </w:style>
  <w:style w:type="character" w:customStyle="1" w:styleId="45">
    <w:name w:val="标题 6 字符"/>
    <w:link w:val="8"/>
    <w:qFormat/>
    <w:uiPriority w:val="0"/>
    <w:rPr>
      <w:rFonts w:ascii="Arial" w:hAnsi="Arial" w:eastAsia="黑体" w:cs="Times New Roman"/>
      <w:b/>
      <w:bCs/>
      <w:sz w:val="24"/>
      <w:szCs w:val="24"/>
    </w:rPr>
  </w:style>
  <w:style w:type="character" w:customStyle="1" w:styleId="46">
    <w:name w:val="标题 7 字符"/>
    <w:link w:val="9"/>
    <w:qFormat/>
    <w:uiPriority w:val="0"/>
    <w:rPr>
      <w:rFonts w:ascii="Times New Roman" w:hAnsi="Times New Roman" w:eastAsia="宋体" w:cs="Times New Roman"/>
      <w:b/>
      <w:bCs/>
      <w:sz w:val="24"/>
      <w:szCs w:val="24"/>
    </w:rPr>
  </w:style>
  <w:style w:type="character" w:customStyle="1" w:styleId="47">
    <w:name w:val="标题 8 字符"/>
    <w:link w:val="10"/>
    <w:qFormat/>
    <w:uiPriority w:val="0"/>
    <w:rPr>
      <w:rFonts w:ascii="Arial" w:hAnsi="Arial" w:eastAsia="黑体" w:cs="Times New Roman"/>
      <w:sz w:val="24"/>
      <w:szCs w:val="24"/>
    </w:rPr>
  </w:style>
  <w:style w:type="character" w:customStyle="1" w:styleId="48">
    <w:name w:val="标题 9 字符"/>
    <w:link w:val="11"/>
    <w:qFormat/>
    <w:uiPriority w:val="0"/>
    <w:rPr>
      <w:rFonts w:ascii="Arial" w:hAnsi="Arial" w:eastAsia="黑体" w:cs="Times New Roman"/>
      <w:szCs w:val="21"/>
    </w:rPr>
  </w:style>
  <w:style w:type="character" w:customStyle="1" w:styleId="49">
    <w:name w:val="页眉 字符"/>
    <w:link w:val="21"/>
    <w:qFormat/>
    <w:uiPriority w:val="99"/>
    <w:rPr>
      <w:rFonts w:ascii="Times New Roman" w:hAnsi="Times New Roman" w:eastAsia="宋体" w:cs="Times New Roman"/>
      <w:sz w:val="18"/>
      <w:szCs w:val="18"/>
    </w:rPr>
  </w:style>
  <w:style w:type="character" w:customStyle="1" w:styleId="50">
    <w:name w:val="页脚 字符"/>
    <w:link w:val="20"/>
    <w:qFormat/>
    <w:uiPriority w:val="99"/>
    <w:rPr>
      <w:rFonts w:ascii="宋体" w:hAnsi="Times New Roman" w:eastAsia="宋体" w:cs="Times New Roman"/>
      <w:sz w:val="18"/>
      <w:szCs w:val="18"/>
    </w:rPr>
  </w:style>
  <w:style w:type="character" w:customStyle="1" w:styleId="51">
    <w:name w:val="批注框文本 字符"/>
    <w:link w:val="19"/>
    <w:semiHidden/>
    <w:qFormat/>
    <w:uiPriority w:val="99"/>
    <w:rPr>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rPr>
  </w:style>
  <w:style w:type="character" w:customStyle="1" w:styleId="54">
    <w:name w:val="标题 字符"/>
    <w:link w:val="29"/>
    <w:qFormat/>
    <w:uiPriority w:val="0"/>
    <w:rPr>
      <w:rFonts w:ascii="Arial" w:hAnsi="Arial" w:eastAsia="宋体" w:cs="Arial"/>
      <w:b/>
      <w:bCs/>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5"/>
    <w:qFormat/>
    <w:uiPriority w:val="0"/>
    <w:rPr>
      <w:rFonts w:ascii="Times New Roman" w:hAnsi="Times New Roman" w:eastAsia="宋体" w:cs="Times New Roman"/>
      <w:szCs w:val="20"/>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3"/>
    <w:qFormat/>
    <w:uiPriority w:val="99"/>
    <w:rPr>
      <w:rFonts w:ascii="宋体" w:hAnsi="Times New Roman" w:eastAsia="宋体" w:cs="Times New Roman"/>
      <w:sz w:val="18"/>
      <w:szCs w:val="18"/>
    </w:rPr>
  </w:style>
  <w:style w:type="paragraph" w:customStyle="1" w:styleId="106">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15"/>
    <w:basedOn w:val="33"/>
    <w:qFormat/>
    <w:uiPriority w:val="0"/>
    <w:rPr>
      <w:rFonts w:hint="eastAsia" w:ascii="宋体" w:hAnsi="宋体" w:eastAsia="宋体" w:cs="Times New Roman"/>
      <w:spacing w:val="0"/>
      <w:sz w:val="18"/>
      <w:szCs w:val="18"/>
      <w:vertAlign w:val="superscript"/>
    </w:rPr>
  </w:style>
  <w:style w:type="paragraph" w:customStyle="1" w:styleId="23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7">
    <w:name w:val="列表段落1"/>
    <w:basedOn w:val="1"/>
    <w:qFormat/>
    <w:uiPriority w:val="0"/>
    <w:pPr>
      <w:adjustRightInd/>
      <w:spacing w:line="240" w:lineRule="auto"/>
      <w:ind w:firstLine="420" w:firstLineChars="200"/>
    </w:pPr>
    <w:rPr>
      <w:rFonts w:ascii="Times New Roman" w:hAnsi="Times New Roman"/>
    </w:rPr>
  </w:style>
  <w:style w:type="character" w:customStyle="1" w:styleId="238">
    <w:name w:val="批注文字 字符"/>
    <w:basedOn w:val="33"/>
    <w:link w:val="14"/>
    <w:qFormat/>
    <w:uiPriority w:val="99"/>
    <w:rPr>
      <w:kern w:val="2"/>
      <w:sz w:val="21"/>
      <w:szCs w:val="21"/>
    </w:rPr>
  </w:style>
  <w:style w:type="character" w:customStyle="1" w:styleId="239">
    <w:name w:val="批注主题 字符"/>
    <w:basedOn w:val="238"/>
    <w:link w:val="30"/>
    <w:semiHidden/>
    <w:qFormat/>
    <w:uiPriority w:val="99"/>
    <w:rPr>
      <w:b/>
      <w:bCs/>
      <w:kern w:val="2"/>
      <w:sz w:val="21"/>
      <w:szCs w:val="21"/>
    </w:rPr>
  </w:style>
  <w:style w:type="character" w:customStyle="1" w:styleId="240">
    <w:name w:val="不明显参考11"/>
    <w:qFormat/>
    <w:uiPriority w:val="31"/>
    <w:rPr>
      <w:smallCaps/>
      <w:color w:val="C0504D"/>
      <w:u w:val="single"/>
    </w:rPr>
  </w:style>
  <w:style w:type="paragraph" w:customStyle="1" w:styleId="241">
    <w:name w:val="修订1"/>
    <w:hidden/>
    <w:semiHidden/>
    <w:qFormat/>
    <w:uiPriority w:val="99"/>
    <w:rPr>
      <w:rFonts w:ascii="Calibri" w:hAnsi="Calibri" w:eastAsia="宋体" w:cs="Times New Roman"/>
      <w:kern w:val="2"/>
      <w:sz w:val="21"/>
      <w:szCs w:val="21"/>
      <w:lang w:val="en-US" w:eastAsia="zh-CN" w:bidi="ar-SA"/>
    </w:rPr>
  </w:style>
  <w:style w:type="paragraph" w:customStyle="1" w:styleId="242">
    <w:name w:val="一级条标题"/>
    <w:basedOn w:val="1"/>
    <w:next w:val="1"/>
    <w:qFormat/>
    <w:uiPriority w:val="0"/>
    <w:pPr>
      <w:widowControl/>
      <w:adjustRightInd/>
      <w:spacing w:line="240" w:lineRule="auto"/>
      <w:ind w:left="284"/>
      <w:outlineLvl w:val="2"/>
    </w:pPr>
    <w:rPr>
      <w:rFonts w:ascii="黑体" w:hAnsi="Times New Roman" w:eastAsia="黑体"/>
      <w:kern w:val="0"/>
    </w:rPr>
  </w:style>
  <w:style w:type="paragraph" w:customStyle="1" w:styleId="243">
    <w:name w:val="三级条标题"/>
    <w:basedOn w:val="1"/>
    <w:next w:val="1"/>
    <w:qFormat/>
    <w:uiPriority w:val="0"/>
    <w:pPr>
      <w:widowControl/>
      <w:adjustRightInd/>
      <w:spacing w:line="240" w:lineRule="auto"/>
      <w:ind w:left="5388"/>
      <w:outlineLvl w:val="4"/>
    </w:pPr>
    <w:rPr>
      <w:rFonts w:ascii="黑体" w:hAnsi="Times New Roman" w:eastAsia="黑体"/>
      <w:kern w:val="0"/>
    </w:rPr>
  </w:style>
  <w:style w:type="paragraph" w:customStyle="1" w:styleId="244">
    <w:name w:val="段"/>
    <w:basedOn w:val="1"/>
    <w:qFormat/>
    <w:uiPriority w:val="0"/>
    <w:pPr>
      <w:widowControl/>
      <w:autoSpaceDE w:val="0"/>
      <w:autoSpaceDN w:val="0"/>
      <w:adjustRightInd/>
      <w:spacing w:line="240" w:lineRule="auto"/>
      <w:ind w:firstLine="200" w:firstLineChars="200"/>
    </w:pPr>
    <w:rPr>
      <w:rFonts w:ascii="宋体" w:hAnsi="Times New Roman"/>
      <w:kern w:val="0"/>
    </w:rPr>
  </w:style>
  <w:style w:type="paragraph" w:customStyle="1" w:styleId="24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46">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7">
    <w:name w:val="修订2"/>
    <w:hidden/>
    <w:semiHidden/>
    <w:qFormat/>
    <w:uiPriority w:val="99"/>
    <w:rPr>
      <w:rFonts w:ascii="Calibri" w:hAnsi="Calibri" w:eastAsia="宋体" w:cs="Times New Roman"/>
      <w:kern w:val="2"/>
      <w:sz w:val="21"/>
      <w:szCs w:val="21"/>
      <w:lang w:val="en-US" w:eastAsia="zh-CN" w:bidi="ar-SA"/>
    </w:rPr>
  </w:style>
  <w:style w:type="paragraph" w:customStyle="1" w:styleId="248">
    <w:name w:val="para"/>
    <w:basedOn w:val="249"/>
    <w:qFormat/>
    <w:uiPriority w:val="0"/>
    <w:pPr>
      <w:widowControl/>
      <w:suppressAutoHyphens/>
      <w:adjustRightInd/>
      <w:spacing w:before="100" w:beforeAutospacing="1" w:line="240" w:lineRule="atLeast"/>
      <w:ind w:left="2268" w:hanging="1134"/>
    </w:pPr>
    <w:rPr>
      <w:rFonts w:ascii="Times New Roman" w:hAnsi="Times New Roman"/>
      <w:kern w:val="0"/>
      <w:sz w:val="24"/>
      <w:szCs w:val="24"/>
    </w:rPr>
  </w:style>
  <w:style w:type="paragraph" w:customStyle="1" w:styleId="249">
    <w:name w:val="_ Single Txt_G"/>
    <w:basedOn w:val="1"/>
    <w:qFormat/>
    <w:uiPriority w:val="0"/>
    <w:pPr>
      <w:spacing w:after="120"/>
      <w:ind w:left="1134" w:right="1134"/>
    </w:pPr>
  </w:style>
  <w:style w:type="paragraph" w:customStyle="1" w:styleId="250">
    <w:name w:val="正文4"/>
    <w:qFormat/>
    <w:uiPriority w:val="0"/>
    <w:pPr>
      <w:jc w:val="both"/>
    </w:pPr>
    <w:rPr>
      <w:rFonts w:ascii="Calibri" w:hAnsi="Calibri" w:eastAsia="宋体" w:cs="Calibri"/>
      <w:kern w:val="2"/>
      <w:sz w:val="21"/>
      <w:szCs w:val="21"/>
      <w:lang w:val="en-US" w:eastAsia="zh-CN" w:bidi="ar-SA"/>
    </w:rPr>
  </w:style>
  <w:style w:type="paragraph" w:customStyle="1" w:styleId="251">
    <w:name w:val="正文5"/>
    <w:qFormat/>
    <w:uiPriority w:val="0"/>
    <w:pPr>
      <w:jc w:val="both"/>
    </w:pPr>
    <w:rPr>
      <w:rFonts w:ascii="Calibri" w:hAnsi="Calibri" w:eastAsia="宋体" w:cs="Calibri"/>
      <w:kern w:val="2"/>
      <w:sz w:val="21"/>
      <w:szCs w:val="21"/>
      <w:lang w:val="en-US" w:eastAsia="zh-CN" w:bidi="ar-SA"/>
    </w:rPr>
  </w:style>
  <w:style w:type="paragraph" w:customStyle="1" w:styleId="252">
    <w:name w:val="修订3"/>
    <w:hidden/>
    <w:semiHidden/>
    <w:qFormat/>
    <w:uiPriority w:val="99"/>
    <w:rPr>
      <w:rFonts w:ascii="Calibri" w:hAnsi="Calibri" w:eastAsia="宋体" w:cs="Times New Roman"/>
      <w:kern w:val="2"/>
      <w:sz w:val="21"/>
      <w:szCs w:val="21"/>
      <w:lang w:val="en-US" w:eastAsia="zh-CN" w:bidi="ar-SA"/>
    </w:rPr>
  </w:style>
  <w:style w:type="paragraph" w:customStyle="1" w:styleId="253">
    <w:name w:val="正文6"/>
    <w:qFormat/>
    <w:uiPriority w:val="0"/>
    <w:pPr>
      <w:jc w:val="both"/>
    </w:pPr>
    <w:rPr>
      <w:rFonts w:ascii="Calibri" w:hAnsi="Calibri" w:eastAsia="宋体" w:cs="Calibri"/>
      <w:kern w:val="2"/>
      <w:sz w:val="21"/>
      <w:szCs w:val="21"/>
      <w:lang w:val="en-US" w:eastAsia="zh-CN" w:bidi="ar-SA"/>
    </w:rPr>
  </w:style>
  <w:style w:type="paragraph" w:customStyle="1" w:styleId="254">
    <w:name w:val="修订4"/>
    <w:hidden/>
    <w:semiHidden/>
    <w:qFormat/>
    <w:uiPriority w:val="99"/>
    <w:rPr>
      <w:rFonts w:ascii="Calibri" w:hAnsi="Calibri" w:eastAsia="宋体" w:cs="Times New Roman"/>
      <w:kern w:val="2"/>
      <w:sz w:val="21"/>
      <w:szCs w:val="21"/>
      <w:lang w:val="en-US" w:eastAsia="zh-CN" w:bidi="ar-SA"/>
    </w:rPr>
  </w:style>
  <w:style w:type="paragraph" w:customStyle="1" w:styleId="255">
    <w:name w:val="正文7"/>
    <w:qFormat/>
    <w:uiPriority w:val="0"/>
    <w:pPr>
      <w:jc w:val="both"/>
    </w:pPr>
    <w:rPr>
      <w:rFonts w:ascii="Calibri" w:hAnsi="Calibri" w:eastAsia="宋体" w:cs="Calibri"/>
      <w:kern w:val="2"/>
      <w:sz w:val="21"/>
      <w:szCs w:val="21"/>
      <w:lang w:val="en-US" w:eastAsia="zh-CN" w:bidi="ar-SA"/>
    </w:rPr>
  </w:style>
  <w:style w:type="paragraph" w:customStyle="1" w:styleId="256">
    <w:name w:val="修订5"/>
    <w:hidden/>
    <w:semiHidden/>
    <w:qFormat/>
    <w:uiPriority w:val="99"/>
    <w:rPr>
      <w:rFonts w:ascii="Calibri" w:hAnsi="Calibri" w:eastAsia="宋体" w:cs="Times New Roman"/>
      <w:kern w:val="2"/>
      <w:sz w:val="21"/>
      <w:szCs w:val="21"/>
      <w:lang w:val="en-US" w:eastAsia="zh-CN" w:bidi="ar-SA"/>
    </w:rPr>
  </w:style>
  <w:style w:type="paragraph" w:customStyle="1" w:styleId="257">
    <w:name w:val="列表段落2"/>
    <w:basedOn w:val="1"/>
    <w:qFormat/>
    <w:uiPriority w:val="0"/>
    <w:pPr>
      <w:adjustRightInd/>
      <w:spacing w:line="240" w:lineRule="auto"/>
      <w:ind w:firstLine="420" w:firstLineChars="200"/>
    </w:pPr>
    <w:rPr>
      <w:rFonts w:ascii="Times New Roman" w:hAnsi="Times New Roman"/>
    </w:rPr>
  </w:style>
  <w:style w:type="paragraph" w:customStyle="1" w:styleId="258">
    <w:name w:val="正文8"/>
    <w:qFormat/>
    <w:uiPriority w:val="0"/>
    <w:pPr>
      <w:jc w:val="both"/>
    </w:pPr>
    <w:rPr>
      <w:rFonts w:ascii="Times New Roman" w:hAnsi="Times New Roman" w:eastAsia="宋体" w:cs="Times New Roman"/>
      <w:kern w:val="2"/>
      <w:sz w:val="21"/>
      <w:szCs w:val="21"/>
      <w:lang w:val="en-US" w:eastAsia="zh-CN" w:bidi="ar-SA"/>
    </w:rPr>
  </w:style>
  <w:style w:type="paragraph" w:customStyle="1" w:styleId="259">
    <w:name w:val="修订6"/>
    <w:hidden/>
    <w:semiHidden/>
    <w:qFormat/>
    <w:uiPriority w:val="99"/>
    <w:rPr>
      <w:rFonts w:ascii="Calibri" w:hAnsi="Calibri" w:eastAsia="宋体" w:cs="Times New Roman"/>
      <w:kern w:val="2"/>
      <w:sz w:val="21"/>
      <w:szCs w:val="21"/>
      <w:lang w:val="en-US" w:eastAsia="zh-CN" w:bidi="ar-SA"/>
    </w:rPr>
  </w:style>
  <w:style w:type="paragraph" w:customStyle="1" w:styleId="260">
    <w:name w:val="正文9"/>
    <w:qFormat/>
    <w:uiPriority w:val="0"/>
    <w:pPr>
      <w:jc w:val="both"/>
    </w:pPr>
    <w:rPr>
      <w:rFonts w:ascii="Calibri" w:hAnsi="Calibri" w:eastAsia="宋体" w:cs="Calibri"/>
      <w:kern w:val="2"/>
      <w:sz w:val="21"/>
      <w:szCs w:val="21"/>
      <w:lang w:val="en-US" w:eastAsia="zh-CN" w:bidi="ar-SA"/>
    </w:rPr>
  </w:style>
  <w:style w:type="character" w:customStyle="1" w:styleId="261">
    <w:name w:val="16"/>
    <w:basedOn w:val="33"/>
    <w:qFormat/>
    <w:uiPriority w:val="0"/>
    <w:rPr>
      <w:rFonts w:hint="eastAsia" w:ascii="宋体" w:hAnsi="宋体" w:eastAsia="宋体" w:cs="Times New Roman"/>
      <w:spacing w:val="0"/>
      <w:sz w:val="18"/>
      <w:szCs w:val="18"/>
      <w:vertAlign w:val="superscript"/>
    </w:rPr>
  </w:style>
  <w:style w:type="paragraph" w:customStyle="1" w:styleId="262">
    <w:name w:val="修订7"/>
    <w:hidden/>
    <w:semiHidden/>
    <w:qFormat/>
    <w:uiPriority w:val="99"/>
    <w:rPr>
      <w:rFonts w:ascii="Calibri" w:hAnsi="Calibri" w:eastAsia="宋体" w:cs="Times New Roman"/>
      <w:kern w:val="2"/>
      <w:sz w:val="21"/>
      <w:szCs w:val="21"/>
      <w:lang w:val="en-US" w:eastAsia="zh-CN" w:bidi="ar-SA"/>
    </w:rPr>
  </w:style>
  <w:style w:type="paragraph" w:styleId="263">
    <w:name w:val="List Paragraph"/>
    <w:basedOn w:val="1"/>
    <w:qFormat/>
    <w:uiPriority w:val="99"/>
    <w:pPr>
      <w:ind w:firstLine="420" w:firstLineChars="200"/>
    </w:pPr>
  </w:style>
  <w:style w:type="paragraph" w:customStyle="1" w:styleId="264">
    <w:name w:val="正文10"/>
    <w:qFormat/>
    <w:uiPriority w:val="0"/>
    <w:pPr>
      <w:jc w:val="both"/>
    </w:pPr>
    <w:rPr>
      <w:rFonts w:ascii="Calibri" w:hAnsi="Calibri" w:eastAsia="宋体" w:cs="Calibri"/>
      <w:kern w:val="2"/>
      <w:sz w:val="21"/>
      <w:szCs w:val="21"/>
      <w:lang w:val="en-US" w:eastAsia="zh-CN" w:bidi="ar-SA"/>
    </w:rPr>
  </w:style>
  <w:style w:type="paragraph" w:customStyle="1" w:styleId="265">
    <w:name w:val="正文11"/>
    <w:qFormat/>
    <w:uiPriority w:val="0"/>
    <w:pPr>
      <w:jc w:val="both"/>
    </w:pPr>
    <w:rPr>
      <w:rFonts w:ascii="Calibri" w:hAnsi="Calibri" w:eastAsia="宋体" w:cs="Calibri"/>
      <w:kern w:val="2"/>
      <w:sz w:val="21"/>
      <w:szCs w:val="21"/>
      <w:lang w:val="en-US" w:eastAsia="zh-CN" w:bidi="ar-SA"/>
    </w:rPr>
  </w:style>
  <w:style w:type="paragraph" w:customStyle="1" w:styleId="266">
    <w:name w:val="正文12"/>
    <w:qFormat/>
    <w:uiPriority w:val="0"/>
    <w:pPr>
      <w:jc w:val="both"/>
    </w:pPr>
    <w:rPr>
      <w:rFonts w:ascii="Calibri" w:hAnsi="Calibri" w:eastAsia="宋体" w:cs="Calibri"/>
      <w:kern w:val="2"/>
      <w:sz w:val="21"/>
      <w:szCs w:val="21"/>
      <w:lang w:val="en-US" w:eastAsia="zh-CN" w:bidi="ar-SA"/>
    </w:rPr>
  </w:style>
  <w:style w:type="paragraph" w:customStyle="1" w:styleId="267">
    <w:name w:val="列表段落3"/>
    <w:basedOn w:val="1"/>
    <w:qFormat/>
    <w:uiPriority w:val="0"/>
    <w:pPr>
      <w:adjustRightInd/>
      <w:spacing w:line="240" w:lineRule="auto"/>
      <w:ind w:firstLine="420" w:firstLineChars="200"/>
    </w:pPr>
    <w:rPr>
      <w:rFonts w:ascii="等线" w:hAnsi="等线" w:eastAsia="等线"/>
    </w:rPr>
  </w:style>
  <w:style w:type="paragraph" w:customStyle="1" w:styleId="268">
    <w:name w:val="附录二级条标题"/>
    <w:basedOn w:val="1"/>
    <w:next w:val="244"/>
    <w:qFormat/>
    <w:uiPriority w:val="0"/>
    <w:pPr>
      <w:widowControl/>
      <w:wordWrap w:val="0"/>
      <w:overflowPunct w:val="0"/>
      <w:autoSpaceDE w:val="0"/>
      <w:autoSpaceDN w:val="0"/>
      <w:adjustRightInd/>
      <w:spacing w:line="240" w:lineRule="auto"/>
      <w:textAlignment w:val="baseline"/>
      <w:outlineLvl w:val="3"/>
    </w:pPr>
    <w:rPr>
      <w:rFonts w:ascii="黑体" w:hAnsi="Times New Roman" w:eastAsia="黑体"/>
      <w:kern w:val="21"/>
    </w:rPr>
  </w:style>
  <w:style w:type="paragraph" w:customStyle="1" w:styleId="269">
    <w:name w:val="修订8"/>
    <w:hidden/>
    <w:semiHidden/>
    <w:qFormat/>
    <w:uiPriority w:val="99"/>
    <w:rPr>
      <w:rFonts w:ascii="Calibri" w:hAnsi="Calibri" w:eastAsia="宋体" w:cs="Times New Roman"/>
      <w:kern w:val="2"/>
      <w:sz w:val="21"/>
      <w:szCs w:val="21"/>
      <w:lang w:val="en-US" w:eastAsia="zh-CN" w:bidi="ar-SA"/>
    </w:rPr>
  </w:style>
  <w:style w:type="paragraph" w:customStyle="1" w:styleId="270">
    <w:name w:val="修订9"/>
    <w:hidden/>
    <w:semiHidden/>
    <w:qFormat/>
    <w:uiPriority w:val="99"/>
    <w:rPr>
      <w:rFonts w:ascii="Calibri" w:hAnsi="Calibri" w:eastAsia="宋体" w:cs="Times New Roman"/>
      <w:kern w:val="2"/>
      <w:sz w:val="21"/>
      <w:szCs w:val="21"/>
      <w:lang w:val="en-US" w:eastAsia="zh-CN" w:bidi="ar-SA"/>
    </w:rPr>
  </w:style>
  <w:style w:type="paragraph" w:customStyle="1" w:styleId="271">
    <w:name w:val="修订10"/>
    <w:hidden/>
    <w:semiHidden/>
    <w:qFormat/>
    <w:uiPriority w:val="99"/>
    <w:rPr>
      <w:rFonts w:ascii="Calibri" w:hAnsi="Calibri" w:eastAsia="宋体" w:cs="Times New Roman"/>
      <w:kern w:val="2"/>
      <w:sz w:val="21"/>
      <w:szCs w:val="21"/>
      <w:lang w:val="en-US" w:eastAsia="zh-CN" w:bidi="ar-SA"/>
    </w:rPr>
  </w:style>
  <w:style w:type="paragraph" w:customStyle="1" w:styleId="272">
    <w:name w:val="正文13"/>
    <w:qFormat/>
    <w:uiPriority w:val="0"/>
    <w:pPr>
      <w:jc w:val="both"/>
    </w:pPr>
    <w:rPr>
      <w:rFonts w:ascii="Calibri" w:hAnsi="Calibri" w:eastAsia="宋体" w:cs="Calibri"/>
      <w:kern w:val="2"/>
      <w:sz w:val="21"/>
      <w:szCs w:val="21"/>
      <w:lang w:val="en-US" w:eastAsia="zh-CN" w:bidi="ar-SA"/>
    </w:rPr>
  </w:style>
  <w:style w:type="paragraph" w:customStyle="1" w:styleId="273">
    <w:name w:val="正文14"/>
    <w:qFormat/>
    <w:uiPriority w:val="0"/>
    <w:pPr>
      <w:jc w:val="both"/>
    </w:pPr>
    <w:rPr>
      <w:rFonts w:ascii="Calibri" w:hAnsi="Calibri" w:eastAsia="宋体" w:cs="Calibri"/>
      <w:kern w:val="2"/>
      <w:sz w:val="21"/>
      <w:szCs w:val="21"/>
      <w:lang w:val="en-US" w:eastAsia="zh-CN" w:bidi="ar-SA"/>
    </w:rPr>
  </w:style>
  <w:style w:type="paragraph" w:customStyle="1" w:styleId="274">
    <w:name w:val="列表段落4"/>
    <w:basedOn w:val="1"/>
    <w:qFormat/>
    <w:uiPriority w:val="0"/>
    <w:pPr>
      <w:adjustRightInd/>
      <w:spacing w:line="240" w:lineRule="auto"/>
      <w:ind w:firstLine="420" w:firstLineChars="200"/>
    </w:pPr>
  </w:style>
  <w:style w:type="paragraph" w:customStyle="1" w:styleId="275">
    <w:name w:val="标准"/>
    <w:basedOn w:val="1"/>
    <w:qFormat/>
    <w:uiPriority w:val="0"/>
    <w:pPr>
      <w:spacing w:line="312" w:lineRule="atLeast"/>
      <w:jc w:val="center"/>
      <w:textAlignment w:val="baseline"/>
    </w:pPr>
    <w:rPr>
      <w:kern w:val="0"/>
    </w:rPr>
  </w:style>
  <w:style w:type="character" w:customStyle="1" w:styleId="276">
    <w:name w:val="未处理的提及1"/>
    <w:basedOn w:val="33"/>
    <w:semiHidden/>
    <w:unhideWhenUsed/>
    <w:qFormat/>
    <w:uiPriority w:val="99"/>
    <w:rPr>
      <w:color w:val="605E5C"/>
      <w:shd w:val="clear" w:color="auto" w:fill="E1DFDD"/>
    </w:rPr>
  </w:style>
  <w:style w:type="paragraph" w:customStyle="1" w:styleId="277">
    <w:name w:val="Revision"/>
    <w:hidden/>
    <w:semiHidden/>
    <w:qFormat/>
    <w:uiPriority w:val="99"/>
    <w:rPr>
      <w:rFonts w:ascii="Calibri" w:hAnsi="Calibri" w:eastAsia="宋体" w:cs="Times New Roman"/>
      <w:kern w:val="2"/>
      <w:sz w:val="21"/>
      <w:szCs w:val="21"/>
      <w:lang w:val="en-US" w:eastAsia="zh-CN" w:bidi="ar-SA"/>
    </w:rPr>
  </w:style>
  <w:style w:type="character" w:customStyle="1" w:styleId="278">
    <w:name w:val="font21"/>
    <w:basedOn w:val="33"/>
    <w:qFormat/>
    <w:uiPriority w:val="0"/>
    <w:rPr>
      <w:rFonts w:hint="eastAsia" w:ascii="宋体" w:hAnsi="宋体" w:eastAsia="宋体"/>
      <w:color w:val="000000"/>
      <w:sz w:val="21"/>
      <w:szCs w:val="21"/>
      <w:u w:val="none"/>
    </w:rPr>
  </w:style>
  <w:style w:type="character" w:customStyle="1" w:styleId="279">
    <w:name w:val="font31"/>
    <w:basedOn w:val="33"/>
    <w:qFormat/>
    <w:uiPriority w:val="0"/>
    <w:rPr>
      <w:rFonts w:hint="eastAsia" w:ascii="宋体" w:hAnsi="宋体" w:eastAsia="宋体"/>
      <w:b/>
      <w:bCs/>
      <w:color w:val="000000"/>
      <w:sz w:val="21"/>
      <w:szCs w:val="21"/>
      <w:u w:val="none"/>
    </w:rPr>
  </w:style>
  <w:style w:type="character" w:customStyle="1" w:styleId="280">
    <w:name w:val="font41"/>
    <w:basedOn w:val="33"/>
    <w:qFormat/>
    <w:uiPriority w:val="0"/>
    <w:rPr>
      <w:rFonts w:hint="eastAsia" w:ascii="宋体" w:hAnsi="宋体" w:eastAsia="宋体"/>
      <w:color w:val="000000"/>
      <w:sz w:val="20"/>
      <w:szCs w:val="20"/>
      <w:u w:val="none"/>
      <w:vertAlign w:val="subscript"/>
    </w:rPr>
  </w:style>
  <w:style w:type="character" w:customStyle="1" w:styleId="281">
    <w:name w:val="font11"/>
    <w:basedOn w:val="33"/>
    <w:qFormat/>
    <w:uiPriority w:val="0"/>
    <w:rPr>
      <w:rFonts w:hint="eastAsia" w:ascii="宋体" w:hAnsi="宋体" w:eastAsia="宋体"/>
      <w:color w:val="000000"/>
      <w:sz w:val="20"/>
      <w:szCs w:val="20"/>
      <w:u w:val="none"/>
    </w:rPr>
  </w:style>
  <w:style w:type="paragraph" w:customStyle="1" w:styleId="282">
    <w:name w:val="列表段落5"/>
    <w:basedOn w:val="1"/>
    <w:qFormat/>
    <w:uiPriority w:val="0"/>
    <w:pPr>
      <w:adjustRightInd/>
      <w:spacing w:line="240" w:lineRule="auto"/>
      <w:ind w:firstLine="420" w:firstLineChars="200"/>
    </w:pPr>
  </w:style>
  <w:style w:type="paragraph" w:customStyle="1" w:styleId="283">
    <w:name w:val="列表段落6"/>
    <w:basedOn w:val="1"/>
    <w:qFormat/>
    <w:uiPriority w:val="0"/>
    <w:pPr>
      <w:adjustRightInd/>
      <w:spacing w:line="240" w:lineRule="auto"/>
      <w:ind w:firstLine="420" w:firstLineChars="200"/>
    </w:pPr>
  </w:style>
  <w:style w:type="paragraph" w:customStyle="1" w:styleId="284">
    <w:name w:val="章标题"/>
    <w:next w:val="244"/>
    <w:qFormat/>
    <w:uiPriority w:val="0"/>
    <w:pPr>
      <w:spacing w:before="156" w:after="156"/>
      <w:jc w:val="both"/>
      <w:outlineLvl w:val="1"/>
    </w:pPr>
    <w:rPr>
      <w:rFonts w:ascii="黑体" w:hAnsi="Times New Roman" w:eastAsia="黑体" w:cs="Times New Roman"/>
      <w:sz w:val="21"/>
      <w:lang w:val="en-US" w:eastAsia="zh-CN" w:bidi="ar-SA"/>
    </w:rPr>
  </w:style>
  <w:style w:type="paragraph" w:customStyle="1" w:styleId="285">
    <w:name w:val="二级条标题"/>
    <w:basedOn w:val="242"/>
    <w:next w:val="244"/>
    <w:qFormat/>
    <w:uiPriority w:val="0"/>
    <w:pPr>
      <w:ind w:left="2551"/>
      <w:outlineLvl w:val="3"/>
    </w:pPr>
    <w:rPr>
      <w:szCs w:val="20"/>
    </w:rPr>
  </w:style>
  <w:style w:type="paragraph" w:customStyle="1" w:styleId="286">
    <w:name w:val="四级条标题"/>
    <w:basedOn w:val="243"/>
    <w:next w:val="244"/>
    <w:qFormat/>
    <w:uiPriority w:val="0"/>
    <w:pPr>
      <w:ind w:left="3544"/>
      <w:outlineLvl w:val="5"/>
    </w:pPr>
    <w:rPr>
      <w:szCs w:val="20"/>
    </w:rPr>
  </w:style>
  <w:style w:type="character" w:customStyle="1" w:styleId="287">
    <w:name w:val="font01"/>
    <w:basedOn w:val="3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5" Type="http://schemas.openxmlformats.org/officeDocument/2006/relationships/glossaryDocument" Target="glossary/document.xml"/><Relationship Id="rId54" Type="http://schemas.microsoft.com/office/2011/relationships/people" Target="people.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4.jpeg"/><Relationship Id="rId48" Type="http://schemas.openxmlformats.org/officeDocument/2006/relationships/image" Target="media/image3.png"/><Relationship Id="rId47" Type="http://schemas.openxmlformats.org/officeDocument/2006/relationships/image" Target="media/image2.tiff"/><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D58311BA9E462183F4420F20CBE115"/>
        <w:style w:val=""/>
        <w:category>
          <w:name w:val="常规"/>
          <w:gallery w:val="placeholder"/>
        </w:category>
        <w:types>
          <w:type w:val="bbPlcHdr"/>
        </w:types>
        <w:behaviors>
          <w:behavior w:val="content"/>
        </w:behaviors>
        <w:description w:val=""/>
        <w:guid w:val="{875DF94A-4305-4336-A47E-228BBC27FB99}"/>
      </w:docPartPr>
      <w:docPartBody>
        <w:p>
          <w:pPr>
            <w:pStyle w:val="5"/>
          </w:pPr>
          <w:r>
            <w:rPr>
              <w:rStyle w:val="4"/>
              <w:rFonts w:hint="eastAsia"/>
            </w:rPr>
            <w:t>单击或点击此处输入文字。</w:t>
          </w:r>
        </w:p>
      </w:docPartBody>
    </w:docPart>
    <w:docPart>
      <w:docPartPr>
        <w:name w:val="56F958E82868410891C46C4875E05292"/>
        <w:style w:val=""/>
        <w:category>
          <w:name w:val="常规"/>
          <w:gallery w:val="placeholder"/>
        </w:category>
        <w:types>
          <w:type w:val="bbPlcHdr"/>
        </w:types>
        <w:behaviors>
          <w:behavior w:val="content"/>
        </w:behaviors>
        <w:description w:val=""/>
        <w:guid w:val="{C1058BEA-78C4-4AC5-BA32-572876A2E52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A8"/>
    <w:rsid w:val="000208ED"/>
    <w:rsid w:val="000B31B0"/>
    <w:rsid w:val="00340005"/>
    <w:rsid w:val="00345100"/>
    <w:rsid w:val="003575BC"/>
    <w:rsid w:val="00417C82"/>
    <w:rsid w:val="00433904"/>
    <w:rsid w:val="0049248E"/>
    <w:rsid w:val="004B0AF9"/>
    <w:rsid w:val="004E002C"/>
    <w:rsid w:val="005414CD"/>
    <w:rsid w:val="005E641B"/>
    <w:rsid w:val="006A2B84"/>
    <w:rsid w:val="006A5EAE"/>
    <w:rsid w:val="00711EAF"/>
    <w:rsid w:val="0073203B"/>
    <w:rsid w:val="00794D0D"/>
    <w:rsid w:val="008B520D"/>
    <w:rsid w:val="009A738B"/>
    <w:rsid w:val="009E6173"/>
    <w:rsid w:val="00B75526"/>
    <w:rsid w:val="00BA60A6"/>
    <w:rsid w:val="00BF2000"/>
    <w:rsid w:val="00C06315"/>
    <w:rsid w:val="00C31FA0"/>
    <w:rsid w:val="00CF52D7"/>
    <w:rsid w:val="00D514A8"/>
    <w:rsid w:val="00D54C1B"/>
    <w:rsid w:val="00D86E7C"/>
    <w:rsid w:val="00E1013F"/>
    <w:rsid w:val="00E2690B"/>
    <w:rsid w:val="00EA421B"/>
    <w:rsid w:val="00EA4988"/>
    <w:rsid w:val="00F60958"/>
    <w:rsid w:val="00F672A2"/>
    <w:rsid w:val="00F714DB"/>
    <w:rsid w:val="00F7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6D58311BA9E462183F4420F20CBE1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F958E82868410891C46C4875E052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C201-E326-4E81-85CB-F20700AF267F}">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73</Pages>
  <Words>11016</Words>
  <Characters>62792</Characters>
  <Lines>523</Lines>
  <Paragraphs>147</Paragraphs>
  <TotalTime>0</TotalTime>
  <ScaleCrop>false</ScaleCrop>
  <LinksUpToDate>false</LinksUpToDate>
  <CharactersWithSpaces>73661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2023-05-08T05:24:00Z</dcterms:created>
  <dc:creator>付越</dc:creator>
  <cp:lastModifiedBy>李云伟</cp:lastModifiedBy>
  <cp:lastPrinted>2022-11-07T08:28:00Z</cp:lastPrinted>
  <dcterms:modified xsi:type="dcterms:W3CDTF">2024-03-06T08:57:45Z</dcterms:modified>
  <dc:title>国家标准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730C16A6963B490D9CA7AEE5279582C6</vt:lpwstr>
  </property>
  <property fmtid="{D5CDD505-2E9C-101B-9397-08002B2CF9AE}" pid="16" name="DoublePage">
    <vt:lpwstr>true</vt:lpwstr>
  </property>
</Properties>
</file>