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bookmarkStart w:id="0" w:name="_Hlk64896309"/>
    </w:p>
    <w:bookmarkEnd w:id="0"/>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1" w:name="_Toc30310"/>
      <w:bookmarkStart w:id="2" w:name="_Toc28374"/>
      <w:bookmarkStart w:id="3" w:name="_Toc36212235"/>
      <w:bookmarkStart w:id="4" w:name="_Toc28417"/>
      <w:bookmarkStart w:id="5" w:name="_Toc11710"/>
      <w:bookmarkStart w:id="6" w:name="_Toc160777649"/>
      <w:bookmarkStart w:id="7" w:name="_Toc16877"/>
      <w:r>
        <w:rPr>
          <w:rFonts w:ascii="黑体" w:hAnsi="黑体" w:eastAsia="黑体"/>
          <w:color w:val="000000"/>
          <w:kern w:val="0"/>
          <w:sz w:val="32"/>
          <w:szCs w:val="32"/>
        </w:rPr>
        <w:t>《</w:t>
      </w:r>
      <w:r>
        <w:rPr>
          <w:rFonts w:hint="eastAsia" w:ascii="黑体" w:hAnsi="黑体" w:eastAsia="黑体"/>
          <w:color w:val="000000"/>
          <w:kern w:val="0"/>
          <w:sz w:val="32"/>
          <w:szCs w:val="32"/>
        </w:rPr>
        <w:t>乘用车制动系统技术要求及试验方法</w:t>
      </w:r>
      <w:r>
        <w:rPr>
          <w:rFonts w:ascii="黑体" w:hAnsi="黑体" w:eastAsia="黑体"/>
          <w:color w:val="000000"/>
          <w:kern w:val="0"/>
          <w:sz w:val="32"/>
          <w:szCs w:val="32"/>
        </w:rPr>
        <w:t>》</w:t>
      </w:r>
      <w:bookmarkEnd w:id="1"/>
      <w:bookmarkEnd w:id="2"/>
      <w:bookmarkEnd w:id="3"/>
      <w:bookmarkEnd w:id="4"/>
      <w:bookmarkEnd w:id="5"/>
      <w:bookmarkEnd w:id="6"/>
      <w:bookmarkEnd w:id="7"/>
    </w:p>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8" w:name="_Toc14803"/>
      <w:bookmarkStart w:id="9" w:name="_Toc24420"/>
      <w:bookmarkStart w:id="10" w:name="_Toc6026"/>
      <w:bookmarkStart w:id="11" w:name="_Toc21854"/>
      <w:bookmarkStart w:id="12" w:name="_Toc4815"/>
      <w:bookmarkStart w:id="13" w:name="_Toc36212236"/>
      <w:bookmarkStart w:id="14" w:name="_Toc160777650"/>
      <w:r>
        <w:rPr>
          <w:rFonts w:ascii="黑体" w:hAnsi="黑体" w:eastAsia="黑体"/>
          <w:color w:val="000000"/>
          <w:kern w:val="0"/>
          <w:sz w:val="32"/>
          <w:szCs w:val="32"/>
        </w:rPr>
        <w:t>（</w:t>
      </w:r>
      <w:r>
        <w:rPr>
          <w:rFonts w:hint="eastAsia" w:ascii="黑体" w:hAnsi="黑体" w:eastAsia="黑体"/>
          <w:color w:val="000000"/>
          <w:kern w:val="0"/>
          <w:sz w:val="32"/>
          <w:szCs w:val="32"/>
        </w:rPr>
        <w:t>征求意见稿</w:t>
      </w:r>
      <w:r>
        <w:rPr>
          <w:rFonts w:ascii="黑体" w:hAnsi="黑体" w:eastAsia="黑体"/>
          <w:color w:val="000000"/>
          <w:kern w:val="0"/>
          <w:sz w:val="32"/>
          <w:szCs w:val="32"/>
        </w:rPr>
        <w:t>）</w:t>
      </w:r>
      <w:bookmarkEnd w:id="8"/>
      <w:bookmarkEnd w:id="9"/>
      <w:bookmarkEnd w:id="10"/>
      <w:bookmarkEnd w:id="11"/>
      <w:bookmarkEnd w:id="12"/>
      <w:bookmarkEnd w:id="13"/>
      <w:bookmarkEnd w:id="14"/>
    </w:p>
    <w:p>
      <w:pPr>
        <w:autoSpaceDE w:val="0"/>
        <w:autoSpaceDN w:val="0"/>
        <w:adjustRightInd w:val="0"/>
        <w:spacing w:line="240" w:lineRule="auto"/>
        <w:ind w:firstLine="0" w:firstLineChars="0"/>
        <w:jc w:val="center"/>
        <w:outlineLvl w:val="0"/>
        <w:rPr>
          <w:rFonts w:ascii="黑体" w:hAnsi="黑体" w:eastAsia="黑体" w:cs="宋体"/>
          <w:color w:val="000000"/>
          <w:kern w:val="0"/>
          <w:sz w:val="32"/>
          <w:szCs w:val="32"/>
        </w:rPr>
      </w:pPr>
      <w:bookmarkStart w:id="15" w:name="_Toc7459"/>
      <w:bookmarkStart w:id="16" w:name="_Toc31546"/>
      <w:bookmarkStart w:id="17" w:name="_Toc30226"/>
      <w:bookmarkStart w:id="18" w:name="_Toc9903"/>
      <w:bookmarkStart w:id="19" w:name="_Toc160777651"/>
      <w:bookmarkStart w:id="20" w:name="_Toc36212237"/>
      <w:bookmarkStart w:id="21" w:name="_Toc8137"/>
      <w:r>
        <w:rPr>
          <w:rFonts w:hint="eastAsia" w:ascii="黑体" w:hAnsi="黑体" w:eastAsia="黑体" w:cs="宋体"/>
          <w:color w:val="000000"/>
          <w:kern w:val="0"/>
          <w:sz w:val="32"/>
          <w:szCs w:val="32"/>
        </w:rPr>
        <w:t>编制说明</w:t>
      </w:r>
      <w:bookmarkEnd w:id="15"/>
      <w:bookmarkEnd w:id="16"/>
      <w:bookmarkEnd w:id="17"/>
      <w:bookmarkEnd w:id="18"/>
      <w:bookmarkEnd w:id="19"/>
      <w:bookmarkEnd w:id="20"/>
      <w:bookmarkEnd w:id="21"/>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2" w:name="_Toc36212238"/>
      <w:bookmarkStart w:id="23" w:name="_Toc7124"/>
      <w:bookmarkStart w:id="24" w:name="_Toc733"/>
      <w:bookmarkStart w:id="25" w:name="_Toc160777652"/>
      <w:bookmarkStart w:id="26" w:name="_Hlk64896381"/>
      <w:r>
        <w:rPr>
          <w:rFonts w:hint="eastAsia" w:ascii="黑体" w:hAnsi="黑体" w:eastAsia="黑体" w:cs="宋体"/>
          <w:bCs/>
          <w:color w:val="000000"/>
          <w:kern w:val="0"/>
          <w:sz w:val="24"/>
        </w:rPr>
        <w:t>工作简况</w:t>
      </w:r>
      <w:bookmarkEnd w:id="22"/>
      <w:bookmarkEnd w:id="23"/>
      <w:bookmarkEnd w:id="24"/>
      <w:bookmarkEnd w:id="25"/>
    </w:p>
    <w:p>
      <w:pPr>
        <w:spacing w:line="400" w:lineRule="exact"/>
        <w:ind w:firstLine="428"/>
        <w:outlineLvl w:val="1"/>
        <w:rPr>
          <w:spacing w:val="2"/>
          <w:szCs w:val="21"/>
        </w:rPr>
      </w:pPr>
      <w:bookmarkStart w:id="27" w:name="_Toc160777653"/>
      <w:bookmarkStart w:id="28" w:name="_Toc17998"/>
      <w:bookmarkStart w:id="29" w:name="_Toc31258"/>
      <w:r>
        <w:rPr>
          <w:spacing w:val="2"/>
          <w:szCs w:val="21"/>
        </w:rPr>
        <w:t>1、任务来源</w:t>
      </w:r>
      <w:bookmarkEnd w:id="27"/>
      <w:bookmarkEnd w:id="28"/>
      <w:bookmarkEnd w:id="29"/>
    </w:p>
    <w:p>
      <w:pPr>
        <w:spacing w:line="400" w:lineRule="exact"/>
        <w:ind w:firstLine="428"/>
        <w:rPr>
          <w:spacing w:val="2"/>
          <w:szCs w:val="21"/>
        </w:rPr>
      </w:pPr>
      <w:r>
        <w:rPr>
          <w:spacing w:val="2"/>
          <w:szCs w:val="21"/>
        </w:rPr>
        <w:t>本项目根据</w:t>
      </w:r>
      <w:r>
        <w:rPr>
          <w:rFonts w:hint="eastAsia"/>
          <w:spacing w:val="2"/>
          <w:szCs w:val="21"/>
        </w:rPr>
        <w:t>2020</w:t>
      </w:r>
      <w:r>
        <w:rPr>
          <w:spacing w:val="2"/>
          <w:szCs w:val="21"/>
        </w:rPr>
        <w:t>年</w:t>
      </w:r>
      <w:r>
        <w:rPr>
          <w:rFonts w:hint="eastAsia"/>
          <w:spacing w:val="2"/>
          <w:szCs w:val="21"/>
        </w:rPr>
        <w:t>7</w:t>
      </w:r>
      <w:r>
        <w:rPr>
          <w:spacing w:val="2"/>
          <w:szCs w:val="21"/>
        </w:rPr>
        <w:t>月</w:t>
      </w:r>
      <w:r>
        <w:rPr>
          <w:rFonts w:hint="eastAsia"/>
          <w:spacing w:val="2"/>
          <w:szCs w:val="21"/>
        </w:rPr>
        <w:t>29</w:t>
      </w:r>
      <w:r>
        <w:rPr>
          <w:spacing w:val="2"/>
          <w:szCs w:val="21"/>
        </w:rPr>
        <w:t>日国标委下达的国标委发【20</w:t>
      </w:r>
      <w:r>
        <w:rPr>
          <w:rFonts w:hint="eastAsia"/>
          <w:spacing w:val="2"/>
          <w:szCs w:val="21"/>
        </w:rPr>
        <w:t>20</w:t>
      </w:r>
      <w:r>
        <w:rPr>
          <w:spacing w:val="2"/>
          <w:szCs w:val="21"/>
        </w:rPr>
        <w:t>】</w:t>
      </w:r>
      <w:r>
        <w:rPr>
          <w:rFonts w:hint="eastAsia"/>
          <w:spacing w:val="2"/>
          <w:szCs w:val="21"/>
        </w:rPr>
        <w:t>34</w:t>
      </w:r>
      <w:r>
        <w:rPr>
          <w:spacing w:val="2"/>
          <w:szCs w:val="21"/>
        </w:rPr>
        <w:t>号文《国家标准化管理委员会关于下达</w:t>
      </w:r>
      <w:r>
        <w:rPr>
          <w:rFonts w:hint="eastAsia"/>
          <w:spacing w:val="2"/>
          <w:szCs w:val="21"/>
        </w:rPr>
        <w:t>&lt;乘用车燃料消耗量限值&gt;等17项强制性</w:t>
      </w:r>
      <w:r>
        <w:rPr>
          <w:spacing w:val="2"/>
          <w:szCs w:val="21"/>
        </w:rPr>
        <w:t>国家标准</w:t>
      </w:r>
      <w:r>
        <w:rPr>
          <w:rFonts w:hint="eastAsia"/>
          <w:spacing w:val="2"/>
          <w:szCs w:val="21"/>
        </w:rPr>
        <w:t>修订</w:t>
      </w:r>
      <w:r>
        <w:rPr>
          <w:spacing w:val="2"/>
          <w:szCs w:val="21"/>
        </w:rPr>
        <w:t>计划的通知》制定，计划名称《</w:t>
      </w:r>
      <w:r>
        <w:rPr>
          <w:rFonts w:hint="eastAsia"/>
          <w:spacing w:val="2"/>
          <w:szCs w:val="21"/>
        </w:rPr>
        <w:t>乘用车制动系统技术要求及试验方法</w:t>
      </w:r>
      <w:r>
        <w:rPr>
          <w:spacing w:val="2"/>
          <w:szCs w:val="21"/>
        </w:rPr>
        <w:t>》（计划编号：</w:t>
      </w:r>
      <w:r>
        <w:rPr>
          <w:rFonts w:hint="eastAsia"/>
          <w:spacing w:val="2"/>
          <w:szCs w:val="21"/>
        </w:rPr>
        <w:t>20201960</w:t>
      </w:r>
      <w:r>
        <w:rPr>
          <w:spacing w:val="2"/>
          <w:szCs w:val="21"/>
        </w:rPr>
        <w:t>-</w:t>
      </w:r>
      <w:r>
        <w:rPr>
          <w:rFonts w:hint="eastAsia"/>
          <w:spacing w:val="2"/>
          <w:szCs w:val="21"/>
        </w:rPr>
        <w:t>Q</w:t>
      </w:r>
      <w:r>
        <w:rPr>
          <w:spacing w:val="2"/>
          <w:szCs w:val="21"/>
        </w:rPr>
        <w:t>-339）。</w:t>
      </w:r>
    </w:p>
    <w:p>
      <w:pPr>
        <w:pStyle w:val="4"/>
        <w:numPr>
          <w:ilvl w:val="0"/>
          <w:numId w:val="12"/>
        </w:numPr>
        <w:ind w:firstLine="428"/>
        <w:outlineLvl w:val="1"/>
        <w:rPr>
          <w:spacing w:val="2"/>
          <w:szCs w:val="21"/>
        </w:rPr>
      </w:pPr>
      <w:bookmarkStart w:id="30" w:name="_Toc160777654"/>
      <w:bookmarkStart w:id="31" w:name="_Toc11970"/>
      <w:bookmarkStart w:id="32" w:name="_Toc9493"/>
      <w:r>
        <w:rPr>
          <w:rFonts w:hint="eastAsia"/>
          <w:spacing w:val="2"/>
          <w:szCs w:val="21"/>
        </w:rPr>
        <w:t>背景意义</w:t>
      </w:r>
      <w:bookmarkEnd w:id="30"/>
      <w:bookmarkEnd w:id="31"/>
      <w:bookmarkEnd w:id="32"/>
    </w:p>
    <w:p>
      <w:pPr>
        <w:pStyle w:val="4"/>
        <w:ind w:firstLine="420"/>
      </w:pPr>
      <w:r>
        <w:rPr>
          <w:rFonts w:hint="eastAsia"/>
        </w:rPr>
        <w:t>GB 21670-2008《乘用车制动系统技术要求及试验方法》是汽车制动领域的基础标准，旨在推动我国乘用车制动技术的发展及制动安全性的提升。标准制定一方面考虑了我国乘用车制动产品结构、技术水平和市场发展等因素，同时也结合了国际发展趋势，参考欧盟、日本等执行UN R13-H的情况以及ISO相关标准，结合我国实际情况，针对标准技术要求提出了一套完整的试验方法，为加强国内企业对标准的理解以及检测机构执行的可操作性提供了指导，也成为我国乘用车整车产品在公告、3C等准入环节的强制性检验依据标准。该标准的发布实施在当时的历史发展阶段极大促进了车辆制动产品技术研发水平的提升。</w:t>
      </w:r>
    </w:p>
    <w:p>
      <w:pPr>
        <w:pStyle w:val="4"/>
        <w:ind w:firstLine="420"/>
        <w:rPr>
          <w:spacing w:val="2"/>
          <w:szCs w:val="21"/>
        </w:rPr>
      </w:pPr>
      <w:r>
        <w:rPr>
          <w:rFonts w:hint="eastAsia"/>
        </w:rPr>
        <w:t>随着车辆电动化和智能化的快速发展，乘用车制动系统的结构形式也进行了多个阶段的迭代和升级，先后经历了传统机械/液压制动、电子液压制动等发展阶段。而各种新功能和新技术在车辆上的应用，也对汽车制动系统提出了新的要求。不仅要求制动系统具备足够的制动效能，还要具备足够的响应速度、控制能力以及失效后的安全保障。为适应技术和产品发展趋势，联合国法规UN R13-H也经历了多版修订，而GB 21670-2008主要技术内容来源于UN R13-H，因此目前标准中的部分指标和要求已不适应和匹配最新的产业发展情况，有必要结合最新的发展趋势开展标准修订，制定符合技术现状、适应智能化、电子化发展的乘用车制动强制性国家标准，对于推动、引导和规范我国汽车制动技术发展，提高汽车制动性能，有着非常重要的意义。</w:t>
      </w:r>
    </w:p>
    <w:p>
      <w:pPr>
        <w:pStyle w:val="4"/>
        <w:numPr>
          <w:ilvl w:val="0"/>
          <w:numId w:val="12"/>
        </w:numPr>
        <w:ind w:firstLine="428"/>
        <w:outlineLvl w:val="1"/>
        <w:rPr>
          <w:spacing w:val="2"/>
          <w:szCs w:val="21"/>
        </w:rPr>
      </w:pPr>
      <w:bookmarkStart w:id="33" w:name="_Toc14936"/>
      <w:bookmarkStart w:id="34" w:name="_Toc18135"/>
      <w:bookmarkStart w:id="35" w:name="_Toc160777655"/>
      <w:r>
        <w:rPr>
          <w:rFonts w:hint="eastAsia"/>
          <w:spacing w:val="2"/>
          <w:szCs w:val="21"/>
        </w:rPr>
        <w:t>主要工作过程</w:t>
      </w:r>
      <w:bookmarkEnd w:id="33"/>
      <w:bookmarkEnd w:id="34"/>
      <w:bookmarkEnd w:id="35"/>
    </w:p>
    <w:p>
      <w:pPr>
        <w:pStyle w:val="4"/>
        <w:ind w:firstLine="428"/>
        <w:rPr>
          <w:spacing w:val="2"/>
          <w:szCs w:val="21"/>
        </w:rPr>
      </w:pPr>
      <w:r>
        <w:rPr>
          <w:spacing w:val="2"/>
          <w:szCs w:val="21"/>
        </w:rPr>
        <w:t>GB 21670-2008《乘用车制动系统技术要求及试验方法》</w:t>
      </w:r>
      <w:r>
        <w:rPr>
          <w:rFonts w:hint="eastAsia"/>
          <w:spacing w:val="2"/>
          <w:szCs w:val="21"/>
        </w:rPr>
        <w:t>标准</w:t>
      </w:r>
      <w:r>
        <w:rPr>
          <w:spacing w:val="2"/>
          <w:szCs w:val="21"/>
        </w:rPr>
        <w:t>修订工作在工信部指导下，由全国汽车标准化技术委员会组织开展，并于20</w:t>
      </w:r>
      <w:r>
        <w:rPr>
          <w:rFonts w:hint="eastAsia"/>
          <w:spacing w:val="2"/>
          <w:szCs w:val="21"/>
        </w:rPr>
        <w:t>19</w:t>
      </w:r>
      <w:r>
        <w:rPr>
          <w:spacing w:val="2"/>
          <w:szCs w:val="21"/>
        </w:rPr>
        <w:t>年正式启动，中国汽车技术研究中心</w:t>
      </w:r>
      <w:r>
        <w:rPr>
          <w:rFonts w:hint="eastAsia"/>
          <w:spacing w:val="2"/>
          <w:szCs w:val="21"/>
        </w:rPr>
        <w:t>有限公司</w:t>
      </w:r>
      <w:r>
        <w:rPr>
          <w:spacing w:val="2"/>
          <w:szCs w:val="21"/>
        </w:rPr>
        <w:t>（以下简称“中汽中心”）作为牵头起草单位</w:t>
      </w:r>
      <w:r>
        <w:rPr>
          <w:rFonts w:hint="eastAsia"/>
          <w:spacing w:val="2"/>
          <w:szCs w:val="21"/>
        </w:rPr>
        <w:t>，联合60余家</w:t>
      </w:r>
      <w:r>
        <w:rPr>
          <w:spacing w:val="2"/>
          <w:szCs w:val="21"/>
        </w:rPr>
        <w:t>国内外汽车</w:t>
      </w:r>
      <w:r>
        <w:rPr>
          <w:rFonts w:hint="eastAsia"/>
          <w:spacing w:val="2"/>
          <w:szCs w:val="21"/>
        </w:rPr>
        <w:t>整车</w:t>
      </w:r>
      <w:r>
        <w:rPr>
          <w:spacing w:val="2"/>
          <w:szCs w:val="21"/>
        </w:rPr>
        <w:t>企业、</w:t>
      </w:r>
      <w:r>
        <w:rPr>
          <w:rFonts w:hint="eastAsia"/>
          <w:spacing w:val="2"/>
          <w:szCs w:val="21"/>
        </w:rPr>
        <w:t>制动系统供应商、</w:t>
      </w:r>
      <w:r>
        <w:rPr>
          <w:spacing w:val="2"/>
          <w:szCs w:val="21"/>
        </w:rPr>
        <w:t>检测机构</w:t>
      </w:r>
      <w:r>
        <w:rPr>
          <w:rFonts w:hint="eastAsia"/>
          <w:spacing w:val="2"/>
          <w:szCs w:val="21"/>
        </w:rPr>
        <w:t>、科研院所</w:t>
      </w:r>
      <w:r>
        <w:rPr>
          <w:spacing w:val="2"/>
          <w:szCs w:val="21"/>
        </w:rPr>
        <w:t>共同成立标准起草工作组</w:t>
      </w:r>
      <w:r>
        <w:rPr>
          <w:rFonts w:hint="eastAsia"/>
          <w:spacing w:val="2"/>
          <w:szCs w:val="21"/>
        </w:rPr>
        <w:t>开展标准研究和起草工作</w:t>
      </w:r>
      <w:r>
        <w:rPr>
          <w:spacing w:val="2"/>
          <w:szCs w:val="21"/>
        </w:rPr>
        <w:t>。</w:t>
      </w:r>
    </w:p>
    <w:p>
      <w:pPr>
        <w:pStyle w:val="4"/>
        <w:ind w:firstLine="428"/>
        <w:rPr>
          <w:spacing w:val="2"/>
          <w:szCs w:val="21"/>
        </w:rPr>
      </w:pPr>
      <w:r>
        <w:rPr>
          <w:spacing w:val="2"/>
          <w:szCs w:val="21"/>
        </w:rPr>
        <w:t>2019年6月</w:t>
      </w:r>
      <w:r>
        <w:rPr>
          <w:rFonts w:hint="eastAsia"/>
          <w:spacing w:val="2"/>
          <w:szCs w:val="21"/>
        </w:rPr>
        <w:t>至今，标</w:t>
      </w:r>
      <w:r>
        <w:rPr>
          <w:spacing w:val="2"/>
          <w:szCs w:val="21"/>
        </w:rPr>
        <w:t>准起草工作组开展了调研走访</w:t>
      </w:r>
      <w:r>
        <w:rPr>
          <w:rFonts w:hint="eastAsia"/>
          <w:spacing w:val="2"/>
          <w:szCs w:val="21"/>
        </w:rPr>
        <w:t>、技术研讨</w:t>
      </w:r>
      <w:r>
        <w:rPr>
          <w:spacing w:val="2"/>
          <w:szCs w:val="21"/>
        </w:rPr>
        <w:t>等前期预研工作，并先后组织召开了</w:t>
      </w:r>
      <w:r>
        <w:rPr>
          <w:rFonts w:hint="eastAsia"/>
          <w:spacing w:val="2"/>
          <w:szCs w:val="21"/>
        </w:rPr>
        <w:t>多次</w:t>
      </w:r>
      <w:r>
        <w:rPr>
          <w:spacing w:val="2"/>
          <w:szCs w:val="21"/>
        </w:rPr>
        <w:t>工作</w:t>
      </w:r>
      <w:r>
        <w:rPr>
          <w:rFonts w:hint="eastAsia"/>
          <w:spacing w:val="2"/>
          <w:szCs w:val="21"/>
        </w:rPr>
        <w:t>组</w:t>
      </w:r>
      <w:r>
        <w:rPr>
          <w:spacing w:val="2"/>
          <w:szCs w:val="21"/>
        </w:rPr>
        <w:t>会议</w:t>
      </w:r>
      <w:r>
        <w:rPr>
          <w:rFonts w:hint="eastAsia"/>
          <w:spacing w:val="2"/>
          <w:szCs w:val="21"/>
        </w:rPr>
        <w:t>和专题讨论会议，</w:t>
      </w:r>
      <w:r>
        <w:rPr>
          <w:spacing w:val="2"/>
          <w:szCs w:val="21"/>
        </w:rPr>
        <w:t>通过会议交流和走访系统深入了解我国乘用车制动系统技术应用状态和储备情况及其对标准</w:t>
      </w:r>
      <w:r>
        <w:rPr>
          <w:rFonts w:hint="eastAsia"/>
          <w:spacing w:val="2"/>
          <w:szCs w:val="21"/>
        </w:rPr>
        <w:t>修订</w:t>
      </w:r>
      <w:r>
        <w:rPr>
          <w:spacing w:val="2"/>
          <w:szCs w:val="21"/>
        </w:rPr>
        <w:t>的意见建议，组织完成乘用车制动系统技术状态和功能安全技术水平调查、制动系统开发升级潜力调查、未来产品规划调查，通过会议讨论及意见征集对标准草案条款进行了</w:t>
      </w:r>
      <w:r>
        <w:rPr>
          <w:rFonts w:hint="eastAsia"/>
          <w:spacing w:val="2"/>
          <w:szCs w:val="21"/>
        </w:rPr>
        <w:t>充分研讨和验证，在参考UN R13-H最新文本的基础上，充分考虑我国的产业实际情况和后续实施，形成了标准征求意见稿</w:t>
      </w:r>
      <w:r>
        <w:rPr>
          <w:spacing w:val="2"/>
          <w:szCs w:val="21"/>
        </w:rPr>
        <w:t>。</w:t>
      </w:r>
      <w:r>
        <w:rPr>
          <w:rFonts w:hint="eastAsia"/>
          <w:spacing w:val="2"/>
          <w:szCs w:val="21"/>
        </w:rPr>
        <w:t>具体工作过程如下：</w:t>
      </w:r>
    </w:p>
    <w:p>
      <w:pPr>
        <w:pStyle w:val="4"/>
        <w:ind w:firstLine="428"/>
        <w:rPr>
          <w:spacing w:val="2"/>
          <w:szCs w:val="21"/>
        </w:rPr>
      </w:pPr>
      <w:r>
        <w:rPr>
          <w:spacing w:val="2"/>
          <w:szCs w:val="21"/>
        </w:rPr>
        <w:t>2019年6月18日在杭州召开了GB 21670-2008 《乘用车制动系统技术要求及试验方法》专题研讨会，对目前线控制动、制动能量回收、新能源汽车、智能网联与制动系统的关联等热点问题进行了讨论，会上，</w:t>
      </w:r>
      <w:r>
        <w:rPr>
          <w:rFonts w:hint="eastAsia"/>
          <w:spacing w:val="2"/>
          <w:szCs w:val="21"/>
        </w:rPr>
        <w:t>中汽中心专家针对各单位反馈的修订建议情况</w:t>
      </w:r>
      <w:r>
        <w:rPr>
          <w:spacing w:val="2"/>
          <w:szCs w:val="21"/>
        </w:rPr>
        <w:t>进行了详细介绍</w:t>
      </w:r>
      <w:r>
        <w:rPr>
          <w:rFonts w:hint="eastAsia"/>
          <w:spacing w:val="2"/>
          <w:szCs w:val="21"/>
        </w:rPr>
        <w:t>，针对标准条款中</w:t>
      </w:r>
      <w:r>
        <w:rPr>
          <w:spacing w:val="2"/>
          <w:szCs w:val="21"/>
        </w:rPr>
        <w:t>可能产生歧义的定义或表述进行了讨论</w:t>
      </w:r>
      <w:r>
        <w:rPr>
          <w:rFonts w:hint="eastAsia"/>
          <w:spacing w:val="2"/>
          <w:szCs w:val="21"/>
        </w:rPr>
        <w:t>。与会代表针对</w:t>
      </w:r>
      <w:r>
        <w:rPr>
          <w:spacing w:val="2"/>
          <w:szCs w:val="21"/>
        </w:rPr>
        <w:t>当前先进技术在汽车制动系统上的应用等问题进行了讨论和交流</w:t>
      </w:r>
      <w:r>
        <w:rPr>
          <w:rFonts w:hint="eastAsia"/>
          <w:spacing w:val="2"/>
          <w:szCs w:val="21"/>
        </w:rPr>
        <w:t>。</w:t>
      </w:r>
      <w:r>
        <w:rPr>
          <w:spacing w:val="2"/>
          <w:szCs w:val="21"/>
        </w:rPr>
        <w:t>会议结合当前技术状态和现版标准里的性能要求及其试验方法进行对比分析和综合评估，并</w:t>
      </w:r>
      <w:r>
        <w:rPr>
          <w:rFonts w:hint="eastAsia"/>
          <w:spacing w:val="2"/>
          <w:szCs w:val="21"/>
        </w:rPr>
        <w:t>确定了</w:t>
      </w:r>
      <w:r>
        <w:rPr>
          <w:spacing w:val="2"/>
          <w:szCs w:val="21"/>
        </w:rPr>
        <w:t>下一步工作安排，后续将组建标准修订工作组开展标准修订、完善和验证等工作。</w:t>
      </w:r>
    </w:p>
    <w:p>
      <w:pPr>
        <w:pStyle w:val="4"/>
        <w:ind w:firstLine="428"/>
        <w:rPr>
          <w:spacing w:val="2"/>
          <w:szCs w:val="21"/>
        </w:rPr>
      </w:pPr>
      <w:r>
        <w:rPr>
          <w:spacing w:val="2"/>
          <w:szCs w:val="21"/>
        </w:rPr>
        <w:t>2019年9月11日，GB</w:t>
      </w:r>
      <w:r>
        <w:rPr>
          <w:rFonts w:hint="eastAsia"/>
          <w:spacing w:val="2"/>
          <w:szCs w:val="21"/>
        </w:rPr>
        <w:t xml:space="preserve"> </w:t>
      </w:r>
      <w:r>
        <w:rPr>
          <w:spacing w:val="2"/>
          <w:szCs w:val="21"/>
        </w:rPr>
        <w:t>21670</w:t>
      </w:r>
      <w:r>
        <w:rPr>
          <w:rFonts w:hint="eastAsia"/>
          <w:spacing w:val="2"/>
          <w:szCs w:val="21"/>
        </w:rPr>
        <w:t>《</w:t>
      </w:r>
      <w:r>
        <w:rPr>
          <w:spacing w:val="2"/>
          <w:szCs w:val="21"/>
        </w:rPr>
        <w:t>乘用车制动系统技术要求及试验方法</w:t>
      </w:r>
      <w:r>
        <w:rPr>
          <w:rFonts w:hint="eastAsia"/>
          <w:spacing w:val="2"/>
          <w:szCs w:val="21"/>
        </w:rPr>
        <w:t>》</w:t>
      </w:r>
      <w:r>
        <w:rPr>
          <w:spacing w:val="2"/>
          <w:szCs w:val="21"/>
        </w:rPr>
        <w:t>标准修订工作组第一次会议</w:t>
      </w:r>
      <w:r>
        <w:rPr>
          <w:rFonts w:hint="eastAsia"/>
          <w:spacing w:val="2"/>
          <w:szCs w:val="21"/>
        </w:rPr>
        <w:t>在杭州召开</w:t>
      </w:r>
      <w:r>
        <w:rPr>
          <w:spacing w:val="2"/>
          <w:szCs w:val="21"/>
        </w:rPr>
        <w:t>，</w:t>
      </w:r>
      <w:r>
        <w:rPr>
          <w:rFonts w:hint="eastAsia"/>
          <w:spacing w:val="2"/>
          <w:szCs w:val="21"/>
        </w:rPr>
        <w:t>工作组成员单位</w:t>
      </w:r>
      <w:r>
        <w:rPr>
          <w:spacing w:val="2"/>
          <w:szCs w:val="21"/>
        </w:rPr>
        <w:t>代表共65人参加会议。</w:t>
      </w:r>
      <w:r>
        <w:rPr>
          <w:rFonts w:hint="eastAsia"/>
          <w:spacing w:val="2"/>
          <w:szCs w:val="21"/>
        </w:rPr>
        <w:t>中汽中心专家</w:t>
      </w:r>
      <w:r>
        <w:rPr>
          <w:spacing w:val="2"/>
          <w:szCs w:val="21"/>
        </w:rPr>
        <w:t>首先介绍了本次会议的背景和目的</w:t>
      </w:r>
      <w:r>
        <w:rPr>
          <w:rFonts w:hint="eastAsia"/>
          <w:spacing w:val="2"/>
          <w:szCs w:val="21"/>
        </w:rPr>
        <w:t>，并对</w:t>
      </w:r>
      <w:r>
        <w:rPr>
          <w:spacing w:val="2"/>
          <w:szCs w:val="21"/>
        </w:rPr>
        <w:t>6月以来并征集</w:t>
      </w:r>
      <w:r>
        <w:rPr>
          <w:rFonts w:hint="eastAsia"/>
          <w:spacing w:val="2"/>
          <w:szCs w:val="21"/>
        </w:rPr>
        <w:t>的来自</w:t>
      </w:r>
      <w:r>
        <w:rPr>
          <w:spacing w:val="2"/>
          <w:szCs w:val="21"/>
        </w:rPr>
        <w:t>39家企业</w:t>
      </w:r>
      <w:r>
        <w:rPr>
          <w:rFonts w:hint="eastAsia"/>
          <w:spacing w:val="2"/>
          <w:szCs w:val="21"/>
        </w:rPr>
        <w:t>的</w:t>
      </w:r>
      <w:r>
        <w:rPr>
          <w:spacing w:val="2"/>
          <w:szCs w:val="21"/>
        </w:rPr>
        <w:t>139条修订意见汇总和分析</w:t>
      </w:r>
      <w:r>
        <w:rPr>
          <w:rFonts w:hint="eastAsia"/>
          <w:spacing w:val="2"/>
          <w:szCs w:val="21"/>
        </w:rPr>
        <w:t>，参会代表针对上述意见</w:t>
      </w:r>
      <w:r>
        <w:rPr>
          <w:spacing w:val="2"/>
          <w:szCs w:val="21"/>
        </w:rPr>
        <w:t>进行了</w:t>
      </w:r>
      <w:r>
        <w:rPr>
          <w:rFonts w:hint="eastAsia"/>
          <w:spacing w:val="2"/>
          <w:szCs w:val="21"/>
        </w:rPr>
        <w:t>初步</w:t>
      </w:r>
      <w:r>
        <w:rPr>
          <w:spacing w:val="2"/>
          <w:szCs w:val="21"/>
        </w:rPr>
        <w:t>讨论</w:t>
      </w:r>
      <w:r>
        <w:rPr>
          <w:rFonts w:hint="eastAsia"/>
          <w:spacing w:val="2"/>
          <w:szCs w:val="21"/>
        </w:rPr>
        <w:t>，包括：</w:t>
      </w:r>
      <w:r>
        <w:rPr>
          <w:spacing w:val="2"/>
          <w:szCs w:val="21"/>
        </w:rPr>
        <w:t>术语定义、制动灯点亮指令、紧急制动信号、备胎制动、电力再生制动系统和驻车制动性能要求等方面</w:t>
      </w:r>
      <w:r>
        <w:rPr>
          <w:rFonts w:hint="eastAsia"/>
          <w:spacing w:val="2"/>
          <w:szCs w:val="21"/>
        </w:rPr>
        <w:t>。本次会后根据会议讨论情况，形成初步的工作组草案。</w:t>
      </w:r>
    </w:p>
    <w:p>
      <w:pPr>
        <w:pStyle w:val="4"/>
        <w:ind w:firstLine="428"/>
        <w:rPr>
          <w:spacing w:val="2"/>
          <w:szCs w:val="21"/>
        </w:rPr>
      </w:pPr>
      <w:r>
        <w:rPr>
          <w:rFonts w:hint="eastAsia"/>
          <w:spacing w:val="2"/>
          <w:szCs w:val="21"/>
        </w:rPr>
        <w:t>2020年5月1</w:t>
      </w:r>
      <w:r>
        <w:rPr>
          <w:spacing w:val="2"/>
          <w:szCs w:val="21"/>
        </w:rPr>
        <w:t>1</w:t>
      </w:r>
      <w:r>
        <w:rPr>
          <w:rFonts w:hint="eastAsia"/>
          <w:spacing w:val="2"/>
          <w:szCs w:val="21"/>
        </w:rPr>
        <w:t>日，</w:t>
      </w:r>
      <w:r>
        <w:rPr>
          <w:spacing w:val="2"/>
          <w:szCs w:val="21"/>
        </w:rPr>
        <w:t>GB</w:t>
      </w:r>
      <w:r>
        <w:rPr>
          <w:rFonts w:hint="eastAsia"/>
          <w:spacing w:val="2"/>
          <w:szCs w:val="21"/>
        </w:rPr>
        <w:t xml:space="preserve"> </w:t>
      </w:r>
      <w:r>
        <w:rPr>
          <w:spacing w:val="2"/>
          <w:szCs w:val="21"/>
        </w:rPr>
        <w:t>21670</w:t>
      </w:r>
      <w:r>
        <w:rPr>
          <w:rFonts w:hint="eastAsia"/>
          <w:spacing w:val="2"/>
          <w:szCs w:val="21"/>
        </w:rPr>
        <w:t>《乘用车制动系统技术要求及试验方法》标准修订工作组第二次会议通过网络视频会议的形式召开，工作组成员单位代表共124人参加会议。针对第一次工作组会议之后形成的初步工作组草案，共征集了反馈意见56条，涉及术语定义、制动灯点亮指令、紧急制动信号、备胎制动、电力再生制动系统和驻车制动性能要求等方面，本次会议围绕各单位提出的反馈意见进行了讨论。本次会议对后续验证试验计划进行了讨论和分工，各验证参与单位根据试验内容提交验证试验计划，包括试验车辆、计划实施的验证试验项目、验证试验时间及地点等，并分批次组织开展验证试验工作，并于2020年8月实施了第一轮验证试验。</w:t>
      </w:r>
    </w:p>
    <w:p>
      <w:pPr>
        <w:pStyle w:val="4"/>
        <w:ind w:firstLine="428"/>
        <w:rPr>
          <w:spacing w:val="2"/>
          <w:szCs w:val="21"/>
        </w:rPr>
      </w:pPr>
      <w:r>
        <w:rPr>
          <w:spacing w:val="2"/>
          <w:szCs w:val="21"/>
        </w:rPr>
        <w:t>2020年8月20日，GB 21670《乘用车制动系统技术要求及试验方法》功能安全技术交流会在长春召开。会议采取现场和网络相结合的形式，来自国内外整车企业、零部件供应商、检测机构和科研院所共13家单位的31位代表出席现场会议、80余位代表参加了网络会议。</w:t>
      </w:r>
      <w:r>
        <w:rPr>
          <w:rFonts w:hint="eastAsia"/>
          <w:spacing w:val="2"/>
          <w:szCs w:val="21"/>
        </w:rPr>
        <w:t>来自长春汽车检测中心的专家介绍了GB 21670-2008附录D在进口车3C型式试验中的实施情况。包括文档的要求、清单、车辆控制系统的所有功能、实现安全目标的方法、控制实施策略、故障发生时的安全策略和响应。功能安全试验确认方面，包括对系统非故障状态下的性能试验确认，如对防抱死系统、电子稳定系统、坡路辅助系统、牵引力控制系统、制动辅助系统等进行检查；对系统故障状态下的反应，如对轮速传感器失效、方向盘转角传感器失效、横摆角速度传感器失效、制动系统ECU失效、能源失效等进行检查。来自泛亚汽车技术中心的专家介绍了制动功能相关的危害分析及风险评估汇总，包括制动电气/电子系统的软硬件故障等可能导致整车危害行为；为避免整车危害导致的安全风险，分析了制动潜在可控性安全度量；国际上，制动可控性度量研究参考示例；制动可控性研究方案建议，包括整车危害、潜在的安全度量、测试方案建议等。下一步，工作组将按照GB21670的修订计划安排，基于GB/T34590《道路车辆功能安全》的指导方法，研究讨论乘用车制动系统功能的危害分析和风险评估、典型整车危害、ASIL等级、具有安全度量的安全目标、安全接受准则（Acceptance criteria）、试验方案、Demo测试、大规模试验、数据分析和处理，为GB 21670中提出合理、可操作、可实施的功能安全相关要求做好准备。</w:t>
      </w:r>
    </w:p>
    <w:p>
      <w:pPr>
        <w:pStyle w:val="4"/>
        <w:ind w:firstLine="428"/>
        <w:rPr>
          <w:spacing w:val="2"/>
          <w:szCs w:val="21"/>
        </w:rPr>
      </w:pPr>
      <w:r>
        <w:rPr>
          <w:rFonts w:hint="eastAsia"/>
          <w:spacing w:val="2"/>
          <w:szCs w:val="21"/>
        </w:rPr>
        <w:t>2020年9月1日，GB21670《乘用车制动系统技术要求及试验方法》标准修订工作组第三次会议通过网络视频会议的形式召开，工作组成员单位共88人参加会议。长春检测中心的专家介绍了第一次验证试验的开展情况和数据结果，并对后续的验证试验车型选择、开展流程制定等提出了建议。随后中汽中心试验所专家介绍了针对第二版工作组草案反馈意见的处理情况，自第二次工作组会议之后，在工作组范围征集了针对第二版工作组草案的反馈意见共计84条，涉及术语定义、制动灯点亮指令、紧急制动信号、应急制动定义、备胎制动、电力再生制动系统和驻车制动性能要求等方面，本次会议围绕各企业提出的修订意见进行了讨论，并针对第二轮验证试验安排和分工进行了讨论。</w:t>
      </w:r>
    </w:p>
    <w:p>
      <w:pPr>
        <w:pStyle w:val="4"/>
        <w:ind w:firstLine="428"/>
        <w:rPr>
          <w:spacing w:val="2"/>
          <w:szCs w:val="21"/>
        </w:rPr>
      </w:pPr>
      <w:r>
        <w:rPr>
          <w:rFonts w:hint="eastAsia"/>
          <w:spacing w:val="2"/>
          <w:szCs w:val="21"/>
        </w:rPr>
        <w:t>2020年9月3日，GB21670《乘用车制动系统技术要求及试验方法》功能安全讨论会以网络会议形式召开。来自国内外整车企业、零部件供应商、检测机构和科研院所共106位代表参加了网络会议。继8月20日长春会议，本次会议进一步广泛听取国内外整车企业、零部件企业关于强制性国家标准《乘用车制动系统技术要求及试验方法》（GB 21670）中功能安全技术要求的建议。来自比亚迪、泛亚、伯特利、万安科技、采埃孚、京西重工、上汽乘用车、上汽商用车等企业的专家，分别基于各自角度以书面形式给出了建议、存在的问题并做了介绍和讨论。会议一致认为，应基于国家标准GB/T 34590（ISO26262）等国内外标准中给出的功能安全方法论，从车辆运动行为控制角度，分析制动系统功能异常所导致的整车危害，结合基于中国典型驾驶场景，得出相应的安全目标及安全度量指标，从中提取出行业共性并达成广泛共识的安全目标及安全度量指标作为该标准的基本要求。下一步将针对会议中提出的建议及存在的问题进一步深入讨论研究，确定制动系统功能异常所导致的整车危害、典型驾驶场景、安全目标及安全度量指标，开展草案编制、针对不同车型的试验验证等工作。</w:t>
      </w:r>
    </w:p>
    <w:p>
      <w:pPr>
        <w:pStyle w:val="4"/>
        <w:ind w:firstLine="428"/>
        <w:rPr>
          <w:spacing w:val="2"/>
          <w:szCs w:val="21"/>
        </w:rPr>
      </w:pPr>
      <w:r>
        <w:rPr>
          <w:rFonts w:hint="eastAsia"/>
          <w:spacing w:val="2"/>
          <w:szCs w:val="21"/>
        </w:rPr>
        <w:t>2021年3月24日-25日，GB 21670《乘用车制动系统技术要求及试验方法》标准修订工作组第四次会议在广州召开，工作组成员单位代表共88人参加了会议。中汽中心试验所专家介绍了已开展的六次验证试验情况和试验数据，并对验证试验结果做了阶段性总结。第三次工作组会议之后，在工作组范围征集了针对更新的工作组草案反馈意见共计50余条，涉及术语定义、制动灯点亮指令、紧急制动信号、应急制动定义、备胎制动、电力再生制动系统和驻车制动性能要求等，本次会议围绕各企业提出的反馈意见进行了讨论。本次会议牵头单位对反馈意见的初步处理进行了详细介绍，并针对制动灯点亮、制动能量回收、紧急制动信号、备胎制动及文字叙述等问题进行了集中讨论。</w:t>
      </w:r>
    </w:p>
    <w:p>
      <w:pPr>
        <w:pStyle w:val="4"/>
        <w:ind w:firstLine="428"/>
        <w:rPr>
          <w:spacing w:val="2"/>
          <w:szCs w:val="21"/>
        </w:rPr>
      </w:pPr>
      <w:r>
        <w:rPr>
          <w:spacing w:val="2"/>
          <w:szCs w:val="21"/>
        </w:rPr>
        <w:t>2022年4月21日，汽车电磁兼容标准讨论会通过网络会议形式召开，国内相关的汽车检测和认证机构等单位的代表共20余人参加了会议。会上中国汽车工程研究院股份有限公司和中汽研新能源汽车检验中心（天津）有限公司分别介绍了GB 21670所涉及的制动系统EMC测试背景和必要性，与会专家针对试验方案进行研究和讨论，对GB 21670所要求的行车制动电磁抗扰度，可按照GB 34660-2017的整车抗扰度进行试验和评价达成一致意见并对工作组下一步工作进行了安排，后续将进一步论证驻车制动和电力再生制动的EMC抗扰度试验必要性、整车级ABS EMC抗扰度试验必要性及合理性并结合验证摸底实验给出试验方案。</w:t>
      </w:r>
    </w:p>
    <w:p>
      <w:pPr>
        <w:pStyle w:val="4"/>
        <w:ind w:firstLine="428"/>
        <w:rPr>
          <w:spacing w:val="2"/>
          <w:szCs w:val="21"/>
        </w:rPr>
      </w:pPr>
      <w:r>
        <w:rPr>
          <w:spacing w:val="2"/>
          <w:szCs w:val="21"/>
        </w:rPr>
        <w:t>2022年5月25-26日，汽车电磁兼容工作组2022年第一次工作组会议通过网络会议形式召开，来自国内外汽车整车及零部件企业、检测机构和科研院所的200余位专家参加了此次会议。会议介绍了GB 21670《乘用车制动系统技术要求及试验方法》修订草案中所涉及的行车制动、电力再生制动、驻车制动、车辆防抱制动系统（ABS）的EMC标准要求及实施方案建议，与会专家围绕标准实施方案进行了充分的技术讨论，并对工作组下一步工作进行了安排，后续将进一步开展ABS抗扰试验验证工作，并将完善建议反馈至分标委秘书处。</w:t>
      </w:r>
    </w:p>
    <w:p>
      <w:pPr>
        <w:pStyle w:val="4"/>
        <w:ind w:firstLine="428"/>
        <w:rPr>
          <w:spacing w:val="2"/>
          <w:szCs w:val="21"/>
        </w:rPr>
      </w:pPr>
      <w:r>
        <w:rPr>
          <w:rFonts w:hint="eastAsia"/>
          <w:spacing w:val="2"/>
          <w:szCs w:val="21"/>
        </w:rPr>
        <w:t>2022年6月21日，GB 21670《乘用车制动系统技术要求及试验方法》功能安全讨论会通过网络会议形式召开，来自GB 21670标准工作组和功能安全工作组的国内整车企业、制动零部件供应商、检测机构共40余家单位的90余位代表参加了本次会议。本次会议主要为完善GB 21670《乘用车制动系统技术要求及试验方法》中功能安全相关要求，广泛听取国内相关企业意见，针对标准技术内容和实施建议进行了交流和讨论。起草组首先介绍了GB 21670《乘用车制动系统技术要求及试验方法》中功能安全相关要求的初步草案，整体思路是基于国内实际情况的基础上，对GB 21670-2008 “附录D 对复合电子车辆控制系统安全方面的特殊要求”进行修订，提出具有可操作性的功能安全要求。主要包括制动电子控制系统在功能安全方面的文档及验证确认两个方面的要求。文档要求包括企业需要提交至检测机构的说明及总结文档、检测机构开展审核评估及抽查试验时公开备查的详细文档两个部分。验证和确认要求包括检测机构针对功能概念和功能安全概念开展抽查试验的具体要求。本次会议针对上述草案进行了初步讨论，参会企业基于实际研发情况对草案技术内容和实施方式提出了建议。下一步，起草组将组织国内相关整车企业和制动系统供应商，开展GB 21670功能安全验证试验（包括文档审核和验证确认），形成行业共识，以更好的完善草案技术内容并切实有效推动落地实施。</w:t>
      </w:r>
    </w:p>
    <w:p>
      <w:pPr>
        <w:pStyle w:val="4"/>
        <w:ind w:firstLine="428"/>
        <w:rPr>
          <w:spacing w:val="2"/>
          <w:szCs w:val="21"/>
        </w:rPr>
      </w:pPr>
      <w:r>
        <w:rPr>
          <w:spacing w:val="2"/>
          <w:szCs w:val="21"/>
        </w:rPr>
        <w:t>2022年7月7日，GB 21670《乘用车制动系统技术要求及试验方法》功能安全讨论会在宁波召开，本次会议采取现场</w:t>
      </w:r>
      <w:r>
        <w:rPr>
          <w:rFonts w:hint="eastAsia"/>
          <w:spacing w:val="2"/>
          <w:szCs w:val="21"/>
        </w:rPr>
        <w:t>与</w:t>
      </w:r>
      <w:r>
        <w:rPr>
          <w:spacing w:val="2"/>
          <w:szCs w:val="21"/>
        </w:rPr>
        <w:t>网络会议</w:t>
      </w:r>
      <w:r>
        <w:rPr>
          <w:rFonts w:hint="eastAsia"/>
          <w:spacing w:val="2"/>
          <w:szCs w:val="21"/>
        </w:rPr>
        <w:t>结合</w:t>
      </w:r>
      <w:r>
        <w:rPr>
          <w:spacing w:val="2"/>
          <w:szCs w:val="21"/>
        </w:rPr>
        <w:t>的形式，来自GB 21670标准工作组和功能安全工作组的外资及合资整车、制动零部件相关企业共35家单位的56位代表参加了本次会议。本次会议主要为完善GB 21670《乘用车制动系统技术要求及试验方法》中功能安全相关要求，广泛听取外资及合资相关企业意见，针对标准技术内容和实施建议进行了交流和讨论。起草组介绍了GB 21670《乘用车制动系统技术要求及试验方法》中功能安全相关要求的初步草案，本次会议针对上述草案进行了讨论，参会的外资及合资整车、制动零部件相关企业代表基于实际研发情况对草案技术内容和实施方式提出了建议如下</w:t>
      </w:r>
      <w:r>
        <w:rPr>
          <w:rFonts w:hint="eastAsia"/>
          <w:spacing w:val="2"/>
          <w:szCs w:val="21"/>
        </w:rPr>
        <w:t>：①</w:t>
      </w:r>
      <w:r>
        <w:rPr>
          <w:spacing w:val="2"/>
          <w:szCs w:val="21"/>
        </w:rPr>
        <w:t>GB 21670《乘用车制动系统技术要求及试验方法》功能安全初步草案中，关于“安全度量”、“接受准则”的相关要求，需要制造商提供具体的量化数值至检测机构，如何提交并进行试验，需要进一步验证和讨论。</w:t>
      </w:r>
      <w:r>
        <w:rPr>
          <w:rFonts w:hint="eastAsia"/>
          <w:spacing w:val="2"/>
          <w:szCs w:val="21"/>
        </w:rPr>
        <w:t>②</w:t>
      </w:r>
      <w:r>
        <w:rPr>
          <w:spacing w:val="2"/>
          <w:szCs w:val="21"/>
        </w:rPr>
        <w:t>GB 21670《乘用车制动系统技术要求及试验方法》功能安全初步草案中的“表C.2 制动电子控制系统验证和确认测试要求”，建议完善试验要求和试验工况示例，会后相关企业反馈具体修改建议。</w:t>
      </w:r>
      <w:r>
        <w:rPr>
          <w:rFonts w:hint="eastAsia"/>
          <w:spacing w:val="2"/>
          <w:szCs w:val="21"/>
        </w:rPr>
        <w:t>本次会后也征集了后续参与GB 21670功能安全验证试验（包括文档审核和验证确认）的单位。</w:t>
      </w:r>
    </w:p>
    <w:p>
      <w:pPr>
        <w:pStyle w:val="4"/>
        <w:ind w:firstLine="428"/>
        <w:rPr>
          <w:spacing w:val="2"/>
          <w:szCs w:val="21"/>
        </w:rPr>
      </w:pPr>
      <w:r>
        <w:rPr>
          <w:rFonts w:hint="eastAsia"/>
          <w:spacing w:val="2"/>
          <w:szCs w:val="21"/>
        </w:rPr>
        <w:t>2022年11月16-17日，全国汽车标准化技术委员会汽车电子与电磁兼容分技术委员会（SAC/TC114/SC29）所属的道路车辆功能安全标准研究制定工作组（以下简称“工作组”）第十七次会议在厦门召开，来自国内外整车生产企业、零部件供应商、汽车电子软件和硬件开发企业、检测机构和科研院所等100余家工作组成员单位的300余位专家通过线上或线下的方式参加了本次会议。本</w:t>
      </w:r>
      <w:r>
        <w:rPr>
          <w:spacing w:val="2"/>
          <w:szCs w:val="21"/>
        </w:rPr>
        <w:t>次会议邀请了功能安全标准工作组、GB 21670标准修订工作组和制动零部件相关企业代表，重点针对强制性国家标准GB 21670《乘用车制动系统技术要求及试验方法》中功能安全要求的工作组草案进行了充分讨论</w:t>
      </w:r>
      <w:r>
        <w:rPr>
          <w:rFonts w:hint="eastAsia"/>
          <w:spacing w:val="2"/>
          <w:szCs w:val="21"/>
        </w:rPr>
        <w:t>，</w:t>
      </w:r>
      <w:r>
        <w:rPr>
          <w:spacing w:val="2"/>
          <w:szCs w:val="21"/>
        </w:rPr>
        <w:t>本次会议针对工作组和相关单位反馈的90余条意见进行了逐条讨论并形成草案修改意见</w:t>
      </w:r>
      <w:r>
        <w:rPr>
          <w:rFonts w:hint="eastAsia"/>
          <w:spacing w:val="2"/>
          <w:szCs w:val="21"/>
        </w:rPr>
        <w:t>。</w:t>
      </w:r>
    </w:p>
    <w:p>
      <w:pPr>
        <w:pStyle w:val="4"/>
        <w:ind w:firstLine="428"/>
        <w:rPr>
          <w:spacing w:val="2"/>
          <w:szCs w:val="21"/>
        </w:rPr>
      </w:pPr>
      <w:r>
        <w:rPr>
          <w:rFonts w:hint="eastAsia"/>
          <w:spacing w:val="2"/>
          <w:szCs w:val="21"/>
        </w:rPr>
        <w:t>2022年11月16-17日，汽车电磁兼容工作组2022年第二次工作组会议在厦门以线下、线上相结合的形式召开，来自国内外汽车整车及零部件企业、检测机构和科研院所的200余位专家参加了此次会议。本次会议会议汇报了GB 21670-XXXX《乘用车制动系统技术要求及试验方法》修订方案所涉及的EMC关键技术内容，与会检测机构、主机厂、制动系统供应商分别介绍了ABS EMC测试摸底情况及试验数据分析结果。在此基础上，与会专家研讨并确立了乘用车制动EMC相关测试规程、同一型式判定技术条件等关键内容。会后，秘书处根据会议决议，将相关文件转交GB 21670修订工作组。</w:t>
      </w:r>
    </w:p>
    <w:p>
      <w:pPr>
        <w:pStyle w:val="4"/>
        <w:ind w:firstLine="428"/>
        <w:rPr>
          <w:spacing w:val="2"/>
          <w:szCs w:val="21"/>
        </w:rPr>
      </w:pPr>
      <w:r>
        <w:rPr>
          <w:rFonts w:hint="eastAsia"/>
          <w:spacing w:val="2"/>
          <w:szCs w:val="21"/>
        </w:rPr>
        <w:t>2021年3月-2022年11月，工作组在完善GB 21670《乘用车制动系统技术要求及试验方法》工作组草案的同时，组织中汽研汽车检验中心（天津）有限公司、长春汽车检测中心有限责任公司、襄阳达安汽车检测中心有限公司等多家检测机构，开展制动性能部分测试规程等标准实施配套文件编制工作，并于2022年11月发送工作组成员单位征求意见。</w:t>
      </w:r>
    </w:p>
    <w:p>
      <w:pPr>
        <w:pStyle w:val="4"/>
        <w:ind w:firstLine="428"/>
        <w:rPr>
          <w:spacing w:val="2"/>
          <w:szCs w:val="21"/>
        </w:rPr>
      </w:pPr>
      <w:r>
        <w:rPr>
          <w:spacing w:val="2"/>
          <w:szCs w:val="21"/>
        </w:rPr>
        <w:t>2023年3月7</w:t>
      </w:r>
      <w:r>
        <w:rPr>
          <w:rFonts w:hint="eastAsia"/>
          <w:spacing w:val="2"/>
          <w:szCs w:val="21"/>
        </w:rPr>
        <w:t>-</w:t>
      </w:r>
      <w:r>
        <w:rPr>
          <w:spacing w:val="2"/>
          <w:szCs w:val="21"/>
        </w:rPr>
        <w:t>10日，GB 21670 《乘用车制动系统技术要求及试验方法》标准修订工作组第五次会议在武汉召开。来自整车企业、零部件企业、技术机构等70余家工作组成员单位的100余位专家参加了会议。</w:t>
      </w:r>
      <w:r>
        <w:rPr>
          <w:rFonts w:hint="eastAsia"/>
          <w:spacing w:val="2"/>
          <w:szCs w:val="21"/>
        </w:rPr>
        <w:t>中汽中心专家</w:t>
      </w:r>
      <w:r>
        <w:rPr>
          <w:spacing w:val="2"/>
          <w:szCs w:val="21"/>
        </w:rPr>
        <w:t>对标准制定背景、任务来源、主要工作过程及标准主要修订的内容进行了整体汇报，并对后续工作进行了规划。会议从EMC、制动性能、功能安全三个方面对标准草案进行了审议，并对标准修订工作组</w:t>
      </w:r>
      <w:r>
        <w:rPr>
          <w:rFonts w:hint="eastAsia"/>
          <w:spacing w:val="2"/>
          <w:szCs w:val="21"/>
        </w:rPr>
        <w:t>的300余条</w:t>
      </w:r>
      <w:r>
        <w:rPr>
          <w:spacing w:val="2"/>
          <w:szCs w:val="21"/>
        </w:rPr>
        <w:t>反馈意见逐条进行了交流和讨论。</w:t>
      </w:r>
      <w:r>
        <w:rPr>
          <w:rFonts w:hint="eastAsia"/>
          <w:spacing w:val="2"/>
          <w:szCs w:val="21"/>
        </w:rPr>
        <w:t>会议主要结论包括：制动信号点亮制动灯要求（制动信号熄灭的条件）、紧急制动信号的发出要求，会后确认 UN R13-H 中相关要求的实施情况，完善试验方法；标准中删除环境温度、风速等要求，在测试规程中体现相关内容；强制性国家标准GB 7258-2017规定了M</w:t>
      </w:r>
      <w:r>
        <w:rPr>
          <w:rFonts w:hint="eastAsia"/>
          <w:spacing w:val="2"/>
          <w:szCs w:val="21"/>
          <w:vertAlign w:val="subscript"/>
        </w:rPr>
        <w:t>1</w:t>
      </w:r>
      <w:r>
        <w:rPr>
          <w:rFonts w:hint="eastAsia"/>
          <w:spacing w:val="2"/>
          <w:szCs w:val="21"/>
        </w:rPr>
        <w:t>类车辆强制安装 ABS，根据初步调研，国内乘用车产品已标配 ABS 且基本安装了 1 类 ABS。考虑和其他标准的协调性，以及行业技术现状， 会议讨论初步决定在 GB 21670 修订草案中提出M</w:t>
      </w:r>
      <w:r>
        <w:rPr>
          <w:rFonts w:hint="eastAsia"/>
          <w:spacing w:val="2"/>
          <w:szCs w:val="21"/>
          <w:vertAlign w:val="subscript"/>
        </w:rPr>
        <w:t>1</w:t>
      </w:r>
      <w:r>
        <w:rPr>
          <w:rFonts w:hint="eastAsia"/>
          <w:spacing w:val="2"/>
          <w:szCs w:val="21"/>
        </w:rPr>
        <w:t>类车辆强制安装1类ABS的要求，并删除制动力分配等相关内容，本次会后进行了行业调研工作，征集了乘用车企业装备 ABS 情况。会后，工作组根据本次会议讨论结论继续完善了强制性国家标准 GB 21670《乘用车制动系统技术要求及试验方法》中制动性能、电磁兼容、功能安全要求草案，以及测试规程、同一型式判 定技术条件、新增备案参数等实施配套文件。并征集</w:t>
      </w:r>
      <w:r>
        <w:rPr>
          <w:spacing w:val="2"/>
          <w:szCs w:val="21"/>
        </w:rPr>
        <w:t>意向参与单位</w:t>
      </w:r>
      <w:r>
        <w:rPr>
          <w:rFonts w:hint="eastAsia"/>
          <w:spacing w:val="2"/>
          <w:szCs w:val="21"/>
        </w:rPr>
        <w:t>，按照测试规程组织开展了多轮制动性能和功能安全验证试验。</w:t>
      </w:r>
    </w:p>
    <w:p>
      <w:pPr>
        <w:pStyle w:val="4"/>
        <w:ind w:firstLine="428"/>
        <w:rPr>
          <w:spacing w:val="2"/>
          <w:szCs w:val="21"/>
        </w:rPr>
      </w:pPr>
      <w:r>
        <w:rPr>
          <w:spacing w:val="2"/>
          <w:szCs w:val="21"/>
        </w:rPr>
        <w:t>2023年7月4日，GB 21670《乘用车制动系统技术要求及试验方法》功能安全讨论会在天津召开。来自GB 21670标准工作组的国内整车企业、制动零部件供应商、检测机构共30余家单位的40余位代表参加会议。本次会议主要针对GB 21670功能安全测试规程、功能安全验证试验情况进行了交流和讨论。中汽中心专家首先介绍了标准草案和测试规程，整体思路是基于国内实际情况的基础上，针对制动电子控制系统提出具有可操作性的功能安全要求，主要包括功能安全方面的文档及验证确认两个方面的要求。参会代表针对测试规程中的文档审核颗粒度、电力再生式制动系统功能安全要求、验证确认试验用例进行了充分讨论。起草组前期按照GB 21670功能安全草案中关于制动电子控制系统验证和确认测试的相关要求，针对蔚来、智己、奇瑞捷豹路虎等3个车型开展了功能安全验证试验。中汽研汽车检验中心（天津）有限公司专家对开展的验证试验总体情况进行了介绍，并组织参会代表进行了现场演示试验的观摩。</w:t>
      </w:r>
    </w:p>
    <w:p>
      <w:pPr>
        <w:pStyle w:val="4"/>
        <w:ind w:firstLine="428"/>
        <w:rPr>
          <w:spacing w:val="2"/>
          <w:szCs w:val="21"/>
        </w:rPr>
      </w:pPr>
      <w:r>
        <w:rPr>
          <w:rFonts w:hint="eastAsia"/>
          <w:spacing w:val="2"/>
          <w:szCs w:val="21"/>
        </w:rPr>
        <w:t>2023年7月-11月，工作组组织中汽研汽车检验中心（天津）有限公司、中国汽车工程研究院股份有限公司、长春汽车检测中心有限责任公司等检测机构以及多家整车企业，按照工作组草案以及测试规程开展了多轮制动性能、功能安全验证试验工作。</w:t>
      </w:r>
    </w:p>
    <w:p>
      <w:pPr>
        <w:pStyle w:val="4"/>
        <w:ind w:firstLine="428"/>
        <w:rPr>
          <w:spacing w:val="2"/>
          <w:szCs w:val="21"/>
        </w:rPr>
      </w:pPr>
      <w:r>
        <w:rPr>
          <w:spacing w:val="2"/>
          <w:szCs w:val="21"/>
        </w:rPr>
        <w:t>2023年11月14日</w:t>
      </w:r>
      <w:r>
        <w:rPr>
          <w:rFonts w:hint="eastAsia"/>
          <w:spacing w:val="2"/>
          <w:szCs w:val="21"/>
        </w:rPr>
        <w:t>-</w:t>
      </w:r>
      <w:r>
        <w:rPr>
          <w:spacing w:val="2"/>
          <w:szCs w:val="21"/>
        </w:rPr>
        <w:t>16日，GB 21670《乘用车制动系统技术要求及试验方法》标准修订工作组第六次会议在重庆召开，来自50余家</w:t>
      </w:r>
      <w:r>
        <w:rPr>
          <w:rFonts w:hint="eastAsia"/>
          <w:spacing w:val="2"/>
          <w:szCs w:val="21"/>
        </w:rPr>
        <w:t>工作组成员</w:t>
      </w:r>
      <w:r>
        <w:rPr>
          <w:spacing w:val="2"/>
          <w:szCs w:val="21"/>
        </w:rPr>
        <w:t>单位的80余位专家参加了会议</w:t>
      </w:r>
      <w:r>
        <w:rPr>
          <w:rFonts w:hint="eastAsia"/>
          <w:spacing w:val="2"/>
          <w:szCs w:val="21"/>
        </w:rPr>
        <w:t>。</w:t>
      </w:r>
      <w:r>
        <w:rPr>
          <w:spacing w:val="2"/>
          <w:szCs w:val="21"/>
        </w:rPr>
        <w:t>起草组秘书处介绍了标准的制定背景、主要工作过程及标准主要修订内容；会议全面梳理和审议了标准草案，对</w:t>
      </w:r>
      <w:r>
        <w:rPr>
          <w:rFonts w:hint="eastAsia"/>
          <w:spacing w:val="2"/>
          <w:szCs w:val="21"/>
        </w:rPr>
        <w:t>50余条</w:t>
      </w:r>
      <w:r>
        <w:rPr>
          <w:spacing w:val="2"/>
          <w:szCs w:val="21"/>
        </w:rPr>
        <w:t>工作组反馈意见逐条进行了交流和讨论。</w:t>
      </w:r>
      <w:r>
        <w:rPr>
          <w:rFonts w:hint="eastAsia"/>
          <w:spacing w:val="2"/>
          <w:szCs w:val="21"/>
        </w:rPr>
        <w:t>会议主要结论如下：会议重点讨论了标准中关于 A 型电力再生式制动系统的相关内容，主要考虑在基于我国国情的基础上提出相关技术要求，以降低由于驾驶员误操作及系统失效带来的安全风险。会前工作组组织部分成员单位讨论，从 A 型电力再生式制动系统的制动强度限值、人机交互和工作模式提醒、是否允许A型电力再生式制动系统使车辆制动停车等几个方面提出了建议方案。本次会议邀请了来自国家市场监督管理总局缺陷产品管理中心的专家介绍了由于 A 型电力再生式制动系统导致的安全事故及调研分析情况，以及对 GB 21670 标准修订的建议。与会专家对建议方案和各自产品状态进行了交流，从各自角度提出了对上述方案的意见建议。会议讨论结论为：增加“5.2.18f）对于 A 型及同时具有 A 型和 B 型电力再生制动系统的车辆，在前进挡下通过松开加速踏板实现的制动作用不能使车辆减速至停车”的要求，并补充完善相关试验方法；会议对于采用电子传输的驻车制动系统发生单点失效后的驻车能力要求，通过会议讨论增加“ECU 出现一处电气失效、 ECU 和执行器之间的电控传输内部线路（供电线路除外）发生一处损坏时，应能从驾驶人位置进行驻车制动并在 8%的上、下坡道使满载车辆保持静止”的要求；会议讨论明确了关于制动信号点亮试验、紧急制动信号试验的试验方法；关于功能安全要求，会议重点讨论了关于电力再生式制动系统的验证和确认测试要求，完善了标准草案表B.2中关于A 型、B 型、A+B型电力再生式制动系统的测试用例（涉及功能、故障类型、整车危害、试验工况、接受准则）。</w:t>
      </w:r>
      <w:r>
        <w:rPr>
          <w:spacing w:val="2"/>
          <w:szCs w:val="21"/>
        </w:rPr>
        <w:t>此外会议对标准实施配套文件也进行了充分的讨论，秘书处充分听取了与会专家对标准文本和配套文件的意见，基于会议讨论形成的结论对标准后续起草工作进行了安排。</w:t>
      </w:r>
      <w:r>
        <w:rPr>
          <w:rFonts w:hint="eastAsia"/>
          <w:spacing w:val="2"/>
          <w:szCs w:val="21"/>
        </w:rPr>
        <w:t>会后</w:t>
      </w:r>
      <w:r>
        <w:rPr>
          <w:spacing w:val="2"/>
          <w:szCs w:val="21"/>
        </w:rPr>
        <w:t>起草组根据会议讨论结果，更新并形成了社会公开征求意见稿。</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6" w:name="_Toc160777656"/>
      <w:bookmarkStart w:id="37" w:name="_Toc64898476"/>
      <w:r>
        <w:rPr>
          <w:rFonts w:hint="eastAsia" w:ascii="黑体" w:hAnsi="黑体" w:eastAsia="黑体" w:cs="宋体"/>
          <w:bCs/>
          <w:color w:val="000000"/>
          <w:kern w:val="0"/>
          <w:sz w:val="24"/>
        </w:rPr>
        <w:t>编制原则、强制性国家标准主要技术要求的依据及理由</w:t>
      </w:r>
      <w:bookmarkEnd w:id="36"/>
      <w:bookmarkEnd w:id="37"/>
    </w:p>
    <w:p>
      <w:pPr>
        <w:pStyle w:val="4"/>
        <w:widowControl/>
        <w:numPr>
          <w:ilvl w:val="255"/>
          <w:numId w:val="0"/>
        </w:numPr>
        <w:spacing w:line="400" w:lineRule="exact"/>
        <w:outlineLvl w:val="2"/>
        <w:rPr>
          <w:rFonts w:ascii="黑体" w:hAnsi="黑体" w:eastAsia="黑体" w:cs="黑体"/>
          <w:bCs/>
          <w:spacing w:val="2"/>
          <w:szCs w:val="21"/>
        </w:rPr>
      </w:pPr>
      <w:bookmarkStart w:id="38" w:name="_Toc12277"/>
      <w:bookmarkStart w:id="39" w:name="_Toc36212248"/>
      <w:bookmarkStart w:id="40" w:name="_Toc6444"/>
      <w:r>
        <w:rPr>
          <w:rFonts w:hint="eastAsia" w:ascii="黑体" w:hAnsi="黑体" w:eastAsia="黑体" w:cs="黑体"/>
          <w:bCs/>
          <w:spacing w:val="2"/>
          <w:szCs w:val="21"/>
        </w:rPr>
        <w:t>1、</w:t>
      </w:r>
      <w:r>
        <w:rPr>
          <w:rFonts w:ascii="黑体" w:hAnsi="黑体" w:eastAsia="黑体" w:cs="黑体"/>
          <w:bCs/>
          <w:spacing w:val="2"/>
          <w:szCs w:val="21"/>
        </w:rPr>
        <w:t>编制原则</w:t>
      </w:r>
      <w:bookmarkEnd w:id="38"/>
    </w:p>
    <w:p>
      <w:pPr>
        <w:pStyle w:val="4"/>
        <w:ind w:firstLine="0" w:firstLineChars="0"/>
      </w:pPr>
      <w:r>
        <w:rPr>
          <w:rFonts w:hint="eastAsia"/>
        </w:rPr>
        <w:t xml:space="preserve">    （1）与现行标准的协调一致。标准修订过程中，充分考虑了GB 12676、GB/T 13594、GB/T 5620等现行标准，充分参考了UN R13-H现行版本及其相关修正案的有关内容，通过协调与现行标准的相关内容进行了修改和完善，以适应乘用车制动系统强制性国家标准制定的实际需求。</w:t>
      </w:r>
    </w:p>
    <w:p>
      <w:pPr>
        <w:pStyle w:val="4"/>
        <w:ind w:firstLine="420" w:firstLineChars="0"/>
        <w:rPr>
          <w:bCs/>
          <w:szCs w:val="21"/>
        </w:rPr>
      </w:pPr>
      <w:r>
        <w:rPr>
          <w:rFonts w:hint="eastAsia"/>
        </w:rPr>
        <w:t>（2）</w:t>
      </w:r>
      <w:r>
        <w:rPr>
          <w:rFonts w:hint="eastAsia"/>
          <w:bCs/>
          <w:szCs w:val="21"/>
        </w:rPr>
        <w:t>给出的要求和方法具备科学性和广泛性。</w:t>
      </w:r>
      <w:r>
        <w:rPr>
          <w:bCs/>
          <w:szCs w:val="21"/>
        </w:rPr>
        <w:t>本标准在编写过程中，充分考虑了行业内相关领域的现行标准，在深入调研的基础上，吸收和听取汽车</w:t>
      </w:r>
      <w:r>
        <w:rPr>
          <w:rFonts w:hint="eastAsia"/>
          <w:bCs/>
          <w:szCs w:val="21"/>
        </w:rPr>
        <w:t>整车企业</w:t>
      </w:r>
      <w:r>
        <w:rPr>
          <w:bCs/>
          <w:szCs w:val="21"/>
        </w:rPr>
        <w:t>、</w:t>
      </w:r>
      <w:r>
        <w:rPr>
          <w:rFonts w:hint="eastAsia"/>
          <w:bCs/>
          <w:szCs w:val="21"/>
        </w:rPr>
        <w:t>制动系统供应商、</w:t>
      </w:r>
      <w:r>
        <w:rPr>
          <w:bCs/>
          <w:szCs w:val="21"/>
        </w:rPr>
        <w:t>检测机构</w:t>
      </w:r>
      <w:r>
        <w:rPr>
          <w:rFonts w:hint="eastAsia"/>
          <w:bCs/>
          <w:szCs w:val="21"/>
        </w:rPr>
        <w:t>等</w:t>
      </w:r>
      <w:r>
        <w:rPr>
          <w:bCs/>
          <w:szCs w:val="21"/>
        </w:rPr>
        <w:t>对于</w:t>
      </w:r>
      <w:r>
        <w:rPr>
          <w:rFonts w:hint="eastAsia"/>
          <w:bCs/>
          <w:szCs w:val="21"/>
        </w:rPr>
        <w:t>乘用车制动系统的相关要求</w:t>
      </w:r>
      <w:r>
        <w:rPr>
          <w:bCs/>
          <w:szCs w:val="21"/>
        </w:rPr>
        <w:t>。</w:t>
      </w:r>
    </w:p>
    <w:p>
      <w:pPr>
        <w:pStyle w:val="4"/>
        <w:ind w:firstLine="420" w:firstLineChars="0"/>
        <w:rPr>
          <w:bCs/>
          <w:szCs w:val="21"/>
        </w:rPr>
      </w:pPr>
      <w:r>
        <w:rPr>
          <w:rFonts w:hint="eastAsia"/>
          <w:bCs/>
          <w:szCs w:val="21"/>
        </w:rPr>
        <w:t>（3）</w:t>
      </w:r>
      <w:r>
        <w:rPr>
          <w:rFonts w:hint="eastAsia"/>
        </w:rPr>
        <w:t>给出的方法具备可操作性和可实施性。本标准的制定是在对我国乘用车制动系统产品开发及应用现状进行调查，对相关国际、国外相关标准的关键技术指标在我国的适用性进行分析研究，并且对相关的试验方法在我国现阶段实施的可行性进行论证分析研究的基础上，结合我国实际情况提出的性能要求及试验方法；并通过验证试验，对试验方案的可行性进行了验证，确定了适合我国实际情况的乘用车制动系统性能评价的技术方案</w:t>
      </w:r>
      <w:r>
        <w:rPr>
          <w:rFonts w:hint="eastAsia"/>
          <w:bCs/>
          <w:szCs w:val="21"/>
        </w:rPr>
        <w:t>。</w:t>
      </w:r>
    </w:p>
    <w:p>
      <w:pPr>
        <w:pStyle w:val="4"/>
        <w:ind w:firstLine="420" w:firstLineChars="0"/>
        <w:rPr>
          <w:bCs/>
          <w:szCs w:val="21"/>
        </w:rPr>
      </w:pPr>
      <w:r>
        <w:rPr>
          <w:rFonts w:hint="eastAsia"/>
          <w:bCs/>
          <w:szCs w:val="21"/>
        </w:rPr>
        <w:t>（4）标准的起草过程符合规范。</w:t>
      </w:r>
      <w:r>
        <w:rPr>
          <w:bCs/>
          <w:szCs w:val="21"/>
        </w:rPr>
        <w:t>本标准的在编写过程中按照GB/T 1.1—2020《标准化工作导则  第1部分：标准化文件的结构和起草规则》给出的规则起草。</w:t>
      </w:r>
    </w:p>
    <w:p>
      <w:pPr>
        <w:pStyle w:val="4"/>
        <w:widowControl/>
        <w:numPr>
          <w:ilvl w:val="255"/>
          <w:numId w:val="0"/>
        </w:numPr>
        <w:outlineLvl w:val="2"/>
        <w:rPr>
          <w:rFonts w:ascii="黑体" w:hAnsi="黑体" w:eastAsia="黑体" w:cs="黑体"/>
          <w:bCs/>
          <w:spacing w:val="2"/>
          <w:szCs w:val="21"/>
        </w:rPr>
      </w:pPr>
      <w:bookmarkStart w:id="41" w:name="_Toc32393"/>
      <w:r>
        <w:rPr>
          <w:rFonts w:ascii="黑体" w:hAnsi="黑体" w:eastAsia="黑体" w:cs="黑体"/>
          <w:bCs/>
          <w:spacing w:val="2"/>
          <w:szCs w:val="21"/>
        </w:rPr>
        <w:t>2、</w:t>
      </w:r>
      <w:r>
        <w:rPr>
          <w:rFonts w:hint="eastAsia" w:ascii="黑体" w:hAnsi="黑体" w:eastAsia="黑体" w:cs="黑体"/>
          <w:bCs/>
          <w:spacing w:val="2"/>
          <w:szCs w:val="21"/>
        </w:rPr>
        <w:t>强制性国家标准主要技术要求依据</w:t>
      </w:r>
    </w:p>
    <w:p>
      <w:pPr>
        <w:pStyle w:val="4"/>
        <w:widowControl/>
        <w:numPr>
          <w:ilvl w:val="255"/>
          <w:numId w:val="0"/>
        </w:numPr>
        <w:outlineLvl w:val="2"/>
        <w:rPr>
          <w:rFonts w:ascii="黑体" w:hAnsi="黑体" w:eastAsia="黑体" w:cs="黑体"/>
          <w:bCs/>
          <w:spacing w:val="2"/>
          <w:szCs w:val="21"/>
        </w:rPr>
      </w:pPr>
      <w:r>
        <w:rPr>
          <w:rFonts w:ascii="黑体" w:hAnsi="黑体" w:eastAsia="黑体" w:cs="黑体"/>
          <w:bCs/>
          <w:spacing w:val="2"/>
          <w:szCs w:val="21"/>
        </w:rPr>
        <w:tab/>
      </w:r>
      <w:r>
        <w:rPr>
          <w:rFonts w:hint="eastAsia"/>
        </w:rPr>
        <w:t>本次标准修订工作</w:t>
      </w:r>
      <w:r>
        <w:t xml:space="preserve">以联合国欧洲经济委员会颁布的UN R13-H - </w:t>
      </w:r>
      <w:r>
        <w:rPr>
          <w:rFonts w:hint="eastAsia"/>
          <w:bCs/>
          <w:spacing w:val="2"/>
          <w:szCs w:val="21"/>
        </w:rPr>
        <w:t>Rev.4</w:t>
      </w:r>
      <w:r>
        <w:t>《乘用车制动系统型式批准的统一规定》法规</w:t>
      </w:r>
      <w:r>
        <w:rPr>
          <w:rFonts w:hint="eastAsia"/>
        </w:rPr>
        <w:t>及其修正案</w:t>
      </w:r>
      <w:r>
        <w:t>为基础，并结合我国国情对相应条款进行技术修改完成</w:t>
      </w:r>
      <w:r>
        <w:rPr>
          <w:rFonts w:hint="eastAsia"/>
        </w:rPr>
        <w:t>。</w:t>
      </w:r>
    </w:p>
    <w:p>
      <w:pPr>
        <w:pStyle w:val="4"/>
        <w:widowControl/>
        <w:numPr>
          <w:ilvl w:val="255"/>
          <w:numId w:val="0"/>
        </w:numPr>
        <w:outlineLvl w:val="2"/>
        <w:rPr>
          <w:rFonts w:ascii="黑体" w:hAnsi="黑体" w:eastAsia="黑体" w:cs="黑体"/>
          <w:bCs/>
          <w:spacing w:val="2"/>
          <w:szCs w:val="21"/>
        </w:rPr>
      </w:pPr>
      <w:r>
        <w:rPr>
          <w:rFonts w:hint="eastAsia" w:ascii="黑体" w:hAnsi="黑体" w:eastAsia="黑体" w:cs="黑体"/>
          <w:bCs/>
          <w:spacing w:val="2"/>
          <w:szCs w:val="21"/>
        </w:rPr>
        <w:t>3、</w:t>
      </w:r>
      <w:r>
        <w:rPr>
          <w:rFonts w:ascii="黑体" w:hAnsi="黑体" w:eastAsia="黑体" w:cs="黑体"/>
          <w:bCs/>
          <w:spacing w:val="2"/>
          <w:szCs w:val="21"/>
        </w:rPr>
        <w:t>标准的主要内容</w:t>
      </w:r>
      <w:bookmarkEnd w:id="41"/>
    </w:p>
    <w:p>
      <w:pPr>
        <w:snapToGrid w:val="0"/>
        <w:ind w:firstLine="420"/>
        <w:rPr>
          <w:rFonts w:ascii="宋体" w:cs="新宋体-18030"/>
        </w:rPr>
      </w:pPr>
      <w:r>
        <w:rPr>
          <w:rFonts w:hint="eastAsia" w:ascii="宋体" w:cs="新宋体-18030"/>
        </w:rPr>
        <w:t>文件主要技术内容参考联合国法规UN R13-H（Rev.4及其Amendment 1、Amendment 2、Amendment 3、Amendment 4修正案），并根据国内情况进行了相应调整。本文件主要内容包括：范围、规范性引用文件、术语和定义、符号和缩略语、结构和功能要求、试验和性能要求、车型批准和扩展、试验方法、实施日期，以及附录A</w:t>
      </w:r>
      <w:r>
        <w:rPr>
          <w:rStyle w:val="13"/>
        </w:rPr>
        <w:t>动力蓄电池荷电状态检验规程</w:t>
      </w:r>
      <w:r>
        <w:rPr>
          <w:rFonts w:hint="eastAsia" w:ascii="宋体" w:cs="新宋体-18030"/>
        </w:rPr>
        <w:t>、附录B</w:t>
      </w:r>
      <w:r>
        <w:rPr>
          <w:rStyle w:val="13"/>
        </w:rPr>
        <w:t>制动电子控制系统功能安全要求</w:t>
      </w:r>
      <w:r>
        <w:rPr>
          <w:rFonts w:hint="eastAsia" w:ascii="宋体" w:cs="新宋体-18030"/>
        </w:rPr>
        <w:t>、附录C</w:t>
      </w:r>
      <w:r>
        <w:rPr>
          <w:rStyle w:val="13"/>
        </w:rPr>
        <w:t>制动电子控制系统功能安全试验报告要求</w:t>
      </w:r>
      <w:r>
        <w:rPr>
          <w:rFonts w:hint="eastAsia" w:ascii="宋体" w:cs="新宋体-18030"/>
        </w:rPr>
        <w:t>、附录D</w:t>
      </w:r>
      <w:r>
        <w:rPr>
          <w:rStyle w:val="13"/>
        </w:rPr>
        <w:t>制动电子控制系统功能安全描述要求</w:t>
      </w:r>
      <w:r>
        <w:rPr>
          <w:rFonts w:hint="eastAsia" w:ascii="宋体" w:cs="新宋体-18030"/>
        </w:rPr>
        <w:t>、附录E</w:t>
      </w:r>
      <w:r>
        <w:rPr>
          <w:rStyle w:val="13"/>
        </w:rPr>
        <w:t>车辆参数和试验数据处理要求</w:t>
      </w:r>
      <w:r>
        <w:rPr>
          <w:rFonts w:hint="eastAsia" w:ascii="宋体" w:cs="新宋体-18030"/>
        </w:rPr>
        <w:t>、附录F</w:t>
      </w:r>
      <w:r>
        <w:rPr>
          <w:rStyle w:val="13"/>
        </w:rPr>
        <w:t>配备临时备用车轮/轮胎的车辆制动和跑偏试验要求</w:t>
      </w:r>
      <w:r>
        <w:rPr>
          <w:rStyle w:val="13"/>
          <w:rFonts w:hint="eastAsia"/>
        </w:rPr>
        <w:t>等6</w:t>
      </w:r>
      <w:r>
        <w:rPr>
          <w:rFonts w:hint="eastAsia" w:ascii="宋体" w:cs="新宋体-18030"/>
        </w:rPr>
        <w:t>个规范性附录。本文件主要技术内容以及与GB 21670—2008相比的变化包括以下方面。</w:t>
      </w:r>
    </w:p>
    <w:p>
      <w:pPr>
        <w:pStyle w:val="4"/>
        <w:widowControl/>
        <w:numPr>
          <w:ilvl w:val="255"/>
          <w:numId w:val="0"/>
        </w:numPr>
        <w:outlineLvl w:val="2"/>
        <w:rPr>
          <w:rFonts w:ascii="黑体" w:hAnsi="黑体" w:eastAsia="黑体" w:cs="黑体"/>
          <w:bCs/>
          <w:spacing w:val="2"/>
          <w:szCs w:val="21"/>
        </w:rPr>
      </w:pPr>
      <w:r>
        <w:rPr>
          <w:rFonts w:ascii="黑体" w:hAnsi="黑体" w:eastAsia="黑体" w:cs="黑体"/>
          <w:bCs/>
          <w:spacing w:val="2"/>
          <w:szCs w:val="21"/>
        </w:rPr>
        <w:t>3.1 适用范围</w:t>
      </w:r>
    </w:p>
    <w:p>
      <w:pPr>
        <w:pStyle w:val="4"/>
        <w:tabs>
          <w:tab w:val="left" w:pos="0"/>
          <w:tab w:val="clear" w:pos="357"/>
        </w:tabs>
        <w:ind w:firstLine="420"/>
      </w:pPr>
      <w:r>
        <w:rPr>
          <w:rFonts w:hint="eastAsia"/>
        </w:rPr>
        <w:t>本文件规定了乘用车制动系统的技术要求和试验方法。</w:t>
      </w:r>
    </w:p>
    <w:p>
      <w:pPr>
        <w:pStyle w:val="4"/>
        <w:tabs>
          <w:tab w:val="left" w:pos="0"/>
          <w:tab w:val="clear" w:pos="357"/>
        </w:tabs>
        <w:ind w:firstLine="420"/>
      </w:pPr>
      <w:r>
        <w:rPr>
          <w:rFonts w:hint="eastAsia"/>
        </w:rPr>
        <w:t>本文件适用于GB/T 15089规定的M</w:t>
      </w:r>
      <w:r>
        <w:rPr>
          <w:rFonts w:hint="eastAsia"/>
          <w:vertAlign w:val="subscript"/>
        </w:rPr>
        <w:t>1</w:t>
      </w:r>
      <w:r>
        <w:rPr>
          <w:rFonts w:hint="eastAsia"/>
        </w:rPr>
        <w:t>类车辆。</w:t>
      </w:r>
    </w:p>
    <w:p>
      <w:pPr>
        <w:pStyle w:val="4"/>
        <w:tabs>
          <w:tab w:val="left" w:pos="0"/>
          <w:tab w:val="clear" w:pos="357"/>
        </w:tabs>
        <w:ind w:firstLine="420"/>
      </w:pPr>
      <w:r>
        <w:rPr>
          <w:rFonts w:hint="eastAsia"/>
        </w:rPr>
        <w:t>与GB 21670—2008相比，范围描述中“乘用车制动系统的结构、性能要求和试验方法”修改为“乘用车制动系统的技术要求和试验方法”，与标准主要内容范围保持一致，避免歧义。</w:t>
      </w:r>
    </w:p>
    <w:p>
      <w:pPr>
        <w:pStyle w:val="4"/>
        <w:widowControl/>
        <w:numPr>
          <w:ilvl w:val="255"/>
          <w:numId w:val="0"/>
        </w:numPr>
        <w:outlineLvl w:val="2"/>
        <w:rPr>
          <w:rFonts w:ascii="黑体" w:hAnsi="黑体" w:eastAsia="黑体" w:cs="黑体"/>
          <w:bCs/>
          <w:spacing w:val="2"/>
          <w:szCs w:val="21"/>
        </w:rPr>
      </w:pPr>
      <w:r>
        <w:rPr>
          <w:rFonts w:ascii="黑体" w:hAnsi="黑体" w:eastAsia="黑体" w:cs="黑体"/>
          <w:bCs/>
          <w:spacing w:val="2"/>
          <w:szCs w:val="21"/>
        </w:rPr>
        <w:t>3.2 规范性引用文件</w:t>
      </w:r>
    </w:p>
    <w:p>
      <w:pPr>
        <w:pStyle w:val="4"/>
        <w:tabs>
          <w:tab w:val="left" w:pos="0"/>
          <w:tab w:val="clear" w:pos="357"/>
        </w:tabs>
        <w:ind w:firstLine="420"/>
      </w:pPr>
      <w:r>
        <w:t>与GB 21670—2008相比</w:t>
      </w:r>
      <w:r>
        <w:rPr>
          <w:rFonts w:hint="eastAsia"/>
        </w:rPr>
        <w:t>，由现行标准</w:t>
      </w:r>
      <w:r>
        <w:t>GB/T 5345</w:t>
      </w:r>
      <w:r>
        <w:rPr>
          <w:rFonts w:hint="eastAsia"/>
        </w:rPr>
        <w:t>《</w:t>
      </w:r>
      <w:r>
        <w:t>道路车辆 石油基或非石油基制动液容器的标识</w:t>
      </w:r>
      <w:r>
        <w:rPr>
          <w:rFonts w:hint="eastAsia"/>
        </w:rPr>
        <w:t>》代替</w:t>
      </w:r>
      <w:r>
        <w:t>GB/T 14168</w:t>
      </w:r>
      <w:r>
        <w:rPr>
          <w:rFonts w:hint="eastAsia"/>
        </w:rPr>
        <w:t xml:space="preserve"> 《汽车 制动液类别图形标志》；本文件修订</w:t>
      </w:r>
      <w:r>
        <w:t>了制动电子控制系统</w:t>
      </w:r>
      <w:r>
        <w:rPr>
          <w:rFonts w:hint="eastAsia"/>
        </w:rPr>
        <w:t>的</w:t>
      </w:r>
      <w:r>
        <w:t>功能安全的相关要求</w:t>
      </w:r>
      <w:r>
        <w:rPr>
          <w:rFonts w:hint="eastAsia"/>
        </w:rPr>
        <w:t>，规范性引用文件</w:t>
      </w:r>
      <w:r>
        <w:t>增加GB/T 34590</w:t>
      </w:r>
      <w:r>
        <w:rPr>
          <w:rFonts w:hint="eastAsia"/>
        </w:rPr>
        <w:t>—</w:t>
      </w:r>
      <w:r>
        <w:t>20</w:t>
      </w:r>
      <w:r>
        <w:rPr>
          <w:rFonts w:hint="eastAsia"/>
        </w:rPr>
        <w:t>22</w:t>
      </w:r>
      <w:r>
        <w:t>(所有部分)</w:t>
      </w:r>
      <w:r>
        <w:rPr>
          <w:rFonts w:hint="eastAsia"/>
        </w:rPr>
        <w:t>《</w:t>
      </w:r>
      <w:r>
        <w:t>道路车辆 功能安全</w:t>
      </w:r>
      <w:r>
        <w:rPr>
          <w:rFonts w:hint="eastAsia"/>
        </w:rPr>
        <w:t>》；</w:t>
      </w:r>
      <w:r>
        <w:t xml:space="preserve"> </w:t>
      </w:r>
      <w:r>
        <w:rPr>
          <w:rFonts w:hint="eastAsia"/>
        </w:rPr>
        <w:t>UN R13-H中电磁兼容相关要求主要按照UN R10实施，国内参考UN R10制定发布了GB 34660-2017《道路车辆 电磁兼容性要求和试验方法》，因此规范性引用文件由GB 34660代替GB/T 17619、GB 18655两项电磁兼容相关标准。</w:t>
      </w:r>
    </w:p>
    <w:p>
      <w:pPr>
        <w:pStyle w:val="4"/>
        <w:widowControl/>
        <w:numPr>
          <w:ilvl w:val="255"/>
          <w:numId w:val="0"/>
        </w:numPr>
        <w:outlineLvl w:val="2"/>
        <w:rPr>
          <w:rFonts w:ascii="黑体" w:hAnsi="黑体" w:eastAsia="黑体" w:cs="黑体"/>
          <w:bCs/>
          <w:spacing w:val="2"/>
          <w:szCs w:val="21"/>
        </w:rPr>
      </w:pPr>
      <w:r>
        <w:rPr>
          <w:rFonts w:ascii="黑体" w:hAnsi="黑体" w:eastAsia="黑体" w:cs="黑体"/>
          <w:bCs/>
          <w:spacing w:val="2"/>
          <w:szCs w:val="21"/>
        </w:rPr>
        <w:t>3.3 术语和定义</w:t>
      </w:r>
    </w:p>
    <w:p>
      <w:pPr>
        <w:pStyle w:val="4"/>
        <w:tabs>
          <w:tab w:val="left" w:pos="0"/>
          <w:tab w:val="clear" w:pos="357"/>
        </w:tabs>
        <w:ind w:firstLine="420"/>
        <w:rPr>
          <w:rFonts w:hAnsi="宋体"/>
        </w:rPr>
      </w:pPr>
      <w:r>
        <w:rPr>
          <w:rFonts w:hint="eastAsia" w:hAnsi="宋体"/>
        </w:rPr>
        <w:t>考虑GB 21670、GB 12676中相同含义的术语名称和定义的一致性、与GB/T 5620-2020和GB/T 19596-2017等其他标准的协调、功能安全要求的修订、UN R13-H最新文本中的新增术语等几方面，对术语和定义进行了如下修订：</w:t>
      </w:r>
    </w:p>
    <w:p>
      <w:pPr>
        <w:pStyle w:val="4"/>
        <w:tabs>
          <w:tab w:val="left" w:pos="0"/>
          <w:tab w:val="clear" w:pos="357"/>
        </w:tabs>
        <w:ind w:firstLine="420"/>
        <w:rPr>
          <w:rFonts w:hAnsi="宋体"/>
        </w:rPr>
      </w:pPr>
      <w:r>
        <w:rPr>
          <w:rFonts w:hint="eastAsia" w:hAnsi="宋体"/>
        </w:rPr>
        <w:t>——GB 21670、GB 12676、GB/T 5620等标准中有“制动装备”、“制动系统”、“制动系”不同用法，需要统一或明确。本文件重新梳理了各术语之间的包含关系： 制动装备（统称，所有的制动系统及其零部件都属于制动装备），制动系统（根据功能可分为行车制动系统、应急制动系统、驻车制动系统、电力再生式制动系统等）；参考 GB/T 5620-2020，更改了GB 21670-2008中术语“制动装备”的定义，并新增术语“制动系统”；本文件中涉及制动装备、制动系统的功能，统一描述为“行车制动”、“应急制动”、“驻车制动”、“电力再生式制动”。 涉及制动装备、制动系统的结构，统一描述为“行车制动系统”、“应急制动系统”、 “驻车制动系统”、“电力再生式制动系统”。</w:t>
      </w:r>
    </w:p>
    <w:p>
      <w:pPr>
        <w:pStyle w:val="4"/>
        <w:tabs>
          <w:tab w:val="left" w:pos="0"/>
          <w:tab w:val="clear" w:pos="357"/>
        </w:tabs>
        <w:ind w:firstLine="420"/>
        <w:rPr>
          <w:rFonts w:hAnsi="宋体"/>
        </w:rPr>
      </w:pPr>
      <w:r>
        <w:rPr>
          <w:rFonts w:hint="eastAsia" w:hAnsi="宋体"/>
        </w:rPr>
        <w:t>——不区分“基本术语和定义”和“复合电子车辆控制系统术语和定义”，引导语增加功能安全术语标准GB/T 34590.1。由于本文件修改了功能安全要求，因此删除了安全概念、复合电子车辆控制系统、上层控制、控制范围等未使用的术语和定义。</w:t>
      </w:r>
    </w:p>
    <w:p>
      <w:pPr>
        <w:pStyle w:val="4"/>
        <w:tabs>
          <w:tab w:val="left" w:pos="0"/>
          <w:tab w:val="clear" w:pos="357"/>
        </w:tabs>
        <w:ind w:firstLine="420"/>
        <w:rPr>
          <w:rFonts w:hAnsi="宋体"/>
        </w:rPr>
      </w:pPr>
      <w:r>
        <w:rPr>
          <w:rFonts w:hint="eastAsia" w:hAnsi="宋体"/>
        </w:rPr>
        <w:t>——删除了GB/T 5620中已有的“开启压力”、“关闭压力”等术语；考虑与同一型式判定要求的一致性，删除“车型”术语。</w:t>
      </w:r>
    </w:p>
    <w:p>
      <w:pPr>
        <w:pStyle w:val="4"/>
        <w:tabs>
          <w:tab w:val="left" w:pos="0"/>
          <w:tab w:val="clear" w:pos="357"/>
        </w:tabs>
        <w:ind w:firstLine="420"/>
        <w:rPr>
          <w:rFonts w:hAnsi="宋体"/>
        </w:rPr>
      </w:pPr>
      <w:r>
        <w:rPr>
          <w:rFonts w:hint="eastAsia" w:hAnsi="宋体"/>
        </w:rPr>
        <w:t>——考虑与GB 12676-2014、GB/T 19596-2017等现行标准中相关术语及定义的协调以及术语和定义描述的准确性，更改了传输装置、制动器、不同类型的制动系统、制动系统的零部件、渐进制动/可调节制动、轮/轴荷、最大静态轮/轴荷、储能式液压制动系统、动力蓄电池、荷电状态、相位制动、自动控制制动、选择制动、标称值、防抱制动系统、传感器、控制器、调节器、直接控制车轮、间接控制车轮、全循环、电子控制系统、单元、传输链等术语和定义。</w:t>
      </w:r>
    </w:p>
    <w:p>
      <w:pPr>
        <w:pStyle w:val="4"/>
        <w:tabs>
          <w:tab w:val="left" w:pos="0"/>
          <w:tab w:val="clear" w:pos="357"/>
        </w:tabs>
        <w:ind w:firstLine="420"/>
        <w:rPr>
          <w:rFonts w:hAnsi="宋体"/>
        </w:rPr>
      </w:pPr>
      <w:r>
        <w:rPr>
          <w:rFonts w:hint="eastAsia" w:hAnsi="宋体"/>
        </w:rPr>
        <w:t>——参考UN R13-H现行法规，增加了制动信号、紧急制动信号等术语和定义。</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3.4 符号和缩略语</w:t>
      </w:r>
    </w:p>
    <w:p>
      <w:pPr>
        <w:pStyle w:val="4"/>
        <w:ind w:firstLine="428"/>
        <w:outlineLvl w:val="2"/>
        <w:rPr>
          <w:bCs/>
          <w:spacing w:val="2"/>
          <w:szCs w:val="21"/>
        </w:rPr>
      </w:pPr>
      <w:r>
        <w:rPr>
          <w:rFonts w:hint="eastAsia"/>
          <w:bCs/>
          <w:spacing w:val="2"/>
          <w:szCs w:val="21"/>
        </w:rPr>
        <w:t>与GB 21670—2008相比，新增了第4章“符号和缩略语”，其中符号部分主要对应GB 21670—2008附录A，并根据全文中对符号的使用情况进行了删除和修改。新增了缩略语MFDD。</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3.5 结构和功能要求</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3.5.1  制动系统</w:t>
      </w:r>
    </w:p>
    <w:p>
      <w:pPr>
        <w:pStyle w:val="4"/>
        <w:ind w:firstLine="428"/>
        <w:outlineLvl w:val="2"/>
        <w:rPr>
          <w:bCs/>
          <w:spacing w:val="2"/>
          <w:szCs w:val="21"/>
        </w:rPr>
      </w:pPr>
      <w:r>
        <w:rPr>
          <w:rFonts w:hint="eastAsia"/>
          <w:bCs/>
          <w:spacing w:val="2"/>
          <w:szCs w:val="21"/>
        </w:rPr>
        <w:t>本文件5.1规定了针对制动系统的总体要求，制动系统的功能（行车制动、应急制动、驻车制动）</w:t>
      </w:r>
      <w:bookmarkStart w:id="42" w:name="_Toc118580227"/>
      <w:r>
        <w:rPr>
          <w:rFonts w:hint="eastAsia"/>
          <w:bCs/>
          <w:spacing w:val="2"/>
          <w:szCs w:val="21"/>
        </w:rPr>
        <w:t>，以及制动电子控制系统的功能安全要求</w:t>
      </w:r>
      <w:bookmarkEnd w:id="42"/>
      <w:r>
        <w:rPr>
          <w:rFonts w:hint="eastAsia"/>
          <w:bCs/>
          <w:spacing w:val="2"/>
          <w:szCs w:val="21"/>
        </w:rPr>
        <w:t>。</w:t>
      </w:r>
    </w:p>
    <w:p>
      <w:pPr>
        <w:pStyle w:val="4"/>
        <w:ind w:firstLine="428"/>
        <w:outlineLvl w:val="2"/>
        <w:rPr>
          <w:bCs/>
          <w:spacing w:val="2"/>
          <w:szCs w:val="21"/>
        </w:rPr>
      </w:pPr>
      <w:r>
        <w:rPr>
          <w:rFonts w:hint="eastAsia"/>
          <w:bCs/>
          <w:spacing w:val="2"/>
          <w:szCs w:val="21"/>
        </w:rPr>
        <w:t>与GB 21670—2008相比，主要技术内容变化包括：</w:t>
      </w:r>
    </w:p>
    <w:p>
      <w:pPr>
        <w:pStyle w:val="4"/>
        <w:ind w:firstLine="428"/>
        <w:outlineLvl w:val="2"/>
        <w:rPr>
          <w:bCs/>
          <w:spacing w:val="2"/>
          <w:szCs w:val="21"/>
        </w:rPr>
      </w:pPr>
      <w:r>
        <w:rPr>
          <w:rFonts w:hint="eastAsia"/>
          <w:bCs/>
          <w:spacing w:val="2"/>
          <w:szCs w:val="21"/>
        </w:rPr>
        <w:t>——总体要求部分，电磁兼容要求增加“按GB 34660中车辆对电磁辐射的抗扰试验要求进行验证”，明确该条款实施方式；删除老版标准中“在平板式或滚筒式制动试验台架上应能产生最大静态制动力”的要求，将此要求放在试验方法中体现；</w:t>
      </w:r>
    </w:p>
    <w:p>
      <w:pPr>
        <w:pStyle w:val="4"/>
        <w:ind w:firstLine="428"/>
        <w:outlineLvl w:val="2"/>
        <w:rPr>
          <w:bCs/>
          <w:spacing w:val="2"/>
          <w:szCs w:val="21"/>
        </w:rPr>
      </w:pPr>
      <w:r>
        <w:rPr>
          <w:rFonts w:hint="eastAsia"/>
          <w:bCs/>
          <w:spacing w:val="2"/>
          <w:szCs w:val="21"/>
        </w:rPr>
        <w:t>——制动系统功能部分，参考GB 12676—2014和UN R13-H原文，对“行车制动”“驻车制动”“应急制动”的表述进行了修改完善；</w:t>
      </w:r>
    </w:p>
    <w:p>
      <w:pPr>
        <w:pStyle w:val="4"/>
        <w:ind w:firstLine="428"/>
        <w:outlineLvl w:val="2"/>
        <w:rPr>
          <w:bCs/>
          <w:spacing w:val="2"/>
          <w:szCs w:val="21"/>
        </w:rPr>
      </w:pPr>
      <w:r>
        <w:rPr>
          <w:rFonts w:hint="eastAsia"/>
          <w:bCs/>
          <w:spacing w:val="2"/>
          <w:szCs w:val="21"/>
        </w:rPr>
        <w:t>——功能安全要求部分，将GB 21670—20084.1.3和附录D关于“对复合电子车辆控制系统安全方面的特殊要求”基于国内情况进行了进一步的细化和明确，以提高标准的可实施性。本文件5.1.3“制动电子控制系统的功能安全要求”明确了适用范围：具有如防抱制动、电力再生式制动、采用电子传输的驻车制动、具有电控传输的行车制动等功能的制动电子控制系统。企业在研发过程中，制动电子控制系统的功能安全要求应按照GB/T 34590—2022(所有部分)的方法论进行开发。针对具体实施层面，检测机构按照附录B的要求开展文档审核和验证确认试验。制动电子控制系统功能安全试验报告应满足附录C的要求。</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3.5.2  制动系统特性</w:t>
      </w:r>
    </w:p>
    <w:p>
      <w:pPr>
        <w:pStyle w:val="4"/>
        <w:ind w:firstLine="428"/>
        <w:outlineLvl w:val="2"/>
        <w:rPr>
          <w:bCs/>
          <w:spacing w:val="2"/>
          <w:szCs w:val="21"/>
        </w:rPr>
      </w:pPr>
      <w:r>
        <w:rPr>
          <w:rFonts w:hint="eastAsia"/>
          <w:bCs/>
          <w:spacing w:val="2"/>
          <w:szCs w:val="21"/>
        </w:rPr>
        <w:t>本文件5.2规定了制动系统结构特性要求，包括：行车制动系统、应急制动系统和驻车制动系统共用部件，液压传输装置失效报警，供能失效，制动力在车轴间合理分配，对装备B型电力再生式制动系统的车辆，制动力分配不平衡的补偿和功能，电控传输装置故障，行车制动系统、应急制动系统、驻车制动系统、B型电力再生式制动系统的连接和断开，制动器磨损调整和检查，储液罐设计及低容量报警，报警装置，驻车制动系统使用辅助能源，对气压或液压辅助设备的能量供应，对牵引装备电力制动系统的挂车的乘用车的要求，对装备电力再生式制动系统的车辆的附加要求，采用电子传输的驻车制动系统的附加要求，</w:t>
      </w:r>
      <w:bookmarkStart w:id="43" w:name="_Toc118580248"/>
      <w:r>
        <w:rPr>
          <w:rFonts w:hint="eastAsia"/>
          <w:bCs/>
          <w:spacing w:val="2"/>
          <w:szCs w:val="21"/>
        </w:rPr>
        <w:t>装备电控传输装置的行车制动系统的特殊要求</w:t>
      </w:r>
      <w:bookmarkEnd w:id="43"/>
      <w:r>
        <w:rPr>
          <w:rFonts w:hint="eastAsia"/>
          <w:bCs/>
          <w:spacing w:val="2"/>
          <w:szCs w:val="21"/>
        </w:rPr>
        <w:t>，乘用车制动装备发生某些失效（或故障）时向驾驶人指示的光学报警信号的一般要求，通过制动信号点亮制动灯，紧急制动信号的发出和解除，装有临时备用车轮/轮胎的M</w:t>
      </w:r>
      <w:r>
        <w:rPr>
          <w:rFonts w:hint="eastAsia"/>
          <w:bCs/>
          <w:spacing w:val="2"/>
          <w:szCs w:val="21"/>
          <w:vertAlign w:val="subscript"/>
        </w:rPr>
        <w:t>1</w:t>
      </w:r>
      <w:r>
        <w:rPr>
          <w:rFonts w:hint="eastAsia"/>
          <w:bCs/>
          <w:spacing w:val="2"/>
          <w:szCs w:val="21"/>
        </w:rPr>
        <w:t>类车辆制动性能，装配防抱制动系统等要求。</w:t>
      </w:r>
    </w:p>
    <w:p>
      <w:pPr>
        <w:pStyle w:val="4"/>
        <w:ind w:firstLine="428"/>
        <w:outlineLvl w:val="2"/>
        <w:rPr>
          <w:bCs/>
          <w:spacing w:val="2"/>
          <w:szCs w:val="21"/>
        </w:rPr>
      </w:pPr>
      <w:r>
        <w:rPr>
          <w:rFonts w:hint="eastAsia"/>
          <w:bCs/>
          <w:spacing w:val="2"/>
          <w:szCs w:val="21"/>
        </w:rPr>
        <w:t>与GB 21670—2008相比，主要技术内容变化包括：</w:t>
      </w:r>
    </w:p>
    <w:p>
      <w:pPr>
        <w:pStyle w:val="4"/>
        <w:ind w:firstLine="428"/>
        <w:outlineLvl w:val="2"/>
        <w:rPr>
          <w:bCs/>
          <w:spacing w:val="2"/>
          <w:szCs w:val="21"/>
        </w:rPr>
      </w:pPr>
      <w:r>
        <w:rPr>
          <w:rFonts w:hint="eastAsia"/>
          <w:bCs/>
          <w:spacing w:val="2"/>
          <w:szCs w:val="21"/>
        </w:rPr>
        <w:t>——本文件5.2.10规定了对驻车制动解除要求“驻车制动系统制动表面的脱开只能由驾驶人在其驾驶座椅通过一个不因泄漏而起作用的系统进行控制。此要求不适用于远程控制泊车（RCP）功能。”，与老版标准相比新增了允许通过远程控制装置解除驻车制动的要求，与UN R13-H（Rev.4-Amendment 1）保持一致，该上述远程控制装置为符合UN R79 - Rev.4中关于A类自动控制转向系统（ACSF）技术要求的遥控系统操作的一部分，即：远程控制泊车（RCP）功能。</w:t>
      </w:r>
    </w:p>
    <w:p>
      <w:pPr>
        <w:pStyle w:val="4"/>
        <w:ind w:firstLine="428"/>
        <w:outlineLvl w:val="2"/>
      </w:pPr>
      <w:r>
        <w:rPr>
          <w:rFonts w:hint="eastAsia"/>
          <w:bCs/>
          <w:spacing w:val="2"/>
          <w:szCs w:val="21"/>
        </w:rPr>
        <w:t>——本文件5.2.10规定了制动器磨损调整和检查要求，与老版标准相比：①对于制动衬片的磨损检查，由“允许拆除车轮”更改为“不允许拆除车轮”；②新增了以下制动盘或制动鼓磨损评估的要求：</w:t>
      </w:r>
      <w:r>
        <w:rPr>
          <w:rFonts w:hint="eastAsia"/>
        </w:rPr>
        <w:t>对制动盘或制动鼓摩擦表面磨损状况的评估，可通过直接测量实际部件或检查制动盘或制动鼓的磨损指示器，必要时允许拆除相关部件。车辆制造商应通过用户手册或电子数据记录等方式免费提供如下信息：制动鼓和制动盘表面磨损状况的评估方法，包括必需进行的拆除以及拆除工具和程序；允许的最大磨损限度信息。以上修订内容与UN R13-H现行法规要求保持一致。</w:t>
      </w:r>
    </w:p>
    <w:p>
      <w:pPr>
        <w:pStyle w:val="4"/>
        <w:ind w:firstLine="428"/>
        <w:outlineLvl w:val="2"/>
        <w:rPr>
          <w:bCs/>
          <w:spacing w:val="2"/>
          <w:szCs w:val="21"/>
        </w:rPr>
      </w:pPr>
      <w:r>
        <w:rPr>
          <w:rFonts w:hint="eastAsia"/>
          <w:bCs/>
          <w:spacing w:val="2"/>
          <w:szCs w:val="21"/>
        </w:rPr>
        <w:t>——本文件5.2.18规定了对装备电力再生式制动系统的车辆的附加要求，与老版标准相比：①删除了老版标准中4.2.18.4对电力再生式制动系统电磁兼容的要求，对于RBS电磁兼容不单独考核。②对装备电力再生式制动系统的车辆的附加要求增加如下条款：f）</w:t>
      </w:r>
      <w:r>
        <w:rPr>
          <w:rFonts w:hint="eastAsia"/>
        </w:rPr>
        <w:t>对于A型及同时具有A型和B型电力再生制动系统的车辆，在前进挡下通过松开加速踏板实现的制动作用不能使车辆减速至停车。修订说明：近年来随着A 型电力再生式制动系统技术应用的逐步广泛，由于驾驶员长期通过控制加速踏板来实现制动停车，可能会导致养成相应的驾驶习惯，在紧急制动工况下出现误踩等误用的情况。为明确A 型电力再生作为一种辅助制动的定位，在经过充分行业调研和讨论的基础上提出该要求，旨在引导驾驶员养成良好的驾驶习惯，保证行车安全。并考虑行业技术和产品现状，此条款给出单独的过渡期时间。</w:t>
      </w:r>
    </w:p>
    <w:p>
      <w:pPr>
        <w:pStyle w:val="4"/>
        <w:ind w:firstLine="420"/>
        <w:outlineLvl w:val="2"/>
      </w:pPr>
      <w:r>
        <w:rPr>
          <w:rFonts w:hint="eastAsia"/>
        </w:rPr>
        <w:t>——本文件5.2.19规定了采用电子传输的驻车制动系统的附加要求，与老版标准相比：</w:t>
      </w:r>
    </w:p>
    <w:p>
      <w:pPr>
        <w:pStyle w:val="4"/>
        <w:ind w:firstLine="0" w:firstLineChars="0"/>
        <w:outlineLvl w:val="2"/>
      </w:pPr>
      <w:r>
        <w:rPr>
          <w:rFonts w:hint="eastAsia"/>
        </w:rPr>
        <w:t>①5.2.19 b）修改了红色报警信号的要求，明确了驻车控制装置电气失效或除供电线路外的电控单元外部线路发生损坏时红色闪烁信号的点亮和解除条件，与现行UN R13-H的要求保持一致；②5.2.19 b）中对于采用电子传输的驻车制动系统失效后的性能要求，修改为“当控制装置出现一处电气失效、连接控制装置和ECU之间的电控传输内部线路（供电线路除外）发生一处损坏、ECU出现一处电气失效、ECU和执行器之间的电控传输内部线路（供电线路除外）发生一处损坏时，应能从驾驶人位置进行驻车制动并在8%的上、下坡道使满载车辆保持静止。”，新增了对“ECU出现一处电气失效、ECU和执行器之间的电控传输内部线路（供电线路除外）”的要求。修订说明：老版标准以及UN R13-H仅考虑了驻车控制装置、控制装置和ECU之间线路发生单点失效的驻车能力要求，目前很多新能源汽车已取消了变速箱机械驻车机构，仅能通过驻车电控传输冗余来保证驻车能力，对于此类结构如果发生ECU以及ECU到执行器间的单点失效，如果无法保证一定的驻车能力，会带来较大的安全风险，在经过充分行业调研和讨论的基础上提出该要求，旨在明确对驻车电控冗余的全面要求，保证行车安全。并考虑行业技术和产品现状，此条款给出单独的过渡期时间；③5.2.19 d）中关于驻车解除的要求，新增了“此要求不适用于远程控制泊车（RCP）功能”，理由同5.2.10。</w:t>
      </w:r>
    </w:p>
    <w:p>
      <w:pPr>
        <w:pStyle w:val="4"/>
        <w:ind w:firstLine="420"/>
        <w:outlineLvl w:val="2"/>
      </w:pPr>
      <w:r>
        <w:rPr>
          <w:rFonts w:hint="eastAsia"/>
        </w:rPr>
        <w:t>——5.2.20规定了装备电控传输装置的行车制动系统的特殊要求，与老版标准相比：更改了关闭点火开关或拔出钥匙后的行车制动系统性能要求，除满足老版标准中规定的“动力装置开启/关闭控制处于“ON”（“RUN”）位置，行车制动系统应至少能产生与规定的0型试验条件下行车制动性能要求相当的静态总制动力”外，新增了“动力装置开启/关闭控制处于“OFF”或“LOCK”位置和/或拔掉点火钥匙后第一个60 s之内，三次行车制动促动应至少能产生与规定的0型试验条件下行车制动性能要求相当的静态总制动力”、“上述阶段后，或在60 s时段内从第4次行车制动促动开始，以先满足者为准，行车制动系统应至少能产生与规定的0型试验条件下应急制动性能要求相当的静态总制动力”，旨在保证行车制动系统的能量传输装置具有足够的能量。该修订内容与</w:t>
      </w:r>
      <w:r>
        <w:t>UN R13-H</w:t>
      </w:r>
      <w:r>
        <w:rPr>
          <w:rFonts w:hint="eastAsia"/>
        </w:rPr>
        <w:t>现行法规保持一致。</w:t>
      </w:r>
    </w:p>
    <w:p>
      <w:pPr>
        <w:pStyle w:val="4"/>
        <w:ind w:firstLine="420"/>
        <w:outlineLvl w:val="2"/>
      </w:pPr>
      <w:r>
        <w:rPr>
          <w:rFonts w:hint="eastAsia"/>
        </w:rPr>
        <w:t>——5.2.20规定了制动装备失效的报警信号要求，与老版标准相比：删除了关于声学信号的要求、删除了红色和黄色报警信号的示例，与UN R13-H现行法规保持一致。</w:t>
      </w:r>
    </w:p>
    <w:p>
      <w:pPr>
        <w:pStyle w:val="4"/>
        <w:ind w:firstLine="420"/>
        <w:outlineLvl w:val="2"/>
      </w:pPr>
      <w:r>
        <w:rPr>
          <w:rFonts w:hint="eastAsia"/>
        </w:rPr>
        <w:t>——5.2.22规定了通过制动信号点亮制动灯，参考UN R13-H（Rev.4-Amendment 4）进行了相关内容的修订，要求如下：</w:t>
      </w:r>
    </w:p>
    <w:p>
      <w:pPr>
        <w:pStyle w:val="21"/>
        <w:numPr>
          <w:ilvl w:val="0"/>
          <w:numId w:val="13"/>
        </w:numPr>
      </w:pPr>
      <w:r>
        <w:rPr>
          <w:rFonts w:hint="eastAsia"/>
        </w:rPr>
        <w:t>应在驾驶人促动行车制动系统时发出指令使制动灯点亮。</w:t>
      </w:r>
    </w:p>
    <w:p>
      <w:pPr>
        <w:pStyle w:val="21"/>
        <w:numPr>
          <w:ilvl w:val="0"/>
          <w:numId w:val="13"/>
        </w:numPr>
        <w:rPr>
          <w:rFonts w:cs="Arial"/>
          <w:color w:val="000000"/>
          <w:shd w:val="clear" w:color="auto" w:fill="FBFBFB"/>
        </w:rPr>
      </w:pPr>
      <w:r>
        <w:rPr>
          <w:rFonts w:hint="eastAsia"/>
        </w:rPr>
        <w:t>装备自动控制制动和/或能够产生减速力（例如，在释放加速踏板时）的再生制动的车辆，应满足表3的要求：</w:t>
      </w:r>
    </w:p>
    <w:p>
      <w:pPr>
        <w:pStyle w:val="31"/>
        <w:spacing w:before="156" w:after="156"/>
        <w:rPr>
          <w:szCs w:val="21"/>
          <w:shd w:val="clear" w:color="auto" w:fill="FBFBFB"/>
        </w:rPr>
      </w:pPr>
      <w:r>
        <w:rPr>
          <w:rFonts w:hint="eastAsia"/>
          <w:shd w:val="clear" w:color="auto" w:fill="FBFBFB"/>
        </w:rPr>
        <w:t>制动信号状态要求</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04"/>
        <w:gridCol w:w="4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right w:val="single" w:color="auto" w:sz="8" w:space="0"/>
            </w:tcBorders>
            <w:shd w:val="clear" w:color="auto" w:fill="auto"/>
            <w:vAlign w:val="center"/>
          </w:tcPr>
          <w:p>
            <w:pPr>
              <w:pStyle w:val="32"/>
            </w:pPr>
            <w:r>
              <w:rPr>
                <w:rFonts w:hint="eastAsia" w:hAnsi="宋体"/>
                <w:bCs/>
                <w:iCs/>
                <w:szCs w:val="18"/>
              </w:rPr>
              <w:t>自动控制制动和/或再生制动减速度</w:t>
            </w:r>
          </w:p>
        </w:tc>
        <w:tc>
          <w:tcPr>
            <w:tcW w:w="4667" w:type="dxa"/>
            <w:tcBorders>
              <w:top w:val="single" w:color="auto" w:sz="8" w:space="0"/>
              <w:left w:val="single" w:color="auto" w:sz="8" w:space="0"/>
              <w:bottom w:val="single" w:color="auto" w:sz="8" w:space="0"/>
            </w:tcBorders>
            <w:shd w:val="clear" w:color="auto" w:fill="auto"/>
            <w:vAlign w:val="center"/>
          </w:tcPr>
          <w:p>
            <w:pPr>
              <w:pStyle w:val="32"/>
            </w:pPr>
            <w:r>
              <w:rPr>
                <w:rFonts w:hint="eastAsia" w:hAnsi="宋体"/>
                <w:bCs/>
                <w:iCs/>
                <w:szCs w:val="18"/>
              </w:rPr>
              <w:t>制动信号状态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32"/>
            </w:pPr>
            <w:r>
              <w:rPr>
                <w:rFonts w:hAnsi="宋体"/>
                <w:bCs/>
                <w:iCs/>
                <w:szCs w:val="18"/>
              </w:rPr>
              <w:t>≤1.3</w:t>
            </w:r>
            <w:r>
              <w:rPr>
                <w:rFonts w:hint="eastAsia"/>
              </w:rPr>
              <w:t> </w:t>
            </w:r>
            <w:r>
              <w:rPr>
                <w:rFonts w:hAnsi="宋体"/>
                <w:bCs/>
                <w:iCs/>
                <w:szCs w:val="18"/>
              </w:rPr>
              <w:t>m/s²</w:t>
            </w:r>
          </w:p>
        </w:tc>
        <w:tc>
          <w:tcPr>
            <w:tcW w:w="4667" w:type="dxa"/>
            <w:tcBorders>
              <w:top w:val="single" w:color="auto" w:sz="8" w:space="0"/>
            </w:tcBorders>
            <w:shd w:val="clear" w:color="auto" w:fill="auto"/>
            <w:vAlign w:val="center"/>
          </w:tcPr>
          <w:p>
            <w:pPr>
              <w:pStyle w:val="32"/>
            </w:pPr>
            <w:r>
              <w:rPr>
                <w:rFonts w:hint="eastAsia" w:hAnsi="宋体"/>
                <w:bCs/>
                <w:iCs/>
                <w:szCs w:val="18"/>
              </w:rPr>
              <w:t>可以</w:t>
            </w:r>
            <w:r>
              <w:rPr>
                <w:rFonts w:hAnsi="宋体"/>
                <w:bCs/>
                <w:iCs/>
                <w:szCs w:val="18"/>
              </w:rPr>
              <w:t>发出制动信号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bottom w:val="single" w:color="auto" w:sz="8" w:space="0"/>
            </w:tcBorders>
            <w:shd w:val="clear" w:color="auto" w:fill="auto"/>
            <w:vAlign w:val="center"/>
          </w:tcPr>
          <w:p>
            <w:pPr>
              <w:pStyle w:val="32"/>
              <w:rPr>
                <w:rFonts w:hAnsi="宋体"/>
                <w:iCs/>
                <w:szCs w:val="18"/>
              </w:rPr>
            </w:pPr>
            <w:r>
              <w:rPr>
                <w:rFonts w:hint="eastAsia" w:hAnsi="宋体"/>
                <w:bCs/>
                <w:iCs/>
                <w:szCs w:val="18"/>
              </w:rPr>
              <w:t>＞</w:t>
            </w:r>
            <w:r>
              <w:rPr>
                <w:rFonts w:hAnsi="宋体"/>
                <w:bCs/>
                <w:iCs/>
                <w:szCs w:val="18"/>
              </w:rPr>
              <w:t>1.3</w:t>
            </w:r>
            <w:r>
              <w:rPr>
                <w:rFonts w:hint="eastAsia"/>
              </w:rPr>
              <w:t> </w:t>
            </w:r>
            <w:r>
              <w:rPr>
                <w:rFonts w:hAnsi="宋体"/>
                <w:bCs/>
                <w:iCs/>
                <w:szCs w:val="18"/>
              </w:rPr>
              <w:t>m/s²</w:t>
            </w:r>
          </w:p>
        </w:tc>
        <w:tc>
          <w:tcPr>
            <w:tcW w:w="4667" w:type="dxa"/>
            <w:tcBorders>
              <w:bottom w:val="single" w:color="auto" w:sz="8" w:space="0"/>
            </w:tcBorders>
            <w:shd w:val="clear" w:color="auto" w:fill="auto"/>
            <w:vAlign w:val="center"/>
          </w:tcPr>
          <w:p>
            <w:pPr>
              <w:pStyle w:val="32"/>
              <w:rPr>
                <w:rFonts w:hAnsi="宋体"/>
                <w:iCs/>
                <w:szCs w:val="18"/>
              </w:rPr>
            </w:pPr>
            <w:r>
              <w:rPr>
                <w:rFonts w:hint="eastAsia" w:hAnsi="宋体"/>
                <w:bCs/>
                <w:iCs/>
                <w:szCs w:val="18"/>
              </w:rPr>
              <w:t>应</w:t>
            </w:r>
            <w:r>
              <w:rPr>
                <w:rFonts w:hAnsi="宋体"/>
                <w:bCs/>
                <w:iCs/>
                <w:szCs w:val="18"/>
              </w:rPr>
              <w:t>发出制动信号</w:t>
            </w:r>
          </w:p>
        </w:tc>
      </w:tr>
    </w:tbl>
    <w:p>
      <w:pPr>
        <w:pStyle w:val="29"/>
        <w:ind w:firstLine="420"/>
        <w:rPr>
          <w:rStyle w:val="33"/>
          <w:rFonts w:hint="default" w:ascii="Arial" w:hAnsi="Arial" w:cs="Arial"/>
          <w:color w:val="000000"/>
          <w:sz w:val="21"/>
          <w:szCs w:val="21"/>
          <w:vertAlign w:val="baseline"/>
        </w:rPr>
      </w:pPr>
      <w:r>
        <w:rPr>
          <w:rFonts w:hint="eastAsia"/>
          <w:szCs w:val="21"/>
          <w:shd w:val="clear" w:color="auto" w:fill="FBFBFB"/>
        </w:rPr>
        <w:t>制动信号发出后，只要减速需求持续存在，该信号就应持续发出。</w:t>
      </w:r>
      <w:r>
        <w:rPr>
          <w:rStyle w:val="33"/>
          <w:rFonts w:hint="default" w:cs="Arial"/>
          <w:color w:val="000000"/>
          <w:sz w:val="21"/>
          <w:szCs w:val="21"/>
          <w:vertAlign w:val="baseline"/>
        </w:rPr>
        <w:t>然而，该信号可在车辆静止或减速度降低至发出制动信号对应的减速度时被抑制。</w:t>
      </w:r>
    </w:p>
    <w:p>
      <w:pPr>
        <w:pStyle w:val="29"/>
        <w:ind w:firstLine="420"/>
      </w:pPr>
      <w:r>
        <w:rPr>
          <w:rFonts w:hint="eastAsia" w:hAnsi="宋体"/>
        </w:rPr>
        <w:t>应采取适当的措施（例如，滞后、平均、延时等），以避免因制动信号的快速变化而导致制动灯闪烁。</w:t>
      </w:r>
    </w:p>
    <w:p>
      <w:pPr>
        <w:pStyle w:val="21"/>
        <w:numPr>
          <w:ilvl w:val="0"/>
          <w:numId w:val="13"/>
        </w:numPr>
        <w:tabs>
          <w:tab w:val="clear" w:pos="851"/>
        </w:tabs>
        <w:ind w:left="840" w:hanging="420"/>
      </w:pPr>
      <w:r>
        <w:rPr>
          <w:rFonts w:hint="eastAsia"/>
        </w:rPr>
        <w:t>通过选择制动或主要目的不是使车辆减速的功能（例如，轻微促动摩擦制动器以清洁制动盘）启动部分行车制动系统时不应发出上述制动信号。</w:t>
      </w:r>
    </w:p>
    <w:p>
      <w:pPr>
        <w:pStyle w:val="21"/>
      </w:pPr>
      <w:r>
        <w:rPr>
          <w:rFonts w:hint="eastAsia"/>
        </w:rPr>
        <w:t>当减速仅由发动机制动、空气/滚动阻力和/或道路坡度产生时，不应产生制动信号。</w:t>
      </w:r>
    </w:p>
    <w:p>
      <w:pPr>
        <w:pStyle w:val="4"/>
        <w:ind w:firstLine="420"/>
        <w:outlineLvl w:val="2"/>
        <w:rPr>
          <w:rFonts w:ascii="宋体" w:hAnsi="宋体"/>
        </w:rPr>
      </w:pPr>
      <w:r>
        <w:rPr>
          <w:rFonts w:hint="eastAsia" w:ascii="宋体" w:hAnsi="宋体"/>
        </w:rPr>
        <w:t>修订说明：随着电力再生式制动系统在新能源汽车上的应用越来越广泛，对于例如通过松开加速踏板实现的制动功能，目前部分车型可产生较大的制动减速度，需要点亮制动灯以提醒后方车辆及其他交通参与者，消除车辆追尾等交通安全隐患。</w:t>
      </w:r>
    </w:p>
    <w:p>
      <w:pPr>
        <w:pStyle w:val="4"/>
        <w:ind w:firstLine="420"/>
        <w:outlineLvl w:val="2"/>
        <w:rPr>
          <w:rFonts w:ascii="宋体" w:hAnsi="宋体"/>
        </w:rPr>
      </w:pPr>
      <w:r>
        <w:rPr>
          <w:rFonts w:hint="eastAsia" w:ascii="宋体" w:hAnsi="宋体"/>
        </w:rPr>
        <w:t>本文件与GB 21670—2008关于制动灯点亮信号要求的差异对比见下表：</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Borders>
              <w:bottom w:val="single" w:color="auto" w:sz="8" w:space="0"/>
            </w:tcBorders>
          </w:tcPr>
          <w:p>
            <w:pPr>
              <w:pStyle w:val="8"/>
              <w:widowControl/>
              <w:ind w:firstLine="0" w:firstLineChars="0"/>
              <w:jc w:val="center"/>
              <w:outlineLvl w:val="2"/>
              <w:rPr>
                <w:rFonts w:ascii="宋体" w:hAnsi="宋体"/>
                <w:kern w:val="2"/>
                <w:sz w:val="21"/>
              </w:rPr>
            </w:pPr>
            <w:r>
              <w:rPr>
                <w:rFonts w:hint="eastAsia" w:ascii="宋体" w:hAnsi="宋体"/>
                <w:kern w:val="2"/>
                <w:sz w:val="21"/>
              </w:rPr>
              <w:t>不同情况</w:t>
            </w:r>
          </w:p>
        </w:tc>
        <w:tc>
          <w:tcPr>
            <w:tcW w:w="2841" w:type="dxa"/>
            <w:tcBorders>
              <w:bottom w:val="single" w:color="auto" w:sz="8" w:space="0"/>
            </w:tcBorders>
          </w:tcPr>
          <w:p>
            <w:pPr>
              <w:pStyle w:val="8"/>
              <w:widowControl/>
              <w:ind w:firstLine="0" w:firstLineChars="0"/>
              <w:jc w:val="center"/>
              <w:outlineLvl w:val="2"/>
              <w:rPr>
                <w:rFonts w:ascii="宋体" w:hAnsi="宋体"/>
                <w:kern w:val="2"/>
                <w:sz w:val="21"/>
              </w:rPr>
            </w:pPr>
            <w:r>
              <w:rPr>
                <w:rFonts w:hint="eastAsia" w:ascii="宋体" w:hAnsi="宋体"/>
                <w:kern w:val="2"/>
                <w:sz w:val="21"/>
              </w:rPr>
              <w:t>GB 21670-2008</w:t>
            </w:r>
          </w:p>
        </w:tc>
        <w:tc>
          <w:tcPr>
            <w:tcW w:w="2841" w:type="dxa"/>
            <w:tcBorders>
              <w:bottom w:val="single" w:color="auto" w:sz="8" w:space="0"/>
            </w:tcBorders>
          </w:tcPr>
          <w:p>
            <w:pPr>
              <w:pStyle w:val="4"/>
              <w:ind w:firstLine="0" w:firstLineChars="0"/>
              <w:jc w:val="center"/>
              <w:outlineLvl w:val="2"/>
              <w:rPr>
                <w:rFonts w:ascii="宋体" w:hAnsi="宋体"/>
              </w:rPr>
            </w:pPr>
            <w:r>
              <w:rPr>
                <w:rFonts w:hint="eastAsia" w:ascii="宋体" w:hAnsi="宋体"/>
              </w:rPr>
              <w:t>新版GB 21670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8" w:space="0"/>
            </w:tcBorders>
          </w:tcPr>
          <w:p>
            <w:pPr>
              <w:pStyle w:val="8"/>
              <w:widowControl/>
              <w:ind w:firstLine="0" w:firstLineChars="0"/>
              <w:outlineLvl w:val="2"/>
              <w:rPr>
                <w:rFonts w:ascii="宋体" w:hAnsi="宋体"/>
                <w:kern w:val="2"/>
                <w:sz w:val="21"/>
              </w:rPr>
            </w:pPr>
            <w:r>
              <w:rPr>
                <w:rFonts w:hint="eastAsia" w:ascii="宋体" w:hAnsi="宋体"/>
                <w:color w:val="000000"/>
                <w:kern w:val="2"/>
                <w:sz w:val="21"/>
              </w:rPr>
              <w:t>驾驶员促动行车制动系统</w:t>
            </w:r>
          </w:p>
        </w:tc>
        <w:tc>
          <w:tcPr>
            <w:tcW w:w="2841" w:type="dxa"/>
            <w:tcBorders>
              <w:top w:val="single" w:color="auto" w:sz="8" w:space="0"/>
            </w:tcBorders>
          </w:tcPr>
          <w:p>
            <w:pPr>
              <w:pStyle w:val="8"/>
              <w:widowControl/>
              <w:ind w:firstLine="0" w:firstLineChars="0"/>
              <w:outlineLvl w:val="2"/>
              <w:rPr>
                <w:rFonts w:ascii="宋体" w:hAnsi="宋体"/>
                <w:kern w:val="2"/>
                <w:sz w:val="21"/>
              </w:rPr>
            </w:pPr>
            <w:r>
              <w:rPr>
                <w:rFonts w:hint="eastAsia" w:ascii="宋体" w:hAnsi="宋体"/>
                <w:color w:val="000000"/>
                <w:kern w:val="2"/>
                <w:sz w:val="21"/>
              </w:rPr>
              <w:t>必须点亮</w:t>
            </w:r>
          </w:p>
        </w:tc>
        <w:tc>
          <w:tcPr>
            <w:tcW w:w="2841" w:type="dxa"/>
            <w:tcBorders>
              <w:top w:val="single" w:color="auto" w:sz="8" w:space="0"/>
            </w:tcBorders>
          </w:tcPr>
          <w:p>
            <w:pPr>
              <w:pStyle w:val="8"/>
              <w:widowControl/>
              <w:ind w:firstLine="0" w:firstLineChars="0"/>
              <w:outlineLvl w:val="2"/>
              <w:rPr>
                <w:rFonts w:ascii="宋体" w:hAnsi="宋体"/>
                <w:kern w:val="2"/>
                <w:sz w:val="21"/>
              </w:rPr>
            </w:pPr>
            <w:r>
              <w:rPr>
                <w:rFonts w:hint="eastAsia" w:ascii="宋体" w:hAnsi="宋体"/>
                <w:color w:val="000000"/>
                <w:kern w:val="2"/>
                <w:sz w:val="21"/>
              </w:rPr>
              <w:t>必须点亮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通过自动控制制动系统启动行车制动系统</w:t>
            </w:r>
          </w:p>
        </w:tc>
        <w:tc>
          <w:tcPr>
            <w:tcW w:w="2841"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必须点亮，但当车速大于50km/h时，如产生的减速度小于0.7m/s²,可不点亮。</w:t>
            </w:r>
          </w:p>
        </w:tc>
        <w:tc>
          <w:tcPr>
            <w:tcW w:w="2841" w:type="dxa"/>
            <w:vMerge w:val="restart"/>
          </w:tcPr>
          <w:p>
            <w:pPr>
              <w:pStyle w:val="8"/>
              <w:widowControl/>
              <w:ind w:firstLine="0" w:firstLineChars="0"/>
              <w:rPr>
                <w:rFonts w:ascii="宋体" w:hAnsi="宋体"/>
                <w:kern w:val="2"/>
                <w:sz w:val="21"/>
              </w:rPr>
            </w:pPr>
            <w:r>
              <w:rPr>
                <w:rFonts w:hint="eastAsia" w:ascii="宋体" w:hAnsi="宋体"/>
                <w:kern w:val="2"/>
                <w:sz w:val="21"/>
              </w:rPr>
              <w:t>①＞1.3m/s²必须点亮，≤1.3m/s²可以点亮。</w:t>
            </w:r>
          </w:p>
          <w:p>
            <w:pPr>
              <w:pStyle w:val="8"/>
              <w:widowControl/>
              <w:ind w:firstLine="0" w:firstLineChars="0"/>
              <w:outlineLvl w:val="2"/>
              <w:rPr>
                <w:rFonts w:ascii="宋体" w:hAnsi="宋体"/>
                <w:kern w:val="2"/>
                <w:sz w:val="21"/>
              </w:rPr>
            </w:pPr>
            <w:r>
              <w:rPr>
                <w:rFonts w:hint="eastAsia" w:ascii="宋体" w:hAnsi="宋体"/>
                <w:color w:val="000000"/>
                <w:kern w:val="2"/>
                <w:sz w:val="21"/>
              </w:rPr>
              <w:t>②可在静止或减速度降低至发出制动信号对应的减速度时被抑制。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A型电力再生式制动系统</w:t>
            </w:r>
          </w:p>
        </w:tc>
        <w:tc>
          <w:tcPr>
            <w:tcW w:w="2841"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不能点亮</w:t>
            </w:r>
          </w:p>
        </w:tc>
        <w:tc>
          <w:tcPr>
            <w:tcW w:w="2841" w:type="dxa"/>
            <w:vMerge w:val="continue"/>
          </w:tcPr>
          <w:p>
            <w:pPr>
              <w:pStyle w:val="4"/>
              <w:ind w:firstLine="420"/>
              <w:outlineLvl w:val="2"/>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通过选择制动系启动部分行车制动系统</w:t>
            </w:r>
          </w:p>
        </w:tc>
        <w:tc>
          <w:tcPr>
            <w:tcW w:w="2841"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不能点亮</w:t>
            </w:r>
          </w:p>
        </w:tc>
        <w:tc>
          <w:tcPr>
            <w:tcW w:w="2841"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不能点亮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非减速目的功能（轻微促动摩擦制动器以清洁制动盘）</w:t>
            </w:r>
          </w:p>
        </w:tc>
        <w:tc>
          <w:tcPr>
            <w:tcW w:w="2841" w:type="dxa"/>
          </w:tcPr>
          <w:p>
            <w:pPr>
              <w:pStyle w:val="8"/>
              <w:widowControl/>
              <w:ind w:firstLine="0" w:firstLineChars="0"/>
              <w:rPr>
                <w:rFonts w:ascii="宋体" w:hAnsi="宋体"/>
                <w:kern w:val="2"/>
                <w:sz w:val="21"/>
              </w:rPr>
            </w:pPr>
            <w:r>
              <w:rPr>
                <w:rFonts w:hint="eastAsia" w:ascii="宋体" w:hAnsi="宋体"/>
                <w:kern w:val="2"/>
                <w:sz w:val="21"/>
              </w:rPr>
              <w:t>无要求</w:t>
            </w:r>
          </w:p>
          <w:p>
            <w:pPr>
              <w:pStyle w:val="8"/>
              <w:widowControl/>
              <w:ind w:firstLine="420"/>
              <w:outlineLvl w:val="2"/>
              <w:rPr>
                <w:rFonts w:ascii="宋体" w:hAnsi="宋体"/>
                <w:kern w:val="2"/>
                <w:sz w:val="21"/>
              </w:rPr>
            </w:pPr>
          </w:p>
        </w:tc>
        <w:tc>
          <w:tcPr>
            <w:tcW w:w="2841" w:type="dxa"/>
          </w:tcPr>
          <w:p>
            <w:pPr>
              <w:pStyle w:val="8"/>
              <w:widowControl/>
              <w:ind w:firstLine="0" w:firstLineChars="0"/>
              <w:rPr>
                <w:rFonts w:ascii="宋体" w:hAnsi="宋体"/>
                <w:kern w:val="2"/>
                <w:sz w:val="21"/>
              </w:rPr>
            </w:pPr>
            <w:r>
              <w:rPr>
                <w:rFonts w:hint="eastAsia" w:ascii="宋体" w:hAnsi="宋体"/>
                <w:kern w:val="2"/>
                <w:sz w:val="21"/>
              </w:rPr>
              <w:t>不能点亮</w:t>
            </w:r>
          </w:p>
          <w:p>
            <w:pPr>
              <w:pStyle w:val="8"/>
              <w:widowControl/>
              <w:ind w:firstLine="0" w:firstLineChars="0"/>
              <w:outlineLvl w:val="2"/>
              <w:rPr>
                <w:rFonts w:ascii="宋体" w:hAnsi="宋体"/>
                <w:kern w:val="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发动机制动、空气/滚动阻力和/或道路坡度</w:t>
            </w:r>
          </w:p>
        </w:tc>
        <w:tc>
          <w:tcPr>
            <w:tcW w:w="2841"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无要求</w:t>
            </w:r>
          </w:p>
        </w:tc>
        <w:tc>
          <w:tcPr>
            <w:tcW w:w="2841" w:type="dxa"/>
          </w:tcPr>
          <w:p>
            <w:pPr>
              <w:pStyle w:val="8"/>
              <w:widowControl/>
              <w:ind w:firstLine="0" w:firstLineChars="0"/>
              <w:outlineLvl w:val="2"/>
              <w:rPr>
                <w:rFonts w:ascii="宋体" w:hAnsi="宋体"/>
                <w:kern w:val="2"/>
                <w:sz w:val="21"/>
              </w:rPr>
            </w:pPr>
            <w:r>
              <w:rPr>
                <w:rFonts w:hint="eastAsia" w:ascii="宋体" w:hAnsi="宋体"/>
                <w:color w:val="000000"/>
                <w:kern w:val="2"/>
                <w:sz w:val="21"/>
              </w:rPr>
              <w:t>不能点亮</w:t>
            </w:r>
          </w:p>
        </w:tc>
      </w:tr>
    </w:tbl>
    <w:p>
      <w:pPr>
        <w:pStyle w:val="4"/>
        <w:ind w:firstLine="420"/>
        <w:outlineLvl w:val="2"/>
        <w:rPr>
          <w:rFonts w:ascii="宋体" w:hAnsi="宋体"/>
        </w:rPr>
      </w:pPr>
      <w:r>
        <w:rPr>
          <w:rFonts w:ascii="宋体" w:hAnsi="宋体"/>
        </w:rPr>
        <w:t>——</w:t>
      </w:r>
      <w:r>
        <w:rPr>
          <w:rFonts w:hint="eastAsia" w:ascii="宋体" w:hAnsi="宋体"/>
        </w:rPr>
        <w:t>新增了</w:t>
      </w:r>
      <w:r>
        <w:rPr>
          <w:rFonts w:ascii="宋体" w:hAnsi="宋体"/>
        </w:rPr>
        <w:t>5.2.2</w:t>
      </w:r>
      <w:r>
        <w:rPr>
          <w:rFonts w:hint="eastAsia" w:ascii="宋体" w:hAnsi="宋体"/>
        </w:rPr>
        <w:t>3对</w:t>
      </w:r>
      <w:r>
        <w:rPr>
          <w:rFonts w:ascii="宋体" w:hAnsi="宋体"/>
        </w:rPr>
        <w:t>指示紧急制动的装置</w:t>
      </w:r>
      <w:r>
        <w:rPr>
          <w:rFonts w:hint="eastAsia" w:ascii="宋体" w:hAnsi="宋体"/>
        </w:rPr>
        <w:t>的</w:t>
      </w:r>
      <w:r>
        <w:rPr>
          <w:rFonts w:ascii="宋体" w:hAnsi="宋体"/>
        </w:rPr>
        <w:t>紧急制动信号的发出和解除</w:t>
      </w:r>
      <w:r>
        <w:rPr>
          <w:rFonts w:hint="eastAsia" w:ascii="宋体" w:hAnsi="宋体"/>
        </w:rPr>
        <w:t>要求，与</w:t>
      </w:r>
      <w:r>
        <w:rPr>
          <w:rFonts w:ascii="宋体" w:hAnsi="宋体"/>
        </w:rPr>
        <w:t>UN R13-H（Rev.4）</w:t>
      </w:r>
      <w:r>
        <w:rPr>
          <w:rFonts w:hint="eastAsia" w:ascii="宋体" w:hAnsi="宋体"/>
        </w:rPr>
        <w:t>现行法规保持一致，新增了以下规定</w:t>
      </w:r>
      <w:r>
        <w:rPr>
          <w:rFonts w:ascii="宋体" w:hAnsi="宋体"/>
        </w:rPr>
        <w:t>：</w:t>
      </w:r>
    </w:p>
    <w:p>
      <w:pPr>
        <w:pStyle w:val="35"/>
        <w:numPr>
          <w:ilvl w:val="3"/>
          <w:numId w:val="0"/>
        </w:numPr>
        <w:spacing w:before="0" w:beforeLines="0" w:after="0" w:afterLines="0"/>
        <w:ind w:firstLine="420"/>
        <w:rPr>
          <w:rFonts w:ascii="宋体" w:hAnsi="宋体" w:eastAsia="宋体"/>
        </w:rPr>
      </w:pPr>
      <w:bookmarkStart w:id="44" w:name="_Toc118580251"/>
      <w:r>
        <w:rPr>
          <w:rFonts w:hint="eastAsia" w:ascii="宋体" w:hAnsi="宋体" w:eastAsia="宋体"/>
        </w:rPr>
        <w:t>当车辆配备了可以指示紧急制动的装置时，紧急制动信号的发出和解除只能在满足下列条件的情况下，由行车制动系统发出：</w:t>
      </w:r>
      <w:bookmarkEnd w:id="44"/>
    </w:p>
    <w:p>
      <w:pPr>
        <w:pStyle w:val="21"/>
        <w:numPr>
          <w:ilvl w:val="0"/>
          <w:numId w:val="14"/>
        </w:numPr>
      </w:pPr>
      <w:r>
        <w:rPr>
          <w:rFonts w:hint="eastAsia"/>
        </w:rPr>
        <w:t>车辆的减速度低于6 m/s</w:t>
      </w:r>
      <w:r>
        <w:rPr>
          <w:rFonts w:cs="Calibri"/>
        </w:rPr>
        <w:t>²</w:t>
      </w:r>
      <w:r>
        <w:rPr>
          <w:rFonts w:hint="eastAsia"/>
        </w:rPr>
        <w:t>时，不应发出紧急制动信号，但减速度等于或者大于6 m</w:t>
      </w:r>
      <w:r>
        <w:t>/s</w:t>
      </w:r>
      <w:r>
        <w:rPr>
          <w:vertAlign w:val="superscript"/>
        </w:rPr>
        <w:t>2</w:t>
      </w:r>
      <w:r>
        <w:rPr>
          <w:rFonts w:hint="eastAsia"/>
        </w:rPr>
        <w:t>（由车辆制造商定义实际限值）时可发出紧急制动信号。当车辆减速度低于2.5 m/s</w:t>
      </w:r>
      <w:r>
        <w:rPr>
          <w:rFonts w:cs="Calibri"/>
        </w:rPr>
        <w:t>²</w:t>
      </w:r>
      <w:r>
        <w:rPr>
          <w:rFonts w:hint="eastAsia" w:cs="黑体"/>
        </w:rPr>
        <w:t>时，应解除紧急制动信号。</w:t>
      </w:r>
    </w:p>
    <w:p>
      <w:pPr>
        <w:pStyle w:val="21"/>
        <w:numPr>
          <w:ilvl w:val="0"/>
          <w:numId w:val="14"/>
        </w:numPr>
      </w:pPr>
      <w:r>
        <w:rPr>
          <w:rFonts w:hint="eastAsia"/>
        </w:rPr>
        <w:t>下列情况也可发出紧急制动信号：</w:t>
      </w:r>
    </w:p>
    <w:p>
      <w:pPr>
        <w:pStyle w:val="30"/>
      </w:pPr>
      <w:r>
        <w:rPr>
          <w:rFonts w:hint="eastAsia"/>
        </w:rPr>
        <w:t>紧急制动信号的发出，可基于通过制动需求预测的车辆减速度，信号的发出和解除参照本条a）规定的限值。</w:t>
      </w:r>
    </w:p>
    <w:p>
      <w:pPr>
        <w:pStyle w:val="30"/>
      </w:pPr>
      <w:r>
        <w:rPr>
          <w:rFonts w:hint="eastAsia"/>
        </w:rPr>
        <w:t>车速大于50 km/h且防抱制动系统全循环时，可发出紧急制动信号。防抱死制动系统不再全循环时应解除紧急制动信号。</w:t>
      </w:r>
    </w:p>
    <w:p>
      <w:pPr>
        <w:pStyle w:val="4"/>
        <w:ind w:firstLine="420"/>
        <w:outlineLvl w:val="2"/>
      </w:pPr>
      <w:r>
        <w:rPr>
          <w:rFonts w:hint="eastAsia"/>
        </w:rPr>
        <w:t>——新增了5.2.24对临时备用车轮/轮胎的制动性能要求，以及对应的附录F“装有非全尺寸临时备用轮胎的车辆制动和跑偏试验”，该要求主要基于UN R13-H引用的UN R64附件3。</w:t>
      </w:r>
    </w:p>
    <w:p>
      <w:pPr>
        <w:pStyle w:val="4"/>
        <w:ind w:firstLine="420"/>
        <w:outlineLvl w:val="2"/>
      </w:pPr>
      <w:r>
        <w:rPr>
          <w:rFonts w:hint="eastAsia"/>
        </w:rPr>
        <w:t>——新增了5.2.25 M</w:t>
      </w:r>
      <w:r>
        <w:rPr>
          <w:rFonts w:hint="eastAsia"/>
          <w:vertAlign w:val="subscript"/>
        </w:rPr>
        <w:t>1</w:t>
      </w:r>
      <w:r>
        <w:rPr>
          <w:rFonts w:hint="eastAsia"/>
        </w:rPr>
        <w:t>类车辆应装配符合本文件要求的防抱制动系统的要求。</w:t>
      </w:r>
    </w:p>
    <w:p>
      <w:pPr>
        <w:pStyle w:val="4"/>
        <w:ind w:firstLine="420"/>
        <w:outlineLvl w:val="2"/>
        <w:rPr>
          <w:highlight w:val="yellow"/>
        </w:rPr>
      </w:pPr>
      <w:r>
        <w:rPr>
          <w:rFonts w:hint="eastAsia"/>
        </w:rPr>
        <w:t>修订说明：通过充分的行业调研和讨论，目前乘用车产品已基本标配1类ABS，为提升制动安全性、推动技术和产业进步，在新版标准中明确M</w:t>
      </w:r>
      <w:r>
        <w:rPr>
          <w:rFonts w:hint="eastAsia"/>
          <w:vertAlign w:val="subscript"/>
        </w:rPr>
        <w:t>1</w:t>
      </w:r>
      <w:r>
        <w:rPr>
          <w:rFonts w:hint="eastAsia"/>
        </w:rPr>
        <w:t>类车辆强制安装1类ABS的要求，仅保留对于1类ABS的相关要求，删除老版标准中关于制动力分配的相关要求，以及2类、3类ABS的相关要求。</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3.6 试验和性能要求</w:t>
      </w:r>
    </w:p>
    <w:p>
      <w:pPr>
        <w:pStyle w:val="4"/>
        <w:ind w:firstLine="0" w:firstLineChars="0"/>
        <w:outlineLvl w:val="2"/>
        <w:rPr>
          <w:b/>
          <w:spacing w:val="2"/>
          <w:szCs w:val="21"/>
        </w:rPr>
      </w:pPr>
      <w:r>
        <w:rPr>
          <w:rFonts w:ascii="黑体" w:hAnsi="黑体" w:eastAsia="黑体" w:cs="黑体"/>
          <w:bCs/>
          <w:spacing w:val="2"/>
          <w:szCs w:val="21"/>
        </w:rPr>
        <w:t>3.6.1  试验要求</w:t>
      </w:r>
    </w:p>
    <w:p>
      <w:pPr>
        <w:pStyle w:val="4"/>
        <w:ind w:firstLine="428"/>
        <w:outlineLvl w:val="2"/>
        <w:rPr>
          <w:bCs/>
          <w:spacing w:val="2"/>
          <w:szCs w:val="21"/>
        </w:rPr>
      </w:pPr>
      <w:r>
        <w:rPr>
          <w:rFonts w:hint="eastAsia"/>
          <w:bCs/>
          <w:spacing w:val="2"/>
          <w:szCs w:val="21"/>
        </w:rPr>
        <w:t>本文件6.1规定了制动性能道路试验的要求，包括：总体要求、</w:t>
      </w:r>
      <w:bookmarkStart w:id="45" w:name="_Toc118580256"/>
      <w:r>
        <w:rPr>
          <w:rFonts w:hint="eastAsia"/>
          <w:bCs/>
          <w:spacing w:val="2"/>
          <w:szCs w:val="21"/>
        </w:rPr>
        <w:t>车辆制动性能的道路试验条件</w:t>
      </w:r>
      <w:bookmarkEnd w:id="45"/>
      <w:r>
        <w:rPr>
          <w:rFonts w:hint="eastAsia"/>
          <w:bCs/>
          <w:spacing w:val="2"/>
          <w:szCs w:val="21"/>
        </w:rPr>
        <w:t>、</w:t>
      </w:r>
      <w:bookmarkStart w:id="46" w:name="_Toc118580257"/>
      <w:r>
        <w:rPr>
          <w:rFonts w:hint="eastAsia"/>
          <w:bCs/>
          <w:spacing w:val="2"/>
          <w:szCs w:val="21"/>
        </w:rPr>
        <w:t>制动中的车辆状态</w:t>
      </w:r>
      <w:bookmarkEnd w:id="46"/>
      <w:r>
        <w:rPr>
          <w:rFonts w:hint="eastAsia"/>
          <w:bCs/>
          <w:spacing w:val="2"/>
          <w:szCs w:val="21"/>
        </w:rPr>
        <w:t>、</w:t>
      </w:r>
      <w:bookmarkStart w:id="47" w:name="_Toc118580258"/>
      <w:r>
        <w:rPr>
          <w:rFonts w:hint="eastAsia"/>
          <w:bCs/>
          <w:spacing w:val="2"/>
          <w:szCs w:val="21"/>
        </w:rPr>
        <w:t>0型试验（冷态制动时的基本性能）</w:t>
      </w:r>
      <w:bookmarkEnd w:id="47"/>
      <w:r>
        <w:rPr>
          <w:rFonts w:hint="eastAsia"/>
          <w:bCs/>
          <w:spacing w:val="2"/>
          <w:szCs w:val="21"/>
        </w:rPr>
        <w:t>、</w:t>
      </w:r>
      <w:bookmarkStart w:id="48" w:name="_Toc118580259"/>
      <w:r>
        <w:rPr>
          <w:rFonts w:hint="eastAsia"/>
          <w:bCs/>
          <w:spacing w:val="2"/>
          <w:szCs w:val="21"/>
        </w:rPr>
        <w:t>I型试验（衰退和恢复试验）</w:t>
      </w:r>
      <w:bookmarkEnd w:id="48"/>
      <w:r>
        <w:rPr>
          <w:rFonts w:hint="eastAsia"/>
          <w:bCs/>
          <w:spacing w:val="2"/>
          <w:szCs w:val="21"/>
        </w:rPr>
        <w:t>的相关要求。</w:t>
      </w:r>
    </w:p>
    <w:p>
      <w:pPr>
        <w:pStyle w:val="4"/>
        <w:ind w:firstLine="428"/>
        <w:outlineLvl w:val="2"/>
        <w:rPr>
          <w:bCs/>
          <w:spacing w:val="2"/>
          <w:szCs w:val="21"/>
        </w:rPr>
      </w:pPr>
      <w:r>
        <w:rPr>
          <w:rFonts w:hint="eastAsia"/>
          <w:bCs/>
          <w:spacing w:val="2"/>
          <w:szCs w:val="21"/>
        </w:rPr>
        <w:t>与GB 21670—2008相比，主要技术内容变化包括：</w:t>
      </w:r>
    </w:p>
    <w:p>
      <w:pPr>
        <w:pStyle w:val="4"/>
        <w:ind w:firstLine="428"/>
        <w:outlineLvl w:val="2"/>
        <w:rPr>
          <w:bCs/>
          <w:spacing w:val="2"/>
          <w:szCs w:val="21"/>
        </w:rPr>
      </w:pPr>
      <w:r>
        <w:rPr>
          <w:rFonts w:hint="eastAsia"/>
          <w:bCs/>
          <w:spacing w:val="2"/>
          <w:szCs w:val="21"/>
        </w:rPr>
        <w:t>——全文“0-型试验、Ⅰ-型试验”全文统一改为“0 型试验、Ⅰ型试验”；“发动机脱开、发动机结合”全文统一改为“动力脱开、动力结合”。</w:t>
      </w:r>
    </w:p>
    <w:p>
      <w:pPr>
        <w:pStyle w:val="4"/>
        <w:ind w:firstLine="428"/>
        <w:outlineLvl w:val="2"/>
        <w:rPr>
          <w:bCs/>
          <w:spacing w:val="2"/>
          <w:szCs w:val="21"/>
        </w:rPr>
      </w:pPr>
      <w:r>
        <w:rPr>
          <w:rFonts w:hint="eastAsia"/>
          <w:bCs/>
          <w:spacing w:val="2"/>
          <w:szCs w:val="21"/>
        </w:rPr>
        <w:t>——本文件6.1.1.2中关于试验车速的要求，将老版标准中的“初速度不应低于相应试验规定车速的 98%”修改为“初始车速与规定车速之间的偏差不应超过2%”，明确试验车速允许的上下偏差范围。</w:t>
      </w:r>
    </w:p>
    <w:p>
      <w:pPr>
        <w:pStyle w:val="4"/>
        <w:ind w:firstLine="428"/>
        <w:outlineLvl w:val="2"/>
      </w:pPr>
      <w:r>
        <w:rPr>
          <w:rFonts w:hint="eastAsia"/>
          <w:bCs/>
          <w:spacing w:val="2"/>
          <w:szCs w:val="21"/>
        </w:rPr>
        <w:t>——本文件6.1.2.9规定了装备A型电力再生式制动系统车辆在低附路面的车辆状态试验要求，试验</w:t>
      </w:r>
      <w:r>
        <w:rPr>
          <w:rFonts w:hint="eastAsia"/>
        </w:rPr>
        <w:t>车速由老版标准中的“按 5.1.4.3.1的规定，即最高车速的80%，但不超过160 km/h”更改为“最高车速的80%，但不超过120 km/h”，对试验车速进行了降低，与UN R13-H现行法规要求保持一致。</w:t>
      </w:r>
    </w:p>
    <w:p>
      <w:pPr>
        <w:pStyle w:val="4"/>
        <w:ind w:firstLine="420"/>
        <w:outlineLvl w:val="2"/>
      </w:pPr>
      <w:r>
        <w:rPr>
          <w:rFonts w:hint="eastAsia"/>
        </w:rPr>
        <w:t>——本文件6.1.4.1.2 d）中关于B型电力再生式制动系统荷电状态的试验条件要求，增加可选列项“不管荷电状态如何，在不使用再生制动部件的情况下进行测试”，与UN R13-H现行法规保持一致。</w:t>
      </w:r>
    </w:p>
    <w:p>
      <w:pPr>
        <w:pStyle w:val="4"/>
        <w:ind w:firstLine="420"/>
        <w:outlineLvl w:val="2"/>
      </w:pPr>
      <w:r>
        <w:rPr>
          <w:rFonts w:hint="eastAsia"/>
        </w:rPr>
        <w:t>——本文件6.1.4.2删除了老版标准中的“试验应以规定速度进行，但允许试验车速与规定车速之间有一定的误差”，对于试验车速的要求已在6.1.1.2进行了明确。</w:t>
      </w:r>
    </w:p>
    <w:p>
      <w:pPr>
        <w:pStyle w:val="4"/>
        <w:ind w:firstLine="420"/>
        <w:outlineLvl w:val="2"/>
      </w:pPr>
      <w:r>
        <w:rPr>
          <w:rFonts w:hint="eastAsia"/>
        </w:rPr>
        <w:t>——老版标准中5.1.4.3关于动力脱开/结合的0型试验车速要求，整合至本文件的表3。</w:t>
      </w:r>
    </w:p>
    <w:p>
      <w:pPr>
        <w:pStyle w:val="4"/>
        <w:ind w:firstLine="420"/>
        <w:outlineLvl w:val="2"/>
      </w:pPr>
      <w:r>
        <w:rPr>
          <w:rFonts w:hint="eastAsia"/>
        </w:rPr>
        <w:t>——本文件6.1.5.1.4与老版标准相比，增加“对于装备自动变速器的试验车辆，应一直处于D挡”，明确了装备自动变速器车辆的试验条件。</w:t>
      </w:r>
    </w:p>
    <w:p>
      <w:pPr>
        <w:pStyle w:val="4"/>
        <w:ind w:firstLine="420"/>
        <w:outlineLvl w:val="2"/>
      </w:pPr>
      <w:r>
        <w:rPr>
          <w:rFonts w:hint="eastAsia"/>
        </w:rPr>
        <w:t>——本文件6.1.5.2规定了热态性能要求，老版标准中的“I-型试验结束时”更改为“6.1.5.1规定的试验结束后1分钟内”，明确试验条件；对装备B型电力再生式制动系统的车辆试验要求，增加“上述试验如果在没有电力再生式制动系统部件参与制动的情况下进行，对电池荷电状态的要求不适用”，与UN R13-H现行法规保持一致。</w:t>
      </w:r>
    </w:p>
    <w:p>
      <w:pPr>
        <w:pStyle w:val="4"/>
        <w:ind w:firstLine="420"/>
        <w:outlineLvl w:val="2"/>
      </w:pPr>
      <w:r>
        <w:t>——本文件6.1.5.</w:t>
      </w:r>
      <w:r>
        <w:rPr>
          <w:rFonts w:hint="eastAsia"/>
        </w:rPr>
        <w:t>3</w:t>
      </w:r>
      <w:r>
        <w:t>规定了</w:t>
      </w:r>
      <w:r>
        <w:rPr>
          <w:rFonts w:hint="eastAsia"/>
        </w:rPr>
        <w:t>恢复过程</w:t>
      </w:r>
      <w:r>
        <w:t>要求，</w:t>
      </w:r>
      <w:r>
        <w:rPr>
          <w:rFonts w:hint="eastAsia"/>
        </w:rPr>
        <w:t>参考UN R13-H（Rev.4-Amendment 2），更改了对于对于装备B型电力再生式制动系统的车辆的试验要求“可对动力蓄电池充电或换装荷电状态符合6.1.4.1.2规定的同型号动力蓄电池。在这种情况下，为完成恢复过程，应进一步调整制动衬片温度”。</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 xml:space="preserve">3.6.2 </w:t>
      </w:r>
      <w:bookmarkStart w:id="49" w:name="_Toc118580260"/>
      <w:bookmarkStart w:id="50" w:name="_Toc109891118"/>
      <w:bookmarkStart w:id="51" w:name="_Toc118580408"/>
      <w:r>
        <w:rPr>
          <w:rFonts w:ascii="黑体" w:hAnsi="黑体" w:eastAsia="黑体" w:cs="黑体"/>
          <w:bCs/>
          <w:spacing w:val="2"/>
          <w:szCs w:val="21"/>
        </w:rPr>
        <w:t>制动系统的性能</w:t>
      </w:r>
      <w:bookmarkEnd w:id="49"/>
      <w:bookmarkEnd w:id="50"/>
      <w:bookmarkEnd w:id="51"/>
    </w:p>
    <w:p>
      <w:pPr>
        <w:pStyle w:val="4"/>
        <w:ind w:firstLine="420"/>
        <w:outlineLvl w:val="2"/>
      </w:pPr>
      <w:r>
        <w:rPr>
          <w:rFonts w:hint="eastAsia"/>
        </w:rPr>
        <w:t>本文件6.2规定了制动性能道路试验所需要满足的性能指标要求，包括：</w:t>
      </w:r>
      <w:bookmarkStart w:id="52" w:name="_Toc118580261"/>
      <w:r>
        <w:rPr>
          <w:rFonts w:hint="eastAsia"/>
        </w:rPr>
        <w:t>行车制动系统</w:t>
      </w:r>
      <w:bookmarkEnd w:id="52"/>
      <w:r>
        <w:rPr>
          <w:rFonts w:hint="eastAsia"/>
        </w:rPr>
        <w:t>性能要求、</w:t>
      </w:r>
      <w:bookmarkStart w:id="53" w:name="_Toc118580262"/>
      <w:r>
        <w:rPr>
          <w:rFonts w:hint="eastAsia"/>
        </w:rPr>
        <w:t>应急制动系统</w:t>
      </w:r>
      <w:bookmarkEnd w:id="53"/>
      <w:r>
        <w:rPr>
          <w:rFonts w:hint="eastAsia"/>
        </w:rPr>
        <w:t>性能要求、</w:t>
      </w:r>
      <w:bookmarkStart w:id="54" w:name="_Toc118580263"/>
      <w:r>
        <w:rPr>
          <w:rFonts w:hint="eastAsia"/>
        </w:rPr>
        <w:t>驻车制动系统</w:t>
      </w:r>
      <w:bookmarkEnd w:id="54"/>
      <w:r>
        <w:rPr>
          <w:rFonts w:hint="eastAsia"/>
        </w:rPr>
        <w:t>性能要求</w:t>
      </w:r>
      <w:bookmarkStart w:id="55" w:name="_Toc118580409"/>
      <w:bookmarkStart w:id="56" w:name="_Toc118580264"/>
      <w:bookmarkStart w:id="57" w:name="_Toc109891119"/>
      <w:r>
        <w:rPr>
          <w:rFonts w:hint="eastAsia"/>
        </w:rPr>
        <w:t>。与GB 21670—2008相比，主要技术内容变化包括：</w:t>
      </w:r>
    </w:p>
    <w:p>
      <w:pPr>
        <w:pStyle w:val="4"/>
        <w:ind w:firstLine="420"/>
        <w:outlineLvl w:val="2"/>
      </w:pPr>
      <w:r>
        <w:rPr>
          <w:rFonts w:hint="eastAsia"/>
        </w:rPr>
        <w:t>——试验车速相关要求整合进表 5。</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3.6.3 响应时间</w:t>
      </w:r>
      <w:bookmarkEnd w:id="55"/>
      <w:bookmarkEnd w:id="56"/>
      <w:bookmarkEnd w:id="57"/>
    </w:p>
    <w:p>
      <w:pPr>
        <w:pStyle w:val="4"/>
        <w:ind w:firstLine="420"/>
        <w:outlineLvl w:val="2"/>
      </w:pPr>
      <w:r>
        <w:t>本文件6.</w:t>
      </w:r>
      <w:r>
        <w:rPr>
          <w:rFonts w:hint="eastAsia"/>
        </w:rPr>
        <w:t>3</w:t>
      </w:r>
      <w:r>
        <w:t>规定了对行车制动系统完全或部分依靠驾驶人体力以外的其他能源的车辆</w:t>
      </w:r>
      <w:r>
        <w:rPr>
          <w:rFonts w:hint="eastAsia"/>
        </w:rPr>
        <w:t>紧急制动的响应时间</w:t>
      </w:r>
      <w:r>
        <w:t>要求</w:t>
      </w:r>
      <w:r>
        <w:rPr>
          <w:rFonts w:hint="eastAsia"/>
        </w:rPr>
        <w:t>。本条款技术要求和老版标准一致，仅对部分条款的描述进行了完善。</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 xml:space="preserve">3.6.4 </w:t>
      </w:r>
      <w:bookmarkStart w:id="58" w:name="_Toc118580410"/>
      <w:bookmarkStart w:id="59" w:name="_Toc118580265"/>
      <w:bookmarkStart w:id="60" w:name="_Toc109891120"/>
      <w:r>
        <w:rPr>
          <w:rFonts w:ascii="黑体" w:hAnsi="黑体" w:eastAsia="黑体" w:cs="黑体"/>
          <w:bCs/>
          <w:spacing w:val="2"/>
          <w:szCs w:val="21"/>
        </w:rPr>
        <w:t>储能式液压制动系统—关于能源和储能装置（储能器）的规定</w:t>
      </w:r>
      <w:bookmarkEnd w:id="58"/>
      <w:bookmarkEnd w:id="59"/>
      <w:bookmarkEnd w:id="60"/>
    </w:p>
    <w:p>
      <w:pPr>
        <w:pStyle w:val="4"/>
        <w:ind w:firstLine="420"/>
        <w:outlineLvl w:val="2"/>
      </w:pPr>
      <w:r>
        <w:rPr>
          <w:rFonts w:hint="eastAsia"/>
        </w:rPr>
        <w:t>本文件6.4规定了装备储能式液压制动系统的车辆要求，包括：</w:t>
      </w:r>
      <w:bookmarkStart w:id="61" w:name="_Toc118580266"/>
      <w:r>
        <w:rPr>
          <w:rFonts w:hint="eastAsia"/>
        </w:rPr>
        <w:t>储能装置（储能器）的容量</w:t>
      </w:r>
      <w:bookmarkEnd w:id="61"/>
      <w:r>
        <w:rPr>
          <w:rFonts w:hint="eastAsia"/>
        </w:rPr>
        <w:t>要求（总体要求、装备储能式液压制动系统的车辆要求、附加要求）、</w:t>
      </w:r>
      <w:bookmarkStart w:id="62" w:name="_Toc118580267"/>
      <w:r>
        <w:rPr>
          <w:rFonts w:hint="eastAsia"/>
        </w:rPr>
        <w:t>液压能源的容量</w:t>
      </w:r>
      <w:bookmarkEnd w:id="62"/>
      <w:r>
        <w:rPr>
          <w:rFonts w:hint="eastAsia"/>
        </w:rPr>
        <w:t>要求（测量条件、结果说明）、</w:t>
      </w:r>
      <w:bookmarkStart w:id="63" w:name="_Toc118580268"/>
      <w:r>
        <w:rPr>
          <w:rFonts w:hint="eastAsia"/>
        </w:rPr>
        <w:t>报警装置的特性</w:t>
      </w:r>
      <w:bookmarkEnd w:id="63"/>
      <w:r>
        <w:rPr>
          <w:rFonts w:hint="eastAsia"/>
        </w:rPr>
        <w:t>要求。本条款技术要求和老版标准一致，仅对部分条款的描述进行了完善。</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w:t>
      </w:r>
      <w:r>
        <w:rPr>
          <w:rFonts w:hint="eastAsia" w:ascii="黑体" w:hAnsi="黑体" w:eastAsia="黑体" w:cs="黑体"/>
          <w:bCs/>
          <w:spacing w:val="2"/>
          <w:szCs w:val="21"/>
        </w:rPr>
        <w:t>.6.5</w:t>
      </w:r>
      <w:bookmarkStart w:id="64" w:name="_Toc109891122"/>
      <w:bookmarkStart w:id="65" w:name="_Toc118580275"/>
      <w:bookmarkStart w:id="66" w:name="_Toc118580412"/>
      <w:r>
        <w:rPr>
          <w:rFonts w:hint="eastAsia" w:ascii="黑体" w:hAnsi="黑体" w:eastAsia="黑体" w:cs="黑体"/>
          <w:bCs/>
          <w:spacing w:val="2"/>
          <w:szCs w:val="21"/>
        </w:rPr>
        <w:t>车辆防抱制动系统试验要求</w:t>
      </w:r>
      <w:bookmarkEnd w:id="64"/>
      <w:bookmarkEnd w:id="65"/>
      <w:bookmarkEnd w:id="66"/>
    </w:p>
    <w:p>
      <w:pPr>
        <w:pStyle w:val="4"/>
        <w:ind w:firstLine="420"/>
        <w:outlineLvl w:val="2"/>
      </w:pPr>
      <w:r>
        <w:t>本文件6.</w:t>
      </w:r>
      <w:r>
        <w:rPr>
          <w:rFonts w:hint="eastAsia"/>
        </w:rPr>
        <w:t>5</w:t>
      </w:r>
      <w:r>
        <w:t>规定了车辆防抱制动系统试验要求，包括：</w:t>
      </w:r>
      <w:bookmarkStart w:id="67" w:name="_Toc118580278"/>
      <w:r>
        <w:t>一般要求</w:t>
      </w:r>
      <w:bookmarkEnd w:id="67"/>
      <w:r>
        <w:rPr>
          <w:rFonts w:hint="eastAsia"/>
        </w:rPr>
        <w:t>、</w:t>
      </w:r>
      <w:bookmarkStart w:id="68" w:name="_Toc118580279"/>
      <w:r>
        <w:rPr>
          <w:rFonts w:hint="eastAsia"/>
        </w:rPr>
        <w:t>特殊规定</w:t>
      </w:r>
      <w:bookmarkEnd w:id="68"/>
      <w:r>
        <w:rPr>
          <w:rFonts w:hint="eastAsia"/>
        </w:rPr>
        <w:t>、</w:t>
      </w:r>
      <w:bookmarkStart w:id="69" w:name="_Toc118580280"/>
      <w:r>
        <w:rPr>
          <w:rFonts w:hint="eastAsia"/>
        </w:rPr>
        <w:t>附着系数利用率测量方法</w:t>
      </w:r>
      <w:bookmarkEnd w:id="69"/>
      <w:r>
        <w:rPr>
          <w:rFonts w:hint="eastAsia"/>
        </w:rPr>
        <w:t>、</w:t>
      </w:r>
      <w:bookmarkStart w:id="70" w:name="_Toc118580281"/>
      <w:r>
        <w:rPr>
          <w:rFonts w:hint="eastAsia"/>
        </w:rPr>
        <w:t>在不同附着系数路面上的制动性能</w:t>
      </w:r>
      <w:bookmarkEnd w:id="70"/>
      <w:r>
        <w:rPr>
          <w:rFonts w:hint="eastAsia"/>
        </w:rPr>
        <w:t>、</w:t>
      </w:r>
      <w:bookmarkStart w:id="71" w:name="_Toc118580282"/>
      <w:r>
        <w:rPr>
          <w:rFonts w:hint="eastAsia"/>
        </w:rPr>
        <w:t>低附着系数路面的选择方法</w:t>
      </w:r>
      <w:bookmarkEnd w:id="71"/>
      <w:r>
        <w:rPr>
          <w:rFonts w:hint="eastAsia"/>
        </w:rPr>
        <w:t>等相关要求。</w:t>
      </w:r>
    </w:p>
    <w:p>
      <w:pPr>
        <w:pStyle w:val="4"/>
        <w:ind w:firstLine="420"/>
        <w:outlineLvl w:val="2"/>
      </w:pPr>
      <w:r>
        <w:rPr>
          <w:rFonts w:hint="eastAsia"/>
        </w:rPr>
        <w:t>与GB 21670—2008相比，主要技术内容变化包括：</w:t>
      </w:r>
    </w:p>
    <w:p>
      <w:pPr>
        <w:pStyle w:val="4"/>
        <w:ind w:firstLine="420"/>
        <w:outlineLvl w:val="2"/>
      </w:pPr>
      <w:r>
        <w:rPr>
          <w:rFonts w:hint="eastAsia"/>
        </w:rPr>
        <w:t>——删除了老版标准5.5车轴间的制动力分配的相关要求。修订说明：本条款针对未安装防抱制动系统的车辆，由于新版标准已强制要求安装ABS系统，因此删除本条款。</w:t>
      </w:r>
    </w:p>
    <w:p>
      <w:pPr>
        <w:pStyle w:val="4"/>
        <w:ind w:firstLine="420"/>
        <w:outlineLvl w:val="2"/>
      </w:pPr>
      <w:r>
        <w:rPr>
          <w:rFonts w:hint="eastAsia"/>
        </w:rPr>
        <w:t>——删除了老版标准5.6.1防抱制动系统的类型，仅保留关于1类防抱制动系统的相关要求，删除关于2类、3类防抱制动系统的相关要求；修订说明：新版标准强制要求安装1类ABS系统。</w:t>
      </w:r>
    </w:p>
    <w:p>
      <w:pPr>
        <w:pStyle w:val="4"/>
        <w:ind w:firstLine="420"/>
        <w:outlineLvl w:val="2"/>
      </w:pPr>
      <w:r>
        <w:rPr>
          <w:rFonts w:hint="eastAsia"/>
        </w:rPr>
        <w:t>——本文件6.5.1.5规定了防抱制动系统的电磁兼容要求，老版标准中的“按 GB/T 17619 的规定进行验证；同时，对制动装备进行骚扰试验时应符合 GB 18655 的规定”更改为“应按照GB 34660中车辆对电磁辐射的抗扰试验场强对防抱制动系统进行验证”，删除老版标准的条文脚注7）。对于ABS的电磁兼容抗扰试验，由零部件测试变更为整车测试，并制定了配套的测试规程，明确了实施方式和具体要求。</w:t>
      </w:r>
    </w:p>
    <w:p>
      <w:pPr>
        <w:pStyle w:val="4"/>
        <w:ind w:firstLine="420"/>
        <w:outlineLvl w:val="2"/>
      </w:pPr>
      <w:r>
        <w:rPr>
          <w:rFonts w:hint="eastAsia"/>
        </w:rPr>
        <w:t>——删除老版标准的条文脚注9）“在这样的路面普遍适用之前，可采用磨损到限值的轮胎，附着系数最高可为 0.4，由负责型式试验的检测机构斟酌决定，并记录实际值、轮胎型号及路面情况”，目前国内检测机构基本均具备附着系数小于等于 0.3低附路面测试场地，因此删除此条。</w:t>
      </w:r>
    </w:p>
    <w:p>
      <w:pPr>
        <w:pStyle w:val="4"/>
        <w:ind w:firstLine="420"/>
        <w:outlineLvl w:val="2"/>
      </w:pPr>
      <w:r>
        <w:rPr>
          <w:rFonts w:hint="eastAsia"/>
        </w:rPr>
        <w:t>——本文件6.5.5.2、6.5.5.3增加了确认k</w:t>
      </w:r>
      <w:r>
        <w:rPr>
          <w:rFonts w:hint="eastAsia"/>
          <w:vertAlign w:val="subscript"/>
        </w:rPr>
        <w:t>peak</w:t>
      </w:r>
      <w:r>
        <w:rPr>
          <w:rFonts w:hint="eastAsia"/>
        </w:rPr>
        <w:t>和k</w:t>
      </w:r>
      <w:r>
        <w:rPr>
          <w:rFonts w:hint="eastAsia"/>
          <w:vertAlign w:val="subscript"/>
        </w:rPr>
        <w:t>lock</w:t>
      </w:r>
      <w:r>
        <w:rPr>
          <w:rFonts w:hint="eastAsia"/>
        </w:rPr>
        <w:t>的方法描述，明确试验及计算方法。</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w:t>
      </w:r>
      <w:r>
        <w:rPr>
          <w:rFonts w:hint="eastAsia" w:ascii="黑体" w:hAnsi="黑体" w:eastAsia="黑体" w:cs="黑体"/>
          <w:bCs/>
          <w:spacing w:val="2"/>
          <w:szCs w:val="21"/>
        </w:rPr>
        <w:t xml:space="preserve">.7 </w:t>
      </w:r>
      <w:bookmarkStart w:id="72" w:name="_Toc109891123"/>
      <w:r>
        <w:rPr>
          <w:rFonts w:hint="eastAsia" w:ascii="黑体" w:hAnsi="黑体" w:eastAsia="黑体" w:cs="黑体"/>
          <w:bCs/>
          <w:spacing w:val="2"/>
          <w:szCs w:val="21"/>
        </w:rPr>
        <w:t>车型型式的变更和扩展</w:t>
      </w:r>
      <w:bookmarkEnd w:id="72"/>
    </w:p>
    <w:p>
      <w:pPr>
        <w:pStyle w:val="4"/>
        <w:ind w:firstLine="420"/>
        <w:outlineLvl w:val="2"/>
      </w:pPr>
      <w:r>
        <w:rPr>
          <w:rFonts w:hint="eastAsia"/>
        </w:rPr>
        <w:t>本文件第7章规定了开展常规制动性能相关试验、临时备用轮胎制动性能相关试验、防抱制动性能相关试验、功能安全相关文档审核和试验、制动系统电磁兼容（EMC）抗扰度试验的同一型式判定技术条件。</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w:t>
      </w:r>
      <w:r>
        <w:rPr>
          <w:rFonts w:hint="eastAsia" w:ascii="黑体" w:hAnsi="黑体" w:eastAsia="黑体" w:cs="黑体"/>
          <w:bCs/>
          <w:spacing w:val="2"/>
          <w:szCs w:val="21"/>
        </w:rPr>
        <w:t>.8 试验方法</w:t>
      </w:r>
    </w:p>
    <w:p>
      <w:pPr>
        <w:pStyle w:val="4"/>
        <w:ind w:firstLine="420"/>
        <w:outlineLvl w:val="2"/>
      </w:pPr>
      <w:r>
        <w:rPr>
          <w:rFonts w:hint="eastAsia"/>
        </w:rPr>
        <w:t>由于UN R13-H对各类制动试验的试验方法仅作原则性的规定，可操作性不足。GB 21670-2008参考VCA型式认证手册的乘用车制动部分，在研究分析的基础上，充分参照和借鉴TUV有关乘用车制动的试验规程、ISO 6597有关液压制动车辆的试验方法以及日本乘用车制动装置认证试验实施手册等，起草了适合中国国情的完整的乘用车制动试验方法。新版标准在此基础上对试验方法进行了进一步的完善，标准正文中主要规定开展的试验项目和检查要求，由于车辆制动系统结构形式多样，更为具体的试验操作手段通过制动性能测试规程进行详细规定。</w:t>
      </w:r>
    </w:p>
    <w:p>
      <w:pPr>
        <w:pStyle w:val="4"/>
        <w:ind w:firstLine="420"/>
        <w:outlineLvl w:val="2"/>
      </w:pPr>
      <w:r>
        <w:rPr>
          <w:rFonts w:hint="eastAsia"/>
        </w:rPr>
        <w:t>本文件第8章规定了常规制动性能相关试验、临时备用轮胎制动性能相关试验、防抱制动性能相关试验的试验方法，包括：</w:t>
      </w:r>
      <w:bookmarkStart w:id="73" w:name="_Toc109891127"/>
      <w:bookmarkStart w:id="74" w:name="_Toc118580417"/>
      <w:bookmarkStart w:id="75" w:name="_Toc118580301"/>
      <w:r>
        <w:rPr>
          <w:rFonts w:hint="eastAsia"/>
        </w:rPr>
        <w:t>总体要求</w:t>
      </w:r>
      <w:bookmarkEnd w:id="73"/>
      <w:bookmarkEnd w:id="74"/>
      <w:bookmarkEnd w:id="75"/>
      <w:r>
        <w:rPr>
          <w:rFonts w:hint="eastAsia"/>
        </w:rPr>
        <w:t>、</w:t>
      </w:r>
      <w:bookmarkStart w:id="76" w:name="_Toc72156279"/>
      <w:bookmarkStart w:id="77" w:name="_Toc118580302"/>
      <w:bookmarkStart w:id="78" w:name="_Toc109891128"/>
      <w:bookmarkStart w:id="79" w:name="_Toc118580418"/>
      <w:r>
        <w:rPr>
          <w:rFonts w:hint="eastAsia"/>
        </w:rPr>
        <w:t>试验场地和试验设备</w:t>
      </w:r>
      <w:bookmarkEnd w:id="76"/>
      <w:bookmarkEnd w:id="77"/>
      <w:bookmarkEnd w:id="78"/>
      <w:bookmarkEnd w:id="79"/>
      <w:r>
        <w:rPr>
          <w:rFonts w:hint="eastAsia"/>
        </w:rPr>
        <w:t>、</w:t>
      </w:r>
      <w:bookmarkStart w:id="80" w:name="_Toc109891129"/>
      <w:bookmarkStart w:id="81" w:name="_Toc118580419"/>
      <w:bookmarkStart w:id="82" w:name="_Toc118580303"/>
      <w:bookmarkStart w:id="83" w:name="_Toc72156206"/>
      <w:r>
        <w:rPr>
          <w:rFonts w:hint="eastAsia"/>
        </w:rPr>
        <w:t>试验车辆</w:t>
      </w:r>
      <w:bookmarkEnd w:id="80"/>
      <w:bookmarkEnd w:id="81"/>
      <w:bookmarkEnd w:id="82"/>
      <w:bookmarkEnd w:id="83"/>
      <w:r>
        <w:rPr>
          <w:rFonts w:hint="eastAsia"/>
        </w:rPr>
        <w:t>、以及各试验项目（见下表）的试验方法。</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7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2" w:type="dxa"/>
            <w:tcBorders>
              <w:bottom w:val="single" w:color="auto" w:sz="8" w:space="0"/>
            </w:tcBorders>
          </w:tcPr>
          <w:p>
            <w:pPr>
              <w:pStyle w:val="4"/>
              <w:ind w:firstLine="0" w:firstLineChars="0"/>
              <w:jc w:val="center"/>
              <w:outlineLvl w:val="2"/>
              <w:rPr>
                <w:sz w:val="18"/>
                <w:szCs w:val="18"/>
              </w:rPr>
            </w:pPr>
            <w:r>
              <w:rPr>
                <w:rFonts w:hint="eastAsia"/>
                <w:sz w:val="18"/>
                <w:szCs w:val="18"/>
              </w:rPr>
              <w:t>试验分类</w:t>
            </w:r>
          </w:p>
        </w:tc>
        <w:tc>
          <w:tcPr>
            <w:tcW w:w="7040" w:type="dxa"/>
            <w:tcBorders>
              <w:bottom w:val="single" w:color="auto" w:sz="8" w:space="0"/>
            </w:tcBorders>
          </w:tcPr>
          <w:p>
            <w:pPr>
              <w:pStyle w:val="4"/>
              <w:ind w:firstLine="0" w:firstLineChars="0"/>
              <w:jc w:val="center"/>
              <w:outlineLvl w:val="2"/>
              <w:rPr>
                <w:sz w:val="18"/>
                <w:szCs w:val="18"/>
              </w:rPr>
            </w:pPr>
            <w:r>
              <w:rPr>
                <w:rFonts w:hint="eastAsia"/>
                <w:sz w:val="18"/>
                <w:szCs w:val="18"/>
              </w:rPr>
              <w:t>试验项目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2" w:type="dxa"/>
            <w:tcBorders>
              <w:top w:val="single" w:color="auto" w:sz="8" w:space="0"/>
            </w:tcBorders>
          </w:tcPr>
          <w:p>
            <w:pPr>
              <w:pStyle w:val="4"/>
              <w:ind w:firstLine="0" w:firstLineChars="0"/>
              <w:outlineLvl w:val="2"/>
              <w:rPr>
                <w:sz w:val="18"/>
                <w:szCs w:val="18"/>
              </w:rPr>
            </w:pPr>
            <w:r>
              <w:rPr>
                <w:rFonts w:hint="eastAsia"/>
                <w:sz w:val="18"/>
                <w:szCs w:val="18"/>
              </w:rPr>
              <w:t>静态检查</w:t>
            </w:r>
          </w:p>
        </w:tc>
        <w:tc>
          <w:tcPr>
            <w:tcW w:w="7040" w:type="dxa"/>
            <w:tcBorders>
              <w:top w:val="single" w:color="auto" w:sz="8" w:space="0"/>
            </w:tcBorders>
          </w:tcPr>
          <w:p>
            <w:pPr>
              <w:pStyle w:val="4"/>
              <w:numPr>
                <w:ilvl w:val="0"/>
                <w:numId w:val="15"/>
              </w:numPr>
              <w:spacing w:line="240" w:lineRule="auto"/>
              <w:ind w:firstLine="0" w:firstLineChars="0"/>
              <w:outlineLvl w:val="2"/>
              <w:rPr>
                <w:sz w:val="18"/>
                <w:szCs w:val="18"/>
              </w:rPr>
            </w:pPr>
            <w:bookmarkStart w:id="84" w:name="_Toc118580305"/>
            <w:r>
              <w:rPr>
                <w:sz w:val="18"/>
                <w:szCs w:val="18"/>
              </w:rPr>
              <w:t>资料及文件检查</w:t>
            </w:r>
            <w:bookmarkEnd w:id="84"/>
            <w:bookmarkStart w:id="85" w:name="_Toc118580306"/>
            <w:r>
              <w:rPr>
                <w:rFonts w:hint="eastAsia"/>
                <w:sz w:val="18"/>
                <w:szCs w:val="18"/>
              </w:rPr>
              <w:t>；</w:t>
            </w:r>
          </w:p>
          <w:p>
            <w:pPr>
              <w:pStyle w:val="4"/>
              <w:numPr>
                <w:ilvl w:val="0"/>
                <w:numId w:val="15"/>
              </w:numPr>
              <w:spacing w:line="240" w:lineRule="auto"/>
              <w:ind w:firstLine="0" w:firstLineChars="0"/>
              <w:outlineLvl w:val="2"/>
              <w:rPr>
                <w:sz w:val="18"/>
                <w:szCs w:val="18"/>
              </w:rPr>
            </w:pPr>
            <w:r>
              <w:rPr>
                <w:rFonts w:hint="eastAsia"/>
                <w:sz w:val="18"/>
                <w:szCs w:val="18"/>
              </w:rPr>
              <w:t>部件检查</w:t>
            </w:r>
            <w:bookmarkEnd w:id="85"/>
            <w:bookmarkStart w:id="86" w:name="_Toc118580307"/>
            <w:r>
              <w:rPr>
                <w:rFonts w:hint="eastAsia"/>
                <w:sz w:val="18"/>
                <w:szCs w:val="18"/>
              </w:rPr>
              <w:t>；</w:t>
            </w:r>
          </w:p>
          <w:p>
            <w:pPr>
              <w:pStyle w:val="4"/>
              <w:numPr>
                <w:ilvl w:val="0"/>
                <w:numId w:val="15"/>
              </w:numPr>
              <w:spacing w:line="240" w:lineRule="auto"/>
              <w:ind w:firstLine="0" w:firstLineChars="0"/>
              <w:outlineLvl w:val="2"/>
              <w:rPr>
                <w:sz w:val="18"/>
                <w:szCs w:val="18"/>
              </w:rPr>
            </w:pPr>
            <w:r>
              <w:rPr>
                <w:rFonts w:hint="eastAsia"/>
                <w:sz w:val="18"/>
                <w:szCs w:val="18"/>
              </w:rPr>
              <w:t>制动器磨损及调节检查</w:t>
            </w:r>
            <w:bookmarkEnd w:id="86"/>
            <w:bookmarkStart w:id="87" w:name="_Toc118580308"/>
            <w:r>
              <w:rPr>
                <w:rFonts w:hint="eastAsia"/>
                <w:sz w:val="18"/>
                <w:szCs w:val="18"/>
              </w:rPr>
              <w:t>；</w:t>
            </w:r>
          </w:p>
          <w:p>
            <w:pPr>
              <w:pStyle w:val="4"/>
              <w:numPr>
                <w:ilvl w:val="0"/>
                <w:numId w:val="15"/>
              </w:numPr>
              <w:spacing w:line="240" w:lineRule="auto"/>
              <w:ind w:firstLine="0" w:firstLineChars="0"/>
              <w:outlineLvl w:val="2"/>
              <w:rPr>
                <w:sz w:val="18"/>
                <w:szCs w:val="18"/>
              </w:rPr>
            </w:pPr>
            <w:r>
              <w:rPr>
                <w:rFonts w:hint="eastAsia"/>
                <w:sz w:val="18"/>
                <w:szCs w:val="18"/>
              </w:rPr>
              <w:t>制动系统结构检查</w:t>
            </w:r>
            <w:bookmarkEnd w:id="87"/>
            <w:r>
              <w:rPr>
                <w:rFonts w:hint="eastAsia"/>
                <w:sz w:val="18"/>
                <w:szCs w:val="18"/>
              </w:rPr>
              <w:t>：行车制动系统检查、驻车制动系统检查、应急制动系统检查；</w:t>
            </w:r>
            <w:bookmarkStart w:id="88" w:name="_Toc118580309"/>
          </w:p>
          <w:p>
            <w:pPr>
              <w:pStyle w:val="4"/>
              <w:numPr>
                <w:ilvl w:val="0"/>
                <w:numId w:val="15"/>
              </w:numPr>
              <w:spacing w:line="240" w:lineRule="auto"/>
              <w:ind w:firstLine="0" w:firstLineChars="0"/>
              <w:outlineLvl w:val="2"/>
              <w:rPr>
                <w:sz w:val="18"/>
                <w:szCs w:val="18"/>
              </w:rPr>
            </w:pPr>
            <w:r>
              <w:rPr>
                <w:rFonts w:hint="eastAsia"/>
                <w:sz w:val="18"/>
                <w:szCs w:val="18"/>
              </w:rPr>
              <w:t>台架试验（如适用）</w:t>
            </w:r>
            <w:bookmarkEnd w:id="88"/>
            <w:r>
              <w:rPr>
                <w:rFonts w:hint="eastAsia"/>
                <w:sz w:val="18"/>
                <w:szCs w:val="18"/>
              </w:rPr>
              <w:t>；</w:t>
            </w:r>
            <w:bookmarkStart w:id="89" w:name="_Toc118580310"/>
          </w:p>
          <w:p>
            <w:pPr>
              <w:pStyle w:val="4"/>
              <w:numPr>
                <w:ilvl w:val="0"/>
                <w:numId w:val="15"/>
              </w:numPr>
              <w:spacing w:line="240" w:lineRule="auto"/>
              <w:ind w:firstLine="0" w:firstLineChars="0"/>
              <w:outlineLvl w:val="2"/>
              <w:rPr>
                <w:sz w:val="18"/>
                <w:szCs w:val="18"/>
              </w:rPr>
            </w:pPr>
            <w:r>
              <w:rPr>
                <w:rFonts w:hint="eastAsia"/>
                <w:sz w:val="18"/>
                <w:szCs w:val="18"/>
              </w:rPr>
              <w:t>补偿装置检查</w:t>
            </w:r>
            <w:bookmarkEnd w:id="89"/>
            <w:r>
              <w:rPr>
                <w:rFonts w:hint="eastAsia"/>
                <w:sz w:val="18"/>
                <w:szCs w:val="18"/>
              </w:rPr>
              <w:t>；</w:t>
            </w:r>
            <w:bookmarkStart w:id="90" w:name="_Toc118580311"/>
          </w:p>
          <w:p>
            <w:pPr>
              <w:pStyle w:val="4"/>
              <w:numPr>
                <w:ilvl w:val="0"/>
                <w:numId w:val="15"/>
              </w:numPr>
              <w:spacing w:line="240" w:lineRule="auto"/>
              <w:ind w:firstLine="0" w:firstLineChars="0"/>
              <w:outlineLvl w:val="2"/>
              <w:rPr>
                <w:sz w:val="18"/>
                <w:szCs w:val="18"/>
              </w:rPr>
            </w:pPr>
            <w:r>
              <w:rPr>
                <w:rFonts w:hint="eastAsia"/>
                <w:sz w:val="18"/>
                <w:szCs w:val="18"/>
              </w:rPr>
              <w:t>控制力与管路压力比例关系检查（如适用）</w:t>
            </w:r>
            <w:bookmarkEnd w:id="90"/>
            <w:r>
              <w:rPr>
                <w:rFonts w:hint="eastAsia"/>
                <w:sz w:val="18"/>
                <w:szCs w:val="18"/>
              </w:rPr>
              <w:t>；</w:t>
            </w:r>
            <w:bookmarkStart w:id="91" w:name="_Toc118580312"/>
          </w:p>
          <w:p>
            <w:pPr>
              <w:pStyle w:val="4"/>
              <w:numPr>
                <w:ilvl w:val="0"/>
                <w:numId w:val="15"/>
              </w:numPr>
              <w:spacing w:line="240" w:lineRule="auto"/>
              <w:ind w:firstLine="0" w:firstLineChars="0"/>
              <w:outlineLvl w:val="2"/>
              <w:rPr>
                <w:sz w:val="18"/>
                <w:szCs w:val="18"/>
              </w:rPr>
            </w:pPr>
            <w:r>
              <w:rPr>
                <w:rFonts w:hint="eastAsia"/>
                <w:sz w:val="18"/>
                <w:szCs w:val="18"/>
              </w:rPr>
              <w:t>电力再生式制动系统检查</w:t>
            </w:r>
            <w:bookmarkEnd w:id="91"/>
            <w:r>
              <w:rPr>
                <w:rFonts w:hint="eastAsia"/>
                <w:sz w:val="18"/>
                <w:szCs w:val="18"/>
              </w:rPr>
              <w:t>；</w:t>
            </w:r>
            <w:bookmarkStart w:id="92" w:name="_Toc118580313"/>
          </w:p>
          <w:p>
            <w:pPr>
              <w:pStyle w:val="4"/>
              <w:numPr>
                <w:ilvl w:val="0"/>
                <w:numId w:val="15"/>
              </w:numPr>
              <w:spacing w:line="240" w:lineRule="auto"/>
              <w:ind w:firstLine="0" w:firstLineChars="0"/>
              <w:outlineLvl w:val="2"/>
              <w:rPr>
                <w:sz w:val="18"/>
                <w:szCs w:val="18"/>
              </w:rPr>
            </w:pPr>
            <w:r>
              <w:rPr>
                <w:rFonts w:hint="eastAsia"/>
                <w:sz w:val="18"/>
                <w:szCs w:val="18"/>
              </w:rPr>
              <w:t>牵引装备电力制动系统的挂车的乘用车附加检查</w:t>
            </w:r>
            <w:bookmarkEnd w:id="92"/>
            <w:r>
              <w:rPr>
                <w:rFonts w:hint="eastAsia"/>
                <w:sz w:val="18"/>
                <w:szCs w:val="18"/>
              </w:rPr>
              <w:t>；</w:t>
            </w:r>
            <w:bookmarkStart w:id="93" w:name="_Toc118580314"/>
          </w:p>
          <w:p>
            <w:pPr>
              <w:pStyle w:val="4"/>
              <w:numPr>
                <w:ilvl w:val="0"/>
                <w:numId w:val="15"/>
              </w:numPr>
              <w:spacing w:line="240" w:lineRule="auto"/>
              <w:ind w:firstLine="0" w:firstLineChars="0"/>
              <w:outlineLvl w:val="2"/>
              <w:rPr>
                <w:sz w:val="18"/>
                <w:szCs w:val="18"/>
              </w:rPr>
            </w:pPr>
            <w:r>
              <w:rPr>
                <w:rFonts w:hint="eastAsia"/>
                <w:sz w:val="18"/>
                <w:szCs w:val="18"/>
              </w:rPr>
              <w:t>驻车制动性能检查</w:t>
            </w:r>
            <w:bookmarkEnd w:id="93"/>
            <w:r>
              <w:rPr>
                <w:rFonts w:hint="eastAsia"/>
                <w:sz w:val="18"/>
                <w:szCs w:val="18"/>
              </w:rPr>
              <w:t>：一般要求、采用电子传输的驻车制动系统附加检查；</w:t>
            </w:r>
            <w:bookmarkStart w:id="94" w:name="_Toc118580315"/>
            <w:r>
              <w:rPr>
                <w:rFonts w:hint="eastAsia"/>
                <w:sz w:val="18"/>
                <w:szCs w:val="18"/>
              </w:rPr>
              <w:t>具有电控传输装置的行车制动系统附加检查</w:t>
            </w:r>
            <w:bookmarkEnd w:id="94"/>
            <w:r>
              <w:rPr>
                <w:rFonts w:hint="eastAsia"/>
                <w:sz w:val="18"/>
                <w:szCs w:val="18"/>
              </w:rPr>
              <w:t>；</w:t>
            </w:r>
            <w:bookmarkStart w:id="95" w:name="_Toc118580316"/>
          </w:p>
          <w:p>
            <w:pPr>
              <w:pStyle w:val="4"/>
              <w:numPr>
                <w:ilvl w:val="0"/>
                <w:numId w:val="15"/>
              </w:numPr>
              <w:spacing w:line="240" w:lineRule="auto"/>
              <w:ind w:firstLine="0" w:firstLineChars="0"/>
              <w:outlineLvl w:val="2"/>
              <w:rPr>
                <w:sz w:val="18"/>
                <w:szCs w:val="18"/>
              </w:rPr>
            </w:pPr>
            <w:r>
              <w:rPr>
                <w:rFonts w:hint="eastAsia"/>
                <w:sz w:val="18"/>
                <w:szCs w:val="18"/>
              </w:rPr>
              <w:t>液压传输制动系统的储液罐/主缸检查</w:t>
            </w:r>
            <w:bookmarkEnd w:id="95"/>
            <w:r>
              <w:rPr>
                <w:rFonts w:hint="eastAsia"/>
                <w:sz w:val="18"/>
                <w:szCs w:val="18"/>
              </w:rPr>
              <w:t>；</w:t>
            </w:r>
            <w:bookmarkStart w:id="96" w:name="_Toc118580317"/>
          </w:p>
          <w:p>
            <w:pPr>
              <w:pStyle w:val="4"/>
              <w:numPr>
                <w:ilvl w:val="0"/>
                <w:numId w:val="15"/>
              </w:numPr>
              <w:spacing w:line="240" w:lineRule="auto"/>
              <w:ind w:firstLine="0" w:firstLineChars="0"/>
              <w:outlineLvl w:val="2"/>
              <w:rPr>
                <w:sz w:val="18"/>
                <w:szCs w:val="18"/>
              </w:rPr>
            </w:pPr>
            <w:r>
              <w:rPr>
                <w:rFonts w:hint="eastAsia"/>
                <w:sz w:val="18"/>
                <w:szCs w:val="18"/>
              </w:rPr>
              <w:t>液压传输制动系统的制动液标志检查</w:t>
            </w:r>
            <w:bookmarkEnd w:id="96"/>
            <w:r>
              <w:rPr>
                <w:rFonts w:hint="eastAsia"/>
                <w:sz w:val="18"/>
                <w:szCs w:val="18"/>
              </w:rPr>
              <w:t>；</w:t>
            </w:r>
            <w:bookmarkStart w:id="97" w:name="_Toc118580318"/>
          </w:p>
          <w:p>
            <w:pPr>
              <w:pStyle w:val="4"/>
              <w:numPr>
                <w:ilvl w:val="0"/>
                <w:numId w:val="15"/>
              </w:numPr>
              <w:spacing w:line="240" w:lineRule="auto"/>
              <w:ind w:firstLine="0" w:firstLineChars="0"/>
              <w:outlineLvl w:val="2"/>
              <w:rPr>
                <w:sz w:val="18"/>
                <w:szCs w:val="18"/>
              </w:rPr>
            </w:pPr>
            <w:r>
              <w:rPr>
                <w:rFonts w:hint="eastAsia"/>
                <w:sz w:val="18"/>
                <w:szCs w:val="18"/>
              </w:rPr>
              <w:t>信号装置检查</w:t>
            </w:r>
            <w:bookmarkEnd w:id="97"/>
            <w:r>
              <w:rPr>
                <w:rFonts w:hint="eastAsia"/>
                <w:sz w:val="18"/>
                <w:szCs w:val="18"/>
              </w:rPr>
              <w:t>：报警信号与车辆自检、指示制动灯点亮的制动信号、紧急制动信号</w:t>
            </w:r>
            <w:bookmarkStart w:id="98" w:name="_Toc118580319"/>
            <w:r>
              <w:rPr>
                <w:rFonts w:hint="eastAsia"/>
                <w:sz w:val="18"/>
                <w:szCs w:val="18"/>
              </w:rPr>
              <w:t>；</w:t>
            </w:r>
          </w:p>
          <w:p>
            <w:pPr>
              <w:pStyle w:val="4"/>
              <w:numPr>
                <w:ilvl w:val="0"/>
                <w:numId w:val="15"/>
              </w:numPr>
              <w:spacing w:line="240" w:lineRule="auto"/>
              <w:ind w:firstLine="0" w:firstLineChars="0"/>
              <w:outlineLvl w:val="2"/>
              <w:rPr>
                <w:sz w:val="18"/>
                <w:szCs w:val="18"/>
              </w:rPr>
            </w:pPr>
            <w:r>
              <w:rPr>
                <w:rFonts w:hint="eastAsia"/>
                <w:sz w:val="18"/>
                <w:szCs w:val="18"/>
              </w:rPr>
              <w:t>ABS控制模式检查</w:t>
            </w:r>
            <w:bookmarkEnd w:id="98"/>
            <w:r>
              <w:rPr>
                <w:rFonts w:hint="eastAsia"/>
                <w:sz w:val="18"/>
                <w:szCs w:val="18"/>
              </w:rPr>
              <w:t>。</w:t>
            </w:r>
          </w:p>
          <w:p>
            <w:pPr>
              <w:pStyle w:val="4"/>
              <w:numPr>
                <w:ilvl w:val="0"/>
                <w:numId w:val="15"/>
              </w:numPr>
              <w:spacing w:line="240" w:lineRule="auto"/>
              <w:ind w:firstLine="0" w:firstLineChars="0"/>
              <w:outlineLvl w:val="2"/>
              <w:rPr>
                <w:sz w:val="18"/>
                <w:szCs w:val="18"/>
              </w:rPr>
            </w:pPr>
            <w:bookmarkStart w:id="99" w:name="_Toc118580320"/>
            <w:r>
              <w:rPr>
                <w:rFonts w:hint="eastAsia"/>
                <w:sz w:val="18"/>
                <w:szCs w:val="18"/>
              </w:rPr>
              <w:t>储能和供能检查</w:t>
            </w:r>
            <w:bookmarkEnd w:id="99"/>
            <w:r>
              <w:rPr>
                <w:rFonts w:hint="eastAsia"/>
                <w:sz w:val="18"/>
                <w:szCs w:val="18"/>
              </w:rPr>
              <w:t>：总体要求、助力制动系统、全动力制动系统、储能式液压制动系统、储能装置的报警条件检查、</w:t>
            </w:r>
            <w:bookmarkStart w:id="100" w:name="_Toc118580322"/>
            <w:r>
              <w:rPr>
                <w:rFonts w:hint="eastAsia"/>
                <w:sz w:val="18"/>
                <w:szCs w:val="18"/>
              </w:rPr>
              <w:t>液压能源的容量检查</w:t>
            </w:r>
            <w:bookmarkEnd w:id="100"/>
            <w:r>
              <w:rPr>
                <w:rFonts w:hint="eastAsia"/>
                <w:sz w:val="18"/>
                <w:szCs w:val="18"/>
              </w:rPr>
              <w:t>、</w:t>
            </w:r>
            <w:bookmarkStart w:id="101" w:name="_Toc118580323"/>
            <w:r>
              <w:rPr>
                <w:rFonts w:hint="eastAsia"/>
                <w:sz w:val="18"/>
                <w:szCs w:val="18"/>
              </w:rPr>
              <w:t>辅助设备检查</w:t>
            </w:r>
            <w:bookmarkEnd w:id="101"/>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82" w:type="dxa"/>
          </w:tcPr>
          <w:p>
            <w:pPr>
              <w:pStyle w:val="4"/>
              <w:ind w:firstLine="0" w:firstLineChars="0"/>
              <w:outlineLvl w:val="2"/>
              <w:rPr>
                <w:sz w:val="18"/>
                <w:szCs w:val="18"/>
              </w:rPr>
            </w:pPr>
            <w:r>
              <w:rPr>
                <w:rFonts w:hint="eastAsia"/>
                <w:sz w:val="18"/>
                <w:szCs w:val="18"/>
              </w:rPr>
              <w:t>动态试验</w:t>
            </w:r>
          </w:p>
        </w:tc>
        <w:tc>
          <w:tcPr>
            <w:tcW w:w="7040" w:type="dxa"/>
          </w:tcPr>
          <w:p>
            <w:pPr>
              <w:pStyle w:val="4"/>
              <w:numPr>
                <w:ilvl w:val="0"/>
                <w:numId w:val="16"/>
              </w:numPr>
              <w:spacing w:line="240" w:lineRule="auto"/>
              <w:ind w:firstLine="0" w:firstLineChars="0"/>
              <w:outlineLvl w:val="2"/>
              <w:rPr>
                <w:sz w:val="18"/>
                <w:szCs w:val="18"/>
              </w:rPr>
            </w:pPr>
            <w:bookmarkStart w:id="102" w:name="_Toc118580327"/>
            <w:r>
              <w:rPr>
                <w:sz w:val="18"/>
                <w:szCs w:val="18"/>
              </w:rPr>
              <w:t>空载-基本性能试验</w:t>
            </w:r>
            <w:bookmarkEnd w:id="102"/>
            <w:r>
              <w:rPr>
                <w:rFonts w:hint="eastAsia"/>
                <w:sz w:val="18"/>
                <w:szCs w:val="18"/>
              </w:rPr>
              <w:t>：动力脱开的0型试验、动力结合的0型试验；</w:t>
            </w:r>
          </w:p>
          <w:p>
            <w:pPr>
              <w:pStyle w:val="4"/>
              <w:numPr>
                <w:ilvl w:val="0"/>
                <w:numId w:val="16"/>
              </w:numPr>
              <w:spacing w:line="240" w:lineRule="auto"/>
              <w:ind w:firstLine="0" w:firstLineChars="0"/>
              <w:outlineLvl w:val="2"/>
              <w:rPr>
                <w:sz w:val="18"/>
                <w:szCs w:val="18"/>
              </w:rPr>
            </w:pPr>
            <w:bookmarkStart w:id="103" w:name="_Toc118580328"/>
            <w:r>
              <w:rPr>
                <w:rFonts w:hint="eastAsia"/>
                <w:sz w:val="18"/>
                <w:szCs w:val="18"/>
              </w:rPr>
              <w:t>空载-失效试验</w:t>
            </w:r>
            <w:bookmarkEnd w:id="103"/>
            <w:r>
              <w:rPr>
                <w:rFonts w:hint="eastAsia"/>
                <w:sz w:val="18"/>
                <w:szCs w:val="18"/>
              </w:rPr>
              <w:t>；</w:t>
            </w:r>
          </w:p>
          <w:p>
            <w:pPr>
              <w:pStyle w:val="4"/>
              <w:numPr>
                <w:ilvl w:val="0"/>
                <w:numId w:val="16"/>
              </w:numPr>
              <w:spacing w:line="240" w:lineRule="auto"/>
              <w:ind w:firstLine="0" w:firstLineChars="0"/>
              <w:outlineLvl w:val="2"/>
              <w:rPr>
                <w:sz w:val="18"/>
                <w:szCs w:val="18"/>
              </w:rPr>
            </w:pPr>
            <w:bookmarkStart w:id="104" w:name="_Toc118580329"/>
            <w:r>
              <w:rPr>
                <w:rFonts w:hint="eastAsia"/>
                <w:sz w:val="18"/>
                <w:szCs w:val="18"/>
              </w:rPr>
              <w:t>空载-ABS试验</w:t>
            </w:r>
            <w:bookmarkEnd w:id="104"/>
            <w:r>
              <w:rPr>
                <w:rFonts w:hint="eastAsia"/>
                <w:sz w:val="18"/>
                <w:szCs w:val="18"/>
              </w:rPr>
              <w:t>：</w:t>
            </w:r>
            <w:bookmarkStart w:id="105" w:name="OLE_LINK1"/>
            <w:r>
              <w:rPr>
                <w:rFonts w:hint="eastAsia"/>
                <w:sz w:val="18"/>
                <w:szCs w:val="18"/>
              </w:rPr>
              <w:t>低附着系数路面上附着系数利用率的测定</w:t>
            </w:r>
            <w:bookmarkEnd w:id="105"/>
            <w:r>
              <w:rPr>
                <w:rFonts w:hint="eastAsia"/>
                <w:sz w:val="18"/>
                <w:szCs w:val="18"/>
              </w:rPr>
              <w:t>、高附着系数路面上附着系数利用率的测定、附加检查；</w:t>
            </w:r>
          </w:p>
          <w:p>
            <w:pPr>
              <w:pStyle w:val="4"/>
              <w:numPr>
                <w:ilvl w:val="0"/>
                <w:numId w:val="16"/>
              </w:numPr>
              <w:spacing w:line="240" w:lineRule="auto"/>
              <w:ind w:firstLine="0" w:firstLineChars="0"/>
              <w:outlineLvl w:val="2"/>
              <w:rPr>
                <w:sz w:val="18"/>
                <w:szCs w:val="18"/>
              </w:rPr>
            </w:pPr>
            <w:bookmarkStart w:id="106" w:name="_Toc118580330"/>
            <w:r>
              <w:rPr>
                <w:rFonts w:hint="eastAsia"/>
                <w:sz w:val="18"/>
                <w:szCs w:val="18"/>
              </w:rPr>
              <w:t>满载-ABS试验</w:t>
            </w:r>
            <w:bookmarkEnd w:id="106"/>
            <w:r>
              <w:rPr>
                <w:rFonts w:hint="eastAsia"/>
                <w:sz w:val="18"/>
                <w:szCs w:val="18"/>
              </w:rPr>
              <w:t>：低附着系数路面上附着系数利用率的测定、高附着系数路面上附着系数利用率的测定、附加检查、能耗试验；</w:t>
            </w:r>
          </w:p>
          <w:p>
            <w:pPr>
              <w:pStyle w:val="4"/>
              <w:numPr>
                <w:ilvl w:val="0"/>
                <w:numId w:val="16"/>
              </w:numPr>
              <w:spacing w:line="240" w:lineRule="auto"/>
              <w:ind w:firstLine="0" w:firstLineChars="0"/>
              <w:outlineLvl w:val="2"/>
              <w:rPr>
                <w:sz w:val="18"/>
                <w:szCs w:val="18"/>
              </w:rPr>
            </w:pPr>
            <w:bookmarkStart w:id="107" w:name="_Toc118580331"/>
            <w:r>
              <w:rPr>
                <w:rFonts w:hint="eastAsia"/>
                <w:sz w:val="18"/>
                <w:szCs w:val="18"/>
              </w:rPr>
              <w:t>满载-基本性能试验</w:t>
            </w:r>
            <w:bookmarkEnd w:id="107"/>
            <w:r>
              <w:rPr>
                <w:rFonts w:hint="eastAsia"/>
                <w:sz w:val="18"/>
                <w:szCs w:val="18"/>
              </w:rPr>
              <w:t>：0型试验、车辆行驶中的驻车制动、响应时间试验、I型试验、附加对比0型试验、对装备B型电力再生式制动系统的车辆的附加试验、对电控传输的行车制动系统的附加试验；</w:t>
            </w:r>
          </w:p>
          <w:p>
            <w:pPr>
              <w:pStyle w:val="4"/>
              <w:numPr>
                <w:ilvl w:val="0"/>
                <w:numId w:val="16"/>
              </w:numPr>
              <w:spacing w:line="240" w:lineRule="auto"/>
              <w:ind w:firstLine="0" w:firstLineChars="0"/>
              <w:outlineLvl w:val="2"/>
              <w:rPr>
                <w:sz w:val="18"/>
                <w:szCs w:val="18"/>
              </w:rPr>
            </w:pPr>
            <w:bookmarkStart w:id="108" w:name="_Toc118580332"/>
            <w:r>
              <w:rPr>
                <w:rFonts w:hint="eastAsia"/>
                <w:sz w:val="18"/>
                <w:szCs w:val="18"/>
              </w:rPr>
              <w:t>满载-失效试验</w:t>
            </w:r>
            <w:bookmarkEnd w:id="108"/>
            <w:r>
              <w:rPr>
                <w:rFonts w:hint="eastAsia"/>
                <w:sz w:val="18"/>
                <w:szCs w:val="18"/>
              </w:rPr>
              <w:t>；</w:t>
            </w:r>
          </w:p>
          <w:p>
            <w:pPr>
              <w:pStyle w:val="4"/>
              <w:numPr>
                <w:ilvl w:val="0"/>
                <w:numId w:val="16"/>
              </w:numPr>
              <w:spacing w:line="240" w:lineRule="auto"/>
              <w:ind w:firstLine="0" w:firstLineChars="0"/>
              <w:outlineLvl w:val="2"/>
              <w:rPr>
                <w:sz w:val="18"/>
                <w:szCs w:val="18"/>
              </w:rPr>
            </w:pPr>
            <w:bookmarkStart w:id="109" w:name="_Toc118580333"/>
            <w:r>
              <w:rPr>
                <w:rFonts w:hint="eastAsia"/>
                <w:sz w:val="18"/>
                <w:szCs w:val="18"/>
              </w:rPr>
              <w:t>制动信号试验</w:t>
            </w:r>
            <w:bookmarkEnd w:id="109"/>
            <w:r>
              <w:rPr>
                <w:rFonts w:hint="eastAsia"/>
                <w:sz w:val="18"/>
                <w:szCs w:val="18"/>
              </w:rPr>
              <w:t>；</w:t>
            </w:r>
          </w:p>
          <w:p>
            <w:pPr>
              <w:pStyle w:val="4"/>
              <w:numPr>
                <w:ilvl w:val="0"/>
                <w:numId w:val="16"/>
              </w:numPr>
              <w:spacing w:line="240" w:lineRule="auto"/>
              <w:ind w:firstLine="0" w:firstLineChars="0"/>
              <w:outlineLvl w:val="2"/>
              <w:rPr>
                <w:sz w:val="18"/>
                <w:szCs w:val="18"/>
              </w:rPr>
            </w:pPr>
            <w:bookmarkStart w:id="110" w:name="_Toc118580334"/>
            <w:r>
              <w:rPr>
                <w:rFonts w:hint="eastAsia"/>
                <w:sz w:val="18"/>
                <w:szCs w:val="18"/>
              </w:rPr>
              <w:t>紧急制动信号试验</w:t>
            </w:r>
            <w:bookmarkEnd w:id="110"/>
            <w:r>
              <w:rPr>
                <w:rFonts w:hint="eastAsia"/>
                <w:sz w:val="18"/>
                <w:szCs w:val="18"/>
              </w:rPr>
              <w:t>；</w:t>
            </w:r>
          </w:p>
          <w:p>
            <w:pPr>
              <w:pStyle w:val="4"/>
              <w:numPr>
                <w:ilvl w:val="0"/>
                <w:numId w:val="16"/>
              </w:numPr>
              <w:spacing w:line="240" w:lineRule="auto"/>
              <w:ind w:firstLine="0" w:firstLineChars="0"/>
              <w:outlineLvl w:val="2"/>
              <w:rPr>
                <w:sz w:val="18"/>
                <w:szCs w:val="18"/>
              </w:rPr>
            </w:pPr>
            <w:bookmarkStart w:id="111" w:name="_Toc118580335"/>
            <w:r>
              <w:rPr>
                <w:rFonts w:hint="eastAsia"/>
                <w:sz w:val="18"/>
                <w:szCs w:val="18"/>
              </w:rPr>
              <w:t>配备临时备用车轮/轮胎的车辆制动和跑偏试验</w:t>
            </w:r>
            <w:bookmarkEnd w:id="111"/>
            <w:r>
              <w:rPr>
                <w:rFonts w:hint="eastAsia"/>
                <w:sz w:val="18"/>
                <w:szCs w:val="18"/>
              </w:rPr>
              <w:t>；</w:t>
            </w:r>
          </w:p>
        </w:tc>
      </w:tr>
    </w:tbl>
    <w:p>
      <w:pPr>
        <w:pStyle w:val="4"/>
        <w:ind w:firstLine="420"/>
        <w:outlineLvl w:val="2"/>
      </w:pPr>
      <w:r>
        <w:rPr>
          <w:rFonts w:hint="eastAsia"/>
        </w:rPr>
        <w:t>与GB 21670—2008相比，主要技术内容变化包括：</w:t>
      </w:r>
    </w:p>
    <w:p>
      <w:pPr>
        <w:pStyle w:val="4"/>
        <w:ind w:firstLine="420"/>
        <w:outlineLvl w:val="2"/>
        <w:rPr>
          <w:bCs/>
          <w:spacing w:val="2"/>
          <w:szCs w:val="21"/>
        </w:rPr>
      </w:pPr>
      <w:r>
        <w:rPr>
          <w:rFonts w:hint="eastAsia"/>
        </w:rPr>
        <w:t>——</w:t>
      </w:r>
      <w:r>
        <w:t>自动磨损补偿装置</w:t>
      </w:r>
      <w:r>
        <w:rPr>
          <w:rFonts w:hint="eastAsia"/>
        </w:rPr>
        <w:t>调整、车辆磨合等内容调整至本文件8.3试验车辆</w:t>
      </w:r>
      <w:r>
        <w:rPr>
          <w:rFonts w:hint="eastAsia"/>
          <w:bCs/>
          <w:spacing w:val="2"/>
          <w:szCs w:val="21"/>
        </w:rPr>
        <w:t>。</w:t>
      </w:r>
    </w:p>
    <w:p>
      <w:pPr>
        <w:pStyle w:val="4"/>
        <w:ind w:firstLine="428"/>
        <w:outlineLvl w:val="2"/>
        <w:rPr>
          <w:bCs/>
          <w:spacing w:val="2"/>
          <w:szCs w:val="21"/>
        </w:rPr>
      </w:pPr>
      <w:r>
        <w:rPr>
          <w:rFonts w:hint="eastAsia"/>
          <w:bCs/>
          <w:spacing w:val="2"/>
          <w:szCs w:val="21"/>
        </w:rPr>
        <w:t>——试验场地试验仪器设备要求与老版标准相比：分别进行列条；参考GB 12676-2014，试验场地增加关于试验道路坡度的要求，明确试验道路要求；试验仪器设备要求由老版标准中的“精度”更改为“测量误差”，结合各检测机构当前测试仪器设备准确度情况，更改了各测量参数及对应的测量误差要求。</w:t>
      </w:r>
    </w:p>
    <w:p>
      <w:pPr>
        <w:pStyle w:val="4"/>
        <w:ind w:firstLine="428"/>
        <w:outlineLvl w:val="2"/>
        <w:rPr>
          <w:bCs/>
          <w:spacing w:val="2"/>
          <w:szCs w:val="21"/>
        </w:rPr>
      </w:pPr>
      <w:r>
        <w:rPr>
          <w:rFonts w:hint="eastAsia"/>
          <w:bCs/>
          <w:spacing w:val="2"/>
          <w:szCs w:val="21"/>
        </w:rPr>
        <w:t>——本文件8.4规定了静态检查的试验方法，与老版标准相比：资料及文件检查部分，新增“制造商证明满足部件检查、制动器磨损及调节检查、补偿装置检查、电力再生式制动系统检查、牵引装备电力制动系统的挂车的乘用车附加检查、驻车制动性能检查、具有电控传输装置的行车制动系统附加检查、液压传输制动系统的储液罐/主缸检查、信号装置检查、ABS控制模式检查、储能和供能检查的资料或声明”的要求，各静态检查试验项目开展过程中，制造商应配合检测机构提供相应说明资料或声明。</w:t>
      </w:r>
    </w:p>
    <w:p>
      <w:pPr>
        <w:pStyle w:val="4"/>
        <w:ind w:firstLine="428"/>
        <w:outlineLvl w:val="2"/>
        <w:rPr>
          <w:bCs/>
          <w:spacing w:val="2"/>
          <w:szCs w:val="21"/>
        </w:rPr>
      </w:pPr>
      <w:r>
        <w:rPr>
          <w:rFonts w:hint="eastAsia"/>
          <w:bCs/>
          <w:spacing w:val="2"/>
          <w:szCs w:val="21"/>
        </w:rPr>
        <w:t>——本文件</w:t>
      </w:r>
      <w:r>
        <w:rPr>
          <w:bCs/>
          <w:spacing w:val="2"/>
          <w:szCs w:val="21"/>
        </w:rPr>
        <w:t>8.4.2部件检查</w:t>
      </w:r>
      <w:r>
        <w:rPr>
          <w:rFonts w:hint="eastAsia"/>
          <w:bCs/>
          <w:spacing w:val="2"/>
          <w:szCs w:val="21"/>
        </w:rPr>
        <w:t>部分，删除了老版标准中“确认液压回路的储液罐也是分立的”的要求，针对具体结构的要求体现在测试规程中；修改了驻车制动系统断开的条件。</w:t>
      </w:r>
    </w:p>
    <w:p>
      <w:pPr>
        <w:pStyle w:val="4"/>
        <w:ind w:firstLine="428"/>
        <w:outlineLvl w:val="2"/>
        <w:rPr>
          <w:bCs/>
          <w:spacing w:val="2"/>
          <w:szCs w:val="21"/>
        </w:rPr>
      </w:pPr>
      <w:r>
        <w:rPr>
          <w:rFonts w:hint="eastAsia"/>
          <w:bCs/>
          <w:spacing w:val="2"/>
          <w:szCs w:val="21"/>
        </w:rPr>
        <w:t>——本文件8.4.3制动器磨损及调节检查部分，检查时由“允许拆除车轮”改为“不允许拆除车轮”；新增了制动鼓和制动盘表面磨损状况的评估检查。</w:t>
      </w:r>
    </w:p>
    <w:p>
      <w:pPr>
        <w:pStyle w:val="4"/>
        <w:ind w:firstLine="428"/>
        <w:outlineLvl w:val="2"/>
        <w:rPr>
          <w:bCs/>
          <w:spacing w:val="2"/>
          <w:szCs w:val="21"/>
        </w:rPr>
      </w:pPr>
      <w:r>
        <w:rPr>
          <w:rFonts w:hint="eastAsia"/>
          <w:bCs/>
          <w:spacing w:val="2"/>
          <w:szCs w:val="21"/>
        </w:rPr>
        <w:t>——本文件8.4.4.2驻车制动系统检查部分，老版标准中的“真空或液压助力加强驻车制动作用情况下的检查方法”整合至该条。</w:t>
      </w:r>
    </w:p>
    <w:p>
      <w:pPr>
        <w:pStyle w:val="4"/>
        <w:ind w:firstLine="428"/>
        <w:outlineLvl w:val="2"/>
        <w:rPr>
          <w:bCs/>
          <w:spacing w:val="2"/>
          <w:szCs w:val="21"/>
        </w:rPr>
      </w:pPr>
      <w:r>
        <w:rPr>
          <w:rFonts w:hint="eastAsia"/>
          <w:bCs/>
          <w:spacing w:val="2"/>
          <w:szCs w:val="21"/>
        </w:rPr>
        <w:t>——本文件8.4.5台架试验部分，台架试验改为如适用、删除关于电控采用电控传输制动系的车辆的台架试验要求、将试验台架产生最大静态制动力的要求移至该条。修订说明：可通过本条中台架试验的方式，确认行车制动力在车轴间合理分配；行车制动和应急制动的制动作用应是渐进、可调节的。也可通过制造商提供相关说明资料及声明的方式进行证明，检测机构在各项动态试验过程中进行主观判断。如涉及到制动力测量的相关试验，可通过台架试验之外的其他方式（如测量管路压力等）实现。</w:t>
      </w:r>
    </w:p>
    <w:p>
      <w:pPr>
        <w:pStyle w:val="4"/>
        <w:ind w:firstLine="428"/>
        <w:outlineLvl w:val="2"/>
        <w:rPr>
          <w:bCs/>
          <w:spacing w:val="2"/>
          <w:szCs w:val="21"/>
        </w:rPr>
      </w:pPr>
      <w:r>
        <w:rPr>
          <w:rFonts w:hint="eastAsia"/>
          <w:bCs/>
          <w:spacing w:val="2"/>
          <w:szCs w:val="21"/>
        </w:rPr>
        <w:t>——本文件8.4.7</w:t>
      </w:r>
      <w:r>
        <w:rPr>
          <w:bCs/>
          <w:spacing w:val="2"/>
          <w:szCs w:val="21"/>
        </w:rPr>
        <w:t>控制力与管路压力比例关系检查</w:t>
      </w:r>
      <w:r>
        <w:rPr>
          <w:rFonts w:hint="eastAsia"/>
          <w:bCs/>
          <w:spacing w:val="2"/>
          <w:szCs w:val="21"/>
        </w:rPr>
        <w:t>部分，检查控制力与管路压力比例关系改为如适用，删除老版标准中的比例阀前后的管路压力要求。修订说明：本试验主要针对液压传输制动系统，部分静态检查和动态试验需要根据测得的管路压力进行，为需要确保数据的准确性，本条试验得到的关系曲线为后续相关试验提供对比；如后续试验不需要使用对应的比例关系，或通过其他方式进行确认，则不需要开展本试验。对于液压传输制动系统的助力系统，应在每次促动开始时将储能装置的压力调节至接通压力，正确调整阀门，记录空载条件下比例阀前后的管路压力。</w:t>
      </w:r>
    </w:p>
    <w:p>
      <w:pPr>
        <w:pStyle w:val="4"/>
        <w:ind w:firstLine="428"/>
        <w:outlineLvl w:val="2"/>
        <w:rPr>
          <w:bCs/>
          <w:spacing w:val="2"/>
          <w:szCs w:val="21"/>
        </w:rPr>
      </w:pPr>
      <w:r>
        <w:rPr>
          <w:rFonts w:hint="eastAsia"/>
          <w:bCs/>
          <w:spacing w:val="2"/>
          <w:szCs w:val="21"/>
        </w:rPr>
        <w:t>——本文件8.4.8电力再生式制动系统检查部分：明确了对于同时具有A型和B型的车辆，按照A型和B型的试验方法分别进行检查；删除了老版标准中7.3.8.4关于电力再生式制动系统电磁兼容试验的要求；新增了对于A型及同时具有A型和B型电力再生制动系统的车辆，在前进挡下通过松开加速踏板实现的制动作用不能使车辆减速至停车的对应试验方法。</w:t>
      </w:r>
    </w:p>
    <w:p>
      <w:pPr>
        <w:pStyle w:val="4"/>
        <w:ind w:firstLine="428"/>
        <w:outlineLvl w:val="2"/>
        <w:rPr>
          <w:bCs/>
          <w:spacing w:val="2"/>
          <w:szCs w:val="21"/>
        </w:rPr>
      </w:pPr>
      <w:r>
        <w:rPr>
          <w:rFonts w:hint="eastAsia"/>
          <w:bCs/>
          <w:spacing w:val="2"/>
          <w:szCs w:val="21"/>
        </w:rPr>
        <w:t>——本文件</w:t>
      </w:r>
      <w:r>
        <w:rPr>
          <w:bCs/>
          <w:spacing w:val="2"/>
          <w:szCs w:val="21"/>
        </w:rPr>
        <w:t>8.4.10驻车制动性能检查</w:t>
      </w:r>
      <w:r>
        <w:rPr>
          <w:rFonts w:hint="eastAsia"/>
          <w:bCs/>
          <w:spacing w:val="2"/>
          <w:szCs w:val="21"/>
        </w:rPr>
        <w:t>部分，将老版标准中的“7.3.10 采用电控传输的驻车制动系”、“7.3.19驻车制动性能”整合至改条，并根据第5章的修订内容，更改了红色闪烁信号试验方法，新增了对“ECU出现一处电气失效、ECU和执行器之间的电控传输内部线路（供电线路除外）”的对应试验方法。修订说明：采用电子传输的驻车制动系统，其ECU失效试验考虑可操作性，通过制造商提供说明文件的方式进行检查。</w:t>
      </w:r>
    </w:p>
    <w:p>
      <w:pPr>
        <w:pStyle w:val="4"/>
        <w:ind w:firstLine="428"/>
        <w:outlineLvl w:val="2"/>
        <w:rPr>
          <w:bCs/>
          <w:spacing w:val="2"/>
          <w:szCs w:val="21"/>
        </w:rPr>
      </w:pPr>
      <w:r>
        <w:rPr>
          <w:rFonts w:hint="eastAsia"/>
          <w:bCs/>
          <w:spacing w:val="2"/>
          <w:szCs w:val="21"/>
        </w:rPr>
        <w:t>——本文件8.4.11具有电控传输装置的行车制动系统附加检查部分，根据第5章的修订内容，更改了关闭点火开关或拔出钥匙后的行车制动系统性能试验方法。</w:t>
      </w:r>
    </w:p>
    <w:p>
      <w:pPr>
        <w:pStyle w:val="4"/>
        <w:ind w:firstLine="428"/>
        <w:outlineLvl w:val="2"/>
        <w:rPr>
          <w:bCs/>
          <w:spacing w:val="2"/>
          <w:szCs w:val="21"/>
        </w:rPr>
      </w:pPr>
      <w:r>
        <w:rPr>
          <w:bCs/>
          <w:spacing w:val="2"/>
          <w:szCs w:val="21"/>
        </w:rPr>
        <w:t>——本文件8.4.14信号装置检查</w:t>
      </w:r>
      <w:r>
        <w:rPr>
          <w:rFonts w:hint="eastAsia"/>
          <w:bCs/>
          <w:spacing w:val="2"/>
          <w:szCs w:val="21"/>
        </w:rPr>
        <w:t>部分，根据第5章的修订内容，更改了指示制动灯点亮的制动信号的试验方法，并新增了紧急制动信号的试验方法。</w:t>
      </w:r>
    </w:p>
    <w:p>
      <w:pPr>
        <w:pStyle w:val="4"/>
        <w:ind w:firstLine="428"/>
        <w:outlineLvl w:val="2"/>
        <w:rPr>
          <w:bCs/>
          <w:spacing w:val="2"/>
          <w:szCs w:val="21"/>
        </w:rPr>
      </w:pPr>
      <w:r>
        <w:rPr>
          <w:rFonts w:hint="eastAsia"/>
          <w:bCs/>
          <w:spacing w:val="2"/>
          <w:szCs w:val="21"/>
        </w:rPr>
        <w:t>——本文件8.5动态试验部分，与老版标准相比：删除了总体要求中“最热的车轴上的行车制动器的平均温度处于65 ℃～100 ℃”的要求，因为在后续各具体试验方法中已分别有温度相关要求；8.5.3.1</w:t>
      </w:r>
      <w:r>
        <w:rPr>
          <w:bCs/>
          <w:spacing w:val="2"/>
          <w:szCs w:val="21"/>
        </w:rPr>
        <w:t>动力脱开的0型试验</w:t>
      </w:r>
      <w:r>
        <w:rPr>
          <w:rFonts w:hint="eastAsia"/>
          <w:bCs/>
          <w:spacing w:val="2"/>
          <w:szCs w:val="21"/>
        </w:rPr>
        <w:t>部分，新增了“若在相应试验车速下无法切换到空挡，则相应试验车速对应的所有试验（脱开或接合试验）都在电机接合的条件下进行。”的要求，明确对于部分具有电力再生式制动系统的车辆的试验条件；</w:t>
      </w:r>
      <w:r>
        <w:rPr>
          <w:bCs/>
          <w:spacing w:val="2"/>
          <w:szCs w:val="21"/>
        </w:rPr>
        <w:t>动力结合的0型试验</w:t>
      </w:r>
      <w:r>
        <w:rPr>
          <w:rFonts w:hint="eastAsia"/>
          <w:bCs/>
          <w:spacing w:val="2"/>
          <w:szCs w:val="21"/>
        </w:rPr>
        <w:t>部分，修改了A型RBS车辆低附路面车辆状态试验的试验车速；删除了可变制动力分配系统失效的试验方法，包括感载比例阀、电子制动力分配系统（EBD）以及控制制动力分配的其他装置（如G阀或减压阀）；</w:t>
      </w:r>
    </w:p>
    <w:p>
      <w:pPr>
        <w:pStyle w:val="4"/>
        <w:ind w:firstLine="428"/>
        <w:outlineLvl w:val="2"/>
        <w:rPr>
          <w:bCs/>
          <w:spacing w:val="2"/>
          <w:szCs w:val="21"/>
        </w:rPr>
      </w:pPr>
      <w:r>
        <w:rPr>
          <w:rFonts w:hint="eastAsia"/>
          <w:bCs/>
          <w:spacing w:val="2"/>
          <w:szCs w:val="21"/>
        </w:rPr>
        <w:t>——本文件8.5.5空载-ABS试验、8.5.6满载-ABS试验部分，删除了2类、3类ABS相关试验及计算公式。</w:t>
      </w:r>
    </w:p>
    <w:p>
      <w:pPr>
        <w:pStyle w:val="4"/>
        <w:ind w:firstLine="428"/>
        <w:outlineLvl w:val="2"/>
        <w:rPr>
          <w:bCs/>
          <w:spacing w:val="2"/>
          <w:szCs w:val="21"/>
        </w:rPr>
      </w:pPr>
      <w:r>
        <w:rPr>
          <w:rFonts w:hint="eastAsia"/>
          <w:bCs/>
          <w:spacing w:val="2"/>
          <w:szCs w:val="21"/>
        </w:rPr>
        <w:t>——本文件</w:t>
      </w:r>
      <w:r>
        <w:rPr>
          <w:bCs/>
          <w:spacing w:val="2"/>
          <w:szCs w:val="21"/>
        </w:rPr>
        <w:t>8.5.7</w:t>
      </w:r>
      <w:r>
        <w:rPr>
          <w:rFonts w:hint="eastAsia"/>
          <w:bCs/>
          <w:spacing w:val="2"/>
          <w:szCs w:val="21"/>
        </w:rPr>
        <w:t>.3响应时间</w:t>
      </w:r>
      <w:r>
        <w:rPr>
          <w:bCs/>
          <w:spacing w:val="2"/>
          <w:szCs w:val="21"/>
        </w:rPr>
        <w:t>试验</w:t>
      </w:r>
      <w:r>
        <w:rPr>
          <w:rFonts w:hint="eastAsia"/>
          <w:bCs/>
          <w:spacing w:val="2"/>
          <w:szCs w:val="21"/>
        </w:rPr>
        <w:t>部分，试验车速要求由20km/h改为100km/h，以确保在减速过程中有充足的时间对响应时间进行记录；增加了“也可以记录开始促动控制装置至最不利的制动轮缸的压力或最不利的车轴上的制动力达到规定性能对应水平的时间确认是否满足要求”的表述。</w:t>
      </w:r>
    </w:p>
    <w:p>
      <w:pPr>
        <w:pStyle w:val="4"/>
        <w:ind w:firstLine="428"/>
        <w:outlineLvl w:val="2"/>
        <w:rPr>
          <w:bCs/>
          <w:spacing w:val="2"/>
          <w:szCs w:val="21"/>
        </w:rPr>
      </w:pPr>
      <w:r>
        <w:rPr>
          <w:rFonts w:hint="eastAsia"/>
          <w:bCs/>
          <w:spacing w:val="2"/>
          <w:szCs w:val="21"/>
        </w:rPr>
        <w:t>——本文件</w:t>
      </w:r>
      <w:r>
        <w:rPr>
          <w:bCs/>
          <w:spacing w:val="2"/>
          <w:szCs w:val="21"/>
        </w:rPr>
        <w:t>增加了8.5.9、8.5.10制动信号和紧急制动信号的动态试验方法，与8.4.14.2、8.4.14.3的静态检查配合实施。</w:t>
      </w:r>
    </w:p>
    <w:p>
      <w:pPr>
        <w:pStyle w:val="4"/>
        <w:ind w:firstLine="428"/>
        <w:outlineLvl w:val="2"/>
        <w:rPr>
          <w:bCs/>
          <w:spacing w:val="2"/>
          <w:szCs w:val="21"/>
        </w:rPr>
      </w:pPr>
      <w:r>
        <w:rPr>
          <w:rFonts w:hint="eastAsia"/>
          <w:bCs/>
          <w:spacing w:val="2"/>
          <w:szCs w:val="21"/>
        </w:rPr>
        <w:t>——</w:t>
      </w:r>
      <w:r>
        <w:rPr>
          <w:bCs/>
          <w:spacing w:val="2"/>
          <w:szCs w:val="21"/>
        </w:rPr>
        <w:t>本文件增加了8.5.11配备临时备用车轮/轮胎的车辆制动和跑偏试验方法。</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3</w:t>
      </w:r>
      <w:r>
        <w:rPr>
          <w:rFonts w:hint="eastAsia" w:ascii="黑体" w:hAnsi="黑体" w:eastAsia="黑体" w:cs="黑体"/>
          <w:bCs/>
          <w:spacing w:val="2"/>
          <w:szCs w:val="21"/>
        </w:rPr>
        <w:t>.9 功能安全要求</w:t>
      </w:r>
    </w:p>
    <w:p>
      <w:pPr>
        <w:pStyle w:val="4"/>
        <w:ind w:firstLine="428"/>
        <w:outlineLvl w:val="2"/>
        <w:rPr>
          <w:bCs/>
          <w:spacing w:val="2"/>
          <w:szCs w:val="21"/>
        </w:rPr>
      </w:pPr>
      <w:r>
        <w:rPr>
          <w:bCs/>
          <w:spacing w:val="2"/>
          <w:szCs w:val="21"/>
        </w:rPr>
        <w:t>本文件5.1.3“制动电子控制系统的功能安全要求”</w:t>
      </w:r>
      <w:r>
        <w:rPr>
          <w:rFonts w:hint="eastAsia"/>
          <w:bCs/>
          <w:spacing w:val="2"/>
          <w:szCs w:val="21"/>
        </w:rPr>
        <w:t>提出了总体要求。</w:t>
      </w:r>
    </w:p>
    <w:p>
      <w:pPr>
        <w:pStyle w:val="4"/>
        <w:ind w:firstLine="428"/>
        <w:outlineLvl w:val="2"/>
        <w:rPr>
          <w:bCs/>
          <w:spacing w:val="2"/>
          <w:szCs w:val="21"/>
        </w:rPr>
      </w:pPr>
      <w:r>
        <w:rPr>
          <w:rFonts w:hint="eastAsia"/>
          <w:bCs/>
          <w:spacing w:val="2"/>
          <w:szCs w:val="21"/>
        </w:rPr>
        <w:t>附录B规定了制动电子控制系统在功能安全方面的文档及验证确认的要求，</w:t>
      </w:r>
      <w:r>
        <w:rPr>
          <w:rStyle w:val="52"/>
          <w:rFonts w:hint="eastAsia"/>
          <w:bCs/>
          <w:spacing w:val="2"/>
          <w:szCs w:val="21"/>
        </w:rPr>
        <w:t>检测机构</w:t>
      </w:r>
      <w:r>
        <w:rPr>
          <w:rFonts w:hint="eastAsia"/>
          <w:bCs/>
          <w:spacing w:val="2"/>
          <w:szCs w:val="21"/>
        </w:rPr>
        <w:t>应按照5.1.3和本附录的要求，针对制造商提交及备查的制动电子控制系统功能安全相关文档，进行文档审核评估及抽查试验。以证明系统在非故障和故障状态下实现了功能概念和功能安全概念，并满足本文件规定的、所有适用的性能要求。</w:t>
      </w:r>
    </w:p>
    <w:p>
      <w:pPr>
        <w:pStyle w:val="4"/>
        <w:ind w:firstLine="428"/>
        <w:outlineLvl w:val="2"/>
        <w:rPr>
          <w:bCs/>
          <w:spacing w:val="2"/>
          <w:szCs w:val="21"/>
        </w:rPr>
      </w:pPr>
      <w:r>
        <w:rPr>
          <w:rFonts w:hint="eastAsia"/>
          <w:bCs/>
          <w:spacing w:val="2"/>
          <w:szCs w:val="21"/>
        </w:rPr>
        <w:t>①文档要求</w:t>
      </w:r>
    </w:p>
    <w:p>
      <w:pPr>
        <w:pStyle w:val="4"/>
        <w:ind w:firstLine="428"/>
        <w:outlineLvl w:val="2"/>
        <w:rPr>
          <w:bCs/>
          <w:spacing w:val="2"/>
          <w:szCs w:val="21"/>
        </w:rPr>
      </w:pPr>
      <w:r>
        <w:rPr>
          <w:bCs/>
          <w:spacing w:val="2"/>
          <w:szCs w:val="21"/>
        </w:rPr>
        <w:t>制造商应将以下文档提交至检测机构</w:t>
      </w:r>
      <w:r>
        <w:rPr>
          <w:rFonts w:hint="eastAsia"/>
          <w:bCs/>
          <w:spacing w:val="2"/>
          <w:szCs w:val="21"/>
        </w:rPr>
        <w:t>，包括：制动电子控制系统描述、危害分析和风险评估总结、安全措施说明、整车层面的安全分析总结、系统层面的安全分析总结、系统层面的验证确认计划和结果总结、整车层面的确认计划和结果总结；制造商应具有下列相关文档，以供检测机构开展审核评估及抽查试验时公开备查：详细危害分析和风险评估、详细整车层面的安全分析、详细系统层面的安全分析、详细系统层面的验证确认计划和结果、详细整车层面的确认计划和结果、若有，其他支撑性材料或数据。</w:t>
      </w:r>
    </w:p>
    <w:p>
      <w:pPr>
        <w:pStyle w:val="4"/>
        <w:ind w:firstLine="428"/>
        <w:outlineLvl w:val="2"/>
        <w:rPr>
          <w:bCs/>
          <w:spacing w:val="2"/>
          <w:szCs w:val="21"/>
        </w:rPr>
      </w:pPr>
      <w:r>
        <w:rPr>
          <w:rFonts w:hint="eastAsia"/>
          <w:bCs/>
          <w:spacing w:val="2"/>
          <w:szCs w:val="21"/>
        </w:rPr>
        <w:t>对以上文档内容的要求在GB 21670—2008附录D、UN R13-H的附件8基础上，进行了明确和细化，并提出了制动电子控制系统相关危害的安全要求（见下表），制造商应围绕表中的安全目标，在总结文档和备查文档中说明其在设计研发中所开展的安全分析、安全措施、验证确认等活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14"/>
        <w:gridCol w:w="1271"/>
        <w:gridCol w:w="3264"/>
        <w:gridCol w:w="32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14" w:type="dxa"/>
            <w:tcBorders>
              <w:top w:val="single" w:color="auto" w:sz="8" w:space="0"/>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序号</w:t>
            </w:r>
          </w:p>
        </w:tc>
        <w:tc>
          <w:tcPr>
            <w:tcW w:w="1271" w:type="dxa"/>
            <w:tcBorders>
              <w:top w:val="single" w:color="auto" w:sz="8" w:space="0"/>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整车危害</w:t>
            </w:r>
          </w:p>
        </w:tc>
        <w:tc>
          <w:tcPr>
            <w:tcW w:w="3264" w:type="dxa"/>
            <w:tcBorders>
              <w:top w:val="single" w:color="auto" w:sz="8" w:space="0"/>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安全目标</w:t>
            </w:r>
          </w:p>
        </w:tc>
        <w:tc>
          <w:tcPr>
            <w:tcW w:w="3277" w:type="dxa"/>
            <w:tcBorders>
              <w:top w:val="single" w:color="auto" w:sz="8" w:space="0"/>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制动电子控制系统功能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tcBorders>
              <w:top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1</w:t>
            </w:r>
          </w:p>
        </w:tc>
        <w:tc>
          <w:tcPr>
            <w:tcW w:w="1271" w:type="dxa"/>
            <w:tcBorders>
              <w:top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非预期的减速</w:t>
            </w:r>
          </w:p>
        </w:tc>
        <w:tc>
          <w:tcPr>
            <w:tcW w:w="3264" w:type="dxa"/>
            <w:tcBorders>
              <w:top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车辆非预期的减速应满足非预期减速的安全度量</w:t>
            </w:r>
            <w:r>
              <w:rPr>
                <w:rFonts w:hint="eastAsia"/>
                <w:bCs/>
                <w:spacing w:val="2"/>
                <w:sz w:val="18"/>
                <w:szCs w:val="18"/>
                <w:vertAlign w:val="superscript"/>
              </w:rPr>
              <w:t>a</w:t>
            </w:r>
          </w:p>
        </w:tc>
        <w:tc>
          <w:tcPr>
            <w:tcW w:w="3277" w:type="dxa"/>
            <w:tcBorders>
              <w:top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2</w:t>
            </w:r>
          </w:p>
        </w:tc>
        <w:tc>
          <w:tcPr>
            <w:tcW w:w="1271"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非预期的减速能力下降</w:t>
            </w:r>
          </w:p>
        </w:tc>
        <w:tc>
          <w:tcPr>
            <w:tcW w:w="3264"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车辆非预期的减速能力下降应满足非预期减速能力下降的安全度量</w:t>
            </w:r>
            <w:r>
              <w:rPr>
                <w:rFonts w:hint="eastAsia"/>
                <w:bCs/>
                <w:spacing w:val="2"/>
                <w:sz w:val="18"/>
                <w:szCs w:val="18"/>
                <w:vertAlign w:val="superscript"/>
              </w:rPr>
              <w:t>a</w:t>
            </w:r>
          </w:p>
        </w:tc>
        <w:tc>
          <w:tcPr>
            <w:tcW w:w="3277"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3</w:t>
            </w:r>
          </w:p>
        </w:tc>
        <w:tc>
          <w:tcPr>
            <w:tcW w:w="1271"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非预期的纵向运动</w:t>
            </w:r>
          </w:p>
        </w:tc>
        <w:tc>
          <w:tcPr>
            <w:tcW w:w="3264"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车辆非预期的纵向运动位移应满足非预期的纵向运动的安全度量</w:t>
            </w:r>
            <w:r>
              <w:rPr>
                <w:rFonts w:hint="eastAsia"/>
                <w:bCs/>
                <w:spacing w:val="2"/>
                <w:sz w:val="18"/>
                <w:szCs w:val="18"/>
                <w:vertAlign w:val="superscript"/>
              </w:rPr>
              <w:t>a</w:t>
            </w:r>
          </w:p>
        </w:tc>
        <w:tc>
          <w:tcPr>
            <w:tcW w:w="3277"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采用电子传输的驻车制动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tcBorders>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4</w:t>
            </w:r>
          </w:p>
        </w:tc>
        <w:tc>
          <w:tcPr>
            <w:tcW w:w="1271" w:type="dxa"/>
            <w:tcBorders>
              <w:bottom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非预期的侧向运动</w:t>
            </w:r>
            <w:r>
              <w:rPr>
                <w:rFonts w:hint="eastAsia"/>
                <w:bCs/>
                <w:spacing w:val="2"/>
                <w:sz w:val="18"/>
                <w:szCs w:val="18"/>
                <w:vertAlign w:val="superscript"/>
              </w:rPr>
              <w:t>b</w:t>
            </w:r>
          </w:p>
        </w:tc>
        <w:tc>
          <w:tcPr>
            <w:tcW w:w="3264" w:type="dxa"/>
            <w:tcBorders>
              <w:bottom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车辆非预期的侧向运动应满足非预期侧向运动的安全度量</w:t>
            </w:r>
          </w:p>
        </w:tc>
        <w:tc>
          <w:tcPr>
            <w:tcW w:w="3277" w:type="dxa"/>
            <w:tcBorders>
              <w:bottom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26" w:type="dxa"/>
            <w:gridSpan w:val="4"/>
            <w:tcBorders>
              <w:top w:val="single" w:color="auto" w:sz="8" w:space="0"/>
              <w:bottom w:val="single" w:color="auto" w:sz="8" w:space="0"/>
            </w:tcBorders>
            <w:shd w:val="clear" w:color="auto" w:fill="auto"/>
            <w:vAlign w:val="center"/>
          </w:tcPr>
          <w:p>
            <w:pPr>
              <w:pStyle w:val="4"/>
              <w:spacing w:line="240" w:lineRule="auto"/>
              <w:ind w:firstLine="368"/>
              <w:outlineLvl w:val="2"/>
              <w:rPr>
                <w:bCs/>
                <w:spacing w:val="2"/>
                <w:sz w:val="18"/>
                <w:szCs w:val="18"/>
              </w:rPr>
            </w:pPr>
            <w:r>
              <w:rPr>
                <w:rFonts w:hint="eastAsia"/>
                <w:bCs/>
                <w:spacing w:val="2"/>
                <w:sz w:val="18"/>
                <w:szCs w:val="18"/>
                <w:vertAlign w:val="superscript"/>
              </w:rPr>
              <w:t>a</w:t>
            </w:r>
            <w:r>
              <w:rPr>
                <w:rFonts w:hint="eastAsia"/>
                <w:bCs/>
                <w:spacing w:val="2"/>
                <w:sz w:val="18"/>
                <w:szCs w:val="18"/>
              </w:rPr>
              <w:t>制造商应针对相关整车危害定义安全度量，例如：车辆减速度值、施加在制动控制装置上的控制力、车辆位移等在某个安全范围内。</w:t>
            </w:r>
          </w:p>
          <w:p>
            <w:pPr>
              <w:pStyle w:val="4"/>
              <w:spacing w:line="240" w:lineRule="auto"/>
              <w:ind w:firstLine="368"/>
              <w:outlineLvl w:val="2"/>
              <w:rPr>
                <w:bCs/>
                <w:spacing w:val="2"/>
                <w:szCs w:val="21"/>
              </w:rPr>
            </w:pPr>
            <w:r>
              <w:rPr>
                <w:rFonts w:hint="eastAsia"/>
                <w:bCs/>
                <w:spacing w:val="2"/>
                <w:sz w:val="18"/>
                <w:szCs w:val="18"/>
                <w:vertAlign w:val="superscript"/>
              </w:rPr>
              <w:t>b</w:t>
            </w:r>
            <w:r>
              <w:rPr>
                <w:rFonts w:hint="eastAsia"/>
                <w:bCs/>
                <w:spacing w:val="2"/>
                <w:sz w:val="18"/>
                <w:szCs w:val="18"/>
              </w:rPr>
              <w:t>非预期的侧向运动可能由制动力不均衡、非预期的制动功能激活或丢失而导致车辆偏离预期轨迹。</w:t>
            </w:r>
          </w:p>
        </w:tc>
      </w:tr>
    </w:tbl>
    <w:p>
      <w:pPr>
        <w:pStyle w:val="4"/>
        <w:ind w:firstLine="428"/>
        <w:outlineLvl w:val="2"/>
        <w:rPr>
          <w:bCs/>
          <w:spacing w:val="2"/>
          <w:szCs w:val="21"/>
        </w:rPr>
      </w:pPr>
      <w:r>
        <w:rPr>
          <w:rFonts w:hint="eastAsia"/>
          <w:bCs/>
          <w:spacing w:val="2"/>
          <w:szCs w:val="21"/>
        </w:rPr>
        <w:t>②验证和确认要求</w:t>
      </w:r>
    </w:p>
    <w:p>
      <w:pPr>
        <w:pStyle w:val="4"/>
        <w:ind w:firstLine="428"/>
        <w:outlineLvl w:val="2"/>
        <w:rPr>
          <w:bCs/>
          <w:spacing w:val="2"/>
          <w:szCs w:val="21"/>
        </w:rPr>
      </w:pPr>
      <w:r>
        <w:rPr>
          <w:rFonts w:hint="eastAsia"/>
          <w:bCs/>
          <w:spacing w:val="2"/>
          <w:szCs w:val="21"/>
        </w:rPr>
        <w:t>检测机构应按照上述相关文档的描述，通过开展试验对制动电子控制系统的功能概念和功能安全概念进行验证和确认：功能概念的验证和确认试验，主要按照功能概念，执行制动电子控制系统非故障状态下的功能试验，确认系统正常运行。功能安全概念的验证和确认试验，制造商应配合检测机构开展故障模拟测试，以验证可能导致整车危害的相关故障已被安全措施有效的覆盖，并确认系统及整车实现了功能安全目标。本文件针对防抱制动、电力再生式制动、采用电子传输的驻车制动、具有电控传输的行车制动等制动电子控制系统功能，提出了最小测试用例集合的要求，包括：故障类型、整车危害、试验工况、接受准则，见本文件“表B.2 制动电子控制系统验证和确认测试要求”。以上测试用例在调研了行业不同制动产品类型的典型故障，并结合在不同场景下可能导致的整车危害提出。考虑检测机构开展试验的可操作性，主要针对外置传感器、控制装置、执行器、供电通断类测试，以及通过总线工具类设备可实现的信号篡改、通信接口类测试。对于ECU内部失效，主要通过上述手段模拟在整车层面的影响，并通过文档审核进行覆盖。</w:t>
      </w:r>
    </w:p>
    <w:p>
      <w:pPr>
        <w:pStyle w:val="4"/>
        <w:ind w:firstLine="428"/>
        <w:outlineLvl w:val="2"/>
        <w:rPr>
          <w:bCs/>
          <w:spacing w:val="2"/>
          <w:szCs w:val="21"/>
        </w:rPr>
      </w:pPr>
      <w:r>
        <w:rPr>
          <w:rFonts w:hint="eastAsia"/>
          <w:bCs/>
          <w:spacing w:val="2"/>
          <w:szCs w:val="21"/>
        </w:rPr>
        <w:t>检测机构应通过审核安全分析相关文档，确认故障类型是否存在，且影响上述表中安全目标的实现，如不影响则无需开展测试。对于确认后的故障类型，均应开展验证确认试验，验证确认试验应至少包括本表中规定的试验工况，具体注入故障方式由制造商和检测机构协商确定。对于传感器集成等特殊原因无法在实车层面模拟的故障类型，以及无法通过软件对量产车型实现的故障类型，检测机构应通过审核“详细系统层面的验证确认计划和验证确认结果”、“详细整车层面的确认计划和确认结果”等相关技术文件的方式进行确认，并在试验报告中进行记录。</w:t>
      </w:r>
    </w:p>
    <w:p>
      <w:pPr>
        <w:pStyle w:val="4"/>
        <w:ind w:firstLine="428"/>
        <w:outlineLvl w:val="2"/>
        <w:rPr>
          <w:bCs/>
          <w:spacing w:val="2"/>
          <w:szCs w:val="21"/>
        </w:rPr>
      </w:pPr>
      <w:r>
        <w:rPr>
          <w:rFonts w:hint="eastAsia"/>
          <w:bCs/>
          <w:spacing w:val="2"/>
          <w:szCs w:val="21"/>
        </w:rPr>
        <w:t>附录C规定了制动电子控制系统功能安全试验报告要求，检测机构按照5.1.3和附录B的要求，针对制造商提交及备查的制动电子控制系统功能安全相关文档，进行文档审核评估及抽查试验，并根据本附录的要求在试验报告中记录文档审核评估的内容和结果、验证确认试验步骤和结果。</w:t>
      </w:r>
    </w:p>
    <w:p>
      <w:pPr>
        <w:pStyle w:val="4"/>
        <w:ind w:firstLine="428"/>
        <w:outlineLvl w:val="2"/>
        <w:rPr>
          <w:bCs/>
          <w:spacing w:val="2"/>
          <w:szCs w:val="21"/>
        </w:rPr>
      </w:pPr>
      <w:r>
        <w:rPr>
          <w:bCs/>
          <w:spacing w:val="2"/>
          <w:szCs w:val="21"/>
        </w:rPr>
        <w:t>附录</w:t>
      </w:r>
      <w:r>
        <w:rPr>
          <w:rFonts w:hint="eastAsia"/>
          <w:bCs/>
          <w:spacing w:val="2"/>
          <w:szCs w:val="21"/>
        </w:rPr>
        <w:t>D</w:t>
      </w:r>
      <w:r>
        <w:rPr>
          <w:bCs/>
          <w:spacing w:val="2"/>
          <w:szCs w:val="21"/>
        </w:rPr>
        <w:t>规定了在进行功能安全相关文档审核和试验时</w:t>
      </w:r>
      <w:r>
        <w:rPr>
          <w:rFonts w:hint="eastAsia"/>
          <w:bCs/>
          <w:spacing w:val="2"/>
          <w:szCs w:val="21"/>
        </w:rPr>
        <w:t>，同一型式判定技术条件中关于功能安全</w:t>
      </w:r>
      <w:r>
        <w:rPr>
          <w:bCs/>
          <w:spacing w:val="2"/>
          <w:szCs w:val="21"/>
        </w:rPr>
        <w:t>制动电子控制系统功能安全描述</w:t>
      </w:r>
      <w:r>
        <w:rPr>
          <w:rFonts w:hint="eastAsia"/>
          <w:bCs/>
          <w:spacing w:val="2"/>
          <w:szCs w:val="21"/>
        </w:rPr>
        <w:t>的内容</w:t>
      </w:r>
      <w:r>
        <w:rPr>
          <w:bCs/>
          <w:spacing w:val="2"/>
          <w:szCs w:val="21"/>
        </w:rPr>
        <w:t>要求</w:t>
      </w:r>
      <w:r>
        <w:rPr>
          <w:rFonts w:hint="eastAsia"/>
          <w:bCs/>
          <w:spacing w:val="2"/>
          <w:szCs w:val="21"/>
        </w:rPr>
        <w:t>。</w:t>
      </w:r>
    </w:p>
    <w:p>
      <w:pPr>
        <w:pStyle w:val="4"/>
        <w:ind w:firstLine="0" w:firstLineChars="0"/>
        <w:outlineLvl w:val="2"/>
        <w:rPr>
          <w:rFonts w:ascii="黑体" w:hAnsi="黑体" w:eastAsia="黑体" w:cs="黑体"/>
          <w:bCs/>
          <w:spacing w:val="2"/>
          <w:szCs w:val="21"/>
        </w:rPr>
      </w:pPr>
      <w:r>
        <w:rPr>
          <w:rFonts w:hint="eastAsia" w:ascii="黑体" w:hAnsi="黑体" w:eastAsia="黑体" w:cs="黑体"/>
          <w:bCs/>
          <w:spacing w:val="2"/>
          <w:szCs w:val="21"/>
        </w:rPr>
        <w:t>2.10 其余附录</w:t>
      </w:r>
    </w:p>
    <w:p>
      <w:pPr>
        <w:pStyle w:val="4"/>
        <w:ind w:firstLine="428"/>
        <w:outlineLvl w:val="2"/>
        <w:rPr>
          <w:bCs/>
          <w:spacing w:val="2"/>
          <w:szCs w:val="21"/>
        </w:rPr>
      </w:pPr>
      <w:r>
        <w:rPr>
          <w:rFonts w:hint="eastAsia"/>
          <w:bCs/>
          <w:spacing w:val="2"/>
          <w:szCs w:val="21"/>
        </w:rPr>
        <w:t>附录A规定了动力蓄电池荷电状态检验规程，与老版标准技术内容一致。</w:t>
      </w:r>
    </w:p>
    <w:p>
      <w:pPr>
        <w:pStyle w:val="4"/>
        <w:ind w:firstLine="428"/>
        <w:outlineLvl w:val="2"/>
        <w:rPr>
          <w:bCs/>
          <w:spacing w:val="2"/>
          <w:szCs w:val="21"/>
        </w:rPr>
      </w:pPr>
      <w:r>
        <w:rPr>
          <w:bCs/>
          <w:spacing w:val="2"/>
          <w:szCs w:val="21"/>
        </w:rPr>
        <w:t>老版标准中的</w:t>
      </w:r>
      <w:r>
        <w:rPr>
          <w:rFonts w:hint="eastAsia"/>
          <w:bCs/>
          <w:spacing w:val="2"/>
          <w:szCs w:val="21"/>
        </w:rPr>
        <w:t>“附录E</w:t>
      </w:r>
      <w:r>
        <w:rPr>
          <w:bCs/>
          <w:spacing w:val="2"/>
          <w:szCs w:val="21"/>
        </w:rPr>
        <w:t>试验报告及相关图表要求</w:t>
      </w:r>
      <w:r>
        <w:rPr>
          <w:rFonts w:hint="eastAsia"/>
          <w:bCs/>
          <w:spacing w:val="2"/>
          <w:szCs w:val="21"/>
        </w:rPr>
        <w:t>”</w:t>
      </w:r>
      <w:r>
        <w:rPr>
          <w:bCs/>
          <w:spacing w:val="2"/>
          <w:szCs w:val="21"/>
        </w:rPr>
        <w:t>修改为</w:t>
      </w:r>
      <w:r>
        <w:rPr>
          <w:rFonts w:hint="eastAsia"/>
          <w:bCs/>
          <w:spacing w:val="2"/>
          <w:szCs w:val="21"/>
        </w:rPr>
        <w:t>“</w:t>
      </w:r>
      <w:r>
        <w:rPr>
          <w:bCs/>
          <w:spacing w:val="2"/>
          <w:szCs w:val="21"/>
        </w:rPr>
        <w:t>车辆参数和试验数据处理要求</w:t>
      </w:r>
      <w:r>
        <w:rPr>
          <w:rFonts w:hint="eastAsia"/>
          <w:bCs/>
          <w:spacing w:val="2"/>
          <w:szCs w:val="21"/>
        </w:rPr>
        <w:t>”</w:t>
      </w:r>
      <w:r>
        <w:rPr>
          <w:bCs/>
          <w:spacing w:val="2"/>
          <w:szCs w:val="21"/>
        </w:rPr>
        <w:t>，</w:t>
      </w:r>
      <w:r>
        <w:rPr>
          <w:rFonts w:hint="eastAsia"/>
          <w:bCs/>
          <w:spacing w:val="2"/>
          <w:szCs w:val="21"/>
        </w:rPr>
        <w:t>删除试验记录图表等内容，</w:t>
      </w:r>
      <w:r>
        <w:rPr>
          <w:bCs/>
          <w:spacing w:val="2"/>
          <w:szCs w:val="21"/>
        </w:rPr>
        <w:t>由资料性附录改为规范性附录</w:t>
      </w:r>
      <w:r>
        <w:rPr>
          <w:rFonts w:hint="eastAsia"/>
          <w:bCs/>
          <w:spacing w:val="2"/>
          <w:szCs w:val="21"/>
        </w:rPr>
        <w:t>。</w:t>
      </w:r>
    </w:p>
    <w:p>
      <w:pPr>
        <w:pStyle w:val="4"/>
        <w:ind w:firstLine="428"/>
        <w:outlineLvl w:val="2"/>
        <w:rPr>
          <w:bCs/>
          <w:spacing w:val="2"/>
          <w:szCs w:val="21"/>
        </w:rPr>
      </w:pPr>
      <w:r>
        <w:rPr>
          <w:bCs/>
          <w:spacing w:val="2"/>
          <w:szCs w:val="21"/>
        </w:rPr>
        <w:t>删除了</w:t>
      </w:r>
      <w:r>
        <w:rPr>
          <w:rFonts w:hint="eastAsia"/>
          <w:bCs/>
          <w:spacing w:val="2"/>
          <w:szCs w:val="21"/>
        </w:rPr>
        <w:t xml:space="preserve">老版标准中的“附录C </w:t>
      </w:r>
      <w:r>
        <w:rPr>
          <w:bCs/>
          <w:spacing w:val="2"/>
          <w:szCs w:val="21"/>
        </w:rPr>
        <w:t>制动摩擦衬片的惯性测功机试验方法</w:t>
      </w:r>
      <w:r>
        <w:rPr>
          <w:rFonts w:hint="eastAsia"/>
          <w:bCs/>
          <w:spacing w:val="2"/>
          <w:szCs w:val="21"/>
        </w:rPr>
        <w:t>”。</w:t>
      </w:r>
    </w:p>
    <w:p>
      <w:pPr>
        <w:pStyle w:val="4"/>
        <w:ind w:firstLine="0" w:firstLineChars="0"/>
        <w:outlineLvl w:val="2"/>
        <w:rPr>
          <w:rFonts w:ascii="黑体" w:hAnsi="黑体" w:eastAsia="黑体" w:cs="黑体"/>
          <w:bCs/>
          <w:spacing w:val="2"/>
          <w:szCs w:val="21"/>
        </w:rPr>
      </w:pPr>
      <w:r>
        <w:rPr>
          <w:rFonts w:ascii="黑体" w:hAnsi="黑体" w:eastAsia="黑体" w:cs="黑体"/>
          <w:bCs/>
          <w:spacing w:val="2"/>
          <w:szCs w:val="21"/>
        </w:rPr>
        <w:t>2.11</w:t>
      </w:r>
      <w:r>
        <w:rPr>
          <w:rFonts w:hint="eastAsia" w:ascii="黑体" w:hAnsi="黑体" w:eastAsia="黑体" w:cs="黑体"/>
          <w:bCs/>
          <w:spacing w:val="2"/>
          <w:szCs w:val="21"/>
        </w:rPr>
        <w:t xml:space="preserve"> </w:t>
      </w:r>
      <w:r>
        <w:rPr>
          <w:rFonts w:ascii="黑体" w:hAnsi="黑体" w:eastAsia="黑体" w:cs="黑体"/>
          <w:bCs/>
          <w:spacing w:val="2"/>
          <w:szCs w:val="21"/>
        </w:rPr>
        <w:t>实施过渡期</w:t>
      </w:r>
    </w:p>
    <w:p>
      <w:pPr>
        <w:pStyle w:val="4"/>
        <w:ind w:firstLine="436" w:firstLineChars="0"/>
        <w:outlineLvl w:val="2"/>
        <w:rPr>
          <w:bCs/>
          <w:spacing w:val="2"/>
          <w:szCs w:val="21"/>
        </w:rPr>
      </w:pPr>
      <w:r>
        <w:rPr>
          <w:rFonts w:hint="eastAsia"/>
          <w:bCs/>
          <w:spacing w:val="2"/>
          <w:szCs w:val="21"/>
        </w:rPr>
        <w:t>对于新申请型式批准的车型，5.2.18 f）、5.2.19 b）的要求，自本文件实施之日起第13个月开始执行。上述条款之外的其余要求，自本文件实施之日起开始执行。</w:t>
      </w:r>
      <w:bookmarkEnd w:id="39"/>
      <w:bookmarkEnd w:id="40"/>
      <w:r>
        <w:rPr>
          <w:bCs/>
          <w:spacing w:val="2"/>
          <w:szCs w:val="21"/>
        </w:rPr>
        <w:t>对于已获得型式批准的车型，自本文件实施之日起第13个月开始执行。</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12" w:name="_Toc64898477"/>
      <w:bookmarkStart w:id="113" w:name="_Toc160777657"/>
      <w:r>
        <w:rPr>
          <w:rFonts w:hint="eastAsia" w:ascii="黑体" w:hAnsi="黑体" w:eastAsia="黑体" w:cs="宋体"/>
          <w:bCs/>
          <w:color w:val="000000"/>
          <w:kern w:val="0"/>
          <w:sz w:val="24"/>
        </w:rPr>
        <w:t>与有关法律、行政法规和其他标准的关系</w:t>
      </w:r>
      <w:bookmarkEnd w:id="112"/>
      <w:bookmarkEnd w:id="113"/>
    </w:p>
    <w:p>
      <w:pPr>
        <w:pStyle w:val="4"/>
        <w:spacing w:line="400" w:lineRule="exact"/>
        <w:ind w:firstLine="420"/>
      </w:pPr>
      <w:r>
        <w:rPr>
          <w:rFonts w:hint="eastAsia"/>
        </w:rPr>
        <w:t xml:space="preserve">1）本标准在标准体系中的位置：本标准属于汽车制动领域中整车制动性能的重要内容。汽车制动领域标准体系框架图见下图。 </w:t>
      </w:r>
    </w:p>
    <w:p>
      <w:pPr>
        <w:pStyle w:val="4"/>
        <w:spacing w:line="400" w:lineRule="exact"/>
        <w:ind w:firstLine="420"/>
      </w:pPr>
    </w:p>
    <w:p>
      <w:pPr>
        <w:pStyle w:val="4"/>
        <w:spacing w:line="400" w:lineRule="exact"/>
        <w:ind w:firstLine="420"/>
      </w:pPr>
      <w:r>
        <w:drawing>
          <wp:anchor distT="0" distB="0" distL="114300" distR="114300" simplePos="0" relativeHeight="251659264" behindDoc="0" locked="0" layoutInCell="1" allowOverlap="1">
            <wp:simplePos x="0" y="0"/>
            <wp:positionH relativeFrom="column">
              <wp:posOffset>1120140</wp:posOffset>
            </wp:positionH>
            <wp:positionV relativeFrom="paragraph">
              <wp:posOffset>160020</wp:posOffset>
            </wp:positionV>
            <wp:extent cx="3093085" cy="2023745"/>
            <wp:effectExtent l="0" t="0" r="635" b="3175"/>
            <wp:wrapTopAndBottom/>
            <wp:docPr id="129138836" name="图片 4" descr="2950367097462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8836" name="图片 4" descr="29503670974621490"/>
                    <pic:cNvPicPr>
                      <a:picLocks noChangeAspect="1"/>
                    </pic:cNvPicPr>
                  </pic:nvPicPr>
                  <pic:blipFill>
                    <a:blip r:embed="rId8"/>
                    <a:stretch>
                      <a:fillRect/>
                    </a:stretch>
                  </pic:blipFill>
                  <pic:spPr>
                    <a:xfrm>
                      <a:off x="0" y="0"/>
                      <a:ext cx="3093085" cy="2023745"/>
                    </a:xfrm>
                    <a:prstGeom prst="rect">
                      <a:avLst/>
                    </a:prstGeom>
                    <a:noFill/>
                    <a:ln>
                      <a:noFill/>
                    </a:ln>
                  </pic:spPr>
                </pic:pic>
              </a:graphicData>
            </a:graphic>
          </wp:anchor>
        </w:drawing>
      </w:r>
    </w:p>
    <w:p>
      <w:pPr>
        <w:pStyle w:val="4"/>
        <w:spacing w:line="400" w:lineRule="exact"/>
        <w:ind w:firstLine="420"/>
        <w:rPr>
          <w:rFonts w:ascii="黑体" w:hAnsi="黑体" w:eastAsia="黑体" w:cs="宋体"/>
          <w:bCs/>
          <w:color w:val="000000"/>
          <w:kern w:val="0"/>
          <w:sz w:val="24"/>
        </w:rPr>
      </w:pPr>
      <w:r>
        <w:rPr>
          <w:rFonts w:hint="eastAsia"/>
        </w:rPr>
        <w:t>本标准属于汽车制动标准体系中整车制动性能标准，</w:t>
      </w:r>
      <w:r>
        <w:rPr>
          <w:szCs w:val="21"/>
        </w:rPr>
        <w:t>是贯彻落实中华人民共和国工业和信息化部令第50号《道路机动车辆生产企业及产品准入管理办法》和中华人民共和国工业和信息化部公告2019年第1号《道路机动车辆生产企业准入审查要求和道路机动车辆产品准入审查要求》等法规、政策的重要配套标准。</w:t>
      </w:r>
      <w:r>
        <w:rPr>
          <w:rFonts w:hint="eastAsia"/>
        </w:rPr>
        <w:t>与现行相关法律、法规、规章及相关标准没有冲突或矛盾。</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14" w:name="_Toc64898478"/>
      <w:bookmarkStart w:id="115" w:name="_Toc160777658"/>
      <w:r>
        <w:rPr>
          <w:rFonts w:hint="eastAsia" w:ascii="黑体" w:hAnsi="黑体" w:eastAsia="黑体" w:cs="宋体"/>
          <w:bCs/>
          <w:color w:val="000000"/>
          <w:kern w:val="0"/>
          <w:sz w:val="24"/>
        </w:rPr>
        <w:t>与国际标准化组织、其他国家或者地区有关法律法规和标准的比对分析</w:t>
      </w:r>
      <w:bookmarkEnd w:id="114"/>
      <w:bookmarkEnd w:id="115"/>
    </w:p>
    <w:p>
      <w:pPr>
        <w:pStyle w:val="4"/>
        <w:ind w:firstLine="428"/>
        <w:outlineLvl w:val="2"/>
        <w:rPr>
          <w:bCs/>
          <w:spacing w:val="2"/>
          <w:szCs w:val="21"/>
        </w:rPr>
      </w:pPr>
      <w:r>
        <w:rPr>
          <w:rFonts w:hint="eastAsia"/>
          <w:bCs/>
          <w:spacing w:val="2"/>
          <w:szCs w:val="21"/>
        </w:rPr>
        <w:t>本文件参考UN R13-H（Rev.4及其修正案）《乘用车制动系统型式批准的统一规定》编制，与UN R13-H的一致性程度为非等效。</w:t>
      </w:r>
    </w:p>
    <w:p>
      <w:pPr>
        <w:pStyle w:val="4"/>
        <w:spacing w:line="400" w:lineRule="exact"/>
        <w:ind w:firstLine="420"/>
      </w:pPr>
      <w:r>
        <w:t>本文件与UN R13-H相比，主要技术差异和编辑性修改如下：</w:t>
      </w:r>
    </w:p>
    <w:p>
      <w:pPr>
        <w:pStyle w:val="4"/>
        <w:spacing w:line="400" w:lineRule="exact"/>
        <w:ind w:left="840" w:leftChars="200" w:hanging="420" w:hangingChars="200"/>
      </w:pPr>
      <w:r>
        <w:t>——删除UN R13-H适用于N</w:t>
      </w:r>
      <w:r>
        <w:rPr>
          <w:vertAlign w:val="subscript"/>
        </w:rPr>
        <w:t>1</w:t>
      </w:r>
      <w:r>
        <w:t>类的表述；</w:t>
      </w:r>
    </w:p>
    <w:p>
      <w:pPr>
        <w:pStyle w:val="4"/>
        <w:spacing w:line="400" w:lineRule="exact"/>
        <w:ind w:left="840" w:leftChars="200" w:hanging="420" w:hangingChars="200"/>
      </w:pPr>
      <w:r>
        <w:t>——删除UN R13-H附件1、附件2有关型式批准的内容；</w:t>
      </w:r>
    </w:p>
    <w:p>
      <w:pPr>
        <w:pStyle w:val="4"/>
        <w:spacing w:line="400" w:lineRule="exact"/>
        <w:ind w:left="840" w:leftChars="200" w:hanging="420" w:hangingChars="200"/>
      </w:pPr>
      <w:r>
        <w:t>——将本文件所涉及的符号和缩略语汇总至第4章；</w:t>
      </w:r>
    </w:p>
    <w:p>
      <w:pPr>
        <w:pStyle w:val="4"/>
        <w:spacing w:line="400" w:lineRule="exact"/>
        <w:ind w:left="840" w:leftChars="200" w:hanging="420" w:hangingChars="200"/>
      </w:pPr>
      <w:r>
        <w:t>——将UN R13-H附件3、附件4、附件5和附件6的内容编入本文件正文部分；</w:t>
      </w:r>
    </w:p>
    <w:p>
      <w:pPr>
        <w:pStyle w:val="4"/>
        <w:spacing w:line="400" w:lineRule="exact"/>
        <w:ind w:left="840" w:leftChars="200" w:hanging="420" w:hangingChars="200"/>
      </w:pPr>
      <w:r>
        <w:t>——更改了UN R13-H附件8中的功能安全要求；</w:t>
      </w:r>
    </w:p>
    <w:p>
      <w:pPr>
        <w:pStyle w:val="4"/>
        <w:spacing w:line="400" w:lineRule="exact"/>
        <w:ind w:left="840" w:leftChars="200" w:hanging="420" w:hangingChars="200"/>
      </w:pPr>
      <w:r>
        <w:t>——对于部分最高设计车速较低的车辆受加速性能限制而不能达到规定试验车速，允许该类车辆以试验时所能达到的最高车速进行动力脱开的0型试验；</w:t>
      </w:r>
    </w:p>
    <w:p>
      <w:pPr>
        <w:pStyle w:val="4"/>
        <w:spacing w:line="400" w:lineRule="exact"/>
        <w:ind w:left="840" w:leftChars="200" w:hanging="420" w:hangingChars="200"/>
      </w:pPr>
      <w:r>
        <w:t>——增加“车型批准和扩展”的要求；</w:t>
      </w:r>
    </w:p>
    <w:p>
      <w:pPr>
        <w:pStyle w:val="4"/>
        <w:spacing w:line="400" w:lineRule="exact"/>
        <w:ind w:left="840" w:leftChars="200" w:hanging="420" w:hangingChars="200"/>
      </w:pPr>
      <w:r>
        <w:t>——提供完整的试验方法；</w:t>
      </w:r>
    </w:p>
    <w:p>
      <w:pPr>
        <w:pStyle w:val="4"/>
        <w:spacing w:line="400" w:lineRule="exact"/>
        <w:ind w:left="840" w:leftChars="200" w:hanging="420" w:hangingChars="200"/>
      </w:pPr>
      <w:r>
        <w:t>——将UN R13-H附件3-附录1作为本文件的附录A；</w:t>
      </w:r>
    </w:p>
    <w:p>
      <w:pPr>
        <w:pStyle w:val="4"/>
        <w:spacing w:line="400" w:lineRule="exact"/>
        <w:ind w:left="840" w:leftChars="200" w:hanging="420" w:hangingChars="200"/>
      </w:pPr>
      <w:r>
        <w:t>——增加了附录C制动电子控制系统功能安全试验报告要求；</w:t>
      </w:r>
    </w:p>
    <w:p>
      <w:pPr>
        <w:pStyle w:val="4"/>
        <w:spacing w:line="400" w:lineRule="exact"/>
        <w:ind w:left="840" w:leftChars="200" w:hanging="420" w:hangingChars="200"/>
      </w:pPr>
      <w:r>
        <w:t>——增加了附录D制动电子控制系统功能安全描述要求；</w:t>
      </w:r>
    </w:p>
    <w:p>
      <w:pPr>
        <w:pStyle w:val="4"/>
        <w:spacing w:line="400" w:lineRule="exact"/>
        <w:ind w:left="840" w:leftChars="200" w:hanging="420" w:hangingChars="200"/>
      </w:pPr>
      <w:r>
        <w:t>——增加了附录E车辆参数和试验数据处理；</w:t>
      </w:r>
    </w:p>
    <w:p>
      <w:pPr>
        <w:pStyle w:val="4"/>
        <w:spacing w:line="400" w:lineRule="exact"/>
        <w:ind w:left="840" w:leftChars="200" w:hanging="420" w:hangingChars="200"/>
      </w:pPr>
      <w:r>
        <w:rPr>
          <w:rFonts w:hint="eastAsia"/>
        </w:rPr>
        <w:t>——</w:t>
      </w:r>
      <w:r>
        <w:t>增加了附录F（规范性）配备临时备用车轮/轮胎的车辆制动和跑偏试验要求。</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16" w:name="_Toc64898479"/>
      <w:bookmarkStart w:id="117" w:name="_Toc160777659"/>
      <w:r>
        <w:rPr>
          <w:rFonts w:hint="eastAsia" w:ascii="黑体" w:hAnsi="黑体" w:eastAsia="黑体" w:cs="宋体"/>
          <w:bCs/>
          <w:color w:val="000000"/>
          <w:kern w:val="0"/>
          <w:sz w:val="24"/>
        </w:rPr>
        <w:t>重大分歧意见的处理过程、处理意见及其依据</w:t>
      </w:r>
      <w:bookmarkEnd w:id="116"/>
      <w:bookmarkEnd w:id="117"/>
    </w:p>
    <w:p>
      <w:pPr>
        <w:pStyle w:val="2"/>
        <w:ind w:firstLine="420"/>
      </w:pPr>
      <w:r>
        <w:rPr>
          <w:rFonts w:hint="eastAsia"/>
        </w:rPr>
        <w:t>无。</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18" w:name="_Toc64898480"/>
      <w:bookmarkStart w:id="119" w:name="_Toc160777660"/>
      <w:r>
        <w:rPr>
          <w:rFonts w:hint="eastAsia" w:ascii="黑体" w:hAnsi="黑体" w:eastAsia="黑体" w:cs="宋体"/>
          <w:bCs/>
          <w:color w:val="000000"/>
          <w:kern w:val="0"/>
          <w:sz w:val="24"/>
        </w:rPr>
        <w:t>对强制性国家标准自发布日期至实施日期之间的过渡期的建议及理由</w:t>
      </w:r>
      <w:bookmarkEnd w:id="118"/>
      <w:bookmarkEnd w:id="119"/>
    </w:p>
    <w:p>
      <w:pPr>
        <w:pStyle w:val="2"/>
        <w:ind w:firstLine="420"/>
      </w:pPr>
      <w:r>
        <w:t>本标准与替代标准存在较大差异，建议设置一定过渡期要求。过渡期的建议如下：</w:t>
      </w:r>
    </w:p>
    <w:p>
      <w:pPr>
        <w:pStyle w:val="2"/>
        <w:ind w:firstLine="420"/>
      </w:pPr>
      <w:r>
        <w:rPr>
          <w:rFonts w:hint="eastAsia"/>
        </w:rPr>
        <w:t>于新申请型式批准的车型，5.2.18 f）、5.2.19 b）的要求，自本文件实施之日起第13个月开始执行。上述条款之外的其余要求，自本文件实施之日起开始执行。</w:t>
      </w:r>
    </w:p>
    <w:p>
      <w:pPr>
        <w:pStyle w:val="2"/>
        <w:ind w:firstLine="420"/>
      </w:pPr>
      <w:r>
        <w:rPr>
          <w:rFonts w:hint="eastAsia"/>
        </w:rPr>
        <w:t>对于已获得型式批准的车型，自本文件实施之日起第13个月开始执行。</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20" w:name="_Toc160777661"/>
      <w:bookmarkStart w:id="121" w:name="_Toc64898481"/>
      <w:r>
        <w:rPr>
          <w:rFonts w:hint="eastAsia" w:ascii="黑体" w:hAnsi="黑体" w:eastAsia="黑体" w:cs="宋体"/>
          <w:bCs/>
          <w:color w:val="000000"/>
          <w:kern w:val="0"/>
          <w:sz w:val="24"/>
        </w:rPr>
        <w:t>与实施强制性国家标准有关的政策措施</w:t>
      </w:r>
      <w:bookmarkEnd w:id="120"/>
      <w:bookmarkEnd w:id="121"/>
    </w:p>
    <w:p>
      <w:pPr>
        <w:spacing w:line="400" w:lineRule="exact"/>
        <w:ind w:firstLine="420"/>
      </w:pPr>
      <w:r>
        <w:t>本标准的实施监督管理部门为中华人民共和国工业和信息化部。</w:t>
      </w:r>
    </w:p>
    <w:p>
      <w:pPr>
        <w:spacing w:line="400" w:lineRule="exact"/>
        <w:ind w:firstLine="420"/>
      </w:pPr>
      <w:r>
        <w:t>工业和信息化部发布了《道路机动车辆生产企业及产品准入管理办法》（工业和信息化部令第50号），通过《道路机动车辆生产企业及产品公告》对道路机动车辆生产企业及产品进行准入管理。本强制性国家标准将纳入该管理体系，由国家工业和信息化部依据本标准对相关产品进行准入管理，并依法对违反强制性国家标准的行为进行处理。</w:t>
      </w:r>
    </w:p>
    <w:p>
      <w:pPr>
        <w:spacing w:line="400" w:lineRule="exact"/>
        <w:ind w:firstLine="420"/>
      </w:pPr>
      <w:r>
        <w:t>《中华人民共和国标准化法》第二十</w:t>
      </w:r>
      <w:r>
        <w:rPr>
          <w:rFonts w:hint="eastAsia"/>
        </w:rPr>
        <w:t>五条规定“不符合强制性标准的产品、服务，不得生产、销售、进口或者提供”；第三十六条规定“生产、销售、进口产品或者提供服务不符合强制性标准，或者企业生产的产品、提供的服务不符合其公开标准的技术要求的，依法承担民事责任”。</w:t>
      </w:r>
    </w:p>
    <w:p>
      <w:pPr>
        <w:spacing w:line="400" w:lineRule="exact"/>
        <w:ind w:firstLine="420"/>
      </w:pPr>
      <w:r>
        <w:t>《中华人民共和国产品质量法》第十三条明确规</w:t>
      </w:r>
      <w:r>
        <w:rPr>
          <w:rFonts w:hint="eastAsia"/>
        </w:rPr>
        <w:t>定，“可能危及人体健康和人身、财产安全的工业产品，必须符合保障人体健康和人身、财产安全的国家标准、行业标准”。</w:t>
      </w:r>
    </w:p>
    <w:p>
      <w:pPr>
        <w:spacing w:line="400" w:lineRule="exact"/>
        <w:ind w:firstLine="420"/>
      </w:pPr>
      <w:r>
        <w:t>工信部发布的《车辆生产企业及产品生产一致性监督管理办法》中也明确提出</w:t>
      </w:r>
      <w:r>
        <w:rPr>
          <w:rFonts w:hint="eastAsia"/>
        </w:rPr>
        <w:t>，“工业和信息化部通过生产一致性监督检查，确认车辆生产企业生产和销售的产品是否符合一致性要求，是否符合国家政策和管理规定以及强制性标准、法规要求”。</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22" w:name="_Toc64898482"/>
      <w:bookmarkStart w:id="123" w:name="_Toc160777662"/>
      <w:r>
        <w:rPr>
          <w:rFonts w:hint="eastAsia" w:ascii="黑体" w:hAnsi="黑体" w:eastAsia="黑体" w:cs="宋体"/>
          <w:bCs/>
          <w:color w:val="000000"/>
          <w:kern w:val="0"/>
          <w:sz w:val="24"/>
        </w:rPr>
        <w:t>是否需要对外通报的建议及理由</w:t>
      </w:r>
      <w:bookmarkEnd w:id="122"/>
      <w:bookmarkEnd w:id="123"/>
    </w:p>
    <w:p>
      <w:pPr>
        <w:pStyle w:val="2"/>
        <w:ind w:firstLine="420"/>
      </w:pPr>
      <w:r>
        <w:rPr>
          <w:rFonts w:hint="eastAsia"/>
        </w:rPr>
        <w:t>本文件规定了乘用车制动系统的技术要求和试验方法。适用于GB/T 15089规定的M</w:t>
      </w:r>
      <w:r>
        <w:rPr>
          <w:rFonts w:hint="eastAsia"/>
          <w:vertAlign w:val="subscript"/>
        </w:rPr>
        <w:t>1</w:t>
      </w:r>
      <w:r>
        <w:rPr>
          <w:rFonts w:hint="eastAsia"/>
        </w:rPr>
        <w:t>类车辆。</w:t>
      </w:r>
      <w:r>
        <w:t>本标准部分技术条款与国际标准或者与有关国际标准技术要求不完全一致，且本标准涉及人身健康和生命财产安全，依据《强制性国家标准管理办法》与世界贸易组织的要求，需要进行WTO/TBT通报。</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24" w:name="_Toc160777663"/>
      <w:bookmarkStart w:id="125" w:name="_Toc64898483"/>
      <w:r>
        <w:rPr>
          <w:rFonts w:hint="eastAsia" w:ascii="黑体" w:hAnsi="黑体" w:eastAsia="黑体" w:cs="宋体"/>
          <w:bCs/>
          <w:color w:val="000000"/>
          <w:kern w:val="0"/>
          <w:sz w:val="24"/>
        </w:rPr>
        <w:t>废止现行有关标准的建议</w:t>
      </w:r>
      <w:bookmarkEnd w:id="124"/>
      <w:bookmarkEnd w:id="125"/>
    </w:p>
    <w:p>
      <w:pPr>
        <w:spacing w:line="400" w:lineRule="exact"/>
        <w:ind w:firstLine="420"/>
      </w:pPr>
      <w:r>
        <w:t>该强制性标准发布实施后，代替GB 21670</w:t>
      </w:r>
      <w:r>
        <w:rPr>
          <w:rFonts w:hint="eastAsia"/>
        </w:rPr>
        <w:t>—2</w:t>
      </w:r>
      <w:r>
        <w:t>008</w:t>
      </w:r>
      <w:r>
        <w:rPr>
          <w:rFonts w:hint="eastAsia"/>
        </w:rPr>
        <w:t>《乘用车制动系统技术要求及试验方法》。</w:t>
      </w:r>
    </w:p>
    <w:p>
      <w:pPr>
        <w:spacing w:line="400" w:lineRule="exact"/>
        <w:ind w:firstLine="420"/>
      </w:pPr>
      <w:r>
        <w:rPr>
          <w:rFonts w:hint="eastAsia"/>
        </w:rPr>
        <w:t>本标准实施之日起，</w:t>
      </w:r>
      <w:r>
        <w:t>GB 21670</w:t>
      </w:r>
      <w:r>
        <w:rPr>
          <w:rFonts w:hint="eastAsia"/>
        </w:rPr>
        <w:t>—2</w:t>
      </w:r>
      <w:r>
        <w:t>008</w:t>
      </w:r>
      <w:r>
        <w:rPr>
          <w:rFonts w:hint="eastAsia"/>
        </w:rPr>
        <w:t>《乘用车制动系统技术要求及试验方法》作废。</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26" w:name="_Toc160777664"/>
      <w:bookmarkStart w:id="127" w:name="_Toc64898484"/>
      <w:r>
        <w:rPr>
          <w:rFonts w:hint="eastAsia" w:ascii="黑体" w:hAnsi="黑体" w:eastAsia="黑体" w:cs="宋体"/>
          <w:bCs/>
          <w:color w:val="000000"/>
          <w:kern w:val="0"/>
          <w:sz w:val="24"/>
        </w:rPr>
        <w:t>涉及专利的有关说明</w:t>
      </w:r>
      <w:bookmarkEnd w:id="126"/>
      <w:bookmarkEnd w:id="127"/>
    </w:p>
    <w:p>
      <w:pPr>
        <w:spacing w:line="400" w:lineRule="exact"/>
        <w:ind w:firstLine="420"/>
      </w:pPr>
      <w:r>
        <w:rPr>
          <w:rFonts w:hint="eastAsia"/>
        </w:rPr>
        <w:t>无</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28" w:name="_Toc64898485"/>
      <w:bookmarkStart w:id="129" w:name="_Toc160777665"/>
      <w:r>
        <w:rPr>
          <w:rFonts w:hint="eastAsia" w:ascii="黑体" w:hAnsi="黑体" w:eastAsia="黑体" w:cs="宋体"/>
          <w:bCs/>
          <w:color w:val="000000"/>
          <w:kern w:val="0"/>
          <w:sz w:val="24"/>
        </w:rPr>
        <w:t>强制性国家标准所涉及的产品、过程或者服务目录</w:t>
      </w:r>
      <w:bookmarkEnd w:id="128"/>
      <w:bookmarkEnd w:id="129"/>
    </w:p>
    <w:p>
      <w:pPr>
        <w:spacing w:line="400" w:lineRule="exact"/>
        <w:ind w:firstLine="420"/>
      </w:pPr>
      <w:r>
        <w:rPr>
          <w:rFonts w:hint="eastAsia"/>
        </w:rPr>
        <w:t>本标准涉及乘用车（M</w:t>
      </w:r>
      <w:r>
        <w:rPr>
          <w:rFonts w:hint="eastAsia"/>
          <w:vertAlign w:val="subscript"/>
        </w:rPr>
        <w:t>1</w:t>
      </w:r>
      <w:r>
        <w:rPr>
          <w:rFonts w:hint="eastAsia"/>
        </w:rPr>
        <w:t>类车辆）制动系统。</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30" w:name="_Toc64898486"/>
      <w:bookmarkStart w:id="131" w:name="_Toc160777666"/>
      <w:r>
        <w:rPr>
          <w:rFonts w:hint="eastAsia" w:ascii="黑体" w:hAnsi="黑体" w:eastAsia="黑体" w:cs="宋体"/>
          <w:bCs/>
          <w:color w:val="000000"/>
          <w:kern w:val="0"/>
          <w:sz w:val="24"/>
        </w:rPr>
        <w:t>其他应当予以说明的事项</w:t>
      </w:r>
      <w:bookmarkEnd w:id="130"/>
      <w:bookmarkEnd w:id="131"/>
    </w:p>
    <w:p>
      <w:pPr>
        <w:spacing w:line="400" w:lineRule="exact"/>
        <w:ind w:firstLine="420"/>
      </w:pPr>
      <w:r>
        <w:rPr>
          <w:rFonts w:hint="eastAsia"/>
        </w:rPr>
        <w:t>无。</w:t>
      </w:r>
    </w:p>
    <w:bookmarkEnd w:id="26"/>
    <w:p>
      <w:pPr>
        <w:spacing w:line="400" w:lineRule="exact"/>
        <w:ind w:firstLine="420"/>
        <w:jc w:val="right"/>
      </w:pPr>
    </w:p>
    <w:p>
      <w:pPr>
        <w:spacing w:line="400" w:lineRule="exact"/>
        <w:ind w:firstLine="420"/>
        <w:jc w:val="right"/>
      </w:pPr>
    </w:p>
    <w:p>
      <w:pPr>
        <w:pStyle w:val="4"/>
        <w:ind w:firstLine="420"/>
      </w:pPr>
      <w:bookmarkStart w:id="132" w:name="_GoBack"/>
      <w:bookmarkEnd w:id="132"/>
    </w:p>
    <w:sectPr>
      <w:footerReference r:id="rId6" w:type="first"/>
      <w:footerReference r:id="rId5" w:type="default"/>
      <w:type w:val="continuous"/>
      <w:pgSz w:w="11906" w:h="16838"/>
      <w:pgMar w:top="1440" w:right="1800" w:bottom="1440" w:left="1800"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18030">
    <w:altName w:val="Arial Unicode MS"/>
    <w:panose1 w:val="00000000000000000000"/>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360"/>
                            <w:rPr>
                              <w:rStyle w:val="12"/>
                            </w:rPr>
                          </w:pPr>
                          <w:r>
                            <w:fldChar w:fldCharType="begin"/>
                          </w:r>
                          <w:r>
                            <w:rPr>
                              <w:rStyle w:val="12"/>
                            </w:rPr>
                            <w:instrText xml:space="preserve">PAGE  </w:instrText>
                          </w:r>
                          <w:r>
                            <w:fldChar w:fldCharType="separate"/>
                          </w:r>
                          <w:r>
                            <w:rPr>
                              <w:rStyle w:val="12"/>
                            </w:rP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5"/>
                      <w:ind w:firstLine="360"/>
                      <w:rPr>
                        <w:rStyle w:val="12"/>
                      </w:rPr>
                    </w:pPr>
                    <w:r>
                      <w:fldChar w:fldCharType="begin"/>
                    </w:r>
                    <w:r>
                      <w:rPr>
                        <w:rStyle w:val="12"/>
                      </w:rPr>
                      <w:instrText xml:space="preserve">PAGE  </w:instrText>
                    </w:r>
                    <w:r>
                      <w:fldChar w:fldCharType="separate"/>
                    </w:r>
                    <w:r>
                      <w:rPr>
                        <w:rStyle w:val="12"/>
                      </w:rP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360"/>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B9D9C"/>
    <w:multiLevelType w:val="singleLevel"/>
    <w:tmpl w:val="C75B9D9C"/>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6215419"/>
    <w:multiLevelType w:val="multilevel"/>
    <w:tmpl w:val="0621541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pStyle w:val="16"/>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F844F74"/>
    <w:multiLevelType w:val="multilevel"/>
    <w:tmpl w:val="1F844F74"/>
    <w:lvl w:ilvl="0" w:tentative="0">
      <w:start w:val="2"/>
      <w:numFmt w:val="lowerLetter"/>
      <w:pStyle w:val="21"/>
      <w:lvlText w:val="%1)"/>
      <w:lvlJc w:val="left"/>
      <w:pPr>
        <w:tabs>
          <w:tab w:val="left" w:pos="851"/>
        </w:tabs>
        <w:ind w:left="851" w:hanging="426"/>
      </w:pPr>
      <w:rPr>
        <w:rFonts w:hint="default" w:ascii="宋体" w:hAnsi="Times New Roman" w:eastAsia="宋体"/>
        <w:sz w:val="21"/>
      </w:rPr>
    </w:lvl>
    <w:lvl w:ilvl="1" w:tentative="0">
      <w:start w:val="2"/>
      <w:numFmt w:val="decimal"/>
      <w:pStyle w:val="30"/>
      <w:lvlText w:val="%2)"/>
      <w:lvlJc w:val="left"/>
      <w:pPr>
        <w:tabs>
          <w:tab w:val="left" w:pos="1276"/>
        </w:tabs>
        <w:ind w:left="1276" w:hanging="425"/>
      </w:pPr>
      <w:rPr>
        <w:rFonts w:hint="default"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2305312E"/>
    <w:multiLevelType w:val="multilevel"/>
    <w:tmpl w:val="2305312E"/>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18"/>
      <w:suff w:val="nothing"/>
      <w:lvlText w:val="%1%2.%3　"/>
      <w:lvlJc w:val="left"/>
      <w:rPr>
        <w:rFonts w:hint="eastAsia" w:ascii="黑体" w:hAnsi="Times New Roman" w:eastAsia="黑体" w:cs="Times New Roman"/>
        <w:b w:val="0"/>
        <w:i w:val="0"/>
        <w:color w:val="auto"/>
        <w:sz w:val="21"/>
      </w:rPr>
    </w:lvl>
    <w:lvl w:ilvl="3" w:tentative="0">
      <w:start w:val="1"/>
      <w:numFmt w:val="decimal"/>
      <w:pStyle w:val="17"/>
      <w:suff w:val="nothing"/>
      <w:lvlText w:val="%2%1.%3.%4　"/>
      <w:lvlJc w:val="left"/>
      <w:pPr>
        <w:ind w:left="630"/>
      </w:pPr>
      <w:rPr>
        <w:rFonts w:hint="eastAsia" w:ascii="黑体" w:hAnsi="Times New Roman" w:eastAsia="黑体" w:cs="Times New Roman"/>
        <w:b w:val="0"/>
        <w:i w:val="0"/>
        <w:sz w:val="21"/>
      </w:rPr>
    </w:lvl>
    <w:lvl w:ilvl="4" w:tentative="0">
      <w:start w:val="1"/>
      <w:numFmt w:val="decimal"/>
      <w:suff w:val="nothing"/>
      <w:lvlText w:val="%14.%3.2.%5　"/>
      <w:lvlJc w:val="left"/>
      <w:pPr>
        <w:ind w:left="735"/>
      </w:pPr>
      <w:rPr>
        <w:rFonts w:hint="eastAsia" w:ascii="黑体" w:hAnsi="Times New Roman" w:eastAsia="黑体" w:cs="Times New Roman"/>
        <w:b w:val="0"/>
        <w:i w:val="0"/>
        <w:color w:val="auto"/>
        <w:sz w:val="21"/>
      </w:rPr>
    </w:lvl>
    <w:lvl w:ilvl="5" w:tentative="0">
      <w:start w:val="1"/>
      <w:numFmt w:val="decimal"/>
      <w:suff w:val="nothing"/>
      <w:lvlText w:val="%1%2.%3.%4.%5.%6　"/>
      <w:lvlJc w:val="left"/>
      <w:rPr>
        <w:rFonts w:hint="eastAsia" w:ascii="黑体" w:hAnsi="Times New Roman" w:eastAsia="黑体" w:cs="Times New Roman"/>
        <w:b w:val="0"/>
        <w:i w:val="0"/>
        <w:color w:val="auto"/>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5917C3"/>
    <w:multiLevelType w:val="multilevel"/>
    <w:tmpl w:val="2C5917C3"/>
    <w:lvl w:ilvl="0" w:tentative="0">
      <w:start w:val="1"/>
      <w:numFmt w:val="none"/>
      <w:pStyle w:val="2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8"/>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2DCDDA47"/>
    <w:multiLevelType w:val="singleLevel"/>
    <w:tmpl w:val="2DCDDA47"/>
    <w:lvl w:ilvl="0" w:tentative="0">
      <w:start w:val="2"/>
      <w:numFmt w:val="decimal"/>
      <w:suff w:val="nothing"/>
      <w:lvlText w:val="%1、"/>
      <w:lvlJc w:val="left"/>
    </w:lvl>
  </w:abstractNum>
  <w:abstractNum w:abstractNumId="7">
    <w:nsid w:val="32F04FB2"/>
    <w:multiLevelType w:val="multilevel"/>
    <w:tmpl w:val="32F04FB2"/>
    <w:lvl w:ilvl="0" w:tentative="0">
      <w:start w:val="1"/>
      <w:numFmt w:val="lowerLetter"/>
      <w:pStyle w:val="4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8">
    <w:nsid w:val="37671033"/>
    <w:multiLevelType w:val="singleLevel"/>
    <w:tmpl w:val="37671033"/>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9">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646260FA"/>
    <w:multiLevelType w:val="multilevel"/>
    <w:tmpl w:val="646260FA"/>
    <w:lvl w:ilvl="0" w:tentative="0">
      <w:start w:val="1"/>
      <w:numFmt w:val="decimal"/>
      <w:pStyle w:val="3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657D3FBC"/>
    <w:multiLevelType w:val="multilevel"/>
    <w:tmpl w:val="657D3FBC"/>
    <w:lvl w:ilvl="0" w:tentative="0">
      <w:start w:val="4"/>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4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4.7.1.4.1.1.%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1"/>
      <w:suff w:val="nothing"/>
      <w:lvlText w:val="%1%2　"/>
      <w:lvlJc w:val="left"/>
      <w:pPr>
        <w:ind w:left="0" w:firstLine="0"/>
      </w:pPr>
      <w:rPr>
        <w:rFonts w:hint="eastAsia" w:ascii="黑体"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35"/>
      <w:suff w:val="nothing"/>
      <w:lvlText w:val="%1%2.%3.%4　"/>
      <w:lvlJc w:val="left"/>
      <w:pPr>
        <w:ind w:left="0" w:firstLine="0"/>
      </w:pPr>
      <w:rPr>
        <w:rFonts w:hint="eastAsia" w:ascii="黑体" w:eastAsia="黑体"/>
        <w:b w:val="0"/>
        <w:i w:val="0"/>
        <w:sz w:val="21"/>
      </w:rPr>
    </w:lvl>
    <w:lvl w:ilvl="4" w:tentative="0">
      <w:start w:val="1"/>
      <w:numFmt w:val="decimal"/>
      <w:pStyle w:val="37"/>
      <w:suff w:val="nothing"/>
      <w:lvlText w:val="%1%2.%3.%4.%5　"/>
      <w:lvlJc w:val="left"/>
      <w:pPr>
        <w:ind w:left="0" w:firstLine="0"/>
      </w:pPr>
      <w:rPr>
        <w:rFonts w:hint="eastAsia" w:ascii="黑体" w:eastAsia="黑体"/>
        <w:b w:val="0"/>
        <w:i w:val="0"/>
        <w:sz w:val="21"/>
      </w:rPr>
    </w:lvl>
    <w:lvl w:ilvl="5" w:tentative="0">
      <w:start w:val="1"/>
      <w:numFmt w:val="decimal"/>
      <w:pStyle w:val="3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5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3"/>
  </w:num>
  <w:num w:numId="3">
    <w:abstractNumId w:val="2"/>
  </w:num>
  <w:num w:numId="4">
    <w:abstractNumId w:val="5"/>
  </w:num>
  <w:num w:numId="5">
    <w:abstractNumId w:val="11"/>
  </w:num>
  <w:num w:numId="6">
    <w:abstractNumId w:val="13"/>
  </w:num>
  <w:num w:numId="7">
    <w:abstractNumId w:val="10"/>
  </w:num>
  <w:num w:numId="8">
    <w:abstractNumId w:val="7"/>
  </w:num>
  <w:num w:numId="9">
    <w:abstractNumId w:val="12"/>
  </w:num>
  <w:num w:numId="10">
    <w:abstractNumId w:val="14"/>
  </w:num>
  <w:num w:numId="11">
    <w:abstractNumId w:val="4"/>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487067"/>
    <w:rsid w:val="00054F80"/>
    <w:rsid w:val="003B799A"/>
    <w:rsid w:val="006D7DD3"/>
    <w:rsid w:val="00721B96"/>
    <w:rsid w:val="007F545E"/>
    <w:rsid w:val="00860975"/>
    <w:rsid w:val="00890BF6"/>
    <w:rsid w:val="013A5A02"/>
    <w:rsid w:val="014B7F12"/>
    <w:rsid w:val="01736D5C"/>
    <w:rsid w:val="01893DA8"/>
    <w:rsid w:val="019A1D25"/>
    <w:rsid w:val="01A42DA3"/>
    <w:rsid w:val="01CA75D0"/>
    <w:rsid w:val="01F63400"/>
    <w:rsid w:val="0217546A"/>
    <w:rsid w:val="026E4D45"/>
    <w:rsid w:val="02910F77"/>
    <w:rsid w:val="03381428"/>
    <w:rsid w:val="0365381F"/>
    <w:rsid w:val="037D62D2"/>
    <w:rsid w:val="038D4C25"/>
    <w:rsid w:val="039D7809"/>
    <w:rsid w:val="03CF329C"/>
    <w:rsid w:val="04150ADE"/>
    <w:rsid w:val="04C319F3"/>
    <w:rsid w:val="04E25314"/>
    <w:rsid w:val="04F36677"/>
    <w:rsid w:val="05436E4B"/>
    <w:rsid w:val="054D59B7"/>
    <w:rsid w:val="059A283B"/>
    <w:rsid w:val="05B24670"/>
    <w:rsid w:val="05E35FCF"/>
    <w:rsid w:val="061542D6"/>
    <w:rsid w:val="061A1F15"/>
    <w:rsid w:val="062E5A7E"/>
    <w:rsid w:val="064100C3"/>
    <w:rsid w:val="06E360E9"/>
    <w:rsid w:val="06EE107F"/>
    <w:rsid w:val="07BE0FB6"/>
    <w:rsid w:val="07E46055"/>
    <w:rsid w:val="08435FC0"/>
    <w:rsid w:val="098F3358"/>
    <w:rsid w:val="0A3840EF"/>
    <w:rsid w:val="0A4D305C"/>
    <w:rsid w:val="0A8D278F"/>
    <w:rsid w:val="0ABD526E"/>
    <w:rsid w:val="0AC86337"/>
    <w:rsid w:val="0B360657"/>
    <w:rsid w:val="0B614F52"/>
    <w:rsid w:val="0C0C43B5"/>
    <w:rsid w:val="0C4D06F1"/>
    <w:rsid w:val="0CA10CA4"/>
    <w:rsid w:val="0CBA1225"/>
    <w:rsid w:val="0CFA70CE"/>
    <w:rsid w:val="0D0A2DD6"/>
    <w:rsid w:val="0D7E6AA2"/>
    <w:rsid w:val="0D9B3777"/>
    <w:rsid w:val="0DDE1D88"/>
    <w:rsid w:val="0DF55065"/>
    <w:rsid w:val="0E373E19"/>
    <w:rsid w:val="0E5618DD"/>
    <w:rsid w:val="0F3028BD"/>
    <w:rsid w:val="0F433A78"/>
    <w:rsid w:val="0FE31376"/>
    <w:rsid w:val="10734518"/>
    <w:rsid w:val="111B1519"/>
    <w:rsid w:val="116E1626"/>
    <w:rsid w:val="119B3A7A"/>
    <w:rsid w:val="11A12396"/>
    <w:rsid w:val="11A14A62"/>
    <w:rsid w:val="11BE2A3F"/>
    <w:rsid w:val="124C3C18"/>
    <w:rsid w:val="126F6F67"/>
    <w:rsid w:val="127C2A98"/>
    <w:rsid w:val="12AB6DC8"/>
    <w:rsid w:val="12D269F5"/>
    <w:rsid w:val="131452E7"/>
    <w:rsid w:val="13171781"/>
    <w:rsid w:val="13324FCB"/>
    <w:rsid w:val="133E1D48"/>
    <w:rsid w:val="13711667"/>
    <w:rsid w:val="138A10CF"/>
    <w:rsid w:val="13F445BE"/>
    <w:rsid w:val="144E2FDE"/>
    <w:rsid w:val="14B65163"/>
    <w:rsid w:val="14BC026E"/>
    <w:rsid w:val="14C53DC1"/>
    <w:rsid w:val="14F575C9"/>
    <w:rsid w:val="15967ED4"/>
    <w:rsid w:val="159C4D62"/>
    <w:rsid w:val="15CA78D7"/>
    <w:rsid w:val="16125FCD"/>
    <w:rsid w:val="16384F89"/>
    <w:rsid w:val="166D7E38"/>
    <w:rsid w:val="16F05CC5"/>
    <w:rsid w:val="173B352C"/>
    <w:rsid w:val="175A46E4"/>
    <w:rsid w:val="17FD4BCC"/>
    <w:rsid w:val="180F2657"/>
    <w:rsid w:val="181835D9"/>
    <w:rsid w:val="18273338"/>
    <w:rsid w:val="1876442F"/>
    <w:rsid w:val="189C4EDE"/>
    <w:rsid w:val="190C0108"/>
    <w:rsid w:val="19420DAA"/>
    <w:rsid w:val="19461F74"/>
    <w:rsid w:val="19620B32"/>
    <w:rsid w:val="19BA75DF"/>
    <w:rsid w:val="1A6D5AD0"/>
    <w:rsid w:val="1AAA1BED"/>
    <w:rsid w:val="1B3F3AF1"/>
    <w:rsid w:val="1CA716BD"/>
    <w:rsid w:val="1CFF7F16"/>
    <w:rsid w:val="1D50030D"/>
    <w:rsid w:val="1D745D85"/>
    <w:rsid w:val="1DD16EEF"/>
    <w:rsid w:val="1DFF1083"/>
    <w:rsid w:val="1E0D3FF8"/>
    <w:rsid w:val="1E2F3066"/>
    <w:rsid w:val="1E9614B5"/>
    <w:rsid w:val="1EB74092"/>
    <w:rsid w:val="1EE82E64"/>
    <w:rsid w:val="1F122DEE"/>
    <w:rsid w:val="1FA773ED"/>
    <w:rsid w:val="1FB606BD"/>
    <w:rsid w:val="200E4CBF"/>
    <w:rsid w:val="207A36EF"/>
    <w:rsid w:val="21962E47"/>
    <w:rsid w:val="21C6274C"/>
    <w:rsid w:val="21D76EC8"/>
    <w:rsid w:val="22501014"/>
    <w:rsid w:val="22AB65C7"/>
    <w:rsid w:val="22E147DD"/>
    <w:rsid w:val="23046782"/>
    <w:rsid w:val="234F5EFA"/>
    <w:rsid w:val="23572EAA"/>
    <w:rsid w:val="238A36F8"/>
    <w:rsid w:val="23D54D1E"/>
    <w:rsid w:val="242E512D"/>
    <w:rsid w:val="243B5D01"/>
    <w:rsid w:val="243F6923"/>
    <w:rsid w:val="249F2EB3"/>
    <w:rsid w:val="24BA05E5"/>
    <w:rsid w:val="24CB7AB5"/>
    <w:rsid w:val="25841144"/>
    <w:rsid w:val="259B463D"/>
    <w:rsid w:val="262C2236"/>
    <w:rsid w:val="26426BB3"/>
    <w:rsid w:val="2697731C"/>
    <w:rsid w:val="26E563DD"/>
    <w:rsid w:val="271C4457"/>
    <w:rsid w:val="272F0062"/>
    <w:rsid w:val="27542112"/>
    <w:rsid w:val="27566F08"/>
    <w:rsid w:val="27647E0E"/>
    <w:rsid w:val="2766432A"/>
    <w:rsid w:val="27B77C22"/>
    <w:rsid w:val="281335CC"/>
    <w:rsid w:val="283E2C6C"/>
    <w:rsid w:val="28487067"/>
    <w:rsid w:val="2862153B"/>
    <w:rsid w:val="289831AA"/>
    <w:rsid w:val="28AD20BF"/>
    <w:rsid w:val="28ED232E"/>
    <w:rsid w:val="28F52C53"/>
    <w:rsid w:val="299F1EB8"/>
    <w:rsid w:val="29D464B4"/>
    <w:rsid w:val="2A347B38"/>
    <w:rsid w:val="2A506CD4"/>
    <w:rsid w:val="2A531A09"/>
    <w:rsid w:val="2AAF4D44"/>
    <w:rsid w:val="2AE46C6D"/>
    <w:rsid w:val="2B2461D2"/>
    <w:rsid w:val="2B2812AC"/>
    <w:rsid w:val="2B982267"/>
    <w:rsid w:val="2BF06BD2"/>
    <w:rsid w:val="2C4A4077"/>
    <w:rsid w:val="2C5512CE"/>
    <w:rsid w:val="2CA32C2E"/>
    <w:rsid w:val="2CA66CFA"/>
    <w:rsid w:val="2CEC1606"/>
    <w:rsid w:val="2CFC3562"/>
    <w:rsid w:val="2D337501"/>
    <w:rsid w:val="2D886EC1"/>
    <w:rsid w:val="2D8D6D6F"/>
    <w:rsid w:val="2E1224F5"/>
    <w:rsid w:val="2E60048E"/>
    <w:rsid w:val="2E6E6C9D"/>
    <w:rsid w:val="2E6F6370"/>
    <w:rsid w:val="2F8B67CF"/>
    <w:rsid w:val="2F921351"/>
    <w:rsid w:val="302B70AF"/>
    <w:rsid w:val="30721D35"/>
    <w:rsid w:val="31395FCD"/>
    <w:rsid w:val="317D47D6"/>
    <w:rsid w:val="32096436"/>
    <w:rsid w:val="325A1878"/>
    <w:rsid w:val="32F62538"/>
    <w:rsid w:val="33025717"/>
    <w:rsid w:val="33747BD2"/>
    <w:rsid w:val="33FC0AE9"/>
    <w:rsid w:val="34196FA3"/>
    <w:rsid w:val="34222274"/>
    <w:rsid w:val="34AD5650"/>
    <w:rsid w:val="34CE70E9"/>
    <w:rsid w:val="356D45E5"/>
    <w:rsid w:val="35930822"/>
    <w:rsid w:val="36056CE4"/>
    <w:rsid w:val="36992A38"/>
    <w:rsid w:val="3815680C"/>
    <w:rsid w:val="383336B2"/>
    <w:rsid w:val="38747404"/>
    <w:rsid w:val="38C75F61"/>
    <w:rsid w:val="38CA792C"/>
    <w:rsid w:val="38F01446"/>
    <w:rsid w:val="390A630C"/>
    <w:rsid w:val="39620BB5"/>
    <w:rsid w:val="397606F7"/>
    <w:rsid w:val="39C7392F"/>
    <w:rsid w:val="39DA5EF5"/>
    <w:rsid w:val="3A2011C3"/>
    <w:rsid w:val="3A363923"/>
    <w:rsid w:val="3A396148"/>
    <w:rsid w:val="3A5F3BEF"/>
    <w:rsid w:val="3A617AD4"/>
    <w:rsid w:val="3A693E7D"/>
    <w:rsid w:val="3A9C552D"/>
    <w:rsid w:val="3B167B1B"/>
    <w:rsid w:val="3C1A0338"/>
    <w:rsid w:val="3CA66002"/>
    <w:rsid w:val="3CB34E83"/>
    <w:rsid w:val="3CF564F1"/>
    <w:rsid w:val="3D667BE6"/>
    <w:rsid w:val="3D9C15E7"/>
    <w:rsid w:val="3DB86375"/>
    <w:rsid w:val="3DC428AD"/>
    <w:rsid w:val="3E493EBE"/>
    <w:rsid w:val="3E587633"/>
    <w:rsid w:val="3E90698A"/>
    <w:rsid w:val="3EF87DFE"/>
    <w:rsid w:val="3F501380"/>
    <w:rsid w:val="3F5B1501"/>
    <w:rsid w:val="401857C2"/>
    <w:rsid w:val="407812A8"/>
    <w:rsid w:val="41572A74"/>
    <w:rsid w:val="417B3647"/>
    <w:rsid w:val="41F108DB"/>
    <w:rsid w:val="42462C72"/>
    <w:rsid w:val="424639DC"/>
    <w:rsid w:val="42897C0E"/>
    <w:rsid w:val="42B314E1"/>
    <w:rsid w:val="42B84ADD"/>
    <w:rsid w:val="42F24D34"/>
    <w:rsid w:val="43024652"/>
    <w:rsid w:val="43347D5C"/>
    <w:rsid w:val="43537065"/>
    <w:rsid w:val="43D3486E"/>
    <w:rsid w:val="43FD6B2C"/>
    <w:rsid w:val="447659E0"/>
    <w:rsid w:val="44901A22"/>
    <w:rsid w:val="449D2A7B"/>
    <w:rsid w:val="44AA0EDF"/>
    <w:rsid w:val="44AE41D6"/>
    <w:rsid w:val="44B208FA"/>
    <w:rsid w:val="44C30B78"/>
    <w:rsid w:val="44C9004D"/>
    <w:rsid w:val="44DB49F5"/>
    <w:rsid w:val="4524178E"/>
    <w:rsid w:val="453C4A0D"/>
    <w:rsid w:val="454D7DEC"/>
    <w:rsid w:val="45593770"/>
    <w:rsid w:val="45650A76"/>
    <w:rsid w:val="457E75C3"/>
    <w:rsid w:val="45887B5F"/>
    <w:rsid w:val="459A5BA9"/>
    <w:rsid w:val="45C0344B"/>
    <w:rsid w:val="46315CB6"/>
    <w:rsid w:val="463B400A"/>
    <w:rsid w:val="46B64246"/>
    <w:rsid w:val="47016699"/>
    <w:rsid w:val="472C3ECE"/>
    <w:rsid w:val="474A76E4"/>
    <w:rsid w:val="476D08AA"/>
    <w:rsid w:val="47723D5B"/>
    <w:rsid w:val="47A7458F"/>
    <w:rsid w:val="47D37AA4"/>
    <w:rsid w:val="482F6BE8"/>
    <w:rsid w:val="4861471E"/>
    <w:rsid w:val="48972DB6"/>
    <w:rsid w:val="48B347F9"/>
    <w:rsid w:val="48CD0AFD"/>
    <w:rsid w:val="48F5449E"/>
    <w:rsid w:val="491C682A"/>
    <w:rsid w:val="49636EA1"/>
    <w:rsid w:val="49782148"/>
    <w:rsid w:val="49A62066"/>
    <w:rsid w:val="4A4D46F8"/>
    <w:rsid w:val="4A5F75EF"/>
    <w:rsid w:val="4A600182"/>
    <w:rsid w:val="4A876769"/>
    <w:rsid w:val="4B1B3A34"/>
    <w:rsid w:val="4B936489"/>
    <w:rsid w:val="4BC97AE8"/>
    <w:rsid w:val="4BDD5641"/>
    <w:rsid w:val="4C346E70"/>
    <w:rsid w:val="4C3B6C36"/>
    <w:rsid w:val="4CAD25FA"/>
    <w:rsid w:val="4CBE23DD"/>
    <w:rsid w:val="4CFE7EBE"/>
    <w:rsid w:val="4DC66E69"/>
    <w:rsid w:val="4DCC5C61"/>
    <w:rsid w:val="4E976E2F"/>
    <w:rsid w:val="4EA33360"/>
    <w:rsid w:val="4ED213CA"/>
    <w:rsid w:val="4F365D98"/>
    <w:rsid w:val="4F7A156F"/>
    <w:rsid w:val="4FA41113"/>
    <w:rsid w:val="4FBE366B"/>
    <w:rsid w:val="508B3156"/>
    <w:rsid w:val="50A039F4"/>
    <w:rsid w:val="50B103AF"/>
    <w:rsid w:val="512C3213"/>
    <w:rsid w:val="513534CB"/>
    <w:rsid w:val="514B28EA"/>
    <w:rsid w:val="517263F8"/>
    <w:rsid w:val="51E70135"/>
    <w:rsid w:val="524D7821"/>
    <w:rsid w:val="52EA44B7"/>
    <w:rsid w:val="52F40E35"/>
    <w:rsid w:val="536158BE"/>
    <w:rsid w:val="53860C73"/>
    <w:rsid w:val="542520B4"/>
    <w:rsid w:val="545570BA"/>
    <w:rsid w:val="54915BA0"/>
    <w:rsid w:val="55107976"/>
    <w:rsid w:val="5569669E"/>
    <w:rsid w:val="55933536"/>
    <w:rsid w:val="55A1718B"/>
    <w:rsid w:val="55B631AA"/>
    <w:rsid w:val="55DE465B"/>
    <w:rsid w:val="562148DD"/>
    <w:rsid w:val="56703D73"/>
    <w:rsid w:val="56802734"/>
    <w:rsid w:val="56C33C45"/>
    <w:rsid w:val="57096BD4"/>
    <w:rsid w:val="570E40EE"/>
    <w:rsid w:val="57916AD4"/>
    <w:rsid w:val="57C70992"/>
    <w:rsid w:val="57DB7D29"/>
    <w:rsid w:val="57F6355F"/>
    <w:rsid w:val="585E799E"/>
    <w:rsid w:val="58FC21ED"/>
    <w:rsid w:val="590B71C5"/>
    <w:rsid w:val="59107D48"/>
    <w:rsid w:val="59531A0D"/>
    <w:rsid w:val="59C70EE9"/>
    <w:rsid w:val="59EF788D"/>
    <w:rsid w:val="5A381D64"/>
    <w:rsid w:val="5A534EEB"/>
    <w:rsid w:val="5A837BD3"/>
    <w:rsid w:val="5A9465DB"/>
    <w:rsid w:val="5BC60265"/>
    <w:rsid w:val="5BCF304D"/>
    <w:rsid w:val="5BD03B50"/>
    <w:rsid w:val="5BFA4F2D"/>
    <w:rsid w:val="5C0F460B"/>
    <w:rsid w:val="5C4C0E1C"/>
    <w:rsid w:val="5C834155"/>
    <w:rsid w:val="5CE67D2F"/>
    <w:rsid w:val="5D543516"/>
    <w:rsid w:val="5D612A73"/>
    <w:rsid w:val="5E9268B6"/>
    <w:rsid w:val="5EA640F4"/>
    <w:rsid w:val="5F3A331C"/>
    <w:rsid w:val="5FDC6CBD"/>
    <w:rsid w:val="60361375"/>
    <w:rsid w:val="603F3B08"/>
    <w:rsid w:val="60813F3C"/>
    <w:rsid w:val="609012F3"/>
    <w:rsid w:val="60A73254"/>
    <w:rsid w:val="610C4D68"/>
    <w:rsid w:val="61615579"/>
    <w:rsid w:val="61C643D6"/>
    <w:rsid w:val="61DA2E9A"/>
    <w:rsid w:val="61F75382"/>
    <w:rsid w:val="62DB4A23"/>
    <w:rsid w:val="630B0F59"/>
    <w:rsid w:val="632661EB"/>
    <w:rsid w:val="632B6C2A"/>
    <w:rsid w:val="63306365"/>
    <w:rsid w:val="63395BD9"/>
    <w:rsid w:val="64270443"/>
    <w:rsid w:val="64DA3D3E"/>
    <w:rsid w:val="653F712E"/>
    <w:rsid w:val="659D69D3"/>
    <w:rsid w:val="669D17A3"/>
    <w:rsid w:val="67456D89"/>
    <w:rsid w:val="67C81BFA"/>
    <w:rsid w:val="67E868B3"/>
    <w:rsid w:val="67F82471"/>
    <w:rsid w:val="68117BAD"/>
    <w:rsid w:val="6919675C"/>
    <w:rsid w:val="6959385A"/>
    <w:rsid w:val="69CC6699"/>
    <w:rsid w:val="69D7531B"/>
    <w:rsid w:val="69F24CAC"/>
    <w:rsid w:val="6A21622D"/>
    <w:rsid w:val="6A3A509C"/>
    <w:rsid w:val="6A6657B2"/>
    <w:rsid w:val="6AE16364"/>
    <w:rsid w:val="6AED046F"/>
    <w:rsid w:val="6B2652D4"/>
    <w:rsid w:val="6B472E83"/>
    <w:rsid w:val="6B506AE2"/>
    <w:rsid w:val="6B556A7A"/>
    <w:rsid w:val="6BB63A10"/>
    <w:rsid w:val="6C1C6928"/>
    <w:rsid w:val="6C6E34BE"/>
    <w:rsid w:val="6CEB1C08"/>
    <w:rsid w:val="6D745075"/>
    <w:rsid w:val="6DBD5854"/>
    <w:rsid w:val="6DEE1279"/>
    <w:rsid w:val="6DEF79D5"/>
    <w:rsid w:val="6DFD442F"/>
    <w:rsid w:val="6E723398"/>
    <w:rsid w:val="6ED576CD"/>
    <w:rsid w:val="6F6D203F"/>
    <w:rsid w:val="6F7A7D19"/>
    <w:rsid w:val="6FD10108"/>
    <w:rsid w:val="70035BAF"/>
    <w:rsid w:val="702165C9"/>
    <w:rsid w:val="70564753"/>
    <w:rsid w:val="70D014D4"/>
    <w:rsid w:val="70E5406C"/>
    <w:rsid w:val="71280035"/>
    <w:rsid w:val="71533CDC"/>
    <w:rsid w:val="716D7D45"/>
    <w:rsid w:val="717E4866"/>
    <w:rsid w:val="718C4B26"/>
    <w:rsid w:val="719E09DE"/>
    <w:rsid w:val="71C97E4A"/>
    <w:rsid w:val="71DA143C"/>
    <w:rsid w:val="71E900D5"/>
    <w:rsid w:val="721E7063"/>
    <w:rsid w:val="72895110"/>
    <w:rsid w:val="72A33DE1"/>
    <w:rsid w:val="72BC7697"/>
    <w:rsid w:val="731E4F92"/>
    <w:rsid w:val="73947C20"/>
    <w:rsid w:val="73ED46FF"/>
    <w:rsid w:val="743A39D7"/>
    <w:rsid w:val="74586EE8"/>
    <w:rsid w:val="745E3FF9"/>
    <w:rsid w:val="747E3BE0"/>
    <w:rsid w:val="74896705"/>
    <w:rsid w:val="74BF39B1"/>
    <w:rsid w:val="74D90E4C"/>
    <w:rsid w:val="74F31F16"/>
    <w:rsid w:val="74F76C7A"/>
    <w:rsid w:val="74FE3C16"/>
    <w:rsid w:val="750B58D9"/>
    <w:rsid w:val="750E6479"/>
    <w:rsid w:val="75213FA8"/>
    <w:rsid w:val="75B73AC0"/>
    <w:rsid w:val="75D06B02"/>
    <w:rsid w:val="75D60546"/>
    <w:rsid w:val="76B31EF3"/>
    <w:rsid w:val="76B73F45"/>
    <w:rsid w:val="76FC0AC8"/>
    <w:rsid w:val="772B2E92"/>
    <w:rsid w:val="77734FCC"/>
    <w:rsid w:val="77FC4311"/>
    <w:rsid w:val="7805696E"/>
    <w:rsid w:val="789676EB"/>
    <w:rsid w:val="78A82963"/>
    <w:rsid w:val="790E0C8D"/>
    <w:rsid w:val="79536B8C"/>
    <w:rsid w:val="79655CCC"/>
    <w:rsid w:val="79812590"/>
    <w:rsid w:val="79DA2250"/>
    <w:rsid w:val="7A850936"/>
    <w:rsid w:val="7AC21524"/>
    <w:rsid w:val="7AC67488"/>
    <w:rsid w:val="7AF13A6E"/>
    <w:rsid w:val="7B027357"/>
    <w:rsid w:val="7B11680D"/>
    <w:rsid w:val="7B287FE4"/>
    <w:rsid w:val="7B78491C"/>
    <w:rsid w:val="7B8561E9"/>
    <w:rsid w:val="7BCA300C"/>
    <w:rsid w:val="7BE2561D"/>
    <w:rsid w:val="7BF44B5E"/>
    <w:rsid w:val="7C170500"/>
    <w:rsid w:val="7C571ABC"/>
    <w:rsid w:val="7C901720"/>
    <w:rsid w:val="7CC03B3A"/>
    <w:rsid w:val="7D094B8B"/>
    <w:rsid w:val="7D607842"/>
    <w:rsid w:val="7D684BFA"/>
    <w:rsid w:val="7DDD1D7B"/>
    <w:rsid w:val="7DF53588"/>
    <w:rsid w:val="7E264004"/>
    <w:rsid w:val="7E5B0934"/>
    <w:rsid w:val="7EBE03C0"/>
    <w:rsid w:val="7EDA7A23"/>
    <w:rsid w:val="7EE42790"/>
    <w:rsid w:val="7EF501F0"/>
    <w:rsid w:val="7F6124B2"/>
    <w:rsid w:val="7F647048"/>
    <w:rsid w:val="7FE65CCD"/>
    <w:rsid w:val="7FFF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1"/>
    <w:basedOn w:val="1"/>
    <w:next w:val="1"/>
    <w:link w:val="52"/>
    <w:unhideWhenUsed/>
    <w:qFormat/>
    <w:uiPriority w:val="39"/>
  </w:style>
  <w:style w:type="paragraph" w:styleId="3">
    <w:name w:val="annotation text"/>
    <w:basedOn w:val="1"/>
    <w:qFormat/>
    <w:uiPriority w:val="0"/>
    <w:pPr>
      <w:jc w:val="left"/>
    </w:pPr>
  </w:style>
  <w:style w:type="paragraph" w:styleId="4">
    <w:name w:val="Body Text"/>
    <w:basedOn w:val="1"/>
    <w:qFormat/>
    <w:uiPriority w:val="0"/>
    <w:pPr>
      <w:tabs>
        <w:tab w:val="left" w:pos="357"/>
      </w:tabs>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Normal (Web)"/>
    <w:basedOn w:val="1"/>
    <w:qFormat/>
    <w:uiPriority w:val="0"/>
    <w:pPr>
      <w:spacing w:beforeAutospacing="1" w:afterAutospacing="1"/>
      <w:jc w:val="left"/>
    </w:pPr>
    <w:rPr>
      <w:kern w:val="0"/>
      <w:sz w:val="24"/>
    </w:rPr>
  </w:style>
  <w:style w:type="table" w:styleId="10">
    <w:name w:val="Table Gri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rFonts w:ascii="宋体" w:hAnsi="Times New Roman" w:eastAsia="宋体"/>
      <w:color w:val="auto"/>
      <w:spacing w:val="0"/>
      <w:w w:val="100"/>
      <w:position w:val="0"/>
      <w:sz w:val="21"/>
      <w:u w:val="none"/>
      <w:vertAlign w:val="baseline"/>
    </w:rPr>
  </w:style>
  <w:style w:type="character" w:styleId="14">
    <w:name w:val="footnote reference"/>
    <w:semiHidden/>
    <w:qFormat/>
    <w:uiPriority w:val="0"/>
    <w:rPr>
      <w:rFonts w:ascii="宋体" w:hAnsi="宋体" w:eastAsia="宋体" w:cs="Times New Roman"/>
      <w:spacing w:val="0"/>
      <w:sz w:val="18"/>
      <w:vertAlign w:val="superscript"/>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二级无"/>
    <w:basedOn w:val="17"/>
    <w:qFormat/>
    <w:uiPriority w:val="0"/>
    <w:pPr>
      <w:numPr>
        <w:ilvl w:val="2"/>
        <w:numId w:val="1"/>
      </w:numPr>
    </w:pPr>
    <w:rPr>
      <w:rFonts w:ascii="宋体" w:eastAsia="宋体"/>
      <w:szCs w:val="21"/>
    </w:rPr>
  </w:style>
  <w:style w:type="paragraph" w:customStyle="1" w:styleId="17">
    <w:name w:val="二级条标题"/>
    <w:basedOn w:val="18"/>
    <w:next w:val="19"/>
    <w:qFormat/>
    <w:uiPriority w:val="0"/>
    <w:pPr>
      <w:numPr>
        <w:ilvl w:val="3"/>
      </w:numPr>
      <w:outlineLvl w:val="3"/>
    </w:pPr>
  </w:style>
  <w:style w:type="paragraph" w:customStyle="1" w:styleId="18">
    <w:name w:val="一级条标题"/>
    <w:next w:val="19"/>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0">
    <w:name w:val="List Paragraph"/>
    <w:basedOn w:val="1"/>
    <w:qFormat/>
    <w:uiPriority w:val="34"/>
    <w:pPr>
      <w:ind w:firstLine="420"/>
    </w:pPr>
  </w:style>
  <w:style w:type="paragraph" w:customStyle="1" w:styleId="21">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2">
    <w:name w:val="附录表标题"/>
    <w:next w:val="1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3">
    <w:name w:val="附录二级无"/>
    <w:basedOn w:val="24"/>
    <w:qFormat/>
    <w:uiPriority w:val="0"/>
    <w:pPr>
      <w:tabs>
        <w:tab w:val="left" w:pos="360"/>
      </w:tabs>
    </w:pPr>
    <w:rPr>
      <w:rFonts w:ascii="宋体" w:eastAsia="宋体"/>
      <w:szCs w:val="21"/>
    </w:rPr>
  </w:style>
  <w:style w:type="paragraph" w:customStyle="1" w:styleId="24">
    <w:name w:val="附录二级条标题"/>
    <w:basedOn w:val="25"/>
    <w:next w:val="19"/>
    <w:qFormat/>
    <w:uiPriority w:val="0"/>
    <w:pPr>
      <w:outlineLvl w:val="3"/>
    </w:pPr>
  </w:style>
  <w:style w:type="paragraph" w:customStyle="1" w:styleId="25">
    <w:name w:val="附录一级条标题"/>
    <w:basedOn w:val="26"/>
    <w:next w:val="19"/>
    <w:qFormat/>
    <w:uiPriority w:val="0"/>
    <w:pPr>
      <w:autoSpaceDN w:val="0"/>
      <w:spacing w:before="0" w:beforeLines="0" w:after="0" w:afterLines="0"/>
      <w:outlineLvl w:val="2"/>
    </w:pPr>
  </w:style>
  <w:style w:type="paragraph" w:customStyle="1" w:styleId="26">
    <w:name w:val="附录章标题"/>
    <w:next w:val="19"/>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28">
    <w:name w:val="标准文件_二级项2"/>
    <w:basedOn w:val="29"/>
    <w:qFormat/>
    <w:uiPriority w:val="0"/>
    <w:pPr>
      <w:numPr>
        <w:ilvl w:val="1"/>
        <w:numId w:val="4"/>
      </w:numPr>
      <w:ind w:firstLine="0" w:firstLineChars="0"/>
    </w:pPr>
  </w:style>
  <w:style w:type="paragraph" w:customStyle="1" w:styleId="29">
    <w:name w:val="标准文件_段"/>
    <w:link w:val="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标准文件_数字编号列项（二级）"/>
    <w:qFormat/>
    <w:uiPriority w:val="0"/>
    <w:pPr>
      <w:numPr>
        <w:ilvl w:val="1"/>
        <w:numId w:val="3"/>
      </w:numPr>
      <w:tabs>
        <w:tab w:val="left" w:pos="851"/>
      </w:tabs>
      <w:jc w:val="both"/>
    </w:pPr>
    <w:rPr>
      <w:rFonts w:ascii="宋体" w:hAnsi="Times New Roman" w:eastAsia="宋体" w:cs="Times New Roman"/>
      <w:sz w:val="21"/>
      <w:lang w:val="en-US" w:eastAsia="zh-CN" w:bidi="ar-SA"/>
    </w:rPr>
  </w:style>
  <w:style w:type="paragraph" w:customStyle="1" w:styleId="31">
    <w:name w:val="标准文件_正文表标题"/>
    <w:next w:val="29"/>
    <w:qFormat/>
    <w:uiPriority w:val="0"/>
    <w:pPr>
      <w:numPr>
        <w:ilvl w:val="0"/>
        <w:numId w:val="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2">
    <w:name w:val="标准文件_表格"/>
    <w:basedOn w:val="29"/>
    <w:qFormat/>
    <w:uiPriority w:val="0"/>
    <w:pPr>
      <w:ind w:firstLine="0" w:firstLineChars="0"/>
      <w:jc w:val="center"/>
    </w:pPr>
    <w:rPr>
      <w:sz w:val="18"/>
    </w:rPr>
  </w:style>
  <w:style w:type="character" w:customStyle="1" w:styleId="33">
    <w:name w:val="15"/>
    <w:basedOn w:val="11"/>
    <w:qFormat/>
    <w:uiPriority w:val="0"/>
    <w:rPr>
      <w:rFonts w:hint="eastAsia" w:ascii="宋体" w:hAnsi="宋体" w:eastAsia="宋体" w:cs="Times New Roman"/>
      <w:spacing w:val="0"/>
      <w:sz w:val="18"/>
      <w:szCs w:val="18"/>
      <w:vertAlign w:val="superscript"/>
    </w:rPr>
  </w:style>
  <w:style w:type="paragraph" w:customStyle="1" w:styleId="34">
    <w:name w:val="标准文件_脚注内容"/>
    <w:basedOn w:val="29"/>
    <w:qFormat/>
    <w:uiPriority w:val="0"/>
    <w:pPr>
      <w:ind w:left="400" w:leftChars="200" w:hanging="200" w:hangingChars="200"/>
    </w:pPr>
    <w:rPr>
      <w:sz w:val="15"/>
    </w:rPr>
  </w:style>
  <w:style w:type="paragraph" w:customStyle="1" w:styleId="35">
    <w:name w:val="标准文件_二级条标题"/>
    <w:next w:val="29"/>
    <w:qFormat/>
    <w:uiPriority w:val="0"/>
    <w:pPr>
      <w:widowControl w:val="0"/>
      <w:numPr>
        <w:ilvl w:val="3"/>
        <w:numId w:val="6"/>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四级条标题"/>
    <w:next w:val="29"/>
    <w:qFormat/>
    <w:uiPriority w:val="0"/>
    <w:pPr>
      <w:widowControl w:val="0"/>
      <w:numPr>
        <w:ilvl w:val="5"/>
        <w:numId w:val="6"/>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7">
    <w:name w:val="标准文件_三级条标题"/>
    <w:basedOn w:val="35"/>
    <w:next w:val="29"/>
    <w:qFormat/>
    <w:uiPriority w:val="0"/>
    <w:pPr>
      <w:widowControl/>
      <w:numPr>
        <w:ilvl w:val="4"/>
      </w:numPr>
      <w:outlineLvl w:val="3"/>
    </w:pPr>
  </w:style>
  <w:style w:type="paragraph" w:customStyle="1" w:styleId="38">
    <w:name w:val="_ H_1_G"/>
    <w:basedOn w:val="1"/>
    <w:next w:val="1"/>
    <w:qFormat/>
    <w:uiPriority w:val="0"/>
    <w:pPr>
      <w:keepNext/>
      <w:keepLines/>
      <w:tabs>
        <w:tab w:val="right" w:pos="851"/>
      </w:tabs>
      <w:spacing w:before="360" w:after="240" w:line="270" w:lineRule="exact"/>
      <w:ind w:left="1134" w:right="1134" w:hanging="1134"/>
    </w:pPr>
    <w:rPr>
      <w:b/>
      <w:sz w:val="24"/>
    </w:rPr>
  </w:style>
  <w:style w:type="paragraph" w:customStyle="1" w:styleId="39">
    <w:name w:val="标准文件_三级无标题"/>
    <w:qFormat/>
    <w:uiPriority w:val="0"/>
    <w:rPr>
      <w:rFonts w:ascii="宋体" w:hAnsi="Calibri" w:eastAsia="宋体" w:cs="Calibri"/>
      <w:lang w:val="en-US" w:eastAsia="zh-CN" w:bidi="ar-SA"/>
    </w:rPr>
  </w:style>
  <w:style w:type="paragraph" w:customStyle="1" w:styleId="40">
    <w:name w:val="标准文件_一级条标题"/>
    <w:basedOn w:val="41"/>
    <w:next w:val="29"/>
    <w:qFormat/>
    <w:uiPriority w:val="0"/>
    <w:pPr>
      <w:numPr>
        <w:ilvl w:val="2"/>
      </w:numPr>
      <w:spacing w:before="50" w:beforeLines="50" w:after="50" w:afterLines="50"/>
      <w:outlineLvl w:val="1"/>
    </w:pPr>
  </w:style>
  <w:style w:type="paragraph" w:customStyle="1" w:styleId="41">
    <w:name w:val="标准文件_章标题"/>
    <w:next w:val="29"/>
    <w:qFormat/>
    <w:uiPriority w:val="0"/>
    <w:pPr>
      <w:numPr>
        <w:ilvl w:val="1"/>
        <w:numId w:val="6"/>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2">
    <w:name w:val="标准文件_附录表标题"/>
    <w:next w:val="29"/>
    <w:qFormat/>
    <w:uiPriority w:val="0"/>
    <w:pPr>
      <w:numPr>
        <w:ilvl w:val="1"/>
        <w:numId w:val="7"/>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43">
    <w:name w:val="标准文件_图表脚注"/>
    <w:basedOn w:val="1"/>
    <w:next w:val="29"/>
    <w:qFormat/>
    <w:uiPriority w:val="0"/>
    <w:pPr>
      <w:numPr>
        <w:ilvl w:val="0"/>
        <w:numId w:val="8"/>
      </w:numPr>
      <w:spacing w:line="240" w:lineRule="auto"/>
      <w:jc w:val="left"/>
    </w:pPr>
    <w:rPr>
      <w:rFonts w:ascii="宋体" w:hAnsi="宋体"/>
      <w:sz w:val="18"/>
    </w:rPr>
  </w:style>
  <w:style w:type="paragraph" w:customStyle="1" w:styleId="44">
    <w:name w:val="标准文件_附录二级条标题"/>
    <w:basedOn w:val="45"/>
    <w:next w:val="29"/>
    <w:qFormat/>
    <w:uiPriority w:val="0"/>
    <w:pPr>
      <w:widowControl/>
      <w:numPr>
        <w:ilvl w:val="2"/>
      </w:numPr>
      <w:wordWrap w:val="0"/>
      <w:overflowPunct w:val="0"/>
      <w:autoSpaceDE w:val="0"/>
      <w:autoSpaceDN w:val="0"/>
      <w:textAlignment w:val="baseline"/>
      <w:outlineLvl w:val="3"/>
    </w:pPr>
  </w:style>
  <w:style w:type="paragraph" w:customStyle="1" w:styleId="45">
    <w:name w:val="标准文件_附录一级条标题"/>
    <w:next w:val="29"/>
    <w:qFormat/>
    <w:uiPriority w:val="0"/>
    <w:pPr>
      <w:widowControl w:val="0"/>
      <w:numPr>
        <w:ilvl w:val="1"/>
        <w:numId w:val="9"/>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46">
    <w:name w:val="标准文件_标准正文"/>
    <w:basedOn w:val="1"/>
    <w:next w:val="29"/>
    <w:qFormat/>
    <w:uiPriority w:val="0"/>
    <w:pPr>
      <w:snapToGrid w:val="0"/>
    </w:pPr>
    <w:rPr>
      <w:kern w:val="0"/>
    </w:rPr>
  </w:style>
  <w:style w:type="paragraph" w:customStyle="1" w:styleId="4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8">
    <w:name w:val="标准文件_页眉偶数页"/>
    <w:basedOn w:val="47"/>
    <w:next w:val="1"/>
    <w:qFormat/>
    <w:uiPriority w:val="0"/>
    <w:pPr>
      <w:jc w:val="left"/>
    </w:pPr>
  </w:style>
  <w:style w:type="paragraph" w:customStyle="1" w:styleId="4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1">
    <w:name w:val="标准文件_附录三级条标题"/>
    <w:next w:val="29"/>
    <w:qFormat/>
    <w:uiPriority w:val="0"/>
    <w:pPr>
      <w:widowControl w:val="0"/>
      <w:numPr>
        <w:ilvl w:val="3"/>
        <w:numId w:val="9"/>
      </w:numPr>
      <w:spacing w:before="50" w:beforeLines="50" w:after="50" w:afterLines="50"/>
      <w:jc w:val="both"/>
      <w:outlineLvl w:val="4"/>
    </w:pPr>
    <w:rPr>
      <w:rFonts w:ascii="黑体" w:hAnsi="Times New Roman" w:eastAsia="黑体" w:cs="Times New Roman"/>
      <w:kern w:val="21"/>
      <w:sz w:val="21"/>
      <w:lang w:val="en-US" w:eastAsia="zh-CN" w:bidi="ar-SA"/>
    </w:rPr>
  </w:style>
  <w:style w:type="character" w:customStyle="1" w:styleId="52">
    <w:name w:val="TOC 1 字符"/>
    <w:link w:val="2"/>
    <w:qFormat/>
    <w:uiPriority w:val="39"/>
  </w:style>
  <w:style w:type="paragraph" w:customStyle="1" w:styleId="53">
    <w:name w:val="标准文件_注："/>
    <w:next w:val="29"/>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character" w:customStyle="1" w:styleId="54">
    <w:name w:val="标准文件_段 Char"/>
    <w:link w:val="29"/>
    <w:qFormat/>
    <w:uiPriority w:val="0"/>
    <w:rPr>
      <w:rFonts w:ascii="宋体"/>
      <w:sz w:val="21"/>
    </w:rPr>
  </w:style>
  <w:style w:type="character" w:customStyle="1" w:styleId="55">
    <w:name w:val="页眉 字符"/>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3879</Words>
  <Characters>22116</Characters>
  <Lines>184</Lines>
  <Paragraphs>51</Paragraphs>
  <TotalTime>4</TotalTime>
  <ScaleCrop>false</ScaleCrop>
  <LinksUpToDate>false</LinksUpToDate>
  <CharactersWithSpaces>25944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2024-03-07T12:51:00Z</dcterms:created>
  <dc:creator>田富刚</dc:creator>
  <cp:lastModifiedBy>李云伟</cp:lastModifiedBy>
  <dcterms:modified xsi:type="dcterms:W3CDTF">2024-03-08T00:19:47Z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FF769DD69914427D8ED3198C230A2EAF</vt:lpwstr>
  </property>
</Properties>
</file>