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36"/>
          <w:szCs w:val="36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w w:val="90"/>
          <w:sz w:val="44"/>
          <w:szCs w:val="44"/>
        </w:rPr>
        <w:t>《关于支持泰州综合保税区高水平开放高质量发展的若干措施》的解读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/>
          <w:sz w:val="32"/>
          <w:szCs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>根据国务院相关文件精神，结合泰州综保区发展实际，聚焦综合保税区发展绩效提升，制定本政策。</w:t>
      </w:r>
    </w:p>
    <w:p>
      <w:pPr>
        <w:ind w:firstLine="640" w:firstLineChars="200"/>
        <w:rPr>
          <w:rFonts w:ascii="黑体" w:hAnsi="黑体" w:eastAsia="黑体" w:cs="Arial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sz w:val="32"/>
          <w:szCs w:val="32"/>
          <w:shd w:val="clear" w:color="auto" w:fill="FFFFFF"/>
        </w:rPr>
        <w:t>一、文件起草的背景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2019</w:t>
      </w:r>
      <w:r>
        <w:rPr>
          <w:rFonts w:hint="eastAsia" w:ascii="Times New Roman" w:hAnsi="方正仿宋_GBK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方正仿宋_GBK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12</w:t>
      </w:r>
      <w:r>
        <w:rPr>
          <w:rFonts w:hint="eastAsia" w:ascii="Times New Roman" w:hAnsi="方正仿宋_GBK" w:eastAsia="方正仿宋_GBK"/>
          <w:sz w:val="32"/>
          <w:szCs w:val="32"/>
        </w:rPr>
        <w:t>日，国务院印发《促进综合保税区高水平开放高质量发展的若干意见》（国发〔</w:t>
      </w:r>
      <w:r>
        <w:rPr>
          <w:rFonts w:ascii="Times New Roman" w:hAnsi="Times New Roman" w:eastAsia="方正仿宋_GBK"/>
          <w:sz w:val="32"/>
          <w:szCs w:val="32"/>
        </w:rPr>
        <w:t>2019</w:t>
      </w:r>
      <w:r>
        <w:rPr>
          <w:rFonts w:hint="eastAsia" w:ascii="Times New Roman" w:hAns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方正仿宋_GBK" w:eastAsia="方正仿宋_GBK"/>
          <w:sz w:val="32"/>
          <w:szCs w:val="32"/>
        </w:rPr>
        <w:t>号），明确了综合保税区打造加工制造中心、研发设计中心、物流分拨中心、检测维修中心、销售服务中心定位，要求相关部门和地方进一步坚持深化改革、开放引领、创新驱动和量质并举，打造具有国际竞争力和创新力的海关特殊监管区域。海关总署相继出台了《中华人民共和国海关综合保税区管理办法》（海关总署令</w:t>
      </w:r>
      <w:r>
        <w:rPr>
          <w:rFonts w:ascii="Times New Roman" w:hAnsi="Times New Roman" w:eastAsia="方正仿宋_GBK"/>
          <w:sz w:val="32"/>
          <w:szCs w:val="32"/>
        </w:rPr>
        <w:t>2022</w:t>
      </w:r>
      <w:r>
        <w:rPr>
          <w:rFonts w:hint="eastAsia" w:ascii="Times New Roman" w:hAnsi="方正仿宋_GBK" w:eastAsia="方正仿宋_GBK"/>
          <w:sz w:val="32"/>
          <w:szCs w:val="32"/>
        </w:rPr>
        <w:t>年第</w:t>
      </w:r>
      <w:r>
        <w:rPr>
          <w:rFonts w:ascii="Times New Roman" w:hAnsi="Times New Roman" w:eastAsia="方正仿宋_GBK"/>
          <w:sz w:val="32"/>
          <w:szCs w:val="32"/>
        </w:rPr>
        <w:t>256</w:t>
      </w:r>
      <w:r>
        <w:rPr>
          <w:rFonts w:hint="eastAsia" w:ascii="Times New Roman" w:hAnsi="方正仿宋_GBK" w:eastAsia="方正仿宋_GBK"/>
          <w:sz w:val="32"/>
          <w:szCs w:val="32"/>
        </w:rPr>
        <w:t>号）、《推动综合保税区高质量发展综合改革措施》</w:t>
      </w:r>
      <w:r>
        <w:rPr>
          <w:rFonts w:ascii="Times New Roman" w:hAnsi="Times New Roman" w:eastAsia="方正仿宋_GBK"/>
          <w:sz w:val="32"/>
          <w:szCs w:val="32"/>
        </w:rPr>
        <w:t>(</w:t>
      </w:r>
      <w:r>
        <w:rPr>
          <w:rFonts w:hint="eastAsia" w:ascii="Times New Roman" w:hAnsi="方正仿宋_GBK" w:eastAsia="方正仿宋_GBK"/>
          <w:sz w:val="32"/>
          <w:szCs w:val="32"/>
        </w:rPr>
        <w:t>署贸发〔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hint="eastAsia" w:ascii="Times New Roman" w:hAns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155</w:t>
      </w:r>
      <w:r>
        <w:rPr>
          <w:rFonts w:hint="eastAsia" w:ascii="Times New Roman" w:hAnsi="方正仿宋_GBK" w:eastAsia="方正仿宋_GBK"/>
          <w:sz w:val="32"/>
          <w:szCs w:val="32"/>
        </w:rPr>
        <w:t>号</w:t>
      </w:r>
      <w:r>
        <w:rPr>
          <w:rFonts w:ascii="Times New Roman" w:hAnsi="Times New Roman" w:eastAsia="方正仿宋_GBK"/>
          <w:sz w:val="32"/>
          <w:szCs w:val="32"/>
        </w:rPr>
        <w:t>)</w:t>
      </w:r>
      <w:r>
        <w:rPr>
          <w:rFonts w:hint="eastAsia" w:ascii="Times New Roman" w:hAnsi="方正仿宋_GBK" w:eastAsia="方正仿宋_GBK"/>
          <w:sz w:val="32"/>
          <w:szCs w:val="32"/>
        </w:rPr>
        <w:t>、《综合保税区发展绩效评估办法》（署贸函〔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hint="eastAsia" w:ascii="Times New Roman" w:hAns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8</w:t>
      </w:r>
      <w:r>
        <w:rPr>
          <w:rFonts w:hint="eastAsia" w:ascii="Times New Roman" w:hAnsi="方正仿宋_GBK" w:eastAsia="方正仿宋_GBK"/>
          <w:sz w:val="32"/>
          <w:szCs w:val="32"/>
        </w:rPr>
        <w:t>号）等文件。为贯彻落实国务院文件精神，配合推进海关总署关于综合保税区相关改革措施，切实推动泰州综合保税区高质量发展，结合泰州实际，制定出台《关于支持泰州综合保税区高水平开放高质量发展的若干措施》（下称“《措施》”）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二、文件主要内容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>《措施》涵盖三方面</w:t>
      </w:r>
      <w:r>
        <w:rPr>
          <w:rFonts w:ascii="Times New Roman" w:hAnsi="方正仿宋_GBK" w:eastAsia="方正仿宋_GBK"/>
          <w:sz w:val="32"/>
          <w:szCs w:val="32"/>
        </w:rPr>
        <w:t>10</w:t>
      </w:r>
      <w:r>
        <w:rPr>
          <w:rFonts w:hint="eastAsia" w:ascii="Times New Roman" w:hAnsi="方正仿宋_GBK" w:eastAsia="方正仿宋_GBK"/>
          <w:sz w:val="32"/>
          <w:szCs w:val="32"/>
        </w:rPr>
        <w:t>项具体政策举措，支持泰州综合保税区发展。一是大力发展主导特色产业，</w:t>
      </w:r>
      <w:r>
        <w:rPr>
          <w:rFonts w:hint="eastAsia" w:ascii="方正仿宋_GBK" w:eastAsia="方正仿宋_GBK"/>
          <w:sz w:val="32"/>
          <w:szCs w:val="32"/>
        </w:rPr>
        <w:t>支持泰州综合保税区打造大健康特色产业、升级保税加工产业、提升保税物流产业、提升跨境电商能级、加快新型业态培育，明确具体发展目标、牵头单位和责任单位。二是加快提升园区发展水平，支持泰州综合保税区提升招商引资、土地开发利用、贸易便利化等水平，推动重点项目加快投产达效；提高土地开发利用效率，促进土地节约集约利用，促进产业集聚和优化升级；海关、外汇等责任单位为综保区争取各项先行先试政策，率先复制自由贸易区各类创新举措。三是推动企业发展壮大，明确支持企业发展壮大和发展保税研发业务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三、文件出台的意义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>《</w:t>
      </w:r>
      <w:bookmarkStart w:id="0" w:name="_GoBack"/>
      <w:bookmarkEnd w:id="0"/>
      <w:r>
        <w:rPr>
          <w:rFonts w:hint="eastAsia" w:ascii="Times New Roman" w:hAnsi="方正仿宋_GBK" w:eastAsia="方正仿宋_GBK"/>
          <w:sz w:val="32"/>
          <w:szCs w:val="32"/>
        </w:rPr>
        <w:t>措施》</w:t>
      </w:r>
      <w:r>
        <w:rPr>
          <w:rFonts w:hint="eastAsia" w:ascii="方正仿宋_GBK" w:eastAsia="方正仿宋_GBK"/>
          <w:sz w:val="32"/>
          <w:szCs w:val="32"/>
        </w:rPr>
        <w:t>的出台，将对泰州综合保税区产业发展进行大力引导，为在全国综合保税区绩效评估综合排名中争先进位提供有力支撑。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ascii="方正仿宋_GBK" w:eastAsia="方正仿宋_GBK"/>
        <w:sz w:val="28"/>
        <w:szCs w:val="28"/>
      </w:rPr>
    </w:pPr>
    <w:r>
      <w:rPr>
        <w:rStyle w:val="8"/>
        <w:rFonts w:ascii="方正仿宋_GBK" w:eastAsia="方正仿宋_GBK"/>
        <w:sz w:val="28"/>
        <w:szCs w:val="28"/>
      </w:rPr>
      <w:fldChar w:fldCharType="begin"/>
    </w:r>
    <w:r>
      <w:rPr>
        <w:rStyle w:val="8"/>
        <w:rFonts w:ascii="方正仿宋_GBK" w:eastAsia="方正仿宋_GBK"/>
        <w:sz w:val="28"/>
        <w:szCs w:val="28"/>
      </w:rPr>
      <w:instrText xml:space="preserve">PAGE  </w:instrText>
    </w:r>
    <w:r>
      <w:rPr>
        <w:rStyle w:val="8"/>
        <w:rFonts w:ascii="方正仿宋_GBK" w:eastAsia="方正仿宋_GBK"/>
        <w:sz w:val="28"/>
        <w:szCs w:val="28"/>
      </w:rPr>
      <w:fldChar w:fldCharType="separate"/>
    </w:r>
    <w:r>
      <w:rPr>
        <w:rStyle w:val="8"/>
        <w:rFonts w:ascii="方正仿宋_GBK" w:eastAsia="方正仿宋_GBK"/>
        <w:sz w:val="28"/>
        <w:szCs w:val="28"/>
      </w:rPr>
      <w:t>- 1 -</w:t>
    </w:r>
    <w:r>
      <w:rPr>
        <w:rStyle w:val="8"/>
        <w:rFonts w:ascii="方正仿宋_GBK" w:eastAsia="方正仿宋_GBK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M3MWI1YzJkYjU2N2I1ZWFmNmQzNThkZjNiN2M4MzIifQ=="/>
    <w:docVar w:name="KSO_WPS_MARK_KEY" w:val="bbfd406b-adba-4349-b7e2-cdababdbcda4"/>
  </w:docVars>
  <w:rsids>
    <w:rsidRoot w:val="009108A2"/>
    <w:rsid w:val="00054992"/>
    <w:rsid w:val="0005583D"/>
    <w:rsid w:val="000A6E61"/>
    <w:rsid w:val="000C5BF8"/>
    <w:rsid w:val="00104849"/>
    <w:rsid w:val="001D7BDA"/>
    <w:rsid w:val="0026579D"/>
    <w:rsid w:val="002D69BD"/>
    <w:rsid w:val="00362CA0"/>
    <w:rsid w:val="00373F09"/>
    <w:rsid w:val="004267A1"/>
    <w:rsid w:val="00487124"/>
    <w:rsid w:val="0052206A"/>
    <w:rsid w:val="00635BCE"/>
    <w:rsid w:val="00644533"/>
    <w:rsid w:val="006609EA"/>
    <w:rsid w:val="00761385"/>
    <w:rsid w:val="007E6927"/>
    <w:rsid w:val="008920A7"/>
    <w:rsid w:val="00895485"/>
    <w:rsid w:val="008C0171"/>
    <w:rsid w:val="008E6CF9"/>
    <w:rsid w:val="009108A2"/>
    <w:rsid w:val="00A07F41"/>
    <w:rsid w:val="00A77D98"/>
    <w:rsid w:val="00B25899"/>
    <w:rsid w:val="00B665D7"/>
    <w:rsid w:val="00B94F81"/>
    <w:rsid w:val="00BD36AC"/>
    <w:rsid w:val="00C37A37"/>
    <w:rsid w:val="00D61BC6"/>
    <w:rsid w:val="00DA0CA9"/>
    <w:rsid w:val="00DD6EF8"/>
    <w:rsid w:val="00E53DBF"/>
    <w:rsid w:val="00E865E0"/>
    <w:rsid w:val="00EA66A6"/>
    <w:rsid w:val="00ED3F3F"/>
    <w:rsid w:val="00F03582"/>
    <w:rsid w:val="00F07638"/>
    <w:rsid w:val="00F5505E"/>
    <w:rsid w:val="01B71429"/>
    <w:rsid w:val="09A21640"/>
    <w:rsid w:val="0A534348"/>
    <w:rsid w:val="169737E5"/>
    <w:rsid w:val="209F6013"/>
    <w:rsid w:val="2A3C6EB3"/>
    <w:rsid w:val="389941AE"/>
    <w:rsid w:val="3B49626A"/>
    <w:rsid w:val="3BD67390"/>
    <w:rsid w:val="4A664F64"/>
    <w:rsid w:val="57B93871"/>
    <w:rsid w:val="5AA04131"/>
    <w:rsid w:val="5B6B6D49"/>
    <w:rsid w:val="62051C2C"/>
    <w:rsid w:val="63631D7C"/>
    <w:rsid w:val="69163291"/>
    <w:rsid w:val="764403B9"/>
    <w:rsid w:val="7A752B83"/>
    <w:rsid w:val="7BC97448"/>
    <w:rsid w:val="7C5F0197"/>
    <w:rsid w:val="7E04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styleId="8">
    <w:name w:val="page number"/>
    <w:basedOn w:val="6"/>
    <w:uiPriority w:val="99"/>
    <w:rPr>
      <w:rFonts w:cs="Times New Roman"/>
    </w:rPr>
  </w:style>
  <w:style w:type="character" w:customStyle="1" w:styleId="9">
    <w:name w:val="Balloon Text Char"/>
    <w:basedOn w:val="6"/>
    <w:link w:val="2"/>
    <w:semiHidden/>
    <w:locked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0">
    <w:name w:val="Footer Char"/>
    <w:basedOn w:val="6"/>
    <w:link w:val="3"/>
    <w:semiHidden/>
    <w:locked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Header Char"/>
    <w:basedOn w:val="6"/>
    <w:link w:val="4"/>
    <w:semiHidden/>
    <w:locked/>
    <w:uiPriority w:val="99"/>
    <w:rPr>
      <w:rFonts w:ascii="等线" w:hAnsi="等线" w:eastAsia="等线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799</Words>
  <Characters>820</Characters>
  <Lines>0</Lines>
  <Paragraphs>0</Paragraphs>
  <TotalTime>15</TotalTime>
  <ScaleCrop>false</ScaleCrop>
  <LinksUpToDate>false</LinksUpToDate>
  <CharactersWithSpaces>820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2024-05-28T02:17:00Z</dcterms:created>
  <dc:creator>PC</dc:creator>
  <cp:lastModifiedBy>xliya</cp:lastModifiedBy>
  <cp:lastPrinted>2022-05-20T09:41:00Z</cp:lastPrinted>
  <dcterms:modified xsi:type="dcterms:W3CDTF">2024-06-01T01:01:12Z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156C53B161B349758D10AA2F173EA486_13</vt:lpwstr>
  </property>
</Properties>
</file>