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adjustRightInd w:val="0"/>
        <w:snapToGrid w:val="0"/>
        <w:spacing w:line="360" w:lineRule="auto"/>
        <w:rPr>
          <w:u w:val="thick"/>
        </w:rPr>
        <w:sectPr>
          <w:headerReference r:id="rId4" w:type="first"/>
          <w:headerReference r:id="rId3" w:type="default"/>
          <w:footerReference r:id="rId5" w:type="default"/>
          <w:footerReference r:id="rId6" w:type="even"/>
          <w:pgSz w:w="11907" w:h="16839"/>
          <w:pgMar w:top="1418" w:right="1134" w:bottom="1134" w:left="1418" w:header="0" w:footer="0" w:gutter="0"/>
          <w:pgNumType w:start="1"/>
          <w:cols w:space="720" w:num="1"/>
          <w:titlePg/>
          <w:docGrid w:linePitch="312" w:charSpace="0"/>
        </w:sectPr>
      </w:pPr>
      <w:bookmarkStart w:id="0" w:name="SectionMark0"/>
      <w:r>
        <w:rPr>
          <w:u w:val="thick"/>
        </w:rPr>
        <mc:AlternateContent>
          <mc:Choice Requires="wps">
            <w:drawing>
              <wp:anchor distT="0" distB="0" distL="114300" distR="114300" simplePos="0" relativeHeight="251671552" behindDoc="0" locked="1" layoutInCell="1" allowOverlap="1">
                <wp:simplePos x="0" y="0"/>
                <wp:positionH relativeFrom="margin">
                  <wp:posOffset>0</wp:posOffset>
                </wp:positionH>
                <wp:positionV relativeFrom="page">
                  <wp:posOffset>360045</wp:posOffset>
                </wp:positionV>
                <wp:extent cx="2540000" cy="657860"/>
                <wp:effectExtent l="0" t="0" r="0" b="2540"/>
                <wp:wrapNone/>
                <wp:docPr id="13" name="fmFrame1"/>
                <wp:cNvGraphicFramePr/>
                <a:graphic xmlns:a="http://schemas.openxmlformats.org/drawingml/2006/main">
                  <a:graphicData uri="http://schemas.microsoft.com/office/word/2010/wordprocessingShape">
                    <wps:wsp>
                      <wps:cNvSpPr txBox="1"/>
                      <wps:spPr>
                        <a:xfrm>
                          <a:off x="0" y="0"/>
                          <a:ext cx="2540000" cy="657860"/>
                        </a:xfrm>
                        <a:prstGeom prst="rect">
                          <a:avLst/>
                        </a:prstGeom>
                        <a:solidFill>
                          <a:srgbClr val="FFFFFF"/>
                        </a:solidFill>
                        <a:ln>
                          <a:noFill/>
                        </a:ln>
                      </wps:spPr>
                      <wps:txbx>
                        <w:txbxContent>
                          <w:p>
                            <w:pPr>
                              <w:pStyle w:val="51"/>
                              <w:rPr>
                                <w:rFonts w:ascii="黑体" w:hAnsi="黑体"/>
                                <w:lang w:eastAsia="zh-Hans"/>
                              </w:rPr>
                            </w:pPr>
                            <w:r>
                              <w:rPr>
                                <w:rFonts w:ascii="黑体" w:hAnsi="黑体"/>
                              </w:rPr>
                              <w:t>ICS 65</w:t>
                            </w:r>
                            <w:r>
                              <w:rPr>
                                <w:rFonts w:hint="eastAsia" w:ascii="黑体" w:hAnsi="黑体"/>
                                <w:lang w:eastAsia="zh-Hans"/>
                              </w:rPr>
                              <w:t>.</w:t>
                            </w:r>
                            <w:r>
                              <w:rPr>
                                <w:rFonts w:ascii="黑体" w:hAnsi="黑体"/>
                                <w:lang w:eastAsia="zh-Hans"/>
                              </w:rPr>
                              <w:t>020</w:t>
                            </w:r>
                            <w:r>
                              <w:rPr>
                                <w:rFonts w:hint="eastAsia" w:ascii="黑体" w:hAnsi="黑体"/>
                                <w:lang w:eastAsia="zh-Hans"/>
                              </w:rPr>
                              <w:t>.</w:t>
                            </w:r>
                            <w:r>
                              <w:rPr>
                                <w:rFonts w:ascii="黑体" w:hAnsi="黑体"/>
                                <w:lang w:eastAsia="zh-Hans"/>
                              </w:rPr>
                              <w:t>20</w:t>
                            </w:r>
                          </w:p>
                          <w:p>
                            <w:pPr>
                              <w:pStyle w:val="51"/>
                              <w:rPr>
                                <w:lang w:eastAsia="zh-Hans"/>
                              </w:rPr>
                            </w:pPr>
                            <w:r>
                              <w:rPr>
                                <w:rFonts w:hint="eastAsia"/>
                                <w:lang w:eastAsia="zh-Hans"/>
                              </w:rPr>
                              <w:t>CCS</w:t>
                            </w:r>
                            <w:r>
                              <w:rPr>
                                <w:lang w:eastAsia="zh-Hans"/>
                              </w:rPr>
                              <w:t xml:space="preserve"> </w:t>
                            </w:r>
                            <w:r>
                              <w:rPr>
                                <w:rFonts w:hint="eastAsia"/>
                                <w:lang w:eastAsia="zh-Hans"/>
                              </w:rPr>
                              <w:t>B</w:t>
                            </w:r>
                            <w:r>
                              <w:rPr>
                                <w:lang w:eastAsia="zh-Hans"/>
                              </w:rPr>
                              <w:t xml:space="preserve"> 31</w:t>
                            </w:r>
                          </w:p>
                          <w:p/>
                        </w:txbxContent>
                      </wps:txbx>
                      <wps:bodyPr wrap="square" lIns="0" tIns="0" rIns="0" bIns="0" upright="1"/>
                    </wps:wsp>
                  </a:graphicData>
                </a:graphic>
              </wp:anchor>
            </w:drawing>
          </mc:Choice>
          <mc:Fallback>
            <w:pict>
              <v:shape id="fmFrame1" o:spid="_x0000_s1026" o:spt="202" type="#_x0000_t202" style="position:absolute;left:0pt;margin-left:0pt;margin-top:28.35pt;height:51.8pt;width:200pt;mso-position-horizontal-relative:margin;mso-position-vertical-relative:page;z-index:251671552;mso-width-relative:page;mso-height-relative:page;" fillcolor="#FFFFFF" filled="t" stroked="f" coordsize="21600,21600" o:gfxdata="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Hyel7VAAAABwEAAA8AAAAAAAAAAQAgAAAAIgAAAGRycy9kb3du&#10;cmV2LnhtbFBLAQIUABQAAAAIAIdO4kA/xXHeyQEAAKcDAAAOAAAAAAAAAAEAIAAAACQBAABkcnMv&#10;ZTJvRG9jLnhtbFBLBQYAAAAABgAGAFkBAABfBQAAAAA=&#10;">
                <v:fill on="t" focussize="0,0"/>
                <v:stroke on="f"/>
                <v:imagedata o:title=""/>
                <o:lock v:ext="edit" aspectratio="f"/>
                <v:textbox inset="0mm,0mm,0mm,0mm">
                  <w:txbxContent>
                    <w:p>
                      <w:pPr>
                        <w:pStyle w:val="51"/>
                        <w:rPr>
                          <w:rFonts w:ascii="黑体" w:hAnsi="黑体"/>
                          <w:lang w:eastAsia="zh-Hans"/>
                        </w:rPr>
                      </w:pPr>
                      <w:r>
                        <w:rPr>
                          <w:rFonts w:ascii="黑体" w:hAnsi="黑体"/>
                        </w:rPr>
                        <w:t>ICS 65</w:t>
                      </w:r>
                      <w:r>
                        <w:rPr>
                          <w:rFonts w:hint="eastAsia" w:ascii="黑体" w:hAnsi="黑体"/>
                          <w:lang w:eastAsia="zh-Hans"/>
                        </w:rPr>
                        <w:t>.</w:t>
                      </w:r>
                      <w:r>
                        <w:rPr>
                          <w:rFonts w:ascii="黑体" w:hAnsi="黑体"/>
                          <w:lang w:eastAsia="zh-Hans"/>
                        </w:rPr>
                        <w:t>020</w:t>
                      </w:r>
                      <w:r>
                        <w:rPr>
                          <w:rFonts w:hint="eastAsia" w:ascii="黑体" w:hAnsi="黑体"/>
                          <w:lang w:eastAsia="zh-Hans"/>
                        </w:rPr>
                        <w:t>.</w:t>
                      </w:r>
                      <w:r>
                        <w:rPr>
                          <w:rFonts w:ascii="黑体" w:hAnsi="黑体"/>
                          <w:lang w:eastAsia="zh-Hans"/>
                        </w:rPr>
                        <w:t>20</w:t>
                      </w:r>
                    </w:p>
                    <w:p>
                      <w:pPr>
                        <w:pStyle w:val="51"/>
                        <w:rPr>
                          <w:lang w:eastAsia="zh-Hans"/>
                        </w:rPr>
                      </w:pPr>
                      <w:r>
                        <w:rPr>
                          <w:rFonts w:hint="eastAsia"/>
                          <w:lang w:eastAsia="zh-Hans"/>
                        </w:rPr>
                        <w:t>CCS</w:t>
                      </w:r>
                      <w:r>
                        <w:rPr>
                          <w:lang w:eastAsia="zh-Hans"/>
                        </w:rPr>
                        <w:t xml:space="preserve"> </w:t>
                      </w:r>
                      <w:r>
                        <w:rPr>
                          <w:rFonts w:hint="eastAsia"/>
                          <w:lang w:eastAsia="zh-Hans"/>
                        </w:rPr>
                        <w:t>B</w:t>
                      </w:r>
                      <w:r>
                        <w:rPr>
                          <w:lang w:eastAsia="zh-Hans"/>
                        </w:rPr>
                        <w:t xml:space="preserve"> 31</w:t>
                      </w:r>
                    </w:p>
                    <w:p/>
                  </w:txbxContent>
                </v:textbox>
                <w10:anchorlock/>
              </v:shape>
            </w:pict>
          </mc:Fallback>
        </mc:AlternateContent>
      </w:r>
      <w:r>
        <w:rPr>
          <w:u w:val="thick"/>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1636395</wp:posOffset>
                </wp:positionV>
                <wp:extent cx="6120130" cy="635"/>
                <wp:effectExtent l="0" t="6350" r="1270" b="12065"/>
                <wp:wrapNone/>
                <wp:docPr id="11" name="自选图形 16"/>
                <wp:cNvGraphicFramePr/>
                <a:graphic xmlns:a="http://schemas.openxmlformats.org/drawingml/2006/main">
                  <a:graphicData uri="http://schemas.microsoft.com/office/word/2010/wordprocessingShape">
                    <wps:wsp>
                      <wps:cNvCnPr/>
                      <wps:spPr>
                        <a:xfrm>
                          <a:off x="0" y="0"/>
                          <a:ext cx="6120130" cy="635"/>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16" o:spid="_x0000_s1026" o:spt="32" type="#_x0000_t32" style="position:absolute;left:0pt;margin-left:0pt;margin-top:128.85pt;height:0.05pt;width:481.9pt;z-index:251669504;mso-width-relative:page;mso-height-relative:page;" filled="f" stroked="t" coordsize="21600,21600" o:gfxdata="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bbek81AAAAAgBAAAPAAAAAAAAAAEAIAAAACIAAABkcnMvZG93bnJldi54bWxQSwECFAAU&#10;AAAACACHTuJASGYHlfUBAADoAwAADgAAAAAAAAABACAAAAAjAQAAZHJzL2Uyb0RvYy54bWxQSwUG&#10;AAAAAAYABgBZAQAAigUAAAAA&#10;">
                <v:fill on="f" focussize="0,0"/>
                <v:stroke weight="1pt" color="#000000" joinstyle="round"/>
                <v:imagedata o:title=""/>
                <o:lock v:ext="edit" aspectratio="f"/>
              </v:shape>
            </w:pict>
          </mc:Fallback>
        </mc:AlternateContent>
      </w:r>
      <w:r>
        <w:rPr>
          <w:u w:val="thick"/>
        </w:rPr>
        <mc:AlternateContent>
          <mc:Choice Requires="wps">
            <w:drawing>
              <wp:anchor distT="0" distB="0" distL="114300" distR="114300" simplePos="0" relativeHeight="251670528" behindDoc="0" locked="0" layoutInCell="1" allowOverlap="1">
                <wp:simplePos x="0" y="0"/>
                <wp:positionH relativeFrom="column">
                  <wp:posOffset>-135890</wp:posOffset>
                </wp:positionH>
                <wp:positionV relativeFrom="paragraph">
                  <wp:posOffset>8336280</wp:posOffset>
                </wp:positionV>
                <wp:extent cx="6019165" cy="8890"/>
                <wp:effectExtent l="0" t="6350" r="635" b="10160"/>
                <wp:wrapNone/>
                <wp:docPr id="12" name="自选图形 18"/>
                <wp:cNvGraphicFramePr/>
                <a:graphic xmlns:a="http://schemas.openxmlformats.org/drawingml/2006/main">
                  <a:graphicData uri="http://schemas.microsoft.com/office/word/2010/wordprocessingShape">
                    <wps:wsp>
                      <wps:cNvCnPr/>
                      <wps:spPr>
                        <a:xfrm>
                          <a:off x="0" y="0"/>
                          <a:ext cx="6019165" cy="8890"/>
                        </a:xfrm>
                        <a:prstGeom prst="straightConnector1">
                          <a:avLst/>
                        </a:prstGeom>
                        <a:ln w="12700" cap="flat" cmpd="sng">
                          <a:solidFill>
                            <a:srgbClr val="000000"/>
                          </a:solidFill>
                          <a:prstDash val="solid"/>
                          <a:headEnd type="none" w="med" len="med"/>
                          <a:tailEnd type="none" w="med" len="med"/>
                        </a:ln>
                      </wps:spPr>
                      <wps:bodyPr/>
                    </wps:wsp>
                  </a:graphicData>
                </a:graphic>
              </wp:anchor>
            </w:drawing>
          </mc:Choice>
          <mc:Fallback>
            <w:pict>
              <v:shape id="自选图形 18" o:spid="_x0000_s1026" o:spt="32" type="#_x0000_t32" style="position:absolute;left:0pt;margin-left:-10.7pt;margin-top:656.4pt;height:0.7pt;width:473.95pt;z-index:251670528;mso-width-relative:page;mso-height-relative:page;" filled="f" stroked="t" coordsize="21600,21600" o:gfxdata="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CbIQ8q2AAAAA0BAAAPAAAAAAAAAAEAIAAAACIAAABkcnMvZG93bnJldi54&#10;bWxQSwECFAAUAAAACACHTuJAx4wUSPoBAADpAwAADgAAAAAAAAABACAAAAAnAQAAZHJzL2Uyb0Rv&#10;Yy54bWxQSwUGAAAAAAYABgBZAQAAkwUAAAAA&#10;">
                <v:fill on="f" focussize="0,0"/>
                <v:stroke weight="1pt" color="#000000" joinstyle="round"/>
                <v:imagedata o:title=""/>
                <o:lock v:ext="edit" aspectratio="f"/>
              </v:shape>
            </w:pict>
          </mc:Fallback>
        </mc:AlternateContent>
      </w:r>
      <w:r>
        <w:rPr>
          <w:u w:val="thick"/>
        </w:rPr>
        <mc:AlternateContent>
          <mc:Choice Requires="wps">
            <w:drawing>
              <wp:anchor distT="0" distB="0" distL="114300" distR="114300" simplePos="0" relativeHeight="251666432" behindDoc="0" locked="0" layoutInCell="1" allowOverlap="1">
                <wp:simplePos x="0" y="0"/>
                <wp:positionH relativeFrom="column">
                  <wp:posOffset>1270</wp:posOffset>
                </wp:positionH>
                <wp:positionV relativeFrom="paragraph">
                  <wp:posOffset>8359140</wp:posOffset>
                </wp:positionV>
                <wp:extent cx="6121400" cy="0"/>
                <wp:effectExtent l="0" t="6350" r="0" b="6350"/>
                <wp:wrapNone/>
                <wp:docPr id="8" name="直线 2"/>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FFFFFF"/>
                          </a:solidFill>
                          <a:prstDash val="solid"/>
                          <a:headEnd type="none" w="med" len="med"/>
                          <a:tailEnd type="none" w="med" len="med"/>
                        </a:ln>
                      </wps:spPr>
                      <wps:bodyPr/>
                    </wps:wsp>
                  </a:graphicData>
                </a:graphic>
              </wp:anchor>
            </w:drawing>
          </mc:Choice>
          <mc:Fallback>
            <w:pict>
              <v:line id="直线 2" o:spid="_x0000_s1026" o:spt="20" style="position:absolute;left:0pt;margin-left:0.1pt;margin-top:658.2pt;height:0pt;width:482pt;z-index:251666432;mso-width-relative:page;mso-height-relative:page;" filled="f" stroked="t" coordsize="21600,21600" o:gfxdata="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PD10mzVAAAACgEAAA8AAAAA&#10;AAAAAQAgAAAAIgAAAGRycy9kb3ducmV2LnhtbFBLAQIUABQAAAAIAIdO4kCtGoOz3gEAANADAAAO&#10;AAAAAAAAAAEAIAAAACQBAABkcnMvZTJvRG9jLnhtbFBLBQYAAAAABgAGAFkBAAB0BQAAAAA=&#10;">
                <v:fill on="f" focussize="0,0"/>
                <v:stroke weight="1pt" color="#FFFFFF" joinstyle="round"/>
                <v:imagedata o:title=""/>
                <o:lock v:ext="edit" aspectratio="f"/>
              </v:line>
            </w:pict>
          </mc:Fallback>
        </mc:AlternateContent>
      </w:r>
      <w:r>
        <w:rPr>
          <w:u w:val="thick"/>
        </w:rP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2273300</wp:posOffset>
                </wp:positionV>
                <wp:extent cx="6121400" cy="0"/>
                <wp:effectExtent l="0" t="6350" r="0" b="6350"/>
                <wp:wrapNone/>
                <wp:docPr id="7" name="直线 3"/>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FFFFFF"/>
                          </a:solidFill>
                          <a:prstDash val="solid"/>
                          <a:headEnd type="none" w="med" len="med"/>
                          <a:tailEnd type="none" w="med" len="med"/>
                        </a:ln>
                      </wps:spPr>
                      <wps:bodyPr/>
                    </wps:wsp>
                  </a:graphicData>
                </a:graphic>
              </wp:anchor>
            </w:drawing>
          </mc:Choice>
          <mc:Fallback>
            <w:pict>
              <v:line id="直线 3" o:spid="_x0000_s1026" o:spt="20" style="position:absolute;left:0pt;margin-left:0pt;margin-top:179pt;height:0pt;width:482pt;z-index:251665408;mso-width-relative:page;mso-height-relative:page;" filled="f" stroked="t" coordsize="21600,21600" o:gfxdata="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OyLtAXWAAAACAEAAA8A&#10;AAAAAAAAAQAgAAAAIgAAAGRycy9kb3ducmV2LnhtbFBLAQIUABQAAAAIAIdO4kAXIB794AEAANAD&#10;AAAOAAAAAAAAAAEAIAAAACUBAABkcnMvZTJvRG9jLnhtbFBLBQYAAAAABgAGAFkBAAB3BQAAAAA=&#10;">
                <v:fill on="f" focussize="0,0"/>
                <v:stroke weight="1pt" color="#FFFFFF" joinstyle="round"/>
                <v:imagedata o:title=""/>
                <o:lock v:ext="edit" aspectratio="f"/>
              </v:line>
            </w:pict>
          </mc:Fallback>
        </mc:AlternateContent>
      </w:r>
      <w:r>
        <w:rPr>
          <w:u w:val="thick"/>
        </w:rPr>
        <mc:AlternateContent>
          <mc:Choice Requires="wps">
            <w:drawing>
              <wp:anchor distT="0" distB="0" distL="114300" distR="114300" simplePos="0" relativeHeight="251664384" behindDoc="0" locked="1" layoutInCell="1" allowOverlap="1">
                <wp:simplePos x="0" y="0"/>
                <wp:positionH relativeFrom="page">
                  <wp:posOffset>902970</wp:posOffset>
                </wp:positionH>
                <wp:positionV relativeFrom="page">
                  <wp:posOffset>9471660</wp:posOffset>
                </wp:positionV>
                <wp:extent cx="6120130" cy="784860"/>
                <wp:effectExtent l="0" t="0" r="1270" b="2540"/>
                <wp:wrapNone/>
                <wp:docPr id="6" name="fmFrame7"/>
                <wp:cNvGraphicFramePr/>
                <a:graphic xmlns:a="http://schemas.openxmlformats.org/drawingml/2006/main">
                  <a:graphicData uri="http://schemas.microsoft.com/office/word/2010/wordprocessingShape">
                    <wps:wsp>
                      <wps:cNvSpPr txBox="1"/>
                      <wps:spPr>
                        <a:xfrm>
                          <a:off x="0" y="0"/>
                          <a:ext cx="6120130" cy="784860"/>
                        </a:xfrm>
                        <a:prstGeom prst="rect">
                          <a:avLst/>
                        </a:prstGeom>
                        <a:solidFill>
                          <a:srgbClr val="FFFFFF"/>
                        </a:solidFill>
                        <a:ln>
                          <a:noFill/>
                        </a:ln>
                      </wps:spPr>
                      <wps:txbx>
                        <w:txbxContent>
                          <w:p>
                            <w:pPr>
                              <w:pStyle w:val="34"/>
                              <w:rPr>
                                <w:position w:val="-74"/>
                              </w:rPr>
                            </w:pPr>
                            <w:r>
                              <w:rPr>
                                <w:rFonts w:hint="eastAsia"/>
                                <w:position w:val="-74"/>
                              </w:rPr>
                              <w:t>江苏省市场监督管理</w:t>
                            </w:r>
                            <w:r>
                              <w:rPr>
                                <w:rFonts w:hint="eastAsia"/>
                                <w:spacing w:val="40"/>
                                <w:position w:val="-74"/>
                              </w:rPr>
                              <w:t>局</w:t>
                            </w:r>
                            <w:r>
                              <w:rPr>
                                <w:rStyle w:val="26"/>
                                <w:spacing w:val="40"/>
                                <w:position w:val="-74"/>
                              </w:rPr>
                              <w:t xml:space="preserve"> </w:t>
                            </w:r>
                            <w:r>
                              <w:rPr>
                                <w:rStyle w:val="26"/>
                                <w:rFonts w:hint="eastAsia"/>
                                <w:spacing w:val="40"/>
                                <w:position w:val="-74"/>
                              </w:rPr>
                              <w:t xml:space="preserve"> </w:t>
                            </w:r>
                            <w:r>
                              <w:rPr>
                                <w:rStyle w:val="26"/>
                                <w:rFonts w:hint="eastAsia"/>
                                <w:spacing w:val="10"/>
                                <w:position w:val="-74"/>
                              </w:rPr>
                              <w:t>发</w:t>
                            </w:r>
                            <w:r>
                              <w:rPr>
                                <w:rStyle w:val="26"/>
                                <w:rFonts w:hint="eastAsia"/>
                                <w:spacing w:val="10"/>
                                <w:position w:val="-74"/>
                                <w:sz w:val="21"/>
                                <w:szCs w:val="21"/>
                              </w:rPr>
                              <w:t xml:space="preserve"> </w:t>
                            </w:r>
                            <w:r>
                              <w:rPr>
                                <w:rStyle w:val="26"/>
                                <w:rFonts w:hint="eastAsia"/>
                                <w:spacing w:val="10"/>
                                <w:position w:val="-74"/>
                              </w:rPr>
                              <w:t>布</w:t>
                            </w:r>
                          </w:p>
                        </w:txbxContent>
                      </wps:txbx>
                      <wps:bodyPr wrap="square" lIns="0" tIns="0" rIns="0" bIns="0" upright="1"/>
                    </wps:wsp>
                  </a:graphicData>
                </a:graphic>
              </wp:anchor>
            </w:drawing>
          </mc:Choice>
          <mc:Fallback>
            <w:pict>
              <v:shape id="fmFrame7" o:spid="_x0000_s1026" o:spt="202" type="#_x0000_t202" style="position:absolute;left:0pt;margin-left:71.1pt;margin-top:745.8pt;height:61.8pt;width:481.9pt;mso-position-horizontal-relative:page;mso-position-vertical-relative:page;z-index:251664384;mso-width-relative:page;mso-height-relative:page;" fillcolor="#FFFFFF" filled="t" stroked="f" coordsize="21600,21600" o:gfxdata="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6hQO7ZAAAADgEAAA8AAAAAAAAAAQAgAAAAIgAAAGRycy9k&#10;b3ducmV2LnhtbFBLAQIUABQAAAAIAIdO4kD49XpsyAEAAKYDAAAOAAAAAAAAAAEAIAAAACgBAABk&#10;cnMvZTJvRG9jLnhtbFBLBQYAAAAABgAGAFkBAABiBQAAAAA=&#10;">
                <v:fill on="t" focussize="0,0"/>
                <v:stroke on="f"/>
                <v:imagedata o:title=""/>
                <o:lock v:ext="edit" aspectratio="f"/>
                <v:textbox inset="0mm,0mm,0mm,0mm">
                  <w:txbxContent>
                    <w:p>
                      <w:pPr>
                        <w:pStyle w:val="34"/>
                        <w:rPr>
                          <w:position w:val="-74"/>
                        </w:rPr>
                      </w:pPr>
                      <w:r>
                        <w:rPr>
                          <w:rFonts w:hint="eastAsia"/>
                          <w:position w:val="-74"/>
                        </w:rPr>
                        <w:t>江苏省市场监督管理</w:t>
                      </w:r>
                      <w:r>
                        <w:rPr>
                          <w:rFonts w:hint="eastAsia"/>
                          <w:spacing w:val="40"/>
                          <w:position w:val="-74"/>
                        </w:rPr>
                        <w:t>局</w:t>
                      </w:r>
                      <w:r>
                        <w:rPr>
                          <w:rStyle w:val="26"/>
                          <w:spacing w:val="40"/>
                          <w:position w:val="-74"/>
                        </w:rPr>
                        <w:t xml:space="preserve"> </w:t>
                      </w:r>
                      <w:r>
                        <w:rPr>
                          <w:rStyle w:val="26"/>
                          <w:rFonts w:hint="eastAsia"/>
                          <w:spacing w:val="40"/>
                          <w:position w:val="-74"/>
                        </w:rPr>
                        <w:t xml:space="preserve"> </w:t>
                      </w:r>
                      <w:r>
                        <w:rPr>
                          <w:rStyle w:val="26"/>
                          <w:rFonts w:hint="eastAsia"/>
                          <w:spacing w:val="10"/>
                          <w:position w:val="-74"/>
                        </w:rPr>
                        <w:t>发</w:t>
                      </w:r>
                      <w:r>
                        <w:rPr>
                          <w:rStyle w:val="26"/>
                          <w:rFonts w:hint="eastAsia"/>
                          <w:spacing w:val="10"/>
                          <w:position w:val="-74"/>
                          <w:sz w:val="21"/>
                          <w:szCs w:val="21"/>
                        </w:rPr>
                        <w:t xml:space="preserve"> </w:t>
                      </w:r>
                      <w:r>
                        <w:rPr>
                          <w:rStyle w:val="26"/>
                          <w:rFonts w:hint="eastAsia"/>
                          <w:spacing w:val="10"/>
                          <w:position w:val="-74"/>
                        </w:rPr>
                        <w:t>布</w:t>
                      </w:r>
                    </w:p>
                  </w:txbxContent>
                </v:textbox>
                <w10:anchorlock/>
              </v:shape>
            </w:pict>
          </mc:Fallback>
        </mc:AlternateContent>
      </w:r>
      <w:r>
        <w:rPr>
          <w:u w:val="thick"/>
        </w:rPr>
        <mc:AlternateContent>
          <mc:Choice Requires="wps">
            <w:drawing>
              <wp:anchor distT="0" distB="0" distL="114300" distR="114300" simplePos="0" relativeHeight="251663360" behindDoc="0" locked="1" layoutInCell="1" allowOverlap="1">
                <wp:simplePos x="0" y="0"/>
                <wp:positionH relativeFrom="page">
                  <wp:posOffset>720090</wp:posOffset>
                </wp:positionH>
                <wp:positionV relativeFrom="page">
                  <wp:posOffset>8606790</wp:posOffset>
                </wp:positionV>
                <wp:extent cx="6087745" cy="581660"/>
                <wp:effectExtent l="0" t="0" r="8255" b="2540"/>
                <wp:wrapNone/>
                <wp:docPr id="5" name="fmFrame5"/>
                <wp:cNvGraphicFramePr/>
                <a:graphic xmlns:a="http://schemas.openxmlformats.org/drawingml/2006/main">
                  <a:graphicData uri="http://schemas.microsoft.com/office/word/2010/wordprocessingShape">
                    <wps:wsp>
                      <wps:cNvSpPr txBox="1"/>
                      <wps:spPr>
                        <a:xfrm>
                          <a:off x="0" y="0"/>
                          <a:ext cx="6087745" cy="581660"/>
                        </a:xfrm>
                        <a:prstGeom prst="rect">
                          <a:avLst/>
                        </a:prstGeom>
                        <a:solidFill>
                          <a:srgbClr val="FFFFFF"/>
                        </a:solidFill>
                        <a:ln>
                          <a:noFill/>
                        </a:ln>
                      </wps:spPr>
                      <wps:txbx>
                        <w:txbxContent>
                          <w:p>
                            <w:pPr>
                              <w:pStyle w:val="36"/>
                              <w:rPr>
                                <w:position w:val="-85"/>
                              </w:rPr>
                            </w:pPr>
                            <w:r>
                              <w:rPr>
                                <w:position w:val="-85"/>
                              </w:rPr>
                              <w:t>2024-</w:t>
                            </w:r>
                            <w:r>
                              <w:rPr>
                                <w:rFonts w:hint="eastAsia"/>
                                <w:position w:val="-85"/>
                              </w:rPr>
                              <w:t>××</w:t>
                            </w:r>
                            <w:r>
                              <w:rPr>
                                <w:position w:val="-85"/>
                              </w:rPr>
                              <w:t>-</w:t>
                            </w:r>
                            <w:r>
                              <w:rPr>
                                <w:rFonts w:hint="eastAsia"/>
                                <w:position w:val="-85"/>
                              </w:rPr>
                              <w:t xml:space="preserve">××发布                                 </w:t>
                            </w:r>
                            <w:r>
                              <w:rPr>
                                <w:position w:val="-85"/>
                              </w:rPr>
                              <w:t>2024-</w:t>
                            </w:r>
                            <w:r>
                              <w:rPr>
                                <w:rFonts w:hint="eastAsia"/>
                                <w:position w:val="-85"/>
                              </w:rPr>
                              <w:t>××</w:t>
                            </w:r>
                            <w:r>
                              <w:rPr>
                                <w:position w:val="-85"/>
                              </w:rPr>
                              <w:t>-</w:t>
                            </w:r>
                            <w:r>
                              <w:rPr>
                                <w:rFonts w:hint="eastAsia"/>
                                <w:position w:val="-85"/>
                              </w:rPr>
                              <w:t>××实施</w:t>
                            </w:r>
                          </w:p>
                          <w:p>
                            <w:pPr>
                              <w:pStyle w:val="37"/>
                              <w:rPr>
                                <w:u w:val="single"/>
                              </w:rPr>
                            </w:pPr>
                          </w:p>
                        </w:txbxContent>
                      </wps:txbx>
                      <wps:bodyPr wrap="square" lIns="0" tIns="0" rIns="0" bIns="0" upright="1"/>
                    </wps:wsp>
                  </a:graphicData>
                </a:graphic>
              </wp:anchor>
            </w:drawing>
          </mc:Choice>
          <mc:Fallback>
            <w:pict>
              <v:shape id="fmFrame5" o:spid="_x0000_s1026" o:spt="202" type="#_x0000_t202" style="position:absolute;left:0pt;margin-left:56.7pt;margin-top:677.7pt;height:45.8pt;width:479.35pt;mso-position-horizontal-relative:page;mso-position-vertical-relative:page;z-index:251663360;mso-width-relative:page;mso-height-relative:page;" fillcolor="#FFFFFF" filled="t" stroked="f" coordsize="21600,21600" o:gfxdata="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&#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SHnVraAAAADgEAAA8AAAAAAAAAAQAgAAAAIgAAAGRy&#10;cy9kb3ducmV2LnhtbFBLAQIUABQAAAAIAIdO4kBjn9o6ygEAAKYDAAAOAAAAAAAAAAEAIAAAACkB&#10;AABkcnMvZTJvRG9jLnhtbFBLBQYAAAAABgAGAFkBAABlBQAAAAA=&#10;">
                <v:fill on="t" focussize="0,0"/>
                <v:stroke on="f"/>
                <v:imagedata o:title=""/>
                <o:lock v:ext="edit" aspectratio="f"/>
                <v:textbox inset="0mm,0mm,0mm,0mm">
                  <w:txbxContent>
                    <w:p>
                      <w:pPr>
                        <w:pStyle w:val="36"/>
                        <w:rPr>
                          <w:position w:val="-85"/>
                        </w:rPr>
                      </w:pPr>
                      <w:r>
                        <w:rPr>
                          <w:position w:val="-85"/>
                        </w:rPr>
                        <w:t>2024-</w:t>
                      </w:r>
                      <w:r>
                        <w:rPr>
                          <w:rFonts w:hint="eastAsia"/>
                          <w:position w:val="-85"/>
                        </w:rPr>
                        <w:t>××</w:t>
                      </w:r>
                      <w:r>
                        <w:rPr>
                          <w:position w:val="-85"/>
                        </w:rPr>
                        <w:t>-</w:t>
                      </w:r>
                      <w:r>
                        <w:rPr>
                          <w:rFonts w:hint="eastAsia"/>
                          <w:position w:val="-85"/>
                        </w:rPr>
                        <w:t xml:space="preserve">××发布                                 </w:t>
                      </w:r>
                      <w:r>
                        <w:rPr>
                          <w:position w:val="-85"/>
                        </w:rPr>
                        <w:t>2024-</w:t>
                      </w:r>
                      <w:r>
                        <w:rPr>
                          <w:rFonts w:hint="eastAsia"/>
                          <w:position w:val="-85"/>
                        </w:rPr>
                        <w:t>××</w:t>
                      </w:r>
                      <w:r>
                        <w:rPr>
                          <w:position w:val="-85"/>
                        </w:rPr>
                        <w:t>-</w:t>
                      </w:r>
                      <w:r>
                        <w:rPr>
                          <w:rFonts w:hint="eastAsia"/>
                          <w:position w:val="-85"/>
                        </w:rPr>
                        <w:t>××实施</w:t>
                      </w:r>
                    </w:p>
                    <w:p>
                      <w:pPr>
                        <w:pStyle w:val="37"/>
                        <w:rPr>
                          <w:u w:val="single"/>
                        </w:rPr>
                      </w:pPr>
                    </w:p>
                  </w:txbxContent>
                </v:textbox>
                <w10:anchorlock/>
              </v:shape>
            </w:pict>
          </mc:Fallback>
        </mc:AlternateContent>
      </w:r>
      <w:r>
        <w:rPr>
          <w:u w:val="thick"/>
        </w:rPr>
        <mc:AlternateContent>
          <mc:Choice Requires="wps">
            <w:drawing>
              <wp:anchor distT="0" distB="0" distL="114300" distR="114300" simplePos="0" relativeHeight="251662336" behindDoc="0" locked="1" layoutInCell="1" allowOverlap="1">
                <wp:simplePos x="0" y="0"/>
                <wp:positionH relativeFrom="margin">
                  <wp:posOffset>71755</wp:posOffset>
                </wp:positionH>
                <wp:positionV relativeFrom="margin">
                  <wp:posOffset>2844165</wp:posOffset>
                </wp:positionV>
                <wp:extent cx="5803265" cy="2239645"/>
                <wp:effectExtent l="0" t="0" r="635" b="8255"/>
                <wp:wrapNone/>
                <wp:docPr id="4" name="fmFrame4"/>
                <wp:cNvGraphicFramePr/>
                <a:graphic xmlns:a="http://schemas.openxmlformats.org/drawingml/2006/main">
                  <a:graphicData uri="http://schemas.microsoft.com/office/word/2010/wordprocessingShape">
                    <wps:wsp>
                      <wps:cNvSpPr txBox="1"/>
                      <wps:spPr>
                        <a:xfrm>
                          <a:off x="0" y="0"/>
                          <a:ext cx="5803265" cy="2239645"/>
                        </a:xfrm>
                        <a:prstGeom prst="rect">
                          <a:avLst/>
                        </a:prstGeom>
                        <a:solidFill>
                          <a:srgbClr val="FFFFFF"/>
                        </a:solidFill>
                        <a:ln>
                          <a:noFill/>
                        </a:ln>
                      </wps:spPr>
                      <wps:txbx>
                        <w:txbxContent>
                          <w:p>
                            <w:pPr>
                              <w:spacing w:line="567" w:lineRule="exact"/>
                              <w:jc w:val="center"/>
                              <w:rPr>
                                <w:rFonts w:eastAsia="黑体"/>
                                <w:sz w:val="28"/>
                                <w:szCs w:val="28"/>
                              </w:rPr>
                            </w:pPr>
                            <w:r>
                              <w:rPr>
                                <w:rFonts w:hint="eastAsia" w:eastAsia="黑体"/>
                                <w:sz w:val="52"/>
                                <w:szCs w:val="52"/>
                              </w:rPr>
                              <w:t>梨轻简化栽培技术规程</w:t>
                            </w:r>
                          </w:p>
                          <w:p>
                            <w:pPr>
                              <w:spacing w:before="480" w:beforeLines="200"/>
                              <w:jc w:val="center"/>
                              <w:rPr>
                                <w:sz w:val="32"/>
                                <w:szCs w:val="36"/>
                              </w:rPr>
                            </w:pPr>
                            <w:r>
                              <w:rPr>
                                <w:sz w:val="32"/>
                                <w:szCs w:val="36"/>
                              </w:rPr>
                              <w:t>Technical code of practice for light and simplified cultivation of pear</w:t>
                            </w:r>
                          </w:p>
                        </w:txbxContent>
                      </wps:txbx>
                      <wps:bodyPr vert="horz" wrap="square" lIns="0" tIns="0" rIns="0" bIns="0" anchor="t" anchorCtr="0" upright="1"/>
                    </wps:wsp>
                  </a:graphicData>
                </a:graphic>
              </wp:anchor>
            </w:drawing>
          </mc:Choice>
          <mc:Fallback>
            <w:pict>
              <v:shape id="fmFrame4" o:spid="_x0000_s1026" o:spt="202" type="#_x0000_t202" style="position:absolute;left:0pt;margin-left:5.65pt;margin-top:223.95pt;height:176.35pt;width:456.95pt;mso-position-horizontal-relative:margin;mso-position-vertical-relative:margin;z-index:251662336;mso-width-relative:page;mso-height-relative:page;" fillcolor="#FFFFFF" filled="t" stroked="f" coordsize="21600,21600" o:gfxdata="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Ql35d2QAAAAoBAAAP&#10;AAAAAAAAAAEAIAAAACIAAABkcnMvZG93bnJldi54bWxQSwECFAAUAAAACACHTuJASZN3jt4BAADM&#10;AwAADgAAAAAAAAABACAAAAAoAQAAZHJzL2Uyb0RvYy54bWxQSwUGAAAAAAYABgBZAQAAeAUAAAAA&#10;">
                <v:fill on="t" focussize="0,0"/>
                <v:stroke on="f"/>
                <v:imagedata o:title=""/>
                <o:lock v:ext="edit" aspectratio="f"/>
                <v:textbox inset="0mm,0mm,0mm,0mm">
                  <w:txbxContent>
                    <w:p>
                      <w:pPr>
                        <w:spacing w:line="567" w:lineRule="exact"/>
                        <w:jc w:val="center"/>
                        <w:rPr>
                          <w:rFonts w:eastAsia="黑体"/>
                          <w:sz w:val="28"/>
                          <w:szCs w:val="28"/>
                        </w:rPr>
                      </w:pPr>
                      <w:r>
                        <w:rPr>
                          <w:rFonts w:hint="eastAsia" w:eastAsia="黑体"/>
                          <w:sz w:val="52"/>
                          <w:szCs w:val="52"/>
                        </w:rPr>
                        <w:t>梨轻简化栽培技术规程</w:t>
                      </w:r>
                    </w:p>
                    <w:p>
                      <w:pPr>
                        <w:spacing w:before="480" w:beforeLines="200"/>
                        <w:jc w:val="center"/>
                        <w:rPr>
                          <w:sz w:val="32"/>
                          <w:szCs w:val="36"/>
                        </w:rPr>
                      </w:pPr>
                      <w:r>
                        <w:rPr>
                          <w:sz w:val="32"/>
                          <w:szCs w:val="36"/>
                        </w:rPr>
                        <w:t>Technical code of practice for light and simplified cultivation of pear</w:t>
                      </w:r>
                    </w:p>
                  </w:txbxContent>
                </v:textbox>
                <w10:anchorlock/>
              </v:shape>
            </w:pict>
          </mc:Fallback>
        </mc:AlternateContent>
      </w:r>
      <w:r>
        <w:rPr>
          <w:u w:val="thick"/>
        </w:rPr>
        <mc:AlternateContent>
          <mc:Choice Requires="wps">
            <w:drawing>
              <wp:anchor distT="0" distB="0" distL="114300" distR="114300" simplePos="0" relativeHeight="251661312" behindDoc="0" locked="1" layoutInCell="1" allowOverlap="1">
                <wp:simplePos x="0" y="0"/>
                <wp:positionH relativeFrom="margin">
                  <wp:posOffset>114300</wp:posOffset>
                </wp:positionH>
                <wp:positionV relativeFrom="margin">
                  <wp:posOffset>902970</wp:posOffset>
                </wp:positionV>
                <wp:extent cx="5802630" cy="535305"/>
                <wp:effectExtent l="0" t="0" r="1270" b="10795"/>
                <wp:wrapNone/>
                <wp:docPr id="3" name="fmFrame3"/>
                <wp:cNvGraphicFramePr/>
                <a:graphic xmlns:a="http://schemas.openxmlformats.org/drawingml/2006/main">
                  <a:graphicData uri="http://schemas.microsoft.com/office/word/2010/wordprocessingShape">
                    <wps:wsp>
                      <wps:cNvSpPr txBox="1"/>
                      <wps:spPr>
                        <a:xfrm>
                          <a:off x="0" y="0"/>
                          <a:ext cx="5802630" cy="535305"/>
                        </a:xfrm>
                        <a:prstGeom prst="rect">
                          <a:avLst/>
                        </a:prstGeom>
                        <a:solidFill>
                          <a:srgbClr val="FFFFFF"/>
                        </a:solidFill>
                        <a:ln>
                          <a:noFill/>
                        </a:ln>
                      </wps:spPr>
                      <wps:txbx>
                        <w:txbxContent>
                          <w:p>
                            <w:pPr>
                              <w:pStyle w:val="50"/>
                              <w:rPr>
                                <w:rFonts w:ascii="黑体" w:hAnsi="黑体" w:eastAsia="黑体"/>
                                <w:position w:val="15"/>
                              </w:rPr>
                            </w:pPr>
                            <w:r>
                              <w:rPr>
                                <w:rFonts w:ascii="黑体" w:hAnsi="黑体" w:eastAsia="黑体"/>
                                <w:position w:val="15"/>
                              </w:rPr>
                              <w:t>DB32/T×××—2024</w:t>
                            </w:r>
                          </w:p>
                          <w:p>
                            <w:pPr>
                              <w:pStyle w:val="50"/>
                              <w:jc w:val="left"/>
                            </w:pPr>
                          </w:p>
                        </w:txbxContent>
                      </wps:txbx>
                      <wps:bodyPr wrap="square" lIns="0" tIns="0" rIns="0" bIns="0" upright="1"/>
                    </wps:wsp>
                  </a:graphicData>
                </a:graphic>
              </wp:anchor>
            </w:drawing>
          </mc:Choice>
          <mc:Fallback>
            <w:pict>
              <v:shape id="fmFrame3" o:spid="_x0000_s1026" o:spt="202" type="#_x0000_t202" style="position:absolute;left:0pt;margin-left:9pt;margin-top:71.1pt;height:42.15pt;width:456.9pt;mso-position-horizontal-relative:margin;mso-position-vertical-relative:margin;z-index:251661312;mso-width-relative:page;mso-height-relative:page;" fillcolor="#FFFFFF" filled="t" stroked="f" coordsize="21600,21600" o:gfxdata="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APQiVX2QAAAAoBAAAPAAAAAAAAAAEAIAAAACIAAABkcnMvZG93&#10;bnJldi54bWxQSwECFAAUAAAACACHTuJAjUPxv8YBAACmAwAADgAAAAAAAAABACAAAAAoAQAAZHJz&#10;L2Uyb0RvYy54bWxQSwUGAAAAAAYABgBZAQAAYAUAAAAA&#10;">
                <v:fill on="t" focussize="0,0"/>
                <v:stroke on="f"/>
                <v:imagedata o:title=""/>
                <o:lock v:ext="edit" aspectratio="f"/>
                <v:textbox inset="0mm,0mm,0mm,0mm">
                  <w:txbxContent>
                    <w:p>
                      <w:pPr>
                        <w:pStyle w:val="50"/>
                        <w:rPr>
                          <w:rFonts w:ascii="黑体" w:hAnsi="黑体" w:eastAsia="黑体"/>
                          <w:position w:val="15"/>
                        </w:rPr>
                      </w:pPr>
                      <w:r>
                        <w:rPr>
                          <w:rFonts w:ascii="黑体" w:hAnsi="黑体" w:eastAsia="黑体"/>
                          <w:position w:val="15"/>
                        </w:rPr>
                        <w:t>DB32/T×××—2024</w:t>
                      </w:r>
                    </w:p>
                    <w:p>
                      <w:pPr>
                        <w:pStyle w:val="50"/>
                        <w:jc w:val="left"/>
                      </w:pPr>
                    </w:p>
                  </w:txbxContent>
                </v:textbox>
                <w10:anchorlock/>
              </v:shape>
            </w:pict>
          </mc:Fallback>
        </mc:AlternateContent>
      </w:r>
      <w:r>
        <w:rPr>
          <w:u w:val="thick"/>
        </w:rPr>
        <mc:AlternateContent>
          <mc:Choice Requires="wps">
            <w:drawing>
              <wp:anchor distT="0" distB="0" distL="114300" distR="114300" simplePos="0" relativeHeight="251660288" behindDoc="0" locked="1" layoutInCell="1" allowOverlap="1">
                <wp:simplePos x="0" y="0"/>
                <wp:positionH relativeFrom="margin">
                  <wp:posOffset>2549525</wp:posOffset>
                </wp:positionH>
                <wp:positionV relativeFrom="margin">
                  <wp:posOffset>-443865</wp:posOffset>
                </wp:positionV>
                <wp:extent cx="3175000" cy="720090"/>
                <wp:effectExtent l="0" t="0" r="0" b="3810"/>
                <wp:wrapNone/>
                <wp:docPr id="2" name="fmFrame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pPr>
                              <w:pStyle w:val="49"/>
                            </w:pPr>
                            <w:r>
                              <w:t>DB32</w:t>
                            </w:r>
                          </w:p>
                        </w:txbxContent>
                      </wps:txbx>
                      <wps:bodyPr wrap="square" lIns="0" tIns="0" rIns="0" bIns="0" upright="1"/>
                    </wps:wsp>
                  </a:graphicData>
                </a:graphic>
              </wp:anchor>
            </w:drawing>
          </mc:Choice>
          <mc:Fallback>
            <w:pict>
              <v:shape id="fmFrame8" o:spid="_x0000_s1026" o:spt="202" type="#_x0000_t202" style="position:absolute;left:0pt;margin-left:200.75pt;margin-top:-34.95pt;height:56.7pt;width:250pt;mso-position-horizontal-relative:margin;mso-position-vertical-relative:margin;z-index:251660288;mso-width-relative:page;mso-height-relative:page;" fillcolor="#FFFFFF" filled="t" stroked="f" coordsize="21600,21600" o:gfxdata="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IhyZjYAAAACgEAAA8AAAAAAAAAAQAgAAAAIgAAAGRycy9k&#10;b3ducmV2LnhtbFBLAQIUABQAAAAIAIdO4kCwssJhyQEAAKYDAAAOAAAAAAAAAAEAIAAAACcBAABk&#10;cnMvZTJvRG9jLnhtbFBLBQYAAAAABgAGAFkBAABiBQAAAAA=&#10;">
                <v:fill on="t" focussize="0,0"/>
                <v:stroke on="f"/>
                <v:imagedata o:title=""/>
                <o:lock v:ext="edit" aspectratio="f"/>
                <v:textbox inset="0mm,0mm,0mm,0mm">
                  <w:txbxContent>
                    <w:p>
                      <w:pPr>
                        <w:pStyle w:val="49"/>
                      </w:pPr>
                      <w:r>
                        <w:t>DB32</w:t>
                      </w:r>
                    </w:p>
                  </w:txbxContent>
                </v:textbox>
                <w10:anchorlock/>
              </v:shape>
            </w:pict>
          </mc:Fallback>
        </mc:AlternateContent>
      </w:r>
      <w:r>
        <w:rPr>
          <w:u w:val="thick"/>
        </w:rP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450850</wp:posOffset>
                </wp:positionV>
                <wp:extent cx="6120130" cy="574040"/>
                <wp:effectExtent l="0" t="0" r="1270" b="10160"/>
                <wp:wrapNone/>
                <wp:docPr id="1" name="fmFrame2"/>
                <wp:cNvGraphicFramePr/>
                <a:graphic xmlns:a="http://schemas.openxmlformats.org/drawingml/2006/main">
                  <a:graphicData uri="http://schemas.microsoft.com/office/word/2010/wordprocessingShape">
                    <wps:wsp>
                      <wps:cNvSpPr txBox="1"/>
                      <wps:spPr>
                        <a:xfrm>
                          <a:off x="0" y="0"/>
                          <a:ext cx="6120130" cy="574040"/>
                        </a:xfrm>
                        <a:prstGeom prst="rect">
                          <a:avLst/>
                        </a:prstGeom>
                        <a:solidFill>
                          <a:srgbClr val="FFFFFF"/>
                        </a:solidFill>
                        <a:ln>
                          <a:noFill/>
                        </a:ln>
                      </wps:spPr>
                      <wps:txbx>
                        <w:txbxContent>
                          <w:p>
                            <w:pPr>
                              <w:pStyle w:val="46"/>
                            </w:pPr>
                            <w:r>
                              <w:rPr>
                                <w:rFonts w:hint="eastAsia"/>
                              </w:rPr>
                              <w:t>江苏省地方标准</w:t>
                            </w:r>
                          </w:p>
                        </w:txbxContent>
                      </wps:txbx>
                      <wps:bodyPr wrap="square" lIns="0" tIns="0" rIns="0" bIns="0" upright="1"/>
                    </wps:wsp>
                  </a:graphicData>
                </a:graphic>
              </wp:anchor>
            </w:drawing>
          </mc:Choice>
          <mc:Fallback>
            <w:pict>
              <v:shape id="fmFrame2" o:spid="_x0000_s1026" o:spt="202" type="#_x0000_t202" style="position:absolute;left:0pt;margin-left:0pt;margin-top:35.5pt;height:45.2pt;width:481.9pt;mso-position-horizontal-relative:margin;mso-position-vertical-relative:margin;z-index:251659264;mso-width-relative:page;mso-height-relative:page;" fillcolor="#FFFFFF" filled="t" stroked="f" coordsize="21600,21600" o:gfxdata="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QF+a3WAAAABwEAAA8AAAAAAAAAAQAgAAAAIgAAAGRycy9kb3du&#10;cmV2LnhtbFBLAQIUABQAAAAIAIdO4kB6xWD7yAEAAKYDAAAOAAAAAAAAAAEAIAAAACUBAABkcnMv&#10;ZTJvRG9jLnhtbFBLBQYAAAAABgAGAFkBAABfBQAAAAA=&#10;">
                <v:fill on="t" focussize="0,0"/>
                <v:stroke on="f"/>
                <v:imagedata o:title=""/>
                <o:lock v:ext="edit" aspectratio="f"/>
                <v:textbox inset="0mm,0mm,0mm,0mm">
                  <w:txbxContent>
                    <w:p>
                      <w:pPr>
                        <w:pStyle w:val="46"/>
                      </w:pPr>
                      <w:r>
                        <w:rPr>
                          <w:rFonts w:hint="eastAsia"/>
                        </w:rPr>
                        <w:t>江苏省地方标准</w:t>
                      </w:r>
                    </w:p>
                  </w:txbxContent>
                </v:textbox>
                <w10:anchorlock/>
              </v:shape>
            </w:pict>
          </mc:Fallback>
        </mc:AlternateContent>
      </w:r>
    </w:p>
    <w:bookmarkEnd w:id="0"/>
    <w:p>
      <w:pPr>
        <w:pStyle w:val="4"/>
        <w:tabs>
          <w:tab w:val="right" w:leader="dot" w:pos="9354"/>
        </w:tabs>
        <w:ind w:left="0"/>
        <w:rPr>
          <w:rFonts w:ascii="Times New Roman" w:hAnsi="Times New Roman"/>
        </w:rPr>
      </w:pPr>
      <w:bookmarkStart w:id="1" w:name="SectionMark2"/>
    </w:p>
    <w:bookmarkEnd w:id="1"/>
    <w:p>
      <w:pPr>
        <w:pStyle w:val="28"/>
        <w:adjustRightInd w:val="0"/>
        <w:snapToGrid w:val="0"/>
        <w:spacing w:line="360" w:lineRule="auto"/>
        <w:ind w:firstLine="420"/>
        <w:rPr>
          <w:rFonts w:ascii="Times New Roman"/>
        </w:rPr>
      </w:pPr>
      <w:r>
        <w:rPr>
          <w:rFonts w:ascii="Times New Roman"/>
        </w:rPr>
        <mc:AlternateContent>
          <mc:Choice Requires="wps">
            <w:drawing>
              <wp:anchor distT="0" distB="0" distL="114300" distR="114300" simplePos="0" relativeHeight="251667456" behindDoc="0" locked="0" layoutInCell="1" allowOverlap="1">
                <wp:simplePos x="0" y="0"/>
                <wp:positionH relativeFrom="column">
                  <wp:align>center</wp:align>
                </wp:positionH>
                <wp:positionV relativeFrom="paragraph">
                  <wp:posOffset>-295910</wp:posOffset>
                </wp:positionV>
                <wp:extent cx="2365375" cy="875030"/>
                <wp:effectExtent l="5080" t="5080" r="4445" b="8890"/>
                <wp:wrapNone/>
                <wp:docPr id="9" name="文本框 2"/>
                <wp:cNvGraphicFramePr/>
                <a:graphic xmlns:a="http://schemas.openxmlformats.org/drawingml/2006/main">
                  <a:graphicData uri="http://schemas.microsoft.com/office/word/2010/wordprocessingShape">
                    <wps:wsp>
                      <wps:cNvSpPr txBox="1"/>
                      <wps:spPr>
                        <a:xfrm>
                          <a:off x="0" y="0"/>
                          <a:ext cx="2365375" cy="87503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2"/>
                              <w:adjustRightInd w:val="0"/>
                              <w:snapToGrid w:val="0"/>
                              <w:spacing w:line="360" w:lineRule="auto"/>
                              <w:rPr>
                                <w:rFonts w:ascii="Times New Roman"/>
                                <w:position w:val="23"/>
                              </w:rPr>
                            </w:pPr>
                            <w:r>
                              <w:rPr>
                                <w:rFonts w:ascii="Times New Roman"/>
                                <w:position w:val="23"/>
                              </w:rPr>
                              <w:t>前    言</w:t>
                            </w:r>
                          </w:p>
                          <w:p/>
                        </w:txbxContent>
                      </wps:txbx>
                      <wps:bodyPr wrap="square" upright="1"/>
                    </wps:wsp>
                  </a:graphicData>
                </a:graphic>
                <wp14:sizeRelH relativeFrom="margin">
                  <wp14:pctWidth>40000</wp14:pctWidth>
                </wp14:sizeRelH>
                <wp14:sizeRelV relativeFrom="page">
                  <wp14:pctHeight>0</wp14:pctHeight>
                </wp14:sizeRelV>
              </wp:anchor>
            </w:drawing>
          </mc:Choice>
          <mc:Fallback>
            <w:pict>
              <v:shape id="文本框 2" o:spid="_x0000_s1026" o:spt="202" type="#_x0000_t202" style="position:absolute;left:0pt;margin-top:-23.3pt;height:68.9pt;width:186.25pt;mso-position-horizontal:center;z-index:251667456;mso-width-relative:margin;mso-height-relative:page;mso-width-percent:400;" fillcolor="#FFFFFF" filled="t" stroked="t" coordsize="21600,21600" o:gfxdata="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dhL5P1QAAAAcBAAAPAAAAAAAAAAEA&#10;IAAAACIAAABkcnMvZG93bnJldi54bWxQSwECFAAUAAAACACHTuJALEX3lBICAABEBAAADgAAAAAA&#10;AAABACAAAAAkAQAAZHJzL2Uyb0RvYy54bWxQSwUGAAAAAAYABgBZAQAAqAUAAAAA&#10;">
                <v:fill on="t" focussize="0,0"/>
                <v:stroke color="#FFFFFF" joinstyle="miter"/>
                <v:imagedata o:title=""/>
                <o:lock v:ext="edit" aspectratio="f"/>
                <v:textbox>
                  <w:txbxContent>
                    <w:p>
                      <w:pPr>
                        <w:pStyle w:val="32"/>
                        <w:adjustRightInd w:val="0"/>
                        <w:snapToGrid w:val="0"/>
                        <w:spacing w:line="360" w:lineRule="auto"/>
                        <w:rPr>
                          <w:rFonts w:ascii="Times New Roman"/>
                          <w:position w:val="23"/>
                        </w:rPr>
                      </w:pPr>
                      <w:r>
                        <w:rPr>
                          <w:rFonts w:ascii="Times New Roman"/>
                          <w:position w:val="23"/>
                        </w:rPr>
                        <w:t>前    言</w:t>
                      </w:r>
                    </w:p>
                    <w:p/>
                  </w:txbxContent>
                </v:textbox>
              </v:shape>
            </w:pict>
          </mc:Fallback>
        </mc:AlternateContent>
      </w:r>
    </w:p>
    <w:p>
      <w:pPr>
        <w:pStyle w:val="28"/>
        <w:adjustRightInd w:val="0"/>
        <w:snapToGrid w:val="0"/>
        <w:spacing w:line="360" w:lineRule="auto"/>
        <w:ind w:firstLine="420"/>
        <w:rPr>
          <w:rFonts w:ascii="Times New Roman"/>
        </w:rPr>
      </w:pPr>
    </w:p>
    <w:p>
      <w:pPr>
        <w:pStyle w:val="28"/>
        <w:adjustRightInd w:val="0"/>
        <w:snapToGrid w:val="0"/>
        <w:spacing w:line="360" w:lineRule="auto"/>
        <w:ind w:firstLine="420"/>
        <w:rPr>
          <w:rFonts w:ascii="Times New Roman"/>
        </w:rPr>
      </w:pPr>
    </w:p>
    <w:p>
      <w:pPr>
        <w:pStyle w:val="28"/>
        <w:adjustRightInd w:val="0"/>
        <w:snapToGrid w:val="0"/>
        <w:spacing w:line="360" w:lineRule="auto"/>
        <w:ind w:firstLine="0" w:firstLineChars="0"/>
        <w:rPr>
          <w:rFonts w:ascii="Times New Roman"/>
          <w:sz w:val="10"/>
          <w:szCs w:val="10"/>
        </w:rPr>
      </w:pPr>
    </w:p>
    <w:p>
      <w:pPr>
        <w:pStyle w:val="28"/>
        <w:adjustRightInd w:val="0"/>
        <w:snapToGrid w:val="0"/>
        <w:spacing w:line="360" w:lineRule="auto"/>
        <w:ind w:firstLine="420"/>
        <w:rPr>
          <w:rFonts w:ascii="Times New Roman"/>
        </w:rPr>
      </w:pPr>
      <w:r>
        <w:rPr>
          <w:rFonts w:ascii="Times New Roman"/>
        </w:rPr>
        <w:t>本文件</w:t>
      </w:r>
      <w:r>
        <w:rPr>
          <w:rFonts w:hint="eastAsia" w:ascii="Times New Roman"/>
        </w:rPr>
        <w:t>按照</w:t>
      </w:r>
      <w:r>
        <w:rPr>
          <w:rFonts w:ascii="Times New Roman"/>
        </w:rPr>
        <w:t>GB/T 1.1—2020《</w:t>
      </w:r>
      <w:r>
        <w:rPr>
          <w:rFonts w:hint="eastAsia" w:ascii="Times New Roman"/>
        </w:rPr>
        <w:t>标准化工作导则 第1部分：标准化文件的结构和起草规则》的规定起草</w:t>
      </w:r>
      <w:r>
        <w:rPr>
          <w:rFonts w:ascii="Times New Roman"/>
        </w:rPr>
        <w:t>。</w:t>
      </w:r>
    </w:p>
    <w:p>
      <w:pPr>
        <w:pStyle w:val="28"/>
        <w:adjustRightInd w:val="0"/>
        <w:snapToGrid w:val="0"/>
        <w:spacing w:line="360" w:lineRule="auto"/>
        <w:ind w:firstLine="420"/>
        <w:rPr>
          <w:rFonts w:ascii="Times New Roman"/>
        </w:rPr>
      </w:pPr>
      <w:r>
        <w:rPr>
          <w:rFonts w:hint="eastAsia" w:ascii="Times New Roman"/>
        </w:rPr>
        <w:t>请注意本文件的某些内容可能涉及专利。本文件的发布机构不承担识别专利的责任。</w:t>
      </w:r>
    </w:p>
    <w:p>
      <w:pPr>
        <w:pStyle w:val="54"/>
        <w:numPr>
          <w:ilvl w:val="0"/>
          <w:numId w:val="0"/>
        </w:numPr>
        <w:adjustRightInd w:val="0"/>
        <w:snapToGrid w:val="0"/>
        <w:spacing w:line="360" w:lineRule="auto"/>
        <w:ind w:left="420"/>
        <w:rPr>
          <w:rFonts w:ascii="Times New Roman"/>
        </w:rPr>
      </w:pPr>
      <w:r>
        <w:rPr>
          <w:rFonts w:ascii="Times New Roman"/>
        </w:rPr>
        <w:t>本文件由</w:t>
      </w:r>
      <w:r>
        <w:rPr>
          <w:rFonts w:hint="eastAsia" w:ascii="Times New Roman"/>
          <w:lang w:val="en-US" w:eastAsia="zh-CN"/>
        </w:rPr>
        <w:t>江苏省</w:t>
      </w:r>
      <w:bookmarkStart w:id="7" w:name="_GoBack"/>
      <w:bookmarkEnd w:id="7"/>
      <w:r>
        <w:rPr>
          <w:rFonts w:hint="eastAsia" w:ascii="Times New Roman"/>
          <w:lang w:val="en-US" w:eastAsia="zh-CN"/>
        </w:rPr>
        <w:t>农业农村厅</w:t>
      </w:r>
      <w:r>
        <w:rPr>
          <w:rFonts w:ascii="Times New Roman"/>
        </w:rPr>
        <w:t>提出。</w:t>
      </w:r>
    </w:p>
    <w:p>
      <w:pPr>
        <w:pStyle w:val="54"/>
        <w:numPr>
          <w:ilvl w:val="0"/>
          <w:numId w:val="0"/>
        </w:numPr>
        <w:adjustRightInd w:val="0"/>
        <w:snapToGrid w:val="0"/>
        <w:spacing w:line="360" w:lineRule="auto"/>
        <w:ind w:left="420"/>
        <w:rPr>
          <w:rFonts w:ascii="Times New Roman"/>
        </w:rPr>
      </w:pPr>
      <w:r>
        <w:rPr>
          <w:rFonts w:hint="eastAsia" w:ascii="Times New Roman"/>
        </w:rPr>
        <w:t>本文件由江苏省园艺标准化技术委员会归口。</w:t>
      </w:r>
    </w:p>
    <w:p>
      <w:pPr>
        <w:pStyle w:val="54"/>
        <w:numPr>
          <w:ilvl w:val="0"/>
          <w:numId w:val="0"/>
        </w:numPr>
        <w:adjustRightInd w:val="0"/>
        <w:snapToGrid w:val="0"/>
        <w:spacing w:line="360" w:lineRule="auto"/>
        <w:ind w:left="420"/>
        <w:rPr>
          <w:rFonts w:ascii="Times New Roman"/>
        </w:rPr>
      </w:pPr>
      <w:r>
        <w:rPr>
          <w:rFonts w:ascii="Times New Roman"/>
        </w:rPr>
        <w:t>本文件起草</w:t>
      </w:r>
      <w:r>
        <w:rPr>
          <w:rFonts w:hint="eastAsia" w:ascii="Times New Roman"/>
        </w:rPr>
        <w:t>单位：</w:t>
      </w:r>
      <w:r>
        <w:rPr>
          <w:rFonts w:ascii="Times New Roman"/>
        </w:rPr>
        <w:t>南京农业大学。</w:t>
      </w:r>
    </w:p>
    <w:p>
      <w:pPr>
        <w:pStyle w:val="54"/>
        <w:numPr>
          <w:ilvl w:val="0"/>
          <w:numId w:val="0"/>
        </w:numPr>
        <w:adjustRightInd w:val="0"/>
        <w:snapToGrid w:val="0"/>
        <w:spacing w:line="360" w:lineRule="auto"/>
        <w:ind w:left="420"/>
        <w:rPr>
          <w:rFonts w:ascii="Times New Roman"/>
        </w:rPr>
      </w:pPr>
      <w:r>
        <w:rPr>
          <w:rFonts w:hint="eastAsia" w:ascii="Times New Roman"/>
          <w:color w:val="000000"/>
        </w:rPr>
        <w:t>本文件主要起草人：</w:t>
      </w:r>
      <w:r>
        <w:rPr>
          <w:rFonts w:hint="eastAsia" w:ascii="Times New Roman"/>
        </w:rPr>
        <w:t>张绍铃、殷豪、齐开杰、吴巨友、陶书田、黄小三、谷超、王鹏、谢智华、孙逊、张虎平。</w:t>
      </w:r>
    </w:p>
    <w:p>
      <w:pPr>
        <w:pStyle w:val="54"/>
        <w:numPr>
          <w:ilvl w:val="0"/>
          <w:numId w:val="0"/>
        </w:numPr>
        <w:adjustRightInd w:val="0"/>
        <w:snapToGrid w:val="0"/>
        <w:spacing w:line="360" w:lineRule="auto"/>
        <w:ind w:left="420"/>
        <w:rPr>
          <w:rFonts w:ascii="Times New Roman"/>
        </w:rPr>
      </w:pPr>
    </w:p>
    <w:p>
      <w:pPr>
        <w:pStyle w:val="54"/>
        <w:numPr>
          <w:ilvl w:val="0"/>
          <w:numId w:val="0"/>
        </w:numPr>
        <w:adjustRightInd w:val="0"/>
        <w:snapToGrid w:val="0"/>
        <w:spacing w:line="360" w:lineRule="auto"/>
        <w:ind w:left="420"/>
        <w:rPr>
          <w:rFonts w:ascii="Times New Roman" w:eastAsia="黑体"/>
          <w:sz w:val="32"/>
          <w:szCs w:val="32"/>
        </w:rPr>
        <w:sectPr>
          <w:footerReference r:id="rId7" w:type="default"/>
          <w:pgSz w:w="11906" w:h="16838"/>
          <w:pgMar w:top="1418" w:right="1134" w:bottom="1134" w:left="1418" w:header="1417" w:footer="992" w:gutter="0"/>
          <w:pgNumType w:fmt="upperRoman" w:start="1"/>
          <w:cols w:space="720" w:num="1"/>
          <w:docGrid w:linePitch="312" w:charSpace="0"/>
        </w:sectPr>
      </w:pPr>
    </w:p>
    <w:p>
      <w:pPr>
        <w:pStyle w:val="54"/>
        <w:numPr>
          <w:ilvl w:val="0"/>
          <w:numId w:val="0"/>
        </w:numPr>
        <w:adjustRightInd w:val="0"/>
        <w:snapToGrid w:val="0"/>
        <w:spacing w:line="360" w:lineRule="auto"/>
        <w:ind w:left="420"/>
        <w:rPr>
          <w:rFonts w:ascii="Times New Roman" w:eastAsia="黑体"/>
          <w:szCs w:val="21"/>
        </w:rPr>
      </w:pPr>
      <w:r>
        <w:rPr>
          <w:rFonts w:ascii="Times New Roman"/>
        </w:rPr>
        <mc:AlternateContent>
          <mc:Choice Requires="wps">
            <w:drawing>
              <wp:anchor distT="0" distB="0" distL="114300" distR="114300" simplePos="0" relativeHeight="251668480" behindDoc="0" locked="0" layoutInCell="1" allowOverlap="1">
                <wp:simplePos x="0" y="0"/>
                <wp:positionH relativeFrom="column">
                  <wp:align>center</wp:align>
                </wp:positionH>
                <wp:positionV relativeFrom="paragraph">
                  <wp:posOffset>12065</wp:posOffset>
                </wp:positionV>
                <wp:extent cx="5761990" cy="654685"/>
                <wp:effectExtent l="4445" t="5080" r="12065" b="13335"/>
                <wp:wrapNone/>
                <wp:docPr id="10" name="文本框 2"/>
                <wp:cNvGraphicFramePr/>
                <a:graphic xmlns:a="http://schemas.openxmlformats.org/drawingml/2006/main">
                  <a:graphicData uri="http://schemas.microsoft.com/office/word/2010/wordprocessingShape">
                    <wps:wsp>
                      <wps:cNvSpPr txBox="1"/>
                      <wps:spPr>
                        <a:xfrm>
                          <a:off x="0" y="0"/>
                          <a:ext cx="5761990" cy="654685"/>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54"/>
                              <w:numPr>
                                <w:ilvl w:val="0"/>
                                <w:numId w:val="0"/>
                              </w:numPr>
                              <w:adjustRightInd w:val="0"/>
                              <w:snapToGrid w:val="0"/>
                              <w:spacing w:line="360" w:lineRule="auto"/>
                              <w:ind w:left="200" w:hanging="200"/>
                              <w:jc w:val="center"/>
                              <w:rPr>
                                <w:rFonts w:ascii="黑体" w:hAnsi="黑体" w:eastAsia="黑体"/>
                                <w:position w:val="-10"/>
                                <w:szCs w:val="21"/>
                              </w:rPr>
                            </w:pPr>
                            <w:r>
                              <w:rPr>
                                <w:rFonts w:hint="eastAsia" w:ascii="黑体" w:hAnsi="黑体" w:eastAsia="黑体"/>
                                <w:position w:val="-10"/>
                                <w:sz w:val="32"/>
                                <w:szCs w:val="32"/>
                              </w:rPr>
                              <w:t>梨轻简化</w:t>
                            </w:r>
                            <w:r>
                              <w:rPr>
                                <w:rFonts w:ascii="黑体" w:hAnsi="黑体" w:eastAsia="黑体"/>
                                <w:position w:val="-10"/>
                                <w:sz w:val="32"/>
                                <w:szCs w:val="32"/>
                              </w:rPr>
                              <w:t>栽培技术规程</w:t>
                            </w:r>
                          </w:p>
                          <w:p/>
                        </w:txbxContent>
                      </wps:txbx>
                      <wps:bodyPr wrap="square" upright="1"/>
                    </wps:wsp>
                  </a:graphicData>
                </a:graphic>
              </wp:anchor>
            </w:drawing>
          </mc:Choice>
          <mc:Fallback>
            <w:pict>
              <v:shape id="文本框 2" o:spid="_x0000_s1026" o:spt="202" type="#_x0000_t202" style="position:absolute;left:0pt;margin-top:0.95pt;height:51.55pt;width:453.7pt;mso-position-horizontal:center;z-index:251668480;mso-width-relative:page;mso-height-relative:page;" fillcolor="#FFFFFF" filled="t" stroked="t" coordsize="21600,21600" o:gfxdata="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JDdK+rUAAAABgEAAA8AAAAAAAAAAQAgAAAA&#10;IgAAAGRycy9kb3ducmV2LnhtbFBLAQIUABQAAAAIAIdO4kD3Fs6PDwIAAEUEAAAOAAAAAAAAAAEA&#10;IAAAACMBAABkcnMvZTJvRG9jLnhtbFBLBQYAAAAABgAGAFkBAACkBQAAAAA=&#10;">
                <v:fill on="t" focussize="0,0"/>
                <v:stroke color="#FFFFFF" joinstyle="miter"/>
                <v:imagedata o:title=""/>
                <o:lock v:ext="edit" aspectratio="f"/>
                <v:textbox>
                  <w:txbxContent>
                    <w:p>
                      <w:pPr>
                        <w:pStyle w:val="54"/>
                        <w:numPr>
                          <w:ilvl w:val="0"/>
                          <w:numId w:val="0"/>
                        </w:numPr>
                        <w:adjustRightInd w:val="0"/>
                        <w:snapToGrid w:val="0"/>
                        <w:spacing w:line="360" w:lineRule="auto"/>
                        <w:ind w:left="200" w:hanging="200"/>
                        <w:jc w:val="center"/>
                        <w:rPr>
                          <w:rFonts w:ascii="黑体" w:hAnsi="黑体" w:eastAsia="黑体"/>
                          <w:position w:val="-10"/>
                          <w:szCs w:val="21"/>
                        </w:rPr>
                      </w:pPr>
                      <w:r>
                        <w:rPr>
                          <w:rFonts w:hint="eastAsia" w:ascii="黑体" w:hAnsi="黑体" w:eastAsia="黑体"/>
                          <w:position w:val="-10"/>
                          <w:sz w:val="32"/>
                          <w:szCs w:val="32"/>
                        </w:rPr>
                        <w:t>梨轻简化</w:t>
                      </w:r>
                      <w:r>
                        <w:rPr>
                          <w:rFonts w:ascii="黑体" w:hAnsi="黑体" w:eastAsia="黑体"/>
                          <w:position w:val="-10"/>
                          <w:sz w:val="32"/>
                          <w:szCs w:val="32"/>
                        </w:rPr>
                        <w:t>栽培技术规程</w:t>
                      </w:r>
                    </w:p>
                    <w:p/>
                  </w:txbxContent>
                </v:textbox>
              </v:shape>
            </w:pict>
          </mc:Fallback>
        </mc:AlternateContent>
      </w:r>
    </w:p>
    <w:p>
      <w:pPr>
        <w:pStyle w:val="54"/>
        <w:numPr>
          <w:ilvl w:val="0"/>
          <w:numId w:val="0"/>
        </w:numPr>
        <w:adjustRightInd w:val="0"/>
        <w:snapToGrid w:val="0"/>
        <w:spacing w:line="360" w:lineRule="auto"/>
        <w:ind w:left="200" w:hanging="200"/>
        <w:rPr>
          <w:rFonts w:ascii="Times New Roman" w:eastAsia="黑体"/>
          <w:position w:val="-10"/>
          <w:szCs w:val="21"/>
        </w:rPr>
      </w:pPr>
    </w:p>
    <w:p>
      <w:pPr>
        <w:pStyle w:val="54"/>
        <w:numPr>
          <w:ilvl w:val="0"/>
          <w:numId w:val="0"/>
        </w:numPr>
        <w:adjustRightInd w:val="0"/>
        <w:snapToGrid w:val="0"/>
        <w:spacing w:line="360" w:lineRule="auto"/>
        <w:ind w:left="200" w:hanging="200"/>
        <w:rPr>
          <w:rFonts w:ascii="Times New Roman" w:eastAsia="黑体"/>
          <w:position w:val="-10"/>
          <w:szCs w:val="21"/>
        </w:rPr>
      </w:pPr>
    </w:p>
    <w:p>
      <w:pPr>
        <w:pStyle w:val="27"/>
        <w:adjustRightInd w:val="0"/>
        <w:snapToGrid w:val="0"/>
        <w:spacing w:before="120" w:after="120" w:line="360" w:lineRule="auto"/>
        <w:rPr>
          <w:rFonts w:ascii="Times New Roman"/>
          <w:szCs w:val="21"/>
        </w:rPr>
      </w:pPr>
      <w:r>
        <w:rPr>
          <w:rFonts w:ascii="Times New Roman"/>
          <w:szCs w:val="21"/>
        </w:rPr>
        <w:t>1 范围</w:t>
      </w:r>
    </w:p>
    <w:p>
      <w:pPr>
        <w:pStyle w:val="28"/>
        <w:adjustRightInd w:val="0"/>
        <w:snapToGrid w:val="0"/>
        <w:spacing w:line="360" w:lineRule="auto"/>
        <w:ind w:firstLine="403" w:firstLineChars="192"/>
        <w:rPr>
          <w:rFonts w:ascii="Times New Roman"/>
          <w:szCs w:val="21"/>
        </w:rPr>
      </w:pPr>
      <w:r>
        <w:rPr>
          <w:rFonts w:ascii="Times New Roman"/>
          <w:szCs w:val="21"/>
        </w:rPr>
        <w:t>本</w:t>
      </w:r>
      <w:r>
        <w:rPr>
          <w:rFonts w:hint="eastAsia" w:ascii="Times New Roman"/>
          <w:szCs w:val="21"/>
        </w:rPr>
        <w:t>文件</w:t>
      </w:r>
      <w:r>
        <w:rPr>
          <w:rFonts w:ascii="Times New Roman"/>
          <w:szCs w:val="21"/>
        </w:rPr>
        <w:t>规定了</w:t>
      </w:r>
      <w:r>
        <w:rPr>
          <w:rFonts w:hint="eastAsia" w:ascii="Times New Roman"/>
          <w:szCs w:val="21"/>
        </w:rPr>
        <w:t>梨轻简化</w:t>
      </w:r>
      <w:r>
        <w:rPr>
          <w:rFonts w:ascii="Times New Roman"/>
          <w:szCs w:val="21"/>
        </w:rPr>
        <w:t>栽培的</w:t>
      </w:r>
      <w:r>
        <w:rPr>
          <w:rFonts w:hint="eastAsia" w:ascii="Times New Roman"/>
          <w:szCs w:val="21"/>
        </w:rPr>
        <w:t>建园、品种与苗木选择</w:t>
      </w:r>
      <w:r>
        <w:rPr>
          <w:rFonts w:ascii="Times New Roman"/>
          <w:szCs w:val="21"/>
        </w:rPr>
        <w:t>、土肥水管理、</w:t>
      </w:r>
      <w:r>
        <w:rPr>
          <w:rFonts w:hint="eastAsia" w:ascii="Times New Roman"/>
          <w:szCs w:val="21"/>
        </w:rPr>
        <w:t>树形管理</w:t>
      </w:r>
      <w:r>
        <w:rPr>
          <w:rFonts w:ascii="Times New Roman"/>
          <w:szCs w:val="21"/>
        </w:rPr>
        <w:t>、花果管理、病虫害防</w:t>
      </w:r>
      <w:r>
        <w:rPr>
          <w:rFonts w:hint="eastAsia" w:ascii="Times New Roman"/>
          <w:szCs w:val="21"/>
        </w:rPr>
        <w:t>治、生产记录等技术</w:t>
      </w:r>
      <w:r>
        <w:rPr>
          <w:rFonts w:ascii="Times New Roman"/>
          <w:szCs w:val="21"/>
        </w:rPr>
        <w:t>要求。</w:t>
      </w:r>
    </w:p>
    <w:p>
      <w:pPr>
        <w:pStyle w:val="28"/>
        <w:adjustRightInd w:val="0"/>
        <w:snapToGrid w:val="0"/>
        <w:spacing w:line="360" w:lineRule="auto"/>
        <w:ind w:firstLine="403" w:firstLineChars="192"/>
        <w:rPr>
          <w:rFonts w:ascii="Times New Roman"/>
          <w:szCs w:val="21"/>
        </w:rPr>
      </w:pPr>
      <w:r>
        <w:rPr>
          <w:rFonts w:ascii="Times New Roman"/>
          <w:szCs w:val="21"/>
        </w:rPr>
        <w:t>本</w:t>
      </w:r>
      <w:r>
        <w:rPr>
          <w:rFonts w:hint="eastAsia" w:ascii="Times New Roman"/>
          <w:szCs w:val="21"/>
        </w:rPr>
        <w:t>文件</w:t>
      </w:r>
      <w:r>
        <w:rPr>
          <w:rFonts w:ascii="Times New Roman"/>
          <w:szCs w:val="21"/>
        </w:rPr>
        <w:t>适用于梨</w:t>
      </w:r>
      <w:r>
        <w:rPr>
          <w:rFonts w:hint="eastAsia" w:ascii="Times New Roman"/>
          <w:szCs w:val="21"/>
        </w:rPr>
        <w:t>的轻简化</w:t>
      </w:r>
      <w:r>
        <w:rPr>
          <w:rFonts w:ascii="Times New Roman"/>
          <w:szCs w:val="21"/>
        </w:rPr>
        <w:t>栽培。</w:t>
      </w:r>
    </w:p>
    <w:p>
      <w:pPr>
        <w:pStyle w:val="27"/>
        <w:adjustRightInd w:val="0"/>
        <w:snapToGrid w:val="0"/>
        <w:spacing w:before="120" w:after="120" w:line="360" w:lineRule="auto"/>
        <w:rPr>
          <w:rFonts w:ascii="Times New Roman"/>
          <w:szCs w:val="21"/>
        </w:rPr>
      </w:pPr>
      <w:r>
        <w:rPr>
          <w:rFonts w:ascii="Times New Roman"/>
          <w:szCs w:val="21"/>
        </w:rPr>
        <w:t>2规范性引用文件</w:t>
      </w:r>
    </w:p>
    <w:p>
      <w:pPr>
        <w:pStyle w:val="28"/>
        <w:spacing w:line="360" w:lineRule="auto"/>
        <w:ind w:firstLine="409" w:firstLineChars="195"/>
        <w:rPr>
          <w:rFonts w:ascii="Times New Roman"/>
          <w:szCs w:val="21"/>
        </w:rPr>
      </w:pPr>
      <w:r>
        <w:rPr>
          <w:rFonts w:hint="eastAsia" w:ascii="Times New Roman"/>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pStyle w:val="28"/>
        <w:spacing w:line="360" w:lineRule="auto"/>
        <w:ind w:firstLine="409" w:firstLineChars="195"/>
        <w:rPr>
          <w:rFonts w:ascii="Times New Roman"/>
          <w:szCs w:val="21"/>
        </w:rPr>
      </w:pPr>
      <w:r>
        <w:rPr>
          <w:rFonts w:hint="eastAsia" w:ascii="Times New Roman"/>
          <w:szCs w:val="21"/>
        </w:rPr>
        <w:t xml:space="preserve">GB 2763 </w:t>
      </w:r>
      <w:r>
        <w:rPr>
          <w:rFonts w:ascii="Times New Roman"/>
          <w:szCs w:val="21"/>
        </w:rPr>
        <w:t xml:space="preserve"> </w:t>
      </w:r>
      <w:r>
        <w:rPr>
          <w:rFonts w:hint="eastAsia" w:ascii="Times New Roman"/>
          <w:szCs w:val="21"/>
        </w:rPr>
        <w:t>食品安全国家标准 食品中农药最大残留限量</w:t>
      </w:r>
    </w:p>
    <w:p>
      <w:pPr>
        <w:pStyle w:val="28"/>
        <w:spacing w:line="360" w:lineRule="auto"/>
        <w:ind w:firstLine="409" w:firstLineChars="195"/>
        <w:rPr>
          <w:rFonts w:ascii="Times New Roman"/>
          <w:szCs w:val="21"/>
        </w:rPr>
      </w:pPr>
      <w:r>
        <w:rPr>
          <w:rFonts w:ascii="Times New Roman"/>
          <w:szCs w:val="21"/>
        </w:rPr>
        <w:t xml:space="preserve">GB 5084  </w:t>
      </w:r>
      <w:r>
        <w:rPr>
          <w:rFonts w:hint="eastAsia" w:ascii="Times New Roman"/>
          <w:szCs w:val="21"/>
        </w:rPr>
        <w:t>农田灌溉水质标准</w:t>
      </w:r>
    </w:p>
    <w:p>
      <w:pPr>
        <w:pStyle w:val="28"/>
        <w:spacing w:line="360" w:lineRule="auto"/>
        <w:ind w:firstLine="409" w:firstLineChars="195"/>
        <w:rPr>
          <w:rFonts w:ascii="Times New Roman"/>
          <w:szCs w:val="21"/>
        </w:rPr>
      </w:pPr>
      <w:r>
        <w:rPr>
          <w:rFonts w:hint="eastAsia" w:ascii="Times New Roman"/>
          <w:szCs w:val="21"/>
        </w:rPr>
        <w:t xml:space="preserve">NY/T 391 </w:t>
      </w:r>
      <w:r>
        <w:rPr>
          <w:rFonts w:ascii="Times New Roman"/>
          <w:szCs w:val="21"/>
        </w:rPr>
        <w:t xml:space="preserve"> </w:t>
      </w:r>
      <w:r>
        <w:rPr>
          <w:rFonts w:hint="eastAsia" w:ascii="Times New Roman"/>
          <w:szCs w:val="21"/>
        </w:rPr>
        <w:t>绿色食品 产地环境质量</w:t>
      </w:r>
    </w:p>
    <w:p>
      <w:pPr>
        <w:pStyle w:val="28"/>
        <w:spacing w:line="360" w:lineRule="auto"/>
        <w:ind w:firstLine="409" w:firstLineChars="195"/>
        <w:rPr>
          <w:rFonts w:ascii="Times New Roman"/>
          <w:szCs w:val="21"/>
        </w:rPr>
      </w:pPr>
      <w:r>
        <w:rPr>
          <w:rFonts w:hint="eastAsia" w:ascii="Times New Roman"/>
          <w:szCs w:val="21"/>
        </w:rPr>
        <w:t>NY/T 393</w:t>
      </w:r>
      <w:r>
        <w:rPr>
          <w:rFonts w:ascii="Times New Roman"/>
          <w:szCs w:val="21"/>
        </w:rPr>
        <w:t xml:space="preserve">  </w:t>
      </w:r>
      <w:r>
        <w:rPr>
          <w:rFonts w:hint="eastAsia" w:ascii="Times New Roman"/>
          <w:szCs w:val="21"/>
        </w:rPr>
        <w:t>绿色食品 农药使用准则</w:t>
      </w:r>
    </w:p>
    <w:p>
      <w:pPr>
        <w:pStyle w:val="28"/>
        <w:spacing w:line="360" w:lineRule="auto"/>
        <w:ind w:firstLine="409" w:firstLineChars="195"/>
        <w:rPr>
          <w:rFonts w:ascii="Times New Roman"/>
          <w:szCs w:val="21"/>
        </w:rPr>
      </w:pPr>
      <w:r>
        <w:rPr>
          <w:rFonts w:hint="eastAsia" w:ascii="Times New Roman"/>
          <w:szCs w:val="21"/>
        </w:rPr>
        <w:t xml:space="preserve">NY/T 442 </w:t>
      </w:r>
      <w:r>
        <w:rPr>
          <w:rFonts w:ascii="Times New Roman"/>
          <w:szCs w:val="21"/>
        </w:rPr>
        <w:t xml:space="preserve"> </w:t>
      </w:r>
      <w:r>
        <w:rPr>
          <w:rFonts w:hint="eastAsia" w:ascii="Times New Roman"/>
          <w:szCs w:val="21"/>
        </w:rPr>
        <w:t>梨生产技术规程</w:t>
      </w:r>
    </w:p>
    <w:p>
      <w:pPr>
        <w:pStyle w:val="28"/>
        <w:spacing w:line="360" w:lineRule="auto"/>
        <w:ind w:firstLine="409" w:firstLineChars="195"/>
        <w:rPr>
          <w:rFonts w:ascii="Times New Roman"/>
          <w:szCs w:val="21"/>
        </w:rPr>
      </w:pPr>
      <w:r>
        <w:rPr>
          <w:rFonts w:hint="eastAsia" w:ascii="Times New Roman"/>
          <w:szCs w:val="21"/>
        </w:rPr>
        <w:t xml:space="preserve">NY 475 </w:t>
      </w:r>
      <w:r>
        <w:rPr>
          <w:rFonts w:ascii="Times New Roman"/>
          <w:szCs w:val="21"/>
        </w:rPr>
        <w:t xml:space="preserve"> </w:t>
      </w:r>
      <w:r>
        <w:rPr>
          <w:rFonts w:hint="eastAsia" w:ascii="Times New Roman"/>
          <w:szCs w:val="21"/>
        </w:rPr>
        <w:t>梨苗木</w:t>
      </w:r>
    </w:p>
    <w:p>
      <w:pPr>
        <w:pStyle w:val="28"/>
        <w:spacing w:line="360" w:lineRule="auto"/>
        <w:ind w:firstLine="409" w:firstLineChars="195"/>
        <w:rPr>
          <w:rFonts w:ascii="Times New Roman"/>
          <w:szCs w:val="21"/>
        </w:rPr>
      </w:pPr>
      <w:r>
        <w:rPr>
          <w:rFonts w:hint="eastAsia" w:ascii="Times New Roman"/>
          <w:szCs w:val="21"/>
        </w:rPr>
        <w:t>NY</w:t>
      </w:r>
      <w:r>
        <w:rPr>
          <w:rFonts w:ascii="Times New Roman"/>
          <w:szCs w:val="21"/>
        </w:rPr>
        <w:t>/</w:t>
      </w:r>
      <w:r>
        <w:rPr>
          <w:rFonts w:hint="eastAsia" w:ascii="Times New Roman"/>
          <w:szCs w:val="21"/>
        </w:rPr>
        <w:t xml:space="preserve">T </w:t>
      </w:r>
      <w:r>
        <w:rPr>
          <w:rFonts w:ascii="Times New Roman"/>
          <w:szCs w:val="21"/>
        </w:rPr>
        <w:t>496</w:t>
      </w:r>
      <w:r>
        <w:rPr>
          <w:rFonts w:hint="eastAsia" w:ascii="Times New Roman"/>
          <w:szCs w:val="21"/>
        </w:rPr>
        <w:t xml:space="preserve"> </w:t>
      </w:r>
      <w:r>
        <w:rPr>
          <w:rFonts w:ascii="Times New Roman"/>
          <w:szCs w:val="21"/>
        </w:rPr>
        <w:t xml:space="preserve"> </w:t>
      </w:r>
      <w:r>
        <w:rPr>
          <w:rFonts w:hint="eastAsia" w:ascii="Times New Roman"/>
          <w:szCs w:val="21"/>
        </w:rPr>
        <w:t>肥料合理使用准则 通则</w:t>
      </w:r>
    </w:p>
    <w:p>
      <w:pPr>
        <w:pStyle w:val="28"/>
        <w:spacing w:line="360" w:lineRule="auto"/>
        <w:ind w:firstLine="409" w:firstLineChars="195"/>
        <w:rPr>
          <w:rFonts w:ascii="Times New Roman"/>
          <w:szCs w:val="21"/>
        </w:rPr>
      </w:pPr>
      <w:r>
        <w:rPr>
          <w:rFonts w:hint="eastAsia" w:ascii="Times New Roman"/>
          <w:szCs w:val="21"/>
        </w:rPr>
        <w:t xml:space="preserve">NY/T 2157 </w:t>
      </w:r>
      <w:r>
        <w:rPr>
          <w:rFonts w:ascii="Times New Roman"/>
          <w:szCs w:val="21"/>
        </w:rPr>
        <w:t xml:space="preserve"> </w:t>
      </w:r>
      <w:r>
        <w:rPr>
          <w:rFonts w:hint="eastAsia" w:ascii="Times New Roman"/>
          <w:szCs w:val="21"/>
        </w:rPr>
        <w:t>梨主要病虫害防治技术规程</w:t>
      </w:r>
    </w:p>
    <w:p>
      <w:pPr>
        <w:pStyle w:val="27"/>
        <w:numPr>
          <w:ilvl w:val="0"/>
          <w:numId w:val="2"/>
        </w:numPr>
        <w:spacing w:before="240" w:beforeLines="100" w:after="240" w:afterLines="100" w:line="360" w:lineRule="auto"/>
        <w:rPr>
          <w:rFonts w:ascii="Times New Roman"/>
        </w:rPr>
      </w:pPr>
      <w:r>
        <w:rPr>
          <w:rFonts w:hint="eastAsia" w:ascii="Times New Roman"/>
        </w:rPr>
        <w:t>术语和定义</w:t>
      </w:r>
    </w:p>
    <w:p>
      <w:pPr>
        <w:pStyle w:val="28"/>
        <w:spacing w:line="360" w:lineRule="auto"/>
        <w:ind w:firstLine="420"/>
        <w:rPr>
          <w:rFonts w:ascii="Times New Roman"/>
        </w:rPr>
      </w:pPr>
      <w:r>
        <w:rPr>
          <w:rFonts w:hint="eastAsia" w:ascii="Times New Roman"/>
        </w:rPr>
        <w:t>下列术语和定义适用于本文件。</w:t>
      </w:r>
    </w:p>
    <w:p>
      <w:pPr>
        <w:pStyle w:val="41"/>
        <w:spacing w:before="120" w:beforeLines="50" w:after="120" w:afterLines="50" w:line="360" w:lineRule="auto"/>
      </w:pPr>
      <w:r>
        <w:rPr>
          <w:rFonts w:hint="eastAsia"/>
        </w:rPr>
        <w:t>3</w:t>
      </w:r>
      <w:r>
        <w:t>.1</w:t>
      </w:r>
    </w:p>
    <w:p>
      <w:pPr>
        <w:pStyle w:val="28"/>
        <w:spacing w:line="360" w:lineRule="auto"/>
        <w:ind w:firstLine="422"/>
        <w:rPr>
          <w:rFonts w:ascii="Times New Roman"/>
          <w:b/>
        </w:rPr>
      </w:pPr>
      <w:r>
        <w:rPr>
          <w:rFonts w:hint="eastAsia" w:ascii="Times New Roman"/>
          <w:b/>
        </w:rPr>
        <w:t xml:space="preserve">轻简化栽培 </w:t>
      </w:r>
      <w:r>
        <w:rPr>
          <w:rFonts w:ascii="Times New Roman"/>
          <w:b/>
        </w:rPr>
        <w:t>light and simplified cultivation</w:t>
      </w:r>
    </w:p>
    <w:p>
      <w:pPr>
        <w:pStyle w:val="28"/>
        <w:spacing w:line="360" w:lineRule="auto"/>
        <w:ind w:firstLine="420"/>
        <w:rPr>
          <w:rFonts w:ascii="Times New Roman"/>
        </w:rPr>
      </w:pPr>
      <w:r>
        <w:rPr>
          <w:rFonts w:hint="eastAsia" w:ascii="Times New Roman"/>
        </w:rPr>
        <w:t>采用减轻劳动强度、减少作业环节和次数、简化栽培管理工序等方式简便、省工、增效的栽培模式。</w:t>
      </w:r>
    </w:p>
    <w:p>
      <w:pPr>
        <w:pStyle w:val="27"/>
        <w:numPr>
          <w:ilvl w:val="0"/>
          <w:numId w:val="2"/>
        </w:numPr>
        <w:spacing w:before="240" w:beforeLines="100" w:after="240" w:afterLines="100" w:line="360" w:lineRule="auto"/>
        <w:rPr>
          <w:rFonts w:ascii="Times New Roman"/>
        </w:rPr>
      </w:pPr>
      <w:r>
        <w:rPr>
          <w:rFonts w:hint="eastAsia" w:ascii="Times New Roman"/>
        </w:rPr>
        <w:t>建园</w:t>
      </w:r>
    </w:p>
    <w:p>
      <w:pPr>
        <w:pStyle w:val="41"/>
        <w:spacing w:before="120" w:beforeLines="50" w:after="120" w:afterLines="50" w:line="360" w:lineRule="auto"/>
      </w:pPr>
      <w:bookmarkStart w:id="2" w:name="_Hlk134548421"/>
      <w:r>
        <w:rPr>
          <w:rFonts w:hint="eastAsia"/>
        </w:rPr>
        <w:t>4</w:t>
      </w:r>
      <w:r>
        <w:t xml:space="preserve">.1. </w:t>
      </w:r>
      <w:r>
        <w:rPr>
          <w:rFonts w:hint="eastAsia"/>
        </w:rPr>
        <w:t>园地选择</w:t>
      </w:r>
    </w:p>
    <w:p>
      <w:pPr>
        <w:pStyle w:val="28"/>
        <w:spacing w:line="360" w:lineRule="auto"/>
        <w:ind w:firstLine="0" w:firstLineChars="0"/>
        <w:rPr>
          <w:rFonts w:ascii="Times New Roman"/>
        </w:rPr>
      </w:pPr>
      <w:r>
        <w:rPr>
          <w:rFonts w:hint="eastAsia" w:ascii="Times New Roman"/>
        </w:rPr>
        <w:t>4</w:t>
      </w:r>
      <w:r>
        <w:rPr>
          <w:rFonts w:ascii="Times New Roman"/>
        </w:rPr>
        <w:t xml:space="preserve">.1.1 </w:t>
      </w:r>
      <w:r>
        <w:rPr>
          <w:rFonts w:hint="eastAsia" w:ascii="Times New Roman"/>
        </w:rPr>
        <w:t>梨园环境应符合NY/T 391和NY/T 442的规定。</w:t>
      </w:r>
      <w:bookmarkEnd w:id="2"/>
      <w:r>
        <w:rPr>
          <w:rFonts w:hint="eastAsia" w:ascii="Times New Roman"/>
        </w:rPr>
        <w:t>远离污染源，以往未作为浸泡点、处理或倾倒药剂的区域，未作为垃圾掩埋或矿业用地使用，没有其他自然植被，无潜藏的病虫害和杂草危害；梨园周围</w:t>
      </w:r>
      <w:r>
        <w:rPr>
          <w:rFonts w:ascii="Times New Roman"/>
        </w:rPr>
        <w:t xml:space="preserve">2 </w:t>
      </w:r>
      <w:r>
        <w:rPr>
          <w:rFonts w:hint="eastAsia" w:ascii="Times New Roman"/>
        </w:rPr>
        <w:t>km内无桧柏栽植；无潜在的重金属危害。</w:t>
      </w:r>
    </w:p>
    <w:p>
      <w:pPr>
        <w:pStyle w:val="28"/>
        <w:spacing w:line="360" w:lineRule="auto"/>
        <w:ind w:firstLine="0" w:firstLineChars="0"/>
        <w:rPr>
          <w:rFonts w:ascii="Times New Roman"/>
        </w:rPr>
      </w:pPr>
      <w:r>
        <w:rPr>
          <w:rFonts w:hint="eastAsia" w:ascii="Times New Roman"/>
        </w:rPr>
        <w:t>4</w:t>
      </w:r>
      <w:r>
        <w:rPr>
          <w:rFonts w:ascii="Times New Roman"/>
        </w:rPr>
        <w:t xml:space="preserve">.1.2 </w:t>
      </w:r>
      <w:r>
        <w:rPr>
          <w:rFonts w:hint="eastAsia" w:ascii="Times New Roman"/>
        </w:rPr>
        <w:t>土壤质量应符合NY/T 391的规定。</w:t>
      </w:r>
    </w:p>
    <w:p>
      <w:pPr>
        <w:pStyle w:val="28"/>
        <w:spacing w:line="360" w:lineRule="auto"/>
        <w:ind w:firstLine="0" w:firstLineChars="0"/>
        <w:rPr>
          <w:rFonts w:ascii="Times New Roman"/>
        </w:rPr>
      </w:pPr>
      <w:r>
        <w:rPr>
          <w:rFonts w:hint="eastAsia" w:ascii="Times New Roman"/>
        </w:rPr>
        <w:t>4</w:t>
      </w:r>
      <w:r>
        <w:rPr>
          <w:rFonts w:ascii="Times New Roman"/>
        </w:rPr>
        <w:t xml:space="preserve">.1.3 </w:t>
      </w:r>
      <w:r>
        <w:rPr>
          <w:rFonts w:hint="eastAsia" w:ascii="Times New Roman"/>
        </w:rPr>
        <w:t>灌溉用水水质应符合GB 5084的规定。</w:t>
      </w:r>
    </w:p>
    <w:p>
      <w:pPr>
        <w:pStyle w:val="41"/>
        <w:spacing w:before="120" w:beforeLines="50" w:after="120" w:afterLines="50" w:line="360" w:lineRule="auto"/>
      </w:pPr>
      <w:r>
        <w:rPr>
          <w:rFonts w:hint="eastAsia"/>
        </w:rPr>
        <w:t>4</w:t>
      </w:r>
      <w:r>
        <w:t xml:space="preserve">.2 </w:t>
      </w:r>
      <w:r>
        <w:rPr>
          <w:rFonts w:hint="eastAsia"/>
        </w:rPr>
        <w:t>园地规划</w:t>
      </w:r>
    </w:p>
    <w:p>
      <w:pPr>
        <w:pStyle w:val="28"/>
        <w:spacing w:line="360" w:lineRule="auto"/>
        <w:ind w:firstLine="420"/>
        <w:rPr>
          <w:rFonts w:ascii="Times New Roman"/>
        </w:rPr>
      </w:pPr>
      <w:r>
        <w:rPr>
          <w:rFonts w:hint="eastAsia" w:ascii="Times New Roman"/>
        </w:rPr>
        <w:t>合理规划梨园作业小区、道路、排灌系统、建筑物及防护林，栽植区面积不小于85%。平地和6</w:t>
      </w:r>
      <w:r>
        <w:rPr>
          <w:rFonts w:ascii="Times New Roman"/>
        </w:rPr>
        <w:t>°</w:t>
      </w:r>
      <w:r>
        <w:rPr>
          <w:rFonts w:hint="eastAsia" w:ascii="Times New Roman"/>
        </w:rPr>
        <w:t>以下的缓坡地，栽植行为南北行向，6</w:t>
      </w:r>
      <w:r>
        <w:rPr>
          <w:rFonts w:ascii="Times New Roman"/>
        </w:rPr>
        <w:t>°</w:t>
      </w:r>
      <w:r>
        <w:rPr>
          <w:rFonts w:hint="eastAsia" w:ascii="Times New Roman"/>
        </w:rPr>
        <w:t>～15</w:t>
      </w:r>
      <w:r>
        <w:rPr>
          <w:rFonts w:ascii="Times New Roman"/>
        </w:rPr>
        <w:t>°</w:t>
      </w:r>
      <w:r>
        <w:rPr>
          <w:rFonts w:hint="eastAsia" w:ascii="Times New Roman"/>
        </w:rPr>
        <w:t>的坡地，沿等高线栽植延长。</w:t>
      </w:r>
    </w:p>
    <w:p>
      <w:pPr>
        <w:pStyle w:val="41"/>
        <w:spacing w:before="120" w:beforeLines="50" w:after="120" w:afterLines="50" w:line="360" w:lineRule="auto"/>
      </w:pPr>
      <w:r>
        <w:rPr>
          <w:rFonts w:hint="eastAsia"/>
        </w:rPr>
        <w:t>4</w:t>
      </w:r>
      <w:r>
        <w:t xml:space="preserve">.3 </w:t>
      </w:r>
      <w:r>
        <w:rPr>
          <w:rFonts w:hint="eastAsia"/>
        </w:rPr>
        <w:t>品种与苗木选择</w:t>
      </w:r>
    </w:p>
    <w:p>
      <w:pPr>
        <w:pStyle w:val="28"/>
        <w:spacing w:line="360" w:lineRule="auto"/>
        <w:ind w:firstLine="420"/>
        <w:rPr>
          <w:rFonts w:ascii="Times New Roman"/>
        </w:rPr>
      </w:pPr>
      <w:r>
        <w:rPr>
          <w:rFonts w:hint="eastAsia" w:ascii="Times New Roman"/>
        </w:rPr>
        <w:t>选择综合抗性强、长势中庸、品质优良的早熟或中熟砂梨品种种植。苗木质量符合NY 475的规定。</w:t>
      </w:r>
    </w:p>
    <w:p>
      <w:pPr>
        <w:pStyle w:val="41"/>
        <w:spacing w:before="120" w:beforeLines="50" w:after="120" w:afterLines="50" w:line="360" w:lineRule="auto"/>
      </w:pPr>
      <w:r>
        <w:rPr>
          <w:rFonts w:hint="eastAsia"/>
        </w:rPr>
        <w:t>4</w:t>
      </w:r>
      <w:r>
        <w:t xml:space="preserve">.4 </w:t>
      </w:r>
      <w:r>
        <w:rPr>
          <w:rFonts w:hint="eastAsia"/>
        </w:rPr>
        <w:t>定植</w:t>
      </w:r>
    </w:p>
    <w:p>
      <w:pPr>
        <w:pStyle w:val="41"/>
        <w:spacing w:before="120" w:beforeLines="50" w:after="120" w:afterLines="50" w:line="360" w:lineRule="auto"/>
        <w:ind w:firstLine="420" w:firstLineChars="200"/>
      </w:pPr>
      <w:r>
        <w:rPr>
          <w:rFonts w:hint="eastAsia" w:eastAsia="宋体"/>
        </w:rPr>
        <w:t>冬、春两季均可定植，以落叶后（封冻前）为好。根据立地条件和栽培模式，株行距一般（2～3）m</w:t>
      </w:r>
      <w:r>
        <w:rPr>
          <w:rFonts w:eastAsia="宋体"/>
        </w:rPr>
        <w:t xml:space="preserve"> </w:t>
      </w:r>
      <w:r>
        <w:rPr>
          <w:rFonts w:hint="eastAsia" w:eastAsia="宋体"/>
        </w:rPr>
        <w:t>×（4～5）m。定植方法按NY/T 442的规定执行。</w:t>
      </w:r>
    </w:p>
    <w:p>
      <w:pPr>
        <w:pStyle w:val="27"/>
        <w:numPr>
          <w:ilvl w:val="0"/>
          <w:numId w:val="2"/>
        </w:numPr>
        <w:spacing w:before="240" w:beforeLines="100" w:after="240" w:afterLines="100" w:line="360" w:lineRule="auto"/>
        <w:rPr>
          <w:rFonts w:ascii="Times New Roman"/>
        </w:rPr>
      </w:pPr>
      <w:r>
        <w:rPr>
          <w:rFonts w:ascii="Times New Roman"/>
        </w:rPr>
        <w:t>土肥水管理</w:t>
      </w:r>
    </w:p>
    <w:p>
      <w:pPr>
        <w:pStyle w:val="41"/>
        <w:spacing w:before="120" w:beforeLines="50" w:after="120" w:afterLines="50" w:line="360" w:lineRule="auto"/>
      </w:pPr>
      <w:r>
        <w:rPr>
          <w:rFonts w:hint="eastAsia"/>
        </w:rPr>
        <w:t>5</w:t>
      </w:r>
      <w:r>
        <w:t xml:space="preserve">.1 </w:t>
      </w:r>
      <w:r>
        <w:rPr>
          <w:rFonts w:hint="eastAsia"/>
        </w:rPr>
        <w:t>土壤管理</w:t>
      </w:r>
    </w:p>
    <w:p>
      <w:pPr>
        <w:spacing w:line="360" w:lineRule="auto"/>
        <w:jc w:val="left"/>
        <w:rPr>
          <w:szCs w:val="21"/>
        </w:rPr>
      </w:pPr>
      <w:r>
        <w:rPr>
          <w:rFonts w:hint="eastAsia"/>
          <w:szCs w:val="21"/>
        </w:rPr>
        <w:t>5</w:t>
      </w:r>
      <w:r>
        <w:rPr>
          <w:szCs w:val="21"/>
        </w:rPr>
        <w:t xml:space="preserve">.1.1 </w:t>
      </w:r>
      <w:r>
        <w:rPr>
          <w:rFonts w:hint="eastAsia"/>
          <w:szCs w:val="21"/>
        </w:rPr>
        <w:t>采用树盘覆盖防草布、行间生草或全园生草。</w:t>
      </w:r>
      <w:r>
        <w:rPr>
          <w:szCs w:val="21"/>
        </w:rPr>
        <w:t>梨园生草可选择</w:t>
      </w:r>
      <w:r>
        <w:rPr>
          <w:rFonts w:hint="eastAsia"/>
          <w:szCs w:val="21"/>
        </w:rPr>
        <w:t>植株较矮，具较好的改良土壤、保持水土</w:t>
      </w:r>
      <w:r>
        <w:rPr>
          <w:szCs w:val="21"/>
        </w:rPr>
        <w:t>功能的草</w:t>
      </w:r>
      <w:r>
        <w:rPr>
          <w:rFonts w:hint="eastAsia"/>
          <w:szCs w:val="21"/>
        </w:rPr>
        <w:t>种</w:t>
      </w:r>
      <w:r>
        <w:rPr>
          <w:szCs w:val="21"/>
        </w:rPr>
        <w:t>，如白</w:t>
      </w:r>
      <w:r>
        <w:rPr>
          <w:rFonts w:hint="eastAsia"/>
          <w:szCs w:val="21"/>
        </w:rPr>
        <w:t>三叶草、鼠茅草、毛苕子</w:t>
      </w:r>
      <w:r>
        <w:rPr>
          <w:szCs w:val="21"/>
        </w:rPr>
        <w:t>等。</w:t>
      </w:r>
    </w:p>
    <w:p>
      <w:pPr>
        <w:spacing w:line="360" w:lineRule="auto"/>
        <w:jc w:val="left"/>
        <w:rPr>
          <w:szCs w:val="21"/>
        </w:rPr>
      </w:pPr>
      <w:r>
        <w:rPr>
          <w:rFonts w:hint="eastAsia"/>
          <w:szCs w:val="21"/>
        </w:rPr>
        <w:t>5</w:t>
      </w:r>
      <w:r>
        <w:rPr>
          <w:szCs w:val="21"/>
        </w:rPr>
        <w:t xml:space="preserve">.1.2 生草高度达30 </w:t>
      </w:r>
      <w:r>
        <w:rPr>
          <w:rFonts w:hint="eastAsia"/>
          <w:szCs w:val="21"/>
        </w:rPr>
        <w:t>cm</w:t>
      </w:r>
      <w:r>
        <w:rPr>
          <w:szCs w:val="21"/>
        </w:rPr>
        <w:t xml:space="preserve"> ～</w:t>
      </w:r>
      <w:r>
        <w:rPr>
          <w:rFonts w:hint="eastAsia"/>
          <w:szCs w:val="21"/>
        </w:rPr>
        <w:t xml:space="preserve"> </w:t>
      </w:r>
      <w:r>
        <w:rPr>
          <w:szCs w:val="21"/>
        </w:rPr>
        <w:t>40 cm时刈割，留茬</w:t>
      </w:r>
      <w:r>
        <w:rPr>
          <w:rFonts w:hint="eastAsia"/>
          <w:szCs w:val="21"/>
        </w:rPr>
        <w:t>5</w:t>
      </w:r>
      <w:r>
        <w:rPr>
          <w:szCs w:val="21"/>
        </w:rPr>
        <w:t xml:space="preserve"> </w:t>
      </w:r>
      <w:r>
        <w:rPr>
          <w:rFonts w:hint="eastAsia"/>
          <w:szCs w:val="21"/>
        </w:rPr>
        <w:t>cm</w:t>
      </w:r>
      <w:r>
        <w:rPr>
          <w:szCs w:val="21"/>
        </w:rPr>
        <w:t xml:space="preserve"> </w:t>
      </w:r>
      <w:r>
        <w:rPr>
          <w:rFonts w:hint="eastAsia"/>
          <w:szCs w:val="21"/>
        </w:rPr>
        <w:t>~</w:t>
      </w:r>
      <w:r>
        <w:rPr>
          <w:szCs w:val="21"/>
        </w:rPr>
        <w:t xml:space="preserve"> 10 cm割蔓。刈割的草可覆盖树盘下</w:t>
      </w:r>
      <w:r>
        <w:rPr>
          <w:rFonts w:hint="eastAsia"/>
          <w:szCs w:val="21"/>
        </w:rPr>
        <w:t>或树行内</w:t>
      </w:r>
      <w:r>
        <w:rPr>
          <w:szCs w:val="21"/>
        </w:rPr>
        <w:t>。</w:t>
      </w:r>
      <w:r>
        <w:rPr>
          <w:rFonts w:hint="eastAsia"/>
          <w:szCs w:val="21"/>
        </w:rPr>
        <w:t>生草梨园每4年 ~</w:t>
      </w:r>
      <w:r>
        <w:rPr>
          <w:szCs w:val="21"/>
        </w:rPr>
        <w:t xml:space="preserve"> 5</w:t>
      </w:r>
      <w:r>
        <w:rPr>
          <w:rFonts w:hint="eastAsia"/>
          <w:szCs w:val="21"/>
        </w:rPr>
        <w:t>年深翻1次，再行播种。</w:t>
      </w:r>
    </w:p>
    <w:p>
      <w:pPr>
        <w:pStyle w:val="41"/>
        <w:spacing w:before="120" w:beforeLines="50" w:after="120" w:afterLines="50" w:line="360" w:lineRule="auto"/>
      </w:pPr>
      <w:r>
        <w:rPr>
          <w:rFonts w:hint="eastAsia"/>
        </w:rPr>
        <w:t>5</w:t>
      </w:r>
      <w:r>
        <w:t xml:space="preserve">.2 </w:t>
      </w:r>
      <w:r>
        <w:rPr>
          <w:rFonts w:hint="eastAsia"/>
        </w:rPr>
        <w:t>水分管理</w:t>
      </w:r>
    </w:p>
    <w:p>
      <w:pPr>
        <w:spacing w:line="360" w:lineRule="auto"/>
        <w:ind w:firstLine="420" w:firstLineChars="200"/>
        <w:jc w:val="left"/>
        <w:rPr>
          <w:szCs w:val="21"/>
        </w:rPr>
      </w:pPr>
      <w:r>
        <w:rPr>
          <w:rFonts w:hint="eastAsia"/>
          <w:szCs w:val="21"/>
        </w:rPr>
        <w:t>使用滴灌或渗灌，限制漫灌。果园土壤含水量&lt;50%时应灌水。生长季节灌水后应及时松土。有条件的果园可用作物秸秆等覆盖树盘，以利保墒。建立健全果园排灌系统，梨园出现积水时，及时排水。</w:t>
      </w:r>
    </w:p>
    <w:p>
      <w:pPr>
        <w:pStyle w:val="41"/>
        <w:spacing w:before="120" w:beforeLines="50" w:after="120" w:afterLines="50" w:line="360" w:lineRule="auto"/>
      </w:pPr>
      <w:r>
        <w:rPr>
          <w:rFonts w:hint="eastAsia"/>
        </w:rPr>
        <w:t>5</w:t>
      </w:r>
      <w:r>
        <w:t xml:space="preserve">.3 </w:t>
      </w:r>
      <w:r>
        <w:rPr>
          <w:rFonts w:hint="eastAsia"/>
        </w:rPr>
        <w:t>肥水一体化管理</w:t>
      </w:r>
    </w:p>
    <w:p>
      <w:pPr>
        <w:spacing w:line="360" w:lineRule="auto"/>
        <w:jc w:val="left"/>
        <w:rPr>
          <w:szCs w:val="21"/>
        </w:rPr>
      </w:pPr>
      <w:r>
        <w:rPr>
          <w:rFonts w:hint="eastAsia"/>
          <w:szCs w:val="21"/>
        </w:rPr>
        <w:t>5</w:t>
      </w:r>
      <w:r>
        <w:rPr>
          <w:szCs w:val="21"/>
        </w:rPr>
        <w:t>.3.1 建立施肥池（桶），采用泵吸肥法进行施肥。按NY/T 442规定执行。</w:t>
      </w:r>
    </w:p>
    <w:p>
      <w:pPr>
        <w:spacing w:line="360" w:lineRule="auto"/>
        <w:jc w:val="left"/>
        <w:rPr>
          <w:szCs w:val="21"/>
        </w:rPr>
      </w:pPr>
      <w:r>
        <w:rPr>
          <w:rFonts w:hint="eastAsia"/>
          <w:szCs w:val="21"/>
        </w:rPr>
        <w:t>5</w:t>
      </w:r>
      <w:r>
        <w:rPr>
          <w:szCs w:val="21"/>
        </w:rPr>
        <w:t xml:space="preserve">.3.2 </w:t>
      </w:r>
      <w:r>
        <w:rPr>
          <w:rFonts w:hint="eastAsia"/>
          <w:szCs w:val="21"/>
        </w:rPr>
        <w:t>输水管道包括干管与支管两级管道。干管可采用地埋硬管形式，硬管选用</w:t>
      </w:r>
      <w:r>
        <w:rPr>
          <w:szCs w:val="21"/>
        </w:rPr>
        <w:t>PVC</w:t>
      </w:r>
      <w:r>
        <w:rPr>
          <w:rFonts w:hint="eastAsia"/>
          <w:szCs w:val="21"/>
        </w:rPr>
        <w:t>管材，埋深</w:t>
      </w:r>
      <w:r>
        <w:rPr>
          <w:szCs w:val="21"/>
        </w:rPr>
        <w:t>0.8 m</w:t>
      </w:r>
      <w:r>
        <w:rPr>
          <w:rFonts w:hint="eastAsia"/>
          <w:szCs w:val="21"/>
        </w:rPr>
        <w:t>。微灌带铺设长度小于</w:t>
      </w:r>
      <w:r>
        <w:rPr>
          <w:szCs w:val="21"/>
        </w:rPr>
        <w:t>60 m</w:t>
      </w:r>
      <w:r>
        <w:rPr>
          <w:rFonts w:hint="eastAsia"/>
          <w:szCs w:val="21"/>
        </w:rPr>
        <w:t>，沿树行排布。</w:t>
      </w:r>
    </w:p>
    <w:p>
      <w:pPr>
        <w:spacing w:line="360" w:lineRule="auto"/>
        <w:jc w:val="left"/>
        <w:rPr>
          <w:szCs w:val="21"/>
        </w:rPr>
      </w:pPr>
      <w:r>
        <w:rPr>
          <w:rFonts w:hint="eastAsia"/>
          <w:szCs w:val="21"/>
        </w:rPr>
        <w:t>5</w:t>
      </w:r>
      <w:r>
        <w:rPr>
          <w:szCs w:val="21"/>
        </w:rPr>
        <w:t>.3.3 选</w:t>
      </w:r>
      <w:r>
        <w:rPr>
          <w:rFonts w:hint="eastAsia"/>
          <w:szCs w:val="21"/>
        </w:rPr>
        <w:t>用</w:t>
      </w:r>
      <w:r>
        <w:rPr>
          <w:szCs w:val="21"/>
        </w:rPr>
        <w:t>尿素、硫</w:t>
      </w:r>
      <w:r>
        <w:rPr>
          <w:rFonts w:hint="eastAsia"/>
          <w:szCs w:val="21"/>
        </w:rPr>
        <w:t>酸</w:t>
      </w:r>
      <w:r>
        <w:rPr>
          <w:szCs w:val="21"/>
        </w:rPr>
        <w:t>铵、磷酸二铵、硫酸钾、</w:t>
      </w:r>
      <w:r>
        <w:rPr>
          <w:rFonts w:hint="eastAsia"/>
          <w:szCs w:val="21"/>
        </w:rPr>
        <w:t>磷酸二氢钾、</w:t>
      </w:r>
      <w:r>
        <w:rPr>
          <w:szCs w:val="21"/>
        </w:rPr>
        <w:t>硫酸镁等</w:t>
      </w:r>
      <w:r>
        <w:rPr>
          <w:rFonts w:hAnsi="宋体"/>
          <w:szCs w:val="21"/>
        </w:rPr>
        <w:t>液态</w:t>
      </w:r>
      <w:r>
        <w:rPr>
          <w:rFonts w:hint="eastAsia" w:hAnsi="宋体"/>
          <w:szCs w:val="21"/>
        </w:rPr>
        <w:t>或水溶性</w:t>
      </w:r>
      <w:r>
        <w:rPr>
          <w:szCs w:val="21"/>
        </w:rPr>
        <w:t>肥料</w:t>
      </w:r>
      <w:r>
        <w:rPr>
          <w:rFonts w:hint="eastAsia"/>
          <w:szCs w:val="21"/>
        </w:rPr>
        <w:t>；</w:t>
      </w:r>
      <w:r>
        <w:rPr>
          <w:szCs w:val="21"/>
        </w:rPr>
        <w:t>如果用沼液或腐殖酸液肥，</w:t>
      </w:r>
      <w:r>
        <w:rPr>
          <w:rFonts w:hint="eastAsia"/>
          <w:szCs w:val="21"/>
        </w:rPr>
        <w:t>应</w:t>
      </w:r>
      <w:r>
        <w:rPr>
          <w:szCs w:val="21"/>
        </w:rPr>
        <w:t>经过过</w:t>
      </w:r>
      <w:r>
        <w:rPr>
          <w:rFonts w:hint="eastAsia"/>
          <w:szCs w:val="21"/>
        </w:rPr>
        <w:t>滤</w:t>
      </w:r>
      <w:r>
        <w:rPr>
          <w:szCs w:val="21"/>
        </w:rPr>
        <w:t>，以免堵塞管道。</w:t>
      </w:r>
      <w:r>
        <w:rPr>
          <w:rFonts w:hint="eastAsia"/>
          <w:szCs w:val="21"/>
        </w:rPr>
        <w:t>肥料使用应符合</w:t>
      </w:r>
      <w:r>
        <w:rPr>
          <w:szCs w:val="21"/>
        </w:rPr>
        <w:t>NY/T 496</w:t>
      </w:r>
      <w:r>
        <w:rPr>
          <w:rFonts w:hint="eastAsia"/>
          <w:szCs w:val="21"/>
        </w:rPr>
        <w:t>的规定。</w:t>
      </w:r>
    </w:p>
    <w:p>
      <w:pPr>
        <w:pStyle w:val="27"/>
        <w:adjustRightInd w:val="0"/>
        <w:snapToGrid w:val="0"/>
        <w:spacing w:before="120" w:after="120" w:line="360" w:lineRule="auto"/>
        <w:rPr>
          <w:rFonts w:ascii="Times New Roman"/>
          <w:szCs w:val="21"/>
        </w:rPr>
      </w:pPr>
      <w:r>
        <w:rPr>
          <w:rFonts w:hint="eastAsia" w:ascii="Times New Roman"/>
          <w:szCs w:val="21"/>
        </w:rPr>
        <w:t>6</w:t>
      </w:r>
      <w:r>
        <w:rPr>
          <w:rFonts w:ascii="Times New Roman"/>
          <w:szCs w:val="21"/>
        </w:rPr>
        <w:t xml:space="preserve"> </w:t>
      </w:r>
      <w:r>
        <w:rPr>
          <w:rFonts w:hint="eastAsia" w:ascii="Times New Roman"/>
          <w:szCs w:val="21"/>
        </w:rPr>
        <w:t>树形管理</w:t>
      </w:r>
    </w:p>
    <w:p>
      <w:pPr>
        <w:pStyle w:val="27"/>
        <w:adjustRightInd w:val="0"/>
        <w:snapToGrid w:val="0"/>
        <w:spacing w:before="120" w:after="120" w:line="360" w:lineRule="auto"/>
        <w:rPr>
          <w:rFonts w:ascii="Times New Roman"/>
          <w:szCs w:val="21"/>
        </w:rPr>
      </w:pPr>
      <w:r>
        <w:rPr>
          <w:rFonts w:hint="eastAsia" w:ascii="Times New Roman"/>
          <w:szCs w:val="21"/>
        </w:rPr>
        <w:t>6</w:t>
      </w:r>
      <w:r>
        <w:rPr>
          <w:rFonts w:ascii="Times New Roman"/>
          <w:szCs w:val="21"/>
        </w:rPr>
        <w:t xml:space="preserve">.1 </w:t>
      </w:r>
      <w:r>
        <w:rPr>
          <w:rFonts w:hint="eastAsia" w:ascii="Times New Roman"/>
          <w:szCs w:val="21"/>
        </w:rPr>
        <w:t>树形选择</w:t>
      </w:r>
    </w:p>
    <w:p>
      <w:pPr>
        <w:pStyle w:val="27"/>
        <w:adjustRightInd w:val="0"/>
        <w:snapToGrid w:val="0"/>
        <w:spacing w:before="120" w:after="120" w:line="360" w:lineRule="auto"/>
        <w:rPr>
          <w:rFonts w:ascii="Times New Roman"/>
          <w:szCs w:val="21"/>
        </w:rPr>
      </w:pPr>
      <w:r>
        <w:rPr>
          <w:rFonts w:hint="eastAsia" w:ascii="Times New Roman"/>
          <w:szCs w:val="21"/>
        </w:rPr>
        <w:t>6</w:t>
      </w:r>
      <w:r>
        <w:rPr>
          <w:rFonts w:ascii="Times New Roman"/>
          <w:szCs w:val="21"/>
        </w:rPr>
        <w:t xml:space="preserve">.1.1 </w:t>
      </w:r>
      <w:r>
        <w:rPr>
          <w:rFonts w:hint="eastAsia" w:ascii="Times New Roman"/>
          <w:szCs w:val="21"/>
        </w:rPr>
        <w:t>选择原则</w:t>
      </w:r>
    </w:p>
    <w:p>
      <w:pPr>
        <w:pStyle w:val="28"/>
        <w:spacing w:line="360" w:lineRule="auto"/>
        <w:ind w:firstLine="420"/>
        <w:rPr>
          <w:rFonts w:ascii="Times New Roman"/>
          <w:szCs w:val="21"/>
        </w:rPr>
      </w:pPr>
      <w:r>
        <w:rPr>
          <w:rFonts w:hint="eastAsia" w:ascii="Times New Roman"/>
          <w:szCs w:val="21"/>
        </w:rPr>
        <w:t>宜选用树体结构简单、通风透光条件好、易于机械化操作的树形，如：圆柱形、“</w:t>
      </w:r>
      <w:r>
        <w:rPr>
          <w:rFonts w:ascii="Times New Roman"/>
          <w:szCs w:val="21"/>
        </w:rPr>
        <w:t>Y</w:t>
      </w:r>
      <w:r>
        <w:rPr>
          <w:rFonts w:hint="eastAsia" w:ascii="Times New Roman"/>
          <w:szCs w:val="21"/>
        </w:rPr>
        <w:t>”</w:t>
      </w:r>
      <w:r>
        <w:rPr>
          <w:rFonts w:ascii="Times New Roman"/>
          <w:szCs w:val="21"/>
        </w:rPr>
        <w:t>字</w:t>
      </w:r>
      <w:r>
        <w:rPr>
          <w:rFonts w:hint="eastAsia" w:ascii="Times New Roman"/>
          <w:szCs w:val="21"/>
        </w:rPr>
        <w:t>形和“双臂顺行式”平棚架等树形。</w:t>
      </w:r>
      <w:r>
        <w:rPr>
          <w:rFonts w:ascii="Times New Roman"/>
          <w:szCs w:val="21"/>
        </w:rPr>
        <w:t xml:space="preserve"> </w:t>
      </w:r>
    </w:p>
    <w:p>
      <w:pPr>
        <w:pStyle w:val="41"/>
        <w:spacing w:before="120" w:beforeLines="50" w:after="120" w:afterLines="50" w:line="360" w:lineRule="auto"/>
      </w:pPr>
      <w:r>
        <w:rPr>
          <w:rFonts w:hint="eastAsia"/>
        </w:rPr>
        <w:t>6</w:t>
      </w:r>
      <w:r>
        <w:t>.1</w:t>
      </w:r>
      <w:r>
        <w:rPr>
          <w:rFonts w:hint="eastAsia"/>
        </w:rPr>
        <w:t>.</w:t>
      </w:r>
      <w:r>
        <w:t xml:space="preserve">2 </w:t>
      </w:r>
      <w:bookmarkStart w:id="3" w:name="OLE_LINK13"/>
      <w:bookmarkStart w:id="4" w:name="OLE_LINK14"/>
      <w:r>
        <w:rPr>
          <w:rFonts w:hint="eastAsia"/>
        </w:rPr>
        <w:t>圆柱</w:t>
      </w:r>
      <w:r>
        <w:t>形</w:t>
      </w:r>
      <w:bookmarkEnd w:id="3"/>
      <w:bookmarkEnd w:id="4"/>
    </w:p>
    <w:p>
      <w:pPr>
        <w:pStyle w:val="28"/>
        <w:adjustRightInd w:val="0"/>
        <w:snapToGrid w:val="0"/>
        <w:spacing w:line="360" w:lineRule="auto"/>
        <w:ind w:firstLine="403" w:firstLineChars="192"/>
        <w:rPr>
          <w:rFonts w:ascii="Times New Roman"/>
          <w:szCs w:val="21"/>
        </w:rPr>
      </w:pPr>
      <w:bookmarkStart w:id="5" w:name="OLE_LINK1"/>
      <w:bookmarkStart w:id="6" w:name="OLE_LINK2"/>
      <w:r>
        <w:rPr>
          <w:rFonts w:ascii="Times New Roman"/>
          <w:szCs w:val="21"/>
        </w:rPr>
        <w:t>定</w:t>
      </w:r>
      <w:r>
        <w:rPr>
          <w:rFonts w:hint="eastAsia" w:ascii="Times New Roman"/>
          <w:szCs w:val="21"/>
        </w:rPr>
        <w:t>植</w:t>
      </w:r>
      <w:r>
        <w:rPr>
          <w:rFonts w:ascii="Times New Roman"/>
          <w:szCs w:val="21"/>
        </w:rPr>
        <w:t xml:space="preserve">株行距为 </w:t>
      </w:r>
      <w:r>
        <w:rPr>
          <w:rFonts w:hint="eastAsia" w:ascii="Times New Roman"/>
          <w:szCs w:val="21"/>
        </w:rPr>
        <w:t>(1.5～2)</w:t>
      </w:r>
      <w:r>
        <w:rPr>
          <w:rFonts w:ascii="Times New Roman"/>
          <w:szCs w:val="21"/>
        </w:rPr>
        <w:t xml:space="preserve"> </w:t>
      </w:r>
      <w:r>
        <w:rPr>
          <w:rFonts w:hint="eastAsia" w:ascii="Times New Roman"/>
          <w:szCs w:val="21"/>
        </w:rPr>
        <w:t>m</w:t>
      </w:r>
      <w:r>
        <w:rPr>
          <w:rFonts w:ascii="Times New Roman"/>
          <w:szCs w:val="21"/>
        </w:rPr>
        <w:t xml:space="preserve"> × (4~5) m</w:t>
      </w:r>
      <w:r>
        <w:rPr>
          <w:rFonts w:hint="eastAsia" w:ascii="Times New Roman"/>
          <w:szCs w:val="21"/>
        </w:rPr>
        <w:t>。定</w:t>
      </w:r>
      <w:r>
        <w:rPr>
          <w:rFonts w:ascii="Times New Roman"/>
          <w:szCs w:val="21"/>
        </w:rPr>
        <w:t>干</w:t>
      </w:r>
      <w:r>
        <w:rPr>
          <w:rFonts w:hint="eastAsia" w:ascii="Times New Roman"/>
          <w:szCs w:val="21"/>
        </w:rPr>
        <w:t>高度</w:t>
      </w:r>
      <w:r>
        <w:rPr>
          <w:rFonts w:ascii="Times New Roman"/>
          <w:szCs w:val="21"/>
        </w:rPr>
        <w:t xml:space="preserve"> </w:t>
      </w:r>
      <w:bookmarkEnd w:id="5"/>
      <w:bookmarkEnd w:id="6"/>
      <w:r>
        <w:rPr>
          <w:rFonts w:ascii="Times New Roman"/>
          <w:szCs w:val="21"/>
        </w:rPr>
        <w:t>30</w:t>
      </w:r>
      <w:r>
        <w:rPr>
          <w:rFonts w:hint="eastAsia" w:ascii="Times New Roman"/>
          <w:szCs w:val="21"/>
        </w:rPr>
        <w:t xml:space="preserve"> cm</w:t>
      </w:r>
      <w:r>
        <w:rPr>
          <w:rFonts w:ascii="Times New Roman"/>
          <w:szCs w:val="21"/>
        </w:rPr>
        <w:t>～50 cm，</w:t>
      </w:r>
      <w:r>
        <w:rPr>
          <w:rFonts w:hint="eastAsia" w:ascii="Times New Roman"/>
          <w:szCs w:val="21"/>
        </w:rPr>
        <w:t>树高3 m</w:t>
      </w:r>
      <w:r>
        <w:rPr>
          <w:rFonts w:ascii="Times New Roman"/>
          <w:szCs w:val="21"/>
        </w:rPr>
        <w:t xml:space="preserve"> </w:t>
      </w:r>
      <w:r>
        <w:rPr>
          <w:rFonts w:hint="eastAsia" w:ascii="Times New Roman"/>
          <w:szCs w:val="21"/>
        </w:rPr>
        <w:t>~</w:t>
      </w:r>
      <w:r>
        <w:rPr>
          <w:rFonts w:ascii="Times New Roman"/>
          <w:szCs w:val="21"/>
        </w:rPr>
        <w:t xml:space="preserve">4 </w:t>
      </w:r>
      <w:r>
        <w:rPr>
          <w:rFonts w:hint="eastAsia" w:ascii="Times New Roman"/>
          <w:szCs w:val="21"/>
        </w:rPr>
        <w:t>m。</w:t>
      </w:r>
      <w:r>
        <w:rPr>
          <w:rFonts w:ascii="Times New Roman"/>
          <w:szCs w:val="21"/>
        </w:rPr>
        <w:t>主干上着生</w:t>
      </w:r>
      <w:r>
        <w:rPr>
          <w:rFonts w:hint="eastAsia" w:ascii="Times New Roman"/>
          <w:szCs w:val="21"/>
        </w:rPr>
        <w:t>17个～25个</w:t>
      </w:r>
      <w:r>
        <w:rPr>
          <w:rFonts w:ascii="Times New Roman"/>
          <w:szCs w:val="21"/>
        </w:rPr>
        <w:t>结果枝组，枝组分枝角度70°～90°</w:t>
      </w:r>
      <w:r>
        <w:rPr>
          <w:rFonts w:hint="eastAsia" w:ascii="Times New Roman"/>
          <w:szCs w:val="21"/>
        </w:rPr>
        <w:t>。</w:t>
      </w:r>
      <w:r>
        <w:rPr>
          <w:rFonts w:ascii="Times New Roman"/>
          <w:szCs w:val="21"/>
        </w:rPr>
        <w:t>结果枝组为单轴</w:t>
      </w:r>
      <w:r>
        <w:rPr>
          <w:rFonts w:hint="eastAsia" w:ascii="Times New Roman"/>
          <w:szCs w:val="21"/>
        </w:rPr>
        <w:t>延伸</w:t>
      </w:r>
      <w:r>
        <w:rPr>
          <w:rFonts w:ascii="Times New Roman"/>
          <w:szCs w:val="21"/>
        </w:rPr>
        <w:t>，间距2</w:t>
      </w:r>
      <w:r>
        <w:rPr>
          <w:rFonts w:hint="eastAsia" w:ascii="Times New Roman"/>
          <w:szCs w:val="21"/>
        </w:rPr>
        <w:t>0</w:t>
      </w:r>
      <w:r>
        <w:rPr>
          <w:rFonts w:ascii="Times New Roman"/>
          <w:szCs w:val="21"/>
        </w:rPr>
        <w:t xml:space="preserve"> cm～30 cm</w:t>
      </w:r>
      <w:r>
        <w:rPr>
          <w:rFonts w:hint="eastAsia" w:ascii="Times New Roman"/>
          <w:szCs w:val="21"/>
        </w:rPr>
        <w:t>，</w:t>
      </w:r>
      <w:r>
        <w:rPr>
          <w:rFonts w:ascii="Times New Roman"/>
          <w:szCs w:val="21"/>
        </w:rPr>
        <w:t>上下重叠的结果枝组间距</w:t>
      </w:r>
      <w:r>
        <w:rPr>
          <w:rFonts w:hint="eastAsia" w:ascii="Times New Roman"/>
          <w:szCs w:val="21"/>
        </w:rPr>
        <w:t>大于50 cm</w:t>
      </w:r>
      <w:r>
        <w:rPr>
          <w:rFonts w:ascii="Times New Roman"/>
          <w:szCs w:val="21"/>
        </w:rPr>
        <w:t>。</w:t>
      </w:r>
      <w:r>
        <w:rPr>
          <w:rFonts w:hint="eastAsia" w:ascii="Times New Roman"/>
          <w:szCs w:val="21"/>
        </w:rPr>
        <w:t>主枝长度1 m～1.5 m，主枝上直接着生中小型结果枝组。</w:t>
      </w:r>
    </w:p>
    <w:p>
      <w:pPr>
        <w:pStyle w:val="41"/>
        <w:spacing w:before="120" w:beforeLines="50" w:after="120" w:afterLines="50" w:line="360" w:lineRule="auto"/>
      </w:pPr>
      <w:r>
        <w:rPr>
          <w:rFonts w:hint="eastAsia"/>
        </w:rPr>
        <w:t>6</w:t>
      </w:r>
      <w:r>
        <w:t xml:space="preserve">.1.3 </w:t>
      </w:r>
      <w:r>
        <w:rPr>
          <w:rFonts w:hint="eastAsia"/>
        </w:rPr>
        <w:t>“</w:t>
      </w:r>
      <w:r>
        <w:t>Y</w:t>
      </w:r>
      <w:r>
        <w:rPr>
          <w:rFonts w:hint="eastAsia"/>
        </w:rPr>
        <w:t>”</w:t>
      </w:r>
      <w:r>
        <w:t>字</w:t>
      </w:r>
      <w:r>
        <w:rPr>
          <w:rFonts w:hint="eastAsia"/>
        </w:rPr>
        <w:t>形</w:t>
      </w:r>
    </w:p>
    <w:p>
      <w:pPr>
        <w:pStyle w:val="28"/>
        <w:adjustRightInd w:val="0"/>
        <w:snapToGrid w:val="0"/>
        <w:spacing w:line="360" w:lineRule="auto"/>
        <w:ind w:firstLine="613" w:firstLineChars="292"/>
        <w:rPr>
          <w:rFonts w:ascii="Times New Roman"/>
          <w:szCs w:val="21"/>
        </w:rPr>
      </w:pPr>
      <w:r>
        <w:rPr>
          <w:rFonts w:ascii="Times New Roman"/>
          <w:szCs w:val="21"/>
        </w:rPr>
        <w:t xml:space="preserve">株行距为 </w:t>
      </w:r>
      <w:r>
        <w:rPr>
          <w:rFonts w:hint="eastAsia" w:ascii="Times New Roman"/>
          <w:szCs w:val="21"/>
        </w:rPr>
        <w:t>2</w:t>
      </w:r>
      <w:r>
        <w:rPr>
          <w:rFonts w:ascii="Times New Roman"/>
          <w:szCs w:val="21"/>
        </w:rPr>
        <w:t xml:space="preserve"> m×4 m</w:t>
      </w:r>
      <w:r>
        <w:rPr>
          <w:rFonts w:hint="eastAsia" w:ascii="Times New Roman"/>
          <w:szCs w:val="21"/>
        </w:rPr>
        <w:t>。定</w:t>
      </w:r>
      <w:r>
        <w:rPr>
          <w:rFonts w:ascii="Times New Roman"/>
          <w:szCs w:val="21"/>
        </w:rPr>
        <w:t>干</w:t>
      </w:r>
      <w:r>
        <w:rPr>
          <w:rFonts w:hint="eastAsia" w:ascii="Times New Roman"/>
          <w:szCs w:val="21"/>
        </w:rPr>
        <w:t>高度</w:t>
      </w:r>
      <w:r>
        <w:rPr>
          <w:rFonts w:ascii="Times New Roman"/>
          <w:szCs w:val="21"/>
        </w:rPr>
        <w:t>30 cm</w:t>
      </w:r>
      <w:r>
        <w:rPr>
          <w:rFonts w:hint="eastAsia" w:ascii="Times New Roman"/>
          <w:szCs w:val="21"/>
        </w:rPr>
        <w:t>，萌发后将主干上第一个芽抹去，选留2个与行向垂直的新梢作主枝，并开张角度，两主枝夹角为70°~9</w:t>
      </w:r>
      <w:r>
        <w:rPr>
          <w:rFonts w:ascii="Times New Roman"/>
          <w:szCs w:val="21"/>
        </w:rPr>
        <w:t>0°。</w:t>
      </w:r>
      <w:r>
        <w:rPr>
          <w:rFonts w:hint="eastAsia" w:ascii="Times New Roman"/>
          <w:szCs w:val="21"/>
        </w:rPr>
        <w:t>主枝</w:t>
      </w:r>
      <w:r>
        <w:rPr>
          <w:rFonts w:ascii="Times New Roman"/>
          <w:szCs w:val="21"/>
        </w:rPr>
        <w:t>上均匀配备中、小型结果枝组。</w:t>
      </w:r>
    </w:p>
    <w:p>
      <w:pPr>
        <w:pStyle w:val="41"/>
        <w:spacing w:before="120" w:beforeLines="50" w:after="120" w:afterLines="50" w:line="360" w:lineRule="auto"/>
      </w:pPr>
      <w:r>
        <w:rPr>
          <w:rFonts w:hint="eastAsia"/>
        </w:rPr>
        <w:t>6</w:t>
      </w:r>
      <w:r>
        <w:t xml:space="preserve">.1.4 </w:t>
      </w:r>
      <w:r>
        <w:rPr>
          <w:rFonts w:hint="eastAsia"/>
        </w:rPr>
        <w:t>“双臂顺行式”平棚架</w:t>
      </w:r>
    </w:p>
    <w:p>
      <w:pPr>
        <w:pStyle w:val="28"/>
        <w:adjustRightInd w:val="0"/>
        <w:snapToGrid w:val="0"/>
        <w:spacing w:line="360" w:lineRule="auto"/>
        <w:ind w:firstLine="403" w:firstLineChars="192"/>
        <w:rPr>
          <w:rFonts w:ascii="Times New Roman"/>
          <w:szCs w:val="21"/>
        </w:rPr>
      </w:pPr>
      <w:r>
        <w:rPr>
          <w:rFonts w:hint="eastAsia" w:ascii="Times New Roman"/>
          <w:szCs w:val="21"/>
        </w:rPr>
        <w:t>宜采用2主枝顺行向的平棚架简化栽培。株行距2.5 m ×（3</w:t>
      </w:r>
      <w:r>
        <w:rPr>
          <w:rFonts w:ascii="Times New Roman"/>
          <w:szCs w:val="21"/>
        </w:rPr>
        <w:t xml:space="preserve"> </w:t>
      </w:r>
      <w:r>
        <w:rPr>
          <w:rFonts w:hint="eastAsia" w:ascii="Times New Roman"/>
          <w:szCs w:val="21"/>
        </w:rPr>
        <w:t>～ 4）m。棚架高1.7 m～1.8 m。定干高度1.3 m～1.4 m，苗木弱时不够定干高度和粗度时可以第一年重剪，第二年再行定干，不可定干过低。由主枝及侧结果枝组构成树冠；主枝上每隔40 cm配置结果枝（组）。</w:t>
      </w:r>
    </w:p>
    <w:p>
      <w:pPr>
        <w:pStyle w:val="27"/>
        <w:adjustRightInd w:val="0"/>
        <w:snapToGrid w:val="0"/>
        <w:spacing w:before="120" w:after="120" w:line="360" w:lineRule="auto"/>
        <w:rPr>
          <w:rFonts w:ascii="Times New Roman"/>
          <w:szCs w:val="21"/>
        </w:rPr>
      </w:pPr>
      <w:r>
        <w:rPr>
          <w:rFonts w:hint="eastAsia" w:ascii="Times New Roman"/>
          <w:szCs w:val="21"/>
        </w:rPr>
        <w:t>6</w:t>
      </w:r>
      <w:r>
        <w:rPr>
          <w:rFonts w:ascii="Times New Roman"/>
          <w:szCs w:val="21"/>
        </w:rPr>
        <w:t xml:space="preserve">.2 </w:t>
      </w:r>
      <w:r>
        <w:rPr>
          <w:rFonts w:hint="eastAsia" w:ascii="Times New Roman"/>
          <w:szCs w:val="21"/>
        </w:rPr>
        <w:t>树形修剪</w:t>
      </w:r>
    </w:p>
    <w:p>
      <w:pPr>
        <w:pStyle w:val="28"/>
        <w:adjustRightInd w:val="0"/>
        <w:snapToGrid w:val="0"/>
        <w:spacing w:line="360" w:lineRule="auto"/>
        <w:ind w:firstLine="0" w:firstLineChars="0"/>
        <w:rPr>
          <w:rFonts w:ascii="Times New Roman"/>
          <w:szCs w:val="21"/>
        </w:rPr>
      </w:pPr>
      <w:r>
        <w:rPr>
          <w:rFonts w:hint="eastAsia" w:ascii="Times New Roman"/>
          <w:szCs w:val="21"/>
        </w:rPr>
        <w:t xml:space="preserve"> </w:t>
      </w:r>
      <w:r>
        <w:rPr>
          <w:rFonts w:ascii="Times New Roman"/>
          <w:szCs w:val="21"/>
        </w:rPr>
        <w:t xml:space="preserve">   </w:t>
      </w:r>
      <w:r>
        <w:rPr>
          <w:rFonts w:hint="eastAsia" w:ascii="Times New Roman"/>
          <w:szCs w:val="21"/>
        </w:rPr>
        <w:t>修剪</w:t>
      </w:r>
      <w:r>
        <w:rPr>
          <w:rFonts w:hint="eastAsia" w:hAnsi="宋体"/>
          <w:szCs w:val="21"/>
        </w:rPr>
        <w:t>按</w:t>
      </w:r>
      <w:r>
        <w:rPr>
          <w:szCs w:val="21"/>
        </w:rPr>
        <w:t>NY/T 442</w:t>
      </w:r>
      <w:r>
        <w:rPr>
          <w:rFonts w:hint="eastAsia" w:hAnsi="宋体"/>
          <w:szCs w:val="21"/>
        </w:rPr>
        <w:t>规定执行</w:t>
      </w:r>
      <w:r>
        <w:rPr>
          <w:rFonts w:hint="eastAsia" w:ascii="Times New Roman"/>
          <w:szCs w:val="21"/>
        </w:rPr>
        <w:t>。</w:t>
      </w:r>
    </w:p>
    <w:p>
      <w:pPr>
        <w:pStyle w:val="27"/>
        <w:adjustRightInd w:val="0"/>
        <w:snapToGrid w:val="0"/>
        <w:spacing w:before="120" w:after="120" w:line="360" w:lineRule="auto"/>
        <w:rPr>
          <w:rFonts w:ascii="Times New Roman"/>
          <w:szCs w:val="21"/>
        </w:rPr>
      </w:pPr>
      <w:r>
        <w:rPr>
          <w:rFonts w:hint="eastAsia" w:ascii="Times New Roman"/>
          <w:szCs w:val="21"/>
        </w:rPr>
        <w:t>7</w:t>
      </w:r>
      <w:r>
        <w:rPr>
          <w:rFonts w:ascii="Times New Roman"/>
          <w:szCs w:val="21"/>
        </w:rPr>
        <w:t xml:space="preserve"> 花果管理</w:t>
      </w:r>
    </w:p>
    <w:p>
      <w:pPr>
        <w:pStyle w:val="41"/>
        <w:spacing w:before="120" w:after="120" w:line="360" w:lineRule="auto"/>
        <w:rPr>
          <w:szCs w:val="21"/>
        </w:rPr>
      </w:pPr>
      <w:r>
        <w:rPr>
          <w:rFonts w:hint="eastAsia"/>
          <w:szCs w:val="21"/>
        </w:rPr>
        <w:t>7</w:t>
      </w:r>
      <w:r>
        <w:rPr>
          <w:szCs w:val="21"/>
        </w:rPr>
        <w:t>.1 授粉</w:t>
      </w:r>
    </w:p>
    <w:p>
      <w:pPr>
        <w:pStyle w:val="28"/>
        <w:spacing w:line="360" w:lineRule="auto"/>
        <w:ind w:firstLine="420"/>
      </w:pPr>
      <w:r>
        <w:rPr>
          <w:rFonts w:hint="eastAsia"/>
        </w:rPr>
        <w:t>轻简化栽培宜使用液体授粉或蜜蜂授粉的方式。授粉方法见附录A。</w:t>
      </w:r>
    </w:p>
    <w:p>
      <w:pPr>
        <w:pStyle w:val="41"/>
        <w:spacing w:before="120" w:after="120" w:line="360" w:lineRule="auto"/>
        <w:rPr>
          <w:szCs w:val="21"/>
        </w:rPr>
      </w:pPr>
      <w:r>
        <w:rPr>
          <w:rFonts w:hint="eastAsia"/>
          <w:szCs w:val="21"/>
        </w:rPr>
        <w:t>7</w:t>
      </w:r>
      <w:r>
        <w:rPr>
          <w:szCs w:val="21"/>
        </w:rPr>
        <w:t>.2 疏花疏果</w:t>
      </w:r>
    </w:p>
    <w:p>
      <w:pPr>
        <w:pStyle w:val="28"/>
        <w:adjustRightInd w:val="0"/>
        <w:snapToGrid w:val="0"/>
        <w:spacing w:line="360" w:lineRule="auto"/>
        <w:ind w:firstLine="403" w:firstLineChars="192"/>
        <w:rPr>
          <w:rFonts w:ascii="Times New Roman"/>
          <w:szCs w:val="21"/>
        </w:rPr>
      </w:pPr>
      <w:r>
        <w:rPr>
          <w:rFonts w:hint="eastAsia" w:ascii="Times New Roman"/>
          <w:szCs w:val="21"/>
        </w:rPr>
        <w:t>按</w:t>
      </w:r>
      <w:r>
        <w:rPr>
          <w:rFonts w:ascii="Times New Roman"/>
          <w:szCs w:val="21"/>
        </w:rPr>
        <w:t>照NY/T 442中的规定执行。</w:t>
      </w:r>
    </w:p>
    <w:p>
      <w:pPr>
        <w:pStyle w:val="41"/>
        <w:spacing w:before="120" w:after="120" w:line="360" w:lineRule="auto"/>
        <w:rPr>
          <w:szCs w:val="21"/>
        </w:rPr>
      </w:pPr>
      <w:r>
        <w:rPr>
          <w:rFonts w:hint="eastAsia"/>
          <w:szCs w:val="21"/>
        </w:rPr>
        <w:t>7</w:t>
      </w:r>
      <w:r>
        <w:rPr>
          <w:szCs w:val="21"/>
        </w:rPr>
        <w:t xml:space="preserve">.3 </w:t>
      </w:r>
      <w:r>
        <w:rPr>
          <w:rFonts w:hint="eastAsia"/>
          <w:szCs w:val="21"/>
        </w:rPr>
        <w:t>果实采收</w:t>
      </w:r>
    </w:p>
    <w:p>
      <w:pPr>
        <w:pStyle w:val="28"/>
        <w:adjustRightInd w:val="0"/>
        <w:snapToGrid w:val="0"/>
        <w:spacing w:line="360" w:lineRule="auto"/>
        <w:ind w:firstLine="0" w:firstLineChars="0"/>
        <w:rPr>
          <w:rFonts w:ascii="Times New Roman"/>
          <w:szCs w:val="21"/>
        </w:rPr>
      </w:pPr>
      <w:r>
        <w:rPr>
          <w:rFonts w:hint="eastAsia" w:ascii="Times New Roman"/>
          <w:szCs w:val="21"/>
        </w:rPr>
        <w:t xml:space="preserve"> </w:t>
      </w:r>
      <w:r>
        <w:rPr>
          <w:rFonts w:ascii="Times New Roman"/>
          <w:szCs w:val="21"/>
        </w:rPr>
        <w:t xml:space="preserve">   </w:t>
      </w:r>
      <w:r>
        <w:rPr>
          <w:rFonts w:hint="eastAsia" w:ascii="Times New Roman"/>
          <w:szCs w:val="21"/>
        </w:rPr>
        <w:t>采收前应对果实进行农药残留检测，农药残留量应符合GB 2763的规定。根据果实成熟度和不同用途通过自走式升降采摘机分期、分批采收。采收时轻拿轻放，防止果实碰压伤。</w:t>
      </w:r>
    </w:p>
    <w:p>
      <w:pPr>
        <w:pStyle w:val="27"/>
        <w:adjustRightInd w:val="0"/>
        <w:snapToGrid w:val="0"/>
        <w:spacing w:before="120" w:after="120" w:line="360" w:lineRule="auto"/>
        <w:rPr>
          <w:rFonts w:ascii="Times New Roman"/>
          <w:szCs w:val="21"/>
        </w:rPr>
      </w:pPr>
      <w:r>
        <w:rPr>
          <w:rFonts w:hint="eastAsia" w:ascii="Times New Roman"/>
          <w:szCs w:val="21"/>
        </w:rPr>
        <w:t>8</w:t>
      </w:r>
      <w:r>
        <w:rPr>
          <w:rFonts w:ascii="Times New Roman"/>
          <w:szCs w:val="21"/>
        </w:rPr>
        <w:t xml:space="preserve"> 病虫害防治</w:t>
      </w:r>
    </w:p>
    <w:p>
      <w:pPr>
        <w:pStyle w:val="41"/>
        <w:spacing w:before="120" w:after="120" w:line="360" w:lineRule="auto"/>
        <w:rPr>
          <w:szCs w:val="21"/>
        </w:rPr>
      </w:pPr>
      <w:r>
        <w:rPr>
          <w:rFonts w:hint="eastAsia"/>
          <w:szCs w:val="21"/>
        </w:rPr>
        <w:t>8</w:t>
      </w:r>
      <w:r>
        <w:rPr>
          <w:szCs w:val="21"/>
        </w:rPr>
        <w:t>.1防治原则</w:t>
      </w:r>
    </w:p>
    <w:p>
      <w:pPr>
        <w:pStyle w:val="28"/>
        <w:adjustRightInd w:val="0"/>
        <w:snapToGrid w:val="0"/>
        <w:spacing w:line="360" w:lineRule="auto"/>
        <w:ind w:firstLine="403" w:firstLineChars="192"/>
        <w:rPr>
          <w:rFonts w:ascii="Times New Roman"/>
          <w:szCs w:val="21"/>
        </w:rPr>
      </w:pPr>
      <w:r>
        <w:rPr>
          <w:rFonts w:ascii="Times New Roman"/>
          <w:szCs w:val="21"/>
        </w:rPr>
        <w:t>坚持</w:t>
      </w:r>
      <w:r>
        <w:rPr>
          <w:rFonts w:hint="eastAsia" w:ascii="Times New Roman"/>
          <w:szCs w:val="21"/>
        </w:rPr>
        <w:t>“</w:t>
      </w:r>
      <w:r>
        <w:rPr>
          <w:rFonts w:ascii="Times New Roman"/>
          <w:szCs w:val="21"/>
        </w:rPr>
        <w:t>预防为主，综合防治</w:t>
      </w:r>
      <w:r>
        <w:rPr>
          <w:rFonts w:hint="eastAsia" w:ascii="Times New Roman"/>
          <w:szCs w:val="21"/>
        </w:rPr>
        <w:t>”</w:t>
      </w:r>
      <w:r>
        <w:rPr>
          <w:rFonts w:ascii="Times New Roman"/>
          <w:szCs w:val="21"/>
        </w:rPr>
        <w:t>。根据病虫预测预报和防治指标，确定最佳施药日期，尽量减少喷药次数。</w:t>
      </w:r>
    </w:p>
    <w:p>
      <w:pPr>
        <w:pStyle w:val="41"/>
        <w:spacing w:before="120" w:after="120" w:line="360" w:lineRule="auto"/>
        <w:rPr>
          <w:szCs w:val="21"/>
        </w:rPr>
      </w:pPr>
      <w:r>
        <w:rPr>
          <w:rFonts w:hint="eastAsia"/>
          <w:szCs w:val="21"/>
        </w:rPr>
        <w:t>8</w:t>
      </w:r>
      <w:r>
        <w:rPr>
          <w:szCs w:val="21"/>
        </w:rPr>
        <w:t>.2防治方法</w:t>
      </w:r>
    </w:p>
    <w:p>
      <w:pPr>
        <w:pStyle w:val="41"/>
        <w:spacing w:before="120" w:beforeLines="50" w:after="120" w:afterLines="50" w:line="360" w:lineRule="auto"/>
      </w:pPr>
      <w:r>
        <w:rPr>
          <w:rFonts w:hint="eastAsia"/>
        </w:rPr>
        <w:t>8</w:t>
      </w:r>
      <w:r>
        <w:t>.2.1 农业防治</w:t>
      </w:r>
    </w:p>
    <w:p>
      <w:pPr>
        <w:pStyle w:val="28"/>
        <w:adjustRightInd w:val="0"/>
        <w:snapToGrid w:val="0"/>
        <w:spacing w:line="360" w:lineRule="auto"/>
        <w:ind w:firstLine="403" w:firstLineChars="192"/>
        <w:rPr>
          <w:rFonts w:ascii="Times New Roman"/>
          <w:szCs w:val="21"/>
        </w:rPr>
      </w:pPr>
      <w:r>
        <w:rPr>
          <w:rFonts w:ascii="Times New Roman"/>
          <w:szCs w:val="21"/>
        </w:rPr>
        <w:t>合理修剪，及时清除病虫为害的枯枝、落叶，减少病虫源；加强培育管理，增强树势，提高抗性，避免果园郁闭，采用宽行密株栽培，通风透光，创造有利于梨树生长而不利于病虫发生的环境条件。</w:t>
      </w:r>
    </w:p>
    <w:p>
      <w:pPr>
        <w:pStyle w:val="41"/>
        <w:spacing w:before="120" w:beforeLines="50" w:after="120" w:afterLines="50" w:line="360" w:lineRule="auto"/>
      </w:pPr>
      <w:r>
        <w:rPr>
          <w:rFonts w:hint="eastAsia"/>
        </w:rPr>
        <w:t>8</w:t>
      </w:r>
      <w:r>
        <w:t>.2.2 生物防治</w:t>
      </w:r>
    </w:p>
    <w:p>
      <w:pPr>
        <w:pStyle w:val="28"/>
        <w:adjustRightInd w:val="0"/>
        <w:snapToGrid w:val="0"/>
        <w:spacing w:line="360" w:lineRule="auto"/>
        <w:ind w:firstLine="403" w:firstLineChars="192"/>
        <w:rPr>
          <w:rFonts w:ascii="Times New Roman"/>
          <w:szCs w:val="21"/>
        </w:rPr>
      </w:pPr>
      <w:r>
        <w:rPr>
          <w:rFonts w:ascii="Times New Roman"/>
          <w:szCs w:val="21"/>
        </w:rPr>
        <w:t>实行园内生草等措施保护果园生态环境，保护和利用害虫天敌，人工释放寄生性、捕食性天敌，如赤眼蜂、瓢虫、捕食螨、草蛉、蜘蛛等。</w:t>
      </w:r>
      <w:r>
        <w:rPr>
          <w:rFonts w:hint="eastAsia" w:ascii="Times New Roman"/>
          <w:szCs w:val="21"/>
        </w:rPr>
        <w:t>每666.7 m²均匀悬挂50根迷向丝，诱杀梨小食心虫，花后即开始悬挂，早熟品种悬挂1次，中熟品种悬挂2次，悬挂高度在离地面1.7 m左右；其他措施应符合NY/T 2157的规定。</w:t>
      </w:r>
    </w:p>
    <w:p>
      <w:pPr>
        <w:pStyle w:val="41"/>
        <w:spacing w:before="120" w:beforeLines="50" w:after="120" w:afterLines="50" w:line="360" w:lineRule="auto"/>
      </w:pPr>
      <w:r>
        <w:rPr>
          <w:rFonts w:hint="eastAsia"/>
        </w:rPr>
        <w:t>8</w:t>
      </w:r>
      <w:r>
        <w:t>.2.3 物理防治</w:t>
      </w:r>
    </w:p>
    <w:p>
      <w:pPr>
        <w:pStyle w:val="28"/>
        <w:adjustRightInd w:val="0"/>
        <w:snapToGrid w:val="0"/>
        <w:spacing w:line="360" w:lineRule="auto"/>
        <w:ind w:firstLine="403" w:firstLineChars="192"/>
        <w:rPr>
          <w:rFonts w:ascii="Times New Roman"/>
          <w:szCs w:val="21"/>
        </w:rPr>
      </w:pPr>
      <w:r>
        <w:rPr>
          <w:rFonts w:ascii="Times New Roman"/>
          <w:szCs w:val="21"/>
        </w:rPr>
        <w:t>在成虫发生期，田间挂诱虫灯或性诱剂等诱杀。对有假死性的害虫，可采取人工捕杀。</w:t>
      </w:r>
    </w:p>
    <w:p>
      <w:pPr>
        <w:pStyle w:val="41"/>
        <w:spacing w:before="120" w:beforeLines="50" w:after="120" w:afterLines="50" w:line="360" w:lineRule="auto"/>
      </w:pPr>
      <w:r>
        <w:rPr>
          <w:rFonts w:hint="eastAsia"/>
        </w:rPr>
        <w:t>8</w:t>
      </w:r>
      <w:r>
        <w:t>.2.4 化学防治</w:t>
      </w:r>
    </w:p>
    <w:p>
      <w:pPr>
        <w:pStyle w:val="41"/>
        <w:spacing w:before="120" w:after="120" w:line="360" w:lineRule="auto"/>
        <w:ind w:firstLine="420"/>
        <w:rPr>
          <w:rFonts w:eastAsia="宋体"/>
          <w:szCs w:val="21"/>
        </w:rPr>
      </w:pPr>
      <w:r>
        <w:rPr>
          <w:rFonts w:eastAsia="宋体"/>
          <w:szCs w:val="21"/>
        </w:rPr>
        <w:t>优先选用生物源、矿物源农药。交替使用药剂，严格控制施药浓度，注意喷药质量，采用</w:t>
      </w:r>
      <w:r>
        <w:rPr>
          <w:rFonts w:hint="eastAsia" w:eastAsia="宋体"/>
          <w:szCs w:val="21"/>
        </w:rPr>
        <w:t>雾化</w:t>
      </w:r>
      <w:r>
        <w:rPr>
          <w:rFonts w:eastAsia="宋体"/>
          <w:szCs w:val="21"/>
        </w:rPr>
        <w:t>较好的</w:t>
      </w:r>
      <w:r>
        <w:rPr>
          <w:rFonts w:hint="eastAsia" w:eastAsia="宋体"/>
          <w:szCs w:val="21"/>
        </w:rPr>
        <w:t>自走式弥雾机、风送喷雾机等</w:t>
      </w:r>
      <w:r>
        <w:rPr>
          <w:rFonts w:eastAsia="宋体"/>
          <w:szCs w:val="21"/>
        </w:rPr>
        <w:t>器械，减少喷药次数。</w:t>
      </w:r>
      <w:r>
        <w:rPr>
          <w:rFonts w:hint="eastAsia" w:eastAsia="宋体"/>
          <w:szCs w:val="21"/>
        </w:rPr>
        <w:t>使用的农药种类、施药量、安全间隔期及施药方法应符合NY/T 393规定。</w:t>
      </w:r>
    </w:p>
    <w:p>
      <w:pPr>
        <w:pStyle w:val="41"/>
        <w:spacing w:before="120" w:after="120" w:line="360" w:lineRule="auto"/>
        <w:rPr>
          <w:szCs w:val="21"/>
        </w:rPr>
      </w:pPr>
      <w:r>
        <w:rPr>
          <w:rFonts w:hint="eastAsia"/>
          <w:szCs w:val="21"/>
        </w:rPr>
        <w:t>9</w:t>
      </w:r>
      <w:r>
        <w:rPr>
          <w:szCs w:val="21"/>
        </w:rPr>
        <w:t xml:space="preserve"> </w:t>
      </w:r>
      <w:r>
        <w:rPr>
          <w:rFonts w:hint="eastAsia"/>
          <w:szCs w:val="21"/>
        </w:rPr>
        <w:t>生产记录</w:t>
      </w:r>
    </w:p>
    <w:p>
      <w:pPr>
        <w:pStyle w:val="28"/>
        <w:adjustRightInd w:val="0"/>
        <w:snapToGrid w:val="0"/>
        <w:spacing w:line="360" w:lineRule="auto"/>
        <w:ind w:firstLine="403" w:firstLineChars="192"/>
        <w:rPr>
          <w:rFonts w:ascii="Times New Roman"/>
          <w:szCs w:val="21"/>
        </w:rPr>
      </w:pPr>
      <w:r>
        <w:rPr>
          <w:rFonts w:hint="eastAsia" w:ascii="Times New Roman"/>
          <w:szCs w:val="21"/>
        </w:rPr>
        <w:t>应建立完整的生产记录档案，记录种苗的选择、投入品的购买及使用情况、农事操作（土肥管理、病虫害防治、投入品、采收）、自然灾害性天气等内容。生产记录档案至少保存2年。</w:t>
      </w:r>
    </w:p>
    <w:p>
      <w:pPr>
        <w:pStyle w:val="28"/>
        <w:adjustRightInd w:val="0"/>
        <w:snapToGrid w:val="0"/>
        <w:spacing w:line="360" w:lineRule="auto"/>
        <w:ind w:firstLine="403" w:firstLineChars="192"/>
        <w:rPr>
          <w:rFonts w:ascii="Times New Roman"/>
          <w:szCs w:val="21"/>
        </w:rPr>
        <w:sectPr>
          <w:pgSz w:w="11906" w:h="16838"/>
          <w:pgMar w:top="1418" w:right="1134" w:bottom="1134" w:left="1418" w:header="1417" w:footer="992" w:gutter="0"/>
          <w:pgNumType w:start="1"/>
          <w:cols w:space="720" w:num="1"/>
          <w:docGrid w:linePitch="312" w:charSpace="0"/>
        </w:sectPr>
      </w:pPr>
    </w:p>
    <w:p>
      <w:pPr>
        <w:pStyle w:val="56"/>
        <w:numPr>
          <w:ilvl w:val="0"/>
          <w:numId w:val="3"/>
        </w:numPr>
        <w:spacing w:before="0" w:after="0" w:line="360" w:lineRule="auto"/>
        <w:rPr>
          <w:rFonts w:ascii="Times New Roman"/>
        </w:rPr>
      </w:pPr>
      <w:r>
        <w:rPr>
          <w:rFonts w:ascii="Times New Roman"/>
        </w:rPr>
        <w:br w:type="textWrapping"/>
      </w:r>
      <w:r>
        <w:rPr>
          <w:rFonts w:hint="eastAsia" w:ascii="Times New Roman"/>
        </w:rPr>
        <w:t>（资料性附录）</w:t>
      </w:r>
    </w:p>
    <w:p>
      <w:pPr>
        <w:pStyle w:val="28"/>
        <w:spacing w:line="360" w:lineRule="auto"/>
        <w:ind w:firstLine="420"/>
        <w:jc w:val="center"/>
        <w:rPr>
          <w:rFonts w:ascii="黑体" w:hAnsi="黑体" w:eastAsia="黑体"/>
        </w:rPr>
      </w:pPr>
      <w:r>
        <w:rPr>
          <w:rFonts w:hint="eastAsia" w:ascii="黑体" w:hAnsi="黑体" w:eastAsia="黑体"/>
        </w:rPr>
        <w:t>液体授粉和蜜蜂授粉方法</w:t>
      </w:r>
    </w:p>
    <w:p>
      <w:pPr>
        <w:pStyle w:val="41"/>
        <w:spacing w:before="120" w:beforeLines="50" w:after="120" w:afterLines="50" w:line="360" w:lineRule="auto"/>
      </w:pPr>
      <w:r>
        <w:rPr>
          <w:rFonts w:hint="eastAsia"/>
        </w:rPr>
        <w:t>A</w:t>
      </w:r>
      <w:r>
        <w:t xml:space="preserve">.1 </w:t>
      </w:r>
      <w:r>
        <w:rPr>
          <w:rFonts w:hint="eastAsia"/>
        </w:rPr>
        <w:t>液体授粉方法</w:t>
      </w:r>
    </w:p>
    <w:p>
      <w:pPr>
        <w:pStyle w:val="42"/>
        <w:spacing w:line="360" w:lineRule="auto"/>
        <w:jc w:val="both"/>
        <w:rPr>
          <w:rFonts w:eastAsia="宋体"/>
        </w:rPr>
      </w:pPr>
      <w:r>
        <w:rPr>
          <w:rFonts w:hint="eastAsia" w:eastAsia="宋体"/>
        </w:rPr>
        <w:t>A</w:t>
      </w:r>
      <w:r>
        <w:rPr>
          <w:rFonts w:eastAsia="宋体"/>
        </w:rPr>
        <w:t xml:space="preserve">.1.1 </w:t>
      </w:r>
      <w:r>
        <w:rPr>
          <w:rFonts w:hint="eastAsia" w:eastAsia="宋体"/>
        </w:rPr>
        <w:t>液体授粉营养液配方为：15%蔗糖+0.01%硼酸+0.09%果蔬钙+0.05%的黄原胶。花粉浓度为0.8 g/L，每666.7 m²用花粉5 g</w:t>
      </w:r>
      <w:r>
        <w:rPr>
          <w:rFonts w:hint="eastAsia"/>
        </w:rPr>
        <w:t>～</w:t>
      </w:r>
      <w:r>
        <w:rPr>
          <w:rFonts w:hint="eastAsia" w:eastAsia="宋体"/>
        </w:rPr>
        <w:t>10 g。</w:t>
      </w:r>
    </w:p>
    <w:p>
      <w:pPr>
        <w:pStyle w:val="42"/>
        <w:spacing w:line="360" w:lineRule="auto"/>
        <w:jc w:val="both"/>
        <w:rPr>
          <w:rFonts w:eastAsia="宋体"/>
        </w:rPr>
      </w:pPr>
      <w:r>
        <w:rPr>
          <w:rFonts w:hint="eastAsia" w:eastAsia="宋体"/>
        </w:rPr>
        <w:t>A</w:t>
      </w:r>
      <w:r>
        <w:rPr>
          <w:rFonts w:eastAsia="宋体"/>
        </w:rPr>
        <w:t xml:space="preserve">.1.2 </w:t>
      </w:r>
      <w:r>
        <w:rPr>
          <w:rFonts w:hint="eastAsia" w:eastAsia="宋体"/>
        </w:rPr>
        <w:t>液体授粉营养液配置步骤：a</w:t>
      </w:r>
      <w:r>
        <w:rPr>
          <w:rFonts w:eastAsia="宋体"/>
        </w:rPr>
        <w:t xml:space="preserve">. </w:t>
      </w:r>
      <w:r>
        <w:rPr>
          <w:rFonts w:hint="eastAsia" w:eastAsia="宋体"/>
        </w:rPr>
        <w:t>取60 kg纯净水（</w:t>
      </w:r>
      <w:r>
        <w:rPr>
          <w:rFonts w:eastAsia="宋体"/>
        </w:rPr>
        <w:t>pH</w:t>
      </w:r>
      <w:r>
        <w:rPr>
          <w:rFonts w:hint="eastAsia" w:eastAsia="宋体"/>
        </w:rPr>
        <w:t>值</w:t>
      </w:r>
      <w:r>
        <w:rPr>
          <w:rFonts w:eastAsia="宋体"/>
        </w:rPr>
        <w:t xml:space="preserve"> 6 ~ 7</w:t>
      </w:r>
      <w:r>
        <w:rPr>
          <w:rFonts w:hint="eastAsia" w:eastAsia="宋体"/>
        </w:rPr>
        <w:t>）倒入120 L容器中，称取5 kg纯净水放在容器内，用加热设备烧开。</w:t>
      </w:r>
      <w:r>
        <w:rPr>
          <w:rFonts w:eastAsia="宋体"/>
        </w:rPr>
        <w:t xml:space="preserve">b. </w:t>
      </w:r>
      <w:r>
        <w:rPr>
          <w:rFonts w:hint="eastAsia" w:eastAsia="宋体"/>
        </w:rPr>
        <w:t>称取20 g黄原胶缓慢撒入5 kg沸腾水中，边洒黄原胶，边用漏勺不断搅拌至溶解（黄原胶不易溶解，必须在100</w:t>
      </w:r>
      <w:r>
        <w:rPr>
          <w:rFonts w:hint="eastAsia" w:ascii="宋体" w:hAnsi="宋体" w:eastAsia="宋体" w:cs="宋体"/>
        </w:rPr>
        <w:t>℃</w:t>
      </w:r>
      <w:r>
        <w:rPr>
          <w:rFonts w:hint="eastAsia" w:eastAsia="宋体"/>
        </w:rPr>
        <w:t>沸水的条件下，缓慢加入，不断搅拌，否则容易结块）。黄原胶溶解后用纱布过滤，倒入120 L大桶中，冷却至室温。c</w:t>
      </w:r>
      <w:r>
        <w:rPr>
          <w:rFonts w:eastAsia="宋体"/>
        </w:rPr>
        <w:t xml:space="preserve">. </w:t>
      </w:r>
      <w:r>
        <w:rPr>
          <w:rFonts w:hint="eastAsia" w:eastAsia="宋体"/>
        </w:rPr>
        <w:t>取25 kg纯净水用加热设备加热，然后称取13 kg白糖，加入水中，用漏勺搅拌，充分溶解，冷却至室温。</w:t>
      </w:r>
      <w:r>
        <w:rPr>
          <w:rFonts w:eastAsia="宋体"/>
        </w:rPr>
        <w:t xml:space="preserve">d. </w:t>
      </w:r>
      <w:r>
        <w:rPr>
          <w:rFonts w:hint="eastAsia" w:eastAsia="宋体"/>
        </w:rPr>
        <w:t>称取</w:t>
      </w:r>
      <w:r>
        <w:rPr>
          <w:rFonts w:eastAsia="宋体"/>
        </w:rPr>
        <w:t>9</w:t>
      </w:r>
      <w:r>
        <w:rPr>
          <w:rFonts w:hint="eastAsia" w:eastAsia="宋体"/>
        </w:rPr>
        <w:t>0 g果蔬钙，倒入纸杯中，加少量水，用筷子搅拌溶解。</w:t>
      </w:r>
      <w:r>
        <w:rPr>
          <w:rFonts w:eastAsia="宋体"/>
        </w:rPr>
        <w:t xml:space="preserve">e. </w:t>
      </w:r>
      <w:r>
        <w:rPr>
          <w:rFonts w:hint="eastAsia" w:eastAsia="宋体"/>
        </w:rPr>
        <w:t>称取10</w:t>
      </w:r>
      <w:r>
        <w:rPr>
          <w:rFonts w:eastAsia="宋体"/>
        </w:rPr>
        <w:t xml:space="preserve"> </w:t>
      </w:r>
      <w:r>
        <w:rPr>
          <w:rFonts w:hint="eastAsia" w:eastAsia="宋体"/>
        </w:rPr>
        <w:t>g硼酸倒入纸杯，加少量水，用筷子搅拌溶解。</w:t>
      </w:r>
      <w:r>
        <w:rPr>
          <w:rFonts w:eastAsia="宋体"/>
        </w:rPr>
        <w:t xml:space="preserve">f. </w:t>
      </w:r>
      <w:r>
        <w:rPr>
          <w:rFonts w:hint="eastAsia" w:eastAsia="宋体"/>
        </w:rPr>
        <w:t>将配制好的白糖水溶液，果蔬钙溶液，硼酸溶液依次加入冷却的黄原胶溶液的大桶中，然后加自来水定容至100 L。用漏勺充分搅拌配制成营养液。</w:t>
      </w:r>
    </w:p>
    <w:p>
      <w:pPr>
        <w:pStyle w:val="28"/>
        <w:spacing w:line="360" w:lineRule="auto"/>
        <w:ind w:firstLine="0" w:firstLineChars="0"/>
        <w:rPr>
          <w:rFonts w:ascii="Times New Roman"/>
        </w:rPr>
      </w:pPr>
      <w:r>
        <w:rPr>
          <w:rFonts w:hint="eastAsia" w:ascii="Times New Roman"/>
        </w:rPr>
        <w:t>A.</w:t>
      </w:r>
      <w:r>
        <w:rPr>
          <w:rFonts w:ascii="Times New Roman"/>
        </w:rPr>
        <w:t xml:space="preserve">1.3 </w:t>
      </w:r>
      <w:r>
        <w:rPr>
          <w:rFonts w:hint="eastAsia" w:ascii="Times New Roman"/>
        </w:rPr>
        <w:t>取约300 ml配置好的营养液装入500 ml的矿泉水瓶中，称取7</w:t>
      </w:r>
      <w:r>
        <w:rPr>
          <w:rFonts w:ascii="Times New Roman"/>
        </w:rPr>
        <w:t xml:space="preserve"> </w:t>
      </w:r>
      <w:r>
        <w:rPr>
          <w:rFonts w:hint="eastAsia" w:ascii="Times New Roman"/>
        </w:rPr>
        <w:t>g</w:t>
      </w:r>
      <w:r>
        <w:rPr>
          <w:rFonts w:ascii="Times New Roman"/>
        </w:rPr>
        <w:t>～</w:t>
      </w:r>
      <w:r>
        <w:rPr>
          <w:rFonts w:hint="eastAsia" w:ascii="Times New Roman"/>
        </w:rPr>
        <w:t>12</w:t>
      </w:r>
      <w:r>
        <w:rPr>
          <w:rFonts w:ascii="Times New Roman"/>
        </w:rPr>
        <w:t xml:space="preserve"> </w:t>
      </w:r>
      <w:r>
        <w:rPr>
          <w:rFonts w:hint="eastAsia" w:ascii="Times New Roman"/>
        </w:rPr>
        <w:t>g花粉（萌发率&gt;</w:t>
      </w:r>
      <w:r>
        <w:rPr>
          <w:rFonts w:ascii="Times New Roman"/>
        </w:rPr>
        <w:t>50%</w:t>
      </w:r>
      <w:r>
        <w:rPr>
          <w:rFonts w:hint="eastAsia" w:ascii="Times New Roman"/>
        </w:rPr>
        <w:t>）加入其中，用手快速摇匀使花粉均匀地分散在营养液中作为花粉母液。</w:t>
      </w:r>
    </w:p>
    <w:p>
      <w:pPr>
        <w:pStyle w:val="28"/>
        <w:spacing w:line="360" w:lineRule="auto"/>
        <w:ind w:firstLine="0" w:firstLineChars="0"/>
        <w:rPr>
          <w:rFonts w:ascii="Times New Roman"/>
        </w:rPr>
      </w:pPr>
      <w:r>
        <w:rPr>
          <w:rFonts w:hint="eastAsia" w:ascii="Times New Roman"/>
        </w:rPr>
        <w:t>A.</w:t>
      </w:r>
      <w:r>
        <w:rPr>
          <w:rFonts w:ascii="Times New Roman"/>
        </w:rPr>
        <w:t xml:space="preserve">1.4 </w:t>
      </w:r>
      <w:r>
        <w:rPr>
          <w:rFonts w:hint="eastAsia" w:ascii="Times New Roman"/>
        </w:rPr>
        <w:t>从配置好的授粉液中取15 L倒入喷雾器中。再加入配置好的花粉母液，摇匀后授粉喷雾。授粉液应现配现用。</w:t>
      </w:r>
    </w:p>
    <w:p>
      <w:pPr>
        <w:pStyle w:val="41"/>
        <w:spacing w:before="120" w:beforeLines="50" w:after="120" w:afterLines="50" w:line="360" w:lineRule="auto"/>
      </w:pPr>
      <w:r>
        <w:rPr>
          <w:rFonts w:hint="eastAsia"/>
        </w:rPr>
        <w:t>A</w:t>
      </w:r>
      <w:r>
        <w:t xml:space="preserve">.2 </w:t>
      </w:r>
      <w:r>
        <w:rPr>
          <w:rFonts w:hint="eastAsia"/>
        </w:rPr>
        <w:t>蜜蜂授粉</w:t>
      </w:r>
    </w:p>
    <w:p>
      <w:pPr>
        <w:pStyle w:val="28"/>
        <w:spacing w:line="360" w:lineRule="auto"/>
        <w:ind w:firstLine="420"/>
        <w:rPr>
          <w:rFonts w:ascii="Times New Roman"/>
        </w:rPr>
      </w:pPr>
      <w:r>
        <w:rPr>
          <w:rFonts w:hint="eastAsia" w:ascii="Times New Roman"/>
        </w:rPr>
        <w:t>梨树开花25%左右时把蜂群运到场地。对于初次放蜂梨园每666.7 m²放蜂600头～700头，连续多年放蜂的梨园每666.7 m²放400头～500头即可。</w:t>
      </w:r>
    </w:p>
    <w:p>
      <w:pPr>
        <w:pStyle w:val="28"/>
        <w:adjustRightInd w:val="0"/>
        <w:snapToGrid w:val="0"/>
        <w:spacing w:line="360" w:lineRule="auto"/>
        <w:ind w:firstLine="403" w:firstLineChars="192"/>
        <w:rPr>
          <w:rFonts w:ascii="Times New Roman"/>
          <w:szCs w:val="21"/>
        </w:rPr>
      </w:pPr>
    </w:p>
    <w:p>
      <w:pPr>
        <w:framePr w:hSpace="181" w:vSpace="181" w:wrap="around" w:vAnchor="text" w:hAnchor="page" w:x="4601" w:y="1"/>
        <w:rPr>
          <w:szCs w:val="24"/>
        </w:rPr>
      </w:pPr>
      <w:r>
        <w:rPr>
          <w:szCs w:val="24"/>
        </w:rPr>
        <w:t>____________________________</w:t>
      </w:r>
    </w:p>
    <w:p>
      <w:pPr>
        <w:pStyle w:val="28"/>
        <w:adjustRightInd w:val="0"/>
        <w:snapToGrid w:val="0"/>
        <w:spacing w:line="360" w:lineRule="auto"/>
        <w:ind w:firstLine="403" w:firstLineChars="192"/>
        <w:rPr>
          <w:rFonts w:ascii="Times New Roman"/>
          <w:szCs w:val="21"/>
        </w:rPr>
      </w:pPr>
    </w:p>
    <w:p>
      <w:pPr>
        <w:pStyle w:val="28"/>
        <w:adjustRightInd w:val="0"/>
        <w:snapToGrid w:val="0"/>
        <w:spacing w:line="360" w:lineRule="auto"/>
        <w:ind w:firstLine="403" w:firstLineChars="192"/>
        <w:rPr>
          <w:rFonts w:ascii="Times New Roman"/>
          <w:szCs w:val="21"/>
        </w:rPr>
      </w:pPr>
    </w:p>
    <w:p>
      <w:pPr>
        <w:pStyle w:val="28"/>
        <w:adjustRightInd w:val="0"/>
        <w:snapToGrid w:val="0"/>
        <w:spacing w:line="360" w:lineRule="auto"/>
        <w:ind w:firstLine="403" w:firstLineChars="192"/>
        <w:rPr>
          <w:rFonts w:ascii="Times New Roman"/>
          <w:szCs w:val="21"/>
        </w:rPr>
      </w:pPr>
    </w:p>
    <w:sectPr>
      <w:pgSz w:w="11906" w:h="16838"/>
      <w:pgMar w:top="1418" w:right="1134" w:bottom="1134" w:left="1418" w:header="1417" w:footer="992" w:gutter="0"/>
      <w:pgNumType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rPr>
        <w:rStyle w:val="16"/>
      </w:rPr>
    </w:pPr>
    <w:r>
      <w:fldChar w:fldCharType="begin"/>
    </w:r>
    <w:r>
      <w:rPr>
        <w:rStyle w:val="16"/>
      </w:rPr>
      <w:instrText xml:space="preserve">PAGE  </w:instrText>
    </w:r>
    <w:r>
      <w:fldChar w:fldCharType="separate"/>
    </w:r>
    <w:r>
      <w:rPr>
        <w:rStyle w:val="16"/>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6"/>
      </w:rPr>
    </w:pPr>
    <w:r>
      <w:fldChar w:fldCharType="begin"/>
    </w:r>
    <w:r>
      <w:rPr>
        <w:rStyle w:val="16"/>
      </w:rPr>
      <w:instrText xml:space="preserve">PAGE  </w:instrText>
    </w:r>
    <w:r>
      <w:fldChar w:fldCharType="separate"/>
    </w:r>
    <w:r>
      <w:rPr>
        <w:rStyle w:val="16"/>
      </w:rPr>
      <w:t>II</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 PAGE   \* MERGEFORMAT </w:instrText>
    </w:r>
    <w:r>
      <w:fldChar w:fldCharType="separate"/>
    </w:r>
    <w:r>
      <w:rPr>
        <w:lang w:val="zh-CN"/>
      </w:rPr>
      <w:t>1</w:t>
    </w:r>
    <w:r>
      <w:fldChar w:fldCharType="end"/>
    </w:r>
  </w:p>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8"/>
      <w:rPr>
        <w:rFonts w:ascii="黑体" w:hAnsi="黑体" w:eastAsia="黑体"/>
      </w:rPr>
    </w:pPr>
    <w:r>
      <w:rPr>
        <w:rFonts w:ascii="黑体" w:hAnsi="黑体" w:eastAsia="黑体"/>
      </w:rPr>
      <w:t>DB</w:t>
    </w:r>
    <w:r>
      <w:rPr>
        <w:rFonts w:hint="eastAsia" w:ascii="黑体" w:hAnsi="黑体" w:eastAsia="黑体"/>
      </w:rPr>
      <w:t>32</w:t>
    </w:r>
    <w:r>
      <w:rPr>
        <w:rFonts w:ascii="黑体" w:hAnsi="黑体" w:eastAsia="黑体"/>
      </w:rPr>
      <w:t>/</w:t>
    </w:r>
    <w:r>
      <w:rPr>
        <w:rFonts w:hint="eastAsia" w:ascii="黑体" w:hAnsi="黑体" w:eastAsia="黑体"/>
      </w:rPr>
      <w:t>T</w:t>
    </w:r>
    <w:r>
      <w:rPr>
        <w:rFonts w:hint="eastAsia" w:eastAsia="黑体"/>
      </w:rPr>
      <w:t xml:space="preserve"> </w:t>
    </w:r>
    <w:r>
      <w:rPr>
        <w:rFonts w:eastAsia="黑体"/>
      </w:rPr>
      <w:t>××××—</w:t>
    </w:r>
    <w:r>
      <w:rPr>
        <w:rFonts w:hint="eastAsia" w:ascii="黑体" w:hAnsi="黑体" w:eastAsia="黑体"/>
      </w:rPr>
      <w:t>20</w:t>
    </w:r>
    <w:r>
      <w:rPr>
        <w:rFonts w:ascii="黑体" w:hAnsi="黑体" w:eastAsia="黑体"/>
      </w:rPr>
      <w:t>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9C7592"/>
    <w:multiLevelType w:val="multilevel"/>
    <w:tmpl w:val="4B9C7592"/>
    <w:lvl w:ilvl="0" w:tentative="0">
      <w:start w:val="3"/>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57D3FBC"/>
    <w:multiLevelType w:val="multilevel"/>
    <w:tmpl w:val="657D3FBC"/>
    <w:lvl w:ilvl="0" w:tentative="0">
      <w:start w:val="1"/>
      <w:numFmt w:val="upperLetter"/>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76933334"/>
    <w:multiLevelType w:val="multilevel"/>
    <w:tmpl w:val="76933334"/>
    <w:lvl w:ilvl="0" w:tentative="0">
      <w:start w:val="1"/>
      <w:numFmt w:val="none"/>
      <w:pStyle w:val="54"/>
      <w:lvlText w:val="%1——"/>
      <w:lvlJc w:val="left"/>
      <w:pPr>
        <w:tabs>
          <w:tab w:val="left" w:pos="1140"/>
        </w:tabs>
        <w:ind w:left="840" w:hanging="420"/>
      </w:pPr>
      <w:rPr>
        <w:rFonts w:hint="eastAsia"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noLineBreaksAfter w:lang="zh-CN" w:val="([{·‘“〈《「『【〔〖（．［｛￡￥"/>
  <w:noLineBreaksBefore w:lang="zh-CN" w:val="!),.:;?]}¨·ˇˉ―‖’”…∶、。〃々〉》」』】〕〗！＂＇），．：；？］｀｜｝～￠"/>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F17242"/>
    <w:rsid w:val="0000208D"/>
    <w:rsid w:val="00006255"/>
    <w:rsid w:val="00006FB7"/>
    <w:rsid w:val="00011933"/>
    <w:rsid w:val="0001208B"/>
    <w:rsid w:val="00015AEF"/>
    <w:rsid w:val="00015B50"/>
    <w:rsid w:val="000170EB"/>
    <w:rsid w:val="00020E49"/>
    <w:rsid w:val="0002248A"/>
    <w:rsid w:val="00023C6D"/>
    <w:rsid w:val="00025027"/>
    <w:rsid w:val="00025A2A"/>
    <w:rsid w:val="00026981"/>
    <w:rsid w:val="00026C8C"/>
    <w:rsid w:val="00026CAA"/>
    <w:rsid w:val="00026DA0"/>
    <w:rsid w:val="000305E1"/>
    <w:rsid w:val="00030EA8"/>
    <w:rsid w:val="0003262C"/>
    <w:rsid w:val="00037410"/>
    <w:rsid w:val="0004051A"/>
    <w:rsid w:val="0004311B"/>
    <w:rsid w:val="00043F70"/>
    <w:rsid w:val="00044166"/>
    <w:rsid w:val="00044EE7"/>
    <w:rsid w:val="00046C58"/>
    <w:rsid w:val="00047660"/>
    <w:rsid w:val="00051031"/>
    <w:rsid w:val="000528E4"/>
    <w:rsid w:val="00054E20"/>
    <w:rsid w:val="00055720"/>
    <w:rsid w:val="0006010D"/>
    <w:rsid w:val="000665EB"/>
    <w:rsid w:val="00066D75"/>
    <w:rsid w:val="00070070"/>
    <w:rsid w:val="00070A3E"/>
    <w:rsid w:val="00072FD1"/>
    <w:rsid w:val="0008202C"/>
    <w:rsid w:val="00082792"/>
    <w:rsid w:val="00082A95"/>
    <w:rsid w:val="000844A5"/>
    <w:rsid w:val="00084D6F"/>
    <w:rsid w:val="000850D4"/>
    <w:rsid w:val="0008528B"/>
    <w:rsid w:val="00085688"/>
    <w:rsid w:val="0009023E"/>
    <w:rsid w:val="000928BA"/>
    <w:rsid w:val="000928F6"/>
    <w:rsid w:val="00096AE8"/>
    <w:rsid w:val="000A1AB7"/>
    <w:rsid w:val="000A3AE0"/>
    <w:rsid w:val="000A4EAD"/>
    <w:rsid w:val="000A59BB"/>
    <w:rsid w:val="000A6F77"/>
    <w:rsid w:val="000B1CD7"/>
    <w:rsid w:val="000B49D8"/>
    <w:rsid w:val="000B55F9"/>
    <w:rsid w:val="000B5750"/>
    <w:rsid w:val="000B5A54"/>
    <w:rsid w:val="000B5D2A"/>
    <w:rsid w:val="000C2B5D"/>
    <w:rsid w:val="000C333E"/>
    <w:rsid w:val="000C3E10"/>
    <w:rsid w:val="000C5E08"/>
    <w:rsid w:val="000D0644"/>
    <w:rsid w:val="000D1FF9"/>
    <w:rsid w:val="000D2AE3"/>
    <w:rsid w:val="000D7BBF"/>
    <w:rsid w:val="000E63FD"/>
    <w:rsid w:val="000E69DD"/>
    <w:rsid w:val="000F081C"/>
    <w:rsid w:val="000F1A30"/>
    <w:rsid w:val="000F2711"/>
    <w:rsid w:val="000F43BA"/>
    <w:rsid w:val="000F576A"/>
    <w:rsid w:val="000F7CE2"/>
    <w:rsid w:val="00102146"/>
    <w:rsid w:val="001024A3"/>
    <w:rsid w:val="001047C8"/>
    <w:rsid w:val="00105819"/>
    <w:rsid w:val="00107D67"/>
    <w:rsid w:val="00107DA6"/>
    <w:rsid w:val="00110E4D"/>
    <w:rsid w:val="00112439"/>
    <w:rsid w:val="00113165"/>
    <w:rsid w:val="001164D7"/>
    <w:rsid w:val="00121E94"/>
    <w:rsid w:val="00122772"/>
    <w:rsid w:val="00124772"/>
    <w:rsid w:val="001302DD"/>
    <w:rsid w:val="00130BF2"/>
    <w:rsid w:val="00132320"/>
    <w:rsid w:val="001351F8"/>
    <w:rsid w:val="00135399"/>
    <w:rsid w:val="00137FC1"/>
    <w:rsid w:val="00145CC3"/>
    <w:rsid w:val="0014756E"/>
    <w:rsid w:val="001541CD"/>
    <w:rsid w:val="00162286"/>
    <w:rsid w:val="001632BE"/>
    <w:rsid w:val="00163645"/>
    <w:rsid w:val="001673A8"/>
    <w:rsid w:val="0017253D"/>
    <w:rsid w:val="001738FE"/>
    <w:rsid w:val="00173AFA"/>
    <w:rsid w:val="00173C69"/>
    <w:rsid w:val="001744EB"/>
    <w:rsid w:val="001774BC"/>
    <w:rsid w:val="00182CA9"/>
    <w:rsid w:val="00183021"/>
    <w:rsid w:val="00184275"/>
    <w:rsid w:val="00184D12"/>
    <w:rsid w:val="00187E6F"/>
    <w:rsid w:val="00192046"/>
    <w:rsid w:val="00192D4F"/>
    <w:rsid w:val="001A0C3D"/>
    <w:rsid w:val="001A124C"/>
    <w:rsid w:val="001A3BA0"/>
    <w:rsid w:val="001A3FE8"/>
    <w:rsid w:val="001A57CB"/>
    <w:rsid w:val="001A62C5"/>
    <w:rsid w:val="001A712E"/>
    <w:rsid w:val="001B7DAF"/>
    <w:rsid w:val="001C0703"/>
    <w:rsid w:val="001C0AF3"/>
    <w:rsid w:val="001C1802"/>
    <w:rsid w:val="001C1A7B"/>
    <w:rsid w:val="001C1C03"/>
    <w:rsid w:val="001C55AD"/>
    <w:rsid w:val="001D11E1"/>
    <w:rsid w:val="001D5390"/>
    <w:rsid w:val="001D571E"/>
    <w:rsid w:val="001D6C59"/>
    <w:rsid w:val="001D76AC"/>
    <w:rsid w:val="001E03D6"/>
    <w:rsid w:val="001E070E"/>
    <w:rsid w:val="001E0AFA"/>
    <w:rsid w:val="001E20B2"/>
    <w:rsid w:val="001E283F"/>
    <w:rsid w:val="001E2FC9"/>
    <w:rsid w:val="001E4A3A"/>
    <w:rsid w:val="001E527A"/>
    <w:rsid w:val="001F024A"/>
    <w:rsid w:val="001F0AAD"/>
    <w:rsid w:val="001F0EDA"/>
    <w:rsid w:val="001F23BE"/>
    <w:rsid w:val="001F43F8"/>
    <w:rsid w:val="001F56D5"/>
    <w:rsid w:val="001F5BEC"/>
    <w:rsid w:val="001F6AEB"/>
    <w:rsid w:val="001F7878"/>
    <w:rsid w:val="00202883"/>
    <w:rsid w:val="00203509"/>
    <w:rsid w:val="002047DE"/>
    <w:rsid w:val="00210C7C"/>
    <w:rsid w:val="00213FD7"/>
    <w:rsid w:val="00216137"/>
    <w:rsid w:val="00217871"/>
    <w:rsid w:val="0022156D"/>
    <w:rsid w:val="0022236A"/>
    <w:rsid w:val="00223CE0"/>
    <w:rsid w:val="00224D13"/>
    <w:rsid w:val="00230EC6"/>
    <w:rsid w:val="002361C4"/>
    <w:rsid w:val="002424FA"/>
    <w:rsid w:val="00243A69"/>
    <w:rsid w:val="0024547E"/>
    <w:rsid w:val="002460F4"/>
    <w:rsid w:val="0025460C"/>
    <w:rsid w:val="00261147"/>
    <w:rsid w:val="00265695"/>
    <w:rsid w:val="00265C46"/>
    <w:rsid w:val="002708DB"/>
    <w:rsid w:val="0027260C"/>
    <w:rsid w:val="00273D27"/>
    <w:rsid w:val="002754A3"/>
    <w:rsid w:val="00276442"/>
    <w:rsid w:val="00276ED1"/>
    <w:rsid w:val="00277DB8"/>
    <w:rsid w:val="00281875"/>
    <w:rsid w:val="0028293C"/>
    <w:rsid w:val="00283957"/>
    <w:rsid w:val="0028524E"/>
    <w:rsid w:val="00285F42"/>
    <w:rsid w:val="00286C3B"/>
    <w:rsid w:val="002871C1"/>
    <w:rsid w:val="002872BF"/>
    <w:rsid w:val="002879B5"/>
    <w:rsid w:val="002900CA"/>
    <w:rsid w:val="00292E4C"/>
    <w:rsid w:val="0029627D"/>
    <w:rsid w:val="00297872"/>
    <w:rsid w:val="00297DEC"/>
    <w:rsid w:val="002A0099"/>
    <w:rsid w:val="002A1106"/>
    <w:rsid w:val="002A2F17"/>
    <w:rsid w:val="002A3DFE"/>
    <w:rsid w:val="002A5BAF"/>
    <w:rsid w:val="002A5F01"/>
    <w:rsid w:val="002B012D"/>
    <w:rsid w:val="002B107A"/>
    <w:rsid w:val="002B24FF"/>
    <w:rsid w:val="002B4276"/>
    <w:rsid w:val="002B4ACF"/>
    <w:rsid w:val="002B6641"/>
    <w:rsid w:val="002B7A78"/>
    <w:rsid w:val="002C025D"/>
    <w:rsid w:val="002C0C34"/>
    <w:rsid w:val="002C177B"/>
    <w:rsid w:val="002C3F1A"/>
    <w:rsid w:val="002C462A"/>
    <w:rsid w:val="002C4B8F"/>
    <w:rsid w:val="002C4C92"/>
    <w:rsid w:val="002C5242"/>
    <w:rsid w:val="002C6046"/>
    <w:rsid w:val="002C66D6"/>
    <w:rsid w:val="002C6B13"/>
    <w:rsid w:val="002D4183"/>
    <w:rsid w:val="002D5BFE"/>
    <w:rsid w:val="002F0044"/>
    <w:rsid w:val="002F1462"/>
    <w:rsid w:val="002F6549"/>
    <w:rsid w:val="002F6797"/>
    <w:rsid w:val="003016CA"/>
    <w:rsid w:val="003016DA"/>
    <w:rsid w:val="003023C9"/>
    <w:rsid w:val="003034A1"/>
    <w:rsid w:val="00306545"/>
    <w:rsid w:val="003127D6"/>
    <w:rsid w:val="0031283E"/>
    <w:rsid w:val="0032180A"/>
    <w:rsid w:val="003223EA"/>
    <w:rsid w:val="0032674B"/>
    <w:rsid w:val="003278EA"/>
    <w:rsid w:val="0033374D"/>
    <w:rsid w:val="00334C7C"/>
    <w:rsid w:val="00335ACE"/>
    <w:rsid w:val="00337115"/>
    <w:rsid w:val="00341731"/>
    <w:rsid w:val="00352E06"/>
    <w:rsid w:val="0035397F"/>
    <w:rsid w:val="0035729B"/>
    <w:rsid w:val="00362AC6"/>
    <w:rsid w:val="00363FF0"/>
    <w:rsid w:val="00365681"/>
    <w:rsid w:val="00367111"/>
    <w:rsid w:val="00371488"/>
    <w:rsid w:val="003734ED"/>
    <w:rsid w:val="00373B52"/>
    <w:rsid w:val="00375227"/>
    <w:rsid w:val="003803F7"/>
    <w:rsid w:val="00380758"/>
    <w:rsid w:val="00384346"/>
    <w:rsid w:val="0038461F"/>
    <w:rsid w:val="00385088"/>
    <w:rsid w:val="0038594E"/>
    <w:rsid w:val="00390398"/>
    <w:rsid w:val="003921AD"/>
    <w:rsid w:val="0039482D"/>
    <w:rsid w:val="00396D70"/>
    <w:rsid w:val="003A0E3F"/>
    <w:rsid w:val="003A1A50"/>
    <w:rsid w:val="003A2BB9"/>
    <w:rsid w:val="003A475A"/>
    <w:rsid w:val="003A52F1"/>
    <w:rsid w:val="003A6544"/>
    <w:rsid w:val="003B0247"/>
    <w:rsid w:val="003B610F"/>
    <w:rsid w:val="003B661D"/>
    <w:rsid w:val="003C77E8"/>
    <w:rsid w:val="003D6D29"/>
    <w:rsid w:val="003E3B03"/>
    <w:rsid w:val="003E433D"/>
    <w:rsid w:val="003E4D9A"/>
    <w:rsid w:val="003E543D"/>
    <w:rsid w:val="003E5A5D"/>
    <w:rsid w:val="003E6962"/>
    <w:rsid w:val="003E6E62"/>
    <w:rsid w:val="003E7EE1"/>
    <w:rsid w:val="003F0303"/>
    <w:rsid w:val="003F1287"/>
    <w:rsid w:val="003F2B64"/>
    <w:rsid w:val="003F534E"/>
    <w:rsid w:val="003F59B5"/>
    <w:rsid w:val="00402C87"/>
    <w:rsid w:val="00402EBB"/>
    <w:rsid w:val="00404D27"/>
    <w:rsid w:val="00404EF9"/>
    <w:rsid w:val="00406AA9"/>
    <w:rsid w:val="004116ED"/>
    <w:rsid w:val="00413C2D"/>
    <w:rsid w:val="00415416"/>
    <w:rsid w:val="00415702"/>
    <w:rsid w:val="00416BA4"/>
    <w:rsid w:val="00421519"/>
    <w:rsid w:val="004236D3"/>
    <w:rsid w:val="00424120"/>
    <w:rsid w:val="00424A8B"/>
    <w:rsid w:val="00425CB4"/>
    <w:rsid w:val="00426B0C"/>
    <w:rsid w:val="00426B72"/>
    <w:rsid w:val="00431257"/>
    <w:rsid w:val="00436C3A"/>
    <w:rsid w:val="0044328F"/>
    <w:rsid w:val="0044451C"/>
    <w:rsid w:val="00446B95"/>
    <w:rsid w:val="004504A9"/>
    <w:rsid w:val="004506B5"/>
    <w:rsid w:val="00450998"/>
    <w:rsid w:val="00451348"/>
    <w:rsid w:val="004546C3"/>
    <w:rsid w:val="004548A6"/>
    <w:rsid w:val="00456112"/>
    <w:rsid w:val="00460E74"/>
    <w:rsid w:val="0046212E"/>
    <w:rsid w:val="004623F2"/>
    <w:rsid w:val="00465DB1"/>
    <w:rsid w:val="00467323"/>
    <w:rsid w:val="004716DA"/>
    <w:rsid w:val="00472690"/>
    <w:rsid w:val="00472715"/>
    <w:rsid w:val="00480080"/>
    <w:rsid w:val="004836F2"/>
    <w:rsid w:val="00483A74"/>
    <w:rsid w:val="00483D4D"/>
    <w:rsid w:val="004850FE"/>
    <w:rsid w:val="004938AE"/>
    <w:rsid w:val="00493D4C"/>
    <w:rsid w:val="00494341"/>
    <w:rsid w:val="00497656"/>
    <w:rsid w:val="004A358F"/>
    <w:rsid w:val="004A4D2D"/>
    <w:rsid w:val="004A5F53"/>
    <w:rsid w:val="004A66A1"/>
    <w:rsid w:val="004A6D11"/>
    <w:rsid w:val="004B3BE9"/>
    <w:rsid w:val="004B74CE"/>
    <w:rsid w:val="004C3AD4"/>
    <w:rsid w:val="004D248F"/>
    <w:rsid w:val="004D5DE4"/>
    <w:rsid w:val="004D6511"/>
    <w:rsid w:val="004E0235"/>
    <w:rsid w:val="004E2AE9"/>
    <w:rsid w:val="004E3CE5"/>
    <w:rsid w:val="004F0CE6"/>
    <w:rsid w:val="004F492C"/>
    <w:rsid w:val="004F5952"/>
    <w:rsid w:val="004F6054"/>
    <w:rsid w:val="005033AF"/>
    <w:rsid w:val="005039A4"/>
    <w:rsid w:val="005061CF"/>
    <w:rsid w:val="00507FD8"/>
    <w:rsid w:val="0051163E"/>
    <w:rsid w:val="005134A7"/>
    <w:rsid w:val="00513A25"/>
    <w:rsid w:val="00513D7A"/>
    <w:rsid w:val="005167B3"/>
    <w:rsid w:val="00524E5F"/>
    <w:rsid w:val="00525E44"/>
    <w:rsid w:val="00532772"/>
    <w:rsid w:val="00536E58"/>
    <w:rsid w:val="00537F7C"/>
    <w:rsid w:val="0054290B"/>
    <w:rsid w:val="00544EC8"/>
    <w:rsid w:val="00545E47"/>
    <w:rsid w:val="005475DC"/>
    <w:rsid w:val="005504CE"/>
    <w:rsid w:val="0055091C"/>
    <w:rsid w:val="00555010"/>
    <w:rsid w:val="00556DD3"/>
    <w:rsid w:val="005574B6"/>
    <w:rsid w:val="00561B96"/>
    <w:rsid w:val="005679E5"/>
    <w:rsid w:val="00567A12"/>
    <w:rsid w:val="00582BB2"/>
    <w:rsid w:val="00584B5C"/>
    <w:rsid w:val="00585BE9"/>
    <w:rsid w:val="0058604A"/>
    <w:rsid w:val="00586D23"/>
    <w:rsid w:val="00587827"/>
    <w:rsid w:val="0059325D"/>
    <w:rsid w:val="005936D5"/>
    <w:rsid w:val="00595562"/>
    <w:rsid w:val="005963D6"/>
    <w:rsid w:val="00596A28"/>
    <w:rsid w:val="00596CE1"/>
    <w:rsid w:val="005A1B71"/>
    <w:rsid w:val="005A1E3C"/>
    <w:rsid w:val="005A210A"/>
    <w:rsid w:val="005A4A66"/>
    <w:rsid w:val="005B399D"/>
    <w:rsid w:val="005B518F"/>
    <w:rsid w:val="005C1629"/>
    <w:rsid w:val="005C3CE1"/>
    <w:rsid w:val="005C53DF"/>
    <w:rsid w:val="005C6952"/>
    <w:rsid w:val="005C7A38"/>
    <w:rsid w:val="005D0C31"/>
    <w:rsid w:val="005D31CF"/>
    <w:rsid w:val="005D5C9C"/>
    <w:rsid w:val="005E4B09"/>
    <w:rsid w:val="005F12EF"/>
    <w:rsid w:val="005F33D5"/>
    <w:rsid w:val="005F4979"/>
    <w:rsid w:val="005F4AF2"/>
    <w:rsid w:val="005F4F0E"/>
    <w:rsid w:val="005F5D3F"/>
    <w:rsid w:val="005F646F"/>
    <w:rsid w:val="006001FC"/>
    <w:rsid w:val="00604CDA"/>
    <w:rsid w:val="00604EEA"/>
    <w:rsid w:val="006067FD"/>
    <w:rsid w:val="00607031"/>
    <w:rsid w:val="006120EB"/>
    <w:rsid w:val="00612154"/>
    <w:rsid w:val="00613815"/>
    <w:rsid w:val="0061432B"/>
    <w:rsid w:val="006161DC"/>
    <w:rsid w:val="00620603"/>
    <w:rsid w:val="00621C30"/>
    <w:rsid w:val="006232DD"/>
    <w:rsid w:val="00624511"/>
    <w:rsid w:val="00627021"/>
    <w:rsid w:val="00631461"/>
    <w:rsid w:val="00633306"/>
    <w:rsid w:val="00634A4F"/>
    <w:rsid w:val="006444AD"/>
    <w:rsid w:val="006445DB"/>
    <w:rsid w:val="00646484"/>
    <w:rsid w:val="006470BB"/>
    <w:rsid w:val="0065225E"/>
    <w:rsid w:val="00653CD1"/>
    <w:rsid w:val="00653FE0"/>
    <w:rsid w:val="006563D4"/>
    <w:rsid w:val="00656F31"/>
    <w:rsid w:val="00662E8F"/>
    <w:rsid w:val="00663FED"/>
    <w:rsid w:val="00666E09"/>
    <w:rsid w:val="00667E79"/>
    <w:rsid w:val="006705ED"/>
    <w:rsid w:val="006714BF"/>
    <w:rsid w:val="006733B0"/>
    <w:rsid w:val="006747E8"/>
    <w:rsid w:val="00680690"/>
    <w:rsid w:val="006808F4"/>
    <w:rsid w:val="006814A8"/>
    <w:rsid w:val="006843BA"/>
    <w:rsid w:val="0068612D"/>
    <w:rsid w:val="00686B4F"/>
    <w:rsid w:val="00686ED8"/>
    <w:rsid w:val="0069454E"/>
    <w:rsid w:val="006969A2"/>
    <w:rsid w:val="00697B3A"/>
    <w:rsid w:val="00697F8F"/>
    <w:rsid w:val="006A0144"/>
    <w:rsid w:val="006A1645"/>
    <w:rsid w:val="006A3DA3"/>
    <w:rsid w:val="006A5D1C"/>
    <w:rsid w:val="006B12B6"/>
    <w:rsid w:val="006B34C7"/>
    <w:rsid w:val="006B6D51"/>
    <w:rsid w:val="006C0F4E"/>
    <w:rsid w:val="006C1E74"/>
    <w:rsid w:val="006C3FF4"/>
    <w:rsid w:val="006C57D5"/>
    <w:rsid w:val="006C592D"/>
    <w:rsid w:val="006C704B"/>
    <w:rsid w:val="006C78E9"/>
    <w:rsid w:val="006D3EE9"/>
    <w:rsid w:val="006D4DB7"/>
    <w:rsid w:val="006D6D30"/>
    <w:rsid w:val="006E00D3"/>
    <w:rsid w:val="006E0967"/>
    <w:rsid w:val="006E0B22"/>
    <w:rsid w:val="006E1DB0"/>
    <w:rsid w:val="006E263E"/>
    <w:rsid w:val="006E65B4"/>
    <w:rsid w:val="006F2A37"/>
    <w:rsid w:val="006F366C"/>
    <w:rsid w:val="007014DD"/>
    <w:rsid w:val="0070264D"/>
    <w:rsid w:val="00705770"/>
    <w:rsid w:val="007073E2"/>
    <w:rsid w:val="00711838"/>
    <w:rsid w:val="0071190B"/>
    <w:rsid w:val="007120C2"/>
    <w:rsid w:val="00717F57"/>
    <w:rsid w:val="00721DC6"/>
    <w:rsid w:val="007235C5"/>
    <w:rsid w:val="007362F0"/>
    <w:rsid w:val="00736791"/>
    <w:rsid w:val="007421CD"/>
    <w:rsid w:val="00742496"/>
    <w:rsid w:val="0074705E"/>
    <w:rsid w:val="00747484"/>
    <w:rsid w:val="00752EFD"/>
    <w:rsid w:val="00756BD5"/>
    <w:rsid w:val="00763856"/>
    <w:rsid w:val="00763FE2"/>
    <w:rsid w:val="00767DFA"/>
    <w:rsid w:val="00770073"/>
    <w:rsid w:val="007701E4"/>
    <w:rsid w:val="00773147"/>
    <w:rsid w:val="00775BEF"/>
    <w:rsid w:val="00781923"/>
    <w:rsid w:val="00782FB3"/>
    <w:rsid w:val="00784586"/>
    <w:rsid w:val="007874CE"/>
    <w:rsid w:val="00793C0E"/>
    <w:rsid w:val="00793D7F"/>
    <w:rsid w:val="00793DDA"/>
    <w:rsid w:val="00793F1A"/>
    <w:rsid w:val="007A216D"/>
    <w:rsid w:val="007A4893"/>
    <w:rsid w:val="007A562E"/>
    <w:rsid w:val="007A6D65"/>
    <w:rsid w:val="007B1360"/>
    <w:rsid w:val="007C0A68"/>
    <w:rsid w:val="007C220E"/>
    <w:rsid w:val="007C2643"/>
    <w:rsid w:val="007C4FB6"/>
    <w:rsid w:val="007C72CA"/>
    <w:rsid w:val="007D1912"/>
    <w:rsid w:val="007D3A51"/>
    <w:rsid w:val="007E0A7F"/>
    <w:rsid w:val="007E25E3"/>
    <w:rsid w:val="007E34FA"/>
    <w:rsid w:val="007E4303"/>
    <w:rsid w:val="007E4F3E"/>
    <w:rsid w:val="007E7BC9"/>
    <w:rsid w:val="007E7F42"/>
    <w:rsid w:val="007F009F"/>
    <w:rsid w:val="007F0E9B"/>
    <w:rsid w:val="007F3B84"/>
    <w:rsid w:val="007F3D77"/>
    <w:rsid w:val="007F4C1D"/>
    <w:rsid w:val="008001A9"/>
    <w:rsid w:val="0080096E"/>
    <w:rsid w:val="00803A29"/>
    <w:rsid w:val="00806CA1"/>
    <w:rsid w:val="00807831"/>
    <w:rsid w:val="00810770"/>
    <w:rsid w:val="00811BBE"/>
    <w:rsid w:val="0081287C"/>
    <w:rsid w:val="008128C3"/>
    <w:rsid w:val="00815910"/>
    <w:rsid w:val="00816487"/>
    <w:rsid w:val="00817A13"/>
    <w:rsid w:val="008201A9"/>
    <w:rsid w:val="00827EA9"/>
    <w:rsid w:val="00831979"/>
    <w:rsid w:val="00831DAC"/>
    <w:rsid w:val="00833FFA"/>
    <w:rsid w:val="00834F6F"/>
    <w:rsid w:val="0084579F"/>
    <w:rsid w:val="008477A0"/>
    <w:rsid w:val="0085121C"/>
    <w:rsid w:val="008648C8"/>
    <w:rsid w:val="00865AED"/>
    <w:rsid w:val="00867F52"/>
    <w:rsid w:val="00874D79"/>
    <w:rsid w:val="00874FE0"/>
    <w:rsid w:val="00875525"/>
    <w:rsid w:val="00876E73"/>
    <w:rsid w:val="00877E7C"/>
    <w:rsid w:val="008804B0"/>
    <w:rsid w:val="0088058B"/>
    <w:rsid w:val="008819F5"/>
    <w:rsid w:val="00884598"/>
    <w:rsid w:val="008858B6"/>
    <w:rsid w:val="00892176"/>
    <w:rsid w:val="00897571"/>
    <w:rsid w:val="008A10B1"/>
    <w:rsid w:val="008A25A1"/>
    <w:rsid w:val="008A3012"/>
    <w:rsid w:val="008A7E79"/>
    <w:rsid w:val="008B1D95"/>
    <w:rsid w:val="008B1EEC"/>
    <w:rsid w:val="008B663C"/>
    <w:rsid w:val="008B755A"/>
    <w:rsid w:val="008C04B9"/>
    <w:rsid w:val="008C3486"/>
    <w:rsid w:val="008C3F4F"/>
    <w:rsid w:val="008C6985"/>
    <w:rsid w:val="008D3153"/>
    <w:rsid w:val="008D7826"/>
    <w:rsid w:val="008D78E5"/>
    <w:rsid w:val="008E241B"/>
    <w:rsid w:val="008E59F4"/>
    <w:rsid w:val="008E5B98"/>
    <w:rsid w:val="008F164B"/>
    <w:rsid w:val="008F25FD"/>
    <w:rsid w:val="008F4E49"/>
    <w:rsid w:val="008F6DAE"/>
    <w:rsid w:val="00902771"/>
    <w:rsid w:val="0090384D"/>
    <w:rsid w:val="0090552D"/>
    <w:rsid w:val="00913B7C"/>
    <w:rsid w:val="009141E7"/>
    <w:rsid w:val="00914442"/>
    <w:rsid w:val="009151A7"/>
    <w:rsid w:val="00920386"/>
    <w:rsid w:val="00923CB9"/>
    <w:rsid w:val="009242E7"/>
    <w:rsid w:val="0093021E"/>
    <w:rsid w:val="0094492F"/>
    <w:rsid w:val="00945A5C"/>
    <w:rsid w:val="009468BB"/>
    <w:rsid w:val="00950525"/>
    <w:rsid w:val="009521DD"/>
    <w:rsid w:val="00953367"/>
    <w:rsid w:val="00953BCB"/>
    <w:rsid w:val="0095696B"/>
    <w:rsid w:val="009576B9"/>
    <w:rsid w:val="00957766"/>
    <w:rsid w:val="00960313"/>
    <w:rsid w:val="00965674"/>
    <w:rsid w:val="009663F4"/>
    <w:rsid w:val="0096657B"/>
    <w:rsid w:val="00966CC3"/>
    <w:rsid w:val="00973741"/>
    <w:rsid w:val="00973EE1"/>
    <w:rsid w:val="009802C2"/>
    <w:rsid w:val="009803DD"/>
    <w:rsid w:val="0098112C"/>
    <w:rsid w:val="0098319C"/>
    <w:rsid w:val="0098499C"/>
    <w:rsid w:val="00990B05"/>
    <w:rsid w:val="00991EBB"/>
    <w:rsid w:val="00991FC2"/>
    <w:rsid w:val="009923C9"/>
    <w:rsid w:val="009924E3"/>
    <w:rsid w:val="00993394"/>
    <w:rsid w:val="00997FF8"/>
    <w:rsid w:val="009A0167"/>
    <w:rsid w:val="009A071E"/>
    <w:rsid w:val="009A3C0A"/>
    <w:rsid w:val="009A3F55"/>
    <w:rsid w:val="009A4476"/>
    <w:rsid w:val="009A4742"/>
    <w:rsid w:val="009A7C9C"/>
    <w:rsid w:val="009B35EC"/>
    <w:rsid w:val="009B3A19"/>
    <w:rsid w:val="009C2DEE"/>
    <w:rsid w:val="009D1C37"/>
    <w:rsid w:val="009D3337"/>
    <w:rsid w:val="009D5B72"/>
    <w:rsid w:val="009D744E"/>
    <w:rsid w:val="009D7710"/>
    <w:rsid w:val="009D7C3D"/>
    <w:rsid w:val="009E1A9A"/>
    <w:rsid w:val="009E21B6"/>
    <w:rsid w:val="009E27CF"/>
    <w:rsid w:val="009E2C54"/>
    <w:rsid w:val="009E4750"/>
    <w:rsid w:val="009F4101"/>
    <w:rsid w:val="00A05C3D"/>
    <w:rsid w:val="00A13A73"/>
    <w:rsid w:val="00A1476C"/>
    <w:rsid w:val="00A160BC"/>
    <w:rsid w:val="00A21B29"/>
    <w:rsid w:val="00A23FAD"/>
    <w:rsid w:val="00A30A55"/>
    <w:rsid w:val="00A35D44"/>
    <w:rsid w:val="00A365D5"/>
    <w:rsid w:val="00A36E30"/>
    <w:rsid w:val="00A36F43"/>
    <w:rsid w:val="00A41513"/>
    <w:rsid w:val="00A43E12"/>
    <w:rsid w:val="00A43F55"/>
    <w:rsid w:val="00A45C8A"/>
    <w:rsid w:val="00A45F68"/>
    <w:rsid w:val="00A467BE"/>
    <w:rsid w:val="00A50308"/>
    <w:rsid w:val="00A51EA4"/>
    <w:rsid w:val="00A549E7"/>
    <w:rsid w:val="00A55438"/>
    <w:rsid w:val="00A566FC"/>
    <w:rsid w:val="00A5735B"/>
    <w:rsid w:val="00A613E6"/>
    <w:rsid w:val="00A61865"/>
    <w:rsid w:val="00A623C5"/>
    <w:rsid w:val="00A65A4F"/>
    <w:rsid w:val="00A65C4E"/>
    <w:rsid w:val="00A72459"/>
    <w:rsid w:val="00A7334F"/>
    <w:rsid w:val="00A73E79"/>
    <w:rsid w:val="00A75AC7"/>
    <w:rsid w:val="00A8021A"/>
    <w:rsid w:val="00A82115"/>
    <w:rsid w:val="00A84EA4"/>
    <w:rsid w:val="00A92F16"/>
    <w:rsid w:val="00A92F3C"/>
    <w:rsid w:val="00A96D02"/>
    <w:rsid w:val="00AA243C"/>
    <w:rsid w:val="00AA36D9"/>
    <w:rsid w:val="00AA5E1D"/>
    <w:rsid w:val="00AB029D"/>
    <w:rsid w:val="00AB0CA2"/>
    <w:rsid w:val="00AB1190"/>
    <w:rsid w:val="00AB39FB"/>
    <w:rsid w:val="00AB4266"/>
    <w:rsid w:val="00AB6607"/>
    <w:rsid w:val="00AC0802"/>
    <w:rsid w:val="00AC1E7F"/>
    <w:rsid w:val="00AC34BC"/>
    <w:rsid w:val="00AC3724"/>
    <w:rsid w:val="00AC3E5E"/>
    <w:rsid w:val="00AC5F53"/>
    <w:rsid w:val="00AC798A"/>
    <w:rsid w:val="00AD0426"/>
    <w:rsid w:val="00AD2197"/>
    <w:rsid w:val="00AD3FC5"/>
    <w:rsid w:val="00AD67F4"/>
    <w:rsid w:val="00AE1CC8"/>
    <w:rsid w:val="00AE6468"/>
    <w:rsid w:val="00AE78E2"/>
    <w:rsid w:val="00AF05DF"/>
    <w:rsid w:val="00AF06DA"/>
    <w:rsid w:val="00AF246A"/>
    <w:rsid w:val="00AF7548"/>
    <w:rsid w:val="00B02B38"/>
    <w:rsid w:val="00B02D6F"/>
    <w:rsid w:val="00B03C56"/>
    <w:rsid w:val="00B12DEF"/>
    <w:rsid w:val="00B12F0F"/>
    <w:rsid w:val="00B1572D"/>
    <w:rsid w:val="00B17FEE"/>
    <w:rsid w:val="00B211D6"/>
    <w:rsid w:val="00B22A94"/>
    <w:rsid w:val="00B24B09"/>
    <w:rsid w:val="00B256B8"/>
    <w:rsid w:val="00B31D2D"/>
    <w:rsid w:val="00B33270"/>
    <w:rsid w:val="00B35129"/>
    <w:rsid w:val="00B37AA0"/>
    <w:rsid w:val="00B4255A"/>
    <w:rsid w:val="00B439D4"/>
    <w:rsid w:val="00B44541"/>
    <w:rsid w:val="00B44E09"/>
    <w:rsid w:val="00B46E72"/>
    <w:rsid w:val="00B525FF"/>
    <w:rsid w:val="00B5460D"/>
    <w:rsid w:val="00B548B6"/>
    <w:rsid w:val="00B55023"/>
    <w:rsid w:val="00B56B36"/>
    <w:rsid w:val="00B56F44"/>
    <w:rsid w:val="00B57A7C"/>
    <w:rsid w:val="00B57F78"/>
    <w:rsid w:val="00B6047A"/>
    <w:rsid w:val="00B605FD"/>
    <w:rsid w:val="00B60887"/>
    <w:rsid w:val="00B61B6C"/>
    <w:rsid w:val="00B64492"/>
    <w:rsid w:val="00B66C98"/>
    <w:rsid w:val="00B72666"/>
    <w:rsid w:val="00B76450"/>
    <w:rsid w:val="00B764FC"/>
    <w:rsid w:val="00B803D1"/>
    <w:rsid w:val="00B817D7"/>
    <w:rsid w:val="00B83458"/>
    <w:rsid w:val="00B87BD5"/>
    <w:rsid w:val="00B9175C"/>
    <w:rsid w:val="00BA0359"/>
    <w:rsid w:val="00BA2E79"/>
    <w:rsid w:val="00BA3A40"/>
    <w:rsid w:val="00BA4ACF"/>
    <w:rsid w:val="00BA7BC6"/>
    <w:rsid w:val="00BB0184"/>
    <w:rsid w:val="00BB092B"/>
    <w:rsid w:val="00BB6596"/>
    <w:rsid w:val="00BC09D9"/>
    <w:rsid w:val="00BC3F65"/>
    <w:rsid w:val="00BD2B2B"/>
    <w:rsid w:val="00BD5820"/>
    <w:rsid w:val="00BE20F5"/>
    <w:rsid w:val="00BE25E3"/>
    <w:rsid w:val="00BE2DCA"/>
    <w:rsid w:val="00BE33F8"/>
    <w:rsid w:val="00BE4CC1"/>
    <w:rsid w:val="00BE598D"/>
    <w:rsid w:val="00BE6702"/>
    <w:rsid w:val="00BE77C5"/>
    <w:rsid w:val="00BF059A"/>
    <w:rsid w:val="00BF0AA2"/>
    <w:rsid w:val="00BF2190"/>
    <w:rsid w:val="00BF468C"/>
    <w:rsid w:val="00C050AF"/>
    <w:rsid w:val="00C06363"/>
    <w:rsid w:val="00C072A3"/>
    <w:rsid w:val="00C0736E"/>
    <w:rsid w:val="00C07832"/>
    <w:rsid w:val="00C115C7"/>
    <w:rsid w:val="00C11D47"/>
    <w:rsid w:val="00C14288"/>
    <w:rsid w:val="00C170E1"/>
    <w:rsid w:val="00C216C6"/>
    <w:rsid w:val="00C27A20"/>
    <w:rsid w:val="00C30772"/>
    <w:rsid w:val="00C31198"/>
    <w:rsid w:val="00C35713"/>
    <w:rsid w:val="00C35F71"/>
    <w:rsid w:val="00C41105"/>
    <w:rsid w:val="00C41E70"/>
    <w:rsid w:val="00C42948"/>
    <w:rsid w:val="00C42A62"/>
    <w:rsid w:val="00C42AC4"/>
    <w:rsid w:val="00C46ABE"/>
    <w:rsid w:val="00C47FAE"/>
    <w:rsid w:val="00C50BBE"/>
    <w:rsid w:val="00C50D44"/>
    <w:rsid w:val="00C55E7C"/>
    <w:rsid w:val="00C5618A"/>
    <w:rsid w:val="00C65CBB"/>
    <w:rsid w:val="00C65E9F"/>
    <w:rsid w:val="00C6771E"/>
    <w:rsid w:val="00C67B8C"/>
    <w:rsid w:val="00C71457"/>
    <w:rsid w:val="00C76971"/>
    <w:rsid w:val="00C8725F"/>
    <w:rsid w:val="00C87BA6"/>
    <w:rsid w:val="00C90745"/>
    <w:rsid w:val="00C917EE"/>
    <w:rsid w:val="00C93D52"/>
    <w:rsid w:val="00C945EB"/>
    <w:rsid w:val="00C958A7"/>
    <w:rsid w:val="00C972C5"/>
    <w:rsid w:val="00CA0205"/>
    <w:rsid w:val="00CA0581"/>
    <w:rsid w:val="00CA4995"/>
    <w:rsid w:val="00CA4DAE"/>
    <w:rsid w:val="00CA7101"/>
    <w:rsid w:val="00CA7EA9"/>
    <w:rsid w:val="00CB1B2F"/>
    <w:rsid w:val="00CB32E5"/>
    <w:rsid w:val="00CB429A"/>
    <w:rsid w:val="00CB5A58"/>
    <w:rsid w:val="00CB77C5"/>
    <w:rsid w:val="00CB7EDE"/>
    <w:rsid w:val="00CC03D3"/>
    <w:rsid w:val="00CC29BC"/>
    <w:rsid w:val="00CC40F7"/>
    <w:rsid w:val="00CC618B"/>
    <w:rsid w:val="00CC6DE3"/>
    <w:rsid w:val="00CD1029"/>
    <w:rsid w:val="00CD3D1D"/>
    <w:rsid w:val="00CD59BE"/>
    <w:rsid w:val="00CD5CB7"/>
    <w:rsid w:val="00CD5E42"/>
    <w:rsid w:val="00CD7E4A"/>
    <w:rsid w:val="00CE0D5F"/>
    <w:rsid w:val="00CE2EE4"/>
    <w:rsid w:val="00CE3396"/>
    <w:rsid w:val="00CE38B1"/>
    <w:rsid w:val="00CE61F5"/>
    <w:rsid w:val="00CE6497"/>
    <w:rsid w:val="00CE6B89"/>
    <w:rsid w:val="00CF121D"/>
    <w:rsid w:val="00CF2C1A"/>
    <w:rsid w:val="00CF2FE3"/>
    <w:rsid w:val="00D03EBD"/>
    <w:rsid w:val="00D06872"/>
    <w:rsid w:val="00D12B3F"/>
    <w:rsid w:val="00D13109"/>
    <w:rsid w:val="00D14567"/>
    <w:rsid w:val="00D150D9"/>
    <w:rsid w:val="00D22736"/>
    <w:rsid w:val="00D2464D"/>
    <w:rsid w:val="00D24B71"/>
    <w:rsid w:val="00D26E0B"/>
    <w:rsid w:val="00D27C10"/>
    <w:rsid w:val="00D3270D"/>
    <w:rsid w:val="00D4157A"/>
    <w:rsid w:val="00D416BF"/>
    <w:rsid w:val="00D42237"/>
    <w:rsid w:val="00D46786"/>
    <w:rsid w:val="00D544AA"/>
    <w:rsid w:val="00D607D5"/>
    <w:rsid w:val="00D61BFE"/>
    <w:rsid w:val="00D645EB"/>
    <w:rsid w:val="00D64978"/>
    <w:rsid w:val="00D674A4"/>
    <w:rsid w:val="00D6790E"/>
    <w:rsid w:val="00D67BC5"/>
    <w:rsid w:val="00D7385E"/>
    <w:rsid w:val="00D74D1F"/>
    <w:rsid w:val="00D75473"/>
    <w:rsid w:val="00D75D2E"/>
    <w:rsid w:val="00D77217"/>
    <w:rsid w:val="00D779E3"/>
    <w:rsid w:val="00D82A9A"/>
    <w:rsid w:val="00D8322A"/>
    <w:rsid w:val="00D84F48"/>
    <w:rsid w:val="00D85BF4"/>
    <w:rsid w:val="00D91272"/>
    <w:rsid w:val="00D94D3A"/>
    <w:rsid w:val="00D957B7"/>
    <w:rsid w:val="00DA1228"/>
    <w:rsid w:val="00DA2E7B"/>
    <w:rsid w:val="00DB08E2"/>
    <w:rsid w:val="00DB2DE4"/>
    <w:rsid w:val="00DC00B0"/>
    <w:rsid w:val="00DC0BCB"/>
    <w:rsid w:val="00DC1E55"/>
    <w:rsid w:val="00DC2CD5"/>
    <w:rsid w:val="00DC4C13"/>
    <w:rsid w:val="00DC6451"/>
    <w:rsid w:val="00DC7FD1"/>
    <w:rsid w:val="00DD1A49"/>
    <w:rsid w:val="00DD2668"/>
    <w:rsid w:val="00DD2F4B"/>
    <w:rsid w:val="00DD319F"/>
    <w:rsid w:val="00DD4EC5"/>
    <w:rsid w:val="00DD5506"/>
    <w:rsid w:val="00DD58FA"/>
    <w:rsid w:val="00DE4590"/>
    <w:rsid w:val="00DE4B10"/>
    <w:rsid w:val="00DF07E8"/>
    <w:rsid w:val="00DF1676"/>
    <w:rsid w:val="00DF2506"/>
    <w:rsid w:val="00DF6F49"/>
    <w:rsid w:val="00DF7C15"/>
    <w:rsid w:val="00E00DBE"/>
    <w:rsid w:val="00E03D6C"/>
    <w:rsid w:val="00E107DD"/>
    <w:rsid w:val="00E11A7B"/>
    <w:rsid w:val="00E138A4"/>
    <w:rsid w:val="00E1447D"/>
    <w:rsid w:val="00E203A2"/>
    <w:rsid w:val="00E2291C"/>
    <w:rsid w:val="00E2480B"/>
    <w:rsid w:val="00E25673"/>
    <w:rsid w:val="00E266EF"/>
    <w:rsid w:val="00E27745"/>
    <w:rsid w:val="00E36A7F"/>
    <w:rsid w:val="00E37838"/>
    <w:rsid w:val="00E40C7F"/>
    <w:rsid w:val="00E41BEE"/>
    <w:rsid w:val="00E51A87"/>
    <w:rsid w:val="00E52240"/>
    <w:rsid w:val="00E538C2"/>
    <w:rsid w:val="00E53FB2"/>
    <w:rsid w:val="00E5434C"/>
    <w:rsid w:val="00E56612"/>
    <w:rsid w:val="00E5767F"/>
    <w:rsid w:val="00E57ED2"/>
    <w:rsid w:val="00E6327A"/>
    <w:rsid w:val="00E6569B"/>
    <w:rsid w:val="00E81346"/>
    <w:rsid w:val="00E81D11"/>
    <w:rsid w:val="00E8587A"/>
    <w:rsid w:val="00EA07E9"/>
    <w:rsid w:val="00EA09A9"/>
    <w:rsid w:val="00EA0DB1"/>
    <w:rsid w:val="00EA1786"/>
    <w:rsid w:val="00EA1875"/>
    <w:rsid w:val="00EA28A8"/>
    <w:rsid w:val="00EA6B25"/>
    <w:rsid w:val="00EB3304"/>
    <w:rsid w:val="00EB5CBF"/>
    <w:rsid w:val="00EB7406"/>
    <w:rsid w:val="00EC0031"/>
    <w:rsid w:val="00EC0642"/>
    <w:rsid w:val="00EC3EA9"/>
    <w:rsid w:val="00EC4B5E"/>
    <w:rsid w:val="00EC58EF"/>
    <w:rsid w:val="00EC7F09"/>
    <w:rsid w:val="00ED0E35"/>
    <w:rsid w:val="00ED5215"/>
    <w:rsid w:val="00ED60FD"/>
    <w:rsid w:val="00EE0759"/>
    <w:rsid w:val="00EF0B14"/>
    <w:rsid w:val="00F0318F"/>
    <w:rsid w:val="00F0356D"/>
    <w:rsid w:val="00F03FBB"/>
    <w:rsid w:val="00F041AA"/>
    <w:rsid w:val="00F060E7"/>
    <w:rsid w:val="00F061CD"/>
    <w:rsid w:val="00F1089E"/>
    <w:rsid w:val="00F10A16"/>
    <w:rsid w:val="00F111FF"/>
    <w:rsid w:val="00F1323D"/>
    <w:rsid w:val="00F14468"/>
    <w:rsid w:val="00F1657F"/>
    <w:rsid w:val="00F17242"/>
    <w:rsid w:val="00F173E4"/>
    <w:rsid w:val="00F1792D"/>
    <w:rsid w:val="00F328A2"/>
    <w:rsid w:val="00F36CA7"/>
    <w:rsid w:val="00F36F6E"/>
    <w:rsid w:val="00F406C2"/>
    <w:rsid w:val="00F410C0"/>
    <w:rsid w:val="00F41B3C"/>
    <w:rsid w:val="00F45A8A"/>
    <w:rsid w:val="00F55D48"/>
    <w:rsid w:val="00F56E2F"/>
    <w:rsid w:val="00F56EAE"/>
    <w:rsid w:val="00F601A6"/>
    <w:rsid w:val="00F634AD"/>
    <w:rsid w:val="00F644F7"/>
    <w:rsid w:val="00F67F7F"/>
    <w:rsid w:val="00F717C8"/>
    <w:rsid w:val="00F719F8"/>
    <w:rsid w:val="00F74989"/>
    <w:rsid w:val="00F751D5"/>
    <w:rsid w:val="00F7736A"/>
    <w:rsid w:val="00F911A0"/>
    <w:rsid w:val="00FA1068"/>
    <w:rsid w:val="00FA21B0"/>
    <w:rsid w:val="00FA75F9"/>
    <w:rsid w:val="00FB44A2"/>
    <w:rsid w:val="00FB56EE"/>
    <w:rsid w:val="00FC202E"/>
    <w:rsid w:val="00FC38B1"/>
    <w:rsid w:val="00FC6085"/>
    <w:rsid w:val="00FD01B8"/>
    <w:rsid w:val="00FD0218"/>
    <w:rsid w:val="00FD0A64"/>
    <w:rsid w:val="00FD1087"/>
    <w:rsid w:val="00FD6D6B"/>
    <w:rsid w:val="00FE5D49"/>
    <w:rsid w:val="00FE6AE9"/>
    <w:rsid w:val="00FE727F"/>
    <w:rsid w:val="00FE7938"/>
    <w:rsid w:val="00FF26F0"/>
    <w:rsid w:val="00FF6825"/>
    <w:rsid w:val="0CC225E8"/>
    <w:rsid w:val="10D93FD8"/>
    <w:rsid w:val="1AEF66FE"/>
    <w:rsid w:val="1F506FDD"/>
    <w:rsid w:val="3F7A1EE0"/>
    <w:rsid w:val="47637318"/>
    <w:rsid w:val="52CD942A"/>
    <w:rsid w:val="569B0553"/>
    <w:rsid w:val="70730ECF"/>
    <w:rsid w:val="73E81B72"/>
    <w:rsid w:val="752D4FD5"/>
    <w:rsid w:val="A6F9D01B"/>
    <w:rsid w:val="F4B549E6"/>
    <w:rsid w:val="FCE4E498"/>
    <w:rsid w:val="FE7E3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ocked="1"/>
    <w:lsdException w:qFormat="1" w:uiPriority="39" w:semiHidden="0" w:name="toc 2" w:locked="1"/>
    <w:lsdException w:qFormat="1" w:uiPriority="39"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0"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9"/>
    <w:qFormat/>
    <w:locked/>
    <w:uiPriority w:val="0"/>
    <w:pPr>
      <w:keepNext/>
      <w:keepLines/>
      <w:spacing w:before="340" w:after="330" w:line="578" w:lineRule="auto"/>
      <w:outlineLvl w:val="0"/>
    </w:pPr>
    <w:rPr>
      <w:b/>
      <w:bCs/>
      <w:kern w:val="44"/>
      <w:sz w:val="44"/>
      <w:szCs w:val="44"/>
    </w:rPr>
  </w:style>
  <w:style w:type="character" w:default="1" w:styleId="15">
    <w:name w:val="Default Paragraph Font"/>
    <w:semiHidden/>
    <w:unhideWhenUsed/>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semiHidden/>
    <w:qFormat/>
    <w:uiPriority w:val="0"/>
    <w:pPr>
      <w:jc w:val="left"/>
    </w:pPr>
  </w:style>
  <w:style w:type="paragraph" w:styleId="4">
    <w:name w:val="toc 3"/>
    <w:basedOn w:val="1"/>
    <w:next w:val="1"/>
    <w:unhideWhenUsed/>
    <w:qFormat/>
    <w:locked/>
    <w:uiPriority w:val="39"/>
    <w:pPr>
      <w:widowControl/>
      <w:spacing w:after="100" w:line="276" w:lineRule="auto"/>
      <w:ind w:left="440"/>
      <w:jc w:val="left"/>
    </w:pPr>
    <w:rPr>
      <w:rFonts w:ascii="Calibri" w:hAnsi="Calibri"/>
      <w:kern w:val="0"/>
      <w:sz w:val="22"/>
    </w:rPr>
  </w:style>
  <w:style w:type="paragraph" w:styleId="5">
    <w:name w:val="Date"/>
    <w:basedOn w:val="1"/>
    <w:next w:val="1"/>
    <w:uiPriority w:val="0"/>
    <w:pPr>
      <w:ind w:left="100" w:leftChars="2500"/>
    </w:pPr>
  </w:style>
  <w:style w:type="paragraph" w:styleId="6">
    <w:name w:val="Balloon Text"/>
    <w:basedOn w:val="1"/>
    <w:link w:val="20"/>
    <w:semiHidden/>
    <w:uiPriority w:val="99"/>
    <w:rPr>
      <w:kern w:val="0"/>
      <w:sz w:val="18"/>
      <w:szCs w:val="18"/>
    </w:rPr>
  </w:style>
  <w:style w:type="paragraph" w:styleId="7">
    <w:name w:val="footer"/>
    <w:basedOn w:val="1"/>
    <w:link w:val="21"/>
    <w:uiPriority w:val="99"/>
    <w:pPr>
      <w:tabs>
        <w:tab w:val="center" w:pos="4153"/>
        <w:tab w:val="right" w:pos="8306"/>
      </w:tabs>
      <w:snapToGrid w:val="0"/>
      <w:jc w:val="left"/>
    </w:pPr>
    <w:rPr>
      <w:kern w:val="0"/>
      <w:sz w:val="18"/>
      <w:szCs w:val="18"/>
    </w:rPr>
  </w:style>
  <w:style w:type="paragraph" w:styleId="8">
    <w:name w:val="header"/>
    <w:basedOn w:val="1"/>
    <w:link w:val="22"/>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toc 1"/>
    <w:basedOn w:val="1"/>
    <w:next w:val="1"/>
    <w:autoRedefine/>
    <w:unhideWhenUsed/>
    <w:qFormat/>
    <w:locked/>
    <w:uiPriority w:val="39"/>
    <w:pPr>
      <w:widowControl/>
      <w:tabs>
        <w:tab w:val="right" w:leader="dot" w:pos="9354"/>
      </w:tabs>
      <w:spacing w:after="100" w:line="276" w:lineRule="auto"/>
      <w:jc w:val="left"/>
    </w:pPr>
    <w:rPr>
      <w:bCs/>
      <w:kern w:val="0"/>
      <w:position w:val="6"/>
      <w:szCs w:val="21"/>
    </w:rPr>
  </w:style>
  <w:style w:type="paragraph" w:styleId="10">
    <w:name w:val="toc 2"/>
    <w:basedOn w:val="1"/>
    <w:next w:val="1"/>
    <w:autoRedefine/>
    <w:unhideWhenUsed/>
    <w:qFormat/>
    <w:locked/>
    <w:uiPriority w:val="39"/>
    <w:pPr>
      <w:widowControl/>
      <w:spacing w:after="100" w:line="276" w:lineRule="auto"/>
      <w:ind w:left="220"/>
      <w:jc w:val="left"/>
    </w:pPr>
    <w:rPr>
      <w:rFonts w:ascii="Calibri" w:hAnsi="Calibri"/>
      <w:kern w:val="0"/>
      <w:sz w:val="22"/>
    </w:rPr>
  </w:style>
  <w:style w:type="paragraph" w:styleId="11">
    <w:name w:val="Normal (Web)"/>
    <w:basedOn w:val="1"/>
    <w:autoRedefine/>
    <w:unhideWhenUsed/>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3"/>
    <w:next w:val="3"/>
    <w:autoRedefine/>
    <w:semiHidden/>
    <w:qFormat/>
    <w:uiPriority w:val="0"/>
    <w:rPr>
      <w:b/>
      <w:bCs/>
    </w:rPr>
  </w:style>
  <w:style w:type="table" w:styleId="14">
    <w:name w:val="Table Grid"/>
    <w:basedOn w:val="13"/>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autoRedefine/>
    <w:qFormat/>
    <w:uiPriority w:val="99"/>
    <w:rPr>
      <w:rFonts w:ascii="Times New Roman" w:hAnsi="Times New Roman" w:eastAsia="宋体" w:cs="Times New Roman"/>
      <w:sz w:val="18"/>
    </w:rPr>
  </w:style>
  <w:style w:type="character" w:styleId="17">
    <w:name w:val="Hyperlink"/>
    <w:unhideWhenUsed/>
    <w:qFormat/>
    <w:uiPriority w:val="99"/>
    <w:rPr>
      <w:color w:val="0000FF"/>
      <w:u w:val="single"/>
    </w:rPr>
  </w:style>
  <w:style w:type="character" w:styleId="18">
    <w:name w:val="annotation reference"/>
    <w:autoRedefine/>
    <w:semiHidden/>
    <w:qFormat/>
    <w:uiPriority w:val="0"/>
    <w:rPr>
      <w:sz w:val="21"/>
      <w:szCs w:val="21"/>
    </w:rPr>
  </w:style>
  <w:style w:type="character" w:customStyle="1" w:styleId="19">
    <w:name w:val="标题 1 字符"/>
    <w:link w:val="2"/>
    <w:uiPriority w:val="0"/>
    <w:rPr>
      <w:b/>
      <w:bCs/>
      <w:kern w:val="44"/>
      <w:sz w:val="44"/>
      <w:szCs w:val="44"/>
    </w:rPr>
  </w:style>
  <w:style w:type="character" w:customStyle="1" w:styleId="20">
    <w:name w:val="批注框文本 字符"/>
    <w:link w:val="6"/>
    <w:semiHidden/>
    <w:locked/>
    <w:uiPriority w:val="99"/>
    <w:rPr>
      <w:rFonts w:cs="Times New Roman"/>
      <w:sz w:val="18"/>
      <w:szCs w:val="18"/>
    </w:rPr>
  </w:style>
  <w:style w:type="character" w:customStyle="1" w:styleId="21">
    <w:name w:val="页脚 字符"/>
    <w:link w:val="7"/>
    <w:qFormat/>
    <w:locked/>
    <w:uiPriority w:val="99"/>
    <w:rPr>
      <w:rFonts w:cs="Times New Roman"/>
      <w:sz w:val="18"/>
      <w:szCs w:val="18"/>
    </w:rPr>
  </w:style>
  <w:style w:type="character" w:customStyle="1" w:styleId="22">
    <w:name w:val="页眉 字符"/>
    <w:link w:val="8"/>
    <w:autoRedefine/>
    <w:semiHidden/>
    <w:qFormat/>
    <w:locked/>
    <w:uiPriority w:val="99"/>
    <w:rPr>
      <w:rFonts w:cs="Times New Roman"/>
      <w:sz w:val="18"/>
      <w:szCs w:val="18"/>
    </w:rPr>
  </w:style>
  <w:style w:type="character" w:customStyle="1" w:styleId="23">
    <w:name w:val="apple-converted-space"/>
    <w:autoRedefine/>
    <w:qFormat/>
    <w:uiPriority w:val="0"/>
  </w:style>
  <w:style w:type="character" w:customStyle="1" w:styleId="24">
    <w:name w:val="grey_12"/>
    <w:autoRedefine/>
    <w:qFormat/>
    <w:uiPriority w:val="0"/>
  </w:style>
  <w:style w:type="character" w:customStyle="1" w:styleId="25">
    <w:name w:val="word"/>
    <w:autoRedefine/>
    <w:qFormat/>
    <w:uiPriority w:val="99"/>
    <w:rPr>
      <w:rFonts w:cs="Times New Roman"/>
    </w:rPr>
  </w:style>
  <w:style w:type="character" w:customStyle="1" w:styleId="26">
    <w:name w:val="发布"/>
    <w:autoRedefine/>
    <w:qFormat/>
    <w:uiPriority w:val="99"/>
    <w:rPr>
      <w:rFonts w:ascii="黑体" w:eastAsia="黑体" w:cs="Times New Roman"/>
      <w:spacing w:val="22"/>
      <w:w w:val="100"/>
      <w:position w:val="3"/>
      <w:sz w:val="28"/>
    </w:rPr>
  </w:style>
  <w:style w:type="paragraph" w:customStyle="1" w:styleId="27">
    <w:name w:val="章标题"/>
    <w:next w:val="28"/>
    <w:autoRedefine/>
    <w:qFormat/>
    <w:uiPriority w:val="0"/>
    <w:pPr>
      <w:spacing w:beforeLines="50" w:afterLines="50"/>
      <w:jc w:val="both"/>
      <w:outlineLvl w:val="1"/>
    </w:pPr>
    <w:rPr>
      <w:rFonts w:ascii="黑体" w:hAnsi="Times New Roman" w:eastAsia="黑体" w:cs="Times New Roman"/>
      <w:sz w:val="21"/>
      <w:lang w:val="en-US" w:eastAsia="zh-CN" w:bidi="ar-SA"/>
    </w:rPr>
  </w:style>
  <w:style w:type="paragraph" w:customStyle="1" w:styleId="28">
    <w:name w:val="段"/>
    <w:link w:val="2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段 Char"/>
    <w:link w:val="28"/>
    <w:autoRedefine/>
    <w:qFormat/>
    <w:uiPriority w:val="0"/>
    <w:rPr>
      <w:rFonts w:ascii="宋体"/>
      <w:sz w:val="21"/>
    </w:rPr>
  </w:style>
  <w:style w:type="paragraph" w:customStyle="1" w:styleId="30">
    <w:name w:val="_Style 29"/>
    <w:basedOn w:val="2"/>
    <w:next w:val="1"/>
    <w:autoRedefine/>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31">
    <w:name w:val="参考文献、索引标题"/>
    <w:basedOn w:val="32"/>
    <w:next w:val="1"/>
    <w:autoRedefine/>
    <w:qFormat/>
    <w:uiPriority w:val="99"/>
    <w:pPr>
      <w:spacing w:after="200"/>
    </w:pPr>
    <w:rPr>
      <w:sz w:val="21"/>
    </w:rPr>
  </w:style>
  <w:style w:type="paragraph" w:customStyle="1" w:styleId="32">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33">
    <w:name w:val="封面标准名称"/>
    <w:autoRedefine/>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4">
    <w:name w:val="发布部门"/>
    <w:next w:val="28"/>
    <w:autoRedefine/>
    <w:qFormat/>
    <w:uiPriority w:val="99"/>
    <w:pPr>
      <w:framePr w:w="7433" w:h="585" w:hRule="exact" w:hSpace="180" w:vSpace="180" w:wrap="around" w:vAnchor="margin" w:hAnchor="margin" w:xAlign="center" w:y="14401" w:anchorLock="1"/>
      <w:jc w:val="center"/>
    </w:pPr>
    <w:rPr>
      <w:rFonts w:ascii="宋体" w:hAnsi="Times New Roman" w:eastAsia="宋体" w:cs="Times New Roman"/>
      <w:b/>
      <w:spacing w:val="20"/>
      <w:w w:val="135"/>
      <w:sz w:val="36"/>
      <w:lang w:val="en-US" w:eastAsia="zh-CN" w:bidi="ar-SA"/>
    </w:rPr>
  </w:style>
  <w:style w:type="paragraph" w:styleId="35">
    <w:name w:val="List Paragraph"/>
    <w:basedOn w:val="1"/>
    <w:autoRedefine/>
    <w:qFormat/>
    <w:uiPriority w:val="34"/>
    <w:pPr>
      <w:ind w:firstLine="420" w:firstLineChars="200"/>
    </w:pPr>
  </w:style>
  <w:style w:type="paragraph" w:customStyle="1" w:styleId="36">
    <w:name w:val="实施日期"/>
    <w:basedOn w:val="37"/>
    <w:autoRedefine/>
    <w:qFormat/>
    <w:uiPriority w:val="99"/>
    <w:pPr>
      <w:framePr w:hSpace="0" w:wrap="around" w:xAlign="right"/>
      <w:jc w:val="right"/>
    </w:pPr>
  </w:style>
  <w:style w:type="paragraph" w:customStyle="1" w:styleId="37">
    <w:name w:val="发布日期"/>
    <w:autoRedefine/>
    <w:qFormat/>
    <w:uiPriority w:val="99"/>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38">
    <w:name w:val="标准书脚_奇数页"/>
    <w:autoRedefine/>
    <w:qFormat/>
    <w:uiPriority w:val="99"/>
    <w:pPr>
      <w:spacing w:before="120"/>
      <w:jc w:val="right"/>
    </w:pPr>
    <w:rPr>
      <w:rFonts w:ascii="Times New Roman" w:hAnsi="Times New Roman" w:eastAsia="宋体" w:cs="Times New Roman"/>
      <w:sz w:val="18"/>
      <w:lang w:val="en-US" w:eastAsia="zh-CN" w:bidi="ar-SA"/>
    </w:rPr>
  </w:style>
  <w:style w:type="paragraph" w:customStyle="1" w:styleId="39">
    <w:name w:val="字母编号列项（一级）"/>
    <w:autoRedefine/>
    <w:qFormat/>
    <w:uiPriority w:val="99"/>
    <w:pPr>
      <w:ind w:left="840" w:leftChars="200" w:hanging="420" w:hangingChars="200"/>
      <w:jc w:val="both"/>
    </w:pPr>
    <w:rPr>
      <w:rFonts w:ascii="宋体" w:hAnsi="Times New Roman" w:eastAsia="宋体" w:cs="Times New Roman"/>
      <w:sz w:val="21"/>
      <w:lang w:val="en-US" w:eastAsia="zh-CN" w:bidi="ar-SA"/>
    </w:rPr>
  </w:style>
  <w:style w:type="paragraph" w:customStyle="1" w:styleId="40">
    <w:name w:val="封面标准英文名称"/>
    <w:autoRedefine/>
    <w:qFormat/>
    <w:uiPriority w:val="99"/>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1">
    <w:name w:val="一级条标题"/>
    <w:next w:val="28"/>
    <w:autoRedefine/>
    <w:qFormat/>
    <w:uiPriority w:val="0"/>
    <w:pPr>
      <w:outlineLvl w:val="2"/>
    </w:pPr>
    <w:rPr>
      <w:rFonts w:ascii="Times New Roman" w:hAnsi="Times New Roman" w:eastAsia="黑体" w:cs="Times New Roman"/>
      <w:sz w:val="21"/>
      <w:lang w:val="en-US" w:eastAsia="zh-CN" w:bidi="ar-SA"/>
    </w:rPr>
  </w:style>
  <w:style w:type="paragraph" w:customStyle="1" w:styleId="42">
    <w:name w:val="二级条标题"/>
    <w:basedOn w:val="41"/>
    <w:next w:val="28"/>
    <w:autoRedefine/>
    <w:qFormat/>
    <w:uiPriority w:val="0"/>
    <w:pPr>
      <w:outlineLvl w:val="3"/>
    </w:pPr>
  </w:style>
  <w:style w:type="paragraph" w:customStyle="1" w:styleId="43">
    <w:name w:val="三级条标题"/>
    <w:basedOn w:val="42"/>
    <w:next w:val="28"/>
    <w:autoRedefine/>
    <w:qFormat/>
    <w:uiPriority w:val="0"/>
    <w:pPr>
      <w:outlineLvl w:val="4"/>
    </w:pPr>
  </w:style>
  <w:style w:type="paragraph" w:customStyle="1" w:styleId="44">
    <w:name w:val="五级条标题"/>
    <w:basedOn w:val="45"/>
    <w:next w:val="28"/>
    <w:autoRedefine/>
    <w:qFormat/>
    <w:uiPriority w:val="0"/>
    <w:pPr>
      <w:outlineLvl w:val="6"/>
    </w:pPr>
  </w:style>
  <w:style w:type="paragraph" w:customStyle="1" w:styleId="45">
    <w:name w:val="四级条标题"/>
    <w:basedOn w:val="43"/>
    <w:next w:val="28"/>
    <w:autoRedefine/>
    <w:qFormat/>
    <w:uiPriority w:val="0"/>
    <w:pPr>
      <w:outlineLvl w:val="5"/>
    </w:pPr>
  </w:style>
  <w:style w:type="paragraph" w:customStyle="1" w:styleId="46">
    <w:name w:val="其他标准称谓"/>
    <w:autoRedefine/>
    <w:qFormat/>
    <w:uiPriority w:val="99"/>
    <w:pPr>
      <w:spacing w:line="240" w:lineRule="atLeast"/>
      <w:jc w:val="distribute"/>
    </w:pPr>
    <w:rPr>
      <w:rFonts w:ascii="黑体" w:hAnsi="宋体" w:eastAsia="黑体" w:cs="Times New Roman"/>
      <w:sz w:val="52"/>
      <w:lang w:val="en-US" w:eastAsia="zh-CN" w:bidi="ar-SA"/>
    </w:rPr>
  </w:style>
  <w:style w:type="paragraph" w:customStyle="1" w:styleId="47">
    <w:name w:val="封面标准文稿类别"/>
    <w:autoRedefine/>
    <w:qFormat/>
    <w:uiPriority w:val="99"/>
    <w:pPr>
      <w:spacing w:before="440" w:line="400" w:lineRule="exact"/>
      <w:jc w:val="center"/>
    </w:pPr>
    <w:rPr>
      <w:rFonts w:ascii="宋体" w:hAnsi="Times New Roman" w:eastAsia="宋体" w:cs="Times New Roman"/>
      <w:sz w:val="24"/>
      <w:lang w:val="en-US" w:eastAsia="zh-CN" w:bidi="ar-SA"/>
    </w:rPr>
  </w:style>
  <w:style w:type="paragraph" w:customStyle="1" w:styleId="48">
    <w:name w:val="标准书眉_奇数页"/>
    <w:next w:val="1"/>
    <w:autoRedefine/>
    <w:qFormat/>
    <w:uiPriority w:val="99"/>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9">
    <w:name w:val="标准标志"/>
    <w:next w:val="1"/>
    <w:autoRedefine/>
    <w:qFormat/>
    <w:uiPriority w:val="99"/>
    <w:pPr>
      <w:framePr w:w="2268" w:h="1392" w:hRule="exact" w:wrap="around" w:vAnchor="margin" w:hAnchor="margin" w:x="6748" w:y="171" w:anchorLock="1"/>
      <w:shd w:val="solid" w:color="FFFFFF" w:fill="FFFFFF"/>
      <w:spacing w:line="240" w:lineRule="atLeast"/>
      <w:jc w:val="right"/>
    </w:pPr>
    <w:rPr>
      <w:rFonts w:ascii="Times New Roman" w:hAnsi="Times New Roman" w:eastAsia="宋体" w:cs="Times New Roman"/>
      <w:b/>
      <w:w w:val="130"/>
      <w:sz w:val="96"/>
      <w:lang w:val="en-US" w:eastAsia="zh-CN" w:bidi="ar-SA"/>
    </w:rPr>
  </w:style>
  <w:style w:type="paragraph" w:customStyle="1" w:styleId="50">
    <w:name w:val="封面标准号1"/>
    <w:autoRedefine/>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1">
    <w:name w:val="文献分类号"/>
    <w:autoRedefine/>
    <w:qFormat/>
    <w:uiPriority w:val="99"/>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52">
    <w:name w:val="目次、标准名称标题"/>
    <w:basedOn w:val="32"/>
    <w:next w:val="28"/>
    <w:autoRedefine/>
    <w:qFormat/>
    <w:uiPriority w:val="99"/>
    <w:pPr>
      <w:spacing w:line="460" w:lineRule="exact"/>
    </w:pPr>
  </w:style>
  <w:style w:type="paragraph" w:customStyle="1" w:styleId="53">
    <w:name w:val="标准书眉一"/>
    <w:autoRedefine/>
    <w:qFormat/>
    <w:uiPriority w:val="99"/>
    <w:pPr>
      <w:jc w:val="both"/>
    </w:pPr>
    <w:rPr>
      <w:rFonts w:ascii="Times New Roman" w:hAnsi="Times New Roman" w:eastAsia="宋体" w:cs="Times New Roman"/>
      <w:lang w:val="en-US" w:eastAsia="zh-CN" w:bidi="ar-SA"/>
    </w:rPr>
  </w:style>
  <w:style w:type="paragraph" w:customStyle="1" w:styleId="54">
    <w:name w:val="列项——（一级）"/>
    <w:autoRedefine/>
    <w:qFormat/>
    <w:uiPriority w:val="99"/>
    <w:pPr>
      <w:widowControl w:val="0"/>
      <w:numPr>
        <w:ilvl w:val="0"/>
        <w:numId w:val="1"/>
      </w:numPr>
      <w:tabs>
        <w:tab w:val="left" w:pos="854"/>
        <w:tab w:val="clear" w:pos="1140"/>
      </w:tabs>
      <w:ind w:left="200" w:leftChars="200" w:hanging="200" w:hangingChars="200"/>
      <w:jc w:val="both"/>
    </w:pPr>
    <w:rPr>
      <w:rFonts w:ascii="宋体" w:hAnsi="Times New Roman" w:eastAsia="宋体" w:cs="Times New Roman"/>
      <w:sz w:val="21"/>
      <w:lang w:val="en-US" w:eastAsia="zh-CN" w:bidi="ar-SA"/>
    </w:rPr>
  </w:style>
  <w:style w:type="paragraph" w:customStyle="1" w:styleId="55">
    <w:name w:val="封面正文"/>
    <w:autoRedefine/>
    <w:qFormat/>
    <w:uiPriority w:val="99"/>
    <w:pPr>
      <w:jc w:val="both"/>
    </w:pPr>
    <w:rPr>
      <w:rFonts w:ascii="Times New Roman" w:hAnsi="Times New Roman" w:eastAsia="宋体" w:cs="Times New Roman"/>
      <w:lang w:val="en-US" w:eastAsia="zh-CN" w:bidi="ar-SA"/>
    </w:rPr>
  </w:style>
  <w:style w:type="paragraph" w:customStyle="1" w:styleId="56">
    <w:name w:val="附录标识"/>
    <w:basedOn w:val="1"/>
    <w:next w:val="28"/>
    <w:autoRedefine/>
    <w:qFormat/>
    <w:uiPriority w:val="0"/>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7</Pages>
  <Words>541</Words>
  <Characters>3086</Characters>
  <Lines>25</Lines>
  <Paragraphs>7</Paragraphs>
  <TotalTime>195</TotalTime>
  <ScaleCrop>false</ScaleCrop>
  <LinksUpToDate>false</LinksUpToDate>
  <CharactersWithSpaces>3620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2024-04-11T03:55:00Z</dcterms:created>
  <dc:creator>w2011</dc:creator>
  <cp:lastModifiedBy>mmme</cp:lastModifiedBy>
  <cp:lastPrinted>2014-10-30T13:06:00Z</cp:lastPrinted>
  <dcterms:modified xsi:type="dcterms:W3CDTF">2024-05-15T01:34:46Z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E941CC8936814A85B9C6CF4D3E2FB128_13</vt:lpwstr>
  </property>
</Properties>
</file>