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F9" w:rsidRPr="000961CA" w:rsidRDefault="000961CA" w:rsidP="000961CA">
      <w:pPr>
        <w:spacing w:line="560" w:lineRule="exact"/>
        <w:ind w:firstLine="720"/>
        <w:jc w:val="center"/>
        <w:rPr>
          <w:rFonts w:ascii="黑体" w:eastAsia="黑体" w:hAnsi="黑体" w:cs="方正小标宋简体"/>
          <w:sz w:val="36"/>
          <w:szCs w:val="36"/>
        </w:rPr>
      </w:pPr>
      <w:r w:rsidRPr="000961CA">
        <w:rPr>
          <w:rFonts w:ascii="黑体" w:eastAsia="黑体" w:hAnsi="黑体" w:cs="方正小标宋简体" w:hint="eastAsia"/>
          <w:sz w:val="36"/>
          <w:szCs w:val="36"/>
        </w:rPr>
        <w:t>黄瓜水肥一体化</w:t>
      </w:r>
      <w:r w:rsidRPr="000961CA">
        <w:rPr>
          <w:rFonts w:ascii="黑体" w:eastAsia="黑体" w:hAnsi="黑体" w:cs="方正小标宋简体" w:hint="eastAsia"/>
          <w:sz w:val="36"/>
          <w:szCs w:val="36"/>
        </w:rPr>
        <w:t>管理</w:t>
      </w:r>
      <w:r w:rsidRPr="000961CA">
        <w:rPr>
          <w:rFonts w:ascii="黑体" w:eastAsia="黑体" w:hAnsi="黑体" w:cs="方正小标宋简体" w:hint="eastAsia"/>
          <w:sz w:val="36"/>
          <w:szCs w:val="36"/>
        </w:rPr>
        <w:t>技术规程</w:t>
      </w:r>
      <w:r w:rsidRPr="000961CA">
        <w:rPr>
          <w:rFonts w:ascii="黑体" w:eastAsia="黑体" w:hAnsi="黑体" w:cs="方正小标宋简体" w:hint="eastAsia"/>
          <w:sz w:val="36"/>
          <w:szCs w:val="36"/>
        </w:rPr>
        <w:t>编制说明</w:t>
      </w:r>
    </w:p>
    <w:p w:rsidR="005D65F9" w:rsidRDefault="005D65F9" w:rsidP="000961CA">
      <w:pPr>
        <w:spacing w:line="560" w:lineRule="exact"/>
        <w:ind w:firstLine="420"/>
      </w:pPr>
    </w:p>
    <w:p w:rsidR="005D65F9" w:rsidRDefault="000961CA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一、基本情况</w:t>
      </w:r>
    </w:p>
    <w:p w:rsidR="005D65F9" w:rsidRPr="000961CA" w:rsidRDefault="000961CA">
      <w:pPr>
        <w:spacing w:line="560" w:lineRule="exact"/>
        <w:ind w:firstLineChars="200" w:firstLine="640"/>
        <w:jc w:val="left"/>
        <w:rPr>
          <w:rFonts w:ascii="宋体" w:eastAsia="宋体" w:hAnsi="宋体" w:cs="Times New Roman"/>
          <w:sz w:val="32"/>
          <w:szCs w:val="32"/>
        </w:rPr>
      </w:pPr>
      <w:r w:rsidRPr="000961CA">
        <w:rPr>
          <w:rFonts w:ascii="宋体" w:eastAsia="宋体" w:hAnsi="宋体" w:cs="Times New Roman"/>
          <w:sz w:val="32"/>
          <w:szCs w:val="32"/>
        </w:rPr>
        <w:t>水肥一体化是将灌溉与施肥融为一体的新型节水、省肥农业现代化技术，具有定量供肥、供水、提高水肥利用效率等优点，可根据土壤特性、作物根系特征及需水规律精确调控土壤水分和养分。与传统灌溉和施肥相比，水肥一体化技术水分的利用效率可提高</w:t>
      </w:r>
      <w:r w:rsidRPr="000961CA">
        <w:rPr>
          <w:rFonts w:ascii="宋体" w:eastAsia="宋体" w:hAnsi="宋体" w:cs="Times New Roman"/>
          <w:sz w:val="32"/>
          <w:szCs w:val="32"/>
        </w:rPr>
        <w:t>40%-60%</w:t>
      </w:r>
      <w:r w:rsidRPr="000961CA">
        <w:rPr>
          <w:rFonts w:ascii="宋体" w:eastAsia="宋体" w:hAnsi="宋体" w:cs="Times New Roman"/>
          <w:sz w:val="32"/>
          <w:szCs w:val="32"/>
        </w:rPr>
        <w:t>，肥料利用率可提高</w:t>
      </w:r>
      <w:r w:rsidRPr="000961CA">
        <w:rPr>
          <w:rFonts w:ascii="宋体" w:eastAsia="宋体" w:hAnsi="宋体" w:cs="Times New Roman"/>
          <w:sz w:val="32"/>
          <w:szCs w:val="32"/>
        </w:rPr>
        <w:t>30%-50%</w:t>
      </w:r>
      <w:r w:rsidRPr="000961CA">
        <w:rPr>
          <w:rFonts w:ascii="宋体" w:eastAsia="宋体" w:hAnsi="宋体" w:cs="Times New Roman"/>
          <w:sz w:val="32"/>
          <w:szCs w:val="32"/>
        </w:rPr>
        <w:t>，是当前公认的提高水肥资源利用效率的有效技术，目前在我省黄瓜生产中广泛应用。</w:t>
      </w:r>
    </w:p>
    <w:p w:rsidR="005D65F9" w:rsidRPr="000961CA" w:rsidRDefault="000961CA">
      <w:pPr>
        <w:spacing w:line="560" w:lineRule="exact"/>
        <w:ind w:firstLineChars="200" w:firstLine="640"/>
        <w:jc w:val="left"/>
        <w:rPr>
          <w:rFonts w:ascii="宋体" w:eastAsia="宋体" w:hAnsi="宋体" w:cs="Times New Roman"/>
          <w:sz w:val="32"/>
          <w:szCs w:val="32"/>
        </w:rPr>
      </w:pPr>
      <w:r w:rsidRPr="000961CA">
        <w:rPr>
          <w:rFonts w:ascii="宋体" w:eastAsia="宋体" w:hAnsi="宋体" w:cs="Times New Roman"/>
          <w:sz w:val="32"/>
          <w:szCs w:val="32"/>
        </w:rPr>
        <w:t>黄瓜风味独特，营养丰富</w:t>
      </w:r>
      <w:r w:rsidRPr="000961CA">
        <w:rPr>
          <w:rFonts w:ascii="宋体" w:eastAsia="宋体" w:hAnsi="宋体" w:cs="Times New Roman" w:hint="eastAsia"/>
          <w:sz w:val="32"/>
          <w:szCs w:val="32"/>
        </w:rPr>
        <w:t>、</w:t>
      </w:r>
      <w:r w:rsidRPr="000961CA">
        <w:rPr>
          <w:rFonts w:ascii="宋体" w:eastAsia="宋体" w:hAnsi="宋体" w:cs="Times New Roman"/>
          <w:sz w:val="32"/>
          <w:szCs w:val="32"/>
        </w:rPr>
        <w:t>产量高</w:t>
      </w:r>
      <w:r w:rsidRPr="000961CA">
        <w:rPr>
          <w:rFonts w:ascii="宋体" w:eastAsia="宋体" w:hAnsi="宋体" w:cs="Times New Roman" w:hint="eastAsia"/>
          <w:sz w:val="32"/>
          <w:szCs w:val="32"/>
        </w:rPr>
        <w:t>、</w:t>
      </w:r>
      <w:r w:rsidRPr="000961CA">
        <w:rPr>
          <w:rFonts w:ascii="宋体" w:eastAsia="宋体" w:hAnsi="宋体" w:cs="Times New Roman"/>
          <w:sz w:val="32"/>
          <w:szCs w:val="32"/>
        </w:rPr>
        <w:t>效益好，一直是</w:t>
      </w:r>
      <w:r w:rsidRPr="000961CA">
        <w:rPr>
          <w:rFonts w:ascii="宋体" w:eastAsia="宋体" w:hAnsi="宋体" w:cs="Times New Roman"/>
          <w:sz w:val="32"/>
          <w:szCs w:val="32"/>
        </w:rPr>
        <w:t>我市</w:t>
      </w:r>
      <w:r w:rsidRPr="000961CA">
        <w:rPr>
          <w:rFonts w:ascii="宋体" w:eastAsia="宋体" w:hAnsi="宋体" w:cs="Times New Roman"/>
          <w:sz w:val="32"/>
          <w:szCs w:val="32"/>
        </w:rPr>
        <w:t>广为种植的</w:t>
      </w:r>
      <w:r w:rsidRPr="000961CA">
        <w:rPr>
          <w:rFonts w:ascii="宋体" w:eastAsia="宋体" w:hAnsi="宋体" w:cs="Times New Roman"/>
          <w:sz w:val="32"/>
          <w:szCs w:val="32"/>
        </w:rPr>
        <w:t>主要</w:t>
      </w:r>
      <w:r w:rsidRPr="000961CA">
        <w:rPr>
          <w:rFonts w:ascii="宋体" w:eastAsia="宋体" w:hAnsi="宋体" w:cs="Times New Roman"/>
          <w:sz w:val="32"/>
          <w:szCs w:val="32"/>
        </w:rPr>
        <w:t>蔬菜</w:t>
      </w:r>
      <w:r w:rsidRPr="000961CA">
        <w:rPr>
          <w:rFonts w:ascii="宋体" w:eastAsia="宋体" w:hAnsi="宋体" w:cs="Times New Roman"/>
          <w:sz w:val="32"/>
          <w:szCs w:val="32"/>
        </w:rPr>
        <w:t>品种之一</w:t>
      </w:r>
      <w:r w:rsidRPr="000961CA">
        <w:rPr>
          <w:rFonts w:ascii="宋体" w:eastAsia="宋体" w:hAnsi="宋体" w:cs="Times New Roman"/>
          <w:sz w:val="32"/>
          <w:szCs w:val="32"/>
        </w:rPr>
        <w:t>。</w:t>
      </w:r>
      <w:r w:rsidRPr="000961CA">
        <w:rPr>
          <w:rFonts w:ascii="宋体" w:eastAsia="宋体" w:hAnsi="宋体" w:cs="Times New Roman"/>
          <w:sz w:val="32"/>
          <w:szCs w:val="32"/>
        </w:rPr>
        <w:t>2022</w:t>
      </w:r>
      <w:r w:rsidRPr="000961CA">
        <w:rPr>
          <w:rFonts w:ascii="宋体" w:eastAsia="宋体" w:hAnsi="宋体" w:cs="Times New Roman"/>
          <w:sz w:val="32"/>
          <w:szCs w:val="32"/>
        </w:rPr>
        <w:t>年，全市黄瓜种植面积</w:t>
      </w:r>
      <w:r w:rsidRPr="000961CA">
        <w:rPr>
          <w:rFonts w:ascii="宋体" w:eastAsia="宋体" w:hAnsi="宋体" w:cs="Times New Roman"/>
          <w:sz w:val="32"/>
          <w:szCs w:val="32"/>
        </w:rPr>
        <w:t>5.69</w:t>
      </w:r>
      <w:r w:rsidRPr="000961CA">
        <w:rPr>
          <w:rFonts w:ascii="宋体" w:eastAsia="宋体" w:hAnsi="宋体" w:cs="Times New Roman"/>
          <w:sz w:val="32"/>
          <w:szCs w:val="32"/>
        </w:rPr>
        <w:t>万亩、产量</w:t>
      </w:r>
      <w:r w:rsidRPr="000961CA">
        <w:rPr>
          <w:rFonts w:ascii="宋体" w:eastAsia="宋体" w:hAnsi="宋体" w:cs="Times New Roman"/>
          <w:sz w:val="32"/>
          <w:szCs w:val="32"/>
        </w:rPr>
        <w:t>20.92</w:t>
      </w:r>
      <w:r w:rsidRPr="000961CA">
        <w:rPr>
          <w:rFonts w:ascii="宋体" w:eastAsia="宋体" w:hAnsi="宋体" w:cs="Times New Roman"/>
          <w:sz w:val="32"/>
          <w:szCs w:val="32"/>
        </w:rPr>
        <w:t>万吨，在促进农民增收致富中发挥重要作用。</w:t>
      </w:r>
      <w:r w:rsidRPr="000961CA">
        <w:rPr>
          <w:rFonts w:ascii="宋体" w:eastAsia="宋体" w:hAnsi="宋体" w:cs="Times New Roman"/>
          <w:sz w:val="32"/>
          <w:szCs w:val="32"/>
        </w:rPr>
        <w:t>黄瓜喜湿而不耐涝、喜肥而不耐肥，对肥水管理的要求较高。为做好水肥一体化技术的推广工作，农业部和各省分别制定了蔬菜水肥一体化相关标准，对水肥一体化技术的术语定义、基本原则、应用条件、主要类型和主要模式等进行了规范化的指导。水肥一体化的基本原理、技术要点、设施设备是大多数作物是可以通用的，但是具体施肥方案具有</w:t>
      </w:r>
      <w:r w:rsidRPr="000961CA">
        <w:rPr>
          <w:rFonts w:ascii="宋体" w:eastAsia="宋体" w:hAnsi="宋体" w:cs="Times New Roman"/>
          <w:sz w:val="32"/>
          <w:szCs w:val="32"/>
        </w:rPr>
        <w:t>地区</w:t>
      </w:r>
      <w:r w:rsidRPr="000961CA">
        <w:rPr>
          <w:rFonts w:ascii="宋体" w:eastAsia="宋体" w:hAnsi="宋体" w:cs="Times New Roman"/>
          <w:sz w:val="32"/>
          <w:szCs w:val="32"/>
        </w:rPr>
        <w:t>特异性。</w:t>
      </w:r>
    </w:p>
    <w:p w:rsidR="005D65F9" w:rsidRPr="000961CA" w:rsidRDefault="000961CA">
      <w:pPr>
        <w:spacing w:line="560" w:lineRule="exact"/>
        <w:ind w:firstLineChars="200" w:firstLine="640"/>
        <w:jc w:val="left"/>
        <w:rPr>
          <w:rFonts w:ascii="宋体" w:eastAsia="宋体" w:hAnsi="宋体" w:cs="Times New Roman"/>
          <w:sz w:val="32"/>
          <w:szCs w:val="32"/>
        </w:rPr>
      </w:pPr>
      <w:r w:rsidRPr="000961CA">
        <w:rPr>
          <w:rFonts w:ascii="宋体" w:eastAsia="宋体" w:hAnsi="宋体" w:cs="Times New Roman" w:hint="eastAsia"/>
          <w:sz w:val="32"/>
          <w:szCs w:val="32"/>
        </w:rPr>
        <w:t>为推进我市芦蒿标准化种植，根据市标委会办公室《关于组织申报</w:t>
      </w:r>
      <w:r w:rsidRPr="000961CA">
        <w:rPr>
          <w:rFonts w:ascii="宋体" w:eastAsia="宋体" w:hAnsi="宋体" w:cs="Times New Roman" w:hint="eastAsia"/>
          <w:sz w:val="32"/>
          <w:szCs w:val="32"/>
        </w:rPr>
        <w:t>2023</w:t>
      </w:r>
      <w:r w:rsidRPr="000961CA">
        <w:rPr>
          <w:rFonts w:ascii="宋体" w:eastAsia="宋体" w:hAnsi="宋体" w:cs="Times New Roman" w:hint="eastAsia"/>
          <w:sz w:val="32"/>
          <w:szCs w:val="32"/>
        </w:rPr>
        <w:t>年宿迁市地方标准项目的通知</w:t>
      </w:r>
      <w:r w:rsidRPr="000961CA">
        <w:rPr>
          <w:rFonts w:ascii="宋体" w:eastAsia="宋体" w:hAnsi="宋体" w:cs="Times New Roman" w:hint="eastAsia"/>
          <w:sz w:val="32"/>
          <w:szCs w:val="32"/>
        </w:rPr>
        <w:t>》（</w:t>
      </w:r>
      <w:proofErr w:type="gramStart"/>
      <w:r w:rsidRPr="000961CA">
        <w:rPr>
          <w:rFonts w:ascii="宋体" w:eastAsia="宋体" w:hAnsi="宋体" w:cs="Times New Roman" w:hint="eastAsia"/>
          <w:sz w:val="32"/>
          <w:szCs w:val="32"/>
        </w:rPr>
        <w:t>宿标推办</w:t>
      </w:r>
      <w:proofErr w:type="gramEnd"/>
      <w:r w:rsidRPr="000961CA">
        <w:rPr>
          <w:rFonts w:ascii="宋体" w:eastAsia="宋体" w:hAnsi="宋体" w:cs="Times New Roman" w:hint="eastAsia"/>
          <w:sz w:val="32"/>
          <w:szCs w:val="32"/>
        </w:rPr>
        <w:t>发</w:t>
      </w:r>
      <w:r w:rsidRPr="000961CA">
        <w:rPr>
          <w:rFonts w:ascii="宋体" w:eastAsia="宋体" w:hAnsi="宋体" w:cs="仿宋" w:hint="eastAsia"/>
          <w:sz w:val="32"/>
          <w:szCs w:val="32"/>
        </w:rPr>
        <w:t>〔</w:t>
      </w:r>
      <w:r w:rsidRPr="000961CA">
        <w:rPr>
          <w:rFonts w:ascii="宋体" w:eastAsia="宋体" w:hAnsi="宋体" w:cs="仿宋" w:hint="eastAsia"/>
          <w:sz w:val="32"/>
          <w:szCs w:val="32"/>
        </w:rPr>
        <w:t>2023</w:t>
      </w:r>
      <w:r w:rsidRPr="000961CA">
        <w:rPr>
          <w:rFonts w:ascii="宋体" w:eastAsia="宋体" w:hAnsi="宋体" w:cs="仿宋" w:hint="eastAsia"/>
          <w:sz w:val="32"/>
          <w:szCs w:val="32"/>
        </w:rPr>
        <w:t>〕</w:t>
      </w:r>
      <w:r w:rsidRPr="000961CA">
        <w:rPr>
          <w:rFonts w:ascii="宋体" w:eastAsia="宋体" w:hAnsi="宋体" w:cs="仿宋" w:hint="eastAsia"/>
          <w:sz w:val="32"/>
          <w:szCs w:val="32"/>
        </w:rPr>
        <w:t>1</w:t>
      </w:r>
      <w:r w:rsidRPr="000961CA">
        <w:rPr>
          <w:rFonts w:ascii="宋体" w:eastAsia="宋体" w:hAnsi="宋体" w:cs="仿宋" w:hint="eastAsia"/>
          <w:sz w:val="32"/>
          <w:szCs w:val="32"/>
        </w:rPr>
        <w:t>号</w:t>
      </w:r>
      <w:r w:rsidRPr="000961CA">
        <w:rPr>
          <w:rFonts w:ascii="宋体" w:eastAsia="宋体" w:hAnsi="宋体" w:cs="Times New Roman" w:hint="eastAsia"/>
          <w:sz w:val="32"/>
          <w:szCs w:val="32"/>
        </w:rPr>
        <w:t>）精神，结合我市黄瓜种植实际，市农业技术综合服务中心联合扬州大学合作申报《黄瓜水肥一体化管</w:t>
      </w:r>
      <w:r w:rsidRPr="000961CA">
        <w:rPr>
          <w:rFonts w:ascii="宋体" w:eastAsia="宋体" w:hAnsi="宋体" w:cs="Times New Roman" w:hint="eastAsia"/>
          <w:sz w:val="32"/>
          <w:szCs w:val="32"/>
        </w:rPr>
        <w:lastRenderedPageBreak/>
        <w:t>理技术规程》标准项目，规程结合我市黄瓜种植现状编制，包括系统配置中水源、首部枢纽﹑输配水管网和</w:t>
      </w:r>
      <w:proofErr w:type="gramStart"/>
      <w:r w:rsidRPr="000961CA">
        <w:rPr>
          <w:rFonts w:ascii="宋体" w:eastAsia="宋体" w:hAnsi="宋体" w:cs="Times New Roman" w:hint="eastAsia"/>
          <w:sz w:val="32"/>
          <w:szCs w:val="32"/>
        </w:rPr>
        <w:t>滴灌带</w:t>
      </w:r>
      <w:proofErr w:type="gramEnd"/>
      <w:r w:rsidRPr="000961CA">
        <w:rPr>
          <w:rFonts w:ascii="宋体" w:eastAsia="宋体" w:hAnsi="宋体" w:cs="Times New Roman" w:hint="eastAsia"/>
          <w:sz w:val="32"/>
          <w:szCs w:val="32"/>
        </w:rPr>
        <w:t>等组成和水肥一体化技术模式明确有关计算灌水定额、总施肥量计算和黄瓜水肥一体化技术方案。《规程》送审稿经市市场监督管理局组织专家评审，予以立项。</w:t>
      </w:r>
    </w:p>
    <w:p w:rsidR="005D65F9" w:rsidRDefault="000961CA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/>
          <w:sz w:val="32"/>
          <w:szCs w:val="32"/>
        </w:rPr>
        <w:t>二、编制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原则和内容</w:t>
      </w:r>
    </w:p>
    <w:p w:rsidR="005D65F9" w:rsidRPr="000961CA" w:rsidRDefault="000961CA">
      <w:pPr>
        <w:spacing w:line="560" w:lineRule="exact"/>
        <w:ind w:firstLineChars="200" w:firstLine="640"/>
        <w:rPr>
          <w:rFonts w:ascii="宋体" w:eastAsia="宋体" w:hAnsi="宋体" w:cs="方正黑体_GBK"/>
          <w:sz w:val="32"/>
          <w:szCs w:val="32"/>
        </w:rPr>
      </w:pPr>
      <w:r w:rsidRPr="000961CA">
        <w:rPr>
          <w:rFonts w:ascii="宋体" w:eastAsia="宋体" w:hAnsi="宋体" w:cs="Times New Roman" w:hint="eastAsia"/>
          <w:sz w:val="32"/>
          <w:szCs w:val="32"/>
        </w:rPr>
        <w:t>本规程以扬州大学蔬菜产量形成与绿色调控团队为技术支撑，协同我市多个试验示范基地和黄瓜种植主体，开展</w:t>
      </w:r>
      <w:proofErr w:type="gramStart"/>
      <w:r w:rsidRPr="000961CA">
        <w:rPr>
          <w:rFonts w:ascii="宋体" w:eastAsia="宋体" w:hAnsi="宋体" w:cs="Times New Roman" w:hint="eastAsia"/>
          <w:sz w:val="32"/>
          <w:szCs w:val="32"/>
        </w:rPr>
        <w:t>滴灌带</w:t>
      </w:r>
      <w:proofErr w:type="gramEnd"/>
      <w:r w:rsidRPr="000961CA">
        <w:rPr>
          <w:rFonts w:ascii="宋体" w:eastAsia="宋体" w:hAnsi="宋体" w:cs="Times New Roman" w:hint="eastAsia"/>
          <w:sz w:val="32"/>
          <w:szCs w:val="32"/>
        </w:rPr>
        <w:t>流量均匀性试验、定植水影</w:t>
      </w:r>
      <w:r w:rsidRPr="000961CA">
        <w:rPr>
          <w:rFonts w:ascii="宋体" w:eastAsia="宋体" w:hAnsi="宋体" w:cs="Times New Roman" w:hint="eastAsia"/>
          <w:sz w:val="32"/>
          <w:szCs w:val="32"/>
        </w:rPr>
        <w:t>响土壤肥力试验、不同施氮量对黄瓜产量的影响、不同施肥方案对黄瓜产量的影响、不同水肥耦合对黄瓜吸收氮素的影响等相关研究，确立了滴灌带、定植水、施肥量、肥料分布、水肥耦合等技术指标。</w:t>
      </w:r>
      <w:r w:rsidRPr="000961CA">
        <w:rPr>
          <w:rFonts w:ascii="宋体" w:eastAsia="宋体" w:hAnsi="宋体" w:cs="Times New Roman"/>
          <w:sz w:val="32"/>
          <w:szCs w:val="32"/>
        </w:rPr>
        <w:t>通过对多年来积累的相关资料进行认真总结和分析，并</w:t>
      </w:r>
      <w:r w:rsidRPr="000961CA">
        <w:rPr>
          <w:rFonts w:ascii="宋体" w:eastAsia="宋体" w:hAnsi="宋体" w:cs="Times New Roman" w:hint="eastAsia"/>
          <w:sz w:val="32"/>
          <w:szCs w:val="32"/>
        </w:rPr>
        <w:t>征求科研院所、推广单位、种植大户等</w:t>
      </w:r>
      <w:r w:rsidRPr="000961CA">
        <w:rPr>
          <w:rFonts w:ascii="宋体" w:eastAsia="宋体" w:hAnsi="宋体" w:cs="Times New Roman"/>
          <w:sz w:val="32"/>
          <w:szCs w:val="32"/>
        </w:rPr>
        <w:t>建议，组织编写了</w:t>
      </w:r>
      <w:r w:rsidRPr="000961CA">
        <w:rPr>
          <w:rFonts w:ascii="宋体" w:eastAsia="宋体" w:hAnsi="宋体" w:cs="Times New Roman" w:hint="eastAsia"/>
          <w:sz w:val="32"/>
          <w:szCs w:val="32"/>
        </w:rPr>
        <w:t>《黄瓜水肥一体化管理技术规程》</w:t>
      </w:r>
      <w:r w:rsidRPr="000961CA">
        <w:rPr>
          <w:rFonts w:ascii="宋体" w:eastAsia="宋体" w:hAnsi="宋体" w:cs="Times New Roman"/>
          <w:sz w:val="32"/>
          <w:szCs w:val="32"/>
        </w:rPr>
        <w:t>，主要措施具体、操作简便、科学规范，技术指标切合实际，</w:t>
      </w:r>
      <w:r w:rsidRPr="000961CA">
        <w:rPr>
          <w:rFonts w:ascii="宋体" w:eastAsia="宋体" w:hAnsi="宋体" w:cs="Times New Roman" w:hint="eastAsia"/>
          <w:sz w:val="32"/>
          <w:szCs w:val="32"/>
        </w:rPr>
        <w:t>有助于我市黄瓜水肥一体化推广和标准化种植，提升黄瓜生产管理水平，实现节本增效。</w:t>
      </w:r>
    </w:p>
    <w:p w:rsidR="005D65F9" w:rsidRDefault="000961CA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三、预期效果</w:t>
      </w:r>
    </w:p>
    <w:p w:rsidR="005D65F9" w:rsidRPr="000961CA" w:rsidRDefault="000961CA">
      <w:pPr>
        <w:spacing w:line="560" w:lineRule="exact"/>
        <w:ind w:firstLineChars="200" w:firstLine="640"/>
        <w:jc w:val="left"/>
        <w:rPr>
          <w:rFonts w:asciiTheme="majorEastAsia" w:eastAsiaTheme="majorEastAsia" w:hAnsiTheme="majorEastAsia" w:cs="方正黑体_GBK"/>
          <w:spacing w:val="-6"/>
          <w:sz w:val="32"/>
          <w:szCs w:val="32"/>
        </w:rPr>
      </w:pPr>
      <w:r w:rsidRPr="000961CA">
        <w:rPr>
          <w:rFonts w:asciiTheme="majorEastAsia" w:eastAsiaTheme="majorEastAsia" w:hAnsiTheme="majorEastAsia" w:cs="Times New Roman"/>
          <w:sz w:val="32"/>
          <w:szCs w:val="32"/>
        </w:rPr>
        <w:t>黄瓜水肥一体化在设施设备、水肥管理、施用技术等方面与传统灌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溉施肥都有明显的区别，但是目前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我市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尚缺乏相应的黄瓜水肥一体化生产规程，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种植主体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在实际生产过程中大多凭借经验，存在一定的盲目性。制定适合我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市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黄瓜生产的、科学合理的水肥一体化技术规程势在必行，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对提高肥水利用率、减轻农业面源污染、推动农业绿色发展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具有重要的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lastRenderedPageBreak/>
        <w:t>生产指导意义。本规程通过对多年来积累的相关资料进行认真总结和分析，并征求科研院所、推广单位、种植大户等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9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个单位、</w:t>
      </w:r>
      <w:r w:rsidRPr="000961CA">
        <w:rPr>
          <w:rFonts w:asciiTheme="majorEastAsia" w:eastAsiaTheme="majorEastAsia" w:hAnsiTheme="majorEastAsia" w:cs="Times New Roman"/>
          <w:spacing w:val="-6"/>
          <w:sz w:val="32"/>
          <w:szCs w:val="32"/>
        </w:rPr>
        <w:t>回函</w:t>
      </w:r>
      <w:r w:rsidRPr="000961CA">
        <w:rPr>
          <w:rFonts w:asciiTheme="majorEastAsia" w:eastAsiaTheme="majorEastAsia" w:hAnsiTheme="majorEastAsia" w:cs="Times New Roman"/>
          <w:spacing w:val="-6"/>
          <w:sz w:val="32"/>
          <w:szCs w:val="32"/>
        </w:rPr>
        <w:t>10</w:t>
      </w:r>
      <w:r w:rsidRPr="000961CA">
        <w:rPr>
          <w:rFonts w:asciiTheme="majorEastAsia" w:eastAsiaTheme="majorEastAsia" w:hAnsiTheme="majorEastAsia" w:cs="Times New Roman"/>
          <w:spacing w:val="-6"/>
          <w:sz w:val="32"/>
          <w:szCs w:val="32"/>
        </w:rPr>
        <w:t>条，其中建议</w:t>
      </w:r>
      <w:r w:rsidRPr="000961CA">
        <w:rPr>
          <w:rFonts w:asciiTheme="majorEastAsia" w:eastAsiaTheme="majorEastAsia" w:hAnsiTheme="majorEastAsia" w:cs="Times New Roman"/>
          <w:spacing w:val="-6"/>
          <w:sz w:val="32"/>
          <w:szCs w:val="32"/>
        </w:rPr>
        <w:t>3</w:t>
      </w:r>
      <w:r w:rsidRPr="000961CA">
        <w:rPr>
          <w:rFonts w:asciiTheme="majorEastAsia" w:eastAsiaTheme="majorEastAsia" w:hAnsiTheme="majorEastAsia" w:cs="Times New Roman"/>
          <w:spacing w:val="-6"/>
          <w:sz w:val="32"/>
          <w:szCs w:val="32"/>
        </w:rPr>
        <w:t>条，采纳</w:t>
      </w:r>
      <w:r w:rsidRPr="000961CA">
        <w:rPr>
          <w:rFonts w:asciiTheme="majorEastAsia" w:eastAsiaTheme="majorEastAsia" w:hAnsiTheme="majorEastAsia" w:cs="Times New Roman"/>
          <w:spacing w:val="-6"/>
          <w:sz w:val="32"/>
          <w:szCs w:val="32"/>
        </w:rPr>
        <w:t>2</w:t>
      </w:r>
      <w:r w:rsidRPr="000961CA">
        <w:rPr>
          <w:rFonts w:asciiTheme="majorEastAsia" w:eastAsiaTheme="majorEastAsia" w:hAnsiTheme="majorEastAsia" w:cs="Times New Roman"/>
          <w:spacing w:val="-6"/>
          <w:sz w:val="32"/>
          <w:szCs w:val="32"/>
        </w:rPr>
        <w:t>条、不采纳</w:t>
      </w:r>
      <w:r w:rsidRPr="000961CA">
        <w:rPr>
          <w:rFonts w:asciiTheme="majorEastAsia" w:eastAsiaTheme="majorEastAsia" w:hAnsiTheme="majorEastAsia" w:cs="Times New Roman"/>
          <w:spacing w:val="-6"/>
          <w:sz w:val="32"/>
          <w:szCs w:val="32"/>
        </w:rPr>
        <w:t>1</w:t>
      </w:r>
      <w:r w:rsidRPr="000961CA">
        <w:rPr>
          <w:rFonts w:asciiTheme="majorEastAsia" w:eastAsiaTheme="majorEastAsia" w:hAnsiTheme="majorEastAsia" w:cs="Times New Roman"/>
          <w:spacing w:val="-6"/>
          <w:sz w:val="32"/>
          <w:szCs w:val="32"/>
        </w:rPr>
        <w:t>条。</w:t>
      </w:r>
    </w:p>
    <w:p w:rsidR="005D65F9" w:rsidRDefault="000961CA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四、与现行法律法规及国家强制标准关系</w:t>
      </w:r>
    </w:p>
    <w:p w:rsidR="005D65F9" w:rsidRPr="000961CA" w:rsidRDefault="000961CA">
      <w:pPr>
        <w:spacing w:line="560" w:lineRule="exact"/>
        <w:ind w:firstLineChars="200" w:firstLine="640"/>
        <w:rPr>
          <w:rFonts w:asciiTheme="majorEastAsia" w:eastAsiaTheme="majorEastAsia" w:hAnsiTheme="majorEastAsia" w:cs="方正黑体_GBK"/>
          <w:sz w:val="32"/>
          <w:szCs w:val="32"/>
        </w:rPr>
      </w:pPr>
      <w:r w:rsidRPr="000961CA">
        <w:rPr>
          <w:rFonts w:asciiTheme="majorEastAsia" w:eastAsiaTheme="majorEastAsia" w:hAnsiTheme="majorEastAsia" w:cs="Times New Roman"/>
          <w:sz w:val="32"/>
          <w:szCs w:val="32"/>
        </w:rPr>
        <w:t>在起草过程中还参考了</w:t>
      </w:r>
      <w:r w:rsidRPr="000961CA">
        <w:rPr>
          <w:rFonts w:asciiTheme="majorEastAsia" w:eastAsiaTheme="majorEastAsia" w:hAnsiTheme="majorEastAsia" w:cs="Times New Roman" w:hint="eastAsia"/>
          <w:sz w:val="32"/>
          <w:szCs w:val="32"/>
        </w:rPr>
        <w:t>《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 xml:space="preserve">GB 5084-2021 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农田灌溉水质标准</w:t>
      </w:r>
      <w:r w:rsidRPr="000961CA">
        <w:rPr>
          <w:rFonts w:asciiTheme="majorEastAsia" w:eastAsiaTheme="majorEastAsia" w:hAnsiTheme="majorEastAsia" w:cs="Times New Roman" w:hint="eastAsia"/>
          <w:sz w:val="32"/>
          <w:szCs w:val="32"/>
        </w:rPr>
        <w:t>》《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 xml:space="preserve">GB/T 50485-2020 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微灌工程技术</w:t>
      </w:r>
      <w:r w:rsidRPr="000961CA">
        <w:rPr>
          <w:rFonts w:asciiTheme="majorEastAsia" w:eastAsiaTheme="majorEastAsia" w:hAnsiTheme="majorEastAsia" w:cs="Times New Roman" w:hint="eastAsia"/>
          <w:sz w:val="32"/>
          <w:szCs w:val="32"/>
        </w:rPr>
        <w:t>标准》《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 xml:space="preserve">NY/T 3696-2020 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设施蔬菜水肥一体化技术规范</w:t>
      </w:r>
      <w:r w:rsidRPr="000961CA">
        <w:rPr>
          <w:rFonts w:asciiTheme="majorEastAsia" w:eastAsiaTheme="majorEastAsia" w:hAnsiTheme="majorEastAsia" w:cs="Times New Roman" w:hint="eastAsia"/>
          <w:sz w:val="32"/>
          <w:szCs w:val="32"/>
        </w:rPr>
        <w:t>》《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 xml:space="preserve">NY/T 2624-2014 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水肥一体化技术规范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 xml:space="preserve"> 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总则</w:t>
      </w:r>
      <w:r w:rsidRPr="000961CA">
        <w:rPr>
          <w:rFonts w:asciiTheme="majorEastAsia" w:eastAsiaTheme="majorEastAsia" w:hAnsiTheme="majorEastAsia" w:cs="Times New Roman" w:hint="eastAsia"/>
          <w:sz w:val="32"/>
          <w:szCs w:val="32"/>
        </w:rPr>
        <w:t>》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等国家</w:t>
      </w:r>
      <w:r w:rsidRPr="000961CA">
        <w:rPr>
          <w:rFonts w:asciiTheme="majorEastAsia" w:eastAsiaTheme="majorEastAsia" w:hAnsiTheme="majorEastAsia" w:cs="Times New Roman" w:hint="eastAsia"/>
          <w:sz w:val="32"/>
          <w:szCs w:val="32"/>
        </w:rPr>
        <w:t>、行业</w:t>
      </w:r>
      <w:r w:rsidRPr="000961CA">
        <w:rPr>
          <w:rFonts w:asciiTheme="majorEastAsia" w:eastAsiaTheme="majorEastAsia" w:hAnsiTheme="majorEastAsia" w:cs="Times New Roman"/>
          <w:sz w:val="32"/>
          <w:szCs w:val="32"/>
        </w:rPr>
        <w:t>标准</w:t>
      </w:r>
      <w:r w:rsidRPr="000961CA">
        <w:rPr>
          <w:rFonts w:asciiTheme="majorEastAsia" w:eastAsiaTheme="majorEastAsia" w:hAnsiTheme="majorEastAsia" w:cs="Times New Roman" w:hint="eastAsia"/>
          <w:sz w:val="32"/>
          <w:szCs w:val="32"/>
        </w:rPr>
        <w:t>，与现行法律和强制性标准并无相互矛盾和抵触的条款。</w:t>
      </w:r>
    </w:p>
    <w:p w:rsidR="005D65F9" w:rsidRDefault="000961CA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五、</w:t>
      </w:r>
      <w:r>
        <w:rPr>
          <w:rFonts w:ascii="方正黑体_GBK" w:eastAsia="方正黑体_GBK" w:hAnsi="方正黑体_GBK" w:cs="方正黑体_GBK"/>
          <w:sz w:val="32"/>
          <w:szCs w:val="32"/>
        </w:rPr>
        <w:t>贯彻标准的要求和措施建议</w:t>
      </w:r>
    </w:p>
    <w:p w:rsidR="005D65F9" w:rsidRPr="000961CA" w:rsidRDefault="000961CA">
      <w:pPr>
        <w:spacing w:line="560" w:lineRule="exact"/>
        <w:ind w:firstLineChars="200" w:firstLine="640"/>
        <w:rPr>
          <w:rFonts w:asciiTheme="majorEastAsia" w:eastAsiaTheme="majorEastAsia" w:hAnsiTheme="majorEastAsia" w:cs="方正黑体_GBK"/>
          <w:sz w:val="32"/>
          <w:szCs w:val="32"/>
        </w:rPr>
      </w:pPr>
      <w:r w:rsidRPr="000961CA">
        <w:rPr>
          <w:rFonts w:asciiTheme="majorEastAsia" w:eastAsiaTheme="majorEastAsia" w:hAnsiTheme="majorEastAsia" w:cs="Times New Roman" w:hint="eastAsia"/>
          <w:sz w:val="32"/>
          <w:szCs w:val="32"/>
        </w:rPr>
        <w:t>本标准是宿迁市地方标准，规范了宿迁市黄瓜水肥一体化灌溉用水、施肥总量、施肥方案等。</w:t>
      </w:r>
      <w:proofErr w:type="gramStart"/>
      <w:r w:rsidRPr="000961CA">
        <w:rPr>
          <w:rFonts w:asciiTheme="majorEastAsia" w:eastAsiaTheme="majorEastAsia" w:hAnsiTheme="majorEastAsia" w:cs="Times New Roman" w:hint="eastAsia"/>
          <w:sz w:val="32"/>
          <w:szCs w:val="32"/>
        </w:rPr>
        <w:t>贯</w:t>
      </w:r>
      <w:proofErr w:type="gramEnd"/>
      <w:r w:rsidRPr="000961CA">
        <w:rPr>
          <w:rFonts w:asciiTheme="majorEastAsia" w:eastAsiaTheme="majorEastAsia" w:hAnsiTheme="majorEastAsia" w:cs="Times New Roman" w:hint="eastAsia"/>
          <w:sz w:val="32"/>
          <w:szCs w:val="32"/>
        </w:rPr>
        <w:t>标的范围应包括种植户、家庭农场、合作社、农业企业等种植生产单位及农业农村行政事业主管部门</w:t>
      </w:r>
      <w:bookmarkStart w:id="0" w:name="_GoBack"/>
      <w:bookmarkEnd w:id="0"/>
      <w:r w:rsidRPr="000961CA">
        <w:rPr>
          <w:rFonts w:asciiTheme="majorEastAsia" w:eastAsiaTheme="majorEastAsia" w:hAnsiTheme="majorEastAsia" w:cs="Times New Roman" w:hint="eastAsia"/>
          <w:sz w:val="32"/>
          <w:szCs w:val="32"/>
        </w:rPr>
        <w:t>，可采取线上线下培训、田间指导、网络</w:t>
      </w:r>
      <w:proofErr w:type="gramStart"/>
      <w:r w:rsidRPr="000961CA">
        <w:rPr>
          <w:rFonts w:asciiTheme="majorEastAsia" w:eastAsiaTheme="majorEastAsia" w:hAnsiTheme="majorEastAsia" w:cs="Times New Roman" w:hint="eastAsia"/>
          <w:sz w:val="32"/>
          <w:szCs w:val="32"/>
        </w:rPr>
        <w:t>宣传等贯标</w:t>
      </w:r>
      <w:proofErr w:type="gramEnd"/>
      <w:r w:rsidRPr="000961CA">
        <w:rPr>
          <w:rFonts w:asciiTheme="majorEastAsia" w:eastAsiaTheme="majorEastAsia" w:hAnsiTheme="majorEastAsia" w:cs="Times New Roman" w:hint="eastAsia"/>
          <w:sz w:val="32"/>
          <w:szCs w:val="32"/>
        </w:rPr>
        <w:t>措施。</w:t>
      </w:r>
    </w:p>
    <w:p w:rsidR="005D65F9" w:rsidRDefault="005D65F9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</w:p>
    <w:p w:rsidR="005D65F9" w:rsidRDefault="000961CA" w:rsidP="000961CA">
      <w:pPr>
        <w:spacing w:line="560" w:lineRule="exact"/>
        <w:ind w:firstLineChars="200" w:firstLine="640"/>
        <w:jc w:val="righ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《</w:t>
      </w:r>
      <w:r w:rsidRPr="000961CA">
        <w:rPr>
          <w:rFonts w:ascii="方正黑体_GBK" w:eastAsia="方正黑体_GBK" w:hAnsi="方正黑体_GBK" w:cs="方正黑体_GBK" w:hint="eastAsia"/>
          <w:sz w:val="32"/>
          <w:szCs w:val="32"/>
        </w:rPr>
        <w:t>黄瓜水肥一体化管理技术规程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》</w:t>
      </w:r>
      <w:r w:rsidRPr="000961CA">
        <w:rPr>
          <w:rFonts w:ascii="方正黑体_GBK" w:eastAsia="方正黑体_GBK" w:hAnsi="方正黑体_GBK" w:cs="方正黑体_GBK" w:hint="eastAsia"/>
          <w:sz w:val="32"/>
          <w:szCs w:val="32"/>
        </w:rPr>
        <w:t>编制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工作组</w:t>
      </w:r>
    </w:p>
    <w:sectPr w:rsidR="005D6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2NmYzNWJmOWJiZGQ5NDczNTk3YzI2NGUwOTA3MzIifQ=="/>
  </w:docVars>
  <w:rsids>
    <w:rsidRoot w:val="005D65F9"/>
    <w:rsid w:val="000961CA"/>
    <w:rsid w:val="0027303C"/>
    <w:rsid w:val="005D65F9"/>
    <w:rsid w:val="025018D0"/>
    <w:rsid w:val="143C4558"/>
    <w:rsid w:val="21A15487"/>
    <w:rsid w:val="3B84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123</cp:lastModifiedBy>
  <cp:revision>2</cp:revision>
  <dcterms:created xsi:type="dcterms:W3CDTF">2023-11-17T07:17:00Z</dcterms:created>
  <dcterms:modified xsi:type="dcterms:W3CDTF">2024-06-12T04:12:00Z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309993EDF4FB44F3AA19E6CC308F75D5_12</vt:lpwstr>
  </property>
</Properties>
</file>