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1B2" w:rsidRDefault="005421B2" w:rsidP="005421B2">
      <w:pPr>
        <w:spacing w:line="560" w:lineRule="exact"/>
        <w:jc w:val="left"/>
        <w:rPr>
          <w:rFonts w:ascii="Times New Roman" w:eastAsia="方正黑体_GBK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bCs/>
          <w:color w:val="000000"/>
          <w:kern w:val="0"/>
          <w:sz w:val="32"/>
          <w:szCs w:val="32"/>
        </w:rPr>
        <w:t>1</w:t>
      </w:r>
    </w:p>
    <w:p w:rsidR="005421B2" w:rsidRDefault="005421B2" w:rsidP="005421B2">
      <w:pPr>
        <w:spacing w:line="259" w:lineRule="auto"/>
        <w:jc w:val="center"/>
        <w:rPr>
          <w:rFonts w:ascii="Times New Roman" w:eastAsia="方正小标宋_GBK" w:hAnsi="Times New Roman" w:cs="微软雅黑"/>
          <w:bCs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bCs/>
          <w:color w:val="000000"/>
          <w:kern w:val="0"/>
          <w:sz w:val="44"/>
          <w:szCs w:val="44"/>
        </w:rPr>
        <w:t>等级评</w:t>
      </w:r>
      <w:r>
        <w:rPr>
          <w:rFonts w:ascii="Times New Roman" w:eastAsia="方正小标宋_GBK" w:hAnsi="Times New Roman" w:cs="微软雅黑" w:hint="eastAsia"/>
          <w:bCs/>
          <w:color w:val="000000"/>
          <w:kern w:val="0"/>
          <w:sz w:val="44"/>
          <w:szCs w:val="44"/>
        </w:rPr>
        <w:t>定必备项</w:t>
      </w:r>
    </w:p>
    <w:tbl>
      <w:tblPr>
        <w:tblW w:w="0" w:type="dxa"/>
        <w:jc w:val="center"/>
        <w:tblBorders>
          <w:top w:val="single" w:sz="4" w:space="0" w:color="2B2B2B"/>
          <w:left w:val="single" w:sz="4" w:space="0" w:color="2B2B2B"/>
          <w:bottom w:val="single" w:sz="4" w:space="0" w:color="auto"/>
          <w:right w:val="single" w:sz="4" w:space="0" w:color="2B2B2B"/>
          <w:insideH w:val="single" w:sz="4" w:space="0" w:color="2B2B2B"/>
          <w:insideV w:val="single" w:sz="4" w:space="0" w:color="2B2B2B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9273"/>
        <w:gridCol w:w="709"/>
        <w:gridCol w:w="709"/>
        <w:gridCol w:w="709"/>
        <w:gridCol w:w="709"/>
        <w:gridCol w:w="709"/>
      </w:tblGrid>
      <w:tr w:rsidR="005421B2" w:rsidTr="005421B2">
        <w:trPr>
          <w:trHeight w:val="397"/>
          <w:tblHeader/>
          <w:jc w:val="center"/>
        </w:trPr>
        <w:tc>
          <w:tcPr>
            <w:tcW w:w="85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评定项目</w:t>
            </w:r>
          </w:p>
        </w:tc>
        <w:tc>
          <w:tcPr>
            <w:tcW w:w="3545" w:type="dxa"/>
            <w:gridSpan w:val="5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必备等级</w:t>
            </w: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FFD7B9"/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FFD7B9"/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b/>
                <w:bCs/>
                <w:color w:val="000000"/>
                <w:kern w:val="0"/>
                <w:szCs w:val="21"/>
              </w:rPr>
              <w:t>环境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FFD7B9"/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b/>
                <w:bCs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FFD7B9"/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b/>
                <w:bCs/>
                <w:color w:val="000000"/>
                <w:kern w:val="0"/>
                <w:szCs w:val="21"/>
              </w:rPr>
              <w:t>二级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FFD7B9"/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b/>
                <w:bCs/>
                <w:color w:val="000000"/>
                <w:kern w:val="0"/>
                <w:szCs w:val="21"/>
              </w:rPr>
              <w:t>三级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FFD7B9"/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b/>
                <w:bCs/>
                <w:color w:val="000000"/>
                <w:kern w:val="0"/>
                <w:szCs w:val="21"/>
              </w:rPr>
              <w:t>四级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FFD7B9"/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b/>
                <w:bCs/>
                <w:color w:val="000000"/>
                <w:kern w:val="0"/>
                <w:szCs w:val="21"/>
              </w:rPr>
              <w:t>五级</w:t>
            </w: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设有应急导向标识，包括但不限于安全出口标志、疏散路线标志、消防和应急设备位置标志、楼层平面疏散指示图等，</w:t>
            </w:r>
            <w:proofErr w:type="gramStart"/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且信息</w:t>
            </w:r>
            <w:proofErr w:type="gramEnd"/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准确无误。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left"/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建筑主要出入口符合以下条件之一：</w:t>
            </w:r>
          </w:p>
          <w:p w:rsidR="005421B2" w:rsidRDefault="005421B2">
            <w:pPr>
              <w:spacing w:line="340" w:lineRule="exact"/>
              <w:jc w:val="left"/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）坡度不大于</w:t>
            </w: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平坡出入口；</w:t>
            </w:r>
          </w:p>
          <w:p w:rsidR="005421B2" w:rsidRDefault="005421B2">
            <w:pPr>
              <w:spacing w:line="340" w:lineRule="exact"/>
              <w:jc w:val="left"/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）同时设置台阶和轮椅坡道的出入口，轮椅坡道的高度大于</w:t>
            </w: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300mm</w:t>
            </w: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且纵向坡度大于</w:t>
            </w: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1:20</w:t>
            </w: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时，应在两侧设置扶手，坡道与休息平台的扶手应保持连贯；</w:t>
            </w:r>
          </w:p>
          <w:p w:rsidR="005421B2" w:rsidRDefault="005421B2">
            <w:pPr>
              <w:spacing w:line="340" w:lineRule="exact"/>
              <w:jc w:val="left"/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）同时设置台阶和升降平台的出入口。</w:t>
            </w:r>
          </w:p>
          <w:p w:rsidR="005421B2" w:rsidRDefault="005421B2">
            <w:pPr>
              <w:spacing w:line="340" w:lineRule="exact"/>
              <w:jc w:val="left"/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除平坡出入口外，无障碍出入口的门前应设置平台。</w:t>
            </w:r>
          </w:p>
          <w:p w:rsidR="005421B2" w:rsidRDefault="005421B2">
            <w:pPr>
              <w:spacing w:line="340" w:lineRule="exact"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在门完全开启的状态下，平台的净深度不应小于</w:t>
            </w: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1.50m</w:t>
            </w: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建筑内的公共交通空间（公共走廊、过厅、楼梯间等）地面平整、防滑，无缺损。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居室门的开启净宽≥</w:t>
            </w: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0.80m</w:t>
            </w: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卫生间门的开启净宽≥</w:t>
            </w: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0.80m</w:t>
            </w: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老年人公共活动空间照度充足、均匀，灯具无明显眩光。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FFD7B9"/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FFD7B9"/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b/>
                <w:bCs/>
                <w:color w:val="000000"/>
                <w:kern w:val="0"/>
                <w:szCs w:val="21"/>
              </w:rPr>
              <w:t>设施设备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FFD7B9"/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FFD7B9"/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FFD7B9"/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FFD7B9"/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FFD7B9"/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FFFFFF"/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FFFFFF"/>
            <w:vAlign w:val="center"/>
            <w:hideMark/>
          </w:tcPr>
          <w:p w:rsidR="005421B2" w:rsidRDefault="005421B2">
            <w:pPr>
              <w:spacing w:line="340" w:lineRule="exact"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老年人居室内床位平均可使用面积不低于</w:t>
            </w: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㎡，单人间居室使用面积不低于</w:t>
            </w: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㎡。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FFFFFF"/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FFFFFF"/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FFFFFF"/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FFFFFF"/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FFFFFF"/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FFFFFF"/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FFFFFF"/>
            <w:vAlign w:val="center"/>
            <w:hideMark/>
          </w:tcPr>
          <w:p w:rsidR="005421B2" w:rsidRDefault="005421B2">
            <w:pPr>
              <w:spacing w:line="340" w:lineRule="exact"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收住中度失能老年人的多人间居室床位数</w:t>
            </w: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≤4</w:t>
            </w: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床；收住重度失能老年人的多人间居室床位数</w:t>
            </w: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≤6</w:t>
            </w: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床。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FFFFFF"/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FFFFFF"/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FFFFFF"/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FFFFFF"/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FFFFFF"/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配有完好</w:t>
            </w:r>
            <w:proofErr w:type="gramStart"/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有效可</w:t>
            </w:r>
            <w:proofErr w:type="gramEnd"/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响应的紧急呼叫装置或为老年人配备可穿戴紧急呼叫设备。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老年人居室和老年人休息室不设置在地下室、半地下室；不与电梯井道、有噪声振动的设备机房等相邻布置。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能力完好、轻度失能、中度失能老年人居室中有卫生间的居室比例≥</w:t>
            </w: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80%</w:t>
            </w: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widowControl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能力完好、轻度失能、中度失能老年人居室中有卫生间的居室比例</w:t>
            </w: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≥</w:t>
            </w: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60%</w:t>
            </w: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widowControl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能力完好、轻度失能、中度失能老年人居室中有卫生间的居室比例≥</w:t>
            </w: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50%</w:t>
            </w: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居室卫生间设施设备配置符合以下全部条件：</w:t>
            </w:r>
          </w:p>
          <w:p w:rsidR="005421B2" w:rsidRDefault="005421B2" w:rsidP="008E6BEA">
            <w:pPr>
              <w:numPr>
                <w:ilvl w:val="0"/>
                <w:numId w:val="1"/>
              </w:numPr>
              <w:spacing w:line="340" w:lineRule="exact"/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配有完好</w:t>
            </w:r>
            <w:proofErr w:type="gramStart"/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有效可</w:t>
            </w:r>
            <w:proofErr w:type="gramEnd"/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响应的紧急呼叫装置或为老年人配备可穿戴紧急呼叫设备；</w:t>
            </w:r>
          </w:p>
          <w:p w:rsidR="005421B2" w:rsidRDefault="005421B2" w:rsidP="008E6BEA">
            <w:pPr>
              <w:numPr>
                <w:ilvl w:val="0"/>
                <w:numId w:val="1"/>
              </w:numPr>
              <w:spacing w:line="340" w:lineRule="exact"/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配有洗手池和便器；</w:t>
            </w:r>
          </w:p>
          <w:p w:rsidR="005421B2" w:rsidRDefault="005421B2" w:rsidP="008E6BEA">
            <w:pPr>
              <w:numPr>
                <w:ilvl w:val="0"/>
                <w:numId w:val="1"/>
              </w:numPr>
              <w:spacing w:line="340" w:lineRule="exact"/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如厕区</w:t>
            </w:r>
            <w:proofErr w:type="gramEnd"/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的必要位置设有扶手，扶手形式、位置合理，能够正常使用；</w:t>
            </w:r>
          </w:p>
          <w:p w:rsidR="005421B2" w:rsidRDefault="005421B2" w:rsidP="008E6BEA">
            <w:pPr>
              <w:numPr>
                <w:ilvl w:val="0"/>
                <w:numId w:val="1"/>
              </w:numPr>
              <w:spacing w:line="340" w:lineRule="exac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若在湿区配有电源插座等设备，有防水防触电保护装置。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小便器：公共卫生间供老年人使用的</w:t>
            </w:r>
            <w:proofErr w:type="gramStart"/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如厕区</w:t>
            </w:r>
            <w:proofErr w:type="gramEnd"/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设有扶手，且形式、位置合理。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坐便器：公共卫生间供老年人使用的</w:t>
            </w:r>
            <w:proofErr w:type="gramStart"/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如厕区</w:t>
            </w:r>
            <w:proofErr w:type="gramEnd"/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设有扶手，且形式、位置合理。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公共卫生间配有供老年人使用的完好</w:t>
            </w:r>
            <w:proofErr w:type="gramStart"/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有效可</w:t>
            </w:r>
            <w:proofErr w:type="gramEnd"/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响应的紧急呼叫设备。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洗浴空间（包括公共洗浴空间和老年人居室内的洗浴空间）的</w:t>
            </w:r>
            <w:proofErr w:type="gramStart"/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浴位空间</w:t>
            </w:r>
            <w:proofErr w:type="gramEnd"/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宽敞，可容纳护理人员在旁辅助老年人洗浴。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left"/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洗浴空间（包括公共洗浴空间和老年人居室内的洗浴空间）满足老年人基本的安全洗浴需求，符合以下全部条件：</w:t>
            </w:r>
          </w:p>
          <w:p w:rsidR="005421B2" w:rsidRDefault="005421B2" w:rsidP="008E6BEA">
            <w:pPr>
              <w:numPr>
                <w:ilvl w:val="0"/>
                <w:numId w:val="2"/>
              </w:numPr>
              <w:spacing w:line="340" w:lineRule="exact"/>
              <w:jc w:val="left"/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配有便于老年人使用的扶手；</w:t>
            </w:r>
          </w:p>
          <w:p w:rsidR="005421B2" w:rsidRDefault="005421B2" w:rsidP="008E6BEA">
            <w:pPr>
              <w:numPr>
                <w:ilvl w:val="0"/>
                <w:numId w:val="2"/>
              </w:numPr>
              <w:spacing w:line="340" w:lineRule="exact"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配有完好</w:t>
            </w:r>
            <w:proofErr w:type="gramStart"/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有效可</w:t>
            </w:r>
            <w:proofErr w:type="gramEnd"/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响应的紧急呼叫装置或为老年人配备可穿戴紧急呼叫设备。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接待空间（</w:t>
            </w:r>
            <w:proofErr w:type="gramStart"/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含服务</w:t>
            </w:r>
            <w:proofErr w:type="gramEnd"/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厅）设有服务台、值班室等，能提供接待管理、值班咨询等服务。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FFD7B9"/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FFD7B9"/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b/>
                <w:bCs/>
                <w:color w:val="000000"/>
                <w:kern w:val="0"/>
                <w:szCs w:val="21"/>
              </w:rPr>
              <w:t>运营管理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FFD7B9"/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FFD7B9"/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FFD7B9"/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FFD7B9"/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FFD7B9"/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养老机构院长、副院长具有大专及以上文化程度。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widowControl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养老机构院长、副院长具有高中及以上文化程度。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widowControl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养老机构院长、副院长具有初中及以上文化程度。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FFFFFF"/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每</w:t>
            </w: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 xml:space="preserve"> 200 </w:t>
            </w: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名老年人（不足</w:t>
            </w: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 xml:space="preserve"> 200 </w:t>
            </w: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名的按</w:t>
            </w: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 xml:space="preserve"> 200 </w:t>
            </w: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名计算）至少配有</w:t>
            </w: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 xml:space="preserve"> 1 </w:t>
            </w: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名专职社会工作者。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widowControl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至少有</w:t>
            </w: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 xml:space="preserve"> 1 </w:t>
            </w: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名社会工作者指导开展社会工作服务。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 xml:space="preserve">1 </w:t>
            </w: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年内无责任事故发生。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老年人能力评估执行率</w:t>
            </w: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 xml:space="preserve"> 100%</w:t>
            </w: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服务合同签订率</w:t>
            </w: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100%</w:t>
            </w: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特种设备操作人员持证上岗率</w:t>
            </w: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 xml:space="preserve"> 100%</w:t>
            </w: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视频监控系统覆盖养老机构内各出入口、接待大厅、值班室、楼道、餐厅等公共场所。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FFD7B9"/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FFD7B9"/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b/>
                <w:bCs/>
                <w:color w:val="000000"/>
                <w:kern w:val="0"/>
                <w:szCs w:val="21"/>
              </w:rPr>
              <w:t>服务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FFD7B9"/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FFD7B9"/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FFD7B9"/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FFD7B9"/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FFD7B9"/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机构入住率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≥</w:t>
            </w: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50%</w:t>
            </w: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widowControl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机构入住率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≥</w:t>
            </w: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45%</w:t>
            </w: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widowControl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机构入住率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≥</w:t>
            </w: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40%</w:t>
            </w: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。仅收住农村特困人员供养服务机构（敬老院等）申报</w:t>
            </w: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级评定时，入住率要求可下调</w:t>
            </w: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个百分点。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widowControl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机构入住率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≥</w:t>
            </w: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35%</w:t>
            </w: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。仅收住农村特困人员供养服务机构（敬老院等）申报</w:t>
            </w: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级评定时，入住率要求可下调</w:t>
            </w: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个百分点。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widowControl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机构入住率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≥</w:t>
            </w: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30%</w:t>
            </w: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。仅收住农村特困人员供养服务机构（敬老院等）申报</w:t>
            </w: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级评定时，入住率要求可下调</w:t>
            </w: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个百分点。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lastRenderedPageBreak/>
              <w:t>27</w:t>
            </w: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生活照料服务人员参加岗前培训，有培训记录。记录包括培训时间、培训主讲人、签到表、培训课程等内容。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养老护理员持有健康证明或可证明无传染性疾病的体检结果。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膳食服务人员持有健康证明。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食品经营许可证合法有效，经营场所、主体业态、经营项目等事项与食品经营许可证一致。符合食品安全标准，并符合市场监管部门的相关规定。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每年至少组织</w:t>
            </w: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次全体老年人健康体检。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每日至少组织</w:t>
            </w: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次适宜老年人活动，并做好记录。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出入院服务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生活照料服务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膳食服务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清洁卫生服务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洗涤服务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医疗护理服务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文化娱乐服务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心理</w:t>
            </w: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精神支持服务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安宁服务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委托服务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康复服务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lastRenderedPageBreak/>
              <w:t>44</w:t>
            </w: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教育服务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</w:tr>
      <w:tr w:rsidR="005421B2" w:rsidTr="005421B2">
        <w:trPr>
          <w:trHeight w:val="397"/>
          <w:jc w:val="center"/>
        </w:trPr>
        <w:tc>
          <w:tcPr>
            <w:tcW w:w="853" w:type="dxa"/>
            <w:tcBorders>
              <w:top w:val="single" w:sz="4" w:space="0" w:color="2B2B2B"/>
              <w:left w:val="single" w:sz="4" w:space="0" w:color="2B2B2B"/>
              <w:bottom w:val="single" w:sz="4" w:space="0" w:color="auto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273" w:type="dxa"/>
            <w:tcBorders>
              <w:top w:val="single" w:sz="4" w:space="0" w:color="2B2B2B"/>
              <w:left w:val="single" w:sz="4" w:space="0" w:color="2B2B2B"/>
              <w:bottom w:val="single" w:sz="4" w:space="0" w:color="auto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left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微软雅黑" w:hint="eastAsia"/>
                <w:color w:val="000000"/>
                <w:kern w:val="0"/>
                <w:szCs w:val="21"/>
              </w:rPr>
              <w:t>居家上门服务</w:t>
            </w: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auto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auto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auto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auto"/>
              <w:right w:val="single" w:sz="4" w:space="0" w:color="2B2B2B"/>
            </w:tcBorders>
            <w:vAlign w:val="center"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2B2B2B"/>
              <w:left w:val="single" w:sz="4" w:space="0" w:color="2B2B2B"/>
              <w:bottom w:val="single" w:sz="4" w:space="0" w:color="auto"/>
              <w:right w:val="single" w:sz="4" w:space="0" w:color="2B2B2B"/>
            </w:tcBorders>
            <w:vAlign w:val="center"/>
            <w:hideMark/>
          </w:tcPr>
          <w:p w:rsidR="005421B2" w:rsidRDefault="005421B2">
            <w:pPr>
              <w:spacing w:line="340" w:lineRule="exact"/>
              <w:jc w:val="center"/>
              <w:rPr>
                <w:rFonts w:ascii="Times New Roman" w:eastAsia="微软雅黑" w:hAnsi="Times New Roman" w:cs="微软雅黑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Arial"/>
                <w:color w:val="000000"/>
                <w:kern w:val="0"/>
                <w:szCs w:val="21"/>
                <w:shd w:val="clear" w:color="auto" w:fill="FFFFFF"/>
              </w:rPr>
              <w:t>√</w:t>
            </w:r>
          </w:p>
        </w:tc>
      </w:tr>
    </w:tbl>
    <w:p w:rsidR="003A3447" w:rsidRDefault="003A3447">
      <w:bookmarkStart w:id="0" w:name="_GoBack"/>
      <w:bookmarkEnd w:id="0"/>
    </w:p>
    <w:sectPr w:rsidR="003A3447" w:rsidSect="005421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1" w15:restartNumberingAfterBreak="0">
    <w:nsid w:val="0000000A"/>
    <w:multiLevelType w:val="singleLevel"/>
    <w:tmpl w:val="0000000A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45"/>
    <w:rsid w:val="000E1545"/>
    <w:rsid w:val="003A3447"/>
    <w:rsid w:val="0054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CC007-100A-4BF3-939B-B1A06926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1B2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6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2024-06-14T09:05:00Z</dcterms:created>
  <dcterms:modified xsi:type="dcterms:W3CDTF">2024-06-14T09:06:00Z</dcterms:modified>
</cp:coreProperties>
</file>