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F0" w:rsidRDefault="007B62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B62F0" w:rsidRDefault="007B62F0" w:rsidP="001100A7">
      <w:pPr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 w:rsidRPr="0062300B">
        <w:rPr>
          <w:rFonts w:ascii="仿宋_GB2312" w:eastAsia="仿宋_GB2312" w:hAnsi="仿宋" w:cs="宋体"/>
          <w:kern w:val="0"/>
          <w:sz w:val="36"/>
          <w:szCs w:val="36"/>
        </w:rPr>
        <w:t>20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2</w:t>
      </w:r>
      <w:r w:rsidR="00DD739C">
        <w:rPr>
          <w:rFonts w:ascii="仿宋_GB2312" w:eastAsia="仿宋_GB2312" w:hAnsi="仿宋" w:cs="宋体"/>
          <w:kern w:val="0"/>
          <w:sz w:val="36"/>
          <w:szCs w:val="36"/>
        </w:rPr>
        <w:t>4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年度连云港市地方标准</w:t>
      </w:r>
      <w:r w:rsidR="006314C3" w:rsidRPr="006314C3">
        <w:rPr>
          <w:rFonts w:ascii="仿宋_GB2312" w:eastAsia="仿宋_GB2312" w:hAnsi="仿宋" w:cs="宋体" w:hint="eastAsia"/>
          <w:kern w:val="0"/>
          <w:sz w:val="36"/>
          <w:szCs w:val="36"/>
        </w:rPr>
        <w:t>拟立项项目名单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4947"/>
        <w:gridCol w:w="3749"/>
      </w:tblGrid>
      <w:tr w:rsidR="00CF070F" w:rsidRPr="001100A7" w:rsidTr="001100A7">
        <w:trPr>
          <w:trHeight w:hRule="exact" w:val="624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CF070F" w:rsidRPr="001100A7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947" w:type="dxa"/>
            <w:shd w:val="clear" w:color="auto" w:fill="auto"/>
            <w:vAlign w:val="center"/>
            <w:hideMark/>
          </w:tcPr>
          <w:p w:rsidR="00CF070F" w:rsidRPr="001100A7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拟立项标准名称</w:t>
            </w:r>
          </w:p>
        </w:tc>
        <w:tc>
          <w:tcPr>
            <w:tcW w:w="3749" w:type="dxa"/>
            <w:shd w:val="clear" w:color="auto" w:fill="auto"/>
            <w:vAlign w:val="center"/>
            <w:hideMark/>
          </w:tcPr>
          <w:p w:rsidR="00CF070F" w:rsidRPr="001100A7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承担单位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地理标志产品  双店百合花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东海县农业技术推广中心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籼粳杂交稻优质高产栽培技术规程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地理标志产品  东海西红柿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东海县农业技术推广中心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盐碱地改良技术规程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连云港市耕地质量保护站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优质鲜食糯玉米品种彩虹77绿色高产栽培技术规程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畜禽产品药物残留快速检测抽检技术规范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连云港市畜产品质量监督检验测试中心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 xml:space="preserve">草鱼成鱼池塘养殖技术规程 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江苏香河农业开发有限公司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稻麦轮作无人化农场建设技术规范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连云港市农机试验推广站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百头肉牛养殖场建设技术规范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灌云县同兴镇动物防疫检疫站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三倍体牡蛎筏式吊笼养殖技术规程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连云港市海洋与渔业发展促进中心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三叶梢瓜高效生产技术规程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畜禽粪便卧式螺旋反应器好氧堆肥技术规程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 xml:space="preserve">盐土青贮饲料生产与加工技术规程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连云港市畜牧兽医站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切花百合—丝瓜轮作高效栽培技术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 xml:space="preserve">东海县花卉研究推广站 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乌桕高接换头技术规程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 xml:space="preserve">连云港市农业科学院 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 w:hint="eastAsia"/>
                <w:bCs/>
                <w:kern w:val="0"/>
              </w:rPr>
              <w:t>16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蛋用鹌鹑无抗养殖技术规程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连云港市赣榆区畜牧兽医站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DD739C" w:rsidRDefault="00DD739C" w:rsidP="001E6C49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 w:hint="eastAsia"/>
                <w:bCs/>
                <w:kern w:val="0"/>
              </w:rPr>
              <w:t>17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甜瓜、秋冬甘蓝周年轮作技术规程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9C" w:rsidRPr="001100A7" w:rsidRDefault="00DD739C" w:rsidP="001100A7">
            <w:pPr>
              <w:widowControl/>
              <w:jc w:val="lef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连云港市园艺蔬菜技术指导站</w:t>
            </w:r>
          </w:p>
        </w:tc>
      </w:tr>
      <w:tr w:rsidR="001100A7" w:rsidRPr="003956DC" w:rsidTr="00261B58">
        <w:trPr>
          <w:trHeight w:hRule="exact" w:val="8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lastRenderedPageBreak/>
              <w:t>1</w:t>
            </w:r>
            <w:r>
              <w:rPr>
                <w:rFonts w:ascii="黑体" w:eastAsia="黑体" w:hAnsi="黑体"/>
                <w:bCs/>
                <w:kern w:val="0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261B58" w:rsidRDefault="001100A7" w:rsidP="00261B58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人民检察院办理涉海砂公益诉讼案件证据收集工作规范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widowControl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灌南县人民检察院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“一码管地”管理与服务工作规范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连云港市不动产交易登记中心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住宅小区微型消防站建设规范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连云港市消防救援支队</w:t>
            </w:r>
          </w:p>
        </w:tc>
      </w:tr>
      <w:tr w:rsidR="001100A7" w:rsidRPr="003956DC" w:rsidTr="00261B58">
        <w:trPr>
          <w:trHeight w:hRule="exact" w:val="87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C8728B">
            <w:pPr>
              <w:spacing w:line="4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县（区）市场监督管理系统食品安全突发事件应急处置</w:t>
            </w:r>
            <w:r w:rsidR="00C8728B">
              <w:rPr>
                <w:rFonts w:ascii="方正仿宋_GBK" w:eastAsia="方正仿宋_GBK" w:hAnsi="方正仿宋_GBK" w:hint="eastAsia"/>
                <w:color w:val="000000"/>
                <w:sz w:val="24"/>
              </w:rPr>
              <w:t>工作指南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灌云县市场监督管理局</w:t>
            </w:r>
          </w:p>
        </w:tc>
      </w:tr>
      <w:tr w:rsidR="001100A7" w:rsidRPr="003956DC" w:rsidTr="00261B58">
        <w:trPr>
          <w:trHeight w:hRule="exact" w:val="8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spacing w:line="4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县(区)市场监督管理系统校园食品安全突发事件应急处置</w:t>
            </w:r>
            <w:r w:rsidR="00C8728B"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操作规范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灌云县市场监督管理局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港航分区气象服务规范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连云港市气象局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DD739C" w:rsidRDefault="001100A7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城市生活垃圾分类设施设备配置规范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连云港市城市管理局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Default="0070411E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70411E">
              <w:rPr>
                <w:rFonts w:ascii="方正仿宋_GBK" w:eastAsia="方正仿宋_GBK" w:hAnsi="方正仿宋_GBK" w:hint="eastAsia"/>
                <w:color w:val="000000"/>
                <w:sz w:val="24"/>
              </w:rPr>
              <w:t>扫雪除冰作业指南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连云港市城市管理局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公积金窗口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>6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S</w:t>
            </w: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连云港市住房公积金管理中心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行政事业单位国有不动产出租出借实施规范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连云港市机关事务管理局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  <w:r>
              <w:rPr>
                <w:rFonts w:ascii="黑体" w:eastAsia="黑体" w:hAnsi="黑体"/>
                <w:bCs/>
                <w:kern w:val="0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党政机关公务用车维修保养管理规范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连云港市机关事务管理局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/>
                <w:bCs/>
                <w:kern w:val="0"/>
              </w:rPr>
              <w:t>29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集贸市场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>公平</w:t>
            </w: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秤设置要求与管理规范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连云港市市场监督管理局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助产机构孕产妇及新生儿交接规范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连云港市第一人民医院 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DD739C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儿童青少年心理健康诊疗服务规范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连云港市第四人民医院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产后康养机构服务规范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连云港市妇幼保健院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生态环境监测社会化服务机构服务规范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江苏省连云港环境监测中心 </w:t>
            </w:r>
          </w:p>
        </w:tc>
      </w:tr>
      <w:tr w:rsidR="0070411E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Default="0070411E" w:rsidP="0070411E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粉煤灰基工程填料应用技术规程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1E" w:rsidRPr="001100A7" w:rsidRDefault="0070411E" w:rsidP="0070411E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>江苏</w:t>
            </w: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方洋建设工程管理有限公司</w:t>
            </w:r>
          </w:p>
        </w:tc>
      </w:tr>
      <w:tr w:rsidR="001100A7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Default="0070411E" w:rsidP="001100A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  <w:r>
              <w:rPr>
                <w:rFonts w:ascii="黑体" w:eastAsia="黑体" w:hAnsi="黑体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1100A7" w:rsidP="001100A7">
            <w:pPr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粉煤灰基路基材料应用技术规程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A7" w:rsidRPr="001100A7" w:rsidRDefault="00551769" w:rsidP="001100A7">
            <w:pPr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>江苏</w:t>
            </w:r>
            <w:r w:rsidR="001100A7" w:rsidRPr="001100A7">
              <w:rPr>
                <w:rFonts w:ascii="方正仿宋_GBK" w:eastAsia="方正仿宋_GBK" w:hAnsi="方正仿宋_GBK" w:hint="eastAsia"/>
                <w:color w:val="000000"/>
                <w:sz w:val="24"/>
              </w:rPr>
              <w:t>方洋建设工程管理有限公司</w:t>
            </w:r>
          </w:p>
        </w:tc>
      </w:tr>
    </w:tbl>
    <w:p w:rsidR="00CF070F" w:rsidRPr="00DD739C" w:rsidRDefault="00CF070F" w:rsidP="0089792C">
      <w:pPr>
        <w:spacing w:beforeLines="50" w:afterLines="50"/>
        <w:rPr>
          <w:rFonts w:ascii="仿宋_GB2312" w:eastAsia="仿宋_GB2312" w:hAnsi="仿宋" w:cs="宋体"/>
          <w:kern w:val="0"/>
          <w:sz w:val="36"/>
          <w:szCs w:val="36"/>
        </w:rPr>
      </w:pPr>
      <w:bookmarkStart w:id="0" w:name="_GoBack"/>
      <w:bookmarkEnd w:id="0"/>
    </w:p>
    <w:sectPr w:rsidR="00CF070F" w:rsidRPr="00DD739C" w:rsidSect="00A6468F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97" w:rsidRDefault="00590097" w:rsidP="009D6FC5">
      <w:r>
        <w:separator/>
      </w:r>
    </w:p>
  </w:endnote>
  <w:endnote w:type="continuationSeparator" w:id="0">
    <w:p w:rsidR="00590097" w:rsidRDefault="00590097" w:rsidP="009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Pr="00E160DA" w:rsidRDefault="007B62F0">
    <w:pPr>
      <w:pStyle w:val="a5"/>
      <w:rPr>
        <w:sz w:val="32"/>
        <w:szCs w:val="32"/>
      </w:rPr>
    </w:pPr>
    <w:r w:rsidRPr="00E160DA">
      <w:rPr>
        <w:sz w:val="32"/>
        <w:szCs w:val="32"/>
      </w:rPr>
      <w:t>—</w:t>
    </w:r>
    <w:r w:rsidR="0089792C" w:rsidRPr="00E160DA">
      <w:rPr>
        <w:sz w:val="32"/>
        <w:szCs w:val="32"/>
      </w:rPr>
      <w:fldChar w:fldCharType="begin"/>
    </w:r>
    <w:r w:rsidRPr="00E160DA">
      <w:rPr>
        <w:sz w:val="32"/>
        <w:szCs w:val="32"/>
      </w:rPr>
      <w:instrText xml:space="preserve"> PAGE   \* MERGEFORMAT </w:instrText>
    </w:r>
    <w:r w:rsidR="0089792C" w:rsidRPr="00E160DA">
      <w:rPr>
        <w:sz w:val="32"/>
        <w:szCs w:val="32"/>
      </w:rPr>
      <w:fldChar w:fldCharType="separate"/>
    </w:r>
    <w:r w:rsidR="00757F73" w:rsidRPr="00757F73">
      <w:rPr>
        <w:noProof/>
        <w:sz w:val="32"/>
        <w:szCs w:val="32"/>
        <w:lang w:val="zh-CN"/>
      </w:rPr>
      <w:t>2</w:t>
    </w:r>
    <w:r w:rsidR="0089792C" w:rsidRPr="00E160DA">
      <w:rPr>
        <w:sz w:val="32"/>
        <w:szCs w:val="32"/>
      </w:rPr>
      <w:fldChar w:fldCharType="end"/>
    </w:r>
    <w:r w:rsidRPr="00E160DA">
      <w:rPr>
        <w:sz w:val="32"/>
        <w:szCs w:val="32"/>
      </w:rPr>
      <w:t>—</w:t>
    </w:r>
  </w:p>
  <w:p w:rsidR="007B62F0" w:rsidRDefault="007B62F0" w:rsidP="00A857A4">
    <w:pPr>
      <w:pStyle w:val="a5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Default="0089792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9.6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7B62F0" w:rsidRPr="00A857A4" w:rsidRDefault="007B62F0">
                <w:pPr>
                  <w:pStyle w:val="a5"/>
                  <w:rPr>
                    <w:sz w:val="32"/>
                    <w:szCs w:val="32"/>
                  </w:rPr>
                </w:pPr>
                <w:r w:rsidRPr="00A857A4">
                  <w:rPr>
                    <w:sz w:val="32"/>
                    <w:szCs w:val="32"/>
                  </w:rPr>
                  <w:t>—</w:t>
                </w:r>
                <w:r w:rsidR="0089792C" w:rsidRPr="00A857A4">
                  <w:rPr>
                    <w:sz w:val="32"/>
                    <w:szCs w:val="32"/>
                  </w:rPr>
                  <w:fldChar w:fldCharType="begin"/>
                </w:r>
                <w:r w:rsidRPr="00A857A4">
                  <w:rPr>
                    <w:sz w:val="32"/>
                    <w:szCs w:val="32"/>
                  </w:rPr>
                  <w:instrText xml:space="preserve"> PAGE  \* MERGEFORMAT </w:instrText>
                </w:r>
                <w:r w:rsidR="0089792C" w:rsidRPr="00A857A4">
                  <w:rPr>
                    <w:sz w:val="32"/>
                    <w:szCs w:val="32"/>
                  </w:rPr>
                  <w:fldChar w:fldCharType="separate"/>
                </w:r>
                <w:r w:rsidR="00757F73">
                  <w:rPr>
                    <w:noProof/>
                    <w:sz w:val="32"/>
                    <w:szCs w:val="32"/>
                  </w:rPr>
                  <w:t>1</w:t>
                </w:r>
                <w:r w:rsidR="0089792C" w:rsidRPr="00A857A4">
                  <w:rPr>
                    <w:sz w:val="32"/>
                    <w:szCs w:val="32"/>
                  </w:rPr>
                  <w:fldChar w:fldCharType="end"/>
                </w:r>
                <w:r w:rsidRPr="00A857A4"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97" w:rsidRDefault="00590097" w:rsidP="009D6FC5">
      <w:r>
        <w:separator/>
      </w:r>
    </w:p>
  </w:footnote>
  <w:footnote w:type="continuationSeparator" w:id="0">
    <w:p w:rsidR="00590097" w:rsidRDefault="00590097" w:rsidP="009D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Default="007B62F0" w:rsidP="00226D9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9D2"/>
    <w:rsid w:val="00005CBB"/>
    <w:rsid w:val="00006132"/>
    <w:rsid w:val="00015C3B"/>
    <w:rsid w:val="00021270"/>
    <w:rsid w:val="00024E47"/>
    <w:rsid w:val="000818A4"/>
    <w:rsid w:val="00083CB0"/>
    <w:rsid w:val="00087FBD"/>
    <w:rsid w:val="00093C66"/>
    <w:rsid w:val="00093CF5"/>
    <w:rsid w:val="00095299"/>
    <w:rsid w:val="00095B30"/>
    <w:rsid w:val="000A45F2"/>
    <w:rsid w:val="000A6168"/>
    <w:rsid w:val="000A7C1A"/>
    <w:rsid w:val="000B18D0"/>
    <w:rsid w:val="000B1911"/>
    <w:rsid w:val="000B4947"/>
    <w:rsid w:val="000B7A75"/>
    <w:rsid w:val="000B7B79"/>
    <w:rsid w:val="000C14C5"/>
    <w:rsid w:val="000C5FEB"/>
    <w:rsid w:val="000D0CC7"/>
    <w:rsid w:val="000E23B4"/>
    <w:rsid w:val="000E319B"/>
    <w:rsid w:val="000E703B"/>
    <w:rsid w:val="000F14D0"/>
    <w:rsid w:val="000F2354"/>
    <w:rsid w:val="00104F5B"/>
    <w:rsid w:val="001100A7"/>
    <w:rsid w:val="00111AC8"/>
    <w:rsid w:val="0011326E"/>
    <w:rsid w:val="00120150"/>
    <w:rsid w:val="00132D88"/>
    <w:rsid w:val="00137393"/>
    <w:rsid w:val="001430D0"/>
    <w:rsid w:val="00145055"/>
    <w:rsid w:val="00154FDF"/>
    <w:rsid w:val="001904E2"/>
    <w:rsid w:val="001A1F53"/>
    <w:rsid w:val="001A22F7"/>
    <w:rsid w:val="001A41CE"/>
    <w:rsid w:val="001B0C20"/>
    <w:rsid w:val="001B7F1A"/>
    <w:rsid w:val="001C31F6"/>
    <w:rsid w:val="001D465F"/>
    <w:rsid w:val="001E29AD"/>
    <w:rsid w:val="001E6842"/>
    <w:rsid w:val="001F1D68"/>
    <w:rsid w:val="001F341F"/>
    <w:rsid w:val="001F4405"/>
    <w:rsid w:val="001F4781"/>
    <w:rsid w:val="00226D9B"/>
    <w:rsid w:val="00232093"/>
    <w:rsid w:val="00234F25"/>
    <w:rsid w:val="002360F4"/>
    <w:rsid w:val="0024112C"/>
    <w:rsid w:val="00241558"/>
    <w:rsid w:val="0024510E"/>
    <w:rsid w:val="002549CF"/>
    <w:rsid w:val="00256235"/>
    <w:rsid w:val="00261B58"/>
    <w:rsid w:val="00263CE6"/>
    <w:rsid w:val="00275F15"/>
    <w:rsid w:val="00283D6A"/>
    <w:rsid w:val="00287D9B"/>
    <w:rsid w:val="00293079"/>
    <w:rsid w:val="002A70F3"/>
    <w:rsid w:val="002B35D5"/>
    <w:rsid w:val="002B66BA"/>
    <w:rsid w:val="002C21C5"/>
    <w:rsid w:val="002D46F9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27DEE"/>
    <w:rsid w:val="00332DBE"/>
    <w:rsid w:val="0034065A"/>
    <w:rsid w:val="0034095E"/>
    <w:rsid w:val="00341392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3D67CE"/>
    <w:rsid w:val="003E5999"/>
    <w:rsid w:val="004026AE"/>
    <w:rsid w:val="00402C42"/>
    <w:rsid w:val="0041412E"/>
    <w:rsid w:val="00415A90"/>
    <w:rsid w:val="004176D6"/>
    <w:rsid w:val="00433157"/>
    <w:rsid w:val="00453F00"/>
    <w:rsid w:val="00453F75"/>
    <w:rsid w:val="00460A0C"/>
    <w:rsid w:val="00466970"/>
    <w:rsid w:val="00471C93"/>
    <w:rsid w:val="00482263"/>
    <w:rsid w:val="0049255D"/>
    <w:rsid w:val="00495D24"/>
    <w:rsid w:val="00497BD6"/>
    <w:rsid w:val="004C4B5F"/>
    <w:rsid w:val="004C5A78"/>
    <w:rsid w:val="004D4B4A"/>
    <w:rsid w:val="004D73B5"/>
    <w:rsid w:val="004E655F"/>
    <w:rsid w:val="004E7BAA"/>
    <w:rsid w:val="004F2211"/>
    <w:rsid w:val="004F230F"/>
    <w:rsid w:val="00500502"/>
    <w:rsid w:val="00512769"/>
    <w:rsid w:val="0052799E"/>
    <w:rsid w:val="005425DA"/>
    <w:rsid w:val="005448A3"/>
    <w:rsid w:val="00551769"/>
    <w:rsid w:val="00551DC9"/>
    <w:rsid w:val="0056295F"/>
    <w:rsid w:val="005668E4"/>
    <w:rsid w:val="005750D9"/>
    <w:rsid w:val="005756F0"/>
    <w:rsid w:val="00580FF5"/>
    <w:rsid w:val="00587414"/>
    <w:rsid w:val="00590097"/>
    <w:rsid w:val="005B29E7"/>
    <w:rsid w:val="005C7901"/>
    <w:rsid w:val="005D22D7"/>
    <w:rsid w:val="005E3B7D"/>
    <w:rsid w:val="005E545F"/>
    <w:rsid w:val="0061271E"/>
    <w:rsid w:val="00616FEC"/>
    <w:rsid w:val="0062300B"/>
    <w:rsid w:val="0062708C"/>
    <w:rsid w:val="00630DC3"/>
    <w:rsid w:val="006314C3"/>
    <w:rsid w:val="00641786"/>
    <w:rsid w:val="00652EDE"/>
    <w:rsid w:val="00655BE8"/>
    <w:rsid w:val="00660A12"/>
    <w:rsid w:val="00667FC1"/>
    <w:rsid w:val="00673F1D"/>
    <w:rsid w:val="006750E8"/>
    <w:rsid w:val="00683701"/>
    <w:rsid w:val="00685DEB"/>
    <w:rsid w:val="0068733C"/>
    <w:rsid w:val="006903BA"/>
    <w:rsid w:val="00690CAF"/>
    <w:rsid w:val="0069415D"/>
    <w:rsid w:val="006A65DF"/>
    <w:rsid w:val="006B24DD"/>
    <w:rsid w:val="006B41FF"/>
    <w:rsid w:val="006B53F2"/>
    <w:rsid w:val="006C6E42"/>
    <w:rsid w:val="006D497C"/>
    <w:rsid w:val="006D5453"/>
    <w:rsid w:val="006D5880"/>
    <w:rsid w:val="006D7AA0"/>
    <w:rsid w:val="0070411E"/>
    <w:rsid w:val="00724130"/>
    <w:rsid w:val="00730579"/>
    <w:rsid w:val="00735090"/>
    <w:rsid w:val="007467BF"/>
    <w:rsid w:val="00750481"/>
    <w:rsid w:val="00757F73"/>
    <w:rsid w:val="00762483"/>
    <w:rsid w:val="0076544F"/>
    <w:rsid w:val="007B457E"/>
    <w:rsid w:val="007B62F0"/>
    <w:rsid w:val="007B7838"/>
    <w:rsid w:val="007C6192"/>
    <w:rsid w:val="007F0B27"/>
    <w:rsid w:val="008033AB"/>
    <w:rsid w:val="00804C10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9792C"/>
    <w:rsid w:val="008B3D40"/>
    <w:rsid w:val="008B6C5C"/>
    <w:rsid w:val="008C7121"/>
    <w:rsid w:val="008D1556"/>
    <w:rsid w:val="008D3E8F"/>
    <w:rsid w:val="008D5A2A"/>
    <w:rsid w:val="008F019C"/>
    <w:rsid w:val="008F0DC3"/>
    <w:rsid w:val="008F5EC5"/>
    <w:rsid w:val="00911AB2"/>
    <w:rsid w:val="00914930"/>
    <w:rsid w:val="00915B62"/>
    <w:rsid w:val="00917A02"/>
    <w:rsid w:val="00932E42"/>
    <w:rsid w:val="00935F20"/>
    <w:rsid w:val="00937A20"/>
    <w:rsid w:val="00940094"/>
    <w:rsid w:val="009519C3"/>
    <w:rsid w:val="00953F95"/>
    <w:rsid w:val="00954A04"/>
    <w:rsid w:val="009747FD"/>
    <w:rsid w:val="00990332"/>
    <w:rsid w:val="009A2B37"/>
    <w:rsid w:val="009B0DD3"/>
    <w:rsid w:val="009B2E7B"/>
    <w:rsid w:val="009B74C6"/>
    <w:rsid w:val="009D21DD"/>
    <w:rsid w:val="009D6FC5"/>
    <w:rsid w:val="009E79E5"/>
    <w:rsid w:val="009F4412"/>
    <w:rsid w:val="009F615A"/>
    <w:rsid w:val="00A02E68"/>
    <w:rsid w:val="00A1790C"/>
    <w:rsid w:val="00A24105"/>
    <w:rsid w:val="00A24845"/>
    <w:rsid w:val="00A32A9D"/>
    <w:rsid w:val="00A342B1"/>
    <w:rsid w:val="00A346E2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F16"/>
    <w:rsid w:val="00AC39D2"/>
    <w:rsid w:val="00AD5906"/>
    <w:rsid w:val="00AE55F3"/>
    <w:rsid w:val="00AE7E56"/>
    <w:rsid w:val="00B0043B"/>
    <w:rsid w:val="00B009EE"/>
    <w:rsid w:val="00B0123B"/>
    <w:rsid w:val="00B0318B"/>
    <w:rsid w:val="00B36AF6"/>
    <w:rsid w:val="00B46FB7"/>
    <w:rsid w:val="00B67F9A"/>
    <w:rsid w:val="00B70ADA"/>
    <w:rsid w:val="00B76ED5"/>
    <w:rsid w:val="00B776EB"/>
    <w:rsid w:val="00B842CF"/>
    <w:rsid w:val="00BA6FDB"/>
    <w:rsid w:val="00BB2215"/>
    <w:rsid w:val="00BC30B7"/>
    <w:rsid w:val="00BD6760"/>
    <w:rsid w:val="00BE46CE"/>
    <w:rsid w:val="00C02CA1"/>
    <w:rsid w:val="00C178C8"/>
    <w:rsid w:val="00C3303C"/>
    <w:rsid w:val="00C34A56"/>
    <w:rsid w:val="00C36097"/>
    <w:rsid w:val="00C51B60"/>
    <w:rsid w:val="00C569D0"/>
    <w:rsid w:val="00C6058E"/>
    <w:rsid w:val="00C725D9"/>
    <w:rsid w:val="00C82978"/>
    <w:rsid w:val="00C86F8E"/>
    <w:rsid w:val="00C8728B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331"/>
    <w:rsid w:val="00CF38B0"/>
    <w:rsid w:val="00D22993"/>
    <w:rsid w:val="00D4077B"/>
    <w:rsid w:val="00D46981"/>
    <w:rsid w:val="00D47E50"/>
    <w:rsid w:val="00D60EC1"/>
    <w:rsid w:val="00D733EC"/>
    <w:rsid w:val="00D7649C"/>
    <w:rsid w:val="00D802B0"/>
    <w:rsid w:val="00D84C97"/>
    <w:rsid w:val="00D85861"/>
    <w:rsid w:val="00D8785E"/>
    <w:rsid w:val="00D930C9"/>
    <w:rsid w:val="00D95CE1"/>
    <w:rsid w:val="00D96E7B"/>
    <w:rsid w:val="00D9786C"/>
    <w:rsid w:val="00D97E67"/>
    <w:rsid w:val="00DB1464"/>
    <w:rsid w:val="00DB69DB"/>
    <w:rsid w:val="00DB6ED0"/>
    <w:rsid w:val="00DC1E7E"/>
    <w:rsid w:val="00DD739C"/>
    <w:rsid w:val="00DF4D43"/>
    <w:rsid w:val="00E035BA"/>
    <w:rsid w:val="00E13A55"/>
    <w:rsid w:val="00E160DA"/>
    <w:rsid w:val="00E22C55"/>
    <w:rsid w:val="00E270A3"/>
    <w:rsid w:val="00E34DA6"/>
    <w:rsid w:val="00E40D9F"/>
    <w:rsid w:val="00E52877"/>
    <w:rsid w:val="00E549A0"/>
    <w:rsid w:val="00E571C1"/>
    <w:rsid w:val="00E64D99"/>
    <w:rsid w:val="00E721C4"/>
    <w:rsid w:val="00E73C58"/>
    <w:rsid w:val="00E747F4"/>
    <w:rsid w:val="00E76CBE"/>
    <w:rsid w:val="00E82C1D"/>
    <w:rsid w:val="00E85C81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6EC9"/>
    <w:rsid w:val="00F071B1"/>
    <w:rsid w:val="00F222D6"/>
    <w:rsid w:val="00F305CA"/>
    <w:rsid w:val="00F339E4"/>
    <w:rsid w:val="00F42D4D"/>
    <w:rsid w:val="00F4368A"/>
    <w:rsid w:val="00F47527"/>
    <w:rsid w:val="00F475CA"/>
    <w:rsid w:val="00F50A85"/>
    <w:rsid w:val="00F768AD"/>
    <w:rsid w:val="00F77108"/>
    <w:rsid w:val="00F87530"/>
    <w:rsid w:val="00F94758"/>
    <w:rsid w:val="00F95EAB"/>
    <w:rsid w:val="00FB0F7E"/>
    <w:rsid w:val="00FB3AB9"/>
    <w:rsid w:val="00FC1B31"/>
    <w:rsid w:val="00FC796A"/>
    <w:rsid w:val="00FD1AEE"/>
    <w:rsid w:val="0D573627"/>
    <w:rsid w:val="127713A5"/>
    <w:rsid w:val="63BD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9D6FC5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D6FC5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D6FC5"/>
    <w:pPr>
      <w:ind w:leftChars="2500" w:left="100"/>
    </w:pPr>
    <w:rPr>
      <w:kern w:val="0"/>
      <w:sz w:val="24"/>
      <w:lang/>
    </w:rPr>
  </w:style>
  <w:style w:type="character" w:customStyle="1" w:styleId="Char">
    <w:name w:val="日期 Char"/>
    <w:link w:val="a3"/>
    <w:uiPriority w:val="99"/>
    <w:semiHidden/>
    <w:locked/>
    <w:rsid w:val="009D6FC5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9D6FC5"/>
    <w:rPr>
      <w:kern w:val="0"/>
      <w:sz w:val="2"/>
      <w:szCs w:val="20"/>
      <w:lang/>
    </w:rPr>
  </w:style>
  <w:style w:type="character" w:customStyle="1" w:styleId="Char0">
    <w:name w:val="批注框文本 Char"/>
    <w:link w:val="a4"/>
    <w:uiPriority w:val="99"/>
    <w:semiHidden/>
    <w:locked/>
    <w:rsid w:val="009D6FC5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9D6F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9D6FC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6"/>
    <w:uiPriority w:val="99"/>
    <w:semiHidden/>
    <w:locked/>
    <w:rsid w:val="009D6FC5"/>
    <w:rPr>
      <w:rFonts w:cs="Times New Roman"/>
      <w:sz w:val="18"/>
      <w:szCs w:val="18"/>
    </w:rPr>
  </w:style>
  <w:style w:type="character" w:styleId="a7">
    <w:name w:val="Hyperlink"/>
    <w:uiPriority w:val="99"/>
    <w:rsid w:val="009D6F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D6FC5"/>
    <w:pPr>
      <w:ind w:firstLineChars="200" w:firstLine="420"/>
    </w:pPr>
  </w:style>
  <w:style w:type="character" w:customStyle="1" w:styleId="10">
    <w:name w:val="标题1"/>
    <w:uiPriority w:val="99"/>
    <w:rsid w:val="009D6FC5"/>
    <w:rPr>
      <w:rFonts w:cs="Times New Roman"/>
    </w:rPr>
  </w:style>
  <w:style w:type="paragraph" w:customStyle="1" w:styleId="11">
    <w:name w:val="列出段落1"/>
    <w:basedOn w:val="a"/>
    <w:uiPriority w:val="99"/>
    <w:rsid w:val="009D6FC5"/>
    <w:pPr>
      <w:ind w:firstLineChars="200" w:firstLine="420"/>
    </w:pPr>
    <w:rPr>
      <w:szCs w:val="21"/>
    </w:rPr>
  </w:style>
  <w:style w:type="paragraph" w:styleId="a9">
    <w:name w:val="Normal (Web)"/>
    <w:basedOn w:val="a"/>
    <w:uiPriority w:val="99"/>
    <w:rsid w:val="00310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2C33-E34D-4D12-A947-2C8672B7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连质监函</dc:title>
  <dc:subject/>
  <dc:creator>潘晓盼</dc:creator>
  <cp:keywords/>
  <dc:description/>
  <cp:lastModifiedBy>Administrator</cp:lastModifiedBy>
  <cp:revision>126</cp:revision>
  <cp:lastPrinted>2020-08-12T08:30:00Z</cp:lastPrinted>
  <dcterms:created xsi:type="dcterms:W3CDTF">2020-08-12T03:20:00Z</dcterms:created>
  <dcterms:modified xsi:type="dcterms:W3CDTF">2024-06-21T07:12:00Z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