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0" w:name="_Toc64898472"/>
      <w:bookmarkStart w:id="1" w:name="_Toc30310"/>
      <w:bookmarkStart w:id="2" w:name="_Toc36212235"/>
      <w:bookmarkStart w:id="3" w:name="_Toc28374"/>
      <w:bookmarkStart w:id="4" w:name="_Toc28417"/>
      <w:r>
        <w:rPr>
          <w:rFonts w:ascii="黑体" w:hAnsi="黑体" w:eastAsia="黑体"/>
          <w:color w:val="000000"/>
          <w:kern w:val="0"/>
          <w:sz w:val="32"/>
          <w:szCs w:val="32"/>
        </w:rPr>
        <w:t>《</w:t>
      </w:r>
      <w:r>
        <w:rPr>
          <w:rFonts w:hint="eastAsia" w:ascii="黑体" w:hAnsi="黑体" w:eastAsia="黑体"/>
          <w:color w:val="000000"/>
          <w:kern w:val="0"/>
          <w:sz w:val="32"/>
          <w:szCs w:val="32"/>
        </w:rPr>
        <w:t>乘用车燃料消耗量限值</w:t>
      </w:r>
      <w:r>
        <w:rPr>
          <w:rFonts w:ascii="黑体" w:hAnsi="黑体" w:eastAsia="黑体"/>
          <w:color w:val="000000"/>
          <w:kern w:val="0"/>
          <w:sz w:val="32"/>
          <w:szCs w:val="32"/>
        </w:rPr>
        <w:t>》</w:t>
      </w:r>
      <w:bookmarkEnd w:id="0"/>
      <w:bookmarkEnd w:id="1"/>
      <w:bookmarkEnd w:id="2"/>
      <w:bookmarkEnd w:id="3"/>
      <w:bookmarkEnd w:id="4"/>
      <w:bookmarkStart w:id="5" w:name="_Toc36212236"/>
      <w:bookmarkStart w:id="6" w:name="_Toc14803"/>
      <w:bookmarkStart w:id="7" w:name="_Toc21854"/>
      <w:bookmarkStart w:id="8" w:name="_Toc64898473"/>
      <w:bookmarkStart w:id="9" w:name="_Toc4815"/>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5"/>
      <w:bookmarkEnd w:id="6"/>
      <w:bookmarkEnd w:id="7"/>
      <w:bookmarkEnd w:id="8"/>
      <w:bookmarkEnd w:id="9"/>
    </w:p>
    <w:p>
      <w:pPr>
        <w:autoSpaceDE w:val="0"/>
        <w:autoSpaceDN w:val="0"/>
        <w:adjustRightInd w:val="0"/>
        <w:spacing w:line="240" w:lineRule="auto"/>
        <w:ind w:firstLine="0" w:firstLineChars="0"/>
        <w:jc w:val="center"/>
        <w:outlineLvl w:val="0"/>
        <w:rPr>
          <w:rFonts w:ascii="黑体" w:hAnsi="黑体" w:eastAsia="黑体" w:cs="宋体"/>
          <w:color w:val="000000"/>
          <w:kern w:val="0"/>
          <w:sz w:val="32"/>
          <w:szCs w:val="32"/>
        </w:rPr>
      </w:pPr>
      <w:bookmarkStart w:id="10" w:name="_Toc64898474"/>
      <w:bookmarkStart w:id="11" w:name="_Toc30226"/>
      <w:bookmarkStart w:id="12" w:name="_Toc31546"/>
      <w:bookmarkStart w:id="13" w:name="_Toc36212237"/>
      <w:bookmarkStart w:id="14" w:name="_Toc8137"/>
      <w:r>
        <w:rPr>
          <w:rFonts w:hint="eastAsia" w:ascii="黑体" w:hAnsi="黑体" w:eastAsia="黑体" w:cs="宋体"/>
          <w:color w:val="000000"/>
          <w:kern w:val="0"/>
          <w:sz w:val="32"/>
          <w:szCs w:val="32"/>
        </w:rPr>
        <w:t>编制说明</w:t>
      </w:r>
      <w:bookmarkEnd w:id="10"/>
      <w:bookmarkEnd w:id="11"/>
      <w:bookmarkEnd w:id="12"/>
      <w:bookmarkEnd w:id="13"/>
      <w:bookmarkEnd w:id="14"/>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5" w:name="_Toc7124"/>
      <w:bookmarkStart w:id="16" w:name="_Toc733"/>
      <w:bookmarkStart w:id="17" w:name="_Toc36212238"/>
      <w:bookmarkStart w:id="18" w:name="_Toc64898475"/>
      <w:bookmarkStart w:id="19" w:name="_Hlk64896381"/>
      <w:r>
        <w:rPr>
          <w:rFonts w:hint="eastAsia" w:ascii="黑体" w:hAnsi="黑体" w:eastAsia="黑体" w:cs="宋体"/>
          <w:bCs/>
          <w:color w:val="000000"/>
          <w:kern w:val="0"/>
          <w:sz w:val="24"/>
        </w:rPr>
        <w:t>工作简况</w:t>
      </w:r>
      <w:bookmarkEnd w:id="15"/>
      <w:bookmarkEnd w:id="16"/>
      <w:bookmarkEnd w:id="17"/>
      <w:bookmarkEnd w:id="18"/>
    </w:p>
    <w:p>
      <w:pPr>
        <w:spacing w:line="400" w:lineRule="exact"/>
        <w:ind w:firstLine="422"/>
        <w:rPr>
          <w:b/>
          <w:bCs/>
        </w:rPr>
      </w:pPr>
      <w:r>
        <w:rPr>
          <w:rFonts w:hint="eastAsia"/>
          <w:b/>
          <w:bCs/>
        </w:rPr>
        <w:t>1. 背景</w:t>
      </w:r>
    </w:p>
    <w:p>
      <w:pPr>
        <w:spacing w:line="400" w:lineRule="exact"/>
        <w:ind w:firstLine="420"/>
      </w:pPr>
      <w:r>
        <w:rPr>
          <w:rFonts w:hint="eastAsia"/>
        </w:rPr>
        <w:t>标准修订是保障国家能源安全的必然需要。近些年来，我国经济持续快速发展，汽车行业保持高速增长，截至2023年底我国汽车产销量已经连续十五年位居全球第一，全国汽车保有量超过3亿辆。我国汽车保有量增加直接带来石油资源的需求激增，能源供需矛盾日益突出。据统计，2023年我国原油进口量超过5.64亿吨，对外依存度约73%，其中车用燃油消耗占社会表观汽柴油消耗超80%。持续加严乘用车燃料消耗量标准，促进汽车燃料经济性水平不断提升、减少石油资源消耗，成为保障国家能源安全的重要手段。</w:t>
      </w:r>
    </w:p>
    <w:p>
      <w:pPr>
        <w:spacing w:line="400" w:lineRule="exact"/>
        <w:ind w:firstLine="420"/>
      </w:pPr>
      <w:r>
        <w:rPr>
          <w:rFonts w:hint="eastAsia"/>
        </w:rPr>
        <w:t>标准修订是支撑2030年碳达峰目标的重要途经。2020年习近平总书记提出了3060双碳目标，对我国能源结构、交通模式、工业转型等提出绿色发展要求。从全国碳排放结构看，汽车行业尤其是汽车行驶环节对全国碳排放影响具有重要作用（约占到7.5%左右），为此汽车行业需要承担相应减碳责任。按照《2030年前碳达峰行动方案》相关要求，制定面向未来更加严格、科学的乘用车燃料消耗量标准，淘汰高排放的落后产品，促进先进节能低碳技术应用，将有效支撑汽车行业2030年前碳排放达峰，也成为缓解汽车工业快速发展与生态文明建设之间矛盾的重要途径。</w:t>
      </w:r>
    </w:p>
    <w:p>
      <w:pPr>
        <w:spacing w:line="400" w:lineRule="exact"/>
        <w:ind w:firstLine="420"/>
      </w:pPr>
      <w:r>
        <w:rPr>
          <w:rFonts w:hint="eastAsia"/>
        </w:rPr>
        <w:t>标准修订是加快汽车工业转型升级的手段。目前我国汽车产业处于转型升级、绿色发展的关键阶段，保持产品竞争力在全球市场更大发挥作用至关重要。目前欧盟、美国、日本等汽车工业发达国家均制定发布了下一阶段乘用车燃料消耗量标准法规，降低汽车CO</w:t>
      </w:r>
      <w:r>
        <w:rPr>
          <w:rFonts w:hint="eastAsia"/>
          <w:vertAlign w:val="subscript"/>
        </w:rPr>
        <w:t>2</w:t>
      </w:r>
      <w:r>
        <w:rPr>
          <w:rFonts w:hint="eastAsia"/>
        </w:rPr>
        <w:t>排放量，提升燃油经济性水平。从车型实际数据比较看，我国与欧盟、日本在乘用车油耗方面还存在一定差距，行业需要提高油耗标准。通过加严乘用车燃料消耗量限值，推动汽车产业转型升级，为我国汽车“走出去”提供支撑。</w:t>
      </w:r>
    </w:p>
    <w:p>
      <w:pPr>
        <w:spacing w:line="400" w:lineRule="exact"/>
        <w:ind w:firstLine="420"/>
      </w:pPr>
      <w:r>
        <w:rPr>
          <w:rFonts w:hint="eastAsia"/>
        </w:rPr>
        <w:t>标准修订是支撑汽车产业高质量发展的重要举措。2024年3月，国务院印发《推动大规模设备更新和消费品以旧换新行动方案》，指出：“加快完善能耗、排放、技术标准。加快乘用车、重型商用车能量消耗量值相关限制标准升级。”明确表示需加快提升汽车节能指标和市场准入门槛，即直接对本标准的修订提出了要求。推动汽车产品的以旧换新是加快构建汽车产业新发展格局、推动汽车产业高质量发展的重要举措，而限值标准的更新将有力促进投资和消费。</w:t>
      </w:r>
    </w:p>
    <w:p>
      <w:pPr>
        <w:spacing w:line="400" w:lineRule="exact"/>
        <w:ind w:firstLine="420"/>
      </w:pPr>
      <w:r>
        <w:rPr>
          <w:rFonts w:hint="eastAsia"/>
        </w:rPr>
        <w:t>乘用车燃料消耗量限值标准一直以来均是分阶段逐步制定实施，现版本GB 19578—2021实施周期为2021~2025年。按照分阶段管理周期，本次修订标准将从2026年1月1日开始实施，考虑标准实施过渡期，给予行业充分的应对周期，有必要尽快完成标准制定发布。基于此并综合国际法规趋势，开展本标准项目修订工作。</w:t>
      </w:r>
    </w:p>
    <w:p>
      <w:pPr>
        <w:spacing w:line="400" w:lineRule="exact"/>
        <w:ind w:firstLine="422"/>
        <w:rPr>
          <w:b/>
          <w:bCs/>
        </w:rPr>
      </w:pPr>
      <w:r>
        <w:rPr>
          <w:rFonts w:hint="eastAsia"/>
          <w:b/>
          <w:bCs/>
        </w:rPr>
        <w:t>2. 任务来源</w:t>
      </w:r>
    </w:p>
    <w:p>
      <w:pPr>
        <w:spacing w:line="400" w:lineRule="exact"/>
        <w:ind w:firstLine="420"/>
      </w:pPr>
      <w:r>
        <w:rPr>
          <w:rFonts w:hint="eastAsia"/>
        </w:rPr>
        <w:t>2024年5月，国标委下达GB 19578《乘用车燃料消耗量限值》标准修订计划，标准项目号为</w:t>
      </w:r>
      <w:r>
        <w:t>20241051-Q-339</w:t>
      </w:r>
      <w:r>
        <w:rPr>
          <w:rFonts w:hint="eastAsia"/>
        </w:rPr>
        <w:t>。</w:t>
      </w:r>
    </w:p>
    <w:p>
      <w:pPr>
        <w:spacing w:line="400" w:lineRule="exact"/>
        <w:ind w:firstLine="420"/>
      </w:pPr>
      <w:r>
        <w:rPr>
          <w:rFonts w:hint="eastAsia"/>
        </w:rPr>
        <w:t>在工业和信息化部和国家标准化管理委员会指导下，中国汽车技术研究中心有限公司从2021年开始着手进行GB 19578《乘用车燃料消耗量限值》（第六阶段）标准前期预研工作，包括：1）密切跟踪欧洲、美国、日本等主要汽车生产和销售国家（地区）的乘用车节能标准法规动态；2）在行业内开展乘用车节能技术应用情况、潜力和成本调查等；3）在行业内广泛征集现阶段车型燃料消耗量测试结果，研究工况全面切换后的行业总体油耗表现。</w:t>
      </w:r>
    </w:p>
    <w:p>
      <w:pPr>
        <w:spacing w:line="400" w:lineRule="exact"/>
        <w:ind w:firstLine="422"/>
        <w:rPr>
          <w:b/>
          <w:bCs/>
        </w:rPr>
      </w:pPr>
      <w:r>
        <w:rPr>
          <w:rFonts w:hint="eastAsia"/>
          <w:b/>
          <w:bCs/>
        </w:rPr>
        <w:t>3. 主要工作过程</w:t>
      </w:r>
    </w:p>
    <w:p>
      <w:pPr>
        <w:spacing w:line="400" w:lineRule="exact"/>
        <w:ind w:firstLine="420"/>
      </w:pPr>
      <w:r>
        <w:rPr>
          <w:rFonts w:hint="eastAsia"/>
        </w:rPr>
        <w:t>按照节能工作整体部署，GB 19578《乘用车燃料消耗量限值》标准修订工作于2021年正式启动。中国汽车技术研究中心有限公司牵头组织国内外主要整车企业、检测机构共同开展研究。</w:t>
      </w:r>
    </w:p>
    <w:p>
      <w:pPr>
        <w:spacing w:line="400" w:lineRule="exact"/>
        <w:ind w:firstLine="420"/>
      </w:pPr>
      <w:r>
        <w:rPr>
          <w:rFonts w:hint="eastAsia"/>
        </w:rPr>
        <w:t>自启动标准修订工作以来，中国汽车技术研究中心有限公司组织召开多次工作会议和技术交流并开展了节能技术调查；通过会议交流和走访系统深入了解我国乘用车燃料消耗量技术水平；组织开展了WLTC工况下乘用车燃料消耗量摸底试验；组织行业制定标准草案并开展了技术验证。期间开展了多次工作组活动进行专项研讨：</w:t>
      </w:r>
    </w:p>
    <w:p>
      <w:pPr>
        <w:spacing w:line="400" w:lineRule="exact"/>
        <w:ind w:firstLine="420"/>
      </w:pPr>
      <w:r>
        <w:rPr>
          <w:rFonts w:hint="eastAsia"/>
        </w:rPr>
        <w:t>1.调研阶段</w:t>
      </w:r>
    </w:p>
    <w:p>
      <w:pPr>
        <w:spacing w:line="400" w:lineRule="exact"/>
        <w:ind w:firstLine="420"/>
      </w:pPr>
      <w:r>
        <w:rPr>
          <w:rFonts w:hint="eastAsia"/>
        </w:rPr>
        <w:t>（1）2021年3月24日，乘用车及轻型商用车燃料消耗量限值及指标类标准工作组2021年第一次会议于武汉召开，来自国内外主要整车企业、零部件企业及检测机构的代表共150余人参加会议。会议通报了标准的预研情况，会议讨论提出在确定具体指标的过程中，要深入开展节能潜力分析、车型数据调研等基础性研究，同时要开展不同测试工况的影响评估。</w:t>
      </w:r>
    </w:p>
    <w:p>
      <w:pPr>
        <w:spacing w:line="400" w:lineRule="exact"/>
        <w:ind w:firstLine="420"/>
      </w:pPr>
      <w:r>
        <w:rPr>
          <w:rFonts w:hint="eastAsia"/>
        </w:rPr>
        <w:t>（2）2021年5月18日，全国汽车标准化技术委员会第二届汽车节能分技术委员会换届大会暨标准审查会在西安召开，来自汽车节能分标委委员、观察员和标准起草单位的65位专家参加会议。起草组从标准修订的总体背景、必要性、主要修订内容及考虑因素等方面进行了详细介绍，会议对该标准的立项进行了审议，经专家质询并根据会议表决，审议通过了GB 19578《乘用车燃料消耗量限值》标准的立项建议。</w:t>
      </w:r>
    </w:p>
    <w:p>
      <w:pPr>
        <w:spacing w:line="400" w:lineRule="exact"/>
        <w:ind w:firstLine="420"/>
      </w:pPr>
      <w:r>
        <w:rPr>
          <w:rFonts w:hint="eastAsia"/>
        </w:rPr>
        <w:t>（3）2021年9月27日，乘用车及轻型商用车燃料消耗量限值及指标类标准工作组2021年第二次会议在桐乡市召开，来自国内外主要整车企业、零部件企业及检测机构等近80家单位的100余位专家代表参加会议。起草组介绍了标准预研情况，ACEA、丰田中国、通用中国、中汽数据等专家就欧美日乘用车油耗标准法规动态以及我国的产业政策趋势做了专题介绍。会议就工况选择、实施时间与排放标准的协同进行了讨论，同时提出节能潜力、车型结构等相关问题需开展进一步的行业调研。</w:t>
      </w:r>
    </w:p>
    <w:p>
      <w:pPr>
        <w:spacing w:line="400" w:lineRule="exact"/>
        <w:ind w:firstLine="420"/>
      </w:pPr>
      <w:r>
        <w:rPr>
          <w:rFonts w:hint="eastAsia"/>
        </w:rPr>
        <w:t>（4）2022年3月23日，乘用车及轻型商用车燃料消耗量限值及指标类标准工作组2022年第一次会议以网络视频形式召开，来自国内外主要整车企业、零部件企业、检测机构等单位的150余位专家代表参加会议。起草组介绍了标准研究情况，重点就整体研究思路、标准调研反馈情况以及下一步工作计划进行了相关说明。会议对3500 kg以上M</w:t>
      </w:r>
      <w:r>
        <w:rPr>
          <w:rFonts w:hint="eastAsia"/>
          <w:vertAlign w:val="subscript"/>
        </w:rPr>
        <w:t>1</w:t>
      </w:r>
      <w:r>
        <w:rPr>
          <w:rFonts w:hint="eastAsia"/>
        </w:rPr>
        <w:t>车辆的适用性、工况的选择等进行了讨论。</w:t>
      </w:r>
    </w:p>
    <w:p>
      <w:pPr>
        <w:spacing w:line="400" w:lineRule="exact"/>
        <w:ind w:firstLine="420"/>
      </w:pPr>
      <w:r>
        <w:rPr>
          <w:rFonts w:hint="eastAsia"/>
        </w:rPr>
        <w:t>2.起草阶段</w:t>
      </w:r>
    </w:p>
    <w:p>
      <w:pPr>
        <w:spacing w:line="400" w:lineRule="exact"/>
        <w:ind w:firstLine="420"/>
      </w:pPr>
      <w:r>
        <w:rPr>
          <w:rFonts w:hint="eastAsia"/>
        </w:rPr>
        <w:t>（1）2022年11月18日，乘用车及轻型商用车燃料消耗量限值及指标类标准工作组2022年第二次会议以线上、线下相结合方式在长沙召开，来自国内外主要整车企业、零部件企业、检测机构等单位的230余位专家代表参加会议。起草组就标准的加严力度、国家要求、不同加严比例下的达标率及PHEV的适用性进行了介绍，会议围绕相关问题进行了讨论。</w:t>
      </w:r>
    </w:p>
    <w:p>
      <w:pPr>
        <w:spacing w:line="400" w:lineRule="exact"/>
        <w:ind w:firstLine="420"/>
      </w:pPr>
      <w:r>
        <w:rPr>
          <w:rFonts w:hint="eastAsia"/>
        </w:rPr>
        <w:t>（2）2023年3月15日，乘用车及轻型商用车燃料消耗量限值及指标类标准工作组2023年第一次会议在成都召开，来自国内外主要整车企业、零部件企业、检测机构等单位的170余位专家代表参加会议。起草组于会前发送了标准草案，并就相关内容进行了具体说明。会议讨论提出3500 kg以上M</w:t>
      </w:r>
      <w:r>
        <w:rPr>
          <w:rFonts w:hint="eastAsia"/>
          <w:vertAlign w:val="subscript"/>
        </w:rPr>
        <w:t>1</w:t>
      </w:r>
      <w:r>
        <w:rPr>
          <w:rFonts w:hint="eastAsia"/>
        </w:rPr>
        <w:t>车辆不适用于本标准，并就标准加严力度进行了交流。</w:t>
      </w:r>
    </w:p>
    <w:p>
      <w:pPr>
        <w:spacing w:line="400" w:lineRule="exact"/>
        <w:ind w:firstLine="420"/>
      </w:pPr>
      <w:r>
        <w:rPr>
          <w:rFonts w:hint="eastAsia"/>
        </w:rPr>
        <w:t>（3）2023年6月13日，乘用车及轻型商用车燃料消耗量限值及指标类标准工作组2023年第二次会议在长春召开，来自国内外主要整车企业、零部件企业、检测机构等单位的140余位专家代表参加会议。会议重点就标准加严力度、拐点质量、PHEV考核、同一型式进行了讨论，并明确低质量拐点将由现行标准版本中的750 kg调整至1090 kg。</w:t>
      </w:r>
    </w:p>
    <w:p>
      <w:pPr>
        <w:spacing w:line="400" w:lineRule="exact"/>
        <w:ind w:firstLine="420"/>
      </w:pPr>
      <w:r>
        <w:rPr>
          <w:rFonts w:hint="eastAsia"/>
        </w:rPr>
        <w:t>（4）2023年10月18日，乘用车及轻型商用车燃料消耗量限值及指标类标准工作组2023年第三次会议在重庆召开，来自国内外主要整车企业、零部件企业、检测机构等单位的130余位专家代表参加会议。会议讨论明确，标准将在现行标准版本的基础上加严18%。</w:t>
      </w:r>
    </w:p>
    <w:p>
      <w:pPr>
        <w:spacing w:line="400" w:lineRule="exact"/>
        <w:ind w:firstLine="420"/>
      </w:pPr>
      <w:r>
        <w:rPr>
          <w:rFonts w:hint="eastAsia"/>
        </w:rPr>
        <w:t>（5）2024年3月26日，乘用车及轻型商用车燃料消耗量限值及指标类标准工作组2024年第一次会议在合肥召开，来自国内外主要整车企业、零部件企业、检测机构等单位的140余位专家代表参加会议。会议对标准的总体框架、适用范围、加严力度、同一型式等核心技术内容进行讨论并达成一致意见。</w:t>
      </w:r>
    </w:p>
    <w:p>
      <w:pPr>
        <w:spacing w:line="400" w:lineRule="exact"/>
        <w:ind w:firstLine="420"/>
      </w:pPr>
      <w:r>
        <w:rPr>
          <w:rFonts w:hint="eastAsia"/>
        </w:rPr>
        <w:t>此外，还开展了相关调研和交流。总体技术会议及研究活动如下：</w:t>
      </w:r>
    </w:p>
    <w:p>
      <w:pPr>
        <w:spacing w:line="400" w:lineRule="exact"/>
        <w:ind w:firstLine="0" w:firstLineChars="0"/>
        <w:jc w:val="center"/>
        <w:rPr>
          <w:rFonts w:eastAsia="黑体" w:cs="Calibri"/>
          <w:szCs w:val="21"/>
        </w:rPr>
      </w:pPr>
      <w:r>
        <w:rPr>
          <w:rFonts w:eastAsia="黑体" w:cs="Calibri"/>
          <w:szCs w:val="21"/>
        </w:rPr>
        <w:t>表</w:t>
      </w:r>
      <w:r>
        <w:rPr>
          <w:rFonts w:hint="eastAsia" w:eastAsia="黑体" w:cs="Calibri"/>
          <w:szCs w:val="21"/>
        </w:rPr>
        <w:t xml:space="preserve">1 </w:t>
      </w:r>
      <w:r>
        <w:rPr>
          <w:rFonts w:eastAsia="黑体" w:cs="Calibri"/>
          <w:szCs w:val="21"/>
        </w:rPr>
        <w:t>主要技术会议及研究活动</w:t>
      </w:r>
    </w:p>
    <w:tbl>
      <w:tblPr>
        <w:tblStyle w:val="9"/>
        <w:tblW w:w="8525" w:type="dxa"/>
        <w:jc w:val="center"/>
        <w:tblLayout w:type="autofit"/>
        <w:tblCellMar>
          <w:top w:w="0" w:type="dxa"/>
          <w:left w:w="0" w:type="dxa"/>
          <w:bottom w:w="0" w:type="dxa"/>
          <w:right w:w="0" w:type="dxa"/>
        </w:tblCellMar>
      </w:tblPr>
      <w:tblGrid>
        <w:gridCol w:w="1649"/>
        <w:gridCol w:w="2856"/>
        <w:gridCol w:w="4020"/>
      </w:tblGrid>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ascii="黑体" w:hAnsi="黑体" w:eastAsia="黑体"/>
                <w:b/>
                <w:bCs/>
                <w:kern w:val="24"/>
                <w:szCs w:val="21"/>
              </w:rPr>
              <w:t>时间</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ascii="黑体" w:hAnsi="黑体" w:eastAsia="黑体"/>
                <w:b/>
                <w:bCs/>
                <w:kern w:val="24"/>
                <w:szCs w:val="21"/>
              </w:rPr>
              <w:t>会议活动</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ascii="黑体" w:hAnsi="黑体" w:eastAsia="黑体"/>
                <w:b/>
                <w:bCs/>
                <w:kern w:val="24"/>
                <w:szCs w:val="21"/>
              </w:rPr>
              <w:t>主要工作</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w:t>
            </w:r>
            <w:r>
              <w:rPr>
                <w:rFonts w:hAnsi="宋体"/>
                <w:kern w:val="24"/>
                <w:szCs w:val="21"/>
              </w:rPr>
              <w:t>02</w:t>
            </w:r>
            <w:r>
              <w:rPr>
                <w:rFonts w:hint="eastAsia" w:hAnsi="宋体"/>
                <w:kern w:val="24"/>
                <w:szCs w:val="21"/>
              </w:rPr>
              <w:t>1年1</w:t>
            </w:r>
            <w:r>
              <w:rPr>
                <w:rFonts w:hAnsi="宋体"/>
                <w:kern w:val="24"/>
                <w:szCs w:val="21"/>
              </w:rPr>
              <w:t>-</w:t>
            </w:r>
            <w:r>
              <w:rPr>
                <w:rFonts w:hint="eastAsia" w:hAnsi="宋体"/>
                <w:kern w:val="24"/>
                <w:szCs w:val="21"/>
              </w:rPr>
              <w:t>2月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标准预研，国家相关文件要求梳理分析</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2021年3月24日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乘用车及轻型商用车燃料消耗量限值及指标类标准工作组2021年第一次会议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通报标准预研情况，提出要围绕节能潜力分析、车型数据测试工况影响开展研究</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2021年4月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标准立项材料准备</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2021年5月18日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汽车节能分技术委员会标准审查会</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标准立项审议，通过标准立项建议</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2021年6-8月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标准框架分析、国内外标准对比分析</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2021年9月27日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乘用车及轻型商用车燃料消耗量限值及指标类标准工作组2021年第二次会议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介绍了标准的预研情况、国际相关标准法规现状、双积分政策趋势等，并就工况选择、实施时间等问题进行了讨论</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2021年10-12月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围绕标准修订建议、不同车型结构趋势、节能技术潜力、成本等开展专项调研</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2022年1-2月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梳理并分析行业意见，明确标准修订主要考虑内容</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2022年3月23日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rPr>
              <w:t>乘用车及轻型商用车燃料消耗量限值及指标类标准工作组2022年第一次会议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就整体研究思路、标准调研反馈情况及后续工作计划进行了说明，并对3500 kg以上M</w:t>
            </w:r>
            <w:r>
              <w:rPr>
                <w:rFonts w:hint="eastAsia" w:hAnsi="宋体"/>
                <w:kern w:val="24"/>
                <w:szCs w:val="21"/>
                <w:vertAlign w:val="subscript"/>
              </w:rPr>
              <w:t>1</w:t>
            </w:r>
            <w:r>
              <w:rPr>
                <w:rFonts w:hint="eastAsia" w:hAnsi="宋体"/>
                <w:kern w:val="24"/>
                <w:szCs w:val="21"/>
              </w:rPr>
              <w:t>车辆的适用性、工况等进行了讨论</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2022年4-10月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就标准涉及的研究内容开展针对性研究</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Ansi="宋体"/>
                <w:spacing w:val="-11"/>
                <w:kern w:val="24"/>
                <w:szCs w:val="21"/>
              </w:rPr>
              <w:t>2022年11月18</w:t>
            </w:r>
            <w:r>
              <w:rPr>
                <w:rFonts w:hint="eastAsia" w:hAnsi="宋体"/>
                <w:spacing w:val="-11"/>
                <w:kern w:val="24"/>
                <w:szCs w:val="21"/>
              </w:rPr>
              <w:t>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rPr>
              <w:t>乘用车及轻型商用车燃料消耗量限值及指标类标准工作组2022年第二次会议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就标准的加严力度、国家要求、不同加严比例下的达标率及PHEV的适用性进行了介绍与讨论</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2022年12月-2023年2月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根据前期研究情况、专项调研及会议讨论，修订形成第一版标准草案</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2023年3月15日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rPr>
              <w:t>乘用车及轻型商用车燃料消耗量限值及指标类标准工作组2023年第一次会议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围绕标准草案内容进行讨论，形成方向性建议</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2023年4月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就第一版标准草案在工作组范围内开展意见征集</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2023年5月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梳理行业意见，形成标准草案修订方案</w:t>
            </w:r>
          </w:p>
        </w:tc>
      </w:tr>
      <w:tr>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2023年6月13日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rPr>
              <w:t>乘用车及轻型商用车燃料消耗量限值及指标类标准工作组2023年第二次会议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就标准方案进行讨论，形成相关意见和结论</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2023年7-9月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根据标准框架全面梳理相关内容，明确各版块核心技术内容</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Ansi="宋体"/>
                <w:spacing w:val="-11"/>
                <w:kern w:val="24"/>
                <w:szCs w:val="21"/>
              </w:rPr>
              <w:t>2023年10月18</w:t>
            </w:r>
            <w:r>
              <w:rPr>
                <w:rFonts w:hint="eastAsia" w:hAnsi="宋体"/>
                <w:spacing w:val="-11"/>
                <w:kern w:val="24"/>
                <w:szCs w:val="21"/>
              </w:rPr>
              <w:t>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rPr>
              <w:t>乘用车及轻型商用车燃料消耗量限值及指标类标准工作组2023年第三次会议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就标准最终方案进行讨论，限值力度形成一致意见</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2023年11-12月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根据行业意见及会议讨论，修改形成第二版标准草案，并在工作组范围内开展意见征集</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2024年1-2月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梳理行业意见，更新标准草案</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2024年3月26日</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rPr>
              <w:t>乘用车及轻型商用车燃料消耗量限值及指标类标准工作组2024年第一次会议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就更新后的标准方案进行讨论，提出部分修改建议，核心内容全部达成一致意见</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2024年4月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修改形成征求意见稿</w:t>
            </w:r>
          </w:p>
        </w:tc>
      </w:tr>
      <w:tr>
        <w:tblPrEx>
          <w:tblCellMar>
            <w:top w:w="0" w:type="dxa"/>
            <w:left w:w="0" w:type="dxa"/>
            <w:bottom w:w="0" w:type="dxa"/>
            <w:right w:w="0" w:type="dxa"/>
          </w:tblCellMar>
        </w:tblPrEx>
        <w:trPr>
          <w:trHeight w:val="680" w:hRule="atLeast"/>
          <w:jc w:val="center"/>
        </w:trPr>
        <w:tc>
          <w:tcPr>
            <w:tcW w:w="16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2024年5月</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开展标准公开意见征集</w:t>
            </w:r>
          </w:p>
        </w:tc>
      </w:tr>
    </w:tbl>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0" w:name="_Toc64898476"/>
      <w:r>
        <w:rPr>
          <w:rFonts w:hint="eastAsia" w:ascii="黑体" w:hAnsi="黑体" w:eastAsia="黑体" w:cs="宋体"/>
          <w:bCs/>
          <w:color w:val="000000"/>
          <w:kern w:val="0"/>
          <w:sz w:val="24"/>
        </w:rPr>
        <w:t>编制原则、强制性国家标准主要技术要求的依据及理由</w:t>
      </w:r>
      <w:bookmarkEnd w:id="20"/>
    </w:p>
    <w:p>
      <w:pPr>
        <w:spacing w:line="400" w:lineRule="exact"/>
        <w:ind w:firstLine="422"/>
        <w:rPr>
          <w:b/>
          <w:bCs/>
        </w:rPr>
      </w:pPr>
      <w:r>
        <w:rPr>
          <w:rFonts w:hint="eastAsia"/>
          <w:b/>
          <w:bCs/>
        </w:rPr>
        <w:t>1. 编制原则</w:t>
      </w:r>
    </w:p>
    <w:p>
      <w:pPr>
        <w:spacing w:line="400" w:lineRule="exact"/>
        <w:ind w:firstLine="420"/>
      </w:pPr>
      <w:r>
        <w:t>标准</w:t>
      </w:r>
      <w:r>
        <w:rPr>
          <w:rFonts w:hint="eastAsia"/>
        </w:rPr>
        <w:t>通过为车型燃料消耗量提出底线要求，将遏制车辆大型化发展趋势，防止现有总体平均燃料消耗量水平出现反弹，</w:t>
      </w:r>
      <w:r>
        <w:t>制定</w:t>
      </w:r>
      <w:r>
        <w:rPr>
          <w:rFonts w:hint="eastAsia"/>
        </w:rPr>
        <w:t>过程中主要考虑三方面原则：</w:t>
      </w:r>
    </w:p>
    <w:p>
      <w:pPr>
        <w:spacing w:line="400" w:lineRule="exact"/>
        <w:ind w:firstLine="420"/>
      </w:pPr>
      <w:r>
        <w:t>一</w:t>
      </w:r>
      <w:r>
        <w:rPr>
          <w:rFonts w:hint="eastAsia"/>
        </w:rPr>
        <w:t>是目标先进性，重点研究了我国</w:t>
      </w:r>
      <w:r>
        <w:t>与</w:t>
      </w:r>
      <w:r>
        <w:rPr>
          <w:rFonts w:hint="eastAsia"/>
        </w:rPr>
        <w:t>欧盟、</w:t>
      </w:r>
      <w:r>
        <w:t>美国、日本等</w:t>
      </w:r>
      <w:r>
        <w:rPr>
          <w:rFonts w:hint="eastAsia"/>
        </w:rPr>
        <w:t>乘用车</w:t>
      </w:r>
      <w:r>
        <w:t>燃料消耗量水平</w:t>
      </w:r>
      <w:r>
        <w:rPr>
          <w:rFonts w:hint="eastAsia"/>
        </w:rPr>
        <w:t>的差距，与GB 27999配合，保障我国节能水平达到国际领先，其中，本标准以提出燃料消耗量底线要求为总体原则，旨在淘汰落后车型，同时需兼顾产业的多元化发展；GB 27999对比国际先进，基于我国产业发展现状及趋势提出具有较强引导性的指标，促进产业总体能耗降低；</w:t>
      </w:r>
    </w:p>
    <w:p>
      <w:pPr>
        <w:spacing w:line="400" w:lineRule="exact"/>
        <w:ind w:firstLine="420"/>
      </w:pPr>
      <w:r>
        <w:rPr>
          <w:rFonts w:hint="eastAsia"/>
        </w:rPr>
        <w:t>二是技术可行性，</w:t>
      </w:r>
      <w:r>
        <w:t>充分考虑了我国</w:t>
      </w:r>
      <w:r>
        <w:rPr>
          <w:rFonts w:hint="eastAsia"/>
        </w:rPr>
        <w:t>乘用车</w:t>
      </w:r>
      <w:r>
        <w:t>行业的节能技术潜力和成本</w:t>
      </w:r>
      <w:r>
        <w:rPr>
          <w:rFonts w:hint="eastAsia"/>
        </w:rPr>
        <w:t>，避免技术限制或成本过高对企业造成较大影响；</w:t>
      </w:r>
    </w:p>
    <w:p>
      <w:pPr>
        <w:spacing w:line="400" w:lineRule="exact"/>
        <w:ind w:firstLine="420"/>
      </w:pPr>
      <w:r>
        <w:rPr>
          <w:rFonts w:hint="eastAsia"/>
        </w:rPr>
        <w:t>三是标准协调性，考虑到标准相关联的下一阶段排放标准正在研究制定，测试工况等关键基准的选取也需保持协同，因此还分析了不同工况对燃料消耗量的影响。</w:t>
      </w:r>
      <w:r>
        <w:t>综合</w:t>
      </w:r>
      <w:r>
        <w:rPr>
          <w:rFonts w:hint="eastAsia"/>
        </w:rPr>
        <w:t>三</w:t>
      </w:r>
      <w:r>
        <w:t>方面因素确定节能目标</w:t>
      </w:r>
      <w:r>
        <w:rPr>
          <w:rFonts w:hint="eastAsia"/>
        </w:rPr>
        <w:t>和</w:t>
      </w:r>
      <w:r>
        <w:t>限值</w:t>
      </w:r>
      <w:r>
        <w:rPr>
          <w:rFonts w:hint="eastAsia"/>
        </w:rPr>
        <w:t>要求</w:t>
      </w:r>
      <w:r>
        <w:t>。</w:t>
      </w:r>
    </w:p>
    <w:p>
      <w:pPr>
        <w:spacing w:line="400" w:lineRule="exact"/>
        <w:ind w:firstLine="422"/>
        <w:rPr>
          <w:b/>
          <w:bCs/>
        </w:rPr>
      </w:pPr>
      <w:r>
        <w:rPr>
          <w:rFonts w:hint="eastAsia"/>
          <w:b/>
          <w:bCs/>
        </w:rPr>
        <w:t>2. 主要技术内容</w:t>
      </w:r>
    </w:p>
    <w:p>
      <w:pPr>
        <w:spacing w:line="400" w:lineRule="exact"/>
        <w:ind w:firstLine="420"/>
      </w:pPr>
      <w:r>
        <w:rPr>
          <w:rFonts w:hint="eastAsia"/>
        </w:rPr>
        <w:t>标准适用于能够燃用汽油或柴油燃料、最大设计总质量不超过3500 kg的M</w:t>
      </w:r>
      <w:r>
        <w:rPr>
          <w:rFonts w:hint="eastAsia"/>
          <w:vertAlign w:val="subscript"/>
        </w:rPr>
        <w:t>1</w:t>
      </w:r>
      <w:r>
        <w:rPr>
          <w:rFonts w:hint="eastAsia"/>
        </w:rPr>
        <w:t>类车辆，不适用于仅燃用气体燃料或醇醚类燃料的车辆。标准规定了乘用车燃料消耗量的限值、型式认证的申请、燃料消耗量的测定、型式认证值的确定和记录、生产一致性、更改和认证扩展等内容。</w:t>
      </w:r>
    </w:p>
    <w:p>
      <w:pPr>
        <w:spacing w:line="400" w:lineRule="exact"/>
        <w:ind w:firstLine="420"/>
      </w:pPr>
      <w:r>
        <w:rPr>
          <w:rFonts w:hint="eastAsia"/>
        </w:rPr>
        <w:t>本次修订的主要技术变化主要是：结合国家管理要求、技术进步预期、工况切换影响等，对乘用车车型燃料消耗量限值要求进行加严，通过提高车型燃料消耗量门槛要求，将有效遏制车辆大型化发展趋势，防止现有总体平均燃料消耗量水平出现反弹。</w:t>
      </w:r>
    </w:p>
    <w:p>
      <w:pPr>
        <w:spacing w:line="400" w:lineRule="exact"/>
        <w:ind w:firstLine="422"/>
        <w:rPr>
          <w:b/>
          <w:bCs/>
        </w:rPr>
      </w:pPr>
      <w:r>
        <w:rPr>
          <w:rFonts w:hint="eastAsia"/>
          <w:b/>
          <w:bCs/>
        </w:rPr>
        <w:t>（1）节能目标</w:t>
      </w:r>
    </w:p>
    <w:p>
      <w:pPr>
        <w:spacing w:line="400" w:lineRule="exact"/>
        <w:ind w:firstLine="420"/>
      </w:pPr>
      <w:r>
        <w:rPr>
          <w:rFonts w:hint="eastAsia"/>
        </w:rPr>
        <w:t>1）国家目标层面</w:t>
      </w:r>
    </w:p>
    <w:p>
      <w:pPr>
        <w:spacing w:line="400" w:lineRule="exact"/>
        <w:ind w:firstLine="420"/>
      </w:pPr>
      <w:r>
        <w:rPr>
          <w:rFonts w:hint="eastAsia"/>
        </w:rPr>
        <w:t>2017年4月，工业和信息化部、国家发展改革委、科技部联合印发了《汽车产业中长期发展规划》，提出：“到2025年，新车平均燃料消耗量乘用车降到4.0升/百公里”。2022年7月，工业和信息化部、发展改革委、生态环境部联合印发《工业领域碳达峰实施方案》，指出：“加大交通运输领域绿色低碳产品供给，到2030年，乘用车新车二氧化碳排放强度比2020年下降25%以上”。</w:t>
      </w:r>
    </w:p>
    <w:p>
      <w:pPr>
        <w:spacing w:line="400" w:lineRule="exact"/>
        <w:ind w:firstLine="420"/>
      </w:pPr>
      <w:r>
        <w:rPr>
          <w:rFonts w:hint="eastAsia"/>
        </w:rPr>
        <w:t>为了实现《规划》目标、落实《方案》要求，一方面需要跟踪国外标准后续加严幅度，同时也要考虑我国产业实际表现及节能潜力。标准研究组将我国和欧盟、美国、日本的法规加严力度进行梳理，通过对比国内外技术法规指标差异，联合相配套实施的企业平均燃料消耗量指标标准同步加严，以实现国家相关产业文件设定的燃料消耗量目标。</w:t>
      </w:r>
    </w:p>
    <w:p>
      <w:pPr>
        <w:spacing w:line="400" w:lineRule="exact"/>
        <w:ind w:firstLine="420"/>
      </w:pPr>
      <w:r>
        <w:rPr>
          <w:rFonts w:hint="eastAsia"/>
        </w:rPr>
        <w:t>2）产业现状层面</w:t>
      </w:r>
    </w:p>
    <w:p>
      <w:pPr>
        <w:spacing w:line="400" w:lineRule="exact"/>
        <w:ind w:firstLine="420"/>
      </w:pPr>
      <w:r>
        <w:rPr>
          <w:rFonts w:hint="eastAsia"/>
        </w:rPr>
        <w:t>燃料消耗量限值作为车辆的门槛指标，标准实施后所有车辆需全部满足要求。标准研究过程中，对我国乘用车细分车型开展针对性分析，得出各类车型均优于限值要求，平均优于限值达29%。绝大多数类别的车型平均优于限值幅度较大，其中SUV除大型车外平均优于限值水平为26%~28%；乘用车（除微型车外）以及MPV平均优于限值水平均超过30%；仅SUV大型车受车重较大、车型定位等影响优于限值幅度较小，交叉型乘用车、微型车受成本敏感问题燃料消耗量也处于相对较高的水平。</w:t>
      </w:r>
    </w:p>
    <w:p>
      <w:pPr>
        <w:spacing w:line="400" w:lineRule="exact"/>
        <w:ind w:firstLine="0" w:firstLineChars="0"/>
        <w:jc w:val="center"/>
        <w:rPr>
          <w:rFonts w:eastAsia="黑体" w:cs="Calibri"/>
          <w:szCs w:val="21"/>
        </w:rPr>
      </w:pPr>
      <w:r>
        <w:rPr>
          <w:rFonts w:eastAsia="黑体" w:cs="Calibri"/>
          <w:szCs w:val="21"/>
        </w:rPr>
        <w:t>表</w:t>
      </w:r>
      <w:r>
        <w:rPr>
          <w:rFonts w:hint="eastAsia" w:eastAsia="黑体" w:cs="Calibri"/>
          <w:szCs w:val="21"/>
        </w:rPr>
        <w:t>2 2022年国产传统车型平均符合限值标准情况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134"/>
        <w:gridCol w:w="1234"/>
        <w:gridCol w:w="1234"/>
        <w:gridCol w:w="123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2"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车辆类型</w:t>
            </w:r>
          </w:p>
        </w:tc>
        <w:tc>
          <w:tcPr>
            <w:tcW w:w="1134"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车型级别</w:t>
            </w:r>
          </w:p>
        </w:tc>
        <w:tc>
          <w:tcPr>
            <w:tcW w:w="1234"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产量占比</w:t>
            </w:r>
          </w:p>
        </w:tc>
        <w:tc>
          <w:tcPr>
            <w:tcW w:w="1234"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限值</w:t>
            </w:r>
          </w:p>
        </w:tc>
        <w:tc>
          <w:tcPr>
            <w:tcW w:w="1234"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实际值</w:t>
            </w:r>
          </w:p>
        </w:tc>
        <w:tc>
          <w:tcPr>
            <w:tcW w:w="1610"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优于限值幅度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MPV</w:t>
            </w: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5.69%</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10.69</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7.53</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SUV</w:t>
            </w: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大型车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0.03%</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13.66</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12.97</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紧凑型车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27.06%</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9.63</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7</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小型车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4.01%</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8.67</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6.43</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中大型车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2.04%</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12.13</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9.01</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12.25%</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10.6</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7.64</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交叉型乘用车</w:t>
            </w: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1.06%</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8.01</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7.52</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轿车</w:t>
            </w: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紧凑型车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28.94%</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8.65</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微型车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0.03%</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6.5</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6.3</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小型车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1.39%</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7.82</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5.27</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中大型车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3.28%</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10.63</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7.46</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1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中型车</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14.22%</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9.72</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6.46</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dxa"/>
            <w:gridSpan w:val="2"/>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平均</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100.00%</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9.54</w:t>
            </w:r>
          </w:p>
        </w:tc>
        <w:tc>
          <w:tcPr>
            <w:tcW w:w="1234"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6.76</w:t>
            </w:r>
          </w:p>
        </w:tc>
        <w:tc>
          <w:tcPr>
            <w:tcW w:w="1610"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29%</w:t>
            </w:r>
          </w:p>
        </w:tc>
      </w:tr>
    </w:tbl>
    <w:p>
      <w:pPr>
        <w:spacing w:line="400" w:lineRule="exact"/>
        <w:ind w:firstLine="420"/>
      </w:pPr>
      <w:r>
        <w:rPr>
          <w:rFonts w:hint="eastAsia"/>
        </w:rPr>
        <w:t>总体看，在本标准及配套的企业平均燃料消耗量共同驱动下，我国现阶段车型燃料消耗量水平持续降低，且具备进一步加严限值门槛要求的基础。通过合理加严燃料消耗量限值要求，将有助于推动部分落后车型的技术升级，从而进一步降低汽车产业的总体能耗。</w:t>
      </w:r>
    </w:p>
    <w:p>
      <w:pPr>
        <w:spacing w:line="400" w:lineRule="exact"/>
        <w:ind w:firstLine="420"/>
      </w:pPr>
      <w:r>
        <w:rPr>
          <w:rFonts w:hint="eastAsia"/>
        </w:rPr>
        <w:t>3）技术潜力层面</w:t>
      </w:r>
    </w:p>
    <w:p>
      <w:pPr>
        <w:spacing w:line="400" w:lineRule="exact"/>
        <w:ind w:firstLine="420"/>
      </w:pPr>
      <w:r>
        <w:rPr>
          <w:rFonts w:hint="eastAsia"/>
        </w:rPr>
        <w:t>为了系统研究乘用车技术降耗潜力，标准起草组在行业范围内开展了节能技术调查，收集发动机、变速器、车身、混动等方面21项技术的节能潜力、成本、当前应用比例以及2025年、2030应用比例预测，以此为基础开展乘用车节能技术潜力和成本分析。从图1所示的乘用车技术搭载趋势看，传统节能技术层面，尽管各单项技术的节能潜力相对较低，但总体节能潜力仍有一定空间；另一方面，发展混合动力将能够进一步大幅度降低车型燃料消耗量水平。图2所示为近年混动技术的搭载率情况。</w:t>
      </w:r>
    </w:p>
    <w:p>
      <w:pPr>
        <w:ind w:firstLine="0" w:firstLineChars="0"/>
        <w:jc w:val="center"/>
      </w:pPr>
      <w:r>
        <w:drawing>
          <wp:inline distT="0" distB="0" distL="0" distR="0">
            <wp:extent cx="2699385" cy="1869440"/>
            <wp:effectExtent l="0" t="0" r="5715" b="0"/>
            <wp:docPr id="7083653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6534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0000" cy="1869821"/>
                    </a:xfrm>
                    <a:prstGeom prst="rect">
                      <a:avLst/>
                    </a:prstGeom>
                    <a:noFill/>
                  </pic:spPr>
                </pic:pic>
              </a:graphicData>
            </a:graphic>
          </wp:inline>
        </w:drawing>
      </w:r>
      <w:r>
        <w:drawing>
          <wp:inline distT="0" distB="0" distL="0" distR="0">
            <wp:extent cx="2537460" cy="1863090"/>
            <wp:effectExtent l="0" t="0" r="0" b="3810"/>
            <wp:docPr id="16220297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29721"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38000" cy="1863491"/>
                    </a:xfrm>
                    <a:prstGeom prst="rect">
                      <a:avLst/>
                    </a:prstGeom>
                    <a:noFill/>
                  </pic:spPr>
                </pic:pic>
              </a:graphicData>
            </a:graphic>
          </wp:inline>
        </w:drawing>
      </w:r>
    </w:p>
    <w:p>
      <w:pPr>
        <w:spacing w:line="400" w:lineRule="exact"/>
        <w:ind w:firstLine="0" w:firstLineChars="0"/>
        <w:jc w:val="center"/>
        <w:rPr>
          <w:rFonts w:eastAsia="黑体" w:cs="Calibri"/>
          <w:sz w:val="18"/>
          <w:szCs w:val="18"/>
        </w:rPr>
      </w:pPr>
      <w:r>
        <w:rPr>
          <w:rFonts w:hint="eastAsia" w:eastAsia="黑体" w:cs="Calibri"/>
          <w:sz w:val="18"/>
          <w:szCs w:val="18"/>
        </w:rPr>
        <w:t>（a）节能技术搭载率                                                           （b）节能潜力测算</w:t>
      </w:r>
    </w:p>
    <w:p>
      <w:pPr>
        <w:spacing w:line="400" w:lineRule="exact"/>
        <w:ind w:firstLine="0" w:firstLineChars="0"/>
        <w:jc w:val="center"/>
        <w:rPr>
          <w:rFonts w:eastAsia="黑体" w:cs="Calibri"/>
          <w:szCs w:val="21"/>
        </w:rPr>
      </w:pPr>
      <w:r>
        <w:rPr>
          <w:rFonts w:hint="eastAsia" w:eastAsia="黑体" w:cs="Calibri"/>
          <w:szCs w:val="21"/>
        </w:rPr>
        <w:t>图1 节能技术搭载率及节能潜力调研分析</w:t>
      </w:r>
    </w:p>
    <w:p>
      <w:pPr>
        <w:spacing w:line="240" w:lineRule="auto"/>
        <w:ind w:firstLine="0" w:firstLineChars="0"/>
        <w:jc w:val="center"/>
        <w:rPr>
          <w:rFonts w:eastAsia="黑体" w:cs="Calibri"/>
          <w:szCs w:val="21"/>
        </w:rPr>
      </w:pPr>
      <w:r>
        <w:rPr>
          <w:rFonts w:eastAsia="黑体" w:cs="Calibri"/>
          <w:szCs w:val="21"/>
        </w:rPr>
        <w:drawing>
          <wp:inline distT="0" distB="0" distL="0" distR="0">
            <wp:extent cx="3599180" cy="1845310"/>
            <wp:effectExtent l="0" t="0" r="0" b="0"/>
            <wp:docPr id="20973236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2363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t="9325"/>
                    <a:stretch>
                      <a:fillRect/>
                    </a:stretch>
                  </pic:blipFill>
                  <pic:spPr>
                    <a:xfrm>
                      <a:off x="0" y="0"/>
                      <a:ext cx="3600000" cy="1845767"/>
                    </a:xfrm>
                    <a:prstGeom prst="rect">
                      <a:avLst/>
                    </a:prstGeom>
                    <a:noFill/>
                    <a:ln>
                      <a:noFill/>
                    </a:ln>
                  </pic:spPr>
                </pic:pic>
              </a:graphicData>
            </a:graphic>
          </wp:inline>
        </w:drawing>
      </w:r>
    </w:p>
    <w:p>
      <w:pPr>
        <w:spacing w:line="400" w:lineRule="exact"/>
        <w:ind w:firstLine="0" w:firstLineChars="0"/>
        <w:jc w:val="center"/>
        <w:rPr>
          <w:rFonts w:eastAsia="黑体" w:cs="Calibri"/>
          <w:szCs w:val="21"/>
        </w:rPr>
      </w:pPr>
      <w:r>
        <w:rPr>
          <w:rFonts w:hint="eastAsia" w:eastAsia="黑体" w:cs="Calibri"/>
          <w:szCs w:val="21"/>
        </w:rPr>
        <w:t>图2 混动技术搭载率发展趋势</w:t>
      </w:r>
    </w:p>
    <w:p>
      <w:pPr>
        <w:spacing w:line="400" w:lineRule="exact"/>
        <w:ind w:firstLine="420"/>
        <w:rPr>
          <w:rFonts w:eastAsia="黑体" w:cs="Calibri"/>
          <w:szCs w:val="21"/>
        </w:rPr>
      </w:pPr>
      <w:r>
        <w:rPr>
          <w:rFonts w:hint="eastAsia"/>
        </w:rPr>
        <w:t>从图2可以看到，随着燃料消耗量标准的持续加严，近年来混动比例呈现持续增加的趋势，预计在未来一段时间内仍将延续该发展趋势。因此，结合现阶段车型实际能耗表现，目前已有技术储备表明传统燃油车燃料消耗量具有较大节能潜力，限值要求有必要进一步加严。</w:t>
      </w:r>
    </w:p>
    <w:p>
      <w:pPr>
        <w:spacing w:line="400" w:lineRule="exact"/>
        <w:ind w:firstLine="422"/>
        <w:rPr>
          <w:b/>
          <w:bCs/>
        </w:rPr>
      </w:pPr>
      <w:r>
        <w:rPr>
          <w:rFonts w:hint="eastAsia"/>
          <w:b/>
          <w:bCs/>
        </w:rPr>
        <w:t>（2）数据分析</w:t>
      </w:r>
    </w:p>
    <w:p>
      <w:pPr>
        <w:spacing w:line="400" w:lineRule="exact"/>
        <w:ind w:firstLine="420"/>
      </w:pPr>
      <w:r>
        <w:rPr>
          <w:rFonts w:hint="eastAsia"/>
        </w:rPr>
        <w:t>质量基准层面，标准配套的试验方法标准前期已完成全面更新，其中测试质量也发生一定变化，因此在标准的制定过程中针对性地开展了测试质量变化的影响研究。如图3所示，原测试质量下，整备质量和测试质量呈现完全线性关系，这主要是因为原测试质量设置为整备质量加上100 kg，因此按照整备质量或测试质量制定限值要求力度一致。新测试质量下，整备质量和测试质量的线性相关系数</w:t>
      </w:r>
      <w:r>
        <w:rPr>
          <w:rFonts w:hint="eastAsia"/>
          <w:i/>
          <w:iCs/>
        </w:rPr>
        <w:t>R</w:t>
      </w:r>
      <w:r>
        <w:rPr>
          <w:rFonts w:hint="eastAsia"/>
          <w:vertAlign w:val="superscript"/>
        </w:rPr>
        <w:t>2</w:t>
      </w:r>
      <w:r>
        <w:rPr>
          <w:rFonts w:hint="eastAsia"/>
        </w:rPr>
        <w:t>也在0.99以上，反映了新测试质量采取的整备质量加100 kg加选装装备质量加代表性负荷的方式下，整备质量与测试质量仍呈现非常强的线性相关性，因此可以得出，新测试质量下仍可采取整备质量为基准制定限值要求。</w:t>
      </w:r>
    </w:p>
    <w:p>
      <w:pPr>
        <w:spacing w:line="240" w:lineRule="auto"/>
        <w:ind w:firstLine="0" w:firstLineChars="0"/>
        <w:jc w:val="center"/>
      </w:pPr>
      <w:r>
        <w:drawing>
          <wp:inline distT="0" distB="0" distL="0" distR="0">
            <wp:extent cx="4319905" cy="2277745"/>
            <wp:effectExtent l="0" t="0" r="0" b="0"/>
            <wp:docPr id="88392219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22199"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20000" cy="2278336"/>
                    </a:xfrm>
                    <a:prstGeom prst="rect">
                      <a:avLst/>
                    </a:prstGeom>
                    <a:noFill/>
                    <a:ln>
                      <a:noFill/>
                    </a:ln>
                  </pic:spPr>
                </pic:pic>
              </a:graphicData>
            </a:graphic>
          </wp:inline>
        </w:drawing>
      </w:r>
    </w:p>
    <w:p>
      <w:pPr>
        <w:spacing w:line="400" w:lineRule="exact"/>
        <w:ind w:firstLine="0" w:firstLineChars="0"/>
        <w:jc w:val="center"/>
        <w:rPr>
          <w:rFonts w:eastAsia="黑体" w:cs="Calibri"/>
          <w:szCs w:val="21"/>
        </w:rPr>
      </w:pPr>
      <w:r>
        <w:rPr>
          <w:rFonts w:hint="eastAsia" w:eastAsia="黑体" w:cs="Calibri"/>
          <w:szCs w:val="21"/>
        </w:rPr>
        <w:t>图3 不同试验方法下整备质量与测试质量的线性相关性</w:t>
      </w:r>
    </w:p>
    <w:p>
      <w:pPr>
        <w:spacing w:line="400" w:lineRule="exact"/>
        <w:ind w:firstLine="420"/>
      </w:pPr>
      <w:r>
        <w:rPr>
          <w:rFonts w:hint="eastAsia"/>
        </w:rPr>
        <w:t>燃料消耗量限值的制定首先需基于行业数据提出总体要求，而后通过设置合理的质量拐点以有效抑制车重的增加，同时对质量较轻的车型给予合理放宽、对车辆较重的车型进行适当加严。原版本下，对于车重低于750 kg的车型限值同750 kg下的限值要求，高于2510 kg的车型同2510 kg下的限值要求。由图4可知，通过设置质量拐点，超过2510 kg的车型很少，即有效实现了对大型车的数量控制；但也可以看出，无低于750 kg车型，使得这一项激励引导的措施未能产生实质性的效力，对此标准研究中也进行针对性研讨。</w:t>
      </w:r>
    </w:p>
    <w:p>
      <w:pPr>
        <w:ind w:firstLine="0" w:firstLineChars="0"/>
        <w:jc w:val="center"/>
      </w:pPr>
      <w:r>
        <w:drawing>
          <wp:inline distT="0" distB="0" distL="0" distR="0">
            <wp:extent cx="3910965" cy="2454910"/>
            <wp:effectExtent l="0" t="0" r="0" b="0"/>
            <wp:docPr id="6578984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98458" name="图片 1"/>
                    <pic:cNvPicPr>
                      <a:picLocks noChangeAspect="1"/>
                    </pic:cNvPicPr>
                  </pic:nvPicPr>
                  <pic:blipFill>
                    <a:blip r:embed="rId12"/>
                    <a:srcRect t="7794"/>
                    <a:stretch>
                      <a:fillRect/>
                    </a:stretch>
                  </pic:blipFill>
                  <pic:spPr>
                    <a:xfrm>
                      <a:off x="0" y="0"/>
                      <a:ext cx="3925484" cy="2463868"/>
                    </a:xfrm>
                    <a:prstGeom prst="rect">
                      <a:avLst/>
                    </a:prstGeom>
                    <a:ln>
                      <a:noFill/>
                    </a:ln>
                  </pic:spPr>
                </pic:pic>
              </a:graphicData>
            </a:graphic>
          </wp:inline>
        </w:drawing>
      </w:r>
    </w:p>
    <w:p>
      <w:pPr>
        <w:spacing w:line="400" w:lineRule="exact"/>
        <w:ind w:firstLine="0" w:firstLineChars="0"/>
        <w:jc w:val="center"/>
        <w:rPr>
          <w:rFonts w:eastAsia="黑体" w:cs="Calibri"/>
          <w:szCs w:val="21"/>
        </w:rPr>
      </w:pPr>
      <w:r>
        <w:rPr>
          <w:rFonts w:hint="eastAsia" w:eastAsia="黑体" w:cs="Calibri"/>
          <w:szCs w:val="21"/>
        </w:rPr>
        <w:t>图4 传统燃油车整备质量分布情况</w:t>
      </w:r>
    </w:p>
    <w:p>
      <w:pPr>
        <w:spacing w:line="400" w:lineRule="exact"/>
        <w:ind w:firstLine="420"/>
      </w:pPr>
      <w:r>
        <w:rPr>
          <w:rFonts w:hint="eastAsia"/>
        </w:rPr>
        <w:t>标准配套的企业平均燃料消耗标准中，低质量拐点为1090 kg。结合行业数据，如放宽至1090 kg，满足要求的车型占传统车总体比例不足1%，基于此，从GB 27999和GB 19578保持统一角度出发，研究提出低质量拐点将从750 kg增加至1090 kg。</w:t>
      </w:r>
    </w:p>
    <w:p>
      <w:pPr>
        <w:spacing w:line="400" w:lineRule="exact"/>
        <w:ind w:firstLine="420"/>
      </w:pPr>
      <w:r>
        <w:rPr>
          <w:rFonts w:hint="eastAsia"/>
        </w:rPr>
        <w:t>关于加严力度，行业现状显示现行车型显著优于限值水平；节能潜力分析表明传统车总体节能潜力在15%~20%以上。基于此，开展了不同加严比例下各类车型及总体的达标率分析，如表3所示。</w:t>
      </w:r>
    </w:p>
    <w:p>
      <w:pPr>
        <w:spacing w:line="400" w:lineRule="exact"/>
        <w:ind w:firstLine="0" w:firstLineChars="0"/>
        <w:jc w:val="center"/>
        <w:rPr>
          <w:rFonts w:eastAsia="黑体" w:cs="Calibri"/>
          <w:szCs w:val="21"/>
        </w:rPr>
      </w:pPr>
      <w:r>
        <w:rPr>
          <w:rFonts w:eastAsia="黑体" w:cs="Calibri"/>
          <w:szCs w:val="21"/>
        </w:rPr>
        <w:t>表</w:t>
      </w:r>
      <w:r>
        <w:rPr>
          <w:rFonts w:hint="eastAsia" w:eastAsia="黑体" w:cs="Calibri"/>
          <w:szCs w:val="21"/>
        </w:rPr>
        <w:t>3 2022年国产传统车型不同加严比例下分车型达标率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908"/>
        <w:gridCol w:w="1908"/>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车辆类型</w:t>
            </w:r>
          </w:p>
        </w:tc>
        <w:tc>
          <w:tcPr>
            <w:tcW w:w="1908"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车型级别</w:t>
            </w:r>
          </w:p>
        </w:tc>
        <w:tc>
          <w:tcPr>
            <w:tcW w:w="1908"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加严20%</w:t>
            </w:r>
          </w:p>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不达标比例</w:t>
            </w:r>
          </w:p>
        </w:tc>
        <w:tc>
          <w:tcPr>
            <w:tcW w:w="1909" w:type="dxa"/>
            <w:vAlign w:val="center"/>
          </w:tcPr>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加严15%</w:t>
            </w:r>
          </w:p>
          <w:p>
            <w:pPr>
              <w:widowControl/>
              <w:spacing w:before="30" w:after="30" w:line="240" w:lineRule="auto"/>
              <w:ind w:firstLine="0" w:firstLineChars="0"/>
              <w:jc w:val="center"/>
              <w:textAlignment w:val="center"/>
              <w:rPr>
                <w:rFonts w:ascii="黑体" w:hAnsi="黑体" w:eastAsia="黑体"/>
                <w:b/>
                <w:bCs/>
                <w:kern w:val="24"/>
                <w:szCs w:val="21"/>
              </w:rPr>
            </w:pPr>
            <w:r>
              <w:rPr>
                <w:rFonts w:hint="eastAsia" w:ascii="黑体" w:hAnsi="黑体" w:eastAsia="黑体"/>
                <w:b/>
                <w:bCs/>
                <w:kern w:val="24"/>
                <w:szCs w:val="21"/>
              </w:rPr>
              <w:t>不达标比例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MPV</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31.69%</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SUV</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大型车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100.00%</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紧凑型车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13.23%</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小型车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13.90%</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中大型车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12.99%</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15.35%</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交叉型乘用车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99.85%</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97.41%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轿车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紧凑型车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3.44%</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微型车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100.00%</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小型车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0.00%</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中大型车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1.21%</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spacing w:before="30" w:after="30" w:line="240" w:lineRule="auto"/>
              <w:ind w:firstLine="0" w:firstLineChars="0"/>
              <w:jc w:val="center"/>
              <w:textAlignment w:val="center"/>
              <w:rPr>
                <w:rFonts w:hAnsi="宋体"/>
                <w:kern w:val="24"/>
                <w:szCs w:val="21"/>
              </w:rPr>
            </w:pP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中型车</w:t>
            </w:r>
          </w:p>
        </w:tc>
        <w:tc>
          <w:tcPr>
            <w:tcW w:w="1908"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0.00%</w:t>
            </w:r>
          </w:p>
        </w:tc>
        <w:tc>
          <w:tcPr>
            <w:tcW w:w="1909" w:type="dxa"/>
            <w:vAlign w:val="center"/>
          </w:tcPr>
          <w:p>
            <w:pPr>
              <w:widowControl/>
              <w:spacing w:before="30" w:after="30" w:line="240" w:lineRule="auto"/>
              <w:ind w:firstLine="0" w:firstLineChars="0"/>
              <w:jc w:val="center"/>
              <w:textAlignment w:val="center"/>
              <w:rPr>
                <w:rFonts w:hAnsi="宋体"/>
                <w:kern w:val="24"/>
                <w:szCs w:val="21"/>
              </w:rPr>
            </w:pPr>
            <w:r>
              <w:rPr>
                <w:rFonts w:hint="eastAsia" w:hAnsi="宋体"/>
                <w:kern w:val="24"/>
                <w:szCs w:val="21"/>
              </w:rPr>
              <w:t>0.00%</w:t>
            </w:r>
          </w:p>
        </w:tc>
      </w:tr>
    </w:tbl>
    <w:p>
      <w:pPr>
        <w:spacing w:line="400" w:lineRule="exact"/>
        <w:ind w:firstLine="420"/>
      </w:pPr>
      <w:r>
        <w:rPr>
          <w:rFonts w:hint="eastAsia"/>
        </w:rPr>
        <w:t>由表3可以看出，加严15%、20%后，仅占比较低、优于限值幅度较小的SUV大型车、交叉型乘用车和微型车达标比例低，三类车型累计占比稍高于1%，MPV车型存在一定比例车型不满足要求，其他车型总体淘汰比例处在较为合理的区间。根据多轮次行业讨论和意见调研，结合行业现状和节能潜力，立足标准门槛要求的定位，最终提出标准将在现行基础上加严18%的要求。</w:t>
      </w:r>
    </w:p>
    <w:p>
      <w:pPr>
        <w:spacing w:line="400" w:lineRule="exact"/>
        <w:ind w:firstLine="422"/>
        <w:rPr>
          <w:b/>
          <w:bCs/>
        </w:rPr>
      </w:pPr>
      <w:r>
        <w:rPr>
          <w:rFonts w:hint="eastAsia"/>
          <w:b/>
          <w:bCs/>
        </w:rPr>
        <w:t>（3）限值方案</w:t>
      </w:r>
    </w:p>
    <w:p>
      <w:pPr>
        <w:spacing w:line="400" w:lineRule="exact"/>
        <w:ind w:firstLine="420"/>
      </w:pPr>
      <w:r>
        <w:rPr>
          <w:rFonts w:hint="eastAsia"/>
        </w:rPr>
        <w:t>标准起草过程中，起草组就标准适用范围、限值要求、质量拐点、自动挡车型和三排座椅车型限值特殊性等广泛征求了标准工作组成员单位意见，经讨论确定标准适用范围延续现行标准版本，不含3500 kg以上的M</w:t>
      </w:r>
      <w:r>
        <w:rPr>
          <w:rFonts w:hint="eastAsia"/>
          <w:vertAlign w:val="subscript"/>
        </w:rPr>
        <w:t>1</w:t>
      </w:r>
      <w:r>
        <w:rPr>
          <w:rFonts w:hint="eastAsia"/>
        </w:rPr>
        <w:t>类车辆；限值要求在现行标准版本基础上加严18%；低质量拐点由750 kg调整至1090 kg；维持自动挡车型、三排座椅车型的放宽要求。</w:t>
      </w:r>
    </w:p>
    <w:p>
      <w:pPr>
        <w:spacing w:line="400" w:lineRule="exact"/>
        <w:ind w:firstLine="420"/>
      </w:pPr>
      <w:r>
        <w:rPr>
          <w:rFonts w:hint="eastAsia"/>
        </w:rPr>
        <w:t>限值要求层面：</w:t>
      </w:r>
    </w:p>
    <w:p>
      <w:pPr>
        <w:spacing w:line="400" w:lineRule="exact"/>
        <w:ind w:firstLine="420"/>
      </w:pPr>
      <w:r>
        <w:rPr>
          <w:rFonts w:hint="eastAsia"/>
        </w:rPr>
        <w:t>a)</w:t>
      </w:r>
      <w:r>
        <w:rPr>
          <w:rFonts w:hint="eastAsia"/>
        </w:rPr>
        <w:tab/>
      </w:r>
      <w:r>
        <w:rPr>
          <w:rFonts w:hint="eastAsia"/>
        </w:rPr>
        <w:t>装有手动挡变速器且具有三排以下座椅</w:t>
      </w:r>
      <w:r>
        <w:t>的</w:t>
      </w:r>
      <w:r>
        <w:rPr>
          <w:rFonts w:hint="eastAsia"/>
        </w:rPr>
        <w:t>车辆的燃料消耗量限值应按式(1)</w:t>
      </w:r>
      <w:r>
        <w:t>~</w:t>
      </w:r>
      <w:r>
        <w:rPr>
          <w:rFonts w:hint="eastAsia"/>
        </w:rPr>
        <w:t>(3)计算，计算结果圆整（四舍五入）至小数点后两位。</w:t>
      </w:r>
    </w:p>
    <w:p>
      <w:pPr>
        <w:spacing w:line="400" w:lineRule="exact"/>
        <w:ind w:firstLine="420"/>
      </w:pPr>
      <w:r>
        <w:rPr>
          <w:rFonts w:hint="eastAsia"/>
        </w:rPr>
        <w:t>如果整车整备质量</w:t>
      </w:r>
      <w:r>
        <w:rPr>
          <w:rFonts w:hint="eastAsia"/>
          <w:i/>
          <w:iCs/>
        </w:rPr>
        <w:t>CM</w:t>
      </w:r>
      <w:r>
        <w:rPr>
          <w:rFonts w:hint="eastAsia"/>
        </w:rPr>
        <w:t>≤1090</w:t>
      </w:r>
      <w:r>
        <w:t>，</w:t>
      </w:r>
      <w:r>
        <w:rPr>
          <w:rFonts w:hint="eastAsia"/>
        </w:rPr>
        <w:t>则</w:t>
      </w:r>
    </w:p>
    <w:p>
      <w:pPr>
        <w:spacing w:line="400" w:lineRule="exact"/>
        <w:ind w:firstLine="0" w:firstLineChars="0"/>
        <w:jc w:val="right"/>
      </w:pPr>
      <w:r>
        <w:rPr>
          <w:rFonts w:hint="eastAsia"/>
          <w:i/>
          <w:iCs/>
        </w:rPr>
        <w:t>FC</w:t>
      </w:r>
      <w:r>
        <w:rPr>
          <w:rFonts w:hint="eastAsia"/>
          <w:vertAlign w:val="subscript"/>
        </w:rPr>
        <w:t>L</w:t>
      </w:r>
      <w:r>
        <w:rPr>
          <w:rFonts w:hint="eastAsia"/>
        </w:rPr>
        <w:t>=5.90</w:t>
      </w:r>
      <w:r>
        <w:t>…………………………………………</w:t>
      </w:r>
      <w:r>
        <w:rPr>
          <w:rFonts w:hint="eastAsia"/>
        </w:rPr>
        <w:t>..(1)</w:t>
      </w:r>
    </w:p>
    <w:p>
      <w:pPr>
        <w:spacing w:line="400" w:lineRule="exact"/>
        <w:ind w:firstLine="420"/>
      </w:pPr>
      <w:r>
        <w:rPr>
          <w:rFonts w:hint="eastAsia"/>
        </w:rPr>
        <w:t>如果1090＜</w:t>
      </w:r>
      <w:r>
        <w:rPr>
          <w:rFonts w:hint="eastAsia"/>
          <w:i/>
          <w:iCs/>
        </w:rPr>
        <w:t>CM</w:t>
      </w:r>
      <w:r>
        <w:rPr>
          <w:rFonts w:hint="eastAsia"/>
        </w:rPr>
        <w:t>≤2510，则</w:t>
      </w:r>
    </w:p>
    <w:p>
      <w:pPr>
        <w:spacing w:line="400" w:lineRule="exact"/>
        <w:ind w:firstLine="0" w:firstLineChars="0"/>
        <w:jc w:val="right"/>
      </w:pPr>
      <w:r>
        <w:rPr>
          <w:rFonts w:hint="eastAsia"/>
          <w:i/>
          <w:iCs/>
        </w:rPr>
        <w:t>FC</w:t>
      </w:r>
      <w:r>
        <w:rPr>
          <w:rFonts w:hint="eastAsia"/>
          <w:vertAlign w:val="subscript"/>
        </w:rPr>
        <w:t>L</w:t>
      </w:r>
      <w:r>
        <w:rPr>
          <w:rFonts w:hint="eastAsia"/>
        </w:rPr>
        <w:t>=0.0034×(</w:t>
      </w:r>
      <w:r>
        <w:rPr>
          <w:rFonts w:hint="eastAsia"/>
          <w:i/>
          <w:iCs/>
        </w:rPr>
        <w:t>CM</w:t>
      </w:r>
      <w:r>
        <w:rPr>
          <w:rFonts w:hint="eastAsia"/>
        </w:rPr>
        <w:t>-1580)+7.57</w:t>
      </w:r>
      <w:r>
        <w:t>……………………………</w:t>
      </w:r>
      <w:r>
        <w:rPr>
          <w:rFonts w:hint="eastAsia"/>
        </w:rPr>
        <w:t>....(2)</w:t>
      </w:r>
    </w:p>
    <w:p>
      <w:pPr>
        <w:spacing w:line="400" w:lineRule="exact"/>
        <w:ind w:firstLine="420"/>
      </w:pPr>
      <w:r>
        <w:t>如果</w:t>
      </w:r>
      <w:r>
        <w:rPr>
          <w:rFonts w:hint="eastAsia"/>
          <w:i/>
          <w:iCs/>
        </w:rPr>
        <w:t>CM</w:t>
      </w:r>
      <w:r>
        <w:rPr>
          <w:rFonts w:hint="eastAsia"/>
        </w:rPr>
        <w:t>＞2510，则</w:t>
      </w:r>
    </w:p>
    <w:p>
      <w:pPr>
        <w:spacing w:line="400" w:lineRule="exact"/>
        <w:ind w:firstLine="0" w:firstLineChars="0"/>
        <w:jc w:val="right"/>
      </w:pPr>
      <w:r>
        <w:rPr>
          <w:rFonts w:hint="eastAsia"/>
          <w:i/>
          <w:iCs/>
        </w:rPr>
        <w:t>FC</w:t>
      </w:r>
      <w:r>
        <w:rPr>
          <w:rFonts w:hint="eastAsia"/>
          <w:vertAlign w:val="subscript"/>
        </w:rPr>
        <w:t>L</w:t>
      </w:r>
      <w:r>
        <w:rPr>
          <w:rFonts w:hint="eastAsia"/>
        </w:rPr>
        <w:t>=10.73</w:t>
      </w:r>
      <w:r>
        <w:t>…………………………………………</w:t>
      </w:r>
      <w:r>
        <w:rPr>
          <w:rFonts w:hint="eastAsia"/>
        </w:rPr>
        <w:t>.(3)</w:t>
      </w:r>
    </w:p>
    <w:p>
      <w:pPr>
        <w:spacing w:line="400" w:lineRule="exact"/>
        <w:ind w:firstLine="420"/>
      </w:pPr>
      <w:r>
        <w:t>式中</w:t>
      </w:r>
      <w:r>
        <w:rPr>
          <w:rFonts w:hint="eastAsia"/>
        </w:rPr>
        <w:t>：</w:t>
      </w:r>
      <w:r>
        <w:rPr>
          <w:rFonts w:hint="eastAsia"/>
          <w:i/>
          <w:iCs/>
        </w:rPr>
        <w:t>CM</w:t>
      </w:r>
      <w:r>
        <w:rPr>
          <w:rFonts w:hint="eastAsia"/>
        </w:rPr>
        <w:t>为整车整备质量，单位为千克（</w:t>
      </w:r>
      <w:r>
        <w:t>kg</w:t>
      </w:r>
      <w:r>
        <w:rPr>
          <w:rFonts w:hint="eastAsia"/>
        </w:rPr>
        <w:t>）；</w:t>
      </w:r>
      <w:r>
        <w:rPr>
          <w:rFonts w:hint="eastAsia"/>
          <w:i/>
          <w:iCs/>
        </w:rPr>
        <w:t>FC</w:t>
      </w:r>
      <w:r>
        <w:rPr>
          <w:rFonts w:hint="eastAsia"/>
          <w:vertAlign w:val="subscript"/>
        </w:rPr>
        <w:t>L</w:t>
      </w:r>
      <w:r>
        <w:rPr>
          <w:rFonts w:hint="eastAsia"/>
        </w:rPr>
        <w:t>为车型燃料消耗量限值，单位为升每百千米（</w:t>
      </w:r>
      <w:r>
        <w:t>L/100</w:t>
      </w:r>
      <w:r>
        <w:rPr>
          <w:rFonts w:hint="eastAsia"/>
        </w:rPr>
        <w:t xml:space="preserve"> </w:t>
      </w:r>
      <w:r>
        <w:t>km</w:t>
      </w:r>
      <w:r>
        <w:rPr>
          <w:rFonts w:hint="eastAsia"/>
        </w:rPr>
        <w:t>）。</w:t>
      </w:r>
    </w:p>
    <w:p>
      <w:pPr>
        <w:spacing w:line="400" w:lineRule="exact"/>
        <w:ind w:firstLine="420"/>
      </w:pPr>
      <w:r>
        <w:rPr>
          <w:rFonts w:hint="eastAsia"/>
        </w:rPr>
        <w:t>b）其他车辆的燃料消耗量限值应按式(4)</w:t>
      </w:r>
      <w:r>
        <w:t>~</w:t>
      </w:r>
      <w:r>
        <w:rPr>
          <w:rFonts w:hint="eastAsia"/>
        </w:rPr>
        <w:t>(6)计算，计算结果圆整（四舍五入）至小数点后两位。</w:t>
      </w:r>
    </w:p>
    <w:p>
      <w:pPr>
        <w:spacing w:line="400" w:lineRule="exact"/>
        <w:ind w:firstLine="420"/>
      </w:pPr>
      <w:r>
        <w:rPr>
          <w:rFonts w:hint="eastAsia"/>
        </w:rPr>
        <w:t>如果整车整备质量</w:t>
      </w:r>
      <w:r>
        <w:rPr>
          <w:rFonts w:hint="eastAsia"/>
          <w:i/>
          <w:iCs/>
        </w:rPr>
        <w:t>CM</w:t>
      </w:r>
      <w:r>
        <w:rPr>
          <w:rFonts w:hint="eastAsia"/>
        </w:rPr>
        <w:t>≤1090</w:t>
      </w:r>
      <w:r>
        <w:t>，</w:t>
      </w:r>
      <w:r>
        <w:rPr>
          <w:rFonts w:hint="eastAsia"/>
        </w:rPr>
        <w:t>则</w:t>
      </w:r>
    </w:p>
    <w:p>
      <w:pPr>
        <w:spacing w:line="400" w:lineRule="exact"/>
        <w:ind w:firstLine="0" w:firstLineChars="0"/>
        <w:jc w:val="right"/>
      </w:pPr>
      <w:r>
        <w:rPr>
          <w:rFonts w:hint="eastAsia"/>
          <w:i/>
          <w:iCs/>
        </w:rPr>
        <w:t>FC</w:t>
      </w:r>
      <w:r>
        <w:rPr>
          <w:rFonts w:hint="eastAsia"/>
          <w:vertAlign w:val="subscript"/>
        </w:rPr>
        <w:t>L</w:t>
      </w:r>
      <w:r>
        <w:rPr>
          <w:rFonts w:hint="eastAsia"/>
        </w:rPr>
        <w:t>=6.31</w:t>
      </w:r>
      <w:r>
        <w:t>…………………………………………</w:t>
      </w:r>
      <w:r>
        <w:rPr>
          <w:rFonts w:hint="eastAsia"/>
        </w:rPr>
        <w:t>..(4)</w:t>
      </w:r>
    </w:p>
    <w:p>
      <w:pPr>
        <w:spacing w:line="400" w:lineRule="exact"/>
        <w:ind w:firstLine="420"/>
      </w:pPr>
      <w:r>
        <w:rPr>
          <w:rFonts w:hint="eastAsia"/>
        </w:rPr>
        <w:t>如果1090＜</w:t>
      </w:r>
      <w:r>
        <w:rPr>
          <w:rFonts w:hint="eastAsia"/>
          <w:i/>
          <w:iCs/>
        </w:rPr>
        <w:t>CM</w:t>
      </w:r>
      <w:r>
        <w:rPr>
          <w:rFonts w:hint="eastAsia"/>
        </w:rPr>
        <w:t>≤2510，则</w:t>
      </w:r>
    </w:p>
    <w:p>
      <w:pPr>
        <w:spacing w:line="400" w:lineRule="exact"/>
        <w:ind w:firstLine="0" w:firstLineChars="0"/>
        <w:jc w:val="right"/>
      </w:pPr>
      <w:r>
        <w:rPr>
          <w:rFonts w:hint="eastAsia"/>
          <w:i/>
          <w:iCs/>
        </w:rPr>
        <w:t>FC</w:t>
      </w:r>
      <w:r>
        <w:rPr>
          <w:rFonts w:hint="eastAsia"/>
          <w:vertAlign w:val="subscript"/>
        </w:rPr>
        <w:t>L</w:t>
      </w:r>
      <w:r>
        <w:rPr>
          <w:rFonts w:hint="eastAsia"/>
        </w:rPr>
        <w:t>=0.0035×(</w:t>
      </w:r>
      <w:r>
        <w:rPr>
          <w:rFonts w:hint="eastAsia"/>
          <w:i/>
          <w:iCs/>
        </w:rPr>
        <w:t>CM</w:t>
      </w:r>
      <w:r>
        <w:rPr>
          <w:rFonts w:hint="eastAsia"/>
        </w:rPr>
        <w:t>-1580)+8.02</w:t>
      </w:r>
      <w:r>
        <w:t>……………………………</w:t>
      </w:r>
      <w:r>
        <w:rPr>
          <w:rFonts w:hint="eastAsia"/>
        </w:rPr>
        <w:t>....(5)</w:t>
      </w:r>
    </w:p>
    <w:p>
      <w:pPr>
        <w:spacing w:line="400" w:lineRule="exact"/>
        <w:ind w:firstLine="420"/>
      </w:pPr>
      <w:r>
        <w:t>如果</w:t>
      </w:r>
      <w:r>
        <w:rPr>
          <w:rFonts w:hint="eastAsia"/>
          <w:i/>
          <w:iCs/>
        </w:rPr>
        <w:t>CM</w:t>
      </w:r>
      <w:r>
        <w:rPr>
          <w:rFonts w:hint="eastAsia"/>
        </w:rPr>
        <w:t>＞2510，则</w:t>
      </w:r>
    </w:p>
    <w:p>
      <w:pPr>
        <w:spacing w:line="400" w:lineRule="exact"/>
        <w:ind w:firstLine="0" w:firstLineChars="0"/>
        <w:jc w:val="right"/>
      </w:pPr>
      <w:r>
        <w:rPr>
          <w:rFonts w:hint="eastAsia"/>
          <w:i/>
          <w:iCs/>
        </w:rPr>
        <w:t>FC</w:t>
      </w:r>
      <w:r>
        <w:rPr>
          <w:rFonts w:hint="eastAsia"/>
          <w:vertAlign w:val="subscript"/>
        </w:rPr>
        <w:t>L</w:t>
      </w:r>
      <w:r>
        <w:rPr>
          <w:rFonts w:hint="eastAsia"/>
        </w:rPr>
        <w:t>=11.28</w:t>
      </w:r>
      <w:r>
        <w:t>…………………………………………</w:t>
      </w:r>
      <w:r>
        <w:rPr>
          <w:rFonts w:hint="eastAsia"/>
        </w:rPr>
        <w:t>.(6)</w:t>
      </w:r>
    </w:p>
    <w:p>
      <w:pPr>
        <w:spacing w:line="400" w:lineRule="exact"/>
        <w:ind w:firstLine="422"/>
        <w:rPr>
          <w:b/>
          <w:bCs/>
        </w:rPr>
      </w:pPr>
      <w:r>
        <w:rPr>
          <w:rFonts w:hint="eastAsia"/>
          <w:b/>
          <w:bCs/>
        </w:rPr>
        <w:t>（4）与上一版本的主要差别</w:t>
      </w:r>
    </w:p>
    <w:p>
      <w:pPr>
        <w:spacing w:line="400" w:lineRule="exact"/>
        <w:ind w:firstLine="420"/>
      </w:pPr>
      <w:r>
        <w:rPr>
          <w:rFonts w:hint="eastAsia"/>
        </w:rPr>
        <w:t>与GB 19578—2021相比，主要技术变化有：</w:t>
      </w:r>
    </w:p>
    <w:p>
      <w:pPr>
        <w:spacing w:line="400" w:lineRule="exact"/>
        <w:ind w:firstLine="420"/>
      </w:pPr>
      <w:r>
        <w:rPr>
          <w:rFonts w:hint="eastAsia"/>
        </w:rPr>
        <w:t>a)</w:t>
      </w:r>
      <w:r>
        <w:rPr>
          <w:rFonts w:hint="eastAsia"/>
        </w:rPr>
        <w:tab/>
      </w:r>
      <w:r>
        <w:rPr>
          <w:rFonts w:hint="eastAsia"/>
        </w:rPr>
        <w:t>调整了车型燃料消耗量限值；</w:t>
      </w:r>
    </w:p>
    <w:p>
      <w:pPr>
        <w:spacing w:line="400" w:lineRule="exact"/>
        <w:ind w:firstLine="420"/>
      </w:pPr>
      <w:r>
        <w:rPr>
          <w:rFonts w:hint="eastAsia"/>
        </w:rPr>
        <w:t>b)</w:t>
      </w:r>
      <w:r>
        <w:rPr>
          <w:rFonts w:hint="eastAsia"/>
        </w:rPr>
        <w:tab/>
      </w:r>
      <w:r>
        <w:rPr>
          <w:rFonts w:hint="eastAsia"/>
        </w:rPr>
        <w:t>更改了生产一致性相关要求；</w:t>
      </w:r>
    </w:p>
    <w:p>
      <w:pPr>
        <w:spacing w:line="400" w:lineRule="exact"/>
        <w:ind w:firstLine="420"/>
      </w:pPr>
      <w:r>
        <w:rPr>
          <w:rFonts w:hint="eastAsia"/>
        </w:rPr>
        <w:t>c)</w:t>
      </w:r>
      <w:r>
        <w:rPr>
          <w:rFonts w:hint="eastAsia"/>
        </w:rPr>
        <w:tab/>
      </w:r>
      <w:r>
        <w:rPr>
          <w:rFonts w:hint="eastAsia"/>
        </w:rPr>
        <w:t>删除了更改和认证扩展要求；</w:t>
      </w:r>
    </w:p>
    <w:p>
      <w:pPr>
        <w:spacing w:line="400" w:lineRule="exact"/>
        <w:ind w:firstLine="420"/>
      </w:pPr>
      <w:r>
        <w:rPr>
          <w:rFonts w:hint="eastAsia"/>
        </w:rPr>
        <w:t>d)</w:t>
      </w:r>
      <w:r>
        <w:rPr>
          <w:rFonts w:hint="eastAsia"/>
        </w:rPr>
        <w:tab/>
      </w:r>
      <w:r>
        <w:rPr>
          <w:rFonts w:hint="eastAsia"/>
        </w:rPr>
        <w:t>增加了同一型式判定条件；</w:t>
      </w:r>
    </w:p>
    <w:p>
      <w:pPr>
        <w:spacing w:line="400" w:lineRule="exact"/>
        <w:ind w:firstLine="420"/>
      </w:pPr>
      <w:r>
        <w:rPr>
          <w:rFonts w:hint="eastAsia"/>
        </w:rPr>
        <w:t>e)</w:t>
      </w:r>
      <w:r>
        <w:rPr>
          <w:rFonts w:hint="eastAsia"/>
        </w:rPr>
        <w:tab/>
      </w:r>
      <w:r>
        <w:rPr>
          <w:rFonts w:hint="eastAsia"/>
        </w:rPr>
        <w:t>增加了混合动力车型燃料消耗量型式认证报告/型式认证申请报告。</w:t>
      </w:r>
    </w:p>
    <w:p>
      <w:pPr>
        <w:spacing w:line="400" w:lineRule="exact"/>
        <w:ind w:firstLine="420"/>
      </w:pPr>
      <w:r>
        <w:rPr>
          <w:rFonts w:hint="eastAsia"/>
        </w:rPr>
        <w:t>其中，同一型式判定条件基于前期主管部门发布的实施文件内容，结合行业意见作了适当必要调整后形成，此项内容的纳入将有效降低企业的认证成本，具体要求如下。</w:t>
      </w:r>
    </w:p>
    <w:p>
      <w:pPr>
        <w:spacing w:line="400" w:lineRule="exact"/>
        <w:ind w:firstLine="420"/>
      </w:pPr>
      <w:r>
        <w:rPr>
          <w:rFonts w:hint="eastAsia"/>
        </w:rPr>
        <w:t>1）车辆符合下列特征时，可按同一型式确定燃料消耗量：</w:t>
      </w:r>
    </w:p>
    <w:p>
      <w:pPr>
        <w:spacing w:line="400" w:lineRule="exact"/>
        <w:ind w:firstLine="420"/>
      </w:pPr>
      <w:r>
        <w:rPr>
          <w:rFonts w:hint="eastAsia"/>
        </w:rPr>
        <w:t>a)</w:t>
      </w:r>
      <w:r>
        <w:rPr>
          <w:rFonts w:hint="eastAsia"/>
        </w:rPr>
        <w:tab/>
      </w:r>
      <w:r>
        <w:rPr>
          <w:rFonts w:hint="eastAsia"/>
        </w:rPr>
        <w:t>发动机基本特性、参数和部件相同（同轻型汽车排气污染物要求）；</w:t>
      </w:r>
    </w:p>
    <w:p>
      <w:pPr>
        <w:spacing w:line="400" w:lineRule="exact"/>
        <w:ind w:firstLine="420"/>
      </w:pPr>
      <w:r>
        <w:rPr>
          <w:rFonts w:hint="eastAsia"/>
        </w:rPr>
        <w:t>b)</w:t>
      </w:r>
      <w:r>
        <w:rPr>
          <w:rFonts w:hint="eastAsia"/>
        </w:rPr>
        <w:tab/>
      </w:r>
      <w:r>
        <w:rPr>
          <w:rFonts w:hint="eastAsia"/>
        </w:rPr>
        <w:t>排气污染控制装置相同（同轻型汽车排气污染物要求）；</w:t>
      </w:r>
    </w:p>
    <w:p>
      <w:pPr>
        <w:spacing w:line="400" w:lineRule="exact"/>
        <w:ind w:firstLine="420"/>
      </w:pPr>
      <w:r>
        <w:rPr>
          <w:rFonts w:hint="eastAsia"/>
        </w:rPr>
        <w:t>c)</w:t>
      </w:r>
      <w:r>
        <w:rPr>
          <w:rFonts w:hint="eastAsia"/>
        </w:rPr>
        <w:tab/>
      </w:r>
      <w:r>
        <w:rPr>
          <w:rFonts w:hint="eastAsia"/>
        </w:rPr>
        <w:t>车身前部形状相同，且迎风面积相同或减少；</w:t>
      </w:r>
    </w:p>
    <w:p>
      <w:pPr>
        <w:spacing w:line="400" w:lineRule="exact"/>
        <w:ind w:firstLine="420"/>
      </w:pPr>
      <w:r>
        <w:rPr>
          <w:rFonts w:hint="eastAsia"/>
        </w:rPr>
        <w:t>d)</w:t>
      </w:r>
      <w:r>
        <w:rPr>
          <w:rFonts w:hint="eastAsia"/>
        </w:rPr>
        <w:tab/>
      </w:r>
      <w:r>
        <w:rPr>
          <w:rFonts w:hint="eastAsia"/>
        </w:rPr>
        <w:t>座椅数量（排数）相同或减少，且基础车型燃料消耗量满足视同车型对应的限值要求；</w:t>
      </w:r>
    </w:p>
    <w:p>
      <w:pPr>
        <w:spacing w:line="400" w:lineRule="exact"/>
        <w:ind w:firstLine="420"/>
      </w:pPr>
      <w:r>
        <w:rPr>
          <w:rFonts w:hint="eastAsia"/>
        </w:rPr>
        <w:t>e)</w:t>
      </w:r>
      <w:r>
        <w:rPr>
          <w:rFonts w:hint="eastAsia"/>
        </w:rPr>
        <w:tab/>
      </w:r>
      <w:r>
        <w:rPr>
          <w:rFonts w:hint="eastAsia"/>
        </w:rPr>
        <w:t>驱动型式相同；</w:t>
      </w:r>
    </w:p>
    <w:p>
      <w:pPr>
        <w:spacing w:line="400" w:lineRule="exact"/>
        <w:ind w:firstLine="420"/>
      </w:pPr>
      <w:r>
        <w:rPr>
          <w:rFonts w:hint="eastAsia"/>
        </w:rPr>
        <w:t>f)</w:t>
      </w:r>
      <w:r>
        <w:rPr>
          <w:rFonts w:hint="eastAsia"/>
        </w:rPr>
        <w:tab/>
      </w:r>
      <w:r>
        <w:rPr>
          <w:rFonts w:hint="eastAsia"/>
        </w:rPr>
        <w:t>变速器型式相同；</w:t>
      </w:r>
    </w:p>
    <w:p>
      <w:pPr>
        <w:spacing w:line="400" w:lineRule="exact"/>
        <w:ind w:firstLine="420"/>
      </w:pPr>
      <w:r>
        <w:rPr>
          <w:rFonts w:hint="eastAsia"/>
        </w:rPr>
        <w:t>g)</w:t>
      </w:r>
      <w:r>
        <w:rPr>
          <w:rFonts w:hint="eastAsia"/>
        </w:rPr>
        <w:tab/>
      </w:r>
      <w:r>
        <w:rPr>
          <w:rFonts w:hint="eastAsia"/>
        </w:rPr>
        <w:t>每一挡位传动比相同或变化不超过8％；</w:t>
      </w:r>
    </w:p>
    <w:p>
      <w:pPr>
        <w:spacing w:line="400" w:lineRule="exact"/>
        <w:ind w:firstLine="420"/>
      </w:pPr>
      <w:r>
        <w:rPr>
          <w:rFonts w:hint="eastAsia"/>
        </w:rPr>
        <w:t>h)</w:t>
      </w:r>
      <w:r>
        <w:rPr>
          <w:rFonts w:hint="eastAsia"/>
        </w:rPr>
        <w:tab/>
      </w:r>
      <w:r>
        <w:rPr>
          <w:rFonts w:hint="eastAsia"/>
        </w:rPr>
        <w:t>由选装轮胎滚动周长不同引起的总速比变化不超过8％；</w:t>
      </w:r>
    </w:p>
    <w:p>
      <w:pPr>
        <w:spacing w:line="400" w:lineRule="exact"/>
        <w:ind w:firstLine="420"/>
      </w:pPr>
      <w:r>
        <w:rPr>
          <w:rFonts w:hint="eastAsia"/>
        </w:rPr>
        <w:t>i)</w:t>
      </w:r>
      <w:r>
        <w:rPr>
          <w:rFonts w:hint="eastAsia"/>
        </w:rPr>
        <w:tab/>
      </w:r>
      <w:r>
        <w:rPr>
          <w:rFonts w:hint="eastAsia"/>
        </w:rPr>
        <w:t>整备质量相同或整备质量减少，且基础车型燃料消耗量满足视同车型对应的限值要求；</w:t>
      </w:r>
    </w:p>
    <w:p>
      <w:pPr>
        <w:spacing w:line="400" w:lineRule="exact"/>
        <w:ind w:firstLine="420"/>
      </w:pPr>
      <w:r>
        <w:rPr>
          <w:rFonts w:hint="eastAsia"/>
        </w:rPr>
        <w:t>j)</w:t>
      </w:r>
      <w:r>
        <w:rPr>
          <w:rFonts w:hint="eastAsia"/>
        </w:rPr>
        <w:tab/>
      </w:r>
      <w:r>
        <w:rPr>
          <w:rFonts w:hint="eastAsia"/>
        </w:rPr>
        <w:t>车辆使用最低燃油标号相同；</w:t>
      </w:r>
    </w:p>
    <w:p>
      <w:pPr>
        <w:spacing w:line="400" w:lineRule="exact"/>
        <w:ind w:firstLine="420"/>
      </w:pPr>
      <w:r>
        <w:rPr>
          <w:rFonts w:hint="eastAsia"/>
        </w:rPr>
        <w:t>2）对于混合动力电动车辆，除上述要求外，还应符合下列条件：</w:t>
      </w:r>
    </w:p>
    <w:p>
      <w:pPr>
        <w:spacing w:line="400" w:lineRule="exact"/>
        <w:ind w:firstLine="420"/>
      </w:pPr>
      <w:r>
        <w:rPr>
          <w:rFonts w:hint="eastAsia"/>
        </w:rPr>
        <w:t>a)</w:t>
      </w:r>
      <w:r>
        <w:rPr>
          <w:rFonts w:hint="eastAsia"/>
        </w:rPr>
        <w:tab/>
      </w:r>
      <w:r>
        <w:rPr>
          <w:rFonts w:hint="eastAsia"/>
        </w:rPr>
        <w:t>混合动力汽车分类（串联、并联、混联、是否有外接充电模式、是否有行驶模式手动选择功能）相同；</w:t>
      </w:r>
    </w:p>
    <w:p>
      <w:pPr>
        <w:spacing w:line="400" w:lineRule="exact"/>
        <w:ind w:firstLine="420"/>
      </w:pPr>
      <w:r>
        <w:rPr>
          <w:rFonts w:hint="eastAsia"/>
        </w:rPr>
        <w:t>b)</w:t>
      </w:r>
      <w:r>
        <w:rPr>
          <w:rFonts w:hint="eastAsia"/>
        </w:rPr>
        <w:tab/>
      </w:r>
      <w:r>
        <w:rPr>
          <w:rFonts w:hint="eastAsia"/>
        </w:rPr>
        <w:t>储能装置单体型号、生产企业相同；</w:t>
      </w:r>
    </w:p>
    <w:p>
      <w:pPr>
        <w:spacing w:line="400" w:lineRule="exact"/>
        <w:ind w:firstLine="420"/>
      </w:pPr>
      <w:r>
        <w:rPr>
          <w:rFonts w:hint="eastAsia"/>
        </w:rPr>
        <w:t>c)</w:t>
      </w:r>
      <w:r>
        <w:rPr>
          <w:rFonts w:hint="eastAsia"/>
        </w:rPr>
        <w:tab/>
      </w:r>
      <w:r>
        <w:rPr>
          <w:rFonts w:hint="eastAsia"/>
        </w:rPr>
        <w:t>储能装置总成总标称电压、总标称容量相同；</w:t>
      </w:r>
    </w:p>
    <w:p>
      <w:pPr>
        <w:spacing w:line="400" w:lineRule="exact"/>
        <w:ind w:firstLine="420"/>
      </w:pPr>
      <w:r>
        <w:rPr>
          <w:rFonts w:hint="eastAsia"/>
        </w:rPr>
        <w:t>d)</w:t>
      </w:r>
      <w:r>
        <w:rPr>
          <w:rFonts w:hint="eastAsia"/>
        </w:rPr>
        <w:tab/>
      </w:r>
      <w:r>
        <w:rPr>
          <w:rFonts w:hint="eastAsia"/>
        </w:rPr>
        <w:t>驱动电机/发电机的型号、位置、数量、生产企业相同；</w:t>
      </w:r>
    </w:p>
    <w:p>
      <w:pPr>
        <w:spacing w:line="400" w:lineRule="exact"/>
        <w:ind w:firstLine="420"/>
      </w:pPr>
      <w:r>
        <w:rPr>
          <w:rFonts w:hint="eastAsia"/>
        </w:rPr>
        <w:t>e)</w:t>
      </w:r>
      <w:r>
        <w:rPr>
          <w:rFonts w:hint="eastAsia"/>
        </w:rPr>
        <w:tab/>
      </w:r>
      <w:r>
        <w:rPr>
          <w:rFonts w:hint="eastAsia"/>
        </w:rPr>
        <w:t>控制系统（整车控制器、车载能源管理系统、驱动电机控制器等）软件和硬件型号及生产企业相同；</w:t>
      </w:r>
    </w:p>
    <w:p>
      <w:pPr>
        <w:spacing w:line="400" w:lineRule="exact"/>
        <w:ind w:firstLine="420"/>
      </w:pPr>
      <w:r>
        <w:rPr>
          <w:rFonts w:hint="eastAsia"/>
        </w:rPr>
        <w:t>f)</w:t>
      </w:r>
      <w:r>
        <w:rPr>
          <w:rFonts w:hint="eastAsia"/>
        </w:rPr>
        <w:tab/>
      </w:r>
      <w:r>
        <w:rPr>
          <w:rFonts w:hint="eastAsia"/>
        </w:rPr>
        <w:t>冷却型式相同（液冷、空冷）。</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1" w:name="_Toc64898477"/>
      <w:r>
        <w:rPr>
          <w:rFonts w:hint="eastAsia" w:ascii="黑体" w:hAnsi="黑体" w:eastAsia="黑体" w:cs="宋体"/>
          <w:bCs/>
          <w:color w:val="000000"/>
          <w:kern w:val="0"/>
          <w:sz w:val="24"/>
        </w:rPr>
        <w:t>与有关法律、行政法规和其他标准的关系</w:t>
      </w:r>
      <w:bookmarkEnd w:id="21"/>
    </w:p>
    <w:p>
      <w:pPr>
        <w:spacing w:line="400" w:lineRule="exact"/>
        <w:ind w:firstLine="420"/>
      </w:pPr>
      <w:r>
        <w:rPr>
          <w:rFonts w:hint="eastAsia"/>
        </w:rPr>
        <w:t>本标准是我国汽车节能管理的重要内容；与现行相关法律、法规、规章及相关标准没有冲突或矛盾。</w:t>
      </w:r>
    </w:p>
    <w:p>
      <w:pPr>
        <w:spacing w:line="400" w:lineRule="exact"/>
        <w:ind w:firstLine="420"/>
      </w:pPr>
      <w:r>
        <w:rPr>
          <w:rFonts w:hint="eastAsia"/>
        </w:rPr>
        <w:t>对于乘用车燃料消耗量，我国主要采用“单车限值+企业平均”的管理方式，其中单车限值主要依托GB 19578《乘用车燃料消耗量限值》，通过公告准入为车型燃料消耗量提出底线要求；企业平均则依托GB 27999《乘用车燃料消耗量评价方法及指标》，与《乘用车企业平均燃料消耗量与新能源汽车积分并行管理办法》（俗称“双积分办法”）配合促使汽车整体燃料消耗量下降。两个标准互相补充、共同形成我国乘用车燃料消耗量管理体系。</w:t>
      </w:r>
    </w:p>
    <w:p>
      <w:pPr>
        <w:spacing w:line="400" w:lineRule="exact"/>
        <w:ind w:firstLine="420"/>
      </w:pPr>
      <w:r>
        <w:rPr>
          <w:rFonts w:hint="eastAsia"/>
        </w:rPr>
        <w:t>配套推标方面，本标准限值要求依据GB/T 19233—2020《轻型汽车燃料消耗量试验方法》和GB/T 19753—2021《轻型混合动力电动汽车能量消耗量试验方法》测试得到的燃料消耗量结果，结合行业意见及技术发展预期制定，其中，两项配套标准内容上参考联合国法规要求，同时充分考虑了与我国其他相关标准的协调，在国际层面具有一定的先进性。</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2" w:name="_Toc64898478"/>
      <w:r>
        <w:rPr>
          <w:rFonts w:hint="eastAsia" w:ascii="黑体" w:hAnsi="黑体" w:eastAsia="黑体" w:cs="宋体"/>
          <w:bCs/>
          <w:color w:val="000000"/>
          <w:kern w:val="0"/>
          <w:sz w:val="24"/>
        </w:rPr>
        <w:t>与国际标准化组织、其他国家或者地区有关法律法规和标准的比对分析</w:t>
      </w:r>
      <w:bookmarkEnd w:id="22"/>
    </w:p>
    <w:p>
      <w:pPr>
        <w:spacing w:line="400" w:lineRule="exact"/>
        <w:ind w:firstLine="420"/>
      </w:pPr>
      <w:r>
        <w:rPr>
          <w:rFonts w:hint="eastAsia"/>
        </w:rPr>
        <w:t>乘用车燃料消耗量/CO</w:t>
      </w:r>
      <w:r>
        <w:rPr>
          <w:rFonts w:hint="eastAsia"/>
          <w:vertAlign w:val="subscript"/>
        </w:rPr>
        <w:t>2</w:t>
      </w:r>
      <w:r>
        <w:rPr>
          <w:rFonts w:hint="eastAsia"/>
        </w:rPr>
        <w:t>限值及指标标准属于产品管理类标准法规，国际标准化组织并不涉及相应标准。为降低乘用车燃料消耗量/CO</w:t>
      </w:r>
      <w:r>
        <w:rPr>
          <w:rFonts w:hint="eastAsia"/>
          <w:vertAlign w:val="subscript"/>
        </w:rPr>
        <w:t>2</w:t>
      </w:r>
      <w:r>
        <w:rPr>
          <w:rFonts w:hint="eastAsia"/>
        </w:rPr>
        <w:t>排放，欧盟、美国、日本等汽车工业发达区域或国家均制定了符合自身国情的乘用车燃料消耗量或CO</w:t>
      </w:r>
      <w:r>
        <w:rPr>
          <w:rFonts w:hint="eastAsia"/>
          <w:vertAlign w:val="subscript"/>
        </w:rPr>
        <w:t>2</w:t>
      </w:r>
      <w:r>
        <w:rPr>
          <w:rFonts w:hint="eastAsia"/>
        </w:rPr>
        <w:t>排放标准法规。与我国乘用车燃料消耗量标准相似，国外发达国家也在对其标准法规不断更新，目前欧盟、日本等已经发布了面向</w:t>
      </w:r>
      <w:r>
        <w:t>2030</w:t>
      </w:r>
      <w:r>
        <w:rPr>
          <w:rFonts w:hint="eastAsia"/>
        </w:rPr>
        <w:t>年及更远期的标准法规。主要如下：</w:t>
      </w:r>
    </w:p>
    <w:p>
      <w:pPr>
        <w:spacing w:line="400" w:lineRule="exact"/>
        <w:ind w:firstLine="420"/>
      </w:pPr>
      <w:r>
        <w:rPr>
          <w:rFonts w:hint="eastAsia"/>
        </w:rPr>
        <w:t>欧盟情况：欧盟于</w:t>
      </w:r>
      <w:r>
        <w:t>2009</w:t>
      </w:r>
      <w:r>
        <w:rPr>
          <w:rFonts w:hint="eastAsia"/>
        </w:rPr>
        <w:t>年通过强制性的法律手段取代自愿性</w:t>
      </w:r>
      <w:r>
        <w:t>CO</w:t>
      </w:r>
      <w:r>
        <w:rPr>
          <w:vertAlign w:val="subscript"/>
        </w:rPr>
        <w:t>2</w:t>
      </w:r>
      <w:r>
        <w:rPr>
          <w:rFonts w:hint="eastAsia"/>
        </w:rPr>
        <w:t>减排协议，在欧盟范围内推行汽车燃料消耗量</w:t>
      </w:r>
      <w:r>
        <w:t>/CO</w:t>
      </w:r>
      <w:r>
        <w:rPr>
          <w:vertAlign w:val="subscript"/>
        </w:rPr>
        <w:t>2</w:t>
      </w:r>
      <w:r>
        <w:rPr>
          <w:rFonts w:hint="eastAsia"/>
        </w:rPr>
        <w:t>限值要求和标示制度。</w:t>
      </w:r>
      <w:r>
        <w:t>2009</w:t>
      </w:r>
      <w:r>
        <w:rPr>
          <w:rFonts w:hint="eastAsia"/>
        </w:rPr>
        <w:t>年</w:t>
      </w:r>
      <w:r>
        <w:t>4</w:t>
      </w:r>
      <w:r>
        <w:rPr>
          <w:rFonts w:hint="eastAsia"/>
        </w:rPr>
        <w:t>月，欧盟发布</w:t>
      </w:r>
      <w:r>
        <w:t>EU 443/2009</w:t>
      </w:r>
      <w:r>
        <w:rPr>
          <w:rFonts w:hint="eastAsia"/>
        </w:rPr>
        <w:t>法规，要求乘用车</w:t>
      </w:r>
      <w:r>
        <w:t>CO</w:t>
      </w:r>
      <w:r>
        <w:rPr>
          <w:vertAlign w:val="subscript"/>
        </w:rPr>
        <w:t>2</w:t>
      </w:r>
      <w:r>
        <w:rPr>
          <w:rFonts w:hint="eastAsia"/>
        </w:rPr>
        <w:t>排放在</w:t>
      </w:r>
      <w:r>
        <w:t>2015</w:t>
      </w:r>
      <w:r>
        <w:rPr>
          <w:rFonts w:hint="eastAsia"/>
        </w:rPr>
        <w:t>年达到</w:t>
      </w:r>
      <w:r>
        <w:t>130</w:t>
      </w:r>
      <w:r>
        <w:rPr>
          <w:rFonts w:hint="eastAsia"/>
        </w:rPr>
        <w:t xml:space="preserve"> </w:t>
      </w:r>
      <w:r>
        <w:t>g/km</w:t>
      </w:r>
      <w:r>
        <w:rPr>
          <w:rFonts w:hint="eastAsia"/>
        </w:rPr>
        <w:t>、</w:t>
      </w:r>
      <w:r>
        <w:t>2020</w:t>
      </w:r>
      <w:r>
        <w:rPr>
          <w:rFonts w:hint="eastAsia"/>
        </w:rPr>
        <w:t>年达到</w:t>
      </w:r>
      <w:r>
        <w:t>95</w:t>
      </w:r>
      <w:r>
        <w:rPr>
          <w:rFonts w:hint="eastAsia"/>
        </w:rPr>
        <w:t xml:space="preserve"> </w:t>
      </w:r>
      <w:r>
        <w:t>g/km</w:t>
      </w:r>
      <w:r>
        <w:rPr>
          <w:rFonts w:hint="eastAsia"/>
        </w:rPr>
        <w:t>（约</w:t>
      </w:r>
      <w:r>
        <w:t>3.8</w:t>
      </w:r>
      <w:r>
        <w:rPr>
          <w:rFonts w:hint="eastAsia"/>
        </w:rPr>
        <w:t xml:space="preserve"> </w:t>
      </w:r>
      <w:r>
        <w:t>L/100</w:t>
      </w:r>
      <w:r>
        <w:rPr>
          <w:rFonts w:hint="eastAsia"/>
        </w:rPr>
        <w:t xml:space="preserve"> </w:t>
      </w:r>
      <w:r>
        <w:t>km</w:t>
      </w:r>
      <w:r>
        <w:rPr>
          <w:rFonts w:hint="eastAsia"/>
        </w:rPr>
        <w:t>，</w:t>
      </w:r>
      <w:r>
        <w:t>NEDC</w:t>
      </w:r>
      <w:r>
        <w:rPr>
          <w:rFonts w:hint="eastAsia"/>
        </w:rPr>
        <w:t>工况）的目标。</w:t>
      </w:r>
      <w:r>
        <w:t>2019</w:t>
      </w:r>
      <w:r>
        <w:rPr>
          <w:rFonts w:hint="eastAsia"/>
        </w:rPr>
        <w:t>年</w:t>
      </w:r>
      <w:r>
        <w:t>4</w:t>
      </w:r>
      <w:r>
        <w:rPr>
          <w:rFonts w:hint="eastAsia"/>
        </w:rPr>
        <w:t>月，欧盟发布</w:t>
      </w:r>
      <w:r>
        <w:t>EU 2019/631</w:t>
      </w:r>
      <w:r>
        <w:rPr>
          <w:rFonts w:hint="eastAsia"/>
        </w:rPr>
        <w:t>法规，进一步提出</w:t>
      </w:r>
      <w:r>
        <w:t>2025</w:t>
      </w:r>
      <w:r>
        <w:rPr>
          <w:rFonts w:hint="eastAsia"/>
        </w:rPr>
        <w:t>、</w:t>
      </w:r>
      <w:r>
        <w:t>2030</w:t>
      </w:r>
      <w:r>
        <w:rPr>
          <w:rFonts w:hint="eastAsia"/>
        </w:rPr>
        <w:t>年</w:t>
      </w:r>
      <w:r>
        <w:t>CO</w:t>
      </w:r>
      <w:r>
        <w:rPr>
          <w:vertAlign w:val="subscript"/>
        </w:rPr>
        <w:t>2</w:t>
      </w:r>
      <w:r>
        <w:rPr>
          <w:rFonts w:hint="eastAsia"/>
        </w:rPr>
        <w:t>排放目标。由于</w:t>
      </w:r>
      <w:r>
        <w:t>2021</w:t>
      </w:r>
      <w:r>
        <w:rPr>
          <w:rFonts w:hint="eastAsia"/>
        </w:rPr>
        <w:t>年开始实施</w:t>
      </w:r>
      <w:r>
        <w:t>WLTC</w:t>
      </w:r>
      <w:r>
        <w:rPr>
          <w:rFonts w:hint="eastAsia"/>
        </w:rPr>
        <w:t>测试规程，法规并未提出具体的</w:t>
      </w:r>
      <w:r>
        <w:t>CO</w:t>
      </w:r>
      <w:r>
        <w:rPr>
          <w:vertAlign w:val="subscript"/>
        </w:rPr>
        <w:t>2</w:t>
      </w:r>
      <w:r>
        <w:rPr>
          <w:rFonts w:hint="eastAsia"/>
        </w:rPr>
        <w:t>排放目标，而是提出</w:t>
      </w:r>
      <w:r>
        <w:t>2025</w:t>
      </w:r>
      <w:r>
        <w:rPr>
          <w:rFonts w:hint="eastAsia"/>
        </w:rPr>
        <w:t>、</w:t>
      </w:r>
      <w:r>
        <w:t>2030</w:t>
      </w:r>
      <w:r>
        <w:rPr>
          <w:rFonts w:hint="eastAsia"/>
        </w:rPr>
        <w:t>年乘用车</w:t>
      </w:r>
      <w:r>
        <w:t>CO</w:t>
      </w:r>
      <w:r>
        <w:rPr>
          <w:vertAlign w:val="subscript"/>
        </w:rPr>
        <w:t>2</w:t>
      </w:r>
      <w:r>
        <w:rPr>
          <w:rFonts w:hint="eastAsia"/>
        </w:rPr>
        <w:t>排放量较</w:t>
      </w:r>
      <w:r>
        <w:t>2021</w:t>
      </w:r>
      <w:r>
        <w:rPr>
          <w:rFonts w:hint="eastAsia"/>
        </w:rPr>
        <w:t>年</w:t>
      </w:r>
      <w:r>
        <w:t>CO</w:t>
      </w:r>
      <w:r>
        <w:rPr>
          <w:vertAlign w:val="subscript"/>
        </w:rPr>
        <w:t>2</w:t>
      </w:r>
      <w:r>
        <w:rPr>
          <w:rFonts w:hint="eastAsia"/>
        </w:rPr>
        <w:t>排放量减少</w:t>
      </w:r>
      <w:r>
        <w:t>15%</w:t>
      </w:r>
      <w:r>
        <w:rPr>
          <w:rFonts w:hint="eastAsia"/>
        </w:rPr>
        <w:t>和</w:t>
      </w:r>
      <w:r>
        <w:t>37.5%</w:t>
      </w:r>
      <w:r>
        <w:rPr>
          <w:rFonts w:hint="eastAsia"/>
        </w:rPr>
        <w:t>要求。在2023年4月，欧盟正式发布了EU 2023/851法规，其中更新了2030年的指标，将在2021年基础上进一步加严至降低55%，同时提出2035年将实现0排放。</w:t>
      </w:r>
    </w:p>
    <w:p>
      <w:pPr>
        <w:spacing w:line="400" w:lineRule="exact"/>
        <w:ind w:firstLine="420"/>
      </w:pPr>
      <w:r>
        <w:rPr>
          <w:rFonts w:hint="eastAsia"/>
        </w:rPr>
        <w:t>日本情况：</w:t>
      </w:r>
      <w:r>
        <w:t>2020年3月，日本发布了2030年</w:t>
      </w:r>
      <w:r>
        <w:rPr>
          <w:rFonts w:hint="eastAsia"/>
        </w:rPr>
        <w:t>及以后</w:t>
      </w:r>
      <w:r>
        <w:t>的乘用车燃料经济性标准</w:t>
      </w:r>
      <w:r>
        <w:rPr>
          <w:rFonts w:hint="eastAsia"/>
        </w:rPr>
        <w:t>，</w:t>
      </w:r>
      <w:r>
        <w:t>按照</w:t>
      </w:r>
      <w:r>
        <w:rPr>
          <w:rFonts w:hint="eastAsia"/>
        </w:rPr>
        <w:t>该标准要求</w:t>
      </w:r>
      <w:r>
        <w:t>，日本将</w:t>
      </w:r>
      <w:r>
        <w:rPr>
          <w:rFonts w:hint="eastAsia"/>
        </w:rPr>
        <w:t>继续</w:t>
      </w:r>
      <w:r>
        <w:t>采用全球轻型汽车测试循环（WLTC</w:t>
      </w:r>
      <w:r>
        <w:rPr>
          <w:rFonts w:hint="eastAsia"/>
        </w:rPr>
        <w:t>，但仅进行前三个速度段</w:t>
      </w:r>
      <w:r>
        <w:t>），并</w:t>
      </w:r>
      <w:r>
        <w:rPr>
          <w:rFonts w:hint="eastAsia"/>
        </w:rPr>
        <w:t>正式</w:t>
      </w:r>
      <w:r>
        <w:t>将</w:t>
      </w:r>
      <w:r>
        <w:rPr>
          <w:rFonts w:hint="eastAsia"/>
        </w:rPr>
        <w:t>纯电动汽车、插电式混合动力汽车</w:t>
      </w:r>
      <w:r>
        <w:t>纳入</w:t>
      </w:r>
      <w:r>
        <w:rPr>
          <w:rFonts w:hint="eastAsia"/>
        </w:rPr>
        <w:t>核算</w:t>
      </w:r>
      <w:r>
        <w:t>范围</w:t>
      </w:r>
      <w:r>
        <w:rPr>
          <w:rFonts w:hint="eastAsia"/>
        </w:rPr>
        <w:t>，其中电量消耗量按照考虑上游的热值法进行核算</w:t>
      </w:r>
      <w:r>
        <w:t>。</w:t>
      </w:r>
      <w:r>
        <w:rPr>
          <w:rFonts w:hint="eastAsia"/>
        </w:rPr>
        <w:t>指标层面，新标准要求</w:t>
      </w:r>
      <w:r>
        <w:t>2030年</w:t>
      </w:r>
      <w:r>
        <w:rPr>
          <w:rFonts w:hint="eastAsia"/>
        </w:rPr>
        <w:t>及以后</w:t>
      </w:r>
      <w:r>
        <w:t>，乘用车平均燃料</w:t>
      </w:r>
      <w:r>
        <w:rPr>
          <w:rFonts w:hint="eastAsia"/>
        </w:rPr>
        <w:t>消耗量</w:t>
      </w:r>
      <w:r>
        <w:t>水平达到25.4</w:t>
      </w:r>
      <w:r>
        <w:rPr>
          <w:rFonts w:hint="eastAsia"/>
        </w:rPr>
        <w:t xml:space="preserve"> </w:t>
      </w:r>
      <w:r>
        <w:t>km/L(约3.9 L/100km）</w:t>
      </w:r>
      <w:r>
        <w:rPr>
          <w:rFonts w:hint="eastAsia"/>
        </w:rPr>
        <w:t>。目前，日本正在执行的</w:t>
      </w:r>
      <w:r>
        <w:t>2020</w:t>
      </w:r>
      <w:r>
        <w:rPr>
          <w:rFonts w:hint="eastAsia"/>
        </w:rPr>
        <w:t>~2029</w:t>
      </w:r>
      <w:r>
        <w:t>年</w:t>
      </w:r>
      <w:r>
        <w:rPr>
          <w:rFonts w:hint="eastAsia"/>
        </w:rPr>
        <w:t>标准指标为</w:t>
      </w:r>
      <w:r>
        <w:t>20.1 km/L（约</w:t>
      </w:r>
      <w:r>
        <w:rPr>
          <w:rFonts w:hint="eastAsia"/>
        </w:rPr>
        <w:t>4</w:t>
      </w:r>
      <w:r>
        <w:t>.9 L/100km）</w:t>
      </w:r>
      <w:r>
        <w:rPr>
          <w:rFonts w:hint="eastAsia"/>
        </w:rPr>
        <w:t>，该指标仅为传统燃油车的要求，对于纯电动汽车、插电式混合动力汽车，相关结果可参与核算（电量消耗量按照热值法折算），但鉴于总体销量有限，参与核算前后对结果影响不大。总体而已，2030年后日本开始执行的标准较现阶段加严了20.41</w:t>
      </w:r>
      <w:r>
        <w:t>%。</w:t>
      </w:r>
    </w:p>
    <w:p>
      <w:pPr>
        <w:spacing w:line="400" w:lineRule="exact"/>
        <w:ind w:firstLine="420"/>
      </w:pPr>
      <w:r>
        <w:rPr>
          <w:rFonts w:hint="eastAsia"/>
        </w:rPr>
        <w:t>美国情况：美国政府针对轻型汽车燃料经济性及温室气体排放分别制定发布</w:t>
      </w:r>
      <w:r>
        <w:t>CAFÉ</w:t>
      </w:r>
      <w:r>
        <w:rPr>
          <w:rFonts w:hint="eastAsia"/>
        </w:rPr>
        <w:t>与GHG法规，前期，两项法规同时发布，对燃油经济性要求一致，目前两项法规分别单独发布，具体要求有所区别。</w:t>
      </w:r>
      <w:r>
        <w:t>2010</w:t>
      </w:r>
      <w:r>
        <w:rPr>
          <w:rFonts w:hint="eastAsia"/>
        </w:rPr>
        <w:t>年</w:t>
      </w:r>
      <w:r>
        <w:t>4</w:t>
      </w:r>
      <w:r>
        <w:rPr>
          <w:rFonts w:hint="eastAsia"/>
        </w:rPr>
        <w:t>月和</w:t>
      </w:r>
      <w:r>
        <w:t>2012</w:t>
      </w:r>
      <w:r>
        <w:rPr>
          <w:rFonts w:hint="eastAsia"/>
        </w:rPr>
        <w:t>年</w:t>
      </w:r>
      <w:r>
        <w:t>8</w:t>
      </w:r>
      <w:r>
        <w:rPr>
          <w:rFonts w:hint="eastAsia"/>
        </w:rPr>
        <w:t>月同时发布了针对</w:t>
      </w:r>
      <w:r>
        <w:t>2012-2016</w:t>
      </w:r>
      <w:r>
        <w:rPr>
          <w:rFonts w:hint="eastAsia"/>
        </w:rPr>
        <w:t>车型年（第一阶段）和</w:t>
      </w:r>
      <w:r>
        <w:t>2017-2025</w:t>
      </w:r>
      <w:r>
        <w:rPr>
          <w:rFonts w:hint="eastAsia"/>
        </w:rPr>
        <w:t>车型年（第二阶段）严格程度一致的轻型汽车</w:t>
      </w:r>
      <w:r>
        <w:t>CAFÉ</w:t>
      </w:r>
      <w:r>
        <w:rPr>
          <w:rFonts w:hint="eastAsia"/>
        </w:rPr>
        <w:t>与GHG法规，提出</w:t>
      </w:r>
      <w:r>
        <w:t>2025</w:t>
      </w:r>
      <w:r>
        <w:rPr>
          <w:rFonts w:hint="eastAsia"/>
        </w:rPr>
        <w:t>年乘用车新车平均达到</w:t>
      </w:r>
      <w:r>
        <w:t>55.3</w:t>
      </w:r>
      <w:r>
        <w:rPr>
          <w:rFonts w:hint="eastAsia"/>
        </w:rPr>
        <w:t>-</w:t>
      </w:r>
      <w:r>
        <w:t>56.2</w:t>
      </w:r>
      <w:r>
        <w:rPr>
          <w:rFonts w:hint="eastAsia"/>
        </w:rPr>
        <w:t xml:space="preserve"> </w:t>
      </w:r>
      <w:r>
        <w:t>mpg</w:t>
      </w:r>
      <w:r>
        <w:rPr>
          <w:rFonts w:hint="eastAsia"/>
        </w:rPr>
        <w:t>，约合</w:t>
      </w:r>
      <w:r>
        <w:t>4.5</w:t>
      </w:r>
      <w:r>
        <w:rPr>
          <w:rFonts w:hint="eastAsia"/>
        </w:rPr>
        <w:t xml:space="preserve"> </w:t>
      </w:r>
      <w:r>
        <w:t>L/100km</w:t>
      </w:r>
      <w:r>
        <w:rPr>
          <w:rFonts w:hint="eastAsia"/>
        </w:rPr>
        <w:t>左右。</w:t>
      </w:r>
      <w:r>
        <w:t>2020</w:t>
      </w:r>
      <w:r>
        <w:rPr>
          <w:rFonts w:hint="eastAsia"/>
        </w:rPr>
        <w:t>年</w:t>
      </w:r>
      <w:r>
        <w:t>4</w:t>
      </w:r>
      <w:r>
        <w:rPr>
          <w:rFonts w:hint="eastAsia"/>
        </w:rPr>
        <w:t>月，美国政府对</w:t>
      </w:r>
      <w:r>
        <w:t>CAFÉ</w:t>
      </w:r>
      <w:r>
        <w:rPr>
          <w:rFonts w:hint="eastAsia"/>
        </w:rPr>
        <w:t>法规进行修订，整体放宽了燃油经济性目标要求，提出</w:t>
      </w:r>
      <w:r>
        <w:t>2026</w:t>
      </w:r>
      <w:r>
        <w:rPr>
          <w:rFonts w:hint="eastAsia"/>
        </w:rPr>
        <w:t>年乘用车平均达到</w:t>
      </w:r>
      <w:r>
        <w:t>47.7</w:t>
      </w:r>
      <w:r>
        <w:rPr>
          <w:rFonts w:hint="eastAsia"/>
        </w:rPr>
        <w:t xml:space="preserve"> </w:t>
      </w:r>
      <w:r>
        <w:t>mpg</w:t>
      </w:r>
      <w:r>
        <w:rPr>
          <w:rFonts w:hint="eastAsia"/>
        </w:rPr>
        <w:t>，约合</w:t>
      </w:r>
      <w:r>
        <w:t>5.3</w:t>
      </w:r>
      <w:r>
        <w:rPr>
          <w:rFonts w:hint="eastAsia"/>
        </w:rPr>
        <w:t xml:space="preserve"> </w:t>
      </w:r>
      <w:r>
        <w:t>L/100km</w:t>
      </w:r>
      <w:r>
        <w:rPr>
          <w:rFonts w:hint="eastAsia"/>
        </w:rPr>
        <w:t>左右。2024年3月，美国政府更新发布了针对2027-2032车型年的轻型汽车GHG法规，提出2032年乘用车新车行业平均CO</w:t>
      </w:r>
      <w:r>
        <w:rPr>
          <w:rFonts w:hint="eastAsia"/>
          <w:vertAlign w:val="subscript"/>
        </w:rPr>
        <w:t>2</w:t>
      </w:r>
      <w:r>
        <w:rPr>
          <w:rFonts w:hint="eastAsia"/>
        </w:rPr>
        <w:t>排放水平达到73 g/mi，约合1.9 L/100km左右，相较于2026年</w:t>
      </w:r>
      <w:r>
        <w:t>CAFÉ</w:t>
      </w:r>
      <w:r>
        <w:rPr>
          <w:rFonts w:hint="eastAsia"/>
        </w:rPr>
        <w:t>法规加严超60%。</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3" w:name="_Toc64898479"/>
      <w:r>
        <w:rPr>
          <w:rFonts w:hint="eastAsia" w:ascii="黑体" w:hAnsi="黑体" w:eastAsia="黑体" w:cs="宋体"/>
          <w:bCs/>
          <w:color w:val="000000"/>
          <w:kern w:val="0"/>
          <w:sz w:val="24"/>
        </w:rPr>
        <w:t>重大分歧意见的处理过程、处理意见及其依据</w:t>
      </w:r>
      <w:bookmarkEnd w:id="23"/>
    </w:p>
    <w:p>
      <w:pPr>
        <w:spacing w:line="400" w:lineRule="exact"/>
        <w:ind w:firstLine="420"/>
      </w:pPr>
      <w:r>
        <w:rPr>
          <w:rFonts w:hint="eastAsia"/>
        </w:rPr>
        <w:t>本标准修订过程中无重大分歧。</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4" w:name="_Toc64898480"/>
      <w:r>
        <w:rPr>
          <w:rFonts w:hint="eastAsia" w:ascii="黑体" w:hAnsi="黑体" w:eastAsia="黑体" w:cs="宋体"/>
          <w:bCs/>
          <w:color w:val="000000"/>
          <w:kern w:val="0"/>
          <w:sz w:val="24"/>
        </w:rPr>
        <w:t>对强制性国家标准自发布日期至实施日期之间的过渡期的建议及理由</w:t>
      </w:r>
      <w:bookmarkEnd w:id="24"/>
    </w:p>
    <w:p>
      <w:pPr>
        <w:spacing w:line="400" w:lineRule="exact"/>
        <w:ind w:firstLine="420"/>
      </w:pPr>
      <w:r>
        <w:rPr>
          <w:rFonts w:hint="eastAsia"/>
        </w:rPr>
        <w:t>考虑</w:t>
      </w:r>
      <w:r>
        <w:t>到</w:t>
      </w:r>
      <w:r>
        <w:rPr>
          <w:rFonts w:hint="eastAsia"/>
        </w:rPr>
        <w:t>燃料</w:t>
      </w:r>
      <w:r>
        <w:t>消耗量限值加严后，</w:t>
      </w:r>
      <w:r>
        <w:rPr>
          <w:rFonts w:hint="eastAsia"/>
        </w:rPr>
        <w:t>乘用车</w:t>
      </w:r>
      <w:r>
        <w:t>节能技术的研发</w:t>
      </w:r>
      <w:r>
        <w:rPr>
          <w:rFonts w:hint="eastAsia"/>
        </w:rPr>
        <w:t>和</w:t>
      </w:r>
      <w:r>
        <w:t>应用</w:t>
      </w:r>
      <w:r>
        <w:rPr>
          <w:rFonts w:hint="eastAsia"/>
        </w:rPr>
        <w:t>需要</w:t>
      </w:r>
      <w:r>
        <w:t>一定周期，因此</w:t>
      </w:r>
      <w:r>
        <w:rPr>
          <w:rFonts w:hint="eastAsia"/>
        </w:rPr>
        <w:t>标准发布后</w:t>
      </w:r>
      <w:r>
        <w:t>设定</w:t>
      </w:r>
      <w:r>
        <w:rPr>
          <w:rFonts w:hint="eastAsia"/>
        </w:rPr>
        <w:t>半年以上</w:t>
      </w:r>
      <w:r>
        <w:t>实施过渡期</w:t>
      </w:r>
      <w:r>
        <w:rPr>
          <w:rFonts w:hint="eastAsia"/>
          <w:lang w:eastAsia="zh-CN"/>
        </w:rPr>
        <w:t>，建议本标准自2026年1月1日起实施。</w:t>
      </w:r>
      <w:r>
        <w:rPr>
          <w:rFonts w:hint="eastAsia"/>
        </w:rPr>
        <w:t>对于新申请型式批准的车型，自本文件实施之日起开始</w:t>
      </w:r>
      <w:bookmarkStart w:id="31" w:name="_GoBack"/>
      <w:bookmarkEnd w:id="31"/>
      <w:r>
        <w:rPr>
          <w:rFonts w:hint="eastAsia"/>
        </w:rPr>
        <w:t>执行；对于已获得车辆型式批准的车型，自本文件实施之日起第25个月开始执行。</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5" w:name="_Toc64898481"/>
      <w:r>
        <w:rPr>
          <w:rFonts w:hint="eastAsia" w:ascii="黑体" w:hAnsi="黑体" w:eastAsia="黑体" w:cs="宋体"/>
          <w:bCs/>
          <w:color w:val="000000"/>
          <w:kern w:val="0"/>
          <w:sz w:val="24"/>
        </w:rPr>
        <w:t>与实施强制性国家标准有关的政策措施</w:t>
      </w:r>
      <w:bookmarkEnd w:id="25"/>
    </w:p>
    <w:p>
      <w:pPr>
        <w:spacing w:line="400" w:lineRule="exact"/>
        <w:ind w:firstLine="420"/>
      </w:pPr>
      <w:r>
        <w:rPr>
          <w:rFonts w:hint="eastAsia"/>
        </w:rPr>
        <w:t>本标准的实施监督管理部门是工业和信息化部</w:t>
      </w:r>
      <w:r>
        <w:rPr>
          <w:rFonts w:hint="eastAsia"/>
          <w:lang w:eastAsia="zh-CN"/>
        </w:rPr>
        <w:t>、国家市场监督管理总局</w:t>
      </w:r>
      <w:r>
        <w:rPr>
          <w:rFonts w:hint="eastAsia"/>
        </w:rPr>
        <w:t>。</w:t>
      </w:r>
    </w:p>
    <w:p>
      <w:pPr>
        <w:spacing w:line="400" w:lineRule="exact"/>
        <w:ind w:firstLine="420"/>
      </w:pPr>
      <w:r>
        <w:rPr>
          <w:rFonts w:hint="eastAsia"/>
        </w:rPr>
        <w:t>根据《国务院对确需保留的行政审批项目设定行政许可的决定》，工信部负责对汽车产品实施准入管理。对不符合强制性标准要求的产品，工信部不允许进入公告目录，进行生产。主要法规依据是：</w:t>
      </w:r>
    </w:p>
    <w:p>
      <w:pPr>
        <w:spacing w:line="400" w:lineRule="exact"/>
        <w:ind w:firstLine="420"/>
      </w:pPr>
      <w:r>
        <w:rPr>
          <w:rFonts w:hint="eastAsia"/>
        </w:rPr>
        <w:t>1. 《中华人民共和国标准化法(2017修订)》第二十五条规定：不符合强制性标准的产品、服务，不得生产、销售、进口或者提供。</w:t>
      </w:r>
    </w:p>
    <w:p>
      <w:pPr>
        <w:spacing w:line="400" w:lineRule="exact"/>
        <w:ind w:firstLine="420"/>
      </w:pPr>
      <w:r>
        <w:rPr>
          <w:rFonts w:hint="eastAsia"/>
        </w:rPr>
        <w:t>2. 《道路机动车辆生产企业及产品准入管理办法》（工信部 2018年第50号令）第六条明确提出：申请道路机动车辆产品准入的，生产的道路机动车辆产品应当能够满足安全、环保、节能、防盗等技术标准以及工业和信息化部制定发布的安全技术条件。</w:t>
      </w:r>
    </w:p>
    <w:p>
      <w:pPr>
        <w:spacing w:line="400" w:lineRule="exact"/>
        <w:ind w:firstLine="420"/>
      </w:pPr>
      <w:r>
        <w:rPr>
          <w:rFonts w:hint="eastAsia"/>
        </w:rPr>
        <w:t>第三十九条 违反本办法规定，未经准入擅自生产、销售道路机动车辆产品的，工业和信息化部应当依照《中华人民共和国道路交通安全法》第一百零三条第三款的规定予以处罚。</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6" w:name="_Toc64898482"/>
      <w:r>
        <w:rPr>
          <w:rFonts w:hint="eastAsia" w:ascii="黑体" w:hAnsi="黑体" w:eastAsia="黑体" w:cs="宋体"/>
          <w:bCs/>
          <w:color w:val="000000"/>
          <w:kern w:val="0"/>
          <w:sz w:val="24"/>
        </w:rPr>
        <w:t>是否需要对外通报的建议及理由</w:t>
      </w:r>
      <w:bookmarkEnd w:id="26"/>
    </w:p>
    <w:p>
      <w:pPr>
        <w:spacing w:line="400" w:lineRule="exact"/>
        <w:ind w:firstLine="420"/>
      </w:pPr>
      <w:r>
        <w:rPr>
          <w:rFonts w:hint="eastAsia"/>
        </w:rPr>
        <w:t>本标准为强制性国家标准，不符合标准的车型不允许纳入准入，对企业车型技术研发布局有较大影响，建议对外通报。</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7" w:name="_Toc64898483"/>
      <w:r>
        <w:rPr>
          <w:rFonts w:hint="eastAsia" w:ascii="黑体" w:hAnsi="黑体" w:eastAsia="黑体" w:cs="宋体"/>
          <w:bCs/>
          <w:color w:val="000000"/>
          <w:kern w:val="0"/>
          <w:sz w:val="24"/>
        </w:rPr>
        <w:t>废止现行有关标准的建议</w:t>
      </w:r>
      <w:bookmarkEnd w:id="27"/>
    </w:p>
    <w:p>
      <w:pPr>
        <w:spacing w:line="400" w:lineRule="exact"/>
        <w:ind w:firstLine="420"/>
      </w:pPr>
      <w:r>
        <w:rPr>
          <w:rFonts w:hint="eastAsia"/>
        </w:rPr>
        <w:t>自本标准实施之日起废止GB 19578—2021。</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8" w:name="_Toc64898484"/>
      <w:r>
        <w:rPr>
          <w:rFonts w:hint="eastAsia" w:ascii="黑体" w:hAnsi="黑体" w:eastAsia="黑体" w:cs="宋体"/>
          <w:bCs/>
          <w:color w:val="000000"/>
          <w:kern w:val="0"/>
          <w:sz w:val="24"/>
        </w:rPr>
        <w:t>涉及专利的有关说明</w:t>
      </w:r>
      <w:bookmarkEnd w:id="28"/>
    </w:p>
    <w:p>
      <w:pPr>
        <w:spacing w:line="400" w:lineRule="exact"/>
        <w:ind w:firstLine="420"/>
      </w:pPr>
      <w:r>
        <w:rPr>
          <w:rFonts w:hint="eastAsia"/>
        </w:rPr>
        <w:t>本标准不涉及专利。</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9" w:name="_Toc64898485"/>
      <w:r>
        <w:rPr>
          <w:rFonts w:hint="eastAsia" w:ascii="黑体" w:hAnsi="黑体" w:eastAsia="黑体" w:cs="宋体"/>
          <w:bCs/>
          <w:color w:val="000000"/>
          <w:kern w:val="0"/>
          <w:sz w:val="24"/>
        </w:rPr>
        <w:t>强制性国家标准所涉及的产品、过程或者服务目录</w:t>
      </w:r>
      <w:bookmarkEnd w:id="29"/>
    </w:p>
    <w:p>
      <w:pPr>
        <w:spacing w:line="400" w:lineRule="exact"/>
        <w:ind w:firstLine="420"/>
      </w:pPr>
      <w:r>
        <w:rPr>
          <w:rFonts w:hint="eastAsia"/>
        </w:rPr>
        <w:t>本文件适用于能够燃用汽油或柴油燃料、最大设计总质量不超过3500 kg的M</w:t>
      </w:r>
      <w:r>
        <w:rPr>
          <w:rFonts w:hint="eastAsia"/>
          <w:vertAlign w:val="subscript"/>
        </w:rPr>
        <w:t>1</w:t>
      </w:r>
      <w:r>
        <w:rPr>
          <w:rFonts w:hint="eastAsia"/>
        </w:rPr>
        <w:t>类车辆。</w:t>
      </w:r>
    </w:p>
    <w:p>
      <w:pPr>
        <w:spacing w:line="400" w:lineRule="exact"/>
        <w:ind w:firstLine="420"/>
      </w:pPr>
      <w:r>
        <w:rPr>
          <w:rFonts w:hint="eastAsia"/>
        </w:rPr>
        <w:t>本文件不适用于仅燃用气体燃料或醇醚类燃料的车辆。</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0" w:name="_Toc64898486"/>
      <w:r>
        <w:rPr>
          <w:rFonts w:hint="eastAsia" w:ascii="黑体" w:hAnsi="黑体" w:eastAsia="黑体" w:cs="宋体"/>
          <w:bCs/>
          <w:color w:val="000000"/>
          <w:kern w:val="0"/>
          <w:sz w:val="24"/>
        </w:rPr>
        <w:t>其他应当予以说明的事项</w:t>
      </w:r>
      <w:bookmarkEnd w:id="19"/>
      <w:bookmarkEnd w:id="30"/>
    </w:p>
    <w:p>
      <w:pPr>
        <w:spacing w:line="400" w:lineRule="exact"/>
        <w:ind w:firstLine="420"/>
      </w:pPr>
      <w:r>
        <w:rPr>
          <w:rFonts w:hint="eastAsia"/>
        </w:rPr>
        <w:t>无。</w:t>
      </w:r>
    </w:p>
    <w:p>
      <w:pPr>
        <w:spacing w:line="400" w:lineRule="exact"/>
        <w:ind w:firstLine="420"/>
      </w:pPr>
    </w:p>
    <w:p>
      <w:pPr>
        <w:pStyle w:val="19"/>
        <w:spacing w:line="400" w:lineRule="exact"/>
        <w:ind w:left="900" w:firstLine="0" w:firstLineChars="0"/>
        <w:jc w:val="right"/>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45"/>
    <w:rsid w:val="000109A1"/>
    <w:rsid w:val="00022451"/>
    <w:rsid w:val="00047013"/>
    <w:rsid w:val="0005337E"/>
    <w:rsid w:val="000746C6"/>
    <w:rsid w:val="000A1994"/>
    <w:rsid w:val="000A3F91"/>
    <w:rsid w:val="000A4848"/>
    <w:rsid w:val="000B23A7"/>
    <w:rsid w:val="000B4E26"/>
    <w:rsid w:val="000B6630"/>
    <w:rsid w:val="000D345B"/>
    <w:rsid w:val="00114B25"/>
    <w:rsid w:val="0011589D"/>
    <w:rsid w:val="0013253D"/>
    <w:rsid w:val="00142D2A"/>
    <w:rsid w:val="001479F6"/>
    <w:rsid w:val="00167B0A"/>
    <w:rsid w:val="00195657"/>
    <w:rsid w:val="001C6ACD"/>
    <w:rsid w:val="001D4DD6"/>
    <w:rsid w:val="002178B2"/>
    <w:rsid w:val="00241A45"/>
    <w:rsid w:val="002479BD"/>
    <w:rsid w:val="00260138"/>
    <w:rsid w:val="00266160"/>
    <w:rsid w:val="00280CC2"/>
    <w:rsid w:val="00286680"/>
    <w:rsid w:val="002A65E3"/>
    <w:rsid w:val="002D680C"/>
    <w:rsid w:val="002E0FA6"/>
    <w:rsid w:val="002F2D31"/>
    <w:rsid w:val="003210E5"/>
    <w:rsid w:val="0032444D"/>
    <w:rsid w:val="00342777"/>
    <w:rsid w:val="003530CE"/>
    <w:rsid w:val="0038380F"/>
    <w:rsid w:val="003A4FBA"/>
    <w:rsid w:val="003C2DFB"/>
    <w:rsid w:val="004603C7"/>
    <w:rsid w:val="00491213"/>
    <w:rsid w:val="004B2A87"/>
    <w:rsid w:val="004D4A38"/>
    <w:rsid w:val="004F243D"/>
    <w:rsid w:val="00513AA9"/>
    <w:rsid w:val="005510BC"/>
    <w:rsid w:val="00552A94"/>
    <w:rsid w:val="00552ED7"/>
    <w:rsid w:val="005773CE"/>
    <w:rsid w:val="005A6B95"/>
    <w:rsid w:val="005B19DC"/>
    <w:rsid w:val="005B693D"/>
    <w:rsid w:val="005D6483"/>
    <w:rsid w:val="005E5508"/>
    <w:rsid w:val="00610785"/>
    <w:rsid w:val="00621F14"/>
    <w:rsid w:val="0068575E"/>
    <w:rsid w:val="00693CDF"/>
    <w:rsid w:val="006D1E5B"/>
    <w:rsid w:val="006D2E03"/>
    <w:rsid w:val="00705B04"/>
    <w:rsid w:val="007325B1"/>
    <w:rsid w:val="007327DB"/>
    <w:rsid w:val="00732F9A"/>
    <w:rsid w:val="00765A95"/>
    <w:rsid w:val="00776C0C"/>
    <w:rsid w:val="00777EDC"/>
    <w:rsid w:val="00784DF0"/>
    <w:rsid w:val="007A3045"/>
    <w:rsid w:val="007A53D6"/>
    <w:rsid w:val="007A6D25"/>
    <w:rsid w:val="007B010B"/>
    <w:rsid w:val="007C129F"/>
    <w:rsid w:val="007C1F78"/>
    <w:rsid w:val="007D7397"/>
    <w:rsid w:val="007E6AE4"/>
    <w:rsid w:val="008045A0"/>
    <w:rsid w:val="0080675B"/>
    <w:rsid w:val="00807701"/>
    <w:rsid w:val="00814265"/>
    <w:rsid w:val="00820218"/>
    <w:rsid w:val="008239FB"/>
    <w:rsid w:val="00841A6D"/>
    <w:rsid w:val="00842829"/>
    <w:rsid w:val="0084530B"/>
    <w:rsid w:val="0084781D"/>
    <w:rsid w:val="00874C2F"/>
    <w:rsid w:val="00892845"/>
    <w:rsid w:val="008C09FD"/>
    <w:rsid w:val="008C123D"/>
    <w:rsid w:val="008E3CD9"/>
    <w:rsid w:val="008F16B2"/>
    <w:rsid w:val="009439BD"/>
    <w:rsid w:val="00945B03"/>
    <w:rsid w:val="009535F8"/>
    <w:rsid w:val="0095555A"/>
    <w:rsid w:val="009656D2"/>
    <w:rsid w:val="009734D0"/>
    <w:rsid w:val="009856BC"/>
    <w:rsid w:val="00990748"/>
    <w:rsid w:val="009B533D"/>
    <w:rsid w:val="009D4CD2"/>
    <w:rsid w:val="009F389D"/>
    <w:rsid w:val="00A2748A"/>
    <w:rsid w:val="00A27A90"/>
    <w:rsid w:val="00A27AD3"/>
    <w:rsid w:val="00A73FA4"/>
    <w:rsid w:val="00AE09E8"/>
    <w:rsid w:val="00B1292A"/>
    <w:rsid w:val="00B32C8D"/>
    <w:rsid w:val="00B379EC"/>
    <w:rsid w:val="00B61F4C"/>
    <w:rsid w:val="00B668CC"/>
    <w:rsid w:val="00B835FC"/>
    <w:rsid w:val="00B93CF6"/>
    <w:rsid w:val="00BB727F"/>
    <w:rsid w:val="00BD1907"/>
    <w:rsid w:val="00BF396A"/>
    <w:rsid w:val="00BF67BD"/>
    <w:rsid w:val="00C0796B"/>
    <w:rsid w:val="00C1365A"/>
    <w:rsid w:val="00C350C7"/>
    <w:rsid w:val="00C51059"/>
    <w:rsid w:val="00C75369"/>
    <w:rsid w:val="00C7680D"/>
    <w:rsid w:val="00CA5096"/>
    <w:rsid w:val="00CB3DC2"/>
    <w:rsid w:val="00CC7734"/>
    <w:rsid w:val="00D2752D"/>
    <w:rsid w:val="00D31800"/>
    <w:rsid w:val="00D52E92"/>
    <w:rsid w:val="00D72ECF"/>
    <w:rsid w:val="00D90E30"/>
    <w:rsid w:val="00D97F3C"/>
    <w:rsid w:val="00DB55F7"/>
    <w:rsid w:val="00DB7620"/>
    <w:rsid w:val="00DE5F88"/>
    <w:rsid w:val="00DF24C1"/>
    <w:rsid w:val="00E12DC6"/>
    <w:rsid w:val="00E50BFA"/>
    <w:rsid w:val="00EA36BD"/>
    <w:rsid w:val="00EA438E"/>
    <w:rsid w:val="00EB3970"/>
    <w:rsid w:val="00EB70F3"/>
    <w:rsid w:val="00EB7A43"/>
    <w:rsid w:val="00ED5F62"/>
    <w:rsid w:val="00EF2906"/>
    <w:rsid w:val="00EF3D3E"/>
    <w:rsid w:val="00EF600F"/>
    <w:rsid w:val="00F062D7"/>
    <w:rsid w:val="00F6014B"/>
    <w:rsid w:val="00FA344C"/>
    <w:rsid w:val="00FB180E"/>
    <w:rsid w:val="1EBB67A3"/>
    <w:rsid w:val="2B776AFA"/>
    <w:rsid w:val="31BC0B24"/>
    <w:rsid w:val="35D67D89"/>
    <w:rsid w:val="3C3E6D9C"/>
    <w:rsid w:val="3D403815"/>
    <w:rsid w:val="475E0D16"/>
    <w:rsid w:val="4AD6055E"/>
    <w:rsid w:val="4C5342AE"/>
    <w:rsid w:val="5CE26B6F"/>
    <w:rsid w:val="5ED44DA1"/>
    <w:rsid w:val="62E705A0"/>
    <w:rsid w:val="6CBA7B30"/>
    <w:rsid w:val="76871715"/>
    <w:rsid w:val="7AF5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footnote text"/>
    <w:basedOn w:val="1"/>
    <w:link w:val="20"/>
    <w:semiHidden/>
    <w:unhideWhenUsed/>
    <w:qFormat/>
    <w:uiPriority w:val="99"/>
    <w:pPr>
      <w:snapToGrid w:val="0"/>
      <w:jc w:val="left"/>
    </w:pPr>
    <w:rPr>
      <w:sz w:val="18"/>
      <w:szCs w:val="18"/>
    </w:rPr>
  </w:style>
  <w:style w:type="paragraph" w:styleId="8">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5"/>
    <w:qFormat/>
    <w:uiPriority w:val="99"/>
    <w:rPr>
      <w:sz w:val="18"/>
      <w:szCs w:val="18"/>
    </w:rPr>
  </w:style>
  <w:style w:type="character" w:customStyle="1" w:styleId="15">
    <w:name w:val="页脚 字符"/>
    <w:basedOn w:val="11"/>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标题 1 字符"/>
    <w:basedOn w:val="11"/>
    <w:link w:val="2"/>
    <w:qFormat/>
    <w:uiPriority w:val="9"/>
    <w:rPr>
      <w:rFonts w:ascii="Times New Roman" w:hAnsi="Times New Roman" w:eastAsia="宋体" w:cs="Times New Roman"/>
      <w:b/>
      <w:bCs/>
      <w:kern w:val="44"/>
      <w:sz w:val="44"/>
      <w:szCs w:val="44"/>
    </w:rPr>
  </w:style>
  <w:style w:type="paragraph" w:customStyle="1" w:styleId="18">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9">
    <w:name w:val="List Paragraph"/>
    <w:basedOn w:val="1"/>
    <w:qFormat/>
    <w:uiPriority w:val="34"/>
    <w:pPr>
      <w:ind w:firstLine="420"/>
    </w:pPr>
  </w:style>
  <w:style w:type="character" w:customStyle="1" w:styleId="20">
    <w:name w:val="脚注文本 字符"/>
    <w:basedOn w:val="11"/>
    <w:link w:val="7"/>
    <w:semiHidden/>
    <w:qFormat/>
    <w:uiPriority w:val="99"/>
    <w:rPr>
      <w:rFonts w:ascii="Times New Roman" w:hAnsi="Times New Roman" w:eastAsia="宋体" w:cs="Times New Roman"/>
      <w:sz w:val="18"/>
      <w:szCs w:val="18"/>
    </w:rPr>
  </w:style>
  <w:style w:type="paragraph" w:customStyle="1" w:styleId="2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9EF-BF13-446F-96C6-7778512F193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1939</Words>
  <Characters>11056</Characters>
  <Lines>92</Lines>
  <Paragraphs>25</Paragraphs>
  <TotalTime>122</TotalTime>
  <ScaleCrop>false</ScaleCrop>
  <LinksUpToDate>false</LinksUpToDate>
  <CharactersWithSpaces>12970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2021-02-22T05:52:00Z</dcterms:created>
  <dc:creator>李云伟</dc:creator>
  <cp:lastModifiedBy>张维佳</cp:lastModifiedBy>
  <dcterms:modified xsi:type="dcterms:W3CDTF">2024-06-24T02:48:22Z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EF5F29515C32499F99EC13EC98C4F259</vt:lpwstr>
  </property>
</Properties>
</file>