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FBFA"/>
  <w:body>
    <w:p w:rsidR="006950DD" w:rsidRDefault="006950DD" w:rsidP="006950DD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</w:p>
    <w:p w:rsidR="006950DD" w:rsidRDefault="006950DD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泰州市文化和旅游深度融合高质量发展</w:t>
      </w:r>
    </w:p>
    <w:p w:rsidR="006950DD" w:rsidRDefault="006950DD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三年行动计划（</w:t>
      </w:r>
      <w:r>
        <w:rPr>
          <w:rFonts w:ascii="Times New Roman" w:eastAsia="方正小标宋_GBK" w:hAnsi="Times New Roman"/>
          <w:sz w:val="44"/>
          <w:szCs w:val="44"/>
        </w:rPr>
        <w:t>2024—2026</w:t>
      </w:r>
      <w:r>
        <w:rPr>
          <w:rFonts w:ascii="Times New Roman" w:eastAsia="方正小标宋_GBK" w:hAnsi="Times New Roman" w:hint="eastAsia"/>
          <w:sz w:val="44"/>
          <w:szCs w:val="44"/>
        </w:rPr>
        <w:t>年）</w:t>
      </w:r>
    </w:p>
    <w:p w:rsidR="006950DD" w:rsidRDefault="006950DD">
      <w:pPr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（公开征求意见稿）</w:t>
      </w:r>
      <w:bookmarkStart w:id="0" w:name="_GoBack"/>
      <w:bookmarkEnd w:id="0"/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为促进泰州文化和旅游更高水平融合，推进文化强市建设，打造省内外知名旅游目的地，开创文化和旅游高质量发展新局面，制定本行动计划。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一、指导思想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面贯彻党的二十大和二十届二中全会精神，深入学习习近平总书记对旅游工作的重要批示精神，认真贯彻习近平文化思想。坚持以文塑旅、以旅彰文，强化融合思维、市场思维、创新思维、项目思维，聚焦项目招引、品质提升、营销推广、服务质量，全力打造水城一体、形神兼备、古今辉映的文化名城，积极推进文化和旅游深度融合高质量发展，为谱写“强富美高”新泰州现代化建设新篇章贡献力量。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二、目标定位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 w:hint="eastAsia"/>
          <w:sz w:val="32"/>
          <w:szCs w:val="32"/>
        </w:rPr>
        <w:t>．</w:t>
      </w:r>
      <w:r>
        <w:rPr>
          <w:rFonts w:ascii="楷体_GB2312" w:eastAsia="楷体_GB2312" w:hAnsi="Times New Roman" w:hint="eastAsia"/>
          <w:sz w:val="32"/>
          <w:szCs w:val="32"/>
        </w:rPr>
        <w:t>文旅深度融合发展。</w:t>
      </w:r>
      <w:r>
        <w:rPr>
          <w:rFonts w:ascii="Times New Roman" w:eastAsia="仿宋_GB2312" w:hAnsi="Times New Roman" w:hint="eastAsia"/>
          <w:sz w:val="32"/>
          <w:szCs w:val="32"/>
        </w:rPr>
        <w:t>以文化丰富旅游内涵、以旅游展现文化价值的文旅“双向融合”更加活跃，文化旅游资源串珠成链、产品提档升级、业态提质增效成果明显，城市文化和旅游知名度美誉度得到进一步提升。到</w:t>
      </w:r>
      <w:r>
        <w:rPr>
          <w:rFonts w:ascii="Times New Roman" w:eastAsia="仿宋_GB2312" w:hAnsi="Times New Roman"/>
          <w:sz w:val="32"/>
          <w:szCs w:val="32"/>
        </w:rPr>
        <w:t>2026</w:t>
      </w:r>
      <w:r>
        <w:rPr>
          <w:rFonts w:ascii="Times New Roman" w:eastAsia="仿宋_GB2312" w:hAnsi="Times New Roman" w:hint="eastAsia"/>
          <w:sz w:val="32"/>
          <w:szCs w:val="32"/>
        </w:rPr>
        <w:t>年，旅游接待人数达</w:t>
      </w:r>
      <w:r>
        <w:rPr>
          <w:rFonts w:ascii="Times New Roman" w:eastAsia="仿宋_GB2312" w:hAnsi="Times New Roman"/>
          <w:sz w:val="32"/>
          <w:szCs w:val="32"/>
        </w:rPr>
        <w:t>4700</w:t>
      </w:r>
      <w:r>
        <w:rPr>
          <w:rFonts w:ascii="Times New Roman" w:eastAsia="仿宋_GB2312" w:hAnsi="Times New Roman" w:hint="eastAsia"/>
          <w:sz w:val="32"/>
          <w:szCs w:val="32"/>
        </w:rPr>
        <w:t>万人次，增长</w:t>
      </w:r>
      <w:r>
        <w:rPr>
          <w:rFonts w:ascii="Times New Roman" w:eastAsia="仿宋_GB2312" w:hAnsi="Times New Roman"/>
          <w:sz w:val="32"/>
          <w:szCs w:val="32"/>
        </w:rPr>
        <w:t>35%</w:t>
      </w:r>
      <w:r>
        <w:rPr>
          <w:rFonts w:ascii="Times New Roman" w:eastAsia="仿宋_GB2312" w:hAnsi="Times New Roman" w:hint="eastAsia"/>
          <w:sz w:val="32"/>
          <w:szCs w:val="32"/>
        </w:rPr>
        <w:t>以上，旅游总收入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 w:hint="eastAsia"/>
          <w:sz w:val="32"/>
          <w:szCs w:val="32"/>
        </w:rPr>
        <w:t>亿元，增长</w:t>
      </w:r>
      <w:r>
        <w:rPr>
          <w:rFonts w:ascii="Times New Roman" w:eastAsia="仿宋_GB2312" w:hAnsi="Times New Roman"/>
          <w:sz w:val="32"/>
          <w:szCs w:val="32"/>
        </w:rPr>
        <w:t>33%</w:t>
      </w:r>
      <w:r>
        <w:rPr>
          <w:rFonts w:ascii="Times New Roman" w:eastAsia="仿宋_GB2312" w:hAnsi="Times New Roman" w:hint="eastAsia"/>
          <w:sz w:val="32"/>
          <w:szCs w:val="32"/>
        </w:rPr>
        <w:t>以上。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 w:hint="eastAsia"/>
          <w:sz w:val="32"/>
          <w:szCs w:val="32"/>
        </w:rPr>
        <w:t>．文化事业更加繁荣。</w:t>
      </w:r>
      <w:r>
        <w:rPr>
          <w:rFonts w:ascii="Times New Roman" w:eastAsia="仿宋_GB2312" w:hAnsi="Times New Roman" w:hint="eastAsia"/>
          <w:sz w:val="32"/>
          <w:szCs w:val="32"/>
        </w:rPr>
        <w:t>文艺创作生产体系和现代公共文化服务体系更加完善，获国家和省级重点文艺奖项数量有较大提升，推出原创舞台精品剧目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部以上，文化馆国家一级馆达标率保持</w:t>
      </w:r>
      <w:r>
        <w:rPr>
          <w:rFonts w:ascii="Times New Roman" w:eastAsia="仿宋_GB2312" w:hAnsi="Times New Roman"/>
          <w:sz w:val="32"/>
          <w:szCs w:val="32"/>
        </w:rPr>
        <w:t>85%</w:t>
      </w:r>
      <w:r>
        <w:rPr>
          <w:rFonts w:ascii="Times New Roman" w:eastAsia="仿宋_GB2312" w:hAnsi="Times New Roman" w:hint="eastAsia"/>
          <w:sz w:val="32"/>
          <w:szCs w:val="32"/>
        </w:rPr>
        <w:t>以上，图书馆国家一级馆达标率确保实现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 w:hint="eastAsia"/>
          <w:sz w:val="32"/>
          <w:szCs w:val="32"/>
        </w:rPr>
        <w:t>，人均接受公共文化场馆服务次数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次以上，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泰有戏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小剧场建成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家以上。</w:t>
      </w:r>
    </w:p>
    <w:p w:rsidR="006950DD" w:rsidRDefault="006950DD" w:rsidP="0069344B">
      <w:pPr>
        <w:ind w:firstLineChars="200" w:firstLine="316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 w:hint="eastAsia"/>
          <w:sz w:val="32"/>
          <w:szCs w:val="32"/>
        </w:rPr>
        <w:t>．文旅产业提质增效。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积极争创国家级、省级重点文化产业园区（基地）和集聚区，各市（区）争创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个省级以上重点文化产业园区；引进培育一批瞪羚、独角兽文化企业，规上文化单位超</w:t>
      </w:r>
      <w:r>
        <w:rPr>
          <w:rFonts w:ascii="仿宋_GB2312" w:eastAsia="仿宋_GB2312" w:hAnsi="仿宋_GB2312" w:cs="仿宋_GB2312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sz w:val="32"/>
          <w:szCs w:val="32"/>
        </w:rPr>
        <w:t>家；推进实施一批旗舰型文旅项目，全市每年招引投资亿元以上项目不少于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_GB2312" w:eastAsia="仿宋_GB2312" w:hAnsi="仿宋_GB2312" w:cs="仿宋_GB2312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万元至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亿元项目不少于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个；文化产业增加值超</w:t>
      </w:r>
      <w:r>
        <w:rPr>
          <w:rFonts w:ascii="仿宋_GB2312" w:eastAsia="仿宋_GB2312" w:hAnsi="仿宋_GB2312" w:cs="仿宋_GB2312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亿元，占全市</w:t>
      </w:r>
      <w:r>
        <w:rPr>
          <w:rFonts w:ascii="仿宋_GB2312" w:eastAsia="仿宋_GB2312" w:hAnsi="仿宋_GB2312" w:cs="仿宋_GB2312"/>
          <w:sz w:val="32"/>
          <w:szCs w:val="32"/>
        </w:rPr>
        <w:t>GDP</w:t>
      </w:r>
      <w:r>
        <w:rPr>
          <w:rFonts w:ascii="仿宋_GB2312" w:eastAsia="仿宋_GB2312" w:hAnsi="仿宋_GB2312" w:cs="仿宋_GB2312" w:hint="eastAsia"/>
          <w:sz w:val="32"/>
          <w:szCs w:val="32"/>
        </w:rPr>
        <w:t>比重达</w:t>
      </w:r>
      <w:r>
        <w:rPr>
          <w:rFonts w:ascii="仿宋_GB2312" w:eastAsia="仿宋_GB2312" w:hAnsi="仿宋_GB2312" w:cs="仿宋_GB2312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</w:t>
      </w:r>
      <w:r>
        <w:rPr>
          <w:rFonts w:ascii="Times New Roman" w:eastAsia="楷体_GB2312" w:hAnsi="Times New Roman" w:hint="eastAsia"/>
          <w:sz w:val="32"/>
          <w:szCs w:val="32"/>
        </w:rPr>
        <w:t>．文化遗产保护持续加强。</w:t>
      </w:r>
      <w:r>
        <w:rPr>
          <w:rFonts w:ascii="Times New Roman" w:eastAsia="仿宋_GB2312" w:hAnsi="Times New Roman" w:hint="eastAsia"/>
          <w:sz w:val="32"/>
          <w:szCs w:val="32"/>
        </w:rPr>
        <w:t>新增省级以上文物保护单位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处以上，市、县级文物保护单位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处以上，省级以上文物保护单位完好率达到</w:t>
      </w:r>
      <w:r>
        <w:rPr>
          <w:rFonts w:ascii="Times New Roman" w:eastAsia="仿宋_GB2312" w:hAnsi="Times New Roman"/>
          <w:sz w:val="32"/>
          <w:szCs w:val="32"/>
        </w:rPr>
        <w:t>95%</w:t>
      </w:r>
      <w:r>
        <w:rPr>
          <w:rFonts w:ascii="Times New Roman" w:eastAsia="仿宋_GB2312" w:hAnsi="Times New Roman" w:hint="eastAsia"/>
          <w:sz w:val="32"/>
          <w:szCs w:val="32"/>
        </w:rPr>
        <w:t>，创成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家省级红色旅游融合发展示范区，新增国家等级博物馆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家以上。新增国家级非遗代表性传承人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名，省级非遗代表性传承人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名。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5</w:t>
      </w:r>
      <w:r>
        <w:rPr>
          <w:rFonts w:ascii="Times New Roman" w:eastAsia="楷体_GB2312" w:hAnsi="Times New Roman" w:hint="eastAsia"/>
          <w:sz w:val="32"/>
          <w:szCs w:val="32"/>
        </w:rPr>
        <w:t>．旅游业发展成效明显。</w:t>
      </w:r>
      <w:r>
        <w:rPr>
          <w:rFonts w:ascii="Times New Roman" w:eastAsia="仿宋_GB2312" w:hAnsi="Times New Roman" w:hint="eastAsia"/>
          <w:sz w:val="32"/>
          <w:szCs w:val="32"/>
        </w:rPr>
        <w:t>国家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级旅游景区数量超过</w:t>
      </w:r>
      <w:r>
        <w:rPr>
          <w:rFonts w:ascii="Times New Roman" w:eastAsia="仿宋_GB2312" w:hAnsi="Times New Roman"/>
          <w:sz w:val="32"/>
          <w:szCs w:val="32"/>
        </w:rPr>
        <w:t>45</w:t>
      </w:r>
      <w:r>
        <w:rPr>
          <w:rFonts w:ascii="Times New Roman" w:eastAsia="仿宋_GB2312" w:hAnsi="Times New Roman" w:hint="eastAsia"/>
          <w:sz w:val="32"/>
          <w:szCs w:val="32"/>
        </w:rPr>
        <w:t>家，其中</w:t>
      </w:r>
      <w:r>
        <w:rPr>
          <w:rFonts w:ascii="Times New Roman" w:eastAsia="仿宋_GB2312" w:hAnsi="Times New Roman"/>
          <w:sz w:val="32"/>
          <w:szCs w:val="32"/>
        </w:rPr>
        <w:t>4A</w:t>
      </w:r>
      <w:r>
        <w:rPr>
          <w:rFonts w:ascii="Times New Roman" w:eastAsia="仿宋_GB2312" w:hAnsi="Times New Roman" w:hint="eastAsia"/>
          <w:sz w:val="32"/>
          <w:szCs w:val="32"/>
        </w:rPr>
        <w:t>级以上旅游景区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家。省级以上乡村旅游重点村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个以上，力争创成全国乡村旅游重点镇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个。创成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个省级以上夜间消费集聚区、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个省级文旅产业融合发展示范区、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个省级以上体旅融合发展示范基地。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三、工作举措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（一）实施文化精品点亮工程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 w:hint="eastAsia"/>
          <w:sz w:val="32"/>
          <w:szCs w:val="32"/>
        </w:rPr>
        <w:t>．精品创作提升旅游品质。</w:t>
      </w:r>
      <w:r>
        <w:rPr>
          <w:rFonts w:ascii="Times New Roman" w:eastAsia="仿宋_GB2312" w:hAnsi="Times New Roman" w:hint="eastAsia"/>
          <w:sz w:val="32"/>
          <w:szCs w:val="32"/>
        </w:rPr>
        <w:t>坚持以人民为中心的创作导向，推出更多具有泰州浓郁特色、彰显地方风土人情的文艺精品，创作一批实景版旅游演艺，为游客提供“白天看景色、晚上看演出”的全天候旅游体验，以文艺化导人心、点亮泰州。精心办好中国（泰州）梅兰芳艺术节，推动梅兰芳京剧团、淮剧团等专业剧团创排舞台剧目走进景区景点、商街商场。评选颁发泰州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梅兰芳艺术奖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，促进戏曲文化传播和创新发展，打造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梅郎故里、戏曲圣地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文旅品牌。开展政府文艺奖评选工作，鼓励、表彰一批优秀文艺作品，积极申报省“文华奖”“五星工程奖”等奖项。</w:t>
      </w:r>
      <w:r>
        <w:rPr>
          <w:rFonts w:ascii="楷体_GB2312" w:eastAsia="楷体_GB2312" w:hAnsi="Times New Roman" w:hint="eastAsia"/>
          <w:sz w:val="32"/>
          <w:szCs w:val="32"/>
        </w:rPr>
        <w:t>（牵头部门：市委宣传部，责任单位：各市（区）人民政府、泰州医药高新区管委会，市文化广电旅游局、市退役军人事务局、市民宗局）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 w:hint="eastAsia"/>
          <w:sz w:val="32"/>
          <w:szCs w:val="32"/>
        </w:rPr>
        <w:t>．文化活动丰富旅游内涵。</w:t>
      </w:r>
      <w:r>
        <w:rPr>
          <w:rFonts w:ascii="Times New Roman" w:eastAsia="仿宋_GB2312" w:hAnsi="Times New Roman" w:hint="eastAsia"/>
          <w:sz w:val="32"/>
          <w:szCs w:val="32"/>
        </w:rPr>
        <w:t>实施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最美公共文化空间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打造计划，统筹用好基层各类文旅设施资源，深入推进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泰有戏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小剧场建设，创新推出一批环境优美、功能多样的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城市书房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文化驿站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。完善群众文化活动机制，组织开展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百梅争艳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四季村晚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百姓大舞台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送戏下乡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等门类更全、形式更多、质量更高、影响更大的文化惠民活动，策划推出一批有新意、有创意的社教、研学、展览展演活动，让更多群众共享文化建设成果。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（牵头部门：市文化广电旅游局，责任单位：各市（区）人民政府、泰州医药高新区管委会，市委宣传部、市教育局）</w:t>
      </w:r>
    </w:p>
    <w:p w:rsidR="006950DD" w:rsidRDefault="006950DD" w:rsidP="0069344B">
      <w:pPr>
        <w:ind w:firstLineChars="200" w:firstLine="31680"/>
        <w:jc w:val="both"/>
        <w:rPr>
          <w:rFonts w:ascii="仿宋_GB2312" w:eastAsia="仿宋_GB2312"/>
          <w:sz w:val="28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 w:hint="eastAsia"/>
          <w:sz w:val="32"/>
          <w:szCs w:val="32"/>
        </w:rPr>
        <w:t>．文化设施</w:t>
      </w:r>
      <w:r>
        <w:rPr>
          <w:rFonts w:ascii="楷体_GB2312" w:eastAsia="楷体_GB2312" w:hAnsi="微软雅黑" w:cs="宋体" w:hint="eastAsia"/>
          <w:kern w:val="0"/>
          <w:sz w:val="32"/>
          <w:szCs w:val="32"/>
        </w:rPr>
        <w:t>融入旅游空间</w:t>
      </w:r>
      <w:r>
        <w:rPr>
          <w:rFonts w:ascii="Times New Roman" w:eastAsia="楷体_GB2312" w:hAnsi="Times New Roman" w:hint="eastAsia"/>
          <w:sz w:val="32"/>
          <w:szCs w:val="32"/>
        </w:rPr>
        <w:t>。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推动公共文化设施拓展旅游服务功能，</w:t>
      </w:r>
      <w:r>
        <w:rPr>
          <w:rFonts w:ascii="Times New Roman" w:eastAsia="仿宋_GB2312" w:hAnsi="Times New Roman" w:hint="eastAsia"/>
          <w:sz w:val="32"/>
          <w:szCs w:val="32"/>
        </w:rPr>
        <w:t>加快推进公共文化服务数字化建设，加强馆藏资源的数字化转化和开发利用，创新有声图书馆、文化馆互动体验等新型文化服务方式，支持文化服务、公益演出、图书阅览等文化惠民活动进入旅游景区、度假区，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让更多游客感受泰州风土人情、分享独特地域文化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（牵头部门：市文化广电旅游局，责任单位：各市（区）人民政府、泰州医药高新区管委会，市委宣传部、市大数据局）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（二）实施历史文化赓续工程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4</w:t>
      </w:r>
      <w:r>
        <w:rPr>
          <w:rFonts w:ascii="Times New Roman" w:eastAsia="楷体_GB2312" w:hAnsi="Times New Roman" w:hint="eastAsia"/>
          <w:sz w:val="32"/>
          <w:szCs w:val="32"/>
        </w:rPr>
        <w:t>．加强优秀传统文化保护利用。</w:t>
      </w:r>
      <w:r>
        <w:rPr>
          <w:rFonts w:ascii="Times New Roman" w:eastAsia="仿宋_GB2312" w:hAnsi="Times New Roman" w:hint="eastAsia"/>
          <w:sz w:val="32"/>
          <w:szCs w:val="32"/>
        </w:rPr>
        <w:t>充分挖掘戏曲文化、海军文化、水文化、吉祥文化等富有泰州特色的优秀传统文化资源，不断擦亮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梅兰芳故里、海军诞生地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核心文化品牌，深化长江国家文化公园泰州段和古盐运河文化带建设。加强文物安全监管和保护修缮，系统开展文化遗存、古镇古村古街区等历史载体保护利用，挖掘提炼名人、非遗、民俗等地域属性可视化符号。组织开展第四次全国文物普查，完善不可移动文物资源数据库，申报第九批全国重点文物保护单位和省级文物保护单位，公布一批市县级文物保护单位。将文物保护管理纳入国土空间规划编制和实施，全面规范基本建设工程考古前置工作。推动红色旅游融合发展项目建设，支持黄桥革命老区、</w:t>
      </w:r>
      <w:r>
        <w:rPr>
          <w:rFonts w:ascii="仿宋_GB2312" w:eastAsia="仿宋_GB2312" w:hAnsi="仿宋_GB2312" w:cs="仿宋_GB2312" w:hint="eastAsia"/>
          <w:sz w:val="32"/>
          <w:szCs w:val="32"/>
        </w:rPr>
        <w:t>高港区“海军诞生地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水兵母亲城”</w:t>
      </w:r>
      <w:r>
        <w:rPr>
          <w:rFonts w:ascii="Times New Roman" w:eastAsia="仿宋_GB2312" w:hAnsi="Times New Roman" w:hint="eastAsia"/>
          <w:sz w:val="32"/>
          <w:szCs w:val="32"/>
        </w:rPr>
        <w:t>红色旅游融合发展项目争创示范项目。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参与江苏地域文明探源工程，继续开展草堰港遗址考古发掘勘探工作，推进蒋庄遗址、天目山遗址等考古遗址公园建设。</w:t>
      </w:r>
      <w:r>
        <w:rPr>
          <w:rFonts w:ascii="楷体_GB2312" w:eastAsia="楷体_GB2312" w:hAnsi="Times New Roman" w:hint="eastAsia"/>
          <w:sz w:val="32"/>
          <w:szCs w:val="32"/>
        </w:rPr>
        <w:t>（牵头部门：各市（区）人民政府、泰州医药高新区管委会，市文化广电旅游局，责任单位：市自然资源规划局、市住房城乡建设局）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5</w:t>
      </w:r>
      <w:r>
        <w:rPr>
          <w:rFonts w:ascii="Times New Roman" w:eastAsia="楷体_GB2312" w:hAnsi="Times New Roman" w:hint="eastAsia"/>
          <w:sz w:val="32"/>
          <w:szCs w:val="32"/>
        </w:rPr>
        <w:t>．开启非遗体验新场景。</w:t>
      </w:r>
      <w:r>
        <w:rPr>
          <w:rFonts w:ascii="Times New Roman" w:eastAsia="仿宋_GB2312" w:hAnsi="Times New Roman" w:hint="eastAsia"/>
          <w:sz w:val="32"/>
          <w:szCs w:val="32"/>
        </w:rPr>
        <w:t>开展第六批市级非遗代表性项目认定工作，启动第五批市级非遗代表性传承人认定工作。组织开展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非遗在社区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非遗进乡村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“非遗进校园”活动，推进非遗工坊、非遗创意基地、非遗保护性生产基地建设，建立传统工艺振兴项目库。建设提升省级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无限定空间非遗进景区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示范项目，支持非遗与乡村旅游、红色旅游、康养旅游、体育旅游等结合，引导非遗元素融入“吃住行游购娱”全链条。举办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非遗购物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非遗美食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等推介活动，培育一批满足游客需求、具有鲜明特色的非遗旅游线路，切实拉动文旅消费。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（牵头部门：市文化广电旅游局，责任单位：各市（区）人民政府、泰州医药高新区管委会，市商务局、市卫生健康委、市农业农村局、市教育局、市体育局）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6</w:t>
      </w:r>
      <w:r>
        <w:rPr>
          <w:rFonts w:ascii="Times New Roman" w:eastAsia="楷体_GB2312" w:hAnsi="Times New Roman" w:hint="eastAsia"/>
          <w:sz w:val="32"/>
          <w:szCs w:val="32"/>
        </w:rPr>
        <w:t>．推动文博高质量发展。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推进博物馆建设更完善、更成体系，发挥好博物馆的教育功能，优</w:t>
      </w:r>
      <w:r>
        <w:rPr>
          <w:rFonts w:ascii="Times New Roman" w:eastAsia="仿宋_GB2312" w:hAnsi="Times New Roman" w:hint="eastAsia"/>
          <w:sz w:val="32"/>
          <w:szCs w:val="32"/>
        </w:rPr>
        <w:t>化提升市博物馆展厅功能</w:t>
      </w:r>
      <w:r>
        <w:rPr>
          <w:rFonts w:ascii="Arial" w:hAnsi="Arial" w:cs="Arial" w:hint="eastAsia"/>
          <w:sz w:val="27"/>
          <w:szCs w:val="27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博物馆展陈质量，加强对藏品价值的挖掘阐发，促进研究成果及时转化为展览、教育资源。加强馆藏文物巡回交流，策划推介各类主题展览，推出更多原创性临展特展。推进智慧博物馆建设，培育博物馆云展览、云教育、虚拟展厅、高清直播等新型服务，构建线上线下相融合的博物馆传播体系。实施“博物馆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”战略，促进博物馆与教育、科技、旅游、商业、传媒、设计等跨界融合，鼓励社会力量参与展览、教育和文创开发。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（牵头部门：市文化广电旅游局，责任单位：各市（区）人民政府、泰州医药高新区管委会，市工业和信息化局、市教育局、市科技局）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（三）实施文旅产业集聚工程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7</w:t>
      </w:r>
      <w:r>
        <w:rPr>
          <w:rFonts w:ascii="Times New Roman" w:eastAsia="楷体_GB2312" w:hAnsi="Times New Roman" w:hint="eastAsia"/>
          <w:sz w:val="32"/>
          <w:szCs w:val="32"/>
        </w:rPr>
        <w:t>．加快重大项目建设。</w:t>
      </w:r>
      <w:r>
        <w:rPr>
          <w:rFonts w:ascii="Times New Roman" w:eastAsia="仿宋_GB2312" w:hAnsi="Times New Roman" w:hint="eastAsia"/>
          <w:sz w:val="32"/>
          <w:szCs w:val="32"/>
        </w:rPr>
        <w:t>进一步优化投融资环境，突出招引龙头型、旗舰型文旅项目，提升现有文旅项目质量。编印《泰州市文化旅游产业投资指南》，发挥市场投资能动性，开展全链条、全领域文旅项目招商活动。组织开展省、市重点文旅项目申报，积极上争省、市各类文旅产业发展专项资金、基金，为产业融合、消费提振、数字赋能等文旅项目提供资金支持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（牵头部门：市文化广电旅游局，责任单位：各市（区）人民政府、泰州医药高新区管委会，市委宣传部、市发展改革委、市商务局、市文旅集团）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8</w:t>
      </w:r>
      <w:r>
        <w:rPr>
          <w:rFonts w:ascii="Times New Roman" w:eastAsia="楷体_GB2312" w:hAnsi="Times New Roman" w:hint="eastAsia"/>
          <w:sz w:val="32"/>
          <w:szCs w:val="32"/>
        </w:rPr>
        <w:t>．加强产业载体建设。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文化产业园区（基地）在产业集聚、示范引领等方面的龙头作用，聚焦文化领域新质生产力，培育壮大一批创新能力强、发展潜力大的文化骨干企业。重点建设兴化恒兴科技园、竹泓木船文化产业园、泰兴济川文化产业园、泰州文旅演艺装备产业园、静安路特色文化产业园、瑞力·林海双创街区、古罗塘文化产业园等，优化提升泰州文化创意产业园、中国黄桥乐器文化产业园，支持争创国家、省级文化产业示范园区，打造一批高水平数字文化产业、文创设计产业以及文旅装备制造集群，培育发展一批领军型文化企业。</w:t>
      </w:r>
      <w:r>
        <w:rPr>
          <w:rFonts w:ascii="楷体_GB2312" w:eastAsia="楷体_GB2312" w:hAnsi="Times New Roman" w:hint="eastAsia"/>
          <w:sz w:val="32"/>
          <w:szCs w:val="32"/>
        </w:rPr>
        <w:t>（牵头部门：市委宣传部，责任单位：各市（区）人民政府、泰州医药高新区管委会，市商务局、市文化广电和旅游局）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9</w:t>
      </w:r>
      <w:r>
        <w:rPr>
          <w:rFonts w:ascii="Times New Roman" w:eastAsia="楷体_GB2312" w:hAnsi="Times New Roman" w:hint="eastAsia"/>
          <w:sz w:val="32"/>
          <w:szCs w:val="32"/>
        </w:rPr>
        <w:t>．打造文旅融合集聚区。</w:t>
      </w:r>
      <w:r>
        <w:rPr>
          <w:rFonts w:ascii="Times New Roman" w:eastAsia="仿宋_GB2312" w:hAnsi="Times New Roman" w:hint="eastAsia"/>
          <w:sz w:val="32"/>
          <w:szCs w:val="32"/>
        </w:rPr>
        <w:t>强化产业政策激励作用，引导兴化市、海陵区、姜堰区等地依托资源禀赋集聚发展特色鲜明的文旅融合产业，加快推动国家级、省级文旅产业融合发展示范区建设。大力发展培育夜间文旅经济，扎实推进凤城河风景区创建国家级夜间文旅消费集聚区，促进省级夜间文旅消费集聚区靖江滨江新城休闲水街、兴化八字桥文旅休闲街区、姜堰溱湖旅游景区消费提档升级，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培育稻河景区、古罗塘文化旅游景区、泰兴凤栖小镇、医药高新区（高港区）口岸雕花楼景区、东方小镇商业街等单位申报创建省级夜间文旅消费集聚区。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（四）实施旅游品质提升工程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10</w:t>
      </w:r>
      <w:r>
        <w:rPr>
          <w:rFonts w:ascii="Times New Roman" w:eastAsia="楷体_GB2312" w:hAnsi="Times New Roman" w:hint="eastAsia"/>
          <w:sz w:val="32"/>
          <w:szCs w:val="32"/>
        </w:rPr>
        <w:t>．打造特色旅游品牌。</w:t>
      </w:r>
      <w:r>
        <w:rPr>
          <w:rFonts w:ascii="仿宋_GB2312" w:eastAsia="仿宋_GB2312" w:hAnsi="Times New Roman" w:hint="eastAsia"/>
          <w:sz w:val="32"/>
          <w:szCs w:val="32"/>
        </w:rPr>
        <w:t>各地要突出旅游发展重点，因地制宜打造特色亮点。靖江市要加快滨江旅游度假区建设，打造滨江休闲旅游目的地。泰兴市要加快乐器产业发展，形成乡村旅游特色。兴化市要推动千垛景区片区建设，打造水上田园风光。海陵区要尽力打造“最吉祥”文化，形成城区文旅新亮点。姜堰区要加快溱湖旅游度假区建设，力争创成国家级旅游度假区。医药高新区（高港区）要大力弘扬海军文化，加快海军文化园建设。</w:t>
      </w:r>
      <w:r>
        <w:rPr>
          <w:rFonts w:ascii="Times New Roman" w:eastAsia="楷体_GB2312" w:hAnsi="Times New Roman" w:hint="eastAsia"/>
          <w:sz w:val="32"/>
          <w:szCs w:val="32"/>
        </w:rPr>
        <w:t>（牵头部门：市文化广电旅游局，责任单位：</w:t>
      </w:r>
      <w:r>
        <w:rPr>
          <w:rFonts w:ascii="楷体_GB2312" w:eastAsia="楷体_GB2312" w:hAnsi="Times New Roman" w:hint="eastAsia"/>
          <w:sz w:val="32"/>
          <w:szCs w:val="32"/>
        </w:rPr>
        <w:t>各市（区）人民政府、泰州医药高新区管委会，</w:t>
      </w:r>
      <w:r>
        <w:rPr>
          <w:rFonts w:ascii="Times New Roman" w:eastAsia="楷体_GB2312" w:hAnsi="Times New Roman" w:hint="eastAsia"/>
          <w:sz w:val="32"/>
          <w:szCs w:val="32"/>
        </w:rPr>
        <w:t>市农业农村局、市文旅集团）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11</w:t>
      </w:r>
      <w:r>
        <w:rPr>
          <w:rFonts w:ascii="Times New Roman" w:eastAsia="楷体_GB2312" w:hAnsi="Times New Roman" w:hint="eastAsia"/>
          <w:sz w:val="32"/>
          <w:szCs w:val="32"/>
        </w:rPr>
        <w:t>．培育新兴融合业态。</w:t>
      </w:r>
      <w:r>
        <w:rPr>
          <w:rFonts w:ascii="Times New Roman" w:eastAsia="仿宋_GB2312" w:hAnsi="Times New Roman" w:hint="eastAsia"/>
          <w:sz w:val="32"/>
          <w:szCs w:val="32"/>
        </w:rPr>
        <w:t>突出融合思维，以“旅游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”为契入点，深化旅游与文化、卫生、教育、体育、农业农村等行业的融合发展，培育更多新兴融合业态。突出农文体旅深度融合发展，推动凤城河、溱湖、千垛等景区生成重磅项目，丰富马拉松、户外音乐节、电子竞技等品牌流量活动，培育本地游、体验游、乡村游等都市休闲业态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建设培育一批省级自驾车、房车露营基地。</w:t>
      </w:r>
      <w:r>
        <w:rPr>
          <w:rFonts w:ascii="Times New Roman" w:eastAsia="仿宋_GB2312" w:hAnsi="Times New Roman" w:hint="eastAsia"/>
          <w:sz w:val="32"/>
          <w:szCs w:val="32"/>
        </w:rPr>
        <w:t>深化中医药健康旅游示范区建设，发展中医药人文旅游、养生旅游、生态旅游。推进文化旅游与工业融合，培育兴化健康食品产业集群头部企业、中国肉脯文博馆等工业旅游新业态。开展“跟着赛事去旅游”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支持溱湖绿洲、体育公园等省运会体育场所更多融入旅游元素，培育一批体旅融合发展示范基地。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（牵头部门：市文化广电旅游局，责任单位：各市（区）人民政府、泰州医药高新区管委会，市工业和信息化局、市商务局、市卫生健康委、市教育局、市体育局、市农业农村局、市文旅集团）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12</w:t>
      </w:r>
      <w:r>
        <w:rPr>
          <w:rFonts w:ascii="Times New Roman" w:eastAsia="楷体_GB2312" w:hAnsi="Times New Roman" w:hint="eastAsia"/>
          <w:sz w:val="32"/>
          <w:szCs w:val="32"/>
        </w:rPr>
        <w:t>．创新宣传推广方式。</w:t>
      </w:r>
      <w:r>
        <w:rPr>
          <w:rFonts w:ascii="Times New Roman" w:eastAsia="仿宋_GB2312" w:hAnsi="Times New Roman" w:hint="eastAsia"/>
          <w:sz w:val="32"/>
          <w:szCs w:val="32"/>
        </w:rPr>
        <w:t>持续办好水城水乡旅游季、千垛菜花季、溱潼会船节等特色节庆活动，彰显泰州水城水乡特色，扩大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幸福泰州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城市影响力。以“不是泰国玩不起，泰州更有性价比”等旅游宣传主题为重点，加强线上线下立体化推介，紧盯旅游市场关注点、兴奋点，以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新场景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新玩法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新流量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为突破，进一步巩固、拓展与国内龙头旅行商、客源地主要旅游批发商合作。突出生态、人文、美食、红色等主题，加强泰州早茶、休闲旅游等特色产品推介，分别策划发布一日游、二日游旅游线路，在重点</w:t>
      </w:r>
      <w:r>
        <w:rPr>
          <w:rFonts w:ascii="Times New Roman" w:eastAsia="仿宋_GB2312" w:hAnsi="Times New Roman"/>
          <w:sz w:val="32"/>
          <w:szCs w:val="32"/>
        </w:rPr>
        <w:t>OTA</w:t>
      </w:r>
      <w:r>
        <w:rPr>
          <w:rFonts w:ascii="Times New Roman" w:eastAsia="仿宋_GB2312" w:hAnsi="Times New Roman" w:hint="eastAsia"/>
          <w:sz w:val="32"/>
          <w:szCs w:val="32"/>
        </w:rPr>
        <w:t>平台以及相关门户网站发布，为游客提供更多旅游攻略。加大抖音、小红书等平台宣传力度，持续做好携程、美团等重点线上平台泰州文旅产品的推广。发挥旅游推广中心作用，拓展重点市场，做大泰州旅游朋友圈。</w:t>
      </w:r>
      <w:r>
        <w:rPr>
          <w:rFonts w:ascii="楷体_GB2312" w:eastAsia="楷体_GB2312" w:hAnsi="Times New Roman" w:hint="eastAsia"/>
          <w:sz w:val="32"/>
          <w:szCs w:val="32"/>
        </w:rPr>
        <w:t>（牵头部门：市委宣传部，责任单位：各市（区）人民政府、泰州医药高新区管委会，市文化广电旅游局、市商务局、市广电台、泰州日报社、市文旅集团）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 w:hint="eastAsia"/>
          <w:sz w:val="32"/>
          <w:szCs w:val="32"/>
        </w:rPr>
        <w:t>五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 w:hint="eastAsia"/>
          <w:sz w:val="32"/>
          <w:szCs w:val="32"/>
        </w:rPr>
        <w:t>实施畅游泰州便捷工程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13</w:t>
      </w:r>
      <w:r>
        <w:rPr>
          <w:rFonts w:ascii="Times New Roman" w:eastAsia="楷体_GB2312" w:hAnsi="Times New Roman" w:hint="eastAsia"/>
          <w:sz w:val="32"/>
          <w:szCs w:val="32"/>
        </w:rPr>
        <w:t>．打造交通顺畅新环境。</w:t>
      </w:r>
      <w:r>
        <w:rPr>
          <w:rFonts w:ascii="仿宋_GB2312" w:eastAsia="仿宋_GB2312" w:hAnsi="Times New Roman" w:hint="eastAsia"/>
          <w:sz w:val="32"/>
          <w:szCs w:val="32"/>
        </w:rPr>
        <w:t>按照“外部要快、中部要通、内部要慢”的要求，在外部交通上优化公共交通线路设计，强化机场、铁路、公交等环节的高效运转；在中部交通上优化景区景点公共服务保障，衔接景区“小交通”与城际“大交通”，加强旅游集散中心建设，打造一批精品酒店、精品民宿；在景区、度假区内部交通上优化线路设计，丰富文创产品、地方特产销售方式，提升游客旅游体验。加</w:t>
      </w:r>
      <w:r>
        <w:rPr>
          <w:rFonts w:ascii="Times New Roman" w:eastAsia="仿宋_GB2312" w:hAnsi="Times New Roman" w:hint="eastAsia"/>
          <w:sz w:val="32"/>
          <w:szCs w:val="32"/>
        </w:rPr>
        <w:t>强火车站、汽车站、码头、景点景区等重点区域秩序维护、运力保障、安全检查和优质服务工作，重点岗位严格落实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小时值班制，严格查处违规行为。完善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级旅游景区游客疏导应急预案，定期组织开展应急演练，进一步提升客流引导和秩序管理能力，避免出现人员车辆过快聚集、大面积滞留等情况。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（牵头部门：市文化广电旅游局，责任单位：各市（区）人民政府、泰州医药高新区管委会，市交通运输局、市公安局、市市场监管局）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14</w:t>
      </w:r>
      <w:r>
        <w:rPr>
          <w:rFonts w:ascii="Times New Roman" w:eastAsia="楷体_GB2312" w:hAnsi="Times New Roman" w:hint="eastAsia"/>
          <w:sz w:val="32"/>
          <w:szCs w:val="32"/>
        </w:rPr>
        <w:t>．构建旅游市场新秩序。</w:t>
      </w:r>
      <w:r>
        <w:rPr>
          <w:rFonts w:ascii="Times New Roman" w:eastAsia="仿宋_GB2312" w:hAnsi="Times New Roman" w:hint="eastAsia"/>
          <w:sz w:val="32"/>
          <w:szCs w:val="32"/>
        </w:rPr>
        <w:t>加强旅游重点领域、重要时段、重大活动和新兴业态的安全监管，建立安全监管权责体系，提升旅游市场治理体系和治理能力现代化水平。加强文旅市场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互联网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监管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、跨部门监管，新业态包容审慎监管，推进文化和旅游市场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双随机、一公开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监管，深入开展旅游市场专项行动，严查旅行社组织不合理低价游、擅自变更旅游行程、未经许可经营旅行社业务、旅游活动涉嫌养老诈骗等违法违规行为，营造公平竞争环境。优化游客投诉快速受理处理机制，强化服务意识，切实维护旅游市场秩序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（牵头部门：市文化广电旅游局，责任单位：各市（区）人民政府、泰州医药高新区管委会，市交通运输局、市公安局、市市场监管局、市应急局）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15</w:t>
      </w:r>
      <w:r>
        <w:rPr>
          <w:rFonts w:ascii="Times New Roman" w:eastAsia="楷体_GB2312" w:hAnsi="Times New Roman" w:hint="eastAsia"/>
          <w:sz w:val="32"/>
          <w:szCs w:val="32"/>
        </w:rPr>
        <w:t>．树立文明旅游新风尚。</w:t>
      </w:r>
      <w:r>
        <w:rPr>
          <w:rFonts w:ascii="Times New Roman" w:eastAsia="仿宋_GB2312" w:hAnsi="Times New Roman" w:hint="eastAsia"/>
          <w:sz w:val="32"/>
          <w:szCs w:val="32"/>
        </w:rPr>
        <w:t>精心组织开展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文明旅游、最美泰州风景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主题活动，大力倡导文明旅游、绿色旅游。强化志愿服务，开展文明引导、文明劝导，把文明理念融入精细化管理和亲情化服务之中。扎实开展文明旅游示范单位创建工作，全力做好文明旅游宣传教育。深入推进全市社会信用体系建设，提高诚信水平和文明程度，构筑良好的文旅消费营商环境，树立文明经营、诚信经营理念，提高经营管理及售后服务水平，为广大游客和消费者提供优质产品和服务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（牵头部门：市文化广电旅游局，责任单位：各市（区）人民政府、泰州医药高新区管委会，市委宣传部）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四、保障措施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</w:t>
      </w:r>
      <w:r>
        <w:rPr>
          <w:rFonts w:ascii="Times New Roman" w:eastAsia="楷体_GB2312" w:hAnsi="Times New Roman" w:hint="eastAsia"/>
          <w:sz w:val="32"/>
          <w:szCs w:val="32"/>
        </w:rPr>
        <w:t>．加强组织保障。</w:t>
      </w:r>
      <w:r>
        <w:rPr>
          <w:rFonts w:ascii="Times New Roman" w:eastAsia="仿宋_GB2312" w:hAnsi="Times New Roman" w:hint="eastAsia"/>
          <w:sz w:val="32"/>
          <w:szCs w:val="32"/>
        </w:rPr>
        <w:t>充分发挥市旅游委员会的领导统筹作用，建立定期协调和调度机制，及时解决旅游发展的重大问题。加强部门协作，发改、交通、住建、公安、商务、农业农村等部门要加强沟通联系，发挥部门职能作用，形成市级统筹、市（区）主抓、上下联动的文旅发展格局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（牵头部门：市文化广电旅游局，责任单位：各市（区）人民政府、泰州医药高新区管委会，市发展改革委、市交通运输局、市住房城乡建设局、市公安局、市商务局、市农业农村局）</w:t>
      </w:r>
    </w:p>
    <w:p w:rsidR="006950DD" w:rsidRDefault="006950DD" w:rsidP="0069344B">
      <w:pPr>
        <w:ind w:firstLineChars="200" w:firstLine="3168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</w:t>
      </w:r>
      <w:r>
        <w:rPr>
          <w:rFonts w:ascii="Times New Roman" w:eastAsia="楷体_GB2312" w:hAnsi="Times New Roman" w:hint="eastAsia"/>
          <w:sz w:val="32"/>
          <w:szCs w:val="32"/>
        </w:rPr>
        <w:t>．加强要素保障。</w:t>
      </w:r>
      <w:r>
        <w:rPr>
          <w:rFonts w:ascii="Times New Roman" w:eastAsia="仿宋_GB2312" w:hAnsi="Times New Roman" w:hint="eastAsia"/>
          <w:sz w:val="32"/>
          <w:szCs w:val="32"/>
        </w:rPr>
        <w:t>强化土地保障，统筹全市土地指标，用活国家支持乡村振兴和文旅产业发展的用地政策，保障文旅项目用地需求。落实审批支持，开辟文旅项目审批快速通道，营造一流的市场化、法治化、国际化的文旅项目营商环境。整合各地文旅资源，推动国有文旅企业联合联动发展。加强财政金融支持，发挥各级政府产业资金扶持作用，加大对文旅行业的财政投入。鼓励各地设立文旅产业投资基金，支持金融机构主动对接服务文旅企业及项目。加强人才保障，实施文化旅游人才培训工程和培养计划，打造文化旅游行政管理人才、经营管理人才、专业技术人才、技能型人才和新业态紧缺人才等人才队伍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委编办、市发展改革委、市人才办、市自然资源规划局、市财政局、市行政审批局、市国资委、人行泰州市中心支行）</w:t>
      </w:r>
    </w:p>
    <w:p w:rsidR="006950DD" w:rsidRDefault="006950DD" w:rsidP="002A022E">
      <w:pPr>
        <w:ind w:firstLineChars="200" w:firstLine="31680"/>
        <w:jc w:val="both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3</w:t>
      </w:r>
      <w:r>
        <w:rPr>
          <w:rFonts w:ascii="Times New Roman" w:eastAsia="楷体_GB2312" w:hAnsi="Times New Roman" w:hint="eastAsia"/>
          <w:sz w:val="32"/>
          <w:szCs w:val="32"/>
        </w:rPr>
        <w:t>．加强推进实施。</w:t>
      </w:r>
      <w:r>
        <w:rPr>
          <w:rFonts w:ascii="仿宋_GB2312" w:eastAsia="仿宋_GB2312" w:hAnsi="Times New Roman" w:hint="eastAsia"/>
          <w:sz w:val="32"/>
          <w:szCs w:val="32"/>
        </w:rPr>
        <w:t>各地、各部门要结合实际，细化工作措施，加强协调配合，认真组织实施。将文旅项目招引纳入全市“三比一提升”考核内容，凝聚各方招引合力。市委办公室、市政府办公室将对工作开展情况进行专项督查，及时总结经验做法，宣传推广典型案例。</w:t>
      </w:r>
      <w:r>
        <w:rPr>
          <w:rFonts w:ascii="楷体_GB2312" w:eastAsia="楷体_GB2312" w:hAnsi="Times New Roman" w:hint="eastAsia"/>
          <w:sz w:val="32"/>
          <w:szCs w:val="32"/>
        </w:rPr>
        <w:t>（牵头部门：市文化广电旅游局，责任单位：各市（区）人民政府、泰州医药高新区管委会，市委办公室、市政府办公室、市发展改革委）</w:t>
      </w:r>
    </w:p>
    <w:sectPr w:rsidR="006950DD" w:rsidSect="00916124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DD" w:rsidRDefault="006950DD">
      <w:pPr>
        <w:spacing w:line="240" w:lineRule="auto"/>
      </w:pPr>
      <w:r>
        <w:separator/>
      </w:r>
    </w:p>
  </w:endnote>
  <w:endnote w:type="continuationSeparator" w:id="0">
    <w:p w:rsidR="006950DD" w:rsidRDefault="00695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DD" w:rsidRDefault="006950D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DD" w:rsidRDefault="006950DD">
    <w:pPr>
      <w:pStyle w:val="Footer"/>
      <w:jc w:val="center"/>
      <w:rPr>
        <w:rFonts w:ascii="Times New Roman" w:eastAsia="宋体" w:hAnsi="Times New Roman"/>
        <w:sz w:val="28"/>
      </w:rPr>
    </w:pPr>
    <w:r>
      <w:rPr>
        <w:rFonts w:ascii="Times New Roman" w:eastAsia="宋体" w:hAnsi="Times New Roman"/>
        <w:sz w:val="28"/>
      </w:rPr>
      <w:t>—</w:t>
    </w:r>
    <w:r>
      <w:rPr>
        <w:rFonts w:ascii="Times New Roman" w:eastAsia="宋体" w:hAnsi="Times New Roman"/>
        <w:sz w:val="28"/>
      </w:rPr>
      <w:fldChar w:fldCharType="begin"/>
    </w:r>
    <w:r>
      <w:rPr>
        <w:rFonts w:ascii="Times New Roman" w:eastAsia="宋体" w:hAnsi="Times New Roman"/>
        <w:sz w:val="28"/>
      </w:rPr>
      <w:instrText xml:space="preserve"> PAGE \* Arabic \* MERGEFORMAT </w:instrText>
    </w:r>
    <w:r>
      <w:rPr>
        <w:rFonts w:ascii="Times New Roman" w:eastAsia="宋体" w:hAnsi="Times New Roman"/>
        <w:sz w:val="28"/>
      </w:rPr>
      <w:fldChar w:fldCharType="separate"/>
    </w:r>
    <w:r>
      <w:rPr>
        <w:rFonts w:ascii="Times New Roman" w:eastAsia="宋体" w:hAnsi="Times New Roman"/>
        <w:noProof/>
        <w:sz w:val="28"/>
      </w:rPr>
      <w:t>1</w:t>
    </w:r>
    <w:r>
      <w:rPr>
        <w:rFonts w:ascii="Times New Roman" w:eastAsia="宋体" w:hAnsi="Times New Roman"/>
        <w:sz w:val="28"/>
      </w:rPr>
      <w:fldChar w:fldCharType="end"/>
    </w:r>
    <w:r>
      <w:rPr>
        <w:rFonts w:ascii="Times New Roman" w:eastAsia="宋体" w:hAnsi="Times New Roman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DD" w:rsidRDefault="006950D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DD" w:rsidRDefault="006950DD">
      <w:pPr>
        <w:spacing w:line="240" w:lineRule="auto"/>
      </w:pPr>
      <w:r>
        <w:separator/>
      </w:r>
    </w:p>
  </w:footnote>
  <w:footnote w:type="continuationSeparator" w:id="0">
    <w:p w:rsidR="006950DD" w:rsidRDefault="006950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FlMGU3YzlhM2ZhMmY4MTEyZGFmNWQwYTFkZDQ2MGMifQ=="/>
  </w:docVars>
  <w:rsids>
    <w:rsidRoot w:val="00D73264"/>
    <w:rsid w:val="000222F1"/>
    <w:rsid w:val="000229FB"/>
    <w:rsid w:val="000273F3"/>
    <w:rsid w:val="00035DA3"/>
    <w:rsid w:val="00047FFB"/>
    <w:rsid w:val="00057BC9"/>
    <w:rsid w:val="00062DC1"/>
    <w:rsid w:val="00070B53"/>
    <w:rsid w:val="00073C75"/>
    <w:rsid w:val="00081922"/>
    <w:rsid w:val="000C65F1"/>
    <w:rsid w:val="000E056F"/>
    <w:rsid w:val="000E439F"/>
    <w:rsid w:val="000F0846"/>
    <w:rsid w:val="0010124F"/>
    <w:rsid w:val="00106DF3"/>
    <w:rsid w:val="001260AF"/>
    <w:rsid w:val="00131EC8"/>
    <w:rsid w:val="001467B7"/>
    <w:rsid w:val="00152B19"/>
    <w:rsid w:val="00180F71"/>
    <w:rsid w:val="00181D57"/>
    <w:rsid w:val="00184367"/>
    <w:rsid w:val="00191A85"/>
    <w:rsid w:val="001E0737"/>
    <w:rsid w:val="001E2AD8"/>
    <w:rsid w:val="001E7F30"/>
    <w:rsid w:val="001F0C63"/>
    <w:rsid w:val="00204824"/>
    <w:rsid w:val="0021306A"/>
    <w:rsid w:val="002176A6"/>
    <w:rsid w:val="00260491"/>
    <w:rsid w:val="00264514"/>
    <w:rsid w:val="00265415"/>
    <w:rsid w:val="0026735C"/>
    <w:rsid w:val="0027266C"/>
    <w:rsid w:val="0027359D"/>
    <w:rsid w:val="00273EB8"/>
    <w:rsid w:val="002A022E"/>
    <w:rsid w:val="002B46B6"/>
    <w:rsid w:val="002C3931"/>
    <w:rsid w:val="002C7555"/>
    <w:rsid w:val="002E679A"/>
    <w:rsid w:val="002E7CF7"/>
    <w:rsid w:val="002F3E06"/>
    <w:rsid w:val="00311CDD"/>
    <w:rsid w:val="00320BF6"/>
    <w:rsid w:val="003217CC"/>
    <w:rsid w:val="003245A7"/>
    <w:rsid w:val="00327CB6"/>
    <w:rsid w:val="00342933"/>
    <w:rsid w:val="0035021F"/>
    <w:rsid w:val="00370CC6"/>
    <w:rsid w:val="00380BB3"/>
    <w:rsid w:val="00382F8C"/>
    <w:rsid w:val="003869A1"/>
    <w:rsid w:val="00396108"/>
    <w:rsid w:val="003A4BD0"/>
    <w:rsid w:val="003D5A83"/>
    <w:rsid w:val="003E6906"/>
    <w:rsid w:val="004020DF"/>
    <w:rsid w:val="00404DFF"/>
    <w:rsid w:val="004167CF"/>
    <w:rsid w:val="00417510"/>
    <w:rsid w:val="00423F05"/>
    <w:rsid w:val="004247AD"/>
    <w:rsid w:val="004314F6"/>
    <w:rsid w:val="004543B0"/>
    <w:rsid w:val="00495CEE"/>
    <w:rsid w:val="004B3908"/>
    <w:rsid w:val="004D3839"/>
    <w:rsid w:val="004E3095"/>
    <w:rsid w:val="004F1FB9"/>
    <w:rsid w:val="00504B4B"/>
    <w:rsid w:val="00511A27"/>
    <w:rsid w:val="00523C81"/>
    <w:rsid w:val="00533856"/>
    <w:rsid w:val="00534C09"/>
    <w:rsid w:val="005435B2"/>
    <w:rsid w:val="005634A2"/>
    <w:rsid w:val="00572942"/>
    <w:rsid w:val="005733A6"/>
    <w:rsid w:val="005809B4"/>
    <w:rsid w:val="005814F7"/>
    <w:rsid w:val="00582DCA"/>
    <w:rsid w:val="00583B27"/>
    <w:rsid w:val="005978F1"/>
    <w:rsid w:val="005A0B13"/>
    <w:rsid w:val="005E0A1F"/>
    <w:rsid w:val="005E5489"/>
    <w:rsid w:val="005E7878"/>
    <w:rsid w:val="005F74E4"/>
    <w:rsid w:val="00603769"/>
    <w:rsid w:val="006207BB"/>
    <w:rsid w:val="00623DB0"/>
    <w:rsid w:val="0062770C"/>
    <w:rsid w:val="00641CE1"/>
    <w:rsid w:val="006556E1"/>
    <w:rsid w:val="0065622A"/>
    <w:rsid w:val="0066514A"/>
    <w:rsid w:val="00670A75"/>
    <w:rsid w:val="00673BF2"/>
    <w:rsid w:val="00680671"/>
    <w:rsid w:val="00685C5C"/>
    <w:rsid w:val="0069344B"/>
    <w:rsid w:val="006950DD"/>
    <w:rsid w:val="0069729D"/>
    <w:rsid w:val="006B069C"/>
    <w:rsid w:val="006B10E8"/>
    <w:rsid w:val="006B16AE"/>
    <w:rsid w:val="006B1722"/>
    <w:rsid w:val="006C6FEF"/>
    <w:rsid w:val="006D7E18"/>
    <w:rsid w:val="006E18B7"/>
    <w:rsid w:val="006E2CF6"/>
    <w:rsid w:val="006F0AD5"/>
    <w:rsid w:val="00753BA4"/>
    <w:rsid w:val="007705D5"/>
    <w:rsid w:val="00777219"/>
    <w:rsid w:val="007837CB"/>
    <w:rsid w:val="007914BD"/>
    <w:rsid w:val="007B73C5"/>
    <w:rsid w:val="00805703"/>
    <w:rsid w:val="00817787"/>
    <w:rsid w:val="00856C4F"/>
    <w:rsid w:val="008807D5"/>
    <w:rsid w:val="00882CD4"/>
    <w:rsid w:val="00885268"/>
    <w:rsid w:val="008A3C9C"/>
    <w:rsid w:val="008A406A"/>
    <w:rsid w:val="008B2C33"/>
    <w:rsid w:val="008C052F"/>
    <w:rsid w:val="008C1321"/>
    <w:rsid w:val="008C5372"/>
    <w:rsid w:val="008C560C"/>
    <w:rsid w:val="008C6B77"/>
    <w:rsid w:val="008D3D33"/>
    <w:rsid w:val="008E0FC0"/>
    <w:rsid w:val="008E2176"/>
    <w:rsid w:val="008F2C59"/>
    <w:rsid w:val="00902FD3"/>
    <w:rsid w:val="00916124"/>
    <w:rsid w:val="009209AF"/>
    <w:rsid w:val="00922087"/>
    <w:rsid w:val="00936B96"/>
    <w:rsid w:val="009438F2"/>
    <w:rsid w:val="00973CC6"/>
    <w:rsid w:val="0098336F"/>
    <w:rsid w:val="009918CF"/>
    <w:rsid w:val="009A1CE1"/>
    <w:rsid w:val="009C230A"/>
    <w:rsid w:val="009C27EF"/>
    <w:rsid w:val="009C7BD6"/>
    <w:rsid w:val="009E445E"/>
    <w:rsid w:val="00A00FAD"/>
    <w:rsid w:val="00A07352"/>
    <w:rsid w:val="00A132B0"/>
    <w:rsid w:val="00A14D1B"/>
    <w:rsid w:val="00A16B9B"/>
    <w:rsid w:val="00A23593"/>
    <w:rsid w:val="00A237D1"/>
    <w:rsid w:val="00A25737"/>
    <w:rsid w:val="00A503B2"/>
    <w:rsid w:val="00A628D7"/>
    <w:rsid w:val="00A62F51"/>
    <w:rsid w:val="00A76E62"/>
    <w:rsid w:val="00A77CE0"/>
    <w:rsid w:val="00A975A5"/>
    <w:rsid w:val="00AB01E2"/>
    <w:rsid w:val="00AD6AE3"/>
    <w:rsid w:val="00AE01A2"/>
    <w:rsid w:val="00AE2207"/>
    <w:rsid w:val="00B207FC"/>
    <w:rsid w:val="00B46CB7"/>
    <w:rsid w:val="00B601FB"/>
    <w:rsid w:val="00B64AB6"/>
    <w:rsid w:val="00B73820"/>
    <w:rsid w:val="00BC1719"/>
    <w:rsid w:val="00BD5160"/>
    <w:rsid w:val="00BD682B"/>
    <w:rsid w:val="00BE422B"/>
    <w:rsid w:val="00C07B14"/>
    <w:rsid w:val="00C13CA7"/>
    <w:rsid w:val="00C1504B"/>
    <w:rsid w:val="00C25435"/>
    <w:rsid w:val="00C30550"/>
    <w:rsid w:val="00C434E8"/>
    <w:rsid w:val="00C50CCC"/>
    <w:rsid w:val="00C51E3D"/>
    <w:rsid w:val="00C5534A"/>
    <w:rsid w:val="00C72A58"/>
    <w:rsid w:val="00C75CE7"/>
    <w:rsid w:val="00C82805"/>
    <w:rsid w:val="00C84F63"/>
    <w:rsid w:val="00CA0BBC"/>
    <w:rsid w:val="00CA22F4"/>
    <w:rsid w:val="00CC037D"/>
    <w:rsid w:val="00CC1B3F"/>
    <w:rsid w:val="00CC3E74"/>
    <w:rsid w:val="00CC4B5A"/>
    <w:rsid w:val="00CD0F96"/>
    <w:rsid w:val="00CD7A9E"/>
    <w:rsid w:val="00CE1A12"/>
    <w:rsid w:val="00CE6429"/>
    <w:rsid w:val="00CF4292"/>
    <w:rsid w:val="00D06111"/>
    <w:rsid w:val="00D06923"/>
    <w:rsid w:val="00D178D5"/>
    <w:rsid w:val="00D214B3"/>
    <w:rsid w:val="00D27A2C"/>
    <w:rsid w:val="00D5026E"/>
    <w:rsid w:val="00D578B3"/>
    <w:rsid w:val="00D64D61"/>
    <w:rsid w:val="00D73264"/>
    <w:rsid w:val="00D77A7A"/>
    <w:rsid w:val="00DA3212"/>
    <w:rsid w:val="00DC5AA2"/>
    <w:rsid w:val="00DD1B94"/>
    <w:rsid w:val="00DF2238"/>
    <w:rsid w:val="00DF24EE"/>
    <w:rsid w:val="00DF54B8"/>
    <w:rsid w:val="00E20FB9"/>
    <w:rsid w:val="00E231A2"/>
    <w:rsid w:val="00E25673"/>
    <w:rsid w:val="00E516CA"/>
    <w:rsid w:val="00E5466C"/>
    <w:rsid w:val="00EC0EF8"/>
    <w:rsid w:val="00EC5D20"/>
    <w:rsid w:val="00ED496C"/>
    <w:rsid w:val="00EE76FA"/>
    <w:rsid w:val="00EF2170"/>
    <w:rsid w:val="00EF271F"/>
    <w:rsid w:val="00EF3373"/>
    <w:rsid w:val="00F03F4A"/>
    <w:rsid w:val="00F07098"/>
    <w:rsid w:val="00F17AB4"/>
    <w:rsid w:val="00F2102A"/>
    <w:rsid w:val="00F218CF"/>
    <w:rsid w:val="00F27F58"/>
    <w:rsid w:val="00F3387A"/>
    <w:rsid w:val="00F54E87"/>
    <w:rsid w:val="00F71DE3"/>
    <w:rsid w:val="00F77337"/>
    <w:rsid w:val="00F77AA9"/>
    <w:rsid w:val="00F922E8"/>
    <w:rsid w:val="00F93638"/>
    <w:rsid w:val="00FA7A7B"/>
    <w:rsid w:val="00FC0001"/>
    <w:rsid w:val="00FC3E17"/>
    <w:rsid w:val="00FC5A45"/>
    <w:rsid w:val="00FD1539"/>
    <w:rsid w:val="00FD63A9"/>
    <w:rsid w:val="00FE01AC"/>
    <w:rsid w:val="00FE4473"/>
    <w:rsid w:val="00FE65B2"/>
    <w:rsid w:val="00FF0900"/>
    <w:rsid w:val="02CE2469"/>
    <w:rsid w:val="0FCE6996"/>
    <w:rsid w:val="1C431093"/>
    <w:rsid w:val="2B161539"/>
    <w:rsid w:val="2DF8659E"/>
    <w:rsid w:val="3496194A"/>
    <w:rsid w:val="3CC02352"/>
    <w:rsid w:val="460F2705"/>
    <w:rsid w:val="60893D78"/>
    <w:rsid w:val="6D037DDF"/>
    <w:rsid w:val="7E00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24"/>
    <w:pPr>
      <w:spacing w:line="560" w:lineRule="exact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612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1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rsid w:val="0091612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12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91612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12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16124"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kern w:val="0"/>
      <w:sz w:val="24"/>
      <w:szCs w:val="24"/>
    </w:rPr>
  </w:style>
  <w:style w:type="paragraph" w:customStyle="1" w:styleId="Revision1">
    <w:name w:val="Revision1"/>
    <w:hidden/>
    <w:uiPriority w:val="99"/>
    <w:semiHidden/>
    <w:rsid w:val="00916124"/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12</Pages>
  <Words>964</Words>
  <Characters>5495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NAME</dc:creator>
  <cp:keywords/>
  <dc:description/>
  <cp:lastModifiedBy>12121</cp:lastModifiedBy>
  <cp:revision>10</cp:revision>
  <cp:lastPrinted>2024-06-03T07:13:00Z</cp:lastPrinted>
  <dcterms:created xsi:type="dcterms:W3CDTF">2024-03-25T07:10:00Z</dcterms:created>
  <dcterms:modified xsi:type="dcterms:W3CDTF">2024-06-26T07:12:00Z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5F6602C38E7B4CE79EFFFA30EFF653B1_13</vt:lpwstr>
  </property>
</Properties>
</file>