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bidi w:val="0"/>
        <w:spacing w:before="0" w:beforeAutospacing="0" w:after="0" w:afterAutospacing="0" w:line="400" w:lineRule="exact"/>
        <w:ind w:left="120" w:right="0"/>
        <w:jc w:val="center"/>
        <w:textAlignment w:val="auto"/>
        <w:outlineLvl w:val="9"/>
        <w:rPr>
          <w:rFonts w:hint="eastAsia" w:ascii="宋体" w:hAnsi="宋体" w:eastAsia="宋体" w:cs="宋体"/>
          <w:color w:val="000000"/>
          <w:kern w:val="2"/>
          <w:sz w:val="21"/>
          <w:szCs w:val="21"/>
          <w:lang w:val="en-US" w:eastAsia="zh-CN" w:bidi="ar"/>
        </w:rPr>
      </w:pPr>
    </w:p>
    <w:p>
      <w:pPr>
        <w:pStyle w:val="2"/>
        <w:bidi w:val="0"/>
        <w:rPr>
          <w:rFonts w:hint="eastAsia"/>
          <w:lang w:val="en-US" w:eastAsia="zh-CN"/>
        </w:rPr>
      </w:pPr>
    </w:p>
    <w:p>
      <w:pPr>
        <w:pStyle w:val="2"/>
        <w:bidi w:val="0"/>
        <w:jc w:val="center"/>
        <w:rPr>
          <w:rFonts w:hint="eastAsia" w:ascii="黑体" w:hAnsi="黑体" w:eastAsia="黑体" w:cs="黑体"/>
          <w:sz w:val="52"/>
          <w:szCs w:val="52"/>
          <w:lang w:val="en-US" w:eastAsia="zh-CN"/>
        </w:rPr>
      </w:pPr>
      <w:bookmarkStart w:id="0" w:name="_Toc17527"/>
      <w:r>
        <w:rPr>
          <w:rFonts w:hint="eastAsia" w:ascii="黑体" w:hAnsi="黑体" w:eastAsia="黑体" w:cs="黑体"/>
          <w:sz w:val="52"/>
          <w:szCs w:val="52"/>
          <w:lang w:val="en-US" w:eastAsia="zh-CN"/>
        </w:rPr>
        <w:t>10kV（20kV）配电网工程电缆线路预制构件技术规范</w:t>
      </w:r>
      <w:bookmarkEnd w:id="0"/>
    </w:p>
    <w:p>
      <w:pPr>
        <w:pStyle w:val="2"/>
        <w:bidi w:val="0"/>
        <w:jc w:val="center"/>
        <w:rPr>
          <w:rFonts w:hint="eastAsia" w:ascii="黑体" w:hAnsi="黑体" w:eastAsia="黑体" w:cs="黑体"/>
          <w:sz w:val="52"/>
          <w:szCs w:val="52"/>
          <w:lang w:val="en-US" w:eastAsia="zh-CN"/>
        </w:rPr>
      </w:pPr>
    </w:p>
    <w:p>
      <w:pPr>
        <w:pStyle w:val="2"/>
        <w:bidi w:val="0"/>
        <w:jc w:val="center"/>
        <w:rPr>
          <w:rFonts w:hint="eastAsia" w:ascii="黑体" w:hAnsi="黑体" w:eastAsia="黑体" w:cs="黑体"/>
          <w:sz w:val="52"/>
          <w:szCs w:val="52"/>
          <w:lang w:val="en-US" w:eastAsia="zh-CN"/>
        </w:rPr>
        <w:sectPr>
          <w:pgSz w:w="12240" w:h="15840"/>
          <w:pgMar w:top="1440" w:right="1800" w:bottom="1440" w:left="1800" w:header="720" w:footer="720" w:gutter="0"/>
          <w:cols w:space="425" w:num="1"/>
          <w:docGrid w:type="lines" w:linePitch="312" w:charSpace="0"/>
        </w:sectPr>
      </w:pPr>
      <w:bookmarkStart w:id="1" w:name="_Toc22825"/>
      <w:r>
        <w:rPr>
          <w:rFonts w:hint="eastAsia" w:ascii="黑体" w:hAnsi="黑体" w:eastAsia="黑体" w:cs="黑体"/>
          <w:sz w:val="52"/>
          <w:szCs w:val="52"/>
          <w:lang w:val="en-US" w:eastAsia="zh-CN"/>
        </w:rPr>
        <w:t>编制说明</w:t>
      </w:r>
      <w:bookmarkEnd w:id="1"/>
    </w:p>
    <w:sdt>
      <w:sdtPr>
        <w:rPr>
          <w:rFonts w:hint="eastAsia" w:ascii="黑体" w:hAnsi="黑体" w:eastAsia="黑体" w:cs="黑体"/>
          <w:kern w:val="2"/>
          <w:sz w:val="32"/>
          <w:szCs w:val="32"/>
          <w:lang w:val="en-US" w:eastAsia="zh-CN" w:bidi="ar-SA"/>
        </w:rPr>
        <w:id w:val="147471224"/>
        <w15:color w:val="DBDBDB"/>
        <w:docPartObj>
          <w:docPartGallery w:val="Table of Contents"/>
          <w:docPartUnique/>
        </w:docPartObj>
      </w:sdtPr>
      <w:sdtEndPr>
        <w:rPr>
          <w:rFonts w:hint="eastAsia" w:ascii="宋体" w:hAnsi="宋体" w:eastAsia="宋体" w:cs="宋体"/>
          <w:color w:val="000000"/>
          <w:kern w:val="2"/>
          <w:sz w:val="21"/>
          <w:szCs w:val="21"/>
          <w:lang w:val="en-US" w:eastAsia="zh-CN" w:bidi="ar"/>
        </w:rPr>
      </w:sdtEndPr>
      <w:sdtContent>
        <w:p>
          <w:pPr>
            <w:keepNext w:val="0"/>
            <w:keepLines w:val="0"/>
            <w:pageBreakBefore w:val="0"/>
            <w:kinsoku/>
            <w:wordWrap/>
            <w:overflowPunct/>
            <w:topLinePunct w:val="0"/>
            <w:bidi w:val="0"/>
            <w:spacing w:before="0" w:beforeLines="0" w:after="0" w:afterLines="0" w:line="400" w:lineRule="exact"/>
            <w:ind w:left="0" w:leftChars="0" w:right="0" w:rightChars="0" w:firstLine="0" w:firstLineChars="0"/>
            <w:jc w:val="center"/>
            <w:textAlignment w:val="auto"/>
            <w:rPr>
              <w:rFonts w:hint="eastAsia" w:ascii="宋体" w:hAnsi="宋体" w:eastAsia="宋体" w:cs="宋体"/>
              <w:sz w:val="21"/>
              <w:szCs w:val="21"/>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次</w:t>
          </w: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color w:val="000000"/>
              <w:kern w:val="2"/>
              <w:sz w:val="21"/>
              <w:szCs w:val="21"/>
              <w:lang w:val="en-US" w:eastAsia="zh-CN" w:bidi="ar"/>
            </w:rPr>
            <w:instrText xml:space="preserve">TOC \o "1-1" \h \u </w:instrText>
          </w:r>
          <w:r>
            <w:rPr>
              <w:rFonts w:hint="eastAsia" w:ascii="宋体" w:hAnsi="宋体" w:eastAsia="宋体" w:cs="宋体"/>
              <w:color w:val="000000"/>
              <w:kern w:val="2"/>
              <w:sz w:val="21"/>
              <w:szCs w:val="21"/>
              <w:lang w:val="en-US" w:eastAsia="zh-CN" w:bidi="ar"/>
            </w:rPr>
            <w:fldChar w:fldCharType="separate"/>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_Toc23047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1标准编制目的</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_Toc23047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_Toc7229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2 编制背景及任务来源</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_Toc7229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_Toc16918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3 编制过程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_Toc16918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_Toc6734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4 主要内容</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_Toc6734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widowControl w:val="0"/>
            <w:tabs>
              <w:tab w:val="right" w:leader="dot" w:pos="8640"/>
            </w:tabs>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_Toc18127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5 技术指标确定的依据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_Toc18127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_Toc10877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6 重大意见分歧处理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_Toc10877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_Toc27088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7 与相关法律法规和标准的关系</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_Toc27088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_Toc15088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8 推广实施建议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_Toc15088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pStyle w:val="5"/>
            <w:keepNext w:val="0"/>
            <w:keepLines w:val="0"/>
            <w:pageBreakBefore w:val="0"/>
            <w:tabs>
              <w:tab w:val="right" w:leader="dot" w:pos="8640"/>
            </w:tabs>
            <w:kinsoku/>
            <w:wordWrap/>
            <w:overflowPunct/>
            <w:topLinePunct w:val="0"/>
            <w:bidi w:val="0"/>
            <w:spacing w:line="400" w:lineRule="exact"/>
            <w:textAlignment w:val="auto"/>
            <w:rPr>
              <w:rFonts w:hint="eastAsia" w:ascii="宋体" w:hAnsi="宋体" w:eastAsia="宋体" w:cs="宋体"/>
              <w:sz w:val="21"/>
              <w:szCs w:val="21"/>
            </w:rPr>
          </w:pPr>
          <w:r>
            <w:rPr>
              <w:rFonts w:hint="eastAsia" w:ascii="宋体" w:hAnsi="宋体" w:eastAsia="宋体" w:cs="宋体"/>
              <w:color w:val="000000"/>
              <w:kern w:val="2"/>
              <w:sz w:val="21"/>
              <w:szCs w:val="21"/>
              <w:lang w:val="en-US" w:eastAsia="zh-CN" w:bidi="ar"/>
            </w:rPr>
            <w:fldChar w:fldCharType="begin"/>
          </w:r>
          <w:r>
            <w:rPr>
              <w:rFonts w:hint="eastAsia" w:ascii="宋体" w:hAnsi="宋体" w:eastAsia="宋体" w:cs="宋体"/>
              <w:kern w:val="2"/>
              <w:sz w:val="21"/>
              <w:szCs w:val="21"/>
              <w:lang w:val="en-US" w:eastAsia="zh-CN" w:bidi="ar"/>
            </w:rPr>
            <w:instrText xml:space="preserve"> HYPERLINK \l _Toc28604 </w:instrText>
          </w:r>
          <w:r>
            <w:rPr>
              <w:rFonts w:hint="eastAsia" w:ascii="宋体" w:hAnsi="宋体" w:eastAsia="宋体" w:cs="宋体"/>
              <w:kern w:val="2"/>
              <w:sz w:val="21"/>
              <w:szCs w:val="21"/>
              <w:lang w:val="en-US" w:eastAsia="zh-CN" w:bidi="ar"/>
            </w:rPr>
            <w:fldChar w:fldCharType="separate"/>
          </w:r>
          <w:r>
            <w:rPr>
              <w:rFonts w:hint="eastAsia" w:ascii="宋体" w:hAnsi="宋体" w:eastAsia="宋体" w:cs="宋体"/>
              <w:kern w:val="2"/>
              <w:sz w:val="21"/>
              <w:szCs w:val="21"/>
              <w:lang w:val="en-US" w:eastAsia="zh-CN" w:bidi="ar"/>
            </w:rPr>
            <w:t>9起草单位和起草人员信息及分工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_Toc28604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color w:val="000000"/>
              <w:kern w:val="2"/>
              <w:sz w:val="21"/>
              <w:szCs w:val="21"/>
              <w:lang w:val="en-US" w:eastAsia="zh-CN" w:bidi="ar"/>
            </w:rPr>
            <w:fldChar w:fldCharType="end"/>
          </w: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both"/>
            <w:textAlignment w:val="auto"/>
            <w:outlineLvl w:val="9"/>
            <w:rPr>
              <w:rFonts w:hint="eastAsia" w:ascii="宋体" w:hAnsi="宋体" w:eastAsia="宋体" w:cs="宋体"/>
              <w:color w:val="000000"/>
              <w:kern w:val="2"/>
              <w:sz w:val="21"/>
              <w:szCs w:val="21"/>
              <w:lang w:val="en-US" w:eastAsia="zh-CN" w:bidi="ar"/>
            </w:rPr>
            <w:sectPr>
              <w:footerReference r:id="rId3" w:type="default"/>
              <w:pgSz w:w="12240" w:h="15840"/>
              <w:pgMar w:top="1440" w:right="1800" w:bottom="1440" w:left="1800" w:header="720" w:footer="720" w:gutter="0"/>
              <w:pgNumType w:start="1"/>
              <w:cols w:space="425" w:num="1"/>
              <w:docGrid w:type="lines" w:linePitch="312" w:charSpace="0"/>
            </w:sectPr>
          </w:pPr>
          <w:r>
            <w:rPr>
              <w:rFonts w:hint="eastAsia" w:ascii="宋体" w:hAnsi="宋体" w:eastAsia="宋体" w:cs="宋体"/>
              <w:color w:val="000000"/>
              <w:kern w:val="2"/>
              <w:sz w:val="21"/>
              <w:szCs w:val="21"/>
              <w:lang w:val="en-US" w:eastAsia="zh-CN" w:bidi="ar"/>
            </w:rPr>
            <w:fldChar w:fldCharType="end"/>
          </w:r>
        </w:p>
      </w:sdtContent>
    </w:sdt>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2" w:name="_Toc23047"/>
      <w:r>
        <w:rPr>
          <w:rFonts w:hint="eastAsia" w:ascii="黑体" w:hAnsi="黑体" w:eastAsia="黑体" w:cs="黑体"/>
          <w:color w:val="000000"/>
          <w:kern w:val="2"/>
          <w:sz w:val="21"/>
          <w:szCs w:val="21"/>
          <w:lang w:val="en-US" w:eastAsia="zh-CN" w:bidi="ar"/>
        </w:rPr>
        <w:t>1标准编制目的</w:t>
      </w:r>
      <w:bookmarkEnd w:id="2"/>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本</w:t>
      </w:r>
      <w:r>
        <w:rPr>
          <w:rFonts w:hint="eastAsia" w:ascii="宋体" w:hAnsi="宋体" w:eastAsia="宋体" w:cs="宋体"/>
          <w:sz w:val="21"/>
          <w:szCs w:val="21"/>
          <w:lang w:val="en-US" w:eastAsia="zh-CN"/>
        </w:rPr>
        <w:t>文件</w:t>
      </w:r>
      <w:r>
        <w:rPr>
          <w:rFonts w:hint="eastAsia" w:ascii="宋体" w:hAnsi="宋体" w:eastAsia="宋体" w:cs="宋体"/>
          <w:sz w:val="21"/>
          <w:szCs w:val="21"/>
          <w:lang w:eastAsia="zh-CN"/>
        </w:rPr>
        <w:t>编制目的：本文件规定了</w:t>
      </w:r>
      <w:r>
        <w:rPr>
          <w:rFonts w:hint="eastAsia" w:ascii="宋体" w:hAnsi="宋体" w:eastAsia="宋体" w:cs="宋体"/>
          <w:sz w:val="21"/>
          <w:szCs w:val="21"/>
          <w:lang w:val="en-US"/>
        </w:rPr>
        <w:t>10</w:t>
      </w:r>
      <w:r>
        <w:rPr>
          <w:rFonts w:hint="eastAsia" w:ascii="宋体" w:hAnsi="宋体" w:eastAsia="宋体" w:cs="宋体"/>
          <w:sz w:val="21"/>
          <w:szCs w:val="21"/>
          <w:lang w:eastAsia="zh-CN"/>
        </w:rPr>
        <w:t>（</w:t>
      </w:r>
      <w:r>
        <w:rPr>
          <w:rFonts w:hint="eastAsia" w:ascii="宋体" w:hAnsi="宋体" w:eastAsia="宋体" w:cs="宋体"/>
          <w:sz w:val="21"/>
          <w:szCs w:val="21"/>
          <w:lang w:val="en-US"/>
        </w:rPr>
        <w:t>20</w:t>
      </w:r>
      <w:r>
        <w:rPr>
          <w:rFonts w:hint="eastAsia" w:ascii="宋体" w:hAnsi="宋体" w:eastAsia="宋体" w:cs="宋体"/>
          <w:sz w:val="21"/>
          <w:szCs w:val="21"/>
          <w:lang w:eastAsia="zh-CN"/>
        </w:rPr>
        <w:t>）千伏配电网工程电缆线路预制构件</w:t>
      </w:r>
      <w:r>
        <w:rPr>
          <w:rFonts w:hint="eastAsia" w:ascii="宋体" w:hAnsi="宋体" w:eastAsia="宋体" w:cs="宋体"/>
          <w:sz w:val="21"/>
          <w:szCs w:val="21"/>
          <w:lang w:val="en-US" w:eastAsia="zh-CN"/>
        </w:rPr>
        <w:t>材料、</w:t>
      </w:r>
      <w:r>
        <w:rPr>
          <w:rFonts w:hint="eastAsia" w:ascii="宋体" w:hAnsi="宋体" w:eastAsia="宋体" w:cs="宋体"/>
          <w:sz w:val="21"/>
          <w:szCs w:val="21"/>
          <w:lang w:eastAsia="zh-CN"/>
        </w:rPr>
        <w:t>设计、</w:t>
      </w:r>
      <w:r>
        <w:rPr>
          <w:rFonts w:hint="eastAsia" w:ascii="宋体" w:hAnsi="宋体" w:eastAsia="宋体" w:cs="宋体"/>
          <w:sz w:val="21"/>
          <w:szCs w:val="21"/>
          <w:lang w:val="en-US" w:eastAsia="zh-CN"/>
        </w:rPr>
        <w:t>生产、施工安装、检验与验收</w:t>
      </w:r>
      <w:r>
        <w:rPr>
          <w:rFonts w:hint="eastAsia" w:ascii="宋体" w:hAnsi="宋体" w:eastAsia="宋体" w:cs="宋体"/>
          <w:sz w:val="21"/>
          <w:szCs w:val="21"/>
          <w:lang w:eastAsia="zh-CN"/>
        </w:rPr>
        <w:t>的</w:t>
      </w:r>
      <w:r>
        <w:rPr>
          <w:rFonts w:hint="eastAsia" w:ascii="宋体" w:hAnsi="宋体" w:eastAsia="宋体" w:cs="宋体"/>
          <w:sz w:val="21"/>
          <w:szCs w:val="21"/>
          <w:lang w:val="en-US" w:eastAsia="zh-CN"/>
        </w:rPr>
        <w:t>技术</w:t>
      </w:r>
      <w:r>
        <w:rPr>
          <w:rFonts w:hint="eastAsia" w:ascii="宋体" w:hAnsi="宋体" w:eastAsia="宋体" w:cs="宋体"/>
          <w:sz w:val="21"/>
          <w:szCs w:val="21"/>
          <w:lang w:eastAsia="zh-CN"/>
        </w:rPr>
        <w:t>要求，为规范</w:t>
      </w:r>
      <w:r>
        <w:rPr>
          <w:rFonts w:hint="eastAsia" w:ascii="宋体" w:hAnsi="宋体" w:eastAsia="宋体" w:cs="宋体"/>
          <w:sz w:val="21"/>
          <w:szCs w:val="21"/>
          <w:lang w:val="en-US"/>
        </w:rPr>
        <w:t>10</w:t>
      </w:r>
      <w:r>
        <w:rPr>
          <w:rFonts w:hint="eastAsia" w:ascii="宋体" w:hAnsi="宋体" w:eastAsia="宋体" w:cs="宋体"/>
          <w:sz w:val="21"/>
          <w:szCs w:val="21"/>
          <w:lang w:eastAsia="zh-CN"/>
        </w:rPr>
        <w:t>（</w:t>
      </w:r>
      <w:r>
        <w:rPr>
          <w:rFonts w:hint="eastAsia" w:ascii="宋体" w:hAnsi="宋体" w:eastAsia="宋体" w:cs="宋体"/>
          <w:sz w:val="21"/>
          <w:szCs w:val="21"/>
          <w:lang w:val="en-US"/>
        </w:rPr>
        <w:t>20</w:t>
      </w:r>
      <w:r>
        <w:rPr>
          <w:rFonts w:hint="eastAsia" w:ascii="宋体" w:hAnsi="宋体" w:eastAsia="宋体" w:cs="宋体"/>
          <w:sz w:val="21"/>
          <w:szCs w:val="21"/>
          <w:lang w:eastAsia="zh-CN"/>
        </w:rPr>
        <w:t>）千伏配电网工程电缆线路预制构件</w:t>
      </w:r>
      <w:r>
        <w:rPr>
          <w:rFonts w:hint="eastAsia" w:ascii="宋体" w:hAnsi="宋体" w:eastAsia="宋体" w:cs="宋体"/>
          <w:sz w:val="21"/>
          <w:szCs w:val="21"/>
          <w:lang w:val="en-US" w:eastAsia="zh-CN"/>
        </w:rPr>
        <w:t>的材料、</w:t>
      </w:r>
      <w:r>
        <w:rPr>
          <w:rFonts w:hint="eastAsia" w:ascii="宋体" w:hAnsi="宋体" w:eastAsia="宋体" w:cs="宋体"/>
          <w:sz w:val="21"/>
          <w:szCs w:val="21"/>
          <w:lang w:eastAsia="zh-CN"/>
        </w:rPr>
        <w:t>设计、</w:t>
      </w:r>
      <w:r>
        <w:rPr>
          <w:rFonts w:hint="eastAsia" w:ascii="宋体" w:hAnsi="宋体" w:eastAsia="宋体" w:cs="宋体"/>
          <w:sz w:val="21"/>
          <w:szCs w:val="21"/>
          <w:lang w:val="en-US" w:eastAsia="zh-CN"/>
        </w:rPr>
        <w:t>生产、施工安装、检验与验收</w:t>
      </w:r>
      <w:r>
        <w:rPr>
          <w:rFonts w:hint="eastAsia" w:ascii="宋体" w:hAnsi="宋体" w:eastAsia="宋体" w:cs="宋体"/>
          <w:sz w:val="21"/>
          <w:szCs w:val="21"/>
          <w:lang w:eastAsia="zh-CN"/>
        </w:rPr>
        <w:t>的工作提供技术标准和依据。</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3" w:name="_Toc7229"/>
      <w:r>
        <w:rPr>
          <w:rFonts w:hint="eastAsia" w:ascii="黑体" w:hAnsi="黑体" w:eastAsia="黑体" w:cs="黑体"/>
          <w:color w:val="000000"/>
          <w:kern w:val="2"/>
          <w:sz w:val="21"/>
          <w:szCs w:val="21"/>
          <w:lang w:val="en-US" w:eastAsia="zh-CN" w:bidi="ar"/>
        </w:rPr>
        <w:t>2 编制背景及任务来源</w:t>
      </w:r>
      <w:bookmarkEnd w:id="3"/>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为贯彻落实《国家标准化发展纲要》，深入实施标准化战略，进一步健全我省高质量发展标准体系，</w:t>
      </w:r>
      <w:r>
        <w:rPr>
          <w:rFonts w:hint="eastAsia" w:ascii="宋体" w:hAnsi="宋体" w:eastAsia="宋体" w:cs="宋体"/>
          <w:sz w:val="21"/>
          <w:szCs w:val="21"/>
          <w:lang w:val="en-US" w:eastAsia="zh-CN"/>
        </w:rPr>
        <w:t>本文件是根据</w:t>
      </w:r>
      <w:r>
        <w:rPr>
          <w:rFonts w:hint="eastAsia" w:ascii="宋体" w:hAnsi="宋体" w:eastAsia="宋体" w:cs="宋体"/>
          <w:sz w:val="21"/>
          <w:szCs w:val="21"/>
          <w:lang w:eastAsia="zh-CN"/>
        </w:rPr>
        <w:t>江苏省市场督管理局</w:t>
      </w:r>
      <w:r>
        <w:rPr>
          <w:rFonts w:hint="eastAsia" w:ascii="宋体" w:hAnsi="宋体" w:eastAsia="宋体" w:cs="宋体"/>
          <w:sz w:val="21"/>
          <w:szCs w:val="21"/>
          <w:lang w:val="en-US" w:eastAsia="zh-CN"/>
        </w:rPr>
        <w:t>公布的《</w:t>
      </w:r>
      <w:r>
        <w:rPr>
          <w:rFonts w:hint="eastAsia" w:ascii="宋体" w:hAnsi="宋体" w:eastAsia="宋体" w:cs="宋体"/>
          <w:sz w:val="21"/>
          <w:szCs w:val="21"/>
          <w:lang w:eastAsia="zh-CN"/>
        </w:rPr>
        <w:t>关于2022年度江苏省地方标准立项的公示》</w:t>
      </w:r>
      <w:r>
        <w:rPr>
          <w:rFonts w:hint="eastAsia" w:ascii="宋体" w:hAnsi="宋体" w:eastAsia="宋体" w:cs="宋体"/>
          <w:sz w:val="21"/>
          <w:szCs w:val="21"/>
          <w:lang w:val="en-US" w:eastAsia="zh-CN"/>
        </w:rPr>
        <w:t>的要求，文件编制组经广泛调查研究，认证总结实践检验和研究成果，参考有关国际标准和国内先进标准，结合我省的区域特点，并在广泛征求意见的基础上编制而成。</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sz w:val="21"/>
          <w:szCs w:val="21"/>
          <w:lang w:val="en-US" w:eastAsia="zh-CN"/>
        </w:rPr>
        <w:t>本文件编制承担单位为</w:t>
      </w:r>
      <w:r>
        <w:rPr>
          <w:rFonts w:hint="eastAsia" w:ascii="宋体" w:hAnsi="宋体" w:eastAsia="宋体" w:cs="宋体"/>
          <w:kern w:val="2"/>
          <w:sz w:val="21"/>
          <w:szCs w:val="21"/>
          <w:lang w:val="en-US" w:eastAsia="zh-CN" w:bidi="ar"/>
        </w:rPr>
        <w:t>国网江苏省电力有限公司，具体由国网江苏省电力有限公司经济技术研究院、国网江苏电力设计咨询有限公司、东南大学等单位共同开展。</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4" w:name="_Toc6064"/>
      <w:bookmarkStart w:id="5" w:name="_Toc16918"/>
      <w:bookmarkStart w:id="6" w:name="_Toc24288"/>
      <w:r>
        <w:rPr>
          <w:rFonts w:hint="eastAsia" w:ascii="黑体" w:hAnsi="黑体" w:eastAsia="黑体" w:cs="黑体"/>
          <w:color w:val="000000"/>
          <w:kern w:val="2"/>
          <w:sz w:val="21"/>
          <w:szCs w:val="21"/>
          <w:lang w:val="en-US" w:eastAsia="zh-CN" w:bidi="ar"/>
        </w:rPr>
        <w:t>3 编制过程</w:t>
      </w:r>
      <w:bookmarkEnd w:id="4"/>
      <w:bookmarkEnd w:id="5"/>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2021年6月，成立文件编制组</w:t>
      </w:r>
      <w:r>
        <w:rPr>
          <w:rFonts w:hint="eastAsia" w:ascii="宋体" w:hAnsi="宋体" w:eastAsia="宋体" w:cs="宋体"/>
          <w:sz w:val="21"/>
          <w:szCs w:val="21"/>
          <w:lang w:eastAsia="zh-CN"/>
        </w:rPr>
        <w:t>；</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sz w:val="21"/>
          <w:szCs w:val="21"/>
          <w:lang w:val="en-US" w:eastAsia="zh-CN"/>
        </w:rPr>
        <w:t>接到文件编制任务后，</w:t>
      </w:r>
      <w:r>
        <w:rPr>
          <w:rFonts w:hint="eastAsia" w:ascii="宋体" w:hAnsi="宋体" w:eastAsia="宋体" w:cs="宋体"/>
          <w:kern w:val="2"/>
          <w:sz w:val="21"/>
          <w:szCs w:val="21"/>
          <w:lang w:val="en-US" w:eastAsia="zh-CN" w:bidi="ar"/>
        </w:rPr>
        <w:t>国网江苏省电力有限公司联合江苏省电力有限公司经济技术研究院等单位成立了文件编制组，并就文件编制工作进行了分解部署。</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rPr>
        <w:t>2021</w:t>
      </w:r>
      <w:r>
        <w:rPr>
          <w:rFonts w:hint="eastAsia" w:ascii="宋体" w:hAnsi="宋体" w:eastAsia="宋体" w:cs="宋体"/>
          <w:sz w:val="21"/>
          <w:szCs w:val="21"/>
          <w:lang w:eastAsia="zh-CN"/>
        </w:rPr>
        <w:t>年</w:t>
      </w:r>
      <w:r>
        <w:rPr>
          <w:rFonts w:hint="eastAsia" w:ascii="宋体" w:hAnsi="宋体" w:eastAsia="宋体" w:cs="宋体"/>
          <w:sz w:val="21"/>
          <w:szCs w:val="21"/>
          <w:lang w:val="en-US"/>
        </w:rPr>
        <w:t>12</w:t>
      </w:r>
      <w:r>
        <w:rPr>
          <w:rFonts w:hint="eastAsia" w:ascii="宋体" w:hAnsi="宋体" w:eastAsia="宋体" w:cs="宋体"/>
          <w:sz w:val="21"/>
          <w:szCs w:val="21"/>
          <w:lang w:eastAsia="zh-CN"/>
        </w:rPr>
        <w:t>月申报江苏省地方标准；</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
        </w:rPr>
        <w:t>进行了</w:t>
      </w:r>
      <w:r>
        <w:rPr>
          <w:rFonts w:hint="eastAsia" w:ascii="宋体" w:hAnsi="宋体" w:eastAsia="宋体" w:cs="宋体"/>
          <w:sz w:val="21"/>
          <w:szCs w:val="21"/>
          <w:lang w:eastAsia="zh-CN"/>
        </w:rPr>
        <w:t>江苏省地方标准</w:t>
      </w:r>
      <w:r>
        <w:rPr>
          <w:rFonts w:hint="eastAsia" w:ascii="宋体" w:hAnsi="宋体" w:eastAsia="宋体" w:cs="宋体"/>
          <w:sz w:val="21"/>
          <w:szCs w:val="21"/>
          <w:lang w:val="en-US" w:eastAsia="zh-CN"/>
        </w:rPr>
        <w:t>立项申报工作。</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rPr>
        <w:t>2022</w:t>
      </w:r>
      <w:r>
        <w:rPr>
          <w:rFonts w:hint="eastAsia" w:ascii="宋体" w:hAnsi="宋体" w:eastAsia="宋体" w:cs="宋体"/>
          <w:sz w:val="21"/>
          <w:szCs w:val="21"/>
          <w:lang w:eastAsia="zh-CN"/>
        </w:rPr>
        <w:t>年</w:t>
      </w:r>
      <w:r>
        <w:rPr>
          <w:rFonts w:hint="eastAsia" w:ascii="宋体" w:hAnsi="宋体" w:eastAsia="宋体" w:cs="宋体"/>
          <w:sz w:val="21"/>
          <w:szCs w:val="21"/>
          <w:lang w:val="en-US"/>
        </w:rPr>
        <w:t>5</w:t>
      </w:r>
      <w:r>
        <w:rPr>
          <w:rFonts w:hint="eastAsia" w:ascii="宋体" w:hAnsi="宋体" w:eastAsia="宋体" w:cs="宋体"/>
          <w:sz w:val="21"/>
          <w:szCs w:val="21"/>
          <w:lang w:eastAsia="zh-CN"/>
        </w:rPr>
        <w:t>月，江苏省市场监督管理局下达本标准立项通知；</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江苏省市场督管理局</w:t>
      </w:r>
      <w:r>
        <w:rPr>
          <w:rFonts w:hint="eastAsia" w:ascii="宋体" w:hAnsi="宋体" w:eastAsia="宋体" w:cs="宋体"/>
          <w:sz w:val="21"/>
          <w:szCs w:val="21"/>
          <w:lang w:val="en-US" w:eastAsia="zh-CN"/>
        </w:rPr>
        <w:t>于</w:t>
      </w:r>
      <w:r>
        <w:rPr>
          <w:rFonts w:hint="eastAsia" w:ascii="宋体" w:hAnsi="宋体" w:eastAsia="宋体" w:cs="宋体"/>
          <w:sz w:val="21"/>
          <w:szCs w:val="21"/>
          <w:lang w:eastAsia="zh-CN"/>
        </w:rPr>
        <w:t>2022年5月20日</w:t>
      </w:r>
      <w:r>
        <w:rPr>
          <w:rFonts w:hint="eastAsia" w:ascii="宋体" w:hAnsi="宋体" w:eastAsia="宋体" w:cs="宋体"/>
          <w:sz w:val="21"/>
          <w:szCs w:val="21"/>
          <w:lang w:val="en-US" w:eastAsia="zh-CN"/>
        </w:rPr>
        <w:t>公布的《</w:t>
      </w:r>
      <w:r>
        <w:rPr>
          <w:rFonts w:hint="eastAsia" w:ascii="宋体" w:hAnsi="宋体" w:eastAsia="宋体" w:cs="宋体"/>
          <w:sz w:val="21"/>
          <w:szCs w:val="21"/>
          <w:lang w:eastAsia="zh-CN"/>
        </w:rPr>
        <w:t>关于2022年度江苏省地方标准立项的公示》</w:t>
      </w:r>
      <w:r>
        <w:rPr>
          <w:rFonts w:hint="eastAsia" w:ascii="宋体" w:hAnsi="宋体" w:eastAsia="宋体" w:cs="宋体"/>
          <w:sz w:val="21"/>
          <w:szCs w:val="21"/>
          <w:lang w:val="en-US" w:eastAsia="zh-CN"/>
        </w:rPr>
        <w:t>公布</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rPr>
        <w:t>2022</w:t>
      </w:r>
      <w:r>
        <w:rPr>
          <w:rFonts w:hint="eastAsia" w:ascii="宋体" w:hAnsi="宋体" w:eastAsia="宋体" w:cs="宋体"/>
          <w:sz w:val="21"/>
          <w:szCs w:val="21"/>
          <w:lang w:eastAsia="zh-CN"/>
        </w:rPr>
        <w:t>年</w:t>
      </w:r>
      <w:r>
        <w:rPr>
          <w:rFonts w:hint="eastAsia" w:ascii="宋体" w:hAnsi="宋体" w:eastAsia="宋体" w:cs="宋体"/>
          <w:sz w:val="21"/>
          <w:szCs w:val="21"/>
          <w:lang w:val="en-US"/>
        </w:rPr>
        <w:t>6</w:t>
      </w:r>
      <w:r>
        <w:rPr>
          <w:rFonts w:hint="eastAsia" w:ascii="宋体" w:hAnsi="宋体" w:eastAsia="宋体" w:cs="宋体"/>
          <w:sz w:val="21"/>
          <w:szCs w:val="21"/>
          <w:lang w:eastAsia="zh-CN"/>
        </w:rPr>
        <w:t>月，项目启动，</w:t>
      </w:r>
      <w:r>
        <w:rPr>
          <w:rFonts w:hint="eastAsia" w:ascii="宋体" w:hAnsi="宋体" w:eastAsia="宋体" w:cs="宋体"/>
          <w:sz w:val="21"/>
          <w:szCs w:val="21"/>
          <w:lang w:val="en-US" w:eastAsia="zh-CN"/>
        </w:rPr>
        <w:t>资料收集和行业问题梳理；</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标志组首先</w:t>
      </w:r>
      <w:r>
        <w:rPr>
          <w:rFonts w:hint="eastAsia" w:ascii="宋体" w:hAnsi="宋体" w:eastAsia="宋体" w:cs="宋体"/>
          <w:sz w:val="21"/>
          <w:szCs w:val="21"/>
          <w:lang w:eastAsia="zh-CN"/>
        </w:rPr>
        <w:t>对</w:t>
      </w:r>
      <w:r>
        <w:rPr>
          <w:rFonts w:hint="eastAsia" w:ascii="宋体" w:hAnsi="宋体" w:eastAsia="宋体" w:cs="宋体"/>
          <w:sz w:val="21"/>
          <w:szCs w:val="21"/>
          <w:lang w:val="en-US" w:eastAsia="zh-CN"/>
        </w:rPr>
        <w:t>文件</w:t>
      </w:r>
      <w:r>
        <w:rPr>
          <w:rFonts w:hint="eastAsia" w:ascii="宋体" w:hAnsi="宋体" w:eastAsia="宋体" w:cs="宋体"/>
          <w:sz w:val="21"/>
          <w:szCs w:val="21"/>
          <w:lang w:eastAsia="zh-CN"/>
        </w:rPr>
        <w:t>内容进行调研，</w:t>
      </w:r>
      <w:r>
        <w:rPr>
          <w:rFonts w:hint="eastAsia" w:ascii="宋体" w:hAnsi="宋体" w:eastAsia="宋体" w:cs="宋体"/>
          <w:sz w:val="21"/>
          <w:szCs w:val="21"/>
          <w:lang w:val="en-US" w:eastAsia="zh-CN"/>
        </w:rPr>
        <w:t>开展了国内外相关标准、文献资料的收集与调研工作，同时对行业相关的标准进行了系统性梳理，在此基础上总结出目前存在的主要问题。</w:t>
      </w:r>
      <w:r>
        <w:rPr>
          <w:rFonts w:hint="eastAsia" w:ascii="宋体" w:hAnsi="宋体" w:eastAsia="宋体" w:cs="宋体"/>
          <w:sz w:val="21"/>
          <w:szCs w:val="21"/>
          <w:lang w:eastAsia="zh-CN"/>
        </w:rPr>
        <w:t>部署标准制定工作计划，确定标准体系架构，明确了</w:t>
      </w:r>
      <w:r>
        <w:rPr>
          <w:rFonts w:hint="eastAsia" w:ascii="宋体" w:hAnsi="宋体" w:eastAsia="宋体" w:cs="宋体"/>
          <w:sz w:val="21"/>
          <w:szCs w:val="21"/>
          <w:lang w:val="en-US" w:eastAsia="zh-CN"/>
        </w:rPr>
        <w:t>标准编制</w:t>
      </w:r>
      <w:r>
        <w:rPr>
          <w:rFonts w:hint="eastAsia" w:ascii="宋体" w:hAnsi="宋体" w:eastAsia="宋体" w:cs="宋体"/>
          <w:sz w:val="21"/>
          <w:szCs w:val="21"/>
          <w:lang w:eastAsia="zh-CN"/>
        </w:rPr>
        <w:t>的目的、思路、任务、分工及进度要求，形成标准草案；</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rPr>
        <w:t>2022</w:t>
      </w:r>
      <w:r>
        <w:rPr>
          <w:rFonts w:hint="eastAsia" w:ascii="宋体" w:hAnsi="宋体" w:eastAsia="宋体" w:cs="宋体"/>
          <w:sz w:val="21"/>
          <w:szCs w:val="21"/>
          <w:lang w:eastAsia="zh-CN"/>
        </w:rPr>
        <w:t>年</w:t>
      </w:r>
      <w:r>
        <w:rPr>
          <w:rFonts w:hint="eastAsia" w:ascii="宋体" w:hAnsi="宋体" w:eastAsia="宋体" w:cs="宋体"/>
          <w:sz w:val="21"/>
          <w:szCs w:val="21"/>
          <w:lang w:val="en-US"/>
        </w:rPr>
        <w:t>10</w:t>
      </w:r>
      <w:r>
        <w:rPr>
          <w:rFonts w:hint="eastAsia" w:ascii="宋体" w:hAnsi="宋体" w:eastAsia="宋体" w:cs="宋体"/>
          <w:sz w:val="21"/>
          <w:szCs w:val="21"/>
          <w:lang w:eastAsia="zh-CN"/>
        </w:rPr>
        <w:t>月，组织召开大纲研讨会；</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在前期工作的基础上，研究提出了标准的编制思路和编制原则，确定了标准的框架结构和主要技术内容，并编制完成标准开题论证报告和标准草案初稿。</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rPr>
        <w:t>2023</w:t>
      </w:r>
      <w:r>
        <w:rPr>
          <w:rFonts w:hint="eastAsia" w:ascii="宋体" w:hAnsi="宋体" w:eastAsia="宋体" w:cs="宋体"/>
          <w:sz w:val="21"/>
          <w:szCs w:val="21"/>
          <w:lang w:eastAsia="zh-CN"/>
        </w:rPr>
        <w:t>年</w:t>
      </w:r>
      <w:r>
        <w:rPr>
          <w:rFonts w:hint="eastAsia" w:ascii="宋体" w:hAnsi="宋体" w:eastAsia="宋体" w:cs="宋体"/>
          <w:sz w:val="21"/>
          <w:szCs w:val="21"/>
          <w:lang w:val="en-US"/>
        </w:rPr>
        <w:t>1</w:t>
      </w:r>
      <w:r>
        <w:rPr>
          <w:rFonts w:hint="eastAsia" w:ascii="宋体" w:hAnsi="宋体" w:eastAsia="宋体" w:cs="宋体"/>
          <w:sz w:val="21"/>
          <w:szCs w:val="21"/>
          <w:lang w:eastAsia="zh-CN"/>
        </w:rPr>
        <w:t>月，</w:t>
      </w:r>
      <w:r>
        <w:rPr>
          <w:rFonts w:hint="eastAsia" w:ascii="宋体" w:hAnsi="宋体" w:eastAsia="宋体" w:cs="宋体"/>
          <w:sz w:val="21"/>
          <w:szCs w:val="21"/>
          <w:lang w:val="en-US" w:eastAsia="zh-CN"/>
        </w:rPr>
        <w:t>组织召开标准专题论证会；</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rPr>
      </w:pPr>
      <w:r>
        <w:rPr>
          <w:rFonts w:hint="eastAsia" w:ascii="宋体" w:hAnsi="宋体" w:eastAsia="宋体" w:cs="宋体"/>
          <w:sz w:val="21"/>
          <w:szCs w:val="21"/>
          <w:lang w:eastAsia="zh-CN"/>
        </w:rPr>
        <w:t>组织参编单位</w:t>
      </w:r>
      <w:r>
        <w:rPr>
          <w:rFonts w:hint="eastAsia" w:ascii="宋体" w:hAnsi="宋体" w:eastAsia="宋体" w:cs="宋体"/>
          <w:sz w:val="21"/>
          <w:szCs w:val="21"/>
          <w:lang w:val="en-US" w:eastAsia="zh-CN"/>
        </w:rPr>
        <w:t>及行业专家召开标准专题论证会，对行业现状进行</w:t>
      </w:r>
      <w:r>
        <w:rPr>
          <w:rFonts w:hint="eastAsia" w:ascii="宋体" w:hAnsi="宋体" w:eastAsia="宋体" w:cs="宋体"/>
          <w:sz w:val="21"/>
          <w:szCs w:val="21"/>
          <w:lang w:eastAsia="zh-CN"/>
        </w:rPr>
        <w:t>讨论，</w:t>
      </w:r>
      <w:r>
        <w:rPr>
          <w:rFonts w:hint="eastAsia" w:ascii="宋体" w:hAnsi="宋体" w:eastAsia="宋体" w:cs="宋体"/>
          <w:sz w:val="21"/>
          <w:szCs w:val="21"/>
          <w:lang w:val="en-US" w:eastAsia="zh-CN"/>
        </w:rPr>
        <w:t>针对开题报告和标准草案初稿进行研讨，并最终形成统一意见，文件编制组形成</w:t>
      </w:r>
      <w:r>
        <w:rPr>
          <w:rFonts w:hint="eastAsia" w:ascii="宋体" w:hAnsi="宋体" w:eastAsia="宋体" w:cs="宋体"/>
          <w:sz w:val="21"/>
          <w:szCs w:val="21"/>
          <w:lang w:eastAsia="zh-CN"/>
        </w:rPr>
        <w:t>修改</w:t>
      </w:r>
      <w:r>
        <w:rPr>
          <w:rFonts w:hint="eastAsia" w:ascii="宋体" w:hAnsi="宋体" w:eastAsia="宋体" w:cs="宋体"/>
          <w:sz w:val="21"/>
          <w:szCs w:val="21"/>
          <w:lang w:val="en-US" w:eastAsia="zh-CN"/>
        </w:rPr>
        <w:t>材料</w:t>
      </w:r>
      <w:r>
        <w:rPr>
          <w:rFonts w:hint="eastAsia" w:ascii="宋体" w:hAnsi="宋体" w:eastAsia="宋体" w:cs="宋体"/>
          <w:sz w:val="21"/>
          <w:szCs w:val="21"/>
          <w:lang w:eastAsia="zh-CN"/>
        </w:rPr>
        <w:t>；</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rPr>
        <w:t>2023</w:t>
      </w:r>
      <w:r>
        <w:rPr>
          <w:rFonts w:hint="eastAsia" w:ascii="宋体" w:hAnsi="宋体" w:eastAsia="宋体" w:cs="宋体"/>
          <w:sz w:val="21"/>
          <w:szCs w:val="21"/>
          <w:lang w:eastAsia="zh-CN"/>
        </w:rPr>
        <w:t>年</w:t>
      </w:r>
      <w:r>
        <w:rPr>
          <w:rFonts w:hint="eastAsia" w:ascii="宋体" w:hAnsi="宋体" w:eastAsia="宋体" w:cs="宋体"/>
          <w:sz w:val="21"/>
          <w:szCs w:val="21"/>
          <w:lang w:val="en-US"/>
        </w:rPr>
        <w:t>4-7</w:t>
      </w:r>
      <w:r>
        <w:rPr>
          <w:rFonts w:hint="eastAsia" w:ascii="宋体" w:hAnsi="宋体" w:eastAsia="宋体" w:cs="宋体"/>
          <w:sz w:val="21"/>
          <w:szCs w:val="21"/>
          <w:lang w:eastAsia="zh-CN"/>
        </w:rPr>
        <w:t>月，形成标准征求意见稿；</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编制组根据标准专题论证会的专家意见，对标准进行了补充调研，并完成修改和调整，开展了标准适用范围分和标准体系协调性分析，在此基础上编制完成标准征求意见稿及征求意见稿编制说明初稿，</w:t>
      </w:r>
      <w:r>
        <w:rPr>
          <w:rFonts w:hint="eastAsia" w:ascii="宋体" w:hAnsi="宋体" w:eastAsia="宋体" w:cs="宋体"/>
          <w:sz w:val="21"/>
          <w:szCs w:val="21"/>
          <w:lang w:eastAsia="zh-CN"/>
        </w:rPr>
        <w:t>在电力系统和建筑行业内广泛征求意见。</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2024年1月，组织召开征求意见稿内部研讨会，编制完成标准征求意见稿及征求意见稿编制说明。</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标准编制组多次组织召开内部研讨会，就标准的作用定位，主要技术内容等关键问题进行研讨，并形成完善标准征求意见稿及征求意见稿编制说明，并向标准委员会申请审查。</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2024年4月组织召开标准征求意见稿技术审查会；</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sz w:val="21"/>
          <w:szCs w:val="21"/>
          <w:lang w:val="en-US" w:eastAsia="zh-CN"/>
        </w:rPr>
        <w:t>2024年4月18日，</w:t>
      </w:r>
      <w:r>
        <w:rPr>
          <w:rFonts w:hint="eastAsia" w:ascii="宋体" w:hAnsi="宋体" w:eastAsia="宋体" w:cs="宋体"/>
          <w:kern w:val="2"/>
          <w:sz w:val="21"/>
          <w:szCs w:val="21"/>
          <w:lang w:val="en-US" w:eastAsia="zh-CN" w:bidi="ar"/>
        </w:rPr>
        <w:t>国网江苏省电力技术委员会组织召开标准征求意见稿技术审查会，专家委员会听取了标准编制单位关于征求意见稿主要技术内容的汇报，一直同意通过该标准征求意见稿的审查</w:t>
      </w:r>
      <w:r>
        <w:rPr>
          <w:rFonts w:hint="eastAsia" w:ascii="宋体" w:hAnsi="宋体" w:cs="宋体"/>
          <w:kern w:val="2"/>
          <w:sz w:val="21"/>
          <w:szCs w:val="21"/>
          <w:lang w:val="en-US" w:eastAsia="zh-CN" w:bidi="ar"/>
        </w:rPr>
        <w:t>。</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2024年5月10日，标准编制组根据征求意见稿技术审查会的专家意见，编制完成标准公开征求意见稿及编制说明。</w:t>
      </w:r>
      <w:bookmarkStart w:id="16" w:name="_GoBack"/>
      <w:bookmarkEnd w:id="16"/>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cs="宋体"/>
          <w:kern w:val="2"/>
          <w:sz w:val="21"/>
          <w:szCs w:val="21"/>
          <w:lang w:val="en-US" w:eastAsia="zh-CN" w:bidi="ar"/>
        </w:rPr>
        <w:t>2024年5</w:t>
      </w:r>
      <w:r>
        <w:rPr>
          <w:rFonts w:hint="eastAsia" w:ascii="宋体" w:hAnsi="宋体" w:eastAsia="宋体" w:cs="宋体"/>
          <w:kern w:val="2"/>
          <w:sz w:val="21"/>
          <w:szCs w:val="21"/>
          <w:lang w:val="en-US" w:eastAsia="zh-CN" w:bidi="ar"/>
        </w:rPr>
        <w:t>月</w:t>
      </w:r>
      <w:r>
        <w:rPr>
          <w:rFonts w:hint="eastAsia" w:ascii="宋体" w:hAnsi="宋体" w:cs="宋体"/>
          <w:kern w:val="2"/>
          <w:sz w:val="21"/>
          <w:szCs w:val="21"/>
          <w:lang w:val="en-US" w:eastAsia="zh-CN" w:bidi="ar"/>
        </w:rPr>
        <w:t>21日-6月21</w:t>
      </w:r>
      <w:r>
        <w:rPr>
          <w:rFonts w:hint="eastAsia" w:ascii="宋体" w:hAnsi="宋体" w:eastAsia="宋体" w:cs="宋体"/>
          <w:kern w:val="2"/>
          <w:sz w:val="21"/>
          <w:szCs w:val="21"/>
          <w:lang w:val="en-US" w:eastAsia="zh-CN" w:bidi="ar"/>
        </w:rPr>
        <w:t>日，标准</w:t>
      </w:r>
      <w:r>
        <w:rPr>
          <w:rFonts w:hint="eastAsia" w:ascii="宋体" w:hAnsi="宋体" w:cs="宋体"/>
          <w:kern w:val="2"/>
          <w:sz w:val="21"/>
          <w:szCs w:val="21"/>
          <w:lang w:val="en-US" w:eastAsia="zh-CN" w:bidi="ar"/>
        </w:rPr>
        <w:t>征求相关单位意见，根据征求意见完善标准，并形成征求意见回函表</w:t>
      </w:r>
      <w:r>
        <w:rPr>
          <w:rFonts w:hint="eastAsia" w:ascii="宋体" w:hAnsi="宋体" w:eastAsia="宋体" w:cs="宋体"/>
          <w:kern w:val="2"/>
          <w:sz w:val="21"/>
          <w:szCs w:val="21"/>
          <w:lang w:val="en-US" w:eastAsia="zh-CN" w:bidi="ar"/>
        </w:rPr>
        <w:t>。</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0"/>
          <w:sz w:val="21"/>
          <w:szCs w:val="21"/>
          <w:lang w:val="en-US"/>
        </w:rPr>
      </w:pPr>
      <w:bookmarkStart w:id="7" w:name="_Toc6734"/>
      <w:r>
        <w:rPr>
          <w:rFonts w:hint="eastAsia" w:ascii="黑体" w:hAnsi="黑体" w:eastAsia="黑体" w:cs="黑体"/>
          <w:color w:val="000000"/>
          <w:kern w:val="2"/>
          <w:sz w:val="21"/>
          <w:szCs w:val="21"/>
          <w:lang w:val="en-US" w:eastAsia="zh-CN" w:bidi="ar"/>
        </w:rPr>
        <w:t xml:space="preserve">4 </w:t>
      </w:r>
      <w:bookmarkEnd w:id="6"/>
      <w:r>
        <w:rPr>
          <w:rFonts w:hint="eastAsia" w:ascii="黑体" w:hAnsi="黑体" w:eastAsia="黑体" w:cs="黑体"/>
          <w:color w:val="000000"/>
          <w:kern w:val="2"/>
          <w:sz w:val="21"/>
          <w:szCs w:val="21"/>
          <w:lang w:val="en-US" w:eastAsia="zh-CN" w:bidi="ar"/>
        </w:rPr>
        <w:t>主要内容</w:t>
      </w:r>
      <w:bookmarkEnd w:id="7"/>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rPr>
      </w:pPr>
      <w:r>
        <w:rPr>
          <w:rFonts w:hint="eastAsia" w:ascii="宋体" w:hAnsi="宋体" w:eastAsia="宋体" w:cs="宋体"/>
          <w:sz w:val="21"/>
          <w:szCs w:val="21"/>
          <w:lang w:eastAsia="zh-CN"/>
        </w:rPr>
        <w:t>本文件按照</w:t>
      </w:r>
      <w:r>
        <w:rPr>
          <w:rFonts w:hint="eastAsia" w:ascii="宋体" w:hAnsi="宋体" w:eastAsia="宋体" w:cs="宋体"/>
          <w:sz w:val="21"/>
          <w:szCs w:val="21"/>
          <w:lang w:val="en-US"/>
        </w:rPr>
        <w:t>GB/T 1.1</w:t>
      </w:r>
      <w:r>
        <w:rPr>
          <w:rFonts w:hint="eastAsia" w:ascii="宋体" w:hAnsi="宋体" w:eastAsia="宋体" w:cs="宋体"/>
          <w:sz w:val="21"/>
          <w:szCs w:val="21"/>
          <w:lang w:eastAsia="zh-CN"/>
        </w:rPr>
        <w:t>—</w:t>
      </w:r>
      <w:r>
        <w:rPr>
          <w:rFonts w:hint="eastAsia" w:ascii="宋体" w:hAnsi="宋体" w:eastAsia="宋体" w:cs="宋体"/>
          <w:sz w:val="21"/>
          <w:szCs w:val="21"/>
          <w:lang w:val="en-US"/>
        </w:rPr>
        <w:t>2020</w:t>
      </w:r>
      <w:r>
        <w:rPr>
          <w:rFonts w:hint="eastAsia" w:ascii="宋体" w:hAnsi="宋体" w:eastAsia="宋体" w:cs="宋体"/>
          <w:sz w:val="21"/>
          <w:szCs w:val="21"/>
          <w:lang w:eastAsia="zh-CN"/>
        </w:rPr>
        <w:t>和</w:t>
      </w:r>
      <w:r>
        <w:rPr>
          <w:rFonts w:hint="eastAsia" w:ascii="宋体" w:hAnsi="宋体" w:eastAsia="宋体" w:cs="宋体"/>
          <w:sz w:val="21"/>
          <w:szCs w:val="21"/>
          <w:lang w:val="en-US"/>
        </w:rPr>
        <w:t>GB/T 20001.5</w:t>
      </w:r>
      <w:r>
        <w:rPr>
          <w:rFonts w:hint="eastAsia" w:ascii="宋体" w:hAnsi="宋体" w:eastAsia="宋体" w:cs="宋体"/>
          <w:sz w:val="21"/>
          <w:szCs w:val="21"/>
          <w:lang w:eastAsia="zh-CN"/>
        </w:rPr>
        <w:t>《标准编写规则 第</w:t>
      </w:r>
      <w:r>
        <w:rPr>
          <w:rFonts w:hint="eastAsia" w:ascii="宋体" w:hAnsi="宋体" w:eastAsia="宋体" w:cs="宋体"/>
          <w:sz w:val="21"/>
          <w:szCs w:val="21"/>
          <w:lang w:val="en-US"/>
        </w:rPr>
        <w:t>5</w:t>
      </w:r>
      <w:r>
        <w:rPr>
          <w:rFonts w:hint="eastAsia" w:ascii="宋体" w:hAnsi="宋体" w:eastAsia="宋体" w:cs="宋体"/>
          <w:sz w:val="21"/>
          <w:szCs w:val="21"/>
          <w:lang w:eastAsia="zh-CN"/>
        </w:rPr>
        <w:t>部分：规范标准》的规定起草，本标准的</w:t>
      </w:r>
      <w:r>
        <w:rPr>
          <w:rFonts w:hint="eastAsia" w:ascii="宋体" w:hAnsi="宋体" w:eastAsia="宋体" w:cs="宋体"/>
          <w:sz w:val="21"/>
          <w:szCs w:val="21"/>
          <w:lang w:val="en-US" w:eastAsia="zh-CN"/>
        </w:rPr>
        <w:t>主要</w:t>
      </w:r>
      <w:r>
        <w:rPr>
          <w:rFonts w:hint="eastAsia" w:ascii="宋体" w:hAnsi="宋体" w:eastAsia="宋体" w:cs="宋体"/>
          <w:sz w:val="21"/>
          <w:szCs w:val="21"/>
          <w:lang w:eastAsia="zh-CN"/>
        </w:rPr>
        <w:t>内容如下：</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1.</w:t>
      </w:r>
      <w:r>
        <w:rPr>
          <w:rFonts w:hint="eastAsia" w:ascii="宋体" w:hAnsi="宋体" w:eastAsia="宋体" w:cs="宋体"/>
          <w:sz w:val="21"/>
          <w:szCs w:val="21"/>
          <w:lang w:eastAsia="zh-CN"/>
        </w:rPr>
        <w:t>目次；</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eastAsia="zh-CN"/>
        </w:rPr>
        <w:t>前言；</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3.</w:t>
      </w:r>
      <w:r>
        <w:rPr>
          <w:rFonts w:hint="eastAsia" w:ascii="宋体" w:hAnsi="宋体" w:eastAsia="宋体" w:cs="宋体"/>
          <w:sz w:val="21"/>
          <w:szCs w:val="21"/>
          <w:lang w:eastAsia="zh-CN"/>
        </w:rPr>
        <w:t>正文共设</w:t>
      </w:r>
      <w:r>
        <w:rPr>
          <w:rFonts w:hint="eastAsia" w:ascii="宋体" w:hAnsi="宋体" w:eastAsia="宋体" w:cs="宋体"/>
          <w:sz w:val="21"/>
          <w:szCs w:val="21"/>
          <w:lang w:val="en-US"/>
        </w:rPr>
        <w:t>9</w:t>
      </w:r>
      <w:r>
        <w:rPr>
          <w:rFonts w:hint="eastAsia" w:ascii="宋体" w:hAnsi="宋体" w:eastAsia="宋体" w:cs="宋体"/>
          <w:sz w:val="21"/>
          <w:szCs w:val="21"/>
          <w:lang w:eastAsia="zh-CN"/>
        </w:rPr>
        <w:t>章：</w:t>
      </w:r>
      <w:r>
        <w:rPr>
          <w:rFonts w:hint="eastAsia" w:ascii="宋体" w:hAnsi="宋体" w:eastAsia="宋体" w:cs="宋体"/>
          <w:sz w:val="21"/>
          <w:szCs w:val="21"/>
          <w:lang w:val="en-US" w:eastAsia="zh-CN"/>
        </w:rPr>
        <w:t>适用</w:t>
      </w:r>
      <w:r>
        <w:rPr>
          <w:rFonts w:hint="eastAsia" w:ascii="宋体" w:hAnsi="宋体" w:eastAsia="宋体" w:cs="宋体"/>
          <w:sz w:val="21"/>
          <w:szCs w:val="21"/>
          <w:lang w:eastAsia="zh-CN"/>
        </w:rPr>
        <w:t>范围，规范性引用文件，术语和定义，基本要求，材料，设计，构件生产，施工安装，检验与验收。</w:t>
      </w: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8" w:name="_Toc18127"/>
      <w:r>
        <w:rPr>
          <w:rFonts w:hint="eastAsia" w:ascii="黑体" w:hAnsi="黑体" w:eastAsia="黑体" w:cs="黑体"/>
          <w:color w:val="000000"/>
          <w:kern w:val="2"/>
          <w:sz w:val="21"/>
          <w:szCs w:val="21"/>
          <w:lang w:val="en-US" w:eastAsia="zh-CN" w:bidi="ar"/>
        </w:rPr>
        <w:t>5 技术指标确定的依据</w:t>
      </w:r>
      <w:bookmarkEnd w:id="8"/>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按照《标准化工作导则 第1部分：标准的结构和编写规则》（GB/T 1.1-2000）的有关要求，开展本文件制定工作。</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本文件主要对现有10（20）千伏配电网工程电缆线路预制构件提出基本的技术要求，不对新出现技术做过多限制。</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GB/T 18173.3  高分子防水材料 第3部分：遇水膨胀橡胶</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GB/T 21873    橡胶密封件给、排水管及污水管道用接口密封圈  材料规范</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GB/T 3274     碳素结构钢和低合金结构钢热轧钢板和钢带</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 50010</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混凝土结构设计规范</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GB/T 50046</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工业建筑防腐蚀设计标准</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 50068</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建筑结构可靠性设计统一标准</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 xml:space="preserve">GB </w:t>
      </w:r>
      <w:bookmarkStart w:id="9" w:name="_Hlk151047518"/>
      <w:r>
        <w:rPr>
          <w:rFonts w:hint="eastAsia" w:ascii="宋体" w:hAnsi="宋体" w:eastAsia="宋体" w:cs="宋体"/>
          <w:kern w:val="0"/>
          <w:sz w:val="21"/>
          <w:szCs w:val="21"/>
          <w:lang w:val="en-US" w:eastAsia="zh-CN" w:bidi="ar"/>
        </w:rPr>
        <w:t>50204</w:t>
      </w:r>
      <w:bookmarkEnd w:id="9"/>
      <w:r>
        <w:rPr>
          <w:rFonts w:hint="eastAsia" w:ascii="宋体" w:hAnsi="宋体" w:eastAsia="宋体" w:cs="宋体"/>
          <w:kern w:val="0"/>
          <w:sz w:val="21"/>
          <w:szCs w:val="21"/>
          <w:lang w:val="en-US" w:eastAsia="zh-CN" w:bidi="ar"/>
        </w:rPr>
        <w:t xml:space="preserve">      混凝土结构工程施工质量验收规范</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 50205      钢结构工程施工质量验收标准</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GB/T 50476</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混凝土结构耐久性设计标准</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 xml:space="preserve">GB 50666 </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混凝土结构工程施工规范</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GB/T 51231</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装配式混凝土建筑技术标准</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DL/T 802</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电力电缆用导管技术条件</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JGJ 18        钢筋焊接及验收规程</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JGJ 107       钢筋机械连接技术规程</w:t>
      </w:r>
    </w:p>
    <w:p>
      <w:pPr>
        <w:pStyle w:val="6"/>
        <w:keepNext w:val="0"/>
        <w:keepLines w:val="0"/>
        <w:pageBreakBefore w:val="0"/>
        <w:widowControl/>
        <w:suppressLineNumbers w:val="0"/>
        <w:kinsoku/>
        <w:wordWrap/>
        <w:overflowPunct/>
        <w:topLinePunct w:val="0"/>
        <w:autoSpaceDE w:val="0"/>
        <w:autoSpaceDN w:val="0"/>
        <w:bidi w:val="0"/>
        <w:spacing w:before="0" w:beforeAutospacing="0" w:after="0" w:afterAutospacing="0" w:line="400" w:lineRule="exact"/>
        <w:ind w:left="0" w:right="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kern w:val="0"/>
          <w:sz w:val="21"/>
          <w:szCs w:val="21"/>
          <w:lang w:val="en-US" w:eastAsia="zh-CN" w:bidi="ar"/>
        </w:rPr>
        <w:t>JGJ 476</w:t>
      </w:r>
      <w:r>
        <w:rPr>
          <w:rFonts w:hint="eastAsia" w:ascii="宋体" w:hAnsi="宋体" w:eastAsia="宋体" w:cs="宋体"/>
          <w:kern w:val="0"/>
          <w:sz w:val="21"/>
          <w:szCs w:val="21"/>
          <w:lang w:val="en-US" w:eastAsia="zh-CN" w:bidi="ar"/>
        </w:rPr>
        <w:tab/>
      </w:r>
      <w:r>
        <w:rPr>
          <w:rFonts w:hint="eastAsia" w:ascii="宋体" w:hAnsi="宋体" w:eastAsia="宋体" w:cs="宋体"/>
          <w:kern w:val="0"/>
          <w:sz w:val="21"/>
          <w:szCs w:val="21"/>
          <w:lang w:val="en-US" w:eastAsia="zh-CN" w:bidi="ar"/>
        </w:rPr>
        <w:t xml:space="preserve">      建筑工程抗浮技术标准</w:t>
      </w:r>
    </w:p>
    <w:p>
      <w:pPr>
        <w:pStyle w:val="10"/>
        <w:keepNext w:val="0"/>
        <w:keepLines w:val="0"/>
        <w:pageBreakBefore w:val="0"/>
        <w:widowControl/>
        <w:kinsoku/>
        <w:wordWrap/>
        <w:overflowPunct/>
        <w:topLinePunct w:val="0"/>
        <w:bidi w:val="0"/>
        <w:spacing w:line="400" w:lineRule="exact"/>
        <w:textAlignment w:val="auto"/>
        <w:rPr>
          <w:rFonts w:hint="eastAsia" w:ascii="宋体" w:hAnsi="宋体" w:eastAsia="宋体" w:cs="宋体"/>
          <w:kern w:val="2"/>
          <w:sz w:val="21"/>
          <w:szCs w:val="21"/>
          <w:lang w:val="en-US" w:eastAsia="zh-CN" w:bidi="ar"/>
        </w:rPr>
      </w:pP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10" w:name="_Toc10877"/>
      <w:r>
        <w:rPr>
          <w:rFonts w:hint="eastAsia" w:ascii="黑体" w:hAnsi="黑体" w:eastAsia="黑体" w:cs="黑体"/>
          <w:color w:val="000000"/>
          <w:kern w:val="2"/>
          <w:sz w:val="21"/>
          <w:szCs w:val="21"/>
          <w:lang w:val="en-US" w:eastAsia="zh-CN" w:bidi="ar"/>
        </w:rPr>
        <w:t>6 重大意见分歧处理</w:t>
      </w:r>
      <w:bookmarkEnd w:id="10"/>
    </w:p>
    <w:p>
      <w:pPr>
        <w:pStyle w:val="10"/>
        <w:keepNext w:val="0"/>
        <w:keepLines w:val="0"/>
        <w:pageBreakBefore w:val="0"/>
        <w:widowControl/>
        <w:kinsoku/>
        <w:wordWrap/>
        <w:overflowPunct/>
        <w:topLinePunct w:val="0"/>
        <w:bidi w:val="0"/>
        <w:spacing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本文件</w:t>
      </w:r>
      <w:r>
        <w:rPr>
          <w:rFonts w:hint="eastAsia" w:ascii="宋体" w:hAnsi="宋体" w:eastAsia="宋体" w:cs="宋体"/>
          <w:sz w:val="21"/>
          <w:szCs w:val="21"/>
          <w:lang w:val="en-US" w:eastAsia="zh-CN"/>
        </w:rPr>
        <w:t>无三名以上专家或单位提出异议</w:t>
      </w:r>
      <w:r>
        <w:rPr>
          <w:rFonts w:hint="eastAsia" w:ascii="宋体" w:hAnsi="宋体" w:eastAsia="宋体" w:cs="宋体"/>
          <w:sz w:val="21"/>
          <w:szCs w:val="21"/>
          <w:lang w:eastAsia="zh-CN"/>
        </w:rPr>
        <w:t>。</w:t>
      </w:r>
    </w:p>
    <w:p>
      <w:pPr>
        <w:pStyle w:val="10"/>
        <w:keepNext w:val="0"/>
        <w:keepLines w:val="0"/>
        <w:pageBreakBefore w:val="0"/>
        <w:widowControl/>
        <w:kinsoku/>
        <w:wordWrap/>
        <w:overflowPunct/>
        <w:topLinePunct w:val="0"/>
        <w:bidi w:val="0"/>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11" w:name="_Toc31207"/>
      <w:bookmarkStart w:id="12" w:name="_Toc27088"/>
      <w:r>
        <w:rPr>
          <w:rFonts w:hint="eastAsia" w:ascii="黑体" w:hAnsi="黑体" w:eastAsia="黑体" w:cs="黑体"/>
          <w:color w:val="000000"/>
          <w:kern w:val="2"/>
          <w:sz w:val="21"/>
          <w:szCs w:val="21"/>
          <w:lang w:val="en-US" w:eastAsia="zh-CN" w:bidi="ar"/>
        </w:rPr>
        <w:t>7 与相关法律法规和标准的关系</w:t>
      </w:r>
      <w:bookmarkEnd w:id="11"/>
      <w:bookmarkEnd w:id="12"/>
    </w:p>
    <w:p>
      <w:pPr>
        <w:pStyle w:val="10"/>
        <w:keepNext w:val="0"/>
        <w:keepLines w:val="0"/>
        <w:pageBreakBefore w:val="0"/>
        <w:widowControl/>
        <w:kinsoku/>
        <w:wordWrap/>
        <w:overflowPunct/>
        <w:topLinePunct w:val="0"/>
        <w:bidi w:val="0"/>
        <w:spacing w:line="400" w:lineRule="exact"/>
        <w:textAlignment w:val="auto"/>
        <w:rPr>
          <w:rFonts w:hint="eastAsia" w:ascii="宋体" w:hAnsi="宋体" w:eastAsia="宋体" w:cs="宋体"/>
          <w:sz w:val="21"/>
          <w:szCs w:val="21"/>
          <w:lang w:val="en-US"/>
        </w:rPr>
      </w:pPr>
      <w:r>
        <w:rPr>
          <w:rFonts w:hint="eastAsia" w:ascii="宋体" w:hAnsi="宋体" w:eastAsia="宋体" w:cs="宋体"/>
          <w:sz w:val="21"/>
          <w:szCs w:val="21"/>
          <w:lang w:eastAsia="zh-CN"/>
        </w:rPr>
        <w:t>本文件与相关技术领域的国家现行法律、法规和政策保持一致。</w:t>
      </w:r>
    </w:p>
    <w:p>
      <w:pPr>
        <w:pStyle w:val="10"/>
        <w:keepNext w:val="0"/>
        <w:keepLines w:val="0"/>
        <w:pageBreakBefore w:val="0"/>
        <w:widowControl/>
        <w:kinsoku/>
        <w:wordWrap/>
        <w:overflowPunct/>
        <w:topLinePunct w:val="0"/>
        <w:bidi w:val="0"/>
        <w:spacing w:line="400" w:lineRule="exact"/>
        <w:textAlignment w:val="auto"/>
        <w:rPr>
          <w:rFonts w:hint="eastAsia" w:ascii="宋体" w:hAnsi="宋体" w:eastAsia="宋体" w:cs="宋体"/>
          <w:sz w:val="21"/>
          <w:szCs w:val="21"/>
          <w:lang w:val="en-US"/>
        </w:rPr>
      </w:pP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13" w:name="_Toc15088"/>
      <w:bookmarkStart w:id="14" w:name="_Toc29740"/>
      <w:r>
        <w:rPr>
          <w:rFonts w:hint="eastAsia" w:ascii="黑体" w:hAnsi="黑体" w:eastAsia="黑体" w:cs="黑体"/>
          <w:color w:val="000000"/>
          <w:kern w:val="2"/>
          <w:sz w:val="21"/>
          <w:szCs w:val="21"/>
          <w:lang w:val="en-US" w:eastAsia="zh-CN" w:bidi="ar"/>
        </w:rPr>
        <w:t>8 推广实施建议</w:t>
      </w:r>
      <w:bookmarkEnd w:id="13"/>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r>
        <w:rPr>
          <w:rFonts w:hint="eastAsia" w:ascii="宋体" w:hAnsi="宋体" w:eastAsia="宋体" w:cs="宋体"/>
          <w:kern w:val="2"/>
          <w:sz w:val="21"/>
          <w:szCs w:val="21"/>
          <w:lang w:val="en-US" w:eastAsia="zh-CN" w:bidi="ar"/>
        </w:rPr>
        <w:t>10/20kV配电网工程电缆线路预制构件</w:t>
      </w:r>
      <w:r>
        <w:rPr>
          <w:rFonts w:hint="eastAsia" w:ascii="宋体" w:hAnsi="宋体" w:eastAsia="宋体" w:cs="宋体"/>
          <w:sz w:val="21"/>
          <w:szCs w:val="21"/>
          <w:lang w:eastAsia="zh-CN"/>
        </w:rPr>
        <w:t>具有技术先进、安全适用、质量可控等优点，并已在江苏省电力有限公司等多个电力企业有较广泛应用，且表现出良好的应用前景。然而，由于缺乏相应标准规范，技术应用效果参差不齐，限制了该创新技术的大范围推广应用，鉴于此，为规范</w:t>
      </w:r>
      <w:r>
        <w:rPr>
          <w:rFonts w:hint="eastAsia" w:ascii="宋体" w:hAnsi="宋体" w:eastAsia="宋体" w:cs="宋体"/>
          <w:sz w:val="21"/>
          <w:szCs w:val="21"/>
          <w:lang w:val="en-US"/>
        </w:rPr>
        <w:t>10</w:t>
      </w:r>
      <w:r>
        <w:rPr>
          <w:rFonts w:hint="eastAsia" w:ascii="宋体" w:hAnsi="宋体" w:eastAsia="宋体" w:cs="宋体"/>
          <w:sz w:val="21"/>
          <w:szCs w:val="21"/>
          <w:lang w:eastAsia="zh-CN"/>
        </w:rPr>
        <w:t>（</w:t>
      </w:r>
      <w:r>
        <w:rPr>
          <w:rFonts w:hint="eastAsia" w:ascii="宋体" w:hAnsi="宋体" w:eastAsia="宋体" w:cs="宋体"/>
          <w:sz w:val="21"/>
          <w:szCs w:val="21"/>
          <w:lang w:val="en-US"/>
        </w:rPr>
        <w:t>20</w:t>
      </w:r>
      <w:r>
        <w:rPr>
          <w:rFonts w:hint="eastAsia" w:ascii="宋体" w:hAnsi="宋体" w:eastAsia="宋体" w:cs="宋体"/>
          <w:sz w:val="21"/>
          <w:szCs w:val="21"/>
          <w:lang w:eastAsia="zh-CN"/>
        </w:rPr>
        <w:t>）千伏配电网工程电缆线路预制构件设计、制作与运输、存放吊运及防护、施工安装工作，做到安全可靠、先进适用、经济合理、资源节约、环境友好，制定本文件。</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sz w:val="21"/>
          <w:szCs w:val="21"/>
          <w:lang w:eastAsia="zh-CN"/>
        </w:rPr>
      </w:pPr>
    </w:p>
    <w:bookmarkEnd w:id="14"/>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left"/>
        <w:textAlignment w:val="auto"/>
        <w:outlineLvl w:val="0"/>
        <w:rPr>
          <w:rFonts w:hint="eastAsia" w:ascii="黑体" w:hAnsi="黑体" w:eastAsia="黑体" w:cs="黑体"/>
          <w:color w:val="000000"/>
          <w:kern w:val="2"/>
          <w:sz w:val="21"/>
          <w:szCs w:val="21"/>
          <w:lang w:val="en-US" w:eastAsia="zh-CN" w:bidi="ar"/>
        </w:rPr>
      </w:pPr>
      <w:bookmarkStart w:id="15" w:name="_Toc28604"/>
      <w:r>
        <w:rPr>
          <w:rFonts w:hint="eastAsia" w:ascii="黑体" w:hAnsi="黑体" w:eastAsia="黑体" w:cs="黑体"/>
          <w:color w:val="000000"/>
          <w:kern w:val="2"/>
          <w:sz w:val="21"/>
          <w:szCs w:val="21"/>
          <w:lang w:val="en-US" w:eastAsia="zh-CN" w:bidi="ar"/>
        </w:rPr>
        <w:t>9起草单位和起草人员信息及分工</w:t>
      </w:r>
      <w:bookmarkEnd w:id="15"/>
    </w:p>
    <w:p>
      <w:pPr>
        <w:pStyle w:val="13"/>
        <w:keepNext w:val="0"/>
        <w:keepLines w:val="0"/>
        <w:pageBreakBefore w:val="0"/>
        <w:kinsoku/>
        <w:wordWrap/>
        <w:overflowPunct/>
        <w:topLinePunct w:val="0"/>
        <w:bidi w:val="0"/>
        <w:spacing w:line="400" w:lineRule="exact"/>
        <w:ind w:firstLine="420"/>
        <w:jc w:val="both"/>
        <w:textAlignment w:val="auto"/>
        <w:rPr>
          <w:rFonts w:hint="eastAsia" w:ascii="宋体" w:hAnsi="宋体" w:eastAsia="宋体" w:cs="宋体"/>
          <w:sz w:val="21"/>
          <w:szCs w:val="21"/>
        </w:rPr>
      </w:pPr>
      <w:r>
        <w:rPr>
          <w:rFonts w:hint="eastAsia" w:ascii="宋体" w:hAnsi="宋体" w:eastAsia="宋体" w:cs="宋体"/>
          <w:sz w:val="21"/>
          <w:szCs w:val="21"/>
        </w:rPr>
        <w:t>本文件起草单位：国网江苏省电力有限公司、国网江苏省电力有限公司经济技术研究院、国网江苏电力设计咨询有限公司、东南大学、同济大学国家土建结构预制装配化工程技术研究中心、江苏智聚智慧建筑科技有限公司、江苏东尚住宅工业有限公司。</w:t>
      </w:r>
    </w:p>
    <w:p>
      <w:pPr>
        <w:pStyle w:val="10"/>
        <w:keepNext w:val="0"/>
        <w:keepLines w:val="0"/>
        <w:pageBreakBefore w:val="0"/>
        <w:widowControl/>
        <w:kinsoku/>
        <w:wordWrap/>
        <w:overflowPunct/>
        <w:topLinePunct w:val="0"/>
        <w:bidi w:val="0"/>
        <w:spacing w:line="400" w:lineRule="exact"/>
        <w:jc w:val="both"/>
        <w:textAlignment w:val="auto"/>
        <w:rPr>
          <w:rFonts w:hint="eastAsia" w:ascii="宋体" w:hAnsi="宋体" w:eastAsia="宋体" w:cs="宋体"/>
          <w:kern w:val="2"/>
          <w:sz w:val="21"/>
          <w:szCs w:val="21"/>
          <w:lang w:val="en-US" w:eastAsia="zh-CN" w:bidi="ar"/>
        </w:rPr>
      </w:pPr>
      <w:r>
        <w:rPr>
          <w:rFonts w:hint="eastAsia" w:ascii="宋体" w:hAnsi="宋体" w:eastAsia="宋体" w:cs="宋体"/>
          <w:sz w:val="21"/>
          <w:szCs w:val="21"/>
        </w:rPr>
        <w:t>本文件主要起草人</w:t>
      </w:r>
      <w:r>
        <w:rPr>
          <w:rFonts w:hint="eastAsia" w:ascii="宋体" w:hAnsi="宋体" w:eastAsia="宋体" w:cs="宋体"/>
          <w:kern w:val="2"/>
          <w:sz w:val="21"/>
          <w:szCs w:val="21"/>
          <w:lang w:val="en-US" w:eastAsia="zh-CN" w:bidi="ar"/>
        </w:rPr>
        <w:t>：胡亚山、黄峥、刘利国、刘浩、李妍、张群、吴倩、魏星琦、宫海、储海军、丁静鹄、王俊、吴静云、姚丽娟、储方舟、李国强、冯若强、徐海洋、朱海清、朱扬军。</w:t>
      </w:r>
    </w:p>
    <w:p>
      <w:pPr>
        <w:keepNext w:val="0"/>
        <w:keepLines w:val="0"/>
        <w:pageBreakBefore w:val="0"/>
        <w:widowControl/>
        <w:suppressLineNumbers w:val="0"/>
        <w:kinsoku/>
        <w:wordWrap/>
        <w:overflowPunct/>
        <w:topLinePunct w:val="0"/>
        <w:bidi w:val="0"/>
        <w:spacing w:before="0" w:beforeAutospacing="0" w:after="0" w:afterAutospacing="0" w:line="400" w:lineRule="exact"/>
        <w:ind w:right="0"/>
        <w:jc w:val="center"/>
        <w:textAlignment w:val="auto"/>
        <w:outlineLvl w:val="0"/>
        <w:rPr>
          <w:rFonts w:hint="eastAsia" w:ascii="黑体" w:hAnsi="黑体" w:eastAsia="黑体" w:cs="黑体"/>
          <w:color w:val="000000"/>
          <w:kern w:val="2"/>
          <w:sz w:val="21"/>
          <w:szCs w:val="21"/>
          <w:lang w:val="en-US" w:eastAsia="zh-CN" w:bidi="ar"/>
        </w:rPr>
      </w:pPr>
      <w:r>
        <w:rPr>
          <w:rFonts w:hint="eastAsia" w:ascii="黑体" w:hAnsi="黑体" w:eastAsia="黑体" w:cs="黑体"/>
          <w:color w:val="000000"/>
          <w:kern w:val="2"/>
          <w:sz w:val="21"/>
          <w:szCs w:val="21"/>
          <w:lang w:val="en-US" w:eastAsia="zh-CN" w:bidi="ar"/>
        </w:rPr>
        <w:t>表2 起草单位和起草人员信息及分工</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373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tcBorders>
              <w:top w:val="single" w:color="000000" w:sz="4" w:space="0"/>
              <w:left w:val="single" w:color="000000" w:sz="4" w:space="0"/>
              <w:bottom w:val="single" w:color="000000" w:sz="4" w:space="0"/>
              <w:right w:val="single" w:color="000000" w:sz="4" w:space="0"/>
              <w:tl2br w:val="nil"/>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黑体" w:hAnsi="黑体" w:eastAsia="黑体" w:cs="黑体"/>
                <w:b w:val="0"/>
                <w:color w:val="000000"/>
                <w:sz w:val="18"/>
                <w:szCs w:val="18"/>
                <w:vertAlign w:val="baseline"/>
                <w:lang w:val="en-US" w:eastAsia="zh-CN"/>
              </w:rPr>
            </w:pPr>
            <w:r>
              <w:rPr>
                <w:rFonts w:hint="eastAsia" w:ascii="黑体" w:hAnsi="黑体" w:eastAsia="黑体" w:cs="黑体"/>
                <w:b w:val="0"/>
                <w:color w:val="000000"/>
                <w:sz w:val="18"/>
                <w:szCs w:val="18"/>
                <w:vertAlign w:val="baseline"/>
                <w:lang w:val="en-US" w:eastAsia="zh-CN"/>
              </w:rPr>
              <w:t>序号</w:t>
            </w:r>
          </w:p>
        </w:tc>
        <w:tc>
          <w:tcPr>
            <w:tcW w:w="210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黑体" w:hAnsi="黑体" w:eastAsia="黑体" w:cs="黑体"/>
                <w:b w:val="0"/>
                <w:color w:val="000000"/>
                <w:sz w:val="18"/>
                <w:szCs w:val="18"/>
                <w:vertAlign w:val="baseline"/>
                <w:lang w:val="en-US" w:eastAsia="zh-CN"/>
              </w:rPr>
            </w:pPr>
            <w:r>
              <w:rPr>
                <w:rFonts w:hint="eastAsia" w:ascii="黑体" w:hAnsi="黑体" w:eastAsia="黑体" w:cs="黑体"/>
                <w:b w:val="0"/>
                <w:color w:val="000000"/>
                <w:sz w:val="18"/>
                <w:szCs w:val="18"/>
                <w:vertAlign w:val="baseline"/>
                <w:lang w:val="en-US" w:eastAsia="zh-CN"/>
              </w:rPr>
              <w:t>起草单位</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黑体" w:hAnsi="黑体" w:eastAsia="黑体" w:cs="黑体"/>
                <w:b w:val="0"/>
                <w:color w:val="000000"/>
                <w:sz w:val="18"/>
                <w:szCs w:val="18"/>
                <w:vertAlign w:val="baseline"/>
                <w:lang w:val="en-US" w:eastAsia="zh-CN"/>
              </w:rPr>
            </w:pPr>
            <w:r>
              <w:rPr>
                <w:rFonts w:hint="eastAsia" w:ascii="黑体" w:hAnsi="黑体" w:eastAsia="黑体" w:cs="黑体"/>
                <w:b w:val="0"/>
                <w:color w:val="000000"/>
                <w:sz w:val="18"/>
                <w:szCs w:val="18"/>
                <w:vertAlign w:val="baseline"/>
                <w:lang w:val="en-US" w:eastAsia="zh-CN"/>
              </w:rPr>
              <w:t>人员</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黑体" w:hAnsi="黑体" w:eastAsia="黑体" w:cs="黑体"/>
                <w:b w:val="0"/>
                <w:color w:val="000000"/>
                <w:sz w:val="18"/>
                <w:szCs w:val="18"/>
                <w:vertAlign w:val="baseline"/>
                <w:lang w:val="en-US" w:eastAsia="zh-CN"/>
              </w:rPr>
            </w:pPr>
            <w:r>
              <w:rPr>
                <w:rFonts w:hint="eastAsia" w:ascii="黑体" w:hAnsi="黑体" w:eastAsia="黑体" w:cs="黑体"/>
                <w:b w:val="0"/>
                <w:color w:val="000000"/>
                <w:sz w:val="18"/>
                <w:szCs w:val="18"/>
                <w:vertAlign w:val="baseline"/>
                <w:lang w:val="en-US" w:eastAsia="zh-CN"/>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1</w:t>
            </w:r>
          </w:p>
        </w:tc>
        <w:tc>
          <w:tcPr>
            <w:tcW w:w="2108"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r>
              <w:rPr>
                <w:rFonts w:hint="eastAsia" w:ascii="宋体" w:hAnsi="宋体" w:eastAsia="宋体" w:cs="宋体"/>
                <w:b w:val="0"/>
                <w:color w:val="000000"/>
                <w:sz w:val="18"/>
                <w:szCs w:val="18"/>
              </w:rPr>
              <w:t>国网江苏省电力有限公司</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刘利国</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配电网专业技术指导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魏星琦</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配电网建设技术指导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2</w:t>
            </w:r>
          </w:p>
        </w:tc>
        <w:tc>
          <w:tcPr>
            <w:tcW w:w="2108" w:type="pct"/>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r>
              <w:rPr>
                <w:rFonts w:hint="eastAsia" w:ascii="宋体" w:hAnsi="宋体" w:eastAsia="宋体" w:cs="宋体"/>
                <w:b w:val="0"/>
                <w:color w:val="000000"/>
                <w:sz w:val="18"/>
                <w:szCs w:val="18"/>
              </w:rPr>
              <w:t>国网江苏省电力有限公司经济技术研究院</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胡亚山</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r>
              <w:rPr>
                <w:rFonts w:hint="eastAsia" w:ascii="宋体" w:hAnsi="宋体" w:eastAsia="宋体" w:cs="宋体"/>
                <w:b w:val="0"/>
                <w:color w:val="000000"/>
                <w:sz w:val="18"/>
                <w:szCs w:val="18"/>
                <w:vertAlign w:val="baseline"/>
                <w:lang w:val="en-US" w:eastAsia="zh-CN"/>
              </w:rPr>
              <w:t>标准框架指导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黄峥</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土建专业技术指导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kern w:val="2"/>
                <w:sz w:val="18"/>
                <w:szCs w:val="18"/>
                <w:vertAlign w:val="baseline"/>
                <w:lang w:val="en-US" w:eastAsia="zh-CN" w:bidi="ar-SA"/>
              </w:rPr>
            </w:pPr>
            <w:r>
              <w:rPr>
                <w:rFonts w:hint="eastAsia" w:ascii="宋体" w:hAnsi="宋体" w:eastAsia="宋体" w:cs="宋体"/>
                <w:b w:val="0"/>
                <w:color w:val="000000"/>
                <w:sz w:val="18"/>
                <w:szCs w:val="18"/>
                <w:vertAlign w:val="baseline"/>
                <w:lang w:val="en-US" w:eastAsia="zh-CN"/>
              </w:rPr>
              <w:t>张群</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术语和定义章节编写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kern w:val="2"/>
                <w:sz w:val="18"/>
                <w:szCs w:val="18"/>
                <w:vertAlign w:val="baseline"/>
                <w:lang w:val="en-US" w:eastAsia="zh-CN" w:bidi="ar-SA"/>
              </w:rPr>
            </w:pPr>
            <w:r>
              <w:rPr>
                <w:rFonts w:hint="eastAsia" w:ascii="宋体" w:hAnsi="宋体" w:eastAsia="宋体" w:cs="宋体"/>
                <w:b w:val="0"/>
                <w:color w:val="000000"/>
                <w:sz w:val="18"/>
                <w:szCs w:val="18"/>
                <w:vertAlign w:val="baseline"/>
                <w:lang w:val="en-US" w:eastAsia="zh-CN"/>
              </w:rPr>
              <w:t>刘浩</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组织协调，编写校核设计、施工章节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kern w:val="2"/>
                <w:sz w:val="18"/>
                <w:szCs w:val="18"/>
                <w:vertAlign w:val="baseline"/>
                <w:lang w:val="en-US" w:eastAsia="zh-CN" w:bidi="ar-SA"/>
              </w:rPr>
            </w:pPr>
            <w:r>
              <w:rPr>
                <w:rFonts w:hint="eastAsia" w:ascii="宋体" w:hAnsi="宋体" w:eastAsia="宋体" w:cs="宋体"/>
                <w:b w:val="0"/>
                <w:color w:val="000000"/>
                <w:kern w:val="2"/>
                <w:sz w:val="18"/>
                <w:szCs w:val="18"/>
                <w:vertAlign w:val="baseline"/>
                <w:lang w:val="en-US" w:eastAsia="zh-CN" w:bidi="ar-SA"/>
              </w:rPr>
              <w:t>王俊</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编写第6章设计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left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r>
              <w:rPr>
                <w:rFonts w:hint="eastAsia" w:ascii="宋体" w:hAnsi="宋体" w:eastAsia="宋体" w:cs="宋体"/>
                <w:b w:val="0"/>
                <w:color w:val="000000"/>
                <w:sz w:val="18"/>
                <w:szCs w:val="18"/>
                <w:vertAlign w:val="baseline"/>
                <w:lang w:val="en-US" w:eastAsia="zh-CN"/>
              </w:rPr>
              <w:t>吴静云</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r>
              <w:rPr>
                <w:rFonts w:hint="eastAsia" w:ascii="宋体" w:hAnsi="宋体" w:eastAsia="宋体" w:cs="宋体"/>
                <w:b w:val="0"/>
                <w:color w:val="000000"/>
                <w:sz w:val="18"/>
                <w:szCs w:val="18"/>
                <w:vertAlign w:val="baseline"/>
                <w:lang w:val="en-US" w:eastAsia="zh-CN"/>
              </w:rPr>
              <w:t>相关规范、技术资料要点收集整理、格式编写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姚丽娟</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标准编写规范性指导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3</w:t>
            </w:r>
          </w:p>
        </w:tc>
        <w:tc>
          <w:tcPr>
            <w:tcW w:w="2108"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r>
              <w:rPr>
                <w:rFonts w:hint="eastAsia" w:ascii="宋体" w:hAnsi="宋体" w:eastAsia="宋体" w:cs="宋体"/>
                <w:b w:val="0"/>
                <w:color w:val="000000"/>
                <w:sz w:val="18"/>
                <w:szCs w:val="18"/>
              </w:rPr>
              <w:t>国网江苏电力设计咨询有限公司</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吴倩</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r>
              <w:rPr>
                <w:rFonts w:hint="eastAsia" w:ascii="宋体" w:hAnsi="宋体" w:eastAsia="宋体" w:cs="宋体"/>
                <w:b w:val="0"/>
                <w:color w:val="000000"/>
                <w:sz w:val="18"/>
                <w:szCs w:val="18"/>
                <w:vertAlign w:val="baseline"/>
                <w:lang w:val="en-US" w:eastAsia="zh-CN"/>
              </w:rPr>
              <w:t>电气专业技术指导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李妍</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配电网专业技术指导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丁静鹄</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绘制图纸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储方舟</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编写、指导第6章设计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4</w:t>
            </w:r>
          </w:p>
        </w:tc>
        <w:tc>
          <w:tcPr>
            <w:tcW w:w="210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r>
              <w:rPr>
                <w:rFonts w:hint="eastAsia" w:ascii="宋体" w:hAnsi="宋体" w:eastAsia="宋体" w:cs="宋体"/>
                <w:b w:val="0"/>
                <w:color w:val="000000"/>
                <w:sz w:val="18"/>
                <w:szCs w:val="18"/>
              </w:rPr>
              <w:t>东南大学</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冯若强</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材料、设计章节指导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5</w:t>
            </w:r>
          </w:p>
        </w:tc>
        <w:tc>
          <w:tcPr>
            <w:tcW w:w="210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r>
              <w:rPr>
                <w:rFonts w:hint="eastAsia" w:ascii="宋体" w:hAnsi="宋体" w:eastAsia="宋体" w:cs="宋体"/>
                <w:b w:val="0"/>
                <w:color w:val="000000"/>
                <w:sz w:val="18"/>
                <w:szCs w:val="18"/>
              </w:rPr>
              <w:t>同济大学国家土建结构预制装配化工程技术研究中心</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kern w:val="2"/>
                <w:sz w:val="18"/>
                <w:szCs w:val="18"/>
                <w:vertAlign w:val="baseline"/>
                <w:lang w:val="en-US" w:eastAsia="zh-CN" w:bidi="ar-SA"/>
              </w:rPr>
            </w:pPr>
            <w:r>
              <w:rPr>
                <w:rFonts w:hint="eastAsia" w:ascii="宋体" w:hAnsi="宋体" w:eastAsia="宋体" w:cs="宋体"/>
                <w:b w:val="0"/>
                <w:color w:val="000000"/>
                <w:sz w:val="18"/>
                <w:szCs w:val="18"/>
                <w:vertAlign w:val="baseline"/>
                <w:lang w:val="en-US" w:eastAsia="zh-CN"/>
              </w:rPr>
              <w:t>李国强</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kern w:val="2"/>
                <w:sz w:val="18"/>
                <w:szCs w:val="18"/>
                <w:vertAlign w:val="baseline"/>
                <w:lang w:val="en-US" w:eastAsia="zh-CN" w:bidi="ar-SA"/>
              </w:rPr>
            </w:pPr>
            <w:r>
              <w:rPr>
                <w:rFonts w:hint="eastAsia" w:ascii="宋体" w:hAnsi="宋体" w:eastAsia="宋体" w:cs="宋体"/>
                <w:b w:val="0"/>
                <w:color w:val="000000"/>
                <w:sz w:val="18"/>
                <w:szCs w:val="18"/>
                <w:vertAlign w:val="baseline"/>
                <w:lang w:val="en-US" w:eastAsia="zh-CN"/>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6</w:t>
            </w:r>
          </w:p>
        </w:tc>
        <w:tc>
          <w:tcPr>
            <w:tcW w:w="2108"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highlight w:val="red"/>
              </w:rPr>
            </w:pPr>
            <w:r>
              <w:rPr>
                <w:rFonts w:hint="eastAsia" w:ascii="宋体" w:hAnsi="宋体" w:eastAsia="宋体" w:cs="宋体"/>
                <w:b w:val="0"/>
                <w:color w:val="000000"/>
                <w:sz w:val="18"/>
                <w:szCs w:val="18"/>
              </w:rPr>
              <w:t>江苏智聚智慧建筑科技有限公司</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宫海</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设计章节指导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储海军</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编写第6章设计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徐海洋</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eastAsia="zh-CN"/>
              </w:rPr>
            </w:pPr>
            <w:r>
              <w:rPr>
                <w:rFonts w:hint="eastAsia" w:ascii="宋体" w:hAnsi="宋体" w:eastAsia="宋体" w:cs="宋体"/>
                <w:b w:val="0"/>
                <w:color w:val="000000"/>
                <w:sz w:val="18"/>
                <w:szCs w:val="18"/>
                <w:vertAlign w:val="baseline"/>
                <w:lang w:val="en-US" w:eastAsia="zh-CN"/>
              </w:rPr>
              <w:t>编写第9章验收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7</w:t>
            </w:r>
          </w:p>
        </w:tc>
        <w:tc>
          <w:tcPr>
            <w:tcW w:w="2108"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r>
              <w:rPr>
                <w:rFonts w:hint="eastAsia" w:ascii="宋体" w:hAnsi="宋体" w:eastAsia="宋体" w:cs="宋体"/>
                <w:b w:val="0"/>
                <w:color w:val="000000"/>
                <w:sz w:val="18"/>
                <w:szCs w:val="18"/>
              </w:rPr>
              <w:t>江苏东尚住宅工业有限公司</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2"/>
                <w:sz w:val="18"/>
                <w:szCs w:val="18"/>
                <w:lang w:val="en-US" w:eastAsia="zh-CN" w:bidi="ar"/>
              </w:rPr>
              <w:t>朱海清</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施工、生产章节技术指导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p>
        </w:tc>
        <w:tc>
          <w:tcPr>
            <w:tcW w:w="2108"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kern w:val="2"/>
                <w:sz w:val="18"/>
                <w:szCs w:val="18"/>
                <w:lang w:val="en-US" w:eastAsia="zh-CN" w:bidi="ar"/>
              </w:rPr>
              <w:t>朱扬军</w:t>
            </w:r>
          </w:p>
        </w:tc>
        <w:tc>
          <w:tcPr>
            <w:tcW w:w="125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ascii="宋体" w:hAnsi="宋体" w:eastAsia="宋体" w:cs="宋体"/>
                <w:b w:val="0"/>
                <w:color w:val="000000"/>
                <w:sz w:val="18"/>
                <w:szCs w:val="18"/>
                <w:vertAlign w:val="baseline"/>
                <w:lang w:val="en-US" w:eastAsia="zh-CN"/>
              </w:rPr>
            </w:pPr>
            <w:r>
              <w:rPr>
                <w:rFonts w:hint="eastAsia" w:ascii="宋体" w:hAnsi="宋体" w:eastAsia="宋体" w:cs="宋体"/>
                <w:b w:val="0"/>
                <w:color w:val="000000"/>
                <w:sz w:val="18"/>
                <w:szCs w:val="18"/>
                <w:vertAlign w:val="baseline"/>
                <w:lang w:val="en-US" w:eastAsia="zh-CN"/>
              </w:rPr>
              <w:t>施工、生产章节编写</w:t>
            </w:r>
          </w:p>
        </w:tc>
      </w:tr>
    </w:tbl>
    <w:p>
      <w:pPr>
        <w:keepNext w:val="0"/>
        <w:keepLines w:val="0"/>
        <w:pageBreakBefore w:val="0"/>
        <w:kinsoku/>
        <w:wordWrap/>
        <w:overflowPunct/>
        <w:topLinePunct w:val="0"/>
        <w:bidi w:val="0"/>
        <w:spacing w:line="400" w:lineRule="exact"/>
        <w:textAlignment w:val="auto"/>
        <w:rPr>
          <w:rFonts w:hint="eastAsia" w:ascii="宋体" w:hAnsi="宋体" w:eastAsia="宋体" w:cs="宋体"/>
          <w:sz w:val="21"/>
          <w:szCs w:val="21"/>
          <w:lang w:eastAsia="zh-CN"/>
        </w:rPr>
      </w:pPr>
    </w:p>
    <w:sectPr>
      <w:footerReference r:id="rId4" w:type="default"/>
      <w:pgSz w:w="12240" w:h="15840"/>
      <w:pgMar w:top="1440" w:right="1800" w:bottom="1440" w:left="1800" w:header="720" w:footer="72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jYWI2N2YyNDFlNDA1ZThhMmUxOGFmN2I2MmRlZGYifQ=="/>
    <w:docVar w:name="KSO_WPS_MARK_KEY" w:val="0a5a203e-d3ff-476a-ac0a-b81ffa599a87"/>
  </w:docVars>
  <w:rsids>
    <w:rsidRoot w:val="68DA1F90"/>
    <w:rsid w:val="01AE41D4"/>
    <w:rsid w:val="038A1793"/>
    <w:rsid w:val="19E51360"/>
    <w:rsid w:val="1A214736"/>
    <w:rsid w:val="1AE5432E"/>
    <w:rsid w:val="27D2242D"/>
    <w:rsid w:val="2CA9102D"/>
    <w:rsid w:val="375546D0"/>
    <w:rsid w:val="3A791A5E"/>
    <w:rsid w:val="3C613464"/>
    <w:rsid w:val="3D2D4BAD"/>
    <w:rsid w:val="416165A2"/>
    <w:rsid w:val="458D3AD9"/>
    <w:rsid w:val="54655688"/>
    <w:rsid w:val="551C48B0"/>
    <w:rsid w:val="631D43E5"/>
    <w:rsid w:val="68DA1F90"/>
    <w:rsid w:val="6C0C4D73"/>
    <w:rsid w:val="7B24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semiHidden/>
    <w:qFormat/>
    <w:uiPriority w:val="0"/>
  </w:style>
  <w:style w:type="table" w:default="1" w:styleId="7">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autoRedefine/>
    <w:qFormat/>
    <w:uiPriority w:val="0"/>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段"/>
    <w:basedOn w:val="1"/>
    <w:autoRedefine/>
    <w:qFormat/>
    <w:uiPriority w:val="0"/>
    <w:pPr>
      <w:keepNext w:val="0"/>
      <w:keepLines w:val="0"/>
      <w:widowControl/>
      <w:suppressLineNumbers w:val="0"/>
      <w:autoSpaceDE w:val="0"/>
      <w:autoSpaceDN w:val="0"/>
      <w:spacing w:before="0" w:beforeAutospacing="0" w:after="0" w:afterAutospacing="0"/>
      <w:ind w:left="0" w:right="0" w:firstLine="420" w:firstLineChars="200"/>
      <w:jc w:val="left"/>
    </w:pPr>
    <w:rPr>
      <w:rFonts w:hint="default" w:ascii="Times New Roman" w:hAnsi="Times New Roman" w:eastAsia="宋体" w:cs="Times New Roman"/>
      <w:kern w:val="0"/>
      <w:sz w:val="21"/>
      <w:szCs w:val="21"/>
      <w:lang w:val="en-US" w:eastAsia="zh-CN" w:bidi="ar"/>
    </w:rPr>
  </w:style>
  <w:style w:type="paragraph" w:customStyle="1" w:styleId="11">
    <w:name w:val="标准文件_二级无标题"/>
    <w:basedOn w:val="12"/>
    <w:autoRedefine/>
    <w:qFormat/>
    <w:uiPriority w:val="0"/>
    <w:pPr>
      <w:spacing w:before="0" w:beforeLines="0" w:after="0" w:afterLines="0"/>
      <w:outlineLvl w:val="9"/>
    </w:pPr>
    <w:rPr>
      <w:rFonts w:ascii="宋体" w:eastAsia="宋体"/>
    </w:rPr>
  </w:style>
  <w:style w:type="paragraph" w:customStyle="1" w:styleId="12">
    <w:name w:val="标准文件_二级条标题"/>
    <w:next w:val="13"/>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basedOn w:val="9"/>
    <w:autoRedefine/>
    <w:qFormat/>
    <w:uiPriority w:val="0"/>
    <w:rPr>
      <w:rFonts w:hint="eastAsia" w:ascii="宋体" w:hAnsi="Times New Roman" w:eastAsia="宋体" w:cs="宋体"/>
      <w:sz w:val="21"/>
    </w:rPr>
  </w:style>
  <w:style w:type="paragraph" w:customStyle="1" w:styleId="15">
    <w:name w:val="WPSOffice手动目录 1"/>
    <w:autoRedefine/>
    <w:qFormat/>
    <w:uiPriority w:val="0"/>
    <w:pPr>
      <w:ind w:leftChars="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2699</Words>
  <Characters>2887</Characters>
  <Lines>0</Lines>
  <Paragraphs>0</Paragraphs>
  <TotalTime>10</TotalTime>
  <ScaleCrop>false</ScaleCrop>
  <LinksUpToDate>false</LinksUpToDate>
  <CharactersWithSpaces>3020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2024-04-17T03:31:00Z</dcterms:created>
  <dc:creator>WPS_1653270816</dc:creator>
  <cp:lastModifiedBy>H_H</cp:lastModifiedBy>
  <dcterms:modified xsi:type="dcterms:W3CDTF">2024-06-28T01:34:58Z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A14A2DCBD3CC4A93945008C8CDFA0594_11</vt:lpwstr>
  </property>
</Properties>
</file>