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kern w:val="0"/>
        </w:rPr>
      </w:pPr>
    </w:p>
    <w:p>
      <w:pPr>
        <w:rPr>
          <w:rFonts w:ascii="Times New Roman" w:hAnsi="Times New Roman"/>
          <w:kern w:val="0"/>
        </w:rPr>
      </w:pPr>
    </w:p>
    <w:p>
      <w:pPr>
        <w:spacing w:before="7" w:line="110" w:lineRule="exact"/>
        <w:jc w:val="left"/>
        <w:rPr>
          <w:rFonts w:ascii="Times New Roman" w:hAnsi="Times New Roman"/>
          <w:kern w:val="0"/>
        </w:rPr>
      </w:pPr>
    </w:p>
    <w:p>
      <w:pPr>
        <w:spacing w:before="4" w:line="110" w:lineRule="exact"/>
        <w:jc w:val="left"/>
        <w:rPr>
          <w:rFonts w:ascii="Times New Roman" w:hAnsi="Times New Roman"/>
          <w:kern w:val="0"/>
        </w:rPr>
      </w:pPr>
      <w:bookmarkStart w:id="0" w:name="_bookmark10"/>
      <w:bookmarkEnd w:id="0"/>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line="360" w:lineRule="auto"/>
        <w:jc w:val="center"/>
        <w:rPr>
          <w:rFonts w:ascii="Times New Roman" w:hAnsi="Times New Roman"/>
          <w:kern w:val="0"/>
          <w:sz w:val="44"/>
          <w:szCs w:val="44"/>
        </w:rPr>
      </w:pPr>
      <w:r>
        <w:rPr>
          <w:rFonts w:hint="eastAsia" w:ascii="Times New Roman" w:hAnsi="Times New Roman" w:eastAsia="黑体"/>
          <w:kern w:val="0"/>
          <w:sz w:val="44"/>
          <w:szCs w:val="44"/>
        </w:rPr>
        <w:t>中远海风电场无功补偿配置技术导则</w:t>
      </w:r>
    </w:p>
    <w:p>
      <w:pPr>
        <w:spacing w:line="200" w:lineRule="exact"/>
        <w:jc w:val="left"/>
        <w:rPr>
          <w:rFonts w:ascii="Times New Roman" w:hAnsi="Times New Roman"/>
          <w:kern w:val="0"/>
        </w:rPr>
      </w:pPr>
    </w:p>
    <w:p>
      <w:pPr>
        <w:spacing w:line="200" w:lineRule="exact"/>
        <w:jc w:val="left"/>
        <w:rPr>
          <w:rFonts w:ascii="Times New Roman" w:hAnsi="Times New Roman"/>
          <w:kern w:val="0"/>
        </w:rPr>
      </w:pPr>
    </w:p>
    <w:p>
      <w:pPr>
        <w:spacing w:before="10" w:line="260" w:lineRule="exact"/>
        <w:jc w:val="left"/>
        <w:rPr>
          <w:rFonts w:ascii="Times New Roman" w:hAnsi="Times New Roman"/>
          <w:kern w:val="0"/>
        </w:rPr>
      </w:pPr>
    </w:p>
    <w:p>
      <w:pPr>
        <w:pStyle w:val="19"/>
        <w:numPr>
          <w:ilvl w:val="0"/>
          <w:numId w:val="0"/>
        </w:numPr>
        <w:spacing w:before="240" w:after="240"/>
        <w:jc w:val="center"/>
        <w:outlineLvl w:val="9"/>
        <w:rPr>
          <w:rFonts w:ascii="Times New Roman" w:cstheme="minorBidi"/>
          <w:sz w:val="32"/>
          <w:szCs w:val="32"/>
        </w:rPr>
      </w:pPr>
      <w:bookmarkStart w:id="1" w:name="_bookmark21"/>
      <w:bookmarkEnd w:id="1"/>
      <w:bookmarkStart w:id="2" w:name="_Toc29972047"/>
      <w:bookmarkStart w:id="3" w:name="_Toc15021518"/>
      <w:bookmarkStart w:id="4" w:name="_Toc11768222"/>
      <w:bookmarkStart w:id="5" w:name="_Toc13818524"/>
      <w:bookmarkStart w:id="6" w:name="_Toc151566974"/>
      <w:bookmarkStart w:id="7" w:name="_Toc13500921"/>
      <w:r>
        <w:rPr>
          <w:rFonts w:ascii="Times New Roman" w:cstheme="minorBidi"/>
          <w:sz w:val="32"/>
          <w:szCs w:val="32"/>
        </w:rPr>
        <w:t>编</w:t>
      </w:r>
      <w:r>
        <w:rPr>
          <w:rFonts w:ascii="Times New Roman" w:cstheme="minorBidi"/>
          <w:sz w:val="32"/>
          <w:szCs w:val="32"/>
        </w:rPr>
        <w:tab/>
      </w:r>
      <w:r>
        <w:rPr>
          <w:rFonts w:ascii="Times New Roman" w:cstheme="minorBidi"/>
          <w:sz w:val="32"/>
          <w:szCs w:val="32"/>
        </w:rPr>
        <w:t>制</w:t>
      </w:r>
      <w:r>
        <w:rPr>
          <w:rFonts w:ascii="Times New Roman" w:cstheme="minorBidi"/>
          <w:sz w:val="32"/>
          <w:szCs w:val="32"/>
        </w:rPr>
        <w:tab/>
      </w:r>
      <w:r>
        <w:rPr>
          <w:rFonts w:ascii="Times New Roman" w:cstheme="minorBidi"/>
          <w:sz w:val="32"/>
          <w:szCs w:val="32"/>
        </w:rPr>
        <w:t>说</w:t>
      </w:r>
      <w:r>
        <w:rPr>
          <w:rFonts w:ascii="Times New Roman" w:cstheme="minorBidi"/>
          <w:sz w:val="32"/>
          <w:szCs w:val="32"/>
        </w:rPr>
        <w:tab/>
      </w:r>
      <w:r>
        <w:rPr>
          <w:rFonts w:ascii="Times New Roman" w:cstheme="minorBidi"/>
          <w:sz w:val="32"/>
          <w:szCs w:val="32"/>
        </w:rPr>
        <w:t>明</w:t>
      </w:r>
      <w:bookmarkEnd w:id="2"/>
      <w:bookmarkEnd w:id="3"/>
      <w:bookmarkEnd w:id="4"/>
      <w:bookmarkEnd w:id="5"/>
      <w:bookmarkEnd w:id="6"/>
      <w:bookmarkEnd w:id="7"/>
    </w:p>
    <w:p>
      <w:pPr>
        <w:pStyle w:val="15"/>
        <w:spacing w:before="120" w:after="120"/>
        <w:ind w:firstLine="420"/>
        <w:rPr>
          <w:rFonts w:ascii="Times New Roman"/>
        </w:rPr>
      </w:pPr>
    </w:p>
    <w:p/>
    <w:p/>
    <w:p/>
    <w:p/>
    <w:p/>
    <w:p/>
    <w:p/>
    <w:p>
      <w:pPr>
        <w:jc w:val="right"/>
      </w:pPr>
    </w:p>
    <w:p/>
    <w:p>
      <w:pPr>
        <w:sectPr>
          <w:headerReference r:id="rId7" w:type="first"/>
          <w:headerReference r:id="rId5" w:type="default"/>
          <w:footerReference r:id="rId8" w:type="default"/>
          <w:headerReference r:id="rId6" w:type="even"/>
          <w:pgSz w:w="11907" w:h="16840"/>
          <w:pgMar w:top="1440" w:right="1080" w:bottom="1440" w:left="1080" w:header="0" w:footer="635" w:gutter="0"/>
          <w:pgNumType w:start="1"/>
          <w:cols w:space="720" w:num="1"/>
        </w:sectPr>
      </w:pPr>
    </w:p>
    <w:p>
      <w:pPr>
        <w:pStyle w:val="15"/>
        <w:spacing w:before="120" w:after="120"/>
        <w:ind w:firstLine="420"/>
        <w:rPr>
          <w:rFonts w:ascii="Times New Roman"/>
        </w:rPr>
      </w:pPr>
    </w:p>
    <w:sdt>
      <w:sdtPr>
        <w:rPr>
          <w:rFonts w:ascii="Calibri" w:hAnsi="Calibri" w:eastAsia="宋体" w:cs="Times New Roman"/>
          <w:color w:val="auto"/>
          <w:kern w:val="2"/>
          <w:sz w:val="21"/>
          <w:szCs w:val="21"/>
          <w:lang w:val="zh-CN"/>
        </w:rPr>
        <w:id w:val="-283573375"/>
        <w:docPartObj>
          <w:docPartGallery w:val="Table of Contents"/>
          <w:docPartUnique/>
        </w:docPartObj>
      </w:sdtPr>
      <w:sdtEndPr>
        <w:rPr>
          <w:rFonts w:ascii="Calibri" w:hAnsi="Calibri" w:eastAsia="宋体" w:cs="Times New Roman"/>
          <w:b/>
          <w:bCs/>
          <w:color w:val="auto"/>
          <w:kern w:val="2"/>
          <w:sz w:val="21"/>
          <w:szCs w:val="21"/>
          <w:lang w:val="zh-CN"/>
        </w:rPr>
      </w:sdtEndPr>
      <w:sdtContent>
        <w:p>
          <w:pPr>
            <w:pStyle w:val="21"/>
            <w:spacing w:line="360" w:lineRule="auto"/>
            <w:jc w:val="center"/>
            <w:rPr>
              <w:rFonts w:ascii="华文中宋" w:hAnsi="华文中宋" w:eastAsia="华文中宋"/>
              <w:color w:val="000000" w:themeColor="text1"/>
              <w:sz w:val="44"/>
              <w:szCs w:val="44"/>
              <w14:textFill>
                <w14:solidFill>
                  <w14:schemeClr w14:val="tx1"/>
                </w14:solidFill>
              </w14:textFill>
            </w:rPr>
          </w:pPr>
          <w:r>
            <w:rPr>
              <w:rFonts w:ascii="华文中宋" w:hAnsi="华文中宋" w:eastAsia="华文中宋"/>
              <w:color w:val="000000" w:themeColor="text1"/>
              <w:sz w:val="44"/>
              <w:szCs w:val="44"/>
              <w:lang w:val="zh-CN"/>
              <w14:textFill>
                <w14:solidFill>
                  <w14:schemeClr w14:val="tx1"/>
                </w14:solidFill>
              </w14:textFill>
            </w:rPr>
            <w:t>目</w:t>
          </w:r>
          <w:r>
            <w:rPr>
              <w:rFonts w:hint="eastAsia" w:ascii="华文中宋" w:hAnsi="华文中宋" w:eastAsia="华文中宋"/>
              <w:color w:val="000000" w:themeColor="text1"/>
              <w:sz w:val="44"/>
              <w:szCs w:val="44"/>
              <w:lang w:val="zh-CN"/>
              <w14:textFill>
                <w14:solidFill>
                  <w14:schemeClr w14:val="tx1"/>
                </w14:solidFill>
              </w14:textFill>
            </w:rPr>
            <w:t xml:space="preserve"> </w:t>
          </w:r>
          <w:r>
            <w:rPr>
              <w:rFonts w:ascii="华文中宋" w:hAnsi="华文中宋" w:eastAsia="华文中宋"/>
              <w:color w:val="000000" w:themeColor="text1"/>
              <w:sz w:val="44"/>
              <w:szCs w:val="44"/>
              <w:lang w:val="zh-CN"/>
              <w14:textFill>
                <w14:solidFill>
                  <w14:schemeClr w14:val="tx1"/>
                </w14:solidFill>
              </w14:textFill>
            </w:rPr>
            <w:t xml:space="preserve"> 录</w:t>
          </w:r>
        </w:p>
        <w:p>
          <w:pPr>
            <w:pStyle w:val="5"/>
            <w:tabs>
              <w:tab w:val="right" w:leader="dot" w:pos="9737"/>
            </w:tabs>
            <w:rPr>
              <w:rFonts w:ascii="Times New Roman" w:hAnsi="Times New Roman" w:cstheme="minorBidi"/>
              <w:szCs w:val="22"/>
            </w:rPr>
          </w:pPr>
          <w:r>
            <w:fldChar w:fldCharType="begin"/>
          </w:r>
          <w:r>
            <w:instrText xml:space="preserve"> TOC \o "1-3" \h \z \u </w:instrText>
          </w:r>
          <w:r>
            <w:fldChar w:fldCharType="separate"/>
          </w:r>
          <w:r>
            <w:fldChar w:fldCharType="begin"/>
          </w:r>
          <w:r>
            <w:instrText xml:space="preserve"> HYPERLINK \l "_Toc167264881" </w:instrText>
          </w:r>
          <w:r>
            <w:fldChar w:fldCharType="separate"/>
          </w:r>
          <w:r>
            <w:rPr>
              <w:rStyle w:val="9"/>
              <w:rFonts w:ascii="Times New Roman" w:hAnsi="Times New Roman"/>
              <w:kern w:val="0"/>
            </w:rPr>
            <w:t>1 目的意义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_Toc167264881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5"/>
            <w:tabs>
              <w:tab w:val="right" w:leader="dot" w:pos="9737"/>
            </w:tabs>
            <w:rPr>
              <w:rFonts w:ascii="Times New Roman" w:hAnsi="Times New Roman" w:cstheme="minorBidi"/>
              <w:szCs w:val="22"/>
            </w:rPr>
          </w:pPr>
          <w:r>
            <w:fldChar w:fldCharType="begin"/>
          </w:r>
          <w:r>
            <w:instrText xml:space="preserve"> HYPERLINK \l "_Toc167264882" </w:instrText>
          </w:r>
          <w:r>
            <w:fldChar w:fldCharType="separate"/>
          </w:r>
          <w:r>
            <w:rPr>
              <w:rStyle w:val="9"/>
              <w:rFonts w:ascii="Times New Roman" w:hAnsi="Times New Roman"/>
              <w:kern w:val="0"/>
            </w:rPr>
            <w:t>2 任务来源</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_Toc167264882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5"/>
            <w:tabs>
              <w:tab w:val="right" w:leader="dot" w:pos="9737"/>
            </w:tabs>
            <w:rPr>
              <w:rFonts w:ascii="Times New Roman" w:hAnsi="Times New Roman" w:cstheme="minorBidi"/>
              <w:szCs w:val="22"/>
            </w:rPr>
          </w:pPr>
          <w:r>
            <w:fldChar w:fldCharType="begin"/>
          </w:r>
          <w:r>
            <w:instrText xml:space="preserve"> HYPERLINK \l "_Toc167264883" </w:instrText>
          </w:r>
          <w:r>
            <w:fldChar w:fldCharType="separate"/>
          </w:r>
          <w:r>
            <w:rPr>
              <w:rStyle w:val="9"/>
              <w:rFonts w:ascii="Times New Roman" w:hAnsi="Times New Roman"/>
              <w:kern w:val="0"/>
            </w:rPr>
            <w:t>3 编制过程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_Toc167264883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5"/>
            <w:tabs>
              <w:tab w:val="right" w:leader="dot" w:pos="9737"/>
            </w:tabs>
            <w:rPr>
              <w:rFonts w:ascii="Times New Roman" w:hAnsi="Times New Roman" w:cstheme="minorBidi"/>
              <w:szCs w:val="22"/>
            </w:rPr>
          </w:pPr>
          <w:r>
            <w:fldChar w:fldCharType="begin"/>
          </w:r>
          <w:r>
            <w:instrText xml:space="preserve"> HYPERLINK \l "_Toc167264884" </w:instrText>
          </w:r>
          <w:r>
            <w:fldChar w:fldCharType="separate"/>
          </w:r>
          <w:r>
            <w:rPr>
              <w:rStyle w:val="9"/>
              <w:rFonts w:ascii="Times New Roman" w:hAnsi="Times New Roman"/>
              <w:kern w:val="0"/>
            </w:rPr>
            <w:t>4 主要内容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_Toc167264884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5"/>
            <w:tabs>
              <w:tab w:val="right" w:leader="dot" w:pos="9737"/>
            </w:tabs>
            <w:rPr>
              <w:rFonts w:ascii="Times New Roman" w:hAnsi="Times New Roman" w:cstheme="minorBidi"/>
              <w:szCs w:val="22"/>
            </w:rPr>
          </w:pPr>
          <w:r>
            <w:fldChar w:fldCharType="begin"/>
          </w:r>
          <w:r>
            <w:instrText xml:space="preserve"> HYPERLINK \l "_Toc167264885" </w:instrText>
          </w:r>
          <w:r>
            <w:fldChar w:fldCharType="separate"/>
          </w:r>
          <w:r>
            <w:rPr>
              <w:rStyle w:val="9"/>
              <w:rFonts w:ascii="Times New Roman" w:hAnsi="Times New Roman"/>
              <w:kern w:val="0"/>
            </w:rPr>
            <w:t>5 技术指标确定的依据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_Toc167264885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pPr>
            <w:pStyle w:val="5"/>
            <w:tabs>
              <w:tab w:val="right" w:leader="dot" w:pos="9737"/>
            </w:tabs>
            <w:rPr>
              <w:rFonts w:ascii="Times New Roman" w:hAnsi="Times New Roman" w:cstheme="minorBidi"/>
              <w:szCs w:val="22"/>
            </w:rPr>
          </w:pPr>
          <w:r>
            <w:fldChar w:fldCharType="begin"/>
          </w:r>
          <w:r>
            <w:instrText xml:space="preserve"> HYPERLINK \l "_Toc167264886" </w:instrText>
          </w:r>
          <w:r>
            <w:fldChar w:fldCharType="separate"/>
          </w:r>
          <w:r>
            <w:rPr>
              <w:rStyle w:val="9"/>
              <w:rFonts w:ascii="Times New Roman" w:hAnsi="Times New Roman"/>
              <w:kern w:val="0"/>
            </w:rPr>
            <w:t>6 重大意见分歧处理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_Toc167264886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pPr>
            <w:pStyle w:val="5"/>
            <w:tabs>
              <w:tab w:val="right" w:leader="dot" w:pos="9737"/>
            </w:tabs>
            <w:rPr>
              <w:rFonts w:ascii="Times New Roman" w:hAnsi="Times New Roman" w:cstheme="minorBidi"/>
              <w:szCs w:val="22"/>
            </w:rPr>
          </w:pPr>
          <w:r>
            <w:fldChar w:fldCharType="begin"/>
          </w:r>
          <w:r>
            <w:instrText xml:space="preserve"> HYPERLINK \l "_Toc167264887" </w:instrText>
          </w:r>
          <w:r>
            <w:fldChar w:fldCharType="separate"/>
          </w:r>
          <w:r>
            <w:rPr>
              <w:rStyle w:val="9"/>
              <w:rFonts w:ascii="Times New Roman" w:hAnsi="Times New Roman"/>
              <w:kern w:val="0"/>
            </w:rPr>
            <w:t>7 与现行法律、法规和标准的关系</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_Toc167264887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pPr>
            <w:pStyle w:val="5"/>
            <w:tabs>
              <w:tab w:val="right" w:leader="dot" w:pos="9737"/>
            </w:tabs>
            <w:rPr>
              <w:rFonts w:ascii="Times New Roman" w:hAnsi="Times New Roman" w:cstheme="minorBidi"/>
              <w:szCs w:val="22"/>
            </w:rPr>
          </w:pPr>
          <w:r>
            <w:fldChar w:fldCharType="begin"/>
          </w:r>
          <w:r>
            <w:instrText xml:space="preserve"> HYPERLINK \l "_Toc167264888" </w:instrText>
          </w:r>
          <w:r>
            <w:fldChar w:fldCharType="separate"/>
          </w:r>
          <w:r>
            <w:rPr>
              <w:rStyle w:val="9"/>
              <w:rFonts w:ascii="Times New Roman" w:hAnsi="Times New Roman"/>
              <w:kern w:val="0"/>
            </w:rPr>
            <w:t>8 条文说明</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_Toc167264888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pPr>
            <w:pStyle w:val="5"/>
            <w:tabs>
              <w:tab w:val="right" w:leader="dot" w:pos="9737"/>
            </w:tabs>
            <w:rPr>
              <w:rFonts w:ascii="Times New Roman" w:hAnsi="Times New Roman" w:cstheme="minorBidi"/>
              <w:szCs w:val="22"/>
            </w:rPr>
          </w:pPr>
          <w:r>
            <w:fldChar w:fldCharType="begin"/>
          </w:r>
          <w:r>
            <w:instrText xml:space="preserve"> HYPERLINK \l "_Toc167264889" </w:instrText>
          </w:r>
          <w:r>
            <w:fldChar w:fldCharType="separate"/>
          </w:r>
          <w:r>
            <w:rPr>
              <w:rStyle w:val="9"/>
              <w:rFonts w:ascii="Times New Roman" w:hAnsi="Times New Roman"/>
              <w:kern w:val="0"/>
            </w:rPr>
            <w:t>9 推广实施建议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_Toc167264889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pPr>
            <w:pStyle w:val="5"/>
            <w:tabs>
              <w:tab w:val="right" w:leader="dot" w:pos="9737"/>
            </w:tabs>
            <w:rPr>
              <w:rFonts w:asciiTheme="minorHAnsi" w:hAnsiTheme="minorHAnsi" w:eastAsiaTheme="minorEastAsia" w:cstheme="minorBidi"/>
              <w:szCs w:val="22"/>
            </w:rPr>
          </w:pPr>
          <w:r>
            <w:fldChar w:fldCharType="begin"/>
          </w:r>
          <w:r>
            <w:instrText xml:space="preserve"> HYPERLINK \l "_Toc167264890" </w:instrText>
          </w:r>
          <w:r>
            <w:fldChar w:fldCharType="separate"/>
          </w:r>
          <w:r>
            <w:rPr>
              <w:rStyle w:val="9"/>
              <w:rFonts w:ascii="Times New Roman" w:hAnsi="Times New Roman"/>
              <w:kern w:val="0"/>
            </w:rPr>
            <w:t>10 起草单位和起草人员信息及分工</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_Toc167264890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r>
            <w:rPr>
              <w:b/>
              <w:bCs/>
              <w:lang w:val="zh-CN"/>
            </w:rPr>
            <w:fldChar w:fldCharType="end"/>
          </w:r>
        </w:p>
      </w:sdtContent>
    </w:sdt>
    <w:p>
      <w:pPr>
        <w:jc w:val="right"/>
        <w:rPr>
          <w:rFonts w:ascii="Times New Roman" w:hAnsi="Times New Roman"/>
        </w:rPr>
      </w:pPr>
    </w:p>
    <w:p>
      <w:pPr>
        <w:rPr>
          <w:rFonts w:ascii="Times New Roman" w:hAnsi="Times New Roman"/>
        </w:rPr>
      </w:pPr>
    </w:p>
    <w:p>
      <w:pPr>
        <w:rPr>
          <w:rFonts w:ascii="Times New Roman" w:hAnsi="Times New Roman"/>
        </w:rPr>
        <w:sectPr>
          <w:footerReference r:id="rId9" w:type="default"/>
          <w:pgSz w:w="11907" w:h="16840"/>
          <w:pgMar w:top="1440" w:right="1080" w:bottom="1440" w:left="1080" w:header="0" w:footer="635" w:gutter="0"/>
          <w:pgNumType w:fmt="upperRoman" w:start="1"/>
          <w:cols w:space="720" w:num="1"/>
        </w:sectPr>
      </w:pPr>
    </w:p>
    <w:p>
      <w:pPr>
        <w:spacing w:line="480" w:lineRule="auto"/>
        <w:outlineLvl w:val="0"/>
        <w:rPr>
          <w:rFonts w:ascii="Times New Roman" w:hAnsi="Times New Roman" w:eastAsia="黑体"/>
          <w:kern w:val="0"/>
        </w:rPr>
      </w:pPr>
      <w:bookmarkStart w:id="8" w:name="_bookmark22"/>
      <w:bookmarkEnd w:id="8"/>
      <w:bookmarkStart w:id="9" w:name="_Toc338340181"/>
      <w:bookmarkStart w:id="10" w:name="_Toc495476948"/>
      <w:bookmarkStart w:id="11" w:name="_Toc497087668"/>
      <w:bookmarkStart w:id="12" w:name="_Toc10462821"/>
      <w:bookmarkStart w:id="13" w:name="_Toc167264881"/>
      <w:r>
        <w:rPr>
          <w:rFonts w:hint="eastAsia" w:ascii="Times New Roman" w:hAnsi="Times New Roman" w:eastAsia="黑体"/>
          <w:kern w:val="0"/>
        </w:rPr>
        <w:t xml:space="preserve">1 </w:t>
      </w:r>
      <w:bookmarkEnd w:id="9"/>
      <w:bookmarkEnd w:id="10"/>
      <w:bookmarkEnd w:id="11"/>
      <w:bookmarkEnd w:id="12"/>
      <w:r>
        <w:rPr>
          <w:rFonts w:hint="eastAsia" w:ascii="Times New Roman" w:hAnsi="Times New Roman" w:eastAsia="黑体"/>
          <w:kern w:val="0"/>
        </w:rPr>
        <w:t>目的意义</w:t>
      </w:r>
      <w:bookmarkEnd w:id="13"/>
    </w:p>
    <w:p>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随着海洋资源的开发，海上风电逐渐呈现中远海化、规模化、集群化的趋势。由于相同电压等级、相同长度海底电缆对地电容是架空线2</w:t>
      </w:r>
      <w:r>
        <w:rPr>
          <w:rFonts w:ascii="Times New Roman" w:hAnsi="Times New Roman"/>
          <w:kern w:val="0"/>
        </w:rPr>
        <w:t>0</w:t>
      </w:r>
      <w:r>
        <w:rPr>
          <w:rFonts w:hint="eastAsia" w:ascii="Times New Roman" w:hAnsi="Times New Roman"/>
          <w:kern w:val="0"/>
        </w:rPr>
        <w:t>倍及以上，高压交流海缆充电功率较大。当离岸距离不断增加时，高电压、大截面、长距离交流海缆导致海上风电交流输电系统工频过电压问题较为严重，需装设高压并联电抗器进行抑制。现阶段，由于缺乏相应标准，国内外海上风电场无功补偿配置大都处于摸索阶段，处理方式不尽相同。为适应海上风电快速发展趋势，有效规范经高压、中远距离工频交流海缆送出的海上风电场无功补偿配置，保证海上风电送出系统安全稳定运行，制定本文件。</w:t>
      </w:r>
    </w:p>
    <w:p>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本文件编制目的：有效规范经高压工频交流输电并网的中远海风电场无功补偿配置，保障大规模海上风电的高效可靠送出，促进大规模海上风电绿色、经济、安全并网。</w:t>
      </w:r>
    </w:p>
    <w:p>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本文件编制意义：指导中远海风电场无功补偿配置，对促进大规模海上风电高效送出与安全并网具有重要意义。</w:t>
      </w:r>
    </w:p>
    <w:p>
      <w:pPr>
        <w:spacing w:line="480" w:lineRule="auto"/>
        <w:outlineLvl w:val="0"/>
        <w:rPr>
          <w:rFonts w:ascii="Times New Roman" w:hAnsi="Times New Roman" w:eastAsia="黑体"/>
          <w:kern w:val="0"/>
        </w:rPr>
      </w:pPr>
      <w:bookmarkStart w:id="14" w:name="_Toc167264882"/>
      <w:r>
        <w:rPr>
          <w:rFonts w:hint="eastAsia" w:ascii="Times New Roman" w:hAnsi="Times New Roman" w:eastAsia="黑体"/>
          <w:kern w:val="0"/>
        </w:rPr>
        <w:t>2 任务来源</w:t>
      </w:r>
      <w:bookmarkEnd w:id="14"/>
    </w:p>
    <w:p>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为贯彻落实《国家标准化发展纲要》，深入实施标准化战略，进一步健全江苏省高质量发展标准体系，充分发挥标准推动能源绿色低碳转型的技术支撑和引领性作用，开展本文件编制工作。2</w:t>
      </w:r>
      <w:r>
        <w:rPr>
          <w:rFonts w:ascii="Times New Roman" w:hAnsi="Times New Roman"/>
          <w:kern w:val="0"/>
        </w:rPr>
        <w:t>023</w:t>
      </w:r>
      <w:r>
        <w:rPr>
          <w:rFonts w:hint="eastAsia" w:ascii="Times New Roman" w:hAnsi="Times New Roman"/>
          <w:kern w:val="0"/>
        </w:rPr>
        <w:t>年8月4日，江苏省市场监督管理局下发《省市场监管局关于下达202</w:t>
      </w:r>
      <w:r>
        <w:rPr>
          <w:rFonts w:ascii="Times New Roman" w:hAnsi="Times New Roman"/>
          <w:kern w:val="0"/>
        </w:rPr>
        <w:t>3</w:t>
      </w:r>
      <w:r>
        <w:rPr>
          <w:rFonts w:hint="eastAsia" w:ascii="Times New Roman" w:hAnsi="Times New Roman"/>
          <w:kern w:val="0"/>
        </w:rPr>
        <w:t>年度江苏省地方标准项目计划的通知》（苏市监标[</w:t>
      </w:r>
      <w:r>
        <w:rPr>
          <w:rFonts w:ascii="Times New Roman" w:hAnsi="Times New Roman"/>
          <w:kern w:val="0"/>
        </w:rPr>
        <w:t>2023]173</w:t>
      </w:r>
      <w:r>
        <w:rPr>
          <w:rFonts w:hint="eastAsia" w:ascii="Times New Roman" w:hAnsi="Times New Roman"/>
          <w:kern w:val="0"/>
        </w:rPr>
        <w:t>号），本项目获批正式立项。文件编制组经广泛调查研究，认真总结实践经验和研究成果，参考有关国际和国内先进标准，结合江苏省区域特点，在广泛征求意见的基础上编制完成本文件。</w:t>
      </w:r>
    </w:p>
    <w:p>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本文件牵头起草单位为国网江苏省电力有限公司经济技术研究院，具体由国网江苏电力设计咨询有限公司、江苏云杉清洁能源投资控股有限公司、国网江苏省电力有限公司、国家电投集团江苏海上风力发电有限公司、国网江苏省电力有限公司盐城供电分公司、东南大学等单位共同编制。</w:t>
      </w:r>
    </w:p>
    <w:p>
      <w:pPr>
        <w:spacing w:line="480" w:lineRule="auto"/>
        <w:outlineLvl w:val="0"/>
        <w:rPr>
          <w:rFonts w:ascii="Times New Roman" w:hAnsi="Times New Roman" w:eastAsia="黑体"/>
          <w:kern w:val="0"/>
        </w:rPr>
      </w:pPr>
      <w:bookmarkStart w:id="15" w:name="_Toc338340184"/>
      <w:bookmarkStart w:id="16" w:name="_Toc10462824"/>
      <w:bookmarkStart w:id="17" w:name="_Toc167264883"/>
      <w:bookmarkStart w:id="18" w:name="_Toc497087671"/>
      <w:bookmarkStart w:id="19" w:name="_Toc495476951"/>
      <w:r>
        <w:rPr>
          <w:rFonts w:ascii="Times New Roman" w:hAnsi="Times New Roman" w:eastAsia="黑体"/>
          <w:kern w:val="0"/>
        </w:rPr>
        <w:t>3</w:t>
      </w:r>
      <w:r>
        <w:rPr>
          <w:rFonts w:hint="eastAsia" w:ascii="Times New Roman" w:hAnsi="Times New Roman" w:eastAsia="黑体"/>
          <w:kern w:val="0"/>
        </w:rPr>
        <w:t xml:space="preserve"> 编制过程</w:t>
      </w:r>
      <w:bookmarkEnd w:id="15"/>
      <w:bookmarkEnd w:id="16"/>
      <w:bookmarkEnd w:id="17"/>
      <w:bookmarkEnd w:id="18"/>
      <w:bookmarkEnd w:id="19"/>
    </w:p>
    <w:p>
      <w:pPr>
        <w:pStyle w:val="17"/>
        <w:adjustRightInd w:val="0"/>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20</w:t>
      </w:r>
      <w:r>
        <w:rPr>
          <w:rFonts w:ascii="Times New Roman" w:hAnsi="Times New Roman" w:cstheme="minorBidi"/>
          <w:kern w:val="0"/>
          <w:szCs w:val="22"/>
        </w:rPr>
        <w:t>22</w:t>
      </w:r>
      <w:r>
        <w:rPr>
          <w:rFonts w:hint="eastAsia" w:ascii="Times New Roman" w:hAnsi="Times New Roman" w:cstheme="minorBidi"/>
          <w:kern w:val="0"/>
          <w:szCs w:val="22"/>
        </w:rPr>
        <w:t>年</w:t>
      </w:r>
      <w:r>
        <w:rPr>
          <w:rFonts w:ascii="Times New Roman" w:hAnsi="Times New Roman" w:cstheme="minorBidi"/>
          <w:kern w:val="0"/>
          <w:szCs w:val="22"/>
        </w:rPr>
        <w:t>1</w:t>
      </w:r>
      <w:r>
        <w:rPr>
          <w:rFonts w:hint="eastAsia" w:ascii="Times New Roman" w:hAnsi="Times New Roman" w:cstheme="minorBidi"/>
          <w:kern w:val="0"/>
          <w:szCs w:val="22"/>
        </w:rPr>
        <w:t>月-</w:t>
      </w:r>
      <w:r>
        <w:rPr>
          <w:rFonts w:ascii="Times New Roman" w:hAnsi="Times New Roman" w:cstheme="minorBidi"/>
          <w:kern w:val="0"/>
          <w:szCs w:val="22"/>
        </w:rPr>
        <w:t>2023</w:t>
      </w:r>
      <w:r>
        <w:rPr>
          <w:rFonts w:hint="eastAsia" w:ascii="Times New Roman" w:hAnsi="Times New Roman" w:cstheme="minorBidi"/>
          <w:kern w:val="0"/>
          <w:szCs w:val="22"/>
        </w:rPr>
        <w:t>年</w:t>
      </w:r>
      <w:r>
        <w:rPr>
          <w:rFonts w:ascii="Times New Roman" w:hAnsi="Times New Roman" w:cstheme="minorBidi"/>
          <w:kern w:val="0"/>
          <w:szCs w:val="22"/>
        </w:rPr>
        <w:t>2</w:t>
      </w:r>
      <w:r>
        <w:rPr>
          <w:rFonts w:hint="eastAsia" w:ascii="Times New Roman" w:hAnsi="Times New Roman" w:cstheme="minorBidi"/>
          <w:kern w:val="0"/>
          <w:szCs w:val="22"/>
        </w:rPr>
        <w:t>月，开展中远海风电场经工频交流海缆送出系统过电压分析与无功优化研究，完成《中远海岸海上风电经高压交流输电(HVAC)并网无功补偿配置指导意见》。</w:t>
      </w:r>
    </w:p>
    <w:p>
      <w:pPr>
        <w:pStyle w:val="17"/>
        <w:adjustRightInd w:val="0"/>
        <w:snapToGrid/>
        <w:spacing w:beforeLines="0" w:afterLines="0" w:line="240" w:lineRule="auto"/>
        <w:ind w:firstLine="420"/>
        <w:rPr>
          <w:rFonts w:ascii="Times New Roman" w:hAnsi="Times New Roman" w:cstheme="minorBidi"/>
          <w:kern w:val="0"/>
          <w:szCs w:val="22"/>
        </w:rPr>
      </w:pPr>
      <w:r>
        <w:rPr>
          <w:rFonts w:ascii="Times New Roman" w:hAnsi="Times New Roman" w:cstheme="minorBidi"/>
          <w:kern w:val="0"/>
          <w:szCs w:val="22"/>
        </w:rPr>
        <w:t>2023</w:t>
      </w:r>
      <w:r>
        <w:rPr>
          <w:rFonts w:hint="eastAsia" w:ascii="Times New Roman" w:hAnsi="Times New Roman" w:cstheme="minorBidi"/>
          <w:kern w:val="0"/>
          <w:szCs w:val="22"/>
        </w:rPr>
        <w:t>年3月，填报江苏省地方标准项目建议书，提交地方标准立项申请。</w:t>
      </w:r>
    </w:p>
    <w:p>
      <w:pPr>
        <w:pStyle w:val="17"/>
        <w:adjustRightInd w:val="0"/>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2</w:t>
      </w:r>
      <w:r>
        <w:rPr>
          <w:rFonts w:ascii="Times New Roman" w:hAnsi="Times New Roman" w:cstheme="minorBidi"/>
          <w:kern w:val="0"/>
          <w:szCs w:val="22"/>
        </w:rPr>
        <w:t>023</w:t>
      </w:r>
      <w:r>
        <w:rPr>
          <w:rFonts w:hint="eastAsia" w:ascii="Times New Roman" w:hAnsi="Times New Roman" w:cstheme="minorBidi"/>
          <w:kern w:val="0"/>
          <w:szCs w:val="22"/>
        </w:rPr>
        <w:t>年8月，获批正式立项。项目启动，成立编写组，确定参编单位及人员，开展前期研究工作，收集国内外相关标准、文献资料，启动江苏南通和盐城等地区中远海风电场无功补偿配置、运行情况等调研工作，同时对行业相关的标准进行系统性梳理，在此基础上总结出目前存在的主要问题。部署制定工作计划，确定标准体系框架，明确了标准编制的目的、思路、任务、分工及进度要求。</w:t>
      </w:r>
    </w:p>
    <w:p>
      <w:pPr>
        <w:pStyle w:val="17"/>
        <w:adjustRightInd w:val="0"/>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2</w:t>
      </w:r>
      <w:r>
        <w:rPr>
          <w:rFonts w:ascii="Times New Roman" w:hAnsi="Times New Roman" w:cstheme="minorBidi"/>
          <w:kern w:val="0"/>
          <w:szCs w:val="22"/>
        </w:rPr>
        <w:t>023</w:t>
      </w:r>
      <w:r>
        <w:rPr>
          <w:rFonts w:hint="eastAsia" w:ascii="Times New Roman" w:hAnsi="Times New Roman" w:cstheme="minorBidi"/>
          <w:kern w:val="0"/>
          <w:szCs w:val="22"/>
        </w:rPr>
        <w:t>年</w:t>
      </w:r>
      <w:r>
        <w:rPr>
          <w:rFonts w:ascii="Times New Roman" w:hAnsi="Times New Roman" w:cstheme="minorBidi"/>
          <w:kern w:val="0"/>
          <w:szCs w:val="22"/>
        </w:rPr>
        <w:t>9</w:t>
      </w:r>
      <w:r>
        <w:rPr>
          <w:rFonts w:hint="eastAsia" w:ascii="Times New Roman" w:hAnsi="Times New Roman" w:cstheme="minorBidi"/>
          <w:kern w:val="0"/>
          <w:szCs w:val="22"/>
        </w:rPr>
        <w:t>月，根据前期研究与调研成果，形成标准草案稿。</w:t>
      </w:r>
    </w:p>
    <w:p>
      <w:pPr>
        <w:pStyle w:val="17"/>
        <w:adjustRightInd w:val="0"/>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20</w:t>
      </w:r>
      <w:r>
        <w:rPr>
          <w:rFonts w:ascii="Times New Roman" w:hAnsi="Times New Roman" w:cstheme="minorBidi"/>
          <w:kern w:val="0"/>
          <w:szCs w:val="22"/>
        </w:rPr>
        <w:t>23</w:t>
      </w:r>
      <w:r>
        <w:rPr>
          <w:rFonts w:hint="eastAsia" w:ascii="Times New Roman" w:hAnsi="Times New Roman" w:cstheme="minorBidi"/>
          <w:kern w:val="0"/>
          <w:szCs w:val="22"/>
        </w:rPr>
        <w:t>年</w:t>
      </w:r>
      <w:r>
        <w:rPr>
          <w:rFonts w:ascii="Times New Roman" w:hAnsi="Times New Roman" w:cstheme="minorBidi"/>
          <w:kern w:val="0"/>
          <w:szCs w:val="22"/>
        </w:rPr>
        <w:t>10</w:t>
      </w:r>
      <w:r>
        <w:rPr>
          <w:rFonts w:hint="eastAsia" w:ascii="Times New Roman" w:hAnsi="Times New Roman" w:cstheme="minorBidi"/>
          <w:kern w:val="0"/>
          <w:szCs w:val="22"/>
        </w:rPr>
        <w:t>月，组织标准草案内部评审会，与会专家对标准提出了宝贵修改意见。根据专家意见，编写组对标准进行了修改完善。</w:t>
      </w:r>
    </w:p>
    <w:p>
      <w:pPr>
        <w:pStyle w:val="17"/>
        <w:adjustRightInd w:val="0"/>
        <w:snapToGrid/>
        <w:spacing w:beforeLines="0" w:afterLines="0" w:line="240" w:lineRule="auto"/>
        <w:ind w:firstLine="420"/>
        <w:rPr>
          <w:rFonts w:ascii="Times New Roman" w:hAnsi="Times New Roman" w:cstheme="minorBidi"/>
          <w:kern w:val="0"/>
          <w:szCs w:val="22"/>
        </w:rPr>
      </w:pPr>
      <w:r>
        <w:rPr>
          <w:rFonts w:ascii="Times New Roman" w:hAnsi="Times New Roman" w:cstheme="minorBidi"/>
          <w:kern w:val="0"/>
          <w:szCs w:val="22"/>
        </w:rPr>
        <w:t>2024</w:t>
      </w:r>
      <w:r>
        <w:rPr>
          <w:rFonts w:hint="eastAsia" w:ascii="Times New Roman" w:hAnsi="Times New Roman" w:cstheme="minorBidi"/>
          <w:kern w:val="0"/>
          <w:szCs w:val="22"/>
        </w:rPr>
        <w:t>年</w:t>
      </w:r>
      <w:r>
        <w:rPr>
          <w:rFonts w:ascii="Times New Roman" w:hAnsi="Times New Roman" w:cstheme="minorBidi"/>
          <w:kern w:val="0"/>
          <w:szCs w:val="22"/>
        </w:rPr>
        <w:t>1</w:t>
      </w:r>
      <w:r>
        <w:rPr>
          <w:rFonts w:hint="eastAsia" w:ascii="Times New Roman" w:hAnsi="Times New Roman" w:cstheme="minorBidi"/>
          <w:kern w:val="0"/>
          <w:szCs w:val="22"/>
        </w:rPr>
        <w:t>月，编写组邀请标准化研究方面的专家审查文件内容，专家</w:t>
      </w:r>
      <w:r>
        <w:rPr>
          <w:rFonts w:ascii="Times New Roman" w:hAnsi="Times New Roman" w:cstheme="minorBidi"/>
          <w:kern w:val="0"/>
          <w:szCs w:val="22"/>
        </w:rPr>
        <w:t>对</w:t>
      </w:r>
      <w:r>
        <w:rPr>
          <w:rFonts w:hint="eastAsia" w:ascii="Times New Roman" w:hAnsi="Times New Roman" w:cstheme="minorBidi"/>
          <w:kern w:val="0"/>
          <w:szCs w:val="22"/>
        </w:rPr>
        <w:t>本文件</w:t>
      </w:r>
      <w:r>
        <w:rPr>
          <w:rFonts w:ascii="Times New Roman" w:hAnsi="Times New Roman" w:cstheme="minorBidi"/>
          <w:kern w:val="0"/>
          <w:szCs w:val="22"/>
        </w:rPr>
        <w:t>中涉及的</w:t>
      </w:r>
      <w:r>
        <w:rPr>
          <w:rFonts w:hint="eastAsia" w:ascii="Times New Roman" w:hAnsi="Times New Roman" w:cstheme="minorBidi"/>
          <w:kern w:val="0"/>
          <w:szCs w:val="22"/>
        </w:rPr>
        <w:t>规范性引用文件</w:t>
      </w:r>
      <w:r>
        <w:rPr>
          <w:rFonts w:ascii="Times New Roman" w:hAnsi="Times New Roman" w:cstheme="minorBidi"/>
          <w:kern w:val="0"/>
          <w:szCs w:val="22"/>
        </w:rPr>
        <w:t>、</w:t>
      </w:r>
      <w:r>
        <w:rPr>
          <w:rFonts w:hint="eastAsia" w:ascii="Times New Roman" w:hAnsi="Times New Roman" w:cstheme="minorBidi"/>
          <w:kern w:val="0"/>
          <w:szCs w:val="22"/>
        </w:rPr>
        <w:t>标准结构</w:t>
      </w:r>
      <w:r>
        <w:rPr>
          <w:rFonts w:ascii="Times New Roman" w:hAnsi="Times New Roman" w:cstheme="minorBidi"/>
          <w:kern w:val="0"/>
          <w:szCs w:val="22"/>
        </w:rPr>
        <w:t>等方面的内容</w:t>
      </w:r>
      <w:r>
        <w:rPr>
          <w:rFonts w:hint="eastAsia" w:ascii="Times New Roman" w:hAnsi="Times New Roman" w:cstheme="minorBidi"/>
          <w:kern w:val="0"/>
          <w:szCs w:val="22"/>
        </w:rPr>
        <w:t>提出</w:t>
      </w:r>
      <w:r>
        <w:rPr>
          <w:rFonts w:ascii="Times New Roman" w:hAnsi="Times New Roman" w:cstheme="minorBidi"/>
          <w:kern w:val="0"/>
          <w:szCs w:val="22"/>
        </w:rPr>
        <w:t>了宝贵的修改意见，</w:t>
      </w:r>
      <w:r>
        <w:rPr>
          <w:rFonts w:hint="eastAsia" w:ascii="Times New Roman" w:hAnsi="Times New Roman" w:cstheme="minorBidi"/>
          <w:kern w:val="0"/>
          <w:szCs w:val="22"/>
        </w:rPr>
        <w:t>编写组</w:t>
      </w:r>
      <w:r>
        <w:rPr>
          <w:rFonts w:ascii="Times New Roman" w:hAnsi="Times New Roman" w:cstheme="minorBidi"/>
          <w:kern w:val="0"/>
          <w:szCs w:val="22"/>
        </w:rPr>
        <w:t>根据</w:t>
      </w:r>
      <w:r>
        <w:rPr>
          <w:rFonts w:hint="eastAsia" w:ascii="Times New Roman" w:hAnsi="Times New Roman" w:cstheme="minorBidi"/>
          <w:kern w:val="0"/>
          <w:szCs w:val="22"/>
        </w:rPr>
        <w:t>专家</w:t>
      </w:r>
      <w:r>
        <w:rPr>
          <w:rFonts w:ascii="Times New Roman" w:hAnsi="Times New Roman" w:cstheme="minorBidi"/>
          <w:kern w:val="0"/>
          <w:szCs w:val="22"/>
        </w:rPr>
        <w:t>意见</w:t>
      </w:r>
      <w:r>
        <w:rPr>
          <w:rFonts w:hint="eastAsia" w:ascii="Times New Roman" w:hAnsi="Times New Roman" w:cstheme="minorBidi"/>
          <w:kern w:val="0"/>
          <w:szCs w:val="22"/>
        </w:rPr>
        <w:t>进一步修改完善本文件。</w:t>
      </w:r>
    </w:p>
    <w:p>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202</w:t>
      </w:r>
      <w:r>
        <w:rPr>
          <w:rFonts w:ascii="Times New Roman" w:hAnsi="Times New Roman"/>
          <w:kern w:val="0"/>
        </w:rPr>
        <w:t>4</w:t>
      </w:r>
      <w:r>
        <w:rPr>
          <w:rFonts w:hint="eastAsia" w:ascii="Times New Roman" w:hAnsi="Times New Roman"/>
          <w:kern w:val="0"/>
        </w:rPr>
        <w:t>年</w:t>
      </w:r>
      <w:r>
        <w:rPr>
          <w:rFonts w:hint="eastAsia" w:ascii="Times New Roman" w:hAnsi="Times New Roman"/>
          <w:kern w:val="0"/>
          <w:lang w:val="en-US" w:eastAsia="zh-CN"/>
        </w:rPr>
        <w:t>5</w:t>
      </w:r>
      <w:bookmarkStart w:id="52" w:name="_GoBack"/>
      <w:bookmarkEnd w:id="52"/>
      <w:r>
        <w:rPr>
          <w:rFonts w:hint="eastAsia" w:ascii="Times New Roman" w:hAnsi="Times New Roman"/>
          <w:kern w:val="0"/>
        </w:rPr>
        <w:t>月，根据江苏省电力标准化技术委员会要求，向行业内多家单位发送标准征求意见稿，广泛征求社会同行业单位意见，编写组根据征求意见对本文件进行修改完善。</w:t>
      </w:r>
    </w:p>
    <w:p>
      <w:pPr>
        <w:spacing w:line="480" w:lineRule="auto"/>
        <w:outlineLvl w:val="0"/>
        <w:rPr>
          <w:rFonts w:ascii="Times New Roman" w:hAnsi="Times New Roman" w:eastAsia="黑体"/>
          <w:kern w:val="0"/>
        </w:rPr>
      </w:pPr>
      <w:bookmarkStart w:id="20" w:name="_Toc167264884"/>
      <w:bookmarkStart w:id="21" w:name="_Toc10462825"/>
      <w:bookmarkStart w:id="22" w:name="_Toc497087672"/>
      <w:bookmarkStart w:id="23" w:name="_Toc338340185"/>
      <w:bookmarkStart w:id="24" w:name="_Toc495476952"/>
      <w:r>
        <w:rPr>
          <w:rFonts w:ascii="Times New Roman" w:hAnsi="Times New Roman" w:eastAsia="黑体"/>
          <w:kern w:val="0"/>
        </w:rPr>
        <w:t>4</w:t>
      </w:r>
      <w:r>
        <w:rPr>
          <w:rFonts w:hint="eastAsia" w:ascii="Times New Roman" w:hAnsi="Times New Roman" w:eastAsia="黑体"/>
          <w:kern w:val="0"/>
        </w:rPr>
        <w:t xml:space="preserve"> 主要内容</w:t>
      </w:r>
      <w:bookmarkEnd w:id="20"/>
      <w:bookmarkEnd w:id="21"/>
      <w:bookmarkEnd w:id="22"/>
      <w:bookmarkEnd w:id="23"/>
      <w:bookmarkEnd w:id="24"/>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本文件的主要结构和内容如下：</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1.目次；</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2.前言；</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3.正文共设</w:t>
      </w:r>
      <w:r>
        <w:rPr>
          <w:rFonts w:ascii="Times New Roman" w:hAnsi="Times New Roman" w:cstheme="minorBidi"/>
          <w:kern w:val="0"/>
          <w:szCs w:val="22"/>
        </w:rPr>
        <w:t>10</w:t>
      </w:r>
      <w:r>
        <w:rPr>
          <w:rFonts w:hint="eastAsia" w:ascii="Times New Roman" w:hAnsi="Times New Roman" w:cstheme="minorBidi"/>
          <w:kern w:val="0"/>
          <w:szCs w:val="22"/>
        </w:rPr>
        <w:t>章：范围，规范性引用文件，术语和定义，缩略语，总体要求，无功补偿设备技术要求，高压并联电抗器配置要求，动态无功补偿设备配置要求，低压并联电抗器配置要求，无功补偿配置流程。</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4</w:t>
      </w:r>
      <w:r>
        <w:rPr>
          <w:rFonts w:ascii="Times New Roman" w:hAnsi="Times New Roman" w:cstheme="minorBidi"/>
          <w:kern w:val="0"/>
          <w:szCs w:val="22"/>
        </w:rPr>
        <w:t>.</w:t>
      </w:r>
      <w:r>
        <w:rPr>
          <w:rFonts w:hint="eastAsia" w:ascii="Times New Roman" w:hAnsi="Times New Roman" w:cstheme="minorBidi"/>
          <w:kern w:val="0"/>
          <w:szCs w:val="22"/>
        </w:rPr>
        <w:t>主体章节分为</w:t>
      </w:r>
      <w:r>
        <w:rPr>
          <w:rFonts w:ascii="Times New Roman" w:hAnsi="Times New Roman" w:cstheme="minorBidi"/>
          <w:kern w:val="0"/>
          <w:szCs w:val="22"/>
        </w:rPr>
        <w:t>6</w:t>
      </w:r>
      <w:r>
        <w:rPr>
          <w:rFonts w:hint="eastAsia" w:ascii="Times New Roman" w:hAnsi="Times New Roman" w:cstheme="minorBidi"/>
          <w:kern w:val="0"/>
          <w:szCs w:val="22"/>
        </w:rPr>
        <w:t>章，由总体要求、无功补偿设备技术要求、高压并联电抗器配置要求、动态无功补偿设备配置要求、低压并联电抗器配置要求、无功补偿配置流程组成。这</w:t>
      </w:r>
      <w:r>
        <w:rPr>
          <w:rFonts w:ascii="Times New Roman" w:hAnsi="Times New Roman" w:cstheme="minorBidi"/>
          <w:kern w:val="0"/>
          <w:szCs w:val="22"/>
        </w:rPr>
        <w:t>6</w:t>
      </w:r>
      <w:r>
        <w:rPr>
          <w:rFonts w:hint="eastAsia" w:ascii="Times New Roman" w:hAnsi="Times New Roman" w:cstheme="minorBidi"/>
          <w:kern w:val="0"/>
          <w:szCs w:val="22"/>
        </w:rPr>
        <w:t>章构成本文件的总体结构。第</w:t>
      </w:r>
      <w:r>
        <w:rPr>
          <w:rFonts w:ascii="Times New Roman" w:hAnsi="Times New Roman" w:cstheme="minorBidi"/>
          <w:kern w:val="0"/>
          <w:szCs w:val="22"/>
        </w:rPr>
        <w:t>5</w:t>
      </w:r>
      <w:r>
        <w:rPr>
          <w:rFonts w:hint="eastAsia" w:ascii="Times New Roman" w:hAnsi="Times New Roman" w:cstheme="minorBidi"/>
          <w:kern w:val="0"/>
          <w:szCs w:val="22"/>
        </w:rPr>
        <w:t>章明确了中远海风电场电压控制目标和无功补偿总容量配置总体要求；第</w:t>
      </w:r>
      <w:r>
        <w:rPr>
          <w:rFonts w:ascii="Times New Roman" w:hAnsi="Times New Roman" w:cstheme="minorBidi"/>
          <w:kern w:val="0"/>
          <w:szCs w:val="22"/>
        </w:rPr>
        <w:t>6</w:t>
      </w:r>
      <w:r>
        <w:rPr>
          <w:rFonts w:hint="eastAsia" w:ascii="Times New Roman" w:hAnsi="Times New Roman" w:cstheme="minorBidi"/>
          <w:kern w:val="0"/>
          <w:szCs w:val="22"/>
        </w:rPr>
        <w:t>章明确了中远海风电场无功补偿设备种类，并规定了无功补偿设备技术要求；第7、8、9章分别明确了中远海风电场高压并联电抗器配置要求、动态无功补偿设备配置要求、低压并联电抗器配置要求；第</w:t>
      </w:r>
      <w:r>
        <w:rPr>
          <w:rFonts w:ascii="Times New Roman" w:hAnsi="Times New Roman" w:cstheme="minorBidi"/>
          <w:kern w:val="0"/>
          <w:szCs w:val="22"/>
        </w:rPr>
        <w:t>10</w:t>
      </w:r>
      <w:r>
        <w:rPr>
          <w:rFonts w:hint="eastAsia" w:ascii="Times New Roman" w:hAnsi="Times New Roman" w:cstheme="minorBidi"/>
          <w:kern w:val="0"/>
          <w:szCs w:val="22"/>
        </w:rPr>
        <w:t>章引出了中远海风电场无功补偿配置流程。</w:t>
      </w:r>
    </w:p>
    <w:p>
      <w:pPr>
        <w:pStyle w:val="17"/>
        <w:snapToGrid/>
        <w:spacing w:beforeLines="0" w:afterLines="0" w:line="240" w:lineRule="auto"/>
        <w:ind w:firstLine="420"/>
        <w:rPr>
          <w:rFonts w:ascii="Times New Roman" w:hAnsi="Times New Roman" w:cstheme="minorBidi"/>
          <w:kern w:val="0"/>
          <w:szCs w:val="22"/>
        </w:rPr>
      </w:pPr>
      <w:r>
        <w:rPr>
          <w:rFonts w:ascii="Times New Roman" w:hAnsi="Times New Roman" w:cstheme="minorBidi"/>
          <w:kern w:val="0"/>
          <w:szCs w:val="22"/>
        </w:rPr>
        <w:t>5.</w:t>
      </w:r>
      <w:r>
        <w:rPr>
          <w:rFonts w:hint="eastAsia" w:ascii="Times New Roman" w:hAnsi="Times New Roman" w:cstheme="minorBidi"/>
          <w:kern w:val="0"/>
          <w:szCs w:val="22"/>
        </w:rPr>
        <w:t>附录包含两部分，附录</w:t>
      </w:r>
      <w:r>
        <w:rPr>
          <w:rFonts w:ascii="Times New Roman" w:hAnsi="Times New Roman" w:cstheme="minorBidi"/>
          <w:kern w:val="0"/>
          <w:szCs w:val="22"/>
        </w:rPr>
        <w:t>A</w:t>
      </w:r>
      <w:r>
        <w:rPr>
          <w:rFonts w:hint="eastAsia" w:ascii="Times New Roman" w:hAnsi="Times New Roman" w:cstheme="minorBidi"/>
          <w:kern w:val="0"/>
          <w:szCs w:val="22"/>
        </w:rPr>
        <w:t>规范了无功补偿容量计算，附录B给出了中远海风电场经高压工频交流海缆送出系统的无功补偿配置流程参考。</w:t>
      </w:r>
    </w:p>
    <w:p>
      <w:pPr>
        <w:autoSpaceDE w:val="0"/>
        <w:autoSpaceDN w:val="0"/>
        <w:spacing w:line="240" w:lineRule="auto"/>
        <w:ind w:firstLine="420" w:firstLineChars="200"/>
        <w:rPr>
          <w:rFonts w:ascii="Times New Roman" w:hAnsi="Times New Roman"/>
          <w:kern w:val="0"/>
        </w:rPr>
      </w:pPr>
    </w:p>
    <w:p>
      <w:pPr>
        <w:spacing w:line="480" w:lineRule="auto"/>
        <w:outlineLvl w:val="0"/>
        <w:rPr>
          <w:rFonts w:ascii="Times New Roman" w:hAnsi="Times New Roman" w:eastAsia="黑体"/>
          <w:kern w:val="0"/>
        </w:rPr>
      </w:pPr>
      <w:bookmarkStart w:id="25" w:name="_Toc10462822"/>
      <w:bookmarkStart w:id="26" w:name="_Toc497087669"/>
      <w:bookmarkStart w:id="27" w:name="_Toc338340182"/>
      <w:bookmarkStart w:id="28" w:name="_Toc495476949"/>
      <w:bookmarkStart w:id="29" w:name="_Toc167264885"/>
      <w:r>
        <w:rPr>
          <w:rFonts w:ascii="Times New Roman" w:hAnsi="Times New Roman" w:eastAsia="黑体"/>
          <w:kern w:val="0"/>
        </w:rPr>
        <w:t>5</w:t>
      </w:r>
      <w:r>
        <w:rPr>
          <w:rFonts w:hint="eastAsia" w:ascii="Times New Roman" w:hAnsi="Times New Roman" w:eastAsia="黑体"/>
          <w:kern w:val="0"/>
        </w:rPr>
        <w:t xml:space="preserve"> </w:t>
      </w:r>
      <w:bookmarkEnd w:id="25"/>
      <w:bookmarkEnd w:id="26"/>
      <w:bookmarkEnd w:id="27"/>
      <w:bookmarkEnd w:id="28"/>
      <w:r>
        <w:rPr>
          <w:rFonts w:hint="eastAsia" w:ascii="Times New Roman" w:hAnsi="Times New Roman" w:eastAsia="黑体"/>
          <w:kern w:val="0"/>
        </w:rPr>
        <w:t>技术指标确定的依据</w:t>
      </w:r>
      <w:bookmarkEnd w:id="29"/>
    </w:p>
    <w:p>
      <w:pPr>
        <w:widowControl/>
        <w:tabs>
          <w:tab w:val="left" w:pos="832"/>
        </w:tabs>
        <w:spacing w:line="240" w:lineRule="auto"/>
        <w:ind w:firstLine="420" w:firstLineChars="200"/>
        <w:rPr>
          <w:rFonts w:ascii="Times New Roman" w:hAnsi="Times New Roman"/>
          <w:kern w:val="0"/>
        </w:rPr>
      </w:pPr>
      <w:r>
        <w:rPr>
          <w:rFonts w:hint="eastAsia" w:ascii="Times New Roman" w:hAnsi="Times New Roman"/>
          <w:kern w:val="0"/>
        </w:rPr>
        <w:t>本文件按照GB/T 1.1-2020《标准化工作导则 第1部分：标准化文件的结构和起草规则》和DL/T 800-201</w:t>
      </w:r>
      <w:r>
        <w:rPr>
          <w:rFonts w:ascii="Times New Roman" w:hAnsi="Times New Roman"/>
          <w:kern w:val="0"/>
        </w:rPr>
        <w:t>8</w:t>
      </w:r>
      <w:r>
        <w:rPr>
          <w:rFonts w:hint="eastAsia" w:ascii="Times New Roman" w:hAnsi="Times New Roman"/>
          <w:kern w:val="0"/>
        </w:rPr>
        <w:t>《电力企业标准编写导则》的有关要求，开展本文件制定工作。</w:t>
      </w:r>
    </w:p>
    <w:p>
      <w:pPr>
        <w:widowControl/>
        <w:tabs>
          <w:tab w:val="left" w:pos="832"/>
        </w:tabs>
        <w:spacing w:line="240" w:lineRule="auto"/>
        <w:ind w:firstLine="420" w:firstLineChars="200"/>
        <w:rPr>
          <w:rFonts w:ascii="Times New Roman" w:hAnsi="Times New Roman"/>
          <w:kern w:val="0"/>
        </w:rPr>
      </w:pPr>
      <w:r>
        <w:rPr>
          <w:rFonts w:hint="eastAsia" w:ascii="Times New Roman" w:hAnsi="Times New Roman"/>
          <w:kern w:val="0"/>
        </w:rPr>
        <w:t>本文件主要对中远海风电场无功补偿配置提出基本的技术要求，不对新出现技术做过多限制。</w:t>
      </w:r>
    </w:p>
    <w:p>
      <w:pPr>
        <w:widowControl/>
        <w:tabs>
          <w:tab w:val="left" w:pos="832"/>
        </w:tabs>
        <w:spacing w:line="240" w:lineRule="auto"/>
        <w:ind w:firstLine="420" w:firstLineChars="200"/>
        <w:rPr>
          <w:rFonts w:ascii="Times New Roman" w:hAnsi="Times New Roman"/>
          <w:kern w:val="0"/>
        </w:rPr>
      </w:pPr>
      <w:r>
        <w:rPr>
          <w:rFonts w:hint="eastAsia" w:ascii="Times New Roman" w:hAnsi="Times New Roman"/>
          <w:kern w:val="0"/>
        </w:rPr>
        <w:t>本文件的制定引用了GB/T 19963.1-2021《风电场接入电力系统技术规定 第1部分：陆上风电》、GB/T 38969-2020《电力系统技术导则》、GB/T 40427-2021《电力系统电压和无功电力技术导则》、GB/T 50064-2014《交流电气装置的过电压保护和绝缘配合设计规范》、DL/T 1773-2017《电力系统电压和无功电力技术导则》和DL/T 5554-2019《电力系统无功补偿及调压设计技术导则》等标准，参考了NB/T 31003.1-2022《风电场接入电力系统设计技术规范 第1部分：陆上风电》、NB/T 31003.2-2022《风电场接入电力系统设计技术规范 第2部分：海上风电》、Q/GDW 1212-2015《电力系统无功补偿配置技术导则》、Q/GDW 1392-2015《风电场接入电网技术规定》、Q/GDW 11410-2015《海上风电场接入电网技术规定》、Q/GDW 11411-2015《海上风电场接入系统设计技术规范》、Q/GDW 12282-2022《海上风电场接入系统电气计算规范》等标准。</w:t>
      </w:r>
    </w:p>
    <w:p>
      <w:pPr>
        <w:spacing w:line="480" w:lineRule="auto"/>
        <w:outlineLvl w:val="0"/>
        <w:rPr>
          <w:rFonts w:ascii="Times New Roman" w:hAnsi="Times New Roman" w:eastAsia="黑体"/>
          <w:kern w:val="0"/>
        </w:rPr>
      </w:pPr>
      <w:bookmarkStart w:id="30" w:name="_Toc167264886"/>
      <w:r>
        <w:rPr>
          <w:rFonts w:ascii="Times New Roman" w:hAnsi="Times New Roman" w:eastAsia="黑体"/>
          <w:kern w:val="0"/>
        </w:rPr>
        <w:t>6</w:t>
      </w:r>
      <w:r>
        <w:rPr>
          <w:rFonts w:hint="eastAsia" w:ascii="Times New Roman" w:hAnsi="Times New Roman" w:eastAsia="黑体"/>
          <w:kern w:val="0"/>
        </w:rPr>
        <w:t xml:space="preserve"> 重大意见分歧处理</w:t>
      </w:r>
      <w:bookmarkEnd w:id="30"/>
    </w:p>
    <w:p>
      <w:pPr>
        <w:widowControl/>
        <w:tabs>
          <w:tab w:val="left" w:pos="832"/>
        </w:tabs>
        <w:spacing w:line="240" w:lineRule="auto"/>
        <w:ind w:firstLine="420" w:firstLineChars="200"/>
        <w:rPr>
          <w:rFonts w:ascii="Times New Roman" w:hAnsi="Times New Roman"/>
          <w:kern w:val="0"/>
        </w:rPr>
      </w:pPr>
      <w:r>
        <w:rPr>
          <w:rFonts w:hint="eastAsia" w:ascii="Times New Roman" w:hAnsi="Times New Roman"/>
          <w:kern w:val="0"/>
        </w:rPr>
        <w:t>本文件无三名以上专家或单位提出异议。</w:t>
      </w:r>
    </w:p>
    <w:p>
      <w:pPr>
        <w:spacing w:line="480" w:lineRule="auto"/>
        <w:outlineLvl w:val="0"/>
        <w:rPr>
          <w:rFonts w:ascii="Times New Roman" w:hAnsi="Times New Roman" w:eastAsia="黑体"/>
          <w:kern w:val="0"/>
        </w:rPr>
      </w:pPr>
      <w:bookmarkStart w:id="31" w:name="_Toc10462823"/>
      <w:bookmarkStart w:id="32" w:name="_Toc338340183"/>
      <w:bookmarkStart w:id="33" w:name="_Toc495476950"/>
      <w:bookmarkStart w:id="34" w:name="_Toc497087670"/>
      <w:bookmarkStart w:id="35" w:name="_Toc167264887"/>
      <w:r>
        <w:rPr>
          <w:rFonts w:ascii="Times New Roman" w:hAnsi="Times New Roman" w:eastAsia="黑体"/>
          <w:kern w:val="0"/>
        </w:rPr>
        <w:t>7</w:t>
      </w:r>
      <w:r>
        <w:rPr>
          <w:rFonts w:hint="eastAsia" w:ascii="Times New Roman" w:hAnsi="Times New Roman" w:eastAsia="黑体"/>
          <w:kern w:val="0"/>
        </w:rPr>
        <w:t xml:space="preserve"> 与</w:t>
      </w:r>
      <w:bookmarkEnd w:id="31"/>
      <w:bookmarkEnd w:id="32"/>
      <w:bookmarkEnd w:id="33"/>
      <w:bookmarkEnd w:id="34"/>
      <w:r>
        <w:rPr>
          <w:rFonts w:hint="eastAsia" w:ascii="Times New Roman" w:hAnsi="Times New Roman" w:eastAsia="黑体"/>
          <w:kern w:val="0"/>
        </w:rPr>
        <w:t>现行法律、法规和标准的关系</w:t>
      </w:r>
      <w:bookmarkEnd w:id="35"/>
    </w:p>
    <w:p>
      <w:pPr>
        <w:pStyle w:val="17"/>
        <w:adjustRightInd w:val="0"/>
        <w:snapToGrid/>
        <w:spacing w:beforeLines="0" w:afterLines="0" w:line="240" w:lineRule="auto"/>
        <w:ind w:firstLine="420"/>
        <w:rPr>
          <w:rFonts w:ascii="Times New Roman" w:hAnsi="Times New Roman" w:cstheme="minorBidi"/>
          <w:kern w:val="0"/>
          <w:szCs w:val="22"/>
        </w:rPr>
      </w:pPr>
      <w:bookmarkStart w:id="36" w:name="_Toc341174419"/>
      <w:bookmarkStart w:id="37" w:name="_Toc217894510"/>
      <w:bookmarkStart w:id="38" w:name="_Toc339983339"/>
      <w:bookmarkStart w:id="39" w:name="_Toc341173331"/>
      <w:bookmarkStart w:id="40" w:name="_Toc341174522"/>
      <w:bookmarkStart w:id="41" w:name="_Toc341173695"/>
      <w:bookmarkStart w:id="42" w:name="_Toc339983443"/>
      <w:r>
        <w:rPr>
          <w:rFonts w:hint="eastAsia" w:ascii="Times New Roman" w:hAnsi="Times New Roman" w:cstheme="minorBidi"/>
          <w:kern w:val="0"/>
          <w:szCs w:val="22"/>
        </w:rPr>
        <w:t>本文件与相关技术领域的国家现行法律、法规和标准保持一致。</w:t>
      </w:r>
    </w:p>
    <w:p>
      <w:pPr>
        <w:pStyle w:val="17"/>
        <w:adjustRightInd w:val="0"/>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本文件不涉及专利、软件著作权等知识产权问题。</w:t>
      </w:r>
    </w:p>
    <w:bookmarkEnd w:id="36"/>
    <w:bookmarkEnd w:id="37"/>
    <w:bookmarkEnd w:id="38"/>
    <w:bookmarkEnd w:id="39"/>
    <w:bookmarkEnd w:id="40"/>
    <w:bookmarkEnd w:id="41"/>
    <w:bookmarkEnd w:id="42"/>
    <w:p>
      <w:pPr>
        <w:spacing w:line="480" w:lineRule="auto"/>
        <w:outlineLvl w:val="0"/>
        <w:rPr>
          <w:rFonts w:ascii="Times New Roman" w:hAnsi="Times New Roman" w:eastAsia="黑体"/>
          <w:kern w:val="0"/>
        </w:rPr>
      </w:pPr>
      <w:bookmarkStart w:id="43" w:name="_Toc495476953"/>
      <w:bookmarkStart w:id="44" w:name="_Toc10462826"/>
      <w:bookmarkStart w:id="45" w:name="_Toc167264888"/>
      <w:bookmarkStart w:id="46" w:name="_Toc497087673"/>
      <w:bookmarkStart w:id="47" w:name="_Toc338340186"/>
      <w:r>
        <w:rPr>
          <w:rFonts w:ascii="Times New Roman" w:hAnsi="Times New Roman" w:eastAsia="黑体"/>
          <w:kern w:val="0"/>
        </w:rPr>
        <w:t>8</w:t>
      </w:r>
      <w:r>
        <w:rPr>
          <w:rFonts w:hint="eastAsia" w:ascii="Times New Roman" w:hAnsi="Times New Roman" w:eastAsia="黑体"/>
          <w:kern w:val="0"/>
        </w:rPr>
        <w:t xml:space="preserve"> 条文说明</w:t>
      </w:r>
      <w:bookmarkEnd w:id="43"/>
      <w:bookmarkEnd w:id="44"/>
      <w:bookmarkEnd w:id="45"/>
      <w:bookmarkEnd w:id="46"/>
      <w:bookmarkEnd w:id="47"/>
    </w:p>
    <w:p>
      <w:pPr>
        <w:pStyle w:val="17"/>
        <w:snapToGrid/>
        <w:spacing w:beforeLines="0" w:afterLines="0" w:line="240" w:lineRule="auto"/>
        <w:ind w:firstLine="420"/>
        <w:rPr>
          <w:rFonts w:ascii="Times New Roman" w:hAnsi="Times New Roman" w:cstheme="minorBidi"/>
          <w:kern w:val="0"/>
          <w:szCs w:val="22"/>
        </w:rPr>
      </w:pPr>
      <w:bookmarkStart w:id="48" w:name="_Toc262576302"/>
      <w:r>
        <w:rPr>
          <w:rFonts w:hint="eastAsia" w:ascii="Times New Roman" w:hAnsi="Times New Roman" w:cstheme="minorBidi"/>
          <w:kern w:val="0"/>
          <w:szCs w:val="22"/>
        </w:rPr>
        <w:t>（1）范围</w:t>
      </w:r>
      <w:bookmarkEnd w:id="48"/>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本章规定了本文件的适用范围。综合考虑离岸距离、风电场规模等因素，目前经工频交流送出的中远海风电场海上输电系统基本采用220kV电压等级，极少数离岸距离在5km左右的近海风电场采用1</w:t>
      </w:r>
      <w:r>
        <w:rPr>
          <w:rFonts w:ascii="Times New Roman" w:hAnsi="Times New Roman" w:cstheme="minorBidi"/>
          <w:kern w:val="0"/>
          <w:szCs w:val="22"/>
        </w:rPr>
        <w:t>10</w:t>
      </w:r>
      <w:r>
        <w:rPr>
          <w:rFonts w:hint="eastAsia" w:ascii="Times New Roman" w:hAnsi="Times New Roman" w:cstheme="minorBidi"/>
          <w:kern w:val="0"/>
          <w:szCs w:val="22"/>
        </w:rPr>
        <w:t>kV、3</w:t>
      </w:r>
      <w:r>
        <w:rPr>
          <w:rFonts w:ascii="Times New Roman" w:hAnsi="Times New Roman" w:cstheme="minorBidi"/>
          <w:kern w:val="0"/>
          <w:szCs w:val="22"/>
        </w:rPr>
        <w:t>5</w:t>
      </w:r>
      <w:r>
        <w:rPr>
          <w:rFonts w:hint="eastAsia" w:ascii="Times New Roman" w:hAnsi="Times New Roman" w:cstheme="minorBidi"/>
          <w:kern w:val="0"/>
          <w:szCs w:val="22"/>
        </w:rPr>
        <w:t>kV交流海缆送出。受制于交流海底电缆的制造工艺与成本，目前尚无海上风电场采用500kV及以上电压等级交流海缆送出。因此，本文件规定适用于通过220kV工频交流海缆送出且单回海缆长度在1</w:t>
      </w:r>
      <w:r>
        <w:rPr>
          <w:rFonts w:ascii="Times New Roman" w:hAnsi="Times New Roman" w:cstheme="minorBidi"/>
          <w:kern w:val="0"/>
          <w:szCs w:val="22"/>
        </w:rPr>
        <w:t>2</w:t>
      </w:r>
      <w:r>
        <w:rPr>
          <w:rFonts w:hint="eastAsia" w:ascii="Times New Roman" w:hAnsi="Times New Roman" w:cstheme="minorBidi"/>
          <w:kern w:val="0"/>
          <w:szCs w:val="22"/>
        </w:rPr>
        <w:t>0km以内中远海风电场的无功补偿配置要求，其他电压等级可参照执行。</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（2）规范性引用文件</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本章列出了与本文件相关的标准。</w:t>
      </w:r>
      <w:r>
        <w:rPr>
          <w:rFonts w:ascii="Times New Roman" w:hAnsi="Times New Roman" w:cstheme="minorBidi"/>
          <w:kern w:val="0"/>
          <w:szCs w:val="22"/>
        </w:rPr>
        <w:t>引用的原则为：逐条列出与本标准内容有关的主要GB、DL标准</w:t>
      </w:r>
      <w:r>
        <w:rPr>
          <w:rFonts w:hint="eastAsia" w:ascii="Times New Roman" w:hAnsi="Times New Roman" w:cstheme="minorBidi"/>
          <w:kern w:val="0"/>
          <w:szCs w:val="22"/>
        </w:rPr>
        <w:t>。</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（3）术语和定义</w:t>
      </w:r>
    </w:p>
    <w:p>
      <w:pPr>
        <w:pStyle w:val="17"/>
        <w:snapToGrid/>
        <w:spacing w:beforeLines="0" w:afterLines="0" w:line="240" w:lineRule="auto"/>
        <w:ind w:firstLine="420"/>
        <w:rPr>
          <w:rFonts w:ascii="Times New Roman" w:hAnsi="Times New Roman" w:cstheme="minorBidi"/>
          <w:kern w:val="0"/>
          <w:szCs w:val="22"/>
        </w:rPr>
      </w:pPr>
      <w:r>
        <w:rPr>
          <w:rFonts w:ascii="Times New Roman" w:hAnsi="Times New Roman" w:cstheme="minorBidi"/>
          <w:kern w:val="0"/>
          <w:szCs w:val="22"/>
        </w:rPr>
        <w:t>为查阅方便和执行本</w:t>
      </w:r>
      <w:r>
        <w:rPr>
          <w:rFonts w:hint="eastAsia" w:ascii="Times New Roman" w:hAnsi="Times New Roman" w:cstheme="minorBidi"/>
          <w:kern w:val="0"/>
          <w:szCs w:val="22"/>
        </w:rPr>
        <w:t>规范</w:t>
      </w:r>
      <w:r>
        <w:rPr>
          <w:rFonts w:ascii="Times New Roman" w:hAnsi="Times New Roman" w:cstheme="minorBidi"/>
          <w:kern w:val="0"/>
          <w:szCs w:val="22"/>
        </w:rPr>
        <w:t>条文时能正确理解相关的专业名称术语，此章列出了</w:t>
      </w:r>
      <w:r>
        <w:rPr>
          <w:rFonts w:hint="eastAsia" w:ascii="Times New Roman" w:hAnsi="Times New Roman" w:cstheme="minorBidi"/>
          <w:kern w:val="0"/>
          <w:szCs w:val="22"/>
        </w:rPr>
        <w:t>中远海风电场无功补偿配置</w:t>
      </w:r>
      <w:r>
        <w:rPr>
          <w:rFonts w:ascii="Times New Roman" w:hAnsi="Times New Roman" w:cstheme="minorBidi"/>
          <w:kern w:val="0"/>
          <w:szCs w:val="22"/>
        </w:rPr>
        <w:t>的主要专业术语及其解释。为了使术语的解释尽量标准化、规范化，本章所列术语的解释尽量引自已有标准、规程或词典；对于新的术语，尽量以简洁易懂的语言方式定义。</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（4）缩略语</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规定了磁控电抗器、静止无功补偿器、静止无功发生器、晶闸管控制电抗器等缩略语。</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w:t>
      </w:r>
      <w:r>
        <w:rPr>
          <w:rFonts w:ascii="Times New Roman" w:hAnsi="Times New Roman" w:cstheme="minorBidi"/>
          <w:kern w:val="0"/>
          <w:szCs w:val="22"/>
        </w:rPr>
        <w:t>5</w:t>
      </w:r>
      <w:r>
        <w:rPr>
          <w:rFonts w:hint="eastAsia" w:ascii="Times New Roman" w:hAnsi="Times New Roman" w:cstheme="minorBidi"/>
          <w:kern w:val="0"/>
          <w:szCs w:val="22"/>
        </w:rPr>
        <w:t>）总体要求</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本章明确了海上风电场电压控制目标和无功补偿总容量配置基本要求，包括</w:t>
      </w:r>
      <w:r>
        <w:rPr>
          <w:rFonts w:hint="eastAsia" w:ascii="Times New Roman" w:hAnsi="Times New Roman" w:cstheme="minorBidi"/>
          <w:bCs/>
          <w:szCs w:val="22"/>
        </w:rPr>
        <w:t>容性无功补偿总容量</w:t>
      </w:r>
      <w:r>
        <w:rPr>
          <w:rFonts w:hint="eastAsia" w:ascii="Times New Roman" w:hAnsi="Times New Roman" w:cstheme="minorBidi"/>
          <w:kern w:val="0"/>
          <w:szCs w:val="22"/>
        </w:rPr>
        <w:t>和感性</w:t>
      </w:r>
      <w:r>
        <w:rPr>
          <w:rFonts w:hint="eastAsia" w:ascii="Times New Roman" w:hAnsi="Times New Roman" w:cstheme="minorBidi"/>
          <w:bCs/>
          <w:szCs w:val="22"/>
        </w:rPr>
        <w:t>无功补偿总容量</w:t>
      </w:r>
      <w:r>
        <w:rPr>
          <w:rFonts w:hint="eastAsia" w:ascii="Times New Roman" w:hAnsi="Times New Roman" w:cstheme="minorBidi"/>
          <w:kern w:val="0"/>
          <w:szCs w:val="22"/>
        </w:rPr>
        <w:t>。</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w:t>
      </w:r>
      <w:r>
        <w:rPr>
          <w:rFonts w:ascii="Times New Roman" w:hAnsi="Times New Roman" w:cstheme="minorBidi"/>
          <w:kern w:val="0"/>
          <w:szCs w:val="22"/>
        </w:rPr>
        <w:t>6</w:t>
      </w:r>
      <w:r>
        <w:rPr>
          <w:rFonts w:hint="eastAsia" w:ascii="Times New Roman" w:hAnsi="Times New Roman" w:cstheme="minorBidi"/>
          <w:kern w:val="0"/>
          <w:szCs w:val="22"/>
        </w:rPr>
        <w:t>）无功补偿设备技术要求</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本章明确了中远海风电场无功补偿设备种类及适用场景，并规定了无功补偿设备额定电压、控制要求、适应性、计量与信息采集等技术要求。</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w:t>
      </w:r>
      <w:r>
        <w:rPr>
          <w:rFonts w:ascii="Times New Roman" w:hAnsi="Times New Roman" w:cstheme="minorBidi"/>
          <w:kern w:val="0"/>
          <w:szCs w:val="22"/>
        </w:rPr>
        <w:t>7</w:t>
      </w:r>
      <w:r>
        <w:rPr>
          <w:rFonts w:hint="eastAsia" w:ascii="Times New Roman" w:hAnsi="Times New Roman" w:cstheme="minorBidi"/>
          <w:kern w:val="0"/>
          <w:szCs w:val="22"/>
        </w:rPr>
        <w:t>）高压并联电抗器配置要求</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本章明确了海上风电送出系统工频过电压分析要求和高压并联电抗器配置要求。</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7.1.2条规定，“计算工频过电压时，应考虑海上风电送出系统可能出现的最小运行方式，并考虑海上风电场有功出力水平、受端系统短路电流水平等影响因素”；这是由于电源容量越小，电源感抗越大，电容效应越严重；海上风电场有功出力愈大，受端系统短路电流水平愈小时，引起工频过电压值愈大。</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7.1.3条规定，“故障形式可取线路一侧发生单相接地、三相断开或仅发生无故障三相断开两种情况，应关注陆上开关站侧发生故障引起的工频过电压水平”；在同一故障形式下，陆上开关站侧发生故障所引起的工频过电压值大于海上升压站侧。</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7.2.2条规定，“高压并联电抗器补偿度不宜超过85%”；参考DL/T 5554第5.2.3条，“超高压及以上输电线路并联高压电抗器的容量不宜超过线路充电功率的85%”，高压并联电抗器容量选择应注意避免工频谐振问题。高抗补偿度一般在60%~80%，此处参考当前江苏海上风电场无功补偿配置统计数据；统计数据表明，海上输电距离小于70km时高抗补偿度通常在60%~70%范围内，海上输电距离达到70km以上时高抗补偿度通常在70%~80%，少有甚远者略超80%。</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7.2.3条规定，“单回海缆长度达30km及以上时，应配置高抗，以抑制工频过电压”；通常单回海缆长度在30km及以上时，陆上开关站侧工频过电压将超过GB/T 50064要求的限值，应配置高抗加以限制。单回海缆长度小于30km或经分析不存在工频过电压的场景，可通过技术经济比较确定是否加装高抗集中补偿海缆容性充电功率。</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7</w:t>
      </w:r>
      <w:r>
        <w:rPr>
          <w:rFonts w:ascii="Times New Roman" w:hAnsi="Times New Roman" w:cstheme="minorBidi"/>
          <w:kern w:val="0"/>
          <w:szCs w:val="22"/>
        </w:rPr>
        <w:t>.2.4</w:t>
      </w:r>
      <w:r>
        <w:rPr>
          <w:rFonts w:hint="eastAsia" w:ascii="Times New Roman" w:hAnsi="Times New Roman" w:cstheme="minorBidi"/>
          <w:kern w:val="0"/>
          <w:szCs w:val="22"/>
        </w:rPr>
        <w:t>、7</w:t>
      </w:r>
      <w:r>
        <w:rPr>
          <w:rFonts w:ascii="Times New Roman" w:hAnsi="Times New Roman" w:cstheme="minorBidi"/>
          <w:kern w:val="0"/>
          <w:szCs w:val="22"/>
        </w:rPr>
        <w:t>.2.5</w:t>
      </w:r>
      <w:r>
        <w:rPr>
          <w:rFonts w:hint="eastAsia" w:ascii="Times New Roman" w:hAnsi="Times New Roman" w:cstheme="minorBidi"/>
          <w:kern w:val="0"/>
          <w:szCs w:val="22"/>
        </w:rPr>
        <w:t>、7</w:t>
      </w:r>
      <w:r>
        <w:rPr>
          <w:rFonts w:ascii="Times New Roman" w:hAnsi="Times New Roman" w:cstheme="minorBidi"/>
          <w:kern w:val="0"/>
          <w:szCs w:val="22"/>
        </w:rPr>
        <w:t>.2.6</w:t>
      </w:r>
      <w:r>
        <w:rPr>
          <w:rFonts w:hint="eastAsia" w:ascii="Times New Roman" w:hAnsi="Times New Roman" w:cstheme="minorBidi"/>
          <w:kern w:val="0"/>
          <w:szCs w:val="22"/>
        </w:rPr>
        <w:t>条依据送出海缆长度将高抗补偿划分为三档。单回海缆长度在30km及以上60km以下时，高抗补偿点应不少于1处，宜选在陆上开关站侧单端配置高抗。单回海缆长度在60km及以上100km以下时，高抗补偿点应不少于2处，宜在陆上开关站与海上升压站侧双端对称配置高抗；当海上-陆上两端补偿不能限制海缆中间段电压、电流时，应结合海缆选型通过经济技术比较进一步优化，可考虑在陆上开关站与海上中间补偿站双端配置高抗或更换海缆型号。单回海缆长度达100km及以上120km以下时，高抗补偿点应不少于3处，宜采用海上-中间-陆上三端高抗对称补偿方案。表1给出了江苏地区中远海风电场无功补偿配置典型案例。</w:t>
      </w:r>
    </w:p>
    <w:p>
      <w:pPr>
        <w:pStyle w:val="13"/>
        <w:spacing w:before="0" w:beforeLines="0" w:after="0" w:afterLines="0"/>
        <w:ind w:left="0"/>
        <w:rPr>
          <w:rFonts w:ascii="Times New Roman"/>
        </w:rPr>
      </w:pPr>
      <w:r>
        <w:rPr>
          <w:rFonts w:hint="eastAsia" w:ascii="Times New Roman"/>
        </w:rPr>
        <w:t>江苏地区中远海风电场无功补偿配置典型案例</w:t>
      </w:r>
    </w:p>
    <w:tbl>
      <w:tblPr>
        <w:tblStyle w:val="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952"/>
        <w:gridCol w:w="1160"/>
        <w:gridCol w:w="3012"/>
        <w:gridCol w:w="38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979" w:type="pct"/>
            <w:vAlign w:val="center"/>
          </w:tcPr>
          <w:p>
            <w:pPr>
              <w:snapToGrid w:val="0"/>
              <w:spacing w:line="240" w:lineRule="auto"/>
              <w:jc w:val="center"/>
              <w:rPr>
                <w:rFonts w:ascii="Times New Roman"/>
                <w:kern w:val="0"/>
                <w:sz w:val="20"/>
              </w:rPr>
            </w:pPr>
            <w:r>
              <w:rPr>
                <w:rFonts w:hint="eastAsia" w:ascii="Times New Roman"/>
                <w:kern w:val="0"/>
                <w:sz w:val="20"/>
              </w:rPr>
              <w:t>海上风电场名称</w:t>
            </w:r>
          </w:p>
        </w:tc>
        <w:tc>
          <w:tcPr>
            <w:tcW w:w="582" w:type="pct"/>
            <w:vAlign w:val="center"/>
          </w:tcPr>
          <w:p>
            <w:pPr>
              <w:snapToGrid w:val="0"/>
              <w:spacing w:line="240" w:lineRule="auto"/>
              <w:jc w:val="center"/>
              <w:rPr>
                <w:rFonts w:ascii="Times New Roman"/>
                <w:kern w:val="0"/>
                <w:sz w:val="20"/>
              </w:rPr>
            </w:pPr>
            <w:r>
              <w:rPr>
                <w:rFonts w:hint="eastAsia" w:ascii="Times New Roman"/>
                <w:kern w:val="0"/>
                <w:sz w:val="20"/>
              </w:rPr>
              <w:t>建设规模</w:t>
            </w:r>
          </w:p>
        </w:tc>
        <w:tc>
          <w:tcPr>
            <w:tcW w:w="1511" w:type="pct"/>
            <w:vAlign w:val="center"/>
          </w:tcPr>
          <w:p>
            <w:pPr>
              <w:snapToGrid w:val="0"/>
              <w:spacing w:line="240" w:lineRule="auto"/>
              <w:jc w:val="center"/>
              <w:rPr>
                <w:rFonts w:ascii="Times New Roman"/>
                <w:kern w:val="0"/>
                <w:sz w:val="20"/>
              </w:rPr>
            </w:pPr>
            <w:r>
              <w:rPr>
                <w:rFonts w:hint="eastAsia" w:ascii="Times New Roman"/>
                <w:kern w:val="0"/>
                <w:sz w:val="20"/>
              </w:rPr>
              <w:t>海上风电送出系统</w:t>
            </w:r>
          </w:p>
        </w:tc>
        <w:tc>
          <w:tcPr>
            <w:tcW w:w="1928" w:type="pct"/>
            <w:vAlign w:val="center"/>
          </w:tcPr>
          <w:p>
            <w:pPr>
              <w:snapToGrid w:val="0"/>
              <w:spacing w:line="240" w:lineRule="auto"/>
              <w:jc w:val="center"/>
              <w:rPr>
                <w:rFonts w:ascii="Times New Roman"/>
                <w:kern w:val="0"/>
                <w:sz w:val="20"/>
              </w:rPr>
            </w:pPr>
            <w:r>
              <w:rPr>
                <w:rFonts w:hint="eastAsia" w:ascii="Times New Roman"/>
                <w:kern w:val="0"/>
                <w:sz w:val="20"/>
              </w:rPr>
              <w:t>无功补偿配置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979" w:type="pct"/>
            <w:vAlign w:val="center"/>
          </w:tcPr>
          <w:p>
            <w:pPr>
              <w:snapToGrid w:val="0"/>
              <w:spacing w:line="240" w:lineRule="auto"/>
              <w:jc w:val="center"/>
              <w:rPr>
                <w:rFonts w:ascii="Times New Roman"/>
                <w:kern w:val="0"/>
                <w:sz w:val="20"/>
              </w:rPr>
            </w:pPr>
            <w:r>
              <w:rPr>
                <w:rFonts w:hint="eastAsia" w:ascii="Times New Roman" w:cstheme="minorBidi"/>
                <w:kern w:val="0"/>
                <w:sz w:val="20"/>
                <w:szCs w:val="22"/>
              </w:rPr>
              <w:t>江苏南通如东H2#</w:t>
            </w:r>
            <w:r>
              <w:rPr>
                <w:rFonts w:hint="eastAsia" w:ascii="Times New Roman"/>
                <w:kern w:val="0"/>
                <w:sz w:val="20"/>
              </w:rPr>
              <w:t>海上风电场</w:t>
            </w:r>
          </w:p>
        </w:tc>
        <w:tc>
          <w:tcPr>
            <w:tcW w:w="582" w:type="pct"/>
            <w:vAlign w:val="center"/>
          </w:tcPr>
          <w:p>
            <w:pPr>
              <w:snapToGrid w:val="0"/>
              <w:spacing w:line="240" w:lineRule="auto"/>
              <w:jc w:val="center"/>
              <w:rPr>
                <w:rFonts w:ascii="Times New Roman"/>
                <w:kern w:val="0"/>
                <w:sz w:val="20"/>
              </w:rPr>
            </w:pPr>
            <w:r>
              <w:rPr>
                <w:rFonts w:hint="eastAsia" w:ascii="Times New Roman" w:cstheme="minorBidi"/>
                <w:kern w:val="0"/>
                <w:sz w:val="20"/>
                <w:szCs w:val="22"/>
              </w:rPr>
              <w:t>3</w:t>
            </w:r>
            <w:r>
              <w:rPr>
                <w:rFonts w:ascii="Times New Roman" w:cstheme="minorBidi"/>
                <w:kern w:val="0"/>
                <w:sz w:val="20"/>
                <w:szCs w:val="22"/>
              </w:rPr>
              <w:t>50</w:t>
            </w:r>
            <w:r>
              <w:rPr>
                <w:rFonts w:hint="eastAsia" w:ascii="Times New Roman" w:cstheme="minorBidi"/>
                <w:kern w:val="0"/>
                <w:sz w:val="20"/>
                <w:szCs w:val="22"/>
              </w:rPr>
              <w:t>MW</w:t>
            </w:r>
          </w:p>
        </w:tc>
        <w:tc>
          <w:tcPr>
            <w:tcW w:w="1511" w:type="pct"/>
            <w:vAlign w:val="center"/>
          </w:tcPr>
          <w:p>
            <w:pPr>
              <w:snapToGrid w:val="0"/>
              <w:spacing w:line="240" w:lineRule="auto"/>
              <w:rPr>
                <w:rFonts w:ascii="Times New Roman"/>
                <w:kern w:val="0"/>
                <w:sz w:val="20"/>
              </w:rPr>
            </w:pPr>
            <w:r>
              <w:rPr>
                <w:rFonts w:hint="eastAsia" w:ascii="Times New Roman" w:cstheme="minorBidi"/>
                <w:kern w:val="0"/>
                <w:sz w:val="20"/>
                <w:szCs w:val="22"/>
              </w:rPr>
              <w:t>双回</w:t>
            </w:r>
            <w:r>
              <w:rPr>
                <w:rFonts w:ascii="Times New Roman" w:cstheme="minorBidi"/>
                <w:kern w:val="0"/>
                <w:sz w:val="20"/>
                <w:szCs w:val="22"/>
              </w:rPr>
              <w:t>70.7</w:t>
            </w:r>
            <w:r>
              <w:rPr>
                <w:rFonts w:hint="eastAsia" w:ascii="Times New Roman" w:cstheme="minorBidi"/>
                <w:kern w:val="0"/>
                <w:sz w:val="20"/>
                <w:szCs w:val="22"/>
              </w:rPr>
              <w:t>km三芯5</w:t>
            </w:r>
            <w:r>
              <w:rPr>
                <w:rFonts w:ascii="Times New Roman" w:cstheme="minorBidi"/>
                <w:kern w:val="0"/>
                <w:sz w:val="20"/>
                <w:szCs w:val="22"/>
              </w:rPr>
              <w:t>00</w:t>
            </w:r>
            <w:r>
              <w:rPr>
                <w:rFonts w:hint="eastAsia" w:ascii="Times New Roman" w:cstheme="minorBidi"/>
                <w:kern w:val="0"/>
                <w:sz w:val="20"/>
                <w:szCs w:val="22"/>
              </w:rPr>
              <w:t>mm</w:t>
            </w:r>
            <w:r>
              <w:rPr>
                <w:rFonts w:ascii="Times New Roman" w:cstheme="minorBidi"/>
                <w:kern w:val="0"/>
                <w:sz w:val="20"/>
                <w:szCs w:val="22"/>
                <w:vertAlign w:val="superscript"/>
              </w:rPr>
              <w:t>2</w:t>
            </w:r>
            <w:r>
              <w:rPr>
                <w:rFonts w:hint="eastAsia" w:ascii="Times New Roman" w:cstheme="minorBidi"/>
                <w:kern w:val="0"/>
                <w:sz w:val="20"/>
                <w:szCs w:val="22"/>
              </w:rPr>
              <w:t>高压交流海底电缆+双回8km单芯</w:t>
            </w:r>
            <w:r>
              <w:rPr>
                <w:rFonts w:ascii="Times New Roman" w:cstheme="minorBidi"/>
                <w:kern w:val="0"/>
                <w:sz w:val="20"/>
                <w:szCs w:val="22"/>
              </w:rPr>
              <w:t>630</w:t>
            </w:r>
            <w:r>
              <w:rPr>
                <w:rFonts w:hint="eastAsia" w:ascii="Times New Roman" w:cstheme="minorBidi"/>
                <w:kern w:val="0"/>
                <w:sz w:val="20"/>
                <w:szCs w:val="22"/>
              </w:rPr>
              <w:t>mm</w:t>
            </w:r>
            <w:r>
              <w:rPr>
                <w:rFonts w:ascii="Times New Roman" w:cstheme="minorBidi"/>
                <w:kern w:val="0"/>
                <w:sz w:val="20"/>
                <w:szCs w:val="22"/>
                <w:vertAlign w:val="superscript"/>
              </w:rPr>
              <w:t>2</w:t>
            </w:r>
            <w:r>
              <w:rPr>
                <w:rFonts w:hint="eastAsia" w:ascii="Times New Roman" w:cstheme="minorBidi"/>
                <w:kern w:val="0"/>
                <w:sz w:val="20"/>
                <w:szCs w:val="22"/>
              </w:rPr>
              <w:t>陆上电缆。</w:t>
            </w:r>
          </w:p>
        </w:tc>
        <w:tc>
          <w:tcPr>
            <w:tcW w:w="1928" w:type="pct"/>
            <w:vAlign w:val="center"/>
          </w:tcPr>
          <w:p>
            <w:pPr>
              <w:snapToGrid w:val="0"/>
              <w:spacing w:line="240" w:lineRule="auto"/>
              <w:rPr>
                <w:rFonts w:ascii="Times New Roman"/>
                <w:kern w:val="0"/>
                <w:sz w:val="20"/>
              </w:rPr>
            </w:pPr>
            <w:r>
              <w:rPr>
                <w:rFonts w:hint="eastAsia" w:ascii="Times New Roman"/>
                <w:kern w:val="0"/>
                <w:sz w:val="20"/>
              </w:rPr>
              <w:t>海上升压站侧和陆上开关站侧各2组60Mvar高抗、陆上开关站侧2组</w:t>
            </w:r>
            <w:r>
              <w:rPr>
                <w:rFonts w:ascii="Times New Roman"/>
                <w:kern w:val="0"/>
                <w:sz w:val="20"/>
              </w:rPr>
              <w:t>±</w:t>
            </w:r>
            <w:r>
              <w:rPr>
                <w:rFonts w:hint="eastAsia" w:ascii="Times New Roman"/>
                <w:kern w:val="0"/>
                <w:sz w:val="20"/>
              </w:rPr>
              <w:t>22.5Mvar SVG和1组60Mvar 磁控电抗器（</w:t>
            </w:r>
            <w:r>
              <w:rPr>
                <w:rFonts w:ascii="Times New Roman"/>
                <w:kern w:val="0"/>
                <w:sz w:val="20"/>
              </w:rPr>
              <w:t>magnetic controlled reactor</w:t>
            </w:r>
            <w:r>
              <w:rPr>
                <w:rFonts w:hint="eastAsia" w:ascii="Times New Roman"/>
                <w:kern w:val="0"/>
                <w:sz w:val="20"/>
              </w:rPr>
              <w:t>，MCR）。</w:t>
            </w:r>
          </w:p>
          <w:p>
            <w:pPr>
              <w:snapToGrid w:val="0"/>
              <w:spacing w:line="240" w:lineRule="auto"/>
              <w:rPr>
                <w:rFonts w:ascii="Times New Roman"/>
                <w:kern w:val="0"/>
                <w:sz w:val="20"/>
              </w:rPr>
            </w:pPr>
            <w:r>
              <w:rPr>
                <w:rFonts w:hint="eastAsia" w:ascii="Times New Roman"/>
                <w:kern w:val="0"/>
                <w:sz w:val="20"/>
              </w:rPr>
              <w:t>两端补偿，高抗补偿度为7</w:t>
            </w:r>
            <w:r>
              <w:rPr>
                <w:rFonts w:ascii="Times New Roman"/>
                <w:kern w:val="0"/>
                <w:sz w:val="20"/>
              </w:rPr>
              <w:t>2</w:t>
            </w:r>
            <w:r>
              <w:rPr>
                <w:rFonts w:hint="eastAsia" w:ascii="Times New Roman"/>
                <w:kern w:val="0"/>
                <w:sz w:val="2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979" w:type="pct"/>
            <w:vAlign w:val="center"/>
          </w:tcPr>
          <w:p>
            <w:pPr>
              <w:snapToGrid w:val="0"/>
              <w:spacing w:line="240" w:lineRule="auto"/>
              <w:jc w:val="center"/>
              <w:rPr>
                <w:rFonts w:ascii="Times New Roman"/>
                <w:kern w:val="0"/>
                <w:sz w:val="20"/>
              </w:rPr>
            </w:pPr>
            <w:r>
              <w:rPr>
                <w:rFonts w:hint="eastAsia" w:ascii="Times New Roman" w:cstheme="minorBidi"/>
                <w:kern w:val="0"/>
                <w:sz w:val="20"/>
                <w:szCs w:val="22"/>
              </w:rPr>
              <w:t>江苏南通如东H</w:t>
            </w:r>
            <w:r>
              <w:rPr>
                <w:rFonts w:ascii="Times New Roman" w:cstheme="minorBidi"/>
                <w:kern w:val="0"/>
                <w:sz w:val="20"/>
                <w:szCs w:val="22"/>
              </w:rPr>
              <w:t>4</w:t>
            </w:r>
            <w:r>
              <w:rPr>
                <w:rFonts w:hint="eastAsia" w:ascii="Times New Roman" w:cstheme="minorBidi"/>
                <w:kern w:val="0"/>
                <w:sz w:val="20"/>
                <w:szCs w:val="22"/>
              </w:rPr>
              <w:t>#</w:t>
            </w:r>
            <w:r>
              <w:rPr>
                <w:rFonts w:hint="eastAsia" w:ascii="Times New Roman"/>
                <w:kern w:val="0"/>
                <w:sz w:val="20"/>
              </w:rPr>
              <w:t>海上风电场</w:t>
            </w:r>
          </w:p>
        </w:tc>
        <w:tc>
          <w:tcPr>
            <w:tcW w:w="582" w:type="pct"/>
            <w:vAlign w:val="center"/>
          </w:tcPr>
          <w:p>
            <w:pPr>
              <w:snapToGrid w:val="0"/>
              <w:spacing w:line="240" w:lineRule="auto"/>
              <w:jc w:val="center"/>
              <w:rPr>
                <w:rFonts w:ascii="Times New Roman"/>
                <w:kern w:val="0"/>
                <w:sz w:val="20"/>
              </w:rPr>
            </w:pPr>
            <w:r>
              <w:rPr>
                <w:rFonts w:hint="eastAsia" w:ascii="Times New Roman"/>
                <w:kern w:val="0"/>
                <w:sz w:val="20"/>
              </w:rPr>
              <w:t>4</w:t>
            </w:r>
            <w:r>
              <w:rPr>
                <w:rFonts w:ascii="Times New Roman"/>
                <w:kern w:val="0"/>
                <w:sz w:val="20"/>
              </w:rPr>
              <w:t>00</w:t>
            </w:r>
            <w:r>
              <w:rPr>
                <w:rFonts w:hint="eastAsia" w:ascii="Times New Roman"/>
                <w:kern w:val="0"/>
                <w:sz w:val="20"/>
              </w:rPr>
              <w:t>MW</w:t>
            </w:r>
          </w:p>
        </w:tc>
        <w:tc>
          <w:tcPr>
            <w:tcW w:w="1511" w:type="pct"/>
            <w:vAlign w:val="center"/>
          </w:tcPr>
          <w:p>
            <w:pPr>
              <w:snapToGrid w:val="0"/>
              <w:spacing w:line="240" w:lineRule="auto"/>
              <w:rPr>
                <w:rFonts w:ascii="Times New Roman"/>
                <w:kern w:val="0"/>
                <w:sz w:val="20"/>
              </w:rPr>
            </w:pPr>
            <w:r>
              <w:rPr>
                <w:rFonts w:hint="eastAsia" w:ascii="Times New Roman" w:cstheme="minorBidi"/>
                <w:kern w:val="0"/>
                <w:sz w:val="20"/>
                <w:szCs w:val="22"/>
              </w:rPr>
              <w:t>双回</w:t>
            </w:r>
            <w:r>
              <w:rPr>
                <w:rFonts w:ascii="Times New Roman" w:cstheme="minorBidi"/>
                <w:kern w:val="0"/>
                <w:sz w:val="20"/>
                <w:szCs w:val="22"/>
              </w:rPr>
              <w:t>76.5</w:t>
            </w:r>
            <w:r>
              <w:rPr>
                <w:rFonts w:hint="eastAsia" w:ascii="Times New Roman" w:cstheme="minorBidi"/>
                <w:kern w:val="0"/>
                <w:sz w:val="20"/>
                <w:szCs w:val="22"/>
              </w:rPr>
              <w:t>km三芯5</w:t>
            </w:r>
            <w:r>
              <w:rPr>
                <w:rFonts w:ascii="Times New Roman" w:cstheme="minorBidi"/>
                <w:kern w:val="0"/>
                <w:sz w:val="20"/>
                <w:szCs w:val="22"/>
              </w:rPr>
              <w:t>00</w:t>
            </w:r>
            <w:r>
              <w:rPr>
                <w:rFonts w:hint="eastAsia" w:ascii="Times New Roman" w:cstheme="minorBidi"/>
                <w:kern w:val="0"/>
                <w:sz w:val="20"/>
                <w:szCs w:val="22"/>
              </w:rPr>
              <w:t>mm</w:t>
            </w:r>
            <w:r>
              <w:rPr>
                <w:rFonts w:ascii="Times New Roman" w:cstheme="minorBidi"/>
                <w:kern w:val="0"/>
                <w:sz w:val="20"/>
                <w:szCs w:val="22"/>
                <w:vertAlign w:val="superscript"/>
              </w:rPr>
              <w:t>2</w:t>
            </w:r>
            <w:r>
              <w:rPr>
                <w:rFonts w:hint="eastAsia" w:ascii="Times New Roman" w:cstheme="minorBidi"/>
                <w:kern w:val="0"/>
                <w:sz w:val="20"/>
                <w:szCs w:val="22"/>
              </w:rPr>
              <w:t>高压交流海底电缆+双回8km单芯</w:t>
            </w:r>
            <w:r>
              <w:rPr>
                <w:rFonts w:ascii="Times New Roman" w:cstheme="minorBidi"/>
                <w:kern w:val="0"/>
                <w:sz w:val="20"/>
                <w:szCs w:val="22"/>
              </w:rPr>
              <w:t>630</w:t>
            </w:r>
            <w:r>
              <w:rPr>
                <w:rFonts w:hint="eastAsia" w:ascii="Times New Roman" w:cstheme="minorBidi"/>
                <w:kern w:val="0"/>
                <w:sz w:val="20"/>
                <w:szCs w:val="22"/>
              </w:rPr>
              <w:t>mm</w:t>
            </w:r>
            <w:r>
              <w:rPr>
                <w:rFonts w:ascii="Times New Roman" w:cstheme="minorBidi"/>
                <w:kern w:val="0"/>
                <w:sz w:val="20"/>
                <w:szCs w:val="22"/>
                <w:vertAlign w:val="superscript"/>
              </w:rPr>
              <w:t>2</w:t>
            </w:r>
            <w:r>
              <w:rPr>
                <w:rFonts w:hint="eastAsia" w:ascii="Times New Roman" w:cstheme="minorBidi"/>
                <w:kern w:val="0"/>
                <w:sz w:val="20"/>
                <w:szCs w:val="22"/>
              </w:rPr>
              <w:t>陆上电缆。</w:t>
            </w:r>
          </w:p>
        </w:tc>
        <w:tc>
          <w:tcPr>
            <w:tcW w:w="1928" w:type="pct"/>
            <w:vAlign w:val="center"/>
          </w:tcPr>
          <w:p>
            <w:pPr>
              <w:snapToGrid w:val="0"/>
              <w:spacing w:line="240" w:lineRule="auto"/>
              <w:rPr>
                <w:rFonts w:ascii="Times New Roman"/>
                <w:kern w:val="0"/>
                <w:sz w:val="20"/>
              </w:rPr>
            </w:pPr>
            <w:r>
              <w:rPr>
                <w:rFonts w:hint="eastAsia" w:ascii="Times New Roman"/>
                <w:kern w:val="0"/>
                <w:sz w:val="20"/>
              </w:rPr>
              <w:t>海上升压站侧2组6</w:t>
            </w:r>
            <w:r>
              <w:rPr>
                <w:rFonts w:ascii="Times New Roman"/>
                <w:kern w:val="0"/>
                <w:sz w:val="20"/>
              </w:rPr>
              <w:t>5</w:t>
            </w:r>
            <w:r>
              <w:rPr>
                <w:rFonts w:hint="eastAsia" w:ascii="Times New Roman"/>
                <w:kern w:val="0"/>
                <w:sz w:val="20"/>
              </w:rPr>
              <w:t>Mvar高抗、陆上开关站侧2组</w:t>
            </w:r>
            <w:r>
              <w:rPr>
                <w:rFonts w:ascii="Times New Roman"/>
                <w:kern w:val="0"/>
                <w:sz w:val="20"/>
              </w:rPr>
              <w:t>75</w:t>
            </w:r>
            <w:r>
              <w:rPr>
                <w:rFonts w:hint="eastAsia" w:ascii="Times New Roman"/>
                <w:kern w:val="0"/>
                <w:sz w:val="20"/>
              </w:rPr>
              <w:t>Mvar高抗、陆上开关站侧2组</w:t>
            </w:r>
            <w:r>
              <w:rPr>
                <w:rFonts w:ascii="Times New Roman"/>
                <w:kern w:val="0"/>
                <w:sz w:val="20"/>
              </w:rPr>
              <w:t>±</w:t>
            </w:r>
            <w:r>
              <w:rPr>
                <w:rFonts w:hint="eastAsia" w:ascii="Times New Roman"/>
                <w:kern w:val="0"/>
                <w:sz w:val="20"/>
              </w:rPr>
              <w:t>22.5Mvar SVG和1组</w:t>
            </w:r>
            <w:r>
              <w:rPr>
                <w:rFonts w:ascii="Times New Roman"/>
                <w:kern w:val="0"/>
                <w:sz w:val="20"/>
              </w:rPr>
              <w:t>45</w:t>
            </w:r>
            <w:r>
              <w:rPr>
                <w:rFonts w:hint="eastAsia" w:ascii="Times New Roman"/>
                <w:kern w:val="0"/>
                <w:sz w:val="20"/>
              </w:rPr>
              <w:t>Mvar MCR。</w:t>
            </w:r>
          </w:p>
          <w:p>
            <w:pPr>
              <w:snapToGrid w:val="0"/>
              <w:spacing w:line="240" w:lineRule="auto"/>
              <w:rPr>
                <w:rFonts w:ascii="Times New Roman"/>
                <w:kern w:val="0"/>
                <w:sz w:val="20"/>
              </w:rPr>
            </w:pPr>
            <w:r>
              <w:rPr>
                <w:rFonts w:hint="eastAsia" w:ascii="Times New Roman"/>
                <w:kern w:val="0"/>
                <w:sz w:val="20"/>
              </w:rPr>
              <w:t>两端补偿，高抗补偿度为7</w:t>
            </w:r>
            <w:r>
              <w:rPr>
                <w:rFonts w:ascii="Times New Roman"/>
                <w:kern w:val="0"/>
                <w:sz w:val="20"/>
              </w:rPr>
              <w:t>8</w:t>
            </w:r>
            <w:r>
              <w:rPr>
                <w:rFonts w:hint="eastAsia" w:ascii="Times New Roman"/>
                <w:kern w:val="0"/>
                <w:sz w:val="2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979" w:type="pct"/>
            <w:vAlign w:val="center"/>
          </w:tcPr>
          <w:p>
            <w:pPr>
              <w:snapToGrid w:val="0"/>
              <w:spacing w:line="240" w:lineRule="auto"/>
              <w:jc w:val="center"/>
              <w:rPr>
                <w:rFonts w:ascii="Times New Roman"/>
                <w:kern w:val="0"/>
                <w:sz w:val="20"/>
              </w:rPr>
            </w:pPr>
            <w:r>
              <w:rPr>
                <w:rFonts w:hint="eastAsia" w:ascii="Times New Roman"/>
                <w:kern w:val="0"/>
                <w:sz w:val="20"/>
              </w:rPr>
              <w:t>江苏南通如东H</w:t>
            </w:r>
            <w:r>
              <w:rPr>
                <w:rFonts w:ascii="Times New Roman"/>
                <w:kern w:val="0"/>
                <w:sz w:val="20"/>
              </w:rPr>
              <w:t>7</w:t>
            </w:r>
            <w:r>
              <w:rPr>
                <w:rFonts w:hint="eastAsia" w:ascii="Times New Roman"/>
                <w:kern w:val="0"/>
                <w:sz w:val="20"/>
              </w:rPr>
              <w:t>#海上风电场</w:t>
            </w:r>
          </w:p>
        </w:tc>
        <w:tc>
          <w:tcPr>
            <w:tcW w:w="582" w:type="pct"/>
            <w:vAlign w:val="center"/>
          </w:tcPr>
          <w:p>
            <w:pPr>
              <w:snapToGrid w:val="0"/>
              <w:spacing w:line="240" w:lineRule="auto"/>
              <w:jc w:val="center"/>
              <w:rPr>
                <w:rFonts w:ascii="Times New Roman"/>
                <w:kern w:val="0"/>
                <w:sz w:val="20"/>
              </w:rPr>
            </w:pPr>
            <w:r>
              <w:rPr>
                <w:rFonts w:hint="eastAsia" w:ascii="Times New Roman"/>
                <w:kern w:val="0"/>
                <w:sz w:val="20"/>
              </w:rPr>
              <w:t>4</w:t>
            </w:r>
            <w:r>
              <w:rPr>
                <w:rFonts w:ascii="Times New Roman"/>
                <w:kern w:val="0"/>
                <w:sz w:val="20"/>
              </w:rPr>
              <w:t>00</w:t>
            </w:r>
            <w:r>
              <w:rPr>
                <w:rFonts w:hint="eastAsia" w:ascii="Times New Roman"/>
                <w:kern w:val="0"/>
                <w:sz w:val="20"/>
              </w:rPr>
              <w:t>MW</w:t>
            </w:r>
          </w:p>
        </w:tc>
        <w:tc>
          <w:tcPr>
            <w:tcW w:w="1511" w:type="pct"/>
            <w:vAlign w:val="center"/>
          </w:tcPr>
          <w:p>
            <w:pPr>
              <w:snapToGrid w:val="0"/>
              <w:spacing w:line="240" w:lineRule="auto"/>
              <w:rPr>
                <w:rFonts w:ascii="Times New Roman"/>
                <w:kern w:val="0"/>
                <w:sz w:val="20"/>
              </w:rPr>
            </w:pPr>
            <w:r>
              <w:rPr>
                <w:rFonts w:hint="eastAsia" w:ascii="Times New Roman" w:cstheme="minorBidi"/>
                <w:kern w:val="0"/>
                <w:sz w:val="20"/>
                <w:szCs w:val="22"/>
              </w:rPr>
              <w:t>双回</w:t>
            </w:r>
            <w:r>
              <w:rPr>
                <w:rFonts w:ascii="Times New Roman" w:cstheme="minorBidi"/>
                <w:kern w:val="0"/>
                <w:sz w:val="20"/>
                <w:szCs w:val="22"/>
              </w:rPr>
              <w:t>88.5</w:t>
            </w:r>
            <w:r>
              <w:rPr>
                <w:rFonts w:hint="eastAsia" w:ascii="Times New Roman" w:cstheme="minorBidi"/>
                <w:kern w:val="0"/>
                <w:sz w:val="20"/>
                <w:szCs w:val="22"/>
              </w:rPr>
              <w:t>km三芯</w:t>
            </w:r>
            <w:r>
              <w:rPr>
                <w:rFonts w:ascii="Times New Roman" w:cstheme="minorBidi"/>
                <w:kern w:val="0"/>
                <w:sz w:val="20"/>
                <w:szCs w:val="22"/>
              </w:rPr>
              <w:t>630</w:t>
            </w:r>
            <w:r>
              <w:rPr>
                <w:rFonts w:hint="eastAsia" w:ascii="Times New Roman" w:cstheme="minorBidi"/>
                <w:kern w:val="0"/>
                <w:sz w:val="20"/>
                <w:szCs w:val="22"/>
              </w:rPr>
              <w:t>mm</w:t>
            </w:r>
            <w:r>
              <w:rPr>
                <w:rFonts w:ascii="Times New Roman" w:cstheme="minorBidi"/>
                <w:kern w:val="0"/>
                <w:sz w:val="20"/>
                <w:szCs w:val="22"/>
                <w:vertAlign w:val="superscript"/>
              </w:rPr>
              <w:t>2</w:t>
            </w:r>
            <w:r>
              <w:rPr>
                <w:rFonts w:hint="eastAsia" w:ascii="Times New Roman" w:cstheme="minorBidi"/>
                <w:kern w:val="0"/>
                <w:sz w:val="20"/>
                <w:szCs w:val="22"/>
              </w:rPr>
              <w:t>高压交流海底电缆+双回8km单芯</w:t>
            </w:r>
            <w:r>
              <w:rPr>
                <w:rFonts w:ascii="Times New Roman" w:cstheme="minorBidi"/>
                <w:kern w:val="0"/>
                <w:sz w:val="20"/>
                <w:szCs w:val="22"/>
              </w:rPr>
              <w:t>630</w:t>
            </w:r>
            <w:r>
              <w:rPr>
                <w:rFonts w:hint="eastAsia" w:ascii="Times New Roman" w:cstheme="minorBidi"/>
                <w:kern w:val="0"/>
                <w:sz w:val="20"/>
                <w:szCs w:val="22"/>
              </w:rPr>
              <w:t>mm</w:t>
            </w:r>
            <w:r>
              <w:rPr>
                <w:rFonts w:ascii="Times New Roman" w:cstheme="minorBidi"/>
                <w:kern w:val="0"/>
                <w:sz w:val="20"/>
                <w:szCs w:val="22"/>
                <w:vertAlign w:val="superscript"/>
              </w:rPr>
              <w:t>2</w:t>
            </w:r>
            <w:r>
              <w:rPr>
                <w:rFonts w:hint="eastAsia" w:ascii="Times New Roman" w:cstheme="minorBidi"/>
                <w:kern w:val="0"/>
                <w:sz w:val="20"/>
                <w:szCs w:val="22"/>
              </w:rPr>
              <w:t>陆上电缆。</w:t>
            </w:r>
          </w:p>
        </w:tc>
        <w:tc>
          <w:tcPr>
            <w:tcW w:w="1928" w:type="pct"/>
            <w:vAlign w:val="center"/>
          </w:tcPr>
          <w:p>
            <w:pPr>
              <w:snapToGrid w:val="0"/>
              <w:spacing w:line="240" w:lineRule="auto"/>
              <w:rPr>
                <w:rFonts w:ascii="Times New Roman"/>
                <w:kern w:val="0"/>
                <w:sz w:val="20"/>
              </w:rPr>
            </w:pPr>
            <w:r>
              <w:rPr>
                <w:rFonts w:hint="eastAsia" w:ascii="Times New Roman"/>
                <w:kern w:val="0"/>
                <w:sz w:val="20"/>
              </w:rPr>
              <w:t>海上升压站侧和陆上开关站侧各2组</w:t>
            </w:r>
            <w:r>
              <w:rPr>
                <w:rFonts w:ascii="Times New Roman"/>
                <w:kern w:val="0"/>
                <w:sz w:val="20"/>
              </w:rPr>
              <w:t>90</w:t>
            </w:r>
            <w:r>
              <w:rPr>
                <w:rFonts w:hint="eastAsia" w:ascii="Times New Roman"/>
                <w:kern w:val="0"/>
                <w:sz w:val="20"/>
              </w:rPr>
              <w:t>Mvar高抗、陆上开关站侧2组</w:t>
            </w:r>
            <w:r>
              <w:rPr>
                <w:rFonts w:ascii="Times New Roman"/>
                <w:kern w:val="0"/>
                <w:sz w:val="20"/>
              </w:rPr>
              <w:t>±40</w:t>
            </w:r>
            <w:r>
              <w:rPr>
                <w:rFonts w:hint="eastAsia" w:ascii="Times New Roman"/>
                <w:kern w:val="0"/>
                <w:sz w:val="20"/>
              </w:rPr>
              <w:t>Mvar SVG和1组</w:t>
            </w:r>
            <w:r>
              <w:rPr>
                <w:rFonts w:ascii="Times New Roman"/>
                <w:kern w:val="0"/>
                <w:sz w:val="20"/>
              </w:rPr>
              <w:t>5</w:t>
            </w:r>
            <w:r>
              <w:rPr>
                <w:rFonts w:hint="eastAsia" w:ascii="Times New Roman"/>
                <w:kern w:val="0"/>
                <w:sz w:val="20"/>
              </w:rPr>
              <w:t>0Mvar MCR。</w:t>
            </w:r>
          </w:p>
          <w:p>
            <w:pPr>
              <w:snapToGrid w:val="0"/>
              <w:spacing w:line="240" w:lineRule="auto"/>
              <w:rPr>
                <w:rFonts w:ascii="Times New Roman"/>
                <w:kern w:val="0"/>
                <w:sz w:val="20"/>
              </w:rPr>
            </w:pPr>
            <w:r>
              <w:rPr>
                <w:rFonts w:hint="eastAsia" w:ascii="Times New Roman"/>
                <w:kern w:val="0"/>
                <w:sz w:val="20"/>
              </w:rPr>
              <w:t>两端补偿，高抗补偿度为</w:t>
            </w:r>
            <w:r>
              <w:rPr>
                <w:rFonts w:ascii="Times New Roman"/>
                <w:kern w:val="0"/>
                <w:sz w:val="20"/>
              </w:rPr>
              <w:t>80.9</w:t>
            </w:r>
            <w:r>
              <w:rPr>
                <w:rFonts w:hint="eastAsia" w:ascii="Times New Roman"/>
                <w:kern w:val="0"/>
                <w:sz w:val="2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979" w:type="pct"/>
            <w:vAlign w:val="center"/>
          </w:tcPr>
          <w:p>
            <w:pPr>
              <w:snapToGrid w:val="0"/>
              <w:spacing w:line="240" w:lineRule="auto"/>
              <w:jc w:val="center"/>
              <w:rPr>
                <w:rFonts w:ascii="Times New Roman"/>
                <w:kern w:val="0"/>
                <w:sz w:val="20"/>
              </w:rPr>
            </w:pPr>
            <w:r>
              <w:rPr>
                <w:rFonts w:hint="eastAsia" w:ascii="Times New Roman"/>
                <w:kern w:val="0"/>
                <w:sz w:val="20"/>
              </w:rPr>
              <w:t>江苏盐城大丰H8-2#海上风电</w:t>
            </w:r>
          </w:p>
        </w:tc>
        <w:tc>
          <w:tcPr>
            <w:tcW w:w="582" w:type="pct"/>
            <w:vAlign w:val="center"/>
          </w:tcPr>
          <w:p>
            <w:pPr>
              <w:snapToGrid w:val="0"/>
              <w:spacing w:line="240" w:lineRule="auto"/>
              <w:jc w:val="center"/>
              <w:rPr>
                <w:rFonts w:ascii="Times New Roman"/>
                <w:kern w:val="0"/>
                <w:sz w:val="20"/>
              </w:rPr>
            </w:pPr>
            <w:r>
              <w:rPr>
                <w:rFonts w:hint="eastAsia" w:ascii="Times New Roman"/>
                <w:kern w:val="0"/>
                <w:sz w:val="20"/>
              </w:rPr>
              <w:t>3</w:t>
            </w:r>
            <w:r>
              <w:rPr>
                <w:rFonts w:ascii="Times New Roman"/>
                <w:kern w:val="0"/>
                <w:sz w:val="20"/>
              </w:rPr>
              <w:t>00</w:t>
            </w:r>
            <w:r>
              <w:rPr>
                <w:rFonts w:hint="eastAsia" w:ascii="Times New Roman"/>
                <w:kern w:val="0"/>
                <w:sz w:val="20"/>
              </w:rPr>
              <w:t>MW</w:t>
            </w:r>
          </w:p>
        </w:tc>
        <w:tc>
          <w:tcPr>
            <w:tcW w:w="1511" w:type="pct"/>
            <w:vAlign w:val="center"/>
          </w:tcPr>
          <w:p>
            <w:pPr>
              <w:snapToGrid w:val="0"/>
              <w:spacing w:line="240" w:lineRule="auto"/>
              <w:rPr>
                <w:rFonts w:ascii="Times New Roman"/>
                <w:kern w:val="0"/>
                <w:sz w:val="20"/>
              </w:rPr>
            </w:pPr>
            <w:r>
              <w:rPr>
                <w:rFonts w:hint="eastAsia" w:ascii="Times New Roman"/>
                <w:kern w:val="0"/>
                <w:sz w:val="20"/>
              </w:rPr>
              <w:t>1回8</w:t>
            </w:r>
            <w:r>
              <w:rPr>
                <w:rFonts w:ascii="Times New Roman"/>
                <w:kern w:val="0"/>
                <w:sz w:val="20"/>
              </w:rPr>
              <w:t>7</w:t>
            </w:r>
            <w:r>
              <w:rPr>
                <w:rFonts w:hint="eastAsia" w:ascii="Times New Roman"/>
                <w:kern w:val="0"/>
                <w:sz w:val="20"/>
              </w:rPr>
              <w:t>km三芯</w:t>
            </w:r>
            <w:r>
              <w:rPr>
                <w:rFonts w:ascii="Times New Roman" w:cstheme="minorBidi"/>
                <w:kern w:val="0"/>
                <w:sz w:val="20"/>
                <w:szCs w:val="22"/>
              </w:rPr>
              <w:t>1000</w:t>
            </w:r>
            <w:r>
              <w:rPr>
                <w:rFonts w:hint="eastAsia" w:ascii="Times New Roman" w:cstheme="minorBidi"/>
                <w:kern w:val="0"/>
                <w:sz w:val="20"/>
                <w:szCs w:val="22"/>
              </w:rPr>
              <w:t>mm</w:t>
            </w:r>
            <w:r>
              <w:rPr>
                <w:rFonts w:ascii="Times New Roman" w:cstheme="minorBidi"/>
                <w:kern w:val="0"/>
                <w:sz w:val="20"/>
                <w:szCs w:val="22"/>
                <w:vertAlign w:val="superscript"/>
              </w:rPr>
              <w:t>2</w:t>
            </w:r>
            <w:r>
              <w:rPr>
                <w:rFonts w:hint="eastAsia" w:ascii="Times New Roman" w:cstheme="minorBidi"/>
                <w:kern w:val="0"/>
                <w:sz w:val="20"/>
                <w:szCs w:val="22"/>
              </w:rPr>
              <w:t>高压交流海底电缆</w:t>
            </w:r>
          </w:p>
        </w:tc>
        <w:tc>
          <w:tcPr>
            <w:tcW w:w="1928" w:type="pct"/>
            <w:vAlign w:val="center"/>
          </w:tcPr>
          <w:p>
            <w:pPr>
              <w:snapToGrid w:val="0"/>
              <w:spacing w:line="240" w:lineRule="auto"/>
              <w:rPr>
                <w:rFonts w:ascii="Times New Roman"/>
                <w:kern w:val="0"/>
                <w:sz w:val="20"/>
              </w:rPr>
            </w:pPr>
            <w:r>
              <w:rPr>
                <w:rFonts w:hint="eastAsia" w:ascii="Times New Roman"/>
                <w:kern w:val="0"/>
                <w:sz w:val="20"/>
              </w:rPr>
              <w:t>海上中间补偿站侧</w:t>
            </w:r>
            <w:r>
              <w:rPr>
                <w:rFonts w:ascii="Times New Roman"/>
                <w:kern w:val="0"/>
                <w:sz w:val="20"/>
              </w:rPr>
              <w:t>1</w:t>
            </w:r>
            <w:r>
              <w:rPr>
                <w:rFonts w:hint="eastAsia" w:ascii="Times New Roman"/>
                <w:kern w:val="0"/>
                <w:sz w:val="20"/>
              </w:rPr>
              <w:t>组</w:t>
            </w:r>
            <w:r>
              <w:rPr>
                <w:rFonts w:ascii="Times New Roman"/>
                <w:kern w:val="0"/>
                <w:sz w:val="20"/>
              </w:rPr>
              <w:t>110</w:t>
            </w:r>
            <w:r>
              <w:rPr>
                <w:rFonts w:hint="eastAsia" w:ascii="Times New Roman"/>
                <w:kern w:val="0"/>
                <w:sz w:val="20"/>
              </w:rPr>
              <w:t>Mvar高抗、陆上开关站侧</w:t>
            </w:r>
            <w:r>
              <w:rPr>
                <w:rFonts w:ascii="Times New Roman"/>
                <w:kern w:val="0"/>
                <w:sz w:val="20"/>
              </w:rPr>
              <w:t>1</w:t>
            </w:r>
            <w:r>
              <w:rPr>
                <w:rFonts w:hint="eastAsia" w:ascii="Times New Roman"/>
                <w:kern w:val="0"/>
                <w:sz w:val="20"/>
              </w:rPr>
              <w:t>组</w:t>
            </w:r>
            <w:r>
              <w:rPr>
                <w:rFonts w:ascii="Times New Roman"/>
                <w:kern w:val="0"/>
                <w:sz w:val="20"/>
              </w:rPr>
              <w:t>85</w:t>
            </w:r>
            <w:r>
              <w:rPr>
                <w:rFonts w:hint="eastAsia" w:ascii="Times New Roman"/>
                <w:kern w:val="0"/>
                <w:sz w:val="20"/>
              </w:rPr>
              <w:t>Mvar高抗、陆上开关站侧</w:t>
            </w:r>
            <w:r>
              <w:rPr>
                <w:rFonts w:ascii="Times New Roman"/>
                <w:kern w:val="0"/>
                <w:sz w:val="20"/>
              </w:rPr>
              <w:t>3</w:t>
            </w:r>
            <w:r>
              <w:rPr>
                <w:rFonts w:hint="eastAsia" w:ascii="Times New Roman"/>
                <w:kern w:val="0"/>
                <w:sz w:val="20"/>
              </w:rPr>
              <w:t>组</w:t>
            </w:r>
            <w:r>
              <w:rPr>
                <w:rFonts w:ascii="Times New Roman"/>
                <w:kern w:val="0"/>
                <w:sz w:val="20"/>
              </w:rPr>
              <w:t>±60</w:t>
            </w:r>
            <w:r>
              <w:rPr>
                <w:rFonts w:hint="eastAsia" w:ascii="Times New Roman"/>
                <w:kern w:val="0"/>
                <w:sz w:val="20"/>
              </w:rPr>
              <w:t>Mvar SVG。</w:t>
            </w:r>
          </w:p>
          <w:p>
            <w:pPr>
              <w:snapToGrid w:val="0"/>
              <w:spacing w:line="240" w:lineRule="auto"/>
              <w:rPr>
                <w:rFonts w:ascii="Times New Roman"/>
                <w:kern w:val="0"/>
                <w:sz w:val="20"/>
              </w:rPr>
            </w:pPr>
            <w:r>
              <w:rPr>
                <w:rFonts w:hint="eastAsia" w:ascii="Times New Roman"/>
                <w:kern w:val="0"/>
                <w:sz w:val="20"/>
              </w:rPr>
              <w:t>两端补偿，高抗补偿度为</w:t>
            </w:r>
            <w:r>
              <w:rPr>
                <w:rFonts w:ascii="Times New Roman"/>
                <w:kern w:val="0"/>
                <w:sz w:val="20"/>
              </w:rPr>
              <w:t>80.3</w:t>
            </w:r>
            <w:r>
              <w:rPr>
                <w:rFonts w:hint="eastAsia" w:ascii="Times New Roman"/>
                <w:kern w:val="0"/>
                <w:sz w:val="20"/>
              </w:rPr>
              <w:t>%。</w:t>
            </w:r>
          </w:p>
        </w:tc>
      </w:tr>
    </w:tbl>
    <w:p>
      <w:pPr>
        <w:pStyle w:val="17"/>
        <w:snapToGrid/>
        <w:spacing w:beforeLines="0" w:afterLines="0" w:line="240" w:lineRule="auto"/>
        <w:ind w:firstLine="0" w:firstLineChars="0"/>
        <w:jc w:val="center"/>
        <w:rPr>
          <w:rFonts w:ascii="Times New Roman" w:hAnsi="Times New Roman" w:cstheme="minorBidi"/>
          <w:kern w:val="0"/>
          <w:szCs w:val="22"/>
        </w:rPr>
      </w:pP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表1中，江苏南通如东H7#海上风电场建设规模400MW，采用双回88.5km三芯630mm</w:t>
      </w:r>
      <w:r>
        <w:rPr>
          <w:rFonts w:hint="eastAsia" w:ascii="Times New Roman" w:hAnsi="Times New Roman" w:cstheme="minorBidi"/>
          <w:kern w:val="0"/>
          <w:szCs w:val="22"/>
          <w:vertAlign w:val="superscript"/>
        </w:rPr>
        <w:t>2</w:t>
      </w:r>
      <w:r>
        <w:rPr>
          <w:rFonts w:hint="eastAsia" w:ascii="Times New Roman" w:hAnsi="Times New Roman" w:cstheme="minorBidi"/>
          <w:szCs w:val="22"/>
        </w:rPr>
        <w:t>高压交流</w:t>
      </w:r>
      <w:r>
        <w:rPr>
          <w:rFonts w:hint="eastAsia" w:ascii="Times New Roman" w:hAnsi="Times New Roman" w:cstheme="minorBidi"/>
          <w:kern w:val="0"/>
          <w:szCs w:val="22"/>
        </w:rPr>
        <w:t>海缆+双回8km单芯630mm</w:t>
      </w:r>
      <w:r>
        <w:rPr>
          <w:rFonts w:hint="eastAsia" w:ascii="Times New Roman" w:hAnsi="Times New Roman" w:cstheme="minorBidi"/>
          <w:kern w:val="0"/>
          <w:szCs w:val="22"/>
          <w:vertAlign w:val="superscript"/>
        </w:rPr>
        <w:t>2</w:t>
      </w:r>
      <w:r>
        <w:rPr>
          <w:rFonts w:hint="eastAsia" w:ascii="Times New Roman" w:hAnsi="Times New Roman" w:cstheme="minorBidi"/>
          <w:kern w:val="0"/>
          <w:szCs w:val="22"/>
        </w:rPr>
        <w:t>陆缆送出，其无功补偿选用两端高抗补偿，高抗补偿度为80.9%，海陆各2组90Mvar高抗，创国内最远海上风电交流送出先例。江苏盐城大丰H8-2#海上风电场建设规模3</w:t>
      </w:r>
      <w:r>
        <w:rPr>
          <w:rFonts w:ascii="Times New Roman" w:hAnsi="Times New Roman" w:cstheme="minorBidi"/>
          <w:kern w:val="0"/>
          <w:szCs w:val="22"/>
        </w:rPr>
        <w:t>00</w:t>
      </w:r>
      <w:r>
        <w:rPr>
          <w:rFonts w:hint="eastAsia" w:ascii="Times New Roman" w:hAnsi="Times New Roman" w:cstheme="minorBidi"/>
          <w:kern w:val="0"/>
          <w:szCs w:val="22"/>
        </w:rPr>
        <w:t>MW，采用单</w:t>
      </w:r>
      <w:r>
        <w:rPr>
          <w:rFonts w:hint="eastAsia" w:ascii="Times New Roman" w:hAnsi="Times New Roman"/>
        </w:rPr>
        <w:t>回8</w:t>
      </w:r>
      <w:r>
        <w:rPr>
          <w:rFonts w:ascii="Times New Roman" w:hAnsi="Times New Roman"/>
        </w:rPr>
        <w:t>7</w:t>
      </w:r>
      <w:r>
        <w:rPr>
          <w:rFonts w:hint="eastAsia" w:ascii="Times New Roman" w:hAnsi="Times New Roman"/>
        </w:rPr>
        <w:t>km三芯</w:t>
      </w:r>
      <w:r>
        <w:rPr>
          <w:rFonts w:ascii="Times New Roman" w:hAnsi="Times New Roman" w:cstheme="minorBidi"/>
          <w:szCs w:val="22"/>
        </w:rPr>
        <w:t>1000</w:t>
      </w:r>
      <w:r>
        <w:rPr>
          <w:rFonts w:hint="eastAsia" w:ascii="Times New Roman" w:hAnsi="Times New Roman" w:cstheme="minorBidi"/>
          <w:szCs w:val="22"/>
        </w:rPr>
        <w:t>mm</w:t>
      </w:r>
      <w:r>
        <w:rPr>
          <w:rFonts w:ascii="Times New Roman" w:hAnsi="Times New Roman" w:cstheme="minorBidi"/>
          <w:szCs w:val="22"/>
          <w:vertAlign w:val="superscript"/>
        </w:rPr>
        <w:t>2</w:t>
      </w:r>
      <w:r>
        <w:rPr>
          <w:rFonts w:hint="eastAsia" w:ascii="Times New Roman" w:hAnsi="Times New Roman" w:cstheme="minorBidi"/>
          <w:szCs w:val="22"/>
        </w:rPr>
        <w:t>海缆，其</w:t>
      </w:r>
      <w:r>
        <w:rPr>
          <w:rFonts w:hint="eastAsia" w:ascii="Times New Roman" w:hAnsi="Times New Roman" w:cstheme="minorBidi"/>
          <w:kern w:val="0"/>
          <w:szCs w:val="22"/>
        </w:rPr>
        <w:t>无功补偿选用两端高抗补偿方式，高抗补偿点最终选在海上中间补偿站和陆上开关站侧，分别装设1组110Mvar高抗、1组85Mvar高抗，海上中间补偿站设置在海缆中间，成为江苏乃至全国首个为限制海缆中间段电压、电流而设置海上中间补偿站的项目。2021年12月，上述工程相继并网发电，全容量并网后至今运行良好，电压维持正常水平。</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目前大截面三芯海缆的载流能力在海缆登陆段受到制约，相较于三芯630mm</w:t>
      </w:r>
      <w:r>
        <w:rPr>
          <w:rFonts w:hint="eastAsia" w:ascii="Times New Roman" w:hAnsi="Times New Roman" w:cstheme="minorBidi"/>
          <w:kern w:val="0"/>
          <w:szCs w:val="22"/>
          <w:vertAlign w:val="superscript"/>
        </w:rPr>
        <w:t>2</w:t>
      </w:r>
      <w:r>
        <w:rPr>
          <w:rFonts w:hint="eastAsia" w:ascii="Times New Roman" w:hAnsi="Times New Roman" w:cstheme="minorBidi"/>
          <w:kern w:val="0"/>
          <w:szCs w:val="22"/>
        </w:rPr>
        <w:t>海缆，三芯1000mm</w:t>
      </w:r>
      <w:r>
        <w:rPr>
          <w:rFonts w:hint="eastAsia" w:ascii="Times New Roman" w:hAnsi="Times New Roman" w:cstheme="minorBidi"/>
          <w:kern w:val="0"/>
          <w:szCs w:val="22"/>
          <w:vertAlign w:val="superscript"/>
        </w:rPr>
        <w:t>2</w:t>
      </w:r>
      <w:r>
        <w:rPr>
          <w:rFonts w:hint="eastAsia" w:ascii="Times New Roman" w:hAnsi="Times New Roman" w:cstheme="minorBidi"/>
          <w:kern w:val="0"/>
          <w:szCs w:val="22"/>
        </w:rPr>
        <w:t>海缆载流能力提升有限，却增大了充电功率。综合考虑上述情况，</w:t>
      </w:r>
      <w:r>
        <w:rPr>
          <w:rFonts w:ascii="Times New Roman" w:hAnsi="Times New Roman" w:cstheme="minorBidi"/>
          <w:kern w:val="0"/>
          <w:szCs w:val="22"/>
        </w:rPr>
        <w:t>7.2.5</w:t>
      </w:r>
      <w:r>
        <w:rPr>
          <w:rFonts w:hint="eastAsia" w:ascii="Times New Roman" w:hAnsi="Times New Roman" w:cstheme="minorBidi"/>
          <w:kern w:val="0"/>
          <w:szCs w:val="22"/>
        </w:rPr>
        <w:t>条对</w:t>
      </w:r>
      <w:r>
        <w:rPr>
          <w:rFonts w:hint="eastAsia" w:ascii="Times New Roman" w:hAnsi="Times New Roman" w:eastAsia="方正仿宋_GBK"/>
          <w:szCs w:val="21"/>
        </w:rPr>
        <w:t>60~100km</w:t>
      </w:r>
      <w:r>
        <w:rPr>
          <w:rFonts w:hint="eastAsia" w:ascii="Times New Roman" w:hAnsi="Times New Roman" w:cstheme="minorBidi"/>
          <w:kern w:val="0"/>
          <w:szCs w:val="22"/>
        </w:rPr>
        <w:t>范围内的配置方案进行细化，补充说明“当海上-陆上两端补偿不能限制海缆中间段电压、电流时，应结合海缆选型通过经济技术比较进一步优化，可考虑在陆上开关站与海上中间补偿站双端配置高抗或更换海缆型号”。</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国际上，英国北海的Hornsea Project One（霍恩）海上风电场装机规模1.218GW，离岸距离120km，于2020年1月投产，是目前世界上已投运工频交流送出路径最长的海上风电场项目。该项目采用三回220kV交流海底电缆送出，建设3座海上升压站和1座海上中间无功补偿站，是世界首个增设海上中间无功补偿站的海上风电场。</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w:t>
      </w:r>
      <w:r>
        <w:rPr>
          <w:rFonts w:ascii="Times New Roman" w:hAnsi="Times New Roman" w:cstheme="minorBidi"/>
          <w:kern w:val="0"/>
          <w:szCs w:val="22"/>
        </w:rPr>
        <w:t>8</w:t>
      </w:r>
      <w:r>
        <w:rPr>
          <w:rFonts w:hint="eastAsia" w:ascii="Times New Roman" w:hAnsi="Times New Roman" w:cstheme="minorBidi"/>
          <w:kern w:val="0"/>
          <w:szCs w:val="22"/>
        </w:rPr>
        <w:t>）动态无功补偿设备配置要求</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本章明确了海上风电送出系统动态无功补偿设备配置要求，中远海风电场应配置动态无功补偿设备。</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w:t>
      </w:r>
      <w:r>
        <w:rPr>
          <w:rFonts w:ascii="Times New Roman" w:hAnsi="Times New Roman" w:cstheme="minorBidi"/>
          <w:kern w:val="0"/>
          <w:szCs w:val="22"/>
        </w:rPr>
        <w:t>9</w:t>
      </w:r>
      <w:r>
        <w:rPr>
          <w:rFonts w:hint="eastAsia" w:ascii="Times New Roman" w:hAnsi="Times New Roman" w:cstheme="minorBidi"/>
          <w:kern w:val="0"/>
          <w:szCs w:val="22"/>
        </w:rPr>
        <w:t>）低压并联电抗器配置要求</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本章明确了海上风电送出系统低压并联电抗器配置要求，中远海风电场可根据需求选择是否配置低压并联电抗器。</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w:t>
      </w:r>
      <w:r>
        <w:rPr>
          <w:rFonts w:ascii="Times New Roman" w:hAnsi="Times New Roman" w:cstheme="minorBidi"/>
          <w:kern w:val="0"/>
          <w:szCs w:val="22"/>
        </w:rPr>
        <w:t>10</w:t>
      </w:r>
      <w:r>
        <w:rPr>
          <w:rFonts w:hint="eastAsia" w:ascii="Times New Roman" w:hAnsi="Times New Roman" w:cstheme="minorBidi"/>
          <w:kern w:val="0"/>
          <w:szCs w:val="22"/>
        </w:rPr>
        <w:t>）无功补偿配置流程</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本章引出了中远海风电场无功补偿配置流程。</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w:t>
      </w:r>
      <w:r>
        <w:rPr>
          <w:rFonts w:ascii="Times New Roman" w:hAnsi="Times New Roman" w:cstheme="minorBidi"/>
          <w:kern w:val="0"/>
          <w:szCs w:val="22"/>
        </w:rPr>
        <w:t>11</w:t>
      </w:r>
      <w:r>
        <w:rPr>
          <w:rFonts w:hint="eastAsia" w:ascii="Times New Roman" w:hAnsi="Times New Roman" w:cstheme="minorBidi"/>
          <w:kern w:val="0"/>
          <w:szCs w:val="22"/>
        </w:rPr>
        <w:t>）附录</w:t>
      </w:r>
      <w:r>
        <w:rPr>
          <w:rFonts w:ascii="Times New Roman" w:hAnsi="Times New Roman" w:cstheme="minorBidi"/>
          <w:kern w:val="0"/>
          <w:szCs w:val="22"/>
        </w:rPr>
        <w:t>A</w:t>
      </w:r>
      <w:r>
        <w:rPr>
          <w:rFonts w:hint="eastAsia" w:ascii="Times New Roman" w:hAnsi="Times New Roman" w:cstheme="minorBidi"/>
          <w:kern w:val="0"/>
          <w:szCs w:val="22"/>
        </w:rPr>
        <w:t>为规范性附录，规范了无功补偿容量计算。附录</w:t>
      </w:r>
      <w:r>
        <w:rPr>
          <w:rFonts w:ascii="Times New Roman" w:hAnsi="Times New Roman" w:cstheme="minorBidi"/>
          <w:kern w:val="0"/>
          <w:szCs w:val="22"/>
        </w:rPr>
        <w:t>B</w:t>
      </w:r>
      <w:r>
        <w:rPr>
          <w:rFonts w:hint="eastAsia" w:ascii="Times New Roman" w:hAnsi="Times New Roman" w:cstheme="minorBidi"/>
          <w:kern w:val="0"/>
          <w:szCs w:val="22"/>
        </w:rPr>
        <w:t>为资料性附录，给出了无功补偿配置流程参考。</w:t>
      </w:r>
    </w:p>
    <w:p>
      <w:pPr>
        <w:spacing w:line="480" w:lineRule="auto"/>
        <w:outlineLvl w:val="0"/>
        <w:rPr>
          <w:rFonts w:ascii="Times New Roman" w:hAnsi="Times New Roman" w:eastAsia="黑体"/>
          <w:kern w:val="0"/>
        </w:rPr>
      </w:pPr>
      <w:bookmarkStart w:id="49" w:name="_Toc167264889"/>
      <w:r>
        <w:rPr>
          <w:rFonts w:ascii="Times New Roman" w:hAnsi="Times New Roman" w:eastAsia="黑体"/>
          <w:kern w:val="0"/>
        </w:rPr>
        <w:t xml:space="preserve">9 </w:t>
      </w:r>
      <w:r>
        <w:rPr>
          <w:rFonts w:hint="eastAsia" w:ascii="Times New Roman" w:hAnsi="Times New Roman" w:eastAsia="黑体"/>
          <w:kern w:val="0"/>
        </w:rPr>
        <w:t>推广实施建议</w:t>
      </w:r>
      <w:bookmarkEnd w:id="49"/>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文件规定了经高压工频交流输电并网的中远海风电场无功补偿配置技术导则。因此，本文件的使用主体为新能源发电企业、设计咨询单位和电网企业，具体使用对象主要为从事海上风电送出与并网方向的规划、设计、生产、调度、运维等技术与管理人员。</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本文件由江苏省电力标准化技术委员会联合起草单位对文件适用范围相关主体进行条文解读，对文件适用场景进行宣贯并推广应用。</w:t>
      </w:r>
    </w:p>
    <w:p>
      <w:pPr>
        <w:spacing w:line="480" w:lineRule="auto"/>
        <w:outlineLvl w:val="0"/>
        <w:rPr>
          <w:rFonts w:ascii="Times New Roman" w:hAnsi="Times New Roman" w:eastAsia="黑体"/>
          <w:kern w:val="0"/>
        </w:rPr>
      </w:pPr>
      <w:bookmarkStart w:id="50" w:name="_Toc167264890"/>
      <w:r>
        <w:rPr>
          <w:rFonts w:ascii="Times New Roman" w:hAnsi="Times New Roman" w:eastAsia="黑体"/>
          <w:kern w:val="0"/>
        </w:rPr>
        <w:t xml:space="preserve">10 </w:t>
      </w:r>
      <w:r>
        <w:rPr>
          <w:rFonts w:hint="eastAsia" w:ascii="Times New Roman" w:hAnsi="Times New Roman" w:eastAsia="黑体"/>
          <w:kern w:val="0"/>
        </w:rPr>
        <w:t>起草单位和起草人员信息及分工</w:t>
      </w:r>
      <w:bookmarkEnd w:id="50"/>
    </w:p>
    <w:p>
      <w:pPr>
        <w:pStyle w:val="17"/>
        <w:spacing w:before="78" w:after="78"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文件起草单位：国网江苏省电力有限公司经济技术研究院、国网江苏电力设计咨询有限公司、江苏云杉清洁能源投资控股有限公司、国网江苏省电力有限公司、国家电投集团江苏海上风力发电有限公司、国网江苏省电力有限公司盐城供电分公司、东南大学。</w:t>
      </w:r>
    </w:p>
    <w:p>
      <w:pPr>
        <w:pStyle w:val="17"/>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文件主要起草人：吴倩、胡亚山、黄峥、南开辉、薄鑫、王洋、郑宇超、李剑锋、孙勇、苏宪彬、邢振飞、阮梦、王琳媛、刘浩、缪芸、崔厚坤、刘柏良、王丙勇、戴强晟、曹毅、邹盛、韩笑、宋杉、陈皓菲、邱威、邵林、周洪益、高丙团、杨志超、刘晓波。</w:t>
      </w:r>
    </w:p>
    <w:p>
      <w:pPr>
        <w:pStyle w:val="13"/>
        <w:spacing w:before="0" w:beforeLines="0" w:after="0" w:afterLines="0"/>
        <w:ind w:left="0"/>
        <w:rPr>
          <w:rFonts w:ascii="Times New Roman"/>
        </w:rPr>
      </w:pPr>
      <w:r>
        <w:rPr>
          <w:rFonts w:hint="eastAsia" w:ascii="Times New Roman"/>
        </w:rPr>
        <w:t>起草单位和起草人员信息及分工</w:t>
      </w:r>
    </w:p>
    <w:tbl>
      <w:tblPr>
        <w:tblStyle w:val="7"/>
        <w:tblW w:w="4998"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777"/>
        <w:gridCol w:w="4203"/>
        <w:gridCol w:w="1688"/>
        <w:gridCol w:w="329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shd w:val="clear" w:color="auto" w:fill="FFFFFF"/>
            <w:vAlign w:val="center"/>
          </w:tcPr>
          <w:p>
            <w:pPr>
              <w:snapToGrid w:val="0"/>
              <w:spacing w:line="240" w:lineRule="auto"/>
              <w:jc w:val="center"/>
              <w:rPr>
                <w:rFonts w:ascii="Times New Roman" w:hAnsi="Times New Roman" w:cs="黑体"/>
                <w:color w:val="000000"/>
                <w:kern w:val="0"/>
                <w:sz w:val="18"/>
                <w:szCs w:val="18"/>
              </w:rPr>
            </w:pPr>
            <w:r>
              <w:rPr>
                <w:rFonts w:hint="eastAsia" w:ascii="Times New Roman" w:hAnsi="Times New Roman" w:cs="黑体"/>
                <w:color w:val="000000"/>
                <w:kern w:val="0"/>
                <w:sz w:val="18"/>
                <w:szCs w:val="18"/>
              </w:rPr>
              <w:t>序号</w:t>
            </w:r>
          </w:p>
        </w:tc>
        <w:tc>
          <w:tcPr>
            <w:tcW w:w="2109" w:type="pct"/>
            <w:shd w:val="clear" w:color="auto" w:fill="FFFFFF"/>
            <w:vAlign w:val="center"/>
          </w:tcPr>
          <w:p>
            <w:pPr>
              <w:snapToGrid w:val="0"/>
              <w:spacing w:line="240" w:lineRule="auto"/>
              <w:jc w:val="center"/>
              <w:rPr>
                <w:rFonts w:ascii="Times New Roman" w:hAnsi="Times New Roman" w:cs="黑体"/>
                <w:color w:val="000000"/>
                <w:kern w:val="0"/>
                <w:sz w:val="18"/>
                <w:szCs w:val="18"/>
              </w:rPr>
            </w:pPr>
            <w:r>
              <w:rPr>
                <w:rFonts w:hint="eastAsia" w:ascii="Times New Roman" w:hAnsi="Times New Roman" w:cs="黑体"/>
                <w:color w:val="000000"/>
                <w:kern w:val="0"/>
                <w:sz w:val="18"/>
                <w:szCs w:val="18"/>
              </w:rPr>
              <w:t>起草单位</w:t>
            </w:r>
          </w:p>
        </w:tc>
        <w:tc>
          <w:tcPr>
            <w:tcW w:w="847" w:type="pct"/>
            <w:shd w:val="clear" w:color="auto" w:fill="FFFFFF"/>
            <w:vAlign w:val="center"/>
          </w:tcPr>
          <w:p>
            <w:pPr>
              <w:snapToGrid w:val="0"/>
              <w:spacing w:line="240" w:lineRule="auto"/>
              <w:jc w:val="center"/>
              <w:rPr>
                <w:rFonts w:ascii="Times New Roman" w:hAnsi="Times New Roman" w:cs="黑体"/>
                <w:color w:val="000000"/>
                <w:kern w:val="0"/>
                <w:sz w:val="18"/>
                <w:szCs w:val="18"/>
              </w:rPr>
            </w:pPr>
            <w:r>
              <w:rPr>
                <w:rFonts w:hint="eastAsia" w:ascii="Times New Roman" w:hAnsi="Times New Roman" w:cs="黑体"/>
                <w:color w:val="000000"/>
                <w:kern w:val="0"/>
                <w:sz w:val="18"/>
                <w:szCs w:val="18"/>
              </w:rPr>
              <w:t>人员</w:t>
            </w:r>
          </w:p>
        </w:tc>
        <w:tc>
          <w:tcPr>
            <w:tcW w:w="1654" w:type="pct"/>
            <w:shd w:val="clear" w:color="auto" w:fill="FFFFFF"/>
            <w:vAlign w:val="center"/>
          </w:tcPr>
          <w:p>
            <w:pPr>
              <w:snapToGrid w:val="0"/>
              <w:spacing w:line="240" w:lineRule="auto"/>
              <w:jc w:val="center"/>
              <w:rPr>
                <w:rFonts w:ascii="Times New Roman" w:hAnsi="Times New Roman" w:cs="黑体"/>
                <w:color w:val="000000"/>
                <w:kern w:val="0"/>
                <w:sz w:val="18"/>
                <w:szCs w:val="18"/>
              </w:rPr>
            </w:pPr>
            <w:r>
              <w:rPr>
                <w:rFonts w:hint="eastAsia" w:ascii="Times New Roman" w:hAnsi="Times New Roman" w:cs="黑体"/>
                <w:color w:val="000000"/>
                <w:kern w:val="0"/>
                <w:sz w:val="18"/>
                <w:szCs w:val="18"/>
              </w:rPr>
              <w:t>分工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restar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1</w:t>
            </w:r>
          </w:p>
        </w:tc>
        <w:tc>
          <w:tcPr>
            <w:tcW w:w="2109" w:type="pct"/>
            <w:vMerge w:val="restar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国网江苏省电力有限公司经济技术研究院</w:t>
            </w: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吴倩</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总体负责，组织协调，编写第3章、第5-</w:t>
            </w:r>
            <w:r>
              <w:rPr>
                <w:rFonts w:ascii="Times New Roman" w:hAnsi="Times New Roman" w:cs="宋体"/>
                <w:color w:val="000000"/>
                <w:kern w:val="0"/>
                <w:sz w:val="18"/>
                <w:szCs w:val="18"/>
              </w:rPr>
              <w:t>10</w:t>
            </w:r>
            <w:r>
              <w:rPr>
                <w:rFonts w:hint="eastAsia" w:ascii="Times New Roman" w:hAnsi="Times New Roman" w:cs="宋体"/>
                <w:color w:val="000000"/>
                <w:kern w:val="0"/>
                <w:sz w:val="18"/>
                <w:szCs w:val="18"/>
              </w:rPr>
              <w:t>章、附录A和B，校核全文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胡亚山</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标准框架指导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王洋</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编写第</w:t>
            </w:r>
            <w:r>
              <w:rPr>
                <w:rFonts w:ascii="Times New Roman" w:hAnsi="Times New Roman" w:cs="宋体"/>
                <w:color w:val="000000"/>
                <w:kern w:val="0"/>
                <w:sz w:val="18"/>
                <w:szCs w:val="18"/>
              </w:rPr>
              <w:t>1</w:t>
            </w:r>
            <w:r>
              <w:rPr>
                <w:rFonts w:hint="eastAsia" w:ascii="Times New Roman" w:hAnsi="Times New Roman" w:cs="宋体"/>
                <w:color w:val="000000"/>
                <w:kern w:val="0"/>
                <w:sz w:val="18"/>
                <w:szCs w:val="18"/>
              </w:rPr>
              <w:t>-</w:t>
            </w:r>
            <w:r>
              <w:rPr>
                <w:rFonts w:ascii="Times New Roman" w:hAnsi="Times New Roman" w:cs="宋体"/>
                <w:color w:val="000000"/>
                <w:kern w:val="0"/>
                <w:sz w:val="18"/>
                <w:szCs w:val="18"/>
              </w:rPr>
              <w:t>2</w:t>
            </w:r>
            <w:r>
              <w:rPr>
                <w:rFonts w:hint="eastAsia" w:ascii="Times New Roman" w:hAnsi="Times New Roman" w:cs="宋体"/>
                <w:color w:val="000000"/>
                <w:kern w:val="0"/>
                <w:sz w:val="18"/>
                <w:szCs w:val="18"/>
              </w:rPr>
              <w:t>章，校核全文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薄鑫</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第1章和第</w:t>
            </w:r>
            <w:r>
              <w:rPr>
                <w:rFonts w:ascii="Times New Roman" w:hAnsi="Times New Roman" w:cs="宋体"/>
                <w:color w:val="000000"/>
                <w:kern w:val="0"/>
                <w:sz w:val="18"/>
                <w:szCs w:val="18"/>
              </w:rPr>
              <w:t>5</w:t>
            </w:r>
            <w:r>
              <w:rPr>
                <w:rFonts w:hint="eastAsia" w:ascii="Times New Roman" w:hAnsi="Times New Roman" w:cs="宋体"/>
                <w:color w:val="000000"/>
                <w:kern w:val="0"/>
                <w:sz w:val="18"/>
                <w:szCs w:val="18"/>
              </w:rPr>
              <w:t>章技术指导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阮梦</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辅助编写第2章，校核全文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王琳媛</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辅助编写第3章，第6章技术指导，校核全文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缪芸</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标准编写规范性指导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邹盛</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标准编写规范性指导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韩笑</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附录A技术指导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宋杉</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w:t>
            </w:r>
            <w:r>
              <w:rPr>
                <w:rFonts w:ascii="Times New Roman" w:hAnsi="Times New Roman" w:cs="宋体"/>
                <w:color w:val="000000"/>
                <w:kern w:val="0"/>
                <w:sz w:val="18"/>
                <w:szCs w:val="18"/>
              </w:rPr>
              <w:t>7</w:t>
            </w:r>
            <w:r>
              <w:rPr>
                <w:rFonts w:hint="eastAsia" w:ascii="Times New Roman" w:hAnsi="Times New Roman" w:cs="宋体"/>
                <w:color w:val="000000"/>
                <w:kern w:val="0"/>
                <w:sz w:val="18"/>
                <w:szCs w:val="18"/>
              </w:rPr>
              <w:t>章技术指导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陈皓菲</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w:t>
            </w:r>
            <w:r>
              <w:rPr>
                <w:rFonts w:ascii="Times New Roman" w:hAnsi="Times New Roman" w:cs="宋体"/>
                <w:color w:val="000000"/>
                <w:kern w:val="0"/>
                <w:sz w:val="18"/>
                <w:szCs w:val="18"/>
              </w:rPr>
              <w:t>9</w:t>
            </w:r>
            <w:r>
              <w:rPr>
                <w:rFonts w:hint="eastAsia" w:ascii="Times New Roman" w:hAnsi="Times New Roman" w:cs="宋体"/>
                <w:color w:val="000000"/>
                <w:kern w:val="0"/>
                <w:sz w:val="18"/>
                <w:szCs w:val="18"/>
              </w:rPr>
              <w:t>章技术指导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restar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2</w:t>
            </w:r>
          </w:p>
        </w:tc>
        <w:tc>
          <w:tcPr>
            <w:tcW w:w="2109" w:type="pct"/>
            <w:vMerge w:val="restar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国网江苏电力设计咨询有限公司</w:t>
            </w: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黄峥</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标准框架指导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南开辉</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标准框架指导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郑宇超</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编写第</w:t>
            </w:r>
            <w:r>
              <w:rPr>
                <w:rFonts w:ascii="Times New Roman" w:hAnsi="Times New Roman" w:cs="宋体"/>
                <w:color w:val="000000"/>
                <w:kern w:val="0"/>
                <w:sz w:val="18"/>
                <w:szCs w:val="18"/>
              </w:rPr>
              <w:t>4</w:t>
            </w:r>
            <w:r>
              <w:rPr>
                <w:rFonts w:hint="eastAsia" w:ascii="Times New Roman" w:hAnsi="Times New Roman" w:cs="宋体"/>
                <w:color w:val="000000"/>
                <w:kern w:val="0"/>
                <w:sz w:val="18"/>
                <w:szCs w:val="18"/>
              </w:rPr>
              <w:t>章，辅助编写第1</w:t>
            </w:r>
            <w:r>
              <w:rPr>
                <w:rFonts w:ascii="Times New Roman" w:hAnsi="Times New Roman" w:cs="宋体"/>
                <w:color w:val="000000"/>
                <w:kern w:val="0"/>
                <w:sz w:val="18"/>
                <w:szCs w:val="18"/>
              </w:rPr>
              <w:t>0</w:t>
            </w:r>
            <w:r>
              <w:rPr>
                <w:rFonts w:hint="eastAsia" w:ascii="Times New Roman" w:hAnsi="Times New Roman" w:cs="宋体"/>
                <w:color w:val="000000"/>
                <w:kern w:val="0"/>
                <w:sz w:val="18"/>
                <w:szCs w:val="18"/>
              </w:rPr>
              <w:t>章和附录B，校核全文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刘浩</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标准编写规范性指导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崔厚坤</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标准编写规范性指导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92" w:hRule="atLeast"/>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邱威</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第2章技术指导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92" w:hRule="atLeast"/>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刘晓波</w:t>
            </w:r>
          </w:p>
        </w:tc>
        <w:tc>
          <w:tcPr>
            <w:tcW w:w="1654" w:type="pct"/>
            <w:shd w:val="clear" w:color="auto" w:fill="FFFFFF"/>
            <w:vAlign w:val="center"/>
          </w:tcPr>
          <w:p>
            <w:pPr>
              <w:snapToGrid w:val="0"/>
              <w:spacing w:line="240" w:lineRule="auto"/>
              <w:jc w:val="center"/>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标准编写规范性指导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restar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3</w:t>
            </w:r>
          </w:p>
        </w:tc>
        <w:tc>
          <w:tcPr>
            <w:tcW w:w="2109" w:type="pct"/>
            <w:vMerge w:val="restar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江苏云杉清洁能源投资控股有限公司</w:t>
            </w: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李剑锋</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标准框架指导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孙勇</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辅助编写第7章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苏宪彬</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辅助编写附录A</w:t>
            </w:r>
            <w:r>
              <w:rPr>
                <w:rFonts w:ascii="Times New Roman" w:hAnsi="Times New Roman" w:cs="宋体"/>
                <w:color w:val="000000"/>
                <w:kern w:val="0"/>
                <w:sz w:val="18"/>
                <w:szCs w:val="18"/>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邢振飞</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标准编写规范性指导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restar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4</w:t>
            </w:r>
          </w:p>
        </w:tc>
        <w:tc>
          <w:tcPr>
            <w:tcW w:w="2109" w:type="pct"/>
            <w:vMerge w:val="restar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国网江苏省电力有限公司</w:t>
            </w: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刘柏良</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第7章技术指导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戴强晟</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第8章技术指导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01" w:hRule="atLeast"/>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曹毅</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附录B技术指导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5</w:t>
            </w:r>
          </w:p>
        </w:tc>
        <w:tc>
          <w:tcPr>
            <w:tcW w:w="2109"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国家电投集团江苏海上风力发电有限公司</w:t>
            </w: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王丙勇</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第7章技术指导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restar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6</w:t>
            </w:r>
          </w:p>
        </w:tc>
        <w:tc>
          <w:tcPr>
            <w:tcW w:w="2109" w:type="pct"/>
            <w:vMerge w:val="restart"/>
            <w:shd w:val="clear" w:color="auto" w:fill="FFFFFF"/>
            <w:vAlign w:val="center"/>
          </w:tcPr>
          <w:p>
            <w:pPr>
              <w:snapToGrid w:val="0"/>
              <w:spacing w:line="240" w:lineRule="auto"/>
              <w:jc w:val="center"/>
              <w:rPr>
                <w:rFonts w:ascii="Times New Roman" w:hAnsi="Times New Roman" w:cs="宋体"/>
                <w:color w:val="000000"/>
                <w:kern w:val="0"/>
                <w:sz w:val="18"/>
                <w:szCs w:val="18"/>
                <w:highlight w:val="red"/>
              </w:rPr>
            </w:pPr>
            <w:r>
              <w:rPr>
                <w:rFonts w:hint="eastAsia" w:ascii="Times New Roman" w:hAnsi="Times New Roman" w:cs="宋体"/>
                <w:color w:val="000000"/>
                <w:kern w:val="0"/>
                <w:sz w:val="18"/>
                <w:szCs w:val="18"/>
              </w:rPr>
              <w:t>国网江苏省电力有限公司盐城供电分公司</w:t>
            </w: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邵林</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w:t>
            </w:r>
            <w:r>
              <w:rPr>
                <w:rFonts w:ascii="Times New Roman" w:hAnsi="Times New Roman" w:cs="宋体"/>
                <w:color w:val="000000"/>
                <w:kern w:val="0"/>
                <w:sz w:val="18"/>
                <w:szCs w:val="18"/>
              </w:rPr>
              <w:t>5</w:t>
            </w:r>
            <w:r>
              <w:rPr>
                <w:rFonts w:hint="eastAsia" w:ascii="Times New Roman" w:hAnsi="Times New Roman" w:cs="宋体"/>
                <w:color w:val="000000"/>
                <w:kern w:val="0"/>
                <w:sz w:val="18"/>
                <w:szCs w:val="18"/>
              </w:rPr>
              <w:t>章技术指导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9" w:hRule="atLeast"/>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周洪益</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w:t>
            </w:r>
            <w:r>
              <w:rPr>
                <w:rFonts w:ascii="Times New Roman" w:hAnsi="Times New Roman" w:cs="宋体"/>
                <w:color w:val="000000"/>
                <w:kern w:val="0"/>
                <w:sz w:val="18"/>
                <w:szCs w:val="18"/>
              </w:rPr>
              <w:t>8</w:t>
            </w:r>
            <w:r>
              <w:rPr>
                <w:rFonts w:hint="eastAsia" w:ascii="Times New Roman" w:hAnsi="Times New Roman" w:cs="宋体"/>
                <w:color w:val="000000"/>
                <w:kern w:val="0"/>
                <w:sz w:val="18"/>
                <w:szCs w:val="18"/>
              </w:rPr>
              <w:t>章技术指导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390" w:type="pct"/>
            <w:vMerge w:val="restar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7</w:t>
            </w:r>
          </w:p>
        </w:tc>
        <w:tc>
          <w:tcPr>
            <w:tcW w:w="2109" w:type="pct"/>
            <w:vMerge w:val="restar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东南大学</w:t>
            </w: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2"/>
                <w:sz w:val="18"/>
                <w:szCs w:val="18"/>
                <w:lang w:bidi="ar"/>
              </w:rPr>
              <w:t>高丙团</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第7章技术指导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73" w:hRule="atLeast"/>
          <w:jc w:val="center"/>
        </w:trPr>
        <w:tc>
          <w:tcPr>
            <w:tcW w:w="390"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2109" w:type="pct"/>
            <w:vMerge w:val="continue"/>
            <w:shd w:val="clear" w:color="auto" w:fill="FFFFFF"/>
            <w:vAlign w:val="center"/>
          </w:tcPr>
          <w:p>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2"/>
                <w:sz w:val="18"/>
                <w:szCs w:val="18"/>
                <w:lang w:bidi="ar"/>
              </w:rPr>
              <w:t>杨志超</w:t>
            </w:r>
          </w:p>
        </w:tc>
        <w:tc>
          <w:tcPr>
            <w:tcW w:w="1654" w:type="pct"/>
            <w:shd w:val="clear" w:color="auto" w:fill="FFFFFF"/>
            <w:vAlign w:val="center"/>
          </w:tcPr>
          <w:p>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w:t>
            </w:r>
            <w:r>
              <w:rPr>
                <w:rFonts w:ascii="Times New Roman" w:hAnsi="Times New Roman" w:cs="宋体"/>
                <w:color w:val="000000"/>
                <w:kern w:val="0"/>
                <w:sz w:val="18"/>
                <w:szCs w:val="18"/>
              </w:rPr>
              <w:t>6</w:t>
            </w:r>
            <w:r>
              <w:rPr>
                <w:rFonts w:hint="eastAsia" w:ascii="Times New Roman" w:hAnsi="Times New Roman" w:cs="宋体"/>
                <w:color w:val="000000"/>
                <w:kern w:val="0"/>
                <w:sz w:val="18"/>
                <w:szCs w:val="18"/>
              </w:rPr>
              <w:t>章技术指导</w:t>
            </w:r>
          </w:p>
        </w:tc>
      </w:tr>
    </w:tbl>
    <w:p>
      <w:pPr>
        <w:pStyle w:val="12"/>
        <w:ind w:firstLine="0" w:firstLineChars="0"/>
        <w:jc w:val="center"/>
      </w:pPr>
    </w:p>
    <w:p>
      <w:pPr>
        <w:pStyle w:val="12"/>
        <w:ind w:firstLine="0" w:firstLineChars="0"/>
        <w:jc w:val="center"/>
      </w:pPr>
    </w:p>
    <w:p>
      <w:pPr>
        <w:jc w:val="center"/>
      </w:pPr>
      <w:bookmarkStart w:id="51" w:name="BookMark8"/>
      <w:r>
        <w:rPr>
          <w:rFonts w:hint="eastAsia"/>
        </w:rPr>
        <w:drawing>
          <wp:inline distT="0" distB="0" distL="0" distR="0">
            <wp:extent cx="1485900" cy="317500"/>
            <wp:effectExtent l="0" t="0" r="0" b="6350"/>
            <wp:docPr id="669009868" name="图片 669009868"/>
            <wp:cNvGraphicFramePr/>
            <a:graphic xmlns:a="http://schemas.openxmlformats.org/drawingml/2006/main">
              <a:graphicData uri="http://schemas.openxmlformats.org/drawingml/2006/picture">
                <pic:pic xmlns:pic="http://schemas.openxmlformats.org/drawingml/2006/picture">
                  <pic:nvPicPr>
                    <pic:cNvPr id="669009868" name="图片 669009868"/>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1"/>
    </w:p>
    <w:sectPr>
      <w:headerReference r:id="rId12" w:type="first"/>
      <w:headerReference r:id="rId10" w:type="default"/>
      <w:footerReference r:id="rId13" w:type="default"/>
      <w:headerReference r:id="rId11" w:type="even"/>
      <w:pgSz w:w="11906" w:h="16838"/>
      <w:pgMar w:top="1440" w:right="1077" w:bottom="1440" w:left="107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sz w:val="21"/>
        <w:szCs w:val="22"/>
      </w:rPr>
    </w:pPr>
    <w:sdt>
      <w:sdtPr>
        <w:id w:val="-416942933"/>
      </w:sdtPr>
      <w:sdtContent>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I</w:t>
        </w:r>
        <w:r>
          <w:rPr>
            <w:rFonts w:ascii="Times New Roman" w:hAnsi="Times New Roman"/>
          </w:rPr>
          <w:fldChar w:fldCharType="end"/>
        </w:r>
      </w:sdtContent>
    </w:sdt>
  </w:p>
  <w:p>
    <w:pPr>
      <w:spacing w:line="200" w:lineRule="exact"/>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w:t>
    </w:r>
    <w:r>
      <w:rPr>
        <w:rFonts w:ascii="Times New Roman" w:hAnsi="Times New Roman"/>
        <w:lang w:val="zh-CN"/>
      </w:rPr>
      <w:fldChar w:fldCharType="end"/>
    </w:r>
  </w:p>
  <w:p>
    <w:pPr>
      <w:spacing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0" w:lineRule="atLeast"/>
      <w:rPr>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10285655" o:spid="_x0000_s2050" o:spt="136" type="#_x0000_t136" style="position:absolute;left:0pt;height:99.75pt;width:598.5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JSEE团体标准" style="font-family:楷体_GB2312;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10285654" o:spid="_x0000_s2049" o:spt="136" type="#_x0000_t136" style="position:absolute;left:0pt;height:99.75pt;width:598.5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JSEE团体标准" style="font-family:楷体_GB2312;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10285658" o:spid="_x0000_s2052" o:spt="136" type="#_x0000_t136" style="position:absolute;left:0pt;height:99.75pt;width:598.55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JSEE团体标准" style="font-family:楷体_GB2312;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10285657" o:spid="_x0000_s2051" o:spt="136" type="#_x0000_t136" style="position:absolute;left:0pt;height:99.75pt;width:598.5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JSEE团体标准" style="font-family:楷体_GB2312;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bCs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bCs/>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567" w:firstLine="0"/>
      </w:pPr>
      <w:rPr>
        <w:rFonts w:hint="eastAsia" w:ascii="黑体" w:hAnsi="Times New Roman" w:eastAsia="黑体"/>
        <w:b/>
        <w:bCs w:val="0"/>
        <w:i w:val="0"/>
        <w:sz w:val="21"/>
      </w:rPr>
    </w:lvl>
    <w:lvl w:ilvl="3" w:tentative="0">
      <w:start w:val="1"/>
      <w:numFmt w:val="decimal"/>
      <w:suff w:val="nothing"/>
      <w:lvlText w:val="%1.%2.%3.%4　"/>
      <w:lvlJc w:val="left"/>
      <w:pPr>
        <w:ind w:left="2127" w:firstLine="0"/>
      </w:pPr>
      <w:rPr>
        <w:rFonts w:hint="eastAsia" w:ascii="黑体" w:hAnsi="Times New Roman" w:eastAsia="黑体"/>
        <w:b/>
        <w:bCs/>
        <w:i w:val="0"/>
        <w:sz w:val="21"/>
      </w:rPr>
    </w:lvl>
    <w:lvl w:ilvl="4" w:tentative="0">
      <w:start w:val="1"/>
      <w:numFmt w:val="decimal"/>
      <w:pStyle w:val="18"/>
      <w:suff w:val="nothing"/>
      <w:lvlText w:val="%1.%2.%3.%4.%5　"/>
      <w:lvlJc w:val="left"/>
      <w:pPr>
        <w:ind w:left="0" w:firstLine="0"/>
      </w:pPr>
      <w:rPr>
        <w:rFonts w:hint="eastAsia" w:ascii="黑体" w:hAnsi="Times New Roman" w:eastAsia="黑体"/>
        <w:b w:val="0"/>
        <w:i w:val="0"/>
        <w:sz w:val="21"/>
      </w:rPr>
    </w:lvl>
    <w:lvl w:ilvl="5" w:tentative="0">
      <w:start w:val="1"/>
      <w:numFmt w:val="decimal"/>
      <w:pStyle w:val="1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46260FA"/>
    <w:multiLevelType w:val="multilevel"/>
    <w:tmpl w:val="646260FA"/>
    <w:lvl w:ilvl="0" w:tentative="0">
      <w:start w:val="1"/>
      <w:numFmt w:val="decimal"/>
      <w:pStyle w:val="13"/>
      <w:suff w:val="nothing"/>
      <w:lvlText w:val="表%1　"/>
      <w:lvlJc w:val="left"/>
      <w:pPr>
        <w:ind w:left="1843"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jYWI2N2YyNDFlNDA1ZThhMmUxOGFmN2I2MmRlZGYifQ=="/>
  </w:docVars>
  <w:rsids>
    <w:rsidRoot w:val="00FB4936"/>
    <w:rsid w:val="00002C64"/>
    <w:rsid w:val="000035B2"/>
    <w:rsid w:val="00004664"/>
    <w:rsid w:val="00032862"/>
    <w:rsid w:val="00042628"/>
    <w:rsid w:val="00064ECE"/>
    <w:rsid w:val="00065093"/>
    <w:rsid w:val="00065197"/>
    <w:rsid w:val="000706F4"/>
    <w:rsid w:val="00090E03"/>
    <w:rsid w:val="00092DFF"/>
    <w:rsid w:val="000A194D"/>
    <w:rsid w:val="000A3969"/>
    <w:rsid w:val="000A6820"/>
    <w:rsid w:val="000B3754"/>
    <w:rsid w:val="000C1BF9"/>
    <w:rsid w:val="000C38DD"/>
    <w:rsid w:val="000E0390"/>
    <w:rsid w:val="000E1C53"/>
    <w:rsid w:val="00114606"/>
    <w:rsid w:val="00126616"/>
    <w:rsid w:val="00127164"/>
    <w:rsid w:val="00154721"/>
    <w:rsid w:val="00157C1F"/>
    <w:rsid w:val="00165782"/>
    <w:rsid w:val="0018650E"/>
    <w:rsid w:val="001A7E00"/>
    <w:rsid w:val="001B0CE2"/>
    <w:rsid w:val="001C09B3"/>
    <w:rsid w:val="001D1E6B"/>
    <w:rsid w:val="001E49E1"/>
    <w:rsid w:val="002028B1"/>
    <w:rsid w:val="00202EDF"/>
    <w:rsid w:val="0021583E"/>
    <w:rsid w:val="00215CF8"/>
    <w:rsid w:val="00215D68"/>
    <w:rsid w:val="002171B1"/>
    <w:rsid w:val="00237DFC"/>
    <w:rsid w:val="00262022"/>
    <w:rsid w:val="00270D70"/>
    <w:rsid w:val="00274A41"/>
    <w:rsid w:val="00284F62"/>
    <w:rsid w:val="0028702E"/>
    <w:rsid w:val="002905C7"/>
    <w:rsid w:val="00294252"/>
    <w:rsid w:val="002C6380"/>
    <w:rsid w:val="002D716E"/>
    <w:rsid w:val="002F664B"/>
    <w:rsid w:val="00304332"/>
    <w:rsid w:val="00307E9F"/>
    <w:rsid w:val="00317122"/>
    <w:rsid w:val="00321DDE"/>
    <w:rsid w:val="00340DF6"/>
    <w:rsid w:val="0035162D"/>
    <w:rsid w:val="00353083"/>
    <w:rsid w:val="0036109F"/>
    <w:rsid w:val="0036499C"/>
    <w:rsid w:val="00365A44"/>
    <w:rsid w:val="0038272D"/>
    <w:rsid w:val="003831E7"/>
    <w:rsid w:val="003962F2"/>
    <w:rsid w:val="003B6683"/>
    <w:rsid w:val="003C6C16"/>
    <w:rsid w:val="003C7F42"/>
    <w:rsid w:val="003E7B69"/>
    <w:rsid w:val="003F6D90"/>
    <w:rsid w:val="0041367A"/>
    <w:rsid w:val="0043473D"/>
    <w:rsid w:val="004533FF"/>
    <w:rsid w:val="004633C5"/>
    <w:rsid w:val="00466B41"/>
    <w:rsid w:val="00480E3B"/>
    <w:rsid w:val="00487900"/>
    <w:rsid w:val="00493F34"/>
    <w:rsid w:val="004960E9"/>
    <w:rsid w:val="0049676E"/>
    <w:rsid w:val="004B30AD"/>
    <w:rsid w:val="004C4AA9"/>
    <w:rsid w:val="004D013A"/>
    <w:rsid w:val="004E2944"/>
    <w:rsid w:val="004F2A1F"/>
    <w:rsid w:val="00533728"/>
    <w:rsid w:val="00550540"/>
    <w:rsid w:val="00565EB2"/>
    <w:rsid w:val="0057240C"/>
    <w:rsid w:val="00590525"/>
    <w:rsid w:val="00597762"/>
    <w:rsid w:val="005A728F"/>
    <w:rsid w:val="005C2347"/>
    <w:rsid w:val="005D2B1D"/>
    <w:rsid w:val="005D73C6"/>
    <w:rsid w:val="005F3D27"/>
    <w:rsid w:val="006306A5"/>
    <w:rsid w:val="006357C7"/>
    <w:rsid w:val="00646142"/>
    <w:rsid w:val="00662A73"/>
    <w:rsid w:val="006734C6"/>
    <w:rsid w:val="006A441B"/>
    <w:rsid w:val="006D2B04"/>
    <w:rsid w:val="006D39E3"/>
    <w:rsid w:val="006E0DA4"/>
    <w:rsid w:val="006E2197"/>
    <w:rsid w:val="00710B33"/>
    <w:rsid w:val="0071252F"/>
    <w:rsid w:val="00737A4D"/>
    <w:rsid w:val="007650BA"/>
    <w:rsid w:val="0076688D"/>
    <w:rsid w:val="007730A6"/>
    <w:rsid w:val="0077742E"/>
    <w:rsid w:val="00777E9D"/>
    <w:rsid w:val="007955FA"/>
    <w:rsid w:val="00795ACD"/>
    <w:rsid w:val="007A36DD"/>
    <w:rsid w:val="007B569C"/>
    <w:rsid w:val="007B7EF0"/>
    <w:rsid w:val="007C0D0E"/>
    <w:rsid w:val="007C1D02"/>
    <w:rsid w:val="008039BA"/>
    <w:rsid w:val="00804796"/>
    <w:rsid w:val="00813F69"/>
    <w:rsid w:val="008205F1"/>
    <w:rsid w:val="008476AC"/>
    <w:rsid w:val="00851A60"/>
    <w:rsid w:val="008662BE"/>
    <w:rsid w:val="008931C6"/>
    <w:rsid w:val="008B3E12"/>
    <w:rsid w:val="008B4D14"/>
    <w:rsid w:val="008D2532"/>
    <w:rsid w:val="008D4417"/>
    <w:rsid w:val="008F14F8"/>
    <w:rsid w:val="008F3947"/>
    <w:rsid w:val="008F61DA"/>
    <w:rsid w:val="00904916"/>
    <w:rsid w:val="009146EE"/>
    <w:rsid w:val="00914DCB"/>
    <w:rsid w:val="00916D05"/>
    <w:rsid w:val="009204E5"/>
    <w:rsid w:val="00923BDA"/>
    <w:rsid w:val="00927884"/>
    <w:rsid w:val="009334EA"/>
    <w:rsid w:val="00935FEF"/>
    <w:rsid w:val="009407E3"/>
    <w:rsid w:val="00946145"/>
    <w:rsid w:val="00974F78"/>
    <w:rsid w:val="009B2181"/>
    <w:rsid w:val="009B6B96"/>
    <w:rsid w:val="009C5AE3"/>
    <w:rsid w:val="009E014F"/>
    <w:rsid w:val="009F2343"/>
    <w:rsid w:val="00A16224"/>
    <w:rsid w:val="00A47D9D"/>
    <w:rsid w:val="00A73F20"/>
    <w:rsid w:val="00A772EF"/>
    <w:rsid w:val="00A8693D"/>
    <w:rsid w:val="00AA5C3B"/>
    <w:rsid w:val="00AB1EC4"/>
    <w:rsid w:val="00AD59AF"/>
    <w:rsid w:val="00AE1B8B"/>
    <w:rsid w:val="00AE5525"/>
    <w:rsid w:val="00AF757E"/>
    <w:rsid w:val="00B0084C"/>
    <w:rsid w:val="00B00FE2"/>
    <w:rsid w:val="00B03CF0"/>
    <w:rsid w:val="00B14A94"/>
    <w:rsid w:val="00B14EB7"/>
    <w:rsid w:val="00B16511"/>
    <w:rsid w:val="00B253EF"/>
    <w:rsid w:val="00B31E16"/>
    <w:rsid w:val="00B34E10"/>
    <w:rsid w:val="00B44391"/>
    <w:rsid w:val="00B44642"/>
    <w:rsid w:val="00B51644"/>
    <w:rsid w:val="00B82162"/>
    <w:rsid w:val="00B8458C"/>
    <w:rsid w:val="00B9764E"/>
    <w:rsid w:val="00BA798B"/>
    <w:rsid w:val="00BB5958"/>
    <w:rsid w:val="00BC08DC"/>
    <w:rsid w:val="00BC1969"/>
    <w:rsid w:val="00BD5DDF"/>
    <w:rsid w:val="00BD6DE5"/>
    <w:rsid w:val="00BE1C9C"/>
    <w:rsid w:val="00C13237"/>
    <w:rsid w:val="00C30396"/>
    <w:rsid w:val="00C36B66"/>
    <w:rsid w:val="00C41EDE"/>
    <w:rsid w:val="00C437BC"/>
    <w:rsid w:val="00C440A9"/>
    <w:rsid w:val="00C53543"/>
    <w:rsid w:val="00C60E11"/>
    <w:rsid w:val="00C81175"/>
    <w:rsid w:val="00CA5C09"/>
    <w:rsid w:val="00CD3DC4"/>
    <w:rsid w:val="00CD7EC4"/>
    <w:rsid w:val="00CE77A0"/>
    <w:rsid w:val="00D20E1A"/>
    <w:rsid w:val="00D25CF7"/>
    <w:rsid w:val="00D31C34"/>
    <w:rsid w:val="00D35C49"/>
    <w:rsid w:val="00D56E2D"/>
    <w:rsid w:val="00D5727A"/>
    <w:rsid w:val="00D71636"/>
    <w:rsid w:val="00D85E90"/>
    <w:rsid w:val="00DA1145"/>
    <w:rsid w:val="00DA447D"/>
    <w:rsid w:val="00DA4FA8"/>
    <w:rsid w:val="00DB68C1"/>
    <w:rsid w:val="00DE29E2"/>
    <w:rsid w:val="00DE632F"/>
    <w:rsid w:val="00E00D80"/>
    <w:rsid w:val="00E05A18"/>
    <w:rsid w:val="00E13EAD"/>
    <w:rsid w:val="00E17765"/>
    <w:rsid w:val="00E677F5"/>
    <w:rsid w:val="00E76ED6"/>
    <w:rsid w:val="00EE1239"/>
    <w:rsid w:val="00F04973"/>
    <w:rsid w:val="00F04AFE"/>
    <w:rsid w:val="00F1351E"/>
    <w:rsid w:val="00F401A8"/>
    <w:rsid w:val="00F43613"/>
    <w:rsid w:val="00F606DC"/>
    <w:rsid w:val="00F7744A"/>
    <w:rsid w:val="00F96526"/>
    <w:rsid w:val="00FB4936"/>
    <w:rsid w:val="00FD7675"/>
    <w:rsid w:val="00FF3369"/>
    <w:rsid w:val="16AE2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20"/>
    <w:qFormat/>
    <w:uiPriority w:val="9"/>
    <w:pPr>
      <w:keepNext/>
      <w:keepLines/>
      <w:spacing w:before="340" w:after="330" w:line="578" w:lineRule="atLeast"/>
      <w:outlineLvl w:val="0"/>
    </w:pPr>
    <w:rPr>
      <w:b/>
      <w:bCs/>
      <w:kern w:val="44"/>
      <w:sz w:val="44"/>
      <w:szCs w:val="44"/>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autoRedefine/>
    <w:unhideWhenUsed/>
    <w:uiPriority w:val="39"/>
  </w:style>
  <w:style w:type="table" w:styleId="7">
    <w:name w:val="Table Grid"/>
    <w:basedOn w:val="6"/>
    <w:uiPriority w:val="0"/>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uiPriority w:val="99"/>
    <w:rPr>
      <w:color w:val="0563C1" w:themeColor="hyperlink"/>
      <w:u w:val="single"/>
      <w14:textFill>
        <w14:solidFill>
          <w14:schemeClr w14:val="hlink"/>
        </w14:solidFill>
      </w14:textFill>
    </w:rPr>
  </w:style>
  <w:style w:type="character" w:customStyle="1" w:styleId="10">
    <w:name w:val="页眉 字符"/>
    <w:basedOn w:val="8"/>
    <w:link w:val="4"/>
    <w:uiPriority w:val="99"/>
    <w:rPr>
      <w:sz w:val="18"/>
      <w:szCs w:val="18"/>
    </w:rPr>
  </w:style>
  <w:style w:type="character" w:customStyle="1" w:styleId="11">
    <w:name w:val="页脚 字符"/>
    <w:basedOn w:val="8"/>
    <w:link w:val="3"/>
    <w:uiPriority w:val="99"/>
    <w:rPr>
      <w:sz w:val="18"/>
      <w:szCs w:val="18"/>
    </w:rPr>
  </w:style>
  <w:style w:type="paragraph" w:customStyle="1" w:styleId="12">
    <w:name w:val="标准文件_段"/>
    <w:link w:val="14"/>
    <w:autoRedefine/>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13">
    <w:name w:val="标准文件_正文表标题"/>
    <w:next w:val="12"/>
    <w:uiPriority w:val="0"/>
    <w:pPr>
      <w:numPr>
        <w:ilvl w:val="0"/>
        <w:numId w:val="1"/>
      </w:numPr>
      <w:tabs>
        <w:tab w:val="left" w:pos="0"/>
      </w:tabs>
      <w:spacing w:before="50" w:beforeLines="50" w:after="50" w:afterLines="50"/>
      <w:jc w:val="center"/>
    </w:pPr>
    <w:rPr>
      <w:rFonts w:ascii="黑体" w:hAnsi="Times New Roman" w:eastAsia="黑体" w:cs="Times New Roman"/>
      <w:kern w:val="0"/>
      <w:sz w:val="21"/>
      <w:szCs w:val="20"/>
      <w:lang w:val="en-US" w:eastAsia="zh-CN" w:bidi="ar-SA"/>
    </w:rPr>
  </w:style>
  <w:style w:type="character" w:customStyle="1" w:styleId="14">
    <w:name w:val="标准文件_段 Char"/>
    <w:link w:val="12"/>
    <w:uiPriority w:val="0"/>
    <w:rPr>
      <w:rFonts w:ascii="宋体" w:hAnsi="Times New Roman" w:eastAsia="宋体" w:cs="Times New Roman"/>
      <w:kern w:val="0"/>
      <w:szCs w:val="20"/>
    </w:rPr>
  </w:style>
  <w:style w:type="paragraph" w:customStyle="1" w:styleId="15">
    <w:name w:val="段"/>
    <w:link w:val="16"/>
    <w:qFormat/>
    <w:uiPriority w:val="0"/>
    <w:pPr>
      <w:ind w:firstLine="200" w:firstLineChars="200"/>
      <w:jc w:val="both"/>
    </w:pPr>
    <w:rPr>
      <w:rFonts w:ascii="宋体" w:hAnsi="Times New Roman" w:eastAsia="宋体" w:cs="Times New Roman"/>
      <w:kern w:val="0"/>
      <w:sz w:val="21"/>
      <w:szCs w:val="20"/>
      <w:lang w:val="en-US" w:eastAsia="zh-CN" w:bidi="ar-SA"/>
    </w:rPr>
  </w:style>
  <w:style w:type="character" w:customStyle="1" w:styleId="16">
    <w:name w:val="段 Char"/>
    <w:link w:val="15"/>
    <w:qFormat/>
    <w:uiPriority w:val="0"/>
    <w:rPr>
      <w:rFonts w:ascii="宋体" w:hAnsi="Times New Roman" w:eastAsia="宋体" w:cs="Times New Roman"/>
      <w:kern w:val="0"/>
      <w:szCs w:val="20"/>
    </w:rPr>
  </w:style>
  <w:style w:type="paragraph" w:customStyle="1" w:styleId="17">
    <w:name w:val="_标准条文"/>
    <w:basedOn w:val="1"/>
    <w:uiPriority w:val="0"/>
    <w:pPr>
      <w:overflowPunct w:val="0"/>
      <w:adjustRightInd/>
      <w:snapToGrid w:val="0"/>
      <w:spacing w:beforeLines="25" w:afterLines="25" w:line="276" w:lineRule="auto"/>
      <w:ind w:firstLine="200" w:firstLineChars="200"/>
    </w:pPr>
    <w:rPr>
      <w:rFonts w:ascii="Arial" w:hAnsi="Arial" w:cs="宋体"/>
      <w:szCs w:val="20"/>
    </w:rPr>
  </w:style>
  <w:style w:type="paragraph" w:customStyle="1" w:styleId="18">
    <w:name w:val="标准书眉_奇数页"/>
    <w:next w:val="1"/>
    <w:uiPriority w:val="0"/>
    <w:pPr>
      <w:numPr>
        <w:ilvl w:val="4"/>
        <w:numId w:val="2"/>
      </w:num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19">
    <w:name w:val="章标题"/>
    <w:next w:val="15"/>
    <w:qFormat/>
    <w:uiPriority w:val="0"/>
    <w:pPr>
      <w:numPr>
        <w:ilvl w:val="5"/>
        <w:numId w:val="2"/>
      </w:numPr>
      <w:spacing w:beforeLines="100" w:afterLines="100"/>
      <w:jc w:val="both"/>
      <w:outlineLvl w:val="1"/>
    </w:pPr>
    <w:rPr>
      <w:rFonts w:ascii="黑体" w:hAnsi="Times New Roman" w:eastAsia="黑体" w:cs="Times New Roman"/>
      <w:kern w:val="0"/>
      <w:sz w:val="21"/>
      <w:szCs w:val="20"/>
      <w:lang w:val="en-US" w:eastAsia="zh-CN" w:bidi="ar-SA"/>
    </w:rPr>
  </w:style>
  <w:style w:type="character" w:customStyle="1" w:styleId="20">
    <w:name w:val="标题 1 字符"/>
    <w:basedOn w:val="8"/>
    <w:link w:val="2"/>
    <w:uiPriority w:val="9"/>
    <w:rPr>
      <w:rFonts w:ascii="Calibri" w:hAnsi="Calibri" w:eastAsia="宋体" w:cs="Times New Roman"/>
      <w:b/>
      <w:bCs/>
      <w:kern w:val="44"/>
      <w:sz w:val="44"/>
      <w:szCs w:val="44"/>
    </w:rPr>
  </w:style>
  <w:style w:type="paragraph" w:customStyle="1" w:styleId="21">
    <w:name w:val="TOC Heading"/>
    <w:basedOn w:val="2"/>
    <w:next w:val="1"/>
    <w:unhideWhenUsed/>
    <w:qFormat/>
    <w:uiPriority w:val="39"/>
    <w:pPr>
      <w:widowControl/>
      <w:adjustRightInd/>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3.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49"/>
    <customShpInfo spid="_x0000_s2052"/>
    <customShpInfo spid="_x0000_s205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FA93A5-2225-4145-9FB4-9B8A45F59B79}">
  <ds:schemaRefs/>
</ds:datastoreItem>
</file>

<file path=docProps/app.xml><?xml version="1.0" encoding="utf-8"?>
<Properties xmlns="http://schemas.openxmlformats.org/officeDocument/2006/extended-properties" xmlns:vt="http://schemas.openxmlformats.org/officeDocument/2006/docPropsVTypes">
  <Template>Normal.dotm</Template>
  <Pages>7</Pages>
  <Words>5823</Words>
  <Characters>6526</Characters>
  <Lines>53</Lines>
  <Paragraphs>15</Paragraphs>
  <TotalTime>322</TotalTime>
  <ScaleCrop>false</ScaleCrop>
  <LinksUpToDate>false</LinksUpToDate>
  <CharactersWithSpaces>6614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2024-01-23T09:01:00Z</dcterms:created>
  <dc:creator>WU Qian</dc:creator>
  <cp:lastModifiedBy>H_H</cp:lastModifiedBy>
  <dcterms:modified xsi:type="dcterms:W3CDTF">2024-06-28T02:21:42Z</dcterms:modified>
  <cp:revision>333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40EED507317D479CA00F2D2DFB398EA3_12</vt:lpwstr>
  </property>
</Properties>
</file>