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7"/>
        <w:jc w:val="both"/>
        <w:rPr>
          <w:rFonts w:ascii="Times New Roman"/>
        </w:rPr>
      </w:pPr>
      <w:r>
        <w:rPr>
          <w:rFonts w:ascii="Times New Roman"/>
        </w:rPr>
        <mc:AlternateContent>
          <mc:Choice Requires="wps">
            <w:drawing>
              <wp:anchor distT="0" distB="0" distL="114300" distR="114300" simplePos="0" relativeHeight="251661312" behindDoc="0" locked="0" layoutInCell="1" allowOverlap="1">
                <wp:simplePos x="0" y="0"/>
                <wp:positionH relativeFrom="column">
                  <wp:posOffset>2124075</wp:posOffset>
                </wp:positionH>
                <wp:positionV relativeFrom="paragraph">
                  <wp:posOffset>133985</wp:posOffset>
                </wp:positionV>
                <wp:extent cx="3960495" cy="1524000"/>
                <wp:effectExtent l="0" t="0" r="1905" b="0"/>
                <wp:wrapNone/>
                <wp:docPr id="2" name="首页自画框图2"/>
                <wp:cNvGraphicFramePr/>
                <a:graphic xmlns:a="http://schemas.openxmlformats.org/drawingml/2006/main">
                  <a:graphicData uri="http://schemas.microsoft.com/office/word/2010/wordprocessingShape">
                    <wps:wsp>
                      <wps:cNvSpPr txBox="1"/>
                      <wps:spPr>
                        <a:xfrm>
                          <a:off x="0" y="0"/>
                          <a:ext cx="3960495" cy="1524000"/>
                        </a:xfrm>
                        <a:prstGeom prst="rect">
                          <a:avLst/>
                        </a:prstGeom>
                        <a:solidFill>
                          <a:srgbClr val="FFFFFF"/>
                        </a:solidFill>
                        <a:ln w="6350">
                          <a:noFill/>
                        </a:ln>
                      </wps:spPr>
                      <wps:txbx>
                        <w:txbxContent>
                          <w:p>
                            <w:pPr>
                              <w:pStyle w:val="345"/>
                              <w:rPr>
                                <w:sz w:val="96"/>
                                <w:szCs w:val="96"/>
                              </w:rPr>
                            </w:pPr>
                            <w:r>
                              <w:rPr>
                                <w:rFonts w:ascii="Times New Roman" w:hAnsi="Times New Roman" w:cs="Times New Roman"/>
                                <w:sz w:val="96"/>
                              </w:rPr>
                              <w:t>DB</w:t>
                            </w:r>
                            <w:r>
                              <w:rPr>
                                <w:rFonts w:hint="eastAsia" w:ascii="Times New Roman" w:hAnsi="Times New Roman" w:cs="Times New Roman"/>
                                <w:sz w:val="96"/>
                              </w:rPr>
                              <w:t>32</w:t>
                            </w:r>
                          </w:p>
                        </w:txbxContent>
                      </wps:txbx>
                      <wps:bodyPr lIns="0" tIns="0" rIns="91440" bIns="0" upright="1"/>
                    </wps:wsp>
                  </a:graphicData>
                </a:graphic>
              </wp:anchor>
            </w:drawing>
          </mc:Choice>
          <mc:Fallback>
            <w:pict>
              <v:shape id="首页自画框图2" o:spid="_x0000_s1026" o:spt="202" type="#_x0000_t202" style="position:absolute;left:0pt;margin-left:167.25pt;margin-top:10.55pt;height:120pt;width:311.85pt;z-index:251661312;mso-width-relative:page;mso-height-relative:page;" fillcolor="#FFFFFF" filled="t" stroked="f" coordsize="21600,21600" o:gfxdata="UEsDBAoAAAAAAIdO4kAAAAAAAAAAAAAAAAAEAAAAZHJzL1BLAwQUAAAACACHTuJAVeUkp9oAAAAK&#10;AQAADwAAAGRycy9kb3ducmV2LnhtbE2PwU7DMAyG70i8Q2Qkbixpx0ooTXeY4IIEEoVJ45Y1oa3W&#10;OF2TruPtMSc4+ven35+L9dn17GTH0HlUkCwEMIu1Nx02Cj7en24ksBA1Gt17tAq+bYB1eXlR6Nz4&#10;Gd/sqYoNoxIMuVbQxjjknIe6tU6HhR8s0u7Lj05HGseGm1HPVO56ngqRcac7pAutHuymtfWhmpwC&#10;ebeV86d+OWweZTxOu+oonl8zpa6vEvEALNpz/IPhV5/UoSSnvZ/QBNYrWC5vV4QqSJMEGAH3K5kC&#10;21OQUcLLgv9/ofwBUEsDBBQAAAAIAIdO4kDH1MIr8AEAALEDAAAOAAAAZHJzL2Uyb0RvYy54bWyt&#10;U82O0zAQviPxDpbvNGm2rWjVdCWoipAQIC08gOs4iSX/aew26QvACyAunPbCYe+ckHibXdi3YOz+&#10;LCyXPZBDMp4ZfzPfN5P5ea8V2Qrw0pqSDgc5JcJwW0nTlPT9u9WTp5T4wEzFlDWipDvh6fni8aN5&#10;52aisK1VlQCCIMbPOlfSNgQ3yzLPW6GZH1gnDAZrC5oFPEKTVcA6RNcqK/J8knUWKgeWC+/Ru9wH&#10;6QERHgJo61pysbR8o4UJe1QQigWk5FvpPF2kbuta8PCmrr0IRJUUmYb0xiJor+M7W8zZrAHmWskP&#10;LbCHtHCPk2bSYNET1JIFRjYg/4HSkoP1tg4DbnW2J5IUQRbD/J42Fy1zInFBqb07ie7/Hyx/vX0L&#10;RFYlLSgxTOPAb79+vr389uvj1c9P328uP1x/+VFEmTrnZ5h94TA/9M9sj8tz9Ht0RvZ9DTp+kRfB&#10;OIq8O4ks+kA4Os+mk3w0HVPCMTYcF6M8T2PI7q478OGFsJpEo6SAU0zisu0rH7AVTD2mxGreKlmt&#10;pFLpAM36uQKyZTjxVXpil3jlrzRlSFfSydk4T8jGxvv7PGUwPbLds4pW6Nf9QYK1rXaogHppcApx&#10;o44GJGM6HI3ibh29GweyaZFE0irB4iRTP4eti6vy5zkVv/vT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VeUkp9oAAAAKAQAADwAAAAAAAAABACAAAAAiAAAAZHJzL2Rvd25yZXYueG1sUEsBAhQA&#10;FAAAAAgAh07iQMfUwivwAQAAsQMAAA4AAAAAAAAAAQAgAAAAKQEAAGRycy9lMm9Eb2MueG1sUEsF&#10;BgAAAAAGAAYAWQEAAIsFAAAAAA==&#10;">
                <v:fill on="t" focussize="0,0"/>
                <v:stroke on="f" weight="0.5pt"/>
                <v:imagedata o:title=""/>
                <o:lock v:ext="edit" aspectratio="f"/>
                <v:textbox inset="0mm,0mm,2.54mm,0mm">
                  <w:txbxContent>
                    <w:p>
                      <w:pPr>
                        <w:pStyle w:val="345"/>
                        <w:rPr>
                          <w:sz w:val="96"/>
                          <w:szCs w:val="96"/>
                        </w:rPr>
                      </w:pPr>
                      <w:r>
                        <w:rPr>
                          <w:rFonts w:ascii="Times New Roman" w:hAnsi="Times New Roman" w:cs="Times New Roman"/>
                          <w:sz w:val="96"/>
                        </w:rPr>
                        <w:t>DB</w:t>
                      </w:r>
                      <w:r>
                        <w:rPr>
                          <w:rFonts w:hint="eastAsia" w:ascii="Times New Roman" w:hAnsi="Times New Roman" w:cs="Times New Roman"/>
                          <w:sz w:val="96"/>
                        </w:rPr>
                        <w:t>32</w:t>
                      </w:r>
                    </w:p>
                  </w:txbxContent>
                </v:textbox>
              </v:shape>
            </w:pict>
          </mc:Fallback>
        </mc:AlternateContent>
      </w:r>
      <w:r>
        <w:rPr>
          <w:rFonts w:ascii="Times New Roman"/>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26035</wp:posOffset>
                </wp:positionV>
                <wp:extent cx="1800225" cy="720090"/>
                <wp:effectExtent l="0" t="0" r="9525" b="3810"/>
                <wp:wrapNone/>
                <wp:docPr id="1" name="文本框 11"/>
                <wp:cNvGraphicFramePr/>
                <a:graphic xmlns:a="http://schemas.openxmlformats.org/drawingml/2006/main">
                  <a:graphicData uri="http://schemas.microsoft.com/office/word/2010/wordprocessingShape">
                    <wps:wsp>
                      <wps:cNvSpPr txBox="1"/>
                      <wps:spPr>
                        <a:xfrm>
                          <a:off x="0" y="0"/>
                          <a:ext cx="1800225" cy="720090"/>
                        </a:xfrm>
                        <a:prstGeom prst="rect">
                          <a:avLst/>
                        </a:prstGeom>
                        <a:solidFill>
                          <a:srgbClr val="FFFFFF"/>
                        </a:solidFill>
                        <a:ln w="6350">
                          <a:noFill/>
                        </a:ln>
                      </wps:spPr>
                      <wps:txbx>
                        <w:txbxContent>
                          <w:p>
                            <w:pPr>
                              <w:pStyle w:val="335"/>
                            </w:pPr>
                            <w:r>
                              <w:rPr>
                                <w:rFonts w:ascii="Times New Roman"/>
                              </w:rPr>
                              <w:t>ICS</w:t>
                            </w:r>
                            <w:r>
                              <w:rPr>
                                <w:rFonts w:hint="eastAsia"/>
                              </w:rPr>
                              <w:t xml:space="preserve"> </w:t>
                            </w:r>
                            <w:r>
                              <w:t>29</w:t>
                            </w:r>
                            <w:r>
                              <w:rPr>
                                <w:rFonts w:hint="eastAsia"/>
                              </w:rPr>
                              <w:t>.</w:t>
                            </w:r>
                            <w:r>
                              <w:t>200</w:t>
                            </w:r>
                          </w:p>
                          <w:p>
                            <w:pPr>
                              <w:pStyle w:val="335"/>
                            </w:pPr>
                            <w:r>
                              <w:rPr>
                                <w:rFonts w:ascii="Times New Roman"/>
                              </w:rPr>
                              <w:t>CCS</w:t>
                            </w:r>
                            <w:r>
                              <w:rPr>
                                <w:rFonts w:hint="eastAsia"/>
                              </w:rPr>
                              <w:t xml:space="preserve"> </w:t>
                            </w:r>
                            <w:r>
                              <w:rPr>
                                <w:rFonts w:ascii="Times New Roman"/>
                              </w:rPr>
                              <w:t>K</w:t>
                            </w:r>
                            <w:r>
                              <w:rPr>
                                <w:rFonts w:hint="eastAsia" w:ascii="Times New Roman"/>
                              </w:rPr>
                              <w:t xml:space="preserve"> </w:t>
                            </w:r>
                            <w:r>
                              <w:rPr>
                                <w:rFonts w:ascii="Times New Roman"/>
                              </w:rPr>
                              <w:t>81</w:t>
                            </w:r>
                          </w:p>
                        </w:txbxContent>
                      </wps:txbx>
                      <wps:bodyPr lIns="0" tIns="0" rIns="91440" bIns="0" upright="1"/>
                    </wps:wsp>
                  </a:graphicData>
                </a:graphic>
              </wp:anchor>
            </w:drawing>
          </mc:Choice>
          <mc:Fallback>
            <w:pict>
              <v:shape id="文本框 11" o:spid="_x0000_s1026" o:spt="202" type="#_x0000_t202" style="position:absolute;left:0pt;margin-left:0pt;margin-top:2.05pt;height:56.7pt;width:141.75pt;z-index:251660288;mso-width-relative:page;mso-height-relative:page;" fillcolor="#FFFFFF" filled="t" stroked="f" coordsize="21600,21600" o:gfxdata="UEsDBAoAAAAAAIdO4kAAAAAAAAAAAAAAAAAEAAAAZHJzL1BLAwQUAAAACACHTuJA9pfcqdcAAAAG&#10;AQAADwAAAGRycy9kb3ducmV2LnhtbE2PwU7DMBBE70j8g7VI3KidQlsrxOmhggsSSASQ2ts2MUnU&#10;eJ3GTlP+nuVUjqMZzbzJ1mfXiZMdQuvJQDJTICyVvmqpNvD58XynQYSIVGHnyRr4sQHW+fVVhmnl&#10;J3q3pyLWgksopGigibFPpQxlYx2Gme8tsfftB4eR5VDLasCJy10n50otpcOWeKHB3m4aWx6K0RnQ&#10;qy897fD1sHnS8Thui6N6eVsac3uTqEcQ0Z7jJQx/+IwOOTPt/UhVEJ0BPhINPCQg2Jzr+wWIPaeS&#10;1QJknsn/+PkvUEsDBBQAAAAIAIdO4kAQKEED3QEAAKkDAAAOAAAAZHJzL2Uyb0RvYy54bWytU0tu&#10;2zAQ3RfoHQjua0lukiaC5QCN4aBA0RZIcgCaoiQC/GFIW/IF2ht01U33PZfP0SElO59usqgW0nA4&#10;82bem9HietCK7AR4aU1Fi1lOiTDc1tK0FX24X7+7pMQHZmqmrBEV3QtPr5dv3yx6V4q57ayqBRAE&#10;Mb7sXUW7EFyZZZ53QjM/s04YvGwsaBbwCG1WA+sRXatsnucXWW+hdmC58B69q/GSTojwGkDbNJKL&#10;leVbLUwYUUEoFpCS76TzdJm6bRrBw9em8SIQVVFkGtIbi6C9ie9suWBlC8x1kk8tsNe08IKTZtJg&#10;0RPUigVGtiD/gdKSg/W2CTNudTYSSYogiyJ/oc1dx5xIXFBq706i+/8Hy7/svgGRNW4CJYZpHPjh&#10;54/Drz+H399JUUR9eudLDLtzGBiGj3aIsZPfozPSHhrQ8YuECN6juvuTumIIhMekyzyfz88p4Xj3&#10;AVfhKsmfPWY78OFWWE2iUVHA6SVR2e6zD1gRQ48hsZi3StZrqVQ6QLu5UUB2DCe9Tk9sElOehSlD&#10;+opevD/PE7KxMX+MUwbDI9mRVLTCsBkmphtb71EA9cmg+nGTjgYk46o4O4s7dfRuHci2QxJJqgSL&#10;E0z9TNsWV+TpORV//MOWf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2l9yp1wAAAAYBAAAPAAAA&#10;AAAAAAEAIAAAACIAAABkcnMvZG93bnJldi54bWxQSwECFAAUAAAACACHTuJAEChBA90BAACpAwAA&#10;DgAAAAAAAAABACAAAAAmAQAAZHJzL2Uyb0RvYy54bWxQSwUGAAAAAAYABgBZAQAAdQUAAAAA&#10;">
                <v:fill on="t" focussize="0,0"/>
                <v:stroke on="f" weight="0.5pt"/>
                <v:imagedata o:title=""/>
                <o:lock v:ext="edit" aspectratio="f"/>
                <v:textbox inset="0mm,0mm,2.54mm,0mm">
                  <w:txbxContent>
                    <w:p>
                      <w:pPr>
                        <w:pStyle w:val="335"/>
                      </w:pPr>
                      <w:r>
                        <w:rPr>
                          <w:rFonts w:ascii="Times New Roman"/>
                        </w:rPr>
                        <w:t>ICS</w:t>
                      </w:r>
                      <w:r>
                        <w:rPr>
                          <w:rFonts w:hint="eastAsia"/>
                        </w:rPr>
                        <w:t xml:space="preserve"> </w:t>
                      </w:r>
                      <w:r>
                        <w:t>29</w:t>
                      </w:r>
                      <w:r>
                        <w:rPr>
                          <w:rFonts w:hint="eastAsia"/>
                        </w:rPr>
                        <w:t>.</w:t>
                      </w:r>
                      <w:r>
                        <w:t>200</w:t>
                      </w:r>
                    </w:p>
                    <w:p>
                      <w:pPr>
                        <w:pStyle w:val="335"/>
                      </w:pPr>
                      <w:r>
                        <w:rPr>
                          <w:rFonts w:ascii="Times New Roman"/>
                        </w:rPr>
                        <w:t>CCS</w:t>
                      </w:r>
                      <w:r>
                        <w:rPr>
                          <w:rFonts w:hint="eastAsia"/>
                        </w:rPr>
                        <w:t xml:space="preserve"> </w:t>
                      </w:r>
                      <w:r>
                        <w:rPr>
                          <w:rFonts w:ascii="Times New Roman"/>
                        </w:rPr>
                        <w:t>K</w:t>
                      </w:r>
                      <w:r>
                        <w:rPr>
                          <w:rFonts w:hint="eastAsia" w:ascii="Times New Roman"/>
                        </w:rPr>
                        <w:t xml:space="preserve"> </w:t>
                      </w:r>
                      <w:r>
                        <w:rPr>
                          <w:rFonts w:ascii="Times New Roman"/>
                        </w:rPr>
                        <w:t>81</w:t>
                      </w:r>
                    </w:p>
                  </w:txbxContent>
                </v:textbox>
              </v:shape>
            </w:pict>
          </mc:Fallback>
        </mc:AlternateContent>
      </w:r>
      <w:r>
        <w:rPr>
          <w:rFonts w:hint="eastAsia" w:ascii="Times New Roman"/>
        </w:rPr>
        <w:t xml:space="preserve"> </w:t>
      </w:r>
    </w:p>
    <w:p>
      <w:pPr>
        <w:pStyle w:val="5"/>
        <w:rPr>
          <w:rFonts w:ascii="Times New Roman"/>
        </w:rPr>
        <w:sectPr>
          <w:headerReference r:id="rId5" w:type="first"/>
          <w:headerReference r:id="rId3" w:type="default"/>
          <w:footerReference r:id="rId6" w:type="default"/>
          <w:headerReference r:id="rId4" w:type="even"/>
          <w:footerReference r:id="rId7" w:type="even"/>
          <w:pgSz w:w="11907" w:h="16839"/>
          <w:pgMar w:top="284" w:right="851" w:bottom="1134" w:left="1418" w:header="284" w:footer="1134" w:gutter="0"/>
          <w:pgNumType w:start="1"/>
          <w:cols w:space="425" w:num="1"/>
          <w:titlePg/>
          <w:docGrid w:linePitch="312" w:charSpace="0"/>
        </w:sectPr>
      </w:pPr>
      <w:r>
        <w:rPr>
          <w:rFonts w:ascii="Times New Roman"/>
        </w:rPr>
        <mc:AlternateContent>
          <mc:Choice Requires="wps">
            <w:drawing>
              <wp:anchor distT="0" distB="0" distL="114300" distR="114300" simplePos="0" relativeHeight="251663360" behindDoc="0" locked="0" layoutInCell="1" allowOverlap="1">
                <wp:simplePos x="0" y="0"/>
                <wp:positionH relativeFrom="column">
                  <wp:posOffset>1751330</wp:posOffset>
                </wp:positionH>
                <wp:positionV relativeFrom="paragraph">
                  <wp:posOffset>577850</wp:posOffset>
                </wp:positionV>
                <wp:extent cx="4320540" cy="720090"/>
                <wp:effectExtent l="0" t="0" r="3810" b="3810"/>
                <wp:wrapNone/>
                <wp:docPr id="4" name="首页自画框图3"/>
                <wp:cNvGraphicFramePr/>
                <a:graphic xmlns:a="http://schemas.openxmlformats.org/drawingml/2006/main">
                  <a:graphicData uri="http://schemas.microsoft.com/office/word/2010/wordprocessingShape">
                    <wps:wsp>
                      <wps:cNvSpPr txBox="1"/>
                      <wps:spPr>
                        <a:xfrm>
                          <a:off x="0" y="0"/>
                          <a:ext cx="4320540" cy="720090"/>
                        </a:xfrm>
                        <a:prstGeom prst="rect">
                          <a:avLst/>
                        </a:prstGeom>
                        <a:solidFill>
                          <a:srgbClr val="FFFFFF"/>
                        </a:solidFill>
                        <a:ln w="6350">
                          <a:noFill/>
                        </a:ln>
                      </wps:spPr>
                      <wps:txbx>
                        <w:txbxContent>
                          <w:p>
                            <w:pPr>
                              <w:pStyle w:val="266"/>
                            </w:pPr>
                            <w:r>
                              <w:rPr>
                                <w:rFonts w:hAnsi="黑体" w:cs="黑体"/>
                              </w:rPr>
                              <w:t>DB32/T</w:t>
                            </w:r>
                            <w:r>
                              <w:rPr>
                                <w:rFonts w:hint="eastAsia" w:hAnsi="黑体" w:cs="黑体"/>
                              </w:rPr>
                              <w:t xml:space="preserve"> XXXX—</w:t>
                            </w:r>
                            <w:r>
                              <w:rPr>
                                <w:rFonts w:hAnsi="黑体" w:cs="黑体"/>
                              </w:rPr>
                              <w:t>20</w:t>
                            </w:r>
                            <w:r>
                              <w:rPr>
                                <w:rFonts w:hint="eastAsia" w:hAnsi="黑体" w:cs="黑体"/>
                              </w:rPr>
                              <w:t>2</w:t>
                            </w:r>
                            <w:r>
                              <w:rPr>
                                <w:rFonts w:hAnsi="黑体" w:cs="黑体"/>
                              </w:rPr>
                              <w:t>3</w:t>
                            </w:r>
                          </w:p>
                          <w:p>
                            <w:pPr>
                              <w:pStyle w:val="268"/>
                            </w:pPr>
                          </w:p>
                        </w:txbxContent>
                      </wps:txbx>
                      <wps:bodyPr lIns="0" tIns="0" rIns="91440" bIns="0" upright="1"/>
                    </wps:wsp>
                  </a:graphicData>
                </a:graphic>
              </wp:anchor>
            </w:drawing>
          </mc:Choice>
          <mc:Fallback>
            <w:pict>
              <v:shape id="首页自画框图3" o:spid="_x0000_s1026" o:spt="202" type="#_x0000_t202" style="position:absolute;left:0pt;margin-left:137.9pt;margin-top:45.5pt;height:56.7pt;width:340.2pt;z-index:251663360;mso-width-relative:page;mso-height-relative:page;" fillcolor="#FFFFFF" filled="t" stroked="f" coordsize="21600,21600" o:gfxdata="UEsDBAoAAAAAAIdO4kAAAAAAAAAAAAAAAAAEAAAAZHJzL1BLAwQUAAAACACHTuJA4HpCUdoAAAAK&#10;AQAADwAAAGRycy9kb3ducmV2LnhtbE2PQU+DQBSE7yb+h80z8WZ3IS2lyNJDoxcTTURN9PYKK5Cy&#10;bym7lPrvfZ7qcTKTmW/y7dn24mRG3znSEC0UCEOVqztqNLy/Pd6lIHxAqrF3ZDT8GA/b4voqx6x2&#10;M72aUxkawSXkM9TQhjBkUvqqNRb9wg2G2Pt2o8XAcmxkPeLM5baXsVKJtNgRL7Q4mF1rqkM5WQ3p&#10;+iOdv/D5sHtIw3H6LI/q6SXR+vYmUvcggjmHSxj+8BkdCmbau4lqL3oN8XrF6EHDJuJPHNiskhjE&#10;nh21XIIscvn/QvELUEsDBBQAAAAIAIdO4kCVQs+u7QEAALADAAAOAAAAZHJzL2Uyb0RvYy54bWyt&#10;U82O0zAQviPxDpbvNOnPLmzUdCWoipAQIC08gOM4jSX/aew26QvACyAunPbCgTsnpH2bBfYtGDtt&#10;F5bLHsghGc+Mv5nvm8n8vNeKbAV4aU1Jx6OcEmG4raVZl/Td29WjJ5T4wEzNlDWipDvh6fni4YN5&#10;5woxsa1VtQCCIMYXnStpG4IrsszzVmjmR9YJg8HGgmYBj7DOamAdomuVTfL8NOss1A4sF96jdzkE&#10;6R4R7gNom0ZysbR8o4UJAyoIxQJS8q10ni5St00jeHjdNF4EokqKTEN6YxG0q/jOFnNWrIG5VvJ9&#10;C+w+LdzhpJk0WPQItWSBkQ3If6C05GC9bcKIW50NRJIiyGKc39HmomVOJC4otXdH0f3/g+Wvtm+A&#10;yLqkM0oM0zjwmy+fbi6//frw9efH7z8u319/vppGmTrnC8y+cJgf+qe2x+U5+D06I/u+AR2/yItg&#10;HEXeHUUWfSAcnbPpJD+ZYYhj7DFuxFmaQnZ724EPz4XVJBolBRxi0pZtX/qAnWDqISUW81bJeiWV&#10;SgdYV88UkC3Dga/SE5vEK3+lKUO6kp5OT/KEbGy8P+Qpg+mR7EAqWqGv+r0Cla13KIB6YXAIcaEO&#10;BiTjbDyL1KqDd+NArlskkaRKsDjI1M9+6eKm/HlOxW9/tMVv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4HpCUdoAAAAKAQAADwAAAAAAAAABACAAAAAiAAAAZHJzL2Rvd25yZXYueG1sUEsBAhQAFAAA&#10;AAgAh07iQJVCz67tAQAAsAMAAA4AAAAAAAAAAQAgAAAAKQEAAGRycy9lMm9Eb2MueG1sUEsFBgAA&#10;AAAGAAYAWQEAAIgFAAAAAA==&#10;">
                <v:fill on="t" focussize="0,0"/>
                <v:stroke on="f" weight="0.5pt"/>
                <v:imagedata o:title=""/>
                <o:lock v:ext="edit" aspectratio="f"/>
                <v:textbox inset="0mm,0mm,2.54mm,0mm">
                  <w:txbxContent>
                    <w:p>
                      <w:pPr>
                        <w:pStyle w:val="266"/>
                      </w:pPr>
                      <w:r>
                        <w:rPr>
                          <w:rFonts w:hAnsi="黑体" w:cs="黑体"/>
                        </w:rPr>
                        <w:t>DB32/T</w:t>
                      </w:r>
                      <w:r>
                        <w:rPr>
                          <w:rFonts w:hint="eastAsia" w:hAnsi="黑体" w:cs="黑体"/>
                        </w:rPr>
                        <w:t xml:space="preserve"> XXXX—</w:t>
                      </w:r>
                      <w:r>
                        <w:rPr>
                          <w:rFonts w:hAnsi="黑体" w:cs="黑体"/>
                        </w:rPr>
                        <w:t>20</w:t>
                      </w:r>
                      <w:r>
                        <w:rPr>
                          <w:rFonts w:hint="eastAsia" w:hAnsi="黑体" w:cs="黑体"/>
                        </w:rPr>
                        <w:t>2</w:t>
                      </w:r>
                      <w:r>
                        <w:rPr>
                          <w:rFonts w:hAnsi="黑体" w:cs="黑体"/>
                        </w:rPr>
                        <w:t>3</w:t>
                      </w:r>
                    </w:p>
                    <w:p>
                      <w:pPr>
                        <w:pStyle w:val="268"/>
                      </w:pPr>
                    </w:p>
                  </w:txbxContent>
                </v:textbox>
              </v:shape>
            </w:pict>
          </mc:Fallback>
        </mc:AlternateContent>
      </w:r>
      <w:r>
        <w:rPr>
          <w:rFonts w:ascii="Times New Roman"/>
        </w:rPr>
        <mc:AlternateContent>
          <mc:Choice Requires="wps">
            <w:drawing>
              <wp:anchor distT="0" distB="0" distL="114300" distR="114300" simplePos="0" relativeHeight="251662336" behindDoc="0" locked="0" layoutInCell="1" allowOverlap="1">
                <wp:simplePos x="0" y="0"/>
                <wp:positionH relativeFrom="column">
                  <wp:posOffset>0</wp:posOffset>
                </wp:positionH>
                <wp:positionV relativeFrom="paragraph">
                  <wp:posOffset>123825</wp:posOffset>
                </wp:positionV>
                <wp:extent cx="6120765" cy="648335"/>
                <wp:effectExtent l="0" t="0" r="13335" b="18415"/>
                <wp:wrapNone/>
                <wp:docPr id="3" name="文本框 9"/>
                <wp:cNvGraphicFramePr/>
                <a:graphic xmlns:a="http://schemas.openxmlformats.org/drawingml/2006/main">
                  <a:graphicData uri="http://schemas.microsoft.com/office/word/2010/wordprocessingShape">
                    <wps:wsp>
                      <wps:cNvSpPr txBox="1"/>
                      <wps:spPr>
                        <a:xfrm>
                          <a:off x="0" y="0"/>
                          <a:ext cx="6120765" cy="648335"/>
                        </a:xfrm>
                        <a:prstGeom prst="rect">
                          <a:avLst/>
                        </a:prstGeom>
                        <a:solidFill>
                          <a:srgbClr val="FFFFFF"/>
                        </a:solidFill>
                        <a:ln w="6350">
                          <a:noFill/>
                        </a:ln>
                      </wps:spPr>
                      <wps:txbx>
                        <w:txbxContent>
                          <w:p>
                            <w:pPr>
                              <w:pStyle w:val="338"/>
                              <w:rPr>
                                <w:rFonts w:hint="default"/>
                              </w:rPr>
                            </w:pPr>
                            <w:r>
                              <w:rPr>
                                <w:b w:val="0"/>
                                <w:bCs w:val="0"/>
                                <w:w w:val="100"/>
                                <w:szCs w:val="52"/>
                              </w:rPr>
                              <w:t>江苏省地方标准</w:t>
                            </w:r>
                          </w:p>
                        </w:txbxContent>
                      </wps:txbx>
                      <wps:bodyPr lIns="0" tIns="0" rIns="91440" bIns="0" upright="1"/>
                    </wps:wsp>
                  </a:graphicData>
                </a:graphic>
              </wp:anchor>
            </w:drawing>
          </mc:Choice>
          <mc:Fallback>
            <w:pict>
              <v:shape id="文本框 9" o:spid="_x0000_s1026" o:spt="202" type="#_x0000_t202" style="position:absolute;left:0pt;margin-left:0pt;margin-top:9.75pt;height:51.05pt;width:481.95pt;z-index:251662336;mso-width-relative:page;mso-height-relative:page;" fillcolor="#FFFFFF" filled="t" stroked="f" coordsize="21600,21600" o:gfxdata="UEsDBAoAAAAAAIdO4kAAAAAAAAAAAAAAAAAEAAAAZHJzL1BLAwQUAAAACACHTuJAbwzjXNcAAAAH&#10;AQAADwAAAGRycy9kb3ducmV2LnhtbE2PwU7DMBBE70j8g7VI3KidIkIS4vRQwQUJJAJIcHPjJYka&#10;r9PYacrfs5zgODOrmbfl5uQGccQp9J40JCsFAqnxtqdWw9vrw1UGIkRD1gyeUMM3BthU52elKaxf&#10;6AWPdWwFl1AojIYuxrGQMjQdOhNWfkTi7MtPzkSWUyvtZBYud4NcK5VKZ3rihc6MuO2w2dez05Dd&#10;vmfLp3nab++zeJg/6oN6fE61vrxI1B2IiKf4dwy/+IwOFTPt/Ew2iEEDPxLZzW9AcJqn1zmIHRvr&#10;JAVZlfI/f/UDUEsDBBQAAAAIAIdO4kC3gyAs2gEAAKgDAAAOAAAAZHJzL2Uyb0RvYy54bWytU82O&#10;0zAQviPxDpbvNOkvu1HTlaAqQkKAtPAAruMklvynsdukLwBvwIkLd56rz7FjJ+3CctkDOSTjmfE3&#10;830zWd/1WpGjAC+tKel0klMiDLeVNE1Jv37ZvbqhxAdmKqasESU9CU/vNi9frDtXiJltraoEEAQx&#10;vuhcSdsQXJFlnrdCMz+xThgM1hY0C3iEJquAdYiuVTbL81XWWagcWC68R+92CNIREZ4DaOtacrG1&#10;/KCFCQMqCMUCUvKtdJ5uUrd1LXj4VNdeBKJKikxDemMRtPfxnW3WrGiAuVbysQX2nBaecNJMGix6&#10;hdqywMgB5D9QWnKw3tZhwq3OBiJJEWQxzZ9oc98yJxIXlNq7q+j+/8Hyj8fPQGRV0jklhmkc+PnH&#10;9/PP3+df38htlKdzvsCse4d5oX9je1yai9+jM7Lua9Dxi3wIxlHc01Vc0QfC0bmazvLXqyUlHGOr&#10;xc18voww2eNtBz68E1aTaJQUcHhJU3b84MOQekmJxbxVstpJpdIBmv1bBeTIcNC79Izof6UpQzqs&#10;Pl/mCdnYeH+AVgabiWQHUtEK/b4fFdjb6oQCqPcGxY+LdDEgGbfTxSKu1MV7cCCbFkkkqRIsDjCx&#10;HZctbsif51T88QfbPA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BvDONc1wAAAAcBAAAPAAAAAAAA&#10;AAEAIAAAACIAAABkcnMvZG93bnJldi54bWxQSwECFAAUAAAACACHTuJAt4MgLNoBAACoAwAADgAA&#10;AAAAAAABACAAAAAmAQAAZHJzL2Uyb0RvYy54bWxQSwUGAAAAAAYABgBZAQAAcgUAAAAA&#10;">
                <v:fill on="t" focussize="0,0"/>
                <v:stroke on="f" weight="0.5pt"/>
                <v:imagedata o:title=""/>
                <o:lock v:ext="edit" aspectratio="f"/>
                <v:textbox inset="0mm,0mm,2.54mm,0mm">
                  <w:txbxContent>
                    <w:p>
                      <w:pPr>
                        <w:pStyle w:val="338"/>
                        <w:rPr>
                          <w:rFonts w:hint="default"/>
                        </w:rPr>
                      </w:pPr>
                      <w:r>
                        <w:rPr>
                          <w:b w:val="0"/>
                          <w:bCs w:val="0"/>
                          <w:w w:val="100"/>
                          <w:szCs w:val="52"/>
                        </w:rPr>
                        <w:t>江苏省地方标准</w:t>
                      </w:r>
                    </w:p>
                  </w:txbxContent>
                </v:textbox>
              </v:shape>
            </w:pict>
          </mc:Fallback>
        </mc:AlternateContent>
      </w:r>
      <w:r>
        <w:rPr>
          <w:rFonts w:ascii="Times New Roman"/>
        </w:rPr>
        <mc:AlternateContent>
          <mc:Choice Requires="wps">
            <w:drawing>
              <wp:anchor distT="0" distB="0" distL="114300" distR="114300" simplePos="0" relativeHeight="251672576" behindDoc="0" locked="0" layoutInCell="1" allowOverlap="1">
                <wp:simplePos x="0" y="0"/>
                <wp:positionH relativeFrom="page">
                  <wp:posOffset>5044440</wp:posOffset>
                </wp:positionH>
                <wp:positionV relativeFrom="page">
                  <wp:posOffset>9773285</wp:posOffset>
                </wp:positionV>
                <wp:extent cx="810895" cy="184150"/>
                <wp:effectExtent l="0" t="0" r="8255" b="6350"/>
                <wp:wrapNone/>
                <wp:docPr id="11" name="首页自画框图8"/>
                <wp:cNvGraphicFramePr/>
                <a:graphic xmlns:a="http://schemas.openxmlformats.org/drawingml/2006/main">
                  <a:graphicData uri="http://schemas.microsoft.com/office/word/2010/wordprocessingShape">
                    <wps:wsp>
                      <wps:cNvSpPr txBox="1"/>
                      <wps:spPr>
                        <a:xfrm>
                          <a:off x="0" y="0"/>
                          <a:ext cx="810895" cy="184150"/>
                        </a:xfrm>
                        <a:prstGeom prst="rect">
                          <a:avLst/>
                        </a:prstGeom>
                        <a:solidFill>
                          <a:srgbClr val="FFFFFF"/>
                        </a:solidFill>
                        <a:ln w="6350">
                          <a:noFill/>
                        </a:ln>
                      </wps:spPr>
                      <wps:txbx>
                        <w:txbxContent>
                          <w:p>
                            <w:pPr>
                              <w:pStyle w:val="502"/>
                              <w:ind w:left="0"/>
                              <w:jc w:val="left"/>
                            </w:pPr>
                            <w:r>
                              <w:rPr>
                                <w:rFonts w:hint="eastAsia"/>
                              </w:rPr>
                              <w:t>发 布</w:t>
                            </w:r>
                          </w:p>
                        </w:txbxContent>
                      </wps:txbx>
                      <wps:bodyPr wrap="none" lIns="0" tIns="0" rIns="0" bIns="0" upright="1"/>
                    </wps:wsp>
                  </a:graphicData>
                </a:graphic>
              </wp:anchor>
            </w:drawing>
          </mc:Choice>
          <mc:Fallback>
            <w:pict>
              <v:shape id="首页自画框图8" o:spid="_x0000_s1026" o:spt="202" type="#_x0000_t202" style="position:absolute;left:0pt;margin-left:397.2pt;margin-top:769.55pt;height:14.5pt;width:63.85pt;mso-position-horizontal-relative:page;mso-position-vertical-relative:page;mso-wrap-style:none;z-index:251672576;mso-width-relative:page;mso-height-relative:page;" fillcolor="#FFFFFF" filled="t" stroked="f" coordsize="21600,21600" o:gfxdata="UEsDBAoAAAAAAIdO4kAAAAAAAAAAAAAAAAAEAAAAZHJzL1BLAwQUAAAACACHTuJAwHXlo9sAAAAN&#10;AQAADwAAAGRycy9kb3ducmV2LnhtbE2PQU+DQBCF7yb+h82YeCF2ASsWZOnBxJiYeGiLnrcwAoGd&#10;RXZL8d87PeltZt7Lm+/l28UMYsbJdZYURKsQBFJl644aBeXh5W4DwnlNtR4soYIfdLAtrq9yndX2&#10;TDuc974RHEIu0wpa78dMSle1aLRb2RGJtS87Ge15nRpZT/rM4WaQcRgm0uiO+EOrR3xuser3J6Og&#10;mfu3j/flVSZ9UurPQxB8lzZQ6vYmCp9AeFz8nxku+IwOBTMd7YlqJwYFj+l6zVYWHu7TCARb0jjm&#10;4Xg5JZsIZJHL/y2KX1BLAwQUAAAACACHTuJAdSZsBPEBAAC4AwAADgAAAGRycy9lMm9Eb2MueG1s&#10;rVPNjtMwEL4j8Q6W7zTJwq5C1HQlqIqQECAtPIDrOIkl/2nsNukLwAsgLpz2wmHvnJB4G372LRi7&#10;TReWyx7IwRnbM9/M9814fj5qRbYCvLSmpsUsp0QYbhtpupq+fbN6UFLiAzMNU9aImu6Ep+eL+/fm&#10;g6vEie2tagQQBDG+GlxN+xBclWWe90IzP7NOGLxsLWgWcAtd1gAbEF2r7CTPz7LBQuPAcuE9ni73&#10;l/SACHcBtG0ruVhavtHChD0qCMUCUvK9dJ4uUrVtK3h41bZeBKJqikxDWjEJ2uu4Zos5qzpgrpf8&#10;UAK7Swm3OGkmDSY9Qi1ZYGQD8h8oLTlYb9sw41ZneyJJEWRR5Le0ueiZE4kLSu3dUXT//2D5y+1r&#10;ILLBSSgoMUxjx68/f7y+/PLr/dXPD19/XL77/ulbGXUanK/Q/cJhQBif2BFjpnOPh5H+2IKOfyRG&#10;8B5V3h1VFmMgHA/LIi8fn1LC8aooHxWnqQvZTbADH54Jq0k0agrYxKQt277wAQtB18kl5vJWyWYl&#10;lUob6NZPFZAtw4av0hdrxJC/3JQhQ03PHmLuGGVsjN/7KYPukeueU7TCuB4PAqxts0P+A05MTQ0+&#10;EErUc4MNicM1GTAZ68nYOJBdj2SSYgkeG5rqOgxfnJg/96mImwe3+A1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AdeWj2wAAAA0BAAAPAAAAAAAAAAEAIAAAACIAAABkcnMvZG93bnJldi54bWxQSwEC&#10;FAAUAAAACACHTuJAdSZsBPEBAAC4AwAADgAAAAAAAAABACAAAAAqAQAAZHJzL2Uyb0RvYy54bWxQ&#10;SwUGAAAAAAYABgBZAQAAjQUAAAAA&#10;">
                <v:fill on="t" focussize="0,0"/>
                <v:stroke on="f" weight="0.5pt"/>
                <v:imagedata o:title=""/>
                <o:lock v:ext="edit" aspectratio="f"/>
                <v:textbox inset="0mm,0mm,0mm,0mm">
                  <w:txbxContent>
                    <w:p>
                      <w:pPr>
                        <w:pStyle w:val="502"/>
                        <w:ind w:left="0"/>
                        <w:jc w:val="left"/>
                      </w:pPr>
                      <w:r>
                        <w:rPr>
                          <w:rFonts w:hint="eastAsia"/>
                        </w:rPr>
                        <w:t>发 布</w:t>
                      </w:r>
                    </w:p>
                  </w:txbxContent>
                </v:textbox>
              </v:shape>
            </w:pict>
          </mc:Fallback>
        </mc:AlternateContent>
      </w:r>
      <w:r>
        <w:rPr>
          <w:rFonts w:ascii="Times New Roman"/>
        </w:rPr>
        <mc:AlternateContent>
          <mc:Choice Requires="wps">
            <w:drawing>
              <wp:anchor distT="0" distB="0" distL="114300" distR="114300" simplePos="0" relativeHeight="251671552" behindDoc="0" locked="0" layoutInCell="1" allowOverlap="1">
                <wp:simplePos x="0" y="0"/>
                <wp:positionH relativeFrom="page">
                  <wp:posOffset>2314575</wp:posOffset>
                </wp:positionH>
                <wp:positionV relativeFrom="page">
                  <wp:posOffset>9738360</wp:posOffset>
                </wp:positionV>
                <wp:extent cx="2473960" cy="263525"/>
                <wp:effectExtent l="0" t="0" r="2540" b="3175"/>
                <wp:wrapNone/>
                <wp:docPr id="10" name="首页自画框图7"/>
                <wp:cNvGraphicFramePr/>
                <a:graphic xmlns:a="http://schemas.openxmlformats.org/drawingml/2006/main">
                  <a:graphicData uri="http://schemas.microsoft.com/office/word/2010/wordprocessingShape">
                    <wps:wsp>
                      <wps:cNvSpPr txBox="1"/>
                      <wps:spPr>
                        <a:xfrm>
                          <a:off x="0" y="0"/>
                          <a:ext cx="2473960" cy="263525"/>
                        </a:xfrm>
                        <a:prstGeom prst="rect">
                          <a:avLst/>
                        </a:prstGeom>
                        <a:solidFill>
                          <a:srgbClr val="FFFFFF"/>
                        </a:solidFill>
                        <a:ln w="6350">
                          <a:noFill/>
                        </a:ln>
                      </wps:spPr>
                      <wps:txbx>
                        <w:txbxContent>
                          <w:p>
                            <w:pPr>
                              <w:pStyle w:val="343"/>
                              <w:jc w:val="distribute"/>
                              <w:rPr>
                                <w:rFonts w:hint="default"/>
                              </w:rPr>
                            </w:pPr>
                            <w:r>
                              <w:rPr>
                                <w:rFonts w:ascii="黑体" w:hAnsi="黑体" w:eastAsia="黑体" w:cs="黑体"/>
                                <w:b w:val="0"/>
                                <w:szCs w:val="22"/>
                              </w:rPr>
                              <w:t>江苏省市场监督管理局</w:t>
                            </w:r>
                          </w:p>
                        </w:txbxContent>
                      </wps:txbx>
                      <wps:bodyPr lIns="0" tIns="0" rIns="0" bIns="0" upright="1"/>
                    </wps:wsp>
                  </a:graphicData>
                </a:graphic>
              </wp:anchor>
            </w:drawing>
          </mc:Choice>
          <mc:Fallback>
            <w:pict>
              <v:shape id="首页自画框图7" o:spid="_x0000_s1026" o:spt="202" type="#_x0000_t202" style="position:absolute;left:0pt;margin-left:182.25pt;margin-top:766.8pt;height:20.75pt;width:194.8pt;mso-position-horizontal-relative:page;mso-position-vertical-relative:page;z-index:251671552;mso-width-relative:page;mso-height-relative:page;" fillcolor="#FFFFFF" filled="t" stroked="f" coordsize="21600,21600" o:gfxdata="UEsDBAoAAAAAAIdO4kAAAAAAAAAAAAAAAAAEAAAAZHJzL1BLAwQUAAAACACHTuJAwfyA1dkAAAAN&#10;AQAADwAAAGRycy9kb3ducmV2LnhtbE2Py3KDMAxF953pP3jUme4aQwjQoZgs2uYDSrLo0sEK0GCZ&#10;YOfB31dZtUvpnrk6Ktc3O4gLTr53pCBeRCCQGmd6ahXstpuXVxA+aDJ6cIQKZvSwrh4fSl0Yd6Uv&#10;vNShFVxCvtAKuhDGQkrfdGi1X7gRibODm6wOPE6tNJO+crkd5DKKMml1T3yh0yO+d9gc67NVYPLl&#10;qQnHeq5/Ngc6zZ/bdvz+UOr5KY7eQAS8hT8Y7vqsDhU77d2ZjBeDgiRbpYxykCZJBoKRPF3FIPb3&#10;VZ7GIKtS/v+i+gVQSwMEFAAAAAgAh07iQI7uWIrmAQAArQMAAA4AAABkcnMvZTJvRG9jLnhtbK1T&#10;zW7UMBC+I/EOlu9stlu6LdFmK8FqERICpMIDeB0nseQ/jb2b7AvACyAunHrpgTsnpL4NP30Lxk6y&#10;hXLpgRyS8fx8M983zuK804rsBHhpTUGPJlNKhOG2lKYu6Lu360dnlPjATMmUNaKge+Hp+fLhg0Xr&#10;cjGzjVWlAIIgxuetK2gTgsuzzPNGaOYn1gmDwcqCZgGPUGclsBbRtcpm0+k8ay2UDiwX3qN31Qfp&#10;gAj3AbRVJblYWb7VwoQeFYRiASn5RjpPl2naqhI8vK4qLwJRBUWmIb2xCdqb+M6WC5bXwFwj+TAC&#10;u88IdzhpJg02PUCtWGBkC/IfKC05WG+rMOFWZz2RpAiyOJre0eaiYU4kLii1dwfR/f+D5a92b4DI&#10;Em8CSmKYxo3fXH26ufz668OXnx+//bh8//3z9WnUqXU+x/QLhwWhe2o7rBn9Hp2RfleBjl8kRjCO&#10;kPuDyqILhKNz9vj0+MkcQxxjs/nxyewkwmS31Q58eC6sJtEoKOAWk7hs99KHPnVMic28VbJcS6XS&#10;AerNMwVkx3Dj6/QM6H+lKUPagmLzaUI2Ntb30MrgMJFsTypaodt0gwIbW+5RAPXC4BaQRBgNGI3N&#10;aGwdyLpBAkmmBIlbTEyHGxevyZ/n1Pj2L1v+B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MH8gNXZ&#10;AAAADQEAAA8AAAAAAAAAAQAgAAAAIgAAAGRycy9kb3ducmV2LnhtbFBLAQIUABQAAAAIAIdO4kCO&#10;7liK5gEAAK0DAAAOAAAAAAAAAAEAIAAAACgBAABkcnMvZTJvRG9jLnhtbFBLBQYAAAAABgAGAFkB&#10;AACABQAAAAA=&#10;">
                <v:fill on="t" focussize="0,0"/>
                <v:stroke on="f" weight="0.5pt"/>
                <v:imagedata o:title=""/>
                <o:lock v:ext="edit" aspectratio="f"/>
                <v:textbox inset="0mm,0mm,0mm,0mm">
                  <w:txbxContent>
                    <w:p>
                      <w:pPr>
                        <w:pStyle w:val="343"/>
                        <w:jc w:val="distribute"/>
                        <w:rPr>
                          <w:rFonts w:hint="default"/>
                        </w:rPr>
                      </w:pPr>
                      <w:r>
                        <w:rPr>
                          <w:rFonts w:ascii="黑体" w:hAnsi="黑体" w:eastAsia="黑体" w:cs="黑体"/>
                          <w:b w:val="0"/>
                          <w:szCs w:val="22"/>
                        </w:rPr>
                        <w:t>江苏省市场监督管理局</w:t>
                      </w:r>
                    </w:p>
                  </w:txbxContent>
                </v:textbox>
              </v:shape>
            </w:pict>
          </mc:Fallback>
        </mc:AlternateContent>
      </w:r>
      <w:r>
        <w:rPr>
          <w:rFonts w:ascii="Times New Roman"/>
        </w:rPr>
        <mc:AlternateContent>
          <mc:Choice Requires="wps">
            <w:drawing>
              <wp:anchor distT="0" distB="0" distL="114300" distR="114300" simplePos="0" relativeHeight="251670528" behindDoc="0" locked="0" layoutInCell="1" allowOverlap="1">
                <wp:simplePos x="0" y="0"/>
                <wp:positionH relativeFrom="column">
                  <wp:posOffset>-11430</wp:posOffset>
                </wp:positionH>
                <wp:positionV relativeFrom="paragraph">
                  <wp:posOffset>7512050</wp:posOffset>
                </wp:positionV>
                <wp:extent cx="6121400" cy="635"/>
                <wp:effectExtent l="0" t="0" r="0" b="0"/>
                <wp:wrapNone/>
                <wp:docPr id="9" name="首页自画框图6"/>
                <wp:cNvGraphicFramePr/>
                <a:graphic xmlns:a="http://schemas.openxmlformats.org/drawingml/2006/main">
                  <a:graphicData uri="http://schemas.microsoft.com/office/word/2010/wordprocessingShape">
                    <wps:wsp>
                      <wps:cNvCnPr/>
                      <wps:spPr>
                        <a:xfrm>
                          <a:off x="0" y="0"/>
                          <a:ext cx="6121400" cy="635"/>
                        </a:xfrm>
                        <a:prstGeom prst="line">
                          <a:avLst/>
                        </a:prstGeom>
                        <a:ln>
                          <a:solidFill>
                            <a:srgbClr val="000000"/>
                          </a:solidFill>
                        </a:ln>
                        <a:effectLst/>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首页自画框图6" o:spid="_x0000_s1026" o:spt="20" style="position:absolute;left:0pt;margin-left:-0.9pt;margin-top:591.5pt;height:0.05pt;width:482pt;z-index:251670528;mso-width-relative:page;mso-height-relative:page;" filled="f" stroked="t" coordsize="21600,21600" o:gfxdata="UEsDBAoAAAAAAIdO4kAAAAAAAAAAAAAAAAAEAAAAZHJzL1BLAwQUAAAACACHTuJAbE34u9gAAAAM&#10;AQAADwAAAGRycy9kb3ducmV2LnhtbE2PwU7DMBBE70j8g7VI3FonQWpDGqcHJA5ISEDgwNFNtnGK&#10;vQ6xm4S/ZxEHOO7saOZNuV+cFROOofekIF0nIJAa3/bUKXh7vV/lIELU1GrrCRV8YYB9dXlR6qL1&#10;M73gVMdOcAiFQiswMQ6FlKEx6HRY+wGJf0c/Oh35HDvZjnrmcGdlliQb6XRP3GD0gHcGm4/67DiF&#10;tp/HxY7vz0+PJq/nEz5MW1Tq+ipNdiAiLvHPDD/4jA4VMx38mdogrIJVyuSR9TS/4VHsuN1kGYjD&#10;r5SCrEr5f0T1DVBLAwQUAAAACACHTuJAWnYn2u8BAADDAwAADgAAAGRycy9lMm9Eb2MueG1srVO9&#10;jhMxEO6ReAfLPdkkQHSssrnioqNBEAl4gInXu2vJf/L4sskLwAsgGqprKOipkHgbfu4tGHuXEI7m&#10;CrbwznhmPs/3ebw83xvNdjKgcrbis8mUM2mFq5VtK/761eWDM84wgq1BOysrfpDIz1f37y17X8q5&#10;65yuZWAEYrHsfcW7GH1ZFCg6aQAnzktLwcYFA5Hc0BZ1gJ7QjS7m0+mi6F2ofXBCItLuegjyETHc&#10;BdA1jRJy7cSVkTYOqEFqiEQJO+WRr3K3TSNFfNE0KCPTFSemMa90CNnbtBarJZRtAN8pMbYAd2nh&#10;FicDytKhR6g1RGBXQf0DZZQIDl0TJ8KZYiCSFSEWs+ktbV524GXmQlKjP4qO/w9WPN9tAlN1xZ9w&#10;ZsHQhd98fH9z/fnn208/3n35fv3m24eviyRT77Gk7Au7CaOHfhMS530TTPoTG7bP0h6O0sp9ZII2&#10;F7P57NGUVBcUWzx8nBCLP6U+YHwqnWHJqLhWNvGGEnbPMA6pv1PStnWXSmvah1Jb1mfEhA00jw3N&#10;AZnGEye0LWegWxp0EUNGRKdVnapTMYZ2e6ED20Eaj/yNjf2Vlo5eA3ZDXg6lNCiNivQWtDIVPzut&#10;1jZFZZ6/kUCSbxAsWVtXH7KORfLobrMa4xym4Tn1yT59e6t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bE34u9gAAAAMAQAADwAAAAAAAAABACAAAAAiAAAAZHJzL2Rvd25yZXYueG1sUEsBAhQAFAAA&#10;AAgAh07iQFp2J9rvAQAAwwMAAA4AAAAAAAAAAQAgAAAAJwEAAGRycy9lMm9Eb2MueG1sUEsFBgAA&#10;AAAGAAYAWQEAAIgFAAAAAA==&#10;">
                <v:fill on="f" focussize="0,0"/>
                <v:stroke weight="0.5pt" color="#000000 [3204]" miterlimit="8" joinstyle="miter"/>
                <v:imagedata o:title=""/>
                <o:lock v:ext="edit" aspectratio="f"/>
              </v:line>
            </w:pict>
          </mc:Fallback>
        </mc:AlternateContent>
      </w:r>
      <w:r>
        <w:rPr>
          <w:rFonts w:ascii="Times New Roman"/>
        </w:rPr>
        <mc:AlternateContent>
          <mc:Choice Requires="wps">
            <w:drawing>
              <wp:anchor distT="0" distB="0" distL="114300" distR="114300" simplePos="0" relativeHeight="251669504" behindDoc="0" locked="0" layoutInCell="1" allowOverlap="1">
                <wp:simplePos x="0" y="0"/>
                <wp:positionH relativeFrom="column">
                  <wp:posOffset>3239770</wp:posOffset>
                </wp:positionH>
                <wp:positionV relativeFrom="paragraph">
                  <wp:posOffset>7159625</wp:posOffset>
                </wp:positionV>
                <wp:extent cx="2880360" cy="360045"/>
                <wp:effectExtent l="0" t="0" r="15240" b="1905"/>
                <wp:wrapNone/>
                <wp:docPr id="8" name="首页自画框图5"/>
                <wp:cNvGraphicFramePr/>
                <a:graphic xmlns:a="http://schemas.openxmlformats.org/drawingml/2006/main">
                  <a:graphicData uri="http://schemas.microsoft.com/office/word/2010/wordprocessingShape">
                    <wps:wsp>
                      <wps:cNvSpPr txBox="1"/>
                      <wps:spPr>
                        <a:xfrm>
                          <a:off x="0" y="0"/>
                          <a:ext cx="2880360" cy="360045"/>
                        </a:xfrm>
                        <a:prstGeom prst="rect">
                          <a:avLst/>
                        </a:prstGeom>
                        <a:solidFill>
                          <a:srgbClr val="FFFFFF"/>
                        </a:solidFill>
                        <a:ln w="6350">
                          <a:noFill/>
                        </a:ln>
                      </wps:spPr>
                      <wps:txbx>
                        <w:txbxContent>
                          <w:p>
                            <w:pPr>
                              <w:pStyle w:val="292"/>
                            </w:pPr>
                            <w:r>
                              <w:rPr>
                                <w:rFonts w:hint="eastAsia"/>
                              </w:rPr>
                              <w:t>202</w:t>
                            </w:r>
                            <w:r>
                              <w:t>3</w:t>
                            </w:r>
                            <w:r>
                              <w:rPr>
                                <w:rFonts w:hint="eastAsia"/>
                              </w:rPr>
                              <w:t>-XX-XX实施</w:t>
                            </w:r>
                          </w:p>
                        </w:txbxContent>
                      </wps:txbx>
                      <wps:bodyPr lIns="0" tIns="0" rIns="91440" bIns="0" upright="1"/>
                    </wps:wsp>
                  </a:graphicData>
                </a:graphic>
              </wp:anchor>
            </w:drawing>
          </mc:Choice>
          <mc:Fallback>
            <w:pict>
              <v:shape id="首页自画框图5" o:spid="_x0000_s1026" o:spt="202" type="#_x0000_t202" style="position:absolute;left:0pt;margin-left:255.1pt;margin-top:563.75pt;height:28.35pt;width:226.8pt;z-index:251669504;mso-width-relative:page;mso-height-relative:page;" fillcolor="#FFFFFF" filled="t" stroked="f" coordsize="21600,21600" o:gfxdata="UEsDBAoAAAAAAIdO4kAAAAAAAAAAAAAAAAAEAAAAZHJzL1BLAwQUAAAACACHTuJAH7TTKdwAAAAN&#10;AQAADwAAAGRycy9kb3ducmV2LnhtbE2PwU7DMBBE70j8g7VI3KidQFMT4vRQwQUJpAaQ4ObGSxI1&#10;ttPYacrfsz3BcWeeZmeK9cn27Ihj6LxTkCwEMHS1N51rFLy/Pd1IYCFqZ3TvHSr4wQDr8vKi0Lnx&#10;s9visYoNoxAXcq2gjXHIOQ91i1aHhR/QkfftR6sjnWPDzahnCrc9T4XIuNWdow+tHnDTYr2vJqtA&#10;rj7k/KVf9ptHGQ/TZ3UQz6+ZUtdXiXgAFvEU/2A416fqUFKnnZ+cCaxXsExESigZSbpaAiPkPrul&#10;NbuzJO9S4GXB/68ofwFQSwMEFAAAAAgAh07iQFQPRJHsAQAAsAMAAA4AAABkcnMvZTJvRG9jLnht&#10;bK1TzY7TMBC+I/EOlu80abdblajpSlAVISFAWngA13ESS/7T2G3SF4AXQFw47YXD3jkh8Tb87Fsw&#10;dtouLJc9kEMynhl/M983k8VFrxXZCfDSmpKORzklwnBbSdOU9O2b9aM5JT4wUzFljSjpXnh6sXz4&#10;YNG5Qkxsa1UlgCCI8UXnStqG4Ios87wVmvmRdcJgsLagWcAjNFkFrEN0rbJJns+yzkLlwHLhPXpX&#10;Q5AeEOE+gLauJRcry7damDCgglAsICXfSufpMnVb14KHV3XtRSCqpMg0pDcWQXsT39lywYoGmGsl&#10;P7TA7tPCHU6aSYNFT1ArFhjZgvwHSksO1ts6jLjV2UAkKYIsxvkdbS5b5kTiglJ7dxLd/z9Y/nL3&#10;GoisSopjN0zjwG8+f7y5+vLr/fXPD19/XL37/unbeZSpc77A7EuH+aF/YntcnqPfozOy72vQ8Yu8&#10;CMZR5P1JZNEHwtE5mc/zsxmGOMbQyKcJPru97cCHZ8JqEo2SAg4xact2L3zATjD1mBKLeatktZZK&#10;pQM0m6cKyI7hwNfpiU3ilb/SlCFdSWdn53lCNjbeH/KUwfRIdiAVrdBv+oMCG1vtUQD13OAQ4kId&#10;DUjG4/F0Glfr6N06kE2LJJJUCRYHmfo5LF3clD/Pqfjtj7b8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B+00yncAAAADQEAAA8AAAAAAAAAAQAgAAAAIgAAAGRycy9kb3ducmV2LnhtbFBLAQIUABQA&#10;AAAIAIdO4kBUD0SR7AEAALADAAAOAAAAAAAAAAEAIAAAACsBAABkcnMvZTJvRG9jLnhtbFBLBQYA&#10;AAAABgAGAFkBAACJBQAAAAA=&#10;">
                <v:fill on="t" focussize="0,0"/>
                <v:stroke on="f" weight="0.5pt"/>
                <v:imagedata o:title=""/>
                <o:lock v:ext="edit" aspectratio="f"/>
                <v:textbox inset="0mm,0mm,2.54mm,0mm">
                  <w:txbxContent>
                    <w:p>
                      <w:pPr>
                        <w:pStyle w:val="292"/>
                      </w:pPr>
                      <w:r>
                        <w:rPr>
                          <w:rFonts w:hint="eastAsia"/>
                        </w:rPr>
                        <w:t>202</w:t>
                      </w:r>
                      <w:r>
                        <w:t>3</w:t>
                      </w:r>
                      <w:r>
                        <w:rPr>
                          <w:rFonts w:hint="eastAsia"/>
                        </w:rPr>
                        <w:t>-XX-XX实施</w:t>
                      </w:r>
                    </w:p>
                  </w:txbxContent>
                </v:textbox>
              </v:shape>
            </w:pict>
          </mc:Fallback>
        </mc:AlternateContent>
      </w:r>
      <w:r>
        <w:rPr>
          <w:rFonts w:ascii="Times New Roman"/>
        </w:rPr>
        <mc:AlternateContent>
          <mc:Choice Requires="wps">
            <w:drawing>
              <wp:anchor distT="0" distB="0" distL="114300" distR="114300" simplePos="0" relativeHeight="251666432" behindDoc="0" locked="0" layoutInCell="1" allowOverlap="1">
                <wp:simplePos x="0" y="0"/>
                <wp:positionH relativeFrom="column">
                  <wp:posOffset>0</wp:posOffset>
                </wp:positionH>
                <wp:positionV relativeFrom="paragraph">
                  <wp:posOffset>7159625</wp:posOffset>
                </wp:positionV>
                <wp:extent cx="2880360" cy="360045"/>
                <wp:effectExtent l="0" t="0" r="15240" b="1905"/>
                <wp:wrapNone/>
                <wp:docPr id="7" name="文本框 4"/>
                <wp:cNvGraphicFramePr/>
                <a:graphic xmlns:a="http://schemas.openxmlformats.org/drawingml/2006/main">
                  <a:graphicData uri="http://schemas.microsoft.com/office/word/2010/wordprocessingShape">
                    <wps:wsp>
                      <wps:cNvSpPr txBox="1"/>
                      <wps:spPr>
                        <a:xfrm>
                          <a:off x="0" y="0"/>
                          <a:ext cx="2880360" cy="360045"/>
                        </a:xfrm>
                        <a:prstGeom prst="rect">
                          <a:avLst/>
                        </a:prstGeom>
                        <a:solidFill>
                          <a:srgbClr val="FFFFFF"/>
                        </a:solidFill>
                        <a:ln w="6350">
                          <a:noFill/>
                        </a:ln>
                      </wps:spPr>
                      <wps:txbx>
                        <w:txbxContent>
                          <w:p>
                            <w:pPr>
                              <w:pStyle w:val="265"/>
                              <w:rPr>
                                <w:szCs w:val="22"/>
                              </w:rPr>
                            </w:pPr>
                            <w:r>
                              <w:rPr>
                                <w:rFonts w:hint="eastAsia"/>
                                <w:szCs w:val="22"/>
                              </w:rPr>
                              <w:t>202</w:t>
                            </w:r>
                            <w:r>
                              <w:rPr>
                                <w:szCs w:val="22"/>
                              </w:rPr>
                              <w:t>3</w:t>
                            </w:r>
                            <w:r>
                              <w:rPr>
                                <w:rFonts w:hint="eastAsia"/>
                                <w:szCs w:val="22"/>
                              </w:rPr>
                              <w:t>-XX-XX发布</w:t>
                            </w:r>
                          </w:p>
                        </w:txbxContent>
                      </wps:txbx>
                      <wps:bodyPr lIns="0" tIns="0" rIns="91440" bIns="0" upright="1"/>
                    </wps:wsp>
                  </a:graphicData>
                </a:graphic>
              </wp:anchor>
            </w:drawing>
          </mc:Choice>
          <mc:Fallback>
            <w:pict>
              <v:shape id="文本框 4" o:spid="_x0000_s1026" o:spt="202" type="#_x0000_t202" style="position:absolute;left:0pt;margin-left:0pt;margin-top:563.75pt;height:28.35pt;width:226.8pt;z-index:251666432;mso-width-relative:page;mso-height-relative:page;" fillcolor="#FFFFFF" filled="t" stroked="f" coordsize="21600,21600" o:gfxdata="UEsDBAoAAAAAAIdO4kAAAAAAAAAAAAAAAAAEAAAAZHJzL1BLAwQUAAAACACHTuJA8FpZztoAAAAK&#10;AQAADwAAAGRycy9kb3ducmV2LnhtbE2PwU7DMBBE70j8g7VI3Kid0KZWiNNDBRckkAggwc2NTRI1&#10;Xqex05S/Z3sqx50Zzb4pNifXs6MdQ+dRQbIQwCzW3nTYKPh4f7qTwELUaHTv0Sr4tQE25fVVoXPj&#10;Z3yzxyo2jEow5FpBG+OQcx7q1jodFn6wSN6PH52OdI4NN6Oeqdz1PBUi4053SB9aPdhta+t9NTkF&#10;cv0p52/9st8+yniYvqqDeH7NlLq9ScQDsGhP8RKGMz6hQ0lMOz+hCaxXQEMiqUm6XgEjf7m6z4Dt&#10;zpJcpsDLgv+fUP4BUEsDBBQAAAAIAIdO4kCXZKQy2QEAAKgDAAAOAAAAZHJzL2Uyb0RvYy54bWyt&#10;U82O0zAQviPxDpbvNGm3W0rUdCW26goJAdLuPoDrOIkl/2nsNukLwBtw4sKd5+pzMHbSLiyXPZBD&#10;Mp4ZfzPfN5PVTa8VOQjw0pqSTic5JcJwW0nTlPTxYftmSYkPzFRMWSNKehSe3qxfv1p1rhAz21pV&#10;CSAIYnzRuZK2IbgiyzxvhWZ+Yp0wGKwtaBbwCE1WAesQXatslueLrLNQObBceI/ezRCkIyK8BNDW&#10;teRiY/leCxMGVBCKBaTkW+k8Xadu61rw8LmuvQhElRSZhvTGImjv4jtbr1jRAHOt5GML7CUtPOOk&#10;mTRY9AK1YYGRPch/oLTkYL2tw4RbnQ1EkiLIYpo/0+a+ZU4kLii1dxfR/f+D5Z8OX4DIqqRvKTFM&#10;48BP37+dfvw6/fxK5lGezvkCs+4d5oX+ve1xac5+j87Iuq9Bxy/yIRhHcY8XcUUfCEfnbLnMrxYY&#10;4hhDI59fR5js6bYDH+6E1SQaJQUcXtKUHT76MKSeU2Ixb5WstlKpdIBmd6uAHBgOepueEf2vNGVI&#10;V9LF1XWekI2N9wdoZbCZSHYgFa3Q7/pRgZ2tjiiA+mBQ/LhIZwOS8W46n8eVOnv3DmTTIokkVYLF&#10;ASa247LFDfnznIo//WDr3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PBaWc7aAAAACgEAAA8AAAAA&#10;AAAAAQAgAAAAIgAAAGRycy9kb3ducmV2LnhtbFBLAQIUABQAAAAIAIdO4kCXZKQy2QEAAKgDAAAO&#10;AAAAAAAAAAEAIAAAACkBAABkcnMvZTJvRG9jLnhtbFBLBQYAAAAABgAGAFkBAAB0BQAAAAA=&#10;">
                <v:fill on="t" focussize="0,0"/>
                <v:stroke on="f" weight="0.5pt"/>
                <v:imagedata o:title=""/>
                <o:lock v:ext="edit" aspectratio="f"/>
                <v:textbox inset="0mm,0mm,2.54mm,0mm">
                  <w:txbxContent>
                    <w:p>
                      <w:pPr>
                        <w:pStyle w:val="265"/>
                        <w:rPr>
                          <w:szCs w:val="22"/>
                        </w:rPr>
                      </w:pPr>
                      <w:r>
                        <w:rPr>
                          <w:rFonts w:hint="eastAsia"/>
                          <w:szCs w:val="22"/>
                        </w:rPr>
                        <w:t>202</w:t>
                      </w:r>
                      <w:r>
                        <w:rPr>
                          <w:szCs w:val="22"/>
                        </w:rPr>
                        <w:t>3</w:t>
                      </w:r>
                      <w:r>
                        <w:rPr>
                          <w:rFonts w:hint="eastAsia"/>
                          <w:szCs w:val="22"/>
                        </w:rPr>
                        <w:t>-XX-XX发布</w:t>
                      </w:r>
                    </w:p>
                  </w:txbxContent>
                </v:textbox>
              </v:shape>
            </w:pict>
          </mc:Fallback>
        </mc:AlternateContent>
      </w:r>
      <w:r>
        <w:rPr>
          <w:rFonts w:ascii="Times New Roman"/>
        </w:rPr>
        <mc:AlternateContent>
          <mc:Choice Requires="wps">
            <w:drawing>
              <wp:anchor distT="0" distB="0" distL="114300" distR="114300" simplePos="0" relativeHeight="251665408" behindDoc="0" locked="0" layoutInCell="1" allowOverlap="1">
                <wp:simplePos x="0" y="0"/>
                <wp:positionH relativeFrom="column">
                  <wp:posOffset>0</wp:posOffset>
                </wp:positionH>
                <wp:positionV relativeFrom="paragraph">
                  <wp:posOffset>2406650</wp:posOffset>
                </wp:positionV>
                <wp:extent cx="6120765" cy="4320540"/>
                <wp:effectExtent l="0" t="0" r="13335" b="3810"/>
                <wp:wrapNone/>
                <wp:docPr id="6" name="文本框 3"/>
                <wp:cNvGraphicFramePr/>
                <a:graphic xmlns:a="http://schemas.openxmlformats.org/drawingml/2006/main">
                  <a:graphicData uri="http://schemas.microsoft.com/office/word/2010/wordprocessingShape">
                    <wps:wsp>
                      <wps:cNvSpPr txBox="1"/>
                      <wps:spPr>
                        <a:xfrm>
                          <a:off x="0" y="0"/>
                          <a:ext cx="6120765" cy="4320540"/>
                        </a:xfrm>
                        <a:prstGeom prst="rect">
                          <a:avLst/>
                        </a:prstGeom>
                        <a:solidFill>
                          <a:srgbClr val="FFFFFF"/>
                        </a:solidFill>
                        <a:ln w="6350">
                          <a:noFill/>
                        </a:ln>
                      </wps:spPr>
                      <wps:txbx>
                        <w:txbxContent>
                          <w:p>
                            <w:pPr>
                              <w:pStyle w:val="269"/>
                              <w:rPr>
                                <w:szCs w:val="22"/>
                              </w:rPr>
                            </w:pPr>
                            <w:r>
                              <w:rPr>
                                <w:rFonts w:hint="eastAsia"/>
                                <w:szCs w:val="22"/>
                              </w:rPr>
                              <w:t>有源配电网规划技术导则</w:t>
                            </w:r>
                          </w:p>
                          <w:p>
                            <w:pPr>
                              <w:pStyle w:val="269"/>
                              <w:spacing w:before="330"/>
                              <w:rPr>
                                <w:sz w:val="28"/>
                                <w:szCs w:val="28"/>
                              </w:rPr>
                            </w:pPr>
                            <w:r>
                              <w:rPr>
                                <w:rFonts w:ascii="Times New Roman"/>
                                <w:sz w:val="28"/>
                                <w:szCs w:val="28"/>
                              </w:rPr>
                              <w:t>Guidelines for planning of active distribution network</w:t>
                            </w:r>
                          </w:p>
                          <w:p>
                            <w:pPr>
                              <w:pStyle w:val="273"/>
                              <w:spacing w:line="360" w:lineRule="auto"/>
                              <w:rPr>
                                <w:color w:val="000000"/>
                              </w:rPr>
                            </w:pPr>
                            <w:r>
                              <w:rPr>
                                <w:rFonts w:hint="eastAsia"/>
                                <w:color w:val="000000"/>
                              </w:rPr>
                              <w:t>（</w:t>
                            </w:r>
                            <w:r>
                              <w:rPr>
                                <w:rFonts w:hint="eastAsia"/>
                                <w:color w:val="000000"/>
                                <w:lang w:val="en-US" w:eastAsia="zh-CN"/>
                              </w:rPr>
                              <w:t>送审</w:t>
                            </w:r>
                            <w:r>
                              <w:rPr>
                                <w:rFonts w:hint="eastAsia"/>
                                <w:color w:val="000000"/>
                              </w:rPr>
                              <w:t>稿）</w:t>
                            </w:r>
                          </w:p>
                          <w:p>
                            <w:pPr>
                              <w:pStyle w:val="269"/>
                              <w:spacing w:before="330"/>
                              <w:rPr>
                                <w:sz w:val="28"/>
                                <w:szCs w:val="28"/>
                              </w:rPr>
                            </w:pPr>
                          </w:p>
                          <w:p>
                            <w:pPr>
                              <w:pStyle w:val="273"/>
                            </w:pPr>
                          </w:p>
                        </w:txbxContent>
                      </wps:txbx>
                      <wps:bodyPr lIns="0" tIns="0" rIns="91440" bIns="0" upright="1"/>
                    </wps:wsp>
                  </a:graphicData>
                </a:graphic>
              </wp:anchor>
            </w:drawing>
          </mc:Choice>
          <mc:Fallback>
            <w:pict>
              <v:shape id="文本框 3" o:spid="_x0000_s1026" o:spt="202" type="#_x0000_t202" style="position:absolute;left:0pt;margin-left:0pt;margin-top:189.5pt;height:340.2pt;width:481.95pt;z-index:251665408;mso-width-relative:page;mso-height-relative:page;" fillcolor="#FFFFFF" filled="t" stroked="f" coordsize="21600,21600" o:gfxdata="UEsDBAoAAAAAAIdO4kAAAAAAAAAAAAAAAAAEAAAAZHJzL1BLAwQUAAAACACHTuJA/w2k7NkAAAAJ&#10;AQAADwAAAGRycy9kb3ducmV2LnhtbE2PwU7DMBBE70j8g7VI3KhdCmkS4vRQwQUJJAJIcNvGJoka&#10;r9PYacrfs5zgtqMZzb4pNifXi6MdQ+dJw3KhQFiqvemo0fD2+nCVgggRyWDvyWr4tgE25flZgbnx&#10;M73YYxUbwSUUctTQxjjkUoa6tQ7Dwg+W2Pvyo8PIcmykGXHmctfLa6US6bAj/tDiYLetrffV5DSk&#10;6/d0/sSn/fY+jYfpozqox+dE68uLpboDEe0p/oXhF5/RoWSmnZ/IBNFr4CFRw2qd8cF2lqwyEDvO&#10;qdvsBmRZyP8Lyh9QSwMEFAAAAAgAh07iQKMb/8XdAQAAqQMAAA4AAABkcnMvZTJvRG9jLnhtbK1T&#10;zY7TMBC+I/EOlu806S9s1HQlqIqQECAtPIDjOIkl/2nsNukLwBtw4sKd5+pz7Nhpu8ty2QM5JOOZ&#10;8TfzfTNZ3w5akYMAL60p6XSSUyIMt7U0bUm/fd29ekOJD8zUTFkjSnoUnt5uXr5Y964QM9tZVQsg&#10;CGJ80buSdiG4Iss874RmfmKdMBhsLGgW8AhtVgPrEV2rbJbnq6y3UDuwXHiP3u0YpGdEeA6gbRrJ&#10;xdbyvRYmjKggFAtIyXfSebpJ3TaN4OFz03gRiCopMg3pjUXQruI726xZ0QJzneTnFthzWnjCSTNp&#10;sOgVassCI3uQ/0BpycF624QJtzobiSRFkMU0f6LNXcecSFxQau+uovv/B8s/Hb4AkXVJV5QYpnHg&#10;p58/Tr/+nH5/J/MoT+98gVl3DvPC8NYOuDQXv0dnZD00oOMX+RCMo7jHq7hiCISjczWd5a9XS0o4&#10;xhbzWb5cJPmzh+sOfHgvrCbRKCng9JKo7PDRB2wFUy8psZq3StY7qVQ6QFu9U0AODCe9S0/sEq/8&#10;laYM6bGX+TJPyMbG+2OeMpge2Y6sohWGajhLUNn6iAqoDwbVj5t0MSAZN9MF0iHVxbt3INsOSSSt&#10;EixOMPVz3ra4Io/PqfjDH7a5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P8NpOzZAAAACQEAAA8A&#10;AAAAAAAAAQAgAAAAIgAAAGRycy9kb3ducmV2LnhtbFBLAQIUABQAAAAIAIdO4kCjG//F3QEAAKkD&#10;AAAOAAAAAAAAAAEAIAAAACgBAABkcnMvZTJvRG9jLnhtbFBLBQYAAAAABgAGAFkBAAB3BQAAAAA=&#10;">
                <v:fill on="t" focussize="0,0"/>
                <v:stroke on="f" weight="0.5pt"/>
                <v:imagedata o:title=""/>
                <o:lock v:ext="edit" aspectratio="f"/>
                <v:textbox inset="0mm,0mm,2.54mm,0mm">
                  <w:txbxContent>
                    <w:p>
                      <w:pPr>
                        <w:pStyle w:val="269"/>
                        <w:rPr>
                          <w:szCs w:val="22"/>
                        </w:rPr>
                      </w:pPr>
                      <w:r>
                        <w:rPr>
                          <w:rFonts w:hint="eastAsia"/>
                          <w:szCs w:val="22"/>
                        </w:rPr>
                        <w:t>有源配电网规划技术导则</w:t>
                      </w:r>
                    </w:p>
                    <w:p>
                      <w:pPr>
                        <w:pStyle w:val="269"/>
                        <w:spacing w:before="330"/>
                        <w:rPr>
                          <w:sz w:val="28"/>
                          <w:szCs w:val="28"/>
                        </w:rPr>
                      </w:pPr>
                      <w:r>
                        <w:rPr>
                          <w:rFonts w:ascii="Times New Roman"/>
                          <w:sz w:val="28"/>
                          <w:szCs w:val="28"/>
                        </w:rPr>
                        <w:t>Guidelines for planning of active distribution network</w:t>
                      </w:r>
                    </w:p>
                    <w:p>
                      <w:pPr>
                        <w:pStyle w:val="273"/>
                        <w:spacing w:line="360" w:lineRule="auto"/>
                        <w:rPr>
                          <w:color w:val="000000"/>
                        </w:rPr>
                      </w:pPr>
                      <w:r>
                        <w:rPr>
                          <w:rFonts w:hint="eastAsia"/>
                          <w:color w:val="000000"/>
                        </w:rPr>
                        <w:t>（</w:t>
                      </w:r>
                      <w:r>
                        <w:rPr>
                          <w:rFonts w:hint="eastAsia"/>
                          <w:color w:val="000000"/>
                          <w:lang w:val="en-US" w:eastAsia="zh-CN"/>
                        </w:rPr>
                        <w:t>送审</w:t>
                      </w:r>
                      <w:r>
                        <w:rPr>
                          <w:rFonts w:hint="eastAsia"/>
                          <w:color w:val="000000"/>
                        </w:rPr>
                        <w:t>稿）</w:t>
                      </w:r>
                    </w:p>
                    <w:p>
                      <w:pPr>
                        <w:pStyle w:val="269"/>
                        <w:spacing w:before="330"/>
                        <w:rPr>
                          <w:sz w:val="28"/>
                          <w:szCs w:val="28"/>
                        </w:rPr>
                      </w:pPr>
                    </w:p>
                    <w:p>
                      <w:pPr>
                        <w:pStyle w:val="273"/>
                      </w:pPr>
                    </w:p>
                  </w:txbxContent>
                </v:textbox>
              </v:shape>
            </w:pict>
          </mc:Fallback>
        </mc:AlternateContent>
      </w:r>
      <w:r>
        <w:rPr>
          <w:rFonts w:ascii="Times New Roman"/>
        </w:rPr>
        <mc:AlternateContent>
          <mc:Choice Requires="wps">
            <w:drawing>
              <wp:anchor distT="0" distB="0" distL="114300" distR="114300" simplePos="0" relativeHeight="251664384" behindDoc="0" locked="0" layoutInCell="1" allowOverlap="1">
                <wp:simplePos x="0" y="0"/>
                <wp:positionH relativeFrom="column">
                  <wp:posOffset>-11430</wp:posOffset>
                </wp:positionH>
                <wp:positionV relativeFrom="paragraph">
                  <wp:posOffset>958850</wp:posOffset>
                </wp:positionV>
                <wp:extent cx="6121400" cy="635"/>
                <wp:effectExtent l="0" t="0" r="0" b="0"/>
                <wp:wrapNone/>
                <wp:docPr id="5" name="首页自画框图4"/>
                <wp:cNvGraphicFramePr/>
                <a:graphic xmlns:a="http://schemas.openxmlformats.org/drawingml/2006/main">
                  <a:graphicData uri="http://schemas.microsoft.com/office/word/2010/wordprocessingShape">
                    <wps:wsp>
                      <wps:cNvCnPr/>
                      <wps:spPr>
                        <a:xfrm>
                          <a:off x="0" y="0"/>
                          <a:ext cx="6121400" cy="635"/>
                        </a:xfrm>
                        <a:prstGeom prst="line">
                          <a:avLst/>
                        </a:prstGeom>
                        <a:ln>
                          <a:solidFill>
                            <a:srgbClr val="000000"/>
                          </a:solidFill>
                        </a:ln>
                        <a:effectLst/>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首页自画框图4" o:spid="_x0000_s1026" o:spt="20" style="position:absolute;left:0pt;margin-left:-0.9pt;margin-top:75.5pt;height:0.05pt;width:482pt;z-index:251664384;mso-width-relative:page;mso-height-relative:page;" filled="f" stroked="t" coordsize="21600,21600" o:gfxdata="UEsDBAoAAAAAAIdO4kAAAAAAAAAAAAAAAAAEAAAAZHJzL1BLAwQUAAAACACHTuJA6j1sztYAAAAK&#10;AQAADwAAAGRycy9kb3ducmV2LnhtbE2PwU7DMBBE70j8g7VI3FonkWhLiNMDEgckJCBw4OjG2yRg&#10;r4PtJuHvWbjAcWdHM2+q/eKsmDDEwZOCfJ2BQGq9GahT8Ppyt9qBiEmT0dYTKvjCCPv6/KzSpfEz&#10;PePUpE5wCMVSK+hTGkspY9uj03HtRyT+HX1wOvEZOmmCnjncWVlk2UY6PRA39HrE2x7bj+bkOIW2&#10;n8fFhrenx4d+18zveD9tUanLizy7AZFwSX9m+MFndKiZ6eBPZKKwClY5kyfWr3LexIbrTVGAOPwq&#10;Oci6kv8n1N9QSwMEFAAAAAgAh07iQMl8E4TwAQAAwwMAAA4AAABkcnMvZTJvRG9jLnhtbK1TvY4T&#10;MRDukXgHyz3ZJNydTqtsrrjoaBBEAh5g4vXuWvKfPL5s8gLwAoiG6hoKeiqkext+7i0Ye5cQjuYK&#10;tvDOeGY+z/d5vLjYGc22MqBytuKzyZQzaYWrlW0r/ub11ZNzzjCCrUE7Kyu+l8gvlo8fLXpfyrnr&#10;nK5lYARisex9xbsYfVkUKDppACfOS0vBxgUDkdzQFnWAntCNLubT6VnRu1D74IREpN3VEOQjYngI&#10;oGsaJeTKiWsjbRxQg9QQiRJ2yiNf5m6bRor4smlQRqYrTkxjXukQsjdpLZYLKNsAvlNibAEe0sI9&#10;TgaUpUMPUCuIwK6D+gfKKBEcuiZOhDPFQCQrQixm03vavOrAy8yFpEZ/EB3/H6x4sV0HpuqKn3Jm&#10;wdCF3336cHfz5ee7zz/ef/1+8/bbx9uTJFPvsaTsS7sOo4d+HRLnXRNM+hMbtsvS7g/Syl1kgjbP&#10;ZvPZyZRUFxQ7e3qaEIs/pT5gfCadYcmouFY28YYSts8xDqm/U9K2dVdKa9qHUlvWZ8SEDTSPDc0B&#10;mcYTJ7QtZ6BbGnQRQ0ZEp1WdqlMxhnZzqQPbQhqP/I2N/ZWWjl4BdkNeDqU0KI2K9Ba0MhU/P67W&#10;NkVlnr+RQJJvECxZG1fvs45F8uhusxrjHKbhOfbJPn57y1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DqPWzO1gAAAAoBAAAPAAAAAAAAAAEAIAAAACIAAABkcnMvZG93bnJldi54bWxQSwECFAAUAAAA&#10;CACHTuJAyXwThPABAADDAwAADgAAAAAAAAABACAAAAAlAQAAZHJzL2Uyb0RvYy54bWxQSwUGAAAA&#10;AAYABgBZAQAAhwUAAAAA&#10;">
                <v:fill on="f" focussize="0,0"/>
                <v:stroke weight="0.5pt" color="#000000 [3204]" miterlimit="8" joinstyle="miter"/>
                <v:imagedata o:title=""/>
                <o:lock v:ext="edit" aspectratio="f"/>
              </v:line>
            </w:pict>
          </mc:Fallback>
        </mc:AlternateContent>
      </w:r>
    </w:p>
    <w:sdt>
      <w:sdtPr>
        <w:rPr>
          <w:rFonts w:ascii="Times New Roman" w:hAnsi="Times New Roman" w:eastAsia="宋体" w:cs="Times New Roman"/>
          <w:color w:val="auto"/>
          <w:kern w:val="2"/>
          <w:sz w:val="21"/>
          <w:szCs w:val="24"/>
          <w:lang w:val="zh-CN"/>
        </w:rPr>
        <w:id w:val="-764379240"/>
        <w:docPartObj>
          <w:docPartGallery w:val="Table of Contents"/>
          <w:docPartUnique/>
        </w:docPartObj>
      </w:sdtPr>
      <w:sdtEndPr>
        <w:rPr>
          <w:rFonts w:ascii="Times New Roman" w:hAnsi="Times New Roman" w:eastAsia="宋体" w:cs="Times New Roman"/>
          <w:b/>
          <w:bCs/>
          <w:color w:val="auto"/>
          <w:kern w:val="2"/>
          <w:sz w:val="21"/>
          <w:szCs w:val="24"/>
          <w:lang w:val="zh-CN"/>
        </w:rPr>
      </w:sdtEndPr>
      <w:sdtContent>
        <w:p>
          <w:pPr>
            <w:pStyle w:val="522"/>
            <w:jc w:val="center"/>
            <w:rPr>
              <w:rFonts w:ascii="Times New Roman" w:hAnsi="Times New Roman" w:eastAsia="黑体"/>
              <w:color w:val="auto"/>
            </w:rPr>
          </w:pPr>
          <w:bookmarkStart w:id="0" w:name="_Toc26512_WPSOffice_Level1"/>
          <w:r>
            <w:rPr>
              <w:rFonts w:hint="eastAsia" w:ascii="Times New Roman" w:hAnsi="Times New Roman" w:eastAsia="黑体"/>
              <w:color w:val="auto"/>
              <w:lang w:val="zh-CN"/>
            </w:rPr>
            <w:t>目  次</w:t>
          </w:r>
        </w:p>
        <w:p>
          <w:pPr>
            <w:pStyle w:val="22"/>
            <w:tabs>
              <w:tab w:val="right" w:leader="dot" w:pos="9345"/>
            </w:tabs>
            <w:spacing w:before="60" w:after="60"/>
            <w:rPr>
              <w:rFonts w:eastAsiaTheme="minorEastAsia" w:cstheme="minorBidi"/>
              <w:kern w:val="2"/>
              <w:szCs w:val="22"/>
              <w14:ligatures w14:val="standardContextual"/>
            </w:rPr>
          </w:pPr>
          <w:r>
            <w:fldChar w:fldCharType="begin"/>
          </w:r>
          <w:r>
            <w:instrText xml:space="preserve"> TOC \o "1-3" \h \z \u </w:instrText>
          </w:r>
          <w:r>
            <w:fldChar w:fldCharType="separate"/>
          </w:r>
          <w:r>
            <w:fldChar w:fldCharType="begin"/>
          </w:r>
          <w:r>
            <w:instrText xml:space="preserve"> HYPERLINK \l "_Toc170111360" </w:instrText>
          </w:r>
          <w:r>
            <w:fldChar w:fldCharType="separate"/>
          </w:r>
          <w:r>
            <w:rPr>
              <w:rStyle w:val="245"/>
            </w:rPr>
            <w:t>前  言</w:t>
          </w:r>
          <w:r>
            <w:tab/>
          </w:r>
          <w:r>
            <w:fldChar w:fldCharType="begin"/>
          </w:r>
          <w:r>
            <w:instrText xml:space="preserve"> PAGEREF _Toc170111360 \h </w:instrText>
          </w:r>
          <w:r>
            <w:fldChar w:fldCharType="separate"/>
          </w:r>
          <w:r>
            <w:t>I</w:t>
          </w:r>
          <w:r>
            <w:fldChar w:fldCharType="end"/>
          </w:r>
          <w:r>
            <w:fldChar w:fldCharType="end"/>
          </w:r>
        </w:p>
        <w:p>
          <w:pPr>
            <w:pStyle w:val="22"/>
            <w:tabs>
              <w:tab w:val="left" w:pos="400"/>
              <w:tab w:val="right" w:leader="dot" w:pos="9345"/>
            </w:tabs>
            <w:spacing w:before="60" w:after="60"/>
            <w:rPr>
              <w:rFonts w:eastAsiaTheme="minorEastAsia" w:cstheme="minorBidi"/>
              <w:kern w:val="2"/>
              <w:szCs w:val="22"/>
              <w14:ligatures w14:val="standardContextual"/>
            </w:rPr>
          </w:pPr>
          <w:r>
            <w:fldChar w:fldCharType="begin"/>
          </w:r>
          <w:r>
            <w:instrText xml:space="preserve"> HYPERLINK \l "_Toc170111361" </w:instrText>
          </w:r>
          <w:r>
            <w:fldChar w:fldCharType="separate"/>
          </w:r>
          <w:r>
            <w:rPr>
              <w:rStyle w:val="245"/>
            </w:rPr>
            <w:t>1</w:t>
          </w:r>
          <w:r>
            <w:rPr>
              <w:rFonts w:eastAsiaTheme="minorEastAsia" w:cstheme="minorBidi"/>
              <w:kern w:val="2"/>
              <w:szCs w:val="22"/>
              <w14:ligatures w14:val="standardContextual"/>
            </w:rPr>
            <w:tab/>
          </w:r>
          <w:r>
            <w:rPr>
              <w:rStyle w:val="245"/>
            </w:rPr>
            <w:t>范围</w:t>
          </w:r>
          <w:r>
            <w:tab/>
          </w:r>
          <w:r>
            <w:fldChar w:fldCharType="begin"/>
          </w:r>
          <w:r>
            <w:instrText xml:space="preserve"> PAGEREF _Toc170111361 \h </w:instrText>
          </w:r>
          <w:r>
            <w:fldChar w:fldCharType="separate"/>
          </w:r>
          <w:r>
            <w:t>1</w:t>
          </w:r>
          <w:r>
            <w:fldChar w:fldCharType="end"/>
          </w:r>
          <w:r>
            <w:fldChar w:fldCharType="end"/>
          </w:r>
        </w:p>
        <w:p>
          <w:pPr>
            <w:pStyle w:val="22"/>
            <w:tabs>
              <w:tab w:val="left" w:pos="400"/>
              <w:tab w:val="right" w:leader="dot" w:pos="9345"/>
            </w:tabs>
            <w:spacing w:before="60" w:after="60"/>
            <w:rPr>
              <w:rFonts w:eastAsiaTheme="minorEastAsia" w:cstheme="minorBidi"/>
              <w:kern w:val="2"/>
              <w:szCs w:val="22"/>
              <w14:ligatures w14:val="standardContextual"/>
            </w:rPr>
          </w:pPr>
          <w:r>
            <w:fldChar w:fldCharType="begin"/>
          </w:r>
          <w:r>
            <w:instrText xml:space="preserve"> HYPERLINK \l "_Toc170111362" </w:instrText>
          </w:r>
          <w:r>
            <w:fldChar w:fldCharType="separate"/>
          </w:r>
          <w:r>
            <w:rPr>
              <w:rStyle w:val="245"/>
            </w:rPr>
            <w:t>2</w:t>
          </w:r>
          <w:r>
            <w:rPr>
              <w:rFonts w:eastAsiaTheme="minorEastAsia" w:cstheme="minorBidi"/>
              <w:kern w:val="2"/>
              <w:szCs w:val="22"/>
              <w14:ligatures w14:val="standardContextual"/>
            </w:rPr>
            <w:tab/>
          </w:r>
          <w:r>
            <w:rPr>
              <w:rStyle w:val="245"/>
            </w:rPr>
            <w:t>规范性引用文件</w:t>
          </w:r>
          <w:r>
            <w:tab/>
          </w:r>
          <w:r>
            <w:fldChar w:fldCharType="begin"/>
          </w:r>
          <w:r>
            <w:instrText xml:space="preserve"> PAGEREF _Toc170111362 \h </w:instrText>
          </w:r>
          <w:r>
            <w:fldChar w:fldCharType="separate"/>
          </w:r>
          <w:r>
            <w:t>1</w:t>
          </w:r>
          <w:r>
            <w:fldChar w:fldCharType="end"/>
          </w:r>
          <w:r>
            <w:fldChar w:fldCharType="end"/>
          </w:r>
        </w:p>
        <w:p>
          <w:pPr>
            <w:pStyle w:val="22"/>
            <w:tabs>
              <w:tab w:val="left" w:pos="400"/>
              <w:tab w:val="right" w:leader="dot" w:pos="9345"/>
            </w:tabs>
            <w:spacing w:before="60" w:after="60"/>
            <w:rPr>
              <w:rFonts w:eastAsiaTheme="minorEastAsia" w:cstheme="minorBidi"/>
              <w:kern w:val="2"/>
              <w:szCs w:val="22"/>
              <w14:ligatures w14:val="standardContextual"/>
            </w:rPr>
          </w:pPr>
          <w:r>
            <w:fldChar w:fldCharType="begin"/>
          </w:r>
          <w:r>
            <w:instrText xml:space="preserve"> HYPERLINK \l "_Toc170111363" </w:instrText>
          </w:r>
          <w:r>
            <w:fldChar w:fldCharType="separate"/>
          </w:r>
          <w:r>
            <w:rPr>
              <w:rStyle w:val="245"/>
            </w:rPr>
            <w:t>3</w:t>
          </w:r>
          <w:r>
            <w:rPr>
              <w:rFonts w:eastAsiaTheme="minorEastAsia" w:cstheme="minorBidi"/>
              <w:kern w:val="2"/>
              <w:szCs w:val="22"/>
              <w14:ligatures w14:val="standardContextual"/>
            </w:rPr>
            <w:tab/>
          </w:r>
          <w:r>
            <w:rPr>
              <w:rStyle w:val="245"/>
            </w:rPr>
            <w:t>术语和定义</w:t>
          </w:r>
          <w:r>
            <w:tab/>
          </w:r>
          <w:r>
            <w:fldChar w:fldCharType="begin"/>
          </w:r>
          <w:r>
            <w:instrText xml:space="preserve"> PAGEREF _Toc170111363 \h </w:instrText>
          </w:r>
          <w:r>
            <w:fldChar w:fldCharType="separate"/>
          </w:r>
          <w:r>
            <w:t>1</w:t>
          </w:r>
          <w:r>
            <w:fldChar w:fldCharType="end"/>
          </w:r>
          <w:r>
            <w:fldChar w:fldCharType="end"/>
          </w:r>
        </w:p>
        <w:p>
          <w:pPr>
            <w:pStyle w:val="22"/>
            <w:tabs>
              <w:tab w:val="left" w:pos="400"/>
              <w:tab w:val="right" w:leader="dot" w:pos="9345"/>
            </w:tabs>
            <w:spacing w:before="60" w:after="60"/>
            <w:rPr>
              <w:rFonts w:eastAsiaTheme="minorEastAsia" w:cstheme="minorBidi"/>
              <w:kern w:val="2"/>
              <w:szCs w:val="22"/>
              <w14:ligatures w14:val="standardContextual"/>
            </w:rPr>
          </w:pPr>
          <w:r>
            <w:fldChar w:fldCharType="begin"/>
          </w:r>
          <w:r>
            <w:instrText xml:space="preserve"> HYPERLINK \l "_Toc170111364" </w:instrText>
          </w:r>
          <w:r>
            <w:fldChar w:fldCharType="separate"/>
          </w:r>
          <w:r>
            <w:rPr>
              <w:rStyle w:val="245"/>
            </w:rPr>
            <w:t>4</w:t>
          </w:r>
          <w:r>
            <w:rPr>
              <w:rFonts w:eastAsiaTheme="minorEastAsia" w:cstheme="minorBidi"/>
              <w:kern w:val="2"/>
              <w:szCs w:val="22"/>
              <w14:ligatures w14:val="standardContextual"/>
            </w:rPr>
            <w:tab/>
          </w:r>
          <w:r>
            <w:rPr>
              <w:rStyle w:val="245"/>
            </w:rPr>
            <w:t>总体要求</w:t>
          </w:r>
          <w:r>
            <w:tab/>
          </w:r>
          <w:r>
            <w:fldChar w:fldCharType="begin"/>
          </w:r>
          <w:r>
            <w:instrText xml:space="preserve"> PAGEREF _Toc170111364 \h </w:instrText>
          </w:r>
          <w:r>
            <w:fldChar w:fldCharType="separate"/>
          </w:r>
          <w:r>
            <w:t>3</w:t>
          </w:r>
          <w:r>
            <w:fldChar w:fldCharType="end"/>
          </w:r>
          <w:r>
            <w:fldChar w:fldCharType="end"/>
          </w:r>
        </w:p>
        <w:p>
          <w:pPr>
            <w:pStyle w:val="22"/>
            <w:tabs>
              <w:tab w:val="left" w:pos="400"/>
              <w:tab w:val="right" w:leader="dot" w:pos="9345"/>
            </w:tabs>
            <w:spacing w:before="60" w:after="60"/>
            <w:rPr>
              <w:rFonts w:eastAsiaTheme="minorEastAsia" w:cstheme="minorBidi"/>
              <w:kern w:val="2"/>
              <w:szCs w:val="22"/>
              <w14:ligatures w14:val="standardContextual"/>
            </w:rPr>
          </w:pPr>
          <w:r>
            <w:fldChar w:fldCharType="begin"/>
          </w:r>
          <w:r>
            <w:instrText xml:space="preserve"> HYPERLINK \l "_Toc170111365" </w:instrText>
          </w:r>
          <w:r>
            <w:fldChar w:fldCharType="separate"/>
          </w:r>
          <w:r>
            <w:rPr>
              <w:rStyle w:val="245"/>
            </w:rPr>
            <w:t>5</w:t>
          </w:r>
          <w:r>
            <w:rPr>
              <w:rFonts w:eastAsiaTheme="minorEastAsia" w:cstheme="minorBidi"/>
              <w:kern w:val="2"/>
              <w:szCs w:val="22"/>
              <w14:ligatures w14:val="standardContextual"/>
            </w:rPr>
            <w:tab/>
          </w:r>
          <w:r>
            <w:rPr>
              <w:rStyle w:val="245"/>
            </w:rPr>
            <w:t>供需预测与平衡分析</w:t>
          </w:r>
          <w:r>
            <w:tab/>
          </w:r>
          <w:r>
            <w:fldChar w:fldCharType="begin"/>
          </w:r>
          <w:r>
            <w:instrText xml:space="preserve"> PAGEREF _Toc170111365 \h </w:instrText>
          </w:r>
          <w:r>
            <w:fldChar w:fldCharType="separate"/>
          </w:r>
          <w:r>
            <w:t>3</w:t>
          </w:r>
          <w:r>
            <w:fldChar w:fldCharType="end"/>
          </w:r>
          <w:r>
            <w:fldChar w:fldCharType="end"/>
          </w:r>
        </w:p>
        <w:p>
          <w:pPr>
            <w:pStyle w:val="22"/>
            <w:tabs>
              <w:tab w:val="left" w:pos="400"/>
              <w:tab w:val="right" w:leader="dot" w:pos="9345"/>
            </w:tabs>
            <w:spacing w:before="60" w:after="60"/>
            <w:rPr>
              <w:rFonts w:eastAsiaTheme="minorEastAsia" w:cstheme="minorBidi"/>
              <w:kern w:val="2"/>
              <w:szCs w:val="22"/>
              <w14:ligatures w14:val="standardContextual"/>
            </w:rPr>
          </w:pPr>
          <w:r>
            <w:fldChar w:fldCharType="begin"/>
          </w:r>
          <w:r>
            <w:instrText xml:space="preserve"> HYPERLINK \l "_Toc170111370" </w:instrText>
          </w:r>
          <w:r>
            <w:fldChar w:fldCharType="separate"/>
          </w:r>
          <w:r>
            <w:rPr>
              <w:rStyle w:val="245"/>
            </w:rPr>
            <w:t>6</w:t>
          </w:r>
          <w:r>
            <w:rPr>
              <w:rFonts w:eastAsiaTheme="minorEastAsia" w:cstheme="minorBidi"/>
              <w:kern w:val="2"/>
              <w:szCs w:val="22"/>
              <w14:ligatures w14:val="standardContextual"/>
            </w:rPr>
            <w:tab/>
          </w:r>
          <w:r>
            <w:rPr>
              <w:rStyle w:val="245"/>
            </w:rPr>
            <w:t>系统一次规划</w:t>
          </w:r>
          <w:r>
            <w:tab/>
          </w:r>
          <w:r>
            <w:fldChar w:fldCharType="begin"/>
          </w:r>
          <w:r>
            <w:instrText xml:space="preserve"> PAGEREF _Toc170111370 \h </w:instrText>
          </w:r>
          <w:r>
            <w:fldChar w:fldCharType="separate"/>
          </w:r>
          <w:r>
            <w:t>5</w:t>
          </w:r>
          <w:r>
            <w:fldChar w:fldCharType="end"/>
          </w:r>
          <w:r>
            <w:fldChar w:fldCharType="end"/>
          </w:r>
        </w:p>
        <w:p>
          <w:pPr>
            <w:pStyle w:val="22"/>
            <w:tabs>
              <w:tab w:val="left" w:pos="400"/>
              <w:tab w:val="right" w:leader="dot" w:pos="9345"/>
            </w:tabs>
            <w:spacing w:before="60" w:after="60"/>
            <w:rPr>
              <w:rFonts w:eastAsiaTheme="minorEastAsia" w:cstheme="minorBidi"/>
              <w:kern w:val="2"/>
              <w:szCs w:val="22"/>
              <w14:ligatures w14:val="standardContextual"/>
            </w:rPr>
          </w:pPr>
          <w:r>
            <w:fldChar w:fldCharType="begin"/>
          </w:r>
          <w:r>
            <w:instrText xml:space="preserve"> HYPERLINK \l "_Toc170111375" </w:instrText>
          </w:r>
          <w:r>
            <w:fldChar w:fldCharType="separate"/>
          </w:r>
          <w:r>
            <w:rPr>
              <w:rStyle w:val="245"/>
            </w:rPr>
            <w:t>7</w:t>
          </w:r>
          <w:r>
            <w:rPr>
              <w:rFonts w:eastAsiaTheme="minorEastAsia" w:cstheme="minorBidi"/>
              <w:kern w:val="2"/>
              <w:szCs w:val="22"/>
              <w14:ligatures w14:val="standardContextual"/>
            </w:rPr>
            <w:tab/>
          </w:r>
          <w:r>
            <w:rPr>
              <w:rStyle w:val="245"/>
            </w:rPr>
            <w:t>系统二次规划</w:t>
          </w:r>
          <w:r>
            <w:tab/>
          </w:r>
          <w:r>
            <w:fldChar w:fldCharType="begin"/>
          </w:r>
          <w:r>
            <w:instrText xml:space="preserve"> PAGEREF _Toc170111375 \h </w:instrText>
          </w:r>
          <w:r>
            <w:fldChar w:fldCharType="separate"/>
          </w:r>
          <w:r>
            <w:t>6</w:t>
          </w:r>
          <w:r>
            <w:fldChar w:fldCharType="end"/>
          </w:r>
          <w:r>
            <w:fldChar w:fldCharType="end"/>
          </w:r>
        </w:p>
        <w:p>
          <w:pPr>
            <w:pStyle w:val="22"/>
            <w:tabs>
              <w:tab w:val="left" w:pos="400"/>
              <w:tab w:val="right" w:leader="dot" w:pos="9345"/>
            </w:tabs>
            <w:spacing w:before="60" w:after="60"/>
            <w:rPr>
              <w:rFonts w:eastAsiaTheme="minorEastAsia" w:cstheme="minorBidi"/>
              <w:kern w:val="2"/>
              <w:szCs w:val="22"/>
              <w14:ligatures w14:val="standardContextual"/>
            </w:rPr>
          </w:pPr>
          <w:r>
            <w:fldChar w:fldCharType="begin"/>
          </w:r>
          <w:r>
            <w:instrText xml:space="preserve"> HYPERLINK \l "_Toc170111382" </w:instrText>
          </w:r>
          <w:r>
            <w:fldChar w:fldCharType="separate"/>
          </w:r>
          <w:r>
            <w:rPr>
              <w:rStyle w:val="245"/>
            </w:rPr>
            <w:t>8</w:t>
          </w:r>
          <w:r>
            <w:rPr>
              <w:rFonts w:eastAsiaTheme="minorEastAsia" w:cstheme="minorBidi"/>
              <w:kern w:val="2"/>
              <w:szCs w:val="22"/>
              <w14:ligatures w14:val="standardContextual"/>
            </w:rPr>
            <w:tab/>
          </w:r>
          <w:r>
            <w:rPr>
              <w:rStyle w:val="245"/>
            </w:rPr>
            <w:t>分布式电源接入承载力评估</w:t>
          </w:r>
          <w:r>
            <w:tab/>
          </w:r>
          <w:r>
            <w:fldChar w:fldCharType="begin"/>
          </w:r>
          <w:r>
            <w:instrText xml:space="preserve"> PAGEREF _Toc170111382 \h </w:instrText>
          </w:r>
          <w:r>
            <w:fldChar w:fldCharType="separate"/>
          </w:r>
          <w:r>
            <w:t>8</w:t>
          </w:r>
          <w:r>
            <w:fldChar w:fldCharType="end"/>
          </w:r>
          <w:r>
            <w:fldChar w:fldCharType="end"/>
          </w:r>
        </w:p>
        <w:p>
          <w:pPr>
            <w:pStyle w:val="22"/>
            <w:tabs>
              <w:tab w:val="left" w:pos="400"/>
              <w:tab w:val="right" w:leader="dot" w:pos="9345"/>
            </w:tabs>
            <w:spacing w:before="60" w:after="60"/>
            <w:rPr>
              <w:rFonts w:eastAsiaTheme="minorEastAsia" w:cstheme="minorBidi"/>
              <w:kern w:val="2"/>
              <w:szCs w:val="22"/>
              <w14:ligatures w14:val="standardContextual"/>
            </w:rPr>
          </w:pPr>
          <w:r>
            <w:fldChar w:fldCharType="begin"/>
          </w:r>
          <w:r>
            <w:instrText xml:space="preserve"> HYPERLINK \l "_Toc170111386" </w:instrText>
          </w:r>
          <w:r>
            <w:fldChar w:fldCharType="separate"/>
          </w:r>
          <w:r>
            <w:rPr>
              <w:rStyle w:val="245"/>
            </w:rPr>
            <w:t>9</w:t>
          </w:r>
          <w:r>
            <w:rPr>
              <w:rFonts w:eastAsiaTheme="minorEastAsia" w:cstheme="minorBidi"/>
              <w:kern w:val="2"/>
              <w:szCs w:val="22"/>
              <w14:ligatures w14:val="standardContextual"/>
            </w:rPr>
            <w:tab/>
          </w:r>
          <w:r>
            <w:rPr>
              <w:rStyle w:val="245"/>
            </w:rPr>
            <w:t>分布式电源与新型负荷接入要求</w:t>
          </w:r>
          <w:r>
            <w:tab/>
          </w:r>
          <w:r>
            <w:fldChar w:fldCharType="begin"/>
          </w:r>
          <w:r>
            <w:instrText xml:space="preserve"> PAGEREF _Toc170111386 \h </w:instrText>
          </w:r>
          <w:r>
            <w:fldChar w:fldCharType="separate"/>
          </w:r>
          <w:r>
            <w:t>8</w:t>
          </w:r>
          <w:r>
            <w:fldChar w:fldCharType="end"/>
          </w:r>
          <w:r>
            <w:fldChar w:fldCharType="end"/>
          </w:r>
        </w:p>
        <w:p>
          <w:pPr>
            <w:pStyle w:val="22"/>
            <w:tabs>
              <w:tab w:val="left" w:pos="500"/>
              <w:tab w:val="right" w:leader="dot" w:pos="9345"/>
            </w:tabs>
            <w:spacing w:before="60" w:after="60"/>
            <w:rPr>
              <w:rFonts w:eastAsiaTheme="minorEastAsia" w:cstheme="minorBidi"/>
              <w:kern w:val="2"/>
              <w:szCs w:val="22"/>
              <w14:ligatures w14:val="standardContextual"/>
            </w:rPr>
          </w:pPr>
          <w:r>
            <w:fldChar w:fldCharType="begin"/>
          </w:r>
          <w:r>
            <w:instrText xml:space="preserve"> HYPERLINK \l "_Toc170111392" </w:instrText>
          </w:r>
          <w:r>
            <w:fldChar w:fldCharType="separate"/>
          </w:r>
          <w:r>
            <w:rPr>
              <w:rStyle w:val="245"/>
            </w:rPr>
            <w:t>10</w:t>
          </w:r>
          <w:r>
            <w:rPr>
              <w:rFonts w:eastAsiaTheme="minorEastAsia" w:cstheme="minorBidi"/>
              <w:kern w:val="2"/>
              <w:szCs w:val="22"/>
              <w14:ligatures w14:val="standardContextual"/>
            </w:rPr>
            <w:tab/>
          </w:r>
          <w:r>
            <w:rPr>
              <w:rStyle w:val="245"/>
            </w:rPr>
            <w:t>规划分析计算要求</w:t>
          </w:r>
          <w:r>
            <w:tab/>
          </w:r>
          <w:r>
            <w:fldChar w:fldCharType="begin"/>
          </w:r>
          <w:r>
            <w:instrText xml:space="preserve"> PAGEREF _Toc170111392 \h </w:instrText>
          </w:r>
          <w:r>
            <w:fldChar w:fldCharType="separate"/>
          </w:r>
          <w:r>
            <w:t>11</w:t>
          </w:r>
          <w:r>
            <w:fldChar w:fldCharType="end"/>
          </w:r>
          <w:r>
            <w:fldChar w:fldCharType="end"/>
          </w:r>
        </w:p>
        <w:p>
          <w:pPr>
            <w:pStyle w:val="22"/>
            <w:tabs>
              <w:tab w:val="left" w:pos="500"/>
              <w:tab w:val="right" w:leader="dot" w:pos="9345"/>
            </w:tabs>
            <w:spacing w:before="60" w:after="60"/>
            <w:rPr>
              <w:rFonts w:eastAsiaTheme="minorEastAsia" w:cstheme="minorBidi"/>
              <w:kern w:val="2"/>
              <w:szCs w:val="22"/>
              <w14:ligatures w14:val="standardContextual"/>
            </w:rPr>
          </w:pPr>
          <w:r>
            <w:fldChar w:fldCharType="begin"/>
          </w:r>
          <w:r>
            <w:instrText xml:space="preserve"> HYPERLINK \l "_Toc170111399" </w:instrText>
          </w:r>
          <w:r>
            <w:fldChar w:fldCharType="separate"/>
          </w:r>
          <w:r>
            <w:rPr>
              <w:rStyle w:val="245"/>
            </w:rPr>
            <w:t>11</w:t>
          </w:r>
          <w:r>
            <w:rPr>
              <w:rFonts w:eastAsiaTheme="minorEastAsia" w:cstheme="minorBidi"/>
              <w:kern w:val="2"/>
              <w:szCs w:val="22"/>
              <w14:ligatures w14:val="standardContextual"/>
            </w:rPr>
            <w:tab/>
          </w:r>
          <w:r>
            <w:rPr>
              <w:rStyle w:val="245"/>
            </w:rPr>
            <w:t>经济性分析和评价</w:t>
          </w:r>
          <w:r>
            <w:tab/>
          </w:r>
          <w:r>
            <w:fldChar w:fldCharType="begin"/>
          </w:r>
          <w:r>
            <w:instrText xml:space="preserve"> PAGEREF _Toc170111399 \h </w:instrText>
          </w:r>
          <w:r>
            <w:fldChar w:fldCharType="separate"/>
          </w:r>
          <w:r>
            <w:t>12</w:t>
          </w:r>
          <w:r>
            <w:fldChar w:fldCharType="end"/>
          </w:r>
          <w:r>
            <w:fldChar w:fldCharType="end"/>
          </w:r>
        </w:p>
        <w:p>
          <w:r>
            <w:rPr>
              <w:b/>
              <w:bCs/>
              <w:lang w:val="zh-CN"/>
            </w:rPr>
            <w:fldChar w:fldCharType="end"/>
          </w:r>
        </w:p>
      </w:sdtContent>
    </w:sdt>
    <w:p>
      <w:pPr>
        <w:pStyle w:val="269"/>
        <w:jc w:val="both"/>
        <w:rPr>
          <w:rFonts w:ascii="Times New Roman" w:eastAsia="宋体"/>
          <w:sz w:val="32"/>
        </w:rPr>
        <w:sectPr>
          <w:footerReference r:id="rId9" w:type="default"/>
          <w:headerReference r:id="rId8" w:type="even"/>
          <w:footerReference r:id="rId10" w:type="even"/>
          <w:pgSz w:w="11907" w:h="16839"/>
          <w:pgMar w:top="1418" w:right="1134" w:bottom="1134" w:left="1418" w:header="1418" w:footer="1134" w:gutter="0"/>
          <w:cols w:space="425" w:num="1"/>
          <w:docGrid w:linePitch="312" w:charSpace="0"/>
        </w:sectPr>
      </w:pPr>
    </w:p>
    <w:p>
      <w:pPr>
        <w:pStyle w:val="259"/>
        <w:tabs>
          <w:tab w:val="center" w:pos="4677"/>
          <w:tab w:val="right" w:pos="9355"/>
        </w:tabs>
        <w:rPr>
          <w:rFonts w:ascii="Times New Roman"/>
        </w:rPr>
      </w:pPr>
      <w:bookmarkStart w:id="1" w:name="_Toc90537114"/>
      <w:bookmarkStart w:id="2" w:name="_Toc156810846"/>
      <w:bookmarkStart w:id="3" w:name="_Toc170111360"/>
      <w:r>
        <w:rPr>
          <w:rFonts w:hint="eastAsia" w:ascii="Times New Roman"/>
        </w:rPr>
        <w:t>前  言</w:t>
      </w:r>
      <w:bookmarkEnd w:id="1"/>
      <w:bookmarkEnd w:id="2"/>
      <w:bookmarkEnd w:id="3"/>
      <w:bookmarkStart w:id="4" w:name="pindex46"/>
      <w:bookmarkEnd w:id="4"/>
    </w:p>
    <w:p>
      <w:pPr>
        <w:pStyle w:val="5"/>
        <w:rPr>
          <w:rFonts w:ascii="Times New Roman"/>
        </w:rPr>
      </w:pPr>
      <w:r>
        <w:rPr>
          <w:rFonts w:hint="eastAsia" w:ascii="Times New Roman"/>
        </w:rPr>
        <w:t>本文件按照GB/T 1.1—2020《标准化工作导则  第1部分</w:t>
      </w:r>
      <w:sdt>
        <w:sdtPr>
          <w:rPr>
            <w:rFonts w:ascii="Times New Roman"/>
          </w:rPr>
          <w:alias w:val="标点符号检查"/>
          <w:id w:val="112351"/>
        </w:sdtPr>
        <w:sdtEndPr>
          <w:rPr>
            <w:rFonts w:ascii="Times New Roman"/>
          </w:rPr>
        </w:sdtEndPr>
        <w:sdtContent>
          <w:bookmarkStart w:id="5" w:name="bkReivew112351"/>
          <w:r>
            <w:rPr>
              <w:rFonts w:ascii="Times New Roman"/>
            </w:rPr>
            <w:t>:</w:t>
          </w:r>
          <w:bookmarkEnd w:id="5"/>
        </w:sdtContent>
      </w:sdt>
      <w:r>
        <w:rPr>
          <w:rFonts w:hint="eastAsia" w:ascii="Times New Roman"/>
        </w:rPr>
        <w:t>标准化文件的结构和起草规则》的规定起草。</w:t>
      </w:r>
    </w:p>
    <w:p>
      <w:pPr>
        <w:pStyle w:val="5"/>
        <w:rPr>
          <w:rFonts w:ascii="Times New Roman"/>
        </w:rPr>
      </w:pPr>
      <w:r>
        <w:rPr>
          <w:rFonts w:hint="eastAsia" w:ascii="Times New Roman"/>
        </w:rPr>
        <w:t>请注意本文件的某些内容可能涉及专利。本文件的发布机构不承担识别专利的责任。</w:t>
      </w:r>
    </w:p>
    <w:p>
      <w:pPr>
        <w:spacing w:line="300" w:lineRule="auto"/>
        <w:ind w:firstLine="420" w:firstLineChars="200"/>
      </w:pPr>
      <w:r>
        <w:rPr>
          <w:rFonts w:hint="eastAsia"/>
        </w:rPr>
        <w:t>本文件由南京市市场监督管理局提出。</w:t>
      </w:r>
    </w:p>
    <w:p>
      <w:pPr>
        <w:spacing w:line="300" w:lineRule="auto"/>
        <w:ind w:firstLine="420" w:firstLineChars="200"/>
      </w:pPr>
      <w:r>
        <w:rPr>
          <w:rFonts w:hint="eastAsia"/>
        </w:rPr>
        <w:t>本文件由江苏省市场监督管理局归口。</w:t>
      </w:r>
    </w:p>
    <w:p>
      <w:pPr>
        <w:spacing w:line="300" w:lineRule="auto"/>
        <w:ind w:firstLine="420" w:firstLineChars="200"/>
      </w:pPr>
      <w:r>
        <w:rPr>
          <w:rFonts w:hint="eastAsia"/>
        </w:rPr>
        <w:t>本文件起草单位：中国能源建设集团江苏省电力设计院有限公司。</w:t>
      </w:r>
    </w:p>
    <w:p>
      <w:pPr>
        <w:spacing w:line="300" w:lineRule="auto"/>
        <w:ind w:firstLine="420" w:firstLineChars="200"/>
      </w:pPr>
      <w:r>
        <w:rPr>
          <w:rFonts w:hint="eastAsia"/>
        </w:rPr>
        <w:t>本文件主要起草人</w:t>
      </w:r>
      <w:sdt>
        <w:sdtPr>
          <w:alias w:val="标点符号检查"/>
          <w:id w:val="2140723"/>
        </w:sdtPr>
        <w:sdtContent>
          <w:bookmarkStart w:id="6" w:name="bkReivew2140723"/>
          <w:r>
            <w:rPr>
              <w:rFonts w:hint="eastAsia"/>
            </w:rPr>
            <w:t>：。</w:t>
          </w:r>
          <w:bookmarkEnd w:id="6"/>
        </w:sdtContent>
      </w:sdt>
    </w:p>
    <w:p>
      <w:pPr>
        <w:spacing w:line="300" w:lineRule="auto"/>
        <w:ind w:firstLine="420" w:firstLineChars="200"/>
      </w:pPr>
    </w:p>
    <w:p>
      <w:pPr>
        <w:spacing w:line="300" w:lineRule="auto"/>
        <w:ind w:firstLine="420" w:firstLineChars="200"/>
        <w:sectPr>
          <w:footerReference r:id="rId11" w:type="default"/>
          <w:footerReference r:id="rId12" w:type="even"/>
          <w:pgSz w:w="11906" w:h="16838"/>
          <w:pgMar w:top="567" w:right="1134" w:bottom="1134" w:left="1417" w:header="1418" w:footer="1134" w:gutter="0"/>
          <w:pgNumType w:fmt="upperRoman" w:start="1"/>
          <w:cols w:space="425" w:num="1"/>
          <w:formProt w:val="0"/>
          <w:docGrid w:type="lines" w:linePitch="312" w:charSpace="0"/>
        </w:sectPr>
      </w:pPr>
    </w:p>
    <w:bookmarkEnd w:id="0"/>
    <w:p>
      <w:pPr>
        <w:pStyle w:val="269"/>
        <w:rPr>
          <w:rFonts w:ascii="Times New Roman"/>
          <w:sz w:val="32"/>
        </w:rPr>
      </w:pPr>
      <w:r>
        <w:rPr>
          <w:rFonts w:hint="eastAsia" w:ascii="Times New Roman"/>
          <w:sz w:val="32"/>
        </w:rPr>
        <w:t>有源配电网规划技术导则</w:t>
      </w:r>
    </w:p>
    <w:p>
      <w:pPr>
        <w:pStyle w:val="3"/>
      </w:pPr>
      <w:bookmarkStart w:id="7" w:name="_Toc170111361"/>
      <w:bookmarkStart w:id="8" w:name="_Toc1579_WPSOffice_Level1"/>
      <w:bookmarkStart w:id="9" w:name="_Toc25413"/>
      <w:bookmarkStart w:id="10" w:name="_Toc30238"/>
      <w:bookmarkStart w:id="11" w:name="_Toc156810847"/>
      <w:bookmarkStart w:id="12" w:name="_Toc90537115"/>
      <w:bookmarkStart w:id="13" w:name="_Toc13842"/>
      <w:bookmarkStart w:id="14" w:name="_Toc7373"/>
      <w:r>
        <w:t>范围</w:t>
      </w:r>
      <w:bookmarkEnd w:id="7"/>
      <w:bookmarkEnd w:id="8"/>
      <w:bookmarkEnd w:id="9"/>
      <w:bookmarkEnd w:id="10"/>
      <w:bookmarkEnd w:id="11"/>
      <w:bookmarkEnd w:id="12"/>
      <w:bookmarkEnd w:id="13"/>
      <w:bookmarkEnd w:id="14"/>
      <w:bookmarkStart w:id="15" w:name="pindex56"/>
      <w:bookmarkEnd w:id="15"/>
    </w:p>
    <w:p>
      <w:pPr>
        <w:autoSpaceDE w:val="0"/>
        <w:autoSpaceDN w:val="0"/>
        <w:spacing w:line="300" w:lineRule="auto"/>
        <w:ind w:firstLine="420" w:firstLineChars="200"/>
        <w:rPr>
          <w:kern w:val="0"/>
        </w:rPr>
      </w:pPr>
      <w:r>
        <w:rPr>
          <w:rFonts w:hint="eastAsia"/>
          <w:kern w:val="0"/>
        </w:rPr>
        <w:t>本文件规定了有源配电网规划的编制要求、供需预测与平衡分析、网架结构规划、系统二次规划、分布式电源承载力评估、分布式电源与新型负荷接入要求、规划分析计算和经济分析评价要求</w:t>
      </w:r>
      <w:r>
        <w:rPr>
          <w:kern w:val="0"/>
        </w:rPr>
        <w:t>。</w:t>
      </w:r>
    </w:p>
    <w:p>
      <w:pPr>
        <w:autoSpaceDE w:val="0"/>
        <w:autoSpaceDN w:val="0"/>
        <w:spacing w:line="300" w:lineRule="auto"/>
        <w:ind w:firstLine="420" w:firstLineChars="200"/>
        <w:rPr>
          <w:kern w:val="0"/>
        </w:rPr>
      </w:pPr>
      <w:r>
        <w:rPr>
          <w:rFonts w:hint="eastAsia"/>
          <w:kern w:val="0"/>
        </w:rPr>
        <w:t>本文件适用于</w:t>
      </w:r>
      <w:r>
        <w:rPr>
          <w:kern w:val="0"/>
        </w:rPr>
        <w:t>10kV</w:t>
      </w:r>
      <w:r>
        <w:rPr>
          <w:rFonts w:hint="eastAsia"/>
          <w:kern w:val="0"/>
        </w:rPr>
        <w:t>及以下各电压等级有源配电网规划的有关工作。其中</w:t>
      </w:r>
      <w:r>
        <w:rPr>
          <w:kern w:val="0"/>
        </w:rPr>
        <w:t>20kV</w:t>
      </w:r>
      <w:r>
        <w:rPr>
          <w:rFonts w:hint="eastAsia"/>
          <w:kern w:val="0"/>
        </w:rPr>
        <w:t>电压等级参照</w:t>
      </w:r>
      <w:r>
        <w:rPr>
          <w:kern w:val="0"/>
        </w:rPr>
        <w:t>10kV</w:t>
      </w:r>
      <w:r>
        <w:rPr>
          <w:rFonts w:hint="eastAsia"/>
          <w:kern w:val="0"/>
        </w:rPr>
        <w:t>电压等级的相关技术要求执行</w:t>
      </w:r>
      <w:r>
        <w:rPr>
          <w:kern w:val="0"/>
        </w:rPr>
        <w:t>。</w:t>
      </w:r>
    </w:p>
    <w:p>
      <w:pPr>
        <w:pStyle w:val="3"/>
      </w:pPr>
      <w:bookmarkStart w:id="16" w:name="_Toc170111362"/>
      <w:bookmarkStart w:id="17" w:name="_Toc25875"/>
      <w:bookmarkStart w:id="18" w:name="_Toc90537116"/>
      <w:bookmarkStart w:id="19" w:name="_Toc17889"/>
      <w:bookmarkStart w:id="20" w:name="_Toc156810848"/>
      <w:bookmarkStart w:id="21" w:name="_Toc4420_WPSOffice_Level1"/>
      <w:bookmarkStart w:id="22" w:name="_Toc10280"/>
      <w:bookmarkStart w:id="23" w:name="_Toc27362"/>
      <w:r>
        <w:t>规范性引用文件</w:t>
      </w:r>
      <w:bookmarkEnd w:id="16"/>
      <w:bookmarkEnd w:id="17"/>
      <w:bookmarkEnd w:id="18"/>
      <w:bookmarkEnd w:id="19"/>
      <w:bookmarkEnd w:id="20"/>
      <w:bookmarkEnd w:id="21"/>
      <w:bookmarkEnd w:id="22"/>
      <w:bookmarkEnd w:id="23"/>
      <w:bookmarkStart w:id="24" w:name="pindex59"/>
      <w:bookmarkEnd w:id="24"/>
    </w:p>
    <w:p>
      <w:pPr>
        <w:autoSpaceDE w:val="0"/>
        <w:autoSpaceDN w:val="0"/>
        <w:spacing w:line="300" w:lineRule="auto"/>
        <w:ind w:firstLine="420" w:firstLineChars="200"/>
      </w:pPr>
      <w:r>
        <w:rPr>
          <w:rFonts w:hint="eastAsia"/>
          <w:kern w:val="0"/>
        </w:rPr>
        <w:t>下列文件中的内容通过文中的规范性引用而构成本文件必不可少的条款。其中，注日期的引用文件，仅该日期对应的版本适用于本文件；不注日期的引用文件，其最新版本（包括所有的修改）适用于本文件。</w:t>
      </w:r>
    </w:p>
    <w:p>
      <w:pPr>
        <w:autoSpaceDE w:val="0"/>
        <w:autoSpaceDN w:val="0"/>
        <w:spacing w:line="300" w:lineRule="auto"/>
        <w:ind w:firstLine="420" w:firstLineChars="200"/>
        <w:rPr>
          <w:szCs w:val="21"/>
        </w:rPr>
      </w:pPr>
      <w:r>
        <w:rPr>
          <w:szCs w:val="21"/>
        </w:rPr>
        <w:t>GB/T 14285</w:t>
      </w:r>
      <w:r>
        <w:rPr>
          <w:rFonts w:hint="eastAsia"/>
          <w:szCs w:val="21"/>
        </w:rPr>
        <w:t xml:space="preserve"> </w:t>
      </w:r>
      <w:r>
        <w:rPr>
          <w:szCs w:val="21"/>
        </w:rPr>
        <w:t>继电保护和安全自动装置技术规</w:t>
      </w:r>
      <w:r>
        <w:rPr>
          <w:rFonts w:hint="eastAsia"/>
          <w:szCs w:val="21"/>
        </w:rPr>
        <w:t>程</w:t>
      </w:r>
    </w:p>
    <w:p>
      <w:pPr>
        <w:spacing w:line="300" w:lineRule="auto"/>
        <w:ind w:firstLine="420" w:firstLineChars="200"/>
      </w:pPr>
      <w:r>
        <w:rPr>
          <w:rFonts w:hint="eastAsia"/>
          <w:szCs w:val="21"/>
        </w:rPr>
        <w:t>GB/T 15544.1 三相交流系统短路电流计算  第1部分：电流计算</w:t>
      </w:r>
    </w:p>
    <w:p>
      <w:pPr>
        <w:spacing w:line="300" w:lineRule="auto"/>
        <w:ind w:firstLine="420" w:firstLineChars="200"/>
      </w:pPr>
      <w:r>
        <w:rPr>
          <w:rFonts w:hint="eastAsia"/>
        </w:rPr>
        <w:t>GB</w:t>
      </w:r>
      <w:r>
        <w:t xml:space="preserve">/T 18487.1 </w:t>
      </w:r>
      <w:r>
        <w:rPr>
          <w:rFonts w:hint="eastAsia"/>
        </w:rPr>
        <w:t xml:space="preserve">电动汽车传导充电系统  </w:t>
      </w:r>
      <w:r>
        <w:t>第</w:t>
      </w:r>
      <w:r>
        <w:rPr>
          <w:rFonts w:hint="eastAsia"/>
        </w:rPr>
        <w:t>1</w:t>
      </w:r>
      <w:r>
        <w:t>部分</w:t>
      </w:r>
      <w:r>
        <w:rPr>
          <w:rFonts w:hint="eastAsia"/>
        </w:rPr>
        <w:t>：通用要求</w:t>
      </w:r>
    </w:p>
    <w:p>
      <w:pPr>
        <w:autoSpaceDE w:val="0"/>
        <w:autoSpaceDN w:val="0"/>
        <w:spacing w:line="300" w:lineRule="auto"/>
        <w:ind w:firstLine="420" w:firstLineChars="200"/>
      </w:pPr>
      <w:r>
        <w:rPr>
          <w:rFonts w:hint="eastAsia"/>
        </w:rPr>
        <w:t>GB</w:t>
      </w:r>
      <w:r>
        <w:t xml:space="preserve">/T 20042.2 </w:t>
      </w:r>
      <w:r>
        <w:rPr>
          <w:rFonts w:hint="eastAsia"/>
        </w:rPr>
        <w:t>质子交换膜燃料电池</w:t>
      </w:r>
      <w:r>
        <w:t xml:space="preserve"> </w:t>
      </w:r>
      <w:r>
        <w:rPr>
          <w:rFonts w:hint="eastAsia"/>
        </w:rPr>
        <w:t xml:space="preserve"> 第2部分：电池堆通用技术条件</w:t>
      </w:r>
    </w:p>
    <w:p>
      <w:pPr>
        <w:spacing w:line="300" w:lineRule="auto"/>
        <w:ind w:firstLine="420" w:firstLineChars="200"/>
      </w:pPr>
      <w:r>
        <w:rPr>
          <w:rFonts w:hint="eastAsia"/>
          <w:szCs w:val="21"/>
        </w:rPr>
        <w:t>GB/T 29319 光伏发电系统接入配电网技术规定</w:t>
      </w:r>
    </w:p>
    <w:p>
      <w:pPr>
        <w:spacing w:line="300" w:lineRule="auto"/>
        <w:ind w:firstLine="420" w:firstLineChars="200"/>
      </w:pPr>
      <w:r>
        <w:rPr>
          <w:szCs w:val="21"/>
        </w:rPr>
        <w:t xml:space="preserve">GB/T 29328 </w:t>
      </w:r>
      <w:r>
        <w:rPr>
          <w:rFonts w:hint="eastAsia"/>
          <w:szCs w:val="21"/>
        </w:rPr>
        <w:t>重要电力用户供电电源及自备应急电源配置技术规范</w:t>
      </w:r>
    </w:p>
    <w:p>
      <w:pPr>
        <w:spacing w:line="300" w:lineRule="auto"/>
        <w:ind w:firstLine="420" w:firstLineChars="200"/>
      </w:pPr>
      <w:r>
        <w:rPr>
          <w:szCs w:val="21"/>
        </w:rPr>
        <w:t xml:space="preserve">GB/T 33589 </w:t>
      </w:r>
      <w:r>
        <w:rPr>
          <w:rFonts w:hint="eastAsia"/>
          <w:szCs w:val="21"/>
        </w:rPr>
        <w:t>微电网接入电力系统技术规定</w:t>
      </w:r>
    </w:p>
    <w:p>
      <w:pPr>
        <w:autoSpaceDE w:val="0"/>
        <w:autoSpaceDN w:val="0"/>
        <w:spacing w:line="300" w:lineRule="auto"/>
        <w:ind w:firstLine="420" w:firstLineChars="200"/>
        <w:rPr>
          <w:szCs w:val="21"/>
        </w:rPr>
      </w:pPr>
      <w:r>
        <w:rPr>
          <w:szCs w:val="21"/>
        </w:rPr>
        <w:t xml:space="preserve">GB/T 36278 </w:t>
      </w:r>
      <w:r>
        <w:rPr>
          <w:rFonts w:hint="eastAsia"/>
          <w:szCs w:val="21"/>
        </w:rPr>
        <w:t>电动汽车充换电设施接入配电网技术规范</w:t>
      </w:r>
    </w:p>
    <w:p>
      <w:pPr>
        <w:autoSpaceDE w:val="0"/>
        <w:autoSpaceDN w:val="0"/>
        <w:spacing w:line="300" w:lineRule="auto"/>
        <w:ind w:firstLine="420" w:firstLineChars="200"/>
        <w:rPr>
          <w:szCs w:val="21"/>
        </w:rPr>
      </w:pPr>
      <w:r>
        <w:rPr>
          <w:szCs w:val="21"/>
        </w:rPr>
        <w:t>GB/T 36547</w:t>
      </w:r>
      <w:r>
        <w:rPr>
          <w:rFonts w:hint="eastAsia"/>
          <w:szCs w:val="21"/>
        </w:rPr>
        <w:t xml:space="preserve"> 电化学储能系统接入电网技术规定</w:t>
      </w:r>
      <w:r>
        <w:rPr>
          <w:szCs w:val="21"/>
        </w:rPr>
        <w:t xml:space="preserve"> </w:t>
      </w:r>
    </w:p>
    <w:p>
      <w:pPr>
        <w:autoSpaceDE w:val="0"/>
        <w:autoSpaceDN w:val="0"/>
        <w:spacing w:line="300" w:lineRule="auto"/>
        <w:ind w:firstLine="420" w:firstLineChars="200"/>
        <w:rPr>
          <w:szCs w:val="21"/>
        </w:rPr>
      </w:pPr>
      <w:r>
        <w:rPr>
          <w:szCs w:val="21"/>
        </w:rPr>
        <w:t>GB/T 50293</w:t>
      </w:r>
      <w:r>
        <w:rPr>
          <w:rFonts w:hint="eastAsia"/>
          <w:szCs w:val="21"/>
        </w:rPr>
        <w:t xml:space="preserve"> </w:t>
      </w:r>
      <w:r>
        <w:rPr>
          <w:szCs w:val="21"/>
        </w:rPr>
        <w:t>城市电力规划规范</w:t>
      </w:r>
    </w:p>
    <w:p>
      <w:pPr>
        <w:autoSpaceDE w:val="0"/>
        <w:autoSpaceDN w:val="0"/>
        <w:spacing w:line="300" w:lineRule="auto"/>
        <w:ind w:firstLine="420" w:firstLineChars="200"/>
        <w:rPr>
          <w:szCs w:val="21"/>
        </w:rPr>
      </w:pPr>
      <w:r>
        <w:rPr>
          <w:rFonts w:hint="eastAsia"/>
        </w:rPr>
        <w:t>GB 51048 电化学储能电站设计规范</w:t>
      </w:r>
    </w:p>
    <w:p>
      <w:pPr>
        <w:autoSpaceDE w:val="0"/>
        <w:autoSpaceDN w:val="0"/>
        <w:spacing w:line="300" w:lineRule="auto"/>
        <w:ind w:firstLine="420" w:firstLineChars="200"/>
        <w:rPr>
          <w:szCs w:val="21"/>
        </w:rPr>
      </w:pPr>
      <w:r>
        <w:rPr>
          <w:rFonts w:hint="eastAsia"/>
          <w:szCs w:val="21"/>
        </w:rPr>
        <w:t>DL</w:t>
      </w:r>
      <w:r>
        <w:rPr>
          <w:szCs w:val="21"/>
        </w:rPr>
        <w:t>/T 256</w:t>
      </w:r>
      <w:r>
        <w:rPr>
          <w:rFonts w:hint="eastAsia"/>
          <w:szCs w:val="21"/>
        </w:rPr>
        <w:t xml:space="preserve"> 城市电网供电安全标准</w:t>
      </w:r>
    </w:p>
    <w:p>
      <w:pPr>
        <w:autoSpaceDE w:val="0"/>
        <w:autoSpaceDN w:val="0"/>
        <w:spacing w:line="300" w:lineRule="auto"/>
        <w:ind w:firstLine="420" w:firstLineChars="200"/>
        <w:rPr>
          <w:szCs w:val="21"/>
        </w:rPr>
      </w:pPr>
      <w:r>
        <w:rPr>
          <w:rFonts w:hint="eastAsia"/>
          <w:szCs w:val="21"/>
        </w:rPr>
        <w:t>DL/T 836</w:t>
      </w:r>
      <w:r>
        <w:rPr>
          <w:szCs w:val="21"/>
        </w:rPr>
        <w:t xml:space="preserve">.1 </w:t>
      </w:r>
      <w:r>
        <w:rPr>
          <w:rFonts w:hint="eastAsia"/>
          <w:szCs w:val="21"/>
        </w:rPr>
        <w:t>供电系统用户供电可靠性评价规程</w:t>
      </w:r>
    </w:p>
    <w:p>
      <w:pPr>
        <w:spacing w:line="300" w:lineRule="auto"/>
        <w:ind w:firstLine="420" w:firstLineChars="200"/>
      </w:pPr>
      <w:r>
        <w:rPr>
          <w:rFonts w:hint="eastAsia"/>
          <w:szCs w:val="21"/>
        </w:rPr>
        <w:t>DL/T 2041 分布式电源接入电网承载力评估导则</w:t>
      </w:r>
    </w:p>
    <w:p>
      <w:pPr>
        <w:autoSpaceDE w:val="0"/>
        <w:autoSpaceDN w:val="0"/>
        <w:spacing w:line="300" w:lineRule="auto"/>
        <w:ind w:firstLine="420" w:firstLineChars="200"/>
        <w:rPr>
          <w:szCs w:val="21"/>
        </w:rPr>
      </w:pPr>
      <w:r>
        <w:rPr>
          <w:rFonts w:hint="eastAsia"/>
          <w:szCs w:val="21"/>
        </w:rPr>
        <w:t>DL</w:t>
      </w:r>
      <w:r>
        <w:rPr>
          <w:szCs w:val="21"/>
        </w:rPr>
        <w:t>/</w:t>
      </w:r>
      <w:r>
        <w:rPr>
          <w:rFonts w:hint="eastAsia"/>
          <w:szCs w:val="21"/>
        </w:rPr>
        <w:t>T 5729</w:t>
      </w:r>
      <w:r>
        <w:rPr>
          <w:szCs w:val="21"/>
        </w:rPr>
        <w:t xml:space="preserve"> </w:t>
      </w:r>
      <w:r>
        <w:rPr>
          <w:rFonts w:hint="eastAsia"/>
          <w:szCs w:val="21"/>
        </w:rPr>
        <w:t>配电网规划设计技术导则</w:t>
      </w:r>
    </w:p>
    <w:p>
      <w:pPr>
        <w:autoSpaceDE w:val="0"/>
        <w:autoSpaceDN w:val="0"/>
        <w:spacing w:line="300" w:lineRule="auto"/>
        <w:ind w:firstLine="420" w:firstLineChars="200"/>
      </w:pPr>
      <w:r>
        <w:rPr>
          <w:rFonts w:hint="eastAsia"/>
        </w:rPr>
        <w:t>GB/T 12325 电能质量 供电电压偏差</w:t>
      </w:r>
    </w:p>
    <w:p>
      <w:pPr>
        <w:autoSpaceDE w:val="0"/>
        <w:autoSpaceDN w:val="0"/>
        <w:spacing w:line="300" w:lineRule="auto"/>
        <w:ind w:firstLine="420" w:firstLineChars="200"/>
      </w:pPr>
      <w:r>
        <w:rPr>
          <w:rFonts w:hint="eastAsia"/>
        </w:rPr>
        <w:t>GB/T 12326 电能质量 电压波动和闪变</w:t>
      </w:r>
    </w:p>
    <w:p>
      <w:pPr>
        <w:autoSpaceDE w:val="0"/>
        <w:autoSpaceDN w:val="0"/>
        <w:spacing w:line="300" w:lineRule="auto"/>
        <w:ind w:firstLine="420" w:firstLineChars="200"/>
      </w:pPr>
      <w:r>
        <w:rPr>
          <w:rFonts w:hint="eastAsia"/>
        </w:rPr>
        <w:t>GB/T 14549 电能质量 公用电网谐波</w:t>
      </w:r>
    </w:p>
    <w:p>
      <w:pPr>
        <w:autoSpaceDE w:val="0"/>
        <w:autoSpaceDN w:val="0"/>
        <w:spacing w:line="300" w:lineRule="auto"/>
        <w:ind w:firstLine="420" w:firstLineChars="200"/>
      </w:pPr>
      <w:r>
        <w:rPr>
          <w:rFonts w:hint="eastAsia"/>
        </w:rPr>
        <w:t>GB/T 15543 电能质量 三相电压不平衡</w:t>
      </w:r>
    </w:p>
    <w:p>
      <w:pPr>
        <w:autoSpaceDE w:val="0"/>
        <w:autoSpaceDN w:val="0"/>
        <w:spacing w:line="300" w:lineRule="auto"/>
        <w:ind w:firstLine="420" w:firstLineChars="200"/>
      </w:pPr>
      <w:r>
        <w:rPr>
          <w:rFonts w:hint="eastAsia"/>
        </w:rPr>
        <w:t>GB/T 15945 电能质量 电力系统频率偏差</w:t>
      </w:r>
    </w:p>
    <w:p>
      <w:pPr>
        <w:autoSpaceDE w:val="0"/>
        <w:autoSpaceDN w:val="0"/>
        <w:spacing w:line="300" w:lineRule="auto"/>
        <w:ind w:firstLine="420" w:firstLineChars="200"/>
      </w:pPr>
      <w:r>
        <w:rPr>
          <w:rFonts w:hint="eastAsia"/>
        </w:rPr>
        <w:t>GB/T 24337 电能质量 公用电网间谐波</w:t>
      </w:r>
    </w:p>
    <w:p>
      <w:pPr>
        <w:autoSpaceDE w:val="0"/>
        <w:autoSpaceDN w:val="0"/>
        <w:spacing w:line="300" w:lineRule="auto"/>
        <w:ind w:firstLine="420" w:firstLineChars="200"/>
      </w:pPr>
      <w:r>
        <w:rPr>
          <w:rFonts w:hint="eastAsia"/>
        </w:rPr>
        <w:t>IEC TS 63189-</w:t>
      </w:r>
      <w:sdt>
        <w:sdtPr>
          <w:alias w:val="标点符号检查"/>
          <w:id w:val="2063012"/>
        </w:sdtPr>
        <w:sdtContent>
          <w:bookmarkStart w:id="25" w:name="bkReivew2063012"/>
          <w:r>
            <w:t>1</w:t>
          </w:r>
          <w:r>
            <w:rPr>
              <w:rFonts w:hint="eastAsia"/>
            </w:rPr>
            <w:t>：</w:t>
          </w:r>
          <w:r>
            <w:t>2023</w:t>
          </w:r>
          <w:bookmarkEnd w:id="25"/>
        </w:sdtContent>
      </w:sdt>
      <w:r>
        <w:t xml:space="preserve"> </w:t>
      </w:r>
      <w:r>
        <w:rPr>
          <w:rFonts w:hint="eastAsia"/>
        </w:rPr>
        <w:t>虚拟电厂</w:t>
      </w:r>
      <w:r>
        <w:t xml:space="preserve"> </w:t>
      </w:r>
      <w:r>
        <w:rPr>
          <w:rFonts w:hint="eastAsia"/>
        </w:rPr>
        <w:t>第1部分：架构与功能要求（V</w:t>
      </w:r>
      <w:r>
        <w:t>irtual power plants- Part 1: Architecture and functional requirements</w:t>
      </w:r>
      <w:r>
        <w:rPr>
          <w:rFonts w:hint="eastAsia"/>
        </w:rPr>
        <w:t>）</w:t>
      </w:r>
    </w:p>
    <w:p>
      <w:pPr>
        <w:autoSpaceDE w:val="0"/>
        <w:autoSpaceDN w:val="0"/>
        <w:spacing w:line="300" w:lineRule="auto"/>
        <w:ind w:firstLine="420" w:firstLineChars="200"/>
        <w:rPr>
          <w:szCs w:val="21"/>
        </w:rPr>
      </w:pPr>
      <w:r>
        <w:rPr>
          <w:rFonts w:hint="eastAsia"/>
          <w:szCs w:val="21"/>
        </w:rPr>
        <w:t>GB/T 33593 分布式电源并网技术要求</w:t>
      </w:r>
    </w:p>
    <w:p>
      <w:pPr>
        <w:pStyle w:val="3"/>
      </w:pPr>
      <w:bookmarkStart w:id="26" w:name="_Toc30763_WPSOffice_Level1"/>
      <w:bookmarkStart w:id="27" w:name="_Toc14184"/>
      <w:bookmarkStart w:id="28" w:name="_Toc12802"/>
      <w:bookmarkStart w:id="29" w:name="_Toc156810849"/>
      <w:bookmarkStart w:id="30" w:name="_Toc170111363"/>
      <w:bookmarkStart w:id="31" w:name="_Toc16510"/>
      <w:bookmarkStart w:id="32" w:name="_Toc90537117"/>
      <w:bookmarkStart w:id="33" w:name="_Toc31561"/>
      <w:r>
        <w:t>术语和定义</w:t>
      </w:r>
      <w:bookmarkEnd w:id="26"/>
      <w:bookmarkEnd w:id="27"/>
      <w:bookmarkEnd w:id="28"/>
      <w:bookmarkEnd w:id="29"/>
      <w:bookmarkEnd w:id="30"/>
      <w:bookmarkEnd w:id="31"/>
      <w:bookmarkEnd w:id="32"/>
      <w:bookmarkEnd w:id="33"/>
      <w:r>
        <w:t xml:space="preserve"> </w:t>
      </w:r>
      <w:bookmarkStart w:id="34" w:name="pindex99"/>
      <w:bookmarkEnd w:id="34"/>
    </w:p>
    <w:p>
      <w:pPr>
        <w:pStyle w:val="5"/>
        <w:rPr>
          <w:rFonts w:ascii="Times New Roman"/>
        </w:rPr>
      </w:pPr>
      <w:r>
        <w:rPr>
          <w:rFonts w:ascii="Times New Roman"/>
        </w:rPr>
        <w:t>下列术语和定义适用于本文件。</w:t>
      </w:r>
    </w:p>
    <w:p>
      <w:pPr>
        <w:pStyle w:val="5"/>
        <w:rPr>
          <w:rFonts w:ascii="Times New Roman"/>
        </w:rPr>
      </w:pPr>
      <w:bookmarkStart w:id="35" w:name="_Toc26512_WPSOffice_Level2"/>
      <w:bookmarkStart w:id="36" w:name="_Toc3904"/>
      <w:bookmarkStart w:id="37" w:name="_Toc21934"/>
      <w:bookmarkStart w:id="38" w:name="_Toc29086"/>
      <w:r>
        <w:rPr>
          <w:rFonts w:ascii="Times New Roman"/>
        </w:rPr>
        <w:t>3.1</w:t>
      </w:r>
    </w:p>
    <w:bookmarkEnd w:id="35"/>
    <w:bookmarkEnd w:id="36"/>
    <w:bookmarkEnd w:id="37"/>
    <w:bookmarkEnd w:id="38"/>
    <w:p>
      <w:pPr>
        <w:autoSpaceDE w:val="0"/>
        <w:autoSpaceDN w:val="0"/>
        <w:spacing w:line="300" w:lineRule="auto"/>
        <w:ind w:firstLine="420" w:firstLineChars="200"/>
        <w:rPr>
          <w:rFonts w:eastAsia="黑体"/>
          <w:kern w:val="0"/>
          <w:szCs w:val="20"/>
        </w:rPr>
      </w:pPr>
      <w:r>
        <w:rPr>
          <w:rFonts w:hint="eastAsia" w:eastAsia="黑体"/>
          <w:kern w:val="0"/>
          <w:szCs w:val="20"/>
        </w:rPr>
        <w:t>有源配电网</w:t>
      </w:r>
      <w:r>
        <w:rPr>
          <w:rFonts w:eastAsia="黑体"/>
          <w:kern w:val="0"/>
          <w:szCs w:val="20"/>
        </w:rPr>
        <w:t xml:space="preserve"> </w:t>
      </w:r>
      <w:bookmarkStart w:id="39" w:name="bkReivew1141423"/>
      <w:sdt>
        <w:sdtPr>
          <w:alias w:val="译文检查"/>
          <w:id w:val="1141423"/>
        </w:sdtPr>
        <w:sdtContent>
          <w:r>
            <w:rPr>
              <w:rFonts w:eastAsia="黑体"/>
              <w:kern w:val="0"/>
              <w:szCs w:val="20"/>
            </w:rPr>
            <w:t>active distribution network</w:t>
          </w:r>
          <w:bookmarkEnd w:id="39"/>
        </w:sdtContent>
      </w:sdt>
    </w:p>
    <w:p>
      <w:pPr>
        <w:autoSpaceDE w:val="0"/>
        <w:autoSpaceDN w:val="0"/>
        <w:spacing w:line="300" w:lineRule="auto"/>
        <w:ind w:firstLine="420" w:firstLineChars="200"/>
        <w:rPr>
          <w:szCs w:val="21"/>
        </w:rPr>
      </w:pPr>
      <w:r>
        <w:rPr>
          <w:rFonts w:hint="eastAsia"/>
        </w:rPr>
        <w:t>接入分布式电源、储能、灵活负荷等元素</w:t>
      </w:r>
      <w:r>
        <w:rPr>
          <w:rFonts w:hint="eastAsia"/>
          <w:szCs w:val="21"/>
        </w:rPr>
        <w:t>，</w:t>
      </w:r>
      <w:r>
        <w:rPr>
          <w:rFonts w:hint="eastAsia"/>
        </w:rPr>
        <w:t>具有双向</w:t>
      </w:r>
      <w:sdt>
        <w:sdtPr>
          <w:alias w:val="易错词检查"/>
          <w:id w:val="1132040"/>
        </w:sdtPr>
        <w:sdtContent>
          <w:bookmarkStart w:id="40" w:name="bkReivew1132040"/>
          <w:r>
            <w:rPr>
              <w:rFonts w:hint="eastAsia"/>
            </w:rPr>
            <w:t>潮流</w:t>
          </w:r>
          <w:bookmarkEnd w:id="40"/>
        </w:sdtContent>
      </w:sdt>
      <w:r>
        <w:rPr>
          <w:rFonts w:hint="eastAsia"/>
        </w:rPr>
        <w:t>和协调控制能力的配电网。</w:t>
      </w:r>
    </w:p>
    <w:p>
      <w:pPr>
        <w:pStyle w:val="514"/>
        <w:spacing w:before="60" w:after="60"/>
        <w:rPr>
          <w:rFonts w:ascii="Times New Roman" w:hAnsi="Times New Roman"/>
          <w:lang w:val="en-US"/>
        </w:rPr>
      </w:pPr>
      <w:bookmarkStart w:id="41" w:name="_Toc16155"/>
      <w:bookmarkStart w:id="42" w:name="_Toc10399"/>
      <w:bookmarkStart w:id="43" w:name="_Toc24112"/>
      <w:bookmarkStart w:id="44" w:name="_Toc13331_WPSOffice_Level1"/>
      <w:bookmarkStart w:id="45" w:name="_Toc90537118"/>
      <w:bookmarkStart w:id="46" w:name="_Toc28934"/>
      <w:r>
        <w:rPr>
          <w:rFonts w:hint="eastAsia" w:ascii="Times New Roman" w:hAnsi="Times New Roman"/>
          <w:lang w:val="en-US"/>
        </w:rPr>
        <w:t>3</w:t>
      </w:r>
      <w:r>
        <w:rPr>
          <w:rFonts w:ascii="Times New Roman" w:hAnsi="Times New Roman"/>
          <w:lang w:val="en-US"/>
        </w:rPr>
        <w:t>.</w:t>
      </w:r>
      <w:r>
        <w:rPr>
          <w:rFonts w:hint="eastAsia" w:ascii="Times New Roman" w:hAnsi="Times New Roman"/>
          <w:lang w:val="en-US"/>
        </w:rPr>
        <w:t>2</w:t>
      </w:r>
    </w:p>
    <w:p>
      <w:pPr>
        <w:autoSpaceDE w:val="0"/>
        <w:autoSpaceDN w:val="0"/>
        <w:spacing w:line="300" w:lineRule="auto"/>
        <w:ind w:firstLine="420" w:firstLineChars="200"/>
        <w:rPr>
          <w:rFonts w:eastAsia="黑体"/>
          <w:kern w:val="0"/>
          <w:szCs w:val="20"/>
        </w:rPr>
      </w:pPr>
      <w:r>
        <w:rPr>
          <w:rFonts w:eastAsia="黑体"/>
          <w:kern w:val="0"/>
          <w:szCs w:val="20"/>
        </w:rPr>
        <w:t>转供能力  transfer capability</w:t>
      </w:r>
    </w:p>
    <w:p>
      <w:pPr>
        <w:autoSpaceDE w:val="0"/>
        <w:autoSpaceDN w:val="0"/>
        <w:spacing w:line="300" w:lineRule="auto"/>
        <w:ind w:firstLine="420" w:firstLineChars="200"/>
        <w:rPr>
          <w:szCs w:val="21"/>
        </w:rPr>
      </w:pPr>
      <w:r>
        <w:rPr>
          <w:rFonts w:hint="eastAsia"/>
          <w:szCs w:val="21"/>
        </w:rPr>
        <w:t>某一供电区域内，当电网元件或变电站发生停运时，电网转移负荷的能力，一般量化为能转移的负荷占该区域总负荷的比例。</w:t>
      </w:r>
    </w:p>
    <w:p>
      <w:pPr>
        <w:autoSpaceDE w:val="0"/>
        <w:autoSpaceDN w:val="0"/>
        <w:spacing w:line="300" w:lineRule="auto"/>
        <w:rPr>
          <w:szCs w:val="21"/>
        </w:rPr>
      </w:pPr>
      <w:r>
        <w:rPr>
          <w:rFonts w:hint="eastAsia"/>
          <w:szCs w:val="21"/>
        </w:rPr>
        <w:t>3.3</w:t>
      </w:r>
    </w:p>
    <w:p>
      <w:pPr>
        <w:autoSpaceDE w:val="0"/>
        <w:autoSpaceDN w:val="0"/>
        <w:spacing w:line="300" w:lineRule="auto"/>
        <w:ind w:firstLine="420" w:firstLineChars="200"/>
        <w:rPr>
          <w:rFonts w:eastAsia="黑体"/>
          <w:kern w:val="0"/>
          <w:szCs w:val="20"/>
        </w:rPr>
      </w:pPr>
      <w:r>
        <w:rPr>
          <w:rFonts w:hint="eastAsia" w:eastAsia="黑体"/>
          <w:szCs w:val="21"/>
        </w:rPr>
        <w:t>显著性检验</w:t>
      </w:r>
      <w:r>
        <w:rPr>
          <w:rFonts w:hint="eastAsia"/>
          <w:szCs w:val="21"/>
        </w:rPr>
        <w:t xml:space="preserve"> </w:t>
      </w:r>
      <w:r>
        <w:rPr>
          <w:rFonts w:hint="eastAsia" w:eastAsia="黑体"/>
          <w:kern w:val="0"/>
          <w:szCs w:val="20"/>
        </w:rPr>
        <w:t>s</w:t>
      </w:r>
      <w:r>
        <w:rPr>
          <w:rFonts w:eastAsia="黑体"/>
          <w:kern w:val="0"/>
          <w:szCs w:val="20"/>
        </w:rPr>
        <w:t>ignificance test</w:t>
      </w:r>
    </w:p>
    <w:p>
      <w:pPr>
        <w:autoSpaceDE w:val="0"/>
        <w:autoSpaceDN w:val="0"/>
        <w:spacing w:line="300" w:lineRule="auto"/>
        <w:ind w:firstLine="420" w:firstLineChars="200"/>
      </w:pPr>
      <w:r>
        <w:rPr>
          <w:rFonts w:hint="eastAsia"/>
          <w:szCs w:val="21"/>
        </w:rPr>
        <w:t>一种统计假设检验方法，用于判断样本数据与预先设定的假设（原假设）之间的差异是否具有统计上的显著性。</w:t>
      </w:r>
    </w:p>
    <w:p>
      <w:pPr>
        <w:pStyle w:val="514"/>
        <w:spacing w:before="60" w:after="60"/>
        <w:rPr>
          <w:rFonts w:ascii="Times New Roman" w:hAnsi="Times New Roman"/>
          <w:lang w:val="en-US"/>
        </w:rPr>
      </w:pPr>
      <w:r>
        <w:rPr>
          <w:rFonts w:hint="eastAsia" w:ascii="Times New Roman" w:hAnsi="Times New Roman"/>
          <w:lang w:val="en-US"/>
        </w:rPr>
        <w:t>3</w:t>
      </w:r>
      <w:r>
        <w:rPr>
          <w:rFonts w:ascii="Times New Roman" w:hAnsi="Times New Roman"/>
          <w:lang w:val="en-US"/>
        </w:rPr>
        <w:t>.</w:t>
      </w:r>
      <w:r>
        <w:rPr>
          <w:rFonts w:hint="eastAsia" w:ascii="Times New Roman" w:hAnsi="Times New Roman"/>
          <w:lang w:val="en-US"/>
        </w:rPr>
        <w:t>4</w:t>
      </w:r>
    </w:p>
    <w:p>
      <w:pPr>
        <w:autoSpaceDE w:val="0"/>
        <w:autoSpaceDN w:val="0"/>
        <w:spacing w:line="300" w:lineRule="auto"/>
        <w:ind w:firstLine="420" w:firstLineChars="200"/>
        <w:rPr>
          <w:rFonts w:eastAsia="黑体"/>
          <w:kern w:val="0"/>
          <w:szCs w:val="20"/>
        </w:rPr>
      </w:pPr>
      <w:r>
        <w:rPr>
          <w:rFonts w:eastAsia="黑体"/>
          <w:kern w:val="0"/>
          <w:szCs w:val="20"/>
        </w:rPr>
        <w:t xml:space="preserve">电网承载力 </w:t>
      </w:r>
      <w:sdt>
        <w:sdtPr>
          <w:alias w:val="译文检查"/>
          <w:id w:val="1081110"/>
        </w:sdtPr>
        <w:sdtContent>
          <w:bookmarkStart w:id="47" w:name="bkReivew1081110"/>
          <w:r>
            <w:rPr>
              <w:rFonts w:eastAsia="黑体"/>
              <w:kern w:val="0"/>
              <w:szCs w:val="20"/>
            </w:rPr>
            <w:t>power grid hosting capacity</w:t>
          </w:r>
          <w:bookmarkEnd w:id="47"/>
        </w:sdtContent>
      </w:sdt>
    </w:p>
    <w:p>
      <w:pPr>
        <w:autoSpaceDE w:val="0"/>
        <w:autoSpaceDN w:val="0"/>
        <w:spacing w:line="300" w:lineRule="auto"/>
        <w:ind w:firstLine="420" w:firstLineChars="200"/>
        <w:rPr>
          <w:szCs w:val="21"/>
        </w:rPr>
      </w:pPr>
      <w:r>
        <w:rPr>
          <w:rFonts w:hint="eastAsia"/>
          <w:szCs w:val="21"/>
        </w:rPr>
        <w:t>在设备不过载和短路电流、电压偏差、谐波不超过标准的条件下，电网接纳分布式电源、负荷的最大容量。</w:t>
      </w:r>
    </w:p>
    <w:p>
      <w:pPr>
        <w:pStyle w:val="514"/>
        <w:spacing w:before="60" w:after="60"/>
        <w:rPr>
          <w:rFonts w:ascii="Times New Roman" w:hAnsi="Times New Roman"/>
          <w:lang w:val="en-US"/>
        </w:rPr>
      </w:pPr>
      <w:r>
        <w:rPr>
          <w:rFonts w:hint="eastAsia" w:ascii="Times New Roman" w:hAnsi="Times New Roman"/>
          <w:lang w:val="en-US"/>
        </w:rPr>
        <w:t>3</w:t>
      </w:r>
      <w:r>
        <w:rPr>
          <w:rFonts w:ascii="Times New Roman" w:hAnsi="Times New Roman"/>
          <w:lang w:val="en-US"/>
        </w:rPr>
        <w:t>.</w:t>
      </w:r>
      <w:r>
        <w:rPr>
          <w:rFonts w:hint="eastAsia" w:ascii="Times New Roman" w:hAnsi="Times New Roman"/>
          <w:lang w:val="en-US"/>
        </w:rPr>
        <w:t>5</w:t>
      </w:r>
    </w:p>
    <w:p>
      <w:pPr>
        <w:autoSpaceDE w:val="0"/>
        <w:autoSpaceDN w:val="0"/>
        <w:spacing w:line="300" w:lineRule="auto"/>
        <w:ind w:firstLine="420" w:firstLineChars="200"/>
        <w:rPr>
          <w:rFonts w:eastAsia="黑体"/>
          <w:kern w:val="0"/>
          <w:szCs w:val="20"/>
        </w:rPr>
      </w:pPr>
      <w:r>
        <w:rPr>
          <w:rFonts w:eastAsia="黑体"/>
          <w:kern w:val="0"/>
          <w:szCs w:val="20"/>
        </w:rPr>
        <w:t>反向负载率reverse load rate</w:t>
      </w:r>
    </w:p>
    <w:p>
      <w:pPr>
        <w:autoSpaceDE w:val="0"/>
        <w:autoSpaceDN w:val="0"/>
        <w:spacing w:line="300" w:lineRule="auto"/>
        <w:ind w:firstLine="420" w:firstLineChars="200"/>
        <w:rPr>
          <w:szCs w:val="21"/>
        </w:rPr>
      </w:pPr>
      <w:r>
        <w:rPr>
          <w:rFonts w:hint="eastAsia"/>
          <w:szCs w:val="21"/>
        </w:rPr>
        <w:t>在配电网中，从低电压等级向高电压等级电网流经输变电设备的反向输送功率与设备运行限值的比值。</w:t>
      </w:r>
    </w:p>
    <w:p>
      <w:pPr>
        <w:pStyle w:val="514"/>
        <w:spacing w:before="60" w:after="60"/>
        <w:rPr>
          <w:rFonts w:ascii="Times New Roman" w:hAnsi="Times New Roman"/>
        </w:rPr>
      </w:pPr>
      <w:r>
        <w:rPr>
          <w:rFonts w:hint="eastAsia" w:ascii="Times New Roman" w:hAnsi="Times New Roman"/>
        </w:rPr>
        <w:t>3</w:t>
      </w:r>
      <w:r>
        <w:rPr>
          <w:rFonts w:ascii="Times New Roman" w:hAnsi="Times New Roman"/>
        </w:rPr>
        <w:t>.</w:t>
      </w:r>
      <w:r>
        <w:rPr>
          <w:rFonts w:hint="eastAsia" w:ascii="Times New Roman" w:hAnsi="Times New Roman"/>
        </w:rPr>
        <w:t>6</w:t>
      </w:r>
    </w:p>
    <w:p>
      <w:pPr>
        <w:autoSpaceDE w:val="0"/>
        <w:autoSpaceDN w:val="0"/>
        <w:spacing w:line="300" w:lineRule="auto"/>
        <w:ind w:firstLine="420" w:firstLineChars="200"/>
        <w:rPr>
          <w:rFonts w:eastAsia="黑体"/>
          <w:kern w:val="0"/>
          <w:szCs w:val="20"/>
        </w:rPr>
      </w:pPr>
      <w:r>
        <w:rPr>
          <w:rFonts w:eastAsia="黑体"/>
          <w:kern w:val="0"/>
          <w:szCs w:val="20"/>
        </w:rPr>
        <w:t>微电网</w:t>
      </w:r>
      <w:r>
        <w:rPr>
          <w:rFonts w:hint="eastAsia" w:eastAsia="黑体"/>
          <w:kern w:val="0"/>
          <w:szCs w:val="20"/>
        </w:rPr>
        <w:t xml:space="preserve"> </w:t>
      </w:r>
      <w:sdt>
        <w:sdtPr>
          <w:alias w:val="译文检查"/>
          <w:id w:val="1180316"/>
        </w:sdtPr>
        <w:sdtContent>
          <w:bookmarkStart w:id="48" w:name="bkReivew1180316"/>
          <w:r>
            <w:rPr>
              <w:rFonts w:eastAsia="黑体"/>
              <w:kern w:val="0"/>
              <w:szCs w:val="20"/>
            </w:rPr>
            <w:t>microgrid</w:t>
          </w:r>
          <w:bookmarkEnd w:id="48"/>
        </w:sdtContent>
      </w:sdt>
    </w:p>
    <w:p>
      <w:pPr>
        <w:pStyle w:val="514"/>
        <w:ind w:firstLine="420" w:firstLineChars="200"/>
        <w:rPr>
          <w:rFonts w:ascii="Times New Roman" w:hAnsi="Times New Roman"/>
        </w:rPr>
      </w:pPr>
      <w:r>
        <w:rPr>
          <w:rFonts w:hint="eastAsia" w:ascii="Times New Roman" w:hAnsi="Times New Roman"/>
        </w:rPr>
        <w:t>由分布式发电、用电负荷、监控、保护和自动化装置组成（必要时含储能装置），是一个能够基本实现内部电力电量平衡的小型供电系统。</w:t>
      </w:r>
    </w:p>
    <w:p>
      <w:pPr>
        <w:autoSpaceDE w:val="0"/>
        <w:autoSpaceDN w:val="0"/>
        <w:spacing w:line="300" w:lineRule="auto"/>
        <w:rPr>
          <w:szCs w:val="21"/>
        </w:rPr>
      </w:pPr>
      <w:r>
        <w:rPr>
          <w:rFonts w:hint="eastAsia"/>
          <w:szCs w:val="21"/>
        </w:rPr>
        <w:t>3</w:t>
      </w:r>
      <w:r>
        <w:rPr>
          <w:szCs w:val="21"/>
        </w:rPr>
        <w:t>.</w:t>
      </w:r>
      <w:r>
        <w:rPr>
          <w:rFonts w:hint="eastAsia"/>
          <w:szCs w:val="21"/>
        </w:rPr>
        <w:t>7</w:t>
      </w:r>
    </w:p>
    <w:p>
      <w:pPr>
        <w:autoSpaceDE w:val="0"/>
        <w:autoSpaceDN w:val="0"/>
        <w:spacing w:line="300" w:lineRule="auto"/>
        <w:ind w:firstLine="420" w:firstLineChars="200"/>
        <w:rPr>
          <w:rFonts w:eastAsia="黑体"/>
          <w:szCs w:val="21"/>
        </w:rPr>
      </w:pPr>
      <w:r>
        <w:rPr>
          <w:rFonts w:hint="eastAsia" w:eastAsia="黑体"/>
          <w:szCs w:val="21"/>
        </w:rPr>
        <w:t xml:space="preserve">分布式电源渗透率 </w:t>
      </w:r>
      <w:r>
        <w:rPr>
          <w:rFonts w:hint="eastAsia"/>
          <w:szCs w:val="21"/>
        </w:rPr>
        <w:t>penetration of distributed generation</w:t>
      </w:r>
    </w:p>
    <w:p>
      <w:pPr>
        <w:pStyle w:val="514"/>
        <w:ind w:firstLine="420"/>
        <w:rPr>
          <w:rFonts w:ascii="Times New Roman" w:hAnsi="Times New Roman"/>
          <w:lang w:val="en-US"/>
        </w:rPr>
      </w:pPr>
      <w:r>
        <w:rPr>
          <w:rFonts w:hint="eastAsia" w:ascii="Times New Roman" w:hAnsi="Times New Roman"/>
          <w:color w:val="000000"/>
          <w:lang w:val="en-US"/>
        </w:rPr>
        <w:t>规划区域内分布式电源装机容量占区域年最大负荷的比例</w:t>
      </w:r>
      <w:r>
        <w:rPr>
          <w:rFonts w:hint="eastAsia" w:ascii="Times New Roman" w:hAnsi="Times New Roman"/>
          <w:lang w:val="en-US"/>
        </w:rPr>
        <w:t>。</w:t>
      </w:r>
    </w:p>
    <w:p>
      <w:pPr>
        <w:autoSpaceDE w:val="0"/>
        <w:autoSpaceDN w:val="0"/>
        <w:spacing w:line="300" w:lineRule="auto"/>
        <w:rPr>
          <w:szCs w:val="21"/>
        </w:rPr>
      </w:pPr>
      <w:r>
        <w:rPr>
          <w:rFonts w:hint="eastAsia"/>
          <w:szCs w:val="21"/>
        </w:rPr>
        <w:t>3.8</w:t>
      </w:r>
    </w:p>
    <w:p>
      <w:pPr>
        <w:autoSpaceDE w:val="0"/>
        <w:autoSpaceDN w:val="0"/>
        <w:spacing w:line="300" w:lineRule="auto"/>
        <w:ind w:firstLine="420" w:firstLineChars="200"/>
        <w:rPr>
          <w:szCs w:val="21"/>
        </w:rPr>
      </w:pPr>
      <w:r>
        <w:rPr>
          <w:rFonts w:hint="eastAsia" w:eastAsia="黑体"/>
          <w:szCs w:val="21"/>
        </w:rPr>
        <w:t>虚拟电厂</w:t>
      </w:r>
      <w:r>
        <w:rPr>
          <w:szCs w:val="21"/>
        </w:rPr>
        <w:t xml:space="preserve"> virtual power plant</w:t>
      </w:r>
    </w:p>
    <w:p>
      <w:pPr>
        <w:autoSpaceDE w:val="0"/>
        <w:autoSpaceDN w:val="0"/>
        <w:spacing w:line="300" w:lineRule="auto"/>
        <w:ind w:firstLine="420" w:firstLineChars="200"/>
        <w:rPr>
          <w:szCs w:val="21"/>
        </w:rPr>
      </w:pPr>
      <w:r>
        <w:rPr>
          <w:rFonts w:hint="eastAsia"/>
          <w:szCs w:val="21"/>
        </w:rPr>
        <w:t>一种通过先进信息通信技术和软件系统，实现分布式电源、储能系统、可控负荷、电动汽车等分布式能源资源的聚合和协调优化，以作为一个特殊电厂参与电力市场和电网运行的电源协调管理系统。</w:t>
      </w:r>
    </w:p>
    <w:p>
      <w:pPr>
        <w:autoSpaceDE w:val="0"/>
        <w:autoSpaceDN w:val="0"/>
        <w:spacing w:line="300" w:lineRule="auto"/>
        <w:rPr>
          <w:szCs w:val="21"/>
        </w:rPr>
      </w:pPr>
      <w:r>
        <w:rPr>
          <w:szCs w:val="21"/>
        </w:rPr>
        <w:t>3.</w:t>
      </w:r>
      <w:r>
        <w:rPr>
          <w:rFonts w:hint="eastAsia"/>
          <w:szCs w:val="21"/>
        </w:rPr>
        <w:t>9</w:t>
      </w:r>
    </w:p>
    <w:p>
      <w:pPr>
        <w:autoSpaceDE w:val="0"/>
        <w:autoSpaceDN w:val="0"/>
        <w:spacing w:line="300" w:lineRule="auto"/>
        <w:ind w:firstLine="420" w:firstLineChars="200"/>
        <w:rPr>
          <w:szCs w:val="21"/>
        </w:rPr>
      </w:pPr>
      <w:r>
        <w:rPr>
          <w:rFonts w:hint="eastAsia" w:eastAsia="黑体"/>
          <w:szCs w:val="21"/>
        </w:rPr>
        <w:t>柔性互联装置</w:t>
      </w:r>
      <w:r>
        <w:rPr>
          <w:szCs w:val="21"/>
        </w:rPr>
        <w:t xml:space="preserve"> flexible interconnection device</w:t>
      </w:r>
    </w:p>
    <w:p>
      <w:pPr>
        <w:autoSpaceDE w:val="0"/>
        <w:autoSpaceDN w:val="0"/>
        <w:spacing w:line="300" w:lineRule="auto"/>
        <w:ind w:firstLine="420" w:firstLineChars="200"/>
        <w:rPr>
          <w:szCs w:val="21"/>
        </w:rPr>
      </w:pPr>
      <w:r>
        <w:rPr>
          <w:rFonts w:hint="eastAsia"/>
          <w:szCs w:val="21"/>
        </w:rPr>
        <w:t>采用先进的电力电子技术和通信技术，具备快速解耦控制有功功率、无功功率，或运行模式灵活切换功能，实现不同线路、台区之间的互联互通的配电设备。</w:t>
      </w:r>
    </w:p>
    <w:p>
      <w:pPr>
        <w:autoSpaceDE w:val="0"/>
        <w:autoSpaceDN w:val="0"/>
        <w:spacing w:line="300" w:lineRule="auto"/>
        <w:rPr>
          <w:szCs w:val="21"/>
        </w:rPr>
      </w:pPr>
      <w:r>
        <w:rPr>
          <w:rFonts w:hint="eastAsia"/>
          <w:szCs w:val="21"/>
        </w:rPr>
        <w:t>3</w:t>
      </w:r>
      <w:r>
        <w:rPr>
          <w:szCs w:val="21"/>
        </w:rPr>
        <w:t>.1</w:t>
      </w:r>
      <w:r>
        <w:rPr>
          <w:rFonts w:hint="eastAsia"/>
          <w:szCs w:val="21"/>
        </w:rPr>
        <w:t>0</w:t>
      </w:r>
    </w:p>
    <w:p>
      <w:pPr>
        <w:autoSpaceDE w:val="0"/>
        <w:autoSpaceDN w:val="0"/>
        <w:spacing w:line="300" w:lineRule="auto"/>
        <w:ind w:firstLine="420" w:firstLineChars="200"/>
        <w:rPr>
          <w:szCs w:val="21"/>
        </w:rPr>
      </w:pPr>
      <w:r>
        <w:rPr>
          <w:rFonts w:hint="eastAsia" w:eastAsia="黑体"/>
          <w:szCs w:val="21"/>
        </w:rPr>
        <w:t>即插即用</w:t>
      </w:r>
      <w:r>
        <w:rPr>
          <w:rFonts w:eastAsia="黑体"/>
          <w:szCs w:val="21"/>
        </w:rPr>
        <w:t xml:space="preserve"> </w:t>
      </w:r>
      <w:r>
        <w:rPr>
          <w:szCs w:val="21"/>
        </w:rPr>
        <w:t>plug and play</w:t>
      </w:r>
    </w:p>
    <w:p>
      <w:pPr>
        <w:autoSpaceDE w:val="0"/>
        <w:autoSpaceDN w:val="0"/>
        <w:spacing w:line="300" w:lineRule="auto"/>
        <w:ind w:firstLine="420" w:firstLineChars="200"/>
        <w:rPr>
          <w:szCs w:val="21"/>
        </w:rPr>
      </w:pPr>
      <w:r>
        <w:rPr>
          <w:rFonts w:hint="eastAsia"/>
          <w:szCs w:val="21"/>
        </w:rPr>
        <w:t>配电终端具有统一标准的电气和数据接口、标准的自描述数据模型，通过标准的通信协议自动接入相关系统或设备。</w:t>
      </w:r>
    </w:p>
    <w:p>
      <w:pPr>
        <w:pStyle w:val="514"/>
        <w:spacing w:before="60" w:after="60"/>
        <w:rPr>
          <w:rFonts w:ascii="Times New Roman" w:hAnsi="Times New Roman"/>
          <w:lang w:val="en-US"/>
        </w:rPr>
      </w:pPr>
      <w:r>
        <w:rPr>
          <w:rFonts w:ascii="Times New Roman" w:hAnsi="Times New Roman"/>
          <w:lang w:val="en-US"/>
        </w:rPr>
        <w:t>3.</w:t>
      </w:r>
      <w:r>
        <w:rPr>
          <w:rFonts w:hint="eastAsia" w:ascii="Times New Roman" w:hAnsi="Times New Roman"/>
          <w:lang w:val="en-US"/>
        </w:rPr>
        <w:t>11</w:t>
      </w:r>
    </w:p>
    <w:p>
      <w:pPr>
        <w:autoSpaceDE w:val="0"/>
        <w:autoSpaceDN w:val="0"/>
        <w:spacing w:line="300" w:lineRule="auto"/>
        <w:ind w:firstLine="420" w:firstLineChars="200"/>
        <w:rPr>
          <w:rFonts w:eastAsia="黑体"/>
          <w:kern w:val="0"/>
          <w:szCs w:val="20"/>
        </w:rPr>
      </w:pPr>
      <w:r>
        <w:rPr>
          <w:rFonts w:hint="eastAsia" w:eastAsia="黑体"/>
          <w:kern w:val="0"/>
          <w:szCs w:val="20"/>
        </w:rPr>
        <w:t>F因子　F factor</w:t>
      </w:r>
    </w:p>
    <w:p>
      <w:pPr>
        <w:autoSpaceDE w:val="0"/>
        <w:autoSpaceDN w:val="0"/>
        <w:spacing w:line="300" w:lineRule="auto"/>
        <w:ind w:firstLine="420" w:firstLineChars="200"/>
        <w:rPr>
          <w:szCs w:val="21"/>
        </w:rPr>
      </w:pPr>
      <w:r>
        <w:rPr>
          <w:rFonts w:hint="eastAsia"/>
          <w:szCs w:val="21"/>
        </w:rPr>
        <w:t>在同等可靠性前提下，分布式电源能替代的常规机组容量与分布式电源装机的比值。</w:t>
      </w:r>
    </w:p>
    <w:p>
      <w:pPr>
        <w:autoSpaceDE w:val="0"/>
        <w:autoSpaceDN w:val="0"/>
        <w:spacing w:line="300" w:lineRule="auto"/>
        <w:rPr>
          <w:szCs w:val="21"/>
        </w:rPr>
      </w:pPr>
      <w:r>
        <w:rPr>
          <w:rFonts w:hint="eastAsia"/>
          <w:szCs w:val="21"/>
        </w:rPr>
        <w:t>3.12</w:t>
      </w:r>
    </w:p>
    <w:p>
      <w:pPr>
        <w:autoSpaceDE w:val="0"/>
        <w:autoSpaceDN w:val="0"/>
        <w:spacing w:line="300" w:lineRule="auto"/>
        <w:ind w:firstLine="420" w:firstLineChars="200"/>
        <w:rPr>
          <w:bCs/>
          <w:szCs w:val="21"/>
        </w:rPr>
      </w:pPr>
      <w:r>
        <w:rPr>
          <w:rFonts w:hint="eastAsia" w:eastAsia="黑体"/>
          <w:bCs/>
          <w:szCs w:val="21"/>
        </w:rPr>
        <w:t>并网点</w:t>
      </w:r>
      <w:r>
        <w:rPr>
          <w:bCs/>
          <w:szCs w:val="21"/>
        </w:rPr>
        <w:t xml:space="preserve"> point of interconnection</w:t>
      </w:r>
    </w:p>
    <w:p>
      <w:pPr>
        <w:autoSpaceDE w:val="0"/>
        <w:autoSpaceDN w:val="0"/>
        <w:spacing w:line="300" w:lineRule="auto"/>
        <w:ind w:firstLine="420" w:firstLineChars="200"/>
        <w:rPr>
          <w:color w:val="000000"/>
          <w:szCs w:val="21"/>
        </w:rPr>
      </w:pPr>
      <w:r>
        <w:rPr>
          <w:rFonts w:hint="eastAsia"/>
          <w:color w:val="000000"/>
          <w:szCs w:val="21"/>
        </w:rPr>
        <w:t>对于有升压站的分布式电源，并网点为分布式电源升压站高压侧母线或节点；对于无升压站的分布式电源，并网点为分布式电源输出至供电母线的节点。</w:t>
      </w:r>
    </w:p>
    <w:p>
      <w:pPr>
        <w:autoSpaceDE w:val="0"/>
        <w:autoSpaceDN w:val="0"/>
        <w:spacing w:line="300" w:lineRule="auto"/>
        <w:rPr>
          <w:color w:val="000000"/>
          <w:szCs w:val="21"/>
        </w:rPr>
      </w:pPr>
      <w:r>
        <w:rPr>
          <w:rFonts w:hint="eastAsia"/>
          <w:color w:val="000000"/>
          <w:szCs w:val="21"/>
        </w:rPr>
        <w:t>3.13</w:t>
      </w:r>
    </w:p>
    <w:p>
      <w:pPr>
        <w:autoSpaceDE w:val="0"/>
        <w:autoSpaceDN w:val="0"/>
        <w:spacing w:line="300" w:lineRule="auto"/>
        <w:ind w:firstLine="420" w:firstLineChars="200"/>
        <w:rPr>
          <w:bCs/>
          <w:szCs w:val="21"/>
        </w:rPr>
      </w:pPr>
      <w:r>
        <w:rPr>
          <w:rFonts w:hint="eastAsia" w:eastAsia="黑体"/>
          <w:bCs/>
          <w:szCs w:val="21"/>
        </w:rPr>
        <w:t>公共连接点</w:t>
      </w:r>
      <w:r>
        <w:rPr>
          <w:bCs/>
          <w:szCs w:val="21"/>
        </w:rPr>
        <w:t xml:space="preserve"> point of common coupling</w:t>
      </w:r>
    </w:p>
    <w:p>
      <w:pPr>
        <w:autoSpaceDE w:val="0"/>
        <w:autoSpaceDN w:val="0"/>
        <w:spacing w:line="300" w:lineRule="auto"/>
        <w:ind w:firstLine="420" w:firstLineChars="200"/>
        <w:rPr>
          <w:color w:val="000000"/>
          <w:szCs w:val="21"/>
        </w:rPr>
      </w:pPr>
      <w:r>
        <w:rPr>
          <w:rFonts w:hint="eastAsia"/>
          <w:color w:val="000000"/>
          <w:szCs w:val="21"/>
        </w:rPr>
        <w:t>分布式电源接入公用电网的连接处。</w:t>
      </w:r>
    </w:p>
    <w:p>
      <w:pPr>
        <w:autoSpaceDE w:val="0"/>
        <w:autoSpaceDN w:val="0"/>
        <w:spacing w:line="300" w:lineRule="auto"/>
        <w:rPr>
          <w:szCs w:val="21"/>
        </w:rPr>
      </w:pPr>
      <w:r>
        <w:rPr>
          <w:rFonts w:hint="eastAsia"/>
          <w:szCs w:val="21"/>
        </w:rPr>
        <w:t>3.14</w:t>
      </w:r>
    </w:p>
    <w:p>
      <w:pPr>
        <w:autoSpaceDE w:val="0"/>
        <w:autoSpaceDN w:val="0"/>
        <w:spacing w:line="300" w:lineRule="auto"/>
        <w:ind w:firstLine="420" w:firstLineChars="200"/>
        <w:rPr>
          <w:szCs w:val="21"/>
        </w:rPr>
      </w:pPr>
      <w:r>
        <w:rPr>
          <w:rFonts w:hint="eastAsia" w:eastAsia="黑体"/>
          <w:szCs w:val="21"/>
        </w:rPr>
        <w:t>供电网格</w:t>
      </w:r>
      <w:r>
        <w:rPr>
          <w:rFonts w:hint="eastAsia"/>
          <w:szCs w:val="21"/>
        </w:rPr>
        <w:t xml:space="preserve"> power supply mesh</w:t>
      </w:r>
    </w:p>
    <w:p>
      <w:pPr>
        <w:autoSpaceDE w:val="0"/>
        <w:autoSpaceDN w:val="0"/>
        <w:spacing w:line="300" w:lineRule="auto"/>
        <w:ind w:firstLine="420" w:firstLineChars="200"/>
        <w:rPr>
          <w:szCs w:val="21"/>
        </w:rPr>
      </w:pPr>
      <w:r>
        <w:rPr>
          <w:rFonts w:hint="eastAsia"/>
          <w:szCs w:val="21"/>
        </w:rPr>
        <w:t>在供电分区划分基础上，与国土空间规划相衔接，具有一定数量高压配电网供电电源、中压配电网供电范围明确的独立区域。</w:t>
      </w:r>
    </w:p>
    <w:bookmarkEnd w:id="41"/>
    <w:bookmarkEnd w:id="42"/>
    <w:bookmarkEnd w:id="43"/>
    <w:bookmarkEnd w:id="44"/>
    <w:bookmarkEnd w:id="45"/>
    <w:bookmarkEnd w:id="46"/>
    <w:p>
      <w:pPr>
        <w:pStyle w:val="3"/>
      </w:pPr>
      <w:bookmarkStart w:id="49" w:name="pindex135"/>
      <w:bookmarkEnd w:id="49"/>
      <w:bookmarkStart w:id="50" w:name="_Toc170111364"/>
      <w:bookmarkStart w:id="51" w:name="_Toc156810850"/>
      <w:r>
        <w:rPr>
          <w:rFonts w:hint="eastAsia"/>
        </w:rPr>
        <w:t>总体要求</w:t>
      </w:r>
      <w:bookmarkEnd w:id="50"/>
      <w:bookmarkEnd w:id="51"/>
    </w:p>
    <w:p>
      <w:pPr>
        <w:pStyle w:val="5"/>
        <w:rPr>
          <w:rFonts w:ascii="Times New Roman"/>
        </w:rPr>
      </w:pPr>
      <w:r>
        <w:rPr>
          <w:rFonts w:ascii="Times New Roman"/>
        </w:rPr>
        <w:t>4.1  规划</w:t>
      </w:r>
      <w:r>
        <w:rPr>
          <w:rFonts w:hint="eastAsia" w:ascii="Times New Roman"/>
        </w:rPr>
        <w:t>应</w:t>
      </w:r>
      <w:r>
        <w:rPr>
          <w:rFonts w:ascii="Times New Roman"/>
        </w:rPr>
        <w:t>贯彻执行国家有关法律、法规、技术标准和节能环保政策，技术先进、安全可靠、经济合理。</w:t>
      </w:r>
    </w:p>
    <w:p>
      <w:pPr>
        <w:pStyle w:val="5"/>
        <w:rPr>
          <w:rFonts w:ascii="Times New Roman"/>
        </w:rPr>
      </w:pPr>
      <w:bookmarkStart w:id="52" w:name="_Toc23068"/>
      <w:bookmarkStart w:id="53" w:name="_Toc6864"/>
      <w:bookmarkStart w:id="54" w:name="_Toc21232_WPSOffice_Level1"/>
      <w:bookmarkStart w:id="55" w:name="_Toc19963"/>
      <w:bookmarkStart w:id="56" w:name="_Toc27776"/>
      <w:bookmarkStart w:id="57" w:name="_Toc90537119"/>
      <w:r>
        <w:rPr>
          <w:rFonts w:hint="eastAsia" w:ascii="Times New Roman"/>
        </w:rPr>
        <w:t>4</w:t>
      </w:r>
      <w:r>
        <w:rPr>
          <w:rFonts w:ascii="Times New Roman"/>
        </w:rPr>
        <w:t>.2  有源配电网</w:t>
      </w:r>
      <w:r>
        <w:rPr>
          <w:rFonts w:hint="eastAsia" w:ascii="Times New Roman"/>
        </w:rPr>
        <w:t>应具有科学合理的</w:t>
      </w:r>
      <w:r>
        <w:rPr>
          <w:rFonts w:ascii="Times New Roman"/>
        </w:rPr>
        <w:t>网架结构、容量裕度、转供能力、</w:t>
      </w:r>
      <w:r>
        <w:rPr>
          <w:rFonts w:hint="eastAsia" w:ascii="Times New Roman"/>
        </w:rPr>
        <w:t>分布式电源/储能接纳能力、自愈能力、</w:t>
      </w:r>
      <w:r>
        <w:rPr>
          <w:rFonts w:ascii="Times New Roman"/>
        </w:rPr>
        <w:t>数字化智能化水平，满足安全可靠</w:t>
      </w:r>
      <w:r>
        <w:rPr>
          <w:rFonts w:hint="eastAsia" w:ascii="Times New Roman"/>
        </w:rPr>
        <w:t>、</w:t>
      </w:r>
      <w:r>
        <w:rPr>
          <w:rFonts w:ascii="Times New Roman"/>
        </w:rPr>
        <w:t>结构合理</w:t>
      </w:r>
      <w:r>
        <w:rPr>
          <w:rFonts w:hint="eastAsia" w:ascii="Times New Roman"/>
        </w:rPr>
        <w:t>、</w:t>
      </w:r>
      <w:r>
        <w:rPr>
          <w:rFonts w:ascii="Times New Roman"/>
        </w:rPr>
        <w:t>绿色高效</w:t>
      </w:r>
      <w:r>
        <w:rPr>
          <w:rFonts w:hint="eastAsia" w:ascii="Times New Roman"/>
        </w:rPr>
        <w:t>、</w:t>
      </w:r>
      <w:r>
        <w:rPr>
          <w:rFonts w:ascii="Times New Roman"/>
        </w:rPr>
        <w:t>友好互动等建设要求。</w:t>
      </w:r>
    </w:p>
    <w:p>
      <w:pPr>
        <w:pStyle w:val="5"/>
        <w:rPr>
          <w:rFonts w:ascii="Times New Roman"/>
        </w:rPr>
      </w:pPr>
      <w:r>
        <w:rPr>
          <w:rFonts w:hint="eastAsia" w:ascii="Times New Roman"/>
        </w:rPr>
        <w:t>4</w:t>
      </w:r>
      <w:r>
        <w:rPr>
          <w:rFonts w:ascii="Times New Roman"/>
        </w:rPr>
        <w:t>.3  有源配电网规划除</w:t>
      </w:r>
      <w:r>
        <w:rPr>
          <w:rFonts w:hint="eastAsia" w:ascii="Times New Roman"/>
        </w:rPr>
        <w:t>应</w:t>
      </w:r>
      <w:r>
        <w:rPr>
          <w:rFonts w:ascii="Times New Roman"/>
        </w:rPr>
        <w:t>符合本</w:t>
      </w:r>
      <w:r>
        <w:rPr>
          <w:rFonts w:hint="eastAsia" w:ascii="Times New Roman"/>
        </w:rPr>
        <w:t>文件</w:t>
      </w:r>
      <w:r>
        <w:rPr>
          <w:rFonts w:ascii="Times New Roman"/>
        </w:rPr>
        <w:t>外，还应符合国家及行业现行有关标准的规定。</w:t>
      </w:r>
    </w:p>
    <w:bookmarkEnd w:id="52"/>
    <w:bookmarkEnd w:id="53"/>
    <w:bookmarkEnd w:id="54"/>
    <w:bookmarkEnd w:id="55"/>
    <w:bookmarkEnd w:id="56"/>
    <w:p>
      <w:pPr>
        <w:pStyle w:val="3"/>
      </w:pPr>
      <w:bookmarkStart w:id="58" w:name="_Toc146639480"/>
      <w:bookmarkStart w:id="59" w:name="_Toc146697672"/>
      <w:bookmarkStart w:id="60" w:name="_Toc142335344"/>
      <w:bookmarkStart w:id="61" w:name="_Toc156810851"/>
      <w:bookmarkStart w:id="62" w:name="_Toc142335136"/>
      <w:bookmarkStart w:id="63" w:name="_Toc146640234"/>
      <w:bookmarkStart w:id="64" w:name="_Toc170111365"/>
      <w:bookmarkStart w:id="65" w:name="_Toc146640034"/>
      <w:r>
        <w:rPr>
          <w:rFonts w:hint="eastAsia"/>
        </w:rPr>
        <w:t>供需预测与平衡分析</w:t>
      </w:r>
      <w:bookmarkEnd w:id="58"/>
      <w:bookmarkEnd w:id="59"/>
      <w:bookmarkEnd w:id="60"/>
      <w:bookmarkEnd w:id="61"/>
      <w:bookmarkEnd w:id="62"/>
      <w:bookmarkEnd w:id="63"/>
      <w:bookmarkEnd w:id="64"/>
      <w:bookmarkEnd w:id="65"/>
      <w:bookmarkStart w:id="66" w:name="pindex139"/>
      <w:bookmarkEnd w:id="66"/>
    </w:p>
    <w:p>
      <w:pPr>
        <w:pStyle w:val="6"/>
      </w:pPr>
      <w:bookmarkStart w:id="67" w:name="_Toc146640235"/>
      <w:bookmarkStart w:id="68" w:name="_Toc146639481"/>
      <w:bookmarkStart w:id="69" w:name="_Toc142335137"/>
      <w:bookmarkStart w:id="70" w:name="_Toc146640035"/>
      <w:bookmarkStart w:id="71" w:name="_Toc119913113"/>
      <w:bookmarkStart w:id="72" w:name="_Toc142335345"/>
      <w:bookmarkStart w:id="73" w:name="_Toc170111366"/>
      <w:bookmarkStart w:id="74" w:name="_Toc146697673"/>
      <w:r>
        <w:t>一般要求</w:t>
      </w:r>
      <w:bookmarkEnd w:id="67"/>
      <w:bookmarkEnd w:id="68"/>
      <w:bookmarkEnd w:id="69"/>
      <w:bookmarkEnd w:id="70"/>
      <w:bookmarkEnd w:id="71"/>
      <w:bookmarkEnd w:id="72"/>
      <w:bookmarkEnd w:id="73"/>
      <w:bookmarkEnd w:id="74"/>
      <w:bookmarkStart w:id="75" w:name="pindex140"/>
      <w:bookmarkEnd w:id="75"/>
    </w:p>
    <w:p>
      <w:pPr>
        <w:pStyle w:val="5"/>
        <w:rPr>
          <w:rFonts w:ascii="Times New Roman"/>
        </w:rPr>
      </w:pPr>
      <w:r>
        <w:rPr>
          <w:rFonts w:hint="eastAsia" w:ascii="Times New Roman"/>
        </w:rPr>
        <w:t>5</w:t>
      </w:r>
      <w:r>
        <w:rPr>
          <w:rFonts w:ascii="Times New Roman"/>
        </w:rPr>
        <w:t xml:space="preserve">.1.1  </w:t>
      </w:r>
      <w:r>
        <w:rPr>
          <w:rFonts w:hint="eastAsia" w:ascii="Times New Roman"/>
        </w:rPr>
        <w:t>供需预测应包括电源侧发电预测与负荷侧需求预测，应按供电网格或供电分区开展。</w:t>
      </w:r>
    </w:p>
    <w:p>
      <w:pPr>
        <w:pStyle w:val="5"/>
        <w:rPr>
          <w:rFonts w:ascii="Times New Roman"/>
        </w:rPr>
      </w:pPr>
      <w:r>
        <w:rPr>
          <w:rFonts w:ascii="Times New Roman"/>
        </w:rPr>
        <w:t xml:space="preserve">5.1.2  </w:t>
      </w:r>
      <w:r>
        <w:rPr>
          <w:rFonts w:hint="eastAsia" w:ascii="Times New Roman"/>
        </w:rPr>
        <w:t>电源侧发电预测</w:t>
      </w:r>
      <w:r>
        <w:rPr>
          <w:rFonts w:ascii="Times New Roman"/>
        </w:rPr>
        <w:t>包括光伏</w:t>
      </w:r>
      <w:r>
        <w:rPr>
          <w:rFonts w:hint="eastAsia" w:ascii="Times New Roman"/>
        </w:rPr>
        <w:t>、</w:t>
      </w:r>
      <w:r>
        <w:rPr>
          <w:rFonts w:ascii="Times New Roman"/>
        </w:rPr>
        <w:t>风机</w:t>
      </w:r>
      <w:r>
        <w:rPr>
          <w:rFonts w:hint="eastAsia" w:ascii="Times New Roman"/>
        </w:rPr>
        <w:t>等分布式电源</w:t>
      </w:r>
      <w:r>
        <w:rPr>
          <w:rFonts w:ascii="Times New Roman"/>
        </w:rPr>
        <w:t>的</w:t>
      </w:r>
      <w:r>
        <w:rPr>
          <w:rFonts w:hint="eastAsia" w:ascii="Times New Roman"/>
        </w:rPr>
        <w:t>可开发装机容量预测与发电量预测</w:t>
      </w:r>
      <w:r>
        <w:rPr>
          <w:rFonts w:ascii="Times New Roman"/>
        </w:rPr>
        <w:t>。</w:t>
      </w:r>
    </w:p>
    <w:p>
      <w:pPr>
        <w:pStyle w:val="5"/>
        <w:rPr>
          <w:rFonts w:ascii="Times New Roman"/>
        </w:rPr>
      </w:pPr>
      <w:r>
        <w:rPr>
          <w:rFonts w:ascii="Times New Roman"/>
        </w:rPr>
        <w:t xml:space="preserve">5.1.3  </w:t>
      </w:r>
      <w:r>
        <w:rPr>
          <w:rFonts w:hint="eastAsia" w:ascii="Times New Roman"/>
        </w:rPr>
        <w:t>电源侧发电预测应根据规划区分布式电源资源开发潜力、开发规划和接入报装情况对规划区分布式电源接入总容量进行预测，并考虑多个分布式电源的集群效应，确定规划区分布式电源总出力特性。</w:t>
      </w:r>
    </w:p>
    <w:p>
      <w:pPr>
        <w:pStyle w:val="5"/>
        <w:rPr>
          <w:rFonts w:ascii="Times New Roman"/>
        </w:rPr>
      </w:pPr>
      <w:r>
        <w:rPr>
          <w:rFonts w:hint="eastAsia" w:ascii="Times New Roman"/>
        </w:rPr>
        <w:t>5</w:t>
      </w:r>
      <w:r>
        <w:rPr>
          <w:rFonts w:ascii="Times New Roman"/>
        </w:rPr>
        <w:t xml:space="preserve">.1.4  </w:t>
      </w:r>
      <w:r>
        <w:rPr>
          <w:rFonts w:hint="eastAsia" w:ascii="Times New Roman"/>
        </w:rPr>
        <w:t>负荷侧需求预测包括传统负荷以及区域内电动汽车等新型负荷的电力与电量需求预测，并兼顾储能装置等灵活性资源对负荷特性的影响。</w:t>
      </w:r>
      <w:bookmarkStart w:id="76" w:name="_Toc146697685"/>
      <w:bookmarkEnd w:id="76"/>
      <w:bookmarkStart w:id="77" w:name="_Toc146640048"/>
      <w:bookmarkEnd w:id="77"/>
      <w:bookmarkStart w:id="78" w:name="_Toc146640240"/>
      <w:bookmarkEnd w:id="78"/>
      <w:bookmarkStart w:id="79" w:name="_Toc146640041"/>
      <w:bookmarkEnd w:id="79"/>
      <w:bookmarkStart w:id="80" w:name="_Toc146640247"/>
      <w:bookmarkEnd w:id="80"/>
      <w:bookmarkStart w:id="81" w:name="_Toc146697675"/>
      <w:bookmarkEnd w:id="81"/>
      <w:bookmarkStart w:id="82" w:name="_Toc146640245"/>
      <w:bookmarkEnd w:id="82"/>
      <w:bookmarkStart w:id="83" w:name="_Toc146697676"/>
      <w:bookmarkEnd w:id="83"/>
      <w:bookmarkStart w:id="84" w:name="_Toc146697684"/>
      <w:bookmarkEnd w:id="84"/>
      <w:bookmarkStart w:id="85" w:name="_Toc146697686"/>
      <w:bookmarkEnd w:id="85"/>
      <w:bookmarkStart w:id="86" w:name="_Toc146640037"/>
      <w:bookmarkEnd w:id="86"/>
      <w:bookmarkStart w:id="87" w:name="_Toc146640242"/>
      <w:bookmarkEnd w:id="87"/>
      <w:bookmarkStart w:id="88" w:name="_Toc146697677"/>
      <w:bookmarkEnd w:id="88"/>
      <w:bookmarkStart w:id="89" w:name="_Toc146640042"/>
      <w:bookmarkEnd w:id="89"/>
      <w:bookmarkStart w:id="90" w:name="_Toc146640044"/>
      <w:bookmarkEnd w:id="90"/>
      <w:bookmarkStart w:id="91" w:name="_Toc146640049"/>
      <w:bookmarkEnd w:id="91"/>
      <w:bookmarkStart w:id="92" w:name="_Toc146640045"/>
      <w:bookmarkEnd w:id="92"/>
      <w:bookmarkStart w:id="93" w:name="_Toc146640248"/>
      <w:bookmarkEnd w:id="93"/>
      <w:bookmarkStart w:id="94" w:name="_Toc146697681"/>
      <w:bookmarkEnd w:id="94"/>
      <w:bookmarkStart w:id="95" w:name="_Toc146640039"/>
      <w:bookmarkEnd w:id="95"/>
      <w:bookmarkStart w:id="96" w:name="_Toc146640239"/>
      <w:bookmarkEnd w:id="96"/>
      <w:bookmarkStart w:id="97" w:name="_Toc146640047"/>
      <w:bookmarkEnd w:id="97"/>
      <w:bookmarkStart w:id="98" w:name="_Toc146697674"/>
      <w:bookmarkEnd w:id="98"/>
      <w:bookmarkStart w:id="99" w:name="_Toc146697687"/>
      <w:bookmarkEnd w:id="99"/>
      <w:bookmarkStart w:id="100" w:name="_Toc146640043"/>
      <w:bookmarkEnd w:id="100"/>
      <w:bookmarkStart w:id="101" w:name="_Toc146697678"/>
      <w:bookmarkEnd w:id="101"/>
      <w:bookmarkStart w:id="102" w:name="_Toc146640249"/>
      <w:bookmarkEnd w:id="102"/>
      <w:bookmarkStart w:id="103" w:name="_Toc146697683"/>
      <w:bookmarkEnd w:id="103"/>
      <w:bookmarkStart w:id="104" w:name="_Toc146640243"/>
      <w:bookmarkEnd w:id="104"/>
      <w:bookmarkStart w:id="105" w:name="_Toc146640244"/>
      <w:bookmarkEnd w:id="105"/>
      <w:bookmarkStart w:id="106" w:name="_Toc146640036"/>
      <w:bookmarkEnd w:id="106"/>
      <w:bookmarkStart w:id="107" w:name="_Toc146640246"/>
      <w:bookmarkEnd w:id="107"/>
      <w:bookmarkStart w:id="108" w:name="_Toc146697680"/>
      <w:bookmarkEnd w:id="108"/>
      <w:bookmarkStart w:id="109" w:name="_Toc146640237"/>
      <w:bookmarkEnd w:id="109"/>
      <w:bookmarkStart w:id="110" w:name="_Toc146640040"/>
      <w:bookmarkEnd w:id="110"/>
      <w:bookmarkStart w:id="111" w:name="_Toc146640038"/>
      <w:bookmarkEnd w:id="111"/>
      <w:bookmarkStart w:id="112" w:name="_Toc146697679"/>
      <w:bookmarkEnd w:id="112"/>
      <w:bookmarkStart w:id="113" w:name="_Toc146640238"/>
      <w:bookmarkEnd w:id="113"/>
      <w:bookmarkStart w:id="114" w:name="_Toc146697682"/>
      <w:bookmarkEnd w:id="114"/>
      <w:bookmarkStart w:id="115" w:name="_Toc146640236"/>
      <w:bookmarkEnd w:id="115"/>
      <w:bookmarkStart w:id="116" w:name="_Toc146640046"/>
      <w:bookmarkEnd w:id="116"/>
      <w:bookmarkStart w:id="117" w:name="_Toc146640241"/>
      <w:bookmarkEnd w:id="117"/>
      <w:bookmarkStart w:id="118" w:name="_Toc146640050"/>
      <w:bookmarkStart w:id="119" w:name="_Toc146639482"/>
      <w:bookmarkStart w:id="120" w:name="_Toc142335346"/>
      <w:bookmarkStart w:id="121" w:name="_Toc146697688"/>
      <w:bookmarkStart w:id="122" w:name="_Toc146640250"/>
      <w:bookmarkStart w:id="123" w:name="_Toc142335138"/>
      <w:bookmarkStart w:id="124" w:name="_Toc119913115"/>
    </w:p>
    <w:p>
      <w:pPr>
        <w:pStyle w:val="6"/>
      </w:pPr>
      <w:bookmarkStart w:id="125" w:name="_Toc170111367"/>
      <w:r>
        <w:rPr>
          <w:rFonts w:hint="eastAsia"/>
        </w:rPr>
        <w:t>电源侧发电预测</w:t>
      </w:r>
      <w:bookmarkEnd w:id="125"/>
    </w:p>
    <w:bookmarkEnd w:id="118"/>
    <w:bookmarkEnd w:id="119"/>
    <w:bookmarkEnd w:id="120"/>
    <w:bookmarkEnd w:id="121"/>
    <w:bookmarkEnd w:id="122"/>
    <w:bookmarkEnd w:id="123"/>
    <w:bookmarkEnd w:id="124"/>
    <w:p>
      <w:pPr>
        <w:pStyle w:val="5"/>
        <w:rPr>
          <w:rFonts w:ascii="Times New Roman"/>
        </w:rPr>
      </w:pPr>
      <w:r>
        <w:rPr>
          <w:rFonts w:hint="eastAsia" w:ascii="Times New Roman"/>
        </w:rPr>
        <w:t>5</w:t>
      </w:r>
      <w:r>
        <w:rPr>
          <w:rFonts w:ascii="Times New Roman"/>
        </w:rPr>
        <w:t xml:space="preserve">.2.1  </w:t>
      </w:r>
      <w:r>
        <w:rPr>
          <w:rFonts w:hint="eastAsia" w:ascii="Times New Roman"/>
        </w:rPr>
        <w:t>分布式光伏发电预测</w:t>
      </w:r>
    </w:p>
    <w:p>
      <w:pPr>
        <w:pStyle w:val="5"/>
        <w:rPr>
          <w:rFonts w:ascii="Times New Roman"/>
        </w:rPr>
      </w:pPr>
      <w:r>
        <w:rPr>
          <w:rFonts w:hint="eastAsia" w:ascii="Times New Roman"/>
        </w:rPr>
        <w:t>5.2.1.1  分布式光伏发电预测应开展</w:t>
      </w:r>
      <w:r>
        <w:rPr>
          <w:rFonts w:ascii="Times New Roman"/>
        </w:rPr>
        <w:t>太阳能资源分析</w:t>
      </w:r>
      <w:r>
        <w:rPr>
          <w:rFonts w:hint="eastAsia" w:ascii="Times New Roman"/>
        </w:rPr>
        <w:t>。</w:t>
      </w:r>
      <w:r>
        <w:rPr>
          <w:rFonts w:ascii="Times New Roman"/>
        </w:rPr>
        <w:t>太阳能资源的分析</w:t>
      </w:r>
      <w:r>
        <w:rPr>
          <w:rFonts w:hint="eastAsia" w:ascii="Times New Roman"/>
        </w:rPr>
        <w:t>应</w:t>
      </w:r>
      <w:r>
        <w:rPr>
          <w:rFonts w:ascii="Times New Roman"/>
        </w:rPr>
        <w:t>基于月度</w:t>
      </w:r>
      <w:r>
        <w:rPr>
          <w:rFonts w:hint="eastAsia" w:ascii="Times New Roman"/>
        </w:rPr>
        <w:t>和</w:t>
      </w:r>
      <w:r>
        <w:rPr>
          <w:rFonts w:ascii="Times New Roman"/>
        </w:rPr>
        <w:t>年度的太阳能辐射和日照强度数据</w:t>
      </w:r>
      <w:r>
        <w:rPr>
          <w:rFonts w:hint="eastAsia" w:ascii="Times New Roman"/>
        </w:rPr>
        <w:t>，宜采用太阳能辐射量总辐射、直接辐射、散射辐射、气温、相对湿度、气压、风速及风向等数据作为预测依据。</w:t>
      </w:r>
    </w:p>
    <w:p>
      <w:pPr>
        <w:pStyle w:val="5"/>
        <w:rPr>
          <w:rFonts w:ascii="Times New Roman"/>
        </w:rPr>
      </w:pPr>
      <w:r>
        <w:rPr>
          <w:rFonts w:hint="eastAsia" w:ascii="Times New Roman"/>
        </w:rPr>
        <w:t>5</w:t>
      </w:r>
      <w:r>
        <w:rPr>
          <w:rFonts w:ascii="Times New Roman"/>
        </w:rPr>
        <w:t>.2.</w:t>
      </w:r>
      <w:r>
        <w:rPr>
          <w:rFonts w:hint="eastAsia" w:ascii="Times New Roman"/>
        </w:rPr>
        <w:t>1.</w:t>
      </w:r>
      <w:r>
        <w:rPr>
          <w:rFonts w:ascii="Times New Roman"/>
        </w:rPr>
        <w:t xml:space="preserve">2  </w:t>
      </w:r>
      <w:r>
        <w:rPr>
          <w:rFonts w:hint="eastAsia" w:ascii="Times New Roman"/>
        </w:rPr>
        <w:t>辐射数据</w:t>
      </w:r>
      <w:r>
        <w:rPr>
          <w:rFonts w:ascii="Times New Roman"/>
        </w:rPr>
        <w:t>与分布式光伏发电站历史同期有功功率</w:t>
      </w:r>
      <w:r>
        <w:rPr>
          <w:rFonts w:hint="eastAsia" w:ascii="Times New Roman"/>
        </w:rPr>
        <w:t>的</w:t>
      </w:r>
      <w:r>
        <w:rPr>
          <w:rFonts w:ascii="Times New Roman"/>
        </w:rPr>
        <w:t>正相关关系</w:t>
      </w:r>
      <w:r>
        <w:rPr>
          <w:rFonts w:hint="eastAsia" w:ascii="Times New Roman"/>
        </w:rPr>
        <w:t>宜</w:t>
      </w:r>
      <w:r>
        <w:rPr>
          <w:rFonts w:ascii="Times New Roman"/>
        </w:rPr>
        <w:t>通过水平为0.1的显著性检验。</w:t>
      </w:r>
    </w:p>
    <w:p>
      <w:pPr>
        <w:pStyle w:val="5"/>
        <w:rPr>
          <w:rFonts w:ascii="Times New Roman"/>
        </w:rPr>
      </w:pPr>
      <w:r>
        <w:rPr>
          <w:rFonts w:ascii="Times New Roman"/>
        </w:rPr>
        <w:t>5.2.</w:t>
      </w:r>
      <w:r>
        <w:rPr>
          <w:rFonts w:hint="eastAsia" w:ascii="Times New Roman"/>
        </w:rPr>
        <w:t>1.</w:t>
      </w:r>
      <w:r>
        <w:rPr>
          <w:rFonts w:ascii="Times New Roman"/>
        </w:rPr>
        <w:t>3  在进行分布式光伏预测时，一般以</w:t>
      </w:r>
      <w:r>
        <w:rPr>
          <w:rFonts w:hint="eastAsia" w:ascii="Times New Roman"/>
        </w:rPr>
        <w:t>规划期内的</w:t>
      </w:r>
      <w:r>
        <w:rPr>
          <w:rFonts w:ascii="Times New Roman"/>
        </w:rPr>
        <w:t>可再生能源资源潜力为出发点，充分挖掘</w:t>
      </w:r>
      <w:r>
        <w:rPr>
          <w:rFonts w:hint="eastAsia" w:ascii="Times New Roman"/>
        </w:rPr>
        <w:t>规划区域内</w:t>
      </w:r>
      <w:r>
        <w:rPr>
          <w:rFonts w:ascii="Times New Roman"/>
        </w:rPr>
        <w:t>可安装光伏的资源，</w:t>
      </w:r>
      <w:r>
        <w:rPr>
          <w:rFonts w:hint="eastAsia" w:ascii="Times New Roman"/>
        </w:rPr>
        <w:t>包括</w:t>
      </w:r>
      <w:r>
        <w:rPr>
          <w:rFonts w:ascii="Times New Roman"/>
        </w:rPr>
        <w:t>建</w:t>
      </w:r>
      <w:r>
        <w:rPr>
          <w:rFonts w:hint="eastAsia" w:ascii="Times New Roman"/>
        </w:rPr>
        <w:t>构</w:t>
      </w:r>
      <w:r>
        <w:rPr>
          <w:rFonts w:ascii="Times New Roman"/>
        </w:rPr>
        <w:t>筑</w:t>
      </w:r>
      <w:r>
        <w:rPr>
          <w:rFonts w:hint="eastAsia" w:ascii="Times New Roman"/>
        </w:rPr>
        <w:t>物</w:t>
      </w:r>
      <w:r>
        <w:rPr>
          <w:rFonts w:ascii="Times New Roman"/>
        </w:rPr>
        <w:t>屋面、立面等。</w:t>
      </w:r>
    </w:p>
    <w:p>
      <w:pPr>
        <w:pStyle w:val="5"/>
        <w:rPr>
          <w:rFonts w:ascii="Times New Roman"/>
        </w:rPr>
      </w:pPr>
      <w:r>
        <w:rPr>
          <w:rFonts w:hint="eastAsia" w:ascii="Times New Roman"/>
        </w:rPr>
        <w:t>5</w:t>
      </w:r>
      <w:r>
        <w:rPr>
          <w:rFonts w:ascii="Times New Roman"/>
        </w:rPr>
        <w:t>.2.</w:t>
      </w:r>
      <w:r>
        <w:rPr>
          <w:rFonts w:hint="eastAsia" w:ascii="Times New Roman"/>
        </w:rPr>
        <w:t>1.</w:t>
      </w:r>
      <w:r>
        <w:rPr>
          <w:rFonts w:ascii="Times New Roman"/>
        </w:rPr>
        <w:t xml:space="preserve">4  </w:t>
      </w:r>
      <w:r>
        <w:rPr>
          <w:rFonts w:hint="eastAsia" w:ascii="Times New Roman"/>
        </w:rPr>
        <w:t>宜依据规划区域内太阳能辐射观测数据，采用适当的预测方法构建预测模型。光伏电站预测模型宜具有可扩展性。</w:t>
      </w:r>
    </w:p>
    <w:p>
      <w:pPr>
        <w:pStyle w:val="5"/>
        <w:rPr>
          <w:rFonts w:ascii="Times New Roman"/>
        </w:rPr>
      </w:pPr>
      <w:bookmarkStart w:id="126" w:name="_Toc146640051"/>
      <w:bookmarkEnd w:id="126"/>
      <w:bookmarkStart w:id="127" w:name="_Toc146697689"/>
      <w:bookmarkEnd w:id="127"/>
      <w:bookmarkStart w:id="128" w:name="_Toc146640251"/>
      <w:bookmarkEnd w:id="128"/>
      <w:r>
        <w:rPr>
          <w:rFonts w:hint="eastAsia" w:ascii="Times New Roman"/>
        </w:rPr>
        <w:t>5.2.2 分布式风机发电预测</w:t>
      </w:r>
    </w:p>
    <w:p>
      <w:pPr>
        <w:pStyle w:val="5"/>
        <w:rPr>
          <w:rFonts w:ascii="Times New Roman"/>
        </w:rPr>
      </w:pPr>
      <w:r>
        <w:rPr>
          <w:rFonts w:hint="eastAsia" w:ascii="Times New Roman"/>
        </w:rPr>
        <w:t>5</w:t>
      </w:r>
      <w:r>
        <w:rPr>
          <w:rFonts w:ascii="Times New Roman"/>
        </w:rPr>
        <w:t>.</w:t>
      </w:r>
      <w:r>
        <w:rPr>
          <w:rFonts w:hint="eastAsia" w:ascii="Times New Roman"/>
        </w:rPr>
        <w:t>2.2</w:t>
      </w:r>
      <w:r>
        <w:rPr>
          <w:rFonts w:ascii="Times New Roman"/>
        </w:rPr>
        <w:t>.1  分布式风机发电预测应基于</w:t>
      </w:r>
      <w:r>
        <w:rPr>
          <w:rFonts w:hint="eastAsia" w:ascii="Times New Roman"/>
        </w:rPr>
        <w:t>风能资源评估。风能资源评估及其数值模拟</w:t>
      </w:r>
      <w:r>
        <w:rPr>
          <w:rFonts w:ascii="Times New Roman"/>
        </w:rPr>
        <w:t>的主要特征参数包括：环境温度、相对湿度、风速统计概率分布、风向、平均风功率密度、风能、有效风能、可利用小时数等。</w:t>
      </w:r>
    </w:p>
    <w:p>
      <w:pPr>
        <w:pStyle w:val="5"/>
        <w:rPr>
          <w:rFonts w:ascii="Times New Roman"/>
        </w:rPr>
      </w:pPr>
      <w:r>
        <w:rPr>
          <w:rFonts w:hint="eastAsia" w:ascii="Times New Roman"/>
        </w:rPr>
        <w:t>5</w:t>
      </w:r>
      <w:r>
        <w:rPr>
          <w:rFonts w:ascii="Times New Roman"/>
        </w:rPr>
        <w:t>.</w:t>
      </w:r>
      <w:r>
        <w:rPr>
          <w:rFonts w:hint="eastAsia" w:ascii="Times New Roman"/>
        </w:rPr>
        <w:t>2.2</w:t>
      </w:r>
      <w:r>
        <w:rPr>
          <w:rFonts w:ascii="Times New Roman"/>
        </w:rPr>
        <w:t>.2  分布式风机</w:t>
      </w:r>
      <w:r>
        <w:rPr>
          <w:rFonts w:hint="eastAsia" w:ascii="Times New Roman"/>
        </w:rPr>
        <w:t>发电</w:t>
      </w:r>
      <w:r>
        <w:rPr>
          <w:rFonts w:ascii="Times New Roman"/>
        </w:rPr>
        <w:t>预测</w:t>
      </w:r>
      <w:r>
        <w:rPr>
          <w:rFonts w:hint="eastAsia" w:ascii="Times New Roman"/>
        </w:rPr>
        <w:t>应根据风能资源评估和风力发电机组功率曲线，估算分布式风机年上网电量、年等效满负荷小时数、容量系数等。</w:t>
      </w:r>
    </w:p>
    <w:p>
      <w:pPr>
        <w:pStyle w:val="5"/>
        <w:rPr>
          <w:rFonts w:ascii="Times New Roman"/>
        </w:rPr>
      </w:pPr>
      <w:r>
        <w:rPr>
          <w:rFonts w:hint="eastAsia" w:ascii="Times New Roman"/>
        </w:rPr>
        <w:t>5</w:t>
      </w:r>
      <w:r>
        <w:rPr>
          <w:rFonts w:ascii="Times New Roman"/>
        </w:rPr>
        <w:t>.</w:t>
      </w:r>
      <w:r>
        <w:rPr>
          <w:rFonts w:hint="eastAsia" w:ascii="Times New Roman"/>
        </w:rPr>
        <w:t>2.2</w:t>
      </w:r>
      <w:r>
        <w:rPr>
          <w:rFonts w:ascii="Times New Roman"/>
        </w:rPr>
        <w:t>.3  分布式风机</w:t>
      </w:r>
      <w:r>
        <w:rPr>
          <w:rFonts w:hint="eastAsia" w:ascii="Times New Roman"/>
        </w:rPr>
        <w:t>发电</w:t>
      </w:r>
      <w:r>
        <w:rPr>
          <w:rFonts w:ascii="Times New Roman"/>
        </w:rPr>
        <w:t>预测应根据</w:t>
      </w:r>
      <w:r>
        <w:rPr>
          <w:rFonts w:hint="eastAsia" w:ascii="Times New Roman"/>
        </w:rPr>
        <w:t>规划区域的</w:t>
      </w:r>
      <w:r>
        <w:rPr>
          <w:rFonts w:ascii="Times New Roman"/>
        </w:rPr>
        <w:t>气候特征、地形地貌、可用数据情况采用适当的预测方法进行风电功率预测建模。根据预测时间尺度的不同和实际应用的具体需求，</w:t>
      </w:r>
      <w:r>
        <w:rPr>
          <w:rFonts w:hint="eastAsia" w:ascii="Times New Roman"/>
        </w:rPr>
        <w:t>可</w:t>
      </w:r>
      <w:r>
        <w:rPr>
          <w:rFonts w:ascii="Times New Roman"/>
        </w:rPr>
        <w:t>采用多种预测方法，利用多源数值天气预报数据形成最优预测策略。</w:t>
      </w:r>
      <w:bookmarkStart w:id="129" w:name="_Toc146697693"/>
      <w:bookmarkEnd w:id="129"/>
      <w:bookmarkStart w:id="130" w:name="_Toc146640262"/>
      <w:bookmarkEnd w:id="130"/>
      <w:bookmarkStart w:id="131" w:name="_Toc146697692"/>
      <w:bookmarkEnd w:id="131"/>
      <w:bookmarkStart w:id="132" w:name="_Toc146640066"/>
      <w:bookmarkEnd w:id="132"/>
      <w:bookmarkStart w:id="133" w:name="_Toc146639490"/>
      <w:bookmarkEnd w:id="133"/>
      <w:bookmarkStart w:id="134" w:name="_Toc146640255"/>
      <w:bookmarkEnd w:id="134"/>
      <w:bookmarkStart w:id="135" w:name="_Toc146640065"/>
      <w:bookmarkEnd w:id="135"/>
      <w:bookmarkStart w:id="136" w:name="_Toc146640261"/>
      <w:bookmarkEnd w:id="136"/>
      <w:bookmarkStart w:id="137" w:name="_Toc146640057"/>
      <w:bookmarkEnd w:id="137"/>
      <w:bookmarkStart w:id="138" w:name="_Toc146640058"/>
      <w:bookmarkEnd w:id="138"/>
      <w:bookmarkStart w:id="139" w:name="_Toc146697700"/>
      <w:bookmarkEnd w:id="139"/>
      <w:bookmarkStart w:id="140" w:name="_Toc146640059"/>
      <w:bookmarkEnd w:id="140"/>
      <w:bookmarkStart w:id="141" w:name="_Toc146640254"/>
      <w:bookmarkEnd w:id="141"/>
      <w:bookmarkStart w:id="142" w:name="_Toc146640055"/>
      <w:bookmarkEnd w:id="142"/>
      <w:bookmarkStart w:id="143" w:name="_Toc146640062"/>
      <w:bookmarkEnd w:id="143"/>
      <w:bookmarkStart w:id="144" w:name="_Toc146640264"/>
      <w:bookmarkEnd w:id="144"/>
      <w:bookmarkStart w:id="145" w:name="_Toc146639488"/>
      <w:bookmarkEnd w:id="145"/>
      <w:bookmarkStart w:id="146" w:name="_Toc146639491"/>
      <w:bookmarkEnd w:id="146"/>
      <w:bookmarkStart w:id="147" w:name="_Toc146697691"/>
      <w:bookmarkEnd w:id="147"/>
      <w:bookmarkStart w:id="148" w:name="_Toc146640253"/>
      <w:bookmarkEnd w:id="148"/>
      <w:bookmarkStart w:id="149" w:name="_Toc146697702"/>
      <w:bookmarkEnd w:id="149"/>
      <w:bookmarkStart w:id="150" w:name="_Toc146640061"/>
      <w:bookmarkEnd w:id="150"/>
      <w:bookmarkStart w:id="151" w:name="_Toc146697697"/>
      <w:bookmarkEnd w:id="151"/>
      <w:bookmarkStart w:id="152" w:name="_Toc146639495"/>
      <w:bookmarkEnd w:id="152"/>
      <w:bookmarkStart w:id="153" w:name="_Toc146697699"/>
      <w:bookmarkEnd w:id="153"/>
      <w:bookmarkStart w:id="154" w:name="_Toc146639496"/>
      <w:bookmarkEnd w:id="154"/>
      <w:bookmarkStart w:id="155" w:name="_Toc146697696"/>
      <w:bookmarkEnd w:id="155"/>
      <w:bookmarkStart w:id="156" w:name="_Toc146639494"/>
      <w:bookmarkEnd w:id="156"/>
      <w:bookmarkStart w:id="157" w:name="_Toc146639493"/>
      <w:bookmarkEnd w:id="157"/>
      <w:bookmarkStart w:id="158" w:name="_Toc146640265"/>
      <w:bookmarkEnd w:id="158"/>
      <w:bookmarkStart w:id="159" w:name="_Toc146639497"/>
      <w:bookmarkEnd w:id="159"/>
      <w:bookmarkStart w:id="160" w:name="_Toc146640256"/>
      <w:bookmarkEnd w:id="160"/>
      <w:bookmarkStart w:id="161" w:name="_Toc146697701"/>
      <w:bookmarkEnd w:id="161"/>
      <w:bookmarkStart w:id="162" w:name="_Toc146640266"/>
      <w:bookmarkEnd w:id="162"/>
      <w:bookmarkStart w:id="163" w:name="_Toc146639492"/>
      <w:bookmarkEnd w:id="163"/>
      <w:bookmarkStart w:id="164" w:name="_Toc146697704"/>
      <w:bookmarkEnd w:id="164"/>
      <w:bookmarkStart w:id="165" w:name="_Toc146640063"/>
      <w:bookmarkEnd w:id="165"/>
      <w:bookmarkStart w:id="166" w:name="_Toc146697703"/>
      <w:bookmarkEnd w:id="166"/>
      <w:bookmarkStart w:id="167" w:name="_Toc146640054"/>
      <w:bookmarkEnd w:id="167"/>
      <w:bookmarkStart w:id="168" w:name="_Toc146640259"/>
      <w:bookmarkEnd w:id="168"/>
      <w:bookmarkStart w:id="169" w:name="_Toc146640258"/>
      <w:bookmarkEnd w:id="169"/>
      <w:bookmarkStart w:id="170" w:name="_Toc146639486"/>
      <w:bookmarkEnd w:id="170"/>
      <w:bookmarkStart w:id="171" w:name="_Toc146640064"/>
      <w:bookmarkEnd w:id="171"/>
      <w:bookmarkStart w:id="172" w:name="_Toc146639484"/>
      <w:bookmarkEnd w:id="172"/>
      <w:bookmarkStart w:id="173" w:name="_Toc146640257"/>
      <w:bookmarkEnd w:id="173"/>
      <w:bookmarkStart w:id="174" w:name="_Toc146697695"/>
      <w:bookmarkEnd w:id="174"/>
      <w:bookmarkStart w:id="175" w:name="_Toc146639489"/>
      <w:bookmarkEnd w:id="175"/>
      <w:bookmarkStart w:id="176" w:name="_Toc146640263"/>
      <w:bookmarkEnd w:id="176"/>
      <w:bookmarkStart w:id="177" w:name="_Toc146697694"/>
      <w:bookmarkEnd w:id="177"/>
      <w:bookmarkStart w:id="178" w:name="_Toc146640260"/>
      <w:bookmarkEnd w:id="178"/>
      <w:bookmarkStart w:id="179" w:name="_Toc146697698"/>
      <w:bookmarkEnd w:id="179"/>
      <w:bookmarkStart w:id="180" w:name="_Toc146639487"/>
      <w:bookmarkEnd w:id="180"/>
      <w:bookmarkStart w:id="181" w:name="_Toc146640053"/>
      <w:bookmarkEnd w:id="181"/>
      <w:bookmarkStart w:id="182" w:name="_Toc146640056"/>
      <w:bookmarkEnd w:id="182"/>
      <w:bookmarkStart w:id="183" w:name="_Toc146639485"/>
      <w:bookmarkEnd w:id="183"/>
      <w:bookmarkStart w:id="184" w:name="_Toc146640060"/>
      <w:bookmarkEnd w:id="184"/>
      <w:bookmarkStart w:id="185" w:name="_Toc142335348"/>
      <w:bookmarkStart w:id="186" w:name="_Toc142335140"/>
      <w:bookmarkStart w:id="187" w:name="_Toc146640267"/>
      <w:bookmarkStart w:id="188" w:name="_Toc119913118"/>
      <w:bookmarkStart w:id="189" w:name="_Toc146697705"/>
      <w:bookmarkStart w:id="190" w:name="_Toc146639498"/>
      <w:bookmarkStart w:id="191" w:name="_Toc146640067"/>
    </w:p>
    <w:p>
      <w:pPr>
        <w:pStyle w:val="5"/>
        <w:rPr>
          <w:rFonts w:ascii="Times New Roman"/>
        </w:rPr>
      </w:pPr>
      <w:r>
        <w:rPr>
          <w:rFonts w:hint="eastAsia" w:ascii="Times New Roman"/>
        </w:rPr>
        <w:t>5.2.2.4  分布式电源远景发电预测可参照分布式电源最大可开发容量，近期预测应结合地区发展情况，合理规划开发时序，考虑适当开发比例。</w:t>
      </w:r>
    </w:p>
    <w:p>
      <w:pPr>
        <w:pStyle w:val="6"/>
      </w:pPr>
      <w:bookmarkStart w:id="192" w:name="_Toc170111368"/>
      <w:r>
        <w:rPr>
          <w:rFonts w:hint="eastAsia"/>
        </w:rPr>
        <w:t>负荷侧需求预测</w:t>
      </w:r>
      <w:bookmarkEnd w:id="192"/>
    </w:p>
    <w:bookmarkEnd w:id="185"/>
    <w:bookmarkEnd w:id="186"/>
    <w:bookmarkEnd w:id="187"/>
    <w:bookmarkEnd w:id="188"/>
    <w:bookmarkEnd w:id="189"/>
    <w:bookmarkEnd w:id="190"/>
    <w:bookmarkEnd w:id="191"/>
    <w:p>
      <w:pPr>
        <w:pStyle w:val="5"/>
        <w:rPr>
          <w:rFonts w:ascii="Times New Roman"/>
        </w:rPr>
      </w:pPr>
      <w:r>
        <w:rPr>
          <w:rFonts w:hint="eastAsia" w:ascii="Times New Roman"/>
        </w:rPr>
        <w:t>5</w:t>
      </w:r>
      <w:r>
        <w:rPr>
          <w:rFonts w:ascii="Times New Roman"/>
        </w:rPr>
        <w:t>.</w:t>
      </w:r>
      <w:r>
        <w:rPr>
          <w:rFonts w:hint="eastAsia" w:ascii="Times New Roman"/>
        </w:rPr>
        <w:t>3</w:t>
      </w:r>
      <w:r>
        <w:rPr>
          <w:rFonts w:ascii="Times New Roman"/>
        </w:rPr>
        <w:t xml:space="preserve">.1  </w:t>
      </w:r>
      <w:r>
        <w:rPr>
          <w:rFonts w:hint="eastAsia" w:ascii="Times New Roman"/>
        </w:rPr>
        <w:t>传统负荷预测</w:t>
      </w:r>
    </w:p>
    <w:p>
      <w:pPr>
        <w:pStyle w:val="5"/>
        <w:rPr>
          <w:rFonts w:ascii="Times New Roman"/>
        </w:rPr>
      </w:pPr>
      <w:r>
        <w:rPr>
          <w:rFonts w:hint="eastAsia" w:ascii="Times New Roman"/>
        </w:rPr>
        <w:t xml:space="preserve">5.3.1.1  </w:t>
      </w:r>
      <w:r>
        <w:rPr>
          <w:rFonts w:ascii="Times New Roman"/>
        </w:rPr>
        <w:t>电力</w:t>
      </w:r>
      <w:r>
        <w:rPr>
          <w:rFonts w:hint="eastAsia" w:ascii="Times New Roman"/>
        </w:rPr>
        <w:t>电量需求</w:t>
      </w:r>
      <w:r>
        <w:rPr>
          <w:rFonts w:ascii="Times New Roman"/>
        </w:rPr>
        <w:t>预测的基础数据包括经济社会和自然气候数据、上级电网规划对本规划区的负荷预测结果、历史年负荷和电量数据等。电力</w:t>
      </w:r>
      <w:r>
        <w:rPr>
          <w:rFonts w:hint="eastAsia" w:ascii="Times New Roman"/>
        </w:rPr>
        <w:t>电量需求预测应是规范化的历史累积数据。</w:t>
      </w:r>
    </w:p>
    <w:p>
      <w:pPr>
        <w:pStyle w:val="5"/>
        <w:rPr>
          <w:rFonts w:ascii="Times New Roman"/>
        </w:rPr>
      </w:pPr>
      <w:r>
        <w:rPr>
          <w:rFonts w:hint="eastAsia" w:ascii="Times New Roman"/>
        </w:rPr>
        <w:t>5</w:t>
      </w:r>
      <w:r>
        <w:rPr>
          <w:rFonts w:ascii="Times New Roman"/>
        </w:rPr>
        <w:t>.</w:t>
      </w:r>
      <w:r>
        <w:rPr>
          <w:rFonts w:hint="eastAsia" w:ascii="Times New Roman"/>
        </w:rPr>
        <w:t>3.1</w:t>
      </w:r>
      <w:r>
        <w:rPr>
          <w:rFonts w:ascii="Times New Roman"/>
        </w:rPr>
        <w:t xml:space="preserve">.2  </w:t>
      </w:r>
      <w:r>
        <w:rPr>
          <w:rFonts w:hint="eastAsia" w:ascii="Times New Roman"/>
        </w:rPr>
        <w:t>电力电量需求预测应通过多种渠道对电力用户的负荷需进行调查与收集工作，提升负荷需求预测的准确性。</w:t>
      </w:r>
    </w:p>
    <w:p>
      <w:pPr>
        <w:pStyle w:val="5"/>
        <w:rPr>
          <w:rFonts w:ascii="Times New Roman"/>
        </w:rPr>
      </w:pPr>
      <w:r>
        <w:rPr>
          <w:rFonts w:hint="eastAsia" w:ascii="Times New Roman"/>
        </w:rPr>
        <w:t>5</w:t>
      </w:r>
      <w:r>
        <w:rPr>
          <w:rFonts w:ascii="Times New Roman"/>
        </w:rPr>
        <w:t>.</w:t>
      </w:r>
      <w:r>
        <w:rPr>
          <w:rFonts w:hint="eastAsia" w:ascii="Times New Roman"/>
        </w:rPr>
        <w:t>3.1</w:t>
      </w:r>
      <w:r>
        <w:rPr>
          <w:rFonts w:ascii="Times New Roman"/>
        </w:rPr>
        <w:t xml:space="preserve">.3  </w:t>
      </w:r>
      <w:r>
        <w:rPr>
          <w:rFonts w:hint="eastAsia" w:ascii="Times New Roman"/>
        </w:rPr>
        <w:t>电力电量</w:t>
      </w:r>
      <w:r>
        <w:rPr>
          <w:rFonts w:ascii="Times New Roman"/>
        </w:rPr>
        <w:t>需求预测指标</w:t>
      </w:r>
      <w:r>
        <w:rPr>
          <w:rFonts w:hint="eastAsia" w:ascii="Times New Roman"/>
        </w:rPr>
        <w:t>应符合</w:t>
      </w:r>
      <w:r>
        <w:rPr>
          <w:rFonts w:ascii="Times New Roman"/>
        </w:rPr>
        <w:t>GB/T 50293的相关规定。对于新增大用户负荷比重较大的地区，</w:t>
      </w:r>
      <w:r>
        <w:rPr>
          <w:rFonts w:hint="eastAsia" w:ascii="Times New Roman"/>
        </w:rPr>
        <w:t>电力电量需求预测</w:t>
      </w:r>
      <w:r>
        <w:rPr>
          <w:rFonts w:ascii="Times New Roman"/>
        </w:rPr>
        <w:t>可采</w:t>
      </w:r>
      <w:sdt>
        <w:sdtPr>
          <w:rPr>
            <w:rFonts w:ascii="Times New Roman"/>
          </w:rPr>
          <w:alias w:val="易错词检查"/>
          <w:id w:val="163431"/>
        </w:sdtPr>
        <w:sdtEndPr>
          <w:rPr>
            <w:rFonts w:ascii="Times New Roman"/>
          </w:rPr>
        </w:sdtEndPr>
        <w:sdtContent>
          <w:bookmarkStart w:id="193" w:name="bkReivew163431"/>
          <w:r>
            <w:rPr>
              <w:rFonts w:hint="eastAsia" w:ascii="Times New Roman"/>
            </w:rPr>
            <w:t>用点负荷</w:t>
          </w:r>
          <w:bookmarkEnd w:id="193"/>
        </w:sdtContent>
      </w:sdt>
      <w:r>
        <w:rPr>
          <w:rFonts w:ascii="Times New Roman"/>
        </w:rPr>
        <w:t>增长与区域负荷自然增长相结合的方法进行预测</w:t>
      </w:r>
      <w:r>
        <w:rPr>
          <w:rFonts w:hint="eastAsia" w:ascii="Times New Roman"/>
        </w:rPr>
        <w:t>。</w:t>
      </w:r>
    </w:p>
    <w:p>
      <w:pPr>
        <w:pStyle w:val="5"/>
        <w:rPr>
          <w:rFonts w:ascii="Times New Roman"/>
        </w:rPr>
      </w:pPr>
      <w:r>
        <w:rPr>
          <w:rFonts w:hint="eastAsia" w:ascii="Times New Roman"/>
        </w:rPr>
        <w:t>5</w:t>
      </w:r>
      <w:r>
        <w:rPr>
          <w:rFonts w:ascii="Times New Roman"/>
        </w:rPr>
        <w:t>.</w:t>
      </w:r>
      <w:r>
        <w:rPr>
          <w:rFonts w:hint="eastAsia" w:ascii="Times New Roman"/>
        </w:rPr>
        <w:t>3.1</w:t>
      </w:r>
      <w:r>
        <w:rPr>
          <w:rFonts w:ascii="Times New Roman"/>
        </w:rPr>
        <w:t>.</w:t>
      </w:r>
      <w:r>
        <w:rPr>
          <w:rFonts w:hint="eastAsia" w:ascii="Times New Roman"/>
        </w:rPr>
        <w:t>4</w:t>
      </w:r>
      <w:r>
        <w:rPr>
          <w:rFonts w:ascii="Times New Roman"/>
        </w:rPr>
        <w:t xml:space="preserve">  </w:t>
      </w:r>
      <w:r>
        <w:rPr>
          <w:rFonts w:hint="eastAsia" w:ascii="Times New Roman"/>
        </w:rPr>
        <w:t>电力</w:t>
      </w:r>
      <w:r>
        <w:rPr>
          <w:rFonts w:ascii="Times New Roman"/>
        </w:rPr>
        <w:t>需求预测应给出负荷的总量</w:t>
      </w:r>
      <w:r>
        <w:rPr>
          <w:rFonts w:hint="eastAsia" w:ascii="Times New Roman"/>
        </w:rPr>
        <w:t>预测</w:t>
      </w:r>
      <w:r>
        <w:rPr>
          <w:rFonts w:ascii="Times New Roman"/>
        </w:rPr>
        <w:t>及分区、分电压等级预测结果</w:t>
      </w:r>
      <w:r>
        <w:rPr>
          <w:rFonts w:hint="eastAsia" w:ascii="Times New Roman"/>
        </w:rPr>
        <w:t>，其中</w:t>
      </w:r>
      <w:r>
        <w:rPr>
          <w:rFonts w:ascii="Times New Roman"/>
        </w:rPr>
        <w:t>近期预测结果应逐年列出。</w:t>
      </w:r>
    </w:p>
    <w:p>
      <w:pPr>
        <w:pStyle w:val="5"/>
        <w:rPr>
          <w:rFonts w:ascii="Times New Roman"/>
        </w:rPr>
      </w:pPr>
      <w:r>
        <w:rPr>
          <w:rFonts w:ascii="Times New Roman"/>
        </w:rPr>
        <w:t>5.</w:t>
      </w:r>
      <w:r>
        <w:rPr>
          <w:rFonts w:hint="eastAsia" w:ascii="Times New Roman"/>
        </w:rPr>
        <w:t>3.1</w:t>
      </w:r>
      <w:r>
        <w:rPr>
          <w:rFonts w:ascii="Times New Roman"/>
        </w:rPr>
        <w:t>.</w:t>
      </w:r>
      <w:r>
        <w:rPr>
          <w:rFonts w:hint="eastAsia" w:ascii="Times New Roman"/>
        </w:rPr>
        <w:t>5</w:t>
      </w:r>
      <w:r>
        <w:rPr>
          <w:rFonts w:ascii="Times New Roman"/>
        </w:rPr>
        <w:t xml:space="preserve">  </w:t>
      </w:r>
      <w:r>
        <w:rPr>
          <w:rFonts w:hint="eastAsia" w:ascii="Times New Roman"/>
        </w:rPr>
        <w:t>电力需求预测可采用</w:t>
      </w:r>
      <w:r>
        <w:rPr>
          <w:rFonts w:ascii="Times New Roman"/>
        </w:rPr>
        <w:t>空间负荷预测法、弹性系数法、单耗法、负荷密度法、趋势外推法等</w:t>
      </w:r>
      <w:r>
        <w:rPr>
          <w:rFonts w:hint="eastAsia" w:ascii="Times New Roman"/>
        </w:rPr>
        <w:t>。可</w:t>
      </w:r>
      <w:r>
        <w:rPr>
          <w:rFonts w:ascii="Times New Roman"/>
        </w:rPr>
        <w:t>根据规划区预测数据基础和实际需要，</w:t>
      </w:r>
      <w:r>
        <w:rPr>
          <w:rFonts w:hint="eastAsia" w:ascii="Times New Roman"/>
        </w:rPr>
        <w:t>综合多种电力需求</w:t>
      </w:r>
      <w:r>
        <w:rPr>
          <w:rFonts w:ascii="Times New Roman"/>
        </w:rPr>
        <w:t>方法进行预测，经综合分析后给出高、中、低用能需求预测方案，并提出推荐方案。</w:t>
      </w:r>
    </w:p>
    <w:p>
      <w:pPr>
        <w:pStyle w:val="5"/>
        <w:rPr>
          <w:rFonts w:ascii="Times New Roman"/>
        </w:rPr>
      </w:pPr>
      <w:r>
        <w:rPr>
          <w:rFonts w:hint="eastAsia" w:ascii="Times New Roman"/>
        </w:rPr>
        <w:t>5</w:t>
      </w:r>
      <w:r>
        <w:rPr>
          <w:rFonts w:ascii="Times New Roman"/>
        </w:rPr>
        <w:t>.</w:t>
      </w:r>
      <w:r>
        <w:rPr>
          <w:rFonts w:hint="eastAsia" w:ascii="Times New Roman"/>
        </w:rPr>
        <w:t>3.1</w:t>
      </w:r>
      <w:r>
        <w:rPr>
          <w:rFonts w:ascii="Times New Roman"/>
        </w:rPr>
        <w:t>.</w:t>
      </w:r>
      <w:r>
        <w:rPr>
          <w:rFonts w:hint="eastAsia" w:ascii="Times New Roman"/>
        </w:rPr>
        <w:t>6</w:t>
      </w:r>
      <w:r>
        <w:rPr>
          <w:rFonts w:ascii="Times New Roman"/>
        </w:rPr>
        <w:t xml:space="preserve">  空间负荷预测</w:t>
      </w:r>
      <w:r>
        <w:rPr>
          <w:rFonts w:hint="eastAsia" w:ascii="Times New Roman"/>
        </w:rPr>
        <w:t>法</w:t>
      </w:r>
      <w:r>
        <w:rPr>
          <w:rFonts w:ascii="Times New Roman"/>
        </w:rPr>
        <w:t>应结合城乡规划和土地利用规划的功能区域划分，分析、预测规划水平年供电</w:t>
      </w:r>
      <w:r>
        <w:rPr>
          <w:rFonts w:hint="eastAsia" w:ascii="Times New Roman"/>
        </w:rPr>
        <w:t>区域</w:t>
      </w:r>
      <w:r>
        <w:rPr>
          <w:rFonts w:ascii="Times New Roman"/>
        </w:rPr>
        <w:t>土地利用的特征和发展规律，预测相应</w:t>
      </w:r>
      <w:r>
        <w:rPr>
          <w:rFonts w:hint="eastAsia" w:ascii="Times New Roman"/>
        </w:rPr>
        <w:t>区域</w:t>
      </w:r>
      <w:r>
        <w:rPr>
          <w:rFonts w:ascii="Times New Roman"/>
        </w:rPr>
        <w:t>电力用户和负荷分布的地理位置、数量和时序。</w:t>
      </w:r>
    </w:p>
    <w:p>
      <w:pPr>
        <w:pStyle w:val="5"/>
        <w:rPr>
          <w:rFonts w:ascii="Times New Roman"/>
        </w:rPr>
      </w:pPr>
      <w:r>
        <w:rPr>
          <w:rFonts w:hint="eastAsia" w:ascii="Times New Roman"/>
        </w:rPr>
        <w:t>5</w:t>
      </w:r>
      <w:r>
        <w:rPr>
          <w:rFonts w:ascii="Times New Roman"/>
        </w:rPr>
        <w:t>.</w:t>
      </w:r>
      <w:r>
        <w:rPr>
          <w:rFonts w:hint="eastAsia" w:ascii="Times New Roman"/>
        </w:rPr>
        <w:t>3.1</w:t>
      </w:r>
      <w:r>
        <w:rPr>
          <w:rFonts w:ascii="Times New Roman"/>
        </w:rPr>
        <w:t>.</w:t>
      </w:r>
      <w:r>
        <w:rPr>
          <w:rFonts w:hint="eastAsia" w:ascii="Times New Roman"/>
        </w:rPr>
        <w:t>7</w:t>
      </w:r>
      <w:r>
        <w:rPr>
          <w:rFonts w:ascii="Times New Roman"/>
        </w:rPr>
        <w:t xml:space="preserve">  </w:t>
      </w:r>
      <w:r>
        <w:rPr>
          <w:rFonts w:hint="eastAsia" w:ascii="Times New Roman"/>
        </w:rPr>
        <w:t>电量需求预测可采用年最大负荷利用小时数法、年平均负荷计算法、单位产品耗电量计算法等方法预测。可</w:t>
      </w:r>
      <w:r>
        <w:rPr>
          <w:rFonts w:ascii="Times New Roman"/>
        </w:rPr>
        <w:t>采用多种方法，经综合分析后给出高、中、低用能需求预测方案，并提出推荐方案。</w:t>
      </w:r>
    </w:p>
    <w:p>
      <w:pPr>
        <w:pStyle w:val="5"/>
        <w:rPr>
          <w:rFonts w:ascii="Times New Roman"/>
        </w:rPr>
      </w:pPr>
      <w:r>
        <w:rPr>
          <w:rFonts w:hint="eastAsia" w:ascii="Times New Roman"/>
        </w:rPr>
        <w:t>5.3.2  新型负荷预测</w:t>
      </w:r>
    </w:p>
    <w:p>
      <w:pPr>
        <w:pStyle w:val="5"/>
        <w:rPr>
          <w:rFonts w:ascii="Times New Roman"/>
        </w:rPr>
      </w:pPr>
      <w:r>
        <w:rPr>
          <w:rFonts w:hint="eastAsia" w:ascii="Times New Roman"/>
        </w:rPr>
        <w:t>5</w:t>
      </w:r>
      <w:r>
        <w:rPr>
          <w:rFonts w:ascii="Times New Roman"/>
        </w:rPr>
        <w:t>.</w:t>
      </w:r>
      <w:r>
        <w:rPr>
          <w:rFonts w:hint="eastAsia" w:ascii="Times New Roman"/>
        </w:rPr>
        <w:t>3.2</w:t>
      </w:r>
      <w:r>
        <w:rPr>
          <w:rFonts w:ascii="Times New Roman"/>
        </w:rPr>
        <w:t>.</w:t>
      </w:r>
      <w:r>
        <w:rPr>
          <w:rFonts w:hint="eastAsia" w:ascii="Times New Roman"/>
        </w:rPr>
        <w:t>1</w:t>
      </w:r>
      <w:r>
        <w:rPr>
          <w:rFonts w:ascii="Times New Roman"/>
        </w:rPr>
        <w:t xml:space="preserve">  </w:t>
      </w:r>
      <w:r>
        <w:rPr>
          <w:rFonts w:hint="eastAsia" w:ascii="Times New Roman"/>
        </w:rPr>
        <w:t>新型负荷电力需求预测宜根据不同区域、社会发展阶段、用户类型以及空间用能需求，充分考虑用户终端用电方式变化和可调节负荷、可中断负荷比例，分析充换电设施、储能装置等新型负荷的影响，确定新型负荷发展特性曲线，并以此作为规划的依据。</w:t>
      </w:r>
    </w:p>
    <w:p>
      <w:pPr>
        <w:pStyle w:val="5"/>
        <w:rPr>
          <w:rFonts w:ascii="Times New Roman"/>
        </w:rPr>
      </w:pPr>
      <w:r>
        <w:rPr>
          <w:rFonts w:hint="eastAsia" w:ascii="Times New Roman"/>
        </w:rPr>
        <w:t xml:space="preserve">5.3.2.2  </w:t>
      </w:r>
      <w:r>
        <w:rPr>
          <w:rFonts w:ascii="Times New Roman"/>
        </w:rPr>
        <w:t>充换电设施</w:t>
      </w:r>
      <w:r>
        <w:rPr>
          <w:rFonts w:hint="eastAsia" w:ascii="Times New Roman"/>
        </w:rPr>
        <w:t>负荷预测宜结合电动汽车的保有规模大小、电动汽车充电方式、电动汽车电池充放电特性等情况进行预测，预测方法可采用</w:t>
      </w:r>
      <w:r>
        <w:rPr>
          <w:rFonts w:ascii="Times New Roman" w:cs="Arial"/>
          <w:color w:val="333333"/>
          <w:szCs w:val="21"/>
          <w:shd w:val="clear" w:color="auto" w:fill="FFFFFF"/>
        </w:rPr>
        <w:t>基于</w:t>
      </w:r>
      <w:r>
        <w:rPr>
          <w:rFonts w:hint="eastAsia" w:ascii="Times New Roman" w:cs="Arial"/>
          <w:color w:val="333333"/>
          <w:szCs w:val="21"/>
          <w:shd w:val="clear" w:color="auto" w:fill="FFFFFF"/>
        </w:rPr>
        <w:t>历史数据预测法、</w:t>
      </w:r>
      <w:r>
        <w:rPr>
          <w:rFonts w:ascii="Times New Roman" w:cs="Arial"/>
          <w:color w:val="333333"/>
          <w:szCs w:val="21"/>
          <w:shd w:val="clear" w:color="auto" w:fill="FFFFFF"/>
        </w:rPr>
        <w:t>基于电力系统短期负荷预测法</w:t>
      </w:r>
      <w:r>
        <w:rPr>
          <w:rFonts w:hint="eastAsia" w:ascii="Times New Roman"/>
        </w:rPr>
        <w:t>、蒙特卡洛模拟法等。</w:t>
      </w:r>
    </w:p>
    <w:p>
      <w:pPr>
        <w:pStyle w:val="5"/>
        <w:rPr>
          <w:rFonts w:ascii="Times New Roman"/>
        </w:rPr>
      </w:pPr>
      <w:r>
        <w:rPr>
          <w:rFonts w:hint="eastAsia" w:ascii="Times New Roman"/>
        </w:rPr>
        <w:t>5.3.2.3  电动汽车保有量预测应考虑规划城市电动汽车发展、人口与国民经济等情况，且应结合不同的应用场景分车辆类型进行预测。预测方法可采用外推法、因果法和判断分析法，具体方法包括电动化率法、回归分析法、千人保有量法等。</w:t>
      </w:r>
    </w:p>
    <w:p>
      <w:pPr>
        <w:pStyle w:val="5"/>
        <w:rPr>
          <w:rFonts w:ascii="Times New Roman"/>
        </w:rPr>
      </w:pPr>
      <w:r>
        <w:rPr>
          <w:rFonts w:hint="eastAsia" w:ascii="Times New Roman"/>
        </w:rPr>
        <w:t>5.3.2.4  充换电设施的布局宜结合电动汽车类型和保有量综合决定，其规模宜结合电动汽车充电需求、车辆的日均行驶里程和单位里程能耗综合确定。充换电设施规模需求预测应按照统筹规划、适度超前的原则，充分考虑电动汽车未来发展趋势。</w:t>
      </w:r>
    </w:p>
    <w:p>
      <w:pPr>
        <w:pStyle w:val="6"/>
      </w:pPr>
      <w:bookmarkStart w:id="194" w:name="_Toc146639499"/>
      <w:bookmarkEnd w:id="194"/>
      <w:bookmarkStart w:id="195" w:name="_Toc146639500"/>
      <w:bookmarkEnd w:id="195"/>
      <w:bookmarkStart w:id="196" w:name="_Toc146640272"/>
      <w:bookmarkEnd w:id="196"/>
      <w:bookmarkStart w:id="197" w:name="_Toc146697712"/>
      <w:bookmarkEnd w:id="197"/>
      <w:bookmarkStart w:id="198" w:name="_Toc146640274"/>
      <w:bookmarkEnd w:id="198"/>
      <w:bookmarkStart w:id="199" w:name="_Toc146640073"/>
      <w:bookmarkEnd w:id="199"/>
      <w:bookmarkStart w:id="200" w:name="_Toc146640068"/>
      <w:bookmarkEnd w:id="200"/>
      <w:bookmarkStart w:id="201" w:name="_Toc146640069"/>
      <w:bookmarkEnd w:id="201"/>
      <w:bookmarkStart w:id="202" w:name="_Toc146640271"/>
      <w:bookmarkEnd w:id="202"/>
      <w:bookmarkStart w:id="203" w:name="_Toc146640268"/>
      <w:bookmarkEnd w:id="203"/>
      <w:bookmarkStart w:id="204" w:name="_Toc146697708"/>
      <w:bookmarkEnd w:id="204"/>
      <w:bookmarkStart w:id="205" w:name="_Toc146640074"/>
      <w:bookmarkEnd w:id="205"/>
      <w:bookmarkStart w:id="206" w:name="_Toc146640070"/>
      <w:bookmarkEnd w:id="206"/>
      <w:bookmarkStart w:id="207" w:name="_Toc146640269"/>
      <w:bookmarkEnd w:id="207"/>
      <w:bookmarkStart w:id="208" w:name="_Toc146640071"/>
      <w:bookmarkEnd w:id="208"/>
      <w:bookmarkStart w:id="209" w:name="_Toc146639501"/>
      <w:bookmarkEnd w:id="209"/>
      <w:bookmarkStart w:id="210" w:name="_Toc146639504"/>
      <w:bookmarkEnd w:id="210"/>
      <w:bookmarkStart w:id="211" w:name="_Toc146639505"/>
      <w:bookmarkEnd w:id="211"/>
      <w:bookmarkStart w:id="212" w:name="_Toc146640072"/>
      <w:bookmarkEnd w:id="212"/>
      <w:bookmarkStart w:id="213" w:name="_Toc146640270"/>
      <w:bookmarkEnd w:id="213"/>
      <w:bookmarkStart w:id="214" w:name="_Toc146697711"/>
      <w:bookmarkEnd w:id="214"/>
      <w:bookmarkStart w:id="215" w:name="_Toc146639502"/>
      <w:bookmarkEnd w:id="215"/>
      <w:bookmarkStart w:id="216" w:name="_Toc146697709"/>
      <w:bookmarkEnd w:id="216"/>
      <w:bookmarkStart w:id="217" w:name="_Toc146640273"/>
      <w:bookmarkEnd w:id="217"/>
      <w:bookmarkStart w:id="218" w:name="_Toc146697710"/>
      <w:bookmarkEnd w:id="218"/>
      <w:bookmarkStart w:id="219" w:name="_Toc146697706"/>
      <w:bookmarkEnd w:id="219"/>
      <w:bookmarkStart w:id="220" w:name="_Toc146639503"/>
      <w:bookmarkEnd w:id="220"/>
      <w:bookmarkStart w:id="221" w:name="_Toc146697707"/>
      <w:bookmarkEnd w:id="221"/>
      <w:bookmarkStart w:id="222" w:name="_Toc142335349"/>
      <w:bookmarkStart w:id="223" w:name="_Toc146640275"/>
      <w:bookmarkStart w:id="224" w:name="_Toc146697713"/>
      <w:bookmarkStart w:id="225" w:name="_Toc146640075"/>
      <w:bookmarkStart w:id="226" w:name="_Toc119913120"/>
      <w:bookmarkStart w:id="227" w:name="_Toc146639506"/>
      <w:bookmarkStart w:id="228" w:name="_Toc170111369"/>
      <w:bookmarkStart w:id="229" w:name="_Toc142335141"/>
      <w:r>
        <w:rPr>
          <w:rFonts w:hint="eastAsia"/>
        </w:rPr>
        <w:t>电力电量平衡</w:t>
      </w:r>
      <w:bookmarkEnd w:id="222"/>
      <w:bookmarkEnd w:id="223"/>
      <w:bookmarkEnd w:id="224"/>
      <w:bookmarkEnd w:id="225"/>
      <w:bookmarkEnd w:id="226"/>
      <w:bookmarkEnd w:id="227"/>
      <w:bookmarkEnd w:id="228"/>
      <w:bookmarkEnd w:id="229"/>
      <w:bookmarkStart w:id="230" w:name="pindex164"/>
      <w:bookmarkEnd w:id="230"/>
    </w:p>
    <w:p>
      <w:pPr>
        <w:pStyle w:val="5"/>
        <w:rPr>
          <w:rFonts w:ascii="Times New Roman"/>
        </w:rPr>
      </w:pPr>
      <w:r>
        <w:rPr>
          <w:rFonts w:hint="eastAsia" w:ascii="Times New Roman"/>
        </w:rPr>
        <w:t>5</w:t>
      </w:r>
      <w:r>
        <w:rPr>
          <w:rFonts w:ascii="Times New Roman"/>
        </w:rPr>
        <w:t>.</w:t>
      </w:r>
      <w:r>
        <w:rPr>
          <w:rFonts w:hint="eastAsia" w:ascii="Times New Roman"/>
        </w:rPr>
        <w:t>4</w:t>
      </w:r>
      <w:r>
        <w:rPr>
          <w:rFonts w:ascii="Times New Roman"/>
        </w:rPr>
        <w:t>.1  电力</w:t>
      </w:r>
      <w:r>
        <w:rPr>
          <w:rFonts w:hint="eastAsia" w:ascii="Times New Roman"/>
        </w:rPr>
        <w:t>电量</w:t>
      </w:r>
      <w:r>
        <w:rPr>
          <w:rFonts w:ascii="Times New Roman"/>
        </w:rPr>
        <w:t>平衡应根据有源配电网总体规划，在分布式电源发电预测和</w:t>
      </w:r>
      <w:r>
        <w:rPr>
          <w:rFonts w:hint="eastAsia" w:ascii="Times New Roman"/>
        </w:rPr>
        <w:t>电力电量需求</w:t>
      </w:r>
      <w:r>
        <w:rPr>
          <w:rFonts w:ascii="Times New Roman"/>
        </w:rPr>
        <w:t>预测的基础上，考虑合理的备用容量，协调配电网电力规划</w:t>
      </w:r>
      <w:r>
        <w:rPr>
          <w:rFonts w:hint="eastAsia" w:ascii="Times New Roman"/>
        </w:rPr>
        <w:t>。</w:t>
      </w:r>
    </w:p>
    <w:p>
      <w:pPr>
        <w:pStyle w:val="5"/>
        <w:rPr>
          <w:rFonts w:ascii="Times New Roman"/>
        </w:rPr>
      </w:pPr>
      <w:r>
        <w:rPr>
          <w:rFonts w:hint="eastAsia" w:ascii="Times New Roman"/>
        </w:rPr>
        <w:t>5</w:t>
      </w:r>
      <w:r>
        <w:rPr>
          <w:rFonts w:ascii="Times New Roman"/>
        </w:rPr>
        <w:t>.</w:t>
      </w:r>
      <w:r>
        <w:rPr>
          <w:rFonts w:hint="eastAsia" w:ascii="Times New Roman"/>
        </w:rPr>
        <w:t>4</w:t>
      </w:r>
      <w:r>
        <w:rPr>
          <w:rFonts w:ascii="Times New Roman"/>
        </w:rPr>
        <w:t>.2  电力</w:t>
      </w:r>
      <w:r>
        <w:rPr>
          <w:rFonts w:hint="eastAsia" w:ascii="Times New Roman"/>
        </w:rPr>
        <w:t>电量</w:t>
      </w:r>
      <w:r>
        <w:rPr>
          <w:rFonts w:ascii="Times New Roman"/>
        </w:rPr>
        <w:t>平衡应分区、分电压等级、</w:t>
      </w:r>
      <w:r>
        <w:rPr>
          <w:rFonts w:hint="eastAsia" w:ascii="Times New Roman"/>
        </w:rPr>
        <w:t>按季节</w:t>
      </w:r>
      <w:r>
        <w:rPr>
          <w:rFonts w:ascii="Times New Roman"/>
        </w:rPr>
        <w:t>进行，并考虑各类分布式电源、</w:t>
      </w:r>
      <w:r>
        <w:rPr>
          <w:rFonts w:hint="eastAsia" w:ascii="Times New Roman"/>
        </w:rPr>
        <w:t>充换电设施</w:t>
      </w:r>
      <w:r>
        <w:rPr>
          <w:rFonts w:ascii="Times New Roman"/>
        </w:rPr>
        <w:t>、储能装置等的影响</w:t>
      </w:r>
      <w:r>
        <w:rPr>
          <w:rFonts w:hint="eastAsia" w:ascii="Times New Roman"/>
        </w:rPr>
        <w:t>，形成典型日电力电量平衡分析</w:t>
      </w:r>
      <w:r>
        <w:rPr>
          <w:rFonts w:ascii="Times New Roman"/>
        </w:rPr>
        <w:t>。</w:t>
      </w:r>
    </w:p>
    <w:p>
      <w:pPr>
        <w:pStyle w:val="5"/>
        <w:rPr>
          <w:rFonts w:ascii="Times New Roman"/>
        </w:rPr>
      </w:pPr>
      <w:r>
        <w:rPr>
          <w:rFonts w:hint="eastAsia" w:ascii="Times New Roman"/>
        </w:rPr>
        <w:t>5</w:t>
      </w:r>
      <w:r>
        <w:rPr>
          <w:rFonts w:ascii="Times New Roman"/>
        </w:rPr>
        <w:t>.</w:t>
      </w:r>
      <w:r>
        <w:rPr>
          <w:rFonts w:hint="eastAsia" w:ascii="Times New Roman"/>
        </w:rPr>
        <w:t>4</w:t>
      </w:r>
      <w:r>
        <w:rPr>
          <w:rFonts w:ascii="Times New Roman"/>
        </w:rPr>
        <w:t xml:space="preserve">.3  </w:t>
      </w:r>
      <w:r>
        <w:rPr>
          <w:rFonts w:hint="eastAsia" w:ascii="Times New Roman"/>
        </w:rPr>
        <w:t>电力平衡应采用分层分区原则，不同</w:t>
      </w:r>
      <w:r>
        <w:rPr>
          <w:rFonts w:ascii="Times New Roman"/>
        </w:rPr>
        <w:t>电压等级</w:t>
      </w:r>
      <w:r>
        <w:rPr>
          <w:rFonts w:hint="eastAsia" w:ascii="Times New Roman"/>
        </w:rPr>
        <w:t>下、规划区域内</w:t>
      </w:r>
      <w:r>
        <w:rPr>
          <w:rFonts w:ascii="Times New Roman"/>
        </w:rPr>
        <w:t>应结合</w:t>
      </w:r>
      <w:r>
        <w:rPr>
          <w:rFonts w:hint="eastAsia" w:ascii="Times New Roman"/>
        </w:rPr>
        <w:t>电力</w:t>
      </w:r>
      <w:r>
        <w:rPr>
          <w:rFonts w:ascii="Times New Roman"/>
        </w:rPr>
        <w:t>预测结果和现有</w:t>
      </w:r>
      <w:r>
        <w:rPr>
          <w:rFonts w:hint="eastAsia" w:ascii="Times New Roman"/>
        </w:rPr>
        <w:t>配</w:t>
      </w:r>
      <w:r>
        <w:rPr>
          <w:rFonts w:ascii="Times New Roman"/>
        </w:rPr>
        <w:t>电容量，确定该电压等级</w:t>
      </w:r>
      <w:r>
        <w:rPr>
          <w:rFonts w:hint="eastAsia" w:ascii="Times New Roman"/>
        </w:rPr>
        <w:t>、规划区域</w:t>
      </w:r>
      <w:r>
        <w:rPr>
          <w:rFonts w:ascii="Times New Roman"/>
        </w:rPr>
        <w:t>所需新增的</w:t>
      </w:r>
      <w:r>
        <w:rPr>
          <w:rFonts w:hint="eastAsia" w:ascii="Times New Roman"/>
        </w:rPr>
        <w:t>配</w:t>
      </w:r>
      <w:r>
        <w:rPr>
          <w:rFonts w:ascii="Times New Roman"/>
        </w:rPr>
        <w:t>电容量。</w:t>
      </w:r>
    </w:p>
    <w:p>
      <w:pPr>
        <w:pStyle w:val="5"/>
        <w:rPr>
          <w:rFonts w:ascii="Times New Roman"/>
        </w:rPr>
      </w:pPr>
      <w:r>
        <w:rPr>
          <w:rFonts w:hint="eastAsia" w:ascii="Times New Roman"/>
        </w:rPr>
        <w:t>5</w:t>
      </w:r>
      <w:r>
        <w:rPr>
          <w:rFonts w:ascii="Times New Roman"/>
        </w:rPr>
        <w:t>.</w:t>
      </w:r>
      <w:r>
        <w:rPr>
          <w:rFonts w:hint="eastAsia" w:ascii="Times New Roman"/>
        </w:rPr>
        <w:t>4</w:t>
      </w:r>
      <w:r>
        <w:rPr>
          <w:rFonts w:ascii="Times New Roman"/>
        </w:rPr>
        <w:t>.4  电量平衡</w:t>
      </w:r>
      <w:r>
        <w:rPr>
          <w:rFonts w:hint="eastAsia" w:ascii="Times New Roman"/>
        </w:rPr>
        <w:t>宜</w:t>
      </w:r>
      <w:r>
        <w:rPr>
          <w:rFonts w:ascii="Times New Roman"/>
        </w:rPr>
        <w:t>分析各类电源的利用小时数以及弃风、弃光电量</w:t>
      </w:r>
      <w:r>
        <w:rPr>
          <w:rFonts w:hint="eastAsia" w:ascii="Times New Roman"/>
        </w:rPr>
        <w:t>，</w:t>
      </w:r>
      <w:r>
        <w:rPr>
          <w:rFonts w:ascii="Times New Roman"/>
        </w:rPr>
        <w:t>对电量平衡结果进行整体综合</w:t>
      </w:r>
      <w:r>
        <w:rPr>
          <w:rFonts w:hint="eastAsia" w:ascii="Times New Roman"/>
        </w:rPr>
        <w:t>评价</w:t>
      </w:r>
      <w:r>
        <w:rPr>
          <w:rFonts w:ascii="Times New Roman"/>
        </w:rPr>
        <w:t>。</w:t>
      </w:r>
    </w:p>
    <w:p>
      <w:pPr>
        <w:pStyle w:val="5"/>
        <w:rPr>
          <w:rFonts w:ascii="Times New Roman"/>
        </w:rPr>
      </w:pPr>
      <w:r>
        <w:rPr>
          <w:rFonts w:ascii="Times New Roman"/>
        </w:rPr>
        <w:t>5.</w:t>
      </w:r>
      <w:r>
        <w:rPr>
          <w:rFonts w:hint="eastAsia" w:ascii="Times New Roman"/>
        </w:rPr>
        <w:t>4</w:t>
      </w:r>
      <w:r>
        <w:rPr>
          <w:rFonts w:ascii="Times New Roman"/>
        </w:rPr>
        <w:t xml:space="preserve">.5  </w:t>
      </w:r>
      <w:r>
        <w:rPr>
          <w:rFonts w:hint="eastAsia" w:ascii="Times New Roman"/>
        </w:rPr>
        <w:t>有源配电网电力电量平衡应考虑规划区域供电能力、供电可靠性、供电质量、新能源电源渗透率、分布式电源消纳率等指标要求。</w:t>
      </w:r>
    </w:p>
    <w:p>
      <w:pPr>
        <w:pStyle w:val="3"/>
      </w:pPr>
      <w:bookmarkStart w:id="231" w:name="_Toc146640283"/>
      <w:bookmarkStart w:id="232" w:name="_Toc156810852"/>
      <w:bookmarkStart w:id="233" w:name="_Toc142335142"/>
      <w:bookmarkStart w:id="234" w:name="_Toc170111370"/>
      <w:bookmarkStart w:id="235" w:name="_Toc142335350"/>
      <w:bookmarkStart w:id="236" w:name="_Toc146640083"/>
      <w:bookmarkStart w:id="237" w:name="_Toc146639514"/>
      <w:bookmarkStart w:id="238" w:name="_Toc146697721"/>
      <w:r>
        <w:rPr>
          <w:rFonts w:hint="eastAsia"/>
        </w:rPr>
        <w:t>系统一次规划</w:t>
      </w:r>
      <w:bookmarkEnd w:id="231"/>
      <w:bookmarkEnd w:id="232"/>
      <w:bookmarkEnd w:id="233"/>
      <w:bookmarkEnd w:id="234"/>
      <w:bookmarkEnd w:id="235"/>
      <w:bookmarkEnd w:id="236"/>
      <w:bookmarkEnd w:id="237"/>
      <w:bookmarkEnd w:id="238"/>
      <w:bookmarkStart w:id="239" w:name="pindex170"/>
      <w:bookmarkEnd w:id="239"/>
    </w:p>
    <w:p>
      <w:pPr>
        <w:pStyle w:val="6"/>
      </w:pPr>
      <w:bookmarkStart w:id="240" w:name="_Toc146640284"/>
      <w:bookmarkStart w:id="241" w:name="_Toc146639515"/>
      <w:bookmarkStart w:id="242" w:name="_Toc146640084"/>
      <w:bookmarkStart w:id="243" w:name="_Toc146697722"/>
      <w:bookmarkStart w:id="244" w:name="_Toc170111371"/>
      <w:bookmarkStart w:id="245" w:name="_Toc89088568"/>
      <w:bookmarkStart w:id="246" w:name="_Toc119913122"/>
      <w:bookmarkStart w:id="247" w:name="_Toc142335143"/>
      <w:bookmarkStart w:id="248" w:name="_Toc142335351"/>
      <w:r>
        <w:rPr>
          <w:rFonts w:hint="eastAsia"/>
        </w:rPr>
        <w:t>一般要求</w:t>
      </w:r>
      <w:bookmarkEnd w:id="240"/>
      <w:bookmarkEnd w:id="241"/>
      <w:bookmarkEnd w:id="242"/>
      <w:bookmarkEnd w:id="243"/>
      <w:bookmarkEnd w:id="244"/>
      <w:bookmarkStart w:id="249" w:name="pindex171"/>
      <w:bookmarkEnd w:id="249"/>
    </w:p>
    <w:p>
      <w:pPr>
        <w:pStyle w:val="5"/>
        <w:rPr>
          <w:rFonts w:ascii="Times New Roman"/>
        </w:rPr>
      </w:pPr>
      <w:r>
        <w:rPr>
          <w:rFonts w:hint="eastAsia" w:ascii="Times New Roman"/>
        </w:rPr>
        <w:t>6</w:t>
      </w:r>
      <w:r>
        <w:rPr>
          <w:rFonts w:ascii="Times New Roman"/>
        </w:rPr>
        <w:t xml:space="preserve">.1.1  </w:t>
      </w:r>
      <w:r>
        <w:rPr>
          <w:rFonts w:hint="eastAsia" w:ascii="Times New Roman"/>
        </w:rPr>
        <w:t>有源配电网网架规划应在按行政级别的供电区域划分基础上进行，针对不同区域的供电要求实施规划。</w:t>
      </w:r>
    </w:p>
    <w:p>
      <w:pPr>
        <w:pStyle w:val="5"/>
        <w:rPr>
          <w:rFonts w:ascii="Times New Roman"/>
        </w:rPr>
      </w:pPr>
      <w:r>
        <w:rPr>
          <w:rFonts w:hint="eastAsia" w:ascii="Times New Roman"/>
        </w:rPr>
        <w:t>6.1.2  有源配电网规划应结合地区发展需求和技术经济性比较，差异化选取配电网网架结构，适应分布式电源高比例接入。</w:t>
      </w:r>
    </w:p>
    <w:p>
      <w:pPr>
        <w:pStyle w:val="5"/>
        <w:rPr>
          <w:rFonts w:ascii="Times New Roman"/>
        </w:rPr>
      </w:pPr>
      <w:r>
        <w:rPr>
          <w:rFonts w:ascii="Times New Roman"/>
        </w:rPr>
        <w:t>6.1.</w:t>
      </w:r>
      <w:r>
        <w:rPr>
          <w:rFonts w:hint="eastAsia" w:ascii="Times New Roman"/>
        </w:rPr>
        <w:t>3</w:t>
      </w:r>
      <w:r>
        <w:rPr>
          <w:rFonts w:ascii="Times New Roman"/>
        </w:rPr>
        <w:t xml:space="preserve">  </w:t>
      </w:r>
      <w:r>
        <w:rPr>
          <w:rFonts w:hint="eastAsia" w:ascii="Times New Roman"/>
        </w:rPr>
        <w:t>有源配电网可根据用户需求及运行工况灵活选择开环或合环运行方式。</w:t>
      </w:r>
    </w:p>
    <w:p>
      <w:pPr>
        <w:pStyle w:val="5"/>
        <w:rPr>
          <w:rFonts w:ascii="Times New Roman"/>
        </w:rPr>
      </w:pPr>
      <w:r>
        <w:rPr>
          <w:rFonts w:ascii="Times New Roman"/>
        </w:rPr>
        <w:t>6.1.</w:t>
      </w:r>
      <w:r>
        <w:rPr>
          <w:rFonts w:hint="eastAsia" w:ascii="Times New Roman"/>
        </w:rPr>
        <w:t>4</w:t>
      </w:r>
      <w:r>
        <w:rPr>
          <w:rFonts w:ascii="Times New Roman"/>
        </w:rPr>
        <w:t xml:space="preserve">  </w:t>
      </w:r>
      <w:r>
        <w:rPr>
          <w:rFonts w:hint="eastAsia" w:ascii="Times New Roman"/>
        </w:rPr>
        <w:t>对于接入分布式电源后反向负载率低于或等于0的地区，</w:t>
      </w:r>
      <w:r>
        <w:rPr>
          <w:rFonts w:ascii="Times New Roman"/>
        </w:rPr>
        <w:t>其</w:t>
      </w:r>
      <w:r>
        <w:rPr>
          <w:rFonts w:hint="eastAsia" w:ascii="Times New Roman"/>
        </w:rPr>
        <w:t>网架结构应符合DL/T 5729的相关规定。</w:t>
      </w:r>
    </w:p>
    <w:p>
      <w:pPr>
        <w:pStyle w:val="6"/>
      </w:pPr>
      <w:bookmarkStart w:id="250" w:name="_Toc146639516"/>
      <w:bookmarkStart w:id="251" w:name="_Toc146697723"/>
      <w:bookmarkStart w:id="252" w:name="_Toc146640085"/>
      <w:bookmarkStart w:id="253" w:name="_Toc170111372"/>
      <w:bookmarkStart w:id="254" w:name="_Toc146640285"/>
      <w:r>
        <w:t xml:space="preserve">10kV </w:t>
      </w:r>
      <w:bookmarkEnd w:id="245"/>
      <w:bookmarkEnd w:id="246"/>
      <w:bookmarkStart w:id="255" w:name="_Toc89088569"/>
      <w:bookmarkStart w:id="256" w:name="_Toc119913123"/>
      <w:r>
        <w:rPr>
          <w:rFonts w:hint="eastAsia"/>
        </w:rPr>
        <w:t>配电网架</w:t>
      </w:r>
      <w:bookmarkEnd w:id="255"/>
      <w:r>
        <w:rPr>
          <w:rFonts w:hint="eastAsia"/>
        </w:rPr>
        <w:t>结构</w:t>
      </w:r>
      <w:bookmarkEnd w:id="247"/>
      <w:bookmarkEnd w:id="248"/>
      <w:bookmarkEnd w:id="250"/>
      <w:bookmarkEnd w:id="251"/>
      <w:bookmarkEnd w:id="252"/>
      <w:bookmarkEnd w:id="253"/>
      <w:bookmarkEnd w:id="254"/>
      <w:bookmarkEnd w:id="256"/>
      <w:bookmarkStart w:id="257" w:name="pindex176"/>
      <w:bookmarkEnd w:id="257"/>
    </w:p>
    <w:p>
      <w:pPr>
        <w:pStyle w:val="5"/>
        <w:rPr>
          <w:rFonts w:ascii="Times New Roman"/>
        </w:rPr>
      </w:pPr>
      <w:r>
        <w:rPr>
          <w:rFonts w:ascii="Times New Roman"/>
        </w:rPr>
        <w:t xml:space="preserve">6.2.1  </w:t>
      </w:r>
      <w:r>
        <w:rPr>
          <w:rFonts w:hint="eastAsia" w:ascii="Times New Roman"/>
        </w:rPr>
        <w:t>1</w:t>
      </w:r>
      <w:r>
        <w:rPr>
          <w:rFonts w:ascii="Times New Roman"/>
        </w:rPr>
        <w:t>0kV配电网应根据变电站位置、</w:t>
      </w:r>
      <w:r>
        <w:rPr>
          <w:rFonts w:hint="eastAsia" w:ascii="Times New Roman"/>
        </w:rPr>
        <w:t>分布式电源及</w:t>
      </w:r>
      <w:r>
        <w:rPr>
          <w:rFonts w:ascii="Times New Roman"/>
        </w:rPr>
        <w:t>负荷分布情况，开展目标网架设计，并制定逐年过渡方案。</w:t>
      </w:r>
    </w:p>
    <w:p>
      <w:pPr>
        <w:pStyle w:val="5"/>
        <w:rPr>
          <w:rFonts w:ascii="Times New Roman"/>
        </w:rPr>
      </w:pPr>
      <w:r>
        <w:rPr>
          <w:rFonts w:ascii="Times New Roman"/>
        </w:rPr>
        <w:t xml:space="preserve">6.2.2  </w:t>
      </w:r>
      <w:r>
        <w:rPr>
          <w:rFonts w:hint="eastAsia" w:ascii="Times New Roman"/>
        </w:rPr>
        <w:t>结合分布式电源渗透率及负荷特性曲线，经过技术</w:t>
      </w:r>
      <w:sdt>
        <w:sdtPr>
          <w:rPr>
            <w:rFonts w:ascii="Times New Roman"/>
          </w:rPr>
          <w:alias w:val="易错词检查"/>
          <w:id w:val="-305391410"/>
        </w:sdtPr>
        <w:sdtEndPr>
          <w:rPr>
            <w:rFonts w:ascii="Times New Roman"/>
          </w:rPr>
        </w:sdtEndPr>
        <w:sdtContent>
          <w:r>
            <w:rPr>
              <w:rFonts w:hint="eastAsia" w:ascii="Times New Roman"/>
            </w:rPr>
            <w:t>经</w:t>
          </w:r>
        </w:sdtContent>
      </w:sdt>
      <w:r>
        <w:rPr>
          <w:rFonts w:hint="eastAsia" w:ascii="Times New Roman"/>
        </w:rPr>
        <w:t>济比选，可</w:t>
      </w:r>
      <w:r>
        <w:rPr>
          <w:rFonts w:ascii="Times New Roman"/>
        </w:rPr>
        <w:t>应用</w:t>
      </w:r>
      <w:r>
        <w:rPr>
          <w:rFonts w:hint="eastAsia" w:ascii="Times New Roman"/>
        </w:rPr>
        <w:t>花瓣接线、交直流柔性互联等</w:t>
      </w:r>
      <w:r>
        <w:rPr>
          <w:rFonts w:ascii="Times New Roman"/>
        </w:rPr>
        <w:t>新型网架结构，提高新能源消纳水平，保障电网安全经济运行。</w:t>
      </w:r>
    </w:p>
    <w:p>
      <w:pPr>
        <w:pStyle w:val="5"/>
        <w:rPr>
          <w:rFonts w:ascii="Times New Roman"/>
        </w:rPr>
      </w:pPr>
      <w:r>
        <w:rPr>
          <w:rFonts w:ascii="Times New Roman"/>
        </w:rPr>
        <w:t>6.2.</w:t>
      </w:r>
      <w:r>
        <w:rPr>
          <w:rFonts w:hint="eastAsia" w:ascii="Times New Roman"/>
        </w:rPr>
        <w:t>3</w:t>
      </w:r>
      <w:r>
        <w:rPr>
          <w:rFonts w:ascii="Times New Roman"/>
        </w:rPr>
        <w:t xml:space="preserve">  柔性互联装置应根据负荷分布、设备载流量、开关遮断容量、损耗等因素，经潮流计算和短路计算确定参数。柔性互联装置接入后，全部运行场景下接入点</w:t>
      </w:r>
      <w:r>
        <w:rPr>
          <w:rFonts w:hint="eastAsia" w:ascii="Times New Roman"/>
        </w:rPr>
        <w:t>电能质量应满足GB/T 12325、GB/T 12326、GB/T 14549、GB/T 15543、GB/T 15945、GB/T 24337的相关规定</w:t>
      </w:r>
      <w:r>
        <w:rPr>
          <w:rFonts w:ascii="Times New Roman"/>
        </w:rPr>
        <w:t>。</w:t>
      </w:r>
    </w:p>
    <w:p>
      <w:pPr>
        <w:pStyle w:val="6"/>
      </w:pPr>
      <w:bookmarkStart w:id="258" w:name="_Toc146697729"/>
      <w:bookmarkEnd w:id="258"/>
      <w:bookmarkStart w:id="259" w:name="_Toc146640091"/>
      <w:bookmarkEnd w:id="259"/>
      <w:bookmarkStart w:id="260" w:name="_Toc146640095"/>
      <w:bookmarkEnd w:id="260"/>
      <w:bookmarkStart w:id="261" w:name="_Toc146697725"/>
      <w:bookmarkEnd w:id="261"/>
      <w:bookmarkStart w:id="262" w:name="_Toc146640294"/>
      <w:bookmarkEnd w:id="262"/>
      <w:bookmarkStart w:id="263" w:name="_Toc146639518"/>
      <w:bookmarkEnd w:id="263"/>
      <w:bookmarkStart w:id="264" w:name="_Toc146640089"/>
      <w:bookmarkEnd w:id="264"/>
      <w:bookmarkStart w:id="265" w:name="_Toc146640086"/>
      <w:bookmarkEnd w:id="265"/>
      <w:bookmarkStart w:id="266" w:name="_Toc146640287"/>
      <w:bookmarkEnd w:id="266"/>
      <w:bookmarkStart w:id="267" w:name="_Toc146639525"/>
      <w:bookmarkEnd w:id="267"/>
      <w:bookmarkStart w:id="268" w:name="_Toc146640297"/>
      <w:bookmarkEnd w:id="268"/>
      <w:bookmarkStart w:id="269" w:name="_Toc146697734"/>
      <w:bookmarkEnd w:id="269"/>
      <w:bookmarkStart w:id="270" w:name="_Toc146697727"/>
      <w:bookmarkEnd w:id="270"/>
      <w:bookmarkStart w:id="271" w:name="_Toc146640296"/>
      <w:bookmarkEnd w:id="271"/>
      <w:bookmarkStart w:id="272" w:name="_Toc146640289"/>
      <w:bookmarkEnd w:id="272"/>
      <w:bookmarkStart w:id="273" w:name="_Toc146639521"/>
      <w:bookmarkEnd w:id="273"/>
      <w:bookmarkStart w:id="274" w:name="_Toc146639527"/>
      <w:bookmarkEnd w:id="274"/>
      <w:bookmarkStart w:id="275" w:name="_Toc146697735"/>
      <w:bookmarkEnd w:id="275"/>
      <w:bookmarkStart w:id="276" w:name="_Toc146640093"/>
      <w:bookmarkEnd w:id="276"/>
      <w:bookmarkStart w:id="277" w:name="_Toc146697726"/>
      <w:bookmarkEnd w:id="277"/>
      <w:bookmarkStart w:id="278" w:name="_Toc146697728"/>
      <w:bookmarkEnd w:id="278"/>
      <w:bookmarkStart w:id="279" w:name="_Toc146640286"/>
      <w:bookmarkEnd w:id="279"/>
      <w:bookmarkStart w:id="280" w:name="_Toc146640295"/>
      <w:bookmarkEnd w:id="280"/>
      <w:bookmarkStart w:id="281" w:name="_Toc146639526"/>
      <w:bookmarkEnd w:id="281"/>
      <w:bookmarkStart w:id="282" w:name="_Toc146640090"/>
      <w:bookmarkEnd w:id="282"/>
      <w:bookmarkStart w:id="283" w:name="_Toc146640092"/>
      <w:bookmarkEnd w:id="283"/>
      <w:bookmarkStart w:id="284" w:name="_Toc146639517"/>
      <w:bookmarkEnd w:id="284"/>
      <w:bookmarkStart w:id="285" w:name="_Toc146640291"/>
      <w:bookmarkEnd w:id="285"/>
      <w:bookmarkStart w:id="286" w:name="_Toc146639520"/>
      <w:bookmarkEnd w:id="286"/>
      <w:bookmarkStart w:id="287" w:name="_Toc146697732"/>
      <w:bookmarkEnd w:id="287"/>
      <w:bookmarkStart w:id="288" w:name="_Toc146640094"/>
      <w:bookmarkEnd w:id="288"/>
      <w:bookmarkStart w:id="289" w:name="_Toc146697730"/>
      <w:bookmarkEnd w:id="289"/>
      <w:bookmarkStart w:id="290" w:name="_Toc146640290"/>
      <w:bookmarkEnd w:id="290"/>
      <w:bookmarkStart w:id="291" w:name="_Toc146640097"/>
      <w:bookmarkEnd w:id="291"/>
      <w:bookmarkStart w:id="292" w:name="_Toc146639528"/>
      <w:bookmarkEnd w:id="292"/>
      <w:bookmarkStart w:id="293" w:name="_Toc146639523"/>
      <w:bookmarkEnd w:id="293"/>
      <w:bookmarkStart w:id="294" w:name="_Toc146639522"/>
      <w:bookmarkEnd w:id="294"/>
      <w:bookmarkStart w:id="295" w:name="_Toc146639524"/>
      <w:bookmarkEnd w:id="295"/>
      <w:bookmarkStart w:id="296" w:name="_Toc146697731"/>
      <w:bookmarkEnd w:id="296"/>
      <w:bookmarkStart w:id="297" w:name="_Toc146697724"/>
      <w:bookmarkEnd w:id="297"/>
      <w:bookmarkStart w:id="298" w:name="_Toc146639519"/>
      <w:bookmarkEnd w:id="298"/>
      <w:bookmarkStart w:id="299" w:name="_Toc146640096"/>
      <w:bookmarkEnd w:id="299"/>
      <w:bookmarkStart w:id="300" w:name="_Toc146640087"/>
      <w:bookmarkEnd w:id="300"/>
      <w:bookmarkStart w:id="301" w:name="_Toc146640288"/>
      <w:bookmarkEnd w:id="301"/>
      <w:bookmarkStart w:id="302" w:name="_Toc146640293"/>
      <w:bookmarkEnd w:id="302"/>
      <w:bookmarkStart w:id="303" w:name="_Toc146640088"/>
      <w:bookmarkEnd w:id="303"/>
      <w:bookmarkStart w:id="304" w:name="_Toc146640292"/>
      <w:bookmarkEnd w:id="304"/>
      <w:bookmarkStart w:id="305" w:name="_Toc146697733"/>
      <w:bookmarkEnd w:id="305"/>
      <w:bookmarkStart w:id="306" w:name="_Toc142335352"/>
      <w:bookmarkStart w:id="307" w:name="_Toc142335144"/>
      <w:bookmarkStart w:id="308" w:name="_Toc146639529"/>
      <w:bookmarkStart w:id="309" w:name="_Toc170111373"/>
      <w:bookmarkStart w:id="310" w:name="_Toc146697736"/>
      <w:bookmarkStart w:id="311" w:name="_Toc146640298"/>
      <w:bookmarkStart w:id="312" w:name="_Toc119913124"/>
      <w:bookmarkStart w:id="313" w:name="_Toc146640098"/>
      <w:bookmarkStart w:id="314" w:name="_Hlk142332377"/>
      <w:r>
        <w:rPr>
          <w:rFonts w:hint="eastAsia"/>
        </w:rPr>
        <w:t>0</w:t>
      </w:r>
      <w:r>
        <w:t>.4kV配电网架结构</w:t>
      </w:r>
      <w:bookmarkEnd w:id="306"/>
      <w:bookmarkEnd w:id="307"/>
      <w:bookmarkEnd w:id="308"/>
      <w:bookmarkEnd w:id="309"/>
      <w:bookmarkEnd w:id="310"/>
      <w:bookmarkEnd w:id="311"/>
      <w:bookmarkEnd w:id="312"/>
      <w:bookmarkEnd w:id="313"/>
      <w:bookmarkStart w:id="315" w:name="pindex181"/>
      <w:bookmarkEnd w:id="315"/>
    </w:p>
    <w:bookmarkEnd w:id="314"/>
    <w:p>
      <w:pPr>
        <w:pStyle w:val="5"/>
        <w:rPr>
          <w:rFonts w:ascii="Times New Roman"/>
        </w:rPr>
      </w:pPr>
      <w:r>
        <w:rPr>
          <w:rFonts w:ascii="Times New Roman"/>
        </w:rPr>
        <w:t xml:space="preserve">6.3.1  </w:t>
      </w:r>
      <w:r>
        <w:rPr>
          <w:rFonts w:hint="eastAsia" w:ascii="Times New Roman"/>
        </w:rPr>
        <w:t>0</w:t>
      </w:r>
      <w:r>
        <w:rPr>
          <w:rFonts w:ascii="Times New Roman"/>
        </w:rPr>
        <w:t>.4kV配电网实行分区供电，结构</w:t>
      </w:r>
      <w:r>
        <w:rPr>
          <w:rFonts w:hint="eastAsia" w:ascii="Times New Roman"/>
        </w:rPr>
        <w:t>应</w:t>
      </w:r>
      <w:r>
        <w:rPr>
          <w:rFonts w:ascii="Times New Roman"/>
        </w:rPr>
        <w:t>简单，</w:t>
      </w:r>
      <w:r>
        <w:rPr>
          <w:rFonts w:hint="eastAsia" w:ascii="Times New Roman"/>
        </w:rPr>
        <w:t>宜</w:t>
      </w:r>
      <w:r>
        <w:rPr>
          <w:rFonts w:ascii="Times New Roman"/>
        </w:rPr>
        <w:t>采用</w:t>
      </w:r>
      <w:r>
        <w:rPr>
          <w:rFonts w:hint="eastAsia" w:ascii="Times New Roman"/>
        </w:rPr>
        <w:t>放射</w:t>
      </w:r>
      <w:r>
        <w:rPr>
          <w:rFonts w:ascii="Times New Roman"/>
        </w:rPr>
        <w:t>式结构。</w:t>
      </w:r>
    </w:p>
    <w:p>
      <w:pPr>
        <w:pStyle w:val="5"/>
        <w:rPr>
          <w:rFonts w:ascii="Times New Roman"/>
        </w:rPr>
      </w:pPr>
      <w:r>
        <w:rPr>
          <w:rFonts w:ascii="Times New Roman"/>
        </w:rPr>
        <w:t xml:space="preserve">6.3.2  </w:t>
      </w:r>
      <w:r>
        <w:rPr>
          <w:rFonts w:hint="eastAsia" w:ascii="Times New Roman"/>
        </w:rPr>
        <w:t>0</w:t>
      </w:r>
      <w:r>
        <w:rPr>
          <w:rFonts w:ascii="Times New Roman"/>
        </w:rPr>
        <w:t>.4kV支线接入方式可分为放射</w:t>
      </w:r>
      <w:r>
        <w:rPr>
          <w:rFonts w:hint="eastAsia" w:ascii="Times New Roman"/>
        </w:rPr>
        <w:t>式、</w:t>
      </w:r>
      <w:r>
        <w:rPr>
          <w:rFonts w:ascii="Times New Roman"/>
        </w:rPr>
        <w:t>树干</w:t>
      </w:r>
      <w:r>
        <w:rPr>
          <w:rFonts w:hint="eastAsia" w:ascii="Times New Roman"/>
        </w:rPr>
        <w:t>式和环状式</w:t>
      </w:r>
      <w:r>
        <w:rPr>
          <w:rFonts w:ascii="Times New Roman"/>
        </w:rPr>
        <w:t>。</w:t>
      </w:r>
    </w:p>
    <w:p>
      <w:pPr>
        <w:pStyle w:val="5"/>
        <w:rPr>
          <w:rFonts w:ascii="Times New Roman"/>
        </w:rPr>
      </w:pPr>
      <w:bookmarkStart w:id="316" w:name="_Hlk142057489"/>
      <w:r>
        <w:rPr>
          <w:rFonts w:ascii="Times New Roman"/>
        </w:rPr>
        <w:t>6.3.3  当不同配电台区能够通过功率互济促进分布式</w:t>
      </w:r>
      <w:r>
        <w:rPr>
          <w:rFonts w:hint="eastAsia" w:ascii="Times New Roman"/>
        </w:rPr>
        <w:t>电源</w:t>
      </w:r>
      <w:r>
        <w:rPr>
          <w:rFonts w:ascii="Times New Roman"/>
        </w:rPr>
        <w:t>就近消纳，且满足互联条件时，</w:t>
      </w:r>
      <w:r>
        <w:rPr>
          <w:rFonts w:hint="eastAsia" w:ascii="Times New Roman"/>
        </w:rPr>
        <w:t>经过技术经济性分析后，</w:t>
      </w:r>
      <w:r>
        <w:rPr>
          <w:rFonts w:ascii="Times New Roman"/>
        </w:rPr>
        <w:t>可选用低压柔性互联装置实现台区互联。台区</w:t>
      </w:r>
      <w:r>
        <w:rPr>
          <w:rFonts w:hint="eastAsia" w:ascii="Times New Roman"/>
        </w:rPr>
        <w:t>下</w:t>
      </w:r>
      <w:r>
        <w:rPr>
          <w:rFonts w:ascii="Times New Roman"/>
        </w:rPr>
        <w:t>柔性互联系统容量应不超过</w:t>
      </w:r>
      <w:r>
        <w:rPr>
          <w:rFonts w:hint="eastAsia" w:ascii="Times New Roman"/>
        </w:rPr>
        <w:t>互联系统</w:t>
      </w:r>
      <w:r>
        <w:rPr>
          <w:rFonts w:ascii="Times New Roman"/>
        </w:rPr>
        <w:t>变压器</w:t>
      </w:r>
      <w:r>
        <w:rPr>
          <w:rFonts w:hint="eastAsia" w:ascii="Times New Roman"/>
        </w:rPr>
        <w:t>总</w:t>
      </w:r>
      <w:r>
        <w:rPr>
          <w:rFonts w:ascii="Times New Roman"/>
        </w:rPr>
        <w:t>容量，互联系统中柔性互联装置宜采用分散式部署模式。</w:t>
      </w:r>
    </w:p>
    <w:p>
      <w:pPr>
        <w:pStyle w:val="6"/>
      </w:pPr>
      <w:bookmarkStart w:id="317" w:name="_Toc170111374"/>
      <w:r>
        <w:rPr>
          <w:rFonts w:hint="eastAsia"/>
        </w:rPr>
        <w:t>一次设备</w:t>
      </w:r>
      <w:bookmarkEnd w:id="317"/>
    </w:p>
    <w:p>
      <w:pPr>
        <w:pStyle w:val="5"/>
        <w:rPr>
          <w:rFonts w:ascii="Times New Roman"/>
        </w:rPr>
      </w:pPr>
      <w:r>
        <w:rPr>
          <w:rFonts w:hint="eastAsia" w:ascii="Times New Roman"/>
        </w:rPr>
        <w:t>6.4.1  配电网设备的选择应遵循设备全寿命周期管理的理念和标准化、序列化、智能化的选型原则，采用技术成熟、少维护、低损耗、节能环保、具备可扩展功能的设备。</w:t>
      </w:r>
    </w:p>
    <w:p>
      <w:pPr>
        <w:pStyle w:val="5"/>
        <w:rPr>
          <w:rFonts w:ascii="Times New Roman"/>
        </w:rPr>
      </w:pPr>
      <w:r>
        <w:rPr>
          <w:rFonts w:hint="eastAsia" w:ascii="Times New Roman"/>
        </w:rPr>
        <w:t>6.4.2  10kV及以下配电网中线路、配电设备等一次设备的规划技术要求应符合DL/T 5729的相关规定。</w:t>
      </w:r>
    </w:p>
    <w:p>
      <w:pPr>
        <w:pStyle w:val="5"/>
        <w:rPr>
          <w:rFonts w:ascii="Times New Roman"/>
        </w:rPr>
      </w:pPr>
      <w:r>
        <w:rPr>
          <w:rFonts w:ascii="Times New Roman"/>
        </w:rPr>
        <w:t>6.</w:t>
      </w:r>
      <w:r>
        <w:rPr>
          <w:rFonts w:hint="eastAsia" w:ascii="Times New Roman"/>
        </w:rPr>
        <w:t>4</w:t>
      </w:r>
      <w:r>
        <w:rPr>
          <w:rFonts w:ascii="Times New Roman"/>
        </w:rPr>
        <w:t>.</w:t>
      </w:r>
      <w:r>
        <w:rPr>
          <w:rFonts w:hint="eastAsia" w:ascii="Times New Roman"/>
        </w:rPr>
        <w:t>3</w:t>
      </w:r>
      <w:r>
        <w:rPr>
          <w:rFonts w:ascii="Times New Roman"/>
        </w:rPr>
        <w:t xml:space="preserve">  </w:t>
      </w:r>
      <w:r>
        <w:rPr>
          <w:rFonts w:hint="eastAsia" w:ascii="Times New Roman"/>
        </w:rPr>
        <w:t>结合分布式电源发电预测与电力电量平衡分析，对于接入分布式电源后反向负载率较高地区，导线截面可较一般规定提高一档选择。</w:t>
      </w:r>
    </w:p>
    <w:p>
      <w:pPr>
        <w:pStyle w:val="3"/>
      </w:pPr>
      <w:bookmarkStart w:id="318" w:name="_Toc142335353"/>
      <w:bookmarkStart w:id="319" w:name="_Toc146640099"/>
      <w:bookmarkStart w:id="320" w:name="_Toc146640299"/>
      <w:bookmarkStart w:id="321" w:name="_Toc156810853"/>
      <w:bookmarkStart w:id="322" w:name="_Toc146697737"/>
      <w:bookmarkStart w:id="323" w:name="_Toc146639530"/>
      <w:bookmarkStart w:id="324" w:name="_Toc170111375"/>
      <w:bookmarkStart w:id="325" w:name="_Toc142335145"/>
      <w:r>
        <w:rPr>
          <w:rFonts w:hint="eastAsia"/>
        </w:rPr>
        <w:t>系统二次规划</w:t>
      </w:r>
      <w:bookmarkEnd w:id="318"/>
      <w:bookmarkEnd w:id="319"/>
      <w:bookmarkEnd w:id="320"/>
      <w:bookmarkEnd w:id="321"/>
      <w:bookmarkEnd w:id="322"/>
      <w:bookmarkEnd w:id="323"/>
      <w:bookmarkEnd w:id="324"/>
      <w:bookmarkEnd w:id="325"/>
      <w:bookmarkStart w:id="326" w:name="pindex185"/>
      <w:bookmarkEnd w:id="326"/>
    </w:p>
    <w:p>
      <w:pPr>
        <w:pStyle w:val="6"/>
      </w:pPr>
      <w:bookmarkStart w:id="327" w:name="_Toc146640100"/>
      <w:bookmarkStart w:id="328" w:name="_Toc170111376"/>
      <w:bookmarkStart w:id="329" w:name="_Toc146640300"/>
      <w:bookmarkStart w:id="330" w:name="_Toc146639531"/>
      <w:bookmarkStart w:id="331" w:name="_Toc146697738"/>
      <w:r>
        <w:rPr>
          <w:rFonts w:hint="eastAsia"/>
        </w:rPr>
        <w:t>一般要求</w:t>
      </w:r>
      <w:bookmarkEnd w:id="327"/>
      <w:bookmarkEnd w:id="328"/>
      <w:bookmarkEnd w:id="329"/>
      <w:bookmarkEnd w:id="330"/>
      <w:bookmarkEnd w:id="331"/>
      <w:bookmarkStart w:id="332" w:name="pindex186"/>
      <w:bookmarkEnd w:id="332"/>
    </w:p>
    <w:p>
      <w:pPr>
        <w:pStyle w:val="5"/>
        <w:rPr>
          <w:rFonts w:ascii="Times New Roman"/>
        </w:rPr>
      </w:pPr>
      <w:r>
        <w:rPr>
          <w:rFonts w:hint="eastAsia" w:ascii="Times New Roman"/>
        </w:rPr>
        <w:t>7</w:t>
      </w:r>
      <w:r>
        <w:rPr>
          <w:rFonts w:ascii="Times New Roman"/>
        </w:rPr>
        <w:t xml:space="preserve">.1.1  </w:t>
      </w:r>
      <w:r>
        <w:rPr>
          <w:rFonts w:hint="eastAsia" w:ascii="Times New Roman"/>
        </w:rPr>
        <w:t>为提高有源配电网运营管理水平和供电可靠性水平，应在配电网一次规划的基础上考虑继电保护及安全自动化、数据采集方式、协调控制系统、配电通信网等数字化、智能化的要求，实现配电网</w:t>
      </w:r>
      <w:r>
        <w:rPr>
          <w:rFonts w:ascii="Times New Roman"/>
        </w:rPr>
        <w:t>数据感知、全业务接入</w:t>
      </w:r>
      <w:r>
        <w:rPr>
          <w:rFonts w:hint="eastAsia" w:ascii="Times New Roman"/>
        </w:rPr>
        <w:t>与</w:t>
      </w:r>
      <w:r>
        <w:rPr>
          <w:rFonts w:ascii="Times New Roman"/>
        </w:rPr>
        <w:t>广域互联</w:t>
      </w:r>
      <w:r>
        <w:rPr>
          <w:rFonts w:hint="eastAsia" w:ascii="Times New Roman"/>
        </w:rPr>
        <w:t>。</w:t>
      </w:r>
    </w:p>
    <w:p>
      <w:pPr>
        <w:pStyle w:val="5"/>
        <w:rPr>
          <w:rFonts w:ascii="Times New Roman"/>
        </w:rPr>
      </w:pPr>
      <w:r>
        <w:rPr>
          <w:rFonts w:hint="eastAsia" w:ascii="Times New Roman"/>
        </w:rPr>
        <w:t>7</w:t>
      </w:r>
      <w:r>
        <w:rPr>
          <w:rFonts w:ascii="Times New Roman"/>
        </w:rPr>
        <w:t>.1.2  二次系统规划</w:t>
      </w:r>
      <w:r>
        <w:rPr>
          <w:rFonts w:hint="eastAsia" w:ascii="Times New Roman"/>
        </w:rPr>
        <w:t>应</w:t>
      </w:r>
      <w:r>
        <w:rPr>
          <w:rFonts w:ascii="Times New Roman"/>
        </w:rPr>
        <w:t>适应有源配电网运行特征，支撑一次网架灵活调节。</w:t>
      </w:r>
    </w:p>
    <w:p>
      <w:pPr>
        <w:pStyle w:val="5"/>
        <w:rPr>
          <w:rFonts w:ascii="Times New Roman"/>
        </w:rPr>
      </w:pPr>
      <w:r>
        <w:rPr>
          <w:rFonts w:ascii="Times New Roman"/>
        </w:rPr>
        <w:t>7.1.3  大量分布式电源</w:t>
      </w:r>
      <w:r>
        <w:rPr>
          <w:rFonts w:hint="eastAsia" w:ascii="Times New Roman"/>
        </w:rPr>
        <w:t>及新型负荷</w:t>
      </w:r>
      <w:r>
        <w:rPr>
          <w:rFonts w:ascii="Times New Roman"/>
        </w:rPr>
        <w:t>分散接入时，</w:t>
      </w:r>
      <w:r>
        <w:rPr>
          <w:rFonts w:hint="eastAsia" w:ascii="Times New Roman"/>
        </w:rPr>
        <w:t>可</w:t>
      </w:r>
      <w:r>
        <w:rPr>
          <w:rFonts w:ascii="Times New Roman"/>
        </w:rPr>
        <w:t>采用</w:t>
      </w:r>
      <w:r>
        <w:rPr>
          <w:rFonts w:hint="eastAsia" w:ascii="Times New Roman"/>
        </w:rPr>
        <w:t>分布式电源即插即用并网接口装置，可实现继电保护及安全自动化、数据采集等功能</w:t>
      </w:r>
      <w:r>
        <w:rPr>
          <w:rFonts w:ascii="Times New Roman"/>
        </w:rPr>
        <w:t>。</w:t>
      </w:r>
    </w:p>
    <w:p>
      <w:pPr>
        <w:pStyle w:val="6"/>
      </w:pPr>
      <w:bookmarkStart w:id="333" w:name="_Toc146697740"/>
      <w:bookmarkEnd w:id="333"/>
      <w:bookmarkStart w:id="334" w:name="_Toc146639533"/>
      <w:bookmarkEnd w:id="334"/>
      <w:bookmarkStart w:id="335" w:name="_Toc146640102"/>
      <w:bookmarkEnd w:id="335"/>
      <w:bookmarkStart w:id="336" w:name="_Toc146639532"/>
      <w:bookmarkEnd w:id="336"/>
      <w:bookmarkStart w:id="337" w:name="_Toc146640301"/>
      <w:bookmarkEnd w:id="337"/>
      <w:bookmarkStart w:id="338" w:name="_Toc146640101"/>
      <w:bookmarkEnd w:id="338"/>
      <w:bookmarkStart w:id="339" w:name="_Toc146697739"/>
      <w:bookmarkEnd w:id="339"/>
      <w:bookmarkStart w:id="340" w:name="_Toc146640302"/>
      <w:bookmarkEnd w:id="340"/>
      <w:bookmarkStart w:id="341" w:name="_Toc119913126"/>
      <w:bookmarkStart w:id="342" w:name="_Toc142335354"/>
      <w:bookmarkStart w:id="343" w:name="_Toc170111377"/>
      <w:bookmarkStart w:id="344" w:name="_Toc146640303"/>
      <w:bookmarkStart w:id="345" w:name="_Toc146639534"/>
      <w:bookmarkStart w:id="346" w:name="_Toc142335146"/>
      <w:bookmarkStart w:id="347" w:name="_Toc146640103"/>
      <w:bookmarkStart w:id="348" w:name="_Toc146697741"/>
      <w:r>
        <w:t>继电保护及</w:t>
      </w:r>
      <w:bookmarkEnd w:id="341"/>
      <w:r>
        <w:rPr>
          <w:rFonts w:hint="eastAsia"/>
        </w:rPr>
        <w:t>安全自动化装置</w:t>
      </w:r>
      <w:bookmarkEnd w:id="342"/>
      <w:bookmarkEnd w:id="343"/>
      <w:bookmarkEnd w:id="344"/>
      <w:bookmarkEnd w:id="345"/>
      <w:bookmarkEnd w:id="346"/>
      <w:bookmarkEnd w:id="347"/>
      <w:bookmarkEnd w:id="348"/>
      <w:bookmarkStart w:id="349" w:name="pindex190"/>
      <w:bookmarkEnd w:id="349"/>
    </w:p>
    <w:p>
      <w:pPr>
        <w:pStyle w:val="5"/>
        <w:rPr>
          <w:rFonts w:ascii="Times New Roman"/>
        </w:rPr>
      </w:pPr>
      <w:r>
        <w:rPr>
          <w:rFonts w:hint="eastAsia" w:ascii="Times New Roman"/>
        </w:rPr>
        <w:t>7</w:t>
      </w:r>
      <w:r>
        <w:rPr>
          <w:rFonts w:ascii="Times New Roman"/>
        </w:rPr>
        <w:t>.2.1  有源配电网</w:t>
      </w:r>
      <w:r>
        <w:rPr>
          <w:rFonts w:hint="eastAsia" w:ascii="Times New Roman"/>
        </w:rPr>
        <w:t>的</w:t>
      </w:r>
      <w:r>
        <w:rPr>
          <w:rFonts w:ascii="Times New Roman"/>
        </w:rPr>
        <w:t>继电保护与自动装置应按照GB/T 14285的要求配置。根据电网结构和运行特点等多方面因素，</w:t>
      </w:r>
      <w:r>
        <w:rPr>
          <w:rFonts w:hint="eastAsia" w:ascii="Times New Roman"/>
        </w:rPr>
        <w:t>应</w:t>
      </w:r>
      <w:r>
        <w:rPr>
          <w:rFonts w:ascii="Times New Roman"/>
        </w:rPr>
        <w:t>配置继电保护与配电自动化装置，满足可靠性、选择性、灵敏性和速动性要求。</w:t>
      </w:r>
    </w:p>
    <w:p>
      <w:pPr>
        <w:pStyle w:val="5"/>
        <w:rPr>
          <w:rFonts w:ascii="Times New Roman"/>
        </w:rPr>
      </w:pPr>
      <w:r>
        <w:rPr>
          <w:rFonts w:ascii="Times New Roman"/>
        </w:rPr>
        <w:t>7.2.2  10</w:t>
      </w:r>
      <w:r>
        <w:rPr>
          <w:rFonts w:hint="eastAsia" w:ascii="Times New Roman"/>
        </w:rPr>
        <w:t>kV中压电源网络有双向潮流时，宜在两侧均安装保护装置。其中主保护可配置光纤电流差动保护或5G电流差动保护或纵联方向保护，后备保护可配置带时限的过电流保护。</w:t>
      </w:r>
    </w:p>
    <w:p>
      <w:pPr>
        <w:pStyle w:val="5"/>
        <w:rPr>
          <w:rFonts w:ascii="Times New Roman"/>
        </w:rPr>
      </w:pPr>
      <w:r>
        <w:rPr>
          <w:rFonts w:hint="eastAsia" w:ascii="Times New Roman"/>
        </w:rPr>
        <w:t>7</w:t>
      </w:r>
      <w:r>
        <w:rPr>
          <w:rFonts w:ascii="Times New Roman"/>
        </w:rPr>
        <w:t>.2.3  分布式电源等配网</w:t>
      </w:r>
      <w:r>
        <w:rPr>
          <w:rFonts w:hint="eastAsia" w:ascii="Times New Roman"/>
        </w:rPr>
        <w:t>有源</w:t>
      </w:r>
      <w:r>
        <w:rPr>
          <w:rFonts w:ascii="Times New Roman"/>
        </w:rPr>
        <w:t>元素大量分散接入时，考虑采用</w:t>
      </w:r>
      <w:r>
        <w:rPr>
          <w:rFonts w:hint="eastAsia" w:ascii="Times New Roman"/>
        </w:rPr>
        <w:t>成熟的</w:t>
      </w:r>
      <w:r>
        <w:rPr>
          <w:rFonts w:ascii="Times New Roman"/>
        </w:rPr>
        <w:t>一二次融合设备，在传统一次设备中增加测量、计量、继保、监测、控制等功能，减小设备尺寸，提升配电设备运行水平和运维质量与效率。</w:t>
      </w:r>
      <w:r>
        <w:rPr>
          <w:rFonts w:hint="eastAsia" w:ascii="Times New Roman"/>
        </w:rPr>
        <w:t>其中，配置FTU、DTU等配电终端时，保护功能宜集成于配电终端内</w:t>
      </w:r>
      <w:r>
        <w:rPr>
          <w:rFonts w:ascii="Times New Roman"/>
        </w:rPr>
        <w:t>。</w:t>
      </w:r>
    </w:p>
    <w:p>
      <w:pPr>
        <w:pStyle w:val="5"/>
        <w:rPr>
          <w:rFonts w:ascii="Times New Roman"/>
        </w:rPr>
      </w:pPr>
      <w:r>
        <w:rPr>
          <w:rFonts w:hint="eastAsia" w:ascii="Times New Roman"/>
        </w:rPr>
        <w:t>7</w:t>
      </w:r>
      <w:r>
        <w:rPr>
          <w:rFonts w:ascii="Times New Roman"/>
        </w:rPr>
        <w:t xml:space="preserve">.2.4  </w:t>
      </w:r>
      <w:r>
        <w:rPr>
          <w:rFonts w:hint="eastAsia" w:ascii="Times New Roman"/>
        </w:rPr>
        <w:t>综合考虑</w:t>
      </w:r>
      <w:r>
        <w:rPr>
          <w:rFonts w:ascii="Times New Roman"/>
        </w:rPr>
        <w:t>配电线路</w:t>
      </w:r>
      <w:r>
        <w:rPr>
          <w:rFonts w:hint="eastAsia" w:ascii="Times New Roman"/>
        </w:rPr>
        <w:t>、</w:t>
      </w:r>
      <w:r>
        <w:rPr>
          <w:rFonts w:ascii="Times New Roman"/>
        </w:rPr>
        <w:t>光纤通信的</w:t>
      </w:r>
      <w:r>
        <w:rPr>
          <w:rFonts w:hint="eastAsia" w:ascii="Times New Roman"/>
        </w:rPr>
        <w:t>现状</w:t>
      </w:r>
      <w:r>
        <w:rPr>
          <w:rFonts w:ascii="Times New Roman"/>
        </w:rPr>
        <w:t>、建设成本</w:t>
      </w:r>
      <w:r>
        <w:rPr>
          <w:rFonts w:hint="eastAsia" w:ascii="Times New Roman"/>
        </w:rPr>
        <w:t>、占地面积等因素，经过技术经济性分析后，可</w:t>
      </w:r>
      <w:r>
        <w:rPr>
          <w:rFonts w:ascii="Times New Roman"/>
        </w:rPr>
        <w:t>采用一二次融合环网柜</w:t>
      </w:r>
      <w:r>
        <w:rPr>
          <w:rFonts w:hint="eastAsia" w:ascii="Times New Roman"/>
        </w:rPr>
        <w:t>、</w:t>
      </w:r>
      <w:r>
        <w:rPr>
          <w:rFonts w:ascii="Times New Roman"/>
        </w:rPr>
        <w:t>一二次融合柱上开关</w:t>
      </w:r>
      <w:r>
        <w:rPr>
          <w:rFonts w:hint="eastAsia" w:ascii="Times New Roman"/>
        </w:rPr>
        <w:t>、一二次融</w:t>
      </w:r>
      <w:r>
        <w:rPr>
          <w:rFonts w:ascii="Times New Roman"/>
        </w:rPr>
        <w:t>合箱式变电站建设方式</w:t>
      </w:r>
      <w:r>
        <w:rPr>
          <w:rFonts w:hint="eastAsia" w:ascii="Times New Roman"/>
        </w:rPr>
        <w:t>。</w:t>
      </w:r>
    </w:p>
    <w:p>
      <w:pPr>
        <w:pStyle w:val="5"/>
        <w:rPr>
          <w:rFonts w:ascii="Times New Roman"/>
        </w:rPr>
      </w:pPr>
      <w:r>
        <w:rPr>
          <w:rFonts w:hint="eastAsia" w:ascii="Times New Roman"/>
        </w:rPr>
        <w:t>7</w:t>
      </w:r>
      <w:r>
        <w:rPr>
          <w:rFonts w:ascii="Times New Roman"/>
        </w:rPr>
        <w:t>.2.5  为实现配电线路就近快速判断和隔离永久性单相接地故障，</w:t>
      </w:r>
      <w:r>
        <w:rPr>
          <w:rFonts w:hint="eastAsia" w:ascii="Times New Roman"/>
        </w:rPr>
        <w:t>宜</w:t>
      </w:r>
      <w:r>
        <w:rPr>
          <w:rFonts w:ascii="Times New Roman"/>
        </w:rPr>
        <w:t>在配电线路上配置具备接地故障区段定位功能</w:t>
      </w:r>
      <w:r>
        <w:rPr>
          <w:rFonts w:hint="eastAsia" w:ascii="Times New Roman"/>
        </w:rPr>
        <w:t>的</w:t>
      </w:r>
      <w:r>
        <w:rPr>
          <w:rFonts w:ascii="Times New Roman"/>
        </w:rPr>
        <w:t>一二次融合智能开关设备，降低单相接地故障引发的设备损害、系统绝缘风险，提高供电可靠性。</w:t>
      </w:r>
    </w:p>
    <w:p>
      <w:pPr>
        <w:pStyle w:val="5"/>
        <w:rPr>
          <w:rFonts w:ascii="Times New Roman"/>
        </w:rPr>
      </w:pPr>
      <w:r>
        <w:rPr>
          <w:rFonts w:hint="eastAsia" w:ascii="Times New Roman"/>
        </w:rPr>
        <w:t>7</w:t>
      </w:r>
      <w:r>
        <w:rPr>
          <w:rFonts w:ascii="Times New Roman"/>
        </w:rPr>
        <w:t>.2.6  针对分布式电源接入配网，</w:t>
      </w:r>
      <w:r>
        <w:rPr>
          <w:rFonts w:hint="eastAsia" w:ascii="Times New Roman"/>
        </w:rPr>
        <w:t>宜</w:t>
      </w:r>
      <w:r>
        <w:rPr>
          <w:rFonts w:ascii="Times New Roman"/>
        </w:rPr>
        <w:t>配置防孤岛保护</w:t>
      </w:r>
      <w:r>
        <w:rPr>
          <w:rFonts w:hint="eastAsia" w:ascii="Times New Roman"/>
        </w:rPr>
        <w:t>、反孤岛保护</w:t>
      </w:r>
      <w:r>
        <w:rPr>
          <w:rFonts w:ascii="Times New Roman"/>
        </w:rPr>
        <w:t>，并具备迅速检测孤岛且立即转为</w:t>
      </w:r>
      <w:r>
        <w:rPr>
          <w:rFonts w:hint="eastAsia" w:ascii="Times New Roman"/>
        </w:rPr>
        <w:t>独立运行</w:t>
      </w:r>
      <w:r>
        <w:rPr>
          <w:rFonts w:ascii="Times New Roman"/>
        </w:rPr>
        <w:t>模式的能力，模式切换不应误动作降低负荷供电可靠性。</w:t>
      </w:r>
    </w:p>
    <w:p>
      <w:pPr>
        <w:pStyle w:val="5"/>
        <w:rPr>
          <w:rFonts w:ascii="Times New Roman"/>
        </w:rPr>
      </w:pPr>
      <w:r>
        <w:rPr>
          <w:rFonts w:hint="eastAsia" w:ascii="Times New Roman"/>
        </w:rPr>
        <w:t>7</w:t>
      </w:r>
      <w:r>
        <w:rPr>
          <w:rFonts w:ascii="Times New Roman"/>
        </w:rPr>
        <w:t>.2.7  当分布式电源接入导致配电自动化无法准确故障定位时，配电自动化主站</w:t>
      </w:r>
      <w:r>
        <w:rPr>
          <w:rFonts w:hint="eastAsia" w:ascii="Times New Roman"/>
        </w:rPr>
        <w:t>和</w:t>
      </w:r>
      <w:r>
        <w:rPr>
          <w:rFonts w:ascii="Times New Roman"/>
        </w:rPr>
        <w:t>终端均应具备故障电流方向判别功能。</w:t>
      </w:r>
    </w:p>
    <w:p>
      <w:pPr>
        <w:pStyle w:val="5"/>
        <w:rPr>
          <w:rFonts w:ascii="Times New Roman"/>
        </w:rPr>
      </w:pPr>
      <w:r>
        <w:rPr>
          <w:rFonts w:ascii="Times New Roman"/>
        </w:rPr>
        <w:t>7.2.8  故障处理模式可采用馈线自动化方式或故障监测方式，其中馈线自动化可采用集中式、智能分布式和就地型重合器式三类方式。</w:t>
      </w:r>
    </w:p>
    <w:p>
      <w:pPr>
        <w:pStyle w:val="6"/>
      </w:pPr>
      <w:bookmarkStart w:id="350" w:name="_Toc146639535"/>
      <w:bookmarkStart w:id="351" w:name="_Toc142335147"/>
      <w:bookmarkStart w:id="352" w:name="_Toc119913127"/>
      <w:bookmarkStart w:id="353" w:name="_Toc146697742"/>
      <w:bookmarkStart w:id="354" w:name="_Toc170111378"/>
      <w:bookmarkStart w:id="355" w:name="_Toc146640104"/>
      <w:bookmarkStart w:id="356" w:name="_Toc142335355"/>
      <w:bookmarkStart w:id="357" w:name="_Toc146640304"/>
      <w:bookmarkStart w:id="358" w:name="_Hlk142332475"/>
      <w:r>
        <w:t>数据采集</w:t>
      </w:r>
      <w:bookmarkEnd w:id="350"/>
      <w:bookmarkEnd w:id="351"/>
      <w:bookmarkEnd w:id="352"/>
      <w:bookmarkEnd w:id="353"/>
      <w:bookmarkEnd w:id="354"/>
      <w:bookmarkEnd w:id="355"/>
      <w:bookmarkEnd w:id="356"/>
      <w:bookmarkEnd w:id="357"/>
      <w:bookmarkStart w:id="359" w:name="pindex199"/>
      <w:bookmarkEnd w:id="359"/>
    </w:p>
    <w:bookmarkEnd w:id="358"/>
    <w:p>
      <w:pPr>
        <w:pStyle w:val="5"/>
        <w:rPr>
          <w:rFonts w:ascii="Times New Roman"/>
        </w:rPr>
      </w:pPr>
      <w:r>
        <w:rPr>
          <w:rFonts w:hint="eastAsia" w:ascii="Times New Roman"/>
        </w:rPr>
        <w:t>7</w:t>
      </w:r>
      <w:r>
        <w:rPr>
          <w:rFonts w:ascii="Times New Roman"/>
        </w:rPr>
        <w:t xml:space="preserve">.3.1  </w:t>
      </w:r>
      <w:r>
        <w:rPr>
          <w:rFonts w:hint="eastAsia" w:ascii="Times New Roman"/>
        </w:rPr>
        <w:t>采集终端应按照差异化原则逐步覆盖配电站室、配电线路、分布式电源、储能及充换电设施等配用电设备，采集配电网设备运行状态、电能计量、环境监测等各类数据。</w:t>
      </w:r>
    </w:p>
    <w:p>
      <w:pPr>
        <w:pStyle w:val="5"/>
        <w:rPr>
          <w:rFonts w:ascii="Times New Roman"/>
        </w:rPr>
      </w:pPr>
      <w:r>
        <w:rPr>
          <w:rFonts w:hint="eastAsia" w:ascii="Times New Roman"/>
        </w:rPr>
        <w:t>7</w:t>
      </w:r>
      <w:r>
        <w:rPr>
          <w:rFonts w:ascii="Times New Roman"/>
        </w:rPr>
        <w:t>.3.2  结合</w:t>
      </w:r>
      <w:r>
        <w:rPr>
          <w:rFonts w:hint="eastAsia" w:ascii="Times New Roman"/>
        </w:rPr>
        <w:t>有源</w:t>
      </w:r>
      <w:r>
        <w:rPr>
          <w:rFonts w:ascii="Times New Roman"/>
        </w:rPr>
        <w:t>配电网一次网架实际情况，针对高渗透率台区</w:t>
      </w:r>
      <w:r>
        <w:rPr>
          <w:rFonts w:hint="eastAsia" w:ascii="Times New Roman"/>
        </w:rPr>
        <w:t>，</w:t>
      </w:r>
      <w:r>
        <w:rPr>
          <w:rFonts w:ascii="Times New Roman"/>
        </w:rPr>
        <w:t>物联感知设备</w:t>
      </w:r>
      <w:r>
        <w:rPr>
          <w:rFonts w:hint="eastAsia" w:ascii="Times New Roman"/>
        </w:rPr>
        <w:t>可</w:t>
      </w:r>
      <w:r>
        <w:rPr>
          <w:rFonts w:ascii="Times New Roman"/>
        </w:rPr>
        <w:t>采用云边协同</w:t>
      </w:r>
      <w:r>
        <w:rPr>
          <w:rFonts w:hint="eastAsia" w:ascii="Times New Roman"/>
        </w:rPr>
        <w:t>架构</w:t>
      </w:r>
      <w:r>
        <w:rPr>
          <w:rFonts w:ascii="Times New Roman"/>
        </w:rPr>
        <w:t>，</w:t>
      </w:r>
      <w:r>
        <w:rPr>
          <w:rFonts w:hint="eastAsia" w:ascii="Times New Roman"/>
        </w:rPr>
        <w:t>实现</w:t>
      </w:r>
      <w:r>
        <w:rPr>
          <w:rFonts w:ascii="Times New Roman"/>
        </w:rPr>
        <w:t>边缘计算节点部署</w:t>
      </w:r>
      <w:r>
        <w:rPr>
          <w:rFonts w:hint="eastAsia" w:ascii="Times New Roman"/>
        </w:rPr>
        <w:t>和</w:t>
      </w:r>
      <w:r>
        <w:rPr>
          <w:rFonts w:ascii="Times New Roman"/>
        </w:rPr>
        <w:t>数据采集需求</w:t>
      </w:r>
      <w:r>
        <w:rPr>
          <w:rFonts w:hint="eastAsia" w:ascii="Times New Roman"/>
        </w:rPr>
        <w:t>的</w:t>
      </w:r>
      <w:r>
        <w:rPr>
          <w:rFonts w:ascii="Times New Roman"/>
        </w:rPr>
        <w:t>标准化设计。</w:t>
      </w:r>
    </w:p>
    <w:p>
      <w:pPr>
        <w:pStyle w:val="5"/>
        <w:rPr>
          <w:rFonts w:ascii="Times New Roman"/>
        </w:rPr>
      </w:pPr>
      <w:r>
        <w:rPr>
          <w:rFonts w:hint="eastAsia" w:ascii="Times New Roman"/>
        </w:rPr>
        <w:t>7</w:t>
      </w:r>
      <w:r>
        <w:rPr>
          <w:rFonts w:ascii="Times New Roman"/>
        </w:rPr>
        <w:t>.3.3  有源配电网</w:t>
      </w:r>
      <w:r>
        <w:rPr>
          <w:rFonts w:hint="eastAsia" w:ascii="Times New Roman"/>
        </w:rPr>
        <w:t>公共配变</w:t>
      </w:r>
      <w:r>
        <w:rPr>
          <w:rFonts w:ascii="Times New Roman"/>
        </w:rPr>
        <w:t>台区低压线路</w:t>
      </w:r>
      <w:r>
        <w:rPr>
          <w:rFonts w:hint="eastAsia" w:ascii="Times New Roman"/>
        </w:rPr>
        <w:t>可</w:t>
      </w:r>
      <w:r>
        <w:rPr>
          <w:rFonts w:ascii="Times New Roman"/>
        </w:rPr>
        <w:t>增加智能低压传感设备或物联型断路器。</w:t>
      </w:r>
    </w:p>
    <w:p>
      <w:pPr>
        <w:pStyle w:val="5"/>
        <w:rPr>
          <w:rFonts w:ascii="Times New Roman"/>
        </w:rPr>
      </w:pPr>
      <w:r>
        <w:rPr>
          <w:rFonts w:hint="eastAsia" w:ascii="Times New Roman"/>
        </w:rPr>
        <w:t>7</w:t>
      </w:r>
      <w:r>
        <w:rPr>
          <w:rFonts w:ascii="Times New Roman"/>
        </w:rPr>
        <w:t>.3.</w:t>
      </w:r>
      <w:r>
        <w:rPr>
          <w:rFonts w:hint="eastAsia" w:ascii="Times New Roman"/>
        </w:rPr>
        <w:t>4</w:t>
      </w:r>
      <w:r>
        <w:rPr>
          <w:rFonts w:ascii="Times New Roman"/>
        </w:rPr>
        <w:t xml:space="preserve">  </w:t>
      </w:r>
      <w:r>
        <w:rPr>
          <w:rFonts w:hint="eastAsia" w:ascii="Times New Roman"/>
        </w:rPr>
        <w:t>负荷</w:t>
      </w:r>
      <w:r>
        <w:rPr>
          <w:rFonts w:ascii="Times New Roman"/>
        </w:rPr>
        <w:t>侧应配置</w:t>
      </w:r>
      <w:r>
        <w:rPr>
          <w:rFonts w:hint="eastAsia" w:ascii="Times New Roman"/>
        </w:rPr>
        <w:t>具备</w:t>
      </w:r>
      <w:r>
        <w:rPr>
          <w:rFonts w:ascii="Times New Roman"/>
        </w:rPr>
        <w:t>向电力负荷管理系统主站传送采集的数据和信息</w:t>
      </w:r>
      <w:r>
        <w:rPr>
          <w:rFonts w:hint="eastAsia" w:ascii="Times New Roman"/>
        </w:rPr>
        <w:t>、</w:t>
      </w:r>
      <w:r>
        <w:rPr>
          <w:rFonts w:ascii="Times New Roman"/>
        </w:rPr>
        <w:t>接收和执行主站设置或控制等命令</w:t>
      </w:r>
      <w:r>
        <w:rPr>
          <w:rFonts w:hint="eastAsia" w:ascii="Times New Roman"/>
        </w:rPr>
        <w:t>能力的智能电表</w:t>
      </w:r>
      <w:r>
        <w:rPr>
          <w:rFonts w:ascii="Times New Roman"/>
        </w:rPr>
        <w:t>，完成实时用电数据、计量工况和事件等数据采集。</w:t>
      </w:r>
    </w:p>
    <w:p>
      <w:pPr>
        <w:pStyle w:val="5"/>
        <w:rPr>
          <w:rFonts w:ascii="Times New Roman"/>
        </w:rPr>
      </w:pPr>
      <w:r>
        <w:rPr>
          <w:rFonts w:hint="eastAsia" w:ascii="Times New Roman"/>
        </w:rPr>
        <w:t>7</w:t>
      </w:r>
      <w:r>
        <w:rPr>
          <w:rFonts w:ascii="Times New Roman"/>
        </w:rPr>
        <w:t>.3.</w:t>
      </w:r>
      <w:r>
        <w:rPr>
          <w:rFonts w:hint="eastAsia" w:ascii="Times New Roman"/>
        </w:rPr>
        <w:t>5</w:t>
      </w:r>
      <w:r>
        <w:rPr>
          <w:rFonts w:ascii="Times New Roman"/>
        </w:rPr>
        <w:t xml:space="preserve">  </w:t>
      </w:r>
      <w:r>
        <w:rPr>
          <w:rFonts w:hint="eastAsia" w:ascii="Times New Roman"/>
        </w:rPr>
        <w:t>分布式电源、储能及充换电设施应配备数据采集终端、安全加密模块或装置、通信装置，应接入当地电网通信系统或配电自动化系统。</w:t>
      </w:r>
    </w:p>
    <w:p>
      <w:pPr>
        <w:pStyle w:val="6"/>
      </w:pPr>
      <w:bookmarkStart w:id="360" w:name="_Toc170111379"/>
      <w:bookmarkStart w:id="361" w:name="_Toc146640105"/>
      <w:bookmarkStart w:id="362" w:name="_Toc146640305"/>
      <w:bookmarkStart w:id="363" w:name="_Toc142335356"/>
      <w:bookmarkStart w:id="364" w:name="_Toc146697743"/>
      <w:bookmarkStart w:id="365" w:name="_Toc146639536"/>
      <w:bookmarkStart w:id="366" w:name="_Toc142335148"/>
      <w:bookmarkStart w:id="367" w:name="_Toc119913128"/>
      <w:r>
        <w:t>协调控制</w:t>
      </w:r>
      <w:bookmarkEnd w:id="360"/>
      <w:bookmarkEnd w:id="361"/>
      <w:bookmarkEnd w:id="362"/>
      <w:bookmarkEnd w:id="363"/>
      <w:bookmarkEnd w:id="364"/>
      <w:bookmarkEnd w:id="365"/>
      <w:bookmarkEnd w:id="366"/>
      <w:bookmarkEnd w:id="367"/>
      <w:bookmarkStart w:id="368" w:name="pindex206"/>
      <w:bookmarkEnd w:id="368"/>
    </w:p>
    <w:p>
      <w:pPr>
        <w:pStyle w:val="5"/>
        <w:rPr>
          <w:rFonts w:ascii="Times New Roman"/>
        </w:rPr>
      </w:pPr>
      <w:r>
        <w:rPr>
          <w:rFonts w:hint="eastAsia" w:ascii="Times New Roman"/>
        </w:rPr>
        <w:t>7</w:t>
      </w:r>
      <w:r>
        <w:rPr>
          <w:rFonts w:ascii="Times New Roman"/>
        </w:rPr>
        <w:t>.4.1  针对大规模分布式电源</w:t>
      </w:r>
      <w:r>
        <w:rPr>
          <w:rFonts w:hint="eastAsia" w:ascii="Times New Roman"/>
        </w:rPr>
        <w:t>、储能、充换电设施</w:t>
      </w:r>
      <w:r>
        <w:rPr>
          <w:rFonts w:ascii="Times New Roman"/>
        </w:rPr>
        <w:t>接入的地区，应增设协调控制系统，以实现能源的高效有序利用。</w:t>
      </w:r>
    </w:p>
    <w:p>
      <w:pPr>
        <w:pStyle w:val="5"/>
        <w:rPr>
          <w:rFonts w:ascii="Times New Roman"/>
        </w:rPr>
      </w:pPr>
      <w:r>
        <w:rPr>
          <w:rFonts w:hint="eastAsia" w:ascii="Times New Roman"/>
        </w:rPr>
        <w:t>7</w:t>
      </w:r>
      <w:r>
        <w:rPr>
          <w:rFonts w:ascii="Times New Roman"/>
        </w:rPr>
        <w:t>.4.2  有源配电网的协调控制应具备控制、保护、测量、监视、通信等功能，通过协调控制</w:t>
      </w:r>
      <w:r>
        <w:rPr>
          <w:rFonts w:hint="eastAsia" w:ascii="Times New Roman"/>
        </w:rPr>
        <w:t>分布式电源</w:t>
      </w:r>
      <w:r>
        <w:rPr>
          <w:rFonts w:ascii="Times New Roman"/>
        </w:rPr>
        <w:t>、储能以及可控负荷，实现</w:t>
      </w:r>
      <w:r>
        <w:rPr>
          <w:rFonts w:hint="eastAsia" w:ascii="Times New Roman"/>
        </w:rPr>
        <w:t>有源配电网</w:t>
      </w:r>
      <w:r>
        <w:rPr>
          <w:rFonts w:ascii="Times New Roman"/>
        </w:rPr>
        <w:t>安全稳定、经济化运行。</w:t>
      </w:r>
    </w:p>
    <w:p>
      <w:pPr>
        <w:pStyle w:val="5"/>
        <w:rPr>
          <w:rFonts w:ascii="Times New Roman"/>
        </w:rPr>
      </w:pPr>
      <w:r>
        <w:rPr>
          <w:rFonts w:hint="eastAsia" w:ascii="Times New Roman"/>
        </w:rPr>
        <w:t>7</w:t>
      </w:r>
      <w:r>
        <w:rPr>
          <w:rFonts w:ascii="Times New Roman"/>
        </w:rPr>
        <w:t xml:space="preserve">.4.3  </w:t>
      </w:r>
      <w:r>
        <w:rPr>
          <w:rFonts w:hint="eastAsia" w:ascii="Times New Roman"/>
        </w:rPr>
        <w:t>针</w:t>
      </w:r>
      <w:r>
        <w:rPr>
          <w:rFonts w:hint="eastAsia" w:ascii="Times New Roman"/>
          <w:szCs w:val="24"/>
          <w:lang w:bidi="ar"/>
        </w:rPr>
        <w:t>对</w:t>
      </w:r>
      <w:r>
        <w:rPr>
          <w:rFonts w:ascii="Times New Roman"/>
          <w:szCs w:val="24"/>
          <w:lang w:bidi="ar"/>
        </w:rPr>
        <w:t>10kV</w:t>
      </w:r>
      <w:r>
        <w:rPr>
          <w:rFonts w:hint="eastAsia" w:ascii="Times New Roman"/>
          <w:szCs w:val="24"/>
          <w:lang w:bidi="ar"/>
        </w:rPr>
        <w:t>分布式电源，宜</w:t>
      </w:r>
      <w:r>
        <w:rPr>
          <w:rFonts w:ascii="Times New Roman"/>
          <w:szCs w:val="24"/>
          <w:lang w:bidi="ar"/>
        </w:rPr>
        <w:t>接入区域调度自动化或配电自动化系统接受电网公司直接调控，</w:t>
      </w:r>
      <w:r>
        <w:rPr>
          <w:rFonts w:hint="eastAsia" w:ascii="Times New Roman"/>
          <w:szCs w:val="24"/>
          <w:lang w:bidi="ar"/>
        </w:rPr>
        <w:t>在用户侧部署控制终端。</w:t>
      </w:r>
    </w:p>
    <w:p>
      <w:pPr>
        <w:pStyle w:val="5"/>
        <w:rPr>
          <w:rFonts w:ascii="Times New Roman"/>
        </w:rPr>
      </w:pPr>
      <w:r>
        <w:rPr>
          <w:rFonts w:hint="eastAsia" w:ascii="Times New Roman"/>
        </w:rPr>
        <w:t>7</w:t>
      </w:r>
      <w:r>
        <w:rPr>
          <w:rFonts w:ascii="Times New Roman"/>
        </w:rPr>
        <w:t>.4.4  针对有充换电设施大规模接入</w:t>
      </w:r>
      <w:r>
        <w:rPr>
          <w:rFonts w:hint="eastAsia" w:ascii="Times New Roman"/>
        </w:rPr>
        <w:t>造成配变重载、过载的区域</w:t>
      </w:r>
      <w:r>
        <w:rPr>
          <w:rFonts w:ascii="Times New Roman"/>
        </w:rPr>
        <w:t>，</w:t>
      </w:r>
      <w:r>
        <w:rPr>
          <w:rFonts w:hint="eastAsia" w:ascii="Times New Roman"/>
        </w:rPr>
        <w:t>可</w:t>
      </w:r>
      <w:r>
        <w:rPr>
          <w:rFonts w:ascii="Times New Roman"/>
        </w:rPr>
        <w:t>采用智能有序充电系统。</w:t>
      </w:r>
    </w:p>
    <w:p>
      <w:pPr>
        <w:pStyle w:val="5"/>
        <w:rPr>
          <w:rFonts w:ascii="Times New Roman"/>
        </w:rPr>
      </w:pPr>
      <w:r>
        <w:rPr>
          <w:rFonts w:hint="eastAsia" w:ascii="Times New Roman"/>
        </w:rPr>
        <w:t>7</w:t>
      </w:r>
      <w:r>
        <w:rPr>
          <w:rFonts w:ascii="Times New Roman"/>
        </w:rPr>
        <w:t>.4.5  针对含冷热需求的</w:t>
      </w:r>
      <w:r>
        <w:rPr>
          <w:rFonts w:hint="eastAsia" w:ascii="Times New Roman"/>
        </w:rPr>
        <w:t>有源配电网</w:t>
      </w:r>
      <w:r>
        <w:rPr>
          <w:rFonts w:ascii="Times New Roman"/>
        </w:rPr>
        <w:t>，</w:t>
      </w:r>
      <w:r>
        <w:rPr>
          <w:rFonts w:hint="eastAsia" w:ascii="Times New Roman"/>
        </w:rPr>
        <w:t>可</w:t>
      </w:r>
      <w:r>
        <w:rPr>
          <w:rFonts w:ascii="Times New Roman"/>
        </w:rPr>
        <w:t>采用综合能源协调控制系统</w:t>
      </w:r>
      <w:r>
        <w:rPr>
          <w:rFonts w:hint="eastAsia" w:ascii="Times New Roman"/>
        </w:rPr>
        <w:t>，实现冷热电气协同、源网荷储集群联控</w:t>
      </w:r>
      <w:r>
        <w:rPr>
          <w:rFonts w:ascii="Times New Roman"/>
        </w:rPr>
        <w:t>。</w:t>
      </w:r>
    </w:p>
    <w:p>
      <w:pPr>
        <w:pStyle w:val="5"/>
        <w:rPr>
          <w:rFonts w:ascii="Times New Roman"/>
        </w:rPr>
      </w:pPr>
      <w:r>
        <w:rPr>
          <w:rFonts w:hint="eastAsia" w:ascii="Times New Roman"/>
        </w:rPr>
        <w:t>7</w:t>
      </w:r>
      <w:r>
        <w:rPr>
          <w:rFonts w:ascii="Times New Roman"/>
        </w:rPr>
        <w:t xml:space="preserve">.4.6  </w:t>
      </w:r>
      <w:r>
        <w:rPr>
          <w:rFonts w:hint="eastAsia" w:ascii="Times New Roman"/>
        </w:rPr>
        <w:t>通过10kV及以下电压等级并网的用户侧发电、储能系统以及以微电网形式接入的用户，其并离网切换控制参数应与并网点保护相协调，在并网测试前，应通过性能测试，并提供检测报告。</w:t>
      </w:r>
    </w:p>
    <w:p>
      <w:pPr>
        <w:pStyle w:val="6"/>
      </w:pPr>
      <w:bookmarkStart w:id="369" w:name="_Toc146697745"/>
      <w:bookmarkEnd w:id="369"/>
      <w:bookmarkStart w:id="370" w:name="_Toc146639541"/>
      <w:bookmarkEnd w:id="370"/>
      <w:bookmarkStart w:id="371" w:name="_Toc146697744"/>
      <w:bookmarkEnd w:id="371"/>
      <w:bookmarkStart w:id="372" w:name="_Toc146640110"/>
      <w:bookmarkEnd w:id="372"/>
      <w:bookmarkStart w:id="373" w:name="_Toc146639539"/>
      <w:bookmarkEnd w:id="373"/>
      <w:bookmarkStart w:id="374" w:name="_Toc146639538"/>
      <w:bookmarkEnd w:id="374"/>
      <w:bookmarkStart w:id="375" w:name="_Toc146639537"/>
      <w:bookmarkEnd w:id="375"/>
      <w:bookmarkStart w:id="376" w:name="_Toc146639540"/>
      <w:bookmarkEnd w:id="376"/>
      <w:bookmarkStart w:id="377" w:name="_Toc146640109"/>
      <w:bookmarkEnd w:id="377"/>
      <w:bookmarkStart w:id="378" w:name="_Toc146640107"/>
      <w:bookmarkEnd w:id="378"/>
      <w:bookmarkStart w:id="379" w:name="_Toc146697748"/>
      <w:bookmarkEnd w:id="379"/>
      <w:bookmarkStart w:id="380" w:name="_Toc146640308"/>
      <w:bookmarkEnd w:id="380"/>
      <w:bookmarkStart w:id="381" w:name="_Toc146640108"/>
      <w:bookmarkEnd w:id="381"/>
      <w:bookmarkStart w:id="382" w:name="_Toc146640306"/>
      <w:bookmarkEnd w:id="382"/>
      <w:bookmarkStart w:id="383" w:name="_Toc146640310"/>
      <w:bookmarkEnd w:id="383"/>
      <w:bookmarkStart w:id="384" w:name="_Toc146640106"/>
      <w:bookmarkEnd w:id="384"/>
      <w:bookmarkStart w:id="385" w:name="_Toc146640307"/>
      <w:bookmarkEnd w:id="385"/>
      <w:bookmarkStart w:id="386" w:name="_Toc146697747"/>
      <w:bookmarkEnd w:id="386"/>
      <w:bookmarkStart w:id="387" w:name="_Toc146640309"/>
      <w:bookmarkEnd w:id="387"/>
      <w:bookmarkStart w:id="388" w:name="_Toc146697746"/>
      <w:bookmarkEnd w:id="388"/>
      <w:bookmarkStart w:id="389" w:name="_Toc146640311"/>
      <w:bookmarkStart w:id="390" w:name="_Toc119913129"/>
      <w:bookmarkStart w:id="391" w:name="_Toc146640111"/>
      <w:bookmarkStart w:id="392" w:name="_Toc146697749"/>
      <w:bookmarkStart w:id="393" w:name="_Toc142335357"/>
      <w:bookmarkStart w:id="394" w:name="_Toc142335149"/>
      <w:bookmarkStart w:id="395" w:name="_Toc170111380"/>
      <w:bookmarkStart w:id="396" w:name="_Toc146639542"/>
      <w:r>
        <w:rPr>
          <w:rFonts w:hint="eastAsia"/>
        </w:rPr>
        <w:t>通信</w:t>
      </w:r>
      <w:r>
        <w:t>系统规划</w:t>
      </w:r>
      <w:bookmarkEnd w:id="389"/>
      <w:bookmarkEnd w:id="390"/>
      <w:bookmarkEnd w:id="391"/>
      <w:bookmarkEnd w:id="392"/>
      <w:bookmarkEnd w:id="393"/>
      <w:bookmarkEnd w:id="394"/>
      <w:bookmarkEnd w:id="395"/>
      <w:bookmarkEnd w:id="396"/>
      <w:bookmarkStart w:id="397" w:name="pindex213"/>
      <w:bookmarkEnd w:id="397"/>
    </w:p>
    <w:p>
      <w:pPr>
        <w:pStyle w:val="5"/>
        <w:rPr>
          <w:rFonts w:ascii="Times New Roman"/>
        </w:rPr>
      </w:pPr>
      <w:r>
        <w:rPr>
          <w:rFonts w:hint="eastAsia" w:ascii="Times New Roman"/>
        </w:rPr>
        <w:t>7</w:t>
      </w:r>
      <w:r>
        <w:rPr>
          <w:rFonts w:ascii="Times New Roman"/>
        </w:rPr>
        <w:t>.5.1  有源配电通信网的规划和建设应充分利用已有通信网络资源。</w:t>
      </w:r>
    </w:p>
    <w:p>
      <w:pPr>
        <w:pStyle w:val="5"/>
        <w:rPr>
          <w:rFonts w:ascii="Times New Roman"/>
        </w:rPr>
      </w:pPr>
      <w:r>
        <w:rPr>
          <w:rFonts w:ascii="Times New Roman"/>
        </w:rPr>
        <w:t>7.5.2  有源配电通信网遵循“</w:t>
      </w:r>
      <w:r>
        <w:rPr>
          <w:rFonts w:hint="eastAsia" w:ascii="Times New Roman"/>
        </w:rPr>
        <w:t>有线与无线结合、专网与公网结合，专业统筹、通道共享，因地制宜、安全可靠</w:t>
      </w:r>
      <w:r>
        <w:rPr>
          <w:rFonts w:ascii="Times New Roman"/>
        </w:rPr>
        <w:t>”</w:t>
      </w:r>
      <w:r>
        <w:rPr>
          <w:rFonts w:hint="eastAsia" w:ascii="Times New Roman"/>
        </w:rPr>
        <w:t>的总体原则，因地制宜采用光纤通信、电力线通信、无线专网通信、无线公网通信等技术体制。</w:t>
      </w:r>
    </w:p>
    <w:p>
      <w:pPr>
        <w:pStyle w:val="5"/>
        <w:rPr>
          <w:rFonts w:ascii="Times New Roman"/>
        </w:rPr>
      </w:pPr>
      <w:r>
        <w:rPr>
          <w:rFonts w:hint="eastAsia" w:ascii="Times New Roman"/>
        </w:rPr>
        <w:t>7</w:t>
      </w:r>
      <w:r>
        <w:rPr>
          <w:rFonts w:ascii="Times New Roman"/>
        </w:rPr>
        <w:t>.5.3  有源配电网通信系统应满足配电自动化、用电信息采集系统、分布式电源、</w:t>
      </w:r>
      <w:r>
        <w:rPr>
          <w:rFonts w:hint="eastAsia" w:ascii="Times New Roman"/>
        </w:rPr>
        <w:t>充换电设施</w:t>
      </w:r>
      <w:r>
        <w:rPr>
          <w:rFonts w:ascii="Times New Roman"/>
        </w:rPr>
        <w:t>、储能装置、营销等业务的通信需求。</w:t>
      </w:r>
    </w:p>
    <w:p>
      <w:pPr>
        <w:pStyle w:val="5"/>
        <w:rPr>
          <w:rFonts w:ascii="Times New Roman"/>
        </w:rPr>
      </w:pPr>
      <w:r>
        <w:rPr>
          <w:rFonts w:ascii="Times New Roman"/>
        </w:rPr>
        <w:t>7.5.4  10kV电压等级并网的分布式电源优先采用光纤专网或无线专网方式。220</w:t>
      </w:r>
      <w:r>
        <w:rPr>
          <w:rFonts w:hint="eastAsia" w:ascii="Times New Roman"/>
        </w:rPr>
        <w:t>V</w:t>
      </w:r>
      <w:r>
        <w:rPr>
          <w:rFonts w:ascii="Times New Roman"/>
        </w:rPr>
        <w:t>/380</w:t>
      </w:r>
      <w:r>
        <w:rPr>
          <w:rFonts w:hint="eastAsia" w:ascii="Times New Roman"/>
        </w:rPr>
        <w:t>V</w:t>
      </w:r>
      <w:r>
        <w:rPr>
          <w:rFonts w:ascii="Times New Roman"/>
        </w:rPr>
        <w:t>接入的分布式电源，可采用无线、光纤、电力线载波等通信方式。</w:t>
      </w:r>
    </w:p>
    <w:p>
      <w:pPr>
        <w:pStyle w:val="5"/>
        <w:rPr>
          <w:rFonts w:ascii="Times New Roman"/>
        </w:rPr>
      </w:pPr>
      <w:r>
        <w:rPr>
          <w:rFonts w:hint="eastAsia" w:ascii="Times New Roman"/>
        </w:rPr>
        <w:t>7</w:t>
      </w:r>
      <w:r>
        <w:rPr>
          <w:rFonts w:ascii="Times New Roman"/>
        </w:rPr>
        <w:t>.5.5  对于10kV电压等级的分布式电源并网，分布式电源与电力调度机构之间的通信方式与信息传输应符合相关标准的要求，按照调度部门要求提供</w:t>
      </w:r>
      <w:r>
        <w:rPr>
          <w:rFonts w:hint="eastAsia" w:ascii="Times New Roman"/>
        </w:rPr>
        <w:t>分布式电源</w:t>
      </w:r>
      <w:r>
        <w:rPr>
          <w:rFonts w:ascii="Times New Roman"/>
        </w:rPr>
        <w:t>基础数据和满足质量、精度要求的实时运行数据</w:t>
      </w:r>
      <w:r>
        <w:rPr>
          <w:rFonts w:hint="eastAsia" w:ascii="Times New Roman"/>
        </w:rPr>
        <w:t>，并能接受调度部门的遥控、遥调指令</w:t>
      </w:r>
      <w:r>
        <w:rPr>
          <w:rFonts w:ascii="Times New Roman"/>
        </w:rPr>
        <w:t>。</w:t>
      </w:r>
    </w:p>
    <w:p>
      <w:pPr>
        <w:pStyle w:val="5"/>
        <w:rPr>
          <w:rFonts w:ascii="Times New Roman"/>
        </w:rPr>
      </w:pPr>
      <w:r>
        <w:rPr>
          <w:rFonts w:hint="eastAsia" w:ascii="Times New Roman"/>
        </w:rPr>
        <w:t>7</w:t>
      </w:r>
      <w:r>
        <w:rPr>
          <w:rFonts w:ascii="Times New Roman"/>
        </w:rPr>
        <w:t>.5.6  有源配电通信网安全防护</w:t>
      </w:r>
      <w:r>
        <w:rPr>
          <w:rFonts w:hint="eastAsia" w:ascii="Times New Roman"/>
        </w:rPr>
        <w:t>应采用可靠的安全隔离、访问控制、安全认证和数据加密等措施，防止系统末梢通信直</w:t>
      </w:r>
      <w:sdt>
        <w:sdtPr>
          <w:rPr>
            <w:rFonts w:ascii="Times New Roman"/>
          </w:rPr>
          <w:alias w:val="易错词检查"/>
          <w:id w:val="3011422"/>
        </w:sdtPr>
        <w:sdtEndPr>
          <w:rPr>
            <w:rFonts w:ascii="Times New Roman"/>
          </w:rPr>
        </w:sdtEndPr>
        <w:sdtContent>
          <w:bookmarkStart w:id="398" w:name="bkReivew3011422"/>
          <w:r>
            <w:rPr>
              <w:rFonts w:hint="eastAsia" w:ascii="Times New Roman"/>
            </w:rPr>
            <w:t>接联</w:t>
          </w:r>
          <w:bookmarkEnd w:id="398"/>
        </w:sdtContent>
      </w:sdt>
      <w:r>
        <w:rPr>
          <w:rFonts w:hint="eastAsia" w:ascii="Times New Roman"/>
        </w:rPr>
        <w:t>入电力控制专用网络。</w:t>
      </w:r>
    </w:p>
    <w:p>
      <w:pPr>
        <w:pStyle w:val="5"/>
        <w:rPr>
          <w:rFonts w:ascii="Times New Roman"/>
        </w:rPr>
      </w:pPr>
      <w:r>
        <w:rPr>
          <w:rFonts w:hint="eastAsia" w:ascii="Times New Roman"/>
        </w:rPr>
        <w:t>7</w:t>
      </w:r>
      <w:r>
        <w:rPr>
          <w:rFonts w:ascii="Times New Roman"/>
        </w:rPr>
        <w:t>.5.7  有源配电通信网应采用“统一接入、统一监测、统建共享”的原则，实现多专业共享承载</w:t>
      </w:r>
      <w:r>
        <w:rPr>
          <w:rFonts w:hint="eastAsia" w:ascii="Times New Roman"/>
        </w:rPr>
        <w:t>和</w:t>
      </w:r>
      <w:r>
        <w:rPr>
          <w:rFonts w:ascii="Times New Roman"/>
        </w:rPr>
        <w:t>综合监控，并做好与其他业务系统及平台的对接，增强系统的多业务支持能力。</w:t>
      </w:r>
    </w:p>
    <w:p>
      <w:pPr>
        <w:pStyle w:val="6"/>
      </w:pPr>
      <w:bookmarkStart w:id="399" w:name="_Toc146639543"/>
      <w:bookmarkEnd w:id="399"/>
      <w:bookmarkStart w:id="400" w:name="_Toc146697750"/>
      <w:bookmarkEnd w:id="400"/>
      <w:bookmarkStart w:id="401" w:name="_Toc146640112"/>
      <w:bookmarkEnd w:id="401"/>
      <w:bookmarkStart w:id="402" w:name="_Toc146640312"/>
      <w:bookmarkEnd w:id="402"/>
      <w:bookmarkStart w:id="403" w:name="_Toc146640313"/>
      <w:bookmarkStart w:id="404" w:name="_Toc146697751"/>
      <w:bookmarkStart w:id="405" w:name="_Toc142335150"/>
      <w:bookmarkStart w:id="406" w:name="_Toc146639544"/>
      <w:bookmarkStart w:id="407" w:name="_Toc142335358"/>
      <w:bookmarkStart w:id="408" w:name="_Toc170111381"/>
      <w:bookmarkStart w:id="409" w:name="_Toc146640113"/>
      <w:bookmarkStart w:id="410" w:name="_Toc119913130"/>
      <w:r>
        <w:t>数字化</w:t>
      </w:r>
      <w:r>
        <w:rPr>
          <w:rFonts w:hint="eastAsia"/>
        </w:rPr>
        <w:t>系统</w:t>
      </w:r>
      <w:bookmarkEnd w:id="403"/>
      <w:bookmarkEnd w:id="404"/>
      <w:bookmarkEnd w:id="405"/>
      <w:bookmarkEnd w:id="406"/>
      <w:bookmarkEnd w:id="407"/>
      <w:bookmarkEnd w:id="408"/>
      <w:bookmarkEnd w:id="409"/>
      <w:bookmarkEnd w:id="410"/>
      <w:bookmarkStart w:id="411" w:name="pindex221"/>
      <w:bookmarkEnd w:id="411"/>
    </w:p>
    <w:p>
      <w:pPr>
        <w:pStyle w:val="5"/>
        <w:rPr>
          <w:rFonts w:ascii="Times New Roman"/>
        </w:rPr>
      </w:pPr>
      <w:r>
        <w:rPr>
          <w:rFonts w:hint="eastAsia" w:ascii="Times New Roman"/>
        </w:rPr>
        <w:t>7</w:t>
      </w:r>
      <w:r>
        <w:rPr>
          <w:rFonts w:ascii="Times New Roman"/>
        </w:rPr>
        <w:t>.6.1  有源配电网规划应</w:t>
      </w:r>
      <w:r>
        <w:rPr>
          <w:rFonts w:hint="eastAsia" w:ascii="Times New Roman"/>
        </w:rPr>
        <w:t>符合数字化智能化</w:t>
      </w:r>
      <w:r>
        <w:rPr>
          <w:rFonts w:ascii="Times New Roman"/>
        </w:rPr>
        <w:t>发展</w:t>
      </w:r>
      <w:r>
        <w:rPr>
          <w:rFonts w:hint="eastAsia" w:ascii="Times New Roman"/>
        </w:rPr>
        <w:t>要求</w:t>
      </w:r>
      <w:r>
        <w:rPr>
          <w:rFonts w:ascii="Times New Roman"/>
        </w:rPr>
        <w:t>，融合发展配电网</w:t>
      </w:r>
      <w:sdt>
        <w:sdtPr>
          <w:rPr>
            <w:rFonts w:ascii="Times New Roman"/>
          </w:rPr>
          <w:alias w:val="易错词检查"/>
          <w:tag w:val="FF0000"/>
          <w:id w:val="3100604"/>
        </w:sdtPr>
        <w:sdtEndPr>
          <w:rPr>
            <w:rFonts w:ascii="Times New Roman"/>
          </w:rPr>
        </w:sdtEndPr>
        <w:sdtContent>
          <w:bookmarkStart w:id="412" w:name="bkReivew3100604"/>
          <w:r>
            <w:rPr>
              <w:rFonts w:hint="eastAsia" w:ascii="Times New Roman"/>
            </w:rPr>
            <w:t>一二次</w:t>
          </w:r>
          <w:bookmarkEnd w:id="412"/>
        </w:sdtContent>
      </w:sdt>
      <w:r>
        <w:rPr>
          <w:rFonts w:ascii="Times New Roman"/>
        </w:rPr>
        <w:t>和信息系统，提升配电网互联互济和智能互动能力。</w:t>
      </w:r>
    </w:p>
    <w:p>
      <w:pPr>
        <w:pStyle w:val="5"/>
        <w:rPr>
          <w:rFonts w:ascii="Times New Roman"/>
        </w:rPr>
      </w:pPr>
      <w:r>
        <w:rPr>
          <w:rFonts w:ascii="Times New Roman"/>
        </w:rPr>
        <w:t xml:space="preserve">7.6.2  </w:t>
      </w:r>
      <w:r>
        <w:rPr>
          <w:rFonts w:hint="eastAsia" w:ascii="Times New Roman"/>
        </w:rPr>
        <w:t>有源</w:t>
      </w:r>
      <w:r>
        <w:rPr>
          <w:rFonts w:ascii="Times New Roman"/>
        </w:rPr>
        <w:t>配电网</w:t>
      </w:r>
      <w:r>
        <w:rPr>
          <w:rFonts w:hint="eastAsia" w:ascii="Times New Roman"/>
        </w:rPr>
        <w:t>数字化建设宜</w:t>
      </w:r>
      <w:r>
        <w:rPr>
          <w:rFonts w:ascii="Times New Roman"/>
        </w:rPr>
        <w:t>实现数据共享，满足配电网业务应用的灵活构建、快速迭代，并具备对其他业务系统的数据支撑和业务服务能力。</w:t>
      </w:r>
    </w:p>
    <w:p>
      <w:pPr>
        <w:pStyle w:val="5"/>
        <w:rPr>
          <w:rFonts w:ascii="Times New Roman"/>
        </w:rPr>
      </w:pPr>
      <w:r>
        <w:rPr>
          <w:rFonts w:hint="eastAsia" w:ascii="Times New Roman"/>
        </w:rPr>
        <w:t>7</w:t>
      </w:r>
      <w:r>
        <w:rPr>
          <w:rFonts w:ascii="Times New Roman"/>
        </w:rPr>
        <w:t xml:space="preserve">.6.3  </w:t>
      </w:r>
      <w:r>
        <w:rPr>
          <w:rFonts w:hint="eastAsia" w:ascii="Times New Roman"/>
        </w:rPr>
        <w:t>结合当地配电网建设条件，有源配电网宜具备内外数据融合贯通、分布式资源与可调节负荷的监测与调控、电网拓扑故障判别与诊断分析等数字化智能化功能。</w:t>
      </w:r>
    </w:p>
    <w:p>
      <w:pPr>
        <w:pStyle w:val="5"/>
        <w:rPr>
          <w:rFonts w:ascii="Times New Roman"/>
        </w:rPr>
      </w:pPr>
    </w:p>
    <w:p>
      <w:pPr>
        <w:pStyle w:val="3"/>
      </w:pPr>
      <w:bookmarkStart w:id="413" w:name="_Toc142335359"/>
      <w:bookmarkStart w:id="414" w:name="_Toc146639545"/>
      <w:bookmarkStart w:id="415" w:name="_Toc142335151"/>
      <w:bookmarkStart w:id="416" w:name="_Toc146697752"/>
      <w:bookmarkStart w:id="417" w:name="_Toc156810854"/>
      <w:bookmarkStart w:id="418" w:name="_Toc146640314"/>
      <w:bookmarkStart w:id="419" w:name="_Toc146640114"/>
      <w:bookmarkStart w:id="420" w:name="_Toc170111382"/>
      <w:r>
        <w:rPr>
          <w:rFonts w:hint="eastAsia"/>
        </w:rPr>
        <w:t>分布式电源接入承载力评估</w:t>
      </w:r>
      <w:bookmarkEnd w:id="413"/>
      <w:bookmarkEnd w:id="414"/>
      <w:bookmarkEnd w:id="415"/>
      <w:bookmarkEnd w:id="416"/>
      <w:bookmarkEnd w:id="417"/>
      <w:bookmarkEnd w:id="418"/>
      <w:bookmarkEnd w:id="419"/>
      <w:bookmarkEnd w:id="420"/>
      <w:bookmarkStart w:id="421" w:name="pindex226"/>
      <w:bookmarkEnd w:id="421"/>
    </w:p>
    <w:p>
      <w:pPr>
        <w:pStyle w:val="6"/>
      </w:pPr>
      <w:bookmarkStart w:id="422" w:name="_Toc146640115"/>
      <w:bookmarkStart w:id="423" w:name="_Toc146697753"/>
      <w:bookmarkStart w:id="424" w:name="_Toc146640315"/>
      <w:bookmarkStart w:id="425" w:name="_Toc146639546"/>
      <w:bookmarkStart w:id="426" w:name="_Toc170111383"/>
      <w:bookmarkStart w:id="427" w:name="_Toc142335152"/>
      <w:bookmarkStart w:id="428" w:name="_Toc142335360"/>
      <w:bookmarkStart w:id="429" w:name="_Toc119913132"/>
      <w:r>
        <w:rPr>
          <w:rFonts w:hint="eastAsia"/>
        </w:rPr>
        <w:t>一般要求</w:t>
      </w:r>
      <w:bookmarkEnd w:id="422"/>
      <w:bookmarkEnd w:id="423"/>
      <w:bookmarkEnd w:id="424"/>
      <w:bookmarkEnd w:id="425"/>
      <w:bookmarkEnd w:id="426"/>
      <w:bookmarkStart w:id="430" w:name="pindex227"/>
      <w:bookmarkEnd w:id="430"/>
    </w:p>
    <w:p>
      <w:pPr>
        <w:pStyle w:val="5"/>
        <w:rPr>
          <w:rFonts w:ascii="Times New Roman"/>
        </w:rPr>
      </w:pPr>
      <w:r>
        <w:rPr>
          <w:rFonts w:hint="eastAsia" w:ascii="Times New Roman"/>
        </w:rPr>
        <w:t>8</w:t>
      </w:r>
      <w:r>
        <w:rPr>
          <w:rFonts w:ascii="Times New Roman"/>
        </w:rPr>
        <w:t xml:space="preserve">.1.1  </w:t>
      </w:r>
      <w:r>
        <w:rPr>
          <w:rFonts w:hint="eastAsia" w:ascii="Times New Roman"/>
        </w:rPr>
        <w:t>分布式电源接入承载力</w:t>
      </w:r>
      <w:r>
        <w:rPr>
          <w:rFonts w:ascii="Times New Roman"/>
        </w:rPr>
        <w:t>评估应基于电力系统现状和规划，遵循“分区分层”原则，从总体到局部、从高压到低压，按供电区域和电压等级</w:t>
      </w:r>
      <w:r>
        <w:rPr>
          <w:rFonts w:hint="eastAsia" w:ascii="Times New Roman"/>
        </w:rPr>
        <w:t>逐级</w:t>
      </w:r>
      <w:r>
        <w:rPr>
          <w:rFonts w:ascii="Times New Roman"/>
        </w:rPr>
        <w:t>开展。</w:t>
      </w:r>
    </w:p>
    <w:p>
      <w:pPr>
        <w:pStyle w:val="5"/>
        <w:rPr>
          <w:rFonts w:ascii="Times New Roman"/>
        </w:rPr>
      </w:pPr>
      <w:r>
        <w:rPr>
          <w:rFonts w:hint="eastAsia" w:ascii="Times New Roman"/>
        </w:rPr>
        <w:t>8</w:t>
      </w:r>
      <w:r>
        <w:rPr>
          <w:rFonts w:ascii="Times New Roman"/>
        </w:rPr>
        <w:t>.1.2  评估宜与</w:t>
      </w:r>
      <w:r>
        <w:rPr>
          <w:rFonts w:hint="eastAsia" w:ascii="Times New Roman"/>
        </w:rPr>
        <w:t>有源配</w:t>
      </w:r>
      <w:r>
        <w:rPr>
          <w:rFonts w:ascii="Times New Roman"/>
        </w:rPr>
        <w:t>电网年度方式分析、电网规划同步周期性开展，并结合电网结构、用电负荷及电源变化适当调整评估周期，对于承载力较弱的区域应缩短评估周期。</w:t>
      </w:r>
    </w:p>
    <w:p>
      <w:pPr>
        <w:pStyle w:val="6"/>
      </w:pPr>
      <w:bookmarkStart w:id="431" w:name="_Toc146697754"/>
      <w:bookmarkStart w:id="432" w:name="_Toc146640116"/>
      <w:bookmarkStart w:id="433" w:name="_Toc146639547"/>
      <w:bookmarkStart w:id="434" w:name="_Toc170111384"/>
      <w:bookmarkStart w:id="435" w:name="_Toc146640316"/>
      <w:r>
        <w:t>评估原则和</w:t>
      </w:r>
      <w:r>
        <w:rPr>
          <w:rFonts w:hint="eastAsia"/>
        </w:rPr>
        <w:t>方法</w:t>
      </w:r>
      <w:bookmarkEnd w:id="427"/>
      <w:bookmarkEnd w:id="428"/>
      <w:bookmarkEnd w:id="429"/>
      <w:bookmarkEnd w:id="431"/>
      <w:bookmarkEnd w:id="432"/>
      <w:bookmarkEnd w:id="433"/>
      <w:bookmarkEnd w:id="434"/>
      <w:bookmarkEnd w:id="435"/>
      <w:bookmarkStart w:id="436" w:name="pindex230"/>
      <w:bookmarkEnd w:id="436"/>
    </w:p>
    <w:p>
      <w:pPr>
        <w:pStyle w:val="5"/>
        <w:rPr>
          <w:rFonts w:ascii="Times New Roman"/>
        </w:rPr>
      </w:pPr>
      <w:r>
        <w:rPr>
          <w:rFonts w:hint="eastAsia" w:ascii="Times New Roman"/>
        </w:rPr>
        <w:t>8</w:t>
      </w:r>
      <w:r>
        <w:rPr>
          <w:rFonts w:ascii="Times New Roman"/>
        </w:rPr>
        <w:t>.2.1  分布式电源接入电网的承载力评估应以分布式电源并网数据、分布式电源并网性能数据、电网设备参数、电网安全运行边界数据等为基础开展评估，并充分考虑在建及已批复电源和电网项目。</w:t>
      </w:r>
    </w:p>
    <w:p>
      <w:pPr>
        <w:pStyle w:val="5"/>
        <w:rPr>
          <w:rFonts w:ascii="Times New Roman"/>
        </w:rPr>
      </w:pPr>
      <w:r>
        <w:rPr>
          <w:rFonts w:hint="eastAsia" w:ascii="Times New Roman"/>
        </w:rPr>
        <w:t>8</w:t>
      </w:r>
      <w:r>
        <w:rPr>
          <w:rFonts w:ascii="Times New Roman"/>
        </w:rPr>
        <w:t>.2.2  分布式电源承载力评估包括热稳定评估、短路电流校核、电压偏差校核、谐波校核</w:t>
      </w:r>
      <w:r>
        <w:rPr>
          <w:rFonts w:hint="eastAsia" w:ascii="Times New Roman"/>
        </w:rPr>
        <w:t>、功率流向</w:t>
      </w:r>
      <w:r>
        <w:rPr>
          <w:rFonts w:ascii="Times New Roman"/>
        </w:rPr>
        <w:t>等内容。</w:t>
      </w:r>
    </w:p>
    <w:p>
      <w:pPr>
        <w:pStyle w:val="5"/>
        <w:rPr>
          <w:rFonts w:ascii="Times New Roman"/>
        </w:rPr>
      </w:pPr>
      <w:r>
        <w:rPr>
          <w:rFonts w:hint="eastAsia" w:ascii="Times New Roman"/>
        </w:rPr>
        <w:t>8</w:t>
      </w:r>
      <w:r>
        <w:rPr>
          <w:rFonts w:ascii="Times New Roman"/>
        </w:rPr>
        <w:t>.2.3  承载能力评估应考虑负荷情况和电网运行方式，分别评估配电网配变、线路的承载力。</w:t>
      </w:r>
    </w:p>
    <w:p>
      <w:pPr>
        <w:pStyle w:val="5"/>
        <w:rPr>
          <w:rFonts w:ascii="Times New Roman"/>
        </w:rPr>
      </w:pPr>
      <w:r>
        <w:rPr>
          <w:rFonts w:ascii="Times New Roman"/>
        </w:rPr>
        <w:t>8.2.4  分布式电源承载力评估应分析</w:t>
      </w:r>
      <w:r>
        <w:rPr>
          <w:rFonts w:hint="eastAsia" w:ascii="Times New Roman"/>
        </w:rPr>
        <w:t>变流器的有功、无功控制策略，</w:t>
      </w:r>
      <w:r>
        <w:rPr>
          <w:rFonts w:ascii="Times New Roman"/>
        </w:rPr>
        <w:t>SVG</w:t>
      </w:r>
      <w:r>
        <w:rPr>
          <w:rFonts w:hint="eastAsia" w:ascii="Times New Roman"/>
        </w:rPr>
        <w:t>配置</w:t>
      </w:r>
      <w:r>
        <w:rPr>
          <w:rFonts w:ascii="Times New Roman"/>
        </w:rPr>
        <w:t>及投切策略对承载力的影响。</w:t>
      </w:r>
    </w:p>
    <w:p>
      <w:pPr>
        <w:pStyle w:val="6"/>
      </w:pPr>
      <w:bookmarkStart w:id="437" w:name="_Toc146640117"/>
      <w:bookmarkEnd w:id="437"/>
      <w:bookmarkStart w:id="438" w:name="_Toc146697755"/>
      <w:bookmarkEnd w:id="438"/>
      <w:bookmarkStart w:id="439" w:name="_Toc146640317"/>
      <w:bookmarkEnd w:id="439"/>
      <w:bookmarkStart w:id="440" w:name="_Toc146640118"/>
      <w:bookmarkEnd w:id="440"/>
      <w:bookmarkStart w:id="441" w:name="_Toc146640318"/>
      <w:bookmarkEnd w:id="441"/>
      <w:bookmarkStart w:id="442" w:name="_Toc146697756"/>
      <w:bookmarkEnd w:id="442"/>
      <w:bookmarkStart w:id="443" w:name="_Toc146639548"/>
      <w:bookmarkEnd w:id="443"/>
      <w:bookmarkStart w:id="444" w:name="_Toc146639549"/>
      <w:bookmarkEnd w:id="444"/>
      <w:bookmarkStart w:id="445" w:name="_Toc142335361"/>
      <w:bookmarkStart w:id="446" w:name="_Toc146640319"/>
      <w:bookmarkStart w:id="447" w:name="_Toc146639550"/>
      <w:bookmarkStart w:id="448" w:name="_Toc146697757"/>
      <w:bookmarkStart w:id="449" w:name="_Toc146640119"/>
      <w:bookmarkStart w:id="450" w:name="_Toc142335153"/>
      <w:bookmarkStart w:id="451" w:name="_Toc119913134"/>
      <w:bookmarkStart w:id="452" w:name="_Toc170111385"/>
      <w:r>
        <w:t>评估流程及要求</w:t>
      </w:r>
      <w:bookmarkEnd w:id="445"/>
      <w:bookmarkEnd w:id="446"/>
      <w:bookmarkEnd w:id="447"/>
      <w:bookmarkEnd w:id="448"/>
      <w:bookmarkEnd w:id="449"/>
      <w:bookmarkEnd w:id="450"/>
      <w:bookmarkEnd w:id="451"/>
      <w:bookmarkEnd w:id="452"/>
      <w:bookmarkStart w:id="453" w:name="pindex235"/>
      <w:bookmarkEnd w:id="453"/>
    </w:p>
    <w:p>
      <w:pPr>
        <w:pStyle w:val="5"/>
        <w:rPr>
          <w:rFonts w:ascii="Times New Roman"/>
        </w:rPr>
      </w:pPr>
      <w:r>
        <w:rPr>
          <w:rFonts w:hint="eastAsia" w:ascii="Times New Roman"/>
        </w:rPr>
        <w:t>8</w:t>
      </w:r>
      <w:r>
        <w:rPr>
          <w:rFonts w:ascii="Times New Roman"/>
        </w:rPr>
        <w:t>.3.1  承载力评估流程应按数据准备、计算分析、等级划分、措施建议顺序依次开展。</w:t>
      </w:r>
    </w:p>
    <w:p>
      <w:pPr>
        <w:pStyle w:val="5"/>
        <w:rPr>
          <w:rFonts w:ascii="Times New Roman"/>
        </w:rPr>
      </w:pPr>
      <w:r>
        <w:rPr>
          <w:rFonts w:hint="eastAsia" w:ascii="Times New Roman"/>
        </w:rPr>
        <w:t>8</w:t>
      </w:r>
      <w:r>
        <w:rPr>
          <w:rFonts w:ascii="Times New Roman"/>
        </w:rPr>
        <w:t>.3.2  承载力评估应明确待评估区域电网范围，画出待评估区域电网拓扑图。</w:t>
      </w:r>
    </w:p>
    <w:p>
      <w:pPr>
        <w:pStyle w:val="5"/>
        <w:rPr>
          <w:rFonts w:ascii="Times New Roman"/>
        </w:rPr>
      </w:pPr>
      <w:r>
        <w:rPr>
          <w:rFonts w:ascii="Times New Roman"/>
        </w:rPr>
        <w:t>8.3.3  按照电压等级从高至低分层进行评估，计算待评估范围内各母线短路电流、电压偏差现状值，收集各节点谐波监测数据，</w:t>
      </w:r>
      <w:sdt>
        <w:sdtPr>
          <w:rPr>
            <w:rFonts w:ascii="Times New Roman"/>
          </w:rPr>
          <w:alias w:val="易错词检查"/>
          <w:id w:val="3010736"/>
        </w:sdtPr>
        <w:sdtEndPr>
          <w:rPr>
            <w:rFonts w:ascii="Times New Roman"/>
          </w:rPr>
        </w:sdtEndPr>
        <w:sdtContent>
          <w:bookmarkStart w:id="454" w:name="bkReivew3010736"/>
          <w:r>
            <w:rPr>
              <w:rFonts w:hint="eastAsia" w:ascii="Times New Roman"/>
            </w:rPr>
            <w:t>若</w:t>
          </w:r>
          <w:bookmarkEnd w:id="454"/>
        </w:sdtContent>
      </w:sdt>
      <w:r>
        <w:rPr>
          <w:rFonts w:ascii="Times New Roman"/>
        </w:rPr>
        <w:t>短路电流、电压偏差或谐波校</w:t>
      </w:r>
      <w:sdt>
        <w:sdtPr>
          <w:rPr>
            <w:rFonts w:ascii="Times New Roman"/>
          </w:rPr>
          <w:alias w:val="易错词检查"/>
          <w:id w:val="73634"/>
        </w:sdtPr>
        <w:sdtEndPr>
          <w:rPr>
            <w:rFonts w:ascii="Times New Roman"/>
          </w:rPr>
        </w:sdtEndPr>
        <w:sdtContent>
          <w:bookmarkStart w:id="455" w:name="bkReivew73634"/>
          <w:r>
            <w:rPr>
              <w:rFonts w:hint="eastAsia" w:ascii="Times New Roman"/>
            </w:rPr>
            <w:t>核</w:t>
          </w:r>
          <w:bookmarkEnd w:id="455"/>
        </w:sdtContent>
      </w:sdt>
      <w:r>
        <w:rPr>
          <w:rFonts w:ascii="Times New Roman"/>
        </w:rPr>
        <w:t>不通过，则该电压等级及以下区域电网承载力</w:t>
      </w:r>
      <w:r>
        <w:rPr>
          <w:rFonts w:hint="eastAsia" w:ascii="Times New Roman"/>
        </w:rPr>
        <w:t>或电网运行安全存在风险</w:t>
      </w:r>
      <w:r>
        <w:rPr>
          <w:rFonts w:ascii="Times New Roman"/>
        </w:rPr>
        <w:t>。</w:t>
      </w:r>
    </w:p>
    <w:p>
      <w:pPr>
        <w:pStyle w:val="5"/>
        <w:rPr>
          <w:rFonts w:ascii="Times New Roman"/>
        </w:rPr>
      </w:pPr>
      <w:r>
        <w:rPr>
          <w:rFonts w:hint="eastAsia" w:ascii="Times New Roman"/>
        </w:rPr>
        <w:t>8</w:t>
      </w:r>
      <w:r>
        <w:rPr>
          <w:rFonts w:ascii="Times New Roman"/>
        </w:rPr>
        <w:t>.3.4  在待评估区域电网正常运行方式下，开展热稳定计算分析，确定待评估区域反向负载率及可新增分布式电源容量，并校核短路电流和电压偏差。</w:t>
      </w:r>
    </w:p>
    <w:p>
      <w:pPr>
        <w:pStyle w:val="5"/>
        <w:rPr>
          <w:rFonts w:ascii="Times New Roman"/>
        </w:rPr>
      </w:pPr>
      <w:r>
        <w:rPr>
          <w:rFonts w:ascii="Times New Roman"/>
        </w:rPr>
        <w:t>8.3.5  10kV</w:t>
      </w:r>
      <w:r>
        <w:rPr>
          <w:rFonts w:hint="eastAsia" w:ascii="Times New Roman"/>
        </w:rPr>
        <w:t>配电网对新能源接入的承载力</w:t>
      </w:r>
      <w:r>
        <w:rPr>
          <w:rFonts w:ascii="Times New Roman"/>
        </w:rPr>
        <w:t>应以接入点处电压波动、电压偏差限值和线路容量确定，取三者较小值。</w:t>
      </w:r>
    </w:p>
    <w:p>
      <w:pPr>
        <w:pStyle w:val="5"/>
        <w:rPr>
          <w:rFonts w:ascii="Times New Roman"/>
        </w:rPr>
      </w:pPr>
      <w:r>
        <w:rPr>
          <w:rFonts w:ascii="Times New Roman"/>
        </w:rPr>
        <w:t>8.3.6  若短路电流和电压偏差校核不通过，逐步降低可新增分布式电源的容量，直到校核通过，该值即为可新增分布式电源容量结果。</w:t>
      </w:r>
    </w:p>
    <w:p>
      <w:pPr>
        <w:pStyle w:val="5"/>
        <w:rPr>
          <w:rFonts w:ascii="Times New Roman"/>
        </w:rPr>
      </w:pPr>
      <w:r>
        <w:rPr>
          <w:rFonts w:ascii="Times New Roman"/>
        </w:rPr>
        <w:t>8.3.7  在得到上一电压等级电网计算结果后，再逐级向下一电压等级开展计算，各电压等级计算结果应进行相互校核，确保计算结果互相匹配。</w:t>
      </w:r>
    </w:p>
    <w:p>
      <w:pPr>
        <w:pStyle w:val="5"/>
        <w:rPr>
          <w:rFonts w:ascii="Times New Roman"/>
        </w:rPr>
      </w:pPr>
      <w:r>
        <w:rPr>
          <w:rFonts w:hint="eastAsia" w:ascii="Times New Roman"/>
        </w:rPr>
        <w:t>8</w:t>
      </w:r>
      <w:r>
        <w:rPr>
          <w:rFonts w:ascii="Times New Roman"/>
        </w:rPr>
        <w:t>.3.8  确定待评估区域电网分布式电源承载能力评估等级，</w:t>
      </w:r>
      <w:r>
        <w:rPr>
          <w:rFonts w:hint="eastAsia" w:ascii="Times New Roman"/>
        </w:rPr>
        <w:t>根据</w:t>
      </w:r>
      <w:r>
        <w:rPr>
          <w:rFonts w:ascii="Times New Roman"/>
        </w:rPr>
        <w:t>待评估区域电网评估结果，</w:t>
      </w:r>
      <w:r>
        <w:rPr>
          <w:rFonts w:hint="eastAsia" w:ascii="Times New Roman"/>
        </w:rPr>
        <w:t>列出待评估区域各电压等级分布式电源可开放容量</w:t>
      </w:r>
      <w:r>
        <w:rPr>
          <w:rFonts w:ascii="Times New Roman"/>
        </w:rPr>
        <w:t>。</w:t>
      </w:r>
    </w:p>
    <w:p>
      <w:pPr>
        <w:widowControl/>
        <w:spacing w:line="300" w:lineRule="auto"/>
        <w:jc w:val="left"/>
      </w:pPr>
      <w:r>
        <w:rPr>
          <w:rFonts w:hint="eastAsia"/>
        </w:rPr>
        <w:t>8</w:t>
      </w:r>
      <w:r>
        <w:t xml:space="preserve">.3.9  </w:t>
      </w:r>
      <w:r>
        <w:rPr>
          <w:rFonts w:hint="eastAsia" w:cs="宋体"/>
          <w:color w:val="000000"/>
          <w:kern w:val="0"/>
          <w:szCs w:val="21"/>
        </w:rPr>
        <w:t>电网反送潮流超过设备额定电流的80%，或电网运行安全可能存在风险的区域，应进行专题安全论证分析，同步开展电网加强方案研究。</w:t>
      </w:r>
    </w:p>
    <w:p>
      <w:pPr>
        <w:pStyle w:val="5"/>
        <w:rPr>
          <w:rFonts w:ascii="Times New Roman"/>
        </w:rPr>
      </w:pPr>
      <w:r>
        <w:rPr>
          <w:rFonts w:hint="eastAsia" w:ascii="Times New Roman"/>
        </w:rPr>
        <w:t>8</w:t>
      </w:r>
      <w:r>
        <w:rPr>
          <w:rFonts w:ascii="Times New Roman"/>
        </w:rPr>
        <w:t>.3.</w:t>
      </w:r>
      <w:r>
        <w:rPr>
          <w:rFonts w:hint="eastAsia" w:ascii="Times New Roman"/>
        </w:rPr>
        <w:t>10</w:t>
      </w:r>
      <w:r>
        <w:rPr>
          <w:rFonts w:ascii="Times New Roman"/>
        </w:rPr>
        <w:t xml:space="preserve">  分布式新能源</w:t>
      </w:r>
      <w:r>
        <w:rPr>
          <w:rFonts w:hint="eastAsia" w:ascii="Times New Roman"/>
        </w:rPr>
        <w:t>接入时可根据其发电特性配建储能，</w:t>
      </w:r>
      <w:r>
        <w:rPr>
          <w:rFonts w:ascii="Times New Roman"/>
        </w:rPr>
        <w:t>接入需求超过区域配网承载能力时，应结合区域电网规划，通过经济技术比较确定网架加强、配变增容、</w:t>
      </w:r>
      <w:r>
        <w:rPr>
          <w:rFonts w:hint="eastAsia" w:ascii="Times New Roman"/>
        </w:rPr>
        <w:t>增加</w:t>
      </w:r>
      <w:r>
        <w:rPr>
          <w:rFonts w:ascii="Times New Roman"/>
        </w:rPr>
        <w:t>储能、应用柔性直流技术等方案。</w:t>
      </w:r>
    </w:p>
    <w:p>
      <w:pPr>
        <w:pStyle w:val="5"/>
        <w:rPr>
          <w:rFonts w:ascii="Times New Roman"/>
        </w:rPr>
      </w:pPr>
    </w:p>
    <w:p>
      <w:pPr>
        <w:pStyle w:val="3"/>
      </w:pPr>
      <w:bookmarkStart w:id="456" w:name="_Toc142335362"/>
      <w:bookmarkStart w:id="457" w:name="_Toc146697758"/>
      <w:bookmarkStart w:id="458" w:name="_Toc146640320"/>
      <w:bookmarkStart w:id="459" w:name="_Toc142335154"/>
      <w:bookmarkStart w:id="460" w:name="_Toc170111386"/>
      <w:bookmarkStart w:id="461" w:name="_Toc146640120"/>
      <w:bookmarkStart w:id="462" w:name="_Toc146639551"/>
      <w:bookmarkStart w:id="463" w:name="_Toc156810855"/>
      <w:r>
        <w:rPr>
          <w:rFonts w:hint="eastAsia"/>
        </w:rPr>
        <w:t>分布式电源与新型负荷接入要求</w:t>
      </w:r>
      <w:bookmarkEnd w:id="456"/>
      <w:bookmarkEnd w:id="457"/>
      <w:bookmarkEnd w:id="458"/>
      <w:bookmarkEnd w:id="459"/>
      <w:bookmarkEnd w:id="460"/>
      <w:bookmarkEnd w:id="461"/>
      <w:bookmarkEnd w:id="462"/>
      <w:bookmarkEnd w:id="463"/>
      <w:bookmarkStart w:id="464" w:name="pindex246"/>
      <w:bookmarkEnd w:id="464"/>
    </w:p>
    <w:p>
      <w:pPr>
        <w:pStyle w:val="6"/>
      </w:pPr>
      <w:bookmarkStart w:id="465" w:name="_Toc146639552"/>
      <w:bookmarkStart w:id="466" w:name="_Toc170111387"/>
      <w:bookmarkStart w:id="467" w:name="_Toc146640321"/>
      <w:bookmarkStart w:id="468" w:name="_Toc146697759"/>
      <w:bookmarkStart w:id="469" w:name="_Toc146640121"/>
      <w:bookmarkStart w:id="470" w:name="_Toc142335363"/>
      <w:bookmarkStart w:id="471" w:name="_Toc119913136"/>
      <w:bookmarkStart w:id="472" w:name="_Toc142335155"/>
      <w:r>
        <w:rPr>
          <w:rFonts w:hint="eastAsia"/>
        </w:rPr>
        <w:t>一般要求</w:t>
      </w:r>
      <w:bookmarkEnd w:id="465"/>
      <w:bookmarkEnd w:id="466"/>
      <w:bookmarkEnd w:id="467"/>
      <w:bookmarkEnd w:id="468"/>
      <w:bookmarkEnd w:id="469"/>
      <w:bookmarkStart w:id="473" w:name="pindex247"/>
      <w:bookmarkEnd w:id="473"/>
    </w:p>
    <w:p>
      <w:pPr>
        <w:pStyle w:val="5"/>
        <w:rPr>
          <w:rFonts w:ascii="Times New Roman"/>
        </w:rPr>
      </w:pPr>
      <w:r>
        <w:rPr>
          <w:rFonts w:hint="eastAsia" w:ascii="Times New Roman"/>
        </w:rPr>
        <w:t>9</w:t>
      </w:r>
      <w:r>
        <w:rPr>
          <w:rFonts w:ascii="Times New Roman"/>
        </w:rPr>
        <w:t xml:space="preserve">.1.1  </w:t>
      </w:r>
      <w:r>
        <w:rPr>
          <w:rFonts w:hint="eastAsia" w:ascii="Times New Roman"/>
        </w:rPr>
        <w:t>有源配电网下新型负荷包含储能、充换电设施及微电网等。</w:t>
      </w:r>
    </w:p>
    <w:p>
      <w:pPr>
        <w:pStyle w:val="5"/>
        <w:rPr>
          <w:rFonts w:ascii="Times New Roman"/>
        </w:rPr>
      </w:pPr>
      <w:r>
        <w:rPr>
          <w:rFonts w:ascii="Times New Roman"/>
        </w:rPr>
        <w:t xml:space="preserve">9.1.2  </w:t>
      </w:r>
      <w:r>
        <w:rPr>
          <w:rFonts w:hint="eastAsia" w:ascii="Times New Roman"/>
        </w:rPr>
        <w:t>分布式电源及新型负荷接入电压等级应</w:t>
      </w:r>
      <w:r>
        <w:rPr>
          <w:rFonts w:ascii="Times New Roman"/>
        </w:rPr>
        <w:t>通过技术经济比选论证确定。若高低两级电压均具备接入条件，</w:t>
      </w:r>
      <w:r>
        <w:rPr>
          <w:rFonts w:hint="eastAsia" w:ascii="Times New Roman"/>
        </w:rPr>
        <w:t>宜</w:t>
      </w:r>
      <w:r>
        <w:rPr>
          <w:rFonts w:ascii="Times New Roman"/>
        </w:rPr>
        <w:t>优先采用低电压等级接入。</w:t>
      </w:r>
    </w:p>
    <w:p>
      <w:pPr>
        <w:pStyle w:val="5"/>
        <w:rPr>
          <w:rFonts w:ascii="Times New Roman"/>
        </w:rPr>
      </w:pPr>
      <w:r>
        <w:rPr>
          <w:rFonts w:hint="eastAsia" w:ascii="Times New Roman"/>
        </w:rPr>
        <w:t>9</w:t>
      </w:r>
      <w:r>
        <w:rPr>
          <w:rFonts w:ascii="Times New Roman"/>
        </w:rPr>
        <w:t xml:space="preserve">.1.3  </w:t>
      </w:r>
      <w:r>
        <w:rPr>
          <w:rFonts w:hint="eastAsia" w:ascii="Times New Roman"/>
        </w:rPr>
        <w:t xml:space="preserve">常规负荷接入应符合DL </w:t>
      </w:r>
      <w:r>
        <w:rPr>
          <w:rFonts w:ascii="Times New Roman"/>
        </w:rPr>
        <w:t>/</w:t>
      </w:r>
      <w:r>
        <w:rPr>
          <w:rFonts w:hint="eastAsia" w:ascii="Times New Roman"/>
        </w:rPr>
        <w:t>T 5729的相关规定。</w:t>
      </w:r>
    </w:p>
    <w:p>
      <w:pPr>
        <w:pStyle w:val="6"/>
      </w:pPr>
      <w:bookmarkStart w:id="474" w:name="_Toc146640122"/>
      <w:bookmarkStart w:id="475" w:name="_Toc170111388"/>
      <w:bookmarkStart w:id="476" w:name="_Toc146639553"/>
      <w:bookmarkStart w:id="477" w:name="_Toc146697760"/>
      <w:bookmarkStart w:id="478" w:name="_Toc146640322"/>
      <w:r>
        <w:t>分布式电源接入要求</w:t>
      </w:r>
      <w:bookmarkEnd w:id="470"/>
      <w:bookmarkEnd w:id="471"/>
      <w:bookmarkEnd w:id="472"/>
      <w:bookmarkEnd w:id="474"/>
      <w:bookmarkEnd w:id="475"/>
      <w:bookmarkEnd w:id="476"/>
      <w:bookmarkEnd w:id="477"/>
      <w:bookmarkEnd w:id="478"/>
      <w:bookmarkStart w:id="479" w:name="pindex251"/>
      <w:bookmarkEnd w:id="479"/>
    </w:p>
    <w:p>
      <w:pPr>
        <w:pStyle w:val="5"/>
        <w:rPr>
          <w:rFonts w:ascii="Times New Roman"/>
        </w:rPr>
      </w:pPr>
      <w:bookmarkStart w:id="480" w:name="_Hlk142055324"/>
      <w:bookmarkStart w:id="481" w:name="_Hlk146614495"/>
      <w:r>
        <w:rPr>
          <w:rFonts w:hint="eastAsia" w:ascii="Times New Roman"/>
        </w:rPr>
        <w:t>9</w:t>
      </w:r>
      <w:r>
        <w:rPr>
          <w:rFonts w:ascii="Times New Roman"/>
        </w:rPr>
        <w:t>.2.1  分布式</w:t>
      </w:r>
      <w:r>
        <w:rPr>
          <w:rFonts w:hint="eastAsia" w:ascii="Times New Roman"/>
        </w:rPr>
        <w:t>电源</w:t>
      </w:r>
      <w:r>
        <w:rPr>
          <w:rFonts w:ascii="Times New Roman"/>
        </w:rPr>
        <w:t>并网电压等级可根据装机容量进行初步选择，最终并网电压等级应根据电网条件</w:t>
      </w:r>
      <w:r>
        <w:rPr>
          <w:rFonts w:hint="eastAsia" w:ascii="Times New Roman"/>
        </w:rPr>
        <w:t>确定</w:t>
      </w:r>
      <w:bookmarkEnd w:id="480"/>
      <w:r>
        <w:rPr>
          <w:rFonts w:hint="eastAsia" w:ascii="Times New Roman"/>
        </w:rPr>
        <w:t>。</w:t>
      </w:r>
      <w:bookmarkEnd w:id="481"/>
    </w:p>
    <w:p>
      <w:pPr>
        <w:pStyle w:val="5"/>
        <w:rPr>
          <w:rFonts w:ascii="Times New Roman"/>
        </w:rPr>
      </w:pPr>
      <w:bookmarkStart w:id="482" w:name="sys253045"/>
      <w:bookmarkStart w:id="483" w:name="_Hlk146614504"/>
      <w:r>
        <w:rPr>
          <w:rFonts w:ascii="Times New Roman"/>
        </w:rPr>
        <w:t xml:space="preserve">9.2.2  </w:t>
      </w:r>
      <w:r>
        <w:rPr>
          <w:rFonts w:hint="eastAsia" w:ascii="Times New Roman"/>
        </w:rPr>
        <w:t>对于分布式电源接入系统，接入容量在</w:t>
      </w:r>
      <w:r>
        <w:rPr>
          <w:rFonts w:ascii="Times New Roman"/>
        </w:rPr>
        <w:t>400kW</w:t>
      </w:r>
      <w:r>
        <w:rPr>
          <w:rFonts w:hint="eastAsia" w:ascii="Times New Roman"/>
        </w:rPr>
        <w:t>以上时，经过经济技术比较后可采用380V多点接入方案，单个接入点的接入容量宜不超过400kW，接入点数量受限时，宜采用10kV接入方案；</w:t>
      </w:r>
      <w:bookmarkEnd w:id="482"/>
      <w:bookmarkStart w:id="484" w:name="sys2534547"/>
      <w:r>
        <w:rPr>
          <w:rFonts w:hint="eastAsia" w:ascii="Times New Roman"/>
        </w:rPr>
        <w:t>接入容量不足</w:t>
      </w:r>
      <w:r>
        <w:rPr>
          <w:rFonts w:ascii="Times New Roman"/>
        </w:rPr>
        <w:t>400kW</w:t>
      </w:r>
      <w:r>
        <w:rPr>
          <w:rFonts w:hint="eastAsia" w:ascii="Times New Roman"/>
        </w:rPr>
        <w:t>时宜采用</w:t>
      </w:r>
      <w:r>
        <w:rPr>
          <w:rFonts w:ascii="Times New Roman"/>
        </w:rPr>
        <w:t>380V</w:t>
      </w:r>
      <w:r>
        <w:rPr>
          <w:rFonts w:hint="eastAsia" w:ascii="Times New Roman"/>
        </w:rPr>
        <w:t>接入方案，容量在</w:t>
      </w:r>
      <w:r>
        <w:rPr>
          <w:rFonts w:ascii="Times New Roman"/>
        </w:rPr>
        <w:t>8kW</w:t>
      </w:r>
      <w:r>
        <w:rPr>
          <w:rFonts w:hint="eastAsia" w:ascii="Times New Roman"/>
        </w:rPr>
        <w:t>以下时宜采用</w:t>
      </w:r>
      <w:r>
        <w:rPr>
          <w:rFonts w:ascii="Times New Roman"/>
        </w:rPr>
        <w:t>220V</w:t>
      </w:r>
      <w:r>
        <w:rPr>
          <w:rFonts w:hint="eastAsia" w:ascii="Times New Roman"/>
        </w:rPr>
        <w:t>单相接入方案。</w:t>
      </w:r>
      <w:bookmarkEnd w:id="483"/>
      <w:bookmarkEnd w:id="484"/>
    </w:p>
    <w:p>
      <w:pPr>
        <w:pStyle w:val="5"/>
        <w:rPr>
          <w:rFonts w:ascii="Times New Roman"/>
        </w:rPr>
      </w:pPr>
      <w:r>
        <w:rPr>
          <w:rFonts w:ascii="Times New Roman"/>
        </w:rPr>
        <w:t xml:space="preserve">9.2.3  </w:t>
      </w:r>
      <w:r>
        <w:rPr>
          <w:rFonts w:hint="eastAsia" w:ascii="Times New Roman"/>
        </w:rPr>
        <w:t>分布式电源单点接入容量在4</w:t>
      </w:r>
      <w:r>
        <w:rPr>
          <w:rFonts w:ascii="Times New Roman"/>
        </w:rPr>
        <w:t>00</w:t>
      </w:r>
      <w:r>
        <w:rPr>
          <w:rFonts w:hint="eastAsia" w:ascii="Times New Roman"/>
        </w:rPr>
        <w:t>k</w:t>
      </w:r>
      <w:r>
        <w:rPr>
          <w:rFonts w:ascii="Times New Roman"/>
        </w:rPr>
        <w:t>W~6MW</w:t>
      </w:r>
      <w:r>
        <w:rPr>
          <w:rFonts w:hint="eastAsia" w:ascii="Times New Roman"/>
        </w:rPr>
        <w:t>时，采用1</w:t>
      </w:r>
      <w:r>
        <w:rPr>
          <w:rFonts w:ascii="Times New Roman"/>
        </w:rPr>
        <w:t>0kV</w:t>
      </w:r>
      <w:r>
        <w:rPr>
          <w:rFonts w:hint="eastAsia" w:ascii="Times New Roman"/>
        </w:rPr>
        <w:t>电压等级接入。根据1</w:t>
      </w:r>
      <w:r>
        <w:rPr>
          <w:rFonts w:ascii="Times New Roman"/>
        </w:rPr>
        <w:t>10</w:t>
      </w:r>
      <w:r>
        <w:rPr>
          <w:rFonts w:hint="eastAsia" w:ascii="Times New Roman"/>
        </w:rPr>
        <w:t>（3</w:t>
      </w:r>
      <w:r>
        <w:rPr>
          <w:rFonts w:ascii="Times New Roman"/>
        </w:rPr>
        <w:t>5</w:t>
      </w:r>
      <w:r>
        <w:rPr>
          <w:rFonts w:hint="eastAsia" w:ascii="Times New Roman"/>
        </w:rPr>
        <w:t>）</w:t>
      </w:r>
      <w:r>
        <w:rPr>
          <w:rFonts w:ascii="Times New Roman"/>
        </w:rPr>
        <w:t>kV</w:t>
      </w:r>
      <w:r>
        <w:rPr>
          <w:rFonts w:hint="eastAsia" w:ascii="Times New Roman"/>
        </w:rPr>
        <w:t>主变容量及基础负荷情况，制定</w:t>
      </w:r>
      <w:r>
        <w:rPr>
          <w:rFonts w:ascii="Times New Roman"/>
        </w:rPr>
        <w:t>10kV</w:t>
      </w:r>
      <w:r>
        <w:rPr>
          <w:rFonts w:hint="eastAsia" w:ascii="Times New Roman"/>
        </w:rPr>
        <w:t>母线接入容量上限。</w:t>
      </w:r>
    </w:p>
    <w:p>
      <w:pPr>
        <w:pStyle w:val="5"/>
        <w:rPr>
          <w:rFonts w:ascii="Times New Roman"/>
        </w:rPr>
      </w:pPr>
      <w:r>
        <w:rPr>
          <w:rFonts w:hint="eastAsia" w:ascii="Times New Roman"/>
        </w:rPr>
        <w:t>9.2.4  对于存在分布式光伏消纳困难、出线向上级倒送情况的台区，可配套建设台区储能，提升分布式光伏就地消纳水平。</w:t>
      </w:r>
    </w:p>
    <w:p>
      <w:pPr>
        <w:pStyle w:val="5"/>
        <w:rPr>
          <w:rFonts w:ascii="Times New Roman"/>
        </w:rPr>
      </w:pPr>
      <w:bookmarkStart w:id="485" w:name="_Hlk146614526"/>
      <w:r>
        <w:rPr>
          <w:rFonts w:ascii="Times New Roman"/>
        </w:rPr>
        <w:t>9.2.</w:t>
      </w:r>
      <w:r>
        <w:rPr>
          <w:rFonts w:hint="eastAsia" w:ascii="Times New Roman"/>
        </w:rPr>
        <w:t>5</w:t>
      </w:r>
      <w:r>
        <w:rPr>
          <w:rFonts w:ascii="Times New Roman"/>
        </w:rPr>
        <w:t xml:space="preserve">  </w:t>
      </w:r>
      <w:r>
        <w:rPr>
          <w:rFonts w:hint="eastAsia" w:ascii="Times New Roman"/>
        </w:rPr>
        <w:t>分布式电源项目并网点的电能质量应符合国家标准</w:t>
      </w:r>
      <w:r>
        <w:rPr>
          <w:rFonts w:ascii="Times New Roman"/>
        </w:rPr>
        <w:t>GB/T 33593-2017</w:t>
      </w:r>
      <w:r>
        <w:rPr>
          <w:rFonts w:hint="eastAsia" w:ascii="Times New Roman"/>
        </w:rPr>
        <w:t>。</w:t>
      </w:r>
      <w:bookmarkEnd w:id="485"/>
    </w:p>
    <w:p>
      <w:pPr>
        <w:pStyle w:val="5"/>
        <w:rPr>
          <w:rFonts w:ascii="Times New Roman"/>
        </w:rPr>
      </w:pPr>
      <w:r>
        <w:rPr>
          <w:rFonts w:ascii="Times New Roman"/>
        </w:rPr>
        <w:t>9.2.</w:t>
      </w:r>
      <w:r>
        <w:rPr>
          <w:rFonts w:hint="eastAsia" w:ascii="Times New Roman"/>
        </w:rPr>
        <w:t>6</w:t>
      </w:r>
      <w:r>
        <w:rPr>
          <w:rFonts w:ascii="Times New Roman"/>
        </w:rPr>
        <w:t xml:space="preserve">  </w:t>
      </w:r>
      <w:r>
        <w:rPr>
          <w:rFonts w:hint="eastAsia" w:ascii="Times New Roman"/>
        </w:rPr>
        <w:t>通过1</w:t>
      </w:r>
      <w:r>
        <w:rPr>
          <w:rFonts w:ascii="Times New Roman"/>
        </w:rPr>
        <w:t>0kV</w:t>
      </w:r>
      <w:r>
        <w:rPr>
          <w:rFonts w:hint="eastAsia" w:ascii="Times New Roman"/>
        </w:rPr>
        <w:t>电压等级并网的分布式电源应在并网点设置易操作、可闭锁</w:t>
      </w:r>
      <w:sdt>
        <w:sdtPr>
          <w:rPr>
            <w:rFonts w:ascii="Times New Roman"/>
          </w:rPr>
          <w:alias w:val="易错词检查"/>
          <w:id w:val="2152822"/>
        </w:sdtPr>
        <w:sdtEndPr>
          <w:rPr>
            <w:rFonts w:ascii="Times New Roman"/>
          </w:rPr>
        </w:sdtEndPr>
        <w:sdtContent>
          <w:bookmarkStart w:id="486" w:name="bkReivew2152822"/>
          <w:r>
            <w:rPr>
              <w:rFonts w:hint="eastAsia" w:ascii="Times New Roman"/>
            </w:rPr>
            <w:t>、且</w:t>
          </w:r>
          <w:bookmarkEnd w:id="486"/>
        </w:sdtContent>
      </w:sdt>
      <w:r>
        <w:rPr>
          <w:rFonts w:hint="eastAsia" w:ascii="Times New Roman"/>
        </w:rPr>
        <w:t>具有明显开断点、带接地功能、可开断故障电流的开断设备。</w:t>
      </w:r>
    </w:p>
    <w:p>
      <w:pPr>
        <w:pStyle w:val="5"/>
        <w:rPr>
          <w:rFonts w:ascii="Times New Roman"/>
        </w:rPr>
      </w:pPr>
      <w:r>
        <w:rPr>
          <w:rFonts w:hint="eastAsia" w:ascii="Times New Roman"/>
        </w:rPr>
        <w:t>9.2.7  通过</w:t>
      </w:r>
      <w:r>
        <w:rPr>
          <w:rFonts w:ascii="Times New Roman"/>
        </w:rPr>
        <w:t>380V</w:t>
      </w:r>
      <w:r>
        <w:rPr>
          <w:rFonts w:hint="eastAsia" w:ascii="Times New Roman"/>
        </w:rPr>
        <w:t>电压等级并网的分布式电源应在并网点设置易操作、具有明显开断指示、具备开断故障电流能力的开关。</w:t>
      </w:r>
    </w:p>
    <w:p>
      <w:pPr>
        <w:pStyle w:val="5"/>
        <w:rPr>
          <w:rFonts w:ascii="Times New Roman"/>
        </w:rPr>
      </w:pPr>
      <w:r>
        <w:rPr>
          <w:rFonts w:ascii="Times New Roman"/>
        </w:rPr>
        <w:t>9.2.</w:t>
      </w:r>
      <w:r>
        <w:rPr>
          <w:rFonts w:hint="eastAsia" w:ascii="Times New Roman"/>
        </w:rPr>
        <w:t>8</w:t>
      </w:r>
      <w:r>
        <w:rPr>
          <w:rFonts w:ascii="Times New Roman"/>
        </w:rPr>
        <w:t xml:space="preserve"> </w:t>
      </w:r>
      <w:r>
        <w:rPr>
          <w:rFonts w:hint="eastAsia" w:ascii="Times New Roman"/>
        </w:rPr>
        <w:t xml:space="preserve"> 分布式电源经逆变器接入后，向公共连接点注入的直流电流分量不应超过其交流额定值的0.5%。</w:t>
      </w:r>
    </w:p>
    <w:p>
      <w:pPr>
        <w:pStyle w:val="5"/>
        <w:rPr>
          <w:rFonts w:ascii="Times New Roman"/>
        </w:rPr>
      </w:pPr>
      <w:r>
        <w:rPr>
          <w:rFonts w:ascii="Times New Roman"/>
        </w:rPr>
        <w:t>9.2.</w:t>
      </w:r>
      <w:r>
        <w:rPr>
          <w:rFonts w:hint="eastAsia" w:ascii="Times New Roman"/>
        </w:rPr>
        <w:t>9</w:t>
      </w:r>
      <w:r>
        <w:rPr>
          <w:rFonts w:ascii="Times New Roman"/>
        </w:rPr>
        <w:t xml:space="preserve">  </w:t>
      </w:r>
      <w:r>
        <w:rPr>
          <w:rFonts w:hint="eastAsia" w:ascii="Times New Roman"/>
        </w:rPr>
        <w:t>通过</w:t>
      </w:r>
      <w:r>
        <w:rPr>
          <w:rFonts w:ascii="Times New Roman"/>
        </w:rPr>
        <w:t xml:space="preserve">10kV </w:t>
      </w:r>
      <w:r>
        <w:rPr>
          <w:rFonts w:hint="eastAsia" w:ascii="Times New Roman"/>
        </w:rPr>
        <w:t>电压等级并网的分布式电源应具有有功功率节能力，输出功率偏差及功率变化率不应超过电网调度机构的给定值，并能根据电网频率值、电网调度机构指令等信号调节电源的有功功率输出。</w:t>
      </w:r>
      <w:bookmarkStart w:id="487" w:name="pindex257"/>
      <w:bookmarkEnd w:id="487"/>
    </w:p>
    <w:p>
      <w:pPr>
        <w:pStyle w:val="5"/>
        <w:rPr>
          <w:rFonts w:ascii="Times New Roman"/>
        </w:rPr>
      </w:pPr>
      <w:bookmarkStart w:id="488" w:name="sys258046"/>
      <w:r>
        <w:rPr>
          <w:rFonts w:ascii="Times New Roman"/>
        </w:rPr>
        <w:t>9.2.</w:t>
      </w:r>
      <w:r>
        <w:rPr>
          <w:rFonts w:hint="eastAsia" w:ascii="Times New Roman"/>
        </w:rPr>
        <w:t>10</w:t>
      </w:r>
      <w:r>
        <w:rPr>
          <w:rFonts w:ascii="Times New Roman"/>
        </w:rPr>
        <w:t xml:space="preserve">  </w:t>
      </w:r>
      <w:r>
        <w:rPr>
          <w:rFonts w:hint="eastAsia" w:ascii="Times New Roman"/>
        </w:rPr>
        <w:t>通过</w:t>
      </w:r>
      <w:r>
        <w:rPr>
          <w:rFonts w:ascii="Times New Roman"/>
        </w:rPr>
        <w:t xml:space="preserve"> 380 V </w:t>
      </w:r>
      <w:r>
        <w:rPr>
          <w:rFonts w:hint="eastAsia" w:ascii="Times New Roman"/>
        </w:rPr>
        <w:t>电压等级并网的分布式电源，在并网点处功率因数满足以下要求：</w:t>
      </w:r>
      <w:bookmarkEnd w:id="488"/>
      <w:bookmarkStart w:id="489" w:name="pindex258"/>
      <w:bookmarkEnd w:id="489"/>
    </w:p>
    <w:p>
      <w:pPr>
        <w:pStyle w:val="5"/>
        <w:rPr>
          <w:rFonts w:ascii="Times New Roman"/>
        </w:rPr>
      </w:pPr>
      <w:bookmarkStart w:id="490" w:name="sys259055"/>
      <w:r>
        <w:rPr>
          <w:rFonts w:ascii="Times New Roman"/>
        </w:rPr>
        <w:t>a</w:t>
      </w:r>
      <w:r>
        <w:rPr>
          <w:rFonts w:hint="eastAsia" w:ascii="Times New Roman"/>
        </w:rPr>
        <w:t>）同步发电机类型分布式电源应具备保证</w:t>
      </w:r>
      <w:r>
        <w:rPr>
          <w:rFonts w:ascii="Times New Roman"/>
        </w:rPr>
        <w:t>并网</w:t>
      </w:r>
      <w:r>
        <w:rPr>
          <w:rFonts w:hint="eastAsia" w:ascii="Times New Roman"/>
        </w:rPr>
        <w:t>点处功率因数在</w:t>
      </w:r>
      <w:r>
        <w:rPr>
          <w:rFonts w:ascii="Times New Roman"/>
        </w:rPr>
        <w:t xml:space="preserve"> 0.95</w:t>
      </w:r>
      <w:sdt>
        <w:sdtPr>
          <w:rPr>
            <w:rFonts w:ascii="Times New Roman"/>
          </w:rPr>
          <w:alias w:val="标点符号检查"/>
          <w:id w:val="1042536"/>
        </w:sdtPr>
        <w:sdtEndPr>
          <w:rPr>
            <w:rFonts w:ascii="Times New Roman"/>
          </w:rPr>
        </w:sdtEndPr>
        <w:sdtContent>
          <w:bookmarkStart w:id="491" w:name="bkReivew1042536"/>
          <w:r>
            <w:rPr>
              <w:rFonts w:ascii="Times New Roman"/>
            </w:rPr>
            <w:t>(</w:t>
          </w:r>
          <w:bookmarkEnd w:id="491"/>
        </w:sdtContent>
      </w:sdt>
      <w:r>
        <w:rPr>
          <w:rFonts w:hint="eastAsia" w:ascii="Times New Roman"/>
        </w:rPr>
        <w:t>超前</w:t>
      </w:r>
      <w:r>
        <w:rPr>
          <w:rFonts w:ascii="Times New Roman"/>
        </w:rPr>
        <w:t>)~0.95</w:t>
      </w:r>
      <w:sdt>
        <w:sdtPr>
          <w:rPr>
            <w:rFonts w:ascii="Times New Roman"/>
          </w:rPr>
          <w:alias w:val="标点符号检查"/>
          <w:id w:val="2061732"/>
        </w:sdtPr>
        <w:sdtEndPr>
          <w:rPr>
            <w:rFonts w:ascii="Times New Roman"/>
          </w:rPr>
        </w:sdtEndPr>
        <w:sdtContent>
          <w:bookmarkStart w:id="492" w:name="bkReivew2061732"/>
          <w:r>
            <w:rPr>
              <w:rFonts w:ascii="Times New Roman"/>
            </w:rPr>
            <w:t>(</w:t>
          </w:r>
          <w:bookmarkEnd w:id="492"/>
        </w:sdtContent>
      </w:sdt>
      <w:r>
        <w:rPr>
          <w:rFonts w:hint="eastAsia" w:ascii="Times New Roman"/>
        </w:rPr>
        <w:t>滞后</w:t>
      </w:r>
      <w:sdt>
        <w:sdtPr>
          <w:rPr>
            <w:rFonts w:ascii="Times New Roman"/>
          </w:rPr>
          <w:alias w:val="标点符号检查"/>
          <w:id w:val="31825"/>
        </w:sdtPr>
        <w:sdtEndPr>
          <w:rPr>
            <w:rFonts w:ascii="Times New Roman"/>
          </w:rPr>
        </w:sdtEndPr>
        <w:sdtContent>
          <w:bookmarkStart w:id="493" w:name="bkReivew31825"/>
          <w:r>
            <w:rPr>
              <w:rFonts w:ascii="Times New Roman"/>
            </w:rPr>
            <w:t>)</w:t>
          </w:r>
          <w:bookmarkEnd w:id="493"/>
        </w:sdtContent>
      </w:sdt>
      <w:r>
        <w:rPr>
          <w:rFonts w:hint="eastAsia" w:ascii="Times New Roman"/>
        </w:rPr>
        <w:t>范围可调节的能力；</w:t>
      </w:r>
      <w:bookmarkEnd w:id="490"/>
      <w:bookmarkStart w:id="494" w:name="pindex259"/>
      <w:bookmarkEnd w:id="494"/>
    </w:p>
    <w:p>
      <w:pPr>
        <w:pStyle w:val="5"/>
        <w:rPr>
          <w:rFonts w:ascii="Times New Roman"/>
        </w:rPr>
      </w:pPr>
      <w:bookmarkStart w:id="495" w:name="sys260055"/>
      <w:r>
        <w:rPr>
          <w:rFonts w:ascii="Times New Roman"/>
        </w:rPr>
        <w:t>b</w:t>
      </w:r>
      <w:r>
        <w:rPr>
          <w:rFonts w:hint="eastAsia" w:ascii="Times New Roman"/>
        </w:rPr>
        <w:t>）异步发电机类型分布式电源应具备保证</w:t>
      </w:r>
      <w:r>
        <w:rPr>
          <w:rFonts w:ascii="Times New Roman"/>
        </w:rPr>
        <w:t>并网</w:t>
      </w:r>
      <w:r>
        <w:rPr>
          <w:rFonts w:hint="eastAsia" w:ascii="Times New Roman"/>
        </w:rPr>
        <w:t>点处功率因数在</w:t>
      </w:r>
      <w:r>
        <w:rPr>
          <w:rFonts w:ascii="Times New Roman"/>
        </w:rPr>
        <w:t xml:space="preserve"> 0.98</w:t>
      </w:r>
      <w:sdt>
        <w:sdtPr>
          <w:rPr>
            <w:rFonts w:ascii="Times New Roman"/>
          </w:rPr>
          <w:alias w:val="标点符号检查"/>
          <w:id w:val="2003623"/>
        </w:sdtPr>
        <w:sdtEndPr>
          <w:rPr>
            <w:rFonts w:ascii="Times New Roman"/>
          </w:rPr>
        </w:sdtEndPr>
        <w:sdtContent>
          <w:bookmarkStart w:id="496" w:name="bkReivew2003623"/>
          <w:r>
            <w:rPr>
              <w:rFonts w:ascii="Times New Roman"/>
            </w:rPr>
            <w:t>(</w:t>
          </w:r>
          <w:bookmarkEnd w:id="496"/>
        </w:sdtContent>
      </w:sdt>
      <w:r>
        <w:rPr>
          <w:rFonts w:hint="eastAsia" w:ascii="Times New Roman"/>
        </w:rPr>
        <w:t>超前</w:t>
      </w:r>
      <w:r>
        <w:rPr>
          <w:rFonts w:ascii="Times New Roman"/>
        </w:rPr>
        <w:t>)~0.98</w:t>
      </w:r>
      <w:sdt>
        <w:sdtPr>
          <w:rPr>
            <w:rFonts w:ascii="Times New Roman"/>
          </w:rPr>
          <w:alias w:val="标点符号检查"/>
          <w:id w:val="1123806"/>
        </w:sdtPr>
        <w:sdtEndPr>
          <w:rPr>
            <w:rFonts w:ascii="Times New Roman"/>
          </w:rPr>
        </w:sdtEndPr>
        <w:sdtContent>
          <w:bookmarkStart w:id="497" w:name="bkReivew1123806"/>
          <w:r>
            <w:rPr>
              <w:rFonts w:ascii="Times New Roman"/>
            </w:rPr>
            <w:t>(</w:t>
          </w:r>
          <w:bookmarkEnd w:id="497"/>
        </w:sdtContent>
      </w:sdt>
      <w:r>
        <w:rPr>
          <w:rFonts w:hint="eastAsia" w:ascii="Times New Roman"/>
        </w:rPr>
        <w:t>滞后</w:t>
      </w:r>
      <w:sdt>
        <w:sdtPr>
          <w:rPr>
            <w:rFonts w:ascii="Times New Roman"/>
          </w:rPr>
          <w:alias w:val="标点符号检查"/>
          <w:id w:val="2020044"/>
        </w:sdtPr>
        <w:sdtEndPr>
          <w:rPr>
            <w:rFonts w:ascii="Times New Roman"/>
          </w:rPr>
        </w:sdtEndPr>
        <w:sdtContent>
          <w:bookmarkStart w:id="498" w:name="bkReivew2020044"/>
          <w:r>
            <w:rPr>
              <w:rFonts w:ascii="Times New Roman"/>
            </w:rPr>
            <w:t>)</w:t>
          </w:r>
          <w:bookmarkEnd w:id="498"/>
        </w:sdtContent>
      </w:sdt>
      <w:r>
        <w:rPr>
          <w:rFonts w:hint="eastAsia" w:ascii="Times New Roman"/>
        </w:rPr>
        <w:t>范围可调节的能力。</w:t>
      </w:r>
      <w:bookmarkEnd w:id="495"/>
      <w:bookmarkStart w:id="499" w:name="pindex260"/>
      <w:bookmarkEnd w:id="499"/>
    </w:p>
    <w:p>
      <w:pPr>
        <w:pStyle w:val="5"/>
        <w:rPr>
          <w:rFonts w:ascii="Times New Roman"/>
        </w:rPr>
      </w:pPr>
      <w:bookmarkStart w:id="500" w:name="sys261055"/>
      <w:r>
        <w:rPr>
          <w:rFonts w:ascii="Times New Roman"/>
        </w:rPr>
        <w:t>9.2.</w:t>
      </w:r>
      <w:r>
        <w:rPr>
          <w:rFonts w:hint="eastAsia" w:ascii="Times New Roman"/>
        </w:rPr>
        <w:t>11</w:t>
      </w:r>
      <w:r>
        <w:rPr>
          <w:rFonts w:ascii="Times New Roman"/>
        </w:rPr>
        <w:t xml:space="preserve">  </w:t>
      </w:r>
      <w:r>
        <w:rPr>
          <w:rFonts w:hint="eastAsia" w:ascii="Times New Roman"/>
        </w:rPr>
        <w:t>通过</w:t>
      </w:r>
      <w:r>
        <w:rPr>
          <w:rFonts w:ascii="Times New Roman"/>
        </w:rPr>
        <w:t xml:space="preserve">10kV </w:t>
      </w:r>
      <w:r>
        <w:rPr>
          <w:rFonts w:hint="eastAsia" w:ascii="Times New Roman"/>
        </w:rPr>
        <w:t>电压等级并网的分布式电源，在并网点处功率因数和电压调节能力满足以下要求：</w:t>
      </w:r>
      <w:bookmarkEnd w:id="500"/>
      <w:bookmarkStart w:id="501" w:name="pindex261"/>
      <w:bookmarkEnd w:id="501"/>
    </w:p>
    <w:p>
      <w:pPr>
        <w:pStyle w:val="5"/>
        <w:rPr>
          <w:rFonts w:ascii="Times New Roman"/>
        </w:rPr>
      </w:pPr>
      <w:r>
        <w:rPr>
          <w:rFonts w:ascii="Times New Roman"/>
        </w:rPr>
        <w:t>a</w:t>
      </w:r>
      <w:r>
        <w:rPr>
          <w:rFonts w:hint="eastAsia" w:ascii="Times New Roman"/>
        </w:rPr>
        <w:t>）同步发电机类型分布式电源应具备保证并网点处功率因数在0.95</w:t>
      </w:r>
      <w:sdt>
        <w:sdtPr>
          <w:rPr>
            <w:rFonts w:ascii="Times New Roman"/>
          </w:rPr>
          <w:alias w:val="标点符号检查"/>
          <w:id w:val="2072723"/>
        </w:sdtPr>
        <w:sdtEndPr>
          <w:rPr>
            <w:rFonts w:ascii="Times New Roman"/>
          </w:rPr>
        </w:sdtEndPr>
        <w:sdtContent>
          <w:bookmarkStart w:id="502" w:name="bkReivew2072723"/>
          <w:r>
            <w:rPr>
              <w:rFonts w:ascii="Times New Roman"/>
            </w:rPr>
            <w:t>(</w:t>
          </w:r>
          <w:bookmarkEnd w:id="502"/>
        </w:sdtContent>
      </w:sdt>
      <w:r>
        <w:rPr>
          <w:rFonts w:hint="eastAsia" w:ascii="Times New Roman"/>
        </w:rPr>
        <w:t>超前)~0.95</w:t>
      </w:r>
      <w:sdt>
        <w:sdtPr>
          <w:rPr>
            <w:rFonts w:ascii="Times New Roman"/>
          </w:rPr>
          <w:alias w:val="标点符号检查"/>
          <w:id w:val="2130003"/>
        </w:sdtPr>
        <w:sdtEndPr>
          <w:rPr>
            <w:rFonts w:ascii="Times New Roman"/>
          </w:rPr>
        </w:sdtEndPr>
        <w:sdtContent>
          <w:bookmarkStart w:id="503" w:name="bkReivew2130003"/>
          <w:r>
            <w:rPr>
              <w:rFonts w:ascii="Times New Roman"/>
            </w:rPr>
            <w:t>(</w:t>
          </w:r>
          <w:bookmarkEnd w:id="503"/>
        </w:sdtContent>
      </w:sdt>
      <w:r>
        <w:rPr>
          <w:rFonts w:hint="eastAsia" w:ascii="Times New Roman"/>
        </w:rPr>
        <w:t>滞后</w:t>
      </w:r>
      <w:sdt>
        <w:sdtPr>
          <w:rPr>
            <w:rFonts w:ascii="Times New Roman"/>
          </w:rPr>
          <w:alias w:val="标点符号检查"/>
          <w:id w:val="3112723"/>
        </w:sdtPr>
        <w:sdtEndPr>
          <w:rPr>
            <w:rFonts w:ascii="Times New Roman"/>
          </w:rPr>
        </w:sdtEndPr>
        <w:sdtContent>
          <w:bookmarkStart w:id="504" w:name="bkReivew3112723"/>
          <w:r>
            <w:rPr>
              <w:rFonts w:ascii="Times New Roman"/>
            </w:rPr>
            <w:t>)</w:t>
          </w:r>
          <w:bookmarkEnd w:id="504"/>
        </w:sdtContent>
      </w:sdt>
      <w:r>
        <w:rPr>
          <w:rFonts w:hint="eastAsia" w:ascii="Times New Roman"/>
        </w:rPr>
        <w:t>范围内连续可调的能力，并参与并网点的电压调节；</w:t>
      </w:r>
      <w:bookmarkStart w:id="505" w:name="pindex262"/>
      <w:bookmarkEnd w:id="505"/>
    </w:p>
    <w:p>
      <w:pPr>
        <w:pStyle w:val="5"/>
        <w:rPr>
          <w:rFonts w:ascii="Times New Roman"/>
        </w:rPr>
      </w:pPr>
      <w:bookmarkStart w:id="506" w:name="sys263076"/>
      <w:r>
        <w:rPr>
          <w:rFonts w:ascii="Times New Roman"/>
        </w:rPr>
        <w:t>b</w:t>
      </w:r>
      <w:r>
        <w:rPr>
          <w:rFonts w:hint="eastAsia" w:ascii="Times New Roman"/>
        </w:rPr>
        <w:t>）异步发电机类型分布式电源应具备保证并网点处功率因数在</w:t>
      </w:r>
      <w:r>
        <w:rPr>
          <w:rFonts w:ascii="Times New Roman"/>
        </w:rPr>
        <w:t>0.98</w:t>
      </w:r>
      <w:sdt>
        <w:sdtPr>
          <w:rPr>
            <w:rFonts w:ascii="Times New Roman"/>
          </w:rPr>
          <w:alias w:val="标点符号检查"/>
          <w:id w:val="2153213"/>
        </w:sdtPr>
        <w:sdtEndPr>
          <w:rPr>
            <w:rFonts w:ascii="Times New Roman"/>
          </w:rPr>
        </w:sdtEndPr>
        <w:sdtContent>
          <w:bookmarkStart w:id="507" w:name="bkReivew2153213"/>
          <w:r>
            <w:rPr>
              <w:rFonts w:ascii="Times New Roman"/>
            </w:rPr>
            <w:t>(</w:t>
          </w:r>
          <w:bookmarkEnd w:id="507"/>
        </w:sdtContent>
      </w:sdt>
      <w:r>
        <w:rPr>
          <w:rFonts w:hint="eastAsia" w:ascii="Times New Roman"/>
        </w:rPr>
        <w:t>超前</w:t>
      </w:r>
      <w:r>
        <w:rPr>
          <w:rFonts w:ascii="Times New Roman"/>
        </w:rPr>
        <w:t>)~0.98</w:t>
      </w:r>
      <w:sdt>
        <w:sdtPr>
          <w:rPr>
            <w:rFonts w:ascii="Times New Roman"/>
          </w:rPr>
          <w:alias w:val="标点符号检查"/>
          <w:id w:val="1010830"/>
        </w:sdtPr>
        <w:sdtEndPr>
          <w:rPr>
            <w:rFonts w:ascii="Times New Roman"/>
          </w:rPr>
        </w:sdtEndPr>
        <w:sdtContent>
          <w:bookmarkStart w:id="508" w:name="bkReivew1010830"/>
          <w:r>
            <w:rPr>
              <w:rFonts w:ascii="Times New Roman"/>
            </w:rPr>
            <w:t>(</w:t>
          </w:r>
          <w:bookmarkEnd w:id="508"/>
        </w:sdtContent>
      </w:sdt>
      <w:r>
        <w:rPr>
          <w:rFonts w:hint="eastAsia" w:ascii="Times New Roman"/>
        </w:rPr>
        <w:t>滞后</w:t>
      </w:r>
      <w:sdt>
        <w:sdtPr>
          <w:rPr>
            <w:rFonts w:ascii="Times New Roman"/>
          </w:rPr>
          <w:alias w:val="标点符号检查"/>
          <w:id w:val="1170354"/>
        </w:sdtPr>
        <w:sdtEndPr>
          <w:rPr>
            <w:rFonts w:ascii="Times New Roman"/>
          </w:rPr>
        </w:sdtEndPr>
        <w:sdtContent>
          <w:bookmarkStart w:id="509" w:name="bkReivew1170354"/>
          <w:r>
            <w:rPr>
              <w:rFonts w:ascii="Times New Roman"/>
            </w:rPr>
            <w:t>)</w:t>
          </w:r>
          <w:bookmarkEnd w:id="509"/>
        </w:sdtContent>
      </w:sdt>
      <w:r>
        <w:rPr>
          <w:rFonts w:hint="eastAsia" w:ascii="Times New Roman"/>
        </w:rPr>
        <w:t>范围自动调节的能力，有特殊要求时，可做适当调整以稳定电压水平；</w:t>
      </w:r>
      <w:bookmarkEnd w:id="506"/>
      <w:bookmarkStart w:id="510" w:name="pindex263"/>
      <w:bookmarkEnd w:id="510"/>
    </w:p>
    <w:p>
      <w:pPr>
        <w:pStyle w:val="5"/>
        <w:rPr>
          <w:rFonts w:ascii="Times New Roman"/>
        </w:rPr>
      </w:pPr>
      <w:bookmarkStart w:id="511" w:name="sys264080"/>
      <w:r>
        <w:rPr>
          <w:rFonts w:ascii="Times New Roman"/>
        </w:rPr>
        <w:t>c</w:t>
      </w:r>
      <w:r>
        <w:rPr>
          <w:rFonts w:hint="eastAsia" w:ascii="Times New Roman"/>
        </w:rPr>
        <w:t>）经变流器接入电网的分布式电源，应具备保证并网点处功率因数在</w:t>
      </w:r>
      <w:r>
        <w:rPr>
          <w:rFonts w:ascii="Times New Roman"/>
        </w:rPr>
        <w:t>0.98</w:t>
      </w:r>
      <w:sdt>
        <w:sdtPr>
          <w:rPr>
            <w:rFonts w:ascii="Times New Roman"/>
          </w:rPr>
          <w:alias w:val="标点符号检查"/>
          <w:id w:val="172836"/>
        </w:sdtPr>
        <w:sdtEndPr>
          <w:rPr>
            <w:rFonts w:ascii="Times New Roman"/>
          </w:rPr>
        </w:sdtEndPr>
        <w:sdtContent>
          <w:bookmarkStart w:id="512" w:name="bkReivew172836"/>
          <w:r>
            <w:rPr>
              <w:rFonts w:ascii="Times New Roman"/>
            </w:rPr>
            <w:t>(</w:t>
          </w:r>
          <w:bookmarkEnd w:id="512"/>
        </w:sdtContent>
      </w:sdt>
      <w:r>
        <w:rPr>
          <w:rFonts w:hint="eastAsia" w:ascii="Times New Roman"/>
        </w:rPr>
        <w:t>超前</w:t>
      </w:r>
      <w:r>
        <w:rPr>
          <w:rFonts w:ascii="Times New Roman"/>
        </w:rPr>
        <w:t>)~0.98</w:t>
      </w:r>
      <w:sdt>
        <w:sdtPr>
          <w:rPr>
            <w:rFonts w:ascii="Times New Roman"/>
          </w:rPr>
          <w:alias w:val="标点符号检查"/>
          <w:id w:val="2032044"/>
        </w:sdtPr>
        <w:sdtEndPr>
          <w:rPr>
            <w:rFonts w:ascii="Times New Roman"/>
          </w:rPr>
        </w:sdtEndPr>
        <w:sdtContent>
          <w:bookmarkStart w:id="513" w:name="bkReivew2032044"/>
          <w:r>
            <w:rPr>
              <w:rFonts w:ascii="Times New Roman"/>
            </w:rPr>
            <w:t>(</w:t>
          </w:r>
          <w:bookmarkEnd w:id="513"/>
        </w:sdtContent>
      </w:sdt>
      <w:r>
        <w:rPr>
          <w:rFonts w:hint="eastAsia" w:ascii="Times New Roman"/>
        </w:rPr>
        <w:t>滞后</w:t>
      </w:r>
      <w:sdt>
        <w:sdtPr>
          <w:rPr>
            <w:rFonts w:ascii="Times New Roman"/>
          </w:rPr>
          <w:alias w:val="标点符号检查"/>
          <w:id w:val="70323"/>
        </w:sdtPr>
        <w:sdtEndPr>
          <w:rPr>
            <w:rFonts w:ascii="Times New Roman"/>
          </w:rPr>
        </w:sdtEndPr>
        <w:sdtContent>
          <w:bookmarkStart w:id="514" w:name="bkReivew70323"/>
          <w:r>
            <w:rPr>
              <w:rFonts w:ascii="Times New Roman"/>
            </w:rPr>
            <w:t>)</w:t>
          </w:r>
          <w:bookmarkEnd w:id="514"/>
        </w:sdtContent>
      </w:sdt>
      <w:r>
        <w:rPr>
          <w:rFonts w:hint="eastAsia" w:ascii="Times New Roman"/>
        </w:rPr>
        <w:t>范围内连续可调的能力，有特殊要求时，可做适当调整以稳定电压水平。</w:t>
      </w:r>
      <w:bookmarkEnd w:id="511"/>
      <w:r>
        <w:rPr>
          <w:rFonts w:hint="eastAsia" w:ascii="Times New Roman"/>
        </w:rPr>
        <w:t>在其无功输出范围内，应具备根据并网点电压水平调节无功输出、参与电网电压调节的能力，其调节方式和参考电压、电压调差率等参数可由电网调度机构设定。</w:t>
      </w:r>
      <w:bookmarkStart w:id="515" w:name="pindex264"/>
      <w:bookmarkEnd w:id="515"/>
    </w:p>
    <w:p>
      <w:pPr>
        <w:pStyle w:val="5"/>
        <w:rPr>
          <w:rFonts w:ascii="Times New Roman"/>
        </w:rPr>
      </w:pPr>
      <w:r>
        <w:rPr>
          <w:rFonts w:hint="eastAsia" w:ascii="Times New Roman"/>
        </w:rPr>
        <w:t>9.2.12  当同一公共连接点有一个以上的光伏系统接入时，应总体分析对电网的影响。公共连接点处功率因数不满足0.95(超前)~0.95(滞后)范围调节能力的，应进行无功补偿和电能质量专题研究。</w:t>
      </w:r>
    </w:p>
    <w:p>
      <w:pPr>
        <w:pStyle w:val="5"/>
        <w:rPr>
          <w:rFonts w:ascii="Times New Roman"/>
        </w:rPr>
      </w:pPr>
      <w:r>
        <w:rPr>
          <w:rFonts w:hint="eastAsia" w:ascii="Times New Roman"/>
        </w:rPr>
        <w:t>9</w:t>
      </w:r>
      <w:r>
        <w:rPr>
          <w:rFonts w:ascii="Times New Roman"/>
        </w:rPr>
        <w:t>.2.</w:t>
      </w:r>
      <w:r>
        <w:rPr>
          <w:rFonts w:hint="eastAsia" w:ascii="Times New Roman"/>
        </w:rPr>
        <w:t>13</w:t>
      </w:r>
      <w:r>
        <w:rPr>
          <w:rFonts w:ascii="Times New Roman"/>
        </w:rPr>
        <w:t xml:space="preserve">  </w:t>
      </w:r>
      <w:r>
        <w:rPr>
          <w:rFonts w:hint="eastAsia" w:ascii="Times New Roman"/>
        </w:rPr>
        <w:t>分布式电源与可调节负荷聚合形成虚拟电厂，并通过</w:t>
      </w:r>
      <w:r>
        <w:rPr>
          <w:rFonts w:ascii="Times New Roman"/>
        </w:rPr>
        <w:t>10kV 电压等级并网</w:t>
      </w:r>
      <w:r>
        <w:rPr>
          <w:rFonts w:hint="eastAsia" w:ascii="Times New Roman"/>
        </w:rPr>
        <w:t>运行时，该虚拟电厂应具备发电功率预测、负荷预测、发电计划制定、可调节负荷管理、分布式电源发电优化、状态监控、</w:t>
      </w:r>
      <w:sdt>
        <w:sdtPr>
          <w:rPr>
            <w:rFonts w:ascii="Times New Roman"/>
          </w:rPr>
          <w:alias w:val="非推荐词"/>
          <w:id w:val="3073545"/>
        </w:sdtPr>
        <w:sdtEndPr>
          <w:rPr>
            <w:rFonts w:ascii="Times New Roman"/>
          </w:rPr>
        </w:sdtEndPr>
        <w:sdtContent>
          <w:bookmarkStart w:id="516" w:name="bkReivew3073545"/>
          <w:r>
            <w:rPr>
              <w:rFonts w:hint="eastAsia" w:ascii="Times New Roman"/>
            </w:rPr>
            <w:t>通信</w:t>
          </w:r>
          <w:bookmarkEnd w:id="516"/>
        </w:sdtContent>
      </w:sdt>
      <w:r>
        <w:rPr>
          <w:rFonts w:hint="eastAsia" w:ascii="Times New Roman"/>
        </w:rPr>
        <w:t>、数据采集功能，功能要求按照IEC TS 63189-</w:t>
      </w:r>
      <w:sdt>
        <w:sdtPr>
          <w:rPr>
            <w:rFonts w:ascii="Times New Roman"/>
          </w:rPr>
          <w:alias w:val="标点符号检查"/>
          <w:id w:val="151551"/>
        </w:sdtPr>
        <w:sdtEndPr>
          <w:rPr>
            <w:rFonts w:ascii="Times New Roman"/>
          </w:rPr>
        </w:sdtEndPr>
        <w:sdtContent>
          <w:bookmarkStart w:id="517" w:name="bkReivew151551"/>
          <w:r>
            <w:rPr>
              <w:rFonts w:ascii="Times New Roman"/>
            </w:rPr>
            <w:t>1</w:t>
          </w:r>
          <w:r>
            <w:rPr>
              <w:rFonts w:hint="eastAsia" w:ascii="Times New Roman"/>
            </w:rPr>
            <w:t>：</w:t>
          </w:r>
          <w:r>
            <w:rPr>
              <w:rFonts w:ascii="Times New Roman"/>
            </w:rPr>
            <w:t>2023</w:t>
          </w:r>
          <w:bookmarkEnd w:id="517"/>
        </w:sdtContent>
      </w:sdt>
      <w:r>
        <w:rPr>
          <w:rFonts w:hint="eastAsia" w:ascii="Times New Roman"/>
        </w:rPr>
        <w:t>执行。</w:t>
      </w:r>
    </w:p>
    <w:p>
      <w:pPr>
        <w:pStyle w:val="5"/>
        <w:rPr>
          <w:rFonts w:ascii="Times New Roman"/>
        </w:rPr>
      </w:pPr>
      <w:r>
        <w:rPr>
          <w:rFonts w:hint="eastAsia" w:ascii="Times New Roman"/>
        </w:rPr>
        <w:t>9.2.14  分布式电源应按照功率10%及以上比例配套建设新型储能(时长2个小时)。</w:t>
      </w:r>
    </w:p>
    <w:p>
      <w:pPr>
        <w:pStyle w:val="6"/>
      </w:pPr>
      <w:bookmarkStart w:id="518" w:name="_Toc146697761"/>
      <w:bookmarkEnd w:id="518"/>
      <w:bookmarkStart w:id="519" w:name="_Toc146697763"/>
      <w:bookmarkEnd w:id="519"/>
      <w:bookmarkStart w:id="520" w:name="_Toc146640324"/>
      <w:bookmarkEnd w:id="520"/>
      <w:bookmarkStart w:id="521" w:name="_Toc146640323"/>
      <w:bookmarkEnd w:id="521"/>
      <w:bookmarkStart w:id="522" w:name="_Toc146640123"/>
      <w:bookmarkEnd w:id="522"/>
      <w:bookmarkStart w:id="523" w:name="_Toc146639555"/>
      <w:bookmarkEnd w:id="523"/>
      <w:bookmarkStart w:id="524" w:name="_Toc146639554"/>
      <w:bookmarkEnd w:id="524"/>
      <w:bookmarkStart w:id="525" w:name="_Toc146697762"/>
      <w:bookmarkEnd w:id="525"/>
      <w:bookmarkStart w:id="526" w:name="_Toc146640125"/>
      <w:bookmarkEnd w:id="526"/>
      <w:bookmarkStart w:id="527" w:name="_Toc146639556"/>
      <w:bookmarkEnd w:id="527"/>
      <w:bookmarkStart w:id="528" w:name="_Toc146640325"/>
      <w:bookmarkEnd w:id="528"/>
      <w:bookmarkStart w:id="529" w:name="_Toc146640124"/>
      <w:bookmarkEnd w:id="529"/>
      <w:bookmarkStart w:id="530" w:name="_Toc146640126"/>
      <w:bookmarkStart w:id="531" w:name="_Toc146640326"/>
      <w:bookmarkStart w:id="532" w:name="_Toc146697764"/>
      <w:bookmarkStart w:id="533" w:name="_Toc146639557"/>
      <w:bookmarkStart w:id="534" w:name="_Toc142335364"/>
      <w:bookmarkStart w:id="535" w:name="_Toc142335156"/>
      <w:bookmarkStart w:id="536" w:name="_Toc170111389"/>
      <w:bookmarkStart w:id="537" w:name="_Toc119913137"/>
      <w:r>
        <w:t>储能接入要求</w:t>
      </w:r>
      <w:bookmarkEnd w:id="530"/>
      <w:bookmarkEnd w:id="531"/>
      <w:bookmarkEnd w:id="532"/>
      <w:bookmarkEnd w:id="533"/>
      <w:bookmarkEnd w:id="534"/>
      <w:bookmarkEnd w:id="535"/>
      <w:bookmarkEnd w:id="536"/>
      <w:bookmarkEnd w:id="537"/>
      <w:bookmarkStart w:id="538" w:name="pindex266"/>
      <w:bookmarkEnd w:id="538"/>
    </w:p>
    <w:p>
      <w:pPr>
        <w:pStyle w:val="5"/>
        <w:rPr>
          <w:rFonts w:ascii="Times New Roman"/>
        </w:rPr>
      </w:pPr>
      <w:bookmarkStart w:id="539" w:name="_Hlk146614574"/>
      <w:r>
        <w:rPr>
          <w:rFonts w:hint="eastAsia" w:ascii="Times New Roman"/>
        </w:rPr>
        <w:t>9</w:t>
      </w:r>
      <w:r>
        <w:rPr>
          <w:rFonts w:ascii="Times New Roman"/>
        </w:rPr>
        <w:t>.3.1  电化学储能系统接入配电网的电压等级应综合考虑储能系统额定功率</w:t>
      </w:r>
      <w:r>
        <w:rPr>
          <w:rFonts w:hint="eastAsia" w:ascii="Times New Roman"/>
        </w:rPr>
        <w:t>和</w:t>
      </w:r>
      <w:r>
        <w:rPr>
          <w:rFonts w:ascii="Times New Roman"/>
        </w:rPr>
        <w:t>当地电网条件，</w:t>
      </w:r>
      <w:r>
        <w:rPr>
          <w:rFonts w:hint="eastAsia" w:ascii="Times New Roman"/>
        </w:rPr>
        <w:t>应符合</w:t>
      </w:r>
      <w:r>
        <w:rPr>
          <w:rFonts w:ascii="Times New Roman"/>
        </w:rPr>
        <w:t>GB/T 36547 的相关规定。</w:t>
      </w:r>
    </w:p>
    <w:bookmarkEnd w:id="539"/>
    <w:p>
      <w:pPr>
        <w:pStyle w:val="5"/>
        <w:rPr>
          <w:rFonts w:ascii="Times New Roman"/>
        </w:rPr>
      </w:pPr>
      <w:bookmarkStart w:id="540" w:name="sys268046"/>
      <w:bookmarkStart w:id="541" w:name="_Hlk146614635"/>
      <w:r>
        <w:rPr>
          <w:rFonts w:ascii="Times New Roman"/>
        </w:rPr>
        <w:t xml:space="preserve">9.3.2  </w:t>
      </w:r>
      <w:r>
        <w:rPr>
          <w:rFonts w:hint="eastAsia" w:ascii="Times New Roman"/>
        </w:rPr>
        <w:t>对于电化学储能接入系统，接入容量在</w:t>
      </w:r>
      <w:r>
        <w:rPr>
          <w:rFonts w:ascii="Times New Roman"/>
        </w:rPr>
        <w:t>1000kW</w:t>
      </w:r>
      <w:r>
        <w:rPr>
          <w:rFonts w:hint="eastAsia" w:ascii="Times New Roman"/>
        </w:rPr>
        <w:t>以上时，宜采用</w:t>
      </w:r>
      <w:r>
        <w:rPr>
          <w:rFonts w:ascii="Times New Roman"/>
        </w:rPr>
        <w:t>10kV</w:t>
      </w:r>
      <w:r>
        <w:rPr>
          <w:rFonts w:hint="eastAsia" w:ascii="Times New Roman"/>
        </w:rPr>
        <w:t>接入方案；</w:t>
      </w:r>
      <w:bookmarkEnd w:id="540"/>
      <w:r>
        <w:rPr>
          <w:rFonts w:hint="eastAsia" w:ascii="Times New Roman"/>
        </w:rPr>
        <w:t>接入容量在5</w:t>
      </w:r>
      <w:r>
        <w:rPr>
          <w:rFonts w:ascii="Times New Roman"/>
        </w:rPr>
        <w:t>00kW~1000kW</w:t>
      </w:r>
      <w:r>
        <w:rPr>
          <w:rFonts w:hint="eastAsia" w:ascii="Times New Roman"/>
        </w:rPr>
        <w:t>时，宜根据经济技术比较，采用1</w:t>
      </w:r>
      <w:r>
        <w:rPr>
          <w:rFonts w:ascii="Times New Roman"/>
        </w:rPr>
        <w:t>0kV</w:t>
      </w:r>
      <w:r>
        <w:rPr>
          <w:rFonts w:hint="eastAsia" w:ascii="Times New Roman"/>
        </w:rPr>
        <w:t>或3</w:t>
      </w:r>
      <w:r>
        <w:rPr>
          <w:rFonts w:ascii="Times New Roman"/>
        </w:rPr>
        <w:t>80</w:t>
      </w:r>
      <w:r>
        <w:rPr>
          <w:rFonts w:hint="eastAsia" w:ascii="Times New Roman"/>
        </w:rPr>
        <w:t>V接入方案；</w:t>
      </w:r>
      <w:bookmarkStart w:id="542" w:name="sys2689147"/>
      <w:r>
        <w:rPr>
          <w:rFonts w:hint="eastAsia" w:ascii="Times New Roman"/>
        </w:rPr>
        <w:t>接入容量不足</w:t>
      </w:r>
      <w:r>
        <w:rPr>
          <w:rFonts w:ascii="Times New Roman"/>
        </w:rPr>
        <w:t>500kW</w:t>
      </w:r>
      <w:r>
        <w:rPr>
          <w:rFonts w:hint="eastAsia" w:ascii="Times New Roman"/>
        </w:rPr>
        <w:t>时宜采用</w:t>
      </w:r>
      <w:r>
        <w:rPr>
          <w:rFonts w:ascii="Times New Roman"/>
        </w:rPr>
        <w:t>380V</w:t>
      </w:r>
      <w:r>
        <w:rPr>
          <w:rFonts w:hint="eastAsia" w:ascii="Times New Roman"/>
        </w:rPr>
        <w:t>接入方案，容量在</w:t>
      </w:r>
      <w:r>
        <w:rPr>
          <w:rFonts w:ascii="Times New Roman"/>
        </w:rPr>
        <w:t>8kW</w:t>
      </w:r>
      <w:r>
        <w:rPr>
          <w:rFonts w:hint="eastAsia" w:ascii="Times New Roman"/>
        </w:rPr>
        <w:t>以下时宜采用</w:t>
      </w:r>
      <w:r>
        <w:rPr>
          <w:rFonts w:ascii="Times New Roman"/>
        </w:rPr>
        <w:t>220V</w:t>
      </w:r>
      <w:r>
        <w:rPr>
          <w:rFonts w:hint="eastAsia" w:ascii="Times New Roman"/>
        </w:rPr>
        <w:t>单相接入方案。</w:t>
      </w:r>
      <w:bookmarkEnd w:id="542"/>
    </w:p>
    <w:bookmarkEnd w:id="541"/>
    <w:p>
      <w:pPr>
        <w:pStyle w:val="5"/>
        <w:rPr>
          <w:rFonts w:ascii="Times New Roman"/>
        </w:rPr>
      </w:pPr>
      <w:r>
        <w:rPr>
          <w:rFonts w:ascii="Times New Roman"/>
        </w:rPr>
        <w:t xml:space="preserve">9.3.3  </w:t>
      </w:r>
      <w:r>
        <w:rPr>
          <w:rFonts w:hint="eastAsia" w:ascii="Times New Roman"/>
        </w:rPr>
        <w:t>电化学储能系统接入配电网应进行短路容量校核。</w:t>
      </w:r>
    </w:p>
    <w:p>
      <w:pPr>
        <w:pStyle w:val="5"/>
        <w:rPr>
          <w:rFonts w:ascii="Times New Roman"/>
        </w:rPr>
      </w:pPr>
      <w:bookmarkStart w:id="543" w:name="sys270044"/>
      <w:r>
        <w:rPr>
          <w:rFonts w:ascii="Times New Roman"/>
        </w:rPr>
        <w:t xml:space="preserve">9.3.4  </w:t>
      </w:r>
      <w:r>
        <w:rPr>
          <w:rFonts w:hint="eastAsia" w:ascii="Times New Roman"/>
        </w:rPr>
        <w:t>电化学储能系统并网点应安装易操作、可闭锁、具有明显断开指示的并网断开装置。</w:t>
      </w:r>
      <w:bookmarkEnd w:id="543"/>
    </w:p>
    <w:p>
      <w:pPr>
        <w:pStyle w:val="5"/>
        <w:rPr>
          <w:rFonts w:ascii="Times New Roman"/>
        </w:rPr>
      </w:pPr>
      <w:r>
        <w:rPr>
          <w:rFonts w:ascii="Times New Roman"/>
        </w:rPr>
        <w:t>9.3.5  电化学储能系统接入配电网时，功率控制、频率适应性、故障穿越等方面应符合GB/T 36547 的相关规定。</w:t>
      </w:r>
    </w:p>
    <w:p>
      <w:pPr>
        <w:pStyle w:val="5"/>
        <w:rPr>
          <w:rFonts w:ascii="Times New Roman"/>
        </w:rPr>
      </w:pPr>
      <w:r>
        <w:rPr>
          <w:rFonts w:hint="eastAsia" w:ascii="Times New Roman"/>
        </w:rPr>
        <w:t>9</w:t>
      </w:r>
      <w:r>
        <w:rPr>
          <w:rFonts w:ascii="Times New Roman"/>
        </w:rPr>
        <w:t>.3.6  电化学储能系统启动和停机时间应满足并网调度协议</w:t>
      </w:r>
      <w:r>
        <w:rPr>
          <w:rFonts w:hint="eastAsia" w:ascii="Times New Roman"/>
        </w:rPr>
        <w:t>和用户</w:t>
      </w:r>
      <w:r>
        <w:rPr>
          <w:rFonts w:ascii="Times New Roman"/>
        </w:rPr>
        <w:t>的要求，且接入公用电网的电化学储能系统应能执行电网调度机构的启动和停机指令。</w:t>
      </w:r>
    </w:p>
    <w:p>
      <w:pPr>
        <w:pStyle w:val="5"/>
        <w:rPr>
          <w:rFonts w:ascii="Times New Roman"/>
        </w:rPr>
      </w:pPr>
      <w:r>
        <w:rPr>
          <w:rFonts w:hint="eastAsia" w:ascii="Times New Roman"/>
        </w:rPr>
        <w:t>9</w:t>
      </w:r>
      <w:r>
        <w:rPr>
          <w:rFonts w:ascii="Times New Roman"/>
        </w:rPr>
        <w:t xml:space="preserve">.3.7  </w:t>
      </w:r>
      <w:r>
        <w:rPr>
          <w:rFonts w:hint="eastAsia" w:ascii="Times New Roman"/>
        </w:rPr>
        <w:t>用户</w:t>
      </w:r>
      <w:sdt>
        <w:sdtPr>
          <w:rPr>
            <w:rFonts w:ascii="Times New Roman"/>
          </w:rPr>
          <w:alias w:val="易错词检查"/>
          <w:id w:val="3073331"/>
        </w:sdtPr>
        <w:sdtEndPr>
          <w:rPr>
            <w:rFonts w:ascii="Times New Roman"/>
          </w:rPr>
        </w:sdtEndPr>
        <w:sdtContent>
          <w:bookmarkStart w:id="544" w:name="bkReivew3073331"/>
          <w:r>
            <w:rPr>
              <w:rFonts w:hint="eastAsia" w:ascii="Times New Roman"/>
            </w:rPr>
            <w:t>侧</w:t>
          </w:r>
          <w:bookmarkEnd w:id="544"/>
        </w:sdtContent>
      </w:sdt>
      <w:r>
        <w:rPr>
          <w:rFonts w:hint="eastAsia" w:ascii="Times New Roman"/>
        </w:rPr>
        <w:t>电化学储能系统应具备双向有功功率和无功功率控制功能，应能接受有功功率、无功电压控制指令，功率可连续调节。</w:t>
      </w:r>
    </w:p>
    <w:p>
      <w:pPr>
        <w:pStyle w:val="5"/>
        <w:rPr>
          <w:rFonts w:ascii="Times New Roman"/>
        </w:rPr>
      </w:pPr>
      <w:r>
        <w:rPr>
          <w:rFonts w:hint="eastAsia" w:ascii="Times New Roman"/>
        </w:rPr>
        <w:t>9</w:t>
      </w:r>
      <w:r>
        <w:rPr>
          <w:rFonts w:ascii="Times New Roman"/>
        </w:rPr>
        <w:t>.3.8  通过 220V 单相接入的用户</w:t>
      </w:r>
      <w:sdt>
        <w:sdtPr>
          <w:rPr>
            <w:rFonts w:ascii="Times New Roman"/>
          </w:rPr>
          <w:alias w:val="易错词检查"/>
          <w:id w:val="3172121"/>
        </w:sdtPr>
        <w:sdtEndPr>
          <w:rPr>
            <w:rFonts w:ascii="Times New Roman"/>
          </w:rPr>
        </w:sdtEndPr>
        <w:sdtContent>
          <w:bookmarkStart w:id="545" w:name="bkReivew3172121"/>
          <w:r>
            <w:rPr>
              <w:rFonts w:hint="eastAsia" w:ascii="Times New Roman"/>
            </w:rPr>
            <w:t>侧</w:t>
          </w:r>
          <w:bookmarkEnd w:id="545"/>
        </w:sdtContent>
      </w:sdt>
      <w:r>
        <w:rPr>
          <w:rFonts w:ascii="Times New Roman"/>
        </w:rPr>
        <w:t>电化学储能系统，接入前应校核接入各相的总容量，不宜出现三相功率不平衡情况。</w:t>
      </w:r>
      <w:bookmarkStart w:id="546" w:name="pindex274"/>
      <w:bookmarkEnd w:id="546"/>
    </w:p>
    <w:p>
      <w:pPr>
        <w:pStyle w:val="5"/>
        <w:rPr>
          <w:rFonts w:ascii="Times New Roman"/>
        </w:rPr>
      </w:pPr>
      <w:r>
        <w:rPr>
          <w:rFonts w:hint="eastAsia" w:ascii="Times New Roman"/>
        </w:rPr>
        <w:t>9</w:t>
      </w:r>
      <w:r>
        <w:rPr>
          <w:rFonts w:ascii="Times New Roman"/>
        </w:rPr>
        <w:t xml:space="preserve">.3.9  </w:t>
      </w:r>
      <w:r>
        <w:rPr>
          <w:rFonts w:hint="eastAsia" w:ascii="Times New Roman"/>
        </w:rPr>
        <w:t>通过1</w:t>
      </w:r>
      <w:r>
        <w:rPr>
          <w:rFonts w:ascii="Times New Roman"/>
        </w:rPr>
        <w:t>0</w:t>
      </w:r>
      <w:r>
        <w:rPr>
          <w:rFonts w:hint="eastAsia" w:ascii="Times New Roman"/>
        </w:rPr>
        <w:t>kV及以下电压等级接入的质子交换膜燃料电池系统，接入前应进行性能测试，测试结果需满足GB</w:t>
      </w:r>
      <w:r>
        <w:rPr>
          <w:rFonts w:ascii="Times New Roman"/>
        </w:rPr>
        <w:t>/T 20042.2</w:t>
      </w:r>
      <w:r>
        <w:rPr>
          <w:rFonts w:hint="eastAsia" w:ascii="Times New Roman"/>
        </w:rPr>
        <w:t>的要求，并离网切换、调度控制要求可参考电化学储能执行。</w:t>
      </w:r>
    </w:p>
    <w:p>
      <w:pPr>
        <w:pStyle w:val="5"/>
        <w:rPr>
          <w:rFonts w:ascii="Times New Roman"/>
        </w:rPr>
      </w:pPr>
      <w:bookmarkStart w:id="547" w:name="_Hlk146614700"/>
      <w:r>
        <w:rPr>
          <w:rFonts w:hint="eastAsia" w:ascii="Times New Roman"/>
        </w:rPr>
        <w:t>9</w:t>
      </w:r>
      <w:r>
        <w:rPr>
          <w:rFonts w:ascii="Times New Roman"/>
        </w:rPr>
        <w:t>.3.10  参与电力市场的电化学储能系统，</w:t>
      </w:r>
      <w:r>
        <w:rPr>
          <w:rFonts w:hint="eastAsia" w:ascii="Times New Roman"/>
        </w:rPr>
        <w:t>其控制方式、响应能力和响应性能应满足电力市场规则要求。</w:t>
      </w:r>
      <w:r>
        <w:rPr>
          <w:rFonts w:ascii="Times New Roman"/>
        </w:rPr>
        <w:t>。</w:t>
      </w:r>
    </w:p>
    <w:p>
      <w:pPr>
        <w:pStyle w:val="5"/>
        <w:rPr>
          <w:rFonts w:ascii="Times New Roman"/>
        </w:rPr>
      </w:pPr>
      <w:r>
        <w:rPr>
          <w:rFonts w:hint="eastAsia" w:ascii="Times New Roman"/>
        </w:rPr>
        <w:t>9.3.11  电化学储能系统消防设计应根据系统规模、电池特性采取相应的消防措施，消防给水和灭火设施、建筑防火、火灾探测及消防报警等技术要求应符合GB 51048的相关规定。</w:t>
      </w:r>
    </w:p>
    <w:bookmarkEnd w:id="547"/>
    <w:p>
      <w:pPr>
        <w:pStyle w:val="6"/>
      </w:pPr>
      <w:bookmarkStart w:id="548" w:name="_Toc146640327"/>
      <w:bookmarkStart w:id="549" w:name="_Toc119913138"/>
      <w:bookmarkStart w:id="550" w:name="_Toc146697765"/>
      <w:bookmarkStart w:id="551" w:name="_Toc146640127"/>
      <w:bookmarkStart w:id="552" w:name="_Toc142335157"/>
      <w:bookmarkStart w:id="553" w:name="_Toc170111390"/>
      <w:bookmarkStart w:id="554" w:name="_Toc142335365"/>
      <w:bookmarkStart w:id="555" w:name="_Toc146639558"/>
      <w:r>
        <w:rPr>
          <w:rFonts w:hint="eastAsia"/>
        </w:rPr>
        <w:t>充换电设施接入要求</w:t>
      </w:r>
      <w:bookmarkEnd w:id="548"/>
      <w:bookmarkEnd w:id="549"/>
      <w:bookmarkEnd w:id="550"/>
      <w:bookmarkEnd w:id="551"/>
      <w:bookmarkEnd w:id="552"/>
      <w:bookmarkEnd w:id="553"/>
      <w:bookmarkEnd w:id="554"/>
      <w:bookmarkEnd w:id="555"/>
      <w:bookmarkStart w:id="556" w:name="pindex277"/>
      <w:bookmarkEnd w:id="556"/>
    </w:p>
    <w:p>
      <w:pPr>
        <w:pStyle w:val="5"/>
        <w:rPr>
          <w:rFonts w:ascii="Times New Roman"/>
        </w:rPr>
      </w:pPr>
      <w:r>
        <w:rPr>
          <w:rFonts w:hint="eastAsia" w:ascii="Times New Roman"/>
        </w:rPr>
        <w:t>9</w:t>
      </w:r>
      <w:r>
        <w:rPr>
          <w:rFonts w:ascii="Times New Roman"/>
        </w:rPr>
        <w:t xml:space="preserve">.4.1  </w:t>
      </w:r>
      <w:r>
        <w:rPr>
          <w:rFonts w:hint="eastAsia" w:ascii="Times New Roman"/>
        </w:rPr>
        <w:t>充换电设施</w:t>
      </w:r>
      <w:r>
        <w:rPr>
          <w:rFonts w:ascii="Times New Roman"/>
        </w:rPr>
        <w:t>接入电网时应进行论证，分析各种充电方式对配电网的影响。</w:t>
      </w:r>
    </w:p>
    <w:p>
      <w:pPr>
        <w:pStyle w:val="5"/>
        <w:rPr>
          <w:rFonts w:ascii="Times New Roman"/>
        </w:rPr>
      </w:pPr>
      <w:r>
        <w:rPr>
          <w:rFonts w:ascii="Times New Roman"/>
        </w:rPr>
        <w:t>9.4.2  充换电设施的用户等级应符合GB/T 29328的</w:t>
      </w:r>
      <w:r>
        <w:rPr>
          <w:rFonts w:hint="eastAsia" w:ascii="Times New Roman"/>
        </w:rPr>
        <w:t>相关</w:t>
      </w:r>
      <w:r>
        <w:rPr>
          <w:rFonts w:ascii="Times New Roman"/>
        </w:rPr>
        <w:t>规定。具有重大政治、经济、安全意义的充换电设施，或中断供电将对公共交通造成较大影响或影响重要单位正常工作的充换电站可作为二级重要用户，其他可作为一般用户。</w:t>
      </w:r>
    </w:p>
    <w:p>
      <w:pPr>
        <w:pStyle w:val="5"/>
        <w:rPr>
          <w:rFonts w:ascii="Times New Roman"/>
        </w:rPr>
      </w:pPr>
      <w:r>
        <w:rPr>
          <w:rFonts w:hint="eastAsia" w:ascii="Times New Roman"/>
        </w:rPr>
        <w:t>9</w:t>
      </w:r>
      <w:r>
        <w:rPr>
          <w:rFonts w:ascii="Times New Roman"/>
        </w:rPr>
        <w:t>.4.3  充换电设施的供电电压等级应符合GB/T 36278的规定，根据充</w:t>
      </w:r>
      <w:r>
        <w:rPr>
          <w:rFonts w:hint="eastAsia" w:ascii="Times New Roman"/>
        </w:rPr>
        <w:t>换</w:t>
      </w:r>
      <w:r>
        <w:rPr>
          <w:rFonts w:ascii="Times New Roman"/>
        </w:rPr>
        <w:t>电</w:t>
      </w:r>
      <w:r>
        <w:rPr>
          <w:rFonts w:hint="eastAsia" w:ascii="Times New Roman"/>
        </w:rPr>
        <w:t>设施</w:t>
      </w:r>
      <w:r>
        <w:rPr>
          <w:rFonts w:ascii="Times New Roman"/>
        </w:rPr>
        <w:t>及辅助设备总容量，综合考虑需用系数、同时系数等因素，经过技术经济比较后确定。</w:t>
      </w:r>
    </w:p>
    <w:p>
      <w:pPr>
        <w:pStyle w:val="5"/>
        <w:rPr>
          <w:rFonts w:ascii="Times New Roman"/>
        </w:rPr>
      </w:pPr>
      <w:r>
        <w:rPr>
          <w:rFonts w:ascii="Times New Roman"/>
        </w:rPr>
        <w:t xml:space="preserve">9.4.4  </w:t>
      </w:r>
      <w:r>
        <w:rPr>
          <w:rFonts w:hint="eastAsia" w:ascii="Times New Roman"/>
        </w:rPr>
        <w:t>接入</w:t>
      </w:r>
      <w:r>
        <w:rPr>
          <w:rFonts w:ascii="Times New Roman"/>
        </w:rPr>
        <w:t>10kV</w:t>
      </w:r>
      <w:r>
        <w:rPr>
          <w:rFonts w:hint="eastAsia" w:ascii="Times New Roman"/>
        </w:rPr>
        <w:t>电网的充换电设施，容量小于</w:t>
      </w:r>
      <w:r>
        <w:rPr>
          <w:rFonts w:ascii="Times New Roman"/>
        </w:rPr>
        <w:t>4000kVA</w:t>
      </w:r>
      <w:r>
        <w:rPr>
          <w:rFonts w:hint="eastAsia" w:ascii="Times New Roman"/>
        </w:rPr>
        <w:t>宜接入公用电网</w:t>
      </w:r>
      <w:r>
        <w:rPr>
          <w:rFonts w:ascii="Times New Roman"/>
        </w:rPr>
        <w:t>10kV</w:t>
      </w:r>
      <w:r>
        <w:rPr>
          <w:rFonts w:hint="eastAsia" w:ascii="Times New Roman"/>
        </w:rPr>
        <w:t>线路或接入环网柜、电缆分支箱、开关站等，容量大于等于</w:t>
      </w:r>
      <w:r>
        <w:rPr>
          <w:rFonts w:ascii="Times New Roman"/>
        </w:rPr>
        <w:t>4000kVA</w:t>
      </w:r>
      <w:r>
        <w:rPr>
          <w:rFonts w:hint="eastAsia" w:ascii="Times New Roman"/>
        </w:rPr>
        <w:t>宜专线接入。</w:t>
      </w:r>
    </w:p>
    <w:p>
      <w:pPr>
        <w:pStyle w:val="5"/>
        <w:rPr>
          <w:rFonts w:ascii="Times New Roman"/>
        </w:rPr>
      </w:pPr>
      <w:r>
        <w:rPr>
          <w:rFonts w:ascii="Times New Roman"/>
        </w:rPr>
        <w:t>9.4.5  220V供电的充电设备，宜接入低压公用配电箱；380V供电的充电设备，宜通过专用线路接入低压配电室。</w:t>
      </w:r>
    </w:p>
    <w:p>
      <w:pPr>
        <w:pStyle w:val="5"/>
        <w:rPr>
          <w:rFonts w:ascii="Times New Roman"/>
        </w:rPr>
      </w:pPr>
      <w:r>
        <w:rPr>
          <w:rFonts w:ascii="Times New Roman"/>
        </w:rPr>
        <w:t>9.4.6  充换电</w:t>
      </w:r>
      <w:r>
        <w:rPr>
          <w:rFonts w:hint="eastAsia" w:ascii="Times New Roman"/>
        </w:rPr>
        <w:t>设施</w:t>
      </w:r>
      <w:r>
        <w:rPr>
          <w:rFonts w:ascii="Times New Roman"/>
        </w:rPr>
        <w:t>宜装设电能质量在线监测装置及治理设备。充换电</w:t>
      </w:r>
      <w:r>
        <w:rPr>
          <w:rFonts w:hint="eastAsia" w:ascii="Times New Roman"/>
        </w:rPr>
        <w:t>设施</w:t>
      </w:r>
      <w:r>
        <w:rPr>
          <w:rFonts w:ascii="Times New Roman"/>
        </w:rPr>
        <w:t>接入公用电网时，其接入点的功率因数、谐波、电压波动等，应满足现行国家</w:t>
      </w:r>
      <w:r>
        <w:rPr>
          <w:rFonts w:hint="eastAsia" w:ascii="Times New Roman"/>
        </w:rPr>
        <w:t>和</w:t>
      </w:r>
      <w:r>
        <w:rPr>
          <w:rFonts w:ascii="Times New Roman"/>
        </w:rPr>
        <w:t>行业标准，必要时开展电能质量影响相关专题研究。</w:t>
      </w:r>
    </w:p>
    <w:p>
      <w:pPr>
        <w:pStyle w:val="5"/>
        <w:rPr>
          <w:rFonts w:ascii="Times New Roman"/>
        </w:rPr>
      </w:pPr>
      <w:r>
        <w:rPr>
          <w:rFonts w:hint="eastAsia" w:ascii="Times New Roman"/>
        </w:rPr>
        <w:t>9</w:t>
      </w:r>
      <w:r>
        <w:rPr>
          <w:rFonts w:ascii="Times New Roman"/>
        </w:rPr>
        <w:t>.4.7  充换电设施接入10kV电网，接入点的功率因数应不低于0.95，不能满足要求的，充换电设施侧应安装就地无功补偿装置。</w:t>
      </w:r>
    </w:p>
    <w:p>
      <w:pPr>
        <w:pStyle w:val="5"/>
        <w:rPr>
          <w:rFonts w:ascii="Times New Roman"/>
        </w:rPr>
      </w:pPr>
      <w:r>
        <w:rPr>
          <w:rFonts w:hint="eastAsia" w:ascii="Times New Roman"/>
        </w:rPr>
        <w:t>9</w:t>
      </w:r>
      <w:r>
        <w:rPr>
          <w:rFonts w:ascii="Times New Roman"/>
        </w:rPr>
        <w:t xml:space="preserve">.4.8  </w:t>
      </w:r>
      <w:r>
        <w:rPr>
          <w:rFonts w:hint="eastAsia" w:ascii="Times New Roman"/>
        </w:rPr>
        <w:t>接入电动汽车传导充电系统的充电桩设施，应同时具备充、放电有功功率控制功能、无功功率调节功能、功率因数调节功能、并离网切换功能、频率响应和电压响应功能，控制精度和响应时间应满足要求。该设施的充、放电模式，设备要求，过载保护和短路保护，使用条件参照GB</w:t>
      </w:r>
      <w:r>
        <w:rPr>
          <w:rFonts w:ascii="Times New Roman"/>
        </w:rPr>
        <w:t>/T 18487.1</w:t>
      </w:r>
      <w:r>
        <w:rPr>
          <w:rFonts w:hint="eastAsia" w:ascii="Times New Roman"/>
        </w:rPr>
        <w:t>执行。</w:t>
      </w:r>
    </w:p>
    <w:p>
      <w:pPr>
        <w:pStyle w:val="5"/>
        <w:rPr>
          <w:rFonts w:ascii="Times New Roman"/>
        </w:rPr>
      </w:pPr>
    </w:p>
    <w:p>
      <w:pPr>
        <w:pStyle w:val="6"/>
      </w:pPr>
      <w:bookmarkStart w:id="557" w:name="_Toc146640128"/>
      <w:bookmarkEnd w:id="557"/>
      <w:bookmarkStart w:id="558" w:name="_Toc146639559"/>
      <w:bookmarkEnd w:id="558"/>
      <w:bookmarkStart w:id="559" w:name="_Toc146697766"/>
      <w:bookmarkEnd w:id="559"/>
      <w:bookmarkStart w:id="560" w:name="_Toc146640328"/>
      <w:bookmarkEnd w:id="560"/>
      <w:bookmarkStart w:id="561" w:name="_Toc146697767"/>
      <w:bookmarkStart w:id="562" w:name="_Toc142335366"/>
      <w:bookmarkStart w:id="563" w:name="_Toc142335158"/>
      <w:bookmarkStart w:id="564" w:name="_Toc146640329"/>
      <w:bookmarkStart w:id="565" w:name="_Toc146640129"/>
      <w:bookmarkStart w:id="566" w:name="_Toc119913139"/>
      <w:bookmarkStart w:id="567" w:name="_Toc146639560"/>
      <w:bookmarkStart w:id="568" w:name="_Toc170111391"/>
      <w:r>
        <w:t>微电网接入要求</w:t>
      </w:r>
      <w:bookmarkEnd w:id="561"/>
      <w:bookmarkEnd w:id="562"/>
      <w:bookmarkEnd w:id="563"/>
      <w:bookmarkEnd w:id="564"/>
      <w:bookmarkEnd w:id="565"/>
      <w:bookmarkEnd w:id="566"/>
      <w:bookmarkEnd w:id="567"/>
      <w:bookmarkEnd w:id="568"/>
      <w:bookmarkStart w:id="569" w:name="pindex287"/>
      <w:bookmarkEnd w:id="569"/>
    </w:p>
    <w:p>
      <w:pPr>
        <w:pStyle w:val="5"/>
        <w:rPr>
          <w:rFonts w:ascii="Times New Roman"/>
        </w:rPr>
      </w:pPr>
      <w:r>
        <w:rPr>
          <w:rFonts w:hint="eastAsia" w:ascii="Times New Roman"/>
        </w:rPr>
        <w:t>9</w:t>
      </w:r>
      <w:r>
        <w:rPr>
          <w:rFonts w:ascii="Times New Roman"/>
        </w:rPr>
        <w:t>.5.1  微电网接入电压等级应根据其与外部电网之间的最大交换功率确定，但不应该低于微电网内最高电压。</w:t>
      </w:r>
    </w:p>
    <w:p>
      <w:pPr>
        <w:pStyle w:val="5"/>
        <w:rPr>
          <w:rFonts w:ascii="Times New Roman"/>
        </w:rPr>
      </w:pPr>
      <w:bookmarkStart w:id="570" w:name="sys289040"/>
      <w:r>
        <w:rPr>
          <w:rFonts w:ascii="Times New Roman"/>
        </w:rPr>
        <w:t xml:space="preserve">9.5.2  </w:t>
      </w:r>
      <w:r>
        <w:rPr>
          <w:rFonts w:hint="eastAsia" w:ascii="Times New Roman"/>
        </w:rPr>
        <w:t>微电网并网点应安装易操作、可闭锁、具有明显断开指示的并网断开装置。</w:t>
      </w:r>
      <w:bookmarkEnd w:id="570"/>
    </w:p>
    <w:p>
      <w:pPr>
        <w:pStyle w:val="5"/>
        <w:rPr>
          <w:rFonts w:ascii="Times New Roman"/>
        </w:rPr>
      </w:pPr>
      <w:r>
        <w:rPr>
          <w:rFonts w:ascii="Times New Roman"/>
        </w:rPr>
        <w:t>9.5.3  微电网内接地方式应和电网侧接地方式保持一致，并满足人</w:t>
      </w:r>
      <w:r>
        <w:rPr>
          <w:rFonts w:hint="eastAsia" w:ascii="Times New Roman"/>
        </w:rPr>
        <w:t>身</w:t>
      </w:r>
      <w:r>
        <w:rPr>
          <w:rFonts w:ascii="Times New Roman"/>
        </w:rPr>
        <w:t>设备安全和保护配合的要求。</w:t>
      </w:r>
    </w:p>
    <w:p>
      <w:pPr>
        <w:pStyle w:val="5"/>
        <w:rPr>
          <w:rFonts w:ascii="Times New Roman"/>
        </w:rPr>
      </w:pPr>
      <w:r>
        <w:rPr>
          <w:rFonts w:ascii="Times New Roman"/>
        </w:rPr>
        <w:t>9.5.4  微电网接入配电网应进行短路容量校核，并确保电能质量满足相关标准要求。</w:t>
      </w:r>
    </w:p>
    <w:p>
      <w:pPr>
        <w:pStyle w:val="5"/>
        <w:rPr>
          <w:rFonts w:ascii="Times New Roman"/>
        </w:rPr>
      </w:pPr>
      <w:r>
        <w:rPr>
          <w:rFonts w:ascii="Times New Roman"/>
        </w:rPr>
        <w:t>9.5.5  微电网接入配电网时，功率控制、运行适应性等方面应符合GB/T 33589的相关规定。</w:t>
      </w:r>
    </w:p>
    <w:p>
      <w:pPr>
        <w:pStyle w:val="5"/>
        <w:rPr>
          <w:rFonts w:ascii="Times New Roman"/>
        </w:rPr>
      </w:pPr>
    </w:p>
    <w:p>
      <w:pPr>
        <w:pStyle w:val="3"/>
      </w:pPr>
      <w:bookmarkStart w:id="571" w:name="_Toc146639591"/>
      <w:bookmarkStart w:id="572" w:name="_Toc142335160"/>
      <w:bookmarkStart w:id="573" w:name="_Toc119913141"/>
      <w:bookmarkStart w:id="574" w:name="_Toc146640160"/>
      <w:bookmarkStart w:id="575" w:name="_Toc156810856"/>
      <w:bookmarkStart w:id="576" w:name="_Toc170111392"/>
      <w:bookmarkStart w:id="577" w:name="_Toc146640360"/>
      <w:bookmarkStart w:id="578" w:name="_Toc142335368"/>
      <w:bookmarkStart w:id="579" w:name="_Toc146697798"/>
      <w:bookmarkStart w:id="580" w:name="_Toc346807827"/>
      <w:bookmarkStart w:id="581" w:name="_Toc425173315"/>
      <w:r>
        <w:t>规划分析计算要求</w:t>
      </w:r>
      <w:bookmarkEnd w:id="571"/>
      <w:bookmarkEnd w:id="572"/>
      <w:bookmarkEnd w:id="573"/>
      <w:bookmarkEnd w:id="574"/>
      <w:bookmarkEnd w:id="575"/>
      <w:bookmarkEnd w:id="576"/>
      <w:bookmarkEnd w:id="577"/>
      <w:bookmarkEnd w:id="578"/>
      <w:bookmarkEnd w:id="579"/>
      <w:bookmarkStart w:id="582" w:name="pindex294"/>
      <w:bookmarkEnd w:id="582"/>
    </w:p>
    <w:p>
      <w:pPr>
        <w:pStyle w:val="6"/>
      </w:pPr>
      <w:bookmarkStart w:id="583" w:name="_Toc142335369"/>
      <w:bookmarkStart w:id="584" w:name="_Toc142335161"/>
      <w:bookmarkStart w:id="585" w:name="_Toc146697799"/>
      <w:bookmarkStart w:id="586" w:name="_Toc170111393"/>
      <w:bookmarkStart w:id="587" w:name="_Toc146639592"/>
      <w:bookmarkStart w:id="588" w:name="_Toc146640361"/>
      <w:bookmarkStart w:id="589" w:name="_Toc146640161"/>
      <w:r>
        <w:t>一般要求</w:t>
      </w:r>
      <w:bookmarkEnd w:id="583"/>
      <w:bookmarkEnd w:id="584"/>
      <w:bookmarkEnd w:id="585"/>
      <w:bookmarkEnd w:id="586"/>
      <w:bookmarkEnd w:id="587"/>
      <w:bookmarkEnd w:id="588"/>
      <w:bookmarkEnd w:id="589"/>
      <w:bookmarkStart w:id="590" w:name="pindex295"/>
      <w:bookmarkEnd w:id="590"/>
    </w:p>
    <w:p>
      <w:pPr>
        <w:pStyle w:val="5"/>
        <w:rPr>
          <w:rFonts w:ascii="Times New Roman"/>
        </w:rPr>
      </w:pPr>
      <w:r>
        <w:rPr>
          <w:rFonts w:hint="eastAsia" w:ascii="Times New Roman"/>
        </w:rPr>
        <w:t>1</w:t>
      </w:r>
      <w:r>
        <w:rPr>
          <w:rFonts w:ascii="Times New Roman"/>
        </w:rPr>
        <w:t>0.1.1  有源配电网</w:t>
      </w:r>
      <w:r>
        <w:rPr>
          <w:rFonts w:hint="eastAsia" w:ascii="Times New Roman"/>
        </w:rPr>
        <w:t>规划分析需要</w:t>
      </w:r>
      <w:r>
        <w:rPr>
          <w:rFonts w:ascii="Times New Roman"/>
        </w:rPr>
        <w:t>通过量化计算，确定配电网的</w:t>
      </w:r>
      <w:r>
        <w:rPr>
          <w:rFonts w:hint="eastAsia" w:ascii="Times New Roman"/>
        </w:rPr>
        <w:t>潮流分布情况、</w:t>
      </w:r>
      <w:r>
        <w:rPr>
          <w:rFonts w:ascii="Times New Roman"/>
        </w:rPr>
        <w:t>短路电流水平、供电安全水平和供电可靠性水平，以及</w:t>
      </w:r>
      <w:sdt>
        <w:sdtPr>
          <w:rPr>
            <w:rFonts w:ascii="Times New Roman"/>
          </w:rPr>
          <w:alias w:val="易错词检查"/>
          <w:id w:val="1003314"/>
        </w:sdtPr>
        <w:sdtEndPr>
          <w:rPr>
            <w:rFonts w:ascii="Times New Roman"/>
          </w:rPr>
        </w:sdtEndPr>
        <w:sdtContent>
          <w:bookmarkStart w:id="591" w:name="bkReivew1003314"/>
          <w:r>
            <w:rPr>
              <w:rFonts w:hint="eastAsia" w:ascii="Times New Roman"/>
            </w:rPr>
            <w:t>无</w:t>
          </w:r>
          <w:bookmarkEnd w:id="591"/>
        </w:sdtContent>
      </w:sdt>
      <w:r>
        <w:rPr>
          <w:rFonts w:ascii="Times New Roman"/>
        </w:rPr>
        <w:t>功优化配置方案，并研究提高配电网安全性、可靠性和适应性的措施。</w:t>
      </w:r>
    </w:p>
    <w:p>
      <w:pPr>
        <w:pStyle w:val="5"/>
        <w:rPr>
          <w:rFonts w:ascii="Times New Roman"/>
        </w:rPr>
      </w:pPr>
      <w:r>
        <w:rPr>
          <w:rFonts w:hint="eastAsia" w:ascii="Times New Roman"/>
        </w:rPr>
        <w:t>1</w:t>
      </w:r>
      <w:r>
        <w:rPr>
          <w:rFonts w:ascii="Times New Roman"/>
        </w:rPr>
        <w:t>0.1.2  有源配电网</w:t>
      </w:r>
      <w:r>
        <w:rPr>
          <w:rFonts w:hint="eastAsia" w:ascii="Times New Roman"/>
        </w:rPr>
        <w:t>规划分析</w:t>
      </w:r>
      <w:r>
        <w:rPr>
          <w:rFonts w:ascii="Times New Roman"/>
        </w:rPr>
        <w:t>计算应采用合适的模型，数据不足时可采用典型模型和参数。计算分析所采用的数据（包括拓扑信息、设备参数、运行数据等）应遵循统一的标准与规范。</w:t>
      </w:r>
    </w:p>
    <w:p>
      <w:pPr>
        <w:pStyle w:val="5"/>
        <w:rPr>
          <w:rFonts w:ascii="Times New Roman"/>
        </w:rPr>
      </w:pPr>
      <w:r>
        <w:rPr>
          <w:rFonts w:hint="eastAsia" w:ascii="Times New Roman"/>
        </w:rPr>
        <w:t>1</w:t>
      </w:r>
      <w:r>
        <w:rPr>
          <w:rFonts w:ascii="Times New Roman"/>
        </w:rPr>
        <w:t>0.1.3  有源配电网规划</w:t>
      </w:r>
      <w:r>
        <w:rPr>
          <w:rFonts w:hint="eastAsia" w:ascii="Times New Roman"/>
        </w:rPr>
        <w:t>分析计算宜选用</w:t>
      </w:r>
      <w:r>
        <w:rPr>
          <w:rFonts w:ascii="Times New Roman"/>
        </w:rPr>
        <w:t>配电网时序仿真工具</w:t>
      </w:r>
      <w:r>
        <w:rPr>
          <w:rFonts w:hint="eastAsia" w:ascii="Times New Roman"/>
        </w:rPr>
        <w:t>等</w:t>
      </w:r>
      <w:r>
        <w:rPr>
          <w:rFonts w:ascii="Times New Roman"/>
        </w:rPr>
        <w:t>量化分析和辅助决策技术。</w:t>
      </w:r>
    </w:p>
    <w:bookmarkEnd w:id="580"/>
    <w:bookmarkEnd w:id="581"/>
    <w:p>
      <w:pPr>
        <w:pStyle w:val="6"/>
      </w:pPr>
      <w:bookmarkStart w:id="592" w:name="_Toc146697800"/>
      <w:bookmarkEnd w:id="592"/>
      <w:bookmarkStart w:id="593" w:name="_Toc146639593"/>
      <w:bookmarkEnd w:id="593"/>
      <w:bookmarkStart w:id="594" w:name="_Toc146640362"/>
      <w:bookmarkEnd w:id="594"/>
      <w:bookmarkStart w:id="595" w:name="_Toc146640162"/>
      <w:bookmarkEnd w:id="595"/>
      <w:bookmarkStart w:id="596" w:name="_Toc170111394"/>
      <w:bookmarkStart w:id="597" w:name="_Toc146640163"/>
      <w:bookmarkStart w:id="598" w:name="_Toc142335370"/>
      <w:bookmarkStart w:id="599" w:name="_Toc146639594"/>
      <w:bookmarkStart w:id="600" w:name="_Toc119913142"/>
      <w:bookmarkStart w:id="601" w:name="_Toc146697801"/>
      <w:bookmarkStart w:id="602" w:name="_Toc142335162"/>
      <w:bookmarkStart w:id="603" w:name="_Toc146640363"/>
      <w:bookmarkStart w:id="604" w:name="_Hlk142332819"/>
      <w:r>
        <w:t>潮流计算分析</w:t>
      </w:r>
      <w:bookmarkEnd w:id="596"/>
      <w:bookmarkEnd w:id="597"/>
      <w:bookmarkEnd w:id="598"/>
      <w:bookmarkEnd w:id="599"/>
      <w:bookmarkEnd w:id="600"/>
      <w:bookmarkEnd w:id="601"/>
      <w:bookmarkEnd w:id="602"/>
      <w:bookmarkEnd w:id="603"/>
      <w:bookmarkStart w:id="605" w:name="pindex299"/>
      <w:bookmarkEnd w:id="605"/>
    </w:p>
    <w:bookmarkEnd w:id="604"/>
    <w:p>
      <w:pPr>
        <w:pStyle w:val="5"/>
        <w:rPr>
          <w:rFonts w:ascii="Times New Roman"/>
        </w:rPr>
      </w:pPr>
      <w:r>
        <w:rPr>
          <w:rFonts w:hint="eastAsia" w:ascii="Times New Roman"/>
        </w:rPr>
        <w:t>1</w:t>
      </w:r>
      <w:r>
        <w:rPr>
          <w:rFonts w:ascii="Times New Roman"/>
        </w:rPr>
        <w:t>0.2.1  潮流计算</w:t>
      </w:r>
      <w:r>
        <w:rPr>
          <w:rFonts w:hint="eastAsia" w:ascii="Times New Roman"/>
        </w:rPr>
        <w:t>需要</w:t>
      </w:r>
      <w:r>
        <w:rPr>
          <w:rFonts w:ascii="Times New Roman"/>
        </w:rPr>
        <w:t>根据给定的运行条件和拓扑结构确定网络的运行状态</w:t>
      </w:r>
      <w:r>
        <w:rPr>
          <w:rFonts w:hint="eastAsia" w:ascii="Times New Roman"/>
        </w:rPr>
        <w:t>，开展</w:t>
      </w:r>
      <w:r>
        <w:rPr>
          <w:rFonts w:ascii="Times New Roman"/>
        </w:rPr>
        <w:t>供电能力校核、线损分析、短路电流计算、供电安全水平分析、可靠性计算和</w:t>
      </w:r>
      <w:sdt>
        <w:sdtPr>
          <w:rPr>
            <w:rFonts w:ascii="Times New Roman"/>
          </w:rPr>
          <w:alias w:val="易错词检查"/>
          <w:id w:val="133646"/>
        </w:sdtPr>
        <w:sdtEndPr>
          <w:rPr>
            <w:rFonts w:ascii="Times New Roman"/>
          </w:rPr>
        </w:sdtEndPr>
        <w:sdtContent>
          <w:bookmarkStart w:id="606" w:name="bkReivew133646"/>
          <w:r>
            <w:rPr>
              <w:rFonts w:hint="eastAsia" w:ascii="Times New Roman"/>
            </w:rPr>
            <w:t>无</w:t>
          </w:r>
          <w:bookmarkEnd w:id="606"/>
        </w:sdtContent>
      </w:sdt>
      <w:r>
        <w:rPr>
          <w:rFonts w:ascii="Times New Roman"/>
        </w:rPr>
        <w:t>功规划计算</w:t>
      </w:r>
      <w:r>
        <w:rPr>
          <w:rFonts w:hint="eastAsia" w:ascii="Times New Roman"/>
        </w:rPr>
        <w:t>等分析</w:t>
      </w:r>
      <w:r>
        <w:rPr>
          <w:rFonts w:ascii="Times New Roman"/>
        </w:rPr>
        <w:t>。</w:t>
      </w:r>
    </w:p>
    <w:p>
      <w:pPr>
        <w:pStyle w:val="5"/>
        <w:rPr>
          <w:rFonts w:ascii="Times New Roman"/>
        </w:rPr>
      </w:pPr>
      <w:r>
        <w:rPr>
          <w:rFonts w:hint="eastAsia" w:ascii="Times New Roman"/>
        </w:rPr>
        <w:t>1</w:t>
      </w:r>
      <w:r>
        <w:rPr>
          <w:rFonts w:ascii="Times New Roman"/>
        </w:rPr>
        <w:t>0.2.2  潮流计算应根据给定的运行条件和拓扑结构确定电网的运行状态。</w:t>
      </w:r>
    </w:p>
    <w:p>
      <w:pPr>
        <w:pStyle w:val="5"/>
        <w:rPr>
          <w:rFonts w:ascii="Times New Roman"/>
        </w:rPr>
      </w:pPr>
      <w:r>
        <w:rPr>
          <w:rFonts w:ascii="Times New Roman"/>
        </w:rPr>
        <w:t xml:space="preserve">10.2.3  </w:t>
      </w:r>
      <w:r>
        <w:rPr>
          <w:rFonts w:hint="eastAsia" w:ascii="Times New Roman"/>
        </w:rPr>
        <w:t>分布式电源数量、接入容量可能会影响电网运行方式时，</w:t>
      </w:r>
      <w:r>
        <w:rPr>
          <w:rFonts w:ascii="Times New Roman"/>
        </w:rPr>
        <w:t>可按变电站</w:t>
      </w:r>
      <w:r>
        <w:rPr>
          <w:rFonts w:hint="eastAsia" w:ascii="Times New Roman"/>
        </w:rPr>
        <w:t>、供电单元</w:t>
      </w:r>
      <w:r>
        <w:rPr>
          <w:rFonts w:ascii="Times New Roman"/>
        </w:rPr>
        <w:t>或线路计算到节点或等效节点</w:t>
      </w:r>
      <w:r>
        <w:rPr>
          <w:rFonts w:hint="eastAsia" w:ascii="Times New Roman"/>
        </w:rPr>
        <w:t>，</w:t>
      </w:r>
      <w:r>
        <w:rPr>
          <w:rFonts w:ascii="Times New Roman"/>
        </w:rPr>
        <w:t>重点分析线路压降情况。</w:t>
      </w:r>
    </w:p>
    <w:p>
      <w:pPr>
        <w:pStyle w:val="5"/>
        <w:rPr>
          <w:rFonts w:ascii="Times New Roman"/>
        </w:rPr>
      </w:pPr>
      <w:r>
        <w:rPr>
          <w:rFonts w:hint="eastAsia" w:ascii="Times New Roman"/>
        </w:rPr>
        <w:t>1</w:t>
      </w:r>
      <w:r>
        <w:rPr>
          <w:rFonts w:ascii="Times New Roman"/>
        </w:rPr>
        <w:t xml:space="preserve">0.2.4  </w:t>
      </w:r>
      <w:r>
        <w:rPr>
          <w:rFonts w:hint="eastAsia" w:ascii="Times New Roman"/>
        </w:rPr>
        <w:t>10kV线路因分布式电源接入发生潮流倒送时，应在考虑储能控制策略的基础上，进行以1个小时为时间步长的时序潮流计算，分析接入前后并网点电流和电压等指标变化。</w:t>
      </w:r>
    </w:p>
    <w:p>
      <w:pPr>
        <w:pStyle w:val="6"/>
      </w:pPr>
      <w:bookmarkStart w:id="607" w:name="_Toc146640164"/>
      <w:bookmarkEnd w:id="607"/>
      <w:bookmarkStart w:id="608" w:name="_Toc146697802"/>
      <w:bookmarkEnd w:id="608"/>
      <w:bookmarkStart w:id="609" w:name="_Toc146639595"/>
      <w:bookmarkEnd w:id="609"/>
      <w:bookmarkStart w:id="610" w:name="_Toc146697803"/>
      <w:bookmarkEnd w:id="610"/>
      <w:bookmarkStart w:id="611" w:name="_Toc146640365"/>
      <w:bookmarkEnd w:id="611"/>
      <w:bookmarkStart w:id="612" w:name="_Toc146640364"/>
      <w:bookmarkEnd w:id="612"/>
      <w:bookmarkStart w:id="613" w:name="_Toc146640165"/>
      <w:bookmarkEnd w:id="613"/>
      <w:bookmarkStart w:id="614" w:name="_Toc146639596"/>
      <w:bookmarkEnd w:id="614"/>
      <w:bookmarkStart w:id="615" w:name="_Toc119913143"/>
      <w:bookmarkStart w:id="616" w:name="_Toc142335163"/>
      <w:bookmarkStart w:id="617" w:name="_Toc146697804"/>
      <w:bookmarkStart w:id="618" w:name="_Toc146640366"/>
      <w:bookmarkStart w:id="619" w:name="_Toc146639597"/>
      <w:bookmarkStart w:id="620" w:name="_Toc142335371"/>
      <w:bookmarkStart w:id="621" w:name="_Toc146640166"/>
      <w:bookmarkStart w:id="622" w:name="_Toc170111395"/>
      <w:r>
        <w:t>短路电流计算分析</w:t>
      </w:r>
      <w:bookmarkEnd w:id="615"/>
      <w:bookmarkEnd w:id="616"/>
      <w:bookmarkEnd w:id="617"/>
      <w:bookmarkEnd w:id="618"/>
      <w:bookmarkEnd w:id="619"/>
      <w:bookmarkEnd w:id="620"/>
      <w:bookmarkEnd w:id="621"/>
      <w:bookmarkEnd w:id="622"/>
      <w:bookmarkStart w:id="623" w:name="pindex304"/>
      <w:bookmarkEnd w:id="623"/>
    </w:p>
    <w:p>
      <w:pPr>
        <w:pStyle w:val="5"/>
        <w:rPr>
          <w:rFonts w:ascii="Times New Roman"/>
        </w:rPr>
      </w:pPr>
      <w:r>
        <w:rPr>
          <w:rFonts w:hint="eastAsia" w:ascii="Times New Roman"/>
        </w:rPr>
        <w:t>1</w:t>
      </w:r>
      <w:r>
        <w:rPr>
          <w:rFonts w:ascii="Times New Roman"/>
        </w:rPr>
        <w:t>0.3.1  短路电流计算</w:t>
      </w:r>
      <w:r>
        <w:rPr>
          <w:rFonts w:hint="eastAsia" w:ascii="Times New Roman"/>
        </w:rPr>
        <w:t>需要</w:t>
      </w:r>
      <w:r>
        <w:rPr>
          <w:rFonts w:ascii="Times New Roman"/>
        </w:rPr>
        <w:t>选择电气设备参数，</w:t>
      </w:r>
      <w:r>
        <w:rPr>
          <w:rFonts w:hint="eastAsia" w:ascii="Times New Roman"/>
        </w:rPr>
        <w:t>确定短路电流水平，</w:t>
      </w:r>
      <w:r>
        <w:rPr>
          <w:rFonts w:ascii="Times New Roman"/>
        </w:rPr>
        <w:t>提出限制短路电流的措施等</w:t>
      </w:r>
      <w:r>
        <w:rPr>
          <w:rFonts w:hint="eastAsia" w:ascii="Times New Roman"/>
        </w:rPr>
        <w:t>。</w:t>
      </w:r>
    </w:p>
    <w:p>
      <w:pPr>
        <w:pStyle w:val="5"/>
        <w:rPr>
          <w:rFonts w:ascii="Times New Roman"/>
        </w:rPr>
      </w:pPr>
      <w:r>
        <w:rPr>
          <w:rFonts w:hint="eastAsia" w:ascii="Times New Roman"/>
        </w:rPr>
        <w:t>1</w:t>
      </w:r>
      <w:r>
        <w:rPr>
          <w:rFonts w:ascii="Times New Roman"/>
        </w:rPr>
        <w:t>0.3.2  应通过短路电流计算确定电网短路电流水平，为设备选型、设备校核等工作提供支撑。</w:t>
      </w:r>
    </w:p>
    <w:p>
      <w:pPr>
        <w:pStyle w:val="5"/>
        <w:rPr>
          <w:rFonts w:ascii="Times New Roman"/>
        </w:rPr>
      </w:pPr>
      <w:r>
        <w:rPr>
          <w:rFonts w:hint="eastAsia" w:ascii="Times New Roman"/>
        </w:rPr>
        <w:t>1</w:t>
      </w:r>
      <w:r>
        <w:rPr>
          <w:rFonts w:ascii="Times New Roman"/>
        </w:rPr>
        <w:t>0.3.3  在电网结构发生变化或运行方式发生改变的情况下，应开展短路电流计算，并提出限制短路电流的措施。</w:t>
      </w:r>
    </w:p>
    <w:p>
      <w:pPr>
        <w:pStyle w:val="5"/>
        <w:rPr>
          <w:rFonts w:ascii="Times New Roman"/>
        </w:rPr>
      </w:pPr>
      <w:r>
        <w:rPr>
          <w:rFonts w:ascii="Times New Roman"/>
        </w:rPr>
        <w:t>10.3.4  短路电流计算，应综合考虑上级电源和</w:t>
      </w:r>
      <w:r>
        <w:rPr>
          <w:rFonts w:hint="eastAsia" w:ascii="Times New Roman"/>
        </w:rPr>
        <w:t>分布式</w:t>
      </w:r>
      <w:r>
        <w:rPr>
          <w:rFonts w:ascii="Times New Roman"/>
        </w:rPr>
        <w:t>电源接入情况，以及中性点接地方式，计算至变电站10kV母线、电源接入点、中性点以及10kV线路上的任意节点。</w:t>
      </w:r>
    </w:p>
    <w:p>
      <w:pPr>
        <w:pStyle w:val="5"/>
        <w:rPr>
          <w:rFonts w:ascii="Times New Roman"/>
        </w:rPr>
      </w:pPr>
      <w:r>
        <w:rPr>
          <w:rFonts w:hint="eastAsia" w:ascii="Times New Roman"/>
        </w:rPr>
        <w:t>1</w:t>
      </w:r>
      <w:r>
        <w:rPr>
          <w:rFonts w:ascii="Times New Roman"/>
        </w:rPr>
        <w:t xml:space="preserve">0.3.5  </w:t>
      </w:r>
      <w:r>
        <w:rPr>
          <w:rFonts w:hint="eastAsia" w:ascii="Times New Roman"/>
        </w:rPr>
        <w:t>分布式电源的短路电流计算符合GB/T 15544.1相关规定。</w:t>
      </w:r>
    </w:p>
    <w:p>
      <w:pPr>
        <w:pStyle w:val="6"/>
      </w:pPr>
      <w:bookmarkStart w:id="624" w:name="_Toc142335372"/>
      <w:bookmarkStart w:id="625" w:name="_Toc146640167"/>
      <w:bookmarkStart w:id="626" w:name="_Toc170111396"/>
      <w:bookmarkStart w:id="627" w:name="_Toc146640367"/>
      <w:bookmarkStart w:id="628" w:name="_Toc146639598"/>
      <w:bookmarkStart w:id="629" w:name="_Toc142335164"/>
      <w:bookmarkStart w:id="630" w:name="_Toc119913144"/>
      <w:bookmarkStart w:id="631" w:name="_Toc146697805"/>
      <w:r>
        <w:t>供电安全水平分析</w:t>
      </w:r>
      <w:bookmarkEnd w:id="624"/>
      <w:bookmarkEnd w:id="625"/>
      <w:bookmarkEnd w:id="626"/>
      <w:bookmarkEnd w:id="627"/>
      <w:bookmarkEnd w:id="628"/>
      <w:bookmarkEnd w:id="629"/>
      <w:bookmarkEnd w:id="630"/>
      <w:bookmarkEnd w:id="631"/>
      <w:bookmarkStart w:id="632" w:name="pindex310"/>
      <w:bookmarkEnd w:id="632"/>
    </w:p>
    <w:p>
      <w:pPr>
        <w:pStyle w:val="5"/>
        <w:rPr>
          <w:rFonts w:ascii="Times New Roman"/>
        </w:rPr>
      </w:pPr>
      <w:r>
        <w:rPr>
          <w:rFonts w:hint="eastAsia" w:ascii="Times New Roman"/>
        </w:rPr>
        <w:t>1</w:t>
      </w:r>
      <w:r>
        <w:rPr>
          <w:rFonts w:ascii="Times New Roman"/>
        </w:rPr>
        <w:t>0.4.1  供电安全水平计算分析的目的是校核电网是否满足供电安全标准，即模拟低压线路故障、配电变压器故障</w:t>
      </w:r>
      <w:r>
        <w:rPr>
          <w:rFonts w:hint="eastAsia" w:ascii="Times New Roman"/>
        </w:rPr>
        <w:t>、中压线路故障、110（35）kV变压器故障</w:t>
      </w:r>
      <w:r>
        <w:rPr>
          <w:rFonts w:ascii="Times New Roman"/>
        </w:rPr>
        <w:t>对电网的影响，校验负荷损失程度，检查负荷转移后相关元件是否过负荷，电网电压是否越</w:t>
      </w:r>
      <w:sdt>
        <w:sdtPr>
          <w:rPr>
            <w:rFonts w:ascii="Times New Roman"/>
          </w:rPr>
          <w:alias w:val="易错词检查"/>
          <w:id w:val="2041423"/>
        </w:sdtPr>
        <w:sdtEndPr>
          <w:rPr>
            <w:rFonts w:ascii="Times New Roman"/>
          </w:rPr>
        </w:sdtEndPr>
        <w:sdtContent>
          <w:bookmarkStart w:id="633" w:name="bkReivew2041423"/>
          <w:r>
            <w:rPr>
              <w:rFonts w:hint="eastAsia" w:ascii="Times New Roman"/>
            </w:rPr>
            <w:t>限</w:t>
          </w:r>
          <w:bookmarkEnd w:id="633"/>
        </w:sdtContent>
      </w:sdt>
      <w:r>
        <w:rPr>
          <w:rFonts w:ascii="Times New Roman"/>
        </w:rPr>
        <w:t>。</w:t>
      </w:r>
    </w:p>
    <w:p>
      <w:pPr>
        <w:pStyle w:val="5"/>
        <w:rPr>
          <w:rFonts w:ascii="Times New Roman"/>
        </w:rPr>
      </w:pPr>
      <w:r>
        <w:rPr>
          <w:rFonts w:hint="eastAsia" w:ascii="Times New Roman"/>
        </w:rPr>
        <w:t>1</w:t>
      </w:r>
      <w:r>
        <w:rPr>
          <w:rFonts w:ascii="Times New Roman"/>
        </w:rPr>
        <w:t>0.4.2  供电安全水平分析</w:t>
      </w:r>
      <w:r>
        <w:rPr>
          <w:rFonts w:hint="eastAsia" w:ascii="Times New Roman"/>
        </w:rPr>
        <w:t>应符合DL</w:t>
      </w:r>
      <w:r>
        <w:rPr>
          <w:rFonts w:ascii="Times New Roman"/>
        </w:rPr>
        <w:t>/T 256</w:t>
      </w:r>
      <w:r>
        <w:rPr>
          <w:rFonts w:hint="eastAsia" w:ascii="Times New Roman"/>
        </w:rPr>
        <w:t>相关规定</w:t>
      </w:r>
      <w:r>
        <w:rPr>
          <w:rFonts w:ascii="Times New Roman"/>
        </w:rPr>
        <w:t>。</w:t>
      </w:r>
    </w:p>
    <w:p>
      <w:pPr>
        <w:pStyle w:val="5"/>
        <w:rPr>
          <w:rFonts w:ascii="Times New Roman"/>
        </w:rPr>
      </w:pPr>
      <w:r>
        <w:rPr>
          <w:rFonts w:ascii="Times New Roman"/>
        </w:rPr>
        <w:t>10.4.3  对于</w:t>
      </w:r>
      <w:r>
        <w:rPr>
          <w:rFonts w:hint="eastAsia" w:ascii="Times New Roman"/>
        </w:rPr>
        <w:t>分布式电源</w:t>
      </w:r>
      <w:r>
        <w:rPr>
          <w:rFonts w:ascii="Times New Roman"/>
        </w:rPr>
        <w:t>可采用统计分析法</w:t>
      </w:r>
      <w:r>
        <w:rPr>
          <w:rFonts w:hint="eastAsia" w:ascii="Times New Roman"/>
        </w:rPr>
        <w:t>和</w:t>
      </w:r>
      <w:r>
        <w:rPr>
          <w:rFonts w:ascii="Times New Roman"/>
        </w:rPr>
        <w:t>耦合特性分析法，分夏冬季对</w:t>
      </w:r>
      <w:r>
        <w:rPr>
          <w:rFonts w:hint="eastAsia" w:ascii="Times New Roman"/>
        </w:rPr>
        <w:t>分布式电源</w:t>
      </w:r>
      <w:r>
        <w:rPr>
          <w:rFonts w:ascii="Times New Roman"/>
        </w:rPr>
        <w:t>给出不同持续时间下的F因子。</w:t>
      </w:r>
    </w:p>
    <w:p>
      <w:pPr>
        <w:pStyle w:val="6"/>
      </w:pPr>
      <w:bookmarkStart w:id="634" w:name="_Toc146640169"/>
      <w:bookmarkEnd w:id="634"/>
      <w:bookmarkStart w:id="635" w:name="_Toc146640172"/>
      <w:bookmarkEnd w:id="635"/>
      <w:bookmarkStart w:id="636" w:name="_Toc146640170"/>
      <w:bookmarkEnd w:id="636"/>
      <w:bookmarkStart w:id="637" w:name="_Toc146697808"/>
      <w:bookmarkEnd w:id="637"/>
      <w:bookmarkStart w:id="638" w:name="_Toc146697810"/>
      <w:bookmarkEnd w:id="638"/>
      <w:bookmarkStart w:id="639" w:name="_Toc146640370"/>
      <w:bookmarkEnd w:id="639"/>
      <w:bookmarkStart w:id="640" w:name="_Toc146639599"/>
      <w:bookmarkEnd w:id="640"/>
      <w:bookmarkStart w:id="641" w:name="_Toc146697809"/>
      <w:bookmarkEnd w:id="641"/>
      <w:bookmarkStart w:id="642" w:name="_Toc146639601"/>
      <w:bookmarkEnd w:id="642"/>
      <w:bookmarkStart w:id="643" w:name="_Toc146639603"/>
      <w:bookmarkEnd w:id="643"/>
      <w:bookmarkStart w:id="644" w:name="_Toc146697807"/>
      <w:bookmarkEnd w:id="644"/>
      <w:bookmarkStart w:id="645" w:name="_Toc146697806"/>
      <w:bookmarkEnd w:id="645"/>
      <w:bookmarkStart w:id="646" w:name="_Toc146639602"/>
      <w:bookmarkEnd w:id="646"/>
      <w:bookmarkStart w:id="647" w:name="_Toc146640171"/>
      <w:bookmarkEnd w:id="647"/>
      <w:bookmarkStart w:id="648" w:name="_Toc146640372"/>
      <w:bookmarkEnd w:id="648"/>
      <w:bookmarkStart w:id="649" w:name="_Toc146640369"/>
      <w:bookmarkEnd w:id="649"/>
      <w:bookmarkStart w:id="650" w:name="_Toc146639600"/>
      <w:bookmarkEnd w:id="650"/>
      <w:bookmarkStart w:id="651" w:name="_Toc146640368"/>
      <w:bookmarkEnd w:id="651"/>
      <w:bookmarkStart w:id="652" w:name="_Toc146640371"/>
      <w:bookmarkEnd w:id="652"/>
      <w:bookmarkStart w:id="653" w:name="_Toc146640168"/>
      <w:bookmarkEnd w:id="653"/>
      <w:bookmarkStart w:id="654" w:name="_Toc146639604"/>
      <w:bookmarkStart w:id="655" w:name="_Toc170111397"/>
      <w:bookmarkStart w:id="656" w:name="_Toc146697811"/>
      <w:bookmarkStart w:id="657" w:name="_Toc119913145"/>
      <w:bookmarkStart w:id="658" w:name="_Toc146640173"/>
      <w:bookmarkStart w:id="659" w:name="_Toc142335165"/>
      <w:bookmarkStart w:id="660" w:name="_Toc146640373"/>
      <w:bookmarkStart w:id="661" w:name="_Toc142335373"/>
      <w:r>
        <w:rPr>
          <w:rFonts w:hint="eastAsia"/>
        </w:rPr>
        <w:t>供电</w:t>
      </w:r>
      <w:r>
        <w:t>可靠性计算分析</w:t>
      </w:r>
      <w:bookmarkEnd w:id="654"/>
      <w:bookmarkEnd w:id="655"/>
      <w:bookmarkEnd w:id="656"/>
      <w:bookmarkEnd w:id="657"/>
      <w:bookmarkEnd w:id="658"/>
      <w:bookmarkEnd w:id="659"/>
      <w:bookmarkEnd w:id="660"/>
      <w:bookmarkEnd w:id="661"/>
      <w:bookmarkStart w:id="662" w:name="pindex314"/>
      <w:bookmarkEnd w:id="662"/>
    </w:p>
    <w:p>
      <w:pPr>
        <w:pStyle w:val="5"/>
        <w:rPr>
          <w:rFonts w:ascii="Times New Roman"/>
        </w:rPr>
      </w:pPr>
      <w:r>
        <w:rPr>
          <w:rFonts w:hint="eastAsia" w:ascii="Times New Roman"/>
        </w:rPr>
        <w:t>1</w:t>
      </w:r>
      <w:r>
        <w:rPr>
          <w:rFonts w:ascii="Times New Roman"/>
        </w:rPr>
        <w:t>0.5.1  供电可靠性计算分析</w:t>
      </w:r>
      <w:r>
        <w:rPr>
          <w:rFonts w:hint="eastAsia" w:ascii="Times New Roman"/>
        </w:rPr>
        <w:t>需要</w:t>
      </w:r>
      <w:r>
        <w:rPr>
          <w:rFonts w:ascii="Times New Roman"/>
        </w:rPr>
        <w:t>确定现状和规划期内配电网的供电可靠性指标，分析影响供电可靠性的薄弱环节，提出改善供电可靠性指标的规划方案。</w:t>
      </w:r>
    </w:p>
    <w:p>
      <w:pPr>
        <w:pStyle w:val="5"/>
        <w:rPr>
          <w:rFonts w:ascii="Times New Roman"/>
        </w:rPr>
      </w:pPr>
      <w:r>
        <w:rPr>
          <w:rFonts w:hint="eastAsia" w:ascii="Times New Roman"/>
        </w:rPr>
        <w:t>1</w:t>
      </w:r>
      <w:r>
        <w:rPr>
          <w:rFonts w:ascii="Times New Roman"/>
        </w:rPr>
        <w:t>0.5.2  供电可靠性指标可按给定的电网结构、典型运行方式以及供电可靠性相关计算参数等条件选取典型区域进行计算分析。计算指标包括用户平均停电时间、用户平均停电次数、供电可靠率、用户平均停电缺供电量等。</w:t>
      </w:r>
    </w:p>
    <w:p>
      <w:pPr>
        <w:pStyle w:val="5"/>
        <w:rPr>
          <w:rFonts w:ascii="Times New Roman"/>
        </w:rPr>
      </w:pPr>
      <w:r>
        <w:rPr>
          <w:rFonts w:hint="eastAsia" w:ascii="Times New Roman"/>
        </w:rPr>
        <w:t>1</w:t>
      </w:r>
      <w:r>
        <w:rPr>
          <w:rFonts w:ascii="Times New Roman"/>
        </w:rPr>
        <w:t>0.5.3  供电可靠性指标计算方法可参照</w:t>
      </w:r>
      <w:r>
        <w:rPr>
          <w:rFonts w:hint="eastAsia" w:ascii="Times New Roman"/>
        </w:rPr>
        <w:t>DL/T 836.</w:t>
      </w:r>
      <w:r>
        <w:rPr>
          <w:rFonts w:ascii="Times New Roman"/>
        </w:rPr>
        <w:t>1的相关规定。</w:t>
      </w:r>
    </w:p>
    <w:p>
      <w:pPr>
        <w:pStyle w:val="5"/>
        <w:rPr>
          <w:rFonts w:ascii="Times New Roman"/>
        </w:rPr>
      </w:pPr>
      <w:r>
        <w:rPr>
          <w:rFonts w:ascii="Times New Roman"/>
        </w:rPr>
        <w:t>10.5.4  在分布式电源规模化接入地区计算供电可靠性时，应考虑分布式电源置信容量的影响。</w:t>
      </w:r>
    </w:p>
    <w:p>
      <w:pPr>
        <w:pStyle w:val="6"/>
      </w:pPr>
      <w:bookmarkStart w:id="663" w:name="_Toc146639605"/>
      <w:bookmarkStart w:id="664" w:name="_Toc146640174"/>
      <w:bookmarkStart w:id="665" w:name="_Toc142335166"/>
      <w:bookmarkStart w:id="666" w:name="_Toc142335374"/>
      <w:bookmarkStart w:id="667" w:name="_Toc119913146"/>
      <w:bookmarkStart w:id="668" w:name="_Toc146640374"/>
      <w:bookmarkStart w:id="669" w:name="_Toc170111398"/>
      <w:bookmarkStart w:id="670" w:name="_Toc146697812"/>
      <w:sdt>
        <w:sdtPr>
          <w:alias w:val="易错词检查"/>
          <w:id w:val="3112024"/>
        </w:sdtPr>
        <w:sdtContent>
          <w:bookmarkStart w:id="671" w:name="bkReivew3112024"/>
          <w:r>
            <w:rPr>
              <w:rFonts w:hint="eastAsia"/>
            </w:rPr>
            <w:t>无</w:t>
          </w:r>
          <w:bookmarkEnd w:id="671"/>
        </w:sdtContent>
      </w:sdt>
      <w:r>
        <w:t>功规划计算分析</w:t>
      </w:r>
      <w:bookmarkEnd w:id="663"/>
      <w:bookmarkEnd w:id="664"/>
      <w:bookmarkEnd w:id="665"/>
      <w:bookmarkEnd w:id="666"/>
      <w:bookmarkEnd w:id="667"/>
      <w:bookmarkEnd w:id="668"/>
      <w:bookmarkEnd w:id="669"/>
      <w:bookmarkEnd w:id="670"/>
      <w:bookmarkStart w:id="672" w:name="pindex319"/>
      <w:bookmarkEnd w:id="672"/>
    </w:p>
    <w:p>
      <w:pPr>
        <w:pStyle w:val="5"/>
        <w:rPr>
          <w:rFonts w:ascii="Times New Roman"/>
        </w:rPr>
      </w:pPr>
      <w:r>
        <w:rPr>
          <w:rFonts w:hint="eastAsia" w:ascii="Times New Roman"/>
        </w:rPr>
        <w:t>1</w:t>
      </w:r>
      <w:r>
        <w:rPr>
          <w:rFonts w:ascii="Times New Roman"/>
        </w:rPr>
        <w:t>0.6.1  无功规划计算分析</w:t>
      </w:r>
      <w:r>
        <w:rPr>
          <w:rFonts w:hint="eastAsia" w:ascii="Times New Roman"/>
        </w:rPr>
        <w:t>需要</w:t>
      </w:r>
      <w:r>
        <w:rPr>
          <w:rFonts w:ascii="Times New Roman"/>
        </w:rPr>
        <w:t>确定无功</w:t>
      </w:r>
      <w:r>
        <w:rPr>
          <w:rFonts w:hint="eastAsia" w:ascii="Times New Roman"/>
        </w:rPr>
        <w:t>补偿</w:t>
      </w:r>
      <w:r>
        <w:rPr>
          <w:rFonts w:ascii="Times New Roman"/>
        </w:rPr>
        <w:t>配置方案，以保证电压质量</w:t>
      </w:r>
      <w:r>
        <w:rPr>
          <w:rFonts w:hint="eastAsia" w:ascii="Times New Roman"/>
        </w:rPr>
        <w:t>、</w:t>
      </w:r>
      <w:r>
        <w:rPr>
          <w:rFonts w:ascii="Times New Roman"/>
        </w:rPr>
        <w:t>网损</w:t>
      </w:r>
      <w:r>
        <w:rPr>
          <w:rFonts w:hint="eastAsia" w:ascii="Times New Roman"/>
        </w:rPr>
        <w:t>等指标满足相关规范要求</w:t>
      </w:r>
      <w:r>
        <w:rPr>
          <w:rFonts w:ascii="Times New Roman"/>
        </w:rPr>
        <w:t>。</w:t>
      </w:r>
    </w:p>
    <w:p>
      <w:pPr>
        <w:pStyle w:val="5"/>
        <w:rPr>
          <w:rFonts w:ascii="Times New Roman"/>
        </w:rPr>
      </w:pPr>
      <w:r>
        <w:rPr>
          <w:rFonts w:ascii="Times New Roman"/>
        </w:rPr>
        <w:t>10.6.2  无功</w:t>
      </w:r>
      <w:r>
        <w:rPr>
          <w:rFonts w:hint="eastAsia" w:ascii="Times New Roman"/>
        </w:rPr>
        <w:t>规划计算分析应</w:t>
      </w:r>
      <w:r>
        <w:rPr>
          <w:rFonts w:ascii="Times New Roman"/>
        </w:rPr>
        <w:t>结合节点电压允许偏差范围、节点功率因数要求、变压器、无功设备与线路等设备参数以及不同运行方式下的负荷水平，按照大负荷方式计算无功总容量需求，按照小负荷方式计算无功补偿装置的分组容量，以达到无功设备投资最小或网损最小的目标。</w:t>
      </w:r>
    </w:p>
    <w:p>
      <w:pPr>
        <w:pStyle w:val="5"/>
        <w:rPr>
          <w:rFonts w:ascii="Times New Roman"/>
        </w:rPr>
      </w:pPr>
      <w:r>
        <w:rPr>
          <w:rFonts w:hint="eastAsia" w:ascii="Times New Roman"/>
        </w:rPr>
        <w:t>1</w:t>
      </w:r>
      <w:r>
        <w:rPr>
          <w:rFonts w:ascii="Times New Roman"/>
        </w:rPr>
        <w:t>0.6.3  分布式电源应依据变流器功率因数、汇集线路、变压器和送出线路的无功损耗等因素</w:t>
      </w:r>
      <w:r>
        <w:rPr>
          <w:rFonts w:hint="eastAsia" w:ascii="Times New Roman"/>
        </w:rPr>
        <w:t>，</w:t>
      </w:r>
      <w:r>
        <w:rPr>
          <w:rFonts w:ascii="Times New Roman"/>
        </w:rPr>
        <w:t>通过技术经济比较，提出合理的无功补偿措施</w:t>
      </w:r>
      <w:r>
        <w:rPr>
          <w:rFonts w:hint="eastAsia" w:ascii="Times New Roman"/>
        </w:rPr>
        <w:t>，使无功功率和电压调节能力满足GB/T 29319的有关规定。</w:t>
      </w:r>
    </w:p>
    <w:p>
      <w:pPr>
        <w:pStyle w:val="5"/>
        <w:rPr>
          <w:rFonts w:ascii="Times New Roman"/>
        </w:rPr>
      </w:pPr>
      <w:r>
        <w:rPr>
          <w:rFonts w:hint="eastAsia" w:ascii="Times New Roman"/>
        </w:rPr>
        <w:t>1</w:t>
      </w:r>
      <w:r>
        <w:rPr>
          <w:rFonts w:ascii="Times New Roman"/>
        </w:rPr>
        <w:t>0.6.4  同步电机类型分布式</w:t>
      </w:r>
      <w:r>
        <w:rPr>
          <w:rFonts w:hint="eastAsia" w:ascii="Times New Roman"/>
        </w:rPr>
        <w:t>电源</w:t>
      </w:r>
      <w:r>
        <w:rPr>
          <w:rFonts w:ascii="Times New Roman"/>
        </w:rPr>
        <w:t>，可省略无功计算。</w:t>
      </w:r>
    </w:p>
    <w:p>
      <w:pPr>
        <w:pStyle w:val="5"/>
        <w:rPr>
          <w:rFonts w:ascii="Times New Roman"/>
        </w:rPr>
      </w:pPr>
    </w:p>
    <w:p>
      <w:pPr>
        <w:pStyle w:val="3"/>
      </w:pPr>
      <w:bookmarkStart w:id="673" w:name="_Toc146640175"/>
      <w:bookmarkStart w:id="674" w:name="_Toc142335167"/>
      <w:bookmarkStart w:id="675" w:name="_Toc146697813"/>
      <w:bookmarkStart w:id="676" w:name="_Toc146639606"/>
      <w:bookmarkStart w:id="677" w:name="_Toc146640375"/>
      <w:bookmarkStart w:id="678" w:name="_Toc142335375"/>
      <w:bookmarkStart w:id="679" w:name="_Toc156810857"/>
      <w:bookmarkStart w:id="680" w:name="_Toc119913147"/>
      <w:bookmarkStart w:id="681" w:name="_Toc170111399"/>
      <w:r>
        <w:rPr>
          <w:rFonts w:hint="eastAsia"/>
        </w:rPr>
        <w:t>经济性分析和评价</w:t>
      </w:r>
      <w:bookmarkEnd w:id="673"/>
      <w:bookmarkEnd w:id="674"/>
      <w:bookmarkEnd w:id="675"/>
      <w:bookmarkEnd w:id="676"/>
      <w:bookmarkEnd w:id="677"/>
      <w:bookmarkEnd w:id="678"/>
      <w:bookmarkEnd w:id="679"/>
      <w:bookmarkEnd w:id="680"/>
      <w:bookmarkEnd w:id="681"/>
      <w:bookmarkStart w:id="682" w:name="pindex325"/>
      <w:bookmarkEnd w:id="682"/>
    </w:p>
    <w:p>
      <w:pPr>
        <w:pStyle w:val="5"/>
        <w:rPr>
          <w:rFonts w:ascii="Times New Roman"/>
        </w:rPr>
      </w:pPr>
      <w:r>
        <w:rPr>
          <w:rFonts w:hint="eastAsia" w:ascii="Times New Roman"/>
        </w:rPr>
        <w:t>1</w:t>
      </w:r>
      <w:r>
        <w:rPr>
          <w:rFonts w:ascii="Times New Roman"/>
        </w:rPr>
        <w:t xml:space="preserve">1.1  </w:t>
      </w:r>
      <w:r>
        <w:rPr>
          <w:rFonts w:hint="eastAsia" w:ascii="Times New Roman"/>
        </w:rPr>
        <w:t>技术经济性分析应对规划项目各备选方案进行技术比较、经济分析和效果评价，评估规划项目在技术、经济上的可行性及合理性，为投资决策提供依据</w:t>
      </w:r>
      <w:r>
        <w:rPr>
          <w:rFonts w:ascii="Times New Roman"/>
        </w:rPr>
        <w:t>。</w:t>
      </w:r>
    </w:p>
    <w:p>
      <w:pPr>
        <w:pStyle w:val="5"/>
        <w:rPr>
          <w:rFonts w:ascii="Times New Roman"/>
        </w:rPr>
      </w:pPr>
      <w:r>
        <w:rPr>
          <w:rFonts w:hint="eastAsia" w:ascii="Times New Roman"/>
        </w:rPr>
        <w:t>1</w:t>
      </w:r>
      <w:r>
        <w:rPr>
          <w:rFonts w:ascii="Times New Roman"/>
        </w:rPr>
        <w:t xml:space="preserve">1.2  </w:t>
      </w:r>
      <w:r>
        <w:rPr>
          <w:rFonts w:hint="eastAsia" w:ascii="Times New Roman"/>
        </w:rPr>
        <w:t>技术经济分析指标主要包括供电能力、供电质量、效率效益、分布式电源接入承载力、全寿命周期成本等，应确定供电可靠性和全寿命周期内投资费用的最佳组合。</w:t>
      </w:r>
    </w:p>
    <w:p>
      <w:pPr>
        <w:pStyle w:val="5"/>
        <w:rPr>
          <w:rFonts w:ascii="Times New Roman"/>
        </w:rPr>
      </w:pPr>
      <w:r>
        <w:rPr>
          <w:rFonts w:ascii="Times New Roman"/>
        </w:rPr>
        <w:t xml:space="preserve">11.3  </w:t>
      </w:r>
      <w:r>
        <w:rPr>
          <w:rFonts w:hint="eastAsia" w:ascii="Times New Roman"/>
        </w:rPr>
        <w:t>技术经济分析的评估方法主要包括最小费用评估法、收益</w:t>
      </w:r>
      <w:r>
        <w:rPr>
          <w:rFonts w:ascii="Times New Roman"/>
        </w:rPr>
        <w:t>/</w:t>
      </w:r>
      <w:r>
        <w:rPr>
          <w:rFonts w:hint="eastAsia" w:ascii="Times New Roman"/>
        </w:rPr>
        <w:t>成本评估法以及收益增益</w:t>
      </w:r>
      <w:r>
        <w:rPr>
          <w:rFonts w:ascii="Times New Roman"/>
        </w:rPr>
        <w:t>/</w:t>
      </w:r>
      <w:r>
        <w:rPr>
          <w:rFonts w:hint="eastAsia" w:ascii="Times New Roman"/>
        </w:rPr>
        <w:t>成本增量评估法。最小费用评估法</w:t>
      </w:r>
      <w:sdt>
        <w:sdtPr>
          <w:rPr>
            <w:rFonts w:ascii="Times New Roman"/>
          </w:rPr>
          <w:alias w:val="易错词检查"/>
          <w:id w:val="2123802"/>
        </w:sdtPr>
        <w:sdtEndPr>
          <w:rPr>
            <w:rFonts w:ascii="Times New Roman"/>
          </w:rPr>
        </w:sdtEndPr>
        <w:sdtContent>
          <w:bookmarkStart w:id="683" w:name="bkReivew2123802"/>
          <w:r>
            <w:rPr>
              <w:rFonts w:hint="eastAsia" w:ascii="Times New Roman"/>
            </w:rPr>
            <w:t>宜</w:t>
          </w:r>
          <w:bookmarkEnd w:id="683"/>
        </w:sdtContent>
      </w:sdt>
      <w:r>
        <w:rPr>
          <w:rFonts w:hint="eastAsia" w:ascii="Times New Roman"/>
        </w:rPr>
        <w:t>用于确定各个规划项目的投资规模及相应的分配方案。收益</w:t>
      </w:r>
      <w:r>
        <w:rPr>
          <w:rFonts w:ascii="Times New Roman"/>
        </w:rPr>
        <w:t>/</w:t>
      </w:r>
      <w:r>
        <w:rPr>
          <w:rFonts w:hint="eastAsia" w:ascii="Times New Roman"/>
        </w:rPr>
        <w:t>成本评估法</w:t>
      </w:r>
      <w:sdt>
        <w:sdtPr>
          <w:rPr>
            <w:rFonts w:ascii="Times New Roman"/>
          </w:rPr>
          <w:alias w:val="易错词检查"/>
          <w:id w:val="2110712"/>
        </w:sdtPr>
        <w:sdtEndPr>
          <w:rPr>
            <w:rFonts w:ascii="Times New Roman"/>
          </w:rPr>
        </w:sdtEndPr>
        <w:sdtContent>
          <w:bookmarkStart w:id="684" w:name="bkReivew2110712"/>
          <w:r>
            <w:rPr>
              <w:rFonts w:hint="eastAsia" w:ascii="Times New Roman"/>
            </w:rPr>
            <w:t>宜</w:t>
          </w:r>
          <w:bookmarkEnd w:id="684"/>
        </w:sdtContent>
      </w:sdt>
      <w:r>
        <w:rPr>
          <w:rFonts w:hint="eastAsia" w:ascii="Times New Roman"/>
        </w:rPr>
        <w:t>用于新建项目的评估，通过相应比值评估各备选项目。收益增益</w:t>
      </w:r>
      <w:r>
        <w:rPr>
          <w:rFonts w:ascii="Times New Roman"/>
        </w:rPr>
        <w:t>/</w:t>
      </w:r>
      <w:r>
        <w:rPr>
          <w:rFonts w:hint="eastAsia" w:ascii="Times New Roman"/>
        </w:rPr>
        <w:t>成本增量评估法</w:t>
      </w:r>
      <w:sdt>
        <w:sdtPr>
          <w:rPr>
            <w:rFonts w:ascii="Times New Roman"/>
          </w:rPr>
          <w:alias w:val="易错词检查"/>
          <w:id w:val="61521"/>
        </w:sdtPr>
        <w:sdtEndPr>
          <w:rPr>
            <w:rFonts w:ascii="Times New Roman"/>
          </w:rPr>
        </w:sdtEndPr>
        <w:sdtContent>
          <w:bookmarkStart w:id="685" w:name="bkReivew61521"/>
          <w:r>
            <w:rPr>
              <w:rFonts w:hint="eastAsia" w:ascii="Times New Roman"/>
            </w:rPr>
            <w:t>宜</w:t>
          </w:r>
          <w:bookmarkEnd w:id="685"/>
        </w:sdtContent>
      </w:sdt>
      <w:r>
        <w:rPr>
          <w:rFonts w:hint="eastAsia" w:ascii="Times New Roman"/>
        </w:rPr>
        <w:t>用于新建或改造项目的评估。</w:t>
      </w:r>
    </w:p>
    <w:p>
      <w:pPr>
        <w:pStyle w:val="5"/>
        <w:rPr>
          <w:rFonts w:hint="eastAsia" w:ascii="黑体" w:hAnsi="黑体" w:eastAsia="黑体" w:cs="黑体"/>
          <w:b w:val="0"/>
          <w:sz w:val="21"/>
          <w:u w:val="single"/>
          <w:lang w:eastAsia="zh-CN"/>
        </w:rPr>
      </w:pPr>
      <w:r>
        <w:rPr>
          <w:rFonts w:hint="eastAsia" w:ascii="Times New Roman"/>
        </w:rPr>
        <w:t>1</w:t>
      </w:r>
      <w:r>
        <w:rPr>
          <w:rFonts w:ascii="Times New Roman"/>
        </w:rPr>
        <w:t xml:space="preserve">1.4  </w:t>
      </w:r>
      <w:r>
        <w:rPr>
          <w:rFonts w:hint="eastAsia" w:ascii="Times New Roman"/>
        </w:rPr>
        <w:t>宜在技术经济分析的基础上进行财务评价</w:t>
      </w:r>
      <w:r>
        <w:rPr>
          <w:rFonts w:ascii="Times New Roman"/>
        </w:rPr>
        <w:t>。</w:t>
      </w:r>
      <w:r>
        <w:rPr>
          <w:rFonts w:hint="eastAsia" w:ascii="Times New Roman"/>
        </w:rPr>
        <w:t>根据企业当前的经营状况以及折旧率、贷款利息等计算参数的合理假定，采用财务内部收益率法、财务净值法、年费用法、投资回收期法等方法，分析配电网规划期内的经济效益。财务评价指标主要包括资产负债率、内部收益率、投资回收期等。</w:t>
      </w:r>
      <w:bookmarkEnd w:id="57"/>
      <w:bookmarkEnd w:id="316"/>
      <w:r>
        <w:rPr>
          <w:rFonts w:hint="eastAsia"/>
          <w:szCs w:val="21"/>
        </w:rPr>
        <w:t xml:space="preserve"> </w:t>
      </w:r>
      <w:bookmarkStart w:id="687" w:name="_GoBack"/>
      <w:bookmarkEnd w:id="687"/>
    </w:p>
    <w:p>
      <w:pPr>
        <w:ind w:firstLine="0" w:firstLineChars="0"/>
        <w:jc w:val="center"/>
        <w:rPr>
          <w:rFonts w:hint="eastAsia" w:ascii="黑体" w:hAnsi="黑体" w:eastAsia="黑体" w:cs="黑体"/>
          <w:b w:val="0"/>
          <w:sz w:val="21"/>
          <w:u w:val="none"/>
          <w:lang w:eastAsia="zh-CN"/>
        </w:rPr>
      </w:pPr>
      <w:bookmarkStart w:id="686" w:name="终结线"/>
      <w:bookmarkEnd w:id="686"/>
      <w:r>
        <w:rPr>
          <w:rFonts w:hint="eastAsia" w:ascii="黑体" w:hAnsi="黑体" w:eastAsia="黑体" w:cs="黑体"/>
          <w:b/>
          <w:sz w:val="21"/>
          <w:u w:val="none"/>
          <w:lang w:eastAsia="zh-CN"/>
        </w:rPr>
        <w:t>━━━━━━━━━━━</w:t>
      </w:r>
    </w:p>
    <w:sectPr>
      <w:headerReference r:id="rId13" w:type="default"/>
      <w:footerReference r:id="rId14" w:type="default"/>
      <w:footerReference r:id="rId15" w:type="even"/>
      <w:pgSz w:w="11907" w:h="16839"/>
      <w:pgMar w:top="1418" w:right="1134" w:bottom="1134" w:left="1418" w:header="1418" w:footer="1134" w:gutter="0"/>
      <w:pgNumType w:start="1"/>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Calibri Light">
    <w:panose1 w:val="020F03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Britannic Bold">
    <w:altName w:val="Yu Gothic UI Semibold"/>
    <w:panose1 w:val="020B0903060703020204"/>
    <w:charset w:val="00"/>
    <w:family w:val="swiss"/>
    <w:pitch w:val="default"/>
    <w:sig w:usb0="00000000" w:usb1="00000000" w:usb2="00000000" w:usb3="00000000" w:csb0="00000001" w:csb1="00000000"/>
  </w:font>
  <w:font w:name="华文细黑">
    <w:altName w:val="微软雅黑"/>
    <w:panose1 w:val="02010600040101010101"/>
    <w:charset w:val="86"/>
    <w:family w:val="auto"/>
    <w:pitch w:val="default"/>
    <w:sig w:usb0="00000000" w:usb1="00000000" w:usb2="00000010" w:usb3="00000000" w:csb0="0004009F" w:csb1="00000000"/>
  </w:font>
  <w:font w:name="Arial Black">
    <w:panose1 w:val="020B0A04020102020204"/>
    <w:charset w:val="00"/>
    <w:family w:val="swiss"/>
    <w:pitch w:val="default"/>
    <w:sig w:usb0="A00002AF" w:usb1="400078FB" w:usb2="00000000" w:usb3="00000000" w:csb0="6000009F" w:csb1="DFD70000"/>
  </w:font>
  <w:font w:name="Arial Unicode MS">
    <w:altName w:val="宋体"/>
    <w:panose1 w:val="020B0604020202020204"/>
    <w:charset w:val="86"/>
    <w:family w:val="swiss"/>
    <w:pitch w:val="default"/>
    <w:sig w:usb0="00000000" w:usb1="00000000" w:usb2="0000003F" w:usb3="00000000" w:csb0="003F01FF" w:csb1="00000000"/>
  </w:font>
  <w:font w:name="Yu Gothic UI Semibold">
    <w:panose1 w:val="020B07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rPr>
        <w:sz w:val="20"/>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2"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62"/>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21"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3kFJQyAgAAZQ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QFJmFKiWYKHb98/3b5&#10;8evy8yuZTqJAjfVzxO0sIkP71rQIHu49LiPvtnQq/oIRgR/ynq/yijYQHh/NprPZGC4O33AAfvb4&#10;3Dof3gmjSDRy6tC/JCs7bX3oQoeQmE2bTS1l6qHUpMnpzes34/Tg6gG41DFWpGnoYSKlrvRohXbf&#10;9jz3pjiDpjPdpHjLNzVK2TIfHpjDaKB8LE+4x6eUBilNb1FSGfflX/cxHh2Dl5IGo5ZTjc2iRL7X&#10;6CQAw2C4wdgPhj6qO4PZnWApLU8mHrggB7N0Rn3GRq1iDriY5siU0zCYd6Ebd2wkF6tVCsLsWRa2&#10;emd5hI7yeLs6BsiZVI6idEqgO/GA6Ut96jcljvef5xT1+O+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HeQUlDICAABlBAAADgAAAAAAAAABACAAAAAfAQAAZHJzL2Uyb0RvYy54bWxQSwUG&#10;AAAAAAYABgBZAQAAwwUAAAAA&#10;">
              <v:fill on="f" focussize="0,0"/>
              <v:stroke on="f" weight="0.5pt"/>
              <v:imagedata o:title=""/>
              <o:lock v:ext="edit" aspectratio="f"/>
              <v:textbox inset="0mm,0mm,0mm,0mm" style="mso-fit-shape-to-text:t;">
                <w:txbxContent>
                  <w:p>
                    <w:pPr>
                      <w:pStyle w:val="62"/>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ind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ind w:firstLine="360"/>
    </w:pPr>
    <w:r>
      <mc:AlternateContent>
        <mc:Choice Requires="wps">
          <w:drawing>
            <wp:anchor distT="0" distB="0" distL="114300" distR="114300" simplePos="0" relativeHeight="251667456" behindDoc="0" locked="0" layoutInCell="1" allowOverlap="1">
              <wp:simplePos x="0" y="0"/>
              <wp:positionH relativeFrom="margin">
                <wp:align>left</wp:align>
              </wp:positionH>
              <wp:positionV relativeFrom="paragraph">
                <wp:posOffset>0</wp:posOffset>
              </wp:positionV>
              <wp:extent cx="1828800" cy="1828800"/>
              <wp:effectExtent l="0" t="0" r="0" b="0"/>
              <wp:wrapNone/>
              <wp:docPr id="13"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62"/>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9" o:spid="_x0000_s1026" o:spt="202" type="#_x0000_t202" style="position:absolute;left:0pt;margin-top:0pt;height:144pt;width:144pt;mso-position-horizontal:left;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l6iwQzAgAAZQQAAA4AAABkcnMvZTJvRG9jLnhtbK1UzY7TMBC+I/EO&#10;lu80aVesSt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lKTMIVJZopdPz0/dvp&#10;x6/Tz69k/CYK1Fo/Q9yDRWTo3poOwcO9x2Xk3VVOxV8wIvBD3uNFXtEFwuOj6WQ6zeHi8A0H4GeP&#10;z63z4Z0wikSjoA79S7Kyw8aHPnQIidm0WTdSph5KTdqCXl+9ztODiwfgUsdYkabhDBMp9aVHK3Tb&#10;7sxza8ojaDrTT4q3fN2glA3z4Z45jAbKx/KEO3wqaZDSnC1KauO+/Os+xqNj8FLSYtQKqrFZlMj3&#10;Gp0EYBgMNxjbwdB7dWswu2MspeXJxAMX5GBWzqjP2KhlzAEX0xyZChoG8zb0446N5GK5TEGYPcvC&#10;Rj9YHqGjPN4u9wFyJpWjKL0S6E48YPpSn86bEsf7z3OKevx3WPw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l6iwQzAgAAZQQAAA4AAAAAAAAAAQAgAAAAHwEAAGRycy9lMm9Eb2MueG1sUEsF&#10;BgAAAAAGAAYAWQEAAMQFAAAAAA==&#10;">
              <v:fill on="f" focussize="0,0"/>
              <v:stroke on="f" weight="0.5pt"/>
              <v:imagedata o:title=""/>
              <o:lock v:ext="edit" aspectratio="f"/>
              <v:textbox inset="0mm,0mm,0mm,0mm" style="mso-fit-shape-to-text:t;">
                <w:txbxContent>
                  <w:p>
                    <w:pPr>
                      <w:pStyle w:val="62"/>
                    </w:pPr>
                    <w:r>
                      <w:fldChar w:fldCharType="begin"/>
                    </w:r>
                    <w:r>
                      <w:instrText xml:space="preserve"> PAGE  \* MERGEFORMAT </w:instrText>
                    </w:r>
                    <w:r>
                      <w:fldChar w:fldCharType="separate"/>
                    </w:r>
                    <w:r>
                      <w:t>11</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ind w:firstLine="360"/>
    </w:pPr>
    <w:r>
      <mc:AlternateContent>
        <mc:Choice Requires="wps">
          <w:drawing>
            <wp:anchor distT="0" distB="0" distL="114300" distR="114300" simplePos="0" relativeHeight="251668480" behindDoc="0" locked="0" layoutInCell="1" allowOverlap="1">
              <wp:simplePos x="0" y="0"/>
              <wp:positionH relativeFrom="margin">
                <wp:align>left</wp:align>
              </wp:positionH>
              <wp:positionV relativeFrom="paragraph">
                <wp:posOffset>0</wp:posOffset>
              </wp:positionV>
              <wp:extent cx="1828800" cy="1828800"/>
              <wp:effectExtent l="0" t="0" r="0" b="0"/>
              <wp:wrapNone/>
              <wp:docPr id="14"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62"/>
                          </w:pPr>
                          <w:r>
                            <w:fldChar w:fldCharType="begin"/>
                          </w:r>
                          <w:r>
                            <w:instrText xml:space="preserve"> PAGE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20" o:spid="_x0000_s1026" o:spt="202" type="#_x0000_t202" style="position:absolute;left:0pt;margin-top:0pt;height:144pt;width:144pt;mso-position-horizontal:left;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1phJEyAgAAZQQAAA4AAABkcnMvZTJvRG9jLnhtbK1UzY7TMBC+I/EO&#10;lu80bYFVVTVdla2KkCp2pYI4u47TRPKfbLdJeQB4A05cuO9z9Tn47DQtWjjsgUs69oy/mfnmm85u&#10;WyXJQThfG53T0WBIidDcFLXe5fTzp9WrCSU+MF0wabTI6VF4ejt/+WLW2KkYm8rIQjgCEO2njc1p&#10;FYKdZpnnlVDMD4wVGs7SOMUCjm6XFY41QFcyGw+HN1ljXGGd4cJ73C47Jz0juucAmrKsuVgavldC&#10;hw7VCckCWvJVbT2dp2rLUvBwX5ZeBCJzik5D+iIJ7G38ZvMZm+4cs1XNzyWw55TwpCfFao2kF6gl&#10;C4zsXf0XlKq5M96UYcCNyrpGEiPoYjR8ws2mYlakXkC1txfS/f+D5R8PD47UBZTwhhLNFCZ++vH9&#10;9PPx9OsbGSeCGuuniNtYRIb2nWkRHImL9x6Xse+2dCr+oiMCP+g9XugVbSA8PpqMJ5MhXBy+/gCc&#10;7PrcOh/eC6NINHLqML9EKzusfehC+5CYTZtVLWWaodSkyenN67fD9ODiAbjUMVYkNZxhrqVHK7Tb&#10;9tzP1hRHtOlMpxRv+apGKWvmwwNzkAbKx/KEe3xKaZDSnC1KKuO+/us+xmNi8FLSQGo51dgsSuQH&#10;jUkCMPSG641tb+i9ujPQ7ghLaXky8cAF2ZulM+oLNmoRc8DFNEemnIbevAud3LGRXCwWKQjasyys&#10;9cbyCB3p8XaxD6AzsRxJ6ZjAdOIB6ktzOm9KlPef5xR1/XeY/w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WmEkTICAABlBAAADgAAAAAAAAABACAAAAAfAQAAZHJzL2Uyb0RvYy54bWxQSwUG&#10;AAAAAAYABgBZAQAAwwUAAAAA&#10;">
              <v:fill on="f" focussize="0,0"/>
              <v:stroke on="f" weight="0.5pt"/>
              <v:imagedata o:title=""/>
              <o:lock v:ext="edit" aspectratio="f"/>
              <v:textbox inset="0mm,0mm,0mm,0mm" style="mso-fit-shape-to-text:t;">
                <w:txbxContent>
                  <w:p>
                    <w:pPr>
                      <w:pStyle w:val="62"/>
                    </w:pPr>
                    <w:r>
                      <w:fldChar w:fldCharType="begin"/>
                    </w:r>
                    <w:r>
                      <w:instrText xml:space="preserve"> PAGE  \* MERGEFORMAT </w:instrText>
                    </w:r>
                    <w:r>
                      <w:fldChar w:fldCharType="separate"/>
                    </w:r>
                    <w:r>
                      <w:t>12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7"/>
      <w:jc w:val="left"/>
      <w:rPr>
        <w:rFonts w:ascii="黑体" w:hAnsi="黑体" w:eastAsia="黑体" w:cs="黑体"/>
      </w:rPr>
    </w:pPr>
    <w:r>
      <w:rPr>
        <w:rFonts w:hint="eastAsia" w:ascii="黑体" w:hAnsi="黑体" w:eastAsia="黑体" w:cs="黑体"/>
      </w:rPr>
      <w:t>DB32/T XXXX—202</w:t>
    </w:r>
    <w:r>
      <w:rPr>
        <w:rFonts w:ascii="黑体" w:hAnsi="黑体" w:eastAsia="黑体" w:cs="黑体"/>
      </w:rPr>
      <w:t>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7"/>
      <w:jc w:val="both"/>
      <w:rPr>
        <w:rFonts w:ascii="黑体" w:hAnsi="黑体" w:eastAsia="黑体" w:cs="黑体"/>
      </w:rPr>
    </w:pPr>
    <w:r>
      <w:rPr>
        <w:rFonts w:hint="eastAsia" w:ascii="黑体" w:hAnsi="黑体" w:eastAsia="黑体" w:cs="黑体"/>
      </w:rPr>
      <w:t>DB32/T XXXX—2021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Bdr>
        <w:bottom w:val="none" w:color="auto" w:sz="0" w:space="1"/>
      </w:pBdr>
    </w:pPr>
    <w:r>
      <w:rPr>
        <w:rFonts w:hint="eastAsia"/>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7"/>
      <w:jc w:val="left"/>
      <w:rPr>
        <w:rFonts w:ascii="黑体" w:hAnsi="黑体" w:eastAsia="黑体" w:cs="黑体"/>
      </w:rPr>
    </w:pPr>
    <w:r>
      <w:rPr>
        <w:rFonts w:hint="eastAsia" w:ascii="黑体" w:hAnsi="黑体" w:eastAsia="黑体" w:cs="黑体"/>
      </w:rPr>
      <w:t>DB32/T XXXX—202</w:t>
    </w:r>
    <w:r>
      <w:rPr>
        <w:rFonts w:ascii="黑体" w:hAnsi="黑体" w:eastAsia="黑体" w:cs="黑体"/>
      </w:rPr>
      <w:t>3</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7"/>
      <w:jc w:val="right"/>
      <w:rPr>
        <w:rFonts w:ascii="黑体" w:hAnsi="黑体" w:eastAsia="黑体" w:cs="黑体"/>
      </w:rPr>
    </w:pPr>
    <w:r>
      <w:rPr>
        <w:rFonts w:hint="eastAsia" w:ascii="黑体" w:hAnsi="黑体" w:eastAsia="黑体" w:cs="黑体"/>
      </w:rPr>
      <w:t>DB32/T XXXX—202</w:t>
    </w:r>
    <w:r>
      <w:rPr>
        <w:rFonts w:ascii="黑体" w:hAnsi="黑体" w:eastAsia="黑体" w:cs="黑体"/>
      </w:rPr>
      <w:t>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D9BE1C"/>
    <w:multiLevelType w:val="multilevel"/>
    <w:tmpl w:val="97D9BE1C"/>
    <w:lvl w:ilvl="0" w:tentative="0">
      <w:start w:val="1"/>
      <w:numFmt w:val="lowerLetter"/>
      <w:pStyle w:val="306"/>
      <w:lvlText w:val="%1)"/>
      <w:lvlJc w:val="left"/>
      <w:pPr>
        <w:tabs>
          <w:tab w:val="left" w:pos="840"/>
        </w:tabs>
        <w:ind w:left="839" w:hanging="419"/>
      </w:pPr>
      <w:rPr>
        <w:rFonts w:hint="eastAsia" w:ascii="宋体" w:eastAsia="宋体"/>
        <w:b w:val="0"/>
        <w:i w:val="0"/>
        <w:sz w:val="21"/>
        <w:szCs w:val="21"/>
      </w:rPr>
    </w:lvl>
    <w:lvl w:ilvl="1" w:tentative="0">
      <w:start w:val="1"/>
      <w:numFmt w:val="decimal"/>
      <w:pStyle w:val="295"/>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
    <w:nsid w:val="FFFFFF7C"/>
    <w:multiLevelType w:val="singleLevel"/>
    <w:tmpl w:val="FFFFFF7C"/>
    <w:lvl w:ilvl="0" w:tentative="0">
      <w:start w:val="1"/>
      <w:numFmt w:val="decimal"/>
      <w:pStyle w:val="70"/>
      <w:lvlText w:val="%1."/>
      <w:lvlJc w:val="left"/>
      <w:pPr>
        <w:tabs>
          <w:tab w:val="left" w:pos="2040"/>
        </w:tabs>
        <w:ind w:left="2040" w:leftChars="800" w:hanging="360" w:hangingChars="200"/>
      </w:pPr>
    </w:lvl>
  </w:abstractNum>
  <w:abstractNum w:abstractNumId="2">
    <w:nsid w:val="FFFFFF7D"/>
    <w:multiLevelType w:val="singleLevel"/>
    <w:tmpl w:val="FFFFFF7D"/>
    <w:lvl w:ilvl="0" w:tentative="0">
      <w:start w:val="1"/>
      <w:numFmt w:val="decimal"/>
      <w:pStyle w:val="54"/>
      <w:lvlText w:val="%1."/>
      <w:lvlJc w:val="left"/>
      <w:pPr>
        <w:tabs>
          <w:tab w:val="left" w:pos="1620"/>
        </w:tabs>
        <w:ind w:left="1620" w:leftChars="600" w:hanging="360" w:hangingChars="200"/>
      </w:pPr>
    </w:lvl>
  </w:abstractNum>
  <w:abstractNum w:abstractNumId="3">
    <w:nsid w:val="FFFFFF7E"/>
    <w:multiLevelType w:val="singleLevel"/>
    <w:tmpl w:val="FFFFFF7E"/>
    <w:lvl w:ilvl="0" w:tentative="0">
      <w:start w:val="1"/>
      <w:numFmt w:val="decimal"/>
      <w:pStyle w:val="45"/>
      <w:lvlText w:val="%1."/>
      <w:lvlJc w:val="left"/>
      <w:pPr>
        <w:tabs>
          <w:tab w:val="left" w:pos="1200"/>
        </w:tabs>
        <w:ind w:left="1200" w:leftChars="400" w:hanging="360" w:hangingChars="200"/>
      </w:pPr>
    </w:lvl>
  </w:abstractNum>
  <w:abstractNum w:abstractNumId="4">
    <w:nsid w:val="FFFFFF7F"/>
    <w:multiLevelType w:val="singleLevel"/>
    <w:tmpl w:val="FFFFFF7F"/>
    <w:lvl w:ilvl="0" w:tentative="0">
      <w:start w:val="1"/>
      <w:numFmt w:val="decimal"/>
      <w:pStyle w:val="23"/>
      <w:lvlText w:val="%1."/>
      <w:lvlJc w:val="left"/>
      <w:pPr>
        <w:tabs>
          <w:tab w:val="left" w:pos="780"/>
        </w:tabs>
        <w:ind w:left="780" w:leftChars="200" w:hanging="360" w:hangingChars="200"/>
      </w:pPr>
    </w:lvl>
  </w:abstractNum>
  <w:abstractNum w:abstractNumId="5">
    <w:nsid w:val="FFFFFF80"/>
    <w:multiLevelType w:val="singleLevel"/>
    <w:tmpl w:val="FFFFFF80"/>
    <w:lvl w:ilvl="0" w:tentative="0">
      <w:start w:val="1"/>
      <w:numFmt w:val="bullet"/>
      <w:pStyle w:val="53"/>
      <w:lvlText w:val=""/>
      <w:lvlJc w:val="left"/>
      <w:pPr>
        <w:tabs>
          <w:tab w:val="left" w:pos="2040"/>
        </w:tabs>
        <w:ind w:left="2040" w:leftChars="800" w:hanging="360" w:hangingChars="200"/>
      </w:pPr>
      <w:rPr>
        <w:rFonts w:hint="default" w:ascii="Wingdings" w:hAnsi="Wingdings"/>
      </w:rPr>
    </w:lvl>
  </w:abstractNum>
  <w:abstractNum w:abstractNumId="6">
    <w:nsid w:val="FFFFFF81"/>
    <w:multiLevelType w:val="singleLevel"/>
    <w:tmpl w:val="FFFFFF81"/>
    <w:lvl w:ilvl="0" w:tentative="0">
      <w:start w:val="1"/>
      <w:numFmt w:val="bullet"/>
      <w:pStyle w:val="26"/>
      <w:lvlText w:val=""/>
      <w:lvlJc w:val="left"/>
      <w:pPr>
        <w:tabs>
          <w:tab w:val="left" w:pos="1620"/>
        </w:tabs>
        <w:ind w:left="1620" w:leftChars="600" w:hanging="360" w:hangingChars="200"/>
      </w:pPr>
      <w:rPr>
        <w:rFonts w:hint="default" w:ascii="Wingdings" w:hAnsi="Wingdings"/>
      </w:rPr>
    </w:lvl>
  </w:abstractNum>
  <w:abstractNum w:abstractNumId="7">
    <w:nsid w:val="FFFFFF82"/>
    <w:multiLevelType w:val="singleLevel"/>
    <w:tmpl w:val="FFFFFF82"/>
    <w:lvl w:ilvl="0" w:tentative="0">
      <w:start w:val="1"/>
      <w:numFmt w:val="bullet"/>
      <w:pStyle w:val="42"/>
      <w:lvlText w:val=""/>
      <w:lvlJc w:val="left"/>
      <w:pPr>
        <w:tabs>
          <w:tab w:val="left" w:pos="1200"/>
        </w:tabs>
        <w:ind w:left="1200" w:leftChars="400" w:hanging="360" w:hangingChars="200"/>
      </w:pPr>
      <w:rPr>
        <w:rFonts w:hint="default" w:ascii="Wingdings" w:hAnsi="Wingdings"/>
      </w:rPr>
    </w:lvl>
  </w:abstractNum>
  <w:abstractNum w:abstractNumId="8">
    <w:nsid w:val="FFFFFF83"/>
    <w:multiLevelType w:val="singleLevel"/>
    <w:tmpl w:val="FFFFFF83"/>
    <w:lvl w:ilvl="0" w:tentative="0">
      <w:start w:val="1"/>
      <w:numFmt w:val="bullet"/>
      <w:pStyle w:val="49"/>
      <w:lvlText w:val=""/>
      <w:lvlJc w:val="left"/>
      <w:pPr>
        <w:tabs>
          <w:tab w:val="left" w:pos="780"/>
        </w:tabs>
        <w:ind w:left="780" w:leftChars="200" w:hanging="360" w:hangingChars="200"/>
      </w:pPr>
      <w:rPr>
        <w:rFonts w:hint="default" w:ascii="Wingdings" w:hAnsi="Wingdings"/>
      </w:rPr>
    </w:lvl>
  </w:abstractNum>
  <w:abstractNum w:abstractNumId="9">
    <w:nsid w:val="FFFFFF88"/>
    <w:multiLevelType w:val="singleLevel"/>
    <w:tmpl w:val="FFFFFF88"/>
    <w:lvl w:ilvl="0" w:tentative="0">
      <w:start w:val="1"/>
      <w:numFmt w:val="decimal"/>
      <w:pStyle w:val="29"/>
      <w:lvlText w:val="%1."/>
      <w:lvlJc w:val="left"/>
      <w:pPr>
        <w:tabs>
          <w:tab w:val="left" w:pos="360"/>
        </w:tabs>
        <w:ind w:left="360" w:hanging="360" w:hangingChars="200"/>
      </w:pPr>
    </w:lvl>
  </w:abstractNum>
  <w:abstractNum w:abstractNumId="10">
    <w:nsid w:val="FFFFFF89"/>
    <w:multiLevelType w:val="singleLevel"/>
    <w:tmpl w:val="FFFFFF89"/>
    <w:lvl w:ilvl="0" w:tentative="0">
      <w:start w:val="1"/>
      <w:numFmt w:val="bullet"/>
      <w:pStyle w:val="33"/>
      <w:lvlText w:val=""/>
      <w:lvlJc w:val="left"/>
      <w:pPr>
        <w:tabs>
          <w:tab w:val="left" w:pos="360"/>
        </w:tabs>
        <w:ind w:left="360" w:hanging="360" w:hangingChars="200"/>
      </w:pPr>
      <w:rPr>
        <w:rFonts w:hint="default" w:ascii="Wingdings" w:hAnsi="Wingdings"/>
      </w:rPr>
    </w:lvl>
  </w:abstractNum>
  <w:abstractNum w:abstractNumId="11">
    <w:nsid w:val="0000000B"/>
    <w:multiLevelType w:val="multilevel"/>
    <w:tmpl w:val="0000000B"/>
    <w:lvl w:ilvl="0" w:tentative="0">
      <w:start w:val="10"/>
      <w:numFmt w:val="decimal"/>
      <w:lvlText w:val="%1"/>
      <w:lvlJc w:val="left"/>
      <w:pPr>
        <w:tabs>
          <w:tab w:val="left" w:pos="855"/>
        </w:tabs>
        <w:ind w:left="855" w:hanging="855"/>
      </w:pPr>
      <w:rPr>
        <w:rFonts w:hint="default"/>
        <w:b/>
        <w:i w:val="0"/>
        <w:sz w:val="21"/>
      </w:rPr>
    </w:lvl>
    <w:lvl w:ilvl="1" w:tentative="0">
      <w:start w:val="1"/>
      <w:numFmt w:val="decimal"/>
      <w:lvlText w:val="%1.%2"/>
      <w:lvlJc w:val="left"/>
      <w:pPr>
        <w:tabs>
          <w:tab w:val="left" w:pos="855"/>
        </w:tabs>
        <w:ind w:left="855" w:hanging="855"/>
      </w:pPr>
      <w:rPr>
        <w:rFonts w:hint="default"/>
        <w:b/>
        <w:i w:val="0"/>
        <w:sz w:val="21"/>
      </w:rPr>
    </w:lvl>
    <w:lvl w:ilvl="2" w:tentative="0">
      <w:start w:val="1"/>
      <w:numFmt w:val="decimal"/>
      <w:pStyle w:val="508"/>
      <w:lvlText w:val="%1.%2.%3"/>
      <w:lvlJc w:val="left"/>
      <w:pPr>
        <w:tabs>
          <w:tab w:val="left" w:pos="855"/>
        </w:tabs>
        <w:ind w:left="855" w:hanging="855"/>
      </w:pPr>
      <w:rPr>
        <w:rFonts w:hint="default"/>
        <w:b/>
        <w:i w:val="0"/>
        <w:sz w:val="21"/>
      </w:rPr>
    </w:lvl>
    <w:lvl w:ilvl="3" w:tentative="0">
      <w:start w:val="1"/>
      <w:numFmt w:val="decimal"/>
      <w:lvlText w:val="%1.%2.%3.%4"/>
      <w:lvlJc w:val="left"/>
      <w:pPr>
        <w:tabs>
          <w:tab w:val="left" w:pos="1080"/>
        </w:tabs>
        <w:ind w:left="1080" w:hanging="1080"/>
      </w:pPr>
      <w:rPr>
        <w:rFonts w:hint="default"/>
        <w:b/>
        <w:i w:val="0"/>
        <w:sz w:val="21"/>
      </w:rPr>
    </w:lvl>
    <w:lvl w:ilvl="4" w:tentative="0">
      <w:start w:val="1"/>
      <w:numFmt w:val="decimal"/>
      <w:lvlText w:val="%1.%2.%3.%4.%5"/>
      <w:lvlJc w:val="left"/>
      <w:pPr>
        <w:tabs>
          <w:tab w:val="left" w:pos="1080"/>
        </w:tabs>
        <w:ind w:left="1080" w:hanging="1080"/>
      </w:pPr>
      <w:rPr>
        <w:rFonts w:hint="default"/>
        <w:b/>
        <w:i w:val="0"/>
        <w:sz w:val="21"/>
      </w:rPr>
    </w:lvl>
    <w:lvl w:ilvl="5" w:tentative="0">
      <w:start w:val="1"/>
      <w:numFmt w:val="decimal"/>
      <w:lvlText w:val="%1.%2.%3.%4.%5.%6"/>
      <w:lvlJc w:val="left"/>
      <w:pPr>
        <w:tabs>
          <w:tab w:val="left" w:pos="1440"/>
        </w:tabs>
        <w:ind w:left="1440" w:hanging="1440"/>
      </w:pPr>
      <w:rPr>
        <w:rFonts w:hint="default"/>
        <w:b/>
        <w:i w:val="0"/>
        <w:sz w:val="21"/>
      </w:rPr>
    </w:lvl>
    <w:lvl w:ilvl="6" w:tentative="0">
      <w:start w:val="1"/>
      <w:numFmt w:val="decimal"/>
      <w:lvlText w:val="%1.%2.%3.%4.%5.%6.%7"/>
      <w:lvlJc w:val="left"/>
      <w:pPr>
        <w:tabs>
          <w:tab w:val="left" w:pos="1800"/>
        </w:tabs>
        <w:ind w:left="1800" w:hanging="1800"/>
      </w:pPr>
      <w:rPr>
        <w:rFonts w:hint="default"/>
        <w:b/>
        <w:i w:val="0"/>
        <w:sz w:val="21"/>
      </w:rPr>
    </w:lvl>
    <w:lvl w:ilvl="7" w:tentative="0">
      <w:start w:val="1"/>
      <w:numFmt w:val="decimal"/>
      <w:lvlText w:val="%1.%2.%3.%4.%5.%6.%7.%8"/>
      <w:lvlJc w:val="left"/>
      <w:pPr>
        <w:tabs>
          <w:tab w:val="left" w:pos="1800"/>
        </w:tabs>
        <w:ind w:left="1800" w:hanging="1800"/>
      </w:pPr>
      <w:rPr>
        <w:rFonts w:hint="default"/>
        <w:b/>
      </w:rPr>
    </w:lvl>
    <w:lvl w:ilvl="8" w:tentative="0">
      <w:start w:val="1"/>
      <w:numFmt w:val="decimal"/>
      <w:lvlText w:val="%1.%2.%3.%4.%5.%6.%7.%8.%9"/>
      <w:lvlJc w:val="left"/>
      <w:pPr>
        <w:tabs>
          <w:tab w:val="left" w:pos="2160"/>
        </w:tabs>
        <w:ind w:left="2160" w:hanging="2160"/>
      </w:pPr>
      <w:rPr>
        <w:rFonts w:hint="default"/>
        <w:b/>
      </w:rPr>
    </w:lvl>
  </w:abstractNum>
  <w:abstractNum w:abstractNumId="12">
    <w:nsid w:val="079102AD"/>
    <w:multiLevelType w:val="multilevel"/>
    <w:tmpl w:val="079102AD"/>
    <w:lvl w:ilvl="0" w:tentative="0">
      <w:start w:val="1"/>
      <w:numFmt w:val="decimal"/>
      <w:pStyle w:val="305"/>
      <w:suff w:val="nothing"/>
      <w:lvlText w:val="注%1："/>
      <w:lvlJc w:val="left"/>
      <w:pPr>
        <w:ind w:left="811" w:hanging="448"/>
      </w:pPr>
      <w:rPr>
        <w:rFonts w:ascii="黑体" w:hAnsi="黑体" w:eastAsia="黑体" w:cs="Times New Roman"/>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3">
    <w:nsid w:val="09227E31"/>
    <w:multiLevelType w:val="multilevel"/>
    <w:tmpl w:val="09227E31"/>
    <w:lvl w:ilvl="0" w:tentative="0">
      <w:start w:val="1"/>
      <w:numFmt w:val="none"/>
      <w:suff w:val="nothing"/>
      <w:lvlText w:val=""/>
      <w:lvlJc w:val="left"/>
      <w:pPr>
        <w:ind w:left="0" w:firstLine="0"/>
      </w:pPr>
      <w:rPr>
        <w:rFonts w:hint="eastAsia" w:ascii="黑体" w:hAnsi="Times New Roman" w:eastAsia="黑体"/>
        <w:b/>
        <w:i w:val="0"/>
        <w:sz w:val="21"/>
      </w:rPr>
    </w:lvl>
    <w:lvl w:ilvl="1" w:tentative="0">
      <w:start w:val="1"/>
      <w:numFmt w:val="decimal"/>
      <w:pStyle w:val="302"/>
      <w:suff w:val="nothing"/>
      <w:lvlText w:val="表%2　"/>
      <w:lvlJc w:val="left"/>
      <w:pPr>
        <w:ind w:left="0" w:firstLine="0"/>
      </w:pPr>
      <w:rPr>
        <w:rFonts w:hint="eastAsia" w:ascii="黑体" w:hAnsi="Times New Roman" w:eastAsia="黑体"/>
        <w:b w:val="0"/>
        <w:i w:val="0"/>
        <w:caps w:val="0"/>
        <w:strike w:val="0"/>
        <w:dstrike w:val="0"/>
        <w:snapToGrid w:val="0"/>
        <w:vanish w:val="0"/>
        <w:kern w:val="0"/>
        <w:sz w:val="21"/>
        <w:szCs w:val="21"/>
        <w:u w:val="none"/>
        <w:vertAlign w:val="baseline"/>
      </w:rPr>
    </w:lvl>
    <w:lvl w:ilvl="2" w:tentative="0">
      <w:start w:val="1"/>
      <w:numFmt w:val="none"/>
      <w:pStyle w:val="318"/>
      <w:suff w:val="nothing"/>
      <w:lvlText w:val="%1表%2　"/>
      <w:lvlJc w:val="left"/>
      <w:pPr>
        <w:ind w:left="0" w:firstLine="0"/>
      </w:pPr>
      <w:rPr>
        <w:rFonts w:hint="eastAsia" w:ascii="黑体" w:hAnsi="黑体" w:eastAsia="黑体" w:cs="Times New Roman"/>
        <w:b w:val="0"/>
        <w:bCs w:val="0"/>
        <w:i w:val="0"/>
        <w:iCs w:val="0"/>
        <w:caps w:val="0"/>
        <w:smallCaps w:val="0"/>
        <w:strike w:val="0"/>
        <w:dstrike w:val="0"/>
        <w:snapToGrid w:val="0"/>
        <w:vanish w:val="0"/>
        <w:color w:val="000000"/>
        <w:spacing w:val="0"/>
        <w:w w:val="100"/>
        <w:kern w:val="0"/>
        <w:position w:val="0"/>
        <w:sz w:val="21"/>
        <w:u w:val="none"/>
        <w:vertAlign w:val="baseline"/>
        <w14:shadow w14:blurRad="0" w14:dist="0" w14:dir="0" w14:sx="0" w14:sy="0" w14:kx="0" w14:ky="0" w14:algn="none">
          <w14:srgbClr w14:val="000000"/>
        </w14:shadow>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3969"/>
        </w:tabs>
        <w:ind w:left="3969" w:hanging="1418"/>
      </w:pPr>
      <w:rPr>
        <w:rFonts w:hint="eastAsia"/>
      </w:rPr>
    </w:lvl>
    <w:lvl w:ilvl="8" w:tentative="0">
      <w:start w:val="1"/>
      <w:numFmt w:val="decimal"/>
      <w:lvlText w:val="%1.%2.%3.%4.%5.%6.%7.%8.%9"/>
      <w:lvlJc w:val="left"/>
      <w:pPr>
        <w:tabs>
          <w:tab w:val="left" w:pos="4677"/>
        </w:tabs>
        <w:ind w:left="4677" w:hanging="1700"/>
      </w:pPr>
      <w:rPr>
        <w:rFonts w:hint="eastAsia"/>
      </w:rPr>
    </w:lvl>
  </w:abstractNum>
  <w:abstractNum w:abstractNumId="14">
    <w:nsid w:val="0AE367E9"/>
    <w:multiLevelType w:val="multilevel"/>
    <w:tmpl w:val="0AE367E9"/>
    <w:lvl w:ilvl="0" w:tentative="0">
      <w:start w:val="1"/>
      <w:numFmt w:val="none"/>
      <w:pStyle w:val="293"/>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5">
    <w:nsid w:val="0D46713A"/>
    <w:multiLevelType w:val="multilevel"/>
    <w:tmpl w:val="0D46713A"/>
    <w:lvl w:ilvl="0" w:tentative="0">
      <w:start w:val="1"/>
      <w:numFmt w:val="bullet"/>
      <w:pStyle w:val="327"/>
      <w:lvlText w:val=""/>
      <w:lvlJc w:val="left"/>
      <w:pPr>
        <w:ind w:left="206" w:hanging="420"/>
      </w:pPr>
      <w:rPr>
        <w:rFonts w:hint="default" w:ascii="Wingdings" w:hAnsi="Wingdings"/>
      </w:rPr>
    </w:lvl>
    <w:lvl w:ilvl="1" w:tentative="0">
      <w:start w:val="1"/>
      <w:numFmt w:val="bullet"/>
      <w:lvlText w:val=""/>
      <w:lvlJc w:val="left"/>
      <w:pPr>
        <w:ind w:left="626" w:hanging="420"/>
      </w:pPr>
      <w:rPr>
        <w:rFonts w:hint="default" w:ascii="Wingdings" w:hAnsi="Wingdings"/>
      </w:rPr>
    </w:lvl>
    <w:lvl w:ilvl="2" w:tentative="0">
      <w:start w:val="1"/>
      <w:numFmt w:val="bullet"/>
      <w:lvlText w:val=""/>
      <w:lvlJc w:val="left"/>
      <w:pPr>
        <w:ind w:left="1046" w:hanging="420"/>
      </w:pPr>
      <w:rPr>
        <w:rFonts w:hint="default" w:ascii="Wingdings" w:hAnsi="Wingdings"/>
      </w:rPr>
    </w:lvl>
    <w:lvl w:ilvl="3" w:tentative="0">
      <w:start w:val="1"/>
      <w:numFmt w:val="bullet"/>
      <w:lvlText w:val=""/>
      <w:lvlJc w:val="left"/>
      <w:pPr>
        <w:ind w:left="1466" w:hanging="420"/>
      </w:pPr>
      <w:rPr>
        <w:rFonts w:hint="default" w:ascii="Wingdings" w:hAnsi="Wingdings"/>
      </w:rPr>
    </w:lvl>
    <w:lvl w:ilvl="4" w:tentative="0">
      <w:start w:val="1"/>
      <w:numFmt w:val="bullet"/>
      <w:lvlText w:val=""/>
      <w:lvlJc w:val="left"/>
      <w:pPr>
        <w:ind w:left="1886" w:hanging="420"/>
      </w:pPr>
      <w:rPr>
        <w:rFonts w:hint="default" w:ascii="Wingdings" w:hAnsi="Wingdings"/>
      </w:rPr>
    </w:lvl>
    <w:lvl w:ilvl="5" w:tentative="0">
      <w:start w:val="1"/>
      <w:numFmt w:val="bullet"/>
      <w:lvlText w:val=""/>
      <w:lvlJc w:val="left"/>
      <w:pPr>
        <w:ind w:left="2306" w:hanging="420"/>
      </w:pPr>
      <w:rPr>
        <w:rFonts w:hint="default" w:ascii="Wingdings" w:hAnsi="Wingdings"/>
      </w:rPr>
    </w:lvl>
    <w:lvl w:ilvl="6" w:tentative="0">
      <w:start w:val="1"/>
      <w:numFmt w:val="bullet"/>
      <w:lvlText w:val=""/>
      <w:lvlJc w:val="left"/>
      <w:pPr>
        <w:ind w:left="2726" w:hanging="420"/>
      </w:pPr>
      <w:rPr>
        <w:rFonts w:hint="default" w:ascii="Wingdings" w:hAnsi="Wingdings"/>
      </w:rPr>
    </w:lvl>
    <w:lvl w:ilvl="7" w:tentative="0">
      <w:start w:val="1"/>
      <w:numFmt w:val="bullet"/>
      <w:lvlText w:val=""/>
      <w:lvlJc w:val="left"/>
      <w:pPr>
        <w:ind w:left="3146" w:hanging="420"/>
      </w:pPr>
      <w:rPr>
        <w:rFonts w:hint="default" w:ascii="Wingdings" w:hAnsi="Wingdings"/>
      </w:rPr>
    </w:lvl>
    <w:lvl w:ilvl="8" w:tentative="0">
      <w:start w:val="1"/>
      <w:numFmt w:val="bullet"/>
      <w:lvlText w:val=""/>
      <w:lvlJc w:val="left"/>
      <w:pPr>
        <w:ind w:left="3566" w:hanging="420"/>
      </w:pPr>
      <w:rPr>
        <w:rFonts w:hint="default" w:ascii="Wingdings" w:hAnsi="Wingdings"/>
      </w:rPr>
    </w:lvl>
  </w:abstractNum>
  <w:abstractNum w:abstractNumId="16">
    <w:nsid w:val="1FC91163"/>
    <w:multiLevelType w:val="multilevel"/>
    <w:tmpl w:val="1FC91163"/>
    <w:lvl w:ilvl="0" w:tentative="0">
      <w:start w:val="1"/>
      <w:numFmt w:val="decimal"/>
      <w:pStyle w:val="4"/>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61"/>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262"/>
      <w:suff w:val="nothing"/>
      <w:lvlText w:val="%1.%2.%3　"/>
      <w:lvlJc w:val="left"/>
      <w:pPr>
        <w:ind w:left="567" w:firstLine="0"/>
      </w:pPr>
      <w:rPr>
        <w:rFonts w:hint="eastAsia" w:ascii="黑体" w:hAnsi="Times New Roman" w:eastAsia="黑体"/>
        <w:b w:val="0"/>
        <w:i w:val="0"/>
        <w:sz w:val="21"/>
      </w:rPr>
    </w:lvl>
    <w:lvl w:ilvl="3" w:tentative="0">
      <w:start w:val="1"/>
      <w:numFmt w:val="decimal"/>
      <w:pStyle w:val="291"/>
      <w:suff w:val="nothing"/>
      <w:lvlText w:val="%1.%2.%3.%4　"/>
      <w:lvlJc w:val="left"/>
      <w:pPr>
        <w:ind w:left="0" w:firstLine="0"/>
      </w:pPr>
      <w:rPr>
        <w:rFonts w:hint="eastAsia" w:ascii="黑体" w:hAnsi="Times New Roman" w:eastAsia="黑体"/>
        <w:b w:val="0"/>
        <w:i w:val="0"/>
        <w:sz w:val="21"/>
      </w:rPr>
    </w:lvl>
    <w:lvl w:ilvl="4" w:tentative="0">
      <w:start w:val="1"/>
      <w:numFmt w:val="decimal"/>
      <w:pStyle w:val="296"/>
      <w:suff w:val="nothing"/>
      <w:lvlText w:val="%1.%2.%3.%4.%5　"/>
      <w:lvlJc w:val="left"/>
      <w:pPr>
        <w:ind w:left="0" w:firstLine="0"/>
      </w:pPr>
      <w:rPr>
        <w:rFonts w:hint="eastAsia" w:ascii="黑体" w:hAnsi="Times New Roman" w:eastAsia="黑体"/>
        <w:b w:val="0"/>
        <w:i w:val="0"/>
        <w:sz w:val="21"/>
      </w:rPr>
    </w:lvl>
    <w:lvl w:ilvl="5" w:tentative="0">
      <w:start w:val="1"/>
      <w:numFmt w:val="decimal"/>
      <w:pStyle w:val="301"/>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7">
    <w:nsid w:val="2A8F7113"/>
    <w:multiLevelType w:val="multilevel"/>
    <w:tmpl w:val="2A8F7113"/>
    <w:lvl w:ilvl="0" w:tentative="0">
      <w:start w:val="1"/>
      <w:numFmt w:val="upperLetter"/>
      <w:pStyle w:val="351"/>
      <w:suff w:val="space"/>
      <w:lvlText w:val="%1"/>
      <w:lvlJc w:val="left"/>
      <w:pPr>
        <w:ind w:left="0" w:firstLine="0"/>
      </w:pPr>
      <w:rPr>
        <w:rFonts w:hint="eastAsia"/>
      </w:rPr>
    </w:lvl>
    <w:lvl w:ilvl="1" w:tentative="0">
      <w:start w:val="1"/>
      <w:numFmt w:val="decimal"/>
      <w:pStyle w:val="282"/>
      <w:suff w:val="nothing"/>
      <w:lvlText w:val="图%1.%2　"/>
      <w:lvlJc w:val="left"/>
      <w:pPr>
        <w:ind w:left="0" w:firstLine="0"/>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8">
    <w:nsid w:val="41A64E98"/>
    <w:multiLevelType w:val="multilevel"/>
    <w:tmpl w:val="41A64E98"/>
    <w:lvl w:ilvl="0" w:tentative="0">
      <w:start w:val="1"/>
      <w:numFmt w:val="decimal"/>
      <w:pStyle w:val="307"/>
      <w:lvlText w:val="0.%1"/>
      <w:lvlJc w:val="left"/>
      <w:pPr>
        <w:tabs>
          <w:tab w:val="left" w:pos="360"/>
        </w:tabs>
        <w:ind w:left="0" w:firstLine="0"/>
      </w:pPr>
      <w:rPr>
        <w:rFonts w:hint="eastAsia" w:ascii="黑体" w:hAnsi="Times New Roman" w:eastAsia="黑体"/>
        <w:b w:val="0"/>
        <w:i w:val="0"/>
        <w:sz w:val="21"/>
      </w:rPr>
    </w:lvl>
    <w:lvl w:ilvl="1" w:tentative="0">
      <w:start w:val="1"/>
      <w:numFmt w:val="decimal"/>
      <w:pStyle w:val="348"/>
      <w:lvlText w:val="0.%1.%2"/>
      <w:lvlJc w:val="left"/>
      <w:pPr>
        <w:tabs>
          <w:tab w:val="left" w:pos="720"/>
        </w:tabs>
        <w:ind w:left="0" w:firstLine="0"/>
      </w:pPr>
      <w:rPr>
        <w:rFonts w:hint="eastAsia" w:ascii="黑体" w:hAnsi="Times New Roman" w:eastAsia="黑体"/>
        <w:b w:val="0"/>
        <w:i w:val="0"/>
        <w:sz w:val="21"/>
      </w:rPr>
    </w:lvl>
    <w:lvl w:ilvl="2" w:tentative="0">
      <w:start w:val="1"/>
      <w:numFmt w:val="decimal"/>
      <w:lvlText w:val="0.%2.%3  "/>
      <w:lvlJc w:val="left"/>
      <w:pPr>
        <w:tabs>
          <w:tab w:val="left" w:pos="-31680"/>
        </w:tabs>
        <w:ind w:left="-32767" w:firstLine="0"/>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78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991"/>
        </w:tabs>
        <w:ind w:left="3827" w:hanging="1276"/>
      </w:pPr>
      <w:rPr>
        <w:rFonts w:hint="eastAsia"/>
      </w:rPr>
    </w:lvl>
    <w:lvl w:ilvl="7" w:tentative="0">
      <w:start w:val="1"/>
      <w:numFmt w:val="decimal"/>
      <w:lvlText w:val="%1.%2.%3.%4.%5.%6.%7.%8"/>
      <w:lvlJc w:val="left"/>
      <w:pPr>
        <w:tabs>
          <w:tab w:val="left" w:pos="477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abstractNum w:abstractNumId="19">
    <w:nsid w:val="4B733A5F"/>
    <w:multiLevelType w:val="multilevel"/>
    <w:tmpl w:val="4B733A5F"/>
    <w:lvl w:ilvl="0" w:tentative="0">
      <w:start w:val="1"/>
      <w:numFmt w:val="decimal"/>
      <w:pStyle w:val="308"/>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20">
    <w:nsid w:val="55E02EF4"/>
    <w:multiLevelType w:val="multilevel"/>
    <w:tmpl w:val="55E02EF4"/>
    <w:lvl w:ilvl="0" w:tentative="0">
      <w:start w:val="1"/>
      <w:numFmt w:val="decimal"/>
      <w:pStyle w:val="303"/>
      <w:lvlText w:val="图%1"/>
      <w:lvlJc w:val="left"/>
      <w:pPr>
        <w:tabs>
          <w:tab w:val="left" w:pos="360"/>
        </w:tabs>
        <w:ind w:left="0" w:firstLine="0"/>
      </w:pPr>
      <w:rPr>
        <w:rFonts w:hint="eastAsia" w:ascii="黑体" w:eastAsia="黑体"/>
        <w:b w:val="0"/>
        <w:i w:val="0"/>
        <w:sz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5AC919DC"/>
    <w:multiLevelType w:val="multilevel"/>
    <w:tmpl w:val="5AC919DC"/>
    <w:lvl w:ilvl="0" w:tentative="0">
      <w:start w:val="1"/>
      <w:numFmt w:val="decimal"/>
      <w:pStyle w:val="3"/>
      <w:lvlText w:val="%1"/>
      <w:lvlJc w:val="left"/>
      <w:pPr>
        <w:ind w:left="432" w:hanging="432"/>
      </w:pPr>
    </w:lvl>
    <w:lvl w:ilvl="1" w:tentative="0">
      <w:start w:val="1"/>
      <w:numFmt w:val="decimal"/>
      <w:pStyle w:val="6"/>
      <w:lvlText w:val="%1.%2"/>
      <w:lvlJc w:val="left"/>
      <w:pPr>
        <w:ind w:left="576" w:hanging="576"/>
      </w:pPr>
    </w:lvl>
    <w:lvl w:ilvl="2" w:tentative="0">
      <w:start w:val="1"/>
      <w:numFmt w:val="decimal"/>
      <w:pStyle w:val="8"/>
      <w:lvlText w:val="%1.%2.%3"/>
      <w:lvlJc w:val="left"/>
      <w:pPr>
        <w:ind w:left="720" w:hanging="720"/>
      </w:pPr>
      <w:rPr>
        <w:rFonts w:hint="default" w:ascii="Times New Roman" w:hAnsi="Times New Roman" w:cs="Times New Roman"/>
        <w:b w:val="0"/>
        <w:bCs w:val="0"/>
      </w:rPr>
    </w:lvl>
    <w:lvl w:ilvl="3" w:tentative="0">
      <w:start w:val="1"/>
      <w:numFmt w:val="decimal"/>
      <w:pStyle w:val="9"/>
      <w:lvlText w:val="%1.%2.%3.%4"/>
      <w:lvlJc w:val="left"/>
      <w:pPr>
        <w:ind w:left="864" w:hanging="864"/>
      </w:pPr>
    </w:lvl>
    <w:lvl w:ilvl="4" w:tentative="0">
      <w:start w:val="1"/>
      <w:numFmt w:val="decimal"/>
      <w:pStyle w:val="10"/>
      <w:lvlText w:val="%1.%2.%3.%4.%5"/>
      <w:lvlJc w:val="left"/>
      <w:pPr>
        <w:ind w:left="1008" w:hanging="1008"/>
      </w:pPr>
    </w:lvl>
    <w:lvl w:ilvl="5" w:tentative="0">
      <w:start w:val="1"/>
      <w:numFmt w:val="decimal"/>
      <w:pStyle w:val="11"/>
      <w:lvlText w:val="%1.%2.%3.%4.%5.%6"/>
      <w:lvlJc w:val="left"/>
      <w:pPr>
        <w:ind w:left="1152" w:hanging="1152"/>
      </w:pPr>
    </w:lvl>
    <w:lvl w:ilvl="6" w:tentative="0">
      <w:start w:val="1"/>
      <w:numFmt w:val="decimal"/>
      <w:pStyle w:val="12"/>
      <w:lvlText w:val="%1.%2.%3.%4.%5.%6.%7"/>
      <w:lvlJc w:val="left"/>
      <w:pPr>
        <w:ind w:left="1296" w:hanging="1296"/>
      </w:pPr>
    </w:lvl>
    <w:lvl w:ilvl="7" w:tentative="0">
      <w:start w:val="1"/>
      <w:numFmt w:val="decimal"/>
      <w:pStyle w:val="13"/>
      <w:lvlText w:val="%1.%2.%3.%4.%5.%6.%7.%8"/>
      <w:lvlJc w:val="left"/>
      <w:pPr>
        <w:ind w:left="1440" w:hanging="1440"/>
      </w:pPr>
    </w:lvl>
    <w:lvl w:ilvl="8" w:tentative="0">
      <w:start w:val="1"/>
      <w:numFmt w:val="decimal"/>
      <w:pStyle w:val="14"/>
      <w:lvlText w:val="%1.%2.%3.%4.%5.%6.%7.%8.%9"/>
      <w:lvlJc w:val="left"/>
      <w:pPr>
        <w:ind w:left="1584" w:hanging="1584"/>
      </w:pPr>
    </w:lvl>
  </w:abstractNum>
  <w:abstractNum w:abstractNumId="22">
    <w:nsid w:val="5B7E3733"/>
    <w:multiLevelType w:val="multilevel"/>
    <w:tmpl w:val="5B7E3733"/>
    <w:lvl w:ilvl="0" w:tentative="0">
      <w:start w:val="1"/>
      <w:numFmt w:val="decimal"/>
      <w:pStyle w:val="297"/>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23">
    <w:nsid w:val="60B55DC2"/>
    <w:multiLevelType w:val="multilevel"/>
    <w:tmpl w:val="60B55DC2"/>
    <w:lvl w:ilvl="0" w:tentative="0">
      <w:start w:val="1"/>
      <w:numFmt w:val="upperLetter"/>
      <w:pStyle w:val="350"/>
      <w:lvlText w:val="%1"/>
      <w:lvlJc w:val="left"/>
      <w:pPr>
        <w:tabs>
          <w:tab w:val="left" w:pos="0"/>
        </w:tabs>
        <w:ind w:left="0" w:firstLine="0"/>
      </w:pPr>
      <w:rPr>
        <w:rFonts w:hint="eastAsia"/>
      </w:rPr>
    </w:lvl>
    <w:lvl w:ilvl="1" w:tentative="0">
      <w:start w:val="1"/>
      <w:numFmt w:val="decimal"/>
      <w:pStyle w:val="276"/>
      <w:suff w:val="nothing"/>
      <w:lvlText w:val="表%1.%2　"/>
      <w:lvlJc w:val="left"/>
      <w:pPr>
        <w:ind w:left="0" w:firstLine="0"/>
      </w:pPr>
      <w:rPr>
        <w:rFonts w:hint="eastAsia" w:ascii="黑体" w:hAnsi="黑体" w:eastAsia="黑体"/>
        <w:b w:val="0"/>
        <w:i w:val="0"/>
        <w:caps w:val="0"/>
        <w:strike w:val="0"/>
        <w:dstrike w:val="0"/>
        <w:snapToGrid w:val="0"/>
        <w:vanish w:val="0"/>
        <w:kern w:val="0"/>
        <w:sz w:val="21"/>
        <w:vertAlign w:val="baseline"/>
      </w:rPr>
    </w:lvl>
    <w:lvl w:ilvl="2" w:tentative="0">
      <w:start w:val="1"/>
      <w:numFmt w:val="none"/>
      <w:pStyle w:val="319"/>
      <w:suff w:val="nothing"/>
      <w:lvlText w:val="表%1.%2　"/>
      <w:lvlJc w:val="left"/>
      <w:pPr>
        <w:ind w:left="0" w:firstLine="0"/>
      </w:pPr>
      <w:rPr>
        <w:rFonts w:hint="eastAsia" w:ascii="黑体" w:hAnsi="黑体" w:eastAsia="黑体"/>
        <w:b w:val="0"/>
        <w:i w:val="0"/>
        <w:sz w:val="21"/>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24">
    <w:nsid w:val="657D3FBC"/>
    <w:multiLevelType w:val="multilevel"/>
    <w:tmpl w:val="657D3FBC"/>
    <w:lvl w:ilvl="0" w:tentative="0">
      <w:start w:val="1"/>
      <w:numFmt w:val="upperLetter"/>
      <w:pStyle w:val="275"/>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277"/>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78"/>
      <w:suff w:val="nothing"/>
      <w:lvlText w:val="%1.%2.%3　"/>
      <w:lvlJc w:val="left"/>
      <w:pPr>
        <w:ind w:left="0" w:firstLine="0"/>
      </w:pPr>
      <w:rPr>
        <w:rFonts w:hint="eastAsia" w:ascii="黑体" w:hAnsi="Times New Roman" w:eastAsia="黑体"/>
        <w:b w:val="0"/>
        <w:i w:val="0"/>
        <w:sz w:val="21"/>
      </w:rPr>
    </w:lvl>
    <w:lvl w:ilvl="3" w:tentative="0">
      <w:start w:val="1"/>
      <w:numFmt w:val="decimal"/>
      <w:pStyle w:val="279"/>
      <w:suff w:val="nothing"/>
      <w:lvlText w:val="%1.%2.%3.%4　"/>
      <w:lvlJc w:val="left"/>
      <w:pPr>
        <w:ind w:left="0" w:firstLine="0"/>
      </w:pPr>
      <w:rPr>
        <w:rFonts w:hint="eastAsia" w:ascii="黑体" w:hAnsi="Times New Roman" w:eastAsia="黑体"/>
        <w:b w:val="0"/>
        <w:i w:val="0"/>
        <w:sz w:val="21"/>
      </w:rPr>
    </w:lvl>
    <w:lvl w:ilvl="4" w:tentative="0">
      <w:start w:val="1"/>
      <w:numFmt w:val="decimal"/>
      <w:pStyle w:val="280"/>
      <w:suff w:val="nothing"/>
      <w:lvlText w:val="%1.%2.%3.%4.%5　"/>
      <w:lvlJc w:val="left"/>
      <w:pPr>
        <w:ind w:left="0" w:firstLine="0"/>
      </w:pPr>
      <w:rPr>
        <w:rFonts w:hint="eastAsia" w:ascii="黑体" w:hAnsi="Times New Roman" w:eastAsia="黑体"/>
        <w:b w:val="0"/>
        <w:i w:val="0"/>
        <w:sz w:val="21"/>
      </w:rPr>
    </w:lvl>
    <w:lvl w:ilvl="5" w:tentative="0">
      <w:start w:val="1"/>
      <w:numFmt w:val="decimal"/>
      <w:pStyle w:val="281"/>
      <w:suff w:val="nothing"/>
      <w:lvlText w:val="%1.%2.%3.%4.%5.%6　"/>
      <w:lvlJc w:val="left"/>
      <w:pPr>
        <w:ind w:left="0" w:firstLine="0"/>
      </w:pPr>
      <w:rPr>
        <w:rFonts w:ascii="黑体" w:hAnsi="黑体" w:eastAsia="黑体"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6" w:tentative="0">
      <w:start w:val="1"/>
      <w:numFmt w:val="decimal"/>
      <w:pStyle w:val="283"/>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DBF04F4"/>
    <w:multiLevelType w:val="multilevel"/>
    <w:tmpl w:val="6DBF04F4"/>
    <w:lvl w:ilvl="0" w:tentative="0">
      <w:start w:val="1"/>
      <w:numFmt w:val="none"/>
      <w:pStyle w:val="304"/>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6">
    <w:nsid w:val="763A6836"/>
    <w:multiLevelType w:val="multilevel"/>
    <w:tmpl w:val="763A6836"/>
    <w:lvl w:ilvl="0" w:tentative="0">
      <w:start w:val="1"/>
      <w:numFmt w:val="none"/>
      <w:suff w:val="nothing"/>
      <w:lvlText w:val=""/>
      <w:lvlJc w:val="left"/>
      <w:pPr>
        <w:ind w:left="0" w:firstLine="0"/>
      </w:pPr>
      <w:rPr>
        <w:rFonts w:hint="eastAsia" w:ascii="黑体" w:hAnsi="Times New Roman" w:eastAsia="黑体"/>
        <w:b/>
        <w:i w:val="0"/>
        <w:sz w:val="28"/>
      </w:rPr>
    </w:lvl>
    <w:lvl w:ilvl="1" w:tentative="0">
      <w:start w:val="1"/>
      <w:numFmt w:val="decimal"/>
      <w:pStyle w:val="309"/>
      <w:suff w:val="nothing"/>
      <w:lvlText w:val="%1%2 "/>
      <w:lvlJc w:val="left"/>
      <w:pPr>
        <w:ind w:left="0" w:firstLine="0"/>
      </w:pPr>
      <w:rPr>
        <w:rFonts w:hint="eastAsia" w:ascii="黑体" w:hAnsi="Times New Roman" w:eastAsia="黑体"/>
        <w:b/>
        <w:i w:val="0"/>
        <w:sz w:val="28"/>
      </w:rPr>
    </w:lvl>
    <w:lvl w:ilvl="2" w:tentative="0">
      <w:start w:val="1"/>
      <w:numFmt w:val="decimal"/>
      <w:pStyle w:val="310"/>
      <w:suff w:val="nothing"/>
      <w:lvlText w:val="%1%2.%3　"/>
      <w:lvlJc w:val="left"/>
      <w:pPr>
        <w:ind w:left="0" w:firstLine="0"/>
      </w:pPr>
      <w:rPr>
        <w:rFonts w:hint="eastAsia" w:ascii="黑体" w:hAnsi="Times New Roman" w:eastAsia="黑体"/>
        <w:b/>
        <w:i w:val="0"/>
        <w:sz w:val="21"/>
      </w:rPr>
    </w:lvl>
    <w:lvl w:ilvl="3" w:tentative="0">
      <w:start w:val="1"/>
      <w:numFmt w:val="decimal"/>
      <w:pStyle w:val="311"/>
      <w:suff w:val="nothing"/>
      <w:lvlText w:val="%1%2.%3.%4　"/>
      <w:lvlJc w:val="left"/>
      <w:pPr>
        <w:ind w:left="0" w:firstLine="0"/>
      </w:pPr>
      <w:rPr>
        <w:rFonts w:hint="eastAsia" w:ascii="黑体" w:hAnsi="Times New Roman" w:eastAsia="黑体"/>
        <w:b/>
        <w:i w:val="0"/>
        <w:sz w:val="21"/>
      </w:rPr>
    </w:lvl>
    <w:lvl w:ilvl="4" w:tentative="0">
      <w:start w:val="1"/>
      <w:numFmt w:val="decimal"/>
      <w:pStyle w:val="312"/>
      <w:suff w:val="nothing"/>
      <w:lvlText w:val="表%1%2.%3.%4-%5 "/>
      <w:lvlJc w:val="left"/>
      <w:pPr>
        <w:ind w:left="0" w:firstLine="0"/>
      </w:pPr>
      <w:rPr>
        <w:rFonts w:hint="eastAsia" w:ascii="黑体" w:hAnsi="Times New Roman" w:eastAsia="黑体"/>
        <w:b/>
        <w:i w:val="0"/>
        <w:sz w:val="21"/>
      </w:rPr>
    </w:lvl>
    <w:lvl w:ilvl="5" w:tentative="0">
      <w:start w:val="1"/>
      <w:numFmt w:val="decimal"/>
      <w:lvlRestart w:val="4"/>
      <w:pStyle w:val="313"/>
      <w:suff w:val="nothing"/>
      <w:lvlText w:val="%1图%2.%3.%4-%6 "/>
      <w:lvlJc w:val="left"/>
      <w:pPr>
        <w:ind w:left="0" w:firstLine="0"/>
      </w:pPr>
      <w:rPr>
        <w:rFonts w:hint="eastAsia" w:ascii="黑体" w:hAnsi="Times New Roman" w:eastAsia="黑体"/>
        <w:b/>
        <w:i w:val="0"/>
        <w:sz w:val="21"/>
      </w:rPr>
    </w:lvl>
    <w:lvl w:ilvl="6" w:tentative="0">
      <w:start w:val="1"/>
      <w:numFmt w:val="decimal"/>
      <w:lvlRestart w:val="4"/>
      <w:pStyle w:val="314"/>
      <w:suff w:val="nothing"/>
      <w:lvlText w:val="(%2.%3.%4-%7)"/>
      <w:lvlJc w:val="center"/>
      <w:pPr>
        <w:ind w:left="288" w:firstLine="288"/>
      </w:pPr>
      <w:rPr>
        <w:rFonts w:hint="eastAsia" w:ascii="黑体" w:hAnsi="Times New Roman" w:eastAsia="黑体"/>
        <w:b/>
        <w:i w:val="0"/>
        <w:sz w:val="21"/>
      </w:rPr>
    </w:lvl>
    <w:lvl w:ilvl="7" w:tentative="0">
      <w:start w:val="1"/>
      <w:numFmt w:val="decimal"/>
      <w:lvlRestart w:val="2"/>
      <w:pStyle w:val="316"/>
      <w:lvlText w:val="    %1%8"/>
      <w:lvlJc w:val="left"/>
      <w:pPr>
        <w:tabs>
          <w:tab w:val="left" w:pos="720"/>
        </w:tabs>
        <w:ind w:left="0" w:firstLine="0"/>
      </w:pPr>
      <w:rPr>
        <w:rFonts w:hint="eastAsia" w:ascii="黑体" w:eastAsia="黑体"/>
        <w:b/>
        <w:i w:val="0"/>
        <w:sz w:val="21"/>
      </w:rPr>
    </w:lvl>
    <w:lvl w:ilvl="8" w:tentative="0">
      <w:start w:val="1"/>
      <w:numFmt w:val="decimal"/>
      <w:lvlRestart w:val="2"/>
      <w:pStyle w:val="315"/>
      <w:lvlText w:val="%2.0.%9"/>
      <w:lvlJc w:val="left"/>
      <w:pPr>
        <w:tabs>
          <w:tab w:val="left" w:pos="720"/>
        </w:tabs>
        <w:ind w:left="0" w:firstLine="0"/>
      </w:pPr>
      <w:rPr>
        <w:rFonts w:hint="eastAsia" w:ascii="黑体" w:hAnsi="华文细黑" w:eastAsia="黑体"/>
        <w:b/>
        <w:i w:val="0"/>
        <w:sz w:val="21"/>
      </w:rPr>
    </w:lvl>
  </w:abstractNum>
  <w:abstractNum w:abstractNumId="27">
    <w:nsid w:val="76933334"/>
    <w:multiLevelType w:val="multilevel"/>
    <w:tmpl w:val="76933334"/>
    <w:lvl w:ilvl="0" w:tentative="0">
      <w:start w:val="1"/>
      <w:numFmt w:val="none"/>
      <w:pStyle w:val="286"/>
      <w:lvlText w:val="%1——"/>
      <w:lvlJc w:val="left"/>
      <w:pPr>
        <w:tabs>
          <w:tab w:val="left" w:pos="1140"/>
        </w:tabs>
        <w:ind w:left="840" w:hanging="420"/>
      </w:pPr>
      <w:rPr>
        <w:rFonts w:hint="eastAsia" w:ascii="黑体" w:hAnsi="黑体" w:eastAsia="黑体"/>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1"/>
  </w:num>
  <w:num w:numId="2">
    <w:abstractNumId w:val="16"/>
  </w:num>
  <w:num w:numId="3">
    <w:abstractNumId w:val="4"/>
  </w:num>
  <w:num w:numId="4">
    <w:abstractNumId w:val="6"/>
  </w:num>
  <w:num w:numId="5">
    <w:abstractNumId w:val="9"/>
  </w:num>
  <w:num w:numId="6">
    <w:abstractNumId w:val="10"/>
  </w:num>
  <w:num w:numId="7">
    <w:abstractNumId w:val="7"/>
  </w:num>
  <w:num w:numId="8">
    <w:abstractNumId w:val="3"/>
  </w:num>
  <w:num w:numId="9">
    <w:abstractNumId w:val="8"/>
  </w:num>
  <w:num w:numId="10">
    <w:abstractNumId w:val="5"/>
  </w:num>
  <w:num w:numId="11">
    <w:abstractNumId w:val="2"/>
  </w:num>
  <w:num w:numId="12">
    <w:abstractNumId w:val="1"/>
  </w:num>
  <w:num w:numId="13">
    <w:abstractNumId w:val="24"/>
  </w:num>
  <w:num w:numId="14">
    <w:abstractNumId w:val="23"/>
  </w:num>
  <w:num w:numId="15">
    <w:abstractNumId w:val="17"/>
  </w:num>
  <w:num w:numId="16">
    <w:abstractNumId w:val="27"/>
  </w:num>
  <w:num w:numId="17">
    <w:abstractNumId w:val="14"/>
  </w:num>
  <w:num w:numId="18">
    <w:abstractNumId w:val="0"/>
  </w:num>
  <w:num w:numId="19">
    <w:abstractNumId w:val="22"/>
  </w:num>
  <w:num w:numId="20">
    <w:abstractNumId w:val="13"/>
  </w:num>
  <w:num w:numId="21">
    <w:abstractNumId w:val="20"/>
  </w:num>
  <w:num w:numId="22">
    <w:abstractNumId w:val="25"/>
  </w:num>
  <w:num w:numId="23">
    <w:abstractNumId w:val="12"/>
  </w:num>
  <w:num w:numId="24">
    <w:abstractNumId w:val="18"/>
  </w:num>
  <w:num w:numId="25">
    <w:abstractNumId w:val="19"/>
  </w:num>
  <w:num w:numId="26">
    <w:abstractNumId w:val="26"/>
  </w:num>
  <w:num w:numId="27">
    <w:abstractNumId w:val="15"/>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mirrorMargins w:val="1"/>
  <w:bordersDoNotSurroundHeader w:val="1"/>
  <w:bordersDoNotSurroundFooter w:val="1"/>
  <w:attachedTemplate r:id="rId1"/>
  <w:documentProtection w:enforcement="0"/>
  <w:defaultTabStop w:val="210"/>
  <w:evenAndOddHeaders w:val="1"/>
  <w:drawingGridHorizontalSpacing w:val="21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FjYWI2N2YyNDFlNDA1ZThhMmUxOGFmN2I2MmRlZGYifQ=="/>
  </w:docVars>
  <w:rsids>
    <w:rsidRoot w:val="3B1D52CC"/>
    <w:rsid w:val="0000461C"/>
    <w:rsid w:val="00006548"/>
    <w:rsid w:val="000078D8"/>
    <w:rsid w:val="00013018"/>
    <w:rsid w:val="00014FB8"/>
    <w:rsid w:val="00027BD3"/>
    <w:rsid w:val="00027C4A"/>
    <w:rsid w:val="00036B39"/>
    <w:rsid w:val="000372EA"/>
    <w:rsid w:val="00040BBF"/>
    <w:rsid w:val="00046D0C"/>
    <w:rsid w:val="000505DC"/>
    <w:rsid w:val="00052425"/>
    <w:rsid w:val="00053FB5"/>
    <w:rsid w:val="0005593B"/>
    <w:rsid w:val="00060ECF"/>
    <w:rsid w:val="00066319"/>
    <w:rsid w:val="00066C4E"/>
    <w:rsid w:val="00071A35"/>
    <w:rsid w:val="00075DD9"/>
    <w:rsid w:val="00076F59"/>
    <w:rsid w:val="000810CB"/>
    <w:rsid w:val="00083185"/>
    <w:rsid w:val="0008431A"/>
    <w:rsid w:val="000868F3"/>
    <w:rsid w:val="00091559"/>
    <w:rsid w:val="0009271F"/>
    <w:rsid w:val="0009648F"/>
    <w:rsid w:val="000A0EAE"/>
    <w:rsid w:val="000A3565"/>
    <w:rsid w:val="000A568D"/>
    <w:rsid w:val="000A6E5F"/>
    <w:rsid w:val="000B4E38"/>
    <w:rsid w:val="000B6ECB"/>
    <w:rsid w:val="000C21DC"/>
    <w:rsid w:val="000C2EFF"/>
    <w:rsid w:val="000D2D03"/>
    <w:rsid w:val="000E2B29"/>
    <w:rsid w:val="000E434B"/>
    <w:rsid w:val="000E53A9"/>
    <w:rsid w:val="000E7B1D"/>
    <w:rsid w:val="000F3FB7"/>
    <w:rsid w:val="000F522B"/>
    <w:rsid w:val="0010094D"/>
    <w:rsid w:val="00105A26"/>
    <w:rsid w:val="00105D2F"/>
    <w:rsid w:val="0010610B"/>
    <w:rsid w:val="0011405F"/>
    <w:rsid w:val="00123BF9"/>
    <w:rsid w:val="001271D5"/>
    <w:rsid w:val="00127602"/>
    <w:rsid w:val="00134681"/>
    <w:rsid w:val="00136F2C"/>
    <w:rsid w:val="00144633"/>
    <w:rsid w:val="00145954"/>
    <w:rsid w:val="001517CF"/>
    <w:rsid w:val="0015312B"/>
    <w:rsid w:val="00155149"/>
    <w:rsid w:val="00155E9A"/>
    <w:rsid w:val="00157A47"/>
    <w:rsid w:val="00162D96"/>
    <w:rsid w:val="00164C6D"/>
    <w:rsid w:val="00170B1F"/>
    <w:rsid w:val="00172236"/>
    <w:rsid w:val="0017473D"/>
    <w:rsid w:val="001748CC"/>
    <w:rsid w:val="0017737E"/>
    <w:rsid w:val="001830DE"/>
    <w:rsid w:val="0019708A"/>
    <w:rsid w:val="001A5BF9"/>
    <w:rsid w:val="001B4379"/>
    <w:rsid w:val="001B6922"/>
    <w:rsid w:val="001C2054"/>
    <w:rsid w:val="001C365B"/>
    <w:rsid w:val="001D5AA4"/>
    <w:rsid w:val="001D71BA"/>
    <w:rsid w:val="001E7EF6"/>
    <w:rsid w:val="001F03FD"/>
    <w:rsid w:val="001F0E09"/>
    <w:rsid w:val="001F1581"/>
    <w:rsid w:val="002019B1"/>
    <w:rsid w:val="002055A5"/>
    <w:rsid w:val="00216264"/>
    <w:rsid w:val="002174F9"/>
    <w:rsid w:val="002203A6"/>
    <w:rsid w:val="0022058B"/>
    <w:rsid w:val="00222CBD"/>
    <w:rsid w:val="00222F1F"/>
    <w:rsid w:val="00226CA8"/>
    <w:rsid w:val="00227E52"/>
    <w:rsid w:val="002310FD"/>
    <w:rsid w:val="00235CB0"/>
    <w:rsid w:val="00242EB4"/>
    <w:rsid w:val="00247E6D"/>
    <w:rsid w:val="00261533"/>
    <w:rsid w:val="00266F01"/>
    <w:rsid w:val="00267674"/>
    <w:rsid w:val="002701D0"/>
    <w:rsid w:val="00271AC0"/>
    <w:rsid w:val="002752D7"/>
    <w:rsid w:val="00276044"/>
    <w:rsid w:val="00277D91"/>
    <w:rsid w:val="002827F3"/>
    <w:rsid w:val="00282FBE"/>
    <w:rsid w:val="002856BC"/>
    <w:rsid w:val="00285EB5"/>
    <w:rsid w:val="00287FD8"/>
    <w:rsid w:val="00290F38"/>
    <w:rsid w:val="002917C0"/>
    <w:rsid w:val="002A3BE2"/>
    <w:rsid w:val="002A4111"/>
    <w:rsid w:val="002A4DD0"/>
    <w:rsid w:val="002A6B18"/>
    <w:rsid w:val="002B0965"/>
    <w:rsid w:val="002C29E1"/>
    <w:rsid w:val="002C4FC9"/>
    <w:rsid w:val="002C6C4A"/>
    <w:rsid w:val="002C6F4C"/>
    <w:rsid w:val="002D0968"/>
    <w:rsid w:val="002D15B2"/>
    <w:rsid w:val="002D6FC5"/>
    <w:rsid w:val="002E08C1"/>
    <w:rsid w:val="002E4303"/>
    <w:rsid w:val="002E5F3F"/>
    <w:rsid w:val="002E6396"/>
    <w:rsid w:val="002F0B3D"/>
    <w:rsid w:val="002F17BA"/>
    <w:rsid w:val="002F1862"/>
    <w:rsid w:val="00303CA5"/>
    <w:rsid w:val="00305A1F"/>
    <w:rsid w:val="00311A5F"/>
    <w:rsid w:val="00312ED3"/>
    <w:rsid w:val="00316CBA"/>
    <w:rsid w:val="0032372D"/>
    <w:rsid w:val="00324802"/>
    <w:rsid w:val="00334E8C"/>
    <w:rsid w:val="00337CA1"/>
    <w:rsid w:val="00341843"/>
    <w:rsid w:val="003435A5"/>
    <w:rsid w:val="00351580"/>
    <w:rsid w:val="00352F0C"/>
    <w:rsid w:val="003550DA"/>
    <w:rsid w:val="00366B99"/>
    <w:rsid w:val="003700F7"/>
    <w:rsid w:val="0037334F"/>
    <w:rsid w:val="00391415"/>
    <w:rsid w:val="003915D5"/>
    <w:rsid w:val="003936D1"/>
    <w:rsid w:val="00397925"/>
    <w:rsid w:val="003A4F7B"/>
    <w:rsid w:val="003B30B8"/>
    <w:rsid w:val="003B65E2"/>
    <w:rsid w:val="003C5C82"/>
    <w:rsid w:val="003C624E"/>
    <w:rsid w:val="003D636C"/>
    <w:rsid w:val="003E08AF"/>
    <w:rsid w:val="003E326C"/>
    <w:rsid w:val="003E7CE2"/>
    <w:rsid w:val="003F2DA8"/>
    <w:rsid w:val="003F4B9E"/>
    <w:rsid w:val="003F764E"/>
    <w:rsid w:val="003F7892"/>
    <w:rsid w:val="00406CC1"/>
    <w:rsid w:val="0041207A"/>
    <w:rsid w:val="00424474"/>
    <w:rsid w:val="00424515"/>
    <w:rsid w:val="00436ECC"/>
    <w:rsid w:val="00437162"/>
    <w:rsid w:val="004414E6"/>
    <w:rsid w:val="00447DDB"/>
    <w:rsid w:val="00453862"/>
    <w:rsid w:val="004538C4"/>
    <w:rsid w:val="004548A9"/>
    <w:rsid w:val="004619AC"/>
    <w:rsid w:val="00463A10"/>
    <w:rsid w:val="00466FF2"/>
    <w:rsid w:val="00467339"/>
    <w:rsid w:val="00480481"/>
    <w:rsid w:val="004826C9"/>
    <w:rsid w:val="00483E19"/>
    <w:rsid w:val="0048668C"/>
    <w:rsid w:val="00490088"/>
    <w:rsid w:val="00492EBD"/>
    <w:rsid w:val="00494501"/>
    <w:rsid w:val="004A3243"/>
    <w:rsid w:val="004A51CE"/>
    <w:rsid w:val="004B2425"/>
    <w:rsid w:val="004C0991"/>
    <w:rsid w:val="004C3C28"/>
    <w:rsid w:val="004C7CDC"/>
    <w:rsid w:val="004D673C"/>
    <w:rsid w:val="004E494A"/>
    <w:rsid w:val="004F0A4B"/>
    <w:rsid w:val="00500D91"/>
    <w:rsid w:val="00501397"/>
    <w:rsid w:val="00505048"/>
    <w:rsid w:val="0050545B"/>
    <w:rsid w:val="005134E3"/>
    <w:rsid w:val="00515AC9"/>
    <w:rsid w:val="005175BF"/>
    <w:rsid w:val="00517D40"/>
    <w:rsid w:val="00520DEA"/>
    <w:rsid w:val="00521E61"/>
    <w:rsid w:val="005233EB"/>
    <w:rsid w:val="005272AE"/>
    <w:rsid w:val="005322CC"/>
    <w:rsid w:val="00532D32"/>
    <w:rsid w:val="0053303D"/>
    <w:rsid w:val="00534928"/>
    <w:rsid w:val="005369E2"/>
    <w:rsid w:val="00543CCC"/>
    <w:rsid w:val="00550AA0"/>
    <w:rsid w:val="00551135"/>
    <w:rsid w:val="00552C5F"/>
    <w:rsid w:val="00556575"/>
    <w:rsid w:val="00562526"/>
    <w:rsid w:val="00566469"/>
    <w:rsid w:val="00573966"/>
    <w:rsid w:val="00573CAA"/>
    <w:rsid w:val="00574578"/>
    <w:rsid w:val="005909D9"/>
    <w:rsid w:val="0059143E"/>
    <w:rsid w:val="00592F5E"/>
    <w:rsid w:val="00593ABD"/>
    <w:rsid w:val="00594C82"/>
    <w:rsid w:val="00596BBE"/>
    <w:rsid w:val="005A35D5"/>
    <w:rsid w:val="005A406C"/>
    <w:rsid w:val="005C2F98"/>
    <w:rsid w:val="005C4CBE"/>
    <w:rsid w:val="005C67AA"/>
    <w:rsid w:val="005C713F"/>
    <w:rsid w:val="005D5966"/>
    <w:rsid w:val="005E141A"/>
    <w:rsid w:val="005E6322"/>
    <w:rsid w:val="005F462C"/>
    <w:rsid w:val="006012AF"/>
    <w:rsid w:val="00601445"/>
    <w:rsid w:val="006047CC"/>
    <w:rsid w:val="00605DD9"/>
    <w:rsid w:val="006069FE"/>
    <w:rsid w:val="00611BD0"/>
    <w:rsid w:val="00613523"/>
    <w:rsid w:val="0061695B"/>
    <w:rsid w:val="00620F75"/>
    <w:rsid w:val="00621786"/>
    <w:rsid w:val="00626CE1"/>
    <w:rsid w:val="00626EF0"/>
    <w:rsid w:val="00630366"/>
    <w:rsid w:val="00630EC5"/>
    <w:rsid w:val="00632988"/>
    <w:rsid w:val="00635194"/>
    <w:rsid w:val="00636102"/>
    <w:rsid w:val="0064281E"/>
    <w:rsid w:val="0065094C"/>
    <w:rsid w:val="00664A32"/>
    <w:rsid w:val="00673CE0"/>
    <w:rsid w:val="00674639"/>
    <w:rsid w:val="00677A06"/>
    <w:rsid w:val="00680346"/>
    <w:rsid w:val="00680543"/>
    <w:rsid w:val="00681844"/>
    <w:rsid w:val="00682991"/>
    <w:rsid w:val="00683F30"/>
    <w:rsid w:val="006852A0"/>
    <w:rsid w:val="00687BF0"/>
    <w:rsid w:val="006A01D7"/>
    <w:rsid w:val="006A14F7"/>
    <w:rsid w:val="006A1E3D"/>
    <w:rsid w:val="006A2E8B"/>
    <w:rsid w:val="006B06D4"/>
    <w:rsid w:val="006B643E"/>
    <w:rsid w:val="006D12A2"/>
    <w:rsid w:val="006D3FAF"/>
    <w:rsid w:val="006D6D2B"/>
    <w:rsid w:val="006E72EE"/>
    <w:rsid w:val="006E740A"/>
    <w:rsid w:val="006E7E4F"/>
    <w:rsid w:val="006F0340"/>
    <w:rsid w:val="006F1FF9"/>
    <w:rsid w:val="006F2E55"/>
    <w:rsid w:val="00701219"/>
    <w:rsid w:val="00704C22"/>
    <w:rsid w:val="007064A5"/>
    <w:rsid w:val="007124E0"/>
    <w:rsid w:val="00715BD0"/>
    <w:rsid w:val="00717D67"/>
    <w:rsid w:val="007343DA"/>
    <w:rsid w:val="00743CC7"/>
    <w:rsid w:val="00746901"/>
    <w:rsid w:val="0074732A"/>
    <w:rsid w:val="0075471B"/>
    <w:rsid w:val="00755820"/>
    <w:rsid w:val="00760EB5"/>
    <w:rsid w:val="00767B2F"/>
    <w:rsid w:val="00770F79"/>
    <w:rsid w:val="00773A5E"/>
    <w:rsid w:val="007747E7"/>
    <w:rsid w:val="00776408"/>
    <w:rsid w:val="0078233D"/>
    <w:rsid w:val="00782D1E"/>
    <w:rsid w:val="007971D2"/>
    <w:rsid w:val="007A0D44"/>
    <w:rsid w:val="007A1D9F"/>
    <w:rsid w:val="007A4AD8"/>
    <w:rsid w:val="007C33B3"/>
    <w:rsid w:val="007C594E"/>
    <w:rsid w:val="007C6F09"/>
    <w:rsid w:val="007D02D7"/>
    <w:rsid w:val="007D0FF8"/>
    <w:rsid w:val="007D2FAA"/>
    <w:rsid w:val="007E0206"/>
    <w:rsid w:val="007E3F4F"/>
    <w:rsid w:val="007F30CB"/>
    <w:rsid w:val="007F4171"/>
    <w:rsid w:val="007F47C1"/>
    <w:rsid w:val="007F69B9"/>
    <w:rsid w:val="00811C33"/>
    <w:rsid w:val="00826390"/>
    <w:rsid w:val="00832A22"/>
    <w:rsid w:val="00850113"/>
    <w:rsid w:val="00852FD6"/>
    <w:rsid w:val="0086798F"/>
    <w:rsid w:val="00870886"/>
    <w:rsid w:val="008708FD"/>
    <w:rsid w:val="00892F48"/>
    <w:rsid w:val="00893AD8"/>
    <w:rsid w:val="00894606"/>
    <w:rsid w:val="008A793D"/>
    <w:rsid w:val="008B4194"/>
    <w:rsid w:val="008B78F7"/>
    <w:rsid w:val="008C0296"/>
    <w:rsid w:val="008C5347"/>
    <w:rsid w:val="008D2560"/>
    <w:rsid w:val="008D383F"/>
    <w:rsid w:val="008D47FB"/>
    <w:rsid w:val="008E1AE0"/>
    <w:rsid w:val="008E351F"/>
    <w:rsid w:val="008E36E3"/>
    <w:rsid w:val="008E4A51"/>
    <w:rsid w:val="008E5D78"/>
    <w:rsid w:val="008E7672"/>
    <w:rsid w:val="00901473"/>
    <w:rsid w:val="00901DA3"/>
    <w:rsid w:val="00906231"/>
    <w:rsid w:val="009065DF"/>
    <w:rsid w:val="00912F4C"/>
    <w:rsid w:val="00913F61"/>
    <w:rsid w:val="00914165"/>
    <w:rsid w:val="00921C7A"/>
    <w:rsid w:val="00925705"/>
    <w:rsid w:val="00935427"/>
    <w:rsid w:val="009535DF"/>
    <w:rsid w:val="009542AB"/>
    <w:rsid w:val="0095659D"/>
    <w:rsid w:val="009609BC"/>
    <w:rsid w:val="009676B1"/>
    <w:rsid w:val="009721AF"/>
    <w:rsid w:val="00974A49"/>
    <w:rsid w:val="00975AF1"/>
    <w:rsid w:val="00995610"/>
    <w:rsid w:val="00996816"/>
    <w:rsid w:val="009B62A2"/>
    <w:rsid w:val="009C0704"/>
    <w:rsid w:val="009D19E4"/>
    <w:rsid w:val="009E0D60"/>
    <w:rsid w:val="009E2946"/>
    <w:rsid w:val="009E5AAF"/>
    <w:rsid w:val="009E5FD8"/>
    <w:rsid w:val="009F22A2"/>
    <w:rsid w:val="009F7CDF"/>
    <w:rsid w:val="00A061EA"/>
    <w:rsid w:val="00A16BD9"/>
    <w:rsid w:val="00A23501"/>
    <w:rsid w:val="00A26D04"/>
    <w:rsid w:val="00A329C9"/>
    <w:rsid w:val="00A32CE4"/>
    <w:rsid w:val="00A342E2"/>
    <w:rsid w:val="00A35C5B"/>
    <w:rsid w:val="00A37C67"/>
    <w:rsid w:val="00A40CF5"/>
    <w:rsid w:val="00A46586"/>
    <w:rsid w:val="00A470A7"/>
    <w:rsid w:val="00A473CC"/>
    <w:rsid w:val="00A503D7"/>
    <w:rsid w:val="00A526DE"/>
    <w:rsid w:val="00A66C9E"/>
    <w:rsid w:val="00A710F2"/>
    <w:rsid w:val="00A7181D"/>
    <w:rsid w:val="00A77814"/>
    <w:rsid w:val="00A832D8"/>
    <w:rsid w:val="00A87239"/>
    <w:rsid w:val="00A94542"/>
    <w:rsid w:val="00AA4903"/>
    <w:rsid w:val="00AA4BDA"/>
    <w:rsid w:val="00AA5AAF"/>
    <w:rsid w:val="00AB08AA"/>
    <w:rsid w:val="00AB12B4"/>
    <w:rsid w:val="00AB32D8"/>
    <w:rsid w:val="00AC06BB"/>
    <w:rsid w:val="00AC3ACC"/>
    <w:rsid w:val="00AC5DB3"/>
    <w:rsid w:val="00AC7B65"/>
    <w:rsid w:val="00AD7ECC"/>
    <w:rsid w:val="00AE108D"/>
    <w:rsid w:val="00AE2F75"/>
    <w:rsid w:val="00AE3FF9"/>
    <w:rsid w:val="00AF2B0D"/>
    <w:rsid w:val="00AF2DD6"/>
    <w:rsid w:val="00AF5E96"/>
    <w:rsid w:val="00AF7644"/>
    <w:rsid w:val="00B01D8B"/>
    <w:rsid w:val="00B0338D"/>
    <w:rsid w:val="00B0682B"/>
    <w:rsid w:val="00B06F9F"/>
    <w:rsid w:val="00B13E76"/>
    <w:rsid w:val="00B23075"/>
    <w:rsid w:val="00B26DF9"/>
    <w:rsid w:val="00B32F9C"/>
    <w:rsid w:val="00B36E4B"/>
    <w:rsid w:val="00B36F32"/>
    <w:rsid w:val="00B44482"/>
    <w:rsid w:val="00B454CA"/>
    <w:rsid w:val="00B50A9B"/>
    <w:rsid w:val="00B55871"/>
    <w:rsid w:val="00B565EB"/>
    <w:rsid w:val="00B614B1"/>
    <w:rsid w:val="00B61550"/>
    <w:rsid w:val="00B664E9"/>
    <w:rsid w:val="00B71915"/>
    <w:rsid w:val="00B74099"/>
    <w:rsid w:val="00B74D02"/>
    <w:rsid w:val="00B75E1A"/>
    <w:rsid w:val="00B777F0"/>
    <w:rsid w:val="00B807AF"/>
    <w:rsid w:val="00B85382"/>
    <w:rsid w:val="00B90349"/>
    <w:rsid w:val="00BA10CB"/>
    <w:rsid w:val="00BA245C"/>
    <w:rsid w:val="00BB04E0"/>
    <w:rsid w:val="00BC12B9"/>
    <w:rsid w:val="00BC6C4C"/>
    <w:rsid w:val="00BC7072"/>
    <w:rsid w:val="00BC71BF"/>
    <w:rsid w:val="00BC7C12"/>
    <w:rsid w:val="00BD0517"/>
    <w:rsid w:val="00BD2D25"/>
    <w:rsid w:val="00BE027D"/>
    <w:rsid w:val="00BE4865"/>
    <w:rsid w:val="00BF01AC"/>
    <w:rsid w:val="00BF3DB8"/>
    <w:rsid w:val="00BF533F"/>
    <w:rsid w:val="00C00285"/>
    <w:rsid w:val="00C1055E"/>
    <w:rsid w:val="00C10ADE"/>
    <w:rsid w:val="00C12F1C"/>
    <w:rsid w:val="00C16238"/>
    <w:rsid w:val="00C22264"/>
    <w:rsid w:val="00C2239A"/>
    <w:rsid w:val="00C231D9"/>
    <w:rsid w:val="00C23698"/>
    <w:rsid w:val="00C23B16"/>
    <w:rsid w:val="00C26FF1"/>
    <w:rsid w:val="00C30610"/>
    <w:rsid w:val="00C3093D"/>
    <w:rsid w:val="00C40D6E"/>
    <w:rsid w:val="00C44BE4"/>
    <w:rsid w:val="00C54989"/>
    <w:rsid w:val="00C57D99"/>
    <w:rsid w:val="00C622AE"/>
    <w:rsid w:val="00C7294C"/>
    <w:rsid w:val="00C7721B"/>
    <w:rsid w:val="00C80B64"/>
    <w:rsid w:val="00C81185"/>
    <w:rsid w:val="00C825D9"/>
    <w:rsid w:val="00C863A7"/>
    <w:rsid w:val="00C87246"/>
    <w:rsid w:val="00C93770"/>
    <w:rsid w:val="00C97B1A"/>
    <w:rsid w:val="00CA1496"/>
    <w:rsid w:val="00CA612B"/>
    <w:rsid w:val="00CA7434"/>
    <w:rsid w:val="00CB0560"/>
    <w:rsid w:val="00CB182F"/>
    <w:rsid w:val="00CB7777"/>
    <w:rsid w:val="00CC19EC"/>
    <w:rsid w:val="00CC24C4"/>
    <w:rsid w:val="00CC48EB"/>
    <w:rsid w:val="00CC5D43"/>
    <w:rsid w:val="00CD527F"/>
    <w:rsid w:val="00CD6DB9"/>
    <w:rsid w:val="00CE0378"/>
    <w:rsid w:val="00CE18BB"/>
    <w:rsid w:val="00CE3A99"/>
    <w:rsid w:val="00CE76A1"/>
    <w:rsid w:val="00CF6B71"/>
    <w:rsid w:val="00CF740D"/>
    <w:rsid w:val="00D01F63"/>
    <w:rsid w:val="00D04726"/>
    <w:rsid w:val="00D10D6A"/>
    <w:rsid w:val="00D10F52"/>
    <w:rsid w:val="00D1360E"/>
    <w:rsid w:val="00D20260"/>
    <w:rsid w:val="00D2434F"/>
    <w:rsid w:val="00D32102"/>
    <w:rsid w:val="00D32D62"/>
    <w:rsid w:val="00D40DEC"/>
    <w:rsid w:val="00D44C9E"/>
    <w:rsid w:val="00D60160"/>
    <w:rsid w:val="00D679FB"/>
    <w:rsid w:val="00D75023"/>
    <w:rsid w:val="00D761AB"/>
    <w:rsid w:val="00D77681"/>
    <w:rsid w:val="00D77B86"/>
    <w:rsid w:val="00D901FC"/>
    <w:rsid w:val="00D90EAA"/>
    <w:rsid w:val="00DA6FB5"/>
    <w:rsid w:val="00DA77E4"/>
    <w:rsid w:val="00DB1277"/>
    <w:rsid w:val="00DC300E"/>
    <w:rsid w:val="00DC3CE3"/>
    <w:rsid w:val="00DC572F"/>
    <w:rsid w:val="00DC5920"/>
    <w:rsid w:val="00DD42E2"/>
    <w:rsid w:val="00DE6C5C"/>
    <w:rsid w:val="00DE79D1"/>
    <w:rsid w:val="00DF2AB0"/>
    <w:rsid w:val="00DF3719"/>
    <w:rsid w:val="00E013E0"/>
    <w:rsid w:val="00E03AF0"/>
    <w:rsid w:val="00E044E1"/>
    <w:rsid w:val="00E04DBB"/>
    <w:rsid w:val="00E05C6A"/>
    <w:rsid w:val="00E05E73"/>
    <w:rsid w:val="00E11CCF"/>
    <w:rsid w:val="00E1204A"/>
    <w:rsid w:val="00E12E32"/>
    <w:rsid w:val="00E209EB"/>
    <w:rsid w:val="00E22E68"/>
    <w:rsid w:val="00E2389B"/>
    <w:rsid w:val="00E245C7"/>
    <w:rsid w:val="00E307EE"/>
    <w:rsid w:val="00E30917"/>
    <w:rsid w:val="00E31559"/>
    <w:rsid w:val="00E31D50"/>
    <w:rsid w:val="00E33A22"/>
    <w:rsid w:val="00E376DF"/>
    <w:rsid w:val="00E509E8"/>
    <w:rsid w:val="00E511EF"/>
    <w:rsid w:val="00E53F2E"/>
    <w:rsid w:val="00E558DE"/>
    <w:rsid w:val="00E61F24"/>
    <w:rsid w:val="00E638E4"/>
    <w:rsid w:val="00E63E1D"/>
    <w:rsid w:val="00E64E6B"/>
    <w:rsid w:val="00E73319"/>
    <w:rsid w:val="00E7465D"/>
    <w:rsid w:val="00E758C9"/>
    <w:rsid w:val="00E768E6"/>
    <w:rsid w:val="00E81453"/>
    <w:rsid w:val="00E83142"/>
    <w:rsid w:val="00E83C8F"/>
    <w:rsid w:val="00E8711A"/>
    <w:rsid w:val="00E87A23"/>
    <w:rsid w:val="00E923D8"/>
    <w:rsid w:val="00E939BF"/>
    <w:rsid w:val="00E94239"/>
    <w:rsid w:val="00E96E93"/>
    <w:rsid w:val="00EA0C5C"/>
    <w:rsid w:val="00EA3291"/>
    <w:rsid w:val="00EA5683"/>
    <w:rsid w:val="00EB2140"/>
    <w:rsid w:val="00EB359E"/>
    <w:rsid w:val="00EB518A"/>
    <w:rsid w:val="00EB7F1A"/>
    <w:rsid w:val="00EC0E1B"/>
    <w:rsid w:val="00EC205E"/>
    <w:rsid w:val="00EC4551"/>
    <w:rsid w:val="00EC487F"/>
    <w:rsid w:val="00ED1474"/>
    <w:rsid w:val="00ED7098"/>
    <w:rsid w:val="00EE22C2"/>
    <w:rsid w:val="00EE242D"/>
    <w:rsid w:val="00EE4858"/>
    <w:rsid w:val="00EE4A1A"/>
    <w:rsid w:val="00EF1FF1"/>
    <w:rsid w:val="00EF7F3B"/>
    <w:rsid w:val="00F036B3"/>
    <w:rsid w:val="00F03D11"/>
    <w:rsid w:val="00F07472"/>
    <w:rsid w:val="00F117DF"/>
    <w:rsid w:val="00F13618"/>
    <w:rsid w:val="00F17B6A"/>
    <w:rsid w:val="00F24692"/>
    <w:rsid w:val="00F24D06"/>
    <w:rsid w:val="00F252F0"/>
    <w:rsid w:val="00F25CA4"/>
    <w:rsid w:val="00F431D2"/>
    <w:rsid w:val="00F47837"/>
    <w:rsid w:val="00F512DE"/>
    <w:rsid w:val="00F54D0C"/>
    <w:rsid w:val="00F57960"/>
    <w:rsid w:val="00F64005"/>
    <w:rsid w:val="00F66499"/>
    <w:rsid w:val="00F730D0"/>
    <w:rsid w:val="00F73EF2"/>
    <w:rsid w:val="00F8041E"/>
    <w:rsid w:val="00F86146"/>
    <w:rsid w:val="00F91466"/>
    <w:rsid w:val="00F91DB0"/>
    <w:rsid w:val="00FA78CA"/>
    <w:rsid w:val="00FB7F2C"/>
    <w:rsid w:val="00FC19CF"/>
    <w:rsid w:val="00FD67E0"/>
    <w:rsid w:val="00FD67E7"/>
    <w:rsid w:val="00FD74B3"/>
    <w:rsid w:val="00FF091C"/>
    <w:rsid w:val="00FF5403"/>
    <w:rsid w:val="00FF6A0E"/>
    <w:rsid w:val="00FF7AEE"/>
    <w:rsid w:val="01007E71"/>
    <w:rsid w:val="011C7A69"/>
    <w:rsid w:val="013B176D"/>
    <w:rsid w:val="014D2403"/>
    <w:rsid w:val="017936BE"/>
    <w:rsid w:val="01BC72D6"/>
    <w:rsid w:val="01DA3CF5"/>
    <w:rsid w:val="01DC75DB"/>
    <w:rsid w:val="01F737EC"/>
    <w:rsid w:val="020166BB"/>
    <w:rsid w:val="020623A3"/>
    <w:rsid w:val="023D46EC"/>
    <w:rsid w:val="025E7646"/>
    <w:rsid w:val="02693733"/>
    <w:rsid w:val="02790F18"/>
    <w:rsid w:val="029F0FDC"/>
    <w:rsid w:val="02B03B02"/>
    <w:rsid w:val="02C1531D"/>
    <w:rsid w:val="02C94332"/>
    <w:rsid w:val="02DE5A3F"/>
    <w:rsid w:val="02EC3A98"/>
    <w:rsid w:val="02EF67D4"/>
    <w:rsid w:val="02F45ADC"/>
    <w:rsid w:val="033E3476"/>
    <w:rsid w:val="03547F3F"/>
    <w:rsid w:val="035F6558"/>
    <w:rsid w:val="03617D85"/>
    <w:rsid w:val="036A7762"/>
    <w:rsid w:val="03914CEF"/>
    <w:rsid w:val="03D9122A"/>
    <w:rsid w:val="03E312C3"/>
    <w:rsid w:val="03FE7BEA"/>
    <w:rsid w:val="04325FAC"/>
    <w:rsid w:val="044C627E"/>
    <w:rsid w:val="046D02B5"/>
    <w:rsid w:val="04731730"/>
    <w:rsid w:val="04823391"/>
    <w:rsid w:val="04843BD0"/>
    <w:rsid w:val="04B82B63"/>
    <w:rsid w:val="04D96D55"/>
    <w:rsid w:val="04E23328"/>
    <w:rsid w:val="050A394E"/>
    <w:rsid w:val="050E411D"/>
    <w:rsid w:val="053A4F12"/>
    <w:rsid w:val="05490214"/>
    <w:rsid w:val="05636E98"/>
    <w:rsid w:val="058E6453"/>
    <w:rsid w:val="059764E0"/>
    <w:rsid w:val="05A54F93"/>
    <w:rsid w:val="05AF67F7"/>
    <w:rsid w:val="05D709B3"/>
    <w:rsid w:val="05DE2242"/>
    <w:rsid w:val="06165A5E"/>
    <w:rsid w:val="06285F77"/>
    <w:rsid w:val="063730BD"/>
    <w:rsid w:val="065347BE"/>
    <w:rsid w:val="06684CF0"/>
    <w:rsid w:val="06755314"/>
    <w:rsid w:val="06783D70"/>
    <w:rsid w:val="067A4160"/>
    <w:rsid w:val="06AF3B1C"/>
    <w:rsid w:val="06B910E9"/>
    <w:rsid w:val="06CA5F4A"/>
    <w:rsid w:val="06F2019A"/>
    <w:rsid w:val="06FA37B9"/>
    <w:rsid w:val="07214332"/>
    <w:rsid w:val="073C1416"/>
    <w:rsid w:val="07837045"/>
    <w:rsid w:val="078A160A"/>
    <w:rsid w:val="07955ECB"/>
    <w:rsid w:val="07BF6C9F"/>
    <w:rsid w:val="07CC3F02"/>
    <w:rsid w:val="07D0379C"/>
    <w:rsid w:val="07D670D7"/>
    <w:rsid w:val="08047082"/>
    <w:rsid w:val="080B29C7"/>
    <w:rsid w:val="081027BE"/>
    <w:rsid w:val="082223BA"/>
    <w:rsid w:val="082425D6"/>
    <w:rsid w:val="083978F4"/>
    <w:rsid w:val="083A6E01"/>
    <w:rsid w:val="08485D38"/>
    <w:rsid w:val="086E53D9"/>
    <w:rsid w:val="08801AA5"/>
    <w:rsid w:val="088D14F6"/>
    <w:rsid w:val="08A458D1"/>
    <w:rsid w:val="08BB33BB"/>
    <w:rsid w:val="08CD2910"/>
    <w:rsid w:val="08D8116C"/>
    <w:rsid w:val="08ED0266"/>
    <w:rsid w:val="09116309"/>
    <w:rsid w:val="094F6F85"/>
    <w:rsid w:val="099948FD"/>
    <w:rsid w:val="09A137B2"/>
    <w:rsid w:val="09B041CE"/>
    <w:rsid w:val="09B35FA1"/>
    <w:rsid w:val="09BD6E82"/>
    <w:rsid w:val="09CB36E3"/>
    <w:rsid w:val="09E14CF7"/>
    <w:rsid w:val="09E34732"/>
    <w:rsid w:val="0A0B4470"/>
    <w:rsid w:val="0A260DDB"/>
    <w:rsid w:val="0A5018CA"/>
    <w:rsid w:val="0A843FD6"/>
    <w:rsid w:val="0A865F56"/>
    <w:rsid w:val="0A8725B9"/>
    <w:rsid w:val="0A8B035E"/>
    <w:rsid w:val="0ABA2D7D"/>
    <w:rsid w:val="0ADD370E"/>
    <w:rsid w:val="0AE377AC"/>
    <w:rsid w:val="0B107941"/>
    <w:rsid w:val="0B460AB5"/>
    <w:rsid w:val="0B61769D"/>
    <w:rsid w:val="0B7779E9"/>
    <w:rsid w:val="0B7D3DAB"/>
    <w:rsid w:val="0B7F2855"/>
    <w:rsid w:val="0BBE4E38"/>
    <w:rsid w:val="0BD85B86"/>
    <w:rsid w:val="0BE51351"/>
    <w:rsid w:val="0BF97D65"/>
    <w:rsid w:val="0C1D5F4B"/>
    <w:rsid w:val="0C25691C"/>
    <w:rsid w:val="0C335CBB"/>
    <w:rsid w:val="0C6C660D"/>
    <w:rsid w:val="0CCA60CA"/>
    <w:rsid w:val="0CCE0D62"/>
    <w:rsid w:val="0CD156CD"/>
    <w:rsid w:val="0CD65E05"/>
    <w:rsid w:val="0CE46450"/>
    <w:rsid w:val="0D000133"/>
    <w:rsid w:val="0D04417A"/>
    <w:rsid w:val="0D3B4BD2"/>
    <w:rsid w:val="0D5D4120"/>
    <w:rsid w:val="0D803C24"/>
    <w:rsid w:val="0DB905B5"/>
    <w:rsid w:val="0DBC0BBA"/>
    <w:rsid w:val="0DBE0B93"/>
    <w:rsid w:val="0DC422FC"/>
    <w:rsid w:val="0DEC589A"/>
    <w:rsid w:val="0DF609FF"/>
    <w:rsid w:val="0E004D21"/>
    <w:rsid w:val="0E155D69"/>
    <w:rsid w:val="0E1C569F"/>
    <w:rsid w:val="0E4836DF"/>
    <w:rsid w:val="0E49546F"/>
    <w:rsid w:val="0E947D89"/>
    <w:rsid w:val="0EAB1FB7"/>
    <w:rsid w:val="0EAE04B6"/>
    <w:rsid w:val="0EC37A58"/>
    <w:rsid w:val="0ECA4C4D"/>
    <w:rsid w:val="0ED711EA"/>
    <w:rsid w:val="0EDF4E5C"/>
    <w:rsid w:val="0EE0374B"/>
    <w:rsid w:val="0EF1386F"/>
    <w:rsid w:val="0EF34AB0"/>
    <w:rsid w:val="0EF425D6"/>
    <w:rsid w:val="0F052866"/>
    <w:rsid w:val="0F057FC2"/>
    <w:rsid w:val="0F1136A1"/>
    <w:rsid w:val="0F1862C4"/>
    <w:rsid w:val="0F3B791C"/>
    <w:rsid w:val="0F47409B"/>
    <w:rsid w:val="0F9A3F97"/>
    <w:rsid w:val="0F9E3E49"/>
    <w:rsid w:val="0FA67D74"/>
    <w:rsid w:val="0FA81EC1"/>
    <w:rsid w:val="0FAB66EA"/>
    <w:rsid w:val="0FB92F7B"/>
    <w:rsid w:val="0FBD4208"/>
    <w:rsid w:val="0FC12996"/>
    <w:rsid w:val="0FD77114"/>
    <w:rsid w:val="0FDD6F27"/>
    <w:rsid w:val="0FE64AFE"/>
    <w:rsid w:val="10356422"/>
    <w:rsid w:val="10744A40"/>
    <w:rsid w:val="108C0658"/>
    <w:rsid w:val="10AD0C8E"/>
    <w:rsid w:val="10B9072B"/>
    <w:rsid w:val="10C13771"/>
    <w:rsid w:val="10E13C2D"/>
    <w:rsid w:val="11021D36"/>
    <w:rsid w:val="11147473"/>
    <w:rsid w:val="111D5683"/>
    <w:rsid w:val="111E5162"/>
    <w:rsid w:val="113B3ED4"/>
    <w:rsid w:val="114976BD"/>
    <w:rsid w:val="1152374D"/>
    <w:rsid w:val="115E03E3"/>
    <w:rsid w:val="11A61B4B"/>
    <w:rsid w:val="11AA3420"/>
    <w:rsid w:val="1202325C"/>
    <w:rsid w:val="123E6286"/>
    <w:rsid w:val="124134CA"/>
    <w:rsid w:val="12487A96"/>
    <w:rsid w:val="12515E88"/>
    <w:rsid w:val="12666D2C"/>
    <w:rsid w:val="12687563"/>
    <w:rsid w:val="127A580F"/>
    <w:rsid w:val="128A603B"/>
    <w:rsid w:val="12F55664"/>
    <w:rsid w:val="12FC3570"/>
    <w:rsid w:val="130848A2"/>
    <w:rsid w:val="13097C8D"/>
    <w:rsid w:val="13111831"/>
    <w:rsid w:val="13215260"/>
    <w:rsid w:val="13420CA5"/>
    <w:rsid w:val="13460B7D"/>
    <w:rsid w:val="13643AE8"/>
    <w:rsid w:val="13851B60"/>
    <w:rsid w:val="138E2FF9"/>
    <w:rsid w:val="13926472"/>
    <w:rsid w:val="13970E9E"/>
    <w:rsid w:val="13A23094"/>
    <w:rsid w:val="13BB1BC0"/>
    <w:rsid w:val="13F90C72"/>
    <w:rsid w:val="13FE2FFC"/>
    <w:rsid w:val="14042BDB"/>
    <w:rsid w:val="1412576B"/>
    <w:rsid w:val="141A2BE1"/>
    <w:rsid w:val="141F1EA3"/>
    <w:rsid w:val="143D057B"/>
    <w:rsid w:val="14595880"/>
    <w:rsid w:val="145D6A31"/>
    <w:rsid w:val="149F2EBF"/>
    <w:rsid w:val="14A3048A"/>
    <w:rsid w:val="14CF5102"/>
    <w:rsid w:val="14F050B9"/>
    <w:rsid w:val="152C3682"/>
    <w:rsid w:val="153270E5"/>
    <w:rsid w:val="15354147"/>
    <w:rsid w:val="155468E1"/>
    <w:rsid w:val="155E1AA0"/>
    <w:rsid w:val="158E5F6C"/>
    <w:rsid w:val="15A24B3A"/>
    <w:rsid w:val="15C54287"/>
    <w:rsid w:val="1622230E"/>
    <w:rsid w:val="16225C7A"/>
    <w:rsid w:val="16297009"/>
    <w:rsid w:val="164202AD"/>
    <w:rsid w:val="16466510"/>
    <w:rsid w:val="16554584"/>
    <w:rsid w:val="16A843D2"/>
    <w:rsid w:val="16E81C2D"/>
    <w:rsid w:val="173D3DD6"/>
    <w:rsid w:val="175C08A1"/>
    <w:rsid w:val="1771364E"/>
    <w:rsid w:val="177B3217"/>
    <w:rsid w:val="17977695"/>
    <w:rsid w:val="17BA2945"/>
    <w:rsid w:val="17BD3EAD"/>
    <w:rsid w:val="17DC441C"/>
    <w:rsid w:val="17DC7277"/>
    <w:rsid w:val="18002ED2"/>
    <w:rsid w:val="18300B23"/>
    <w:rsid w:val="183C62F5"/>
    <w:rsid w:val="18422B09"/>
    <w:rsid w:val="18581EDD"/>
    <w:rsid w:val="186364ED"/>
    <w:rsid w:val="186702BB"/>
    <w:rsid w:val="187B4ECC"/>
    <w:rsid w:val="187D0F30"/>
    <w:rsid w:val="188305B0"/>
    <w:rsid w:val="18A633DF"/>
    <w:rsid w:val="18D43C8F"/>
    <w:rsid w:val="18D712A1"/>
    <w:rsid w:val="18F338FE"/>
    <w:rsid w:val="18F8018A"/>
    <w:rsid w:val="18FE27DD"/>
    <w:rsid w:val="19017AE5"/>
    <w:rsid w:val="19406AEE"/>
    <w:rsid w:val="194D6962"/>
    <w:rsid w:val="194F4FBD"/>
    <w:rsid w:val="195A5163"/>
    <w:rsid w:val="195A572B"/>
    <w:rsid w:val="195D1CB5"/>
    <w:rsid w:val="196431B5"/>
    <w:rsid w:val="19680D5C"/>
    <w:rsid w:val="197A4DAC"/>
    <w:rsid w:val="1985271E"/>
    <w:rsid w:val="198E6A38"/>
    <w:rsid w:val="199C5D44"/>
    <w:rsid w:val="19A65E73"/>
    <w:rsid w:val="19BE24C0"/>
    <w:rsid w:val="19C04EC7"/>
    <w:rsid w:val="19C77265"/>
    <w:rsid w:val="19D030A6"/>
    <w:rsid w:val="1A001341"/>
    <w:rsid w:val="1A103932"/>
    <w:rsid w:val="1A2C5E7B"/>
    <w:rsid w:val="1A2E0402"/>
    <w:rsid w:val="1A2F1218"/>
    <w:rsid w:val="1A310B82"/>
    <w:rsid w:val="1A713EEE"/>
    <w:rsid w:val="1A840CB2"/>
    <w:rsid w:val="1A987FB6"/>
    <w:rsid w:val="1B2435DE"/>
    <w:rsid w:val="1B3A5814"/>
    <w:rsid w:val="1B497D11"/>
    <w:rsid w:val="1B572DB2"/>
    <w:rsid w:val="1B7E5E76"/>
    <w:rsid w:val="1B900195"/>
    <w:rsid w:val="1B9031FC"/>
    <w:rsid w:val="1BB25F4C"/>
    <w:rsid w:val="1BD769E0"/>
    <w:rsid w:val="1BEF65FF"/>
    <w:rsid w:val="1C2453D2"/>
    <w:rsid w:val="1C26594D"/>
    <w:rsid w:val="1C3808F0"/>
    <w:rsid w:val="1C4471E9"/>
    <w:rsid w:val="1C5F19D6"/>
    <w:rsid w:val="1C6455EE"/>
    <w:rsid w:val="1C861486"/>
    <w:rsid w:val="1CA63E39"/>
    <w:rsid w:val="1CAA0778"/>
    <w:rsid w:val="1CAD73D2"/>
    <w:rsid w:val="1CC6416A"/>
    <w:rsid w:val="1CCC04DD"/>
    <w:rsid w:val="1CD81789"/>
    <w:rsid w:val="1CDD6E9B"/>
    <w:rsid w:val="1CE617B0"/>
    <w:rsid w:val="1CF24FB3"/>
    <w:rsid w:val="1D045ED4"/>
    <w:rsid w:val="1D083E1C"/>
    <w:rsid w:val="1D392227"/>
    <w:rsid w:val="1D4A2F9B"/>
    <w:rsid w:val="1D4A7E3E"/>
    <w:rsid w:val="1D561F58"/>
    <w:rsid w:val="1D564D3B"/>
    <w:rsid w:val="1D906AC9"/>
    <w:rsid w:val="1DB5251A"/>
    <w:rsid w:val="1DBC0763"/>
    <w:rsid w:val="1DCD050A"/>
    <w:rsid w:val="1DD71A40"/>
    <w:rsid w:val="1DEA5EED"/>
    <w:rsid w:val="1E3959A9"/>
    <w:rsid w:val="1E3C6C54"/>
    <w:rsid w:val="1E5B1135"/>
    <w:rsid w:val="1E5F3CF8"/>
    <w:rsid w:val="1E6116B1"/>
    <w:rsid w:val="1E8D04BB"/>
    <w:rsid w:val="1EA90E8C"/>
    <w:rsid w:val="1EB336C7"/>
    <w:rsid w:val="1EBE0DD1"/>
    <w:rsid w:val="1EC6748F"/>
    <w:rsid w:val="1ED63AA6"/>
    <w:rsid w:val="1ED77EE3"/>
    <w:rsid w:val="1F0A567B"/>
    <w:rsid w:val="1F2E11FF"/>
    <w:rsid w:val="1F65724C"/>
    <w:rsid w:val="1F8871CC"/>
    <w:rsid w:val="1FA04CCD"/>
    <w:rsid w:val="2063580D"/>
    <w:rsid w:val="207D76D5"/>
    <w:rsid w:val="208C585A"/>
    <w:rsid w:val="20A9420E"/>
    <w:rsid w:val="20B63016"/>
    <w:rsid w:val="20D66B08"/>
    <w:rsid w:val="20DE6C42"/>
    <w:rsid w:val="20E12B65"/>
    <w:rsid w:val="20E24984"/>
    <w:rsid w:val="20EC3A0B"/>
    <w:rsid w:val="20F11416"/>
    <w:rsid w:val="21181E14"/>
    <w:rsid w:val="21195D32"/>
    <w:rsid w:val="2124375C"/>
    <w:rsid w:val="213C25B0"/>
    <w:rsid w:val="21415EB8"/>
    <w:rsid w:val="214516FF"/>
    <w:rsid w:val="21505BF1"/>
    <w:rsid w:val="216B42E7"/>
    <w:rsid w:val="216B497A"/>
    <w:rsid w:val="216C1B3A"/>
    <w:rsid w:val="217D1E03"/>
    <w:rsid w:val="21B049AF"/>
    <w:rsid w:val="21BE4565"/>
    <w:rsid w:val="21C771CB"/>
    <w:rsid w:val="21D85E85"/>
    <w:rsid w:val="21DE4984"/>
    <w:rsid w:val="21F131EB"/>
    <w:rsid w:val="2220641A"/>
    <w:rsid w:val="222D6E2E"/>
    <w:rsid w:val="223F4778"/>
    <w:rsid w:val="224507D6"/>
    <w:rsid w:val="224D6FD5"/>
    <w:rsid w:val="2266047C"/>
    <w:rsid w:val="22926345"/>
    <w:rsid w:val="22AD34A6"/>
    <w:rsid w:val="22CA56D0"/>
    <w:rsid w:val="22D816FD"/>
    <w:rsid w:val="22DF2034"/>
    <w:rsid w:val="23011FA9"/>
    <w:rsid w:val="231D551D"/>
    <w:rsid w:val="232748D0"/>
    <w:rsid w:val="23506702"/>
    <w:rsid w:val="235D757B"/>
    <w:rsid w:val="238330B5"/>
    <w:rsid w:val="238849C4"/>
    <w:rsid w:val="23D0245B"/>
    <w:rsid w:val="23E95A7E"/>
    <w:rsid w:val="23F171DD"/>
    <w:rsid w:val="24003A9F"/>
    <w:rsid w:val="24241B78"/>
    <w:rsid w:val="24346CD9"/>
    <w:rsid w:val="24494EA3"/>
    <w:rsid w:val="245203A4"/>
    <w:rsid w:val="246456B0"/>
    <w:rsid w:val="24A70A0C"/>
    <w:rsid w:val="24A92EF6"/>
    <w:rsid w:val="25002307"/>
    <w:rsid w:val="25170CE6"/>
    <w:rsid w:val="251C7384"/>
    <w:rsid w:val="252A57AB"/>
    <w:rsid w:val="253418D0"/>
    <w:rsid w:val="25532083"/>
    <w:rsid w:val="25647DF6"/>
    <w:rsid w:val="256E28FB"/>
    <w:rsid w:val="25874F7C"/>
    <w:rsid w:val="25997B7C"/>
    <w:rsid w:val="25A81847"/>
    <w:rsid w:val="25E46D2A"/>
    <w:rsid w:val="26190E48"/>
    <w:rsid w:val="261D126C"/>
    <w:rsid w:val="261E43CB"/>
    <w:rsid w:val="262F5E20"/>
    <w:rsid w:val="268007CF"/>
    <w:rsid w:val="26881B2A"/>
    <w:rsid w:val="268D2657"/>
    <w:rsid w:val="26A50AD8"/>
    <w:rsid w:val="26DF2789"/>
    <w:rsid w:val="26E72A82"/>
    <w:rsid w:val="27007C91"/>
    <w:rsid w:val="27025475"/>
    <w:rsid w:val="270C7492"/>
    <w:rsid w:val="2721175F"/>
    <w:rsid w:val="275276F8"/>
    <w:rsid w:val="275C2966"/>
    <w:rsid w:val="276960AB"/>
    <w:rsid w:val="27967867"/>
    <w:rsid w:val="27AB6344"/>
    <w:rsid w:val="27B15D98"/>
    <w:rsid w:val="27BF157B"/>
    <w:rsid w:val="2818512F"/>
    <w:rsid w:val="283E1311"/>
    <w:rsid w:val="285847A8"/>
    <w:rsid w:val="2877359B"/>
    <w:rsid w:val="287A26B0"/>
    <w:rsid w:val="28947D38"/>
    <w:rsid w:val="28951EB5"/>
    <w:rsid w:val="28A424C5"/>
    <w:rsid w:val="28DE6636"/>
    <w:rsid w:val="28F21819"/>
    <w:rsid w:val="28F44F20"/>
    <w:rsid w:val="29180297"/>
    <w:rsid w:val="29183ED0"/>
    <w:rsid w:val="29207460"/>
    <w:rsid w:val="294D09C4"/>
    <w:rsid w:val="296373E2"/>
    <w:rsid w:val="298735D8"/>
    <w:rsid w:val="298C75C2"/>
    <w:rsid w:val="29AD66F4"/>
    <w:rsid w:val="29BF3462"/>
    <w:rsid w:val="29E167BB"/>
    <w:rsid w:val="29F55EF2"/>
    <w:rsid w:val="2A330D3D"/>
    <w:rsid w:val="2A5C7E17"/>
    <w:rsid w:val="2A7339F7"/>
    <w:rsid w:val="2AA21970"/>
    <w:rsid w:val="2AAD33E1"/>
    <w:rsid w:val="2AAE2FF8"/>
    <w:rsid w:val="2AB91683"/>
    <w:rsid w:val="2ACA2711"/>
    <w:rsid w:val="2AEB428D"/>
    <w:rsid w:val="2B2D0EF2"/>
    <w:rsid w:val="2B312790"/>
    <w:rsid w:val="2B3679AB"/>
    <w:rsid w:val="2B367DB4"/>
    <w:rsid w:val="2B375674"/>
    <w:rsid w:val="2B3F03AC"/>
    <w:rsid w:val="2B4E46A4"/>
    <w:rsid w:val="2B653716"/>
    <w:rsid w:val="2B7A4183"/>
    <w:rsid w:val="2B8D3A9C"/>
    <w:rsid w:val="2B922A43"/>
    <w:rsid w:val="2BAF70E3"/>
    <w:rsid w:val="2BB86A0D"/>
    <w:rsid w:val="2BC23AAA"/>
    <w:rsid w:val="2BC96FDD"/>
    <w:rsid w:val="2BE06256"/>
    <w:rsid w:val="2BFC4309"/>
    <w:rsid w:val="2BFD2672"/>
    <w:rsid w:val="2C333D68"/>
    <w:rsid w:val="2C35420F"/>
    <w:rsid w:val="2C3A7709"/>
    <w:rsid w:val="2C414E8C"/>
    <w:rsid w:val="2C467B2D"/>
    <w:rsid w:val="2C7F7C92"/>
    <w:rsid w:val="2C806D98"/>
    <w:rsid w:val="2C83526D"/>
    <w:rsid w:val="2C901738"/>
    <w:rsid w:val="2CA740B4"/>
    <w:rsid w:val="2CBE5FD7"/>
    <w:rsid w:val="2CD755B9"/>
    <w:rsid w:val="2CE751F6"/>
    <w:rsid w:val="2CF54F71"/>
    <w:rsid w:val="2D0F41C5"/>
    <w:rsid w:val="2D6055AE"/>
    <w:rsid w:val="2D7E06DF"/>
    <w:rsid w:val="2D9E5162"/>
    <w:rsid w:val="2DBC1EC3"/>
    <w:rsid w:val="2E163A65"/>
    <w:rsid w:val="2E3C1B78"/>
    <w:rsid w:val="2E4D037D"/>
    <w:rsid w:val="2E5B3859"/>
    <w:rsid w:val="2E6454A3"/>
    <w:rsid w:val="2E712FDB"/>
    <w:rsid w:val="2E786928"/>
    <w:rsid w:val="2E7A7684"/>
    <w:rsid w:val="2EE176AA"/>
    <w:rsid w:val="2EE642BE"/>
    <w:rsid w:val="2F1B6430"/>
    <w:rsid w:val="2F237668"/>
    <w:rsid w:val="2F2F7DF0"/>
    <w:rsid w:val="2F49381C"/>
    <w:rsid w:val="2F5702EB"/>
    <w:rsid w:val="2F68475F"/>
    <w:rsid w:val="2FA2660E"/>
    <w:rsid w:val="2FB467A9"/>
    <w:rsid w:val="2FF82B1E"/>
    <w:rsid w:val="2FFF7850"/>
    <w:rsid w:val="30096B0F"/>
    <w:rsid w:val="302F463F"/>
    <w:rsid w:val="303B24C1"/>
    <w:rsid w:val="304E77FB"/>
    <w:rsid w:val="306376E4"/>
    <w:rsid w:val="30940BC4"/>
    <w:rsid w:val="3099233F"/>
    <w:rsid w:val="30A306CB"/>
    <w:rsid w:val="30AE50A5"/>
    <w:rsid w:val="30B46E55"/>
    <w:rsid w:val="30DF63B7"/>
    <w:rsid w:val="31017683"/>
    <w:rsid w:val="31235342"/>
    <w:rsid w:val="31383864"/>
    <w:rsid w:val="316D6A2C"/>
    <w:rsid w:val="317B4036"/>
    <w:rsid w:val="319C4A08"/>
    <w:rsid w:val="31A125E8"/>
    <w:rsid w:val="31A92FCF"/>
    <w:rsid w:val="31AA0D69"/>
    <w:rsid w:val="3220355E"/>
    <w:rsid w:val="322B1F07"/>
    <w:rsid w:val="322E1FC9"/>
    <w:rsid w:val="328650F5"/>
    <w:rsid w:val="328C3A63"/>
    <w:rsid w:val="328C4750"/>
    <w:rsid w:val="32A735C5"/>
    <w:rsid w:val="32AA51CE"/>
    <w:rsid w:val="32AC3044"/>
    <w:rsid w:val="32B141B6"/>
    <w:rsid w:val="32C4075A"/>
    <w:rsid w:val="32D3412D"/>
    <w:rsid w:val="33012CDA"/>
    <w:rsid w:val="330E0AE2"/>
    <w:rsid w:val="331035D3"/>
    <w:rsid w:val="33292F7B"/>
    <w:rsid w:val="33492791"/>
    <w:rsid w:val="33627297"/>
    <w:rsid w:val="33681652"/>
    <w:rsid w:val="337B5E9A"/>
    <w:rsid w:val="339A4C4A"/>
    <w:rsid w:val="33A930DF"/>
    <w:rsid w:val="33FC761C"/>
    <w:rsid w:val="342C55BF"/>
    <w:rsid w:val="343418AE"/>
    <w:rsid w:val="346A70FE"/>
    <w:rsid w:val="347B794C"/>
    <w:rsid w:val="347E2116"/>
    <w:rsid w:val="348F6779"/>
    <w:rsid w:val="34A264AC"/>
    <w:rsid w:val="34A61C5D"/>
    <w:rsid w:val="34A77087"/>
    <w:rsid w:val="34AF1B43"/>
    <w:rsid w:val="34B03A5C"/>
    <w:rsid w:val="34B53783"/>
    <w:rsid w:val="34C15347"/>
    <w:rsid w:val="34F767F8"/>
    <w:rsid w:val="350C64C8"/>
    <w:rsid w:val="351A1FD4"/>
    <w:rsid w:val="351A3D18"/>
    <w:rsid w:val="351F085F"/>
    <w:rsid w:val="3546336D"/>
    <w:rsid w:val="355E0625"/>
    <w:rsid w:val="35AE1EFF"/>
    <w:rsid w:val="35B44695"/>
    <w:rsid w:val="35CF7E0B"/>
    <w:rsid w:val="35E32735"/>
    <w:rsid w:val="35E875DE"/>
    <w:rsid w:val="35F26FC0"/>
    <w:rsid w:val="35F76384"/>
    <w:rsid w:val="360665C9"/>
    <w:rsid w:val="361324B5"/>
    <w:rsid w:val="36411965"/>
    <w:rsid w:val="364F6803"/>
    <w:rsid w:val="365610AB"/>
    <w:rsid w:val="36631568"/>
    <w:rsid w:val="367135F7"/>
    <w:rsid w:val="367E3353"/>
    <w:rsid w:val="3686327E"/>
    <w:rsid w:val="36A340B5"/>
    <w:rsid w:val="36A869E3"/>
    <w:rsid w:val="36B24875"/>
    <w:rsid w:val="36B4381D"/>
    <w:rsid w:val="36B96B01"/>
    <w:rsid w:val="36FE47D1"/>
    <w:rsid w:val="37503CFE"/>
    <w:rsid w:val="375D604C"/>
    <w:rsid w:val="37624723"/>
    <w:rsid w:val="378E2D18"/>
    <w:rsid w:val="379E2A83"/>
    <w:rsid w:val="37C13B5A"/>
    <w:rsid w:val="37CB1BF4"/>
    <w:rsid w:val="37CF321E"/>
    <w:rsid w:val="37DC64BD"/>
    <w:rsid w:val="37E037B7"/>
    <w:rsid w:val="37ED0098"/>
    <w:rsid w:val="37F60FE9"/>
    <w:rsid w:val="37F92887"/>
    <w:rsid w:val="38076795"/>
    <w:rsid w:val="380E47E2"/>
    <w:rsid w:val="382249C5"/>
    <w:rsid w:val="38290B52"/>
    <w:rsid w:val="382F4065"/>
    <w:rsid w:val="38427FCC"/>
    <w:rsid w:val="38465E9E"/>
    <w:rsid w:val="384714E7"/>
    <w:rsid w:val="3863642A"/>
    <w:rsid w:val="38752D17"/>
    <w:rsid w:val="388B4B15"/>
    <w:rsid w:val="38997910"/>
    <w:rsid w:val="38F60B75"/>
    <w:rsid w:val="38FB3112"/>
    <w:rsid w:val="39043200"/>
    <w:rsid w:val="39490F45"/>
    <w:rsid w:val="396051B9"/>
    <w:rsid w:val="398F27CA"/>
    <w:rsid w:val="39941394"/>
    <w:rsid w:val="39BE3711"/>
    <w:rsid w:val="39C12F31"/>
    <w:rsid w:val="39CB3DB0"/>
    <w:rsid w:val="39D22D7F"/>
    <w:rsid w:val="39D8519F"/>
    <w:rsid w:val="39D864CC"/>
    <w:rsid w:val="39DA655F"/>
    <w:rsid w:val="39E72FFC"/>
    <w:rsid w:val="39ED7236"/>
    <w:rsid w:val="39ED7C07"/>
    <w:rsid w:val="39F75115"/>
    <w:rsid w:val="3A061832"/>
    <w:rsid w:val="3A073D99"/>
    <w:rsid w:val="3A3B3C5A"/>
    <w:rsid w:val="3A3F71F7"/>
    <w:rsid w:val="3A9B5EE8"/>
    <w:rsid w:val="3AA0348E"/>
    <w:rsid w:val="3AA506A3"/>
    <w:rsid w:val="3AAE1213"/>
    <w:rsid w:val="3B1D52CC"/>
    <w:rsid w:val="3B262ECF"/>
    <w:rsid w:val="3B5810A2"/>
    <w:rsid w:val="3B5D79D6"/>
    <w:rsid w:val="3B651FE2"/>
    <w:rsid w:val="3B7127F9"/>
    <w:rsid w:val="3B714E2B"/>
    <w:rsid w:val="3B761762"/>
    <w:rsid w:val="3B8F77AA"/>
    <w:rsid w:val="3B9D79CE"/>
    <w:rsid w:val="3BAD3AFC"/>
    <w:rsid w:val="3BD01B51"/>
    <w:rsid w:val="3BEB30F1"/>
    <w:rsid w:val="3C2F3E06"/>
    <w:rsid w:val="3C343B6B"/>
    <w:rsid w:val="3C4F7F62"/>
    <w:rsid w:val="3C575708"/>
    <w:rsid w:val="3C5A4393"/>
    <w:rsid w:val="3C702ECC"/>
    <w:rsid w:val="3C724046"/>
    <w:rsid w:val="3C727C5F"/>
    <w:rsid w:val="3C732714"/>
    <w:rsid w:val="3CA13E05"/>
    <w:rsid w:val="3CC46A9D"/>
    <w:rsid w:val="3CE11781"/>
    <w:rsid w:val="3CF11D7F"/>
    <w:rsid w:val="3D173AA6"/>
    <w:rsid w:val="3D316526"/>
    <w:rsid w:val="3D4B53B4"/>
    <w:rsid w:val="3D593DB1"/>
    <w:rsid w:val="3D6E54FC"/>
    <w:rsid w:val="3DDA3B85"/>
    <w:rsid w:val="3E22348C"/>
    <w:rsid w:val="3E394CCC"/>
    <w:rsid w:val="3E5941F7"/>
    <w:rsid w:val="3E863936"/>
    <w:rsid w:val="3EA34825"/>
    <w:rsid w:val="3EA43003"/>
    <w:rsid w:val="3EA46ED8"/>
    <w:rsid w:val="3EAD1E8E"/>
    <w:rsid w:val="3EB06A2E"/>
    <w:rsid w:val="3EBC460F"/>
    <w:rsid w:val="3EC97DCB"/>
    <w:rsid w:val="3F4D1B56"/>
    <w:rsid w:val="3F5A2A68"/>
    <w:rsid w:val="3F5B000D"/>
    <w:rsid w:val="3F770427"/>
    <w:rsid w:val="3F9E09FA"/>
    <w:rsid w:val="3FB71D9B"/>
    <w:rsid w:val="3FC836D6"/>
    <w:rsid w:val="3FC9554E"/>
    <w:rsid w:val="3FD30B58"/>
    <w:rsid w:val="3FD77FBC"/>
    <w:rsid w:val="3FDD4EDD"/>
    <w:rsid w:val="3FEB2BFB"/>
    <w:rsid w:val="400135D8"/>
    <w:rsid w:val="403427F8"/>
    <w:rsid w:val="40737336"/>
    <w:rsid w:val="407E487D"/>
    <w:rsid w:val="40C30E8F"/>
    <w:rsid w:val="40E943D8"/>
    <w:rsid w:val="40F35F9C"/>
    <w:rsid w:val="40FC7A3C"/>
    <w:rsid w:val="411D3C1C"/>
    <w:rsid w:val="411F02FE"/>
    <w:rsid w:val="41230975"/>
    <w:rsid w:val="41297BBD"/>
    <w:rsid w:val="412B210E"/>
    <w:rsid w:val="41322966"/>
    <w:rsid w:val="414E2552"/>
    <w:rsid w:val="4158372C"/>
    <w:rsid w:val="41842E7C"/>
    <w:rsid w:val="41C121C5"/>
    <w:rsid w:val="42140721"/>
    <w:rsid w:val="42140C64"/>
    <w:rsid w:val="422F6EA6"/>
    <w:rsid w:val="42355586"/>
    <w:rsid w:val="42487BFE"/>
    <w:rsid w:val="42852DD7"/>
    <w:rsid w:val="42BB549D"/>
    <w:rsid w:val="42EA174A"/>
    <w:rsid w:val="430411F5"/>
    <w:rsid w:val="432B59D9"/>
    <w:rsid w:val="433220F8"/>
    <w:rsid w:val="434D54A6"/>
    <w:rsid w:val="434E2635"/>
    <w:rsid w:val="436F7EA2"/>
    <w:rsid w:val="43747266"/>
    <w:rsid w:val="43971F46"/>
    <w:rsid w:val="43BB7BC8"/>
    <w:rsid w:val="43D77AD3"/>
    <w:rsid w:val="43DC28AD"/>
    <w:rsid w:val="43F30DE2"/>
    <w:rsid w:val="441B66DB"/>
    <w:rsid w:val="44234AFC"/>
    <w:rsid w:val="44314E59"/>
    <w:rsid w:val="443D2D72"/>
    <w:rsid w:val="44406E0D"/>
    <w:rsid w:val="447374FE"/>
    <w:rsid w:val="44A94CD4"/>
    <w:rsid w:val="44EE5A81"/>
    <w:rsid w:val="44F2120D"/>
    <w:rsid w:val="44F64989"/>
    <w:rsid w:val="44FB46BE"/>
    <w:rsid w:val="45052621"/>
    <w:rsid w:val="450676EE"/>
    <w:rsid w:val="45475ECA"/>
    <w:rsid w:val="45584978"/>
    <w:rsid w:val="45590732"/>
    <w:rsid w:val="45765517"/>
    <w:rsid w:val="45B536DD"/>
    <w:rsid w:val="45D50676"/>
    <w:rsid w:val="46006015"/>
    <w:rsid w:val="460D3778"/>
    <w:rsid w:val="461D1548"/>
    <w:rsid w:val="462E564A"/>
    <w:rsid w:val="462F6FF1"/>
    <w:rsid w:val="46457CD6"/>
    <w:rsid w:val="466E3447"/>
    <w:rsid w:val="46850DC5"/>
    <w:rsid w:val="4685568A"/>
    <w:rsid w:val="46B41614"/>
    <w:rsid w:val="46C03203"/>
    <w:rsid w:val="470B38B4"/>
    <w:rsid w:val="470B57CA"/>
    <w:rsid w:val="47490A0A"/>
    <w:rsid w:val="475D7FD0"/>
    <w:rsid w:val="4765467F"/>
    <w:rsid w:val="47680E90"/>
    <w:rsid w:val="47937B7E"/>
    <w:rsid w:val="479E7FDB"/>
    <w:rsid w:val="47B441BA"/>
    <w:rsid w:val="47C2502C"/>
    <w:rsid w:val="47D9793C"/>
    <w:rsid w:val="480D1AA5"/>
    <w:rsid w:val="48382F58"/>
    <w:rsid w:val="485C76B2"/>
    <w:rsid w:val="488C32A4"/>
    <w:rsid w:val="48AE5494"/>
    <w:rsid w:val="49357497"/>
    <w:rsid w:val="494F4A0A"/>
    <w:rsid w:val="495B14A5"/>
    <w:rsid w:val="496A10BB"/>
    <w:rsid w:val="49780299"/>
    <w:rsid w:val="497B06FA"/>
    <w:rsid w:val="49A51AAC"/>
    <w:rsid w:val="49A564FC"/>
    <w:rsid w:val="49D54BF1"/>
    <w:rsid w:val="49E05977"/>
    <w:rsid w:val="49FB366B"/>
    <w:rsid w:val="4A14302A"/>
    <w:rsid w:val="4A4353AC"/>
    <w:rsid w:val="4A635B7F"/>
    <w:rsid w:val="4A69221E"/>
    <w:rsid w:val="4A722A6E"/>
    <w:rsid w:val="4AC46D25"/>
    <w:rsid w:val="4ACB456A"/>
    <w:rsid w:val="4ACF536E"/>
    <w:rsid w:val="4AD44AFF"/>
    <w:rsid w:val="4AE50A49"/>
    <w:rsid w:val="4B03553A"/>
    <w:rsid w:val="4B4052B9"/>
    <w:rsid w:val="4B685902"/>
    <w:rsid w:val="4B6A397B"/>
    <w:rsid w:val="4B783F10"/>
    <w:rsid w:val="4B885C91"/>
    <w:rsid w:val="4BB16E8A"/>
    <w:rsid w:val="4BB46D99"/>
    <w:rsid w:val="4BC06C0F"/>
    <w:rsid w:val="4BDC009E"/>
    <w:rsid w:val="4BED4059"/>
    <w:rsid w:val="4BF83707"/>
    <w:rsid w:val="4BFB1538"/>
    <w:rsid w:val="4C194969"/>
    <w:rsid w:val="4C1C206B"/>
    <w:rsid w:val="4C251A45"/>
    <w:rsid w:val="4C342424"/>
    <w:rsid w:val="4C4C378E"/>
    <w:rsid w:val="4C58667F"/>
    <w:rsid w:val="4C6D5095"/>
    <w:rsid w:val="4C7A4214"/>
    <w:rsid w:val="4C7D0073"/>
    <w:rsid w:val="4C8D3147"/>
    <w:rsid w:val="4CAC7A71"/>
    <w:rsid w:val="4CAF0E2D"/>
    <w:rsid w:val="4CB93F3C"/>
    <w:rsid w:val="4CC12AF0"/>
    <w:rsid w:val="4CC50B32"/>
    <w:rsid w:val="4CC920EE"/>
    <w:rsid w:val="4CD74233"/>
    <w:rsid w:val="4D01600E"/>
    <w:rsid w:val="4D32110C"/>
    <w:rsid w:val="4D382C10"/>
    <w:rsid w:val="4D4450F1"/>
    <w:rsid w:val="4D4E6054"/>
    <w:rsid w:val="4D6F1094"/>
    <w:rsid w:val="4D9969C0"/>
    <w:rsid w:val="4DBB1184"/>
    <w:rsid w:val="4DC3013A"/>
    <w:rsid w:val="4DCF6A99"/>
    <w:rsid w:val="4E056C19"/>
    <w:rsid w:val="4E347469"/>
    <w:rsid w:val="4E3B62D1"/>
    <w:rsid w:val="4E676871"/>
    <w:rsid w:val="4E6E6E56"/>
    <w:rsid w:val="4E7E6670"/>
    <w:rsid w:val="4E926E99"/>
    <w:rsid w:val="4EAC3F51"/>
    <w:rsid w:val="4ED157C9"/>
    <w:rsid w:val="4ED90094"/>
    <w:rsid w:val="4EE01C53"/>
    <w:rsid w:val="4F165784"/>
    <w:rsid w:val="4F1855CA"/>
    <w:rsid w:val="4F297FE9"/>
    <w:rsid w:val="4F2C6C47"/>
    <w:rsid w:val="4F2F1494"/>
    <w:rsid w:val="4F376106"/>
    <w:rsid w:val="4F3E18F3"/>
    <w:rsid w:val="4F506D25"/>
    <w:rsid w:val="4F565291"/>
    <w:rsid w:val="4F787FF6"/>
    <w:rsid w:val="4FA95B6E"/>
    <w:rsid w:val="4FB80B63"/>
    <w:rsid w:val="4FB84E80"/>
    <w:rsid w:val="50011E81"/>
    <w:rsid w:val="50085545"/>
    <w:rsid w:val="500D32A2"/>
    <w:rsid w:val="500E3100"/>
    <w:rsid w:val="5027335B"/>
    <w:rsid w:val="503D22D5"/>
    <w:rsid w:val="508846DC"/>
    <w:rsid w:val="50901457"/>
    <w:rsid w:val="509025E1"/>
    <w:rsid w:val="50A146B8"/>
    <w:rsid w:val="50A370F3"/>
    <w:rsid w:val="50DA65FF"/>
    <w:rsid w:val="51143FF1"/>
    <w:rsid w:val="513B4A8D"/>
    <w:rsid w:val="514566E6"/>
    <w:rsid w:val="51CE55BC"/>
    <w:rsid w:val="51D66A4D"/>
    <w:rsid w:val="51EF73A3"/>
    <w:rsid w:val="520D0D48"/>
    <w:rsid w:val="52164189"/>
    <w:rsid w:val="522D6240"/>
    <w:rsid w:val="52394330"/>
    <w:rsid w:val="523E2AB7"/>
    <w:rsid w:val="5263497B"/>
    <w:rsid w:val="528F7C18"/>
    <w:rsid w:val="52946FDD"/>
    <w:rsid w:val="52B92572"/>
    <w:rsid w:val="52C465BF"/>
    <w:rsid w:val="52CF1BAD"/>
    <w:rsid w:val="52D31FF6"/>
    <w:rsid w:val="52DA6DCF"/>
    <w:rsid w:val="52FA0D5C"/>
    <w:rsid w:val="530854A6"/>
    <w:rsid w:val="533C1422"/>
    <w:rsid w:val="534B73FB"/>
    <w:rsid w:val="53612CBE"/>
    <w:rsid w:val="53740CDD"/>
    <w:rsid w:val="538057B3"/>
    <w:rsid w:val="538C7A3C"/>
    <w:rsid w:val="53A81394"/>
    <w:rsid w:val="53C142C4"/>
    <w:rsid w:val="53C25DCC"/>
    <w:rsid w:val="53D00F37"/>
    <w:rsid w:val="53E136CF"/>
    <w:rsid w:val="53F90129"/>
    <w:rsid w:val="540029FB"/>
    <w:rsid w:val="540E17E4"/>
    <w:rsid w:val="540F3D3D"/>
    <w:rsid w:val="541128AF"/>
    <w:rsid w:val="542A455B"/>
    <w:rsid w:val="543E18F6"/>
    <w:rsid w:val="544D46E6"/>
    <w:rsid w:val="54682B64"/>
    <w:rsid w:val="54A7213D"/>
    <w:rsid w:val="54B70C29"/>
    <w:rsid w:val="54C36480"/>
    <w:rsid w:val="54E72BC6"/>
    <w:rsid w:val="54F508AC"/>
    <w:rsid w:val="54FD69B2"/>
    <w:rsid w:val="554503D6"/>
    <w:rsid w:val="555C4F85"/>
    <w:rsid w:val="55633DBF"/>
    <w:rsid w:val="55696476"/>
    <w:rsid w:val="557F599A"/>
    <w:rsid w:val="55880E6B"/>
    <w:rsid w:val="55A82D9F"/>
    <w:rsid w:val="55BE3EF8"/>
    <w:rsid w:val="55FA3400"/>
    <w:rsid w:val="563B2B10"/>
    <w:rsid w:val="567A1975"/>
    <w:rsid w:val="567A473C"/>
    <w:rsid w:val="569D40AC"/>
    <w:rsid w:val="56A77D1E"/>
    <w:rsid w:val="56BE3705"/>
    <w:rsid w:val="56DD6BBD"/>
    <w:rsid w:val="56E459E7"/>
    <w:rsid w:val="56EB5639"/>
    <w:rsid w:val="56F64F0E"/>
    <w:rsid w:val="56FB3ACE"/>
    <w:rsid w:val="5702583D"/>
    <w:rsid w:val="57153DB0"/>
    <w:rsid w:val="574750B7"/>
    <w:rsid w:val="57574DB6"/>
    <w:rsid w:val="57663301"/>
    <w:rsid w:val="576864C1"/>
    <w:rsid w:val="576A47B0"/>
    <w:rsid w:val="57740710"/>
    <w:rsid w:val="577A6CAD"/>
    <w:rsid w:val="577C03FC"/>
    <w:rsid w:val="579157E2"/>
    <w:rsid w:val="57C4672D"/>
    <w:rsid w:val="57CA09FF"/>
    <w:rsid w:val="57CD73B4"/>
    <w:rsid w:val="57ED53F7"/>
    <w:rsid w:val="57F044A7"/>
    <w:rsid w:val="58034884"/>
    <w:rsid w:val="58315093"/>
    <w:rsid w:val="583C6DDD"/>
    <w:rsid w:val="58474AF1"/>
    <w:rsid w:val="587261DD"/>
    <w:rsid w:val="58786C9B"/>
    <w:rsid w:val="58811F42"/>
    <w:rsid w:val="58893352"/>
    <w:rsid w:val="58B94398"/>
    <w:rsid w:val="5912231D"/>
    <w:rsid w:val="596209A6"/>
    <w:rsid w:val="59E636A5"/>
    <w:rsid w:val="59F91E1B"/>
    <w:rsid w:val="5A0315C2"/>
    <w:rsid w:val="5A234761"/>
    <w:rsid w:val="5A4E39EC"/>
    <w:rsid w:val="5A5D4A8A"/>
    <w:rsid w:val="5A7B6C4F"/>
    <w:rsid w:val="5A9E0A30"/>
    <w:rsid w:val="5AC71F19"/>
    <w:rsid w:val="5AD3341B"/>
    <w:rsid w:val="5AE76ACB"/>
    <w:rsid w:val="5B013D8A"/>
    <w:rsid w:val="5B3C2632"/>
    <w:rsid w:val="5B413178"/>
    <w:rsid w:val="5B413A7A"/>
    <w:rsid w:val="5B675D13"/>
    <w:rsid w:val="5B701635"/>
    <w:rsid w:val="5B714B5C"/>
    <w:rsid w:val="5B8F4550"/>
    <w:rsid w:val="5BBC5246"/>
    <w:rsid w:val="5BBE156E"/>
    <w:rsid w:val="5BFC1748"/>
    <w:rsid w:val="5C1B1AD2"/>
    <w:rsid w:val="5C1E65ED"/>
    <w:rsid w:val="5C555D70"/>
    <w:rsid w:val="5C93059D"/>
    <w:rsid w:val="5CA27BCF"/>
    <w:rsid w:val="5CA7566C"/>
    <w:rsid w:val="5CC702F8"/>
    <w:rsid w:val="5CE04691"/>
    <w:rsid w:val="5D2C687B"/>
    <w:rsid w:val="5D2D03CF"/>
    <w:rsid w:val="5D3E4715"/>
    <w:rsid w:val="5D4A5150"/>
    <w:rsid w:val="5D6926C8"/>
    <w:rsid w:val="5D7B5EFF"/>
    <w:rsid w:val="5D992E88"/>
    <w:rsid w:val="5D997826"/>
    <w:rsid w:val="5D9F2CDA"/>
    <w:rsid w:val="5DAB302D"/>
    <w:rsid w:val="5DC7387E"/>
    <w:rsid w:val="5E0A233C"/>
    <w:rsid w:val="5E1B3122"/>
    <w:rsid w:val="5E26524F"/>
    <w:rsid w:val="5E2E19F3"/>
    <w:rsid w:val="5E3C7864"/>
    <w:rsid w:val="5E3F7FED"/>
    <w:rsid w:val="5E455DA7"/>
    <w:rsid w:val="5E613CF9"/>
    <w:rsid w:val="5E7457CC"/>
    <w:rsid w:val="5E913975"/>
    <w:rsid w:val="5EA031AD"/>
    <w:rsid w:val="5EA410AC"/>
    <w:rsid w:val="5EC8737F"/>
    <w:rsid w:val="5ECD756E"/>
    <w:rsid w:val="5EE423B7"/>
    <w:rsid w:val="5F3432E0"/>
    <w:rsid w:val="5F5258BA"/>
    <w:rsid w:val="5F9952FD"/>
    <w:rsid w:val="5FB213EA"/>
    <w:rsid w:val="5FBA0B74"/>
    <w:rsid w:val="5FD957AE"/>
    <w:rsid w:val="5FEF546A"/>
    <w:rsid w:val="5FF57505"/>
    <w:rsid w:val="60170D18"/>
    <w:rsid w:val="6019279F"/>
    <w:rsid w:val="602875E5"/>
    <w:rsid w:val="60391F7A"/>
    <w:rsid w:val="60504B5B"/>
    <w:rsid w:val="605A3EDD"/>
    <w:rsid w:val="605C0056"/>
    <w:rsid w:val="60720D76"/>
    <w:rsid w:val="607466A0"/>
    <w:rsid w:val="60AA2053"/>
    <w:rsid w:val="60AB0CDB"/>
    <w:rsid w:val="60B0573D"/>
    <w:rsid w:val="60B60D7C"/>
    <w:rsid w:val="60B67DEE"/>
    <w:rsid w:val="60D809DC"/>
    <w:rsid w:val="611A20AF"/>
    <w:rsid w:val="6133769A"/>
    <w:rsid w:val="613657CA"/>
    <w:rsid w:val="61614E76"/>
    <w:rsid w:val="617237ED"/>
    <w:rsid w:val="617553F4"/>
    <w:rsid w:val="617D55DA"/>
    <w:rsid w:val="6190236E"/>
    <w:rsid w:val="61E422D5"/>
    <w:rsid w:val="61F5501A"/>
    <w:rsid w:val="62137B25"/>
    <w:rsid w:val="62164619"/>
    <w:rsid w:val="621A068C"/>
    <w:rsid w:val="621C15A0"/>
    <w:rsid w:val="623859D6"/>
    <w:rsid w:val="625C0016"/>
    <w:rsid w:val="62823171"/>
    <w:rsid w:val="62CE653B"/>
    <w:rsid w:val="62DE06AF"/>
    <w:rsid w:val="631C2FC6"/>
    <w:rsid w:val="631D12A7"/>
    <w:rsid w:val="633A5BAB"/>
    <w:rsid w:val="634761CB"/>
    <w:rsid w:val="634A3027"/>
    <w:rsid w:val="634E6D99"/>
    <w:rsid w:val="635C7A89"/>
    <w:rsid w:val="635F46E9"/>
    <w:rsid w:val="6364022E"/>
    <w:rsid w:val="636D63C2"/>
    <w:rsid w:val="6384636F"/>
    <w:rsid w:val="63870A9D"/>
    <w:rsid w:val="63B81992"/>
    <w:rsid w:val="63CC0ABC"/>
    <w:rsid w:val="63DF751E"/>
    <w:rsid w:val="63F31E45"/>
    <w:rsid w:val="63FC70D8"/>
    <w:rsid w:val="64030A8C"/>
    <w:rsid w:val="64351DCC"/>
    <w:rsid w:val="644D5EFC"/>
    <w:rsid w:val="644D72DC"/>
    <w:rsid w:val="646750EC"/>
    <w:rsid w:val="648011AC"/>
    <w:rsid w:val="649C314A"/>
    <w:rsid w:val="64A1052D"/>
    <w:rsid w:val="64AE7C89"/>
    <w:rsid w:val="653F54CE"/>
    <w:rsid w:val="655D5954"/>
    <w:rsid w:val="656641A8"/>
    <w:rsid w:val="658278C3"/>
    <w:rsid w:val="658840BC"/>
    <w:rsid w:val="659A0BDD"/>
    <w:rsid w:val="659F36E9"/>
    <w:rsid w:val="65A135FB"/>
    <w:rsid w:val="65B83EBF"/>
    <w:rsid w:val="65DC19F8"/>
    <w:rsid w:val="66036B1A"/>
    <w:rsid w:val="667921D2"/>
    <w:rsid w:val="66984EE1"/>
    <w:rsid w:val="669E7277"/>
    <w:rsid w:val="66BA3EC8"/>
    <w:rsid w:val="66C2463B"/>
    <w:rsid w:val="66D87829"/>
    <w:rsid w:val="66EA3FC3"/>
    <w:rsid w:val="66FD4555"/>
    <w:rsid w:val="671E760D"/>
    <w:rsid w:val="673323B3"/>
    <w:rsid w:val="675D3D3E"/>
    <w:rsid w:val="677D6EFF"/>
    <w:rsid w:val="67806BDF"/>
    <w:rsid w:val="679F6058"/>
    <w:rsid w:val="67A83C84"/>
    <w:rsid w:val="67AE03D7"/>
    <w:rsid w:val="67CE473B"/>
    <w:rsid w:val="67D92DF1"/>
    <w:rsid w:val="67FC27F7"/>
    <w:rsid w:val="680C5410"/>
    <w:rsid w:val="68136366"/>
    <w:rsid w:val="68464AB7"/>
    <w:rsid w:val="68466AF8"/>
    <w:rsid w:val="686B64D0"/>
    <w:rsid w:val="686D5E49"/>
    <w:rsid w:val="68722080"/>
    <w:rsid w:val="68733741"/>
    <w:rsid w:val="6888537A"/>
    <w:rsid w:val="68C63810"/>
    <w:rsid w:val="68D4794F"/>
    <w:rsid w:val="68E01A52"/>
    <w:rsid w:val="68F9404B"/>
    <w:rsid w:val="690A755E"/>
    <w:rsid w:val="691F54A1"/>
    <w:rsid w:val="693056D4"/>
    <w:rsid w:val="698239A9"/>
    <w:rsid w:val="69E55BC4"/>
    <w:rsid w:val="69FC0B00"/>
    <w:rsid w:val="6A260884"/>
    <w:rsid w:val="6A42377E"/>
    <w:rsid w:val="6A945E7D"/>
    <w:rsid w:val="6AC34955"/>
    <w:rsid w:val="6AC717A6"/>
    <w:rsid w:val="6AE87FA8"/>
    <w:rsid w:val="6B053F26"/>
    <w:rsid w:val="6B2C1649"/>
    <w:rsid w:val="6B4452C9"/>
    <w:rsid w:val="6B447DDF"/>
    <w:rsid w:val="6B620F91"/>
    <w:rsid w:val="6B63196B"/>
    <w:rsid w:val="6B867323"/>
    <w:rsid w:val="6BBE3D74"/>
    <w:rsid w:val="6BC344BD"/>
    <w:rsid w:val="6BD558D2"/>
    <w:rsid w:val="6C0E5BFA"/>
    <w:rsid w:val="6C0F4C70"/>
    <w:rsid w:val="6C2B1A90"/>
    <w:rsid w:val="6C2C72C2"/>
    <w:rsid w:val="6C3A69EF"/>
    <w:rsid w:val="6C48115A"/>
    <w:rsid w:val="6C5D602E"/>
    <w:rsid w:val="6C6610A9"/>
    <w:rsid w:val="6C7D068A"/>
    <w:rsid w:val="6C8A0862"/>
    <w:rsid w:val="6CB568FD"/>
    <w:rsid w:val="6D0A2DB0"/>
    <w:rsid w:val="6D2334B1"/>
    <w:rsid w:val="6D3B745C"/>
    <w:rsid w:val="6D510489"/>
    <w:rsid w:val="6D5E6192"/>
    <w:rsid w:val="6D7F5150"/>
    <w:rsid w:val="6D834179"/>
    <w:rsid w:val="6D8575B5"/>
    <w:rsid w:val="6D8817D6"/>
    <w:rsid w:val="6D964584"/>
    <w:rsid w:val="6DA02882"/>
    <w:rsid w:val="6DAB2AD4"/>
    <w:rsid w:val="6DD51F57"/>
    <w:rsid w:val="6DF0454E"/>
    <w:rsid w:val="6DFE7DA8"/>
    <w:rsid w:val="6E123D75"/>
    <w:rsid w:val="6E1B63AC"/>
    <w:rsid w:val="6E463B56"/>
    <w:rsid w:val="6E56031A"/>
    <w:rsid w:val="6E7575EB"/>
    <w:rsid w:val="6EB06B90"/>
    <w:rsid w:val="6EE56679"/>
    <w:rsid w:val="6EE8046F"/>
    <w:rsid w:val="6EEE3AC1"/>
    <w:rsid w:val="6EF503CD"/>
    <w:rsid w:val="6F073967"/>
    <w:rsid w:val="6F20647E"/>
    <w:rsid w:val="6F943F8D"/>
    <w:rsid w:val="6FA12BED"/>
    <w:rsid w:val="6FA519A0"/>
    <w:rsid w:val="6FAF69B2"/>
    <w:rsid w:val="6FBA476A"/>
    <w:rsid w:val="6FC30C3C"/>
    <w:rsid w:val="6FEF2100"/>
    <w:rsid w:val="70132D8F"/>
    <w:rsid w:val="701D640C"/>
    <w:rsid w:val="70223A22"/>
    <w:rsid w:val="702275C0"/>
    <w:rsid w:val="703A693A"/>
    <w:rsid w:val="70557F53"/>
    <w:rsid w:val="70601F66"/>
    <w:rsid w:val="70651B61"/>
    <w:rsid w:val="70777D02"/>
    <w:rsid w:val="70787464"/>
    <w:rsid w:val="709661BE"/>
    <w:rsid w:val="70997957"/>
    <w:rsid w:val="70B008E6"/>
    <w:rsid w:val="70D051C8"/>
    <w:rsid w:val="70DF7D68"/>
    <w:rsid w:val="70E52CAE"/>
    <w:rsid w:val="70E842BA"/>
    <w:rsid w:val="70EF2EC7"/>
    <w:rsid w:val="718752C7"/>
    <w:rsid w:val="71C119AE"/>
    <w:rsid w:val="720D24B0"/>
    <w:rsid w:val="72336CE6"/>
    <w:rsid w:val="723D427C"/>
    <w:rsid w:val="726F337C"/>
    <w:rsid w:val="72716128"/>
    <w:rsid w:val="727B1570"/>
    <w:rsid w:val="72C12F41"/>
    <w:rsid w:val="72F445A1"/>
    <w:rsid w:val="730F592B"/>
    <w:rsid w:val="7329175D"/>
    <w:rsid w:val="732A7497"/>
    <w:rsid w:val="733821E0"/>
    <w:rsid w:val="734C6278"/>
    <w:rsid w:val="73644C06"/>
    <w:rsid w:val="7368650B"/>
    <w:rsid w:val="736B56E0"/>
    <w:rsid w:val="73840550"/>
    <w:rsid w:val="7386484F"/>
    <w:rsid w:val="73A86934"/>
    <w:rsid w:val="73B301C1"/>
    <w:rsid w:val="73CF713E"/>
    <w:rsid w:val="740B6979"/>
    <w:rsid w:val="74105018"/>
    <w:rsid w:val="741B4109"/>
    <w:rsid w:val="74387A46"/>
    <w:rsid w:val="743F3C9B"/>
    <w:rsid w:val="74416441"/>
    <w:rsid w:val="746D2F07"/>
    <w:rsid w:val="746E70FD"/>
    <w:rsid w:val="747473DA"/>
    <w:rsid w:val="74A66E07"/>
    <w:rsid w:val="74B23DEB"/>
    <w:rsid w:val="74C77EA4"/>
    <w:rsid w:val="74D24436"/>
    <w:rsid w:val="74DF0F78"/>
    <w:rsid w:val="74E42A09"/>
    <w:rsid w:val="751D0C5C"/>
    <w:rsid w:val="7551058D"/>
    <w:rsid w:val="755503F6"/>
    <w:rsid w:val="756C5DF0"/>
    <w:rsid w:val="75736ACE"/>
    <w:rsid w:val="75765C62"/>
    <w:rsid w:val="75791627"/>
    <w:rsid w:val="757B24EF"/>
    <w:rsid w:val="758D32F7"/>
    <w:rsid w:val="759334FF"/>
    <w:rsid w:val="75BD650C"/>
    <w:rsid w:val="75D21A46"/>
    <w:rsid w:val="75F407B2"/>
    <w:rsid w:val="76503B8E"/>
    <w:rsid w:val="76761C3C"/>
    <w:rsid w:val="768120A2"/>
    <w:rsid w:val="7682521B"/>
    <w:rsid w:val="76837327"/>
    <w:rsid w:val="76BE0372"/>
    <w:rsid w:val="76CB442E"/>
    <w:rsid w:val="76CC0B8C"/>
    <w:rsid w:val="77194323"/>
    <w:rsid w:val="77563D77"/>
    <w:rsid w:val="77636A7E"/>
    <w:rsid w:val="7768033C"/>
    <w:rsid w:val="777A5371"/>
    <w:rsid w:val="77851BF3"/>
    <w:rsid w:val="779E3A0F"/>
    <w:rsid w:val="77AA4DD8"/>
    <w:rsid w:val="77CC5C64"/>
    <w:rsid w:val="77CD0717"/>
    <w:rsid w:val="77D41539"/>
    <w:rsid w:val="77D67846"/>
    <w:rsid w:val="77D918C6"/>
    <w:rsid w:val="77D97083"/>
    <w:rsid w:val="77E670ED"/>
    <w:rsid w:val="77ED3E16"/>
    <w:rsid w:val="781716E6"/>
    <w:rsid w:val="782D2E53"/>
    <w:rsid w:val="78453A44"/>
    <w:rsid w:val="784F3073"/>
    <w:rsid w:val="7852760B"/>
    <w:rsid w:val="786C79B6"/>
    <w:rsid w:val="78B94EF3"/>
    <w:rsid w:val="78BE665C"/>
    <w:rsid w:val="78C85915"/>
    <w:rsid w:val="792E71E4"/>
    <w:rsid w:val="79425EA8"/>
    <w:rsid w:val="79464C25"/>
    <w:rsid w:val="796230E1"/>
    <w:rsid w:val="796400CB"/>
    <w:rsid w:val="79654656"/>
    <w:rsid w:val="7969693F"/>
    <w:rsid w:val="797161CD"/>
    <w:rsid w:val="79964D46"/>
    <w:rsid w:val="79A8143C"/>
    <w:rsid w:val="79D86577"/>
    <w:rsid w:val="79E7519A"/>
    <w:rsid w:val="79EB7051"/>
    <w:rsid w:val="7A116357"/>
    <w:rsid w:val="7A226660"/>
    <w:rsid w:val="7A24483B"/>
    <w:rsid w:val="7A27696A"/>
    <w:rsid w:val="7A4846C3"/>
    <w:rsid w:val="7A5305E5"/>
    <w:rsid w:val="7A6766C1"/>
    <w:rsid w:val="7A715CD2"/>
    <w:rsid w:val="7A7354D8"/>
    <w:rsid w:val="7A7527A4"/>
    <w:rsid w:val="7ACC6FD2"/>
    <w:rsid w:val="7ADB59C2"/>
    <w:rsid w:val="7AE243DB"/>
    <w:rsid w:val="7AEA1412"/>
    <w:rsid w:val="7AEE2DE9"/>
    <w:rsid w:val="7AF56C0B"/>
    <w:rsid w:val="7B1A792B"/>
    <w:rsid w:val="7B2951E0"/>
    <w:rsid w:val="7B321B85"/>
    <w:rsid w:val="7B6921CB"/>
    <w:rsid w:val="7BB5672B"/>
    <w:rsid w:val="7BC168A4"/>
    <w:rsid w:val="7BFA22B1"/>
    <w:rsid w:val="7C0D46F8"/>
    <w:rsid w:val="7C1A3884"/>
    <w:rsid w:val="7C522C8C"/>
    <w:rsid w:val="7C6B04FF"/>
    <w:rsid w:val="7C8A67DE"/>
    <w:rsid w:val="7C9065E8"/>
    <w:rsid w:val="7C931107"/>
    <w:rsid w:val="7CB14D9E"/>
    <w:rsid w:val="7CC83B3C"/>
    <w:rsid w:val="7CD457D0"/>
    <w:rsid w:val="7D054D50"/>
    <w:rsid w:val="7D295D3E"/>
    <w:rsid w:val="7D3F24DA"/>
    <w:rsid w:val="7DB96EA9"/>
    <w:rsid w:val="7DBF1A8E"/>
    <w:rsid w:val="7DC03C90"/>
    <w:rsid w:val="7DF11ED7"/>
    <w:rsid w:val="7E2B11F7"/>
    <w:rsid w:val="7E2F0685"/>
    <w:rsid w:val="7E485D91"/>
    <w:rsid w:val="7E577051"/>
    <w:rsid w:val="7E5A1805"/>
    <w:rsid w:val="7E9B156F"/>
    <w:rsid w:val="7EBA0C99"/>
    <w:rsid w:val="7ED625A7"/>
    <w:rsid w:val="7ED670C2"/>
    <w:rsid w:val="7F0C14AE"/>
    <w:rsid w:val="7F362640"/>
    <w:rsid w:val="7F437175"/>
    <w:rsid w:val="7F5061E2"/>
    <w:rsid w:val="7F776A99"/>
    <w:rsid w:val="7F8E223A"/>
    <w:rsid w:val="7F8F6BFA"/>
    <w:rsid w:val="7FA378CC"/>
    <w:rsid w:val="7FA6169F"/>
    <w:rsid w:val="7FC40E22"/>
    <w:rsid w:val="7FCB75E1"/>
    <w:rsid w:val="7FE012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99" w:name="index 1"/>
    <w:lsdException w:qFormat="1" w:uiPriority="99" w:name="index 2"/>
    <w:lsdException w:qFormat="1" w:uiPriority="99" w:name="index 3"/>
    <w:lsdException w:qFormat="1" w:uiPriority="99" w:name="index 4"/>
    <w:lsdException w:qFormat="1" w:uiPriority="99" w:name="index 5"/>
    <w:lsdException w:qFormat="1" w:uiPriority="99" w:name="index 6"/>
    <w:lsdException w:qFormat="1" w:uiPriority="99" w:name="index 7"/>
    <w:lsdException w:qFormat="1" w:uiPriority="99" w:name="index 8"/>
    <w:lsdException w:qFormat="1" w:uiPriority="99"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semiHidden="0" w:name="Normal Indent"/>
    <w:lsdException w:qFormat="1" w:unhideWhenUsed="0" w:uiPriority="0" w:name="footnote text"/>
    <w:lsdException w:qFormat="1" w:uiPriority="99" w:name="annotation text"/>
    <w:lsdException w:qFormat="1" w:unhideWhenUsed="0" w:uiPriority="0" w:name="header"/>
    <w:lsdException w:qFormat="1" w:unhideWhenUsed="0" w:uiPriority="99" w:semiHidden="0" w:name="footer"/>
    <w:lsdException w:qFormat="1" w:uiPriority="99" w:name="index heading"/>
    <w:lsdException w:qFormat="1" w:unhideWhenUsed="0" w:uiPriority="0" w:semiHidden="0" w:name="caption"/>
    <w:lsdException w:qFormat="1" w:unhideWhenUsed="0" w:uiPriority="0" w:name="table of figures"/>
    <w:lsdException w:qFormat="1" w:uiPriority="99" w:name="envelope address"/>
    <w:lsdException w:qFormat="1" w:uiPriority="99" w:name="envelope return"/>
    <w:lsdException w:qFormat="1" w:unhideWhenUsed="0" w:uiPriority="0" w:name="footnote reference"/>
    <w:lsdException w:qFormat="1" w:uiPriority="99" w:name="annotation reference"/>
    <w:lsdException w:qFormat="1" w:uiPriority="99" w:name="line number"/>
    <w:lsdException w:qFormat="1" w:unhideWhenUsed="0" w:uiPriority="0" w:name="page number"/>
    <w:lsdException w:qFormat="1" w:uiPriority="99" w:name="endnote reference"/>
    <w:lsdException w:qFormat="1" w:uiPriority="99" w:name="endnote text"/>
    <w:lsdException w:qFormat="1" w:uiPriority="99" w:name="table of authorities"/>
    <w:lsdException w:qFormat="1" w:uiPriority="99" w:name="macro"/>
    <w:lsdException w:qFormat="1" w:uiPriority="99" w:name="toa heading"/>
    <w:lsdException w:qFormat="1" w:uiPriority="99" w:name="List"/>
    <w:lsdException w:qFormat="1" w:uiPriority="99" w:name="List Bullet"/>
    <w:lsdException w:qFormat="1" w:uiPriority="99" w:name="List Number"/>
    <w:lsdException w:qFormat="1" w:uiPriority="99" w:name="List 2"/>
    <w:lsdException w:qFormat="1" w:uiPriority="99" w:name="List 3"/>
    <w:lsdException w:qFormat="1" w:uiPriority="99" w:name="List 4"/>
    <w:lsdException w:qFormat="1" w:uiPriority="99" w:name="List 5"/>
    <w:lsdException w:qFormat="1" w:uiPriority="99" w:name="List Bullet 2"/>
    <w:lsdException w:qFormat="1" w:uiPriority="99" w:name="List Bullet 3"/>
    <w:lsdException w:qFormat="1" w:uiPriority="99" w:name="List Bullet 4"/>
    <w:lsdException w:qFormat="1" w:uiPriority="99" w:name="List Bullet 5"/>
    <w:lsdException w:qFormat="1" w:uiPriority="99" w:name="List Number 2"/>
    <w:lsdException w:qFormat="1" w:uiPriority="99" w:name="List Number 3"/>
    <w:lsdException w:qFormat="1" w:uiPriority="99" w:name="List Number 4"/>
    <w:lsdException w:qFormat="1" w:uiPriority="99" w:name="List Number 5"/>
    <w:lsdException w:qFormat="1" w:unhideWhenUsed="0" w:uiPriority="0" w:semiHidden="0" w:name="Title"/>
    <w:lsdException w:qFormat="1" w:uiPriority="99" w:name="Closing"/>
    <w:lsdException w:qFormat="1" w:uiPriority="99" w:name="Signature"/>
    <w:lsdException w:qFormat="1" w:uiPriority="1" w:name="Default Paragraph Font"/>
    <w:lsdException w:qFormat="1" w:uiPriority="99" w:name="Body Text"/>
    <w:lsdException w:qFormat="1" w:uiPriority="99" w:name="Body Text Indent"/>
    <w:lsdException w:qFormat="1" w:uiPriority="99" w:name="List Continue"/>
    <w:lsdException w:qFormat="1" w:uiPriority="99" w:name="List Continue 2"/>
    <w:lsdException w:qFormat="1" w:uiPriority="99" w:name="List Continue 3"/>
    <w:lsdException w:qFormat="1" w:uiPriority="99" w:name="List Continue 4"/>
    <w:lsdException w:qFormat="1" w:uiPriority="99" w:name="List Continue 5"/>
    <w:lsdException w:qFormat="1" w:uiPriority="99" w:name="Message Header"/>
    <w:lsdException w:qFormat="1" w:unhideWhenUsed="0" w:uiPriority="11" w:semiHidden="0" w:name="Subtitle"/>
    <w:lsdException w:qFormat="1" w:uiPriority="99" w:name="Salutation"/>
    <w:lsdException w:qFormat="1" w:uiPriority="99" w:name="Date"/>
    <w:lsdException w:qFormat="1" w:uiPriority="99" w:name="Body Text First Indent"/>
    <w:lsdException w:qFormat="1" w:uiPriority="99" w:name="Body Text First Indent 2"/>
    <w:lsdException w:qFormat="1" w:uiPriority="99" w:name="Note Heading"/>
    <w:lsdException w:qFormat="1" w:uiPriority="99" w:name="Body Text 2"/>
    <w:lsdException w:qFormat="1" w:uiPriority="99" w:name="Body Text 3"/>
    <w:lsdException w:qFormat="1" w:uiPriority="99" w:name="Body Text Indent 2"/>
    <w:lsdException w:qFormat="1" w:uiPriority="99" w:name="Body Text Indent 3"/>
    <w:lsdException w:qFormat="1"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iPriority="99" w:name="Plain Text"/>
    <w:lsdException w:qFormat="1" w:uiPriority="99" w:name="E-mail Signature"/>
    <w:lsdException w:qFormat="1" w:uiPriority="99"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iPriority="99" w:name="Normal Table"/>
    <w:lsdException w:qFormat="1" w:uiPriority="99" w:name="annotation subject"/>
    <w:lsdException w:qFormat="1" w:uiPriority="99" w:name="Table Simple 1"/>
    <w:lsdException w:qFormat="1" w:uiPriority="99" w:name="Table Simple 2"/>
    <w:lsdException w:qFormat="1" w:uiPriority="99" w:name="Table Simple 3"/>
    <w:lsdException w:qFormat="1" w:uiPriority="99" w:name="Table Classic 1"/>
    <w:lsdException w:qFormat="1" w:uiPriority="99" w:name="Table Classic 2"/>
    <w:lsdException w:qFormat="1" w:uiPriority="99" w:name="Table Classic 3"/>
    <w:lsdException w:qFormat="1" w:uiPriority="99" w:name="Table Classic 4"/>
    <w:lsdException w:qFormat="1" w:uiPriority="99" w:name="Table Colorful 1"/>
    <w:lsdException w:qFormat="1" w:uiPriority="99" w:name="Table Colorful 2"/>
    <w:lsdException w:qFormat="1" w:uiPriority="99" w:name="Table Colorful 3"/>
    <w:lsdException w:qFormat="1" w:uiPriority="99" w:name="Table Columns 1"/>
    <w:lsdException w:qFormat="1" w:uiPriority="99" w:name="Table Columns 2"/>
    <w:lsdException w:qFormat="1" w:uiPriority="99" w:name="Table Columns 3"/>
    <w:lsdException w:qFormat="1" w:uiPriority="99" w:name="Table Columns 4"/>
    <w:lsdException w:qFormat="1" w:uiPriority="99" w:name="Table Columns 5"/>
    <w:lsdException w:qFormat="1" w:uiPriority="99" w:name="Table Grid 1"/>
    <w:lsdException w:qFormat="1" w:uiPriority="99" w:name="Table Grid 2"/>
    <w:lsdException w:qFormat="1" w:uiPriority="99" w:name="Table Grid 3"/>
    <w:lsdException w:qFormat="1" w:uiPriority="99" w:name="Table Grid 4"/>
    <w:lsdException w:qFormat="1" w:uiPriority="99" w:name="Table Grid 5"/>
    <w:lsdException w:qFormat="1" w:uiPriority="99" w:name="Table Grid 6"/>
    <w:lsdException w:qFormat="1" w:uiPriority="99" w:name="Table Grid 7"/>
    <w:lsdException w:qFormat="1" w:uiPriority="99" w:name="Table Grid 8"/>
    <w:lsdException w:qFormat="1" w:uiPriority="99" w:name="Table List 1"/>
    <w:lsdException w:qFormat="1" w:uiPriority="99" w:name="Table List 2"/>
    <w:lsdException w:qFormat="1" w:uiPriority="99" w:name="Table List 3"/>
    <w:lsdException w:qFormat="1" w:uiPriority="99" w:name="Table List 4"/>
    <w:lsdException w:qFormat="1" w:uiPriority="99" w:name="Table List 5"/>
    <w:lsdException w:qFormat="1" w:uiPriority="99" w:name="Table List 6"/>
    <w:lsdException w:qFormat="1" w:uiPriority="99" w:name="Table List 7"/>
    <w:lsdException w:qFormat="1" w:uiPriority="99" w:name="Table List 8"/>
    <w:lsdException w:qFormat="1" w:uiPriority="99" w:name="Table 3D effects 1"/>
    <w:lsdException w:qFormat="1" w:uiPriority="99" w:name="Table 3D effects 2"/>
    <w:lsdException w:qFormat="1" w:uiPriority="99" w:name="Table 3D effects 3"/>
    <w:lsdException w:qFormat="1" w:uiPriority="99" w:name="Table Contemporary"/>
    <w:lsdException w:qFormat="1" w:uiPriority="99" w:name="Table Elegant"/>
    <w:lsdException w:qFormat="1" w:uiPriority="99" w:name="Table Professional"/>
    <w:lsdException w:qFormat="1" w:uiPriority="99" w:name="Table Subtle 1"/>
    <w:lsdException w:qFormat="1" w:uiPriority="99" w:name="Table Subtle 2"/>
    <w:lsdException w:qFormat="1" w:uiPriority="99" w:name="Table Web 1"/>
    <w:lsdException w:qFormat="1" w:uiPriority="99" w:name="Table Web 2"/>
    <w:lsdException w:qFormat="1" w:uiPriority="99" w:name="Table Web 3"/>
    <w:lsdException w:qFormat="1" w:uiPriority="99" w:name="Balloon Text"/>
    <w:lsdException w:qFormat="1" w:unhideWhenUsed="0" w:uiPriority="39" w:semiHidden="0" w:name="Table Grid"/>
    <w:lsdException w:qFormat="1" w:uiPriority="99" w:name="Table Theme"/>
    <w:lsdException w:qFormat="1" w:unhideWhenUsed="0" w:uiPriority="99" w:name="Placeholder Text"/>
    <w:lsdException w:qFormat="1" w:unhideWhenUsed="0" w:uiPriority="1" w:semiHidden="0" w:name="No Spacing"/>
    <w:lsdException w:qFormat="1" w:uiPriority="60" w:name="Light Shading"/>
    <w:lsdException w:qFormat="1" w:uiPriority="61" w:name="Light List"/>
    <w:lsdException w:qFormat="1" w:uiPriority="62" w:name="Light Grid"/>
    <w:lsdException w:qFormat="1" w:uiPriority="63" w:name="Medium Shading 1"/>
    <w:lsdException w:qFormat="1" w:uiPriority="64" w:name="Medium Shading 2"/>
    <w:lsdException w:qFormat="1" w:uiPriority="65" w:name="Medium List 1"/>
    <w:lsdException w:qFormat="1" w:uiPriority="66" w:name="Medium List 2"/>
    <w:lsdException w:qFormat="1" w:uiPriority="67" w:name="Medium Grid 1"/>
    <w:lsdException w:qFormat="1" w:uiPriority="68" w:name="Medium Grid 2"/>
    <w:lsdException w:qFormat="1" w:uiPriority="69" w:name="Medium Grid 3"/>
    <w:lsdException w:qFormat="1" w:uiPriority="70" w:name="Dark List"/>
    <w:lsdException w:qFormat="1" w:uiPriority="71" w:name="Colorful Shading"/>
    <w:lsdException w:qFormat="1" w:uiPriority="72" w:name="Colorful List"/>
    <w:lsdException w:qFormat="1" w:uiPriority="73" w:name="Colorful Grid"/>
    <w:lsdException w:qFormat="1" w:uiPriority="60" w:name="Light Shading Accent 1"/>
    <w:lsdException w:qFormat="1" w:uiPriority="61" w:name="Light List Accent 1"/>
    <w:lsdException w:qFormat="1" w:uiPriority="62" w:name="Light Grid Accent 1"/>
    <w:lsdException w:qFormat="1" w:uiPriority="63" w:name="Medium Shading 1 Accent 1"/>
    <w:lsdException w:qFormat="1" w:uiPriority="64" w:name="Medium Shading 2 Accent 1"/>
    <w:lsdException w:qFormat="1" w:uiPriority="65"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iPriority="66" w:name="Medium List 2 Accent 1"/>
    <w:lsdException w:qFormat="1" w:uiPriority="67" w:name="Medium Grid 1 Accent 1"/>
    <w:lsdException w:qFormat="1" w:uiPriority="68" w:name="Medium Grid 2 Accent 1"/>
    <w:lsdException w:qFormat="1" w:uiPriority="69" w:name="Medium Grid 3 Accent 1"/>
    <w:lsdException w:qFormat="1" w:uiPriority="70" w:name="Dark List Accent 1"/>
    <w:lsdException w:qFormat="1" w:uiPriority="71" w:name="Colorful Shading Accent 1"/>
    <w:lsdException w:qFormat="1" w:uiPriority="72" w:name="Colorful List Accent 1"/>
    <w:lsdException w:qFormat="1" w:uiPriority="73" w:name="Colorful Grid Accent 1"/>
    <w:lsdException w:qFormat="1" w:uiPriority="60" w:name="Light Shading Accent 2"/>
    <w:lsdException w:qFormat="1" w:uiPriority="61" w:name="Light List Accent 2"/>
    <w:lsdException w:qFormat="1" w:uiPriority="62" w:name="Light Grid Accent 2"/>
    <w:lsdException w:qFormat="1" w:uiPriority="63" w:name="Medium Shading 1 Accent 2"/>
    <w:lsdException w:qFormat="1" w:uiPriority="64" w:name="Medium Shading 2 Accent 2"/>
    <w:lsdException w:qFormat="1" w:uiPriority="65" w:name="Medium List 1 Accent 2"/>
    <w:lsdException w:qFormat="1" w:uiPriority="66" w:name="Medium List 2 Accent 2"/>
    <w:lsdException w:qFormat="1" w:uiPriority="67" w:name="Medium Grid 1 Accent 2"/>
    <w:lsdException w:qFormat="1" w:uiPriority="68" w:name="Medium Grid 2 Accent 2"/>
    <w:lsdException w:qFormat="1" w:uiPriority="69" w:name="Medium Grid 3 Accent 2"/>
    <w:lsdException w:qFormat="1" w:uiPriority="70" w:name="Dark List Accent 2"/>
    <w:lsdException w:qFormat="1" w:uiPriority="71" w:name="Colorful Shading Accent 2"/>
    <w:lsdException w:qFormat="1" w:uiPriority="72" w:name="Colorful List Accent 2"/>
    <w:lsdException w:qFormat="1" w:uiPriority="73" w:name="Colorful Grid Accent 2"/>
    <w:lsdException w:qFormat="1" w:uiPriority="60" w:name="Light Shading Accent 3"/>
    <w:lsdException w:qFormat="1" w:uiPriority="61" w:name="Light List Accent 3"/>
    <w:lsdException w:qFormat="1" w:uiPriority="62" w:name="Light Grid Accent 3"/>
    <w:lsdException w:qFormat="1" w:uiPriority="63" w:name="Medium Shading 1 Accent 3"/>
    <w:lsdException w:qFormat="1" w:uiPriority="64" w:name="Medium Shading 2 Accent 3"/>
    <w:lsdException w:qFormat="1" w:uiPriority="65" w:name="Medium List 1 Accent 3"/>
    <w:lsdException w:qFormat="1" w:uiPriority="66" w:name="Medium List 2 Accent 3"/>
    <w:lsdException w:qFormat="1" w:uiPriority="67" w:name="Medium Grid 1 Accent 3"/>
    <w:lsdException w:qFormat="1" w:uiPriority="68" w:name="Medium Grid 2 Accent 3"/>
    <w:lsdException w:qFormat="1" w:uiPriority="69" w:name="Medium Grid 3 Accent 3"/>
    <w:lsdException w:qFormat="1" w:uiPriority="70" w:name="Dark List Accent 3"/>
    <w:lsdException w:qFormat="1" w:uiPriority="71" w:name="Colorful Shading Accent 3"/>
    <w:lsdException w:qFormat="1" w:uiPriority="72" w:name="Colorful List Accent 3"/>
    <w:lsdException w:qFormat="1" w:uiPriority="73" w:name="Colorful Grid Accent 3"/>
    <w:lsdException w:qFormat="1" w:uiPriority="60" w:name="Light Shading Accent 4"/>
    <w:lsdException w:qFormat="1" w:uiPriority="61" w:name="Light List Accent 4"/>
    <w:lsdException w:qFormat="1" w:uiPriority="62" w:name="Light Grid Accent 4"/>
    <w:lsdException w:qFormat="1" w:uiPriority="63" w:name="Medium Shading 1 Accent 4"/>
    <w:lsdException w:qFormat="1" w:uiPriority="64" w:name="Medium Shading 2 Accent 4"/>
    <w:lsdException w:qFormat="1" w:uiPriority="65" w:name="Medium List 1 Accent 4"/>
    <w:lsdException w:qFormat="1" w:uiPriority="66" w:name="Medium List 2 Accent 4"/>
    <w:lsdException w:qFormat="1" w:uiPriority="67" w:name="Medium Grid 1 Accent 4"/>
    <w:lsdException w:qFormat="1" w:uiPriority="68" w:name="Medium Grid 2 Accent 4"/>
    <w:lsdException w:qFormat="1" w:uiPriority="69" w:name="Medium Grid 3 Accent 4"/>
    <w:lsdException w:qFormat="1" w:uiPriority="70" w:name="Dark List Accent 4"/>
    <w:lsdException w:qFormat="1" w:uiPriority="71" w:name="Colorful Shading Accent 4"/>
    <w:lsdException w:qFormat="1" w:uiPriority="72" w:name="Colorful List Accent 4"/>
    <w:lsdException w:qFormat="1" w:uiPriority="73" w:name="Colorful Grid Accent 4"/>
    <w:lsdException w:qFormat="1" w:uiPriority="60" w:name="Light Shading Accent 5"/>
    <w:lsdException w:qFormat="1" w:uiPriority="61" w:name="Light List Accent 5"/>
    <w:lsdException w:qFormat="1" w:uiPriority="62" w:name="Light Grid Accent 5"/>
    <w:lsdException w:qFormat="1" w:uiPriority="63" w:name="Medium Shading 1 Accent 5"/>
    <w:lsdException w:qFormat="1" w:uiPriority="64" w:name="Medium Shading 2 Accent 5"/>
    <w:lsdException w:qFormat="1" w:uiPriority="65" w:name="Medium List 1 Accent 5"/>
    <w:lsdException w:qFormat="1" w:uiPriority="66" w:name="Medium List 2 Accent 5"/>
    <w:lsdException w:qFormat="1" w:uiPriority="67" w:name="Medium Grid 1 Accent 5"/>
    <w:lsdException w:qFormat="1" w:uiPriority="68" w:name="Medium Grid 2 Accent 5"/>
    <w:lsdException w:qFormat="1" w:uiPriority="69" w:name="Medium Grid 3 Accent 5"/>
    <w:lsdException w:qFormat="1" w:uiPriority="70" w:name="Dark List Accent 5"/>
    <w:lsdException w:qFormat="1" w:uiPriority="71" w:name="Colorful Shading Accent 5"/>
    <w:lsdException w:qFormat="1" w:uiPriority="72" w:name="Colorful List Accent 5"/>
    <w:lsdException w:qFormat="1" w:uiPriority="73" w:name="Colorful Grid Accent 5"/>
    <w:lsdException w:qFormat="1" w:uiPriority="60" w:name="Light Shading Accent 6"/>
    <w:lsdException w:qFormat="1" w:uiPriority="61" w:name="Light List Accent 6"/>
    <w:lsdException w:qFormat="1" w:uiPriority="62" w:name="Light Grid Accent 6"/>
    <w:lsdException w:qFormat="1" w:uiPriority="63" w:name="Medium Shading 1 Accent 6"/>
    <w:lsdException w:qFormat="1" w:uiPriority="64" w:name="Medium Shading 2 Accent 6"/>
    <w:lsdException w:qFormat="1" w:uiPriority="65" w:name="Medium List 1 Accent 6"/>
    <w:lsdException w:qFormat="1" w:uiPriority="66" w:name="Medium List 2 Accent 6"/>
    <w:lsdException w:qFormat="1" w:uiPriority="67" w:name="Medium Grid 1 Accent 6"/>
    <w:lsdException w:qFormat="1" w:uiPriority="68" w:name="Medium Grid 2 Accent 6"/>
    <w:lsdException w:qFormat="1" w:uiPriority="69" w:name="Medium Grid 3 Accent 6"/>
    <w:lsdException w:qFormat="1" w:uiPriority="70" w:name="Dark List Accent 6"/>
    <w:lsdException w:qFormat="1" w:uiPriority="71" w:name="Colorful Shading Accent 6"/>
    <w:lsdException w:qFormat="1" w:uiPriority="72" w:name="Colorful List Accent 6"/>
    <w:lsdException w:qFormat="1" w:uiPriority="73"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4"/>
    <w:next w:val="1"/>
    <w:qFormat/>
    <w:uiPriority w:val="0"/>
    <w:pPr>
      <w:numPr>
        <w:ilvl w:val="0"/>
        <w:numId w:val="1"/>
      </w:numPr>
      <w:spacing w:before="240" w:after="240"/>
      <w:outlineLvl w:val="0"/>
    </w:pPr>
    <w:rPr>
      <w:rFonts w:ascii="Times New Roman"/>
    </w:rPr>
  </w:style>
  <w:style w:type="paragraph" w:styleId="6">
    <w:name w:val="heading 2"/>
    <w:basedOn w:val="7"/>
    <w:next w:val="1"/>
    <w:link w:val="521"/>
    <w:autoRedefine/>
    <w:qFormat/>
    <w:uiPriority w:val="0"/>
    <w:pPr>
      <w:numPr>
        <w:ilvl w:val="1"/>
        <w:numId w:val="1"/>
      </w:numPr>
      <w:tabs>
        <w:tab w:val="left" w:pos="360"/>
      </w:tabs>
      <w:spacing w:before="120" w:after="120"/>
      <w:jc w:val="both"/>
      <w:outlineLvl w:val="1"/>
    </w:pPr>
    <w:rPr>
      <w:rFonts w:ascii="Times New Roman" w:hAnsi="Times New Roman"/>
      <w:color w:val="000000"/>
    </w:rPr>
  </w:style>
  <w:style w:type="paragraph" w:styleId="8">
    <w:name w:val="heading 3"/>
    <w:basedOn w:val="1"/>
    <w:next w:val="1"/>
    <w:autoRedefine/>
    <w:qFormat/>
    <w:uiPriority w:val="0"/>
    <w:pPr>
      <w:keepNext/>
      <w:keepLines/>
      <w:numPr>
        <w:ilvl w:val="2"/>
        <w:numId w:val="1"/>
      </w:numPr>
      <w:spacing w:line="300" w:lineRule="auto"/>
      <w:ind w:left="0" w:firstLine="0"/>
      <w:outlineLvl w:val="2"/>
    </w:pPr>
    <w:rPr>
      <w:rFonts w:asciiTheme="minorEastAsia" w:hAnsiTheme="minorEastAsia" w:eastAsiaTheme="minorEastAsia"/>
      <w:color w:val="000000"/>
      <w:szCs w:val="21"/>
      <w:lang w:val="zh-CN"/>
    </w:rPr>
  </w:style>
  <w:style w:type="paragraph" w:styleId="9">
    <w:name w:val="heading 4"/>
    <w:basedOn w:val="1"/>
    <w:next w:val="1"/>
    <w:autoRedefine/>
    <w:qFormat/>
    <w:uiPriority w:val="0"/>
    <w:pPr>
      <w:keepNext/>
      <w:keepLines/>
      <w:numPr>
        <w:ilvl w:val="3"/>
        <w:numId w:val="1"/>
      </w:numPr>
      <w:spacing w:before="280" w:after="290" w:line="376" w:lineRule="auto"/>
      <w:outlineLvl w:val="3"/>
    </w:pPr>
    <w:rPr>
      <w:rFonts w:ascii="Arial" w:hAnsi="Arial" w:eastAsia="黑体"/>
      <w:b/>
      <w:bCs/>
      <w:sz w:val="28"/>
      <w:szCs w:val="28"/>
    </w:rPr>
  </w:style>
  <w:style w:type="paragraph" w:styleId="10">
    <w:name w:val="heading 5"/>
    <w:basedOn w:val="1"/>
    <w:next w:val="1"/>
    <w:autoRedefine/>
    <w:qFormat/>
    <w:uiPriority w:val="0"/>
    <w:pPr>
      <w:keepNext/>
      <w:keepLines/>
      <w:numPr>
        <w:ilvl w:val="4"/>
        <w:numId w:val="1"/>
      </w:numPr>
      <w:spacing w:before="280" w:after="290" w:line="376" w:lineRule="auto"/>
      <w:outlineLvl w:val="4"/>
    </w:pPr>
    <w:rPr>
      <w:b/>
      <w:bCs/>
      <w:sz w:val="28"/>
      <w:szCs w:val="28"/>
    </w:rPr>
  </w:style>
  <w:style w:type="paragraph" w:styleId="11">
    <w:name w:val="heading 6"/>
    <w:basedOn w:val="1"/>
    <w:next w:val="1"/>
    <w:autoRedefine/>
    <w:qFormat/>
    <w:uiPriority w:val="0"/>
    <w:pPr>
      <w:keepNext/>
      <w:keepLines/>
      <w:numPr>
        <w:ilvl w:val="5"/>
        <w:numId w:val="1"/>
      </w:numPr>
      <w:spacing w:before="240" w:after="64" w:line="320" w:lineRule="auto"/>
      <w:outlineLvl w:val="5"/>
    </w:pPr>
    <w:rPr>
      <w:rFonts w:ascii="Arial" w:hAnsi="Arial" w:eastAsia="黑体"/>
      <w:b/>
      <w:bCs/>
      <w:sz w:val="24"/>
    </w:rPr>
  </w:style>
  <w:style w:type="paragraph" w:styleId="12">
    <w:name w:val="heading 7"/>
    <w:basedOn w:val="1"/>
    <w:next w:val="1"/>
    <w:autoRedefine/>
    <w:qFormat/>
    <w:uiPriority w:val="0"/>
    <w:pPr>
      <w:keepNext/>
      <w:keepLines/>
      <w:numPr>
        <w:ilvl w:val="6"/>
        <w:numId w:val="1"/>
      </w:numPr>
      <w:spacing w:before="240" w:after="64" w:line="320" w:lineRule="auto"/>
      <w:outlineLvl w:val="6"/>
    </w:pPr>
    <w:rPr>
      <w:b/>
      <w:bCs/>
      <w:sz w:val="24"/>
    </w:rPr>
  </w:style>
  <w:style w:type="paragraph" w:styleId="13">
    <w:name w:val="heading 8"/>
    <w:basedOn w:val="1"/>
    <w:next w:val="1"/>
    <w:autoRedefine/>
    <w:qFormat/>
    <w:uiPriority w:val="0"/>
    <w:pPr>
      <w:keepNext/>
      <w:keepLines/>
      <w:numPr>
        <w:ilvl w:val="7"/>
        <w:numId w:val="1"/>
      </w:numPr>
      <w:spacing w:before="240" w:after="64" w:line="320" w:lineRule="auto"/>
      <w:outlineLvl w:val="7"/>
    </w:pPr>
    <w:rPr>
      <w:rFonts w:ascii="Arial" w:hAnsi="Arial" w:eastAsia="黑体"/>
      <w:sz w:val="24"/>
    </w:rPr>
  </w:style>
  <w:style w:type="paragraph" w:styleId="14">
    <w:name w:val="heading 9"/>
    <w:basedOn w:val="1"/>
    <w:next w:val="1"/>
    <w:autoRedefine/>
    <w:qFormat/>
    <w:uiPriority w:val="0"/>
    <w:pPr>
      <w:keepNext/>
      <w:keepLines/>
      <w:numPr>
        <w:ilvl w:val="8"/>
        <w:numId w:val="1"/>
      </w:numPr>
      <w:spacing w:before="240" w:after="64" w:line="320" w:lineRule="auto"/>
      <w:outlineLvl w:val="8"/>
    </w:pPr>
    <w:rPr>
      <w:rFonts w:ascii="Arial" w:hAnsi="Arial" w:eastAsia="黑体"/>
      <w:szCs w:val="21"/>
    </w:rPr>
  </w:style>
  <w:style w:type="character" w:default="1" w:styleId="234">
    <w:name w:val="Default Paragraph Font"/>
    <w:semiHidden/>
    <w:unhideWhenUsed/>
    <w:qFormat/>
    <w:uiPriority w:val="1"/>
  </w:style>
  <w:style w:type="table" w:default="1" w:styleId="91">
    <w:name w:val="Normal Table"/>
    <w:semiHidden/>
    <w:unhideWhenUsed/>
    <w:qFormat/>
    <w:uiPriority w:val="99"/>
    <w:tblPr>
      <w:tblCellMar>
        <w:top w:w="0" w:type="dxa"/>
        <w:left w:w="108" w:type="dxa"/>
        <w:bottom w:w="0" w:type="dxa"/>
        <w:right w:w="108" w:type="dxa"/>
      </w:tblCellMar>
    </w:tblPr>
  </w:style>
  <w:style w:type="paragraph" w:styleId="2">
    <w:name w:val="macro"/>
    <w:link w:val="361"/>
    <w:semiHidden/>
    <w:unhideWhenUsed/>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eastAsia="宋体" w:cs="Courier New"/>
      <w:kern w:val="2"/>
      <w:sz w:val="24"/>
      <w:szCs w:val="24"/>
      <w:lang w:val="en-US" w:eastAsia="zh-CN" w:bidi="ar-SA"/>
    </w:rPr>
  </w:style>
  <w:style w:type="paragraph" w:customStyle="1" w:styleId="4">
    <w:name w:val="章标题"/>
    <w:next w:val="5"/>
    <w:autoRedefine/>
    <w:qFormat/>
    <w:uiPriority w:val="0"/>
    <w:pPr>
      <w:numPr>
        <w:ilvl w:val="0"/>
        <w:numId w:val="2"/>
      </w:numPr>
      <w:spacing w:beforeLines="100" w:afterLines="100"/>
      <w:jc w:val="both"/>
      <w:outlineLvl w:val="1"/>
    </w:pPr>
    <w:rPr>
      <w:rFonts w:ascii="黑体" w:hAnsi="Times New Roman" w:eastAsia="黑体" w:cs="Times New Roman"/>
      <w:sz w:val="21"/>
      <w:lang w:val="en-US" w:eastAsia="zh-CN" w:bidi="ar-SA"/>
    </w:rPr>
  </w:style>
  <w:style w:type="paragraph" w:customStyle="1" w:styleId="5">
    <w:name w:val="段"/>
    <w:autoRedefine/>
    <w:qFormat/>
    <w:uiPriority w:val="0"/>
    <w:pPr>
      <w:spacing w:line="300" w:lineRule="auto"/>
      <w:jc w:val="both"/>
    </w:pPr>
    <w:rPr>
      <w:rFonts w:ascii="宋体" w:hAnsi="Times New Roman" w:eastAsia="宋体" w:cs="Times New Roman"/>
      <w:sz w:val="21"/>
      <w:lang w:val="en-US" w:eastAsia="zh-CN" w:bidi="ar-SA"/>
    </w:rPr>
  </w:style>
  <w:style w:type="paragraph" w:customStyle="1" w:styleId="7">
    <w:name w:val="标题2"/>
    <w:basedOn w:val="1"/>
    <w:link w:val="516"/>
    <w:autoRedefine/>
    <w:qFormat/>
    <w:uiPriority w:val="0"/>
    <w:pPr>
      <w:adjustRightInd w:val="0"/>
      <w:snapToGrid w:val="0"/>
      <w:spacing w:beforeLines="50" w:afterLines="50"/>
      <w:jc w:val="center"/>
    </w:pPr>
    <w:rPr>
      <w:rFonts w:ascii="黑体" w:hAnsi="黑体" w:eastAsia="黑体"/>
      <w:szCs w:val="21"/>
      <w:lang w:val="zh-CN"/>
    </w:rPr>
  </w:style>
  <w:style w:type="paragraph" w:styleId="15">
    <w:name w:val="List 3"/>
    <w:basedOn w:val="1"/>
    <w:autoRedefine/>
    <w:semiHidden/>
    <w:unhideWhenUsed/>
    <w:qFormat/>
    <w:uiPriority w:val="99"/>
    <w:pPr>
      <w:ind w:left="100" w:leftChars="400" w:hanging="200" w:hangingChars="200"/>
      <w:contextualSpacing/>
    </w:pPr>
  </w:style>
  <w:style w:type="paragraph" w:styleId="16">
    <w:name w:val="toc 7"/>
    <w:basedOn w:val="17"/>
    <w:next w:val="1"/>
    <w:semiHidden/>
    <w:qFormat/>
    <w:uiPriority w:val="0"/>
    <w:pPr>
      <w:ind w:left="500" w:leftChars="500"/>
    </w:pPr>
  </w:style>
  <w:style w:type="paragraph" w:styleId="17">
    <w:name w:val="toc 6"/>
    <w:basedOn w:val="18"/>
    <w:next w:val="1"/>
    <w:autoRedefine/>
    <w:semiHidden/>
    <w:qFormat/>
    <w:uiPriority w:val="0"/>
    <w:pPr>
      <w:ind w:left="400" w:leftChars="400"/>
    </w:pPr>
  </w:style>
  <w:style w:type="paragraph" w:styleId="18">
    <w:name w:val="toc 5"/>
    <w:basedOn w:val="19"/>
    <w:next w:val="1"/>
    <w:semiHidden/>
    <w:qFormat/>
    <w:uiPriority w:val="0"/>
    <w:pPr>
      <w:ind w:left="300" w:leftChars="300"/>
    </w:pPr>
  </w:style>
  <w:style w:type="paragraph" w:styleId="19">
    <w:name w:val="toc 4"/>
    <w:basedOn w:val="20"/>
    <w:next w:val="1"/>
    <w:autoRedefine/>
    <w:semiHidden/>
    <w:qFormat/>
    <w:uiPriority w:val="0"/>
    <w:pPr>
      <w:ind w:left="200" w:leftChars="200"/>
    </w:pPr>
  </w:style>
  <w:style w:type="paragraph" w:styleId="20">
    <w:name w:val="toc 3"/>
    <w:basedOn w:val="21"/>
    <w:next w:val="1"/>
    <w:semiHidden/>
    <w:qFormat/>
    <w:uiPriority w:val="0"/>
    <w:pPr>
      <w:ind w:left="100" w:leftChars="100"/>
    </w:pPr>
  </w:style>
  <w:style w:type="paragraph" w:styleId="21">
    <w:name w:val="toc 2"/>
    <w:basedOn w:val="22"/>
    <w:next w:val="1"/>
    <w:qFormat/>
    <w:uiPriority w:val="39"/>
    <w:pPr>
      <w:ind w:firstLine="200" w:firstLineChars="200"/>
    </w:pPr>
  </w:style>
  <w:style w:type="paragraph" w:styleId="22">
    <w:name w:val="toc 1"/>
    <w:next w:val="1"/>
    <w:qFormat/>
    <w:uiPriority w:val="39"/>
    <w:pPr>
      <w:spacing w:beforeLines="25" w:afterLines="25"/>
      <w:jc w:val="both"/>
    </w:pPr>
    <w:rPr>
      <w:rFonts w:ascii="Times New Roman" w:hAnsi="Times New Roman" w:eastAsia="宋体" w:cs="Times New Roman"/>
      <w:sz w:val="21"/>
      <w:lang w:val="en-US" w:eastAsia="zh-CN" w:bidi="ar-SA"/>
    </w:rPr>
  </w:style>
  <w:style w:type="paragraph" w:styleId="23">
    <w:name w:val="List Number 2"/>
    <w:basedOn w:val="1"/>
    <w:semiHidden/>
    <w:unhideWhenUsed/>
    <w:qFormat/>
    <w:uiPriority w:val="99"/>
    <w:pPr>
      <w:numPr>
        <w:ilvl w:val="0"/>
        <w:numId w:val="3"/>
      </w:numPr>
      <w:contextualSpacing/>
    </w:pPr>
  </w:style>
  <w:style w:type="paragraph" w:styleId="24">
    <w:name w:val="table of authorities"/>
    <w:basedOn w:val="1"/>
    <w:next w:val="1"/>
    <w:autoRedefine/>
    <w:semiHidden/>
    <w:unhideWhenUsed/>
    <w:qFormat/>
    <w:uiPriority w:val="99"/>
    <w:pPr>
      <w:ind w:left="420" w:leftChars="200"/>
    </w:pPr>
  </w:style>
  <w:style w:type="paragraph" w:styleId="25">
    <w:name w:val="Note Heading"/>
    <w:basedOn w:val="1"/>
    <w:next w:val="1"/>
    <w:link w:val="493"/>
    <w:semiHidden/>
    <w:unhideWhenUsed/>
    <w:qFormat/>
    <w:uiPriority w:val="99"/>
    <w:pPr>
      <w:jc w:val="center"/>
    </w:pPr>
  </w:style>
  <w:style w:type="paragraph" w:styleId="26">
    <w:name w:val="List Bullet 4"/>
    <w:basedOn w:val="1"/>
    <w:autoRedefine/>
    <w:semiHidden/>
    <w:unhideWhenUsed/>
    <w:qFormat/>
    <w:uiPriority w:val="99"/>
    <w:pPr>
      <w:numPr>
        <w:ilvl w:val="0"/>
        <w:numId w:val="4"/>
      </w:numPr>
      <w:contextualSpacing/>
    </w:pPr>
  </w:style>
  <w:style w:type="paragraph" w:styleId="27">
    <w:name w:val="index 8"/>
    <w:basedOn w:val="1"/>
    <w:next w:val="1"/>
    <w:autoRedefine/>
    <w:semiHidden/>
    <w:unhideWhenUsed/>
    <w:qFormat/>
    <w:uiPriority w:val="99"/>
    <w:pPr>
      <w:ind w:left="1400" w:leftChars="1400"/>
    </w:pPr>
  </w:style>
  <w:style w:type="paragraph" w:styleId="28">
    <w:name w:val="E-mail Signature"/>
    <w:basedOn w:val="1"/>
    <w:link w:val="359"/>
    <w:autoRedefine/>
    <w:semiHidden/>
    <w:unhideWhenUsed/>
    <w:qFormat/>
    <w:uiPriority w:val="99"/>
  </w:style>
  <w:style w:type="paragraph" w:styleId="29">
    <w:name w:val="List Number"/>
    <w:basedOn w:val="1"/>
    <w:autoRedefine/>
    <w:semiHidden/>
    <w:unhideWhenUsed/>
    <w:qFormat/>
    <w:uiPriority w:val="99"/>
    <w:pPr>
      <w:numPr>
        <w:ilvl w:val="0"/>
        <w:numId w:val="5"/>
      </w:numPr>
      <w:contextualSpacing/>
    </w:pPr>
  </w:style>
  <w:style w:type="paragraph" w:styleId="30">
    <w:name w:val="Normal Indent"/>
    <w:basedOn w:val="1"/>
    <w:autoRedefine/>
    <w:unhideWhenUsed/>
    <w:qFormat/>
    <w:uiPriority w:val="0"/>
    <w:pPr>
      <w:ind w:firstLine="420" w:firstLineChars="200"/>
    </w:pPr>
  </w:style>
  <w:style w:type="paragraph" w:styleId="31">
    <w:name w:val="caption"/>
    <w:basedOn w:val="1"/>
    <w:next w:val="1"/>
    <w:qFormat/>
    <w:uiPriority w:val="0"/>
    <w:rPr>
      <w:rFonts w:ascii="宋体" w:hAnsi="Arial" w:cs="Arial"/>
      <w:szCs w:val="20"/>
    </w:rPr>
  </w:style>
  <w:style w:type="paragraph" w:styleId="32">
    <w:name w:val="index 5"/>
    <w:basedOn w:val="1"/>
    <w:next w:val="1"/>
    <w:autoRedefine/>
    <w:semiHidden/>
    <w:unhideWhenUsed/>
    <w:qFormat/>
    <w:uiPriority w:val="99"/>
    <w:pPr>
      <w:ind w:left="800" w:leftChars="800"/>
    </w:pPr>
  </w:style>
  <w:style w:type="paragraph" w:styleId="33">
    <w:name w:val="List Bullet"/>
    <w:basedOn w:val="1"/>
    <w:semiHidden/>
    <w:unhideWhenUsed/>
    <w:qFormat/>
    <w:uiPriority w:val="99"/>
    <w:pPr>
      <w:numPr>
        <w:ilvl w:val="0"/>
        <w:numId w:val="6"/>
      </w:numPr>
      <w:contextualSpacing/>
    </w:pPr>
  </w:style>
  <w:style w:type="paragraph" w:styleId="34">
    <w:name w:val="envelope address"/>
    <w:basedOn w:val="1"/>
    <w:autoRedefine/>
    <w:semiHidden/>
    <w:unhideWhenUsed/>
    <w:qFormat/>
    <w:uiPriority w:val="99"/>
    <w:pPr>
      <w:framePr w:w="7920" w:h="1980" w:hRule="exact" w:hSpace="180" w:wrap="around" w:vAnchor="margin" w:hAnchor="page" w:xAlign="center" w:yAlign="bottom"/>
      <w:snapToGrid w:val="0"/>
      <w:ind w:left="100" w:leftChars="1400"/>
    </w:pPr>
    <w:rPr>
      <w:rFonts w:asciiTheme="majorHAnsi" w:hAnsiTheme="majorHAnsi" w:eastAsiaTheme="majorEastAsia" w:cstheme="majorBidi"/>
      <w:sz w:val="24"/>
    </w:rPr>
  </w:style>
  <w:style w:type="paragraph" w:styleId="35">
    <w:name w:val="Document Map"/>
    <w:basedOn w:val="1"/>
    <w:link w:val="475"/>
    <w:semiHidden/>
    <w:unhideWhenUsed/>
    <w:qFormat/>
    <w:uiPriority w:val="99"/>
    <w:rPr>
      <w:rFonts w:ascii="Microsoft YaHei UI" w:eastAsia="Microsoft YaHei UI"/>
      <w:sz w:val="18"/>
      <w:szCs w:val="18"/>
    </w:rPr>
  </w:style>
  <w:style w:type="paragraph" w:styleId="36">
    <w:name w:val="toa heading"/>
    <w:basedOn w:val="1"/>
    <w:next w:val="1"/>
    <w:autoRedefine/>
    <w:semiHidden/>
    <w:unhideWhenUsed/>
    <w:qFormat/>
    <w:uiPriority w:val="99"/>
    <w:pPr>
      <w:spacing w:before="120"/>
    </w:pPr>
    <w:rPr>
      <w:rFonts w:asciiTheme="majorHAnsi" w:hAnsiTheme="majorHAnsi" w:cstheme="majorBidi"/>
      <w:sz w:val="24"/>
    </w:rPr>
  </w:style>
  <w:style w:type="paragraph" w:styleId="37">
    <w:name w:val="annotation text"/>
    <w:basedOn w:val="1"/>
    <w:link w:val="369"/>
    <w:semiHidden/>
    <w:unhideWhenUsed/>
    <w:qFormat/>
    <w:uiPriority w:val="99"/>
    <w:pPr>
      <w:jc w:val="left"/>
    </w:pPr>
  </w:style>
  <w:style w:type="paragraph" w:styleId="38">
    <w:name w:val="index 6"/>
    <w:basedOn w:val="1"/>
    <w:next w:val="1"/>
    <w:autoRedefine/>
    <w:semiHidden/>
    <w:unhideWhenUsed/>
    <w:qFormat/>
    <w:uiPriority w:val="99"/>
    <w:pPr>
      <w:ind w:left="1000" w:leftChars="1000"/>
    </w:pPr>
  </w:style>
  <w:style w:type="paragraph" w:styleId="39">
    <w:name w:val="Salutation"/>
    <w:basedOn w:val="1"/>
    <w:next w:val="1"/>
    <w:link w:val="357"/>
    <w:autoRedefine/>
    <w:semiHidden/>
    <w:unhideWhenUsed/>
    <w:qFormat/>
    <w:uiPriority w:val="99"/>
  </w:style>
  <w:style w:type="paragraph" w:styleId="40">
    <w:name w:val="Body Text 3"/>
    <w:basedOn w:val="1"/>
    <w:link w:val="490"/>
    <w:autoRedefine/>
    <w:semiHidden/>
    <w:unhideWhenUsed/>
    <w:qFormat/>
    <w:uiPriority w:val="99"/>
    <w:pPr>
      <w:spacing w:after="120"/>
    </w:pPr>
    <w:rPr>
      <w:sz w:val="16"/>
      <w:szCs w:val="16"/>
    </w:rPr>
  </w:style>
  <w:style w:type="paragraph" w:styleId="41">
    <w:name w:val="Closing"/>
    <w:basedOn w:val="1"/>
    <w:link w:val="362"/>
    <w:autoRedefine/>
    <w:semiHidden/>
    <w:unhideWhenUsed/>
    <w:qFormat/>
    <w:uiPriority w:val="99"/>
    <w:pPr>
      <w:ind w:left="100" w:leftChars="2100"/>
    </w:pPr>
  </w:style>
  <w:style w:type="paragraph" w:styleId="42">
    <w:name w:val="List Bullet 3"/>
    <w:basedOn w:val="1"/>
    <w:semiHidden/>
    <w:unhideWhenUsed/>
    <w:qFormat/>
    <w:uiPriority w:val="99"/>
    <w:pPr>
      <w:numPr>
        <w:ilvl w:val="0"/>
        <w:numId w:val="7"/>
      </w:numPr>
      <w:contextualSpacing/>
    </w:pPr>
  </w:style>
  <w:style w:type="paragraph" w:styleId="43">
    <w:name w:val="Body Text"/>
    <w:basedOn w:val="1"/>
    <w:link w:val="334"/>
    <w:semiHidden/>
    <w:unhideWhenUsed/>
    <w:qFormat/>
    <w:uiPriority w:val="99"/>
    <w:pPr>
      <w:spacing w:after="120"/>
    </w:pPr>
  </w:style>
  <w:style w:type="paragraph" w:styleId="44">
    <w:name w:val="Body Text Indent"/>
    <w:basedOn w:val="1"/>
    <w:link w:val="487"/>
    <w:autoRedefine/>
    <w:semiHidden/>
    <w:unhideWhenUsed/>
    <w:qFormat/>
    <w:uiPriority w:val="99"/>
    <w:pPr>
      <w:spacing w:after="120"/>
      <w:ind w:left="420" w:leftChars="200"/>
    </w:pPr>
  </w:style>
  <w:style w:type="paragraph" w:styleId="45">
    <w:name w:val="List Number 3"/>
    <w:basedOn w:val="1"/>
    <w:semiHidden/>
    <w:unhideWhenUsed/>
    <w:qFormat/>
    <w:uiPriority w:val="99"/>
    <w:pPr>
      <w:numPr>
        <w:ilvl w:val="0"/>
        <w:numId w:val="8"/>
      </w:numPr>
      <w:contextualSpacing/>
    </w:pPr>
  </w:style>
  <w:style w:type="paragraph" w:styleId="46">
    <w:name w:val="List 2"/>
    <w:basedOn w:val="1"/>
    <w:semiHidden/>
    <w:unhideWhenUsed/>
    <w:qFormat/>
    <w:uiPriority w:val="99"/>
    <w:pPr>
      <w:ind w:left="100" w:leftChars="200" w:hanging="200" w:hangingChars="200"/>
      <w:contextualSpacing/>
    </w:pPr>
  </w:style>
  <w:style w:type="paragraph" w:styleId="47">
    <w:name w:val="List Continue"/>
    <w:basedOn w:val="1"/>
    <w:semiHidden/>
    <w:unhideWhenUsed/>
    <w:qFormat/>
    <w:uiPriority w:val="99"/>
    <w:pPr>
      <w:spacing w:after="120"/>
      <w:ind w:left="420" w:leftChars="200"/>
      <w:contextualSpacing/>
    </w:pPr>
  </w:style>
  <w:style w:type="paragraph" w:styleId="48">
    <w:name w:val="Block Text"/>
    <w:basedOn w:val="1"/>
    <w:autoRedefine/>
    <w:semiHidden/>
    <w:unhideWhenUsed/>
    <w:qFormat/>
    <w:uiPriority w:val="99"/>
    <w:pPr>
      <w:spacing w:after="120"/>
      <w:ind w:left="1440" w:leftChars="700" w:right="1440" w:rightChars="700"/>
    </w:pPr>
  </w:style>
  <w:style w:type="paragraph" w:styleId="49">
    <w:name w:val="List Bullet 2"/>
    <w:basedOn w:val="1"/>
    <w:autoRedefine/>
    <w:semiHidden/>
    <w:unhideWhenUsed/>
    <w:qFormat/>
    <w:uiPriority w:val="99"/>
    <w:pPr>
      <w:numPr>
        <w:ilvl w:val="0"/>
        <w:numId w:val="9"/>
      </w:numPr>
      <w:contextualSpacing/>
    </w:pPr>
  </w:style>
  <w:style w:type="paragraph" w:styleId="50">
    <w:name w:val="HTML Address"/>
    <w:basedOn w:val="1"/>
    <w:semiHidden/>
    <w:qFormat/>
    <w:uiPriority w:val="0"/>
    <w:rPr>
      <w:i/>
      <w:iCs/>
    </w:rPr>
  </w:style>
  <w:style w:type="paragraph" w:styleId="51">
    <w:name w:val="index 4"/>
    <w:basedOn w:val="1"/>
    <w:next w:val="1"/>
    <w:autoRedefine/>
    <w:semiHidden/>
    <w:unhideWhenUsed/>
    <w:qFormat/>
    <w:uiPriority w:val="99"/>
    <w:pPr>
      <w:ind w:left="600" w:leftChars="600"/>
    </w:pPr>
  </w:style>
  <w:style w:type="paragraph" w:styleId="52">
    <w:name w:val="Plain Text"/>
    <w:basedOn w:val="1"/>
    <w:link w:val="358"/>
    <w:autoRedefine/>
    <w:semiHidden/>
    <w:unhideWhenUsed/>
    <w:qFormat/>
    <w:uiPriority w:val="99"/>
    <w:rPr>
      <w:rFonts w:ascii="宋体" w:hAnsi="Courier New" w:cs="Courier New"/>
      <w:szCs w:val="21"/>
    </w:rPr>
  </w:style>
  <w:style w:type="paragraph" w:styleId="53">
    <w:name w:val="List Bullet 5"/>
    <w:basedOn w:val="1"/>
    <w:semiHidden/>
    <w:unhideWhenUsed/>
    <w:qFormat/>
    <w:uiPriority w:val="99"/>
    <w:pPr>
      <w:numPr>
        <w:ilvl w:val="0"/>
        <w:numId w:val="10"/>
      </w:numPr>
      <w:contextualSpacing/>
    </w:pPr>
  </w:style>
  <w:style w:type="paragraph" w:styleId="54">
    <w:name w:val="List Number 4"/>
    <w:basedOn w:val="1"/>
    <w:semiHidden/>
    <w:unhideWhenUsed/>
    <w:qFormat/>
    <w:uiPriority w:val="99"/>
    <w:pPr>
      <w:numPr>
        <w:ilvl w:val="0"/>
        <w:numId w:val="11"/>
      </w:numPr>
      <w:contextualSpacing/>
    </w:pPr>
  </w:style>
  <w:style w:type="paragraph" w:styleId="55">
    <w:name w:val="toc 8"/>
    <w:basedOn w:val="16"/>
    <w:next w:val="1"/>
    <w:autoRedefine/>
    <w:semiHidden/>
    <w:qFormat/>
    <w:uiPriority w:val="0"/>
  </w:style>
  <w:style w:type="paragraph" w:styleId="56">
    <w:name w:val="index 3"/>
    <w:basedOn w:val="1"/>
    <w:next w:val="1"/>
    <w:autoRedefine/>
    <w:semiHidden/>
    <w:unhideWhenUsed/>
    <w:qFormat/>
    <w:uiPriority w:val="99"/>
    <w:pPr>
      <w:ind w:left="400" w:leftChars="400"/>
    </w:pPr>
  </w:style>
  <w:style w:type="paragraph" w:styleId="57">
    <w:name w:val="Date"/>
    <w:basedOn w:val="1"/>
    <w:next w:val="1"/>
    <w:link w:val="421"/>
    <w:semiHidden/>
    <w:unhideWhenUsed/>
    <w:qFormat/>
    <w:uiPriority w:val="99"/>
    <w:pPr>
      <w:ind w:left="100" w:leftChars="2500"/>
    </w:pPr>
  </w:style>
  <w:style w:type="paragraph" w:styleId="58">
    <w:name w:val="Body Text Indent 2"/>
    <w:basedOn w:val="1"/>
    <w:link w:val="491"/>
    <w:semiHidden/>
    <w:unhideWhenUsed/>
    <w:qFormat/>
    <w:uiPriority w:val="99"/>
    <w:pPr>
      <w:spacing w:after="120" w:line="480" w:lineRule="auto"/>
      <w:ind w:left="420" w:leftChars="200"/>
    </w:pPr>
  </w:style>
  <w:style w:type="paragraph" w:styleId="59">
    <w:name w:val="endnote text"/>
    <w:basedOn w:val="1"/>
    <w:link w:val="474"/>
    <w:autoRedefine/>
    <w:semiHidden/>
    <w:unhideWhenUsed/>
    <w:qFormat/>
    <w:uiPriority w:val="99"/>
    <w:pPr>
      <w:snapToGrid w:val="0"/>
      <w:jc w:val="left"/>
    </w:pPr>
  </w:style>
  <w:style w:type="paragraph" w:styleId="60">
    <w:name w:val="List Continue 5"/>
    <w:basedOn w:val="1"/>
    <w:autoRedefine/>
    <w:semiHidden/>
    <w:unhideWhenUsed/>
    <w:qFormat/>
    <w:uiPriority w:val="99"/>
    <w:pPr>
      <w:spacing w:after="120"/>
      <w:ind w:left="2100" w:leftChars="1000"/>
      <w:contextualSpacing/>
    </w:pPr>
  </w:style>
  <w:style w:type="paragraph" w:styleId="61">
    <w:name w:val="Balloon Text"/>
    <w:basedOn w:val="1"/>
    <w:link w:val="368"/>
    <w:semiHidden/>
    <w:unhideWhenUsed/>
    <w:qFormat/>
    <w:uiPriority w:val="99"/>
    <w:rPr>
      <w:sz w:val="18"/>
      <w:szCs w:val="18"/>
    </w:rPr>
  </w:style>
  <w:style w:type="paragraph" w:styleId="62">
    <w:name w:val="footer"/>
    <w:basedOn w:val="1"/>
    <w:link w:val="517"/>
    <w:autoRedefine/>
    <w:qFormat/>
    <w:uiPriority w:val="99"/>
    <w:pPr>
      <w:tabs>
        <w:tab w:val="center" w:pos="4153"/>
        <w:tab w:val="right" w:pos="8306"/>
      </w:tabs>
      <w:snapToGrid w:val="0"/>
      <w:ind w:right="210" w:rightChars="100"/>
      <w:jc w:val="right"/>
    </w:pPr>
    <w:rPr>
      <w:sz w:val="18"/>
      <w:szCs w:val="18"/>
    </w:rPr>
  </w:style>
  <w:style w:type="paragraph" w:styleId="63">
    <w:name w:val="envelope return"/>
    <w:basedOn w:val="1"/>
    <w:autoRedefine/>
    <w:semiHidden/>
    <w:unhideWhenUsed/>
    <w:qFormat/>
    <w:uiPriority w:val="99"/>
    <w:pPr>
      <w:snapToGrid w:val="0"/>
    </w:pPr>
    <w:rPr>
      <w:rFonts w:asciiTheme="majorHAnsi" w:hAnsiTheme="majorHAnsi" w:eastAsiaTheme="majorEastAsia" w:cstheme="majorBidi"/>
    </w:rPr>
  </w:style>
  <w:style w:type="paragraph" w:styleId="64">
    <w:name w:val="header"/>
    <w:basedOn w:val="1"/>
    <w:autoRedefine/>
    <w:semiHidden/>
    <w:qFormat/>
    <w:uiPriority w:val="0"/>
    <w:pPr>
      <w:pBdr>
        <w:bottom w:val="single" w:color="auto" w:sz="6" w:space="1"/>
      </w:pBdr>
      <w:tabs>
        <w:tab w:val="center" w:pos="4153"/>
        <w:tab w:val="right" w:pos="8306"/>
      </w:tabs>
      <w:snapToGrid w:val="0"/>
      <w:jc w:val="center"/>
    </w:pPr>
    <w:rPr>
      <w:sz w:val="18"/>
      <w:szCs w:val="18"/>
    </w:rPr>
  </w:style>
  <w:style w:type="paragraph" w:styleId="65">
    <w:name w:val="Signature"/>
    <w:basedOn w:val="1"/>
    <w:link w:val="371"/>
    <w:autoRedefine/>
    <w:semiHidden/>
    <w:unhideWhenUsed/>
    <w:qFormat/>
    <w:uiPriority w:val="99"/>
    <w:pPr>
      <w:ind w:left="100" w:leftChars="2100"/>
    </w:pPr>
  </w:style>
  <w:style w:type="paragraph" w:styleId="66">
    <w:name w:val="List Continue 4"/>
    <w:basedOn w:val="1"/>
    <w:autoRedefine/>
    <w:semiHidden/>
    <w:unhideWhenUsed/>
    <w:qFormat/>
    <w:uiPriority w:val="99"/>
    <w:pPr>
      <w:spacing w:after="120"/>
      <w:ind w:left="1680" w:leftChars="800"/>
      <w:contextualSpacing/>
    </w:pPr>
  </w:style>
  <w:style w:type="paragraph" w:styleId="67">
    <w:name w:val="index heading"/>
    <w:basedOn w:val="1"/>
    <w:next w:val="68"/>
    <w:autoRedefine/>
    <w:semiHidden/>
    <w:unhideWhenUsed/>
    <w:qFormat/>
    <w:uiPriority w:val="99"/>
    <w:pPr>
      <w:spacing w:beforeLines="100" w:afterLines="100"/>
      <w:jc w:val="center"/>
    </w:pPr>
    <w:rPr>
      <w:rFonts w:eastAsia="黑体" w:asciiTheme="majorHAnsi" w:hAnsiTheme="majorHAnsi" w:cstheme="majorBidi"/>
      <w:bCs/>
    </w:rPr>
  </w:style>
  <w:style w:type="paragraph" w:styleId="68">
    <w:name w:val="index 1"/>
    <w:basedOn w:val="1"/>
    <w:next w:val="1"/>
    <w:autoRedefine/>
    <w:semiHidden/>
    <w:unhideWhenUsed/>
    <w:qFormat/>
    <w:uiPriority w:val="99"/>
    <w:rPr>
      <w:rFonts w:ascii="宋体" w:hAnsi="宋体"/>
    </w:rPr>
  </w:style>
  <w:style w:type="paragraph" w:styleId="69">
    <w:name w:val="Subtitle"/>
    <w:basedOn w:val="1"/>
    <w:next w:val="1"/>
    <w:link w:val="360"/>
    <w:autoRedefine/>
    <w:qFormat/>
    <w:uiPriority w:val="11"/>
    <w:pPr>
      <w:spacing w:before="240" w:after="60" w:line="312" w:lineRule="auto"/>
      <w:jc w:val="center"/>
      <w:outlineLvl w:val="1"/>
    </w:pPr>
    <w:rPr>
      <w:rFonts w:asciiTheme="majorHAnsi" w:hAnsiTheme="majorHAnsi" w:cstheme="majorBidi"/>
      <w:b/>
      <w:bCs/>
      <w:kern w:val="28"/>
      <w:sz w:val="32"/>
      <w:szCs w:val="32"/>
    </w:rPr>
  </w:style>
  <w:style w:type="paragraph" w:styleId="70">
    <w:name w:val="List Number 5"/>
    <w:basedOn w:val="1"/>
    <w:semiHidden/>
    <w:unhideWhenUsed/>
    <w:qFormat/>
    <w:uiPriority w:val="99"/>
    <w:pPr>
      <w:numPr>
        <w:ilvl w:val="0"/>
        <w:numId w:val="12"/>
      </w:numPr>
      <w:tabs>
        <w:tab w:val="left" w:pos="0"/>
        <w:tab w:val="clear" w:pos="2040"/>
      </w:tabs>
      <w:ind w:left="0" w:leftChars="0" w:hanging="425" w:firstLineChars="0"/>
      <w:contextualSpacing/>
    </w:pPr>
  </w:style>
  <w:style w:type="paragraph" w:styleId="71">
    <w:name w:val="List"/>
    <w:basedOn w:val="1"/>
    <w:autoRedefine/>
    <w:semiHidden/>
    <w:unhideWhenUsed/>
    <w:qFormat/>
    <w:uiPriority w:val="99"/>
    <w:pPr>
      <w:ind w:left="200" w:hanging="200" w:hangingChars="200"/>
      <w:contextualSpacing/>
    </w:pPr>
  </w:style>
  <w:style w:type="paragraph" w:styleId="72">
    <w:name w:val="footnote text"/>
    <w:basedOn w:val="1"/>
    <w:autoRedefine/>
    <w:semiHidden/>
    <w:qFormat/>
    <w:uiPriority w:val="0"/>
    <w:pPr>
      <w:snapToGrid w:val="0"/>
      <w:ind w:left="400" w:leftChars="200" w:hanging="200" w:hangingChars="200"/>
      <w:jc w:val="left"/>
    </w:pPr>
    <w:rPr>
      <w:sz w:val="18"/>
      <w:szCs w:val="18"/>
    </w:rPr>
  </w:style>
  <w:style w:type="paragraph" w:styleId="73">
    <w:name w:val="List 5"/>
    <w:basedOn w:val="1"/>
    <w:autoRedefine/>
    <w:semiHidden/>
    <w:unhideWhenUsed/>
    <w:qFormat/>
    <w:uiPriority w:val="99"/>
    <w:pPr>
      <w:ind w:left="100" w:leftChars="800" w:hanging="200" w:hangingChars="200"/>
      <w:contextualSpacing/>
    </w:pPr>
  </w:style>
  <w:style w:type="paragraph" w:styleId="74">
    <w:name w:val="Body Text Indent 3"/>
    <w:basedOn w:val="1"/>
    <w:link w:val="492"/>
    <w:autoRedefine/>
    <w:semiHidden/>
    <w:unhideWhenUsed/>
    <w:qFormat/>
    <w:uiPriority w:val="99"/>
    <w:pPr>
      <w:spacing w:after="120"/>
      <w:ind w:left="420" w:leftChars="200"/>
    </w:pPr>
    <w:rPr>
      <w:sz w:val="16"/>
      <w:szCs w:val="16"/>
    </w:rPr>
  </w:style>
  <w:style w:type="paragraph" w:styleId="75">
    <w:name w:val="index 7"/>
    <w:basedOn w:val="1"/>
    <w:next w:val="1"/>
    <w:autoRedefine/>
    <w:semiHidden/>
    <w:unhideWhenUsed/>
    <w:qFormat/>
    <w:uiPriority w:val="99"/>
    <w:pPr>
      <w:ind w:left="1200" w:leftChars="1200"/>
    </w:pPr>
  </w:style>
  <w:style w:type="paragraph" w:styleId="76">
    <w:name w:val="index 9"/>
    <w:basedOn w:val="1"/>
    <w:next w:val="1"/>
    <w:autoRedefine/>
    <w:semiHidden/>
    <w:unhideWhenUsed/>
    <w:qFormat/>
    <w:uiPriority w:val="99"/>
    <w:pPr>
      <w:ind w:left="1600" w:leftChars="1600"/>
    </w:pPr>
  </w:style>
  <w:style w:type="paragraph" w:styleId="77">
    <w:name w:val="table of figures"/>
    <w:basedOn w:val="1"/>
    <w:next w:val="1"/>
    <w:autoRedefine/>
    <w:semiHidden/>
    <w:qFormat/>
    <w:uiPriority w:val="0"/>
  </w:style>
  <w:style w:type="paragraph" w:styleId="78">
    <w:name w:val="toc 9"/>
    <w:basedOn w:val="55"/>
    <w:next w:val="1"/>
    <w:autoRedefine/>
    <w:semiHidden/>
    <w:qFormat/>
    <w:uiPriority w:val="0"/>
  </w:style>
  <w:style w:type="paragraph" w:styleId="79">
    <w:name w:val="Body Text 2"/>
    <w:basedOn w:val="1"/>
    <w:link w:val="489"/>
    <w:autoRedefine/>
    <w:semiHidden/>
    <w:unhideWhenUsed/>
    <w:qFormat/>
    <w:uiPriority w:val="99"/>
    <w:pPr>
      <w:spacing w:after="120" w:line="480" w:lineRule="auto"/>
    </w:pPr>
  </w:style>
  <w:style w:type="paragraph" w:styleId="80">
    <w:name w:val="List 4"/>
    <w:basedOn w:val="1"/>
    <w:semiHidden/>
    <w:unhideWhenUsed/>
    <w:qFormat/>
    <w:uiPriority w:val="99"/>
    <w:pPr>
      <w:ind w:left="100" w:leftChars="600" w:hanging="200" w:hangingChars="200"/>
      <w:contextualSpacing/>
    </w:pPr>
  </w:style>
  <w:style w:type="paragraph" w:styleId="81">
    <w:name w:val="List Continue 2"/>
    <w:basedOn w:val="1"/>
    <w:autoRedefine/>
    <w:semiHidden/>
    <w:unhideWhenUsed/>
    <w:qFormat/>
    <w:uiPriority w:val="99"/>
    <w:pPr>
      <w:spacing w:after="120"/>
      <w:ind w:left="840" w:leftChars="400"/>
      <w:contextualSpacing/>
    </w:pPr>
  </w:style>
  <w:style w:type="paragraph" w:styleId="82">
    <w:name w:val="Message Header"/>
    <w:basedOn w:val="1"/>
    <w:link w:val="482"/>
    <w:autoRedefine/>
    <w:semiHidden/>
    <w:unhideWhenUsed/>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 w:val="24"/>
    </w:rPr>
  </w:style>
  <w:style w:type="paragraph" w:styleId="83">
    <w:name w:val="HTML Preformatted"/>
    <w:basedOn w:val="1"/>
    <w:autoRedefine/>
    <w:semiHidden/>
    <w:qFormat/>
    <w:uiPriority w:val="0"/>
    <w:rPr>
      <w:rFonts w:ascii="Courier New" w:hAnsi="Courier New" w:cs="Courier New"/>
      <w:sz w:val="20"/>
      <w:szCs w:val="20"/>
    </w:rPr>
  </w:style>
  <w:style w:type="paragraph" w:styleId="84">
    <w:name w:val="Normal (Web)"/>
    <w:basedOn w:val="1"/>
    <w:autoRedefine/>
    <w:semiHidden/>
    <w:unhideWhenUsed/>
    <w:qFormat/>
    <w:uiPriority w:val="99"/>
    <w:rPr>
      <w:sz w:val="24"/>
    </w:rPr>
  </w:style>
  <w:style w:type="paragraph" w:styleId="85">
    <w:name w:val="List Continue 3"/>
    <w:basedOn w:val="1"/>
    <w:semiHidden/>
    <w:unhideWhenUsed/>
    <w:qFormat/>
    <w:uiPriority w:val="99"/>
    <w:pPr>
      <w:spacing w:after="120"/>
      <w:ind w:left="1260" w:leftChars="600"/>
      <w:contextualSpacing/>
    </w:pPr>
  </w:style>
  <w:style w:type="paragraph" w:styleId="86">
    <w:name w:val="index 2"/>
    <w:basedOn w:val="1"/>
    <w:next w:val="1"/>
    <w:semiHidden/>
    <w:unhideWhenUsed/>
    <w:qFormat/>
    <w:uiPriority w:val="99"/>
    <w:pPr>
      <w:ind w:left="200" w:leftChars="200"/>
    </w:pPr>
  </w:style>
  <w:style w:type="paragraph" w:styleId="87">
    <w:name w:val="Title"/>
    <w:basedOn w:val="1"/>
    <w:qFormat/>
    <w:uiPriority w:val="0"/>
    <w:pPr>
      <w:spacing w:before="240" w:after="60"/>
      <w:jc w:val="center"/>
      <w:outlineLvl w:val="0"/>
    </w:pPr>
    <w:rPr>
      <w:rFonts w:ascii="Arial" w:hAnsi="Arial" w:cs="Arial"/>
      <w:b/>
      <w:bCs/>
      <w:sz w:val="32"/>
      <w:szCs w:val="32"/>
    </w:rPr>
  </w:style>
  <w:style w:type="paragraph" w:styleId="88">
    <w:name w:val="annotation subject"/>
    <w:basedOn w:val="37"/>
    <w:next w:val="37"/>
    <w:link w:val="370"/>
    <w:semiHidden/>
    <w:unhideWhenUsed/>
    <w:qFormat/>
    <w:uiPriority w:val="99"/>
    <w:rPr>
      <w:b/>
      <w:bCs/>
    </w:rPr>
  </w:style>
  <w:style w:type="paragraph" w:styleId="89">
    <w:name w:val="Body Text First Indent"/>
    <w:basedOn w:val="43"/>
    <w:link w:val="486"/>
    <w:semiHidden/>
    <w:unhideWhenUsed/>
    <w:qFormat/>
    <w:uiPriority w:val="99"/>
    <w:pPr>
      <w:ind w:firstLine="420" w:firstLineChars="100"/>
    </w:pPr>
  </w:style>
  <w:style w:type="paragraph" w:styleId="90">
    <w:name w:val="Body Text First Indent 2"/>
    <w:basedOn w:val="44"/>
    <w:link w:val="488"/>
    <w:autoRedefine/>
    <w:semiHidden/>
    <w:unhideWhenUsed/>
    <w:qFormat/>
    <w:uiPriority w:val="99"/>
    <w:pPr>
      <w:ind w:firstLine="420" w:firstLineChars="200"/>
    </w:pPr>
  </w:style>
  <w:style w:type="table" w:styleId="92">
    <w:name w:val="Table Grid"/>
    <w:basedOn w:val="9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3">
    <w:name w:val="Table Theme"/>
    <w:basedOn w:val="91"/>
    <w:semiHidden/>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4">
    <w:name w:val="Table Colorful 1"/>
    <w:basedOn w:val="91"/>
    <w:autoRedefine/>
    <w:semiHidden/>
    <w:unhideWhenUsed/>
    <w:qFormat/>
    <w:uiPriority w:val="99"/>
    <w:pPr>
      <w:widowControl w:val="0"/>
      <w:jc w:val="both"/>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95">
    <w:name w:val="Table Colorful 2"/>
    <w:basedOn w:val="91"/>
    <w:semiHidden/>
    <w:unhideWhenUsed/>
    <w:qFormat/>
    <w:uiPriority w:val="99"/>
    <w:pPr>
      <w:widowControl w:val="0"/>
      <w:jc w:val="both"/>
    </w:p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96">
    <w:name w:val="Table Colorful 3"/>
    <w:basedOn w:val="91"/>
    <w:semiHidden/>
    <w:unhideWhenUsed/>
    <w:qFormat/>
    <w:uiPriority w:val="99"/>
    <w:pPr>
      <w:widowControl w:val="0"/>
      <w:jc w:val="both"/>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il"/>
          <w:tr2bl w:val="nil"/>
        </w:tcBorders>
        <w:shd w:val="solid" w:color="008080" w:fill="FFFFFF"/>
      </w:tcPr>
    </w:tblStylePr>
    <w:tblStylePr w:type="firstCol">
      <w:tblPr/>
      <w:tcPr>
        <w:tcBorders>
          <w:left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97">
    <w:name w:val="Table Elegant"/>
    <w:basedOn w:val="91"/>
    <w:semiHidden/>
    <w:unhideWhenUsed/>
    <w:qFormat/>
    <w:uiPriority w:val="99"/>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98">
    <w:name w:val="Table Classic 1"/>
    <w:basedOn w:val="91"/>
    <w:semiHidden/>
    <w:unhideWhenUsed/>
    <w:qFormat/>
    <w:uiPriority w:val="99"/>
    <w:pPr>
      <w:widowControl w:val="0"/>
      <w:jc w:val="both"/>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99">
    <w:name w:val="Table Classic 2"/>
    <w:basedOn w:val="91"/>
    <w:semiHidden/>
    <w:unhideWhenUsed/>
    <w:qFormat/>
    <w:uiPriority w:val="99"/>
    <w:pPr>
      <w:widowControl w:val="0"/>
      <w:jc w:val="both"/>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100">
    <w:name w:val="Table Classic 3"/>
    <w:basedOn w:val="91"/>
    <w:semiHidden/>
    <w:unhideWhenUsed/>
    <w:qFormat/>
    <w:uiPriority w:val="99"/>
    <w:pPr>
      <w:widowControl w:val="0"/>
      <w:jc w:val="both"/>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101">
    <w:name w:val="Table Classic 4"/>
    <w:basedOn w:val="91"/>
    <w:semiHidden/>
    <w:unhideWhenUsed/>
    <w:qFormat/>
    <w:uiPriority w:val="99"/>
    <w:pPr>
      <w:widowControl w:val="0"/>
      <w:jc w:val="both"/>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il"/>
          <w:tr2bl w:val="nil"/>
        </w:tcBorders>
        <w:shd w:val="pct50" w:color="000080" w:fill="FFFFFF"/>
      </w:tcPr>
    </w:tblStylePr>
    <w:tblStylePr w:type="lastRow">
      <w:rPr>
        <w:color w:val="000080"/>
      </w:rPr>
      <w:tblPr/>
      <w:tcPr>
        <w:tcBorders>
          <w:bottom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102">
    <w:name w:val="Table Simple 1"/>
    <w:basedOn w:val="91"/>
    <w:semiHidden/>
    <w:unhideWhenUsed/>
    <w:qFormat/>
    <w:uiPriority w:val="99"/>
    <w:pPr>
      <w:widowControl w:val="0"/>
      <w:jc w:val="both"/>
    </w:p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103">
    <w:name w:val="Table Simple 2"/>
    <w:basedOn w:val="91"/>
    <w:semiHidden/>
    <w:unhideWhenUsed/>
    <w:qFormat/>
    <w:uiPriority w:val="99"/>
    <w:pPr>
      <w:widowControl w:val="0"/>
      <w:jc w:val="both"/>
    </w:p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104">
    <w:name w:val="Table Simple 3"/>
    <w:basedOn w:val="91"/>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105">
    <w:name w:val="Table Subtle 1"/>
    <w:basedOn w:val="91"/>
    <w:semiHidden/>
    <w:unhideWhenUsed/>
    <w:qFormat/>
    <w:uiPriority w:val="99"/>
    <w:pPr>
      <w:widowControl w:val="0"/>
      <w:jc w:val="both"/>
    </w:pPr>
    <w:tblPr>
      <w:tblStyleRowBandSize w:val="1"/>
    </w:tblPr>
    <w:tblStylePr w:type="firstRow">
      <w:tblPr/>
      <w:tcPr>
        <w:tcBorders>
          <w:top w:val="single" w:color="000000" w:sz="6" w:space="0"/>
          <w:bottom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left w:val="single" w:color="000000" w:sz="12" w:space="0"/>
          <w:tl2br w:val="nil"/>
          <w:tr2bl w:val="nil"/>
        </w:tcBorders>
      </w:tcPr>
    </w:tblStylePr>
    <w:tblStylePr w:type="band1Horz">
      <w:tblPr/>
      <w:tcPr>
        <w:tcBorders>
          <w:bottom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6">
    <w:name w:val="Table Subtle 2"/>
    <w:basedOn w:val="91"/>
    <w:semiHidden/>
    <w:unhideWhenUsed/>
    <w:qFormat/>
    <w:uiPriority w:val="99"/>
    <w:pPr>
      <w:widowControl w:val="0"/>
      <w:jc w:val="both"/>
    </w:p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7">
    <w:name w:val="Table 3D effects 1"/>
    <w:basedOn w:val="91"/>
    <w:semiHidden/>
    <w:unhideWhenUsed/>
    <w:qFormat/>
    <w:uiPriority w:val="99"/>
    <w:pPr>
      <w:widowControl w:val="0"/>
      <w:jc w:val="both"/>
    </w:pPr>
    <w:tblPr/>
    <w:tcPr>
      <w:shd w:val="solid" w:color="C0C0C0" w:fill="FFFFFF"/>
    </w:tcPr>
    <w:tblStylePr w:type="firstRow">
      <w:rPr>
        <w:b/>
        <w:bCs/>
        <w:color w:val="800080"/>
      </w:rPr>
      <w:tblPr/>
      <w:tcPr>
        <w:tcBorders>
          <w:bottom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left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108">
    <w:name w:val="Table 3D effects 2"/>
    <w:basedOn w:val="91"/>
    <w:semiHidden/>
    <w:unhideWhenUsed/>
    <w:qFormat/>
    <w:uiPriority w:val="99"/>
    <w:pPr>
      <w:widowControl w:val="0"/>
      <w:jc w:val="both"/>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109">
    <w:name w:val="Table 3D effects 3"/>
    <w:basedOn w:val="91"/>
    <w:autoRedefine/>
    <w:semiHidden/>
    <w:unhideWhenUsed/>
    <w:qFormat/>
    <w:uiPriority w:val="99"/>
    <w:pPr>
      <w:widowControl w:val="0"/>
      <w:jc w:val="both"/>
    </w:pPr>
    <w:tblPr>
      <w:tblStyleRowBandSize w:val="1"/>
      <w:tblStyleColBandSize w:val="1"/>
    </w:tbl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110">
    <w:name w:val="Table List 1"/>
    <w:basedOn w:val="91"/>
    <w:autoRedefine/>
    <w:semiHidden/>
    <w:unhideWhenUsed/>
    <w:qFormat/>
    <w:uiPriority w:val="99"/>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11">
    <w:name w:val="Table List 2"/>
    <w:basedOn w:val="91"/>
    <w:autoRedefine/>
    <w:semiHidden/>
    <w:unhideWhenUsed/>
    <w:qFormat/>
    <w:uiPriority w:val="99"/>
    <w:pPr>
      <w:widowControl w:val="0"/>
      <w:jc w:val="both"/>
    </w:pPr>
    <w:tblPr>
      <w:tblBorders>
        <w:bottom w:val="single" w:color="808080" w:sz="12" w:space="0"/>
      </w:tblBorders>
    </w:tblPr>
    <w:tblStylePr w:type="firstRow">
      <w:rPr>
        <w:b/>
        <w:bCs/>
        <w:color w:val="FFFFFF"/>
      </w:rPr>
      <w:tblPr/>
      <w:tcPr>
        <w:tcBorders>
          <w:bottom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12">
    <w:name w:val="Table List 3"/>
    <w:basedOn w:val="91"/>
    <w:semiHidden/>
    <w:unhideWhenUsed/>
    <w:qFormat/>
    <w:uiPriority w:val="99"/>
    <w:pPr>
      <w:widowControl w:val="0"/>
      <w:jc w:val="both"/>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113">
    <w:name w:val="Table List 4"/>
    <w:basedOn w:val="91"/>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il"/>
          <w:tr2bl w:val="nil"/>
        </w:tcBorders>
        <w:shd w:val="solid" w:color="808080" w:fill="FFFFFF"/>
      </w:tcPr>
    </w:tblStylePr>
  </w:style>
  <w:style w:type="table" w:styleId="114">
    <w:name w:val="Table List 5"/>
    <w:basedOn w:val="91"/>
    <w:autoRedefine/>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il"/>
          <w:tr2bl w:val="nil"/>
        </w:tcBorders>
      </w:tcPr>
    </w:tblStylePr>
    <w:tblStylePr w:type="firstCol">
      <w:rPr>
        <w:b/>
        <w:bCs/>
      </w:rPr>
      <w:tblPr/>
      <w:tcPr>
        <w:tcBorders>
          <w:tl2br w:val="nil"/>
          <w:tr2bl w:val="nil"/>
        </w:tcBorders>
      </w:tcPr>
    </w:tblStylePr>
  </w:style>
  <w:style w:type="table" w:styleId="115">
    <w:name w:val="Table List 6"/>
    <w:basedOn w:val="91"/>
    <w:autoRedefine/>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116">
    <w:name w:val="Table List 7"/>
    <w:basedOn w:val="91"/>
    <w:semiHidden/>
    <w:unhideWhenUsed/>
    <w:qFormat/>
    <w:uiPriority w:val="99"/>
    <w:pPr>
      <w:widowControl w:val="0"/>
      <w:jc w:val="both"/>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117">
    <w:name w:val="Table List 8"/>
    <w:basedOn w:val="91"/>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table" w:styleId="118">
    <w:name w:val="Table Contemporary"/>
    <w:basedOn w:val="91"/>
    <w:autoRedefine/>
    <w:semiHidden/>
    <w:unhideWhenUsed/>
    <w:qFormat/>
    <w:uiPriority w:val="99"/>
    <w:pPr>
      <w:widowControl w:val="0"/>
      <w:jc w:val="both"/>
    </w:pPr>
    <w:tblPr>
      <w:tblBorders>
        <w:insideH w:val="single" w:color="FFFFFF" w:sz="18" w:space="0"/>
        <w:insideV w:val="single" w:color="FFFFFF" w:sz="18" w:space="0"/>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19">
    <w:name w:val="Table Columns 1"/>
    <w:basedOn w:val="91"/>
    <w:autoRedefine/>
    <w:semiHidden/>
    <w:unhideWhenUsed/>
    <w:qFormat/>
    <w:uiPriority w:val="99"/>
    <w:pPr>
      <w:widowControl w:val="0"/>
      <w:jc w:val="both"/>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20">
    <w:name w:val="Table Columns 2"/>
    <w:basedOn w:val="91"/>
    <w:autoRedefine/>
    <w:semiHidden/>
    <w:unhideWhenUsed/>
    <w:qFormat/>
    <w:uiPriority w:val="99"/>
    <w:pPr>
      <w:widowControl w:val="0"/>
      <w:jc w:val="both"/>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21">
    <w:name w:val="Table Columns 3"/>
    <w:basedOn w:val="91"/>
    <w:autoRedefine/>
    <w:semiHidden/>
    <w:unhideWhenUsed/>
    <w:qFormat/>
    <w:uiPriority w:val="99"/>
    <w:pPr>
      <w:widowControl w:val="0"/>
      <w:jc w:val="both"/>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122">
    <w:name w:val="Table Columns 4"/>
    <w:basedOn w:val="91"/>
    <w:autoRedefine/>
    <w:semiHidden/>
    <w:unhideWhenUsed/>
    <w:qFormat/>
    <w:uiPriority w:val="99"/>
    <w:pPr>
      <w:widowControl w:val="0"/>
      <w:jc w:val="both"/>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23">
    <w:name w:val="Table Columns 5"/>
    <w:basedOn w:val="91"/>
    <w:autoRedefine/>
    <w:semiHidden/>
    <w:unhideWhenUsed/>
    <w:qFormat/>
    <w:uiPriority w:val="99"/>
    <w:pPr>
      <w:widowControl w:val="0"/>
      <w:jc w:val="both"/>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24">
    <w:name w:val="Table Grid 1"/>
    <w:basedOn w:val="91"/>
    <w:autoRedefine/>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125">
    <w:name w:val="Table Grid 2"/>
    <w:basedOn w:val="91"/>
    <w:autoRedefine/>
    <w:semiHidden/>
    <w:unhideWhenUsed/>
    <w:qFormat/>
    <w:uiPriority w:val="99"/>
    <w:pPr>
      <w:widowControl w:val="0"/>
      <w:jc w:val="both"/>
    </w:p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126">
    <w:name w:val="Table Grid 3"/>
    <w:basedOn w:val="91"/>
    <w:autoRedefine/>
    <w:semiHidden/>
    <w:unhideWhenUsed/>
    <w:qFormat/>
    <w:uiPriority w:val="99"/>
    <w:pPr>
      <w:widowControl w:val="0"/>
      <w:jc w:val="both"/>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27">
    <w:name w:val="Table Grid 4"/>
    <w:basedOn w:val="91"/>
    <w:autoRedefine/>
    <w:semiHidden/>
    <w:unhideWhenUsed/>
    <w:qFormat/>
    <w:uiPriority w:val="99"/>
    <w:pPr>
      <w:widowControl w:val="0"/>
      <w:jc w:val="both"/>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128">
    <w:name w:val="Table Grid 5"/>
    <w:basedOn w:val="91"/>
    <w:autoRedefine/>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29">
    <w:name w:val="Table Grid 6"/>
    <w:basedOn w:val="91"/>
    <w:autoRedefine/>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130">
    <w:name w:val="Table Grid 7"/>
    <w:basedOn w:val="91"/>
    <w:autoRedefine/>
    <w:semiHidden/>
    <w:unhideWhenUsed/>
    <w:qFormat/>
    <w:uiPriority w:val="99"/>
    <w:pPr>
      <w:widowControl w:val="0"/>
      <w:jc w:val="both"/>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131">
    <w:name w:val="Table Grid 8"/>
    <w:basedOn w:val="91"/>
    <w:autoRedefine/>
    <w:semiHidden/>
    <w:unhideWhenUsed/>
    <w:qFormat/>
    <w:uiPriority w:val="99"/>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32">
    <w:name w:val="Table Web 1"/>
    <w:basedOn w:val="91"/>
    <w:semiHidden/>
    <w:unhideWhenUsed/>
    <w:qFormat/>
    <w:uiPriority w:val="99"/>
    <w:pPr>
      <w:widowControl w:val="0"/>
      <w:jc w:val="both"/>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3">
    <w:name w:val="Table Web 2"/>
    <w:basedOn w:val="91"/>
    <w:autoRedefine/>
    <w:semiHidden/>
    <w:unhideWhenUsed/>
    <w:qFormat/>
    <w:uiPriority w:val="99"/>
    <w:pPr>
      <w:widowControl w:val="0"/>
      <w:jc w:val="both"/>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4">
    <w:name w:val="Table Web 3"/>
    <w:basedOn w:val="91"/>
    <w:autoRedefine/>
    <w:semiHidden/>
    <w:unhideWhenUsed/>
    <w:qFormat/>
    <w:uiPriority w:val="99"/>
    <w:pPr>
      <w:widowControl w:val="0"/>
      <w:jc w:val="both"/>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5">
    <w:name w:val="Table Professional"/>
    <w:basedOn w:val="91"/>
    <w:autoRedefine/>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136">
    <w:name w:val="Light Shading"/>
    <w:basedOn w:val="91"/>
    <w:autoRedefine/>
    <w:semiHidden/>
    <w:unhideWhenUsed/>
    <w:qFormat/>
    <w:uiPriority w:val="60"/>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137">
    <w:name w:val="Light Shading Accent 1"/>
    <w:basedOn w:val="91"/>
    <w:autoRedefine/>
    <w:semiHidden/>
    <w:unhideWhenUsed/>
    <w:qFormat/>
    <w:uiPriority w:val="60"/>
    <w:rPr>
      <w:color w:val="2E75B6" w:themeColor="accent1" w:themeShade="BF"/>
    </w:rPr>
    <w:tblPr>
      <w:tblBorders>
        <w:top w:val="single" w:color="5B9BD5" w:themeColor="accent1" w:sz="8" w:space="0"/>
        <w:bottom w:val="single" w:color="5B9BD5" w:themeColor="accent1" w:sz="8" w:space="0"/>
      </w:tblBorders>
    </w:tblPr>
    <w:tblStylePr w:type="firstRow">
      <w:pPr>
        <w:spacing w:before="0" w:after="0" w:line="240" w:lineRule="auto"/>
      </w:pPr>
      <w:rPr>
        <w:b/>
        <w:bCs/>
      </w:rPr>
      <w:tblPr/>
      <w:tcPr>
        <w:tcBorders>
          <w:top w:val="single" w:color="5B9BD5" w:themeColor="accent1" w:sz="8" w:space="0"/>
          <w:left w:val="nil"/>
          <w:bottom w:val="single" w:color="5B9BD5" w:themeColor="accent1" w:sz="8" w:space="0"/>
          <w:right w:val="nil"/>
          <w:insideH w:val="nil"/>
          <w:insideV w:val="nil"/>
        </w:tcBorders>
      </w:tcPr>
    </w:tblStylePr>
    <w:tblStylePr w:type="lastRow">
      <w:pPr>
        <w:spacing w:before="0" w:after="0" w:line="240" w:lineRule="auto"/>
      </w:pPr>
      <w:rPr>
        <w:b/>
        <w:bCs/>
      </w:rPr>
      <w:tblPr/>
      <w:tcPr>
        <w:tcBorders>
          <w:top w:val="single" w:color="5B9BD5" w:themeColor="accent1" w:sz="8" w:space="0"/>
          <w:left w:val="nil"/>
          <w:bottom w:val="single" w:color="5B9BD5"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138">
    <w:name w:val="Light Shading Accent 2"/>
    <w:basedOn w:val="91"/>
    <w:semiHidden/>
    <w:unhideWhenUsed/>
    <w:qFormat/>
    <w:uiPriority w:val="60"/>
    <w:rPr>
      <w:color w:val="C55A11" w:themeColor="accent2" w:themeShade="BF"/>
    </w:rPr>
    <w:tblPr>
      <w:tblBorders>
        <w:top w:val="single" w:color="ED7D31" w:themeColor="accent2" w:sz="8" w:space="0"/>
        <w:bottom w:val="single" w:color="ED7D31" w:themeColor="accent2" w:sz="8" w:space="0"/>
      </w:tblBorders>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left w:val="nil"/>
          <w:right w:val="nil"/>
          <w:insideH w:val="nil"/>
          <w:insideV w:val="nil"/>
        </w:tcBorders>
        <w:shd w:val="clear" w:color="auto" w:fill="FADECC" w:themeFill="accent2" w:themeFillTint="3F"/>
      </w:tcPr>
    </w:tblStylePr>
  </w:style>
  <w:style w:type="table" w:styleId="139">
    <w:name w:val="Light Shading Accent 3"/>
    <w:basedOn w:val="91"/>
    <w:semiHidden/>
    <w:unhideWhenUsed/>
    <w:qFormat/>
    <w:uiPriority w:val="60"/>
    <w:rPr>
      <w:color w:val="7C7C7C" w:themeColor="accent3" w:themeShade="BF"/>
    </w:rPr>
    <w:tblPr>
      <w:tblBorders>
        <w:top w:val="single" w:color="A5A5A5" w:themeColor="accent3" w:sz="8" w:space="0"/>
        <w:bottom w:val="single" w:color="A5A5A5" w:themeColor="accent3" w:sz="8" w:space="0"/>
      </w:tblBorders>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140">
    <w:name w:val="Light Shading Accent 4"/>
    <w:basedOn w:val="91"/>
    <w:semiHidden/>
    <w:unhideWhenUsed/>
    <w:qFormat/>
    <w:uiPriority w:val="60"/>
    <w:rPr>
      <w:color w:val="BF9000" w:themeColor="accent4" w:themeShade="BF"/>
    </w:rPr>
    <w:tblPr>
      <w:tblBorders>
        <w:top w:val="single" w:color="FFC000" w:themeColor="accent4" w:sz="8" w:space="0"/>
        <w:bottom w:val="single" w:color="FFC000" w:themeColor="accent4" w:sz="8" w:space="0"/>
      </w:tblBorders>
    </w:tblPr>
    <w:tblStylePr w:type="firstRow">
      <w:pPr>
        <w:spacing w:before="0" w:after="0" w:line="240" w:lineRule="auto"/>
      </w:pPr>
      <w:rPr>
        <w:b/>
        <w:bCs/>
      </w:rPr>
      <w:tblPr/>
      <w:tcPr>
        <w:tcBorders>
          <w:top w:val="single" w:color="FFC000" w:themeColor="accent4" w:sz="8" w:space="0"/>
          <w:left w:val="nil"/>
          <w:bottom w:val="single" w:color="FFC000" w:themeColor="accent4" w:sz="8" w:space="0"/>
          <w:right w:val="nil"/>
          <w:insideH w:val="nil"/>
          <w:insideV w:val="nil"/>
        </w:tcBorders>
      </w:tcPr>
    </w:tblStylePr>
    <w:tblStylePr w:type="lastRow">
      <w:pPr>
        <w:spacing w:before="0" w:after="0" w:line="240" w:lineRule="auto"/>
      </w:pPr>
      <w:rPr>
        <w:b/>
        <w:bCs/>
      </w:rPr>
      <w:tblPr/>
      <w:tcPr>
        <w:tcBorders>
          <w:top w:val="single" w:color="FFC000" w:themeColor="accent4" w:sz="8" w:space="0"/>
          <w:left w:val="nil"/>
          <w:bottom w:val="single" w:color="FFC000"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BF" w:themeFill="accent4" w:themeFillTint="3F"/>
      </w:tcPr>
    </w:tblStylePr>
    <w:tblStylePr w:type="band1Horz">
      <w:tblPr/>
      <w:tcPr>
        <w:tcBorders>
          <w:left w:val="nil"/>
          <w:right w:val="nil"/>
          <w:insideH w:val="nil"/>
          <w:insideV w:val="nil"/>
        </w:tcBorders>
        <w:shd w:val="clear" w:color="auto" w:fill="FFEFBF" w:themeFill="accent4" w:themeFillTint="3F"/>
      </w:tcPr>
    </w:tblStylePr>
  </w:style>
  <w:style w:type="table" w:styleId="141">
    <w:name w:val="Light Shading Accent 5"/>
    <w:basedOn w:val="91"/>
    <w:semiHidden/>
    <w:unhideWhenUsed/>
    <w:qFormat/>
    <w:uiPriority w:val="60"/>
    <w:rPr>
      <w:color w:val="2F5597" w:themeColor="accent5" w:themeShade="BF"/>
    </w:rPr>
    <w:tblPr>
      <w:tblBorders>
        <w:top w:val="single" w:color="4472C4" w:themeColor="accent5" w:sz="8" w:space="0"/>
        <w:bottom w:val="single" w:color="4472C4" w:themeColor="accent5" w:sz="8" w:space="0"/>
      </w:tblBorders>
    </w:tblPr>
    <w:tblStylePr w:type="firstRow">
      <w:pPr>
        <w:spacing w:before="0" w:after="0" w:line="240" w:lineRule="auto"/>
      </w:pPr>
      <w:rPr>
        <w:b/>
        <w:bCs/>
      </w:rPr>
      <w:tblPr/>
      <w:tcPr>
        <w:tcBorders>
          <w:top w:val="single" w:color="4472C4" w:themeColor="accent5" w:sz="8" w:space="0"/>
          <w:left w:val="nil"/>
          <w:bottom w:val="single" w:color="4472C4" w:themeColor="accent5" w:sz="8" w:space="0"/>
          <w:right w:val="nil"/>
          <w:insideH w:val="nil"/>
          <w:insideV w:val="nil"/>
        </w:tcBorders>
      </w:tcPr>
    </w:tblStylePr>
    <w:tblStylePr w:type="lastRow">
      <w:pPr>
        <w:spacing w:before="0" w:after="0" w:line="240" w:lineRule="auto"/>
      </w:pPr>
      <w:rPr>
        <w:b/>
        <w:bCs/>
      </w:rPr>
      <w:tblPr/>
      <w:tcPr>
        <w:tcBorders>
          <w:top w:val="single" w:color="4472C4" w:themeColor="accent5" w:sz="8" w:space="0"/>
          <w:left w:val="nil"/>
          <w:bottom w:val="single" w:color="4472C4"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CF0" w:themeFill="accent5" w:themeFillTint="3F"/>
      </w:tcPr>
    </w:tblStylePr>
    <w:tblStylePr w:type="band1Horz">
      <w:tblPr/>
      <w:tcPr>
        <w:tcBorders>
          <w:left w:val="nil"/>
          <w:right w:val="nil"/>
          <w:insideH w:val="nil"/>
          <w:insideV w:val="nil"/>
        </w:tcBorders>
        <w:shd w:val="clear" w:color="auto" w:fill="D0DCF0" w:themeFill="accent5" w:themeFillTint="3F"/>
      </w:tcPr>
    </w:tblStylePr>
  </w:style>
  <w:style w:type="table" w:styleId="142">
    <w:name w:val="Light Shading Accent 6"/>
    <w:basedOn w:val="91"/>
    <w:semiHidden/>
    <w:unhideWhenUsed/>
    <w:qFormat/>
    <w:uiPriority w:val="60"/>
    <w:rPr>
      <w:color w:val="548235" w:themeColor="accent6" w:themeShade="BF"/>
    </w:rPr>
    <w:tblPr>
      <w:tblBorders>
        <w:top w:val="single" w:color="70AD47" w:themeColor="accent6" w:sz="8" w:space="0"/>
        <w:bottom w:val="single" w:color="70AD47" w:themeColor="accent6" w:sz="8" w:space="0"/>
      </w:tblBorders>
    </w:tblPr>
    <w:tblStylePr w:type="firstRow">
      <w:pPr>
        <w:spacing w:before="0" w:after="0" w:line="240" w:lineRule="auto"/>
      </w:pPr>
      <w:rPr>
        <w:b/>
        <w:bCs/>
      </w:rPr>
      <w:tblPr/>
      <w:tcPr>
        <w:tcBorders>
          <w:top w:val="single" w:color="70AD47" w:themeColor="accent6" w:sz="8" w:space="0"/>
          <w:left w:val="nil"/>
          <w:bottom w:val="single" w:color="70AD47" w:themeColor="accent6" w:sz="8" w:space="0"/>
          <w:right w:val="nil"/>
          <w:insideH w:val="nil"/>
          <w:insideV w:val="nil"/>
        </w:tcBorders>
      </w:tcPr>
    </w:tblStylePr>
    <w:tblStylePr w:type="lastRow">
      <w:pPr>
        <w:spacing w:before="0" w:after="0" w:line="240" w:lineRule="auto"/>
      </w:pPr>
      <w:rPr>
        <w:b/>
        <w:bCs/>
      </w:rPr>
      <w:tblPr/>
      <w:tcPr>
        <w:tcBorders>
          <w:top w:val="single" w:color="70AD47" w:themeColor="accent6" w:sz="8" w:space="0"/>
          <w:left w:val="nil"/>
          <w:bottom w:val="single" w:color="70AD47"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143">
    <w:name w:val="Light List"/>
    <w:basedOn w:val="91"/>
    <w:semiHidden/>
    <w:unhideWhenUsed/>
    <w:qFormat/>
    <w:uiPriority w:val="61"/>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144">
    <w:name w:val="Light List Accent 1"/>
    <w:basedOn w:val="91"/>
    <w:semiHidden/>
    <w:unhideWhenUsed/>
    <w:qFormat/>
    <w:uiPriority w:val="61"/>
    <w:tblPr>
      <w:tblBorders>
        <w:top w:val="single" w:color="5B9BD5" w:themeColor="accent1" w:sz="8" w:space="0"/>
        <w:left w:val="single" w:color="5B9BD5" w:themeColor="accent1" w:sz="8" w:space="0"/>
        <w:bottom w:val="single" w:color="5B9BD5" w:themeColor="accent1" w:sz="8" w:space="0"/>
        <w:right w:val="single" w:color="5B9BD5"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5B9BD5" w:themeFill="accent1"/>
      </w:tcPr>
    </w:tblStylePr>
    <w:tblStylePr w:type="lastRow">
      <w:pPr>
        <w:spacing w:before="0" w:after="0" w:line="240" w:lineRule="auto"/>
      </w:pPr>
      <w:rPr>
        <w:b/>
        <w:bCs/>
      </w:rPr>
      <w:tblPr/>
      <w:tcPr>
        <w:tcBorders>
          <w:top w:val="double" w:color="5B9BD5" w:themeColor="accent1" w:sz="6" w:space="0"/>
          <w:left w:val="single" w:color="5B9BD5" w:themeColor="accent1" w:sz="8" w:space="0"/>
          <w:bottom w:val="single" w:color="5B9BD5" w:themeColor="accent1" w:sz="8" w:space="0"/>
          <w:right w:val="single" w:color="5B9BD5" w:themeColor="accent1" w:sz="8" w:space="0"/>
        </w:tcBorders>
      </w:tcPr>
    </w:tblStylePr>
    <w:tblStylePr w:type="firstCol">
      <w:rPr>
        <w:b/>
        <w:bCs/>
      </w:rPr>
    </w:tblStylePr>
    <w:tblStylePr w:type="lastCol">
      <w:rPr>
        <w:b/>
        <w:bCs/>
      </w:rPr>
    </w:tblStylePr>
    <w:tblStylePr w:type="band1Vert">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tblStylePr w:type="band1Horz">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style>
  <w:style w:type="table" w:styleId="145">
    <w:name w:val="Light List Accent 2"/>
    <w:basedOn w:val="91"/>
    <w:semiHidden/>
    <w:unhideWhenUsed/>
    <w:qFormat/>
    <w:uiPriority w:val="61"/>
    <w:tblPr>
      <w:tblBorders>
        <w:top w:val="single" w:color="ED7D31" w:themeColor="accent2" w:sz="8" w:space="0"/>
        <w:left w:val="single" w:color="ED7D31" w:themeColor="accent2" w:sz="8" w:space="0"/>
        <w:bottom w:val="single" w:color="ED7D31" w:themeColor="accent2" w:sz="8" w:space="0"/>
        <w:right w:val="single" w:color="ED7D31"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ED7D31" w:themeFill="accent2"/>
      </w:tcPr>
    </w:tblStylePr>
    <w:tblStylePr w:type="lastRow">
      <w:pPr>
        <w:spacing w:before="0" w:after="0" w:line="240" w:lineRule="auto"/>
      </w:pPr>
      <w:rPr>
        <w:b/>
        <w:bCs/>
      </w:rPr>
      <w:tblPr/>
      <w:tcPr>
        <w:tcBorders>
          <w:top w:val="double" w:color="ED7D31" w:themeColor="accent2" w:sz="6" w:space="0"/>
          <w:left w:val="single" w:color="ED7D31" w:themeColor="accent2" w:sz="8" w:space="0"/>
          <w:bottom w:val="single" w:color="ED7D31" w:themeColor="accent2" w:sz="8" w:space="0"/>
          <w:right w:val="single" w:color="ED7D31" w:themeColor="accent2" w:sz="8" w:space="0"/>
        </w:tcBorders>
      </w:tcPr>
    </w:tblStylePr>
    <w:tblStylePr w:type="firstCol">
      <w:rPr>
        <w:b/>
        <w:bCs/>
      </w:rPr>
    </w:tblStylePr>
    <w:tblStylePr w:type="lastCol">
      <w:rPr>
        <w:b/>
        <w:bCs/>
      </w:rPr>
    </w:tblStylePr>
    <w:tblStylePr w:type="band1Vert">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tblStylePr w:type="band1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style>
  <w:style w:type="table" w:styleId="146">
    <w:name w:val="Light List Accent 3"/>
    <w:basedOn w:val="91"/>
    <w:semiHidden/>
    <w:unhideWhenUsed/>
    <w:qFormat/>
    <w:uiPriority w:val="61"/>
    <w:tblPr>
      <w:tblBorders>
        <w:top w:val="single" w:color="A5A5A5" w:themeColor="accent3" w:sz="8" w:space="0"/>
        <w:left w:val="single" w:color="A5A5A5" w:themeColor="accent3" w:sz="8" w:space="0"/>
        <w:bottom w:val="single" w:color="A5A5A5" w:themeColor="accent3" w:sz="8" w:space="0"/>
        <w:right w:val="single" w:color="A5A5A5"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A5A5A5" w:themeFill="accent3"/>
      </w:tcPr>
    </w:tblStylePr>
    <w:tblStylePr w:type="lastRow">
      <w:pPr>
        <w:spacing w:before="0" w:after="0" w:line="240" w:lineRule="auto"/>
      </w:pPr>
      <w:rPr>
        <w:b/>
        <w:bCs/>
      </w:rPr>
      <w:tblPr/>
      <w:tcPr>
        <w:tcBorders>
          <w:top w:val="double" w:color="A5A5A5" w:themeColor="accent3" w:sz="6" w:space="0"/>
          <w:left w:val="single" w:color="A5A5A5" w:themeColor="accent3" w:sz="8" w:space="0"/>
          <w:bottom w:val="single" w:color="A5A5A5" w:themeColor="accent3" w:sz="8" w:space="0"/>
          <w:right w:val="single" w:color="A5A5A5" w:themeColor="accent3" w:sz="8" w:space="0"/>
        </w:tcBorders>
      </w:tcPr>
    </w:tblStylePr>
    <w:tblStylePr w:type="firstCol">
      <w:rPr>
        <w:b/>
        <w:bCs/>
      </w:rPr>
    </w:tblStylePr>
    <w:tblStylePr w:type="lastCol">
      <w:rPr>
        <w:b/>
        <w:bCs/>
      </w:rPr>
    </w:tblStylePr>
    <w:tblStylePr w:type="band1Vert">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tblStylePr w:type="band1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style>
  <w:style w:type="table" w:styleId="147">
    <w:name w:val="Light List Accent 4"/>
    <w:basedOn w:val="91"/>
    <w:semiHidden/>
    <w:unhideWhenUsed/>
    <w:qFormat/>
    <w:uiPriority w:val="61"/>
    <w:tblPr>
      <w:tblBorders>
        <w:top w:val="single" w:color="FFC000" w:themeColor="accent4" w:sz="8" w:space="0"/>
        <w:left w:val="single" w:color="FFC000" w:themeColor="accent4" w:sz="8" w:space="0"/>
        <w:bottom w:val="single" w:color="FFC000" w:themeColor="accent4" w:sz="8" w:space="0"/>
        <w:right w:val="single" w:color="FFC000" w:themeColor="accent4"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FC000" w:themeFill="accent4"/>
      </w:tcPr>
    </w:tblStylePr>
    <w:tblStylePr w:type="lastRow">
      <w:pPr>
        <w:spacing w:before="0" w:after="0" w:line="240" w:lineRule="auto"/>
      </w:pPr>
      <w:rPr>
        <w:b/>
        <w:bCs/>
      </w:rPr>
      <w:tblPr/>
      <w:tcPr>
        <w:tcBorders>
          <w:top w:val="double" w:color="FFC000" w:themeColor="accent4" w:sz="6" w:space="0"/>
          <w:left w:val="single" w:color="FFC000" w:themeColor="accent4" w:sz="8" w:space="0"/>
          <w:bottom w:val="single" w:color="FFC000" w:themeColor="accent4" w:sz="8" w:space="0"/>
          <w:right w:val="single" w:color="FFC000" w:themeColor="accent4" w:sz="8" w:space="0"/>
        </w:tcBorders>
      </w:tcPr>
    </w:tblStylePr>
    <w:tblStylePr w:type="firstCol">
      <w:rPr>
        <w:b/>
        <w:bCs/>
      </w:rPr>
    </w:tblStylePr>
    <w:tblStylePr w:type="lastCol">
      <w:rPr>
        <w:b/>
        <w:bCs/>
      </w:rPr>
    </w:tblStylePr>
    <w:tblStylePr w:type="band1Vert">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tblStylePr w:type="band1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style>
  <w:style w:type="table" w:styleId="148">
    <w:name w:val="Light List Accent 5"/>
    <w:basedOn w:val="91"/>
    <w:semiHidden/>
    <w:unhideWhenUsed/>
    <w:qFormat/>
    <w:uiPriority w:val="61"/>
    <w:tblPr>
      <w:tblBorders>
        <w:top w:val="single" w:color="4472C4" w:themeColor="accent5" w:sz="8" w:space="0"/>
        <w:left w:val="single" w:color="4472C4" w:themeColor="accent5" w:sz="8" w:space="0"/>
        <w:bottom w:val="single" w:color="4472C4" w:themeColor="accent5" w:sz="8" w:space="0"/>
        <w:right w:val="single" w:color="4472C4"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472C4" w:themeFill="accent5"/>
      </w:tcPr>
    </w:tblStylePr>
    <w:tblStylePr w:type="lastRow">
      <w:pPr>
        <w:spacing w:before="0" w:after="0" w:line="240" w:lineRule="auto"/>
      </w:pPr>
      <w:rPr>
        <w:b/>
        <w:bCs/>
      </w:rPr>
      <w:tblPr/>
      <w:tcPr>
        <w:tcBorders>
          <w:top w:val="double" w:color="4472C4" w:themeColor="accent5" w:sz="6" w:space="0"/>
          <w:left w:val="single" w:color="4472C4" w:themeColor="accent5" w:sz="8" w:space="0"/>
          <w:bottom w:val="single" w:color="4472C4" w:themeColor="accent5" w:sz="8" w:space="0"/>
          <w:right w:val="single" w:color="4472C4" w:themeColor="accent5" w:sz="8" w:space="0"/>
        </w:tcBorders>
      </w:tcPr>
    </w:tblStylePr>
    <w:tblStylePr w:type="firstCol">
      <w:rPr>
        <w:b/>
        <w:bCs/>
      </w:rPr>
    </w:tblStylePr>
    <w:tblStylePr w:type="lastCol">
      <w:rPr>
        <w:b/>
        <w:bCs/>
      </w:rPr>
    </w:tblStylePr>
    <w:tblStylePr w:type="band1Vert">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tcPr>
    </w:tblStylePr>
    <w:tblStylePr w:type="band1Horz">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tcPr>
    </w:tblStylePr>
  </w:style>
  <w:style w:type="table" w:styleId="149">
    <w:name w:val="Light List Accent 6"/>
    <w:basedOn w:val="91"/>
    <w:semiHidden/>
    <w:unhideWhenUsed/>
    <w:qFormat/>
    <w:uiPriority w:val="61"/>
    <w:tblPr>
      <w:tblBorders>
        <w:top w:val="single" w:color="70AD47" w:themeColor="accent6" w:sz="8" w:space="0"/>
        <w:left w:val="single" w:color="70AD47" w:themeColor="accent6" w:sz="8" w:space="0"/>
        <w:bottom w:val="single" w:color="70AD47" w:themeColor="accent6" w:sz="8" w:space="0"/>
        <w:right w:val="single" w:color="70AD47"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70AD47" w:themeFill="accent6"/>
      </w:tcPr>
    </w:tblStylePr>
    <w:tblStylePr w:type="lastRow">
      <w:pPr>
        <w:spacing w:before="0" w:after="0" w:line="240" w:lineRule="auto"/>
      </w:pPr>
      <w:rPr>
        <w:b/>
        <w:bCs/>
      </w:rPr>
      <w:tblPr/>
      <w:tcPr>
        <w:tcBorders>
          <w:top w:val="double" w:color="70AD47" w:themeColor="accent6" w:sz="6" w:space="0"/>
          <w:left w:val="single" w:color="70AD47" w:themeColor="accent6" w:sz="8" w:space="0"/>
          <w:bottom w:val="single" w:color="70AD47" w:themeColor="accent6" w:sz="8" w:space="0"/>
          <w:right w:val="single" w:color="70AD47" w:themeColor="accent6" w:sz="8" w:space="0"/>
        </w:tcBorders>
      </w:tcPr>
    </w:tblStylePr>
    <w:tblStylePr w:type="firstCol">
      <w:rPr>
        <w:b/>
        <w:bCs/>
      </w:rPr>
    </w:tblStylePr>
    <w:tblStylePr w:type="lastCol">
      <w:rPr>
        <w:b/>
        <w:bCs/>
      </w:rPr>
    </w:tblStylePr>
    <w:tblStylePr w:type="band1Vert">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tblStylePr w:type="band1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style>
  <w:style w:type="table" w:styleId="150">
    <w:name w:val="Light Grid"/>
    <w:basedOn w:val="91"/>
    <w:semiHidden/>
    <w:unhideWhenUsed/>
    <w:qFormat/>
    <w:uiPriority w:val="62"/>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151">
    <w:name w:val="Light Grid Accent 1"/>
    <w:basedOn w:val="91"/>
    <w:semiHidden/>
    <w:unhideWhenUsed/>
    <w:qFormat/>
    <w:uiPriority w:val="62"/>
    <w:tblPr>
      <w:tblBorders>
        <w:top w:val="single" w:color="5B9BD5" w:themeColor="accent1" w:sz="8" w:space="0"/>
        <w:left w:val="single" w:color="5B9BD5" w:themeColor="accent1" w:sz="8" w:space="0"/>
        <w:bottom w:val="single" w:color="5B9BD5" w:themeColor="accent1" w:sz="8" w:space="0"/>
        <w:right w:val="single" w:color="5B9BD5" w:themeColor="accent1" w:sz="8" w:space="0"/>
        <w:insideH w:val="single" w:color="5B9BD5" w:themeColor="accent1" w:sz="8" w:space="0"/>
        <w:insideV w:val="single" w:color="5B9BD5"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5B9BD5" w:themeColor="accent1" w:sz="8" w:space="0"/>
          <w:left w:val="single" w:color="5B9BD5" w:themeColor="accent1" w:sz="8" w:space="0"/>
          <w:bottom w:val="single" w:color="5B9BD5" w:themeColor="accent1" w:sz="18" w:space="0"/>
          <w:right w:val="single" w:color="5B9BD5"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5B9BD5" w:themeColor="accent1" w:sz="6" w:space="0"/>
          <w:left w:val="single" w:color="5B9BD5" w:themeColor="accent1" w:sz="8" w:space="0"/>
          <w:bottom w:val="single" w:color="5B9BD5" w:themeColor="accent1" w:sz="8" w:space="0"/>
          <w:right w:val="single" w:color="5B9BD5"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tblStylePr w:type="band1Vert">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shd w:val="clear" w:color="auto" w:fill="D6E6F4" w:themeFill="accent1" w:themeFillTint="3F"/>
      </w:tcPr>
    </w:tblStylePr>
    <w:tblStylePr w:type="band1Horz">
      <w:tblPr/>
      <w:tcPr>
        <w:tcBorders>
          <w:top w:val="single" w:color="5B9BD5" w:themeColor="accent1" w:sz="8" w:space="0"/>
          <w:left w:val="single" w:color="5B9BD5" w:themeColor="accent1" w:sz="8" w:space="0"/>
          <w:bottom w:val="single" w:color="5B9BD5" w:themeColor="accent1" w:sz="8" w:space="0"/>
          <w:right w:val="single" w:color="5B9BD5" w:themeColor="accent1" w:sz="8" w:space="0"/>
          <w:insideV w:val="single" w:sz="8" w:space="0"/>
        </w:tcBorders>
        <w:shd w:val="clear" w:color="auto" w:fill="D6E6F4" w:themeFill="accent1" w:themeFillTint="3F"/>
      </w:tcPr>
    </w:tblStylePr>
    <w:tblStylePr w:type="band2Horz">
      <w:tblPr/>
      <w:tcPr>
        <w:tcBorders>
          <w:top w:val="single" w:color="5B9BD5" w:themeColor="accent1" w:sz="8" w:space="0"/>
          <w:left w:val="single" w:color="5B9BD5" w:themeColor="accent1" w:sz="8" w:space="0"/>
          <w:bottom w:val="single" w:color="5B9BD5" w:themeColor="accent1" w:sz="8" w:space="0"/>
          <w:right w:val="single" w:color="5B9BD5" w:themeColor="accent1" w:sz="8" w:space="0"/>
          <w:insideV w:val="single" w:sz="8" w:space="0"/>
        </w:tcBorders>
      </w:tcPr>
    </w:tblStylePr>
  </w:style>
  <w:style w:type="table" w:styleId="152">
    <w:name w:val="Light Grid Accent 2"/>
    <w:basedOn w:val="91"/>
    <w:semiHidden/>
    <w:unhideWhenUsed/>
    <w:qFormat/>
    <w:uiPriority w:val="62"/>
    <w:tblPr>
      <w:tblBorders>
        <w:top w:val="single" w:color="ED7D31" w:themeColor="accent2" w:sz="8" w:space="0"/>
        <w:left w:val="single" w:color="ED7D31" w:themeColor="accent2" w:sz="8" w:space="0"/>
        <w:bottom w:val="single" w:color="ED7D31" w:themeColor="accent2" w:sz="8" w:space="0"/>
        <w:right w:val="single" w:color="ED7D31" w:themeColor="accent2" w:sz="8" w:space="0"/>
        <w:insideH w:val="single" w:color="ED7D31" w:themeColor="accent2" w:sz="8" w:space="0"/>
        <w:insideV w:val="single" w:color="ED7D31"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ED7D31" w:themeColor="accent2" w:sz="8" w:space="0"/>
          <w:left w:val="single" w:color="ED7D31" w:themeColor="accent2" w:sz="8" w:space="0"/>
          <w:bottom w:val="single" w:color="ED7D31" w:themeColor="accent2" w:sz="18" w:space="0"/>
          <w:right w:val="single" w:color="ED7D31"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ED7D31" w:themeColor="accent2" w:sz="6" w:space="0"/>
          <w:left w:val="single" w:color="ED7D31" w:themeColor="accent2" w:sz="8" w:space="0"/>
          <w:bottom w:val="single" w:color="ED7D31" w:themeColor="accent2" w:sz="8" w:space="0"/>
          <w:right w:val="single" w:color="ED7D31"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tblStylePr w:type="band1Vert">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shd w:val="clear" w:color="auto" w:fill="FADECC" w:themeFill="accent2" w:themeFillTint="3F"/>
      </w:tcPr>
    </w:tblStylePr>
    <w:tblStylePr w:type="band1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insideV w:val="single" w:sz="8" w:space="0"/>
        </w:tcBorders>
        <w:shd w:val="clear" w:color="auto" w:fill="FADECC" w:themeFill="accent2" w:themeFillTint="3F"/>
      </w:tcPr>
    </w:tblStylePr>
    <w:tblStylePr w:type="band2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insideV w:val="single" w:sz="8" w:space="0"/>
        </w:tcBorders>
      </w:tcPr>
    </w:tblStylePr>
  </w:style>
  <w:style w:type="table" w:styleId="153">
    <w:name w:val="Light Grid Accent 3"/>
    <w:basedOn w:val="91"/>
    <w:semiHidden/>
    <w:unhideWhenUsed/>
    <w:qFormat/>
    <w:uiPriority w:val="62"/>
    <w:tblPr>
      <w:tblBorders>
        <w:top w:val="single" w:color="A5A5A5" w:themeColor="accent3" w:sz="8" w:space="0"/>
        <w:left w:val="single" w:color="A5A5A5" w:themeColor="accent3" w:sz="8" w:space="0"/>
        <w:bottom w:val="single" w:color="A5A5A5" w:themeColor="accent3" w:sz="8" w:space="0"/>
        <w:right w:val="single" w:color="A5A5A5" w:themeColor="accent3" w:sz="8" w:space="0"/>
        <w:insideH w:val="single" w:color="A5A5A5" w:themeColor="accent3" w:sz="8" w:space="0"/>
        <w:insideV w:val="single" w:color="A5A5A5"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A5A5A5" w:themeColor="accent3" w:sz="8" w:space="0"/>
          <w:left w:val="single" w:color="A5A5A5" w:themeColor="accent3" w:sz="8" w:space="0"/>
          <w:bottom w:val="single" w:color="A5A5A5" w:themeColor="accent3" w:sz="18" w:space="0"/>
          <w:right w:val="single" w:color="A5A5A5"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A5A5A5" w:themeColor="accent3" w:sz="6" w:space="0"/>
          <w:left w:val="single" w:color="A5A5A5" w:themeColor="accent3" w:sz="8" w:space="0"/>
          <w:bottom w:val="single" w:color="A5A5A5" w:themeColor="accent3" w:sz="8" w:space="0"/>
          <w:right w:val="single" w:color="A5A5A5"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tblStylePr w:type="band1Vert">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shd w:val="clear" w:color="auto" w:fill="E8E8E8" w:themeFill="accent3" w:themeFillTint="3F"/>
      </w:tcPr>
    </w:tblStylePr>
    <w:tblStylePr w:type="band1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insideV w:val="single" w:sz="8" w:space="0"/>
        </w:tcBorders>
        <w:shd w:val="clear" w:color="auto" w:fill="E8E8E8" w:themeFill="accent3" w:themeFillTint="3F"/>
      </w:tcPr>
    </w:tblStylePr>
    <w:tblStylePr w:type="band2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insideV w:val="single" w:sz="8" w:space="0"/>
        </w:tcBorders>
      </w:tcPr>
    </w:tblStylePr>
  </w:style>
  <w:style w:type="table" w:styleId="154">
    <w:name w:val="Light Grid Accent 4"/>
    <w:basedOn w:val="91"/>
    <w:semiHidden/>
    <w:unhideWhenUsed/>
    <w:qFormat/>
    <w:uiPriority w:val="62"/>
    <w:tblPr>
      <w:tblBorders>
        <w:top w:val="single" w:color="FFC000" w:themeColor="accent4" w:sz="8" w:space="0"/>
        <w:left w:val="single" w:color="FFC000" w:themeColor="accent4" w:sz="8" w:space="0"/>
        <w:bottom w:val="single" w:color="FFC000" w:themeColor="accent4" w:sz="8" w:space="0"/>
        <w:right w:val="single" w:color="FFC000" w:themeColor="accent4" w:sz="8" w:space="0"/>
        <w:insideH w:val="single" w:color="FFC000" w:themeColor="accent4" w:sz="8" w:space="0"/>
        <w:insideV w:val="single" w:color="FFC000"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FC000" w:themeColor="accent4" w:sz="8" w:space="0"/>
          <w:left w:val="single" w:color="FFC000" w:themeColor="accent4" w:sz="8" w:space="0"/>
          <w:bottom w:val="single" w:color="FFC000" w:themeColor="accent4" w:sz="18" w:space="0"/>
          <w:right w:val="single" w:color="FFC000"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FC000" w:themeColor="accent4" w:sz="6" w:space="0"/>
          <w:left w:val="single" w:color="FFC000" w:themeColor="accent4" w:sz="8" w:space="0"/>
          <w:bottom w:val="single" w:color="FFC000" w:themeColor="accent4" w:sz="8" w:space="0"/>
          <w:right w:val="single" w:color="FFC000"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tblStylePr w:type="band1Vert">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shd w:val="clear" w:color="auto" w:fill="FFEFBF" w:themeFill="accent4" w:themeFillTint="3F"/>
      </w:tcPr>
    </w:tblStylePr>
    <w:tblStylePr w:type="band1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insideV w:val="single" w:sz="8" w:space="0"/>
        </w:tcBorders>
        <w:shd w:val="clear" w:color="auto" w:fill="FFEFBF" w:themeFill="accent4" w:themeFillTint="3F"/>
      </w:tcPr>
    </w:tblStylePr>
    <w:tblStylePr w:type="band2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insideV w:val="single" w:sz="8" w:space="0"/>
        </w:tcBorders>
      </w:tcPr>
    </w:tblStylePr>
  </w:style>
  <w:style w:type="table" w:styleId="155">
    <w:name w:val="Light Grid Accent 5"/>
    <w:basedOn w:val="91"/>
    <w:semiHidden/>
    <w:unhideWhenUsed/>
    <w:qFormat/>
    <w:uiPriority w:val="62"/>
    <w:tblPr>
      <w:tblBorders>
        <w:top w:val="single" w:color="4472C4" w:themeColor="accent5" w:sz="8" w:space="0"/>
        <w:left w:val="single" w:color="4472C4" w:themeColor="accent5" w:sz="8" w:space="0"/>
        <w:bottom w:val="single" w:color="4472C4" w:themeColor="accent5" w:sz="8" w:space="0"/>
        <w:right w:val="single" w:color="4472C4" w:themeColor="accent5" w:sz="8" w:space="0"/>
        <w:insideH w:val="single" w:color="4472C4" w:themeColor="accent5" w:sz="8" w:space="0"/>
        <w:insideV w:val="single" w:color="4472C4"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472C4" w:themeColor="accent5" w:sz="8" w:space="0"/>
          <w:left w:val="single" w:color="4472C4" w:themeColor="accent5" w:sz="8" w:space="0"/>
          <w:bottom w:val="single" w:color="4472C4" w:themeColor="accent5" w:sz="18" w:space="0"/>
          <w:right w:val="single" w:color="4472C4"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472C4" w:themeColor="accent5" w:sz="6" w:space="0"/>
          <w:left w:val="single" w:color="4472C4" w:themeColor="accent5" w:sz="8" w:space="0"/>
          <w:bottom w:val="single" w:color="4472C4" w:themeColor="accent5" w:sz="8" w:space="0"/>
          <w:right w:val="single" w:color="4472C4"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tcPr>
    </w:tblStylePr>
    <w:tblStylePr w:type="band1Vert">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shd w:val="clear" w:color="auto" w:fill="D0DCF0" w:themeFill="accent5" w:themeFillTint="3F"/>
      </w:tcPr>
    </w:tblStylePr>
    <w:tblStylePr w:type="band1Horz">
      <w:tblPr/>
      <w:tcPr>
        <w:tcBorders>
          <w:top w:val="single" w:color="4472C4" w:themeColor="accent5" w:sz="8" w:space="0"/>
          <w:left w:val="single" w:color="4472C4" w:themeColor="accent5" w:sz="8" w:space="0"/>
          <w:bottom w:val="single" w:color="4472C4" w:themeColor="accent5" w:sz="8" w:space="0"/>
          <w:right w:val="single" w:color="4472C4" w:themeColor="accent5" w:sz="8" w:space="0"/>
          <w:insideV w:val="single" w:sz="8" w:space="0"/>
        </w:tcBorders>
        <w:shd w:val="clear" w:color="auto" w:fill="D0DCF0" w:themeFill="accent5" w:themeFillTint="3F"/>
      </w:tcPr>
    </w:tblStylePr>
    <w:tblStylePr w:type="band2Horz">
      <w:tblPr/>
      <w:tcPr>
        <w:tcBorders>
          <w:top w:val="single" w:color="4472C4" w:themeColor="accent5" w:sz="8" w:space="0"/>
          <w:left w:val="single" w:color="4472C4" w:themeColor="accent5" w:sz="8" w:space="0"/>
          <w:bottom w:val="single" w:color="4472C4" w:themeColor="accent5" w:sz="8" w:space="0"/>
          <w:right w:val="single" w:color="4472C4" w:themeColor="accent5" w:sz="8" w:space="0"/>
          <w:insideV w:val="single" w:sz="8" w:space="0"/>
        </w:tcBorders>
      </w:tcPr>
    </w:tblStylePr>
  </w:style>
  <w:style w:type="table" w:styleId="156">
    <w:name w:val="Light Grid Accent 6"/>
    <w:basedOn w:val="91"/>
    <w:semiHidden/>
    <w:unhideWhenUsed/>
    <w:qFormat/>
    <w:uiPriority w:val="62"/>
    <w:tblPr>
      <w:tblBorders>
        <w:top w:val="single" w:color="70AD47" w:themeColor="accent6" w:sz="8" w:space="0"/>
        <w:left w:val="single" w:color="70AD47" w:themeColor="accent6" w:sz="8" w:space="0"/>
        <w:bottom w:val="single" w:color="70AD47" w:themeColor="accent6" w:sz="8" w:space="0"/>
        <w:right w:val="single" w:color="70AD47" w:themeColor="accent6" w:sz="8" w:space="0"/>
        <w:insideH w:val="single" w:color="70AD47" w:themeColor="accent6" w:sz="8" w:space="0"/>
        <w:insideV w:val="single" w:color="70AD47"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70AD47" w:themeColor="accent6" w:sz="8" w:space="0"/>
          <w:left w:val="single" w:color="70AD47" w:themeColor="accent6" w:sz="8" w:space="0"/>
          <w:bottom w:val="single" w:color="70AD47" w:themeColor="accent6" w:sz="18" w:space="0"/>
          <w:right w:val="single" w:color="70AD47"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70AD47" w:themeColor="accent6" w:sz="6" w:space="0"/>
          <w:left w:val="single" w:color="70AD47" w:themeColor="accent6" w:sz="8" w:space="0"/>
          <w:bottom w:val="single" w:color="70AD47" w:themeColor="accent6" w:sz="8" w:space="0"/>
          <w:right w:val="single" w:color="70AD47"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tblStylePr w:type="band1Vert">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shd w:val="clear" w:color="auto" w:fill="DBEBD0" w:themeFill="accent6" w:themeFillTint="3F"/>
      </w:tcPr>
    </w:tblStylePr>
    <w:tblStylePr w:type="band1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insideV w:val="single" w:sz="8" w:space="0"/>
        </w:tcBorders>
        <w:shd w:val="clear" w:color="auto" w:fill="DBEBD0" w:themeFill="accent6" w:themeFillTint="3F"/>
      </w:tcPr>
    </w:tblStylePr>
    <w:tblStylePr w:type="band2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insideV w:val="single" w:sz="8" w:space="0"/>
        </w:tcBorders>
      </w:tcPr>
    </w:tblStylePr>
  </w:style>
  <w:style w:type="table" w:styleId="157">
    <w:name w:val="Medium Shading 1"/>
    <w:basedOn w:val="91"/>
    <w:semiHidden/>
    <w:unhideWhenUsed/>
    <w:qFormat/>
    <w:uiPriority w:val="63"/>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158">
    <w:name w:val="Medium Shading 1 Accent 1"/>
    <w:basedOn w:val="91"/>
    <w:semiHidden/>
    <w:unhideWhenUsed/>
    <w:qFormat/>
    <w:uiPriority w:val="63"/>
    <w:tblPr>
      <w:tblBorders>
        <w:top w:val="single" w:color="84B4DF" w:themeColor="accent1" w:themeTint="BF" w:sz="8" w:space="0"/>
        <w:left w:val="single" w:color="84B4DF" w:themeColor="accent1" w:themeTint="BF" w:sz="8" w:space="0"/>
        <w:bottom w:val="single" w:color="84B4DF" w:themeColor="accent1" w:themeTint="BF" w:sz="8" w:space="0"/>
        <w:right w:val="single" w:color="84B4DF" w:themeColor="accent1" w:themeTint="BF" w:sz="8" w:space="0"/>
        <w:insideH w:val="single" w:color="84B4DF"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84B4DF" w:themeColor="accent1" w:themeTint="BF" w:sz="8" w:space="0"/>
          <w:left w:val="single" w:color="84B4DF" w:themeColor="accent1" w:themeTint="BF" w:sz="8" w:space="0"/>
          <w:bottom w:val="single" w:color="84B4DF" w:themeColor="accent1" w:themeTint="BF" w:sz="8" w:space="0"/>
          <w:right w:val="single" w:color="84B4DF" w:themeColor="accent1" w:themeTint="BF" w:sz="8" w:space="0"/>
          <w:insideH w:val="nil"/>
          <w:insideV w:val="nil"/>
        </w:tcBorders>
        <w:shd w:val="clear" w:color="auto" w:fill="5B9BD5" w:themeFill="accent1"/>
      </w:tcPr>
    </w:tblStylePr>
    <w:tblStylePr w:type="lastRow">
      <w:pPr>
        <w:spacing w:before="0" w:after="0" w:line="240" w:lineRule="auto"/>
      </w:pPr>
      <w:rPr>
        <w:b/>
        <w:bCs/>
      </w:rPr>
      <w:tblPr/>
      <w:tcPr>
        <w:tcBorders>
          <w:top w:val="double" w:color="84B4DF" w:themeColor="accent1" w:themeTint="BF" w:sz="6" w:space="0"/>
          <w:left w:val="single" w:color="84B4DF" w:themeColor="accent1" w:themeTint="BF" w:sz="8" w:space="0"/>
          <w:bottom w:val="single" w:color="84B4DF" w:themeColor="accent1" w:themeTint="BF" w:sz="8" w:space="0"/>
          <w:right w:val="single" w:color="84B4DF"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159">
    <w:name w:val="Medium Shading 1 Accent 2"/>
    <w:basedOn w:val="91"/>
    <w:semiHidden/>
    <w:unhideWhenUsed/>
    <w:qFormat/>
    <w:uiPriority w:val="63"/>
    <w:tblPr>
      <w:tbl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single" w:color="F19D64" w:themeColor="accent2"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nil"/>
          <w:insideV w:val="nil"/>
        </w:tcBorders>
        <w:shd w:val="clear" w:color="auto" w:fill="ED7D31" w:themeFill="accent2"/>
      </w:tcPr>
    </w:tblStylePr>
    <w:tblStylePr w:type="lastRow">
      <w:pPr>
        <w:spacing w:before="0" w:after="0" w:line="240" w:lineRule="auto"/>
      </w:pPr>
      <w:rPr>
        <w:b/>
        <w:bCs/>
      </w:rPr>
      <w:tblPr/>
      <w:tcPr>
        <w:tcBorders>
          <w:top w:val="double" w:color="F19D64" w:themeColor="accent2" w:themeTint="BF" w:sz="6" w:space="0"/>
          <w:left w:val="single" w:color="F19D64" w:themeColor="accent2" w:themeTint="BF" w:sz="8" w:space="0"/>
          <w:bottom w:val="single" w:color="F19D64" w:themeColor="accent2" w:themeTint="BF" w:sz="8" w:space="0"/>
          <w:right w:val="single" w:color="F19D64"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FADECC" w:themeFill="accent2" w:themeFillTint="3F"/>
      </w:tcPr>
    </w:tblStylePr>
    <w:tblStylePr w:type="band1Horz">
      <w:tblPr/>
      <w:tcPr>
        <w:tcBorders>
          <w:insideH w:val="nil"/>
          <w:insideV w:val="nil"/>
        </w:tcBorders>
        <w:shd w:val="clear" w:color="auto" w:fill="FADECC" w:themeFill="accent2" w:themeFillTint="3F"/>
      </w:tcPr>
    </w:tblStylePr>
    <w:tblStylePr w:type="band2Horz">
      <w:tblPr/>
      <w:tcPr>
        <w:tcBorders>
          <w:insideH w:val="nil"/>
          <w:insideV w:val="nil"/>
        </w:tcBorders>
      </w:tcPr>
    </w:tblStylePr>
  </w:style>
  <w:style w:type="table" w:styleId="160">
    <w:name w:val="Medium Shading 1 Accent 3"/>
    <w:basedOn w:val="91"/>
    <w:semiHidden/>
    <w:unhideWhenUsed/>
    <w:qFormat/>
    <w:uiPriority w:val="63"/>
    <w:tblPr>
      <w:tbl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single" w:color="BBBBBB"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nil"/>
          <w:insideV w:val="nil"/>
        </w:tcBorders>
        <w:shd w:val="clear" w:color="auto" w:fill="A5A5A5" w:themeFill="accent3"/>
      </w:tcPr>
    </w:tblStylePr>
    <w:tblStylePr w:type="lastRow">
      <w:pPr>
        <w:spacing w:before="0" w:after="0" w:line="240" w:lineRule="auto"/>
      </w:pPr>
      <w:rPr>
        <w:b/>
        <w:bCs/>
      </w:rPr>
      <w:tblPr/>
      <w:tcPr>
        <w:tcBorders>
          <w:top w:val="double" w:color="BBBBBB" w:themeColor="accent3" w:themeTint="BF" w:sz="6" w:space="0"/>
          <w:left w:val="single" w:color="BBBBBB" w:themeColor="accent3" w:themeTint="BF" w:sz="8" w:space="0"/>
          <w:bottom w:val="single" w:color="BBBBBB" w:themeColor="accent3" w:themeTint="BF" w:sz="8" w:space="0"/>
          <w:right w:val="single" w:color="BBBBBB"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61">
    <w:name w:val="Medium Shading 1 Accent 4"/>
    <w:basedOn w:val="91"/>
    <w:semiHidden/>
    <w:unhideWhenUsed/>
    <w:qFormat/>
    <w:uiPriority w:val="63"/>
    <w:tblPr>
      <w:tblBorders>
        <w:top w:val="single" w:color="FFCF3F" w:themeColor="accent4" w:themeTint="BF" w:sz="8" w:space="0"/>
        <w:left w:val="single" w:color="FFCF3F" w:themeColor="accent4" w:themeTint="BF" w:sz="8" w:space="0"/>
        <w:bottom w:val="single" w:color="FFCF3F" w:themeColor="accent4" w:themeTint="BF" w:sz="8" w:space="0"/>
        <w:right w:val="single" w:color="FFCF3F" w:themeColor="accent4" w:themeTint="BF" w:sz="8" w:space="0"/>
        <w:insideH w:val="single" w:color="FFCF3F" w:themeColor="accent4"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FCF3F" w:themeColor="accent4" w:themeTint="BF" w:sz="8" w:space="0"/>
          <w:left w:val="single" w:color="FFCF3F" w:themeColor="accent4" w:themeTint="BF" w:sz="8" w:space="0"/>
          <w:bottom w:val="single" w:color="FFCF3F" w:themeColor="accent4" w:themeTint="BF" w:sz="8" w:space="0"/>
          <w:right w:val="single" w:color="FFCF3F" w:themeColor="accent4" w:themeTint="BF" w:sz="8" w:space="0"/>
          <w:insideH w:val="nil"/>
          <w:insideV w:val="nil"/>
        </w:tcBorders>
        <w:shd w:val="clear" w:color="auto" w:fill="FFC000" w:themeFill="accent4"/>
      </w:tcPr>
    </w:tblStylePr>
    <w:tblStylePr w:type="lastRow">
      <w:pPr>
        <w:spacing w:before="0" w:after="0" w:line="240" w:lineRule="auto"/>
      </w:pPr>
      <w:rPr>
        <w:b/>
        <w:bCs/>
      </w:rPr>
      <w:tblPr/>
      <w:tcPr>
        <w:tcBorders>
          <w:top w:val="double" w:color="FFCF3F" w:themeColor="accent4" w:themeTint="BF" w:sz="6" w:space="0"/>
          <w:left w:val="single" w:color="FFCF3F" w:themeColor="accent4" w:themeTint="BF" w:sz="8" w:space="0"/>
          <w:bottom w:val="single" w:color="FFCF3F" w:themeColor="accent4" w:themeTint="BF" w:sz="8" w:space="0"/>
          <w:right w:val="single" w:color="FFCF3F"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FFEFBF" w:themeFill="accent4" w:themeFillTint="3F"/>
      </w:tcPr>
    </w:tblStylePr>
    <w:tblStylePr w:type="band1Horz">
      <w:tblPr/>
      <w:tcPr>
        <w:tcBorders>
          <w:insideH w:val="nil"/>
          <w:insideV w:val="nil"/>
        </w:tcBorders>
        <w:shd w:val="clear" w:color="auto" w:fill="FFEFBF" w:themeFill="accent4" w:themeFillTint="3F"/>
      </w:tcPr>
    </w:tblStylePr>
    <w:tblStylePr w:type="band2Horz">
      <w:tblPr/>
      <w:tcPr>
        <w:tcBorders>
          <w:insideH w:val="nil"/>
          <w:insideV w:val="nil"/>
        </w:tcBorders>
      </w:tcPr>
    </w:tblStylePr>
  </w:style>
  <w:style w:type="table" w:styleId="162">
    <w:name w:val="Medium Shading 1 Accent 5"/>
    <w:basedOn w:val="91"/>
    <w:semiHidden/>
    <w:unhideWhenUsed/>
    <w:qFormat/>
    <w:uiPriority w:val="63"/>
    <w:tblPr>
      <w:tbl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single" w:color="7295D2" w:themeColor="accent5"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nil"/>
          <w:insideV w:val="nil"/>
        </w:tcBorders>
        <w:shd w:val="clear" w:color="auto" w:fill="4472C4" w:themeFill="accent5"/>
      </w:tcPr>
    </w:tblStylePr>
    <w:tblStylePr w:type="lastRow">
      <w:pPr>
        <w:spacing w:before="0" w:after="0" w:line="240" w:lineRule="auto"/>
      </w:pPr>
      <w:rPr>
        <w:b/>
        <w:bCs/>
      </w:rPr>
      <w:tblPr/>
      <w:tcPr>
        <w:tcBorders>
          <w:top w:val="double" w:color="7295D2" w:themeColor="accent5" w:themeTint="BF" w:sz="6" w:space="0"/>
          <w:left w:val="single" w:color="7295D2" w:themeColor="accent5" w:themeTint="BF" w:sz="8" w:space="0"/>
          <w:bottom w:val="single" w:color="7295D2" w:themeColor="accent5" w:themeTint="BF" w:sz="8" w:space="0"/>
          <w:right w:val="single" w:color="7295D2"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0DCF0" w:themeFill="accent5" w:themeFillTint="3F"/>
      </w:tcPr>
    </w:tblStylePr>
    <w:tblStylePr w:type="band1Horz">
      <w:tblPr/>
      <w:tcPr>
        <w:tcBorders>
          <w:insideH w:val="nil"/>
          <w:insideV w:val="nil"/>
        </w:tcBorders>
        <w:shd w:val="clear" w:color="auto" w:fill="D0DCF0" w:themeFill="accent5" w:themeFillTint="3F"/>
      </w:tcPr>
    </w:tblStylePr>
    <w:tblStylePr w:type="band2Horz">
      <w:tblPr/>
      <w:tcPr>
        <w:tcBorders>
          <w:insideH w:val="nil"/>
          <w:insideV w:val="nil"/>
        </w:tcBorders>
      </w:tcPr>
    </w:tblStylePr>
  </w:style>
  <w:style w:type="table" w:styleId="163">
    <w:name w:val="Medium Shading 1 Accent 6"/>
    <w:basedOn w:val="91"/>
    <w:semiHidden/>
    <w:unhideWhenUsed/>
    <w:qFormat/>
    <w:uiPriority w:val="63"/>
    <w:tblPr>
      <w:tbl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single" w:color="93C571" w:themeColor="accent6"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nil"/>
          <w:insideV w:val="nil"/>
        </w:tcBorders>
        <w:shd w:val="clear" w:color="auto" w:fill="70AD47" w:themeFill="accent6"/>
      </w:tcPr>
    </w:tblStylePr>
    <w:tblStylePr w:type="lastRow">
      <w:pPr>
        <w:spacing w:before="0" w:after="0" w:line="240" w:lineRule="auto"/>
      </w:pPr>
      <w:rPr>
        <w:b/>
        <w:bCs/>
      </w:rPr>
      <w:tblPr/>
      <w:tcPr>
        <w:tcBorders>
          <w:top w:val="double" w:color="93C571" w:themeColor="accent6" w:themeTint="BF" w:sz="6" w:space="0"/>
          <w:left w:val="single" w:color="93C571" w:themeColor="accent6" w:themeTint="BF" w:sz="8" w:space="0"/>
          <w:bottom w:val="single" w:color="93C571" w:themeColor="accent6" w:themeTint="BF" w:sz="8" w:space="0"/>
          <w:right w:val="single" w:color="93C571"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164">
    <w:name w:val="Medium Shading 2"/>
    <w:basedOn w:val="91"/>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5">
    <w:name w:val="Medium Shading 2 Accent 1"/>
    <w:basedOn w:val="91"/>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5B9BD5"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6">
    <w:name w:val="Medium Shading 2 Accent 2"/>
    <w:basedOn w:val="91"/>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ED7D31"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7">
    <w:name w:val="Medium Shading 2 Accent 3"/>
    <w:basedOn w:val="91"/>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A5A5A5"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8">
    <w:name w:val="Medium Shading 2 Accent 4"/>
    <w:basedOn w:val="91"/>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FC000"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9">
    <w:name w:val="Medium Shading 2 Accent 5"/>
    <w:basedOn w:val="91"/>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472C4"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70">
    <w:name w:val="Medium Shading 2 Accent 6"/>
    <w:basedOn w:val="91"/>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70AD47"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71">
    <w:name w:val="Medium List 1"/>
    <w:basedOn w:val="91"/>
    <w:semiHidden/>
    <w:unhideWhenUsed/>
    <w:qFormat/>
    <w:uiPriority w:val="65"/>
    <w:rPr>
      <w:color w:val="000000" w:themeColor="text1"/>
      <w14:textFill>
        <w14:solidFill>
          <w14:schemeClr w14:val="tx1"/>
        </w14:solidFill>
      </w14:textFill>
    </w:rPr>
    <w:tblPr>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44546A"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172">
    <w:name w:val="Medium List 1 Accent 1"/>
    <w:basedOn w:val="91"/>
    <w:semiHidden/>
    <w:unhideWhenUsed/>
    <w:qFormat/>
    <w:uiPriority w:val="65"/>
    <w:rPr>
      <w:color w:val="000000" w:themeColor="text1"/>
      <w14:textFill>
        <w14:solidFill>
          <w14:schemeClr w14:val="tx1"/>
        </w14:solidFill>
      </w14:textFill>
    </w:rPr>
    <w:tblPr>
      <w:tblBorders>
        <w:top w:val="single" w:color="5B9BD5" w:themeColor="accent1" w:sz="8" w:space="0"/>
        <w:bottom w:val="single" w:color="5B9BD5" w:themeColor="accent1" w:sz="8" w:space="0"/>
      </w:tblBorders>
    </w:tblPr>
    <w:tblStylePr w:type="firstRow">
      <w:rPr>
        <w:rFonts w:asciiTheme="majorHAnsi" w:hAnsiTheme="majorHAnsi" w:eastAsiaTheme="majorEastAsia" w:cstheme="majorBidi"/>
      </w:rPr>
      <w:tblPr/>
      <w:tcPr>
        <w:tcBorders>
          <w:top w:val="nil"/>
          <w:bottom w:val="single" w:color="5B9BD5" w:themeColor="accent1" w:sz="8" w:space="0"/>
        </w:tcBorders>
      </w:tcPr>
    </w:tblStylePr>
    <w:tblStylePr w:type="lastRow">
      <w:rPr>
        <w:b/>
        <w:bCs/>
        <w:color w:val="44546A" w:themeColor="text2"/>
        <w14:textFill>
          <w14:solidFill>
            <w14:schemeClr w14:val="tx2"/>
          </w14:solidFill>
        </w14:textFill>
      </w:rPr>
      <w:tblPr/>
      <w:tcPr>
        <w:tcBorders>
          <w:top w:val="single" w:color="5B9BD5" w:themeColor="accent1" w:sz="8" w:space="0"/>
          <w:bottom w:val="single" w:color="5B9BD5" w:themeColor="accent1" w:sz="8" w:space="0"/>
        </w:tcBorders>
      </w:tcPr>
    </w:tblStylePr>
    <w:tblStylePr w:type="firstCol">
      <w:rPr>
        <w:b/>
        <w:bCs/>
      </w:rPr>
    </w:tblStylePr>
    <w:tblStylePr w:type="lastCol">
      <w:rPr>
        <w:b/>
        <w:bCs/>
      </w:rPr>
      <w:tblPr/>
      <w:tcPr>
        <w:tcBorders>
          <w:top w:val="single" w:color="5B9BD5" w:themeColor="accent1" w:sz="8" w:space="0"/>
          <w:bottom w:val="single" w:color="5B9BD5" w:themeColor="accent1" w:sz="8" w:space="0"/>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173">
    <w:name w:val="Medium List 1 Accent 2"/>
    <w:basedOn w:val="91"/>
    <w:semiHidden/>
    <w:unhideWhenUsed/>
    <w:qFormat/>
    <w:uiPriority w:val="65"/>
    <w:rPr>
      <w:color w:val="000000" w:themeColor="text1"/>
      <w14:textFill>
        <w14:solidFill>
          <w14:schemeClr w14:val="tx1"/>
        </w14:solidFill>
      </w14:textFill>
    </w:rPr>
    <w:tblPr>
      <w:tblBorders>
        <w:top w:val="single" w:color="ED7D31" w:themeColor="accent2" w:sz="8" w:space="0"/>
        <w:bottom w:val="single" w:color="ED7D31" w:themeColor="accent2" w:sz="8" w:space="0"/>
      </w:tblBorders>
    </w:tblPr>
    <w:tblStylePr w:type="firstRow">
      <w:rPr>
        <w:rFonts w:asciiTheme="majorHAnsi" w:hAnsiTheme="majorHAnsi" w:eastAsiaTheme="majorEastAsia" w:cstheme="majorBidi"/>
      </w:rPr>
      <w:tblPr/>
      <w:tcPr>
        <w:tcBorders>
          <w:top w:val="nil"/>
          <w:bottom w:val="single" w:color="ED7D31" w:themeColor="accent2" w:sz="8" w:space="0"/>
        </w:tcBorders>
      </w:tcPr>
    </w:tblStylePr>
    <w:tblStylePr w:type="lastRow">
      <w:rPr>
        <w:b/>
        <w:bCs/>
        <w:color w:val="44546A" w:themeColor="text2"/>
        <w14:textFill>
          <w14:solidFill>
            <w14:schemeClr w14:val="tx2"/>
          </w14:solidFill>
        </w14:textFill>
      </w:rPr>
      <w:tblPr/>
      <w:tcPr>
        <w:tcBorders>
          <w:top w:val="single" w:color="ED7D31" w:themeColor="accent2" w:sz="8" w:space="0"/>
          <w:bottom w:val="single" w:color="ED7D31" w:themeColor="accent2" w:sz="8" w:space="0"/>
        </w:tcBorders>
      </w:tcPr>
    </w:tblStylePr>
    <w:tblStylePr w:type="firstCol">
      <w:rPr>
        <w:b/>
        <w:bCs/>
      </w:rPr>
    </w:tblStylePr>
    <w:tblStylePr w:type="lastCol">
      <w:rPr>
        <w:b/>
        <w:bCs/>
      </w:rPr>
      <w:tblPr/>
      <w:tcPr>
        <w:tcBorders>
          <w:top w:val="single" w:color="ED7D31" w:themeColor="accent2" w:sz="8" w:space="0"/>
          <w:bottom w:val="single" w:color="ED7D31" w:themeColor="accent2" w:sz="8" w:space="0"/>
        </w:tcBorders>
      </w:tcPr>
    </w:tblStylePr>
    <w:tblStylePr w:type="band1Vert">
      <w:tblPr/>
      <w:tcPr>
        <w:shd w:val="clear" w:color="auto" w:fill="FADECC" w:themeFill="accent2" w:themeFillTint="3F"/>
      </w:tcPr>
    </w:tblStylePr>
    <w:tblStylePr w:type="band1Horz">
      <w:tblPr/>
      <w:tcPr>
        <w:shd w:val="clear" w:color="auto" w:fill="FADECC" w:themeFill="accent2" w:themeFillTint="3F"/>
      </w:tcPr>
    </w:tblStylePr>
  </w:style>
  <w:style w:type="table" w:styleId="174">
    <w:name w:val="Medium List 1 Accent 3"/>
    <w:basedOn w:val="91"/>
    <w:semiHidden/>
    <w:unhideWhenUsed/>
    <w:qFormat/>
    <w:uiPriority w:val="65"/>
    <w:rPr>
      <w:color w:val="000000" w:themeColor="text1"/>
      <w14:textFill>
        <w14:solidFill>
          <w14:schemeClr w14:val="tx1"/>
        </w14:solidFill>
      </w14:textFill>
    </w:rPr>
    <w:tblPr>
      <w:tblBorders>
        <w:top w:val="single" w:color="A5A5A5" w:themeColor="accent3" w:sz="8" w:space="0"/>
        <w:bottom w:val="single" w:color="A5A5A5" w:themeColor="accent3" w:sz="8" w:space="0"/>
      </w:tblBorders>
    </w:tblPr>
    <w:tblStylePr w:type="firstRow">
      <w:rPr>
        <w:rFonts w:asciiTheme="majorHAnsi" w:hAnsiTheme="majorHAnsi" w:eastAsiaTheme="majorEastAsia" w:cstheme="majorBidi"/>
      </w:rPr>
      <w:tblPr/>
      <w:tcPr>
        <w:tcBorders>
          <w:top w:val="nil"/>
          <w:bottom w:val="single" w:color="A5A5A5" w:themeColor="accent3" w:sz="8" w:space="0"/>
        </w:tcBorders>
      </w:tcPr>
    </w:tblStylePr>
    <w:tblStylePr w:type="lastRow">
      <w:rPr>
        <w:b/>
        <w:bCs/>
        <w:color w:val="44546A" w:themeColor="text2"/>
        <w14:textFill>
          <w14:solidFill>
            <w14:schemeClr w14:val="tx2"/>
          </w14:solidFill>
        </w14:textFill>
      </w:rPr>
      <w:tblPr/>
      <w:tcPr>
        <w:tcBorders>
          <w:top w:val="single" w:color="A5A5A5" w:themeColor="accent3" w:sz="8" w:space="0"/>
          <w:bottom w:val="single" w:color="A5A5A5" w:themeColor="accent3" w:sz="8" w:space="0"/>
        </w:tcBorders>
      </w:tcPr>
    </w:tblStylePr>
    <w:tblStylePr w:type="firstCol">
      <w:rPr>
        <w:b/>
        <w:bCs/>
      </w:rPr>
    </w:tblStylePr>
    <w:tblStylePr w:type="lastCol">
      <w:rPr>
        <w:b/>
        <w:bCs/>
      </w:rPr>
      <w:tblPr/>
      <w:tcPr>
        <w:tcBorders>
          <w:top w:val="single" w:color="A5A5A5" w:themeColor="accent3" w:sz="8" w:space="0"/>
          <w:bottom w:val="single" w:color="A5A5A5" w:themeColor="accent3" w:sz="8" w:space="0"/>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75">
    <w:name w:val="Medium List 1 Accent 4"/>
    <w:basedOn w:val="91"/>
    <w:semiHidden/>
    <w:unhideWhenUsed/>
    <w:qFormat/>
    <w:uiPriority w:val="65"/>
    <w:rPr>
      <w:color w:val="000000" w:themeColor="text1"/>
      <w14:textFill>
        <w14:solidFill>
          <w14:schemeClr w14:val="tx1"/>
        </w14:solidFill>
      </w14:textFill>
    </w:rPr>
    <w:tblPr>
      <w:tblBorders>
        <w:top w:val="single" w:color="FFC000" w:themeColor="accent4" w:sz="8" w:space="0"/>
        <w:bottom w:val="single" w:color="FFC000" w:themeColor="accent4" w:sz="8" w:space="0"/>
      </w:tblBorders>
    </w:tblPr>
    <w:tblStylePr w:type="firstRow">
      <w:rPr>
        <w:rFonts w:asciiTheme="majorHAnsi" w:hAnsiTheme="majorHAnsi" w:eastAsiaTheme="majorEastAsia" w:cstheme="majorBidi"/>
      </w:rPr>
      <w:tblPr/>
      <w:tcPr>
        <w:tcBorders>
          <w:top w:val="nil"/>
          <w:bottom w:val="single" w:color="FFC000" w:themeColor="accent4" w:sz="8" w:space="0"/>
        </w:tcBorders>
      </w:tcPr>
    </w:tblStylePr>
    <w:tblStylePr w:type="lastRow">
      <w:rPr>
        <w:b/>
        <w:bCs/>
        <w:color w:val="44546A" w:themeColor="text2"/>
        <w14:textFill>
          <w14:solidFill>
            <w14:schemeClr w14:val="tx2"/>
          </w14:solidFill>
        </w14:textFill>
      </w:rPr>
      <w:tblPr/>
      <w:tcPr>
        <w:tcBorders>
          <w:top w:val="single" w:color="FFC000" w:themeColor="accent4" w:sz="8" w:space="0"/>
          <w:bottom w:val="single" w:color="FFC000" w:themeColor="accent4" w:sz="8" w:space="0"/>
        </w:tcBorders>
      </w:tcPr>
    </w:tblStylePr>
    <w:tblStylePr w:type="firstCol">
      <w:rPr>
        <w:b/>
        <w:bCs/>
      </w:rPr>
    </w:tblStylePr>
    <w:tblStylePr w:type="lastCol">
      <w:rPr>
        <w:b/>
        <w:bCs/>
      </w:rPr>
      <w:tblPr/>
      <w:tcPr>
        <w:tcBorders>
          <w:top w:val="single" w:color="FFC000" w:themeColor="accent4" w:sz="8" w:space="0"/>
          <w:bottom w:val="single" w:color="FFC000" w:themeColor="accent4" w:sz="8" w:space="0"/>
        </w:tcBorders>
      </w:tcPr>
    </w:tblStylePr>
    <w:tblStylePr w:type="band1Vert">
      <w:tblPr/>
      <w:tcPr>
        <w:shd w:val="clear" w:color="auto" w:fill="FFEFBF" w:themeFill="accent4" w:themeFillTint="3F"/>
      </w:tcPr>
    </w:tblStylePr>
    <w:tblStylePr w:type="band1Horz">
      <w:tblPr/>
      <w:tcPr>
        <w:shd w:val="clear" w:color="auto" w:fill="FFEFBF" w:themeFill="accent4" w:themeFillTint="3F"/>
      </w:tcPr>
    </w:tblStylePr>
  </w:style>
  <w:style w:type="table" w:styleId="176">
    <w:name w:val="Medium List 1 Accent 5"/>
    <w:basedOn w:val="91"/>
    <w:semiHidden/>
    <w:unhideWhenUsed/>
    <w:qFormat/>
    <w:uiPriority w:val="65"/>
    <w:rPr>
      <w:color w:val="000000" w:themeColor="text1"/>
      <w14:textFill>
        <w14:solidFill>
          <w14:schemeClr w14:val="tx1"/>
        </w14:solidFill>
      </w14:textFill>
    </w:rPr>
    <w:tblPr>
      <w:tblBorders>
        <w:top w:val="single" w:color="4472C4" w:themeColor="accent5" w:sz="8" w:space="0"/>
        <w:bottom w:val="single" w:color="4472C4" w:themeColor="accent5" w:sz="8" w:space="0"/>
      </w:tblBorders>
    </w:tblPr>
    <w:tblStylePr w:type="firstRow">
      <w:rPr>
        <w:rFonts w:asciiTheme="majorHAnsi" w:hAnsiTheme="majorHAnsi" w:eastAsiaTheme="majorEastAsia" w:cstheme="majorBidi"/>
      </w:rPr>
      <w:tblPr/>
      <w:tcPr>
        <w:tcBorders>
          <w:top w:val="nil"/>
          <w:bottom w:val="single" w:color="4472C4" w:themeColor="accent5" w:sz="8" w:space="0"/>
        </w:tcBorders>
      </w:tcPr>
    </w:tblStylePr>
    <w:tblStylePr w:type="lastRow">
      <w:rPr>
        <w:b/>
        <w:bCs/>
        <w:color w:val="44546A" w:themeColor="text2"/>
        <w14:textFill>
          <w14:solidFill>
            <w14:schemeClr w14:val="tx2"/>
          </w14:solidFill>
        </w14:textFill>
      </w:rPr>
      <w:tblPr/>
      <w:tcPr>
        <w:tcBorders>
          <w:top w:val="single" w:color="4472C4" w:themeColor="accent5" w:sz="8" w:space="0"/>
          <w:bottom w:val="single" w:color="4472C4" w:themeColor="accent5" w:sz="8" w:space="0"/>
        </w:tcBorders>
      </w:tcPr>
    </w:tblStylePr>
    <w:tblStylePr w:type="firstCol">
      <w:rPr>
        <w:b/>
        <w:bCs/>
      </w:rPr>
    </w:tblStylePr>
    <w:tblStylePr w:type="lastCol">
      <w:rPr>
        <w:b/>
        <w:bCs/>
      </w:rPr>
      <w:tblPr/>
      <w:tcPr>
        <w:tcBorders>
          <w:top w:val="single" w:color="4472C4" w:themeColor="accent5" w:sz="8" w:space="0"/>
          <w:bottom w:val="single" w:color="4472C4" w:themeColor="accent5" w:sz="8" w:space="0"/>
        </w:tcBorders>
      </w:tcPr>
    </w:tblStylePr>
    <w:tblStylePr w:type="band1Vert">
      <w:tblPr/>
      <w:tcPr>
        <w:shd w:val="clear" w:color="auto" w:fill="D0DCF0" w:themeFill="accent5" w:themeFillTint="3F"/>
      </w:tcPr>
    </w:tblStylePr>
    <w:tblStylePr w:type="band1Horz">
      <w:tblPr/>
      <w:tcPr>
        <w:shd w:val="clear" w:color="auto" w:fill="D0DCF0" w:themeFill="accent5" w:themeFillTint="3F"/>
      </w:tcPr>
    </w:tblStylePr>
  </w:style>
  <w:style w:type="table" w:styleId="177">
    <w:name w:val="Medium List 1 Accent 6"/>
    <w:basedOn w:val="91"/>
    <w:semiHidden/>
    <w:unhideWhenUsed/>
    <w:qFormat/>
    <w:uiPriority w:val="65"/>
    <w:rPr>
      <w:color w:val="000000" w:themeColor="text1"/>
      <w14:textFill>
        <w14:solidFill>
          <w14:schemeClr w14:val="tx1"/>
        </w14:solidFill>
      </w14:textFill>
    </w:rPr>
    <w:tblPr>
      <w:tblBorders>
        <w:top w:val="single" w:color="70AD47" w:themeColor="accent6" w:sz="8" w:space="0"/>
        <w:bottom w:val="single" w:color="70AD47" w:themeColor="accent6" w:sz="8" w:space="0"/>
      </w:tblBorders>
    </w:tblPr>
    <w:tblStylePr w:type="firstRow">
      <w:rPr>
        <w:rFonts w:asciiTheme="majorHAnsi" w:hAnsiTheme="majorHAnsi" w:eastAsiaTheme="majorEastAsia" w:cstheme="majorBidi"/>
      </w:rPr>
      <w:tblPr/>
      <w:tcPr>
        <w:tcBorders>
          <w:top w:val="nil"/>
          <w:bottom w:val="single" w:color="70AD47" w:themeColor="accent6" w:sz="8" w:space="0"/>
        </w:tcBorders>
      </w:tcPr>
    </w:tblStylePr>
    <w:tblStylePr w:type="lastRow">
      <w:rPr>
        <w:b/>
        <w:bCs/>
        <w:color w:val="44546A" w:themeColor="text2"/>
        <w14:textFill>
          <w14:solidFill>
            <w14:schemeClr w14:val="tx2"/>
          </w14:solidFill>
        </w14:textFill>
      </w:rPr>
      <w:tblPr/>
      <w:tcPr>
        <w:tcBorders>
          <w:top w:val="single" w:color="70AD47" w:themeColor="accent6" w:sz="8" w:space="0"/>
          <w:bottom w:val="single" w:color="70AD47" w:themeColor="accent6" w:sz="8" w:space="0"/>
        </w:tcBorders>
      </w:tcPr>
    </w:tblStylePr>
    <w:tblStylePr w:type="firstCol">
      <w:rPr>
        <w:b/>
        <w:bCs/>
      </w:rPr>
    </w:tblStylePr>
    <w:tblStylePr w:type="lastCol">
      <w:rPr>
        <w:b/>
        <w:bCs/>
      </w:rPr>
      <w:tblPr/>
      <w:tcPr>
        <w:tcBorders>
          <w:top w:val="single" w:color="70AD47" w:themeColor="accent6" w:sz="8" w:space="0"/>
          <w:bottom w:val="single" w:color="70AD47" w:themeColor="accent6" w:sz="8" w:space="0"/>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178">
    <w:name w:val="Medium List 2"/>
    <w:basedOn w:val="91"/>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179">
    <w:name w:val="Medium List 2 Accent 1"/>
    <w:basedOn w:val="91"/>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5B9BD5" w:themeColor="accent1" w:sz="8" w:space="0"/>
        <w:left w:val="single" w:color="5B9BD5" w:themeColor="accent1" w:sz="8" w:space="0"/>
        <w:bottom w:val="single" w:color="5B9BD5" w:themeColor="accent1" w:sz="8" w:space="0"/>
        <w:right w:val="single" w:color="5B9BD5" w:themeColor="accent1" w:sz="8" w:space="0"/>
      </w:tblBorders>
    </w:tblPr>
    <w:tblStylePr w:type="firstRow">
      <w:rPr>
        <w:sz w:val="24"/>
        <w:szCs w:val="24"/>
      </w:rPr>
      <w:tblPr/>
      <w:tcPr>
        <w:tcBorders>
          <w:top w:val="nil"/>
          <w:left w:val="nil"/>
          <w:bottom w:val="single" w:color="5B9BD5" w:themeColor="accent1" w:sz="24" w:space="0"/>
          <w:right w:val="nil"/>
          <w:insideH w:val="nil"/>
          <w:insideV w:val="nil"/>
        </w:tcBorders>
        <w:shd w:val="clear" w:color="auto" w:fill="FFFFFF" w:themeFill="background1"/>
      </w:tcPr>
    </w:tblStylePr>
    <w:tblStylePr w:type="lastRow">
      <w:tblPr/>
      <w:tcPr>
        <w:tcBorders>
          <w:top w:val="single" w:color="5B9BD5"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5B9BD5" w:themeColor="accent1" w:sz="8" w:space="0"/>
          <w:insideH w:val="nil"/>
          <w:insideV w:val="nil"/>
        </w:tcBorders>
        <w:shd w:val="clear" w:color="auto" w:fill="FFFFFF" w:themeFill="background1"/>
      </w:tcPr>
    </w:tblStylePr>
    <w:tblStylePr w:type="lastCol">
      <w:tblPr/>
      <w:tcPr>
        <w:tcBorders>
          <w:top w:val="nil"/>
          <w:left w:val="single" w:color="5B9BD5"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180">
    <w:name w:val="Medium List 2 Accent 2"/>
    <w:basedOn w:val="91"/>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ED7D31" w:themeColor="accent2" w:sz="8" w:space="0"/>
        <w:left w:val="single" w:color="ED7D31" w:themeColor="accent2" w:sz="8" w:space="0"/>
        <w:bottom w:val="single" w:color="ED7D31" w:themeColor="accent2" w:sz="8" w:space="0"/>
        <w:right w:val="single" w:color="ED7D31" w:themeColor="accent2" w:sz="8" w:space="0"/>
      </w:tblBorders>
    </w:tblPr>
    <w:tblStylePr w:type="firstRow">
      <w:rPr>
        <w:sz w:val="24"/>
        <w:szCs w:val="24"/>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tblPr/>
      <w:tcPr>
        <w:tcBorders>
          <w:top w:val="single" w:color="ED7D31"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ED7D31" w:themeColor="accent2" w:sz="8" w:space="0"/>
          <w:insideH w:val="nil"/>
          <w:insideV w:val="nil"/>
        </w:tcBorders>
        <w:shd w:val="clear" w:color="auto" w:fill="FFFFFF" w:themeFill="background1"/>
      </w:tcPr>
    </w:tblStylePr>
    <w:tblStylePr w:type="lastCol">
      <w:tblPr/>
      <w:tcPr>
        <w:tcBorders>
          <w:top w:val="nil"/>
          <w:left w:val="single" w:color="ED7D31"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top w:val="nil"/>
          <w:bottom w:val="nil"/>
          <w:insideH w:val="nil"/>
          <w:insideV w:val="nil"/>
        </w:tcBorders>
        <w:shd w:val="clear" w:color="auto" w:fill="FADECC"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181">
    <w:name w:val="Medium List 2 Accent 3"/>
    <w:basedOn w:val="91"/>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A5A5A5" w:themeColor="accent3" w:sz="8" w:space="0"/>
        <w:left w:val="single" w:color="A5A5A5" w:themeColor="accent3" w:sz="8" w:space="0"/>
        <w:bottom w:val="single" w:color="A5A5A5" w:themeColor="accent3" w:sz="8" w:space="0"/>
        <w:right w:val="single" w:color="A5A5A5" w:themeColor="accent3" w:sz="8" w:space="0"/>
      </w:tblBorders>
    </w:tblPr>
    <w:tblStylePr w:type="firstRow">
      <w:rPr>
        <w:sz w:val="24"/>
        <w:szCs w:val="24"/>
      </w:rPr>
      <w:tblPr/>
      <w:tcPr>
        <w:tcBorders>
          <w:top w:val="nil"/>
          <w:left w:val="nil"/>
          <w:bottom w:val="single" w:color="A5A5A5" w:themeColor="accent3" w:sz="24" w:space="0"/>
          <w:right w:val="nil"/>
          <w:insideH w:val="nil"/>
          <w:insideV w:val="nil"/>
        </w:tcBorders>
        <w:shd w:val="clear" w:color="auto" w:fill="FFFFFF" w:themeFill="background1"/>
      </w:tcPr>
    </w:tblStylePr>
    <w:tblStylePr w:type="lastRow">
      <w:tblPr/>
      <w:tcPr>
        <w:tcBorders>
          <w:top w:val="single" w:color="A5A5A5"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A5A5A5" w:themeColor="accent3" w:sz="8" w:space="0"/>
          <w:insideH w:val="nil"/>
          <w:insideV w:val="nil"/>
        </w:tcBorders>
        <w:shd w:val="clear" w:color="auto" w:fill="FFFFFF" w:themeFill="background1"/>
      </w:tcPr>
    </w:tblStylePr>
    <w:tblStylePr w:type="lastCol">
      <w:tblPr/>
      <w:tcPr>
        <w:tcBorders>
          <w:top w:val="nil"/>
          <w:left w:val="single" w:color="A5A5A5"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182">
    <w:name w:val="Medium List 2 Accent 4"/>
    <w:basedOn w:val="91"/>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FFC000" w:themeColor="accent4" w:sz="8" w:space="0"/>
        <w:left w:val="single" w:color="FFC000" w:themeColor="accent4" w:sz="8" w:space="0"/>
        <w:bottom w:val="single" w:color="FFC000" w:themeColor="accent4" w:sz="8" w:space="0"/>
        <w:right w:val="single" w:color="FFC000" w:themeColor="accent4" w:sz="8" w:space="0"/>
      </w:tblBorders>
    </w:tblPr>
    <w:tblStylePr w:type="firstRow">
      <w:rPr>
        <w:sz w:val="24"/>
        <w:szCs w:val="24"/>
      </w:rPr>
      <w:tblPr/>
      <w:tcPr>
        <w:tcBorders>
          <w:top w:val="nil"/>
          <w:left w:val="nil"/>
          <w:bottom w:val="single" w:color="FFC000" w:themeColor="accent4" w:sz="24" w:space="0"/>
          <w:right w:val="nil"/>
          <w:insideH w:val="nil"/>
          <w:insideV w:val="nil"/>
        </w:tcBorders>
        <w:shd w:val="clear" w:color="auto" w:fill="FFFFFF" w:themeFill="background1"/>
      </w:tcPr>
    </w:tblStylePr>
    <w:tblStylePr w:type="lastRow">
      <w:tblPr/>
      <w:tcPr>
        <w:tcBorders>
          <w:top w:val="single" w:color="FFC000"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FC000" w:themeColor="accent4" w:sz="8" w:space="0"/>
          <w:insideH w:val="nil"/>
          <w:insideV w:val="nil"/>
        </w:tcBorders>
        <w:shd w:val="clear" w:color="auto" w:fill="FFFFFF" w:themeFill="background1"/>
      </w:tcPr>
    </w:tblStylePr>
    <w:tblStylePr w:type="lastCol">
      <w:tblPr/>
      <w:tcPr>
        <w:tcBorders>
          <w:top w:val="nil"/>
          <w:left w:val="single" w:color="FFC000"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BF" w:themeFill="accent4" w:themeFillTint="3F"/>
      </w:tcPr>
    </w:tblStylePr>
    <w:tblStylePr w:type="band1Horz">
      <w:tblPr/>
      <w:tcPr>
        <w:tcBorders>
          <w:top w:val="nil"/>
          <w:bottom w:val="nil"/>
          <w:insideH w:val="nil"/>
          <w:insideV w:val="nil"/>
        </w:tcBorders>
        <w:shd w:val="clear" w:color="auto" w:fill="FFEFB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183">
    <w:name w:val="Medium List 2 Accent 5"/>
    <w:basedOn w:val="91"/>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4472C4" w:themeColor="accent5" w:sz="8" w:space="0"/>
        <w:left w:val="single" w:color="4472C4" w:themeColor="accent5" w:sz="8" w:space="0"/>
        <w:bottom w:val="single" w:color="4472C4" w:themeColor="accent5" w:sz="8" w:space="0"/>
        <w:right w:val="single" w:color="4472C4" w:themeColor="accent5" w:sz="8" w:space="0"/>
      </w:tblBorders>
    </w:tblPr>
    <w:tblStylePr w:type="firstRow">
      <w:rPr>
        <w:sz w:val="24"/>
        <w:szCs w:val="24"/>
      </w:rPr>
      <w:tblPr/>
      <w:tcPr>
        <w:tcBorders>
          <w:top w:val="nil"/>
          <w:left w:val="nil"/>
          <w:bottom w:val="single" w:color="4472C4" w:themeColor="accent5" w:sz="24" w:space="0"/>
          <w:right w:val="nil"/>
          <w:insideH w:val="nil"/>
          <w:insideV w:val="nil"/>
        </w:tcBorders>
        <w:shd w:val="clear" w:color="auto" w:fill="FFFFFF" w:themeFill="background1"/>
      </w:tcPr>
    </w:tblStylePr>
    <w:tblStylePr w:type="lastRow">
      <w:tblPr/>
      <w:tcPr>
        <w:tcBorders>
          <w:top w:val="single" w:color="4472C4"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472C4" w:themeColor="accent5" w:sz="8" w:space="0"/>
          <w:insideH w:val="nil"/>
          <w:insideV w:val="nil"/>
        </w:tcBorders>
        <w:shd w:val="clear" w:color="auto" w:fill="FFFFFF" w:themeFill="background1"/>
      </w:tcPr>
    </w:tblStylePr>
    <w:tblStylePr w:type="lastCol">
      <w:tblPr/>
      <w:tcPr>
        <w:tcBorders>
          <w:top w:val="nil"/>
          <w:left w:val="single" w:color="4472C4"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CF0" w:themeFill="accent5" w:themeFillTint="3F"/>
      </w:tcPr>
    </w:tblStylePr>
    <w:tblStylePr w:type="band1Horz">
      <w:tblPr/>
      <w:tcPr>
        <w:tcBorders>
          <w:top w:val="nil"/>
          <w:bottom w:val="nil"/>
          <w:insideH w:val="nil"/>
          <w:insideV w:val="nil"/>
        </w:tcBorders>
        <w:shd w:val="clear" w:color="auto" w:fill="D0DC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184">
    <w:name w:val="Medium List 2 Accent 6"/>
    <w:basedOn w:val="91"/>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70AD47" w:themeColor="accent6" w:sz="8" w:space="0"/>
        <w:left w:val="single" w:color="70AD47" w:themeColor="accent6" w:sz="8" w:space="0"/>
        <w:bottom w:val="single" w:color="70AD47" w:themeColor="accent6" w:sz="8" w:space="0"/>
        <w:right w:val="single" w:color="70AD47" w:themeColor="accent6" w:sz="8" w:space="0"/>
      </w:tblBorders>
    </w:tblPr>
    <w:tblStylePr w:type="firstRow">
      <w:rPr>
        <w:sz w:val="24"/>
        <w:szCs w:val="24"/>
      </w:rPr>
      <w:tblPr/>
      <w:tcPr>
        <w:tcBorders>
          <w:top w:val="nil"/>
          <w:left w:val="nil"/>
          <w:bottom w:val="single" w:color="70AD47" w:themeColor="accent6" w:sz="24" w:space="0"/>
          <w:right w:val="nil"/>
          <w:insideH w:val="nil"/>
          <w:insideV w:val="nil"/>
        </w:tcBorders>
        <w:shd w:val="clear" w:color="auto" w:fill="FFFFFF" w:themeFill="background1"/>
      </w:tcPr>
    </w:tblStylePr>
    <w:tblStylePr w:type="lastRow">
      <w:tblPr/>
      <w:tcPr>
        <w:tcBorders>
          <w:top w:val="single" w:color="70AD47"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70AD47" w:themeColor="accent6" w:sz="8" w:space="0"/>
          <w:insideH w:val="nil"/>
          <w:insideV w:val="nil"/>
        </w:tcBorders>
        <w:shd w:val="clear" w:color="auto" w:fill="FFFFFF" w:themeFill="background1"/>
      </w:tcPr>
    </w:tblStylePr>
    <w:tblStylePr w:type="lastCol">
      <w:tblPr/>
      <w:tcPr>
        <w:tcBorders>
          <w:top w:val="nil"/>
          <w:left w:val="single" w:color="70AD47"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5">
    <w:name w:val="Medium Grid 1"/>
    <w:basedOn w:val="91"/>
    <w:semiHidden/>
    <w:unhideWhenUsed/>
    <w:qFormat/>
    <w:uiPriority w:val="67"/>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86">
    <w:name w:val="Medium Grid 1 Accent 1"/>
    <w:basedOn w:val="91"/>
    <w:semiHidden/>
    <w:unhideWhenUsed/>
    <w:qFormat/>
    <w:uiPriority w:val="67"/>
    <w:tblPr>
      <w:tblBorders>
        <w:top w:val="single" w:color="84B4DF" w:themeColor="accent1" w:themeTint="BF" w:sz="8" w:space="0"/>
        <w:left w:val="single" w:color="84B4DF" w:themeColor="accent1" w:themeTint="BF" w:sz="8" w:space="0"/>
        <w:bottom w:val="single" w:color="84B4DF" w:themeColor="accent1" w:themeTint="BF" w:sz="8" w:space="0"/>
        <w:right w:val="single" w:color="84B4DF" w:themeColor="accent1" w:themeTint="BF" w:sz="8" w:space="0"/>
        <w:insideH w:val="single" w:color="84B4DF" w:themeColor="accent1" w:themeTint="BF" w:sz="8" w:space="0"/>
        <w:insideV w:val="single" w:color="84B4DF" w:themeColor="accent1" w:themeTint="BF" w:sz="8" w:space="0"/>
      </w:tblBorders>
    </w:tblPr>
    <w:tcPr>
      <w:shd w:val="clear" w:color="auto" w:fill="D6E6F4" w:themeFill="accent1" w:themeFillTint="3F"/>
    </w:tcPr>
    <w:tblStylePr w:type="firstRow">
      <w:rPr>
        <w:b/>
        <w:bCs/>
      </w:rPr>
    </w:tblStylePr>
    <w:tblStylePr w:type="lastRow">
      <w:rPr>
        <w:b/>
        <w:bCs/>
      </w:rPr>
      <w:tblPr/>
      <w:tcPr>
        <w:tcBorders>
          <w:top w:val="single" w:color="84B4DF" w:themeColor="accent1" w:themeTint="BF" w:sz="18" w:space="0"/>
        </w:tcBorders>
      </w:tcPr>
    </w:tblStylePr>
    <w:tblStylePr w:type="firstCol">
      <w:rPr>
        <w:b/>
        <w:bCs/>
      </w:rPr>
    </w:tblStylePr>
    <w:tblStylePr w:type="lastCol">
      <w:rPr>
        <w:b/>
        <w:bCs/>
      </w:rPr>
    </w:tblStylePr>
    <w:tblStylePr w:type="band1Vert">
      <w:tblPr/>
      <w:tcPr>
        <w:shd w:val="clear" w:color="auto" w:fill="ADCDEA" w:themeFill="accent1" w:themeFillTint="7F"/>
      </w:tcPr>
    </w:tblStylePr>
    <w:tblStylePr w:type="band1Horz">
      <w:tblPr/>
      <w:tcPr>
        <w:shd w:val="clear" w:color="auto" w:fill="ADCDEA" w:themeFill="accent1" w:themeFillTint="7F"/>
      </w:tcPr>
    </w:tblStylePr>
  </w:style>
  <w:style w:type="table" w:styleId="187">
    <w:name w:val="Medium Grid 1 Accent 2"/>
    <w:basedOn w:val="91"/>
    <w:semiHidden/>
    <w:unhideWhenUsed/>
    <w:qFormat/>
    <w:uiPriority w:val="67"/>
    <w:tblPr>
      <w:tbl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single" w:color="F19D64" w:themeColor="accent2" w:themeTint="BF" w:sz="8" w:space="0"/>
        <w:insideV w:val="single" w:color="F19D64" w:themeColor="accent2" w:themeTint="BF" w:sz="8" w:space="0"/>
      </w:tblBorders>
    </w:tblPr>
    <w:tcPr>
      <w:shd w:val="clear" w:color="auto" w:fill="FADECC" w:themeFill="accent2" w:themeFillTint="3F"/>
    </w:tcPr>
    <w:tblStylePr w:type="firstRow">
      <w:rPr>
        <w:b/>
        <w:bCs/>
      </w:rPr>
    </w:tblStylePr>
    <w:tblStylePr w:type="lastRow">
      <w:rPr>
        <w:b/>
        <w:bCs/>
      </w:rPr>
      <w:tblPr/>
      <w:tcPr>
        <w:tcBorders>
          <w:top w:val="single" w:color="F19D64" w:themeColor="accent2" w:themeTint="BF" w:sz="18" w:space="0"/>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88">
    <w:name w:val="Medium Grid 1 Accent 3"/>
    <w:basedOn w:val="91"/>
    <w:semiHidden/>
    <w:unhideWhenUsed/>
    <w:qFormat/>
    <w:uiPriority w:val="67"/>
    <w:tblPr>
      <w:tbl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single" w:color="BBBBBB" w:themeColor="accent3" w:themeTint="BF" w:sz="8" w:space="0"/>
        <w:insideV w:val="single" w:color="BBBBBB" w:themeColor="accent3" w:themeTint="BF" w:sz="8" w:space="0"/>
      </w:tblBorders>
    </w:tblPr>
    <w:tcPr>
      <w:shd w:val="clear" w:color="auto" w:fill="E8E8E8" w:themeFill="accent3" w:themeFillTint="3F"/>
    </w:tcPr>
    <w:tblStylePr w:type="firstRow">
      <w:rPr>
        <w:b/>
        <w:bCs/>
      </w:rPr>
    </w:tblStylePr>
    <w:tblStylePr w:type="lastRow">
      <w:rPr>
        <w:b/>
        <w:bCs/>
      </w:rPr>
      <w:tblPr/>
      <w:tcPr>
        <w:tcBorders>
          <w:top w:val="single" w:color="BBBBBB" w:themeColor="accent3" w:themeTint="BF" w:sz="18" w:space="0"/>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89">
    <w:name w:val="Medium Grid 1 Accent 4"/>
    <w:basedOn w:val="91"/>
    <w:semiHidden/>
    <w:unhideWhenUsed/>
    <w:qFormat/>
    <w:uiPriority w:val="67"/>
    <w:tblPr>
      <w:tblBorders>
        <w:top w:val="single" w:color="FFCF3F" w:themeColor="accent4" w:themeTint="BF" w:sz="8" w:space="0"/>
        <w:left w:val="single" w:color="FFCF3F" w:themeColor="accent4" w:themeTint="BF" w:sz="8" w:space="0"/>
        <w:bottom w:val="single" w:color="FFCF3F" w:themeColor="accent4" w:themeTint="BF" w:sz="8" w:space="0"/>
        <w:right w:val="single" w:color="FFCF3F" w:themeColor="accent4" w:themeTint="BF" w:sz="8" w:space="0"/>
        <w:insideH w:val="single" w:color="FFCF3F" w:themeColor="accent4" w:themeTint="BF" w:sz="8" w:space="0"/>
        <w:insideV w:val="single" w:color="FFCF3F" w:themeColor="accent4" w:themeTint="BF" w:sz="8" w:space="0"/>
      </w:tblBorders>
    </w:tblPr>
    <w:tcPr>
      <w:shd w:val="clear" w:color="auto" w:fill="FFEFBF" w:themeFill="accent4" w:themeFillTint="3F"/>
    </w:tcPr>
    <w:tblStylePr w:type="firstRow">
      <w:rPr>
        <w:b/>
        <w:bCs/>
      </w:rPr>
    </w:tblStylePr>
    <w:tblStylePr w:type="lastRow">
      <w:rPr>
        <w:b/>
        <w:bCs/>
      </w:rPr>
      <w:tblPr/>
      <w:tcPr>
        <w:tcBorders>
          <w:top w:val="single" w:color="FFCF3F" w:themeColor="accent4" w:themeTint="BF" w:sz="18" w:space="0"/>
        </w:tcBorders>
      </w:tcPr>
    </w:tblStylePr>
    <w:tblStylePr w:type="firstCol">
      <w:rPr>
        <w:b/>
        <w:bCs/>
      </w:rPr>
    </w:tblStylePr>
    <w:tblStylePr w:type="lastCol">
      <w:rPr>
        <w:b/>
        <w:bCs/>
      </w:rPr>
    </w:tblStylePr>
    <w:tblStylePr w:type="band1Vert">
      <w:tblPr/>
      <w:tcPr>
        <w:shd w:val="clear" w:color="auto" w:fill="FFDF7F" w:themeFill="accent4" w:themeFillTint="7F"/>
      </w:tcPr>
    </w:tblStylePr>
    <w:tblStylePr w:type="band1Horz">
      <w:tblPr/>
      <w:tcPr>
        <w:shd w:val="clear" w:color="auto" w:fill="FFDF7F" w:themeFill="accent4" w:themeFillTint="7F"/>
      </w:tcPr>
    </w:tblStylePr>
  </w:style>
  <w:style w:type="table" w:styleId="190">
    <w:name w:val="Medium Grid 1 Accent 5"/>
    <w:basedOn w:val="91"/>
    <w:semiHidden/>
    <w:unhideWhenUsed/>
    <w:qFormat/>
    <w:uiPriority w:val="67"/>
    <w:tblPr>
      <w:tbl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single" w:color="7295D2" w:themeColor="accent5" w:themeTint="BF" w:sz="8" w:space="0"/>
        <w:insideV w:val="single" w:color="7295D2" w:themeColor="accent5" w:themeTint="BF" w:sz="8" w:space="0"/>
      </w:tblBorders>
    </w:tblPr>
    <w:tcPr>
      <w:shd w:val="clear" w:color="auto" w:fill="D0DCF0" w:themeFill="accent5" w:themeFillTint="3F"/>
    </w:tcPr>
    <w:tblStylePr w:type="firstRow">
      <w:rPr>
        <w:b/>
        <w:bCs/>
      </w:rPr>
    </w:tblStylePr>
    <w:tblStylePr w:type="lastRow">
      <w:rPr>
        <w:b/>
        <w:bCs/>
      </w:rPr>
      <w:tblPr/>
      <w:tcPr>
        <w:tcBorders>
          <w:top w:val="single" w:color="7295D2" w:themeColor="accent5" w:themeTint="BF" w:sz="18" w:space="0"/>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191">
    <w:name w:val="Medium Grid 1 Accent 6"/>
    <w:basedOn w:val="91"/>
    <w:semiHidden/>
    <w:unhideWhenUsed/>
    <w:qFormat/>
    <w:uiPriority w:val="67"/>
    <w:tblPr>
      <w:tbl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single" w:color="93C571" w:themeColor="accent6" w:themeTint="BF" w:sz="8" w:space="0"/>
        <w:insideV w:val="single" w:color="93C571" w:themeColor="accent6" w:themeTint="BF" w:sz="8" w:space="0"/>
      </w:tblBorders>
    </w:tblPr>
    <w:tcPr>
      <w:shd w:val="clear" w:color="auto" w:fill="DBEBD0" w:themeFill="accent6" w:themeFillTint="3F"/>
    </w:tcPr>
    <w:tblStylePr w:type="firstRow">
      <w:rPr>
        <w:b/>
        <w:bCs/>
      </w:rPr>
    </w:tblStylePr>
    <w:tblStylePr w:type="lastRow">
      <w:rPr>
        <w:b/>
        <w:bCs/>
      </w:rPr>
      <w:tblPr/>
      <w:tcPr>
        <w:tcBorders>
          <w:top w:val="single" w:color="93C571" w:themeColor="accent6" w:themeTint="BF" w:sz="18" w:space="0"/>
        </w:tcBorders>
      </w:tcPr>
    </w:tblStylePr>
    <w:tblStylePr w:type="firstCol">
      <w:rPr>
        <w:b/>
        <w:bCs/>
      </w:rPr>
    </w:tblStylePr>
    <w:tblStylePr w:type="lastCol">
      <w:rPr>
        <w:b/>
        <w:bCs/>
      </w:rPr>
    </w:tblStylePr>
    <w:tblStylePr w:type="band1Vert">
      <w:tblPr/>
      <w:tcPr>
        <w:shd w:val="clear" w:color="auto" w:fill="B7D8A1" w:themeFill="accent6" w:themeFillTint="7F"/>
      </w:tcPr>
    </w:tblStylePr>
    <w:tblStylePr w:type="band1Horz">
      <w:tblPr/>
      <w:tcPr>
        <w:shd w:val="clear" w:color="auto" w:fill="B7D8A1" w:themeFill="accent6" w:themeFillTint="7F"/>
      </w:tcPr>
    </w:tblStylePr>
  </w:style>
  <w:style w:type="table" w:styleId="192">
    <w:name w:val="Medium Grid 2"/>
    <w:basedOn w:val="91"/>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193">
    <w:name w:val="Medium Grid 2 Accent 1"/>
    <w:basedOn w:val="91"/>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5B9BD5" w:themeColor="accent1" w:sz="8" w:space="0"/>
        <w:left w:val="single" w:color="5B9BD5" w:themeColor="accent1" w:sz="8" w:space="0"/>
        <w:bottom w:val="single" w:color="5B9BD5" w:themeColor="accent1" w:sz="8" w:space="0"/>
        <w:right w:val="single" w:color="5B9BD5" w:themeColor="accent1" w:sz="8" w:space="0"/>
        <w:insideH w:val="single" w:color="5B9BD5" w:themeColor="accent1" w:sz="8" w:space="0"/>
        <w:insideV w:val="single" w:color="5B9BD5" w:themeColor="accent1" w:sz="8" w:space="0"/>
      </w:tblBorders>
    </w:tblPr>
    <w:tcPr>
      <w:shd w:val="clear" w:color="auto" w:fill="D6E6F4" w:themeFill="accent1" w:themeFillTint="3F"/>
    </w:tcPr>
    <w:tblStylePr w:type="firstRow">
      <w:rPr>
        <w:b/>
        <w:bCs/>
        <w:color w:val="000000" w:themeColor="text1"/>
        <w14:textFill>
          <w14:solidFill>
            <w14:schemeClr w14:val="tx1"/>
          </w14:solidFill>
        </w14:textFill>
      </w:rPr>
      <w:tblPr/>
      <w:tcPr>
        <w:shd w:val="clear" w:color="auto" w:fill="EEF5FA"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DEA" w:themeFill="accent1" w:themeFillTint="7F"/>
      </w:tcPr>
    </w:tblStylePr>
    <w:tblStylePr w:type="band1Horz">
      <w:tblPr/>
      <w:tcPr>
        <w:tcBorders>
          <w:insideH w:val="single" w:sz="6" w:space="0"/>
          <w:insideV w:val="single" w:sz="6" w:space="0"/>
        </w:tcBorders>
        <w:shd w:val="clear" w:color="auto" w:fill="ADCDEA" w:themeFill="accent1" w:themeFillTint="7F"/>
      </w:tcPr>
    </w:tblStylePr>
    <w:tblStylePr w:type="nwCell">
      <w:tblPr/>
      <w:tcPr>
        <w:shd w:val="clear" w:color="auto" w:fill="FFFFFF" w:themeFill="background1"/>
      </w:tcPr>
    </w:tblStylePr>
  </w:style>
  <w:style w:type="table" w:styleId="194">
    <w:name w:val="Medium Grid 2 Accent 2"/>
    <w:basedOn w:val="91"/>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ED7D31" w:themeColor="accent2" w:sz="8" w:space="0"/>
        <w:left w:val="single" w:color="ED7D31" w:themeColor="accent2" w:sz="8" w:space="0"/>
        <w:bottom w:val="single" w:color="ED7D31" w:themeColor="accent2" w:sz="8" w:space="0"/>
        <w:right w:val="single" w:color="ED7D31" w:themeColor="accent2" w:sz="8" w:space="0"/>
        <w:insideH w:val="single" w:color="ED7D31" w:themeColor="accent2" w:sz="8" w:space="0"/>
        <w:insideV w:val="single" w:color="ED7D31" w:themeColor="accent2" w:sz="8" w:space="0"/>
      </w:tblBorders>
    </w:tblPr>
    <w:tcPr>
      <w:shd w:val="clear" w:color="auto" w:fill="FADECC" w:themeFill="accent2" w:themeFillTint="3F"/>
    </w:tcPr>
    <w:tblStylePr w:type="firstRow">
      <w:rPr>
        <w:b/>
        <w:bCs/>
        <w:color w:val="000000" w:themeColor="text1"/>
        <w14:textFill>
          <w14:solidFill>
            <w14:schemeClr w14:val="tx1"/>
          </w14:solidFill>
        </w14:textFill>
      </w:rPr>
      <w:tblPr/>
      <w:tcPr>
        <w:shd w:val="clear" w:color="auto" w:fill="FDF2EA"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insideV w:val="single" w:sz="6" w:space="0"/>
        </w:tcBorders>
        <w:shd w:val="clear" w:color="auto" w:fill="F6BE98" w:themeFill="accent2" w:themeFillTint="7F"/>
      </w:tcPr>
    </w:tblStylePr>
    <w:tblStylePr w:type="nwCell">
      <w:tblPr/>
      <w:tcPr>
        <w:shd w:val="clear" w:color="auto" w:fill="FFFFFF" w:themeFill="background1"/>
      </w:tcPr>
    </w:tblStylePr>
  </w:style>
  <w:style w:type="table" w:styleId="195">
    <w:name w:val="Medium Grid 2 Accent 3"/>
    <w:basedOn w:val="91"/>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A5A5A5" w:themeColor="accent3" w:sz="8" w:space="0"/>
        <w:left w:val="single" w:color="A5A5A5" w:themeColor="accent3" w:sz="8" w:space="0"/>
        <w:bottom w:val="single" w:color="A5A5A5" w:themeColor="accent3" w:sz="8" w:space="0"/>
        <w:right w:val="single" w:color="A5A5A5" w:themeColor="accent3" w:sz="8" w:space="0"/>
        <w:insideH w:val="single" w:color="A5A5A5" w:themeColor="accent3" w:sz="8" w:space="0"/>
        <w:insideV w:val="single" w:color="A5A5A5" w:themeColor="accent3" w:sz="8" w:space="0"/>
      </w:tblBorders>
    </w:tblPr>
    <w:tcPr>
      <w:shd w:val="clear" w:color="auto" w:fill="E8E8E8" w:themeFill="accent3" w:themeFillTint="3F"/>
    </w:tcPr>
    <w:tblStylePr w:type="firstRow">
      <w:rPr>
        <w:b/>
        <w:bCs/>
        <w:color w:val="000000" w:themeColor="text1"/>
        <w14:textFill>
          <w14:solidFill>
            <w14:schemeClr w14:val="tx1"/>
          </w14:solidFill>
        </w14:textFill>
      </w:rPr>
      <w:tblPr/>
      <w:tcPr>
        <w:shd w:val="clear" w:color="auto" w:fill="F6F6F6"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CECEC" w:themeFill="accent3" w:themeFillTint="33"/>
      </w:tcPr>
    </w:tblStylePr>
    <w:tblStylePr w:type="band1Vert">
      <w:tblPr/>
      <w:tcPr>
        <w:shd w:val="clear" w:color="auto" w:fill="D2D2D2" w:themeFill="accent3" w:themeFillTint="7F"/>
      </w:tcPr>
    </w:tblStylePr>
    <w:tblStylePr w:type="band1Horz">
      <w:tblPr/>
      <w:tcPr>
        <w:tcBorders>
          <w:insideH w:val="single" w:sz="6" w:space="0"/>
          <w:insideV w:val="single" w:sz="6" w:space="0"/>
        </w:tcBorders>
        <w:shd w:val="clear" w:color="auto" w:fill="D2D2D2" w:themeFill="accent3" w:themeFillTint="7F"/>
      </w:tcPr>
    </w:tblStylePr>
    <w:tblStylePr w:type="nwCell">
      <w:tblPr/>
      <w:tcPr>
        <w:shd w:val="clear" w:color="auto" w:fill="FFFFFF" w:themeFill="background1"/>
      </w:tcPr>
    </w:tblStylePr>
  </w:style>
  <w:style w:type="table" w:styleId="196">
    <w:name w:val="Medium Grid 2 Accent 4"/>
    <w:basedOn w:val="91"/>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FFC000" w:themeColor="accent4" w:sz="8" w:space="0"/>
        <w:left w:val="single" w:color="FFC000" w:themeColor="accent4" w:sz="8" w:space="0"/>
        <w:bottom w:val="single" w:color="FFC000" w:themeColor="accent4" w:sz="8" w:space="0"/>
        <w:right w:val="single" w:color="FFC000" w:themeColor="accent4" w:sz="8" w:space="0"/>
        <w:insideH w:val="single" w:color="FFC000" w:themeColor="accent4" w:sz="8" w:space="0"/>
        <w:insideV w:val="single" w:color="FFC000" w:themeColor="accent4" w:sz="8" w:space="0"/>
      </w:tblBorders>
    </w:tblPr>
    <w:tcPr>
      <w:shd w:val="clear" w:color="auto" w:fill="FFEFBF" w:themeFill="accent4" w:themeFillTint="3F"/>
    </w:tcPr>
    <w:tblStylePr w:type="firstRow">
      <w:rPr>
        <w:b/>
        <w:bCs/>
        <w:color w:val="000000" w:themeColor="text1"/>
        <w14:textFill>
          <w14:solidFill>
            <w14:schemeClr w14:val="tx1"/>
          </w14:solidFill>
        </w14:textFill>
      </w:rPr>
      <w:tblPr/>
      <w:tcPr>
        <w:shd w:val="clear" w:color="auto" w:fill="FFF8E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EF2CC" w:themeFill="accent4" w:themeFillTint="33"/>
      </w:tcPr>
    </w:tblStylePr>
    <w:tblStylePr w:type="band1Vert">
      <w:tblPr/>
      <w:tcPr>
        <w:shd w:val="clear" w:color="auto" w:fill="FFDF7F" w:themeFill="accent4" w:themeFillTint="7F"/>
      </w:tcPr>
    </w:tblStylePr>
    <w:tblStylePr w:type="band1Horz">
      <w:tblPr/>
      <w:tcPr>
        <w:tcBorders>
          <w:insideH w:val="single" w:sz="6" w:space="0"/>
          <w:insideV w:val="single" w:sz="6" w:space="0"/>
        </w:tcBorders>
        <w:shd w:val="clear" w:color="auto" w:fill="FFDF7F" w:themeFill="accent4" w:themeFillTint="7F"/>
      </w:tcPr>
    </w:tblStylePr>
    <w:tblStylePr w:type="nwCell">
      <w:tblPr/>
      <w:tcPr>
        <w:shd w:val="clear" w:color="auto" w:fill="FFFFFF" w:themeFill="background1"/>
      </w:tcPr>
    </w:tblStylePr>
  </w:style>
  <w:style w:type="table" w:styleId="197">
    <w:name w:val="Medium Grid 2 Accent 5"/>
    <w:basedOn w:val="91"/>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4472C4" w:themeColor="accent5" w:sz="8" w:space="0"/>
        <w:left w:val="single" w:color="4472C4" w:themeColor="accent5" w:sz="8" w:space="0"/>
        <w:bottom w:val="single" w:color="4472C4" w:themeColor="accent5" w:sz="8" w:space="0"/>
        <w:right w:val="single" w:color="4472C4" w:themeColor="accent5" w:sz="8" w:space="0"/>
        <w:insideH w:val="single" w:color="4472C4" w:themeColor="accent5" w:sz="8" w:space="0"/>
        <w:insideV w:val="single" w:color="4472C4" w:themeColor="accent5" w:sz="8" w:space="0"/>
      </w:tblBorders>
    </w:tblPr>
    <w:tcPr>
      <w:shd w:val="clear" w:color="auto" w:fill="D0DCF0" w:themeFill="accent5" w:themeFillTint="3F"/>
    </w:tcPr>
    <w:tblStylePr w:type="firstRow">
      <w:rPr>
        <w:b/>
        <w:bCs/>
        <w:color w:val="000000" w:themeColor="text1"/>
        <w14:textFill>
          <w14:solidFill>
            <w14:schemeClr w14:val="tx1"/>
          </w14:solidFill>
        </w14:textFill>
      </w:rPr>
      <w:tblPr/>
      <w:tcPr>
        <w:shd w:val="clear" w:color="auto" w:fill="ECF1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insideV w:val="single" w:sz="6" w:space="0"/>
        </w:tcBorders>
        <w:shd w:val="clear" w:color="auto" w:fill="A1B8E1" w:themeFill="accent5" w:themeFillTint="7F"/>
      </w:tcPr>
    </w:tblStylePr>
    <w:tblStylePr w:type="nwCell">
      <w:tblPr/>
      <w:tcPr>
        <w:shd w:val="clear" w:color="auto" w:fill="FFFFFF" w:themeFill="background1"/>
      </w:tcPr>
    </w:tblStylePr>
  </w:style>
  <w:style w:type="table" w:styleId="198">
    <w:name w:val="Medium Grid 2 Accent 6"/>
    <w:basedOn w:val="91"/>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70AD47" w:themeColor="accent6" w:sz="8" w:space="0"/>
        <w:left w:val="single" w:color="70AD47" w:themeColor="accent6" w:sz="8" w:space="0"/>
        <w:bottom w:val="single" w:color="70AD47" w:themeColor="accent6" w:sz="8" w:space="0"/>
        <w:right w:val="single" w:color="70AD47" w:themeColor="accent6" w:sz="8" w:space="0"/>
        <w:insideH w:val="single" w:color="70AD47" w:themeColor="accent6" w:sz="8" w:space="0"/>
        <w:insideV w:val="single" w:color="70AD47" w:themeColor="accent6" w:sz="8" w:space="0"/>
      </w:tblBorders>
    </w:tblPr>
    <w:tcPr>
      <w:shd w:val="clear" w:color="auto" w:fill="DBEBD0" w:themeFill="accent6" w:themeFillTint="3F"/>
    </w:tcPr>
    <w:tblStylePr w:type="firstRow">
      <w:rPr>
        <w:b/>
        <w:bCs/>
        <w:color w:val="000000" w:themeColor="text1"/>
        <w14:textFill>
          <w14:solidFill>
            <w14:schemeClr w14:val="tx1"/>
          </w14:solidFill>
        </w14:textFill>
      </w:rPr>
      <w:tblPr/>
      <w:tcPr>
        <w:shd w:val="clear" w:color="auto" w:fill="F0F7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1" w:themeFill="accent6" w:themeFillTint="7F"/>
      </w:tcPr>
    </w:tblStylePr>
    <w:tblStylePr w:type="band1Horz">
      <w:tblPr/>
      <w:tcPr>
        <w:tcBorders>
          <w:insideH w:val="single" w:sz="6" w:space="0"/>
          <w:insideV w:val="single" w:sz="6" w:space="0"/>
        </w:tcBorders>
        <w:shd w:val="clear" w:color="auto" w:fill="B7D8A1" w:themeFill="accent6" w:themeFillTint="7F"/>
      </w:tcPr>
    </w:tblStylePr>
    <w:tblStylePr w:type="nwCell">
      <w:tblPr/>
      <w:tcPr>
        <w:shd w:val="clear" w:color="auto" w:fill="FFFFFF" w:themeFill="background1"/>
      </w:tcPr>
    </w:tblStylePr>
  </w:style>
  <w:style w:type="table" w:styleId="199">
    <w:name w:val="Medium Grid 3"/>
    <w:basedOn w:val="91"/>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200">
    <w:name w:val="Medium Grid 3 Accent 1"/>
    <w:basedOn w:val="91"/>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6E6F4"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5B9BD5"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5B9BD5"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5B9BD5"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5B9BD5"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DCDEA"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DCDEA" w:themeFill="accent1" w:themeFillTint="7F"/>
      </w:tcPr>
    </w:tblStylePr>
  </w:style>
  <w:style w:type="table" w:styleId="201">
    <w:name w:val="Medium Grid 3 Accent 2"/>
    <w:basedOn w:val="91"/>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ADECC"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ED7D31"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ED7D31"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ED7D31"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ED7D31"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6BE98"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6BE98" w:themeFill="accent2" w:themeFillTint="7F"/>
      </w:tcPr>
    </w:tblStylePr>
  </w:style>
  <w:style w:type="table" w:styleId="202">
    <w:name w:val="Medium Grid 3 Accent 3"/>
    <w:basedOn w:val="91"/>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8E8E8"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A5A5A5"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A5A5A5"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A5A5A5"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A5A5A5"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2D2D2"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2D2D2" w:themeFill="accent3" w:themeFillTint="7F"/>
      </w:tcPr>
    </w:tblStylePr>
  </w:style>
  <w:style w:type="table" w:styleId="203">
    <w:name w:val="Medium Grid 3 Accent 4"/>
    <w:basedOn w:val="91"/>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FEFBF"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FC000"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FC000"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FC000"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FC000"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FDF7F"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FDF7F" w:themeFill="accent4" w:themeFillTint="7F"/>
      </w:tcPr>
    </w:tblStylePr>
  </w:style>
  <w:style w:type="table" w:styleId="204">
    <w:name w:val="Medium Grid 3 Accent 5"/>
    <w:basedOn w:val="91"/>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0DC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472C4"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472C4"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472C4"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472C4"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1B8E1"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1B8E1" w:themeFill="accent5" w:themeFillTint="7F"/>
      </w:tcPr>
    </w:tblStylePr>
  </w:style>
  <w:style w:type="table" w:styleId="205">
    <w:name w:val="Medium Grid 3 Accent 6"/>
    <w:basedOn w:val="91"/>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BEBD0"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70AD47"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70AD47"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70AD47"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70AD47"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7D8A1"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7D8A1" w:themeFill="accent6" w:themeFillTint="7F"/>
      </w:tcPr>
    </w:tblStylePr>
  </w:style>
  <w:style w:type="table" w:styleId="206">
    <w:name w:val="Dark List"/>
    <w:basedOn w:val="91"/>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207">
    <w:name w:val="Dark List Accent 1"/>
    <w:basedOn w:val="91"/>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5B9BD5"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1E4D78"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2E75B5"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2E75B5" w:themeFill="accent1" w:themeFillShade="BF"/>
      </w:tcPr>
    </w:tblStylePr>
    <w:tblStylePr w:type="band1Vert">
      <w:tblPr/>
      <w:tcPr>
        <w:tcBorders>
          <w:top w:val="nil"/>
          <w:left w:val="nil"/>
          <w:bottom w:val="nil"/>
          <w:right w:val="nil"/>
          <w:insideH w:val="nil"/>
          <w:insideV w:val="nil"/>
        </w:tcBorders>
        <w:shd w:val="clear" w:color="auto" w:fill="2E75B5" w:themeFill="accent1" w:themeFillShade="BF"/>
      </w:tcPr>
    </w:tblStylePr>
    <w:tblStylePr w:type="band1Horz">
      <w:tblPr/>
      <w:tcPr>
        <w:tcBorders>
          <w:top w:val="nil"/>
          <w:left w:val="nil"/>
          <w:bottom w:val="nil"/>
          <w:right w:val="nil"/>
          <w:insideH w:val="nil"/>
          <w:insideV w:val="nil"/>
        </w:tcBorders>
        <w:shd w:val="clear" w:color="auto" w:fill="2E75B5" w:themeFill="accent1" w:themeFillShade="BF"/>
      </w:tcPr>
    </w:tblStylePr>
  </w:style>
  <w:style w:type="table" w:styleId="208">
    <w:name w:val="Dark List Accent 2"/>
    <w:basedOn w:val="91"/>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ED7D31"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C55911"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C55911" w:themeFill="accent2" w:themeFillShade="BF"/>
      </w:tcPr>
    </w:tblStylePr>
    <w:tblStylePr w:type="band1Vert">
      <w:tblPr/>
      <w:tcPr>
        <w:tcBorders>
          <w:top w:val="nil"/>
          <w:left w:val="nil"/>
          <w:bottom w:val="nil"/>
          <w:right w:val="nil"/>
          <w:insideH w:val="nil"/>
          <w:insideV w:val="nil"/>
        </w:tcBorders>
        <w:shd w:val="clear" w:color="auto" w:fill="C55911" w:themeFill="accent2" w:themeFillShade="BF"/>
      </w:tcPr>
    </w:tblStylePr>
    <w:tblStylePr w:type="band1Horz">
      <w:tblPr/>
      <w:tcPr>
        <w:tcBorders>
          <w:top w:val="nil"/>
          <w:left w:val="nil"/>
          <w:bottom w:val="nil"/>
          <w:right w:val="nil"/>
          <w:insideH w:val="nil"/>
          <w:insideV w:val="nil"/>
        </w:tcBorders>
        <w:shd w:val="clear" w:color="auto" w:fill="C55911" w:themeFill="accent2" w:themeFillShade="BF"/>
      </w:tcPr>
    </w:tblStylePr>
  </w:style>
  <w:style w:type="table" w:styleId="209">
    <w:name w:val="Dark List Accent 3"/>
    <w:basedOn w:val="91"/>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A5A5A5"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B7B7B"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210">
    <w:name w:val="Dark List Accent 4"/>
    <w:basedOn w:val="91"/>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FFC000"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7E5F00"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BE8F00"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BE8F00" w:themeFill="accent4" w:themeFillShade="BF"/>
      </w:tcPr>
    </w:tblStylePr>
    <w:tblStylePr w:type="band1Vert">
      <w:tblPr/>
      <w:tcPr>
        <w:tcBorders>
          <w:top w:val="nil"/>
          <w:left w:val="nil"/>
          <w:bottom w:val="nil"/>
          <w:right w:val="nil"/>
          <w:insideH w:val="nil"/>
          <w:insideV w:val="nil"/>
        </w:tcBorders>
        <w:shd w:val="clear" w:color="auto" w:fill="BE8F00" w:themeFill="accent4" w:themeFillShade="BF"/>
      </w:tcPr>
    </w:tblStylePr>
    <w:tblStylePr w:type="band1Horz">
      <w:tblPr/>
      <w:tcPr>
        <w:tcBorders>
          <w:top w:val="nil"/>
          <w:left w:val="nil"/>
          <w:bottom w:val="nil"/>
          <w:right w:val="nil"/>
          <w:insideH w:val="nil"/>
          <w:insideV w:val="nil"/>
        </w:tcBorders>
        <w:shd w:val="clear" w:color="auto" w:fill="BE8F00" w:themeFill="accent4" w:themeFillShade="BF"/>
      </w:tcPr>
    </w:tblStylePr>
  </w:style>
  <w:style w:type="table" w:styleId="211">
    <w:name w:val="Dark List Accent 5"/>
    <w:basedOn w:val="91"/>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4472C4"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1F3863"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2F5496"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212">
    <w:name w:val="Dark List Accent 6"/>
    <w:basedOn w:val="91"/>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70AD47"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538135"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213">
    <w:name w:val="Colorful Shading"/>
    <w:basedOn w:val="91"/>
    <w:semiHidden/>
    <w:unhideWhenUsed/>
    <w:qFormat/>
    <w:uiPriority w:val="71"/>
    <w:rPr>
      <w:color w:val="000000" w:themeColor="text1"/>
      <w14:textFill>
        <w14:solidFill>
          <w14:schemeClr w14:val="tx1"/>
        </w14:solidFill>
      </w14:textFill>
    </w:rPr>
    <w:tblPr>
      <w:tblBorders>
        <w:top w:val="single" w:color="ED7D31"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4">
    <w:name w:val="Colorful Shading Accent 1"/>
    <w:basedOn w:val="91"/>
    <w:semiHidden/>
    <w:unhideWhenUsed/>
    <w:qFormat/>
    <w:uiPriority w:val="71"/>
    <w:rPr>
      <w:color w:val="000000" w:themeColor="text1"/>
      <w14:textFill>
        <w14:solidFill>
          <w14:schemeClr w14:val="tx1"/>
        </w14:solidFill>
      </w14:textFill>
    </w:rPr>
    <w:tblPr>
      <w:tblBorders>
        <w:top w:val="single" w:color="ED7D31" w:themeColor="accent2" w:sz="24" w:space="0"/>
        <w:left w:val="single" w:color="5B9BD5" w:themeColor="accent1" w:sz="4" w:space="0"/>
        <w:bottom w:val="single" w:color="5B9BD5" w:themeColor="accent1" w:sz="4" w:space="0"/>
        <w:right w:val="single" w:color="5B9BD5" w:themeColor="accent1" w:sz="4" w:space="0"/>
        <w:insideH w:val="single" w:color="FFFFFF" w:themeColor="background1" w:sz="4" w:space="0"/>
        <w:insideV w:val="single" w:color="FFFFFF" w:themeColor="background1" w:sz="4" w:space="0"/>
      </w:tblBorders>
    </w:tblPr>
    <w:tcPr>
      <w:shd w:val="clear" w:color="auto" w:fill="EEF5FA" w:themeFill="accent1"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55D91"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55D91"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DEA"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5">
    <w:name w:val="Colorful Shading Accent 2"/>
    <w:basedOn w:val="91"/>
    <w:semiHidden/>
    <w:unhideWhenUsed/>
    <w:qFormat/>
    <w:uiPriority w:val="71"/>
    <w:rPr>
      <w:color w:val="000000" w:themeColor="text1"/>
      <w14:textFill>
        <w14:solidFill>
          <w14:schemeClr w14:val="tx1"/>
        </w14:solidFill>
      </w14:textFill>
    </w:rPr>
    <w:tblPr>
      <w:tblBorders>
        <w:top w:val="single" w:color="ED7D31" w:themeColor="accent2" w:sz="24" w:space="0"/>
        <w:left w:val="single" w:color="ED7D31" w:themeColor="accent2" w:sz="4" w:space="0"/>
        <w:bottom w:val="single" w:color="ED7D31" w:themeColor="accent2" w:sz="4" w:space="0"/>
        <w:right w:val="single" w:color="ED7D31" w:themeColor="accent2" w:sz="4" w:space="0"/>
        <w:insideH w:val="single" w:color="FFFFFF" w:themeColor="background1" w:sz="4" w:space="0"/>
        <w:insideV w:val="single" w:color="FFFFFF" w:themeColor="background1" w:sz="4" w:space="0"/>
      </w:tblBorders>
    </w:tblPr>
    <w:tcPr>
      <w:shd w:val="clear" w:color="auto" w:fill="FDF2EA" w:themeFill="accent2"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9D480D"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9D480D"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9D48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6">
    <w:name w:val="Colorful Shading Accent 3"/>
    <w:basedOn w:val="91"/>
    <w:semiHidden/>
    <w:unhideWhenUsed/>
    <w:qFormat/>
    <w:uiPriority w:val="71"/>
    <w:rPr>
      <w:color w:val="000000" w:themeColor="text1"/>
      <w14:textFill>
        <w14:solidFill>
          <w14:schemeClr w14:val="tx1"/>
        </w14:solidFill>
      </w14:textFill>
    </w:rPr>
    <w:tblPr>
      <w:tblBorders>
        <w:top w:val="single" w:color="FFC000" w:themeColor="accent4" w:sz="24" w:space="0"/>
        <w:left w:val="single" w:color="A5A5A5" w:themeColor="accent3" w:sz="4" w:space="0"/>
        <w:bottom w:val="single" w:color="A5A5A5" w:themeColor="accent3" w:sz="4" w:space="0"/>
        <w:right w:val="single" w:color="A5A5A5" w:themeColor="accent3" w:sz="4" w:space="0"/>
        <w:insideH w:val="single" w:color="FFFFFF" w:themeColor="background1" w:sz="4" w:space="0"/>
        <w:insideV w:val="single" w:color="FFFFFF" w:themeColor="background1" w:sz="4" w:space="0"/>
      </w:tblBorders>
    </w:tblPr>
    <w:tcPr>
      <w:shd w:val="clear" w:color="auto" w:fill="F6F6F6" w:themeFill="accent3" w:themeFillTint="19"/>
    </w:tcPr>
    <w:tblStylePr w:type="firstRow">
      <w:rPr>
        <w:b/>
        <w:bCs/>
      </w:rPr>
      <w:tblPr/>
      <w:tcPr>
        <w:tcBorders>
          <w:top w:val="nil"/>
          <w:left w:val="nil"/>
          <w:bottom w:val="single" w:color="FFC000"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626262"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626262"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626262" w:themeFill="accent3" w:themeFillShade="99"/>
      </w:tcPr>
    </w:tblStylePr>
    <w:tblStylePr w:type="band1Vert">
      <w:tblPr/>
      <w:tcPr>
        <w:shd w:val="clear" w:color="auto" w:fill="DADADA" w:themeFill="accent3" w:themeFillTint="66"/>
      </w:tcPr>
    </w:tblStylePr>
    <w:tblStylePr w:type="band1Horz">
      <w:tblPr/>
      <w:tcPr>
        <w:shd w:val="clear" w:color="auto" w:fill="D2D2D2" w:themeFill="accent3" w:themeFillTint="7F"/>
      </w:tcPr>
    </w:tblStylePr>
  </w:style>
  <w:style w:type="table" w:styleId="217">
    <w:name w:val="Colorful Shading Accent 4"/>
    <w:basedOn w:val="91"/>
    <w:semiHidden/>
    <w:unhideWhenUsed/>
    <w:qFormat/>
    <w:uiPriority w:val="71"/>
    <w:rPr>
      <w:color w:val="000000" w:themeColor="text1"/>
      <w14:textFill>
        <w14:solidFill>
          <w14:schemeClr w14:val="tx1"/>
        </w14:solidFill>
      </w14:textFill>
    </w:rPr>
    <w:tblPr>
      <w:tblBorders>
        <w:top w:val="single" w:color="A5A5A5" w:themeColor="accent3" w:sz="24" w:space="0"/>
        <w:left w:val="single" w:color="FFC000" w:themeColor="accent4" w:sz="4" w:space="0"/>
        <w:bottom w:val="single" w:color="FFC000" w:themeColor="accent4" w:sz="4" w:space="0"/>
        <w:right w:val="single" w:color="FFC000" w:themeColor="accent4" w:sz="4" w:space="0"/>
        <w:insideH w:val="single" w:color="FFFFFF" w:themeColor="background1" w:sz="4" w:space="0"/>
        <w:insideV w:val="single" w:color="FFFFFF" w:themeColor="background1" w:sz="4" w:space="0"/>
      </w:tblBorders>
    </w:tblPr>
    <w:tcPr>
      <w:shd w:val="clear" w:color="auto" w:fill="FFF8E5" w:themeFill="accent4" w:themeFillTint="19"/>
    </w:tcPr>
    <w:tblStylePr w:type="firstRow">
      <w:rPr>
        <w:b/>
        <w:bCs/>
      </w:rPr>
      <w:tblPr/>
      <w:tcPr>
        <w:tcBorders>
          <w:top w:val="nil"/>
          <w:left w:val="nil"/>
          <w:bottom w:val="single" w:color="A5A5A5"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997300"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997300"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7F"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8">
    <w:name w:val="Colorful Shading Accent 5"/>
    <w:basedOn w:val="91"/>
    <w:semiHidden/>
    <w:unhideWhenUsed/>
    <w:qFormat/>
    <w:uiPriority w:val="71"/>
    <w:rPr>
      <w:color w:val="000000" w:themeColor="text1"/>
      <w14:textFill>
        <w14:solidFill>
          <w14:schemeClr w14:val="tx1"/>
        </w14:solidFill>
      </w14:textFill>
    </w:rPr>
    <w:tblPr>
      <w:tblBorders>
        <w:top w:val="single" w:color="70AD47" w:themeColor="accent6" w:sz="24" w:space="0"/>
        <w:left w:val="single" w:color="4472C4" w:themeColor="accent5" w:sz="4" w:space="0"/>
        <w:bottom w:val="single" w:color="4472C4" w:themeColor="accent5" w:sz="4" w:space="0"/>
        <w:right w:val="single" w:color="4472C4" w:themeColor="accent5" w:sz="4" w:space="0"/>
        <w:insideH w:val="single" w:color="FFFFFF" w:themeColor="background1" w:sz="4" w:space="0"/>
        <w:insideV w:val="single" w:color="FFFFFF" w:themeColor="background1" w:sz="4" w:space="0"/>
      </w:tblBorders>
    </w:tblPr>
    <w:tcPr>
      <w:shd w:val="clear" w:color="auto" w:fill="ECF1F9" w:themeFill="accent5" w:themeFillTint="19"/>
    </w:tcPr>
    <w:tblStylePr w:type="firstRow">
      <w:rPr>
        <w:b/>
        <w:bCs/>
      </w:rPr>
      <w:tblPr/>
      <w:tcPr>
        <w:tcBorders>
          <w:top w:val="nil"/>
          <w:left w:val="nil"/>
          <w:bottom w:val="single" w:color="70AD47"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54378"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54378"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5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9">
    <w:name w:val="Colorful Shading Accent 6"/>
    <w:basedOn w:val="91"/>
    <w:semiHidden/>
    <w:unhideWhenUsed/>
    <w:qFormat/>
    <w:uiPriority w:val="71"/>
    <w:rPr>
      <w:color w:val="000000" w:themeColor="text1"/>
      <w14:textFill>
        <w14:solidFill>
          <w14:schemeClr w14:val="tx1"/>
        </w14:solidFill>
      </w14:textFill>
    </w:rPr>
    <w:tblPr>
      <w:tblBorders>
        <w:top w:val="single" w:color="4472C4" w:themeColor="accent5" w:sz="24" w:space="0"/>
        <w:left w:val="single" w:color="70AD47" w:themeColor="accent6" w:sz="4" w:space="0"/>
        <w:bottom w:val="single" w:color="70AD47" w:themeColor="accent6" w:sz="4" w:space="0"/>
        <w:right w:val="single" w:color="70AD47" w:themeColor="accent6" w:sz="4" w:space="0"/>
        <w:insideH w:val="single" w:color="FFFFFF" w:themeColor="background1" w:sz="4" w:space="0"/>
        <w:insideV w:val="single" w:color="FFFFFF" w:themeColor="background1" w:sz="4" w:space="0"/>
      </w:tblBorders>
    </w:tblPr>
    <w:tcPr>
      <w:shd w:val="clear" w:color="auto" w:fill="F0F7EC" w:themeFill="accent6" w:themeFillTint="19"/>
    </w:tcPr>
    <w:tblStylePr w:type="firstRow">
      <w:rPr>
        <w:b/>
        <w:bCs/>
      </w:rPr>
      <w:tblPr/>
      <w:tcPr>
        <w:tcBorders>
          <w:top w:val="nil"/>
          <w:left w:val="nil"/>
          <w:bottom w:val="single" w:color="4472C4"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3672A"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3672A"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1"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20">
    <w:name w:val="Colorful List"/>
    <w:basedOn w:val="91"/>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221">
    <w:name w:val="Colorful List Accent 1"/>
    <w:basedOn w:val="91"/>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EEF5FA"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222">
    <w:name w:val="Colorful List Accent 2"/>
    <w:basedOn w:val="91"/>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DF2EA"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C" w:themeFill="accent2" w:themeFillTint="3F"/>
      </w:tcPr>
    </w:tblStylePr>
    <w:tblStylePr w:type="band1Horz">
      <w:tblPr/>
      <w:tcPr>
        <w:shd w:val="clear" w:color="auto" w:fill="FBE4D5" w:themeFill="accent2" w:themeFillTint="33"/>
      </w:tcPr>
    </w:tblStylePr>
  </w:style>
  <w:style w:type="table" w:styleId="223">
    <w:name w:val="Colorful List Accent 3"/>
    <w:basedOn w:val="91"/>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6F6F6"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CC9900" w:themeFill="accent4" w:themeFillShade="CC"/>
      </w:tcPr>
    </w:tblStylePr>
    <w:tblStylePr w:type="lastRow">
      <w:rPr>
        <w:b/>
        <w:bCs/>
        <w:color w:val="CC9A00"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CECEC" w:themeFill="accent3" w:themeFillTint="33"/>
      </w:tcPr>
    </w:tblStylePr>
  </w:style>
  <w:style w:type="table" w:styleId="224">
    <w:name w:val="Colorful List Accent 4"/>
    <w:basedOn w:val="91"/>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FF8E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838383" w:themeFill="accent3" w:themeFillShade="CC"/>
      </w:tcPr>
    </w:tblStylePr>
    <w:tblStylePr w:type="lastRow">
      <w:rPr>
        <w:b/>
        <w:bCs/>
        <w:color w:val="848484"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BF" w:themeFill="accent4" w:themeFillTint="3F"/>
      </w:tcPr>
    </w:tblStylePr>
    <w:tblStylePr w:type="band1Horz">
      <w:tblPr/>
      <w:tcPr>
        <w:shd w:val="clear" w:color="auto" w:fill="FEF2CC" w:themeFill="accent4" w:themeFillTint="33"/>
      </w:tcPr>
    </w:tblStylePr>
  </w:style>
  <w:style w:type="table" w:styleId="225">
    <w:name w:val="Colorful List Accent 5"/>
    <w:basedOn w:val="91"/>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ECF1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598A38" w:themeFill="accent6" w:themeFillShade="CC"/>
      </w:tcPr>
    </w:tblStylePr>
    <w:tblStylePr w:type="lastRow">
      <w:rPr>
        <w:b/>
        <w:bCs/>
        <w:color w:val="5A8A39"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CF0" w:themeFill="accent5" w:themeFillTint="3F"/>
      </w:tcPr>
    </w:tblStylePr>
    <w:tblStylePr w:type="band1Horz">
      <w:tblPr/>
      <w:tcPr>
        <w:shd w:val="clear" w:color="auto" w:fill="D9E2F3" w:themeFill="accent5" w:themeFillTint="33"/>
      </w:tcPr>
    </w:tblStylePr>
  </w:style>
  <w:style w:type="table" w:styleId="226">
    <w:name w:val="Colorful List Accent 6"/>
    <w:basedOn w:val="91"/>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0F7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25AA0" w:themeFill="accent5" w:themeFillShade="CC"/>
      </w:tcPr>
    </w:tblStylePr>
    <w:tblStylePr w:type="lastRow">
      <w:rPr>
        <w:b/>
        <w:bCs/>
        <w:color w:val="335AA1"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227">
    <w:name w:val="Colorful Grid"/>
    <w:basedOn w:val="91"/>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228">
    <w:name w:val="Colorful Grid Accent 1"/>
    <w:basedOn w:val="91"/>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14:textFill>
          <w14:solidFill>
            <w14:schemeClr w14:val="tx1"/>
          </w14:solidFill>
        </w14:textFill>
      </w:rPr>
      <w:tblPr/>
      <w:tcPr>
        <w:shd w:val="clear" w:color="auto" w:fill="BDD6EE" w:themeFill="accent1" w:themeFillTint="66"/>
      </w:tcPr>
    </w:tblStylePr>
    <w:tblStylePr w:type="firstCol">
      <w:rPr>
        <w:color w:val="FFFFFF" w:themeColor="background1"/>
        <w14:textFill>
          <w14:solidFill>
            <w14:schemeClr w14:val="bg1"/>
          </w14:solidFill>
        </w14:textFill>
      </w:rPr>
      <w:tblPr/>
      <w:tcPr>
        <w:shd w:val="clear" w:color="auto" w:fill="2E75B5" w:themeFill="accent1" w:themeFillShade="BF"/>
      </w:tcPr>
    </w:tblStylePr>
    <w:tblStylePr w:type="lastCol">
      <w:rPr>
        <w:color w:val="FFFFFF" w:themeColor="background1"/>
        <w14:textFill>
          <w14:solidFill>
            <w14:schemeClr w14:val="bg1"/>
          </w14:solidFill>
        </w14:textFill>
      </w:rPr>
      <w:tblPr/>
      <w:tcPr>
        <w:shd w:val="clear" w:color="auto" w:fill="2E75B5" w:themeFill="accent1" w:themeFillShade="BF"/>
      </w:tcPr>
    </w:tblStylePr>
    <w:tblStylePr w:type="band1Vert">
      <w:tblPr/>
      <w:tcPr>
        <w:shd w:val="clear" w:color="auto" w:fill="ADCDEA" w:themeFill="accent1" w:themeFillTint="7F"/>
      </w:tcPr>
    </w:tblStylePr>
    <w:tblStylePr w:type="band1Horz">
      <w:tblPr/>
      <w:tcPr>
        <w:shd w:val="clear" w:color="auto" w:fill="ADCDEA" w:themeFill="accent1" w:themeFillTint="7F"/>
      </w:tcPr>
    </w:tblStylePr>
  </w:style>
  <w:style w:type="table" w:styleId="229">
    <w:name w:val="Colorful Grid Accent 2"/>
    <w:basedOn w:val="91"/>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14:textFill>
          <w14:solidFill>
            <w14:schemeClr w14:val="tx1"/>
          </w14:solidFill>
        </w14:textFill>
      </w:rPr>
      <w:tblPr/>
      <w:tcPr>
        <w:shd w:val="clear" w:color="auto" w:fill="F7CAAC" w:themeFill="accent2" w:themeFillTint="66"/>
      </w:tcPr>
    </w:tblStylePr>
    <w:tblStylePr w:type="firstCol">
      <w:rPr>
        <w:color w:val="FFFFFF" w:themeColor="background1"/>
        <w14:textFill>
          <w14:solidFill>
            <w14:schemeClr w14:val="bg1"/>
          </w14:solidFill>
        </w14:textFill>
      </w:rPr>
      <w:tblPr/>
      <w:tcPr>
        <w:shd w:val="clear" w:color="auto" w:fill="C55911" w:themeFill="accent2" w:themeFillShade="BF"/>
      </w:tcPr>
    </w:tblStylePr>
    <w:tblStylePr w:type="lastCol">
      <w:rPr>
        <w:color w:val="FFFFFF" w:themeColor="background1"/>
        <w14:textFill>
          <w14:solidFill>
            <w14:schemeClr w14:val="bg1"/>
          </w14:solidFill>
        </w14:textFill>
      </w:rPr>
      <w:tblPr/>
      <w:tcPr>
        <w:shd w:val="clear" w:color="auto" w:fill="C5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230">
    <w:name w:val="Colorful Grid Accent 3"/>
    <w:basedOn w:val="91"/>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CECEC" w:themeFill="accent3" w:themeFillTint="33"/>
    </w:tcPr>
    <w:tblStylePr w:type="firstRow">
      <w:rPr>
        <w:b/>
        <w:bCs/>
      </w:rPr>
      <w:tblPr/>
      <w:tcPr>
        <w:shd w:val="clear" w:color="auto" w:fill="DADADA" w:themeFill="accent3" w:themeFillTint="66"/>
      </w:tcPr>
    </w:tblStylePr>
    <w:tblStylePr w:type="lastRow">
      <w:rPr>
        <w:b/>
        <w:bCs/>
        <w:color w:val="000000" w:themeColor="text1"/>
        <w14:textFill>
          <w14:solidFill>
            <w14:schemeClr w14:val="tx1"/>
          </w14:solidFill>
        </w14:textFill>
      </w:rPr>
      <w:tblPr/>
      <w:tcPr>
        <w:shd w:val="clear" w:color="auto" w:fill="DADADA" w:themeFill="accent3" w:themeFillTint="66"/>
      </w:tcPr>
    </w:tblStylePr>
    <w:tblStylePr w:type="firstCol">
      <w:rPr>
        <w:color w:val="FFFFFF" w:themeColor="background1"/>
        <w14:textFill>
          <w14:solidFill>
            <w14:schemeClr w14:val="bg1"/>
          </w14:solidFill>
        </w14:textFill>
      </w:rPr>
      <w:tblPr/>
      <w:tcPr>
        <w:shd w:val="clear" w:color="auto" w:fill="7B7B7B" w:themeFill="accent3" w:themeFillShade="BF"/>
      </w:tcPr>
    </w:tblStylePr>
    <w:tblStylePr w:type="lastCol">
      <w:rPr>
        <w:color w:val="FFFFFF" w:themeColor="background1"/>
        <w14:textFill>
          <w14:solidFill>
            <w14:schemeClr w14:val="bg1"/>
          </w14:solidFill>
        </w14:textFill>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231">
    <w:name w:val="Colorful Grid Accent 4"/>
    <w:basedOn w:val="91"/>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EF2CC" w:themeFill="accent4" w:themeFillTint="33"/>
    </w:tcPr>
    <w:tblStylePr w:type="firstRow">
      <w:rPr>
        <w:b/>
        <w:bCs/>
      </w:rPr>
      <w:tblPr/>
      <w:tcPr>
        <w:shd w:val="clear" w:color="auto" w:fill="FFE599" w:themeFill="accent4" w:themeFillTint="66"/>
      </w:tcPr>
    </w:tblStylePr>
    <w:tblStylePr w:type="lastRow">
      <w:rPr>
        <w:b/>
        <w:bCs/>
        <w:color w:val="000000" w:themeColor="text1"/>
        <w14:textFill>
          <w14:solidFill>
            <w14:schemeClr w14:val="tx1"/>
          </w14:solidFill>
        </w14:textFill>
      </w:rPr>
      <w:tblPr/>
      <w:tcPr>
        <w:shd w:val="clear" w:color="auto" w:fill="FFE599" w:themeFill="accent4" w:themeFillTint="66"/>
      </w:tcPr>
    </w:tblStylePr>
    <w:tblStylePr w:type="firstCol">
      <w:rPr>
        <w:color w:val="FFFFFF" w:themeColor="background1"/>
        <w14:textFill>
          <w14:solidFill>
            <w14:schemeClr w14:val="bg1"/>
          </w14:solidFill>
        </w14:textFill>
      </w:rPr>
      <w:tblPr/>
      <w:tcPr>
        <w:shd w:val="clear" w:color="auto" w:fill="BE8F00" w:themeFill="accent4" w:themeFillShade="BF"/>
      </w:tcPr>
    </w:tblStylePr>
    <w:tblStylePr w:type="lastCol">
      <w:rPr>
        <w:color w:val="FFFFFF" w:themeColor="background1"/>
        <w14:textFill>
          <w14:solidFill>
            <w14:schemeClr w14:val="bg1"/>
          </w14:solidFill>
        </w14:textFill>
      </w:rPr>
      <w:tblPr/>
      <w:tcPr>
        <w:shd w:val="clear" w:color="auto" w:fill="BE8F00" w:themeFill="accent4" w:themeFillShade="BF"/>
      </w:tcPr>
    </w:tblStylePr>
    <w:tblStylePr w:type="band1Vert">
      <w:tblPr/>
      <w:tcPr>
        <w:shd w:val="clear" w:color="auto" w:fill="FFDF7F" w:themeFill="accent4" w:themeFillTint="7F"/>
      </w:tcPr>
    </w:tblStylePr>
    <w:tblStylePr w:type="band1Horz">
      <w:tblPr/>
      <w:tcPr>
        <w:shd w:val="clear" w:color="auto" w:fill="FFDF7F" w:themeFill="accent4" w:themeFillTint="7F"/>
      </w:tcPr>
    </w:tblStylePr>
  </w:style>
  <w:style w:type="table" w:styleId="232">
    <w:name w:val="Colorful Grid Accent 5"/>
    <w:basedOn w:val="91"/>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14:textFill>
          <w14:solidFill>
            <w14:schemeClr w14:val="tx1"/>
          </w14:solidFill>
        </w14:textFill>
      </w:rPr>
      <w:tblPr/>
      <w:tcPr>
        <w:shd w:val="clear" w:color="auto" w:fill="B4C6E7" w:themeFill="accent5" w:themeFillTint="66"/>
      </w:tcPr>
    </w:tblStylePr>
    <w:tblStylePr w:type="firstCol">
      <w:rPr>
        <w:color w:val="FFFFFF" w:themeColor="background1"/>
        <w14:textFill>
          <w14:solidFill>
            <w14:schemeClr w14:val="bg1"/>
          </w14:solidFill>
        </w14:textFill>
      </w:rPr>
      <w:tblPr/>
      <w:tcPr>
        <w:shd w:val="clear" w:color="auto" w:fill="2F5496" w:themeFill="accent5" w:themeFillShade="BF"/>
      </w:tcPr>
    </w:tblStylePr>
    <w:tblStylePr w:type="lastCol">
      <w:rPr>
        <w:color w:val="FFFFFF" w:themeColor="background1"/>
        <w14:textFill>
          <w14:solidFill>
            <w14:schemeClr w14:val="bg1"/>
          </w14:solidFill>
        </w14:textFill>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233">
    <w:name w:val="Colorful Grid Accent 6"/>
    <w:basedOn w:val="91"/>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14:textFill>
          <w14:solidFill>
            <w14:schemeClr w14:val="tx1"/>
          </w14:solidFill>
        </w14:textFill>
      </w:rPr>
      <w:tblPr/>
      <w:tcPr>
        <w:shd w:val="clear" w:color="auto" w:fill="C5E0B3" w:themeFill="accent6" w:themeFillTint="66"/>
      </w:tcPr>
    </w:tblStylePr>
    <w:tblStylePr w:type="firstCol">
      <w:rPr>
        <w:color w:val="FFFFFF" w:themeColor="background1"/>
        <w14:textFill>
          <w14:solidFill>
            <w14:schemeClr w14:val="bg1"/>
          </w14:solidFill>
        </w14:textFill>
      </w:rPr>
      <w:tblPr/>
      <w:tcPr>
        <w:shd w:val="clear" w:color="auto" w:fill="538135" w:themeFill="accent6" w:themeFillShade="BF"/>
      </w:tcPr>
    </w:tblStylePr>
    <w:tblStylePr w:type="lastCol">
      <w:rPr>
        <w:color w:val="FFFFFF" w:themeColor="background1"/>
        <w14:textFill>
          <w14:solidFill>
            <w14:schemeClr w14:val="bg1"/>
          </w14:solidFill>
        </w14:textFill>
      </w:rPr>
      <w:tblPr/>
      <w:tcPr>
        <w:shd w:val="clear" w:color="auto" w:fill="538135" w:themeFill="accent6" w:themeFillShade="BF"/>
      </w:tcPr>
    </w:tblStylePr>
    <w:tblStylePr w:type="band1Vert">
      <w:tblPr/>
      <w:tcPr>
        <w:shd w:val="clear" w:color="auto" w:fill="B7D8A1" w:themeFill="accent6" w:themeFillTint="7F"/>
      </w:tcPr>
    </w:tblStylePr>
    <w:tblStylePr w:type="band1Horz">
      <w:tblPr/>
      <w:tcPr>
        <w:shd w:val="clear" w:color="auto" w:fill="B7D8A1" w:themeFill="accent6" w:themeFillTint="7F"/>
      </w:tcPr>
    </w:tblStylePr>
  </w:style>
  <w:style w:type="character" w:styleId="235">
    <w:name w:val="Strong"/>
    <w:basedOn w:val="234"/>
    <w:qFormat/>
    <w:uiPriority w:val="22"/>
    <w:rPr>
      <w:b/>
      <w:bCs/>
    </w:rPr>
  </w:style>
  <w:style w:type="character" w:styleId="236">
    <w:name w:val="endnote reference"/>
    <w:basedOn w:val="234"/>
    <w:semiHidden/>
    <w:unhideWhenUsed/>
    <w:qFormat/>
    <w:uiPriority w:val="99"/>
    <w:rPr>
      <w:vertAlign w:val="superscript"/>
    </w:rPr>
  </w:style>
  <w:style w:type="character" w:styleId="237">
    <w:name w:val="page number"/>
    <w:basedOn w:val="234"/>
    <w:semiHidden/>
    <w:qFormat/>
    <w:uiPriority w:val="0"/>
    <w:rPr>
      <w:rFonts w:ascii="Times New Roman" w:hAnsi="Times New Roman" w:eastAsia="宋体"/>
      <w:sz w:val="18"/>
    </w:rPr>
  </w:style>
  <w:style w:type="character" w:styleId="238">
    <w:name w:val="FollowedHyperlink"/>
    <w:basedOn w:val="234"/>
    <w:semiHidden/>
    <w:unhideWhenUsed/>
    <w:qFormat/>
    <w:uiPriority w:val="99"/>
    <w:rPr>
      <w:color w:val="954F72" w:themeColor="followedHyperlink"/>
      <w:u w:val="single"/>
      <w14:textFill>
        <w14:solidFill>
          <w14:schemeClr w14:val="folHlink"/>
        </w14:solidFill>
      </w14:textFill>
    </w:rPr>
  </w:style>
  <w:style w:type="character" w:styleId="239">
    <w:name w:val="Emphasis"/>
    <w:basedOn w:val="234"/>
    <w:qFormat/>
    <w:uiPriority w:val="20"/>
    <w:rPr>
      <w:i/>
      <w:iCs/>
    </w:rPr>
  </w:style>
  <w:style w:type="character" w:styleId="240">
    <w:name w:val="line number"/>
    <w:basedOn w:val="234"/>
    <w:semiHidden/>
    <w:unhideWhenUsed/>
    <w:qFormat/>
    <w:uiPriority w:val="99"/>
  </w:style>
  <w:style w:type="character" w:styleId="241">
    <w:name w:val="HTML Definition"/>
    <w:basedOn w:val="234"/>
    <w:semiHidden/>
    <w:qFormat/>
    <w:uiPriority w:val="0"/>
    <w:rPr>
      <w:i/>
      <w:iCs/>
    </w:rPr>
  </w:style>
  <w:style w:type="character" w:styleId="242">
    <w:name w:val="HTML Typewriter"/>
    <w:basedOn w:val="234"/>
    <w:semiHidden/>
    <w:qFormat/>
    <w:uiPriority w:val="0"/>
    <w:rPr>
      <w:rFonts w:ascii="Courier New" w:hAnsi="Courier New"/>
      <w:sz w:val="20"/>
      <w:szCs w:val="20"/>
    </w:rPr>
  </w:style>
  <w:style w:type="character" w:styleId="243">
    <w:name w:val="HTML Acronym"/>
    <w:basedOn w:val="234"/>
    <w:semiHidden/>
    <w:qFormat/>
    <w:uiPriority w:val="0"/>
  </w:style>
  <w:style w:type="character" w:styleId="244">
    <w:name w:val="HTML Variable"/>
    <w:basedOn w:val="234"/>
    <w:semiHidden/>
    <w:qFormat/>
    <w:uiPriority w:val="0"/>
    <w:rPr>
      <w:i/>
      <w:iCs/>
    </w:rPr>
  </w:style>
  <w:style w:type="character" w:styleId="245">
    <w:name w:val="Hyperlink"/>
    <w:qFormat/>
    <w:uiPriority w:val="99"/>
    <w:rPr>
      <w:rFonts w:ascii="Times New Roman" w:hAnsi="Times New Roman" w:eastAsia="宋体"/>
      <w:color w:val="auto"/>
      <w:spacing w:val="0"/>
      <w:w w:val="100"/>
      <w:position w:val="0"/>
      <w:sz w:val="21"/>
      <w:u w:val="none"/>
      <w:vertAlign w:val="baseline"/>
    </w:rPr>
  </w:style>
  <w:style w:type="character" w:styleId="246">
    <w:name w:val="HTML Code"/>
    <w:basedOn w:val="234"/>
    <w:semiHidden/>
    <w:qFormat/>
    <w:uiPriority w:val="0"/>
    <w:rPr>
      <w:rFonts w:ascii="Courier New" w:hAnsi="Courier New"/>
      <w:sz w:val="20"/>
      <w:szCs w:val="20"/>
    </w:rPr>
  </w:style>
  <w:style w:type="character" w:styleId="247">
    <w:name w:val="annotation reference"/>
    <w:basedOn w:val="234"/>
    <w:semiHidden/>
    <w:unhideWhenUsed/>
    <w:qFormat/>
    <w:uiPriority w:val="99"/>
    <w:rPr>
      <w:sz w:val="21"/>
      <w:szCs w:val="21"/>
    </w:rPr>
  </w:style>
  <w:style w:type="character" w:styleId="248">
    <w:name w:val="HTML Cite"/>
    <w:basedOn w:val="234"/>
    <w:semiHidden/>
    <w:qFormat/>
    <w:uiPriority w:val="0"/>
    <w:rPr>
      <w:i/>
      <w:iCs/>
    </w:rPr>
  </w:style>
  <w:style w:type="character" w:styleId="249">
    <w:name w:val="footnote reference"/>
    <w:basedOn w:val="234"/>
    <w:semiHidden/>
    <w:qFormat/>
    <w:uiPriority w:val="0"/>
    <w:rPr>
      <w:vertAlign w:val="superscript"/>
    </w:rPr>
  </w:style>
  <w:style w:type="character" w:styleId="250">
    <w:name w:val="HTML Keyboard"/>
    <w:basedOn w:val="234"/>
    <w:semiHidden/>
    <w:qFormat/>
    <w:uiPriority w:val="0"/>
    <w:rPr>
      <w:rFonts w:ascii="Courier New" w:hAnsi="Courier New"/>
      <w:sz w:val="20"/>
      <w:szCs w:val="20"/>
    </w:rPr>
  </w:style>
  <w:style w:type="character" w:styleId="251">
    <w:name w:val="HTML Sample"/>
    <w:basedOn w:val="234"/>
    <w:semiHidden/>
    <w:qFormat/>
    <w:uiPriority w:val="0"/>
    <w:rPr>
      <w:rFonts w:ascii="Courier New" w:hAnsi="Courier New"/>
    </w:rPr>
  </w:style>
  <w:style w:type="paragraph" w:customStyle="1" w:styleId="252">
    <w:name w:val="标准标志HB"/>
    <w:next w:val="1"/>
    <w:qFormat/>
    <w:uiPriority w:val="0"/>
    <w:pPr>
      <w:shd w:val="solid" w:color="FFFFFF" w:fill="FFFFFF"/>
      <w:spacing w:line="0" w:lineRule="atLeast"/>
      <w:jc w:val="right"/>
    </w:pPr>
    <w:rPr>
      <w:rFonts w:ascii="Britannic Bold" w:hAnsi="Britannic Bold" w:eastAsia="Britannic Bold" w:cs="Times New Roman"/>
      <w:b/>
      <w:w w:val="110"/>
      <w:kern w:val="2"/>
      <w:sz w:val="160"/>
      <w:lang w:val="en-US" w:eastAsia="zh-CN" w:bidi="ar-SA"/>
    </w:rPr>
  </w:style>
  <w:style w:type="paragraph" w:customStyle="1" w:styleId="253">
    <w:name w:val="标准称谓GB"/>
    <w:next w:val="1"/>
    <w:qFormat/>
    <w:uiPriority w:val="0"/>
    <w:pPr>
      <w:widowControl w:val="0"/>
      <w:kinsoku w:val="0"/>
      <w:overflowPunct w:val="0"/>
      <w:autoSpaceDE w:val="0"/>
      <w:autoSpaceDN w:val="0"/>
      <w:spacing w:line="0" w:lineRule="atLeast"/>
      <w:jc w:val="distribute"/>
    </w:pPr>
    <w:rPr>
      <w:rFonts w:ascii="宋体" w:hAnsi="Times New Roman" w:cs="Times New Roman" w:eastAsiaTheme="minorEastAsia"/>
      <w:b/>
      <w:bCs/>
      <w:w w:val="135"/>
      <w:sz w:val="52"/>
      <w:lang w:val="en-US" w:eastAsia="zh-CN" w:bidi="ar-SA"/>
    </w:rPr>
  </w:style>
  <w:style w:type="paragraph" w:customStyle="1" w:styleId="254">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255">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256">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257">
    <w:name w:val="标准书眉_偶数页"/>
    <w:basedOn w:val="256"/>
    <w:next w:val="1"/>
    <w:qFormat/>
    <w:uiPriority w:val="0"/>
    <w:pPr>
      <w:jc w:val="left"/>
    </w:pPr>
  </w:style>
  <w:style w:type="paragraph" w:customStyle="1" w:styleId="258">
    <w:name w:val="标准书眉一"/>
    <w:qFormat/>
    <w:uiPriority w:val="0"/>
    <w:pPr>
      <w:jc w:val="both"/>
    </w:pPr>
    <w:rPr>
      <w:rFonts w:ascii="Times New Roman" w:hAnsi="Times New Roman" w:eastAsia="宋体" w:cs="Times New Roman"/>
      <w:lang w:val="en-US" w:eastAsia="zh-CN" w:bidi="ar-SA"/>
    </w:rPr>
  </w:style>
  <w:style w:type="paragraph" w:customStyle="1" w:styleId="259">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60">
    <w:name w:val="参考文献、索引标题"/>
    <w:basedOn w:val="259"/>
    <w:next w:val="1"/>
    <w:qFormat/>
    <w:uiPriority w:val="0"/>
    <w:pPr>
      <w:spacing w:after="200"/>
    </w:pPr>
    <w:rPr>
      <w:sz w:val="21"/>
    </w:rPr>
  </w:style>
  <w:style w:type="paragraph" w:customStyle="1" w:styleId="261">
    <w:name w:val="一级条标题"/>
    <w:next w:val="1"/>
    <w:qFormat/>
    <w:uiPriority w:val="0"/>
    <w:pPr>
      <w:numPr>
        <w:ilvl w:val="1"/>
        <w:numId w:val="2"/>
      </w:numPr>
      <w:spacing w:beforeLines="50" w:afterLines="50"/>
      <w:outlineLvl w:val="2"/>
    </w:pPr>
    <w:rPr>
      <w:rFonts w:ascii="黑体" w:hAnsi="Times New Roman" w:eastAsia="黑体" w:cs="Times New Roman"/>
      <w:sz w:val="21"/>
      <w:szCs w:val="21"/>
      <w:lang w:val="en-US" w:eastAsia="zh-CN" w:bidi="ar-SA"/>
    </w:rPr>
  </w:style>
  <w:style w:type="paragraph" w:customStyle="1" w:styleId="262">
    <w:name w:val="二级条标题"/>
    <w:basedOn w:val="261"/>
    <w:next w:val="1"/>
    <w:qFormat/>
    <w:uiPriority w:val="0"/>
    <w:pPr>
      <w:numPr>
        <w:ilvl w:val="2"/>
      </w:numPr>
      <w:spacing w:before="50" w:after="50"/>
      <w:ind w:left="0"/>
      <w:outlineLvl w:val="3"/>
    </w:pPr>
  </w:style>
  <w:style w:type="character" w:customStyle="1" w:styleId="263">
    <w:name w:val="发布_1"/>
    <w:basedOn w:val="234"/>
    <w:qFormat/>
    <w:uiPriority w:val="0"/>
    <w:rPr>
      <w:rFonts w:ascii="黑体" w:eastAsia="黑体"/>
      <w:spacing w:val="22"/>
      <w:w w:val="100"/>
      <w:position w:val="3"/>
      <w:sz w:val="28"/>
    </w:rPr>
  </w:style>
  <w:style w:type="paragraph" w:customStyle="1" w:styleId="264">
    <w:name w:val="发布部门GB"/>
    <w:next w:val="5"/>
    <w:qFormat/>
    <w:uiPriority w:val="0"/>
    <w:pPr>
      <w:spacing w:line="360" w:lineRule="exact"/>
      <w:jc w:val="center"/>
    </w:pPr>
    <w:rPr>
      <w:rFonts w:ascii="宋体" w:hAnsi="Times New Roman" w:eastAsia="宋体" w:cs="Times New Roman"/>
      <w:b/>
      <w:sz w:val="36"/>
      <w:lang w:val="en-US" w:eastAsia="zh-CN" w:bidi="ar-SA"/>
    </w:rPr>
  </w:style>
  <w:style w:type="paragraph" w:customStyle="1" w:styleId="265">
    <w:name w:val="发布日期"/>
    <w:qFormat/>
    <w:uiPriority w:val="0"/>
    <w:rPr>
      <w:rFonts w:ascii="黑体" w:hAnsi="黑体" w:eastAsia="黑体" w:cs="Times New Roman"/>
      <w:sz w:val="28"/>
      <w:lang w:val="en-US" w:eastAsia="zh-CN" w:bidi="ar-SA"/>
    </w:rPr>
  </w:style>
  <w:style w:type="paragraph" w:customStyle="1" w:styleId="266">
    <w:name w:val="封面标准号1"/>
    <w:qFormat/>
    <w:uiPriority w:val="0"/>
    <w:pPr>
      <w:widowControl w:val="0"/>
      <w:kinsoku w:val="0"/>
      <w:overflowPunct w:val="0"/>
      <w:autoSpaceDE w:val="0"/>
      <w:autoSpaceDN w:val="0"/>
      <w:spacing w:line="360" w:lineRule="exact"/>
      <w:jc w:val="right"/>
      <w:textAlignment w:val="center"/>
    </w:pPr>
    <w:rPr>
      <w:rFonts w:ascii="黑体" w:hAnsi="Times New Roman" w:eastAsia="黑体" w:cs="Times New Roman"/>
      <w:sz w:val="28"/>
      <w:lang w:val="en-US" w:eastAsia="zh-CN" w:bidi="ar-SA"/>
    </w:rPr>
  </w:style>
  <w:style w:type="paragraph" w:customStyle="1" w:styleId="267">
    <w:name w:val="封面标准号2"/>
    <w:basedOn w:val="266"/>
    <w:qFormat/>
    <w:uiPriority w:val="0"/>
    <w:pPr>
      <w:adjustRightInd w:val="0"/>
      <w:spacing w:before="357" w:line="280" w:lineRule="exact"/>
    </w:pPr>
  </w:style>
  <w:style w:type="paragraph" w:customStyle="1" w:styleId="268">
    <w:name w:val="封面标准代替信息"/>
    <w:basedOn w:val="267"/>
    <w:qFormat/>
    <w:uiPriority w:val="0"/>
    <w:pPr>
      <w:spacing w:before="0" w:line="360" w:lineRule="exact"/>
    </w:pPr>
    <w:rPr>
      <w:rFonts w:hAnsi="黑体"/>
      <w:sz w:val="21"/>
    </w:rPr>
  </w:style>
  <w:style w:type="paragraph" w:customStyle="1" w:styleId="269">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70">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271">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272">
    <w:name w:val="封面标准英文名称"/>
    <w:basedOn w:val="269"/>
    <w:qFormat/>
    <w:uiPriority w:val="0"/>
    <w:pPr>
      <w:spacing w:before="330" w:line="400" w:lineRule="exact"/>
    </w:pPr>
    <w:rPr>
      <w:sz w:val="28"/>
    </w:rPr>
  </w:style>
  <w:style w:type="paragraph" w:customStyle="1" w:styleId="273">
    <w:name w:val="封面一致性程度标识"/>
    <w:basedOn w:val="272"/>
    <w:qFormat/>
    <w:uiPriority w:val="0"/>
    <w:pPr>
      <w:spacing w:before="680"/>
    </w:pPr>
    <w:rPr>
      <w:rFonts w:hAnsi="黑体"/>
    </w:rPr>
  </w:style>
  <w:style w:type="paragraph" w:customStyle="1" w:styleId="274">
    <w:name w:val="封面正文"/>
    <w:qFormat/>
    <w:uiPriority w:val="0"/>
    <w:pPr>
      <w:jc w:val="both"/>
    </w:pPr>
    <w:rPr>
      <w:rFonts w:ascii="Times New Roman" w:hAnsi="Times New Roman" w:eastAsia="宋体" w:cs="Times New Roman"/>
      <w:lang w:val="en-US" w:eastAsia="zh-CN" w:bidi="ar-SA"/>
    </w:rPr>
  </w:style>
  <w:style w:type="paragraph" w:customStyle="1" w:styleId="275">
    <w:name w:val="附录标识"/>
    <w:basedOn w:val="1"/>
    <w:next w:val="1"/>
    <w:qFormat/>
    <w:uiPriority w:val="0"/>
    <w:pPr>
      <w:keepNext/>
      <w:widowControl/>
      <w:numPr>
        <w:ilvl w:val="0"/>
        <w:numId w:val="13"/>
      </w:numPr>
      <w:shd w:val="clear" w:color="FFFFFF" w:fill="FFFFFF"/>
      <w:tabs>
        <w:tab w:val="left" w:pos="6405"/>
      </w:tabs>
      <w:spacing w:before="640" w:after="280"/>
      <w:jc w:val="center"/>
      <w:outlineLvl w:val="0"/>
    </w:pPr>
    <w:rPr>
      <w:rFonts w:ascii="黑体" w:eastAsia="黑体"/>
      <w:kern w:val="0"/>
      <w:szCs w:val="20"/>
    </w:rPr>
  </w:style>
  <w:style w:type="paragraph" w:customStyle="1" w:styleId="276">
    <w:name w:val="附录表标题"/>
    <w:basedOn w:val="1"/>
    <w:next w:val="1"/>
    <w:qFormat/>
    <w:uiPriority w:val="0"/>
    <w:pPr>
      <w:numPr>
        <w:ilvl w:val="1"/>
        <w:numId w:val="14"/>
      </w:numPr>
      <w:spacing w:beforeLines="50" w:afterLines="50"/>
      <w:jc w:val="center"/>
    </w:pPr>
    <w:rPr>
      <w:rFonts w:ascii="黑体" w:eastAsia="黑体"/>
      <w:szCs w:val="21"/>
    </w:rPr>
  </w:style>
  <w:style w:type="paragraph" w:customStyle="1" w:styleId="277">
    <w:name w:val="附录章标题"/>
    <w:next w:val="5"/>
    <w:qFormat/>
    <w:uiPriority w:val="0"/>
    <w:pPr>
      <w:numPr>
        <w:ilvl w:val="1"/>
        <w:numId w:val="13"/>
      </w:num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278">
    <w:name w:val="附录一级条标题"/>
    <w:basedOn w:val="277"/>
    <w:next w:val="5"/>
    <w:qFormat/>
    <w:uiPriority w:val="0"/>
    <w:pPr>
      <w:numPr>
        <w:ilvl w:val="2"/>
      </w:numPr>
      <w:autoSpaceDN w:val="0"/>
      <w:outlineLvl w:val="2"/>
    </w:pPr>
  </w:style>
  <w:style w:type="paragraph" w:customStyle="1" w:styleId="279">
    <w:name w:val="附录二级条标题"/>
    <w:basedOn w:val="1"/>
    <w:next w:val="5"/>
    <w:qFormat/>
    <w:uiPriority w:val="0"/>
    <w:pPr>
      <w:widowControl/>
      <w:numPr>
        <w:ilvl w:val="3"/>
        <w:numId w:val="13"/>
      </w:numPr>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280">
    <w:name w:val="附录三级条标题"/>
    <w:basedOn w:val="279"/>
    <w:next w:val="5"/>
    <w:qFormat/>
    <w:uiPriority w:val="0"/>
    <w:pPr>
      <w:numPr>
        <w:ilvl w:val="4"/>
      </w:numPr>
      <w:outlineLvl w:val="4"/>
    </w:pPr>
  </w:style>
  <w:style w:type="paragraph" w:customStyle="1" w:styleId="281">
    <w:name w:val="附录四级条标题"/>
    <w:basedOn w:val="280"/>
    <w:next w:val="5"/>
    <w:qFormat/>
    <w:uiPriority w:val="0"/>
    <w:pPr>
      <w:numPr>
        <w:ilvl w:val="5"/>
      </w:numPr>
      <w:outlineLvl w:val="5"/>
    </w:pPr>
  </w:style>
  <w:style w:type="paragraph" w:customStyle="1" w:styleId="282">
    <w:name w:val="附录图标题"/>
    <w:basedOn w:val="1"/>
    <w:next w:val="1"/>
    <w:qFormat/>
    <w:uiPriority w:val="0"/>
    <w:pPr>
      <w:numPr>
        <w:ilvl w:val="1"/>
        <w:numId w:val="15"/>
      </w:numPr>
      <w:spacing w:beforeLines="50" w:afterLines="50"/>
      <w:jc w:val="center"/>
    </w:pPr>
    <w:rPr>
      <w:rFonts w:ascii="黑体" w:eastAsia="黑体"/>
      <w:szCs w:val="21"/>
    </w:rPr>
  </w:style>
  <w:style w:type="paragraph" w:customStyle="1" w:styleId="283">
    <w:name w:val="附录五级条标题"/>
    <w:basedOn w:val="281"/>
    <w:next w:val="5"/>
    <w:qFormat/>
    <w:uiPriority w:val="0"/>
    <w:pPr>
      <w:numPr>
        <w:ilvl w:val="6"/>
      </w:numPr>
      <w:outlineLvl w:val="6"/>
    </w:pPr>
  </w:style>
  <w:style w:type="character" w:customStyle="1" w:styleId="284">
    <w:name w:val="个人答复风格"/>
    <w:basedOn w:val="234"/>
    <w:qFormat/>
    <w:uiPriority w:val="0"/>
    <w:rPr>
      <w:rFonts w:ascii="Arial" w:hAnsi="Arial" w:eastAsia="宋体" w:cs="Arial"/>
      <w:color w:val="auto"/>
      <w:sz w:val="20"/>
    </w:rPr>
  </w:style>
  <w:style w:type="character" w:customStyle="1" w:styleId="285">
    <w:name w:val="个人撰写风格"/>
    <w:basedOn w:val="234"/>
    <w:qFormat/>
    <w:uiPriority w:val="0"/>
    <w:rPr>
      <w:rFonts w:ascii="Arial" w:hAnsi="Arial" w:eastAsia="宋体" w:cs="Arial"/>
      <w:color w:val="auto"/>
      <w:sz w:val="20"/>
    </w:rPr>
  </w:style>
  <w:style w:type="paragraph" w:customStyle="1" w:styleId="286">
    <w:name w:val="列项——"/>
    <w:qFormat/>
    <w:uiPriority w:val="0"/>
    <w:pPr>
      <w:widowControl w:val="0"/>
      <w:numPr>
        <w:ilvl w:val="0"/>
        <w:numId w:val="16"/>
      </w:numPr>
      <w:tabs>
        <w:tab w:val="left" w:pos="854"/>
        <w:tab w:val="clear" w:pos="1140"/>
      </w:tabs>
      <w:ind w:left="200" w:leftChars="200" w:hanging="200" w:hangingChars="200"/>
      <w:jc w:val="both"/>
    </w:pPr>
    <w:rPr>
      <w:rFonts w:ascii="宋体" w:hAnsi="Times New Roman" w:eastAsia="宋体" w:cs="Times New Roman"/>
      <w:sz w:val="21"/>
      <w:lang w:val="en-US" w:eastAsia="zh-CN" w:bidi="ar-SA"/>
    </w:rPr>
  </w:style>
  <w:style w:type="paragraph" w:customStyle="1" w:styleId="287">
    <w:name w:val="目次、标准名称标题"/>
    <w:basedOn w:val="259"/>
    <w:next w:val="5"/>
    <w:qFormat/>
    <w:uiPriority w:val="0"/>
    <w:pPr>
      <w:spacing w:line="460" w:lineRule="exact"/>
      <w:outlineLvl w:val="9"/>
    </w:pPr>
  </w:style>
  <w:style w:type="paragraph" w:customStyle="1" w:styleId="288">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289">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290">
    <w:name w:val="其他发布部门"/>
    <w:basedOn w:val="264"/>
    <w:qFormat/>
    <w:uiPriority w:val="0"/>
    <w:pPr>
      <w:framePr w:wrap="around" w:vAnchor="margin" w:hAnchor="text" w:y="1"/>
      <w:spacing w:line="0" w:lineRule="atLeast"/>
    </w:pPr>
    <w:rPr>
      <w:rFonts w:ascii="黑体" w:eastAsia="黑体"/>
      <w:b w:val="0"/>
    </w:rPr>
  </w:style>
  <w:style w:type="paragraph" w:customStyle="1" w:styleId="291">
    <w:name w:val="三级条标题"/>
    <w:basedOn w:val="262"/>
    <w:next w:val="5"/>
    <w:qFormat/>
    <w:uiPriority w:val="0"/>
    <w:pPr>
      <w:numPr>
        <w:ilvl w:val="3"/>
      </w:numPr>
      <w:outlineLvl w:val="4"/>
    </w:pPr>
  </w:style>
  <w:style w:type="paragraph" w:customStyle="1" w:styleId="292">
    <w:name w:val="实施日期"/>
    <w:basedOn w:val="265"/>
    <w:qFormat/>
    <w:uiPriority w:val="0"/>
    <w:pPr>
      <w:jc w:val="right"/>
    </w:pPr>
  </w:style>
  <w:style w:type="paragraph" w:customStyle="1" w:styleId="293">
    <w:name w:val="示例"/>
    <w:next w:val="294"/>
    <w:qFormat/>
    <w:uiPriority w:val="0"/>
    <w:pPr>
      <w:widowControl w:val="0"/>
      <w:numPr>
        <w:ilvl w:val="0"/>
        <w:numId w:val="17"/>
      </w:numPr>
      <w:jc w:val="both"/>
    </w:pPr>
    <w:rPr>
      <w:rFonts w:ascii="宋体" w:hAnsi="Times New Roman" w:eastAsia="宋体" w:cs="Times New Roman"/>
      <w:sz w:val="18"/>
      <w:szCs w:val="18"/>
      <w:lang w:val="en-US" w:eastAsia="zh-CN" w:bidi="ar-SA"/>
    </w:rPr>
  </w:style>
  <w:style w:type="paragraph" w:customStyle="1" w:styleId="294">
    <w:name w:val="示例段"/>
    <w:basedOn w:val="5"/>
    <w:qFormat/>
    <w:uiPriority w:val="0"/>
    <w:pPr>
      <w:ind w:firstLine="420"/>
    </w:pPr>
    <w:rPr>
      <w:sz w:val="18"/>
    </w:rPr>
  </w:style>
  <w:style w:type="paragraph" w:customStyle="1" w:styleId="295">
    <w:name w:val="数字编号列项（二级）"/>
    <w:qFormat/>
    <w:uiPriority w:val="0"/>
    <w:pPr>
      <w:numPr>
        <w:ilvl w:val="1"/>
        <w:numId w:val="18"/>
      </w:numPr>
      <w:jc w:val="both"/>
    </w:pPr>
    <w:rPr>
      <w:rFonts w:ascii="宋体" w:hAnsi="Times New Roman" w:eastAsia="宋体" w:cs="Times New Roman"/>
      <w:sz w:val="21"/>
      <w:lang w:val="en-US" w:eastAsia="zh-CN" w:bidi="ar-SA"/>
    </w:rPr>
  </w:style>
  <w:style w:type="paragraph" w:customStyle="1" w:styleId="296">
    <w:name w:val="四级条标题"/>
    <w:basedOn w:val="291"/>
    <w:next w:val="5"/>
    <w:qFormat/>
    <w:uiPriority w:val="0"/>
    <w:pPr>
      <w:numPr>
        <w:ilvl w:val="4"/>
      </w:numPr>
      <w:outlineLvl w:val="5"/>
    </w:pPr>
  </w:style>
  <w:style w:type="paragraph" w:customStyle="1" w:styleId="297">
    <w:name w:val="条文脚注"/>
    <w:basedOn w:val="72"/>
    <w:link w:val="333"/>
    <w:qFormat/>
    <w:uiPriority w:val="0"/>
    <w:pPr>
      <w:numPr>
        <w:ilvl w:val="0"/>
        <w:numId w:val="19"/>
      </w:numPr>
      <w:ind w:firstLine="0" w:firstLineChars="0"/>
      <w:jc w:val="both"/>
    </w:pPr>
    <w:rPr>
      <w:rFonts w:ascii="宋体"/>
    </w:rPr>
  </w:style>
  <w:style w:type="paragraph" w:customStyle="1" w:styleId="298">
    <w:name w:val="图表脚注"/>
    <w:next w:val="5"/>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29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300">
    <w:name w:val="无标题条"/>
    <w:next w:val="5"/>
    <w:qFormat/>
    <w:uiPriority w:val="0"/>
    <w:pPr>
      <w:jc w:val="both"/>
    </w:pPr>
    <w:rPr>
      <w:rFonts w:ascii="Times New Roman" w:hAnsi="Times New Roman" w:eastAsia="宋体" w:cs="Times New Roman"/>
      <w:sz w:val="21"/>
      <w:lang w:val="en-US" w:eastAsia="zh-CN" w:bidi="ar-SA"/>
    </w:rPr>
  </w:style>
  <w:style w:type="paragraph" w:customStyle="1" w:styleId="301">
    <w:name w:val="五级条标题"/>
    <w:basedOn w:val="296"/>
    <w:next w:val="5"/>
    <w:qFormat/>
    <w:uiPriority w:val="0"/>
    <w:pPr>
      <w:numPr>
        <w:ilvl w:val="5"/>
      </w:numPr>
      <w:outlineLvl w:val="6"/>
    </w:pPr>
  </w:style>
  <w:style w:type="paragraph" w:customStyle="1" w:styleId="302">
    <w:name w:val="正文表标题"/>
    <w:next w:val="5"/>
    <w:qFormat/>
    <w:uiPriority w:val="0"/>
    <w:pPr>
      <w:numPr>
        <w:ilvl w:val="1"/>
        <w:numId w:val="20"/>
      </w:numPr>
      <w:tabs>
        <w:tab w:val="left" w:pos="360"/>
      </w:tabs>
      <w:spacing w:beforeLines="50" w:afterLines="50"/>
      <w:jc w:val="center"/>
    </w:pPr>
    <w:rPr>
      <w:rFonts w:ascii="黑体" w:hAnsi="Times New Roman" w:eastAsia="黑体" w:cs="Times New Roman"/>
      <w:sz w:val="21"/>
      <w:szCs w:val="21"/>
      <w:lang w:val="en-US" w:eastAsia="zh-CN" w:bidi="ar-SA"/>
    </w:rPr>
  </w:style>
  <w:style w:type="paragraph" w:customStyle="1" w:styleId="303">
    <w:name w:val="正文图标题"/>
    <w:basedOn w:val="302"/>
    <w:next w:val="5"/>
    <w:qFormat/>
    <w:uiPriority w:val="0"/>
    <w:pPr>
      <w:numPr>
        <w:ilvl w:val="0"/>
        <w:numId w:val="21"/>
      </w:numPr>
      <w:tabs>
        <w:tab w:val="clear" w:pos="360"/>
      </w:tabs>
    </w:pPr>
  </w:style>
  <w:style w:type="paragraph" w:customStyle="1" w:styleId="304">
    <w:name w:val="注："/>
    <w:next w:val="1"/>
    <w:qFormat/>
    <w:uiPriority w:val="0"/>
    <w:pPr>
      <w:widowControl w:val="0"/>
      <w:numPr>
        <w:ilvl w:val="0"/>
        <w:numId w:val="22"/>
      </w:numPr>
      <w:autoSpaceDE w:val="0"/>
      <w:autoSpaceDN w:val="0"/>
      <w:jc w:val="both"/>
    </w:pPr>
    <w:rPr>
      <w:rFonts w:ascii="宋体" w:hAnsi="Times New Roman" w:eastAsia="宋体" w:cs="Times New Roman"/>
      <w:sz w:val="18"/>
      <w:szCs w:val="18"/>
      <w:lang w:val="en-US" w:eastAsia="zh-CN" w:bidi="ar-SA"/>
    </w:rPr>
  </w:style>
  <w:style w:type="paragraph" w:customStyle="1" w:styleId="305">
    <w:name w:val="注×："/>
    <w:qFormat/>
    <w:uiPriority w:val="0"/>
    <w:pPr>
      <w:widowControl w:val="0"/>
      <w:numPr>
        <w:ilvl w:val="0"/>
        <w:numId w:val="23"/>
      </w:numPr>
      <w:autoSpaceDE w:val="0"/>
      <w:autoSpaceDN w:val="0"/>
      <w:jc w:val="both"/>
    </w:pPr>
    <w:rPr>
      <w:rFonts w:ascii="黑体" w:hAnsi="Times New Roman" w:cs="Times New Roman" w:eastAsiaTheme="minorEastAsia"/>
      <w:sz w:val="18"/>
      <w:szCs w:val="18"/>
      <w:lang w:val="en-US" w:eastAsia="zh-CN" w:bidi="ar-SA"/>
    </w:rPr>
  </w:style>
  <w:style w:type="paragraph" w:customStyle="1" w:styleId="306">
    <w:name w:val="字母编号列项（一级）"/>
    <w:qFormat/>
    <w:uiPriority w:val="0"/>
    <w:pPr>
      <w:numPr>
        <w:ilvl w:val="0"/>
        <w:numId w:val="18"/>
      </w:numPr>
      <w:jc w:val="both"/>
    </w:pPr>
    <w:rPr>
      <w:rFonts w:ascii="宋体" w:hAnsi="Times New Roman" w:eastAsia="宋体" w:cs="Times New Roman"/>
      <w:sz w:val="21"/>
      <w:lang w:val="en-US" w:eastAsia="zh-CN" w:bidi="ar-SA"/>
    </w:rPr>
  </w:style>
  <w:style w:type="paragraph" w:customStyle="1" w:styleId="307">
    <w:name w:val="引言一级条标题"/>
    <w:basedOn w:val="1"/>
    <w:next w:val="5"/>
    <w:qFormat/>
    <w:uiPriority w:val="0"/>
    <w:pPr>
      <w:widowControl/>
      <w:numPr>
        <w:ilvl w:val="0"/>
        <w:numId w:val="24"/>
      </w:numPr>
      <w:tabs>
        <w:tab w:val="clear" w:pos="360"/>
      </w:tabs>
      <w:spacing w:beforeLines="50" w:afterLines="50"/>
    </w:pPr>
    <w:rPr>
      <w:rFonts w:eastAsia="黑体"/>
    </w:rPr>
  </w:style>
  <w:style w:type="paragraph" w:customStyle="1" w:styleId="308">
    <w:name w:val="示例×："/>
    <w:basedOn w:val="1"/>
    <w:next w:val="294"/>
    <w:qFormat/>
    <w:uiPriority w:val="0"/>
    <w:pPr>
      <w:widowControl/>
      <w:numPr>
        <w:ilvl w:val="0"/>
        <w:numId w:val="25"/>
      </w:numPr>
    </w:pPr>
    <w:rPr>
      <w:rFonts w:ascii="宋体"/>
      <w:kern w:val="0"/>
      <w:sz w:val="18"/>
      <w:szCs w:val="18"/>
    </w:rPr>
  </w:style>
  <w:style w:type="paragraph" w:customStyle="1" w:styleId="309">
    <w:name w:val="工程建设章标题"/>
    <w:next w:val="5"/>
    <w:qFormat/>
    <w:uiPriority w:val="0"/>
    <w:pPr>
      <w:numPr>
        <w:ilvl w:val="1"/>
        <w:numId w:val="26"/>
      </w:numPr>
      <w:spacing w:before="640" w:after="560" w:line="480" w:lineRule="exact"/>
      <w:jc w:val="center"/>
      <w:outlineLvl w:val="1"/>
    </w:pPr>
    <w:rPr>
      <w:rFonts w:ascii="黑体" w:hAnsi="Times New Roman" w:eastAsia="黑体" w:cs="Times New Roman"/>
      <w:b/>
      <w:sz w:val="28"/>
      <w:lang w:val="en-US" w:eastAsia="zh-CN" w:bidi="ar-SA"/>
    </w:rPr>
  </w:style>
  <w:style w:type="paragraph" w:customStyle="1" w:styleId="310">
    <w:name w:val="工程建设节标题"/>
    <w:basedOn w:val="309"/>
    <w:next w:val="5"/>
    <w:qFormat/>
    <w:uiPriority w:val="0"/>
    <w:pPr>
      <w:numPr>
        <w:ilvl w:val="2"/>
      </w:numPr>
      <w:spacing w:before="400" w:after="400" w:line="240" w:lineRule="auto"/>
      <w:outlineLvl w:val="2"/>
    </w:pPr>
    <w:rPr>
      <w:sz w:val="21"/>
    </w:rPr>
  </w:style>
  <w:style w:type="paragraph" w:customStyle="1" w:styleId="311">
    <w:name w:val="工程建设条标题"/>
    <w:basedOn w:val="310"/>
    <w:next w:val="5"/>
    <w:qFormat/>
    <w:uiPriority w:val="0"/>
    <w:pPr>
      <w:numPr>
        <w:ilvl w:val="3"/>
      </w:numPr>
      <w:spacing w:before="0" w:after="0"/>
      <w:jc w:val="left"/>
      <w:outlineLvl w:val="3"/>
    </w:pPr>
    <w:rPr>
      <w:b w:val="0"/>
    </w:rPr>
  </w:style>
  <w:style w:type="paragraph" w:customStyle="1" w:styleId="312">
    <w:name w:val="工程建设表标题"/>
    <w:basedOn w:val="311"/>
    <w:qFormat/>
    <w:uiPriority w:val="0"/>
    <w:pPr>
      <w:numPr>
        <w:ilvl w:val="4"/>
      </w:numPr>
      <w:jc w:val="center"/>
      <w:outlineLvl w:val="4"/>
    </w:pPr>
  </w:style>
  <w:style w:type="paragraph" w:customStyle="1" w:styleId="313">
    <w:name w:val="工程建设图标题"/>
    <w:basedOn w:val="311"/>
    <w:qFormat/>
    <w:uiPriority w:val="0"/>
    <w:pPr>
      <w:numPr>
        <w:ilvl w:val="5"/>
      </w:numPr>
      <w:jc w:val="center"/>
      <w:outlineLvl w:val="5"/>
    </w:pPr>
  </w:style>
  <w:style w:type="paragraph" w:customStyle="1" w:styleId="314">
    <w:name w:val="工程建设公式标题"/>
    <w:basedOn w:val="311"/>
    <w:qFormat/>
    <w:uiPriority w:val="0"/>
    <w:pPr>
      <w:numPr>
        <w:ilvl w:val="6"/>
      </w:numPr>
      <w:jc w:val="center"/>
      <w:outlineLvl w:val="6"/>
    </w:pPr>
  </w:style>
  <w:style w:type="paragraph" w:customStyle="1" w:styleId="315">
    <w:name w:val="工程建设无节条标题"/>
    <w:basedOn w:val="1"/>
    <w:next w:val="5"/>
    <w:qFormat/>
    <w:uiPriority w:val="0"/>
    <w:pPr>
      <w:numPr>
        <w:ilvl w:val="8"/>
        <w:numId w:val="26"/>
      </w:numPr>
      <w:tabs>
        <w:tab w:val="clear" w:pos="720"/>
      </w:tabs>
      <w:outlineLvl w:val="3"/>
    </w:pPr>
  </w:style>
  <w:style w:type="paragraph" w:customStyle="1" w:styleId="316">
    <w:name w:val="工程建设款标题"/>
    <w:basedOn w:val="311"/>
    <w:qFormat/>
    <w:uiPriority w:val="0"/>
    <w:pPr>
      <w:numPr>
        <w:ilvl w:val="7"/>
      </w:numPr>
      <w:outlineLvl w:val="9"/>
    </w:pPr>
  </w:style>
  <w:style w:type="paragraph" w:customStyle="1" w:styleId="317">
    <w:name w:val="名称"/>
    <w:basedOn w:val="259"/>
    <w:next w:val="5"/>
    <w:qFormat/>
    <w:uiPriority w:val="0"/>
    <w:pPr>
      <w:spacing w:line="460" w:lineRule="exact"/>
      <w:outlineLvl w:val="9"/>
    </w:pPr>
  </w:style>
  <w:style w:type="paragraph" w:customStyle="1" w:styleId="318">
    <w:name w:val="正文表标题续表"/>
    <w:basedOn w:val="302"/>
    <w:next w:val="5"/>
    <w:qFormat/>
    <w:uiPriority w:val="0"/>
    <w:pPr>
      <w:numPr>
        <w:ilvl w:val="2"/>
      </w:numPr>
    </w:pPr>
  </w:style>
  <w:style w:type="paragraph" w:customStyle="1" w:styleId="319">
    <w:name w:val="附录表标题续表"/>
    <w:basedOn w:val="276"/>
    <w:next w:val="5"/>
    <w:qFormat/>
    <w:uiPriority w:val="0"/>
    <w:pPr>
      <w:numPr>
        <w:ilvl w:val="2"/>
      </w:numPr>
    </w:pPr>
  </w:style>
  <w:style w:type="paragraph" w:customStyle="1" w:styleId="320">
    <w:name w:val="术语定义二级条标题"/>
    <w:basedOn w:val="262"/>
    <w:next w:val="5"/>
    <w:qFormat/>
    <w:uiPriority w:val="0"/>
    <w:pPr>
      <w:spacing w:beforeLines="0" w:afterLines="0"/>
      <w:outlineLvl w:val="9"/>
    </w:pPr>
  </w:style>
  <w:style w:type="paragraph" w:customStyle="1" w:styleId="321">
    <w:name w:val="术语定义三级条标题"/>
    <w:basedOn w:val="291"/>
    <w:next w:val="5"/>
    <w:qFormat/>
    <w:uiPriority w:val="0"/>
    <w:pPr>
      <w:spacing w:beforeLines="0" w:afterLines="0"/>
      <w:outlineLvl w:val="9"/>
    </w:pPr>
  </w:style>
  <w:style w:type="paragraph" w:customStyle="1" w:styleId="322">
    <w:name w:val="式中"/>
    <w:qFormat/>
    <w:uiPriority w:val="0"/>
    <w:pPr>
      <w:ind w:left="200" w:leftChars="200"/>
    </w:pPr>
    <w:rPr>
      <w:rFonts w:ascii="宋体" w:hAnsi="Times New Roman" w:eastAsia="宋体" w:cs="Times New Roman"/>
      <w:sz w:val="21"/>
      <w:lang w:val="en-US" w:eastAsia="zh-CN" w:bidi="ar-SA"/>
    </w:rPr>
  </w:style>
  <w:style w:type="paragraph" w:customStyle="1" w:styleId="323">
    <w:name w:val="术语定义四级条标题"/>
    <w:basedOn w:val="296"/>
    <w:next w:val="5"/>
    <w:qFormat/>
    <w:uiPriority w:val="0"/>
    <w:pPr>
      <w:spacing w:beforeLines="0" w:afterLines="0"/>
      <w:outlineLvl w:val="9"/>
    </w:pPr>
  </w:style>
  <w:style w:type="paragraph" w:customStyle="1" w:styleId="324">
    <w:name w:val="术语定义五级条标题"/>
    <w:basedOn w:val="301"/>
    <w:next w:val="5"/>
    <w:qFormat/>
    <w:uiPriority w:val="0"/>
    <w:pPr>
      <w:spacing w:beforeLines="0" w:afterLines="0"/>
      <w:outlineLvl w:val="9"/>
    </w:pPr>
  </w:style>
  <w:style w:type="paragraph" w:customStyle="1" w:styleId="325">
    <w:name w:val="术语定义一级条标题"/>
    <w:basedOn w:val="261"/>
    <w:next w:val="5"/>
    <w:qFormat/>
    <w:uiPriority w:val="0"/>
    <w:pPr>
      <w:spacing w:beforeLines="0" w:afterLines="0"/>
      <w:outlineLvl w:val="9"/>
    </w:pPr>
  </w:style>
  <w:style w:type="paragraph" w:customStyle="1" w:styleId="326">
    <w:name w:val="条文说明"/>
    <w:basedOn w:val="317"/>
    <w:qFormat/>
    <w:uiPriority w:val="0"/>
  </w:style>
  <w:style w:type="paragraph" w:customStyle="1" w:styleId="327">
    <w:name w:val="列项·"/>
    <w:qFormat/>
    <w:uiPriority w:val="0"/>
    <w:pPr>
      <w:numPr>
        <w:ilvl w:val="0"/>
        <w:numId w:val="27"/>
      </w:numPr>
      <w:tabs>
        <w:tab w:val="left" w:pos="840"/>
      </w:tabs>
      <w:ind w:left="200" w:leftChars="200" w:hanging="200" w:hangingChars="200"/>
      <w:jc w:val="both"/>
    </w:pPr>
    <w:rPr>
      <w:rFonts w:ascii="宋体" w:hAnsi="Times New Roman" w:eastAsia="宋体" w:cs="Times New Roman"/>
      <w:sz w:val="21"/>
      <w:lang w:val="en-US" w:eastAsia="zh-CN" w:bidi="ar-SA"/>
    </w:rPr>
  </w:style>
  <w:style w:type="paragraph" w:customStyle="1" w:styleId="328">
    <w:name w:val="二级无标题条"/>
    <w:basedOn w:val="262"/>
    <w:qFormat/>
    <w:uiPriority w:val="0"/>
    <w:pPr>
      <w:spacing w:beforeLines="0" w:afterLines="0"/>
      <w:outlineLvl w:val="9"/>
    </w:pPr>
    <w:rPr>
      <w:rFonts w:eastAsiaTheme="majorEastAsia"/>
    </w:rPr>
  </w:style>
  <w:style w:type="paragraph" w:customStyle="1" w:styleId="329">
    <w:name w:val="三级无标题条"/>
    <w:basedOn w:val="291"/>
    <w:qFormat/>
    <w:uiPriority w:val="0"/>
    <w:pPr>
      <w:spacing w:beforeLines="0" w:afterLines="0"/>
      <w:outlineLvl w:val="9"/>
    </w:pPr>
    <w:rPr>
      <w:rFonts w:eastAsiaTheme="majorEastAsia"/>
    </w:rPr>
  </w:style>
  <w:style w:type="paragraph" w:customStyle="1" w:styleId="330">
    <w:name w:val="四级无标题条"/>
    <w:basedOn w:val="296"/>
    <w:qFormat/>
    <w:uiPriority w:val="0"/>
    <w:pPr>
      <w:spacing w:beforeLines="0" w:afterLines="0"/>
      <w:outlineLvl w:val="9"/>
    </w:pPr>
    <w:rPr>
      <w:rFonts w:eastAsiaTheme="majorEastAsia"/>
    </w:rPr>
  </w:style>
  <w:style w:type="paragraph" w:customStyle="1" w:styleId="331">
    <w:name w:val="五级无标题条"/>
    <w:basedOn w:val="301"/>
    <w:qFormat/>
    <w:uiPriority w:val="0"/>
    <w:pPr>
      <w:spacing w:beforeLines="0" w:afterLines="0"/>
      <w:outlineLvl w:val="9"/>
    </w:pPr>
    <w:rPr>
      <w:rFonts w:eastAsiaTheme="majorEastAsia"/>
    </w:rPr>
  </w:style>
  <w:style w:type="paragraph" w:customStyle="1" w:styleId="332">
    <w:name w:val="一级无标题条"/>
    <w:basedOn w:val="261"/>
    <w:qFormat/>
    <w:uiPriority w:val="0"/>
    <w:pPr>
      <w:spacing w:beforeLines="0" w:afterLines="0"/>
      <w:outlineLvl w:val="9"/>
    </w:pPr>
    <w:rPr>
      <w:rFonts w:eastAsiaTheme="majorEastAsia"/>
    </w:rPr>
  </w:style>
  <w:style w:type="character" w:customStyle="1" w:styleId="333">
    <w:name w:val="条文脚注 Char"/>
    <w:basedOn w:val="334"/>
    <w:link w:val="297"/>
    <w:qFormat/>
    <w:uiPriority w:val="0"/>
    <w:rPr>
      <w:rFonts w:ascii="宋体"/>
      <w:kern w:val="2"/>
      <w:sz w:val="18"/>
      <w:szCs w:val="18"/>
    </w:rPr>
  </w:style>
  <w:style w:type="character" w:customStyle="1" w:styleId="334">
    <w:name w:val="正文文本 字符"/>
    <w:basedOn w:val="234"/>
    <w:link w:val="43"/>
    <w:semiHidden/>
    <w:qFormat/>
    <w:uiPriority w:val="99"/>
    <w:rPr>
      <w:kern w:val="2"/>
      <w:sz w:val="21"/>
      <w:szCs w:val="24"/>
    </w:rPr>
  </w:style>
  <w:style w:type="paragraph" w:customStyle="1" w:styleId="335">
    <w:name w:val="ICS"/>
    <w:basedOn w:val="274"/>
    <w:qFormat/>
    <w:uiPriority w:val="0"/>
    <w:pPr>
      <w:jc w:val="left"/>
    </w:pPr>
    <w:rPr>
      <w:rFonts w:ascii="黑体" w:eastAsia="黑体"/>
      <w:sz w:val="21"/>
    </w:rPr>
  </w:style>
  <w:style w:type="paragraph" w:customStyle="1" w:styleId="336">
    <w:name w:val="标准称谓HB"/>
    <w:next w:val="1"/>
    <w:qFormat/>
    <w:uiPriority w:val="0"/>
    <w:pPr>
      <w:widowControl w:val="0"/>
      <w:kinsoku w:val="0"/>
      <w:overflowPunct w:val="0"/>
      <w:autoSpaceDE w:val="0"/>
      <w:autoSpaceDN w:val="0"/>
      <w:spacing w:line="0" w:lineRule="atLeast"/>
      <w:jc w:val="distribute"/>
    </w:pPr>
    <w:rPr>
      <w:rFonts w:ascii="Britannic Bold" w:hAnsi="Britannic Bold" w:eastAsia="黑体" w:cs="Times New Roman"/>
      <w:bCs/>
      <w:w w:val="135"/>
      <w:sz w:val="44"/>
      <w:lang w:val="en-US" w:eastAsia="zh-CN" w:bidi="ar-SA"/>
    </w:rPr>
  </w:style>
  <w:style w:type="paragraph" w:customStyle="1" w:styleId="337">
    <w:name w:val="发布"/>
    <w:basedOn w:val="43"/>
    <w:qFormat/>
    <w:uiPriority w:val="0"/>
    <w:pPr>
      <w:spacing w:after="0" w:line="280" w:lineRule="exact"/>
      <w:ind w:left="567"/>
    </w:pPr>
    <w:rPr>
      <w:rFonts w:ascii="黑体" w:eastAsia="黑体"/>
      <w:sz w:val="28"/>
    </w:rPr>
  </w:style>
  <w:style w:type="paragraph" w:customStyle="1" w:styleId="338">
    <w:name w:val="标准称谓DB"/>
    <w:next w:val="1"/>
    <w:link w:val="339"/>
    <w:qFormat/>
    <w:uiPriority w:val="0"/>
    <w:pPr>
      <w:widowControl w:val="0"/>
      <w:kinsoku w:val="0"/>
      <w:overflowPunct w:val="0"/>
      <w:autoSpaceDE w:val="0"/>
      <w:autoSpaceDN w:val="0"/>
      <w:spacing w:line="0" w:lineRule="atLeast"/>
      <w:jc w:val="distribute"/>
    </w:pPr>
    <w:rPr>
      <w:rFonts w:hint="eastAsia" w:ascii="黑体" w:hAnsi="黑体" w:eastAsia="黑体" w:cs="黑体"/>
      <w:b/>
      <w:bCs/>
      <w:w w:val="135"/>
      <w:sz w:val="52"/>
      <w:lang w:val="en-US" w:eastAsia="zh-CN" w:bidi="ar-SA"/>
    </w:rPr>
  </w:style>
  <w:style w:type="character" w:customStyle="1" w:styleId="339">
    <w:name w:val="标准称谓DB Char"/>
    <w:basedOn w:val="234"/>
    <w:link w:val="338"/>
    <w:qFormat/>
    <w:uiPriority w:val="0"/>
    <w:rPr>
      <w:rFonts w:hint="eastAsia" w:ascii="黑体" w:hAnsi="黑体" w:eastAsia="黑体" w:cs="黑体"/>
      <w:b/>
      <w:bCs/>
      <w:w w:val="135"/>
      <w:sz w:val="52"/>
    </w:rPr>
  </w:style>
  <w:style w:type="paragraph" w:customStyle="1" w:styleId="340">
    <w:name w:val="标准称谓QB"/>
    <w:next w:val="1"/>
    <w:link w:val="341"/>
    <w:qFormat/>
    <w:uiPriority w:val="0"/>
    <w:pPr>
      <w:widowControl w:val="0"/>
      <w:kinsoku w:val="0"/>
      <w:overflowPunct w:val="0"/>
      <w:autoSpaceDE w:val="0"/>
      <w:autoSpaceDN w:val="0"/>
      <w:spacing w:line="0" w:lineRule="atLeast"/>
      <w:jc w:val="distribute"/>
    </w:pPr>
    <w:rPr>
      <w:rFonts w:ascii="Arial Black" w:hAnsi="Arial Black" w:eastAsia="黑体" w:cs="Times New Roman"/>
      <w:bCs/>
      <w:w w:val="135"/>
      <w:sz w:val="44"/>
      <w:lang w:val="en-US" w:eastAsia="zh-CN" w:bidi="ar-SA"/>
    </w:rPr>
  </w:style>
  <w:style w:type="character" w:customStyle="1" w:styleId="341">
    <w:name w:val="标准称谓QB Char"/>
    <w:basedOn w:val="234"/>
    <w:link w:val="340"/>
    <w:qFormat/>
    <w:uiPriority w:val="0"/>
    <w:rPr>
      <w:rFonts w:ascii="Arial Black" w:hAnsi="Arial Black" w:eastAsia="黑体"/>
      <w:bCs/>
      <w:w w:val="135"/>
      <w:sz w:val="44"/>
    </w:rPr>
  </w:style>
  <w:style w:type="paragraph" w:customStyle="1" w:styleId="342">
    <w:name w:val="发布部门HB"/>
    <w:next w:val="1"/>
    <w:qFormat/>
    <w:uiPriority w:val="0"/>
    <w:pPr>
      <w:spacing w:line="360" w:lineRule="exact"/>
      <w:jc w:val="center"/>
    </w:pPr>
    <w:rPr>
      <w:rFonts w:ascii="宋体" w:hAnsi="Times New Roman" w:eastAsia="宋体" w:cs="Times New Roman"/>
      <w:b/>
      <w:sz w:val="36"/>
      <w:lang w:val="en-US" w:eastAsia="zh-CN" w:bidi="ar-SA"/>
    </w:rPr>
  </w:style>
  <w:style w:type="paragraph" w:customStyle="1" w:styleId="343">
    <w:name w:val="发布部门DB"/>
    <w:next w:val="1"/>
    <w:qFormat/>
    <w:uiPriority w:val="0"/>
    <w:pPr>
      <w:spacing w:line="360" w:lineRule="exact"/>
      <w:jc w:val="center"/>
    </w:pPr>
    <w:rPr>
      <w:rFonts w:hint="eastAsia" w:ascii="宋体" w:hAnsi="宋体" w:eastAsia="宋体" w:cs="宋体"/>
      <w:b/>
      <w:sz w:val="36"/>
      <w:lang w:val="en-US" w:eastAsia="zh-CN" w:bidi="ar-SA"/>
    </w:rPr>
  </w:style>
  <w:style w:type="paragraph" w:customStyle="1" w:styleId="344">
    <w:name w:val="发布部门QB"/>
    <w:next w:val="1"/>
    <w:qFormat/>
    <w:uiPriority w:val="0"/>
    <w:pPr>
      <w:spacing w:line="360" w:lineRule="exact"/>
      <w:jc w:val="center"/>
    </w:pPr>
    <w:rPr>
      <w:rFonts w:ascii="宋体" w:hAnsi="Times New Roman" w:eastAsia="宋体" w:cs="Times New Roman"/>
      <w:b/>
      <w:sz w:val="36"/>
      <w:lang w:val="en-US" w:eastAsia="zh-CN" w:bidi="ar-SA"/>
    </w:rPr>
  </w:style>
  <w:style w:type="paragraph" w:customStyle="1" w:styleId="345">
    <w:name w:val="标准标志DB"/>
    <w:next w:val="1"/>
    <w:qFormat/>
    <w:uiPriority w:val="0"/>
    <w:pPr>
      <w:shd w:val="solid" w:color="FFFFFF" w:fill="FFFFFF"/>
      <w:spacing w:line="0" w:lineRule="atLeast"/>
      <w:jc w:val="right"/>
    </w:pPr>
    <w:rPr>
      <w:rFonts w:ascii="Britannic Bold" w:hAnsi="Britannic Bold" w:eastAsia="Britannic Bold" w:cs="Britannic Bold"/>
      <w:b/>
      <w:w w:val="110"/>
      <w:kern w:val="2"/>
      <w:sz w:val="160"/>
      <w:lang w:val="en-US" w:eastAsia="zh-CN" w:bidi="ar-SA"/>
    </w:rPr>
  </w:style>
  <w:style w:type="paragraph" w:customStyle="1" w:styleId="346">
    <w:name w:val="标准标志QB"/>
    <w:next w:val="1"/>
    <w:qFormat/>
    <w:uiPriority w:val="0"/>
    <w:pPr>
      <w:shd w:val="solid" w:color="FFFFFF" w:fill="FFFFFF"/>
      <w:spacing w:line="0" w:lineRule="atLeast"/>
      <w:jc w:val="right"/>
    </w:pPr>
    <w:rPr>
      <w:rFonts w:ascii="Arial Black" w:hAnsi="Britannic Bold" w:eastAsia="Arial Unicode MS" w:cs="Times New Roman"/>
      <w:b/>
      <w:w w:val="110"/>
      <w:kern w:val="2"/>
      <w:sz w:val="96"/>
      <w:lang w:val="en-US" w:eastAsia="zh-CN" w:bidi="ar-SA"/>
    </w:rPr>
  </w:style>
  <w:style w:type="paragraph" w:customStyle="1" w:styleId="347">
    <w:name w:val="标准标志GB"/>
    <w:next w:val="1"/>
    <w:qFormat/>
    <w:uiPriority w:val="0"/>
    <w:pPr>
      <w:shd w:val="solid" w:color="FFFFFF" w:fill="FFFFFF"/>
      <w:spacing w:line="0" w:lineRule="atLeast"/>
      <w:jc w:val="right"/>
    </w:pPr>
    <w:rPr>
      <w:rFonts w:ascii="Britannic Bold" w:hAnsi="Britannic Bold" w:eastAsia="Britannic Bold" w:cs="Times New Roman"/>
      <w:b/>
      <w:w w:val="110"/>
      <w:kern w:val="2"/>
      <w:sz w:val="160"/>
      <w:lang w:val="en-US" w:eastAsia="zh-CN" w:bidi="ar-SA"/>
    </w:rPr>
  </w:style>
  <w:style w:type="paragraph" w:customStyle="1" w:styleId="348">
    <w:name w:val="引言二级条标题"/>
    <w:basedOn w:val="307"/>
    <w:next w:val="5"/>
    <w:qFormat/>
    <w:uiPriority w:val="0"/>
    <w:pPr>
      <w:numPr>
        <w:ilvl w:val="1"/>
      </w:numPr>
      <w:spacing w:before="156" w:after="156"/>
    </w:pPr>
    <w:rPr>
      <w:rFonts w:ascii="黑体"/>
    </w:rPr>
  </w:style>
  <w:style w:type="paragraph" w:customStyle="1" w:styleId="349">
    <w:name w:val="示例X"/>
    <w:basedOn w:val="294"/>
    <w:next w:val="5"/>
    <w:qFormat/>
    <w:uiPriority w:val="0"/>
  </w:style>
  <w:style w:type="paragraph" w:customStyle="1" w:styleId="350">
    <w:name w:val="附录表标号"/>
    <w:basedOn w:val="1"/>
    <w:next w:val="5"/>
    <w:qFormat/>
    <w:uiPriority w:val="0"/>
    <w:pPr>
      <w:numPr>
        <w:ilvl w:val="0"/>
        <w:numId w:val="14"/>
      </w:numPr>
      <w:snapToGrid w:val="0"/>
      <w:spacing w:line="14" w:lineRule="exact"/>
      <w:jc w:val="center"/>
    </w:pPr>
    <w:rPr>
      <w:color w:val="FFFFFF"/>
    </w:rPr>
  </w:style>
  <w:style w:type="paragraph" w:customStyle="1" w:styleId="351">
    <w:name w:val="附录图标号"/>
    <w:basedOn w:val="1"/>
    <w:next w:val="5"/>
    <w:qFormat/>
    <w:uiPriority w:val="0"/>
    <w:pPr>
      <w:numPr>
        <w:ilvl w:val="0"/>
        <w:numId w:val="15"/>
      </w:numPr>
      <w:snapToGrid w:val="0"/>
      <w:spacing w:line="14" w:lineRule="exact"/>
      <w:jc w:val="center"/>
    </w:pPr>
    <w:rPr>
      <w:color w:val="FFFFFF"/>
    </w:rPr>
  </w:style>
  <w:style w:type="paragraph" w:customStyle="1" w:styleId="352">
    <w:name w:val="重要提示"/>
    <w:basedOn w:val="5"/>
    <w:next w:val="5"/>
    <w:qFormat/>
    <w:uiPriority w:val="0"/>
    <w:rPr>
      <w:rFonts w:eastAsia="黑体"/>
    </w:rPr>
  </w:style>
  <w:style w:type="paragraph" w:customStyle="1" w:styleId="353">
    <w:name w:val="公式编号制表符"/>
    <w:basedOn w:val="1"/>
    <w:next w:val="1"/>
    <w:qFormat/>
    <w:uiPriority w:val="0"/>
    <w:pPr>
      <w:widowControl/>
      <w:tabs>
        <w:tab w:val="center" w:pos="4679"/>
        <w:tab w:val="right" w:leader="dot" w:pos="9299"/>
      </w:tabs>
      <w:autoSpaceDE w:val="0"/>
      <w:autoSpaceDN w:val="0"/>
      <w:textAlignment w:val="center"/>
    </w:pPr>
    <w:rPr>
      <w:rFonts w:ascii="宋体"/>
      <w:kern w:val="0"/>
      <w:szCs w:val="20"/>
    </w:rPr>
  </w:style>
  <w:style w:type="paragraph" w:customStyle="1" w:styleId="354">
    <w:name w:val="TOC 标题1"/>
    <w:basedOn w:val="3"/>
    <w:next w:val="1"/>
    <w:semiHidden/>
    <w:unhideWhenUsed/>
    <w:qFormat/>
    <w:uiPriority w:val="39"/>
    <w:pPr>
      <w:outlineLvl w:val="9"/>
    </w:pPr>
  </w:style>
  <w:style w:type="character" w:customStyle="1" w:styleId="355">
    <w:name w:val="不明显参考1"/>
    <w:basedOn w:val="234"/>
    <w:qFormat/>
    <w:uiPriority w:val="31"/>
    <w:rPr>
      <w:smallCaps/>
      <w:color w:val="595959" w:themeColor="text1" w:themeTint="A6"/>
      <w14:textFill>
        <w14:solidFill>
          <w14:schemeClr w14:val="tx1">
            <w14:lumMod w14:val="65000"/>
            <w14:lumOff w14:val="35000"/>
          </w14:schemeClr>
        </w14:solidFill>
      </w14:textFill>
    </w:rPr>
  </w:style>
  <w:style w:type="character" w:customStyle="1" w:styleId="356">
    <w:name w:val="不明显强调1"/>
    <w:basedOn w:val="234"/>
    <w:qFormat/>
    <w:uiPriority w:val="19"/>
    <w:rPr>
      <w:i/>
      <w:iCs/>
      <w:color w:val="404040" w:themeColor="text1" w:themeTint="BF"/>
      <w14:textFill>
        <w14:solidFill>
          <w14:schemeClr w14:val="tx1">
            <w14:lumMod w14:val="75000"/>
            <w14:lumOff w14:val="25000"/>
          </w14:schemeClr>
        </w14:solidFill>
      </w14:textFill>
    </w:rPr>
  </w:style>
  <w:style w:type="character" w:customStyle="1" w:styleId="357">
    <w:name w:val="称呼 字符"/>
    <w:basedOn w:val="234"/>
    <w:link w:val="39"/>
    <w:semiHidden/>
    <w:qFormat/>
    <w:uiPriority w:val="99"/>
    <w:rPr>
      <w:kern w:val="2"/>
      <w:sz w:val="21"/>
      <w:szCs w:val="24"/>
    </w:rPr>
  </w:style>
  <w:style w:type="character" w:customStyle="1" w:styleId="358">
    <w:name w:val="纯文本 字符"/>
    <w:basedOn w:val="234"/>
    <w:link w:val="52"/>
    <w:semiHidden/>
    <w:qFormat/>
    <w:uiPriority w:val="99"/>
    <w:rPr>
      <w:rFonts w:ascii="宋体" w:hAnsi="Courier New" w:cs="Courier New"/>
      <w:kern w:val="2"/>
      <w:sz w:val="21"/>
      <w:szCs w:val="21"/>
    </w:rPr>
  </w:style>
  <w:style w:type="character" w:customStyle="1" w:styleId="359">
    <w:name w:val="电子邮件签名 字符"/>
    <w:basedOn w:val="234"/>
    <w:link w:val="28"/>
    <w:semiHidden/>
    <w:qFormat/>
    <w:uiPriority w:val="99"/>
    <w:rPr>
      <w:kern w:val="2"/>
      <w:sz w:val="21"/>
      <w:szCs w:val="24"/>
    </w:rPr>
  </w:style>
  <w:style w:type="character" w:customStyle="1" w:styleId="360">
    <w:name w:val="副标题 字符"/>
    <w:basedOn w:val="234"/>
    <w:link w:val="69"/>
    <w:qFormat/>
    <w:uiPriority w:val="11"/>
    <w:rPr>
      <w:rFonts w:asciiTheme="majorHAnsi" w:hAnsiTheme="majorHAnsi" w:cstheme="majorBidi"/>
      <w:b/>
      <w:bCs/>
      <w:kern w:val="28"/>
      <w:sz w:val="32"/>
      <w:szCs w:val="32"/>
    </w:rPr>
  </w:style>
  <w:style w:type="character" w:customStyle="1" w:styleId="361">
    <w:name w:val="宏文本 字符"/>
    <w:basedOn w:val="234"/>
    <w:link w:val="2"/>
    <w:semiHidden/>
    <w:qFormat/>
    <w:uiPriority w:val="99"/>
    <w:rPr>
      <w:rFonts w:ascii="Courier New" w:hAnsi="Courier New" w:cs="Courier New"/>
      <w:kern w:val="2"/>
      <w:sz w:val="24"/>
      <w:szCs w:val="24"/>
    </w:rPr>
  </w:style>
  <w:style w:type="character" w:customStyle="1" w:styleId="362">
    <w:name w:val="结束语 字符"/>
    <w:basedOn w:val="234"/>
    <w:link w:val="41"/>
    <w:semiHidden/>
    <w:qFormat/>
    <w:uiPriority w:val="99"/>
    <w:rPr>
      <w:kern w:val="2"/>
      <w:sz w:val="21"/>
      <w:szCs w:val="24"/>
    </w:rPr>
  </w:style>
  <w:style w:type="paragraph" w:styleId="363">
    <w:name w:val="List Paragraph"/>
    <w:basedOn w:val="1"/>
    <w:qFormat/>
    <w:uiPriority w:val="34"/>
    <w:pPr>
      <w:ind w:firstLine="420" w:firstLineChars="200"/>
    </w:pPr>
  </w:style>
  <w:style w:type="character" w:customStyle="1" w:styleId="364">
    <w:name w:val="明显参考1"/>
    <w:basedOn w:val="234"/>
    <w:qFormat/>
    <w:uiPriority w:val="32"/>
    <w:rPr>
      <w:b/>
      <w:bCs/>
      <w:smallCaps/>
      <w:color w:val="5B9BD5" w:themeColor="accent1"/>
      <w:spacing w:val="5"/>
      <w14:textFill>
        <w14:solidFill>
          <w14:schemeClr w14:val="accent1"/>
        </w14:solidFill>
      </w14:textFill>
    </w:rPr>
  </w:style>
  <w:style w:type="character" w:customStyle="1" w:styleId="365">
    <w:name w:val="明显强调1"/>
    <w:basedOn w:val="234"/>
    <w:qFormat/>
    <w:uiPriority w:val="21"/>
    <w:rPr>
      <w:i/>
      <w:iCs/>
      <w:color w:val="5B9BD5" w:themeColor="accent1"/>
      <w14:textFill>
        <w14:solidFill>
          <w14:schemeClr w14:val="accent1"/>
        </w14:solidFill>
      </w14:textFill>
    </w:rPr>
  </w:style>
  <w:style w:type="paragraph" w:styleId="366">
    <w:name w:val="Intense Quote"/>
    <w:basedOn w:val="1"/>
    <w:next w:val="1"/>
    <w:link w:val="367"/>
    <w:qFormat/>
    <w:uiPriority w:val="30"/>
    <w:pPr>
      <w:pBdr>
        <w:top w:val="single" w:color="5B9BD5" w:themeColor="accent1" w:sz="4" w:space="10"/>
        <w:bottom w:val="single" w:color="5B9BD5" w:themeColor="accent1" w:sz="4" w:space="10"/>
      </w:pBdr>
      <w:spacing w:before="360" w:after="360"/>
      <w:ind w:left="864" w:right="864"/>
      <w:jc w:val="center"/>
    </w:pPr>
    <w:rPr>
      <w:i/>
      <w:iCs/>
      <w:color w:val="5B9BD5" w:themeColor="accent1"/>
      <w14:textFill>
        <w14:solidFill>
          <w14:schemeClr w14:val="accent1"/>
        </w14:solidFill>
      </w14:textFill>
    </w:rPr>
  </w:style>
  <w:style w:type="character" w:customStyle="1" w:styleId="367">
    <w:name w:val="明显引用 字符"/>
    <w:basedOn w:val="234"/>
    <w:link w:val="366"/>
    <w:qFormat/>
    <w:uiPriority w:val="30"/>
    <w:rPr>
      <w:i/>
      <w:iCs/>
      <w:color w:val="5B9BD5" w:themeColor="accent1"/>
      <w:kern w:val="2"/>
      <w:sz w:val="21"/>
      <w:szCs w:val="24"/>
      <w14:textFill>
        <w14:solidFill>
          <w14:schemeClr w14:val="accent1"/>
        </w14:solidFill>
      </w14:textFill>
    </w:rPr>
  </w:style>
  <w:style w:type="character" w:customStyle="1" w:styleId="368">
    <w:name w:val="批注框文本 字符"/>
    <w:basedOn w:val="234"/>
    <w:link w:val="61"/>
    <w:semiHidden/>
    <w:qFormat/>
    <w:uiPriority w:val="99"/>
    <w:rPr>
      <w:kern w:val="2"/>
      <w:sz w:val="18"/>
      <w:szCs w:val="18"/>
    </w:rPr>
  </w:style>
  <w:style w:type="character" w:customStyle="1" w:styleId="369">
    <w:name w:val="批注文字 字符"/>
    <w:basedOn w:val="234"/>
    <w:link w:val="37"/>
    <w:semiHidden/>
    <w:qFormat/>
    <w:uiPriority w:val="99"/>
    <w:rPr>
      <w:kern w:val="2"/>
      <w:sz w:val="21"/>
      <w:szCs w:val="24"/>
    </w:rPr>
  </w:style>
  <w:style w:type="character" w:customStyle="1" w:styleId="370">
    <w:name w:val="批注主题 字符"/>
    <w:basedOn w:val="369"/>
    <w:link w:val="88"/>
    <w:semiHidden/>
    <w:qFormat/>
    <w:uiPriority w:val="99"/>
    <w:rPr>
      <w:b/>
      <w:bCs/>
      <w:kern w:val="2"/>
      <w:sz w:val="21"/>
      <w:szCs w:val="24"/>
    </w:rPr>
  </w:style>
  <w:style w:type="character" w:customStyle="1" w:styleId="371">
    <w:name w:val="签名 字符"/>
    <w:basedOn w:val="234"/>
    <w:link w:val="65"/>
    <w:semiHidden/>
    <w:qFormat/>
    <w:uiPriority w:val="99"/>
    <w:rPr>
      <w:kern w:val="2"/>
      <w:sz w:val="21"/>
      <w:szCs w:val="24"/>
    </w:rPr>
  </w:style>
  <w:style w:type="table" w:customStyle="1" w:styleId="372">
    <w:name w:val="清单表 1 浅色1"/>
    <w:basedOn w:val="91"/>
    <w:qFormat/>
    <w:uiPriority w:val="46"/>
    <w:tblStylePr w:type="firstRow">
      <w:rPr>
        <w:b/>
        <w:bCs/>
      </w:rPr>
      <w:tcPr>
        <w:tcBorders>
          <w:bottom w:val="single" w:color="666666" w:themeColor="text1" w:themeTint="99" w:sz="4" w:space="0"/>
        </w:tcBorders>
      </w:tcPr>
    </w:tblStylePr>
    <w:tblStylePr w:type="lastRow">
      <w:rPr>
        <w:b/>
        <w:bCs/>
      </w:rPr>
      <w:tcPr>
        <w:tcBorders>
          <w:top w:val="sing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73">
    <w:name w:val="清单表 1 浅色 - 着色 11"/>
    <w:basedOn w:val="91"/>
    <w:qFormat/>
    <w:uiPriority w:val="46"/>
    <w:tblStylePr w:type="firstRow">
      <w:rPr>
        <w:b/>
        <w:bCs/>
      </w:rPr>
      <w:tcPr>
        <w:tcBorders>
          <w:bottom w:val="single" w:color="9CC2E5" w:themeColor="accent1" w:themeTint="99" w:sz="4" w:space="0"/>
        </w:tcBorders>
      </w:tcPr>
    </w:tblStylePr>
    <w:tblStylePr w:type="lastRow">
      <w:rPr>
        <w:b/>
        <w:bCs/>
      </w:rPr>
      <w:tcPr>
        <w:tcBorders>
          <w:top w:val="single" w:color="9CC2E5" w:themeColor="accent1" w:themeTint="99"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374">
    <w:name w:val="清单表 1 浅色 - 着色 21"/>
    <w:basedOn w:val="91"/>
    <w:qFormat/>
    <w:uiPriority w:val="46"/>
    <w:tblStylePr w:type="firstRow">
      <w:rPr>
        <w:b/>
        <w:bCs/>
      </w:rPr>
      <w:tcPr>
        <w:tcBorders>
          <w:bottom w:val="single" w:color="F4B083" w:themeColor="accent2" w:themeTint="99" w:sz="4" w:space="0"/>
        </w:tcBorders>
      </w:tcPr>
    </w:tblStylePr>
    <w:tblStylePr w:type="lastRow">
      <w:rPr>
        <w:b/>
        <w:bCs/>
      </w:rPr>
      <w:tcPr>
        <w:tcBorders>
          <w:top w:val="single" w:color="F4B083" w:themeColor="accent2" w:themeTint="99"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375">
    <w:name w:val="清单表 1 浅色 - 着色 31"/>
    <w:basedOn w:val="91"/>
    <w:qFormat/>
    <w:uiPriority w:val="46"/>
    <w:tblStylePr w:type="firstRow">
      <w:rPr>
        <w:b/>
        <w:bCs/>
      </w:rPr>
      <w:tcPr>
        <w:tcBorders>
          <w:bottom w:val="single" w:color="C8C8C8" w:themeColor="accent3" w:themeTint="99" w:sz="4" w:space="0"/>
        </w:tcBorders>
      </w:tcPr>
    </w:tblStylePr>
    <w:tblStylePr w:type="lastRow">
      <w:rPr>
        <w:b/>
        <w:bCs/>
      </w:rPr>
      <w:tcPr>
        <w:tcBorders>
          <w:top w:val="single" w:color="C8C8C8" w:themeColor="accent3" w:themeTint="99"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376">
    <w:name w:val="清单表 1 浅色 - 着色 41"/>
    <w:basedOn w:val="91"/>
    <w:qFormat/>
    <w:uiPriority w:val="46"/>
    <w:tblStylePr w:type="firstRow">
      <w:rPr>
        <w:b/>
        <w:bCs/>
      </w:rPr>
      <w:tcPr>
        <w:tcBorders>
          <w:bottom w:val="single" w:color="FFD965" w:themeColor="accent4" w:themeTint="99" w:sz="4" w:space="0"/>
        </w:tcBorders>
      </w:tcPr>
    </w:tblStylePr>
    <w:tblStylePr w:type="lastRow">
      <w:rPr>
        <w:b/>
        <w:bCs/>
      </w:rPr>
      <w:tcPr>
        <w:tcBorders>
          <w:top w:val="single" w:color="FFD965" w:themeColor="accent4" w:themeTint="99"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377">
    <w:name w:val="清单表 1 浅色 - 着色 51"/>
    <w:basedOn w:val="91"/>
    <w:qFormat/>
    <w:uiPriority w:val="46"/>
    <w:tblStylePr w:type="firstRow">
      <w:rPr>
        <w:b/>
        <w:bCs/>
      </w:rPr>
      <w:tcPr>
        <w:tcBorders>
          <w:bottom w:val="single" w:color="8EAADB" w:themeColor="accent5" w:themeTint="99" w:sz="4" w:space="0"/>
        </w:tcBorders>
      </w:tcPr>
    </w:tblStylePr>
    <w:tblStylePr w:type="lastRow">
      <w:rPr>
        <w:b/>
        <w:bCs/>
      </w:rPr>
      <w:tcPr>
        <w:tcBorders>
          <w:top w:val="single" w:color="8EAADB" w:themeColor="accent5" w:themeTint="99"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378">
    <w:name w:val="清单表 1 浅色 - 着色 61"/>
    <w:basedOn w:val="91"/>
    <w:autoRedefine/>
    <w:qFormat/>
    <w:uiPriority w:val="46"/>
    <w:tblStylePr w:type="firstRow">
      <w:rPr>
        <w:b/>
        <w:bCs/>
      </w:rPr>
      <w:tcPr>
        <w:tcBorders>
          <w:bottom w:val="single" w:color="A8D08D" w:themeColor="accent6" w:themeTint="99" w:sz="4" w:space="0"/>
        </w:tcBorders>
      </w:tcPr>
    </w:tblStylePr>
    <w:tblStylePr w:type="lastRow">
      <w:rPr>
        <w:b/>
        <w:bCs/>
      </w:rPr>
      <w:tcPr>
        <w:tcBorders>
          <w:top w:val="sing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379">
    <w:name w:val="清单表 21"/>
    <w:basedOn w:val="91"/>
    <w:qFormat/>
    <w:uiPriority w:val="47"/>
    <w:tblPr>
      <w:tblBorders>
        <w:top w:val="single" w:color="666666" w:themeColor="text1" w:themeTint="99" w:sz="4" w:space="0"/>
        <w:bottom w:val="single" w:color="666666" w:themeColor="text1" w:themeTint="99" w:sz="4" w:space="0"/>
        <w:insideH w:val="single" w:color="666666" w:themeColor="tex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80">
    <w:name w:val="清单表 2 - 着色 11"/>
    <w:basedOn w:val="91"/>
    <w:qFormat/>
    <w:uiPriority w:val="47"/>
    <w:tblPr>
      <w:tblBorders>
        <w:top w:val="single" w:color="9CC2E5" w:themeColor="accent1" w:themeTint="99" w:sz="4" w:space="0"/>
        <w:bottom w:val="single" w:color="9CC2E5" w:themeColor="accent1" w:themeTint="99" w:sz="4" w:space="0"/>
        <w:insideH w:val="single" w:color="9CC2E5" w:themeColor="accen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381">
    <w:name w:val="清单表 2 - 着色 21"/>
    <w:basedOn w:val="91"/>
    <w:qFormat/>
    <w:uiPriority w:val="47"/>
    <w:tblPr>
      <w:tblBorders>
        <w:top w:val="single" w:color="F4B083" w:themeColor="accent2" w:themeTint="99" w:sz="4" w:space="0"/>
        <w:bottom w:val="single" w:color="F4B083" w:themeColor="accent2" w:themeTint="99" w:sz="4" w:space="0"/>
        <w:insideH w:val="single" w:color="F4B083" w:themeColor="accent2"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382">
    <w:name w:val="清单表 2 - 着色 31"/>
    <w:basedOn w:val="91"/>
    <w:qFormat/>
    <w:uiPriority w:val="47"/>
    <w:tblPr>
      <w:tblBorders>
        <w:top w:val="single" w:color="C8C8C8" w:themeColor="accent3" w:themeTint="99" w:sz="4" w:space="0"/>
        <w:bottom w:val="single" w:color="C8C8C8" w:themeColor="accent3" w:themeTint="99" w:sz="4" w:space="0"/>
        <w:insideH w:val="single" w:color="C8C8C8" w:themeColor="accent3"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383">
    <w:name w:val="清单表 2 - 着色 41"/>
    <w:basedOn w:val="91"/>
    <w:qFormat/>
    <w:uiPriority w:val="47"/>
    <w:tblPr>
      <w:tblBorders>
        <w:top w:val="single" w:color="FFD965" w:themeColor="accent4" w:themeTint="99" w:sz="4" w:space="0"/>
        <w:bottom w:val="single" w:color="FFD965" w:themeColor="accent4" w:themeTint="99" w:sz="4" w:space="0"/>
        <w:insideH w:val="single" w:color="FFD965" w:themeColor="accent4"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384">
    <w:name w:val="清单表 2 - 着色 51"/>
    <w:basedOn w:val="91"/>
    <w:qFormat/>
    <w:uiPriority w:val="47"/>
    <w:tblPr>
      <w:tblBorders>
        <w:top w:val="single" w:color="8EAADB" w:themeColor="accent5" w:themeTint="99" w:sz="4" w:space="0"/>
        <w:bottom w:val="single" w:color="8EAADB" w:themeColor="accent5" w:themeTint="99" w:sz="4" w:space="0"/>
        <w:insideH w:val="single" w:color="8EAADB" w:themeColor="accent5"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385">
    <w:name w:val="清单表 2 - 着色 61"/>
    <w:basedOn w:val="91"/>
    <w:qFormat/>
    <w:uiPriority w:val="47"/>
    <w:tblPr>
      <w:tblBorders>
        <w:top w:val="single" w:color="A8D08D" w:themeColor="accent6" w:themeTint="99" w:sz="4" w:space="0"/>
        <w:bottom w:val="single" w:color="A8D08D" w:themeColor="accent6" w:themeTint="99" w:sz="4" w:space="0"/>
        <w:insideH w:val="single" w:color="A8D08D" w:themeColor="accent6"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386">
    <w:name w:val="清单表 31"/>
    <w:basedOn w:val="91"/>
    <w:qFormat/>
    <w:uiPriority w:val="48"/>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bCs/>
        <w:color w:val="FFFFFF" w:themeColor="background1"/>
        <w14:textFill>
          <w14:solidFill>
            <w14:schemeClr w14:val="bg1"/>
          </w14:solidFill>
        </w14:textFill>
      </w:rPr>
      <w:tcPr>
        <w:shd w:val="clear" w:color="auto" w:fill="000000" w:themeFill="text1"/>
      </w:tcPr>
    </w:tblStylePr>
    <w:tblStylePr w:type="lastRow">
      <w:rPr>
        <w:b/>
        <w:bCs/>
      </w:rPr>
      <w:tcPr>
        <w:tcBorders>
          <w:top w:val="double" w:color="000000" w:themeColor="text1"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000000" w:themeColor="text1" w:sz="4" w:space="0"/>
          <w:left w:val="nil"/>
        </w:tcBorders>
      </w:tcPr>
    </w:tblStylePr>
    <w:tblStylePr w:type="swCell">
      <w:tcPr>
        <w:tcBorders>
          <w:top w:val="double" w:color="000000" w:themeColor="text1" w:sz="4" w:space="0"/>
          <w:right w:val="nil"/>
        </w:tcBorders>
      </w:tcPr>
    </w:tblStylePr>
  </w:style>
  <w:style w:type="table" w:customStyle="1" w:styleId="387">
    <w:name w:val="清单表 3 - 着色 11"/>
    <w:basedOn w:val="91"/>
    <w:qFormat/>
    <w:uiPriority w:val="48"/>
    <w:tblPr>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firstRow">
      <w:rPr>
        <w:b/>
        <w:bCs/>
        <w:color w:val="FFFFFF" w:themeColor="background1"/>
        <w14:textFill>
          <w14:solidFill>
            <w14:schemeClr w14:val="bg1"/>
          </w14:solidFill>
        </w14:textFill>
      </w:rPr>
      <w:tcPr>
        <w:shd w:val="clear" w:color="auto" w:fill="5B9BD5" w:themeFill="accent1"/>
      </w:tcPr>
    </w:tblStylePr>
    <w:tblStylePr w:type="lastRow">
      <w:rPr>
        <w:b/>
        <w:bCs/>
      </w:rPr>
      <w:tcPr>
        <w:tcBorders>
          <w:top w:val="double" w:color="5B9BD5" w:themeColor="accent1"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5B9BD5" w:themeColor="accent1" w:sz="4" w:space="0"/>
          <w:right w:val="single" w:color="5B9BD5" w:themeColor="accent1" w:sz="4" w:space="0"/>
        </w:tcBorders>
      </w:tcPr>
    </w:tblStylePr>
    <w:tblStylePr w:type="band1Horz">
      <w:tcPr>
        <w:tcBorders>
          <w:top w:val="single" w:color="5B9BD5" w:themeColor="accent1" w:sz="4" w:space="0"/>
          <w:bottom w:val="single" w:color="5B9BD5" w:themeColor="accent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5B9BD5" w:themeColor="accent1" w:sz="4" w:space="0"/>
          <w:left w:val="nil"/>
        </w:tcBorders>
      </w:tcPr>
    </w:tblStylePr>
    <w:tblStylePr w:type="swCell">
      <w:tcPr>
        <w:tcBorders>
          <w:top w:val="double" w:color="5B9BD5" w:themeColor="accent1" w:sz="4" w:space="0"/>
          <w:right w:val="nil"/>
        </w:tcBorders>
      </w:tcPr>
    </w:tblStylePr>
  </w:style>
  <w:style w:type="table" w:customStyle="1" w:styleId="388">
    <w:name w:val="清单表 3 - 着色 21"/>
    <w:basedOn w:val="91"/>
    <w:qFormat/>
    <w:uiPriority w:val="48"/>
    <w:tblPr>
      <w:tblBorders>
        <w:top w:val="single" w:color="ED7D31" w:themeColor="accent2" w:sz="4" w:space="0"/>
        <w:left w:val="single" w:color="ED7D31" w:themeColor="accent2" w:sz="4" w:space="0"/>
        <w:bottom w:val="single" w:color="ED7D31" w:themeColor="accent2" w:sz="4" w:space="0"/>
        <w:right w:val="single" w:color="ED7D31" w:themeColor="accent2" w:sz="4" w:space="0"/>
      </w:tblBorders>
    </w:tblPr>
    <w:tblStylePr w:type="firstRow">
      <w:rPr>
        <w:b/>
        <w:bCs/>
        <w:color w:val="FFFFFF" w:themeColor="background1"/>
        <w14:textFill>
          <w14:solidFill>
            <w14:schemeClr w14:val="bg1"/>
          </w14:solidFill>
        </w14:textFill>
      </w:rPr>
      <w:tcPr>
        <w:shd w:val="clear" w:color="auto" w:fill="ED7D31" w:themeFill="accent2"/>
      </w:tcPr>
    </w:tblStylePr>
    <w:tblStylePr w:type="lastRow">
      <w:rPr>
        <w:b/>
        <w:bCs/>
      </w:rPr>
      <w:tcPr>
        <w:tcBorders>
          <w:top w:val="double" w:color="ED7D31" w:themeColor="accent2"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ED7D31" w:themeColor="accent2" w:sz="4" w:space="0"/>
          <w:right w:val="single" w:color="ED7D31" w:themeColor="accent2" w:sz="4" w:space="0"/>
        </w:tcBorders>
      </w:tcPr>
    </w:tblStylePr>
    <w:tblStylePr w:type="band1Horz">
      <w:tcPr>
        <w:tcBorders>
          <w:top w:val="single" w:color="ED7D31" w:themeColor="accent2" w:sz="4" w:space="0"/>
          <w:bottom w:val="single" w:color="ED7D31" w:themeColor="accent2"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themeColor="accent2" w:sz="4" w:space="0"/>
          <w:left w:val="nil"/>
        </w:tcBorders>
      </w:tcPr>
    </w:tblStylePr>
    <w:tblStylePr w:type="swCell">
      <w:tcPr>
        <w:tcBorders>
          <w:top w:val="double" w:color="ED7D31" w:themeColor="accent2" w:sz="4" w:space="0"/>
          <w:right w:val="nil"/>
        </w:tcBorders>
      </w:tcPr>
    </w:tblStylePr>
  </w:style>
  <w:style w:type="table" w:customStyle="1" w:styleId="389">
    <w:name w:val="清单表 3 - 着色 31"/>
    <w:basedOn w:val="91"/>
    <w:qFormat/>
    <w:uiPriority w:val="48"/>
    <w:tblPr>
      <w:tblBorders>
        <w:top w:val="single" w:color="A5A5A5" w:themeColor="accent3" w:sz="4" w:space="0"/>
        <w:left w:val="single" w:color="A5A5A5" w:themeColor="accent3" w:sz="4" w:space="0"/>
        <w:bottom w:val="single" w:color="A5A5A5" w:themeColor="accent3" w:sz="4" w:space="0"/>
        <w:right w:val="single" w:color="A5A5A5" w:themeColor="accent3" w:sz="4" w:space="0"/>
      </w:tblBorders>
    </w:tblPr>
    <w:tblStylePr w:type="firstRow">
      <w:rPr>
        <w:b/>
        <w:bCs/>
        <w:color w:val="FFFFFF" w:themeColor="background1"/>
        <w14:textFill>
          <w14:solidFill>
            <w14:schemeClr w14:val="bg1"/>
          </w14:solidFill>
        </w14:textFill>
      </w:rPr>
      <w:tcPr>
        <w:shd w:val="clear" w:color="auto" w:fill="A5A5A5" w:themeFill="accent3"/>
      </w:tcPr>
    </w:tblStylePr>
    <w:tblStylePr w:type="lastRow">
      <w:rPr>
        <w:b/>
        <w:bCs/>
      </w:rPr>
      <w:tcPr>
        <w:tcBorders>
          <w:top w:val="double" w:color="A5A5A5" w:themeColor="accent3"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A5A5A5" w:themeColor="accent3" w:sz="4" w:space="0"/>
          <w:right w:val="single" w:color="A5A5A5" w:themeColor="accent3" w:sz="4" w:space="0"/>
        </w:tcBorders>
      </w:tcPr>
    </w:tblStylePr>
    <w:tblStylePr w:type="band1Horz">
      <w:tcPr>
        <w:tcBorders>
          <w:top w:val="single" w:color="A5A5A5" w:themeColor="accent3" w:sz="4" w:space="0"/>
          <w:bottom w:val="single" w:color="A5A5A5" w:themeColor="accent3"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A5A5A5" w:themeColor="accent3" w:sz="4" w:space="0"/>
          <w:left w:val="nil"/>
        </w:tcBorders>
      </w:tcPr>
    </w:tblStylePr>
    <w:tblStylePr w:type="swCell">
      <w:tcPr>
        <w:tcBorders>
          <w:top w:val="double" w:color="A5A5A5" w:themeColor="accent3" w:sz="4" w:space="0"/>
          <w:right w:val="nil"/>
        </w:tcBorders>
      </w:tcPr>
    </w:tblStylePr>
  </w:style>
  <w:style w:type="table" w:customStyle="1" w:styleId="390">
    <w:name w:val="清单表 3 - 着色 41"/>
    <w:basedOn w:val="91"/>
    <w:qFormat/>
    <w:uiPriority w:val="48"/>
    <w:tblPr>
      <w:tblBorders>
        <w:top w:val="single" w:color="FFC000" w:themeColor="accent4" w:sz="4" w:space="0"/>
        <w:left w:val="single" w:color="FFC000" w:themeColor="accent4" w:sz="4" w:space="0"/>
        <w:bottom w:val="single" w:color="FFC000" w:themeColor="accent4" w:sz="4" w:space="0"/>
        <w:right w:val="single" w:color="FFC000" w:themeColor="accent4" w:sz="4" w:space="0"/>
      </w:tblBorders>
    </w:tblPr>
    <w:tblStylePr w:type="firstRow">
      <w:rPr>
        <w:b/>
        <w:bCs/>
        <w:color w:val="FFFFFF" w:themeColor="background1"/>
        <w14:textFill>
          <w14:solidFill>
            <w14:schemeClr w14:val="bg1"/>
          </w14:solidFill>
        </w14:textFill>
      </w:rPr>
      <w:tcPr>
        <w:shd w:val="clear" w:color="auto" w:fill="FFC000" w:themeFill="accent4"/>
      </w:tcPr>
    </w:tblStylePr>
    <w:tblStylePr w:type="lastRow">
      <w:rPr>
        <w:b/>
        <w:bCs/>
      </w:rPr>
      <w:tcPr>
        <w:tcBorders>
          <w:top w:val="double" w:color="FFC000" w:themeColor="accent4"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FFC000" w:themeColor="accent4" w:sz="4" w:space="0"/>
          <w:right w:val="single" w:color="FFC000" w:themeColor="accent4" w:sz="4" w:space="0"/>
        </w:tcBorders>
      </w:tcPr>
    </w:tblStylePr>
    <w:tblStylePr w:type="band1Horz">
      <w:tcPr>
        <w:tcBorders>
          <w:top w:val="single" w:color="FFC000" w:themeColor="accent4" w:sz="4" w:space="0"/>
          <w:bottom w:val="single" w:color="FFC000" w:themeColor="accent4"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FFC000" w:themeColor="accent4" w:sz="4" w:space="0"/>
          <w:left w:val="nil"/>
        </w:tcBorders>
      </w:tcPr>
    </w:tblStylePr>
    <w:tblStylePr w:type="swCell">
      <w:tcPr>
        <w:tcBorders>
          <w:top w:val="double" w:color="FFC000" w:themeColor="accent4" w:sz="4" w:space="0"/>
          <w:right w:val="nil"/>
        </w:tcBorders>
      </w:tcPr>
    </w:tblStylePr>
  </w:style>
  <w:style w:type="table" w:customStyle="1" w:styleId="391">
    <w:name w:val="清单表 3 - 着色 51"/>
    <w:basedOn w:val="91"/>
    <w:qFormat/>
    <w:uiPriority w:val="48"/>
    <w:tblPr>
      <w:tblBorders>
        <w:top w:val="single" w:color="4472C4" w:themeColor="accent5" w:sz="4" w:space="0"/>
        <w:left w:val="single" w:color="4472C4" w:themeColor="accent5" w:sz="4" w:space="0"/>
        <w:bottom w:val="single" w:color="4472C4" w:themeColor="accent5" w:sz="4" w:space="0"/>
        <w:right w:val="single" w:color="4472C4" w:themeColor="accent5" w:sz="4" w:space="0"/>
      </w:tblBorders>
    </w:tblPr>
    <w:tblStylePr w:type="firstRow">
      <w:rPr>
        <w:b/>
        <w:bCs/>
        <w:color w:val="FFFFFF" w:themeColor="background1"/>
        <w14:textFill>
          <w14:solidFill>
            <w14:schemeClr w14:val="bg1"/>
          </w14:solidFill>
        </w14:textFill>
      </w:rPr>
      <w:tcPr>
        <w:shd w:val="clear" w:color="auto" w:fill="4472C4" w:themeFill="accent5"/>
      </w:tcPr>
    </w:tblStylePr>
    <w:tblStylePr w:type="lastRow">
      <w:rPr>
        <w:b/>
        <w:bCs/>
      </w:rPr>
      <w:tcPr>
        <w:tcBorders>
          <w:top w:val="double" w:color="4472C4" w:themeColor="accent5"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4472C4" w:themeColor="accent5" w:sz="4" w:space="0"/>
          <w:right w:val="single" w:color="4472C4" w:themeColor="accent5" w:sz="4" w:space="0"/>
        </w:tcBorders>
      </w:tcPr>
    </w:tblStylePr>
    <w:tblStylePr w:type="band1Horz">
      <w:tcPr>
        <w:tcBorders>
          <w:top w:val="single" w:color="4472C4" w:themeColor="accent5" w:sz="4" w:space="0"/>
          <w:bottom w:val="single" w:color="4472C4" w:themeColor="accent5"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4472C4" w:themeColor="accent5" w:sz="4" w:space="0"/>
          <w:left w:val="nil"/>
        </w:tcBorders>
      </w:tcPr>
    </w:tblStylePr>
    <w:tblStylePr w:type="swCell">
      <w:tcPr>
        <w:tcBorders>
          <w:top w:val="double" w:color="4472C4" w:themeColor="accent5" w:sz="4" w:space="0"/>
          <w:right w:val="nil"/>
        </w:tcBorders>
      </w:tcPr>
    </w:tblStylePr>
  </w:style>
  <w:style w:type="table" w:customStyle="1" w:styleId="392">
    <w:name w:val="清单表 3 - 着色 61"/>
    <w:basedOn w:val="91"/>
    <w:qFormat/>
    <w:uiPriority w:val="48"/>
    <w:tblPr>
      <w:tblBorders>
        <w:top w:val="single" w:color="70AD47" w:themeColor="accent6" w:sz="4" w:space="0"/>
        <w:left w:val="single" w:color="70AD47" w:themeColor="accent6" w:sz="4" w:space="0"/>
        <w:bottom w:val="single" w:color="70AD47" w:themeColor="accent6" w:sz="4" w:space="0"/>
        <w:right w:val="single" w:color="70AD47" w:themeColor="accent6" w:sz="4" w:space="0"/>
      </w:tblBorders>
    </w:tblPr>
    <w:tblStylePr w:type="firstRow">
      <w:rPr>
        <w:b/>
        <w:bCs/>
        <w:color w:val="FFFFFF" w:themeColor="background1"/>
        <w14:textFill>
          <w14:solidFill>
            <w14:schemeClr w14:val="bg1"/>
          </w14:solidFill>
        </w14:textFill>
      </w:rPr>
      <w:tcPr>
        <w:shd w:val="clear" w:color="auto" w:fill="70AD47" w:themeFill="accent6"/>
      </w:tcPr>
    </w:tblStylePr>
    <w:tblStylePr w:type="lastRow">
      <w:rPr>
        <w:b/>
        <w:bCs/>
      </w:rPr>
      <w:tcPr>
        <w:tcBorders>
          <w:top w:val="double" w:color="70AD47" w:themeColor="accent6"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70AD47" w:themeColor="accent6" w:sz="4" w:space="0"/>
          <w:right w:val="single" w:color="70AD47" w:themeColor="accent6" w:sz="4" w:space="0"/>
        </w:tcBorders>
      </w:tcPr>
    </w:tblStylePr>
    <w:tblStylePr w:type="band1Horz">
      <w:tcPr>
        <w:tcBorders>
          <w:top w:val="single" w:color="70AD47" w:themeColor="accent6" w:sz="4" w:space="0"/>
          <w:bottom w:val="single" w:color="70AD47" w:themeColor="accent6"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70AD47" w:themeColor="accent6" w:sz="4" w:space="0"/>
          <w:left w:val="nil"/>
        </w:tcBorders>
      </w:tcPr>
    </w:tblStylePr>
    <w:tblStylePr w:type="swCell">
      <w:tcPr>
        <w:tcBorders>
          <w:top w:val="double" w:color="70AD47" w:themeColor="accent6" w:sz="4" w:space="0"/>
          <w:right w:val="nil"/>
        </w:tcBorders>
      </w:tcPr>
    </w:tblStylePr>
  </w:style>
  <w:style w:type="table" w:customStyle="1" w:styleId="393">
    <w:name w:val="清单表 41"/>
    <w:basedOn w:val="91"/>
    <w:qFormat/>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tcBorders>
        <w:shd w:val="clear" w:color="auto" w:fill="000000" w:themeFill="text1"/>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94">
    <w:name w:val="清单表 4 - 着色 11"/>
    <w:basedOn w:val="91"/>
    <w:qFormat/>
    <w:uiPriority w:val="49"/>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tcBorders>
        <w:shd w:val="clear" w:color="auto" w:fill="5B9BD5" w:themeFill="accent1"/>
      </w:tcPr>
    </w:tblStylePr>
    <w:tblStylePr w:type="lastRow">
      <w:rPr>
        <w:b/>
        <w:bCs/>
      </w:rPr>
      <w:tcPr>
        <w:tcBorders>
          <w:top w:val="double" w:color="9CC2E5" w:themeColor="accent1" w:themeTint="99"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395">
    <w:name w:val="清单表 4 - 着色 21"/>
    <w:basedOn w:val="91"/>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tblBorders>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tcBorders>
        <w:shd w:val="clear" w:color="auto" w:fill="ED7D31" w:themeFill="accent2"/>
      </w:tcPr>
    </w:tblStylePr>
    <w:tblStylePr w:type="lastRow">
      <w:rPr>
        <w:b/>
        <w:bCs/>
      </w:rPr>
      <w:tcPr>
        <w:tcBorders>
          <w:top w:val="double" w:color="F4B083" w:themeColor="accent2" w:themeTint="99"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396">
    <w:name w:val="清单表 4 - 着色 31"/>
    <w:basedOn w:val="91"/>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tcBorders>
        <w:shd w:val="clear" w:color="auto" w:fill="A5A5A5" w:themeFill="accent3"/>
      </w:tcPr>
    </w:tblStylePr>
    <w:tblStylePr w:type="lastRow">
      <w:rPr>
        <w:b/>
        <w:bCs/>
      </w:rPr>
      <w:tcPr>
        <w:tcBorders>
          <w:top w:val="double" w:color="C8C8C8" w:themeColor="accent3" w:themeTint="99"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397">
    <w:name w:val="清单表 4 - 着色 41"/>
    <w:basedOn w:val="91"/>
    <w:qFormat/>
    <w:uiPriority w:val="49"/>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tblBorders>
    </w:tblPr>
    <w:tblStylePr w:type="firstRow">
      <w:rPr>
        <w:b/>
        <w:bCs/>
        <w:color w:val="FFFFFF" w:themeColor="background1"/>
        <w14:textFill>
          <w14:solidFill>
            <w14:schemeClr w14:val="bg1"/>
          </w14:solidFill>
        </w14:textFill>
      </w:rPr>
      <w:tcPr>
        <w:tcBorders>
          <w:top w:val="single" w:color="FFC000" w:themeColor="accent4" w:sz="4" w:space="0"/>
          <w:left w:val="single" w:color="FFC000" w:themeColor="accent4" w:sz="4" w:space="0"/>
          <w:bottom w:val="single" w:color="FFC000" w:themeColor="accent4" w:sz="4" w:space="0"/>
          <w:right w:val="single" w:color="FFC000" w:themeColor="accent4" w:sz="4" w:space="0"/>
          <w:insideH w:val="nil"/>
        </w:tcBorders>
        <w:shd w:val="clear" w:color="auto" w:fill="FFC000" w:themeFill="accent4"/>
      </w:tcPr>
    </w:tblStylePr>
    <w:tblStylePr w:type="lastRow">
      <w:rPr>
        <w:b/>
        <w:bCs/>
      </w:rPr>
      <w:tcPr>
        <w:tcBorders>
          <w:top w:val="double" w:color="FFD965" w:themeColor="accent4" w:themeTint="99"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398">
    <w:name w:val="清单表 4 - 着色 51"/>
    <w:basedOn w:val="91"/>
    <w:qFormat/>
    <w:uiPriority w:val="49"/>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tblBorders>
    </w:tblPr>
    <w:tblStylePr w:type="firstRow">
      <w:rPr>
        <w:b/>
        <w:bCs/>
        <w:color w:val="FFFFFF" w:themeColor="background1"/>
        <w14:textFill>
          <w14:solidFill>
            <w14:schemeClr w14:val="bg1"/>
          </w14:solidFill>
        </w14:textFill>
      </w:rPr>
      <w:tcPr>
        <w:tcBorders>
          <w:top w:val="single" w:color="4472C4" w:themeColor="accent5" w:sz="4" w:space="0"/>
          <w:left w:val="single" w:color="4472C4" w:themeColor="accent5" w:sz="4" w:space="0"/>
          <w:bottom w:val="single" w:color="4472C4" w:themeColor="accent5" w:sz="4" w:space="0"/>
          <w:right w:val="single" w:color="4472C4" w:themeColor="accent5" w:sz="4" w:space="0"/>
          <w:insideH w:val="nil"/>
        </w:tcBorders>
        <w:shd w:val="clear" w:color="auto" w:fill="4472C4" w:themeFill="accent5"/>
      </w:tcPr>
    </w:tblStylePr>
    <w:tblStylePr w:type="lastRow">
      <w:rPr>
        <w:b/>
        <w:bCs/>
      </w:rPr>
      <w:tcPr>
        <w:tcBorders>
          <w:top w:val="double" w:color="8EAADB" w:themeColor="accent5" w:themeTint="99"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399">
    <w:name w:val="清单表 4 - 着色 61"/>
    <w:basedOn w:val="91"/>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tblBorders>
    </w:tblPr>
    <w:tblStylePr w:type="firstRow">
      <w:rPr>
        <w:b/>
        <w:bCs/>
        <w:color w:val="FFFFFF" w:themeColor="background1"/>
        <w14:textFill>
          <w14:solidFill>
            <w14:schemeClr w14:val="bg1"/>
          </w14:solidFill>
        </w14:textFill>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tcBorders>
        <w:shd w:val="clear" w:color="auto" w:fill="70AD47" w:themeFill="accent6"/>
      </w:tcPr>
    </w:tblStylePr>
    <w:tblStylePr w:type="lastRow">
      <w:rPr>
        <w:b/>
        <w:bCs/>
      </w:rPr>
      <w:tcPr>
        <w:tcBorders>
          <w:top w:val="doub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400">
    <w:name w:val="清单表 5 深色1"/>
    <w:basedOn w:val="91"/>
    <w:qFormat/>
    <w:uiPriority w:val="50"/>
    <w:rPr>
      <w:color w:val="FFFFFF" w:themeColor="background1"/>
      <w14:textFill>
        <w14:solidFill>
          <w14:schemeClr w14:val="bg1"/>
        </w14:solidFill>
      </w14:textFill>
    </w:rPr>
    <w:tblPr>
      <w:tblBorders>
        <w:top w:val="single" w:color="000000" w:themeColor="text1" w:sz="24" w:space="0"/>
        <w:left w:val="single" w:color="000000" w:themeColor="text1" w:sz="24" w:space="0"/>
        <w:bottom w:val="single" w:color="000000" w:themeColor="text1" w:sz="24" w:space="0"/>
        <w:right w:val="single" w:color="000000" w:themeColor="text1" w:sz="24" w:space="0"/>
      </w:tblBorders>
    </w:tblPr>
    <w:tcPr>
      <w:shd w:val="clear" w:color="auto" w:fill="000000" w:themeFill="text1"/>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1">
    <w:name w:val="清单表 5 深色 - 着色 11"/>
    <w:basedOn w:val="91"/>
    <w:qFormat/>
    <w:uiPriority w:val="50"/>
    <w:rPr>
      <w:color w:val="FFFFFF" w:themeColor="background1"/>
      <w14:textFill>
        <w14:solidFill>
          <w14:schemeClr w14:val="bg1"/>
        </w14:solidFill>
      </w14:textFill>
    </w:rPr>
    <w:tblPr>
      <w:tblBorders>
        <w:top w:val="single" w:color="5B9BD5" w:themeColor="accent1" w:sz="24" w:space="0"/>
        <w:left w:val="single" w:color="5B9BD5" w:themeColor="accent1" w:sz="24" w:space="0"/>
        <w:bottom w:val="single" w:color="5B9BD5" w:themeColor="accent1" w:sz="24" w:space="0"/>
        <w:right w:val="single" w:color="5B9BD5" w:themeColor="accent1" w:sz="24" w:space="0"/>
      </w:tblBorders>
    </w:tblPr>
    <w:tcPr>
      <w:shd w:val="clear" w:color="auto" w:fill="5B9BD5" w:themeFill="accent1"/>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2">
    <w:name w:val="清单表 5 深色 - 着色 21"/>
    <w:basedOn w:val="91"/>
    <w:qFormat/>
    <w:uiPriority w:val="50"/>
    <w:rPr>
      <w:color w:val="FFFFFF" w:themeColor="background1"/>
      <w14:textFill>
        <w14:solidFill>
          <w14:schemeClr w14:val="bg1"/>
        </w14:solidFill>
      </w14:textFill>
    </w:rPr>
    <w:tblPr>
      <w:tblBorders>
        <w:top w:val="single" w:color="ED7D31" w:themeColor="accent2" w:sz="24" w:space="0"/>
        <w:left w:val="single" w:color="ED7D31" w:themeColor="accent2" w:sz="24" w:space="0"/>
        <w:bottom w:val="single" w:color="ED7D31" w:themeColor="accent2" w:sz="24" w:space="0"/>
        <w:right w:val="single" w:color="ED7D31" w:themeColor="accent2" w:sz="24" w:space="0"/>
      </w:tblBorders>
    </w:tblPr>
    <w:tcPr>
      <w:shd w:val="clear" w:color="auto" w:fill="ED7D31" w:themeFill="accent2"/>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3">
    <w:name w:val="清单表 5 深色 - 着色 31"/>
    <w:basedOn w:val="91"/>
    <w:qFormat/>
    <w:uiPriority w:val="50"/>
    <w:rPr>
      <w:color w:val="FFFFFF" w:themeColor="background1"/>
      <w14:textFill>
        <w14:solidFill>
          <w14:schemeClr w14:val="bg1"/>
        </w14:solidFill>
      </w14:textFill>
    </w:rPr>
    <w:tblPr>
      <w:tblBorders>
        <w:top w:val="single" w:color="A5A5A5" w:themeColor="accent3" w:sz="24" w:space="0"/>
        <w:left w:val="single" w:color="A5A5A5" w:themeColor="accent3" w:sz="24" w:space="0"/>
        <w:bottom w:val="single" w:color="A5A5A5" w:themeColor="accent3" w:sz="24" w:space="0"/>
        <w:right w:val="single" w:color="A5A5A5" w:themeColor="accent3" w:sz="24" w:space="0"/>
      </w:tblBorders>
    </w:tblPr>
    <w:tcPr>
      <w:shd w:val="clear" w:color="auto" w:fill="A5A5A5" w:themeFill="accent3"/>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4">
    <w:name w:val="清单表 5 深色 - 着色 41"/>
    <w:basedOn w:val="91"/>
    <w:qFormat/>
    <w:uiPriority w:val="50"/>
    <w:rPr>
      <w:color w:val="FFFFFF" w:themeColor="background1"/>
      <w14:textFill>
        <w14:solidFill>
          <w14:schemeClr w14:val="bg1"/>
        </w14:solidFill>
      </w14:textFill>
    </w:rPr>
    <w:tblPr>
      <w:tblBorders>
        <w:top w:val="single" w:color="FFC000" w:themeColor="accent4" w:sz="24" w:space="0"/>
        <w:left w:val="single" w:color="FFC000" w:themeColor="accent4" w:sz="24" w:space="0"/>
        <w:bottom w:val="single" w:color="FFC000" w:themeColor="accent4" w:sz="24" w:space="0"/>
        <w:right w:val="single" w:color="FFC000" w:themeColor="accent4" w:sz="24" w:space="0"/>
      </w:tblBorders>
    </w:tblPr>
    <w:tcPr>
      <w:shd w:val="clear" w:color="auto" w:fill="FFC000" w:themeFill="accent4"/>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5">
    <w:name w:val="清单表 5 深色 - 着色 51"/>
    <w:basedOn w:val="91"/>
    <w:qFormat/>
    <w:uiPriority w:val="50"/>
    <w:rPr>
      <w:color w:val="FFFFFF" w:themeColor="background1"/>
      <w14:textFill>
        <w14:solidFill>
          <w14:schemeClr w14:val="bg1"/>
        </w14:solidFill>
      </w14:textFill>
    </w:rPr>
    <w:tblPr>
      <w:tblBorders>
        <w:top w:val="single" w:color="4472C4" w:themeColor="accent5" w:sz="24" w:space="0"/>
        <w:left w:val="single" w:color="4472C4" w:themeColor="accent5" w:sz="24" w:space="0"/>
        <w:bottom w:val="single" w:color="4472C4" w:themeColor="accent5" w:sz="24" w:space="0"/>
        <w:right w:val="single" w:color="4472C4" w:themeColor="accent5" w:sz="24" w:space="0"/>
      </w:tblBorders>
    </w:tblPr>
    <w:tcPr>
      <w:shd w:val="clear" w:color="auto" w:fill="4472C4" w:themeFill="accent5"/>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6">
    <w:name w:val="清单表 5 深色 - 着色 61"/>
    <w:basedOn w:val="91"/>
    <w:qFormat/>
    <w:uiPriority w:val="50"/>
    <w:rPr>
      <w:color w:val="FFFFFF" w:themeColor="background1"/>
      <w14:textFill>
        <w14:solidFill>
          <w14:schemeClr w14:val="bg1"/>
        </w14:solidFill>
      </w14:textFill>
    </w:rPr>
    <w:tblPr>
      <w:tblBorders>
        <w:top w:val="single" w:color="70AD47" w:themeColor="accent6" w:sz="24" w:space="0"/>
        <w:left w:val="single" w:color="70AD47" w:themeColor="accent6" w:sz="24" w:space="0"/>
        <w:bottom w:val="single" w:color="70AD47" w:themeColor="accent6" w:sz="24" w:space="0"/>
        <w:right w:val="single" w:color="70AD47" w:themeColor="accent6" w:sz="24" w:space="0"/>
      </w:tblBorders>
    </w:tblPr>
    <w:tcPr>
      <w:shd w:val="clear" w:color="auto" w:fill="70AD47" w:themeFill="accent6"/>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7">
    <w:name w:val="清单表 6 彩色1"/>
    <w:basedOn w:val="91"/>
    <w:qFormat/>
    <w:uiPriority w:val="51"/>
    <w:rPr>
      <w:color w:val="000000" w:themeColor="text1"/>
      <w14:textFill>
        <w14:solidFill>
          <w14:schemeClr w14:val="tx1"/>
        </w14:solidFill>
      </w14:textFill>
    </w:rPr>
    <w:tblPr>
      <w:tblBorders>
        <w:top w:val="single" w:color="000000" w:themeColor="text1" w:sz="4" w:space="0"/>
        <w:bottom w:val="single" w:color="000000" w:themeColor="text1" w:sz="4" w:space="0"/>
      </w:tblBorders>
    </w:tblPr>
    <w:tblStylePr w:type="firstRow">
      <w:rPr>
        <w:b/>
        <w:bCs/>
      </w:rPr>
      <w:tcPr>
        <w:tcBorders>
          <w:bottom w:val="single" w:color="000000" w:themeColor="text1" w:sz="4" w:space="0"/>
        </w:tcBorders>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08">
    <w:name w:val="清单表 6 彩色 - 着色 11"/>
    <w:basedOn w:val="91"/>
    <w:qFormat/>
    <w:uiPriority w:val="51"/>
    <w:rPr>
      <w:color w:val="2E75B6" w:themeColor="accent1" w:themeShade="BF"/>
    </w:rPr>
    <w:tblPr>
      <w:tblBorders>
        <w:top w:val="single" w:color="5B9BD5" w:themeColor="accent1" w:sz="4" w:space="0"/>
        <w:bottom w:val="single" w:color="5B9BD5" w:themeColor="accent1" w:sz="4" w:space="0"/>
      </w:tblBorders>
    </w:tblPr>
    <w:tblStylePr w:type="firstRow">
      <w:rPr>
        <w:b/>
        <w:bCs/>
      </w:rPr>
      <w:tcPr>
        <w:tcBorders>
          <w:bottom w:val="single" w:color="5B9BD5" w:themeColor="accent1" w:sz="4" w:space="0"/>
        </w:tcBorders>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409">
    <w:name w:val="清单表 6 彩色 - 着色 21"/>
    <w:basedOn w:val="91"/>
    <w:qFormat/>
    <w:uiPriority w:val="51"/>
    <w:rPr>
      <w:color w:val="C55A11" w:themeColor="accent2" w:themeShade="BF"/>
    </w:rPr>
    <w:tblPr>
      <w:tblBorders>
        <w:top w:val="single" w:color="ED7D31" w:themeColor="accent2" w:sz="4" w:space="0"/>
        <w:bottom w:val="single" w:color="ED7D31" w:themeColor="accent2" w:sz="4" w:space="0"/>
      </w:tblBorders>
    </w:tblPr>
    <w:tblStylePr w:type="firstRow">
      <w:rPr>
        <w:b/>
        <w:bCs/>
      </w:rPr>
      <w:tcPr>
        <w:tcBorders>
          <w:bottom w:val="single" w:color="ED7D31" w:themeColor="accent2" w:sz="4" w:space="0"/>
        </w:tcBorders>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410">
    <w:name w:val="清单表 6 彩色 - 着色 31"/>
    <w:basedOn w:val="91"/>
    <w:qFormat/>
    <w:uiPriority w:val="51"/>
    <w:rPr>
      <w:color w:val="7C7C7C" w:themeColor="accent3" w:themeShade="BF"/>
    </w:rPr>
    <w:tblPr>
      <w:tblBorders>
        <w:top w:val="single" w:color="A5A5A5" w:themeColor="accent3" w:sz="4" w:space="0"/>
        <w:bottom w:val="single" w:color="A5A5A5" w:themeColor="accent3" w:sz="4" w:space="0"/>
      </w:tblBorders>
    </w:tblPr>
    <w:tblStylePr w:type="firstRow">
      <w:rPr>
        <w:b/>
        <w:bCs/>
      </w:rPr>
      <w:tcPr>
        <w:tcBorders>
          <w:bottom w:val="single" w:color="A5A5A5" w:themeColor="accent3" w:sz="4" w:space="0"/>
        </w:tcBorders>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11">
    <w:name w:val="清单表 6 彩色 - 着色 41"/>
    <w:basedOn w:val="91"/>
    <w:qFormat/>
    <w:uiPriority w:val="51"/>
    <w:rPr>
      <w:color w:val="BF9000" w:themeColor="accent4" w:themeShade="BF"/>
    </w:rPr>
    <w:tblPr>
      <w:tblBorders>
        <w:top w:val="single" w:color="FFC000" w:themeColor="accent4" w:sz="4" w:space="0"/>
        <w:bottom w:val="single" w:color="FFC000" w:themeColor="accent4" w:sz="4" w:space="0"/>
      </w:tblBorders>
    </w:tblPr>
    <w:tblStylePr w:type="firstRow">
      <w:rPr>
        <w:b/>
        <w:bCs/>
      </w:rPr>
      <w:tcPr>
        <w:tcBorders>
          <w:bottom w:val="single" w:color="FFC000" w:themeColor="accent4" w:sz="4" w:space="0"/>
        </w:tcBorders>
      </w:tcPr>
    </w:tblStylePr>
    <w:tblStylePr w:type="lastRow">
      <w:rPr>
        <w:b/>
        <w:bCs/>
      </w:rPr>
      <w:tcPr>
        <w:tcBorders>
          <w:top w:val="double" w:color="FFC000" w:themeColor="accent4"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412">
    <w:name w:val="清单表 6 彩色 - 着色 51"/>
    <w:basedOn w:val="91"/>
    <w:qFormat/>
    <w:uiPriority w:val="51"/>
    <w:rPr>
      <w:color w:val="2F5597" w:themeColor="accent5" w:themeShade="BF"/>
    </w:rPr>
    <w:tblPr>
      <w:tblBorders>
        <w:top w:val="single" w:color="4472C4" w:themeColor="accent5" w:sz="4" w:space="0"/>
        <w:bottom w:val="single" w:color="4472C4" w:themeColor="accent5" w:sz="4" w:space="0"/>
      </w:tblBorders>
    </w:tblPr>
    <w:tblStylePr w:type="firstRow">
      <w:rPr>
        <w:b/>
        <w:bCs/>
      </w:rPr>
      <w:tcPr>
        <w:tcBorders>
          <w:bottom w:val="single" w:color="4472C4" w:themeColor="accent5" w:sz="4" w:space="0"/>
        </w:tcBorders>
      </w:tcPr>
    </w:tblStylePr>
    <w:tblStylePr w:type="lastRow">
      <w:rPr>
        <w:b/>
        <w:bCs/>
      </w:rPr>
      <w:tcPr>
        <w:tcBorders>
          <w:top w:val="double" w:color="4472C4" w:themeColor="accent5"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413">
    <w:name w:val="清单表 6 彩色 - 着色 61"/>
    <w:basedOn w:val="91"/>
    <w:qFormat/>
    <w:uiPriority w:val="51"/>
    <w:rPr>
      <w:color w:val="548235" w:themeColor="accent6" w:themeShade="BF"/>
    </w:rPr>
    <w:tblPr>
      <w:tblBorders>
        <w:top w:val="single" w:color="70AD47" w:themeColor="accent6" w:sz="4" w:space="0"/>
        <w:bottom w:val="single" w:color="70AD47" w:themeColor="accent6" w:sz="4" w:space="0"/>
      </w:tblBorders>
    </w:tblPr>
    <w:tblStylePr w:type="firstRow">
      <w:rPr>
        <w:b/>
        <w:bCs/>
      </w:rPr>
      <w:tcPr>
        <w:tcBorders>
          <w:bottom w:val="single" w:color="70AD47" w:themeColor="accent6" w:sz="4" w:space="0"/>
        </w:tcBorders>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414">
    <w:name w:val="清单表 7 彩色1"/>
    <w:basedOn w:val="91"/>
    <w:qFormat/>
    <w:uiPriority w:val="52"/>
    <w:rPr>
      <w:color w:val="000000" w:themeColor="text1"/>
      <w14:textFill>
        <w14:solidFill>
          <w14:schemeClr w14:val="tx1"/>
        </w14:solidFill>
      </w14:textFill>
    </w:r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5">
    <w:name w:val="清单表 7 彩色 - 着色 11"/>
    <w:basedOn w:val="91"/>
    <w:qFormat/>
    <w:uiPriority w:val="52"/>
    <w:rPr>
      <w:color w:val="2E75B6" w:themeColor="accent1" w:themeShade="BF"/>
    </w:rPr>
    <w:tblStylePr w:type="firstRow">
      <w:rPr>
        <w:rFonts w:asciiTheme="majorHAnsi" w:hAnsiTheme="majorHAnsi" w:eastAsiaTheme="majorEastAsia" w:cstheme="majorBidi"/>
        <w:i/>
        <w:iCs/>
        <w:sz w:val="26"/>
      </w:rPr>
      <w:tcPr>
        <w:tcBorders>
          <w:bottom w:val="single" w:color="5B9BD5" w:themeColor="accen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5B9BD5" w:themeColor="accen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5B9BD5" w:themeColor="accen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5B9BD5" w:themeColor="accent1" w:sz="4" w:space="0"/>
        </w:tcBorders>
        <w:shd w:val="clear" w:color="auto" w:fill="FFFFFF" w:themeFill="background1"/>
      </w:tcPr>
    </w:tblStylePr>
    <w:tblStylePr w:type="band1Vert">
      <w:tcPr>
        <w:shd w:val="clear" w:color="auto" w:fill="DEEAF6" w:themeFill="accent1" w:themeFillTint="33"/>
      </w:tcPr>
    </w:tblStylePr>
    <w:tblStylePr w:type="band1Horz">
      <w:tcPr>
        <w:shd w:val="clear" w:color="auto" w:fill="DEEAF6" w:themeFill="accen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6">
    <w:name w:val="清单表 7 彩色 - 着色 21"/>
    <w:basedOn w:val="91"/>
    <w:qFormat/>
    <w:uiPriority w:val="52"/>
    <w:rPr>
      <w:color w:val="C55A11" w:themeColor="accent2" w:themeShade="BF"/>
    </w:rPr>
    <w:tblStylePr w:type="firstRow">
      <w:rPr>
        <w:rFonts w:asciiTheme="majorHAnsi" w:hAnsiTheme="majorHAnsi" w:eastAsiaTheme="majorEastAsia" w:cstheme="majorBidi"/>
        <w:i/>
        <w:iCs/>
        <w:sz w:val="26"/>
      </w:rPr>
      <w:tcPr>
        <w:tcBorders>
          <w:bottom w:val="single" w:color="ED7D31" w:themeColor="accent2"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ED7D31" w:themeColor="accent2"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ED7D31" w:themeColor="accent2"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ED7D31" w:themeColor="accent2" w:sz="4" w:space="0"/>
        </w:tcBorders>
        <w:shd w:val="clear" w:color="auto" w:fill="FFFFFF" w:themeFill="background1"/>
      </w:tcPr>
    </w:tblStylePr>
    <w:tblStylePr w:type="band1Vert">
      <w:tcPr>
        <w:shd w:val="clear" w:color="auto" w:fill="FBE4D5" w:themeFill="accent2" w:themeFillTint="33"/>
      </w:tcPr>
    </w:tblStylePr>
    <w:tblStylePr w:type="band1Horz">
      <w:tcPr>
        <w:shd w:val="clear" w:color="auto" w:fill="FBE4D5" w:themeFill="accent2"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7">
    <w:name w:val="清单表 7 彩色 - 着色 31"/>
    <w:basedOn w:val="91"/>
    <w:qFormat/>
    <w:uiPriority w:val="52"/>
    <w:rPr>
      <w:color w:val="7C7C7C" w:themeColor="accent3" w:themeShade="BF"/>
    </w:rPr>
    <w:tblStylePr w:type="firstRow">
      <w:rPr>
        <w:rFonts w:asciiTheme="majorHAnsi" w:hAnsiTheme="majorHAnsi" w:eastAsiaTheme="majorEastAsia" w:cstheme="majorBidi"/>
        <w:i/>
        <w:iCs/>
        <w:sz w:val="26"/>
      </w:rPr>
      <w:tcPr>
        <w:tcBorders>
          <w:bottom w:val="single" w:color="A5A5A5" w:themeColor="accent3"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A5A5A5" w:themeColor="accent3"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A5A5A5" w:themeColor="accent3"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A5A5A5" w:themeColor="accent3" w:sz="4" w:space="0"/>
        </w:tcBorders>
        <w:shd w:val="clear" w:color="auto" w:fill="FFFFFF" w:themeFill="background1"/>
      </w:tcPr>
    </w:tblStylePr>
    <w:tblStylePr w:type="band1Vert">
      <w:tcPr>
        <w:shd w:val="clear" w:color="auto" w:fill="ECECEC" w:themeFill="accent3" w:themeFillTint="33"/>
      </w:tcPr>
    </w:tblStylePr>
    <w:tblStylePr w:type="band1Horz">
      <w:tcPr>
        <w:shd w:val="clear" w:color="auto" w:fill="ECECEC" w:themeFill="accent3"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8">
    <w:name w:val="清单表 7 彩色 - 着色 41"/>
    <w:basedOn w:val="91"/>
    <w:qFormat/>
    <w:uiPriority w:val="52"/>
    <w:rPr>
      <w:color w:val="BF9000" w:themeColor="accent4" w:themeShade="BF"/>
    </w:rPr>
    <w:tblStylePr w:type="firstRow">
      <w:rPr>
        <w:rFonts w:asciiTheme="majorHAnsi" w:hAnsiTheme="majorHAnsi" w:eastAsiaTheme="majorEastAsia" w:cstheme="majorBidi"/>
        <w:i/>
        <w:iCs/>
        <w:sz w:val="26"/>
      </w:rPr>
      <w:tcPr>
        <w:tcBorders>
          <w:bottom w:val="single" w:color="FFC000" w:themeColor="accent4"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FFC000" w:themeColor="accent4"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FFC000" w:themeColor="accent4"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FFC000" w:themeColor="accent4" w:sz="4" w:space="0"/>
        </w:tcBorders>
        <w:shd w:val="clear" w:color="auto" w:fill="FFFFFF" w:themeFill="background1"/>
      </w:tcPr>
    </w:tblStylePr>
    <w:tblStylePr w:type="band1Vert">
      <w:tcPr>
        <w:shd w:val="clear" w:color="auto" w:fill="FEF2CC" w:themeFill="accent4" w:themeFillTint="33"/>
      </w:tcPr>
    </w:tblStylePr>
    <w:tblStylePr w:type="band1Horz">
      <w:tcPr>
        <w:shd w:val="clear" w:color="auto" w:fill="FEF2CC" w:themeFill="accent4"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9">
    <w:name w:val="清单表 7 彩色 - 着色 51"/>
    <w:basedOn w:val="91"/>
    <w:qFormat/>
    <w:uiPriority w:val="52"/>
    <w:rPr>
      <w:color w:val="2F5597" w:themeColor="accent5" w:themeShade="BF"/>
    </w:rPr>
    <w:tblStylePr w:type="firstRow">
      <w:rPr>
        <w:rFonts w:asciiTheme="majorHAnsi" w:hAnsiTheme="majorHAnsi" w:eastAsiaTheme="majorEastAsia" w:cstheme="majorBidi"/>
        <w:i/>
        <w:iCs/>
        <w:sz w:val="26"/>
      </w:rPr>
      <w:tcPr>
        <w:tcBorders>
          <w:bottom w:val="single" w:color="4472C4" w:themeColor="accent5"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4472C4" w:themeColor="accent5"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4472C4" w:themeColor="accent5"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4472C4" w:themeColor="accent5" w:sz="4" w:space="0"/>
        </w:tcBorders>
        <w:shd w:val="clear" w:color="auto" w:fill="FFFFFF" w:themeFill="background1"/>
      </w:tcPr>
    </w:tblStylePr>
    <w:tblStylePr w:type="band1Vert">
      <w:tcPr>
        <w:shd w:val="clear" w:color="auto" w:fill="D9E2F3" w:themeFill="accent5" w:themeFillTint="33"/>
      </w:tcPr>
    </w:tblStylePr>
    <w:tblStylePr w:type="band1Horz">
      <w:tcPr>
        <w:shd w:val="clear" w:color="auto" w:fill="D9E2F3" w:themeFill="accent5"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20">
    <w:name w:val="清单表 7 彩色 - 着色 61"/>
    <w:basedOn w:val="91"/>
    <w:qFormat/>
    <w:uiPriority w:val="52"/>
    <w:rPr>
      <w:color w:val="548235" w:themeColor="accent6" w:themeShade="BF"/>
    </w:rPr>
    <w:tblStylePr w:type="firstRow">
      <w:rPr>
        <w:rFonts w:asciiTheme="majorHAnsi" w:hAnsiTheme="majorHAnsi" w:eastAsiaTheme="majorEastAsia" w:cstheme="majorBidi"/>
        <w:i/>
        <w:iCs/>
        <w:sz w:val="26"/>
      </w:rPr>
      <w:tcPr>
        <w:tcBorders>
          <w:bottom w:val="single" w:color="70AD47" w:themeColor="accent6"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70AD47" w:themeColor="accent6"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70AD47" w:themeColor="accent6"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70AD47" w:themeColor="accent6" w:sz="4" w:space="0"/>
        </w:tcBorders>
        <w:shd w:val="clear" w:color="auto" w:fill="FFFFFF" w:themeFill="background1"/>
      </w:tcPr>
    </w:tblStylePr>
    <w:tblStylePr w:type="band1Vert">
      <w:tcPr>
        <w:shd w:val="clear" w:color="auto" w:fill="E2EFD9" w:themeFill="accent6" w:themeFillTint="33"/>
      </w:tcPr>
    </w:tblStylePr>
    <w:tblStylePr w:type="band1Horz">
      <w:tcPr>
        <w:shd w:val="clear" w:color="auto" w:fill="E2EFD9" w:themeFill="accent6"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character" w:customStyle="1" w:styleId="421">
    <w:name w:val="日期 字符"/>
    <w:basedOn w:val="234"/>
    <w:link w:val="57"/>
    <w:semiHidden/>
    <w:qFormat/>
    <w:uiPriority w:val="99"/>
    <w:rPr>
      <w:kern w:val="2"/>
      <w:sz w:val="21"/>
      <w:szCs w:val="24"/>
    </w:rPr>
  </w:style>
  <w:style w:type="character" w:customStyle="1" w:styleId="422">
    <w:name w:val="书籍标题1"/>
    <w:basedOn w:val="234"/>
    <w:qFormat/>
    <w:uiPriority w:val="33"/>
    <w:rPr>
      <w:b/>
      <w:bCs/>
      <w:i/>
      <w:iCs/>
      <w:spacing w:val="5"/>
    </w:rPr>
  </w:style>
  <w:style w:type="paragraph" w:customStyle="1" w:styleId="423">
    <w:name w:val="书目1"/>
    <w:basedOn w:val="1"/>
    <w:next w:val="1"/>
    <w:semiHidden/>
    <w:unhideWhenUsed/>
    <w:qFormat/>
    <w:uiPriority w:val="37"/>
  </w:style>
  <w:style w:type="table" w:customStyle="1" w:styleId="424">
    <w:name w:val="网格表 1 浅色1"/>
    <w:basedOn w:val="91"/>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425">
    <w:name w:val="网格表 1 浅色 - 着色 11"/>
    <w:basedOn w:val="91"/>
    <w:qFormat/>
    <w:uiPriority w:val="46"/>
    <w:tblPr>
      <w:tblBorders>
        <w:top w:val="single" w:color="BDD6EE" w:themeColor="accent1" w:themeTint="66" w:sz="4" w:space="0"/>
        <w:left w:val="single" w:color="BDD6EE" w:themeColor="accent1" w:themeTint="66" w:sz="4" w:space="0"/>
        <w:bottom w:val="single" w:color="BDD6EE" w:themeColor="accent1" w:themeTint="66" w:sz="4" w:space="0"/>
        <w:right w:val="single" w:color="BDD6EE" w:themeColor="accent1" w:themeTint="66" w:sz="4" w:space="0"/>
        <w:insideH w:val="single" w:color="BDD6EE" w:themeColor="accent1" w:themeTint="66" w:sz="4" w:space="0"/>
        <w:insideV w:val="single" w:color="BDD6EE" w:themeColor="accent1" w:themeTint="66" w:sz="4" w:space="0"/>
      </w:tblBorders>
    </w:tblPr>
    <w:tblStylePr w:type="firstRow">
      <w:rPr>
        <w:b/>
        <w:bCs/>
      </w:rPr>
      <w:tcPr>
        <w:tcBorders>
          <w:bottom w:val="single" w:color="9CC2E5" w:themeColor="accent1" w:themeTint="99" w:sz="12" w:space="0"/>
        </w:tcBorders>
      </w:tcPr>
    </w:tblStylePr>
    <w:tblStylePr w:type="lastRow">
      <w:rPr>
        <w:b/>
        <w:bCs/>
      </w:rPr>
      <w:tcPr>
        <w:tcBorders>
          <w:top w:val="double" w:color="9CC2E5" w:themeColor="accent1" w:themeTint="99" w:sz="2" w:space="0"/>
        </w:tcBorders>
      </w:tcPr>
    </w:tblStylePr>
    <w:tblStylePr w:type="firstCol">
      <w:rPr>
        <w:b/>
        <w:bCs/>
      </w:rPr>
    </w:tblStylePr>
    <w:tblStylePr w:type="lastCol">
      <w:rPr>
        <w:b/>
        <w:bCs/>
      </w:rPr>
    </w:tblStylePr>
  </w:style>
  <w:style w:type="table" w:customStyle="1" w:styleId="426">
    <w:name w:val="网格表 1 浅色 - 着色 21"/>
    <w:basedOn w:val="91"/>
    <w:qFormat/>
    <w:uiPriority w:val="46"/>
    <w:tblPr>
      <w:tblBorders>
        <w:top w:val="single" w:color="F7CAAC" w:themeColor="accent2" w:themeTint="66" w:sz="4" w:space="0"/>
        <w:left w:val="single" w:color="F7CAAC" w:themeColor="accent2" w:themeTint="66" w:sz="4" w:space="0"/>
        <w:bottom w:val="single" w:color="F7CAAC" w:themeColor="accent2" w:themeTint="66" w:sz="4" w:space="0"/>
        <w:right w:val="single" w:color="F7CAAC" w:themeColor="accent2" w:themeTint="66" w:sz="4" w:space="0"/>
        <w:insideH w:val="single" w:color="F7CAAC" w:themeColor="accent2" w:themeTint="66" w:sz="4" w:space="0"/>
        <w:insideV w:val="single" w:color="F7CAAC" w:themeColor="accent2" w:themeTint="66" w:sz="4" w:space="0"/>
      </w:tblBorders>
    </w:tblPr>
    <w:tblStylePr w:type="firstRow">
      <w:rPr>
        <w:b/>
        <w:bCs/>
      </w:rPr>
      <w:tcPr>
        <w:tcBorders>
          <w:bottom w:val="single" w:color="F4B083" w:themeColor="accent2" w:themeTint="99" w:sz="12" w:space="0"/>
        </w:tcBorders>
      </w:tcPr>
    </w:tblStylePr>
    <w:tblStylePr w:type="lastRow">
      <w:rPr>
        <w:b/>
        <w:bCs/>
      </w:rPr>
      <w:tcPr>
        <w:tcBorders>
          <w:top w:val="double" w:color="F4B083" w:themeColor="accent2" w:themeTint="99" w:sz="2" w:space="0"/>
        </w:tcBorders>
      </w:tcPr>
    </w:tblStylePr>
    <w:tblStylePr w:type="firstCol">
      <w:rPr>
        <w:b/>
        <w:bCs/>
      </w:rPr>
    </w:tblStylePr>
    <w:tblStylePr w:type="lastCol">
      <w:rPr>
        <w:b/>
        <w:bCs/>
      </w:rPr>
    </w:tblStylePr>
  </w:style>
  <w:style w:type="table" w:customStyle="1" w:styleId="427">
    <w:name w:val="网格表 1 浅色 - 着色 31"/>
    <w:basedOn w:val="91"/>
    <w:qFormat/>
    <w:uiPriority w:val="46"/>
    <w:tblPr>
      <w:tblBorders>
        <w:top w:val="single" w:color="DADADA" w:themeColor="accent3" w:themeTint="66" w:sz="4" w:space="0"/>
        <w:left w:val="single" w:color="DADADA" w:themeColor="accent3" w:themeTint="66" w:sz="4" w:space="0"/>
        <w:bottom w:val="single" w:color="DADADA" w:themeColor="accent3" w:themeTint="66" w:sz="4" w:space="0"/>
        <w:right w:val="single" w:color="DADADA" w:themeColor="accent3" w:themeTint="66" w:sz="4" w:space="0"/>
        <w:insideH w:val="single" w:color="DADADA" w:themeColor="accent3" w:themeTint="66" w:sz="4" w:space="0"/>
        <w:insideV w:val="single" w:color="DADADA" w:themeColor="accent3" w:themeTint="66" w:sz="4" w:space="0"/>
      </w:tblBorders>
    </w:tblPr>
    <w:tblStylePr w:type="firstRow">
      <w:rPr>
        <w:b/>
        <w:bCs/>
      </w:rPr>
      <w:tcPr>
        <w:tcBorders>
          <w:bottom w:val="single" w:color="C8C8C8" w:themeColor="accent3" w:themeTint="99" w:sz="12" w:space="0"/>
        </w:tcBorders>
      </w:tcPr>
    </w:tblStylePr>
    <w:tblStylePr w:type="lastRow">
      <w:rPr>
        <w:b/>
        <w:bCs/>
      </w:rPr>
      <w:tcPr>
        <w:tcBorders>
          <w:top w:val="double" w:color="C8C8C8" w:themeColor="accent3" w:themeTint="99" w:sz="2" w:space="0"/>
        </w:tcBorders>
      </w:tcPr>
    </w:tblStylePr>
    <w:tblStylePr w:type="firstCol">
      <w:rPr>
        <w:b/>
        <w:bCs/>
      </w:rPr>
    </w:tblStylePr>
    <w:tblStylePr w:type="lastCol">
      <w:rPr>
        <w:b/>
        <w:bCs/>
      </w:rPr>
    </w:tblStylePr>
  </w:style>
  <w:style w:type="table" w:customStyle="1" w:styleId="428">
    <w:name w:val="网格表 1 浅色 - 着色 41"/>
    <w:basedOn w:val="91"/>
    <w:qFormat/>
    <w:uiPriority w:val="46"/>
    <w:tblPr>
      <w:tblBorders>
        <w:top w:val="single" w:color="FFE599" w:themeColor="accent4" w:themeTint="66" w:sz="4" w:space="0"/>
        <w:left w:val="single" w:color="FFE599" w:themeColor="accent4" w:themeTint="66" w:sz="4" w:space="0"/>
        <w:bottom w:val="single" w:color="FFE599" w:themeColor="accent4" w:themeTint="66" w:sz="4" w:space="0"/>
        <w:right w:val="single" w:color="FFE599" w:themeColor="accent4" w:themeTint="66" w:sz="4" w:space="0"/>
        <w:insideH w:val="single" w:color="FFE599" w:themeColor="accent4" w:themeTint="66" w:sz="4" w:space="0"/>
        <w:insideV w:val="single" w:color="FFE599" w:themeColor="accent4" w:themeTint="66" w:sz="4" w:space="0"/>
      </w:tblBorders>
    </w:tblPr>
    <w:tblStylePr w:type="firstRow">
      <w:rPr>
        <w:b/>
        <w:bCs/>
      </w:rPr>
      <w:tcPr>
        <w:tcBorders>
          <w:bottom w:val="single" w:color="FFD965" w:themeColor="accent4" w:themeTint="99" w:sz="12" w:space="0"/>
        </w:tcBorders>
      </w:tcPr>
    </w:tblStylePr>
    <w:tblStylePr w:type="lastRow">
      <w:rPr>
        <w:b/>
        <w:bCs/>
      </w:rPr>
      <w:tcPr>
        <w:tcBorders>
          <w:top w:val="double" w:color="FFD965" w:themeColor="accent4" w:themeTint="99" w:sz="2" w:space="0"/>
        </w:tcBorders>
      </w:tcPr>
    </w:tblStylePr>
    <w:tblStylePr w:type="firstCol">
      <w:rPr>
        <w:b/>
        <w:bCs/>
      </w:rPr>
    </w:tblStylePr>
    <w:tblStylePr w:type="lastCol">
      <w:rPr>
        <w:b/>
        <w:bCs/>
      </w:rPr>
    </w:tblStylePr>
  </w:style>
  <w:style w:type="table" w:customStyle="1" w:styleId="429">
    <w:name w:val="网格表 1 浅色 - 着色 51"/>
    <w:basedOn w:val="91"/>
    <w:qFormat/>
    <w:uiPriority w:val="46"/>
    <w:tblPr>
      <w:tblBorders>
        <w:top w:val="single" w:color="B4C6E7" w:themeColor="accent5" w:themeTint="66" w:sz="4" w:space="0"/>
        <w:left w:val="single" w:color="B4C6E7" w:themeColor="accent5" w:themeTint="66" w:sz="4" w:space="0"/>
        <w:bottom w:val="single" w:color="B4C6E7" w:themeColor="accent5" w:themeTint="66" w:sz="4" w:space="0"/>
        <w:right w:val="single" w:color="B4C6E7" w:themeColor="accent5" w:themeTint="66" w:sz="4" w:space="0"/>
        <w:insideH w:val="single" w:color="B4C6E7" w:themeColor="accent5" w:themeTint="66" w:sz="4" w:space="0"/>
        <w:insideV w:val="single" w:color="B4C6E7" w:themeColor="accent5" w:themeTint="66" w:sz="4" w:space="0"/>
      </w:tblBorders>
    </w:tblPr>
    <w:tblStylePr w:type="firstRow">
      <w:rPr>
        <w:b/>
        <w:bCs/>
      </w:rPr>
      <w:tcPr>
        <w:tcBorders>
          <w:bottom w:val="single" w:color="8EAADB" w:themeColor="accent5" w:themeTint="99" w:sz="12" w:space="0"/>
        </w:tcBorders>
      </w:tcPr>
    </w:tblStylePr>
    <w:tblStylePr w:type="lastRow">
      <w:rPr>
        <w:b/>
        <w:bCs/>
      </w:rPr>
      <w:tcPr>
        <w:tcBorders>
          <w:top w:val="double" w:color="8EAADB" w:themeColor="accent5" w:themeTint="99" w:sz="2" w:space="0"/>
        </w:tcBorders>
      </w:tcPr>
    </w:tblStylePr>
    <w:tblStylePr w:type="firstCol">
      <w:rPr>
        <w:b/>
        <w:bCs/>
      </w:rPr>
    </w:tblStylePr>
    <w:tblStylePr w:type="lastCol">
      <w:rPr>
        <w:b/>
        <w:bCs/>
      </w:rPr>
    </w:tblStylePr>
  </w:style>
  <w:style w:type="table" w:customStyle="1" w:styleId="430">
    <w:name w:val="网格表 1 浅色 - 着色 61"/>
    <w:basedOn w:val="91"/>
    <w:qFormat/>
    <w:uiPriority w:val="46"/>
    <w:tblPr>
      <w:tblBorders>
        <w:top w:val="single" w:color="C5E0B3" w:themeColor="accent6" w:themeTint="66" w:sz="4" w:space="0"/>
        <w:left w:val="single" w:color="C5E0B3" w:themeColor="accent6" w:themeTint="66" w:sz="4" w:space="0"/>
        <w:bottom w:val="single" w:color="C5E0B3" w:themeColor="accent6" w:themeTint="66" w:sz="4" w:space="0"/>
        <w:right w:val="single" w:color="C5E0B3" w:themeColor="accent6" w:themeTint="66" w:sz="4" w:space="0"/>
        <w:insideH w:val="single" w:color="C5E0B3" w:themeColor="accent6" w:themeTint="66" w:sz="4" w:space="0"/>
        <w:insideV w:val="single" w:color="C5E0B3" w:themeColor="accent6" w:themeTint="66" w:sz="4" w:space="0"/>
      </w:tblBorders>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2" w:space="0"/>
        </w:tcBorders>
      </w:tcPr>
    </w:tblStylePr>
    <w:tblStylePr w:type="firstCol">
      <w:rPr>
        <w:b/>
        <w:bCs/>
      </w:rPr>
    </w:tblStylePr>
    <w:tblStylePr w:type="lastCol">
      <w:rPr>
        <w:b/>
        <w:bCs/>
      </w:rPr>
    </w:tblStylePr>
  </w:style>
  <w:style w:type="table" w:customStyle="1" w:styleId="431">
    <w:name w:val="网格表 21"/>
    <w:basedOn w:val="91"/>
    <w:qFormat/>
    <w:uiPriority w:val="47"/>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32">
    <w:name w:val="网格表 2 - 着色 11"/>
    <w:basedOn w:val="91"/>
    <w:qFormat/>
    <w:uiPriority w:val="47"/>
    <w:tblPr>
      <w:tblBorders>
        <w:top w:val="single" w:color="9CC2E5" w:themeColor="accent1" w:themeTint="99" w:sz="2" w:space="0"/>
        <w:bottom w:val="single" w:color="9CC2E5" w:themeColor="accent1" w:themeTint="99" w:sz="2" w:space="0"/>
        <w:insideH w:val="single" w:color="9CC2E5" w:themeColor="accent1" w:themeTint="99" w:sz="2" w:space="0"/>
        <w:insideV w:val="single" w:color="9CC2E5" w:themeColor="accent1" w:themeTint="99" w:sz="2" w:space="0"/>
      </w:tblBorders>
    </w:tblPr>
    <w:tblStylePr w:type="firstRow">
      <w:rPr>
        <w:b/>
        <w:bCs/>
      </w:rPr>
      <w:tcPr>
        <w:tcBorders>
          <w:top w:val="nil"/>
          <w:bottom w:val="single" w:color="9CC2E5" w:themeColor="accent1" w:themeTint="99" w:sz="12" w:space="0"/>
          <w:insideH w:val="nil"/>
          <w:insideV w:val="nil"/>
        </w:tcBorders>
        <w:shd w:val="clear" w:color="auto" w:fill="FFFFFF" w:themeFill="background1"/>
      </w:tcPr>
    </w:tblStylePr>
    <w:tblStylePr w:type="lastRow">
      <w:rPr>
        <w:b/>
        <w:bCs/>
      </w:rPr>
      <w:tcPr>
        <w:tcBorders>
          <w:top w:val="double" w:color="9CC2E5" w:themeColor="accen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433">
    <w:name w:val="网格表 2 - 着色 21"/>
    <w:basedOn w:val="91"/>
    <w:qFormat/>
    <w:uiPriority w:val="47"/>
    <w:tblPr>
      <w:tblBorders>
        <w:top w:val="single" w:color="F4B083" w:themeColor="accent2" w:themeTint="99" w:sz="2" w:space="0"/>
        <w:bottom w:val="single" w:color="F4B083" w:themeColor="accent2" w:themeTint="99" w:sz="2" w:space="0"/>
        <w:insideH w:val="single" w:color="F4B083" w:themeColor="accent2" w:themeTint="99" w:sz="2" w:space="0"/>
        <w:insideV w:val="single" w:color="F4B083" w:themeColor="accent2" w:themeTint="99" w:sz="2" w:space="0"/>
      </w:tblBorders>
    </w:tblPr>
    <w:tblStylePr w:type="firstRow">
      <w:rPr>
        <w:b/>
        <w:bCs/>
      </w:rPr>
      <w:tcPr>
        <w:tcBorders>
          <w:top w:val="nil"/>
          <w:bottom w:val="single" w:color="F4B083" w:themeColor="accent2" w:themeTint="99" w:sz="12" w:space="0"/>
          <w:insideH w:val="nil"/>
          <w:insideV w:val="nil"/>
        </w:tcBorders>
        <w:shd w:val="clear" w:color="auto" w:fill="FFFFFF" w:themeFill="background1"/>
      </w:tcPr>
    </w:tblStylePr>
    <w:tblStylePr w:type="lastRow">
      <w:rPr>
        <w:b/>
        <w:bCs/>
      </w:rPr>
      <w:tcPr>
        <w:tcBorders>
          <w:top w:val="double" w:color="F4B083" w:themeColor="accent2"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434">
    <w:name w:val="网格表 2 - 着色 31"/>
    <w:basedOn w:val="91"/>
    <w:qFormat/>
    <w:uiPriority w:val="47"/>
    <w:tblPr>
      <w:tblBorders>
        <w:top w:val="single" w:color="C8C8C8" w:themeColor="accent3" w:themeTint="99" w:sz="2" w:space="0"/>
        <w:bottom w:val="single" w:color="C8C8C8" w:themeColor="accent3" w:themeTint="99" w:sz="2" w:space="0"/>
        <w:insideH w:val="single" w:color="C8C8C8" w:themeColor="accent3" w:themeTint="99" w:sz="2" w:space="0"/>
        <w:insideV w:val="single" w:color="C8C8C8" w:themeColor="accent3" w:themeTint="99" w:sz="2" w:space="0"/>
      </w:tblBorders>
    </w:tblPr>
    <w:tblStylePr w:type="firstRow">
      <w:rPr>
        <w:b/>
        <w:bCs/>
      </w:rPr>
      <w:tcPr>
        <w:tcBorders>
          <w:top w:val="nil"/>
          <w:bottom w:val="single" w:color="C8C8C8" w:themeColor="accent3" w:themeTint="99" w:sz="12" w:space="0"/>
          <w:insideH w:val="nil"/>
          <w:insideV w:val="nil"/>
        </w:tcBorders>
        <w:shd w:val="clear" w:color="auto" w:fill="FFFFFF" w:themeFill="background1"/>
      </w:tcPr>
    </w:tblStylePr>
    <w:tblStylePr w:type="lastRow">
      <w:rPr>
        <w:b/>
        <w:bCs/>
      </w:rPr>
      <w:tcPr>
        <w:tcBorders>
          <w:top w:val="double" w:color="C8C8C8" w:themeColor="accent3"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35">
    <w:name w:val="网格表 2 - 着色 41"/>
    <w:basedOn w:val="91"/>
    <w:qFormat/>
    <w:uiPriority w:val="47"/>
    <w:tblPr>
      <w:tblBorders>
        <w:top w:val="single" w:color="FFD965" w:themeColor="accent4" w:themeTint="99" w:sz="2" w:space="0"/>
        <w:bottom w:val="single" w:color="FFD965" w:themeColor="accent4" w:themeTint="99" w:sz="2" w:space="0"/>
        <w:insideH w:val="single" w:color="FFD965" w:themeColor="accent4" w:themeTint="99" w:sz="2" w:space="0"/>
        <w:insideV w:val="single" w:color="FFD965" w:themeColor="accent4" w:themeTint="99" w:sz="2" w:space="0"/>
      </w:tblBorders>
    </w:tblPr>
    <w:tblStylePr w:type="firstRow">
      <w:rPr>
        <w:b/>
        <w:bCs/>
      </w:rPr>
      <w:tcPr>
        <w:tcBorders>
          <w:top w:val="nil"/>
          <w:bottom w:val="single" w:color="FFD965" w:themeColor="accent4" w:themeTint="99" w:sz="12" w:space="0"/>
          <w:insideH w:val="nil"/>
          <w:insideV w:val="nil"/>
        </w:tcBorders>
        <w:shd w:val="clear" w:color="auto" w:fill="FFFFFF" w:themeFill="background1"/>
      </w:tcPr>
    </w:tblStylePr>
    <w:tblStylePr w:type="lastRow">
      <w:rPr>
        <w:b/>
        <w:bCs/>
      </w:rPr>
      <w:tcPr>
        <w:tcBorders>
          <w:top w:val="double" w:color="FFD965" w:themeColor="accent4"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436">
    <w:name w:val="网格表 2 - 着色 51"/>
    <w:basedOn w:val="91"/>
    <w:qFormat/>
    <w:uiPriority w:val="47"/>
    <w:tblPr>
      <w:tblBorders>
        <w:top w:val="single" w:color="8EAADB" w:themeColor="accent5" w:themeTint="99" w:sz="2" w:space="0"/>
        <w:bottom w:val="single" w:color="8EAADB" w:themeColor="accent5" w:themeTint="99" w:sz="2" w:space="0"/>
        <w:insideH w:val="single" w:color="8EAADB" w:themeColor="accent5" w:themeTint="99" w:sz="2" w:space="0"/>
        <w:insideV w:val="single" w:color="8EAADB" w:themeColor="accent5" w:themeTint="99" w:sz="2" w:space="0"/>
      </w:tblBorders>
    </w:tblPr>
    <w:tblStylePr w:type="firstRow">
      <w:rPr>
        <w:b/>
        <w:bCs/>
      </w:rPr>
      <w:tcPr>
        <w:tcBorders>
          <w:top w:val="nil"/>
          <w:bottom w:val="single" w:color="8EAADB" w:themeColor="accent5" w:themeTint="99" w:sz="12" w:space="0"/>
          <w:insideH w:val="nil"/>
          <w:insideV w:val="nil"/>
        </w:tcBorders>
        <w:shd w:val="clear" w:color="auto" w:fill="FFFFFF" w:themeFill="background1"/>
      </w:tcPr>
    </w:tblStylePr>
    <w:tblStylePr w:type="lastRow">
      <w:rPr>
        <w:b/>
        <w:bCs/>
      </w:rPr>
      <w:tcPr>
        <w:tcBorders>
          <w:top w:val="double" w:color="8EAADB" w:themeColor="accent5"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437">
    <w:name w:val="网格表 2 - 着色 61"/>
    <w:basedOn w:val="91"/>
    <w:qFormat/>
    <w:uiPriority w:val="47"/>
    <w:tblPr>
      <w:tblBorders>
        <w:top w:val="single" w:color="A8D08D" w:themeColor="accent6" w:themeTint="99" w:sz="2" w:space="0"/>
        <w:bottom w:val="single" w:color="A8D08D" w:themeColor="accent6" w:themeTint="99" w:sz="2" w:space="0"/>
        <w:insideH w:val="single" w:color="A8D08D" w:themeColor="accent6" w:themeTint="99" w:sz="2" w:space="0"/>
        <w:insideV w:val="single" w:color="A8D08D" w:themeColor="accent6" w:themeTint="99" w:sz="2" w:space="0"/>
      </w:tblBorders>
    </w:tblPr>
    <w:tblStylePr w:type="firstRow">
      <w:rPr>
        <w:b/>
        <w:bCs/>
      </w:rPr>
      <w:tcPr>
        <w:tcBorders>
          <w:top w:val="nil"/>
          <w:bottom w:val="single" w:color="A8D08D" w:themeColor="accent6" w:themeTint="99" w:sz="12" w:space="0"/>
          <w:insideH w:val="nil"/>
          <w:insideV w:val="nil"/>
        </w:tcBorders>
        <w:shd w:val="clear" w:color="auto" w:fill="FFFFFF" w:themeFill="background1"/>
      </w:tcPr>
    </w:tblStylePr>
    <w:tblStylePr w:type="lastRow">
      <w:rPr>
        <w:b/>
        <w:bCs/>
      </w:rPr>
      <w:tcPr>
        <w:tcBorders>
          <w:top w:val="double" w:color="A8D08D"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438">
    <w:name w:val="网格表 31"/>
    <w:basedOn w:val="91"/>
    <w:qFormat/>
    <w:uiPriority w:val="48"/>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439">
    <w:name w:val="网格表 3 - 着色 11"/>
    <w:basedOn w:val="91"/>
    <w:qFormat/>
    <w:uiPriority w:val="48"/>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EEAF6" w:themeFill="accent1" w:themeFillTint="33"/>
      </w:tcPr>
    </w:tblStylePr>
    <w:tblStylePr w:type="band1Horz">
      <w:tcPr>
        <w:shd w:val="clear" w:color="auto" w:fill="DEEAF6" w:themeFill="accent1" w:themeFillTint="33"/>
      </w:tcPr>
    </w:tblStylePr>
    <w:tblStylePr w:type="neCell">
      <w:tcPr>
        <w:tcBorders>
          <w:bottom w:val="single" w:color="9CC2E5" w:themeColor="accent1" w:themeTint="99" w:sz="4" w:space="0"/>
        </w:tcBorders>
      </w:tcPr>
    </w:tblStylePr>
    <w:tblStylePr w:type="nwCell">
      <w:tcPr>
        <w:tcBorders>
          <w:bottom w:val="single" w:color="9CC2E5" w:themeColor="accent1" w:themeTint="99" w:sz="4" w:space="0"/>
        </w:tcBorders>
      </w:tcPr>
    </w:tblStylePr>
    <w:tblStylePr w:type="seCell">
      <w:tcPr>
        <w:tcBorders>
          <w:top w:val="single" w:color="9CC2E5" w:themeColor="accent1" w:themeTint="99" w:sz="4" w:space="0"/>
        </w:tcBorders>
      </w:tcPr>
    </w:tblStylePr>
    <w:tblStylePr w:type="swCell">
      <w:tcPr>
        <w:tcBorders>
          <w:top w:val="single" w:color="9CC2E5" w:themeColor="accent1" w:themeTint="99" w:sz="4" w:space="0"/>
        </w:tcBorders>
      </w:tcPr>
    </w:tblStylePr>
  </w:style>
  <w:style w:type="table" w:customStyle="1" w:styleId="440">
    <w:name w:val="网格表 3 - 着色 21"/>
    <w:basedOn w:val="91"/>
    <w:qFormat/>
    <w:uiPriority w:val="48"/>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BE4D5" w:themeFill="accent2" w:themeFillTint="33"/>
      </w:tcPr>
    </w:tblStylePr>
    <w:tblStylePr w:type="band1Horz">
      <w:tcPr>
        <w:shd w:val="clear" w:color="auto" w:fill="FBE4D5" w:themeFill="accent2" w:themeFillTint="33"/>
      </w:tcPr>
    </w:tblStylePr>
    <w:tblStylePr w:type="neCell">
      <w:tcPr>
        <w:tcBorders>
          <w:bottom w:val="single" w:color="F4B083" w:themeColor="accent2" w:themeTint="99" w:sz="4" w:space="0"/>
        </w:tcBorders>
      </w:tcPr>
    </w:tblStylePr>
    <w:tblStylePr w:type="nwCell">
      <w:tcPr>
        <w:tcBorders>
          <w:bottom w:val="single" w:color="F4B083" w:themeColor="accent2" w:themeTint="99" w:sz="4" w:space="0"/>
        </w:tcBorders>
      </w:tcPr>
    </w:tblStylePr>
    <w:tblStylePr w:type="seCell">
      <w:tcPr>
        <w:tcBorders>
          <w:top w:val="single" w:color="F4B083" w:themeColor="accent2" w:themeTint="99" w:sz="4" w:space="0"/>
        </w:tcBorders>
      </w:tcPr>
    </w:tblStylePr>
    <w:tblStylePr w:type="swCell">
      <w:tcPr>
        <w:tcBorders>
          <w:top w:val="single" w:color="F4B083" w:themeColor="accent2" w:themeTint="99" w:sz="4" w:space="0"/>
        </w:tcBorders>
      </w:tcPr>
    </w:tblStylePr>
  </w:style>
  <w:style w:type="table" w:customStyle="1" w:styleId="441">
    <w:name w:val="网格表 3 - 着色 31"/>
    <w:basedOn w:val="91"/>
    <w:qFormat/>
    <w:uiPriority w:val="48"/>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CECEC" w:themeFill="accent3" w:themeFillTint="33"/>
      </w:tcPr>
    </w:tblStylePr>
    <w:tblStylePr w:type="band1Horz">
      <w:tcPr>
        <w:shd w:val="clear" w:color="auto" w:fill="ECECEC" w:themeFill="accent3" w:themeFillTint="33"/>
      </w:tcPr>
    </w:tblStylePr>
    <w:tblStylePr w:type="neCell">
      <w:tcPr>
        <w:tcBorders>
          <w:bottom w:val="single" w:color="C8C8C8" w:themeColor="accent3" w:themeTint="99" w:sz="4" w:space="0"/>
        </w:tcBorders>
      </w:tcPr>
    </w:tblStylePr>
    <w:tblStylePr w:type="nwCell">
      <w:tcPr>
        <w:tcBorders>
          <w:bottom w:val="single" w:color="C8C8C8" w:themeColor="accent3" w:themeTint="99" w:sz="4" w:space="0"/>
        </w:tcBorders>
      </w:tcPr>
    </w:tblStylePr>
    <w:tblStylePr w:type="seCell">
      <w:tcPr>
        <w:tcBorders>
          <w:top w:val="single" w:color="C8C8C8" w:themeColor="accent3" w:themeTint="99" w:sz="4" w:space="0"/>
        </w:tcBorders>
      </w:tcPr>
    </w:tblStylePr>
    <w:tblStylePr w:type="swCell">
      <w:tcPr>
        <w:tcBorders>
          <w:top w:val="single" w:color="C8C8C8" w:themeColor="accent3" w:themeTint="99" w:sz="4" w:space="0"/>
        </w:tcBorders>
      </w:tcPr>
    </w:tblStylePr>
  </w:style>
  <w:style w:type="table" w:customStyle="1" w:styleId="442">
    <w:name w:val="网格表 3 - 着色 41"/>
    <w:basedOn w:val="91"/>
    <w:qFormat/>
    <w:uiPriority w:val="48"/>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EF2CC" w:themeFill="accent4" w:themeFillTint="33"/>
      </w:tcPr>
    </w:tblStylePr>
    <w:tblStylePr w:type="band1Horz">
      <w:tcPr>
        <w:shd w:val="clear" w:color="auto" w:fill="FEF2CC" w:themeFill="accent4" w:themeFillTint="33"/>
      </w:tcPr>
    </w:tblStylePr>
    <w:tblStylePr w:type="neCell">
      <w:tcPr>
        <w:tcBorders>
          <w:bottom w:val="single" w:color="FFD965" w:themeColor="accent4" w:themeTint="99" w:sz="4" w:space="0"/>
        </w:tcBorders>
      </w:tcPr>
    </w:tblStylePr>
    <w:tblStylePr w:type="nwCell">
      <w:tcPr>
        <w:tcBorders>
          <w:bottom w:val="single" w:color="FFD965" w:themeColor="accent4" w:themeTint="99" w:sz="4" w:space="0"/>
        </w:tcBorders>
      </w:tcPr>
    </w:tblStylePr>
    <w:tblStylePr w:type="seCell">
      <w:tcPr>
        <w:tcBorders>
          <w:top w:val="single" w:color="FFD965" w:themeColor="accent4" w:themeTint="99" w:sz="4" w:space="0"/>
        </w:tcBorders>
      </w:tcPr>
    </w:tblStylePr>
    <w:tblStylePr w:type="swCell">
      <w:tcPr>
        <w:tcBorders>
          <w:top w:val="single" w:color="FFD965" w:themeColor="accent4" w:themeTint="99" w:sz="4" w:space="0"/>
        </w:tcBorders>
      </w:tcPr>
    </w:tblStylePr>
  </w:style>
  <w:style w:type="table" w:customStyle="1" w:styleId="443">
    <w:name w:val="网格表 3 - 着色 51"/>
    <w:basedOn w:val="91"/>
    <w:qFormat/>
    <w:uiPriority w:val="48"/>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9E2F3" w:themeFill="accent5" w:themeFillTint="33"/>
      </w:tcPr>
    </w:tblStylePr>
    <w:tblStylePr w:type="band1Horz">
      <w:tcPr>
        <w:shd w:val="clear" w:color="auto" w:fill="D9E2F3" w:themeFill="accent5" w:themeFillTint="33"/>
      </w:tcPr>
    </w:tblStylePr>
    <w:tblStylePr w:type="neCell">
      <w:tcPr>
        <w:tcBorders>
          <w:bottom w:val="single" w:color="8EAADB" w:themeColor="accent5" w:themeTint="99" w:sz="4" w:space="0"/>
        </w:tcBorders>
      </w:tcPr>
    </w:tblStylePr>
    <w:tblStylePr w:type="nwCell">
      <w:tcPr>
        <w:tcBorders>
          <w:bottom w:val="single" w:color="8EAADB" w:themeColor="accent5" w:themeTint="99" w:sz="4" w:space="0"/>
        </w:tcBorders>
      </w:tcPr>
    </w:tblStylePr>
    <w:tblStylePr w:type="seCell">
      <w:tcPr>
        <w:tcBorders>
          <w:top w:val="single" w:color="8EAADB" w:themeColor="accent5" w:themeTint="99" w:sz="4" w:space="0"/>
        </w:tcBorders>
      </w:tcPr>
    </w:tblStylePr>
    <w:tblStylePr w:type="swCell">
      <w:tcPr>
        <w:tcBorders>
          <w:top w:val="single" w:color="8EAADB" w:themeColor="accent5" w:themeTint="99" w:sz="4" w:space="0"/>
        </w:tcBorders>
      </w:tcPr>
    </w:tblStylePr>
  </w:style>
  <w:style w:type="table" w:customStyle="1" w:styleId="444">
    <w:name w:val="网格表 3 - 着色 61"/>
    <w:basedOn w:val="91"/>
    <w:qFormat/>
    <w:uiPriority w:val="48"/>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2EFD9" w:themeFill="accent6" w:themeFillTint="33"/>
      </w:tcPr>
    </w:tblStylePr>
    <w:tblStylePr w:type="band1Horz">
      <w:tcPr>
        <w:shd w:val="clear" w:color="auto" w:fill="E2EFD9" w:themeFill="accent6" w:themeFillTint="33"/>
      </w:tcPr>
    </w:tblStylePr>
    <w:tblStylePr w:type="neCell">
      <w:tcPr>
        <w:tcBorders>
          <w:bottom w:val="single" w:color="A8D08D" w:themeColor="accent6" w:themeTint="99" w:sz="4" w:space="0"/>
        </w:tcBorders>
      </w:tcPr>
    </w:tblStylePr>
    <w:tblStylePr w:type="nwCell">
      <w:tcPr>
        <w:tcBorders>
          <w:bottom w:val="single" w:color="A8D08D" w:themeColor="accent6" w:themeTint="99" w:sz="4" w:space="0"/>
        </w:tcBorders>
      </w:tcPr>
    </w:tblStylePr>
    <w:tblStylePr w:type="seCell">
      <w:tcPr>
        <w:tcBorders>
          <w:top w:val="single" w:color="A8D08D" w:themeColor="accent6" w:themeTint="99" w:sz="4" w:space="0"/>
        </w:tcBorders>
      </w:tcPr>
    </w:tblStylePr>
    <w:tblStylePr w:type="swCell">
      <w:tcPr>
        <w:tcBorders>
          <w:top w:val="single" w:color="A8D08D" w:themeColor="accent6" w:themeTint="99" w:sz="4" w:space="0"/>
        </w:tcBorders>
      </w:tcPr>
    </w:tblStylePr>
  </w:style>
  <w:style w:type="table" w:customStyle="1" w:styleId="445">
    <w:name w:val="网格表 41"/>
    <w:basedOn w:val="91"/>
    <w:qFormat/>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46">
    <w:name w:val="网格表 4 - 着色 11"/>
    <w:basedOn w:val="91"/>
    <w:qFormat/>
    <w:uiPriority w:val="49"/>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447">
    <w:name w:val="网格表 4 - 着色 21"/>
    <w:basedOn w:val="91"/>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insideV w:val="nil"/>
        </w:tcBorders>
        <w:shd w:val="clear" w:color="auto" w:fill="ED7D31" w:themeFill="accent2"/>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448">
    <w:name w:val="网格表 4 - 着色 31"/>
    <w:basedOn w:val="91"/>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49">
    <w:name w:val="网格表 4 - 着色 41"/>
    <w:basedOn w:val="91"/>
    <w:qFormat/>
    <w:uiPriority w:val="49"/>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Pr>
    <w:tblStylePr w:type="firstRow">
      <w:rPr>
        <w:b/>
        <w:bCs/>
        <w:color w:val="FFFFFF" w:themeColor="background1"/>
        <w14:textFill>
          <w14:solidFill>
            <w14:schemeClr w14:val="bg1"/>
          </w14:solidFill>
        </w14:textFill>
      </w:rPr>
      <w:tcPr>
        <w:tcBorders>
          <w:top w:val="single" w:color="FFC000" w:themeColor="accent4" w:sz="4" w:space="0"/>
          <w:left w:val="single" w:color="FFC000" w:themeColor="accent4" w:sz="4" w:space="0"/>
          <w:bottom w:val="single" w:color="FFC000" w:themeColor="accent4" w:sz="4" w:space="0"/>
          <w:right w:val="single" w:color="FFC000" w:themeColor="accent4" w:sz="4" w:space="0"/>
          <w:insideH w:val="nil"/>
          <w:insideV w:val="nil"/>
        </w:tcBorders>
        <w:shd w:val="clear" w:color="auto" w:fill="FFC000" w:themeFill="accent4"/>
      </w:tcPr>
    </w:tblStylePr>
    <w:tblStylePr w:type="lastRow">
      <w:rPr>
        <w:b/>
        <w:bCs/>
      </w:rPr>
      <w:tcPr>
        <w:tcBorders>
          <w:top w:val="double" w:color="FFC000" w:themeColor="accent4"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450">
    <w:name w:val="网格表 4 - 着色 51"/>
    <w:basedOn w:val="91"/>
    <w:qFormat/>
    <w:uiPriority w:val="49"/>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color w:val="FFFFFF" w:themeColor="background1"/>
        <w14:textFill>
          <w14:solidFill>
            <w14:schemeClr w14:val="bg1"/>
          </w14:solidFill>
        </w14:textFill>
      </w:rPr>
      <w:tcPr>
        <w:tcBorders>
          <w:top w:val="single" w:color="4472C4" w:themeColor="accent5" w:sz="4" w:space="0"/>
          <w:left w:val="single" w:color="4472C4" w:themeColor="accent5" w:sz="4" w:space="0"/>
          <w:bottom w:val="single" w:color="4472C4" w:themeColor="accent5" w:sz="4" w:space="0"/>
          <w:right w:val="single" w:color="4472C4" w:themeColor="accent5" w:sz="4" w:space="0"/>
          <w:insideH w:val="nil"/>
          <w:insideV w:val="nil"/>
        </w:tcBorders>
        <w:shd w:val="clear" w:color="auto" w:fill="4472C4" w:themeFill="accent5"/>
      </w:tcPr>
    </w:tblStylePr>
    <w:tblStylePr w:type="lastRow">
      <w:rPr>
        <w:b/>
        <w:bCs/>
      </w:rPr>
      <w:tcPr>
        <w:tcBorders>
          <w:top w:val="double" w:color="4472C4" w:themeColor="accent5"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451">
    <w:name w:val="网格表 4 - 着色 61"/>
    <w:basedOn w:val="91"/>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color w:val="FFFFFF" w:themeColor="background1"/>
        <w14:textFill>
          <w14:solidFill>
            <w14:schemeClr w14:val="bg1"/>
          </w14:solidFill>
        </w14:textFill>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452">
    <w:name w:val="网格表 5 深色1"/>
    <w:basedOn w:val="91"/>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cPr>
        <w:shd w:val="clear" w:color="auto" w:fill="999999" w:themeFill="text1" w:themeFillTint="66"/>
      </w:tcPr>
    </w:tblStylePr>
    <w:tblStylePr w:type="band1Horz">
      <w:tcPr>
        <w:shd w:val="clear" w:color="auto" w:fill="999999" w:themeFill="text1" w:themeFillTint="66"/>
      </w:tcPr>
    </w:tblStylePr>
  </w:style>
  <w:style w:type="table" w:customStyle="1" w:styleId="453">
    <w:name w:val="网格表 5 深色 - 着色 11"/>
    <w:basedOn w:val="91"/>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cPr>
        <w:shd w:val="clear" w:color="auto" w:fill="BDD6EE" w:themeFill="accent1" w:themeFillTint="66"/>
      </w:tcPr>
    </w:tblStylePr>
    <w:tblStylePr w:type="band1Horz">
      <w:tcPr>
        <w:shd w:val="clear" w:color="auto" w:fill="BDD6EE" w:themeFill="accent1" w:themeFillTint="66"/>
      </w:tcPr>
    </w:tblStylePr>
  </w:style>
  <w:style w:type="table" w:customStyle="1" w:styleId="454">
    <w:name w:val="网格表 5 深色 - 着色 21"/>
    <w:basedOn w:val="91"/>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FBE4D5" w:themeFill="accent2"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ED7D31" w:themeFill="accent2"/>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ED7D31" w:themeFill="accent2"/>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ED7D31" w:themeFill="accent2"/>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ED7D31" w:themeFill="accent2"/>
      </w:tcPr>
    </w:tblStylePr>
    <w:tblStylePr w:type="band1Vert">
      <w:tcPr>
        <w:shd w:val="clear" w:color="auto" w:fill="F7CAAC" w:themeFill="accent2" w:themeFillTint="66"/>
      </w:tcPr>
    </w:tblStylePr>
    <w:tblStylePr w:type="band1Horz">
      <w:tcPr>
        <w:shd w:val="clear" w:color="auto" w:fill="F7CAAC" w:themeFill="accent2" w:themeFillTint="66"/>
      </w:tcPr>
    </w:tblStylePr>
  </w:style>
  <w:style w:type="table" w:customStyle="1" w:styleId="455">
    <w:name w:val="网格表 5 深色 - 着色 31"/>
    <w:basedOn w:val="91"/>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CECEC" w:themeFill="accent3"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A5A5A5" w:themeFill="accent3"/>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A5A5A5" w:themeFill="accent3"/>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A5A5A5" w:themeFill="accent3"/>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A5A5A5" w:themeFill="accent3"/>
      </w:tcPr>
    </w:tblStylePr>
    <w:tblStylePr w:type="band1Vert">
      <w:tcPr>
        <w:shd w:val="clear" w:color="auto" w:fill="DADADA" w:themeFill="accent3" w:themeFillTint="66"/>
      </w:tcPr>
    </w:tblStylePr>
    <w:tblStylePr w:type="band1Horz">
      <w:tcPr>
        <w:shd w:val="clear" w:color="auto" w:fill="DADADA" w:themeFill="accent3" w:themeFillTint="66"/>
      </w:tcPr>
    </w:tblStylePr>
  </w:style>
  <w:style w:type="table" w:customStyle="1" w:styleId="456">
    <w:name w:val="网格表 5 深色 - 着色 41"/>
    <w:basedOn w:val="91"/>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FEF2CC" w:themeFill="accent4"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FFC000" w:themeFill="accent4"/>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FFC000" w:themeFill="accent4"/>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FFC000" w:themeFill="accent4"/>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FFC000" w:themeFill="accent4"/>
      </w:tcPr>
    </w:tblStylePr>
    <w:tblStylePr w:type="band1Vert">
      <w:tcPr>
        <w:shd w:val="clear" w:color="auto" w:fill="FFE599" w:themeFill="accent4" w:themeFillTint="66"/>
      </w:tcPr>
    </w:tblStylePr>
    <w:tblStylePr w:type="band1Horz">
      <w:tcPr>
        <w:shd w:val="clear" w:color="auto" w:fill="FFE599" w:themeFill="accent4" w:themeFillTint="66"/>
      </w:tcPr>
    </w:tblStylePr>
  </w:style>
  <w:style w:type="table" w:customStyle="1" w:styleId="457">
    <w:name w:val="网格表 5 深色 - 着色 51"/>
    <w:basedOn w:val="91"/>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5"/>
      </w:tcPr>
    </w:tblStylePr>
    <w:tblStylePr w:type="band1Vert">
      <w:tcPr>
        <w:shd w:val="clear" w:color="auto" w:fill="B4C6E7" w:themeFill="accent5" w:themeFillTint="66"/>
      </w:tcPr>
    </w:tblStylePr>
    <w:tblStylePr w:type="band1Horz">
      <w:tcPr>
        <w:shd w:val="clear" w:color="auto" w:fill="B4C6E7" w:themeFill="accent5" w:themeFillTint="66"/>
      </w:tcPr>
    </w:tblStylePr>
  </w:style>
  <w:style w:type="table" w:customStyle="1" w:styleId="458">
    <w:name w:val="网格表 5 深色 - 着色 61"/>
    <w:basedOn w:val="91"/>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2EFD9" w:themeFill="accent6"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0AD47" w:themeFill="accent6"/>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0AD47" w:themeFill="accent6"/>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70AD47" w:themeFill="accent6"/>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0AD47" w:themeFill="accent6"/>
      </w:tcPr>
    </w:tblStylePr>
    <w:tblStylePr w:type="band1Vert">
      <w:tcPr>
        <w:shd w:val="clear" w:color="auto" w:fill="C5E0B3" w:themeFill="accent6" w:themeFillTint="66"/>
      </w:tcPr>
    </w:tblStylePr>
    <w:tblStylePr w:type="band1Horz">
      <w:tcPr>
        <w:shd w:val="clear" w:color="auto" w:fill="C5E0B3" w:themeFill="accent6" w:themeFillTint="66"/>
      </w:tcPr>
    </w:tblStylePr>
  </w:style>
  <w:style w:type="table" w:customStyle="1" w:styleId="459">
    <w:name w:val="网格表 6 彩色1"/>
    <w:basedOn w:val="91"/>
    <w:qFormat/>
    <w:uiPriority w:val="51"/>
    <w:rPr>
      <w:color w:val="000000" w:themeColor="text1"/>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60">
    <w:name w:val="网格表 6 彩色 - 着色 11"/>
    <w:basedOn w:val="91"/>
    <w:qFormat/>
    <w:uiPriority w:val="51"/>
    <w:rPr>
      <w:color w:val="2E75B6" w:themeColor="accent1" w:themeShade="BF"/>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rPr>
      <w:tcPr>
        <w:tcBorders>
          <w:bottom w:val="single" w:color="9CC2E5" w:themeColor="accent1" w:themeTint="99" w:sz="12" w:space="0"/>
        </w:tcBorders>
      </w:tcPr>
    </w:tblStylePr>
    <w:tblStylePr w:type="lastRow">
      <w:rPr>
        <w:b/>
        <w:bCs/>
      </w:rPr>
      <w:tcPr>
        <w:tcBorders>
          <w:top w:val="double" w:color="9CC2E5" w:themeColor="accent1" w:themeTint="99"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461">
    <w:name w:val="网格表 6 彩色 - 着色 21"/>
    <w:basedOn w:val="91"/>
    <w:qFormat/>
    <w:uiPriority w:val="51"/>
    <w:rPr>
      <w:color w:val="C55A11" w:themeColor="accent2" w:themeShade="BF"/>
    </w:rPr>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rPr>
      <w:tcPr>
        <w:tcBorders>
          <w:bottom w:val="single" w:color="F4B083" w:themeColor="accent2" w:themeTint="99" w:sz="12" w:space="0"/>
        </w:tcBorders>
      </w:tcPr>
    </w:tblStylePr>
    <w:tblStylePr w:type="lastRow">
      <w:rPr>
        <w:b/>
        <w:bCs/>
      </w:rPr>
      <w:tcPr>
        <w:tcBorders>
          <w:top w:val="double" w:color="F4B083" w:themeColor="accent2" w:themeTint="99"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462">
    <w:name w:val="网格表 6 彩色 - 着色 31"/>
    <w:basedOn w:val="91"/>
    <w:qFormat/>
    <w:uiPriority w:val="51"/>
    <w:rPr>
      <w:color w:val="7C7C7C" w:themeColor="accent3" w:themeShade="BF"/>
    </w:rPr>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rPr>
      <w:tcPr>
        <w:tcBorders>
          <w:bottom w:val="single" w:color="C8C8C8" w:themeColor="accent3" w:themeTint="99" w:sz="12" w:space="0"/>
        </w:tcBorders>
      </w:tcPr>
    </w:tblStylePr>
    <w:tblStylePr w:type="lastRow">
      <w:rPr>
        <w:b/>
        <w:bCs/>
      </w:rPr>
      <w:tcPr>
        <w:tcBorders>
          <w:top w:val="double" w:color="C8C8C8" w:themeColor="accent3" w:themeTint="99"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63">
    <w:name w:val="网格表 6 彩色 - 着色 41"/>
    <w:basedOn w:val="91"/>
    <w:qFormat/>
    <w:uiPriority w:val="51"/>
    <w:rPr>
      <w:color w:val="BF9000" w:themeColor="accent4" w:themeShade="BF"/>
    </w:rPr>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Pr>
    <w:tblStylePr w:type="firstRow">
      <w:rPr>
        <w:b/>
        <w:bCs/>
      </w:rPr>
      <w:tcPr>
        <w:tcBorders>
          <w:bottom w:val="single" w:color="FFD965" w:themeColor="accent4" w:themeTint="99" w:sz="12" w:space="0"/>
        </w:tcBorders>
      </w:tcPr>
    </w:tblStylePr>
    <w:tblStylePr w:type="lastRow">
      <w:rPr>
        <w:b/>
        <w:bCs/>
      </w:rPr>
      <w:tcPr>
        <w:tcBorders>
          <w:top w:val="double" w:color="FFD965" w:themeColor="accent4" w:themeTint="99"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464">
    <w:name w:val="网格表 6 彩色 - 着色 51"/>
    <w:basedOn w:val="91"/>
    <w:qFormat/>
    <w:uiPriority w:val="51"/>
    <w:rPr>
      <w:color w:val="2F5597" w:themeColor="accent5" w:themeShade="BF"/>
    </w:rPr>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rPr>
      <w:tcPr>
        <w:tcBorders>
          <w:bottom w:val="single" w:color="8EAADB" w:themeColor="accent5" w:themeTint="99" w:sz="12" w:space="0"/>
        </w:tcBorders>
      </w:tcPr>
    </w:tblStylePr>
    <w:tblStylePr w:type="lastRow">
      <w:rPr>
        <w:b/>
        <w:bCs/>
      </w:rPr>
      <w:tcPr>
        <w:tcBorders>
          <w:top w:val="double" w:color="8EAADB" w:themeColor="accent5" w:themeTint="99"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465">
    <w:name w:val="网格表 6 彩色 - 着色 61"/>
    <w:basedOn w:val="91"/>
    <w:qFormat/>
    <w:uiPriority w:val="51"/>
    <w:rPr>
      <w:color w:val="548235" w:themeColor="accent6" w:themeShade="BF"/>
    </w:rPr>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466">
    <w:name w:val="网格表 7 彩色1"/>
    <w:basedOn w:val="91"/>
    <w:qFormat/>
    <w:uiPriority w:val="52"/>
    <w:rPr>
      <w:color w:val="000000" w:themeColor="text1"/>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467">
    <w:name w:val="网格表 7 彩色 - 着色 11"/>
    <w:basedOn w:val="91"/>
    <w:qFormat/>
    <w:uiPriority w:val="52"/>
    <w:rPr>
      <w:color w:val="2E75B6" w:themeColor="accent1" w:themeShade="BF"/>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EEAF6" w:themeFill="accent1" w:themeFillTint="33"/>
      </w:tcPr>
    </w:tblStylePr>
    <w:tblStylePr w:type="band1Horz">
      <w:tcPr>
        <w:shd w:val="clear" w:color="auto" w:fill="DEEAF6" w:themeFill="accent1" w:themeFillTint="33"/>
      </w:tcPr>
    </w:tblStylePr>
    <w:tblStylePr w:type="neCell">
      <w:tcPr>
        <w:tcBorders>
          <w:bottom w:val="single" w:color="9CC2E5" w:themeColor="accent1" w:themeTint="99" w:sz="4" w:space="0"/>
        </w:tcBorders>
      </w:tcPr>
    </w:tblStylePr>
    <w:tblStylePr w:type="nwCell">
      <w:tcPr>
        <w:tcBorders>
          <w:bottom w:val="single" w:color="9CC2E5" w:themeColor="accent1" w:themeTint="99" w:sz="4" w:space="0"/>
        </w:tcBorders>
      </w:tcPr>
    </w:tblStylePr>
    <w:tblStylePr w:type="seCell">
      <w:tcPr>
        <w:tcBorders>
          <w:top w:val="single" w:color="9CC2E5" w:themeColor="accent1" w:themeTint="99" w:sz="4" w:space="0"/>
        </w:tcBorders>
      </w:tcPr>
    </w:tblStylePr>
    <w:tblStylePr w:type="swCell">
      <w:tcPr>
        <w:tcBorders>
          <w:top w:val="single" w:color="9CC2E5" w:themeColor="accent1" w:themeTint="99" w:sz="4" w:space="0"/>
        </w:tcBorders>
      </w:tcPr>
    </w:tblStylePr>
  </w:style>
  <w:style w:type="table" w:customStyle="1" w:styleId="468">
    <w:name w:val="网格表 7 彩色 - 着色 21"/>
    <w:basedOn w:val="91"/>
    <w:qFormat/>
    <w:uiPriority w:val="52"/>
    <w:rPr>
      <w:color w:val="C55A11" w:themeColor="accent2" w:themeShade="BF"/>
    </w:rPr>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BE4D5" w:themeFill="accent2" w:themeFillTint="33"/>
      </w:tcPr>
    </w:tblStylePr>
    <w:tblStylePr w:type="band1Horz">
      <w:tcPr>
        <w:shd w:val="clear" w:color="auto" w:fill="FBE4D5" w:themeFill="accent2" w:themeFillTint="33"/>
      </w:tcPr>
    </w:tblStylePr>
    <w:tblStylePr w:type="neCell">
      <w:tcPr>
        <w:tcBorders>
          <w:bottom w:val="single" w:color="F4B083" w:themeColor="accent2" w:themeTint="99" w:sz="4" w:space="0"/>
        </w:tcBorders>
      </w:tcPr>
    </w:tblStylePr>
    <w:tblStylePr w:type="nwCell">
      <w:tcPr>
        <w:tcBorders>
          <w:bottom w:val="single" w:color="F4B083" w:themeColor="accent2" w:themeTint="99" w:sz="4" w:space="0"/>
        </w:tcBorders>
      </w:tcPr>
    </w:tblStylePr>
    <w:tblStylePr w:type="seCell">
      <w:tcPr>
        <w:tcBorders>
          <w:top w:val="single" w:color="F4B083" w:themeColor="accent2" w:themeTint="99" w:sz="4" w:space="0"/>
        </w:tcBorders>
      </w:tcPr>
    </w:tblStylePr>
    <w:tblStylePr w:type="swCell">
      <w:tcPr>
        <w:tcBorders>
          <w:top w:val="single" w:color="F4B083" w:themeColor="accent2" w:themeTint="99" w:sz="4" w:space="0"/>
        </w:tcBorders>
      </w:tcPr>
    </w:tblStylePr>
  </w:style>
  <w:style w:type="table" w:customStyle="1" w:styleId="469">
    <w:name w:val="网格表 7 彩色 - 着色 31"/>
    <w:basedOn w:val="91"/>
    <w:qFormat/>
    <w:uiPriority w:val="52"/>
    <w:rPr>
      <w:color w:val="7C7C7C" w:themeColor="accent3" w:themeShade="BF"/>
    </w:rPr>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CECEC" w:themeFill="accent3" w:themeFillTint="33"/>
      </w:tcPr>
    </w:tblStylePr>
    <w:tblStylePr w:type="band1Horz">
      <w:tcPr>
        <w:shd w:val="clear" w:color="auto" w:fill="ECECEC" w:themeFill="accent3" w:themeFillTint="33"/>
      </w:tcPr>
    </w:tblStylePr>
    <w:tblStylePr w:type="neCell">
      <w:tcPr>
        <w:tcBorders>
          <w:bottom w:val="single" w:color="C8C8C8" w:themeColor="accent3" w:themeTint="99" w:sz="4" w:space="0"/>
        </w:tcBorders>
      </w:tcPr>
    </w:tblStylePr>
    <w:tblStylePr w:type="nwCell">
      <w:tcPr>
        <w:tcBorders>
          <w:bottom w:val="single" w:color="C8C8C8" w:themeColor="accent3" w:themeTint="99" w:sz="4" w:space="0"/>
        </w:tcBorders>
      </w:tcPr>
    </w:tblStylePr>
    <w:tblStylePr w:type="seCell">
      <w:tcPr>
        <w:tcBorders>
          <w:top w:val="single" w:color="C8C8C8" w:themeColor="accent3" w:themeTint="99" w:sz="4" w:space="0"/>
        </w:tcBorders>
      </w:tcPr>
    </w:tblStylePr>
    <w:tblStylePr w:type="swCell">
      <w:tcPr>
        <w:tcBorders>
          <w:top w:val="single" w:color="C8C8C8" w:themeColor="accent3" w:themeTint="99" w:sz="4" w:space="0"/>
        </w:tcBorders>
      </w:tcPr>
    </w:tblStylePr>
  </w:style>
  <w:style w:type="table" w:customStyle="1" w:styleId="470">
    <w:name w:val="网格表 7 彩色 - 着色 41"/>
    <w:basedOn w:val="91"/>
    <w:qFormat/>
    <w:uiPriority w:val="52"/>
    <w:rPr>
      <w:color w:val="BF9000" w:themeColor="accent4" w:themeShade="BF"/>
    </w:rPr>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EF2CC" w:themeFill="accent4" w:themeFillTint="33"/>
      </w:tcPr>
    </w:tblStylePr>
    <w:tblStylePr w:type="band1Horz">
      <w:tcPr>
        <w:shd w:val="clear" w:color="auto" w:fill="FEF2CC" w:themeFill="accent4" w:themeFillTint="33"/>
      </w:tcPr>
    </w:tblStylePr>
    <w:tblStylePr w:type="neCell">
      <w:tcPr>
        <w:tcBorders>
          <w:bottom w:val="single" w:color="FFD965" w:themeColor="accent4" w:themeTint="99" w:sz="4" w:space="0"/>
        </w:tcBorders>
      </w:tcPr>
    </w:tblStylePr>
    <w:tblStylePr w:type="nwCell">
      <w:tcPr>
        <w:tcBorders>
          <w:bottom w:val="single" w:color="FFD965" w:themeColor="accent4" w:themeTint="99" w:sz="4" w:space="0"/>
        </w:tcBorders>
      </w:tcPr>
    </w:tblStylePr>
    <w:tblStylePr w:type="seCell">
      <w:tcPr>
        <w:tcBorders>
          <w:top w:val="single" w:color="FFD965" w:themeColor="accent4" w:themeTint="99" w:sz="4" w:space="0"/>
        </w:tcBorders>
      </w:tcPr>
    </w:tblStylePr>
    <w:tblStylePr w:type="swCell">
      <w:tcPr>
        <w:tcBorders>
          <w:top w:val="single" w:color="FFD965" w:themeColor="accent4" w:themeTint="99" w:sz="4" w:space="0"/>
        </w:tcBorders>
      </w:tcPr>
    </w:tblStylePr>
  </w:style>
  <w:style w:type="table" w:customStyle="1" w:styleId="471">
    <w:name w:val="网格表 7 彩色 - 着色 51"/>
    <w:basedOn w:val="91"/>
    <w:qFormat/>
    <w:uiPriority w:val="52"/>
    <w:rPr>
      <w:color w:val="2F5597" w:themeColor="accent5" w:themeShade="BF"/>
    </w:rPr>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9E2F3" w:themeFill="accent5" w:themeFillTint="33"/>
      </w:tcPr>
    </w:tblStylePr>
    <w:tblStylePr w:type="band1Horz">
      <w:tcPr>
        <w:shd w:val="clear" w:color="auto" w:fill="D9E2F3" w:themeFill="accent5" w:themeFillTint="33"/>
      </w:tcPr>
    </w:tblStylePr>
    <w:tblStylePr w:type="neCell">
      <w:tcPr>
        <w:tcBorders>
          <w:bottom w:val="single" w:color="8EAADB" w:themeColor="accent5" w:themeTint="99" w:sz="4" w:space="0"/>
        </w:tcBorders>
      </w:tcPr>
    </w:tblStylePr>
    <w:tblStylePr w:type="nwCell">
      <w:tcPr>
        <w:tcBorders>
          <w:bottom w:val="single" w:color="8EAADB" w:themeColor="accent5" w:themeTint="99" w:sz="4" w:space="0"/>
        </w:tcBorders>
      </w:tcPr>
    </w:tblStylePr>
    <w:tblStylePr w:type="seCell">
      <w:tcPr>
        <w:tcBorders>
          <w:top w:val="single" w:color="8EAADB" w:themeColor="accent5" w:themeTint="99" w:sz="4" w:space="0"/>
        </w:tcBorders>
      </w:tcPr>
    </w:tblStylePr>
    <w:tblStylePr w:type="swCell">
      <w:tcPr>
        <w:tcBorders>
          <w:top w:val="single" w:color="8EAADB" w:themeColor="accent5" w:themeTint="99" w:sz="4" w:space="0"/>
        </w:tcBorders>
      </w:tcPr>
    </w:tblStylePr>
  </w:style>
  <w:style w:type="table" w:customStyle="1" w:styleId="472">
    <w:name w:val="网格表 7 彩色 - 着色 61"/>
    <w:basedOn w:val="91"/>
    <w:qFormat/>
    <w:uiPriority w:val="52"/>
    <w:rPr>
      <w:color w:val="548235" w:themeColor="accent6" w:themeShade="BF"/>
    </w:rPr>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2EFD9" w:themeFill="accent6" w:themeFillTint="33"/>
      </w:tcPr>
    </w:tblStylePr>
    <w:tblStylePr w:type="band1Horz">
      <w:tcPr>
        <w:shd w:val="clear" w:color="auto" w:fill="E2EFD9" w:themeFill="accent6" w:themeFillTint="33"/>
      </w:tcPr>
    </w:tblStylePr>
    <w:tblStylePr w:type="neCell">
      <w:tcPr>
        <w:tcBorders>
          <w:bottom w:val="single" w:color="A8D08D" w:themeColor="accent6" w:themeTint="99" w:sz="4" w:space="0"/>
        </w:tcBorders>
      </w:tcPr>
    </w:tblStylePr>
    <w:tblStylePr w:type="nwCell">
      <w:tcPr>
        <w:tcBorders>
          <w:bottom w:val="single" w:color="A8D08D" w:themeColor="accent6" w:themeTint="99" w:sz="4" w:space="0"/>
        </w:tcBorders>
      </w:tcPr>
    </w:tblStylePr>
    <w:tblStylePr w:type="seCell">
      <w:tcPr>
        <w:tcBorders>
          <w:top w:val="single" w:color="A8D08D" w:themeColor="accent6" w:themeTint="99" w:sz="4" w:space="0"/>
        </w:tcBorders>
      </w:tcPr>
    </w:tblStylePr>
    <w:tblStylePr w:type="swCell">
      <w:tcPr>
        <w:tcBorders>
          <w:top w:val="single" w:color="A8D08D" w:themeColor="accent6" w:themeTint="99" w:sz="4" w:space="0"/>
        </w:tcBorders>
      </w:tcPr>
    </w:tblStylePr>
  </w:style>
  <w:style w:type="table" w:customStyle="1" w:styleId="473">
    <w:name w:val="网格型浅色1"/>
    <w:basedOn w:val="91"/>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character" w:customStyle="1" w:styleId="474">
    <w:name w:val="尾注文本 字符"/>
    <w:basedOn w:val="234"/>
    <w:link w:val="59"/>
    <w:semiHidden/>
    <w:qFormat/>
    <w:uiPriority w:val="99"/>
    <w:rPr>
      <w:kern w:val="2"/>
      <w:sz w:val="21"/>
      <w:szCs w:val="24"/>
    </w:rPr>
  </w:style>
  <w:style w:type="character" w:customStyle="1" w:styleId="475">
    <w:name w:val="文档结构图 字符"/>
    <w:basedOn w:val="234"/>
    <w:link w:val="35"/>
    <w:semiHidden/>
    <w:qFormat/>
    <w:uiPriority w:val="99"/>
    <w:rPr>
      <w:rFonts w:ascii="Microsoft YaHei UI" w:eastAsia="Microsoft YaHei UI"/>
      <w:kern w:val="2"/>
      <w:sz w:val="18"/>
      <w:szCs w:val="18"/>
    </w:rPr>
  </w:style>
  <w:style w:type="table" w:customStyle="1" w:styleId="476">
    <w:name w:val="无格式表格 11"/>
    <w:basedOn w:val="91"/>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477">
    <w:name w:val="无格式表格 21"/>
    <w:basedOn w:val="91"/>
    <w:qFormat/>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478">
    <w:name w:val="无格式表格 31"/>
    <w:basedOn w:val="91"/>
    <w:qFormat/>
    <w:uiPriority w:val="43"/>
    <w:tblStylePr w:type="firstRow">
      <w:rPr>
        <w:b/>
        <w:bCs/>
        <w:caps/>
      </w:rPr>
      <w:tcPr>
        <w:tcBorders>
          <w:bottom w:val="single" w:color="7E7E7E" w:themeColor="text1" w:themeTint="80" w:sz="4" w:space="0"/>
        </w:tcBorders>
      </w:tcPr>
    </w:tblStylePr>
    <w:tblStylePr w:type="lastRow">
      <w:rPr>
        <w:b/>
        <w:bCs/>
        <w:caps/>
      </w:rPr>
      <w:tcPr>
        <w:tcBorders>
          <w:top w:val="nil"/>
        </w:tcBorders>
      </w:tcPr>
    </w:tblStylePr>
    <w:tblStylePr w:type="firstCol">
      <w:rPr>
        <w:b/>
        <w:bCs/>
        <w:caps/>
      </w:rPr>
      <w:tcPr>
        <w:tcBorders>
          <w:right w:val="single" w:color="7E7E7E" w:themeColor="text1" w:themeTint="80" w:sz="4" w:space="0"/>
        </w:tcBorders>
      </w:tcPr>
    </w:tblStylePr>
    <w:tblStylePr w:type="lastCol">
      <w:rPr>
        <w:b/>
        <w:bCs/>
        <w:caps/>
      </w:rPr>
      <w:tcPr>
        <w:tcBorders>
          <w:left w:val="nil"/>
        </w:tcBorders>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style>
  <w:style w:type="table" w:customStyle="1" w:styleId="479">
    <w:name w:val="无格式表格 41"/>
    <w:basedOn w:val="91"/>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480">
    <w:name w:val="无格式表格 51"/>
    <w:basedOn w:val="91"/>
    <w:qFormat/>
    <w:uiPriority w:val="45"/>
    <w:tblStylePr w:type="firstRow">
      <w:rPr>
        <w:rFonts w:asciiTheme="majorHAnsi" w:hAnsiTheme="majorHAnsi" w:eastAsiaTheme="majorEastAsia" w:cstheme="majorBidi"/>
        <w:i/>
        <w:iCs/>
        <w:sz w:val="26"/>
      </w:rPr>
      <w:tcPr>
        <w:tcBorders>
          <w:bottom w:val="single" w:color="7E7E7E" w:themeColor="text1" w:themeTint="80"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7E7E7E" w:themeColor="text1" w:themeTint="80"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7E7E7E" w:themeColor="text1" w:themeTint="80"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7E7E7E" w:themeColor="text1" w:themeTint="80" w:sz="4" w:space="0"/>
        </w:tcBorders>
        <w:shd w:val="clear" w:color="auto" w:fill="FFFFFF" w:themeFill="background1"/>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paragraph" w:styleId="481">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482">
    <w:name w:val="信息标题 字符"/>
    <w:basedOn w:val="234"/>
    <w:link w:val="82"/>
    <w:semiHidden/>
    <w:qFormat/>
    <w:uiPriority w:val="99"/>
    <w:rPr>
      <w:rFonts w:asciiTheme="majorHAnsi" w:hAnsiTheme="majorHAnsi" w:eastAsiaTheme="majorEastAsia" w:cstheme="majorBidi"/>
      <w:kern w:val="2"/>
      <w:sz w:val="24"/>
      <w:szCs w:val="24"/>
      <w:shd w:val="pct20" w:color="auto" w:fill="auto"/>
    </w:rPr>
  </w:style>
  <w:style w:type="paragraph" w:styleId="483">
    <w:name w:val="Quote"/>
    <w:basedOn w:val="1"/>
    <w:next w:val="1"/>
    <w:link w:val="484"/>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484">
    <w:name w:val="引用 字符"/>
    <w:basedOn w:val="234"/>
    <w:link w:val="483"/>
    <w:qFormat/>
    <w:uiPriority w:val="29"/>
    <w:rPr>
      <w:i/>
      <w:iCs/>
      <w:color w:val="404040" w:themeColor="text1" w:themeTint="BF"/>
      <w:kern w:val="2"/>
      <w:sz w:val="21"/>
      <w:szCs w:val="24"/>
      <w14:textFill>
        <w14:solidFill>
          <w14:schemeClr w14:val="tx1">
            <w14:lumMod w14:val="75000"/>
            <w14:lumOff w14:val="25000"/>
          </w14:schemeClr>
        </w14:solidFill>
      </w14:textFill>
    </w:rPr>
  </w:style>
  <w:style w:type="character" w:styleId="485">
    <w:name w:val="Placeholder Text"/>
    <w:basedOn w:val="234"/>
    <w:semiHidden/>
    <w:qFormat/>
    <w:uiPriority w:val="99"/>
    <w:rPr>
      <w:color w:val="808080"/>
    </w:rPr>
  </w:style>
  <w:style w:type="character" w:customStyle="1" w:styleId="486">
    <w:name w:val="正文文本首行缩进 字符"/>
    <w:basedOn w:val="334"/>
    <w:link w:val="89"/>
    <w:semiHidden/>
    <w:qFormat/>
    <w:uiPriority w:val="99"/>
    <w:rPr>
      <w:kern w:val="2"/>
      <w:sz w:val="21"/>
      <w:szCs w:val="24"/>
    </w:rPr>
  </w:style>
  <w:style w:type="character" w:customStyle="1" w:styleId="487">
    <w:name w:val="正文文本缩进 字符"/>
    <w:basedOn w:val="234"/>
    <w:link w:val="44"/>
    <w:semiHidden/>
    <w:qFormat/>
    <w:uiPriority w:val="99"/>
    <w:rPr>
      <w:kern w:val="2"/>
      <w:sz w:val="21"/>
      <w:szCs w:val="24"/>
    </w:rPr>
  </w:style>
  <w:style w:type="character" w:customStyle="1" w:styleId="488">
    <w:name w:val="正文文本首行缩进 2 字符"/>
    <w:basedOn w:val="487"/>
    <w:link w:val="90"/>
    <w:semiHidden/>
    <w:qFormat/>
    <w:uiPriority w:val="99"/>
    <w:rPr>
      <w:kern w:val="2"/>
      <w:sz w:val="21"/>
      <w:szCs w:val="24"/>
    </w:rPr>
  </w:style>
  <w:style w:type="character" w:customStyle="1" w:styleId="489">
    <w:name w:val="正文文本 2 字符"/>
    <w:basedOn w:val="234"/>
    <w:link w:val="79"/>
    <w:semiHidden/>
    <w:qFormat/>
    <w:uiPriority w:val="99"/>
    <w:rPr>
      <w:kern w:val="2"/>
      <w:sz w:val="21"/>
      <w:szCs w:val="24"/>
    </w:rPr>
  </w:style>
  <w:style w:type="character" w:customStyle="1" w:styleId="490">
    <w:name w:val="正文文本 3 字符"/>
    <w:basedOn w:val="234"/>
    <w:link w:val="40"/>
    <w:semiHidden/>
    <w:qFormat/>
    <w:uiPriority w:val="99"/>
    <w:rPr>
      <w:kern w:val="2"/>
      <w:sz w:val="16"/>
      <w:szCs w:val="16"/>
    </w:rPr>
  </w:style>
  <w:style w:type="character" w:customStyle="1" w:styleId="491">
    <w:name w:val="正文文本缩进 2 字符"/>
    <w:basedOn w:val="234"/>
    <w:link w:val="58"/>
    <w:semiHidden/>
    <w:qFormat/>
    <w:uiPriority w:val="99"/>
    <w:rPr>
      <w:kern w:val="2"/>
      <w:sz w:val="21"/>
      <w:szCs w:val="24"/>
    </w:rPr>
  </w:style>
  <w:style w:type="character" w:customStyle="1" w:styleId="492">
    <w:name w:val="正文文本缩进 3 字符"/>
    <w:basedOn w:val="234"/>
    <w:link w:val="74"/>
    <w:semiHidden/>
    <w:qFormat/>
    <w:uiPriority w:val="99"/>
    <w:rPr>
      <w:kern w:val="2"/>
      <w:sz w:val="16"/>
      <w:szCs w:val="16"/>
    </w:rPr>
  </w:style>
  <w:style w:type="character" w:customStyle="1" w:styleId="493">
    <w:name w:val="注释标题 字符"/>
    <w:basedOn w:val="234"/>
    <w:link w:val="25"/>
    <w:semiHidden/>
    <w:qFormat/>
    <w:uiPriority w:val="99"/>
    <w:rPr>
      <w:kern w:val="2"/>
      <w:sz w:val="21"/>
      <w:szCs w:val="24"/>
    </w:rPr>
  </w:style>
  <w:style w:type="paragraph" w:customStyle="1" w:styleId="494">
    <w:name w:val="附录无标题章"/>
    <w:basedOn w:val="277"/>
    <w:qFormat/>
    <w:uiPriority w:val="0"/>
    <w:pPr>
      <w:spacing w:beforeLines="0" w:afterLines="0"/>
      <w:outlineLvl w:val="9"/>
    </w:pPr>
    <w:rPr>
      <w:rFonts w:asciiTheme="majorEastAsia" w:eastAsiaTheme="majorEastAsia"/>
    </w:rPr>
  </w:style>
  <w:style w:type="paragraph" w:customStyle="1" w:styleId="495">
    <w:name w:val="附录一级无标题条"/>
    <w:basedOn w:val="278"/>
    <w:qFormat/>
    <w:uiPriority w:val="0"/>
    <w:pPr>
      <w:spacing w:beforeLines="0" w:afterLines="0"/>
      <w:outlineLvl w:val="9"/>
    </w:pPr>
    <w:rPr>
      <w:rFonts w:asciiTheme="majorEastAsia" w:eastAsiaTheme="majorEastAsia"/>
    </w:rPr>
  </w:style>
  <w:style w:type="paragraph" w:customStyle="1" w:styleId="496">
    <w:name w:val="附录二级无标题条"/>
    <w:basedOn w:val="279"/>
    <w:qFormat/>
    <w:uiPriority w:val="0"/>
    <w:pPr>
      <w:spacing w:beforeLines="0" w:afterLines="0"/>
      <w:outlineLvl w:val="9"/>
    </w:pPr>
    <w:rPr>
      <w:rFonts w:asciiTheme="majorEastAsia" w:eastAsiaTheme="majorEastAsia"/>
    </w:rPr>
  </w:style>
  <w:style w:type="paragraph" w:customStyle="1" w:styleId="497">
    <w:name w:val="附录三级无标题条"/>
    <w:basedOn w:val="280"/>
    <w:qFormat/>
    <w:uiPriority w:val="0"/>
    <w:pPr>
      <w:spacing w:beforeLines="0" w:afterLines="0"/>
      <w:outlineLvl w:val="9"/>
    </w:pPr>
    <w:rPr>
      <w:rFonts w:asciiTheme="majorEastAsia" w:eastAsiaTheme="majorEastAsia"/>
    </w:rPr>
  </w:style>
  <w:style w:type="paragraph" w:customStyle="1" w:styleId="498">
    <w:name w:val="附录四级无标题条"/>
    <w:basedOn w:val="281"/>
    <w:qFormat/>
    <w:uiPriority w:val="0"/>
    <w:pPr>
      <w:spacing w:beforeLines="0" w:afterLines="0"/>
      <w:outlineLvl w:val="9"/>
    </w:pPr>
    <w:rPr>
      <w:rFonts w:asciiTheme="majorEastAsia" w:eastAsiaTheme="majorEastAsia"/>
    </w:rPr>
  </w:style>
  <w:style w:type="paragraph" w:customStyle="1" w:styleId="499">
    <w:name w:val="标准标志TB"/>
    <w:basedOn w:val="1"/>
    <w:qFormat/>
    <w:uiPriority w:val="0"/>
    <w:pPr>
      <w:widowControl/>
      <w:shd w:val="solid" w:color="FFFFFF" w:fill="FFFFFF"/>
      <w:spacing w:line="0" w:lineRule="atLeast"/>
      <w:jc w:val="right"/>
    </w:pPr>
    <w:rPr>
      <w:rFonts w:ascii="Arial Black" w:hAnsi="Britannic Bold" w:eastAsia="Arial Unicode MS"/>
      <w:b/>
      <w:w w:val="110"/>
      <w:sz w:val="96"/>
      <w:szCs w:val="20"/>
    </w:rPr>
  </w:style>
  <w:style w:type="paragraph" w:customStyle="1" w:styleId="500">
    <w:name w:val="标准称谓TB"/>
    <w:basedOn w:val="1"/>
    <w:qFormat/>
    <w:uiPriority w:val="0"/>
    <w:pPr>
      <w:kinsoku w:val="0"/>
      <w:overflowPunct w:val="0"/>
      <w:autoSpaceDE w:val="0"/>
      <w:autoSpaceDN w:val="0"/>
      <w:spacing w:line="0" w:lineRule="atLeast"/>
      <w:jc w:val="center"/>
    </w:pPr>
    <w:rPr>
      <w:rFonts w:ascii="Arial Black" w:hAnsi="Arial Black" w:eastAsia="黑体"/>
      <w:bCs/>
      <w:w w:val="135"/>
      <w:kern w:val="0"/>
      <w:sz w:val="44"/>
      <w:szCs w:val="20"/>
    </w:rPr>
  </w:style>
  <w:style w:type="paragraph" w:customStyle="1" w:styleId="501">
    <w:name w:val="发布GB"/>
    <w:basedOn w:val="43"/>
    <w:qFormat/>
    <w:uiPriority w:val="0"/>
    <w:pPr>
      <w:spacing w:after="0" w:line="280" w:lineRule="exact"/>
      <w:ind w:left="284"/>
    </w:pPr>
    <w:rPr>
      <w:rFonts w:ascii="黑体" w:eastAsia="黑体"/>
      <w:kern w:val="3"/>
      <w:sz w:val="28"/>
    </w:rPr>
  </w:style>
  <w:style w:type="paragraph" w:customStyle="1" w:styleId="502">
    <w:name w:val="发布DB"/>
    <w:basedOn w:val="501"/>
    <w:qFormat/>
    <w:uiPriority w:val="0"/>
    <w:pPr>
      <w:ind w:left="567"/>
    </w:pPr>
  </w:style>
  <w:style w:type="paragraph" w:customStyle="1" w:styleId="503">
    <w:name w:val="发布HB"/>
    <w:basedOn w:val="501"/>
    <w:qFormat/>
    <w:uiPriority w:val="0"/>
    <w:pPr>
      <w:ind w:left="567"/>
    </w:pPr>
  </w:style>
  <w:style w:type="paragraph" w:customStyle="1" w:styleId="504">
    <w:name w:val="发布QB"/>
    <w:basedOn w:val="501"/>
    <w:qFormat/>
    <w:uiPriority w:val="0"/>
    <w:pPr>
      <w:ind w:left="567"/>
    </w:pPr>
  </w:style>
  <w:style w:type="paragraph" w:customStyle="1" w:styleId="505">
    <w:name w:val="发布TB"/>
    <w:basedOn w:val="501"/>
    <w:qFormat/>
    <w:uiPriority w:val="0"/>
    <w:pPr>
      <w:ind w:left="567"/>
    </w:pPr>
  </w:style>
  <w:style w:type="paragraph" w:customStyle="1" w:styleId="506">
    <w:name w:val="发布部门TB"/>
    <w:basedOn w:val="1"/>
    <w:qFormat/>
    <w:uiPriority w:val="0"/>
    <w:pPr>
      <w:widowControl/>
      <w:spacing w:line="360" w:lineRule="exact"/>
      <w:jc w:val="center"/>
    </w:pPr>
    <w:rPr>
      <w:rFonts w:ascii="宋体"/>
      <w:b/>
      <w:kern w:val="0"/>
      <w:sz w:val="36"/>
      <w:szCs w:val="20"/>
    </w:rPr>
  </w:style>
  <w:style w:type="paragraph" w:customStyle="1" w:styleId="507">
    <w:name w:val="终结线"/>
    <w:basedOn w:val="1"/>
    <w:qFormat/>
    <w:uiPriority w:val="0"/>
    <w:pPr>
      <w:framePr w:hSpace="181" w:vSpace="181" w:wrap="around" w:vAnchor="text" w:hAnchor="margin" w:xAlign="center" w:y="285"/>
    </w:pPr>
  </w:style>
  <w:style w:type="paragraph" w:customStyle="1" w:styleId="508">
    <w:name w:val="二级无"/>
    <w:basedOn w:val="262"/>
    <w:qFormat/>
    <w:uiPriority w:val="0"/>
    <w:pPr>
      <w:numPr>
        <w:numId w:val="28"/>
      </w:numPr>
      <w:tabs>
        <w:tab w:val="left" w:pos="855"/>
      </w:tabs>
    </w:pPr>
    <w:rPr>
      <w:rFonts w:ascii="宋体" w:eastAsia="宋体"/>
    </w:rPr>
  </w:style>
  <w:style w:type="paragraph" w:customStyle="1" w:styleId="509">
    <w:name w:val="WPSOffice手动目录 1"/>
    <w:qFormat/>
    <w:uiPriority w:val="0"/>
    <w:rPr>
      <w:rFonts w:ascii="Times New Roman" w:hAnsi="Times New Roman" w:eastAsia="宋体" w:cs="Times New Roman"/>
      <w:lang w:val="en-US" w:eastAsia="zh-CN" w:bidi="ar-SA"/>
    </w:rPr>
  </w:style>
  <w:style w:type="paragraph" w:customStyle="1" w:styleId="510">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511">
    <w:name w:val="WPSOffice手动目录 3"/>
    <w:qFormat/>
    <w:uiPriority w:val="0"/>
    <w:pPr>
      <w:ind w:left="400" w:leftChars="400"/>
    </w:pPr>
    <w:rPr>
      <w:rFonts w:ascii="Times New Roman" w:hAnsi="Times New Roman" w:eastAsia="宋体" w:cs="Times New Roman"/>
      <w:lang w:val="en-US" w:eastAsia="zh-CN" w:bidi="ar-SA"/>
    </w:rPr>
  </w:style>
  <w:style w:type="character" w:customStyle="1" w:styleId="512">
    <w:name w:val="新正文 Char"/>
    <w:link w:val="513"/>
    <w:qFormat/>
    <w:uiPriority w:val="0"/>
    <w:rPr>
      <w:color w:val="000000"/>
      <w:lang w:val="zh-CN"/>
    </w:rPr>
  </w:style>
  <w:style w:type="paragraph" w:customStyle="1" w:styleId="513">
    <w:name w:val="新正文"/>
    <w:basedOn w:val="514"/>
    <w:link w:val="512"/>
    <w:qFormat/>
    <w:uiPriority w:val="0"/>
    <w:pPr>
      <w:ind w:firstLine="420" w:firstLineChars="200"/>
    </w:pPr>
    <w:rPr>
      <w:rFonts w:ascii="Times New Roman" w:hAnsi="Times New Roman"/>
      <w:color w:val="000000"/>
      <w:kern w:val="0"/>
      <w:sz w:val="20"/>
      <w:szCs w:val="20"/>
    </w:rPr>
  </w:style>
  <w:style w:type="paragraph" w:customStyle="1" w:styleId="514">
    <w:name w:val="标题3"/>
    <w:basedOn w:val="1"/>
    <w:link w:val="515"/>
    <w:qFormat/>
    <w:uiPriority w:val="0"/>
    <w:pPr>
      <w:adjustRightInd w:val="0"/>
      <w:snapToGrid w:val="0"/>
      <w:spacing w:line="360" w:lineRule="auto"/>
    </w:pPr>
    <w:rPr>
      <w:rFonts w:ascii="宋体" w:hAnsi="宋体"/>
      <w:szCs w:val="21"/>
      <w:lang w:val="zh-CN"/>
    </w:rPr>
  </w:style>
  <w:style w:type="character" w:customStyle="1" w:styleId="515">
    <w:name w:val="标题3 Char"/>
    <w:link w:val="514"/>
    <w:qFormat/>
    <w:uiPriority w:val="0"/>
    <w:rPr>
      <w:rFonts w:ascii="宋体" w:hAnsi="宋体"/>
      <w:kern w:val="2"/>
      <w:sz w:val="21"/>
      <w:szCs w:val="21"/>
      <w:lang w:val="zh-CN"/>
    </w:rPr>
  </w:style>
  <w:style w:type="character" w:customStyle="1" w:styleId="516">
    <w:name w:val="标题2 Char"/>
    <w:link w:val="7"/>
    <w:qFormat/>
    <w:uiPriority w:val="0"/>
    <w:rPr>
      <w:rFonts w:ascii="黑体" w:hAnsi="黑体" w:eastAsia="黑体"/>
      <w:kern w:val="2"/>
      <w:sz w:val="21"/>
      <w:szCs w:val="21"/>
      <w:lang w:val="zh-CN"/>
    </w:rPr>
  </w:style>
  <w:style w:type="character" w:customStyle="1" w:styleId="517">
    <w:name w:val="页脚 字符"/>
    <w:link w:val="62"/>
    <w:qFormat/>
    <w:uiPriority w:val="99"/>
    <w:rPr>
      <w:kern w:val="2"/>
      <w:sz w:val="18"/>
      <w:szCs w:val="18"/>
    </w:rPr>
  </w:style>
  <w:style w:type="paragraph" w:customStyle="1" w:styleId="518">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519">
    <w:name w:val="修订2"/>
    <w:hidden/>
    <w:unhideWhenUsed/>
    <w:uiPriority w:val="99"/>
    <w:rPr>
      <w:rFonts w:ascii="Times New Roman" w:hAnsi="Times New Roman" w:eastAsia="宋体" w:cs="Times New Roman"/>
      <w:kern w:val="2"/>
      <w:sz w:val="21"/>
      <w:szCs w:val="24"/>
      <w:lang w:val="en-US" w:eastAsia="zh-CN" w:bidi="ar-SA"/>
    </w:rPr>
  </w:style>
  <w:style w:type="paragraph" w:customStyle="1" w:styleId="520">
    <w:name w:val="Revision"/>
    <w:hidden/>
    <w:unhideWhenUsed/>
    <w:uiPriority w:val="99"/>
    <w:rPr>
      <w:rFonts w:ascii="Times New Roman" w:hAnsi="Times New Roman" w:eastAsia="宋体" w:cs="Times New Roman"/>
      <w:kern w:val="2"/>
      <w:sz w:val="21"/>
      <w:szCs w:val="24"/>
      <w:lang w:val="en-US" w:eastAsia="zh-CN" w:bidi="ar-SA"/>
    </w:rPr>
  </w:style>
  <w:style w:type="character" w:customStyle="1" w:styleId="521">
    <w:name w:val="标题 2 字符"/>
    <w:basedOn w:val="234"/>
    <w:link w:val="6"/>
    <w:uiPriority w:val="0"/>
    <w:rPr>
      <w:rFonts w:eastAsia="黑体"/>
      <w:color w:val="000000"/>
      <w:kern w:val="2"/>
      <w:sz w:val="21"/>
      <w:szCs w:val="21"/>
      <w:lang w:val="zh-CN"/>
    </w:rPr>
  </w:style>
  <w:style w:type="paragraph" w:customStyle="1" w:styleId="522">
    <w:name w:val="TOC Heading"/>
    <w:basedOn w:val="3"/>
    <w:next w:val="1"/>
    <w:unhideWhenUsed/>
    <w:qFormat/>
    <w:uiPriority w:val="39"/>
    <w:pPr>
      <w:keepNext/>
      <w:keepLines/>
      <w:numPr>
        <w:numId w:val="0"/>
      </w:numPr>
      <w:spacing w:beforeLines="0" w:after="0" w:afterLines="0" w:line="259" w:lineRule="auto"/>
      <w:jc w:val="left"/>
      <w:outlineLvl w:val="9"/>
    </w:pPr>
    <w:rPr>
      <w:rFonts w:asciiTheme="majorHAnsi" w:hAnsiTheme="majorHAnsi" w:eastAsiaTheme="majorEastAsia" w:cstheme="majorBidi"/>
      <w:color w:val="2E75B6" w:themeColor="accent1" w:themeShade="BF"/>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6.xml"/><Relationship Id="rId22" Type="http://schemas.openxmlformats.org/officeDocument/2006/relationships/customXml" Target="../customXml/item5.xml"/><Relationship Id="rId21" Type="http://schemas.openxmlformats.org/officeDocument/2006/relationships/customXml" Target="../customXml/item4.xml"/><Relationship Id="rId20" Type="http://schemas.openxmlformats.org/officeDocument/2006/relationships/customXml" Target="../customXml/item3.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footer" Target="footer8.xml"/><Relationship Id="rId14" Type="http://schemas.openxmlformats.org/officeDocument/2006/relationships/footer" Target="footer7.xml"/><Relationship Id="rId13" Type="http://schemas.openxmlformats.org/officeDocument/2006/relationships/header" Target="header5.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26631;&#20934;&#32534;&#20889;WPS\bzbx20.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ReviewRoot xmlns="http://www.founder.com/style">
  <Review xmlPath="C:\Users\admin\Documents\方正审校\Temp\Space\20231202\wordStyle\84f9dd96-c89f-4d63-80bc-7ef4b09ec43d.xml" httpUrl="http://gateway.book.founderss.cn/book-review-api/api/doc/8b37bf97-e0bf-4070-a690-8c83b65d8bdd/docx"/>
</ReviewRoot>
</file>

<file path=customXml/item3.xml><?xml version="1.0" encoding="utf-8"?>
<ReviewRoot xmlns="http://www.founder.com/review">
  <DuplicateChecking Path="C:\Users\admin\AppData\Local\Temp\901b0604-00bc-4925-93de-4be646433145.xml"/>
  <Review inspectType="标点符号检查" inspectCategory="可疑" rule="" lookup="：" content=":" source="建议使用对应的全角标点符号" errorType="101" AllIndex="0" context="/T 1.1—2020《标准化工作导则  第1部分:标准化文件的结构和起草规则》的规定起草。" id="112351" bkName="bkReivew112351" note="0" index="25"/>
  <Review inspectType="标点符号检查" inspectCategory="错误" rule="" lookup="标点符号连用" content="：。" source="" errorType="104" AllIndex="0" context="本文件主要起草人：。" id="2140723" bkName="bkReivew2140723" note="0" index="8"/>
  <Review inspectType="易错词检查" inspectCategory="错误" rule="" lookup="改版" content="改单" source="" errorType="0" AllIndex="0" context="文件；不注日期的引用文件，其最新版本（包括所有的修改单）适用于本文件。" id="2172643" bkName="bkReivew2172643" note="0" index="25"/>
  <Review inspectType="标点符号检查" inspectCategory="可疑" rule="" lookup="请注意标点的全半角格式" content="1：2023" source="" errorType="113" AllIndex="0" context="IEC TS 63189-1：2023 虚拟电厂  第1部分：架构与功能要求（补充英文原" id="2063012" bkName="bkReivew2063012" note="0" index="13"/>
  <Review inspectType="译文检查" inspectCategory="错误" rule="" lookup="power distribution network" content="active disribution network" source="" errorType="1" AllIndex="0" context="有源配电网 active disribution network" id="1141423" bkName="bkReivew1141423" note="0" index="6"/>
  <Review inspectType="易错词检查" inspectCategory="错误" rule="" lookup="换流" content="潮流" source="" errorType="0" AllIndex="0" context="接入分布式电源、储能、可控负荷等元素，具有双向潮流和协调控制能力的配电网。" id="1132040" bkName="bkReivew1132040" note="0" index="23"/>
  <Review inspectType="译文检查" inspectCategory="错误" rule="" lookup="bearing capacity" content="power grid hosting capacity" source="" errorType="1" AllIndex="0" context="电网承载力 power grid hosting capacity" id="1081110" bkName="bkReivew1081110" note="0" index="6"/>
  <Review inspectType="译文检查" inspectCategory="错误" rule="" lookup="power grid" content="microgrid" source="" errorType="1" AllIndex="0" context="微电网 microgrid" id="1180316" bkName="bkReivew1180316" note="0" index="4"/>
  <Review inspectType="易错词检查" inspectCategory="错误" rule="" lookup="用电负荷" content="用点负荷" source="" errorType="0" AllIndex="0" context="新增大用户负荷比重较大的地区，电力电量需求预测可采用点负荷增长与区域负荷自然增长相结合的方法进行预测。" id="163431" bkName="bkReivew163431" note="0" index="25"/>
  <Review inspectType="易错词检查" inspectCategory="错误" rule="" lookup="精" content="经" source="" errorType="0" AllIndex="0" context="3  对于有跨电压等级合环运行需求的区域，经过技术经济比选，可选用柔性互联装置，实现功率互济和分布式电" id="2070600" bkName="bkReivew2070600" note="0" index="25"/>
  <Review inspectType="易错词检查" inspectCategory="错误" rule="" lookup="接连" content="接联" source="" errorType="0" AllIndex="0" context="控制、安全认证和数据加密等措施，防止系统末梢通信直接联入电力控制专用网络。" id="3011422" bkName="bkReivew3011422" note="0" index="25"/>
  <Review inspectType="易错词检查" inspectCategory="可疑" rule="" lookup="两个数字连用表示概数时，两数之间不用顿号“、”隔开。" content="一、二次" source="" errorType="14" AllIndex="0" context="电网规划应符合数字化智能化发展要求，融合发展配电网一、二次和信息系统，提升配电网互联互济和智能互动能力。" id="3100604" bkName="bkReivew3100604" note="0" index="25"/>
  <Review inspectType="易错词检查" inspectCategory="错误" rule="" lookup="如" content="若" source="" errorType="0" AllIndex="0" context="短路电流、电压偏差现状值，收集各节点谐波监测数据，若短路电流、电压偏差或谐波校核不通过，则该电压等级及" id="3010736" bkName="bkReivew3010736" note="0" index="25"/>
  <Review inspectType="易错词检查" inspectCategory="错误" rule="" lookup="和" content="核" source="" errorType="0" AllIndex="0" context="集各节点谐波监测数据，若短路电流、电压偏差或谐波校核不通过，则该电压等级及以下区域电网承载力或电网运行" id="73634" bkName="bkReivew73634" note="0" index="25"/>
  <Review inspectType="易错词检查" inspectCategory="错误" rule="" lookup="且" content="、且" source="备注：“且”表示并列，前面标点多余" errorType="1" AllIndex="0" context=".2.4  分布式电源应在并网点设置易操作、可闭锁、且具有明显断开点的并网开断设备。" id="2152822" bkName="bkReivew2152822" note="0" index="25"/>
  <Review inspectType="标点符号检查" inspectCategory="可疑" rule="" lookup="（" content="(" source="建议使用对应的全角标点符号" errorType="101" AllIndex="0" context="类型和分布式电源应具备保证并网点率数应在 0.95(超前)~0.95(滞后)范围内可调节的能力；" id="1042536" bkName="bkReivew1042536" note="0" index="25"/>
  <Review inspectType="标点符号检查" inspectCategory="可疑" rule="" lookup="（" content="(" source="建议使用对应的全角标点符号" errorType="101" AllIndex="0" context="具备保证并网点率数应在 0.95(超前)~0.95(滞后)范围内可调节的能力；" id="2061732" bkName="bkReivew2061732" note="0" index="25"/>
  <Review inspectType="标点符号检查" inspectCategory="可疑" rule="" lookup="）" content=")" source="建议使用对应的全角标点符号" errorType="101" AllIndex="0" context="证并网点率数应在 0.95(超前)~0.95(滞后)范围内可调节的能力；" id="31825" bkName="bkReivew31825" note="0" index="25"/>
  <Review inspectType="标点符号检查" inspectCategory="可疑" rule="" lookup="（" content="(" source="建议使用对应的全角标点符号" errorType="101" AllIndex="0" context="型分布式电源应具备保证并网点处功率因数在 0.98(超前)~0.98(滞后)范围可调节的能力。" id="2003623" bkName="bkReivew2003623" note="0" index="25"/>
  <Review inspectType="标点符号检查" inspectCategory="可疑" rule="" lookup="（" content="(" source="建议使用对应的全角标点符号" errorType="101" AllIndex="0" context="保证并网点处功率因数在 0.98(超前)~0.98(滞后)范围可调节的能力。" id="1123806" bkName="bkReivew1123806" note="0" index="25"/>
  <Review inspectType="标点符号检查" inspectCategory="可疑" rule="" lookup="）" content=")" source="建议使用对应的全角标点符号" errorType="101" AllIndex="0" context="网点处功率因数在 0.98(超前)~0.98(滞后)范围可调节的能力。" id="2020044" bkName="bkReivew2020044" note="0" index="25"/>
  <Review inspectType="标点符号检查" inspectCategory="可疑" rule="" lookup="（" content="(" source="建议使用对应的全角标点符号" errorType="101" AllIndex="0" context="类型分布式电源应具备保证并网点处功率因数在0.95(超前)~0.95(滞后)范围内连续可调的能力，并可" id="2072723" bkName="bkReivew2072723" note="0" index="25"/>
  <Review inspectType="标点符号检查" inspectCategory="可疑" rule="" lookup="（" content="(" source="建议使用对应的全角标点符号" errorType="101" AllIndex="0" context="备保证并网点处功率因数在0.95(超前)~0.95(滞后)范围内连续可调的能力，并可参与并网点的电压调" id="2130003" bkName="bkReivew2130003" note="0" index="25"/>
  <Review inspectType="标点符号检查" inspectCategory="可疑" rule="" lookup="）" content=")" source="建议使用对应的全角标点符号" errorType="101" AllIndex="0" context="并网点处功率因数在0.95(超前)~0.95(滞后)范围内连续可调的能力，并可参与并网点的电压调节；" id="3112723" bkName="bkReivew3112723" note="0" index="25"/>
  <Review inspectType="标点符号检查" inspectCategory="可疑" rule="" lookup="（" content="(" source="建议使用对应的全角标点符号" errorType="101" AllIndex="0" context="类型分布式电源应具备保证并网点处功率因数在0.98(超前)~0.98(滞后)范围自动调节的能力，有特殊" id="2153213" bkName="bkReivew2153213" note="0" index="25"/>
  <Review inspectType="标点符号检查" inspectCategory="可疑" rule="" lookup="（" content="(" source="建议使用对应的全角标点符号" errorType="101" AllIndex="0" context="备保证并网点处功率因数在0.98(超前)~0.98(滞后)范围自动调节的能力，有特殊要求时，可做适当调" id="1010830" bkName="bkReivew1010830" note="0" index="25"/>
  <Review inspectType="标点符号检查" inspectCategory="可疑" rule="" lookup="）" content=")" source="建议使用对应的全角标点符号" errorType="101" AllIndex="0" context="并网点处功率因数在0.98(超前)~0.98(滞后)范围自动调节的能力，有特殊要求时，可做适当调整以稳" id="1170354" bkName="bkReivew1170354" note="0" index="25"/>
  <Review inspectType="标点符号检查" inspectCategory="可疑" rule="" lookup="（" content="(" source="建议使用对应的全角标点符号" errorType="101" AllIndex="0" context="的分布式电源，应具备保证并网点处功率因数在0.98(超前)~0.98(滞后)范围内连续可调的能力，有特" id="172836" bkName="bkReivew172836" note="0" index="25"/>
  <Review inspectType="标点符号检查" inspectCategory="可疑" rule="" lookup="（" content="(" source="建议使用对应的全角标点符号" errorType="101" AllIndex="0" context="备保证并网点处功率因数在0.98(超前)~0.98(滞后)范围内连续可调的能力，有特殊要求时，可做适当" id="2032044" bkName="bkReivew2032044" note="0" index="25"/>
  <Review inspectType="标点符号检查" inspectCategory="可疑" rule="" lookup="）" content=")" source="建议使用对应的全角标点符号" errorType="101" AllIndex="0" context="并网点处功率因数在0.98(超前)~0.98(滞后)范围内连续可调的能力，有特殊要求时，可做适当调整以" id="70323" bkName="bkReivew70323" note="0" index="25"/>
  <Review inspectType="非推荐词" inspectCategory="可疑" rule="" lookup="通信" content="通讯" source="" errorType="2" AllIndex="0" context="定、可调节负荷管理、分布式电源发电优化、状态监控、通讯、数据采集功能，功能要求按照IEC TS 6318" id="3073545" bkName="bkReivew3073545" note="0" index="25"/>
  <Review inspectType="标点符号检查" inspectCategory="可疑" rule="" lookup="请注意标点的全半角格式" content="1：2023" source="" errorType="113" AllIndex="0" context="据采集功能，功能要求按照IEC TS 63189-1：2023执行。" id="151551" bkName="bkReivew151551" note="0" index="25"/>
  <Review inspectType="易错词检查" inspectCategory="错误" rule="" lookup="测" content="侧" source="" errorType="0" AllIndex="0" context="9.3.7  用户侧电化学储能系统应具备双向有功功率和无功功率控制功能" id="3073331" bkName="bkReivew3073331" note="0" index="9"/>
  <Review inspectType="易错词检查" inspectCategory="错误" rule="" lookup="测" content="侧" source="" errorType="0" AllIndex="0" context="9.3.8  通过 220V 单相接入的用户侧电化学储能系统，接入前应校核接入各相的总容量，不宜" id="3172121" bkName="bkReivew3172121" note="0" index="22"/>
  <Review inspectType="易错词检查" inspectCategory="错误" rule="" lookup="推" content="无" source="" errorType="0" AllIndex="0" context="的短路电流水平、供电安全水平和供电可靠性水平，以及无功优化配置方案，并研究提高配电网安全性、可靠性和适" id="1003314" bkName="bkReivew1003314" note="0" index="25"/>
  <Review inspectType="易错词检查" inspectCategory="错误" rule="" lookup="即" content="是" source="" errorType="0" AllIndex="0" context="是根据给定的运行条件和拓扑结构确定网络的运行状态，是供电能力校核、线损分析、短路电流计算、供电安全水平" id="3153555" bkName="bkReivew3153555" note="0" index="25"/>
  <Review inspectType="易错词检查" inspectCategory="错误" rule="" lookup="五" content="无" source="" errorType="0" AllIndex="0" context="分析、短路电流计算、供电安全水平分析、可靠性计算和无功规划计算的基础。" id="133646" bkName="bkReivew133646" note="0" index="25"/>
  <Review inspectType="易错词检查" inspectCategory="错误" rule="" lookup="线" content="限" source="" errorType="0" AllIndex="0" context="，检查负荷转移后相关元件是否过负荷，电网电压是否越限。" id="2041423" bkName="bkReivew2041423" note="0" index="25"/>
  <Review inspectType="易错词检查" inspectCategory="错误" rule="" lookup="物" content="无" source="" errorType="0" AllIndex="0" context="无功规划计算分析" id="3112024" bkName="bkReivew3112024" note="0" index="0"/>
  <Review inspectType="易错词检查" inspectCategory="错误" rule="" lookup="适" content="宜" source="" errorType="0" AllIndex="0" context="评估法以及收益增益/成本增量评估法。最小费用评估法宜用于确定各个规划项目的投资规模及相应的分配方案。收" id="2123802" bkName="bkReivew2123802" note="0" index="25"/>
  <Review inspectType="易错词检查" inspectCategory="错误" rule="" lookup="适" content="宜" source="" errorType="0" AllIndex="0" context="划项目的投资规模及相应的分配方案。收益/成本评估法宜用于新建项目的评估，通过相应比值评估各备选项目。收" id="2110712" bkName="bkReivew2110712" note="0" index="25"/>
  <Review inspectType="易错词检查" inspectCategory="错误" rule="" lookup="适" content="宜" source="" errorType="0" AllIndex="0" context="过相应比值评估各备选项目。收益增益/成本增量评估法宜用于新建或改造项目的评估。" id="61521" bkName="bkReivew61521" note="0" index="25"/>
</ReviewRoot>
</file>

<file path=customXml/item4.xml><?xml version="1.0" encoding="utf-8"?>
<ReviewRoot xmlns="http://www.founder.com/knowledge"/>
</file>

<file path=customXml/item5.xml><?xml version="1.0" encoding="utf-8"?>
<ReviewRoot xmlns="http://www.founder.com/operation">
  <CorrigendumButton current="61521" previous="2110712"/>
</ReviewRoot>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B2F67E5-D2FE-46DC-8169-FF2D4CD54D91}">
  <ds:schemaRefs/>
</ds:datastoreItem>
</file>

<file path=customXml/itemProps3.xml><?xml version="1.0" encoding="utf-8"?>
<ds:datastoreItem xmlns:ds="http://schemas.openxmlformats.org/officeDocument/2006/customXml" ds:itemID="{43F5B82F-CA28-4AEC-BAC9-A79803A30A16}">
  <ds:schemaRefs/>
</ds:datastoreItem>
</file>

<file path=customXml/itemProps4.xml><?xml version="1.0" encoding="utf-8"?>
<ds:datastoreItem xmlns:ds="http://schemas.openxmlformats.org/officeDocument/2006/customXml" ds:itemID="{F4EEF9E4-6EC3-436E-87AF-344A0FCCFE3C}">
  <ds:schemaRefs/>
</ds:datastoreItem>
</file>

<file path=customXml/itemProps5.xml><?xml version="1.0" encoding="utf-8"?>
<ds:datastoreItem xmlns:ds="http://schemas.openxmlformats.org/officeDocument/2006/customXml" ds:itemID="{456A10E1-270A-413E-99F0-5942BBF5173E}">
  <ds:schemaRefs/>
</ds:datastoreItem>
</file>

<file path=customXml/itemProps6.xml><?xml version="1.0" encoding="utf-8"?>
<ds:datastoreItem xmlns:ds="http://schemas.openxmlformats.org/officeDocument/2006/customXml" ds:itemID="{2758901C-6757-4089-BE5F-242D59FC8D13}">
  <ds:schemaRefs/>
</ds:datastoreItem>
</file>

<file path=docProps/app.xml><?xml version="1.0" encoding="utf-8"?>
<Properties xmlns="http://schemas.openxmlformats.org/officeDocument/2006/extended-properties" xmlns:vt="http://schemas.openxmlformats.org/officeDocument/2006/docPropsVTypes">
  <Template>bzbx20</Template>
  <Company>神州网信技术有限公司</Company>
  <Pages>16</Pages>
  <Words>12411</Words>
  <Characters>14075</Characters>
  <Lines>112</Lines>
  <Paragraphs>31</Paragraphs>
  <TotalTime>2</TotalTime>
  <ScaleCrop>false</ScaleCrop>
  <LinksUpToDate>false</LinksUpToDate>
  <CharactersWithSpaces>14686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2024-01-22T02:14:00Z</dcterms:created>
  <dc:creator>东方未明1381767884</dc:creator>
  <cp:lastModifiedBy>H_H</cp:lastModifiedBy>
  <cp:lastPrinted>2021-12-01T06:02:00Z</cp:lastPrinted>
  <dcterms:modified xsi:type="dcterms:W3CDTF">2024-06-28T02:19:10Z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条文说明标记" linkTarget="条文说明标记">
    <vt:lpwstr>无</vt:lpwstr>
  </property>
  <property fmtid="{D5CDD505-2E9C-101B-9397-08002B2CF9AE}" pid="3" name="文件标记" linkTarget="文件标记">
    <vt:lpwstr>蓝元软件</vt:lpwstr>
  </property>
  <property fmtid="{D5CDD505-2E9C-101B-9397-08002B2CF9AE}" pid="4" name="标准版本" linkTarget="标准版本">
    <vt:lpwstr>2020</vt:lpwstr>
  </property>
  <property fmtid="{D5CDD505-2E9C-101B-9397-08002B2CF9AE}" pid="5" name="KSOProductBuildVer">
    <vt:lpwstr>2052-12.1.0.16929</vt:lpwstr>
  </property>
  <property fmtid="{D5CDD505-2E9C-101B-9397-08002B2CF9AE}" pid="6" name="ICS" linkTarget="ICS">
    <vt:lpwstr>ICS</vt:lpwstr>
  </property>
  <property fmtid="{D5CDD505-2E9C-101B-9397-08002B2CF9AE}" pid="7" name="CCS" linkTarget="CCS">
    <vt:lpwstr>CCS</vt:lpwstr>
  </property>
  <property fmtid="{D5CDD505-2E9C-101B-9397-08002B2CF9AE}" pid="8" name="BAH" linkTarget="BAH">
    <vt:lpwstr>备案号：</vt:lpwstr>
  </property>
  <property fmtid="{D5CDD505-2E9C-101B-9397-08002B2CF9AE}" pid="9" name="BT" linkTarget="BT">
    <vt:lpwstr>泰州市地方标准</vt:lpwstr>
  </property>
  <property fmtid="{D5CDD505-2E9C-101B-9397-08002B2CF9AE}" pid="10" name="BZBH" linkTarget="BZBH">
    <vt:lpwstr>DB</vt:lpwstr>
  </property>
  <property fmtid="{D5CDD505-2E9C-101B-9397-08002B2CF9AE}" pid="11" name="TDBH" linkTarget="TDBH">
    <vt:lpwstr>代替 DB</vt:lpwstr>
  </property>
  <property fmtid="{D5CDD505-2E9C-101B-9397-08002B2CF9AE}" pid="12" name="BZMC" linkTarget="BZMC">
    <vt:lpwstr>质量基础设施一站式服务规范</vt:lpwstr>
  </property>
  <property fmtid="{D5CDD505-2E9C-101B-9397-08002B2CF9AE}" pid="13" name="YWMC" linkTarget="YWMC">
    <vt:lpwstr>英文名称</vt:lpwstr>
  </property>
  <property fmtid="{D5CDD505-2E9C-101B-9397-08002B2CF9AE}" pid="14" name="CBCD" linkTarget="CBCD">
    <vt:lpwstr>（与国际标准一致性程度的标识）</vt:lpwstr>
  </property>
  <property fmtid="{D5CDD505-2E9C-101B-9397-08002B2CF9AE}" pid="15" name="WGLB" linkTarget="WGLB">
    <vt:lpwstr>（不设文稿类别）</vt:lpwstr>
  </property>
  <property fmtid="{D5CDD505-2E9C-101B-9397-08002B2CF9AE}" pid="16" name="FBRQ" linkTarget="FBRQ">
    <vt:lpwstr>20XX—XX—XX</vt:lpwstr>
  </property>
  <property fmtid="{D5CDD505-2E9C-101B-9397-08002B2CF9AE}" pid="17" name="SSRQ" linkTarget="SSRQ">
    <vt:lpwstr>20XX—XX—XX</vt:lpwstr>
  </property>
  <property fmtid="{D5CDD505-2E9C-101B-9397-08002B2CF9AE}" pid="18" name="BZLX" linkTarget="BZLX">
    <vt:lpwstr>DB</vt:lpwstr>
  </property>
  <property fmtid="{D5CDD505-2E9C-101B-9397-08002B2CF9AE}" pid="19" name="标准类型" linkTarget="标准类型">
    <vt:lpwstr>DB</vt:lpwstr>
  </property>
  <property fmtid="{D5CDD505-2E9C-101B-9397-08002B2CF9AE}" pid="20" name="FBDW" linkTarget="FBDW">
    <vt:lpwstr>泰州市市场监督管理局</vt:lpwstr>
  </property>
  <property fmtid="{D5CDD505-2E9C-101B-9397-08002B2CF9AE}" pid="21" name="IMAGE" linkTarget="IMAGE">
    <vt:lpwstr/>
  </property>
  <property fmtid="{D5CDD505-2E9C-101B-9397-08002B2CF9AE}" pid="22" name="ICV">
    <vt:lpwstr>2C88B8115BB84A2C804FAB0E2CF7AA23_13</vt:lpwstr>
  </property>
</Properties>
</file>