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4E3362" w14:textId="77777777" w:rsidR="00D72CDB" w:rsidRDefault="00D72CDB">
      <w:pPr>
        <w:pStyle w:val="a9"/>
        <w:rPr>
          <w:rFonts w:asciiTheme="minorEastAsia" w:eastAsiaTheme="minorEastAsia" w:hAnsiTheme="minorEastAsia" w:cstheme="minorEastAsia"/>
          <w:sz w:val="21"/>
          <w:szCs w:val="21"/>
        </w:rPr>
      </w:pPr>
    </w:p>
    <w:p w14:paraId="32161876" w14:textId="77777777" w:rsidR="00D72CDB" w:rsidRDefault="00D72CDB">
      <w:pPr>
        <w:pStyle w:val="a9"/>
        <w:rPr>
          <w:rFonts w:asciiTheme="minorEastAsia" w:eastAsiaTheme="minorEastAsia" w:hAnsiTheme="minorEastAsia" w:cstheme="minorEastAsia"/>
          <w:sz w:val="21"/>
          <w:szCs w:val="21"/>
        </w:rPr>
      </w:pPr>
    </w:p>
    <w:p w14:paraId="14B5230A" w14:textId="77777777" w:rsidR="00D72CDB" w:rsidRDefault="00D72CDB">
      <w:pPr>
        <w:pStyle w:val="a9"/>
        <w:rPr>
          <w:rFonts w:asciiTheme="minorEastAsia" w:eastAsiaTheme="minorEastAsia" w:hAnsiTheme="minorEastAsia" w:cstheme="minorEastAsia"/>
          <w:sz w:val="21"/>
          <w:szCs w:val="21"/>
        </w:rPr>
      </w:pPr>
    </w:p>
    <w:p w14:paraId="040DE4A5" w14:textId="77777777" w:rsidR="00D72CDB" w:rsidRDefault="00D72CDB">
      <w:pPr>
        <w:pStyle w:val="a9"/>
        <w:rPr>
          <w:rFonts w:asciiTheme="minorEastAsia" w:eastAsiaTheme="minorEastAsia" w:hAnsiTheme="minorEastAsia" w:cstheme="minorEastAsia"/>
          <w:sz w:val="21"/>
          <w:szCs w:val="21"/>
        </w:rPr>
      </w:pPr>
    </w:p>
    <w:p w14:paraId="24092F49" w14:textId="77777777" w:rsidR="00D72CDB" w:rsidRDefault="00D72CDB">
      <w:pPr>
        <w:pStyle w:val="a9"/>
        <w:rPr>
          <w:rFonts w:asciiTheme="minorEastAsia" w:eastAsiaTheme="minorEastAsia" w:hAnsiTheme="minorEastAsia" w:cstheme="minorEastAsia"/>
          <w:sz w:val="21"/>
          <w:szCs w:val="21"/>
        </w:rPr>
      </w:pPr>
    </w:p>
    <w:p w14:paraId="0F67D6D8" w14:textId="77777777" w:rsidR="00D72CDB" w:rsidRDefault="008258DB">
      <w:pPr>
        <w:pStyle w:val="a9"/>
        <w:ind w:firstLineChars="0" w:firstLine="0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>
        <w:rPr>
          <w:rFonts w:ascii="方正小标宋_GBK" w:eastAsia="方正小标宋_GBK" w:hAnsi="方正小标宋_GBK" w:cs="方正小标宋_GBK" w:hint="eastAsia"/>
          <w:sz w:val="44"/>
          <w:szCs w:val="44"/>
        </w:rPr>
        <w:t>江苏省地方标准</w:t>
      </w:r>
    </w:p>
    <w:p w14:paraId="1DA9CF59" w14:textId="77777777" w:rsidR="00D72CDB" w:rsidRDefault="00D72CDB">
      <w:pPr>
        <w:pStyle w:val="a9"/>
        <w:ind w:firstLine="440"/>
      </w:pPr>
    </w:p>
    <w:p w14:paraId="168449A0" w14:textId="0E3BED78" w:rsidR="00D72CDB" w:rsidRDefault="00B942AB">
      <w:pPr>
        <w:pStyle w:val="a9"/>
        <w:ind w:firstLineChars="0" w:firstLine="0"/>
        <w:jc w:val="center"/>
        <w:rPr>
          <w:rFonts w:ascii="方正小标宋_GBK" w:eastAsia="方正小标宋_GBK" w:hAnsi="方正小标宋_GBK" w:cs="方正小标宋_GBK"/>
          <w:sz w:val="44"/>
          <w:szCs w:val="44"/>
        </w:rPr>
      </w:pPr>
      <w:r w:rsidRPr="00B942AB">
        <w:rPr>
          <w:rFonts w:ascii="方正小标宋_GBK" w:eastAsia="方正小标宋_GBK" w:hAnsi="方正小标宋_GBK" w:cs="方正小标宋_GBK" w:hint="eastAsia"/>
          <w:sz w:val="44"/>
          <w:szCs w:val="44"/>
        </w:rPr>
        <w:t>融合型配电房内</w:t>
      </w:r>
      <w:proofErr w:type="gramStart"/>
      <w:r w:rsidRPr="00B942AB">
        <w:rPr>
          <w:rFonts w:ascii="方正小标宋_GBK" w:eastAsia="方正小标宋_GBK" w:hAnsi="方正小标宋_GBK" w:cs="方正小标宋_GBK" w:hint="eastAsia"/>
          <w:sz w:val="44"/>
          <w:szCs w:val="44"/>
        </w:rPr>
        <w:t>建数字</w:t>
      </w:r>
      <w:proofErr w:type="gramEnd"/>
      <w:r w:rsidRPr="00B942AB">
        <w:rPr>
          <w:rFonts w:ascii="方正小标宋_GBK" w:eastAsia="方正小标宋_GBK" w:hAnsi="方正小标宋_GBK" w:cs="方正小标宋_GBK" w:hint="eastAsia"/>
          <w:sz w:val="44"/>
          <w:szCs w:val="44"/>
        </w:rPr>
        <w:t>机房区技术要求</w:t>
      </w:r>
    </w:p>
    <w:p w14:paraId="6C092CC1" w14:textId="77777777" w:rsidR="00D72CDB" w:rsidRDefault="00D72CDB">
      <w:pPr>
        <w:pStyle w:val="a9"/>
        <w:ind w:firstLine="440"/>
      </w:pPr>
    </w:p>
    <w:p w14:paraId="3706D9B5" w14:textId="77777777" w:rsidR="00D72CDB" w:rsidRDefault="00D72CDB">
      <w:pPr>
        <w:pStyle w:val="a9"/>
        <w:ind w:firstLine="440"/>
      </w:pPr>
    </w:p>
    <w:p w14:paraId="1CDAB652" w14:textId="77777777" w:rsidR="00D72CDB" w:rsidRDefault="00D72CDB">
      <w:pPr>
        <w:pStyle w:val="a9"/>
        <w:ind w:firstLine="440"/>
      </w:pPr>
    </w:p>
    <w:p w14:paraId="0D9118CC" w14:textId="77777777" w:rsidR="00D72CDB" w:rsidRDefault="008258DB">
      <w:pPr>
        <w:pStyle w:val="aa"/>
        <w:spacing w:before="312" w:after="312"/>
        <w:jc w:val="center"/>
        <w:rPr>
          <w:rFonts w:hAnsi="黑体"/>
          <w:sz w:val="44"/>
          <w:szCs w:val="44"/>
        </w:rPr>
      </w:pPr>
      <w:bookmarkStart w:id="0" w:name="_Toc298937368"/>
      <w:bookmarkStart w:id="1" w:name="_Toc298937333"/>
      <w:bookmarkStart w:id="2" w:name="_Toc298938794"/>
      <w:bookmarkStart w:id="3" w:name="_Toc298937473"/>
      <w:bookmarkStart w:id="4" w:name="_Toc8481"/>
      <w:bookmarkStart w:id="5" w:name="_Toc29308"/>
      <w:bookmarkStart w:id="6" w:name="_Toc1745"/>
      <w:bookmarkStart w:id="7" w:name="_Toc2668"/>
      <w:bookmarkStart w:id="8" w:name="_Toc20646"/>
      <w:bookmarkStart w:id="9" w:name="_Toc298937430"/>
      <w:bookmarkStart w:id="10" w:name="_Toc298937620"/>
      <w:bookmarkStart w:id="11" w:name="_Toc298938646"/>
      <w:bookmarkStart w:id="12" w:name="_Toc298937560"/>
      <w:r>
        <w:rPr>
          <w:rFonts w:hAnsi="黑体" w:hint="eastAsia"/>
          <w:sz w:val="44"/>
          <w:szCs w:val="44"/>
        </w:rPr>
        <w:t>编 制 说</w:t>
      </w:r>
      <w:bookmarkEnd w:id="0"/>
      <w:bookmarkEnd w:id="1"/>
      <w:r>
        <w:rPr>
          <w:rFonts w:hAnsi="黑体" w:hint="eastAsia"/>
          <w:sz w:val="44"/>
          <w:szCs w:val="44"/>
        </w:rPr>
        <w:t> 明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1270F5A5" w14:textId="77777777" w:rsidR="00D72CDB" w:rsidRDefault="00D72CDB">
      <w:pPr>
        <w:pStyle w:val="a9"/>
        <w:ind w:firstLine="440"/>
        <w:rPr>
          <w:szCs w:val="22"/>
        </w:rPr>
      </w:pPr>
    </w:p>
    <w:p w14:paraId="128C82E0" w14:textId="77777777" w:rsidR="00D72CDB" w:rsidRDefault="00D72CDB">
      <w:pPr>
        <w:pStyle w:val="a9"/>
        <w:ind w:firstLine="440"/>
        <w:rPr>
          <w:szCs w:val="22"/>
        </w:rPr>
      </w:pPr>
    </w:p>
    <w:p w14:paraId="33858D3D" w14:textId="77777777" w:rsidR="00D72CDB" w:rsidRDefault="00D72CDB">
      <w:pPr>
        <w:pStyle w:val="a9"/>
        <w:ind w:firstLine="440"/>
        <w:rPr>
          <w:szCs w:val="22"/>
        </w:rPr>
      </w:pPr>
    </w:p>
    <w:p w14:paraId="25882A0A" w14:textId="77777777" w:rsidR="00D72CDB" w:rsidRDefault="00D72CDB">
      <w:pPr>
        <w:pStyle w:val="a9"/>
        <w:ind w:firstLine="440"/>
        <w:rPr>
          <w:szCs w:val="22"/>
        </w:rPr>
      </w:pPr>
    </w:p>
    <w:p w14:paraId="73C1830B" w14:textId="77777777" w:rsidR="00D72CDB" w:rsidRDefault="00D72CDB">
      <w:pPr>
        <w:pStyle w:val="a9"/>
        <w:ind w:firstLine="440"/>
        <w:rPr>
          <w:szCs w:val="22"/>
        </w:rPr>
      </w:pPr>
    </w:p>
    <w:p w14:paraId="61CD2CCA" w14:textId="77777777" w:rsidR="00D72CDB" w:rsidRDefault="00D72CDB">
      <w:pPr>
        <w:pStyle w:val="a9"/>
        <w:ind w:firstLine="440"/>
        <w:rPr>
          <w:szCs w:val="22"/>
        </w:rPr>
        <w:sectPr w:rsidR="00D72CDB" w:rsidSect="0088552C">
          <w:pgSz w:w="11906" w:h="16838"/>
          <w:pgMar w:top="1417" w:right="1417" w:bottom="1417" w:left="1417" w:header="850" w:footer="992" w:gutter="0"/>
          <w:cols w:space="0"/>
          <w:formProt w:val="0"/>
          <w:docGrid w:type="lines" w:linePitch="312"/>
        </w:sectPr>
      </w:pPr>
    </w:p>
    <w:p w14:paraId="173C1B86" w14:textId="330CD1B4" w:rsidR="00D72CDB" w:rsidRDefault="008258DB">
      <w:pPr>
        <w:pStyle w:val="aa"/>
        <w:spacing w:before="312" w:after="312"/>
        <w:jc w:val="center"/>
        <w:rPr>
          <w:sz w:val="32"/>
          <w:szCs w:val="32"/>
        </w:rPr>
      </w:pPr>
      <w:bookmarkStart w:id="13" w:name="_Toc5301"/>
      <w:bookmarkStart w:id="14" w:name="_Toc3070"/>
      <w:bookmarkStart w:id="15" w:name="_Toc26207"/>
      <w:bookmarkStart w:id="16" w:name="_Toc29307"/>
      <w:bookmarkStart w:id="17" w:name="_Toc5831"/>
      <w:r>
        <w:rPr>
          <w:rFonts w:hint="eastAsia"/>
          <w:sz w:val="32"/>
          <w:szCs w:val="32"/>
        </w:rPr>
        <w:lastRenderedPageBreak/>
        <w:t>目</w:t>
      </w:r>
      <w:bookmarkEnd w:id="13"/>
      <w:bookmarkEnd w:id="14"/>
      <w:bookmarkEnd w:id="15"/>
      <w:bookmarkEnd w:id="16"/>
      <w:bookmarkEnd w:id="17"/>
      <w:r w:rsidR="00CE074D">
        <w:rPr>
          <w:rFonts w:hint="eastAsia"/>
          <w:sz w:val="32"/>
          <w:szCs w:val="32"/>
        </w:rPr>
        <w:t>录</w:t>
      </w:r>
    </w:p>
    <w:p w14:paraId="77F8AADC" w14:textId="77777777" w:rsidR="00D72CDB" w:rsidRDefault="008258DB">
      <w:pPr>
        <w:pStyle w:val="TOC1"/>
        <w:tabs>
          <w:tab w:val="clear" w:pos="9241"/>
          <w:tab w:val="right" w:leader="dot" w:pos="9072"/>
        </w:tabs>
        <w:spacing w:before="78" w:after="78"/>
      </w:pPr>
      <w:r>
        <w:rPr>
          <w:rFonts w:hAnsi="宋体"/>
        </w:rPr>
        <w:fldChar w:fldCharType="begin"/>
      </w:r>
      <w:r>
        <w:rPr>
          <w:rFonts w:hAnsi="宋体" w:hint="eastAsia"/>
        </w:rPr>
        <w:instrText>TOC \o "1-1" \h \z \u</w:instrText>
      </w:r>
      <w:r>
        <w:rPr>
          <w:rFonts w:hAnsi="宋体"/>
        </w:rPr>
        <w:fldChar w:fldCharType="separate"/>
      </w:r>
      <w:hyperlink w:anchor="_Toc7611" w:history="1">
        <w:r>
          <w:rPr>
            <w:rFonts w:hAnsi="宋体" w:hint="eastAsia"/>
          </w:rPr>
          <w:t>一、目的意义</w:t>
        </w:r>
        <w:r>
          <w:tab/>
        </w:r>
        <w:r>
          <w:fldChar w:fldCharType="begin"/>
        </w:r>
        <w:r>
          <w:instrText xml:space="preserve"> PAGEREF _Toc7611 </w:instrText>
        </w:r>
        <w:r>
          <w:fldChar w:fldCharType="separate"/>
        </w:r>
        <w:r>
          <w:t>3</w:t>
        </w:r>
        <w:r>
          <w:fldChar w:fldCharType="end"/>
        </w:r>
      </w:hyperlink>
    </w:p>
    <w:p w14:paraId="19BFA931" w14:textId="77777777" w:rsidR="00D72CDB" w:rsidRDefault="008258DB">
      <w:pPr>
        <w:pStyle w:val="TOC1"/>
        <w:tabs>
          <w:tab w:val="clear" w:pos="9241"/>
          <w:tab w:val="right" w:leader="dot" w:pos="9072"/>
        </w:tabs>
        <w:spacing w:before="78" w:after="78"/>
      </w:pPr>
      <w:hyperlink w:anchor="_Toc3106" w:history="1">
        <w:r>
          <w:rPr>
            <w:rFonts w:hAnsi="宋体" w:hint="eastAsia"/>
          </w:rPr>
          <w:t>二、任务来源</w:t>
        </w:r>
        <w:r>
          <w:tab/>
        </w:r>
        <w:r>
          <w:fldChar w:fldCharType="begin"/>
        </w:r>
        <w:r>
          <w:instrText xml:space="preserve"> PAGEREF _Toc3106 </w:instrText>
        </w:r>
        <w:r>
          <w:fldChar w:fldCharType="separate"/>
        </w:r>
        <w:r>
          <w:t>3</w:t>
        </w:r>
        <w:r>
          <w:fldChar w:fldCharType="end"/>
        </w:r>
      </w:hyperlink>
    </w:p>
    <w:p w14:paraId="68CA8C99" w14:textId="77777777" w:rsidR="00D72CDB" w:rsidRDefault="008258DB">
      <w:pPr>
        <w:pStyle w:val="TOC1"/>
        <w:tabs>
          <w:tab w:val="clear" w:pos="9241"/>
          <w:tab w:val="right" w:leader="dot" w:pos="9072"/>
        </w:tabs>
        <w:spacing w:before="78" w:after="78"/>
      </w:pPr>
      <w:hyperlink w:anchor="_Toc20101" w:history="1">
        <w:r>
          <w:rPr>
            <w:rFonts w:hAnsi="宋体" w:hint="eastAsia"/>
          </w:rPr>
          <w:t>三、编制过程</w:t>
        </w:r>
        <w:r>
          <w:tab/>
        </w:r>
        <w:r>
          <w:fldChar w:fldCharType="begin"/>
        </w:r>
        <w:r>
          <w:instrText xml:space="preserve"> PAGEREF _Toc20101 </w:instrText>
        </w:r>
        <w:r>
          <w:fldChar w:fldCharType="separate"/>
        </w:r>
        <w:r>
          <w:t>3</w:t>
        </w:r>
        <w:r>
          <w:fldChar w:fldCharType="end"/>
        </w:r>
      </w:hyperlink>
    </w:p>
    <w:p w14:paraId="3D80B495" w14:textId="77777777" w:rsidR="00D72CDB" w:rsidRDefault="008258DB">
      <w:pPr>
        <w:pStyle w:val="TOC1"/>
        <w:tabs>
          <w:tab w:val="clear" w:pos="9241"/>
          <w:tab w:val="right" w:leader="dot" w:pos="9072"/>
        </w:tabs>
        <w:spacing w:before="78" w:after="78"/>
      </w:pPr>
      <w:hyperlink w:anchor="_Toc14664" w:history="1">
        <w:r>
          <w:rPr>
            <w:rFonts w:hAnsi="宋体" w:hint="eastAsia"/>
          </w:rPr>
          <w:t>四、主要内容技术指标确立</w:t>
        </w:r>
        <w:r>
          <w:tab/>
        </w:r>
        <w:r>
          <w:fldChar w:fldCharType="begin"/>
        </w:r>
        <w:r>
          <w:instrText xml:space="preserve"> PAGEREF _Toc14664 </w:instrText>
        </w:r>
        <w:r>
          <w:fldChar w:fldCharType="separate"/>
        </w:r>
        <w:r>
          <w:t>3</w:t>
        </w:r>
        <w:r>
          <w:fldChar w:fldCharType="end"/>
        </w:r>
      </w:hyperlink>
    </w:p>
    <w:p w14:paraId="0D9C7A4B" w14:textId="77777777" w:rsidR="00D72CDB" w:rsidRDefault="008258DB">
      <w:pPr>
        <w:pStyle w:val="TOC1"/>
        <w:tabs>
          <w:tab w:val="clear" w:pos="9241"/>
          <w:tab w:val="right" w:leader="dot" w:pos="9072"/>
        </w:tabs>
        <w:spacing w:before="78" w:after="78"/>
      </w:pPr>
      <w:hyperlink w:anchor="_Toc4909" w:history="1">
        <w:r>
          <w:rPr>
            <w:rFonts w:hAnsi="宋体" w:hint="eastAsia"/>
          </w:rPr>
          <w:t>五、与相关法律法规和国家标准的关系</w:t>
        </w:r>
        <w:r>
          <w:tab/>
        </w:r>
        <w:r>
          <w:fldChar w:fldCharType="begin"/>
        </w:r>
        <w:r>
          <w:instrText xml:space="preserve"> PAGEREF _Toc4909 </w:instrText>
        </w:r>
        <w:r>
          <w:fldChar w:fldCharType="separate"/>
        </w:r>
        <w:r>
          <w:t>8</w:t>
        </w:r>
        <w:r>
          <w:fldChar w:fldCharType="end"/>
        </w:r>
      </w:hyperlink>
    </w:p>
    <w:p w14:paraId="470C51A2" w14:textId="77777777" w:rsidR="00D72CDB" w:rsidRDefault="008258DB">
      <w:pPr>
        <w:pStyle w:val="TOC1"/>
        <w:tabs>
          <w:tab w:val="clear" w:pos="9241"/>
          <w:tab w:val="right" w:leader="dot" w:pos="9072"/>
        </w:tabs>
        <w:spacing w:before="78" w:after="78"/>
      </w:pPr>
      <w:hyperlink w:anchor="_Toc26404" w:history="1">
        <w:r>
          <w:rPr>
            <w:rFonts w:hAnsi="宋体" w:hint="eastAsia"/>
          </w:rPr>
          <w:t>六、实施推广建议</w:t>
        </w:r>
        <w:r>
          <w:tab/>
        </w:r>
        <w:r>
          <w:fldChar w:fldCharType="begin"/>
        </w:r>
        <w:r>
          <w:instrText xml:space="preserve"> PAGEREF _Toc26404 </w:instrText>
        </w:r>
        <w:r>
          <w:fldChar w:fldCharType="separate"/>
        </w:r>
        <w:r>
          <w:t>8</w:t>
        </w:r>
        <w:r>
          <w:fldChar w:fldCharType="end"/>
        </w:r>
      </w:hyperlink>
    </w:p>
    <w:p w14:paraId="3EA48B25" w14:textId="77777777" w:rsidR="00D72CDB" w:rsidRDefault="008258DB">
      <w:pPr>
        <w:pStyle w:val="a9"/>
        <w:ind w:firstLine="440"/>
        <w:rPr>
          <w:rFonts w:hAnsi="宋体"/>
          <w:szCs w:val="21"/>
        </w:rPr>
        <w:sectPr w:rsidR="00D72CDB" w:rsidSect="0088552C">
          <w:pgSz w:w="11906" w:h="16838"/>
          <w:pgMar w:top="1417" w:right="1417" w:bottom="1417" w:left="1417" w:header="850" w:footer="992" w:gutter="0"/>
          <w:cols w:space="0"/>
          <w:formProt w:val="0"/>
          <w:docGrid w:type="lines" w:linePitch="312"/>
        </w:sectPr>
      </w:pPr>
      <w:r>
        <w:rPr>
          <w:rFonts w:hAnsi="宋体"/>
          <w:szCs w:val="21"/>
        </w:rPr>
        <w:fldChar w:fldCharType="end"/>
      </w:r>
    </w:p>
    <w:p w14:paraId="497AD55F" w14:textId="77777777" w:rsidR="00D72CDB" w:rsidRDefault="008258DB">
      <w:pPr>
        <w:pStyle w:val="10"/>
        <w:spacing w:beforeLines="0" w:afterLines="0"/>
        <w:rPr>
          <w:rFonts w:ascii="宋体" w:hAnsi="宋体"/>
          <w:b w:val="0"/>
          <w:bCs w:val="0"/>
          <w:szCs w:val="21"/>
        </w:rPr>
      </w:pPr>
      <w:bookmarkStart w:id="18" w:name="_Toc7611"/>
      <w:r>
        <w:rPr>
          <w:rFonts w:ascii="宋体" w:hAnsi="宋体" w:hint="eastAsia"/>
          <w:b w:val="0"/>
          <w:bCs w:val="0"/>
          <w:szCs w:val="21"/>
        </w:rPr>
        <w:lastRenderedPageBreak/>
        <w:t>一、目的意义</w:t>
      </w:r>
      <w:bookmarkEnd w:id="18"/>
    </w:p>
    <w:p w14:paraId="40F0AD6D" w14:textId="77777777" w:rsidR="005C7158" w:rsidRPr="005C7158" w:rsidRDefault="005C7158" w:rsidP="005C7158">
      <w:pPr>
        <w:pStyle w:val="a9"/>
        <w:rPr>
          <w:sz w:val="21"/>
          <w:szCs w:val="21"/>
        </w:rPr>
      </w:pPr>
      <w:proofErr w:type="gramStart"/>
      <w:r w:rsidRPr="005C7158">
        <w:rPr>
          <w:rFonts w:hint="eastAsia"/>
          <w:sz w:val="21"/>
          <w:szCs w:val="21"/>
        </w:rPr>
        <w:t>随着国网公司</w:t>
      </w:r>
      <w:proofErr w:type="gramEnd"/>
      <w:r w:rsidRPr="005C7158">
        <w:rPr>
          <w:rFonts w:hint="eastAsia"/>
          <w:sz w:val="21"/>
          <w:szCs w:val="21"/>
        </w:rPr>
        <w:t>能源互联网建设发展，电网数字化逐渐向配电网延伸。配电房作为一个拥有分布广泛、电力接入便捷、靠近用户等优势的理想场所，未来将是同时融合电网10kV供配电设备及低压通信设备的一个数字化共享站房。共享配电房建设，是贯彻落实国家新基建发展战略，</w:t>
      </w:r>
      <w:proofErr w:type="gramStart"/>
      <w:r w:rsidRPr="005C7158">
        <w:rPr>
          <w:rFonts w:hint="eastAsia"/>
          <w:sz w:val="21"/>
          <w:szCs w:val="21"/>
        </w:rPr>
        <w:t>推进国网</w:t>
      </w:r>
      <w:proofErr w:type="gramEnd"/>
      <w:r w:rsidRPr="005C7158">
        <w:rPr>
          <w:rFonts w:hint="eastAsia"/>
          <w:sz w:val="21"/>
          <w:szCs w:val="21"/>
        </w:rPr>
        <w:t>公司能源互联网落地实践的重要工作部署，有利于加快助</w:t>
      </w:r>
      <w:proofErr w:type="gramStart"/>
      <w:r w:rsidRPr="005C7158">
        <w:rPr>
          <w:rFonts w:hint="eastAsia"/>
          <w:sz w:val="21"/>
          <w:szCs w:val="21"/>
        </w:rPr>
        <w:t>推公司</w:t>
      </w:r>
      <w:proofErr w:type="gramEnd"/>
      <w:r w:rsidRPr="005C7158">
        <w:rPr>
          <w:rFonts w:hint="eastAsia"/>
          <w:sz w:val="21"/>
          <w:szCs w:val="21"/>
        </w:rPr>
        <w:t>数字化转型升级，盘活电网基础资源，实现提质增效。如何合理开展空间部署、工艺设计、安全管理及强弱电通道融合将是亟需解决的一个关键问题。为解决上述问题，本规范开展了融合型配电</w:t>
      </w:r>
      <w:proofErr w:type="gramStart"/>
      <w:r w:rsidRPr="005C7158">
        <w:rPr>
          <w:rFonts w:hint="eastAsia"/>
          <w:sz w:val="21"/>
          <w:szCs w:val="21"/>
        </w:rPr>
        <w:t>房数字</w:t>
      </w:r>
      <w:proofErr w:type="gramEnd"/>
      <w:r w:rsidRPr="005C7158">
        <w:rPr>
          <w:rFonts w:hint="eastAsia"/>
          <w:sz w:val="21"/>
          <w:szCs w:val="21"/>
        </w:rPr>
        <w:t>机房区典型设计工作，为江苏地区融合型配电</w:t>
      </w:r>
      <w:proofErr w:type="gramStart"/>
      <w:r w:rsidRPr="005C7158">
        <w:rPr>
          <w:rFonts w:hint="eastAsia"/>
          <w:sz w:val="21"/>
          <w:szCs w:val="21"/>
        </w:rPr>
        <w:t>房数字</w:t>
      </w:r>
      <w:proofErr w:type="gramEnd"/>
      <w:r w:rsidRPr="005C7158">
        <w:rPr>
          <w:rFonts w:hint="eastAsia"/>
          <w:sz w:val="21"/>
          <w:szCs w:val="21"/>
        </w:rPr>
        <w:t>机房区的建设提供指导意见。</w:t>
      </w:r>
    </w:p>
    <w:p w14:paraId="6C3A0EBA" w14:textId="77777777" w:rsidR="005C7158" w:rsidRPr="005C7158" w:rsidRDefault="005C7158" w:rsidP="005C7158">
      <w:pPr>
        <w:pStyle w:val="a9"/>
        <w:rPr>
          <w:sz w:val="21"/>
          <w:szCs w:val="21"/>
        </w:rPr>
      </w:pPr>
      <w:r w:rsidRPr="005C7158">
        <w:rPr>
          <w:rFonts w:hint="eastAsia"/>
          <w:sz w:val="21"/>
          <w:szCs w:val="21"/>
        </w:rPr>
        <w:t>在经济社会效益方面，开展融合型配电</w:t>
      </w:r>
      <w:proofErr w:type="gramStart"/>
      <w:r w:rsidRPr="005C7158">
        <w:rPr>
          <w:rFonts w:hint="eastAsia"/>
          <w:sz w:val="21"/>
          <w:szCs w:val="21"/>
        </w:rPr>
        <w:t>房数字</w:t>
      </w:r>
      <w:proofErr w:type="gramEnd"/>
      <w:r w:rsidRPr="005C7158">
        <w:rPr>
          <w:rFonts w:hint="eastAsia"/>
          <w:sz w:val="21"/>
          <w:szCs w:val="21"/>
        </w:rPr>
        <w:t>机房区建设，将公司能源优势转换为信息输出、计算输出。对内支撑“大云物移智”信息通信新技术与电网生产运营深度融合，提升边缘侧的数据计算处理能力，满足电网生产、经营业务实时与智能、数据聚合与互操作、安全与隐私保护等需要。同时，利用融合型配电房通信机房区进行通信机房建设，可支撑4G网络深度覆盖和5G网络快速部署，消除城乡网络覆盖差别。可推动5G、NB-IoT、馈线自动化、北斗短报文等未来网络技术应用在江苏的先行先试，推进交通、能源、给排水、环保、应急等城市基础设施物联网化改造，加快物联网技术推广应用。开展电力和通信两大基础行业在规划、技术的深入合作，同时有利于促进江苏高端电网、综合能源服务实施。</w:t>
      </w:r>
    </w:p>
    <w:p w14:paraId="42D6A12A" w14:textId="524A9BC7" w:rsidR="00D72CDB" w:rsidRDefault="005C7158" w:rsidP="005C7158">
      <w:pPr>
        <w:pStyle w:val="a9"/>
        <w:rPr>
          <w:sz w:val="21"/>
          <w:szCs w:val="21"/>
        </w:rPr>
      </w:pPr>
      <w:r w:rsidRPr="005C7158">
        <w:rPr>
          <w:rFonts w:hint="eastAsia"/>
          <w:sz w:val="21"/>
          <w:szCs w:val="21"/>
        </w:rPr>
        <w:t>在生态效益方面，融合型配电</w:t>
      </w:r>
      <w:proofErr w:type="gramStart"/>
      <w:r w:rsidRPr="005C7158">
        <w:rPr>
          <w:rFonts w:hint="eastAsia"/>
          <w:sz w:val="21"/>
          <w:szCs w:val="21"/>
        </w:rPr>
        <w:t>房数字</w:t>
      </w:r>
      <w:proofErr w:type="gramEnd"/>
      <w:r w:rsidRPr="005C7158">
        <w:rPr>
          <w:rFonts w:hint="eastAsia"/>
          <w:sz w:val="21"/>
          <w:szCs w:val="21"/>
        </w:rPr>
        <w:t>机房区的规划建设，有利于对区域内能源、土与基础设施实施综合规划，优化资源配置能力，提高土地利用率。同时，能源领域与大数据跨界深度融合，有利于以能源为主体、互联网为手段推动多种能源互补发展，促进可再生能源消纳问题，以及合理配置和利用能源，推动电网资源绿色清洁低碳发展。</w:t>
      </w:r>
    </w:p>
    <w:p w14:paraId="3EF198A8" w14:textId="77777777" w:rsidR="00D72CDB" w:rsidRDefault="008258DB">
      <w:pPr>
        <w:pStyle w:val="10"/>
        <w:spacing w:beforeLines="0" w:afterLines="0"/>
        <w:rPr>
          <w:rFonts w:ascii="宋体" w:hAnsi="宋体"/>
          <w:b w:val="0"/>
          <w:bCs w:val="0"/>
          <w:szCs w:val="21"/>
        </w:rPr>
      </w:pPr>
      <w:bookmarkStart w:id="19" w:name="_Toc3106"/>
      <w:r>
        <w:rPr>
          <w:rFonts w:ascii="宋体" w:hAnsi="宋体" w:hint="eastAsia"/>
          <w:b w:val="0"/>
          <w:bCs w:val="0"/>
          <w:szCs w:val="21"/>
        </w:rPr>
        <w:t>二、任务来源</w:t>
      </w:r>
      <w:bookmarkEnd w:id="19"/>
    </w:p>
    <w:p w14:paraId="557A3B0C" w14:textId="36C0F2D7" w:rsidR="00D72CDB" w:rsidRDefault="008258DB">
      <w:pPr>
        <w:pStyle w:val="a9"/>
        <w:rPr>
          <w:sz w:val="21"/>
          <w:szCs w:val="21"/>
        </w:rPr>
      </w:pPr>
      <w:r>
        <w:rPr>
          <w:rFonts w:hint="eastAsia"/>
          <w:sz w:val="21"/>
          <w:szCs w:val="21"/>
        </w:rPr>
        <w:t>本标准是依据江苏省市场监督管理局</w:t>
      </w:r>
      <w:r w:rsidR="00F14715" w:rsidRPr="00F14715">
        <w:rPr>
          <w:rFonts w:hint="eastAsia"/>
          <w:sz w:val="21"/>
          <w:szCs w:val="21"/>
        </w:rPr>
        <w:t>《关于下达2022年度江苏省地方标准项目计划的通知》（苏</w:t>
      </w:r>
      <w:proofErr w:type="gramStart"/>
      <w:r w:rsidR="00F14715" w:rsidRPr="00F14715">
        <w:rPr>
          <w:rFonts w:hint="eastAsia"/>
          <w:sz w:val="21"/>
          <w:szCs w:val="21"/>
        </w:rPr>
        <w:t>市监标</w:t>
      </w:r>
      <w:proofErr w:type="gramEnd"/>
      <w:r w:rsidR="00F14715" w:rsidRPr="00F14715">
        <w:rPr>
          <w:rFonts w:hint="eastAsia"/>
          <w:sz w:val="21"/>
          <w:szCs w:val="21"/>
        </w:rPr>
        <w:t>〔2022〕192号文）</w:t>
      </w:r>
      <w:r>
        <w:rPr>
          <w:rFonts w:hint="eastAsia"/>
          <w:sz w:val="21"/>
          <w:szCs w:val="21"/>
        </w:rPr>
        <w:t>要求，</w:t>
      </w:r>
      <w:proofErr w:type="gramStart"/>
      <w:r>
        <w:rPr>
          <w:rFonts w:hint="eastAsia"/>
          <w:sz w:val="21"/>
          <w:szCs w:val="21"/>
        </w:rPr>
        <w:t>由国网江苏省</w:t>
      </w:r>
      <w:proofErr w:type="gramEnd"/>
      <w:r>
        <w:rPr>
          <w:rFonts w:hint="eastAsia"/>
          <w:sz w:val="21"/>
          <w:szCs w:val="21"/>
        </w:rPr>
        <w:t>电力有限公司牵头组织编写。</w:t>
      </w:r>
    </w:p>
    <w:p w14:paraId="4D382947" w14:textId="77777777" w:rsidR="00D72CDB" w:rsidRDefault="008258DB">
      <w:pPr>
        <w:pStyle w:val="10"/>
        <w:spacing w:beforeLines="0" w:afterLines="0"/>
        <w:rPr>
          <w:rFonts w:ascii="宋体" w:hAnsi="宋体"/>
          <w:b w:val="0"/>
          <w:bCs w:val="0"/>
          <w:szCs w:val="21"/>
        </w:rPr>
      </w:pPr>
      <w:bookmarkStart w:id="20" w:name="_Toc20101"/>
      <w:r>
        <w:rPr>
          <w:rFonts w:ascii="宋体" w:hAnsi="宋体" w:hint="eastAsia"/>
          <w:b w:val="0"/>
          <w:bCs w:val="0"/>
          <w:szCs w:val="21"/>
        </w:rPr>
        <w:t>三、编制过程</w:t>
      </w:r>
      <w:bookmarkEnd w:id="20"/>
    </w:p>
    <w:p w14:paraId="7E947489" w14:textId="0275B379" w:rsidR="00D72CDB" w:rsidRDefault="00EB7C8E">
      <w:pPr>
        <w:pStyle w:val="a9"/>
        <w:rPr>
          <w:rFonts w:hAnsi="宋体"/>
          <w:sz w:val="21"/>
          <w:szCs w:val="21"/>
        </w:rPr>
      </w:pPr>
      <w:r w:rsidRPr="00EB7C8E">
        <w:rPr>
          <w:rFonts w:hint="eastAsia"/>
          <w:sz w:val="21"/>
          <w:szCs w:val="21"/>
        </w:rPr>
        <w:t>国家电网江苏公司、江苏思极、通信运营商等部门专家在长期的工程建设过程中，</w:t>
      </w:r>
      <w:r>
        <w:rPr>
          <w:rFonts w:hint="eastAsia"/>
          <w:sz w:val="21"/>
          <w:szCs w:val="21"/>
        </w:rPr>
        <w:t>伴随着技术的发展，</w:t>
      </w:r>
      <w:r w:rsidRPr="00EB7C8E">
        <w:rPr>
          <w:rFonts w:hint="eastAsia"/>
          <w:sz w:val="21"/>
          <w:szCs w:val="21"/>
        </w:rPr>
        <w:t>不断地发现问题、解决问题，经过对长期实践经验的总结和无数次的试验、探索、查阅国内外同行的技术资料，不断的修正、论证</w:t>
      </w:r>
      <w:r>
        <w:rPr>
          <w:rFonts w:hint="eastAsia"/>
          <w:sz w:val="21"/>
          <w:szCs w:val="21"/>
        </w:rPr>
        <w:t>，最终决定针对</w:t>
      </w:r>
      <w:r w:rsidR="00A76300">
        <w:rPr>
          <w:rFonts w:hint="eastAsia"/>
          <w:sz w:val="21"/>
          <w:szCs w:val="21"/>
        </w:rPr>
        <w:t>融合型配电房内</w:t>
      </w:r>
      <w:proofErr w:type="gramStart"/>
      <w:r w:rsidR="00A76300">
        <w:rPr>
          <w:rFonts w:hint="eastAsia"/>
          <w:sz w:val="21"/>
          <w:szCs w:val="21"/>
        </w:rPr>
        <w:t>建数字</w:t>
      </w:r>
      <w:proofErr w:type="gramEnd"/>
      <w:r w:rsidR="00A76300">
        <w:rPr>
          <w:rFonts w:hint="eastAsia"/>
          <w:sz w:val="21"/>
          <w:szCs w:val="21"/>
        </w:rPr>
        <w:t>机房区进行技术方面的要求。</w:t>
      </w:r>
    </w:p>
    <w:p w14:paraId="55F5AA7E" w14:textId="77777777" w:rsidR="005F0D72" w:rsidRPr="005F0D72" w:rsidRDefault="005F0D72" w:rsidP="005F0D72">
      <w:pPr>
        <w:pStyle w:val="a9"/>
        <w:rPr>
          <w:rFonts w:hAnsi="宋体"/>
          <w:sz w:val="21"/>
          <w:szCs w:val="21"/>
        </w:rPr>
      </w:pPr>
      <w:r w:rsidRPr="005F0D72">
        <w:rPr>
          <w:rFonts w:hAnsi="宋体" w:hint="eastAsia"/>
          <w:sz w:val="21"/>
          <w:szCs w:val="21"/>
        </w:rPr>
        <w:t>第一阶段：2021年9月组建了标准编制组，制定标准编制方案，开展标准编制工作。</w:t>
      </w:r>
    </w:p>
    <w:p w14:paraId="4C9A7A77" w14:textId="77777777" w:rsidR="005F0D72" w:rsidRPr="005F0D72" w:rsidRDefault="005F0D72" w:rsidP="005F0D72">
      <w:pPr>
        <w:pStyle w:val="a9"/>
        <w:rPr>
          <w:rFonts w:hAnsi="宋体"/>
          <w:sz w:val="21"/>
          <w:szCs w:val="21"/>
        </w:rPr>
      </w:pPr>
      <w:r w:rsidRPr="005F0D72">
        <w:rPr>
          <w:rFonts w:hAnsi="宋体" w:hint="eastAsia"/>
          <w:sz w:val="21"/>
          <w:szCs w:val="21"/>
        </w:rPr>
        <w:t>第二阶段：2021年10~11月，标准编制项目组通过网络、书籍、期刊和相关文献资料等方式初步完成标准编写所需相关资料的收集，对所收集的资料进行梳理、分析，并沟通讨论确定标准框架。遵循GB/T1.1-2020《标准化工作导则第1部分：标准化文件的结构和起草规则》，形成标准草案，并多次组织开展技术讨论会，咨询会，综合各方意见，编制完成了立项申请书和标准初稿。11月底，</w:t>
      </w:r>
      <w:proofErr w:type="gramStart"/>
      <w:r w:rsidRPr="005F0D72">
        <w:rPr>
          <w:rFonts w:hAnsi="宋体" w:hint="eastAsia"/>
          <w:sz w:val="21"/>
          <w:szCs w:val="21"/>
        </w:rPr>
        <w:t>国网江苏省</w:t>
      </w:r>
      <w:proofErr w:type="gramEnd"/>
      <w:r w:rsidRPr="005F0D72">
        <w:rPr>
          <w:rFonts w:hAnsi="宋体" w:hint="eastAsia"/>
          <w:sz w:val="21"/>
          <w:szCs w:val="21"/>
        </w:rPr>
        <w:t>电力公司向江苏省市场监督管理局提交《融合型配电房数字机房区技术规范》立项申请书和标准初稿。</w:t>
      </w:r>
    </w:p>
    <w:p w14:paraId="5D590723" w14:textId="335D659E" w:rsidR="005F0D72" w:rsidRPr="005F0D72" w:rsidRDefault="005F0D72" w:rsidP="005F0D72">
      <w:pPr>
        <w:pStyle w:val="a9"/>
        <w:rPr>
          <w:rFonts w:hAnsi="宋体"/>
          <w:sz w:val="21"/>
          <w:szCs w:val="21"/>
        </w:rPr>
      </w:pPr>
      <w:r w:rsidRPr="005F0D72">
        <w:rPr>
          <w:rFonts w:hAnsi="宋体" w:hint="eastAsia"/>
          <w:sz w:val="21"/>
          <w:szCs w:val="21"/>
        </w:rPr>
        <w:t>第三阶段：2022年6月，经项目材料初审、专家论证、公示，江苏省市场监督管理局正式下发了《省市场监管局关于下达2022年度江苏省地方标准项目计划的通知》（苏</w:t>
      </w:r>
      <w:proofErr w:type="gramStart"/>
      <w:r w:rsidRPr="005F0D72">
        <w:rPr>
          <w:rFonts w:hAnsi="宋体" w:hint="eastAsia"/>
          <w:sz w:val="21"/>
          <w:szCs w:val="21"/>
        </w:rPr>
        <w:t>市监标</w:t>
      </w:r>
      <w:proofErr w:type="gramEnd"/>
      <w:r w:rsidRPr="005F0D72">
        <w:rPr>
          <w:rFonts w:hAnsi="宋体" w:hint="eastAsia"/>
          <w:sz w:val="21"/>
          <w:szCs w:val="21"/>
        </w:rPr>
        <w:t>〔2022〕192号文），本标准正式立项。</w:t>
      </w:r>
    </w:p>
    <w:p w14:paraId="3B73B6BC" w14:textId="053DEA97" w:rsidR="005F0D72" w:rsidRPr="005F0D72" w:rsidRDefault="005F0D72" w:rsidP="005F0D72">
      <w:pPr>
        <w:pStyle w:val="a9"/>
        <w:rPr>
          <w:rFonts w:hAnsi="宋体"/>
          <w:sz w:val="21"/>
          <w:szCs w:val="21"/>
        </w:rPr>
      </w:pPr>
      <w:r w:rsidRPr="005F0D72">
        <w:rPr>
          <w:rFonts w:hAnsi="宋体" w:hint="eastAsia"/>
          <w:sz w:val="21"/>
          <w:szCs w:val="21"/>
        </w:rPr>
        <w:lastRenderedPageBreak/>
        <w:t>第四阶段：2022年7</w:t>
      </w:r>
      <w:r>
        <w:rPr>
          <w:rFonts w:hAnsi="宋体" w:hint="eastAsia"/>
          <w:sz w:val="21"/>
          <w:szCs w:val="21"/>
        </w:rPr>
        <w:t>月</w:t>
      </w:r>
      <w:r w:rsidRPr="005F0D72">
        <w:rPr>
          <w:rFonts w:hAnsi="宋体" w:hint="eastAsia"/>
          <w:sz w:val="21"/>
          <w:szCs w:val="21"/>
        </w:rPr>
        <w:t>~</w:t>
      </w:r>
      <w:r>
        <w:rPr>
          <w:rFonts w:hAnsi="宋体" w:hint="eastAsia"/>
          <w:sz w:val="21"/>
          <w:szCs w:val="21"/>
        </w:rPr>
        <w:t>2024年5月</w:t>
      </w:r>
      <w:r w:rsidRPr="005F0D72">
        <w:rPr>
          <w:rFonts w:hAnsi="宋体" w:hint="eastAsia"/>
          <w:sz w:val="21"/>
          <w:szCs w:val="21"/>
        </w:rPr>
        <w:t>，项目立项后，组织参编单位进行了标准编制的集中培训，此外进一步调研收集资料，广泛征求有关单位和专家意见，多次召开线上、线下咨询会和讨论会，结合意见对标准进一步修改、完善，形成标准征求意见稿。</w:t>
      </w:r>
    </w:p>
    <w:p w14:paraId="2594F63A" w14:textId="724D8F83" w:rsidR="00D72CDB" w:rsidRDefault="005F0D72" w:rsidP="005F0D72">
      <w:pPr>
        <w:pStyle w:val="a9"/>
        <w:rPr>
          <w:rFonts w:hAnsi="宋体"/>
          <w:sz w:val="21"/>
          <w:szCs w:val="21"/>
        </w:rPr>
      </w:pPr>
      <w:r w:rsidRPr="005F0D72">
        <w:rPr>
          <w:rFonts w:hAnsi="宋体" w:hint="eastAsia"/>
          <w:sz w:val="21"/>
          <w:szCs w:val="21"/>
        </w:rPr>
        <w:t>第五阶段：202</w:t>
      </w:r>
      <w:r>
        <w:rPr>
          <w:rFonts w:hAnsi="宋体" w:hint="eastAsia"/>
          <w:sz w:val="21"/>
          <w:szCs w:val="21"/>
        </w:rPr>
        <w:t>4</w:t>
      </w:r>
      <w:r w:rsidRPr="005F0D72">
        <w:rPr>
          <w:rFonts w:hAnsi="宋体" w:hint="eastAsia"/>
          <w:sz w:val="21"/>
          <w:szCs w:val="21"/>
        </w:rPr>
        <w:t>年</w:t>
      </w:r>
      <w:r>
        <w:rPr>
          <w:rFonts w:hAnsi="宋体" w:hint="eastAsia"/>
          <w:sz w:val="21"/>
          <w:szCs w:val="21"/>
        </w:rPr>
        <w:t>5</w:t>
      </w:r>
      <w:r w:rsidRPr="005F0D72">
        <w:rPr>
          <w:rFonts w:hAnsi="宋体" w:hint="eastAsia"/>
          <w:sz w:val="21"/>
          <w:szCs w:val="21"/>
        </w:rPr>
        <w:t>月，向江苏省市场监督管理局提交编制说明和标准征求意见稿，准备进行网上公开征求意见</w:t>
      </w:r>
      <w:r>
        <w:rPr>
          <w:rFonts w:hAnsi="宋体" w:hint="eastAsia"/>
          <w:sz w:val="21"/>
          <w:szCs w:val="21"/>
        </w:rPr>
        <w:t>。</w:t>
      </w:r>
    </w:p>
    <w:p w14:paraId="5EB6C624" w14:textId="77777777" w:rsidR="00D72CDB" w:rsidRDefault="008258DB">
      <w:pPr>
        <w:pStyle w:val="10"/>
        <w:spacing w:beforeLines="0" w:afterLines="0"/>
        <w:rPr>
          <w:rFonts w:ascii="宋体" w:hAnsi="宋体"/>
          <w:b w:val="0"/>
          <w:bCs w:val="0"/>
          <w:szCs w:val="21"/>
        </w:rPr>
      </w:pPr>
      <w:bookmarkStart w:id="21" w:name="_Toc14664"/>
      <w:r>
        <w:rPr>
          <w:rFonts w:ascii="宋体" w:hAnsi="宋体" w:hint="eastAsia"/>
          <w:b w:val="0"/>
          <w:bCs w:val="0"/>
          <w:szCs w:val="21"/>
        </w:rPr>
        <w:t>四、主要内容技术指标确立</w:t>
      </w:r>
      <w:bookmarkEnd w:id="21"/>
    </w:p>
    <w:p w14:paraId="24DC4053" w14:textId="6A412672" w:rsidR="00D72CDB" w:rsidRDefault="008258DB">
      <w:pPr>
        <w:pStyle w:val="a9"/>
        <w:rPr>
          <w:sz w:val="21"/>
          <w:szCs w:val="21"/>
        </w:rPr>
      </w:pPr>
      <w:r>
        <w:rPr>
          <w:rFonts w:hint="eastAsia"/>
          <w:sz w:val="21"/>
          <w:szCs w:val="21"/>
        </w:rPr>
        <w:t>4.</w:t>
      </w:r>
      <w:r w:rsidR="00FD68ED">
        <w:rPr>
          <w:rFonts w:hint="eastAsia"/>
          <w:sz w:val="21"/>
          <w:szCs w:val="21"/>
        </w:rPr>
        <w:t>1.1</w:t>
      </w:r>
      <w:r>
        <w:rPr>
          <w:rFonts w:hint="eastAsia"/>
          <w:sz w:val="21"/>
          <w:szCs w:val="21"/>
        </w:rPr>
        <w:t xml:space="preserve"> </w:t>
      </w:r>
      <w:r w:rsidR="004E7081">
        <w:rPr>
          <w:rFonts w:hint="eastAsia"/>
          <w:sz w:val="21"/>
          <w:szCs w:val="21"/>
        </w:rPr>
        <w:t>GB50174</w:t>
      </w:r>
      <w:r w:rsidR="00FD68ED">
        <w:rPr>
          <w:rFonts w:hint="eastAsia"/>
          <w:sz w:val="21"/>
          <w:szCs w:val="21"/>
        </w:rPr>
        <w:t>《数据中心设计规范》4.1.1规定了数据中心选址需符合的若干条对周边环境、气候、地质、交通等的要求，</w:t>
      </w:r>
      <w:r>
        <w:rPr>
          <w:rFonts w:hint="eastAsia"/>
          <w:sz w:val="21"/>
          <w:szCs w:val="21"/>
        </w:rPr>
        <w:t>结合现有</w:t>
      </w:r>
      <w:r w:rsidR="00FD68ED" w:rsidRPr="00FD68ED">
        <w:rPr>
          <w:rFonts w:hint="eastAsia"/>
          <w:sz w:val="21"/>
          <w:szCs w:val="21"/>
        </w:rPr>
        <w:t>融合型配电房</w:t>
      </w:r>
      <w:r>
        <w:rPr>
          <w:rFonts w:hint="eastAsia"/>
          <w:sz w:val="21"/>
          <w:szCs w:val="21"/>
        </w:rPr>
        <w:t>自身布置特点</w:t>
      </w:r>
      <w:r w:rsidR="00FD68ED">
        <w:rPr>
          <w:rFonts w:hint="eastAsia"/>
          <w:sz w:val="21"/>
          <w:szCs w:val="21"/>
        </w:rPr>
        <w:t>和实际运营经验</w:t>
      </w:r>
      <w:r>
        <w:rPr>
          <w:rFonts w:hint="eastAsia"/>
          <w:sz w:val="21"/>
          <w:szCs w:val="21"/>
        </w:rPr>
        <w:t>，同时参照变电站标准，</w:t>
      </w:r>
      <w:r w:rsidR="00FD68ED">
        <w:rPr>
          <w:rFonts w:hint="eastAsia"/>
          <w:sz w:val="21"/>
          <w:szCs w:val="21"/>
        </w:rPr>
        <w:t>明确了</w:t>
      </w:r>
      <w:r w:rsidR="00FD68ED" w:rsidRPr="00FD68ED">
        <w:rPr>
          <w:rFonts w:hint="eastAsia"/>
          <w:sz w:val="21"/>
          <w:szCs w:val="21"/>
        </w:rPr>
        <w:t>数字机房区所在的</w:t>
      </w:r>
      <w:bookmarkStart w:id="22" w:name="_Hlk166171538"/>
      <w:r w:rsidR="00FD68ED" w:rsidRPr="00FD68ED">
        <w:rPr>
          <w:rFonts w:hint="eastAsia"/>
          <w:sz w:val="21"/>
          <w:szCs w:val="21"/>
        </w:rPr>
        <w:t>融合型配电房</w:t>
      </w:r>
      <w:bookmarkEnd w:id="22"/>
      <w:r w:rsidR="00FD68ED" w:rsidRPr="00FD68ED">
        <w:rPr>
          <w:rFonts w:hint="eastAsia"/>
          <w:sz w:val="21"/>
          <w:szCs w:val="21"/>
        </w:rPr>
        <w:t>的选址要求</w:t>
      </w:r>
      <w:r w:rsidR="00FD68ED">
        <w:rPr>
          <w:rFonts w:hint="eastAsia"/>
          <w:sz w:val="21"/>
          <w:szCs w:val="21"/>
        </w:rPr>
        <w:t>。</w:t>
      </w:r>
    </w:p>
    <w:p w14:paraId="309C838C" w14:textId="5691B9B0" w:rsidR="00D72CDB" w:rsidRDefault="00FD68ED">
      <w:pPr>
        <w:pStyle w:val="a9"/>
        <w:rPr>
          <w:sz w:val="21"/>
          <w:szCs w:val="21"/>
        </w:rPr>
      </w:pPr>
      <w:r>
        <w:rPr>
          <w:rFonts w:hint="eastAsia"/>
          <w:sz w:val="21"/>
          <w:szCs w:val="21"/>
        </w:rPr>
        <w:t>4.1.2</w:t>
      </w:r>
      <w:r w:rsidR="004E7081">
        <w:rPr>
          <w:rFonts w:hint="eastAsia"/>
          <w:sz w:val="21"/>
          <w:szCs w:val="21"/>
        </w:rPr>
        <w:t xml:space="preserve"> GB50174</w:t>
      </w:r>
      <w:r>
        <w:rPr>
          <w:rFonts w:hint="eastAsia"/>
          <w:sz w:val="21"/>
          <w:szCs w:val="21"/>
        </w:rPr>
        <w:t>《数据中心设计规范》4.1.1规定了设置在建筑物内局部的数据中心的位置要求，结合</w:t>
      </w:r>
      <w:r w:rsidRPr="00FD68ED">
        <w:rPr>
          <w:rFonts w:hint="eastAsia"/>
          <w:sz w:val="21"/>
          <w:szCs w:val="21"/>
        </w:rPr>
        <w:t>融合型配电房</w:t>
      </w:r>
      <w:r>
        <w:rPr>
          <w:rFonts w:hint="eastAsia"/>
          <w:sz w:val="21"/>
          <w:szCs w:val="21"/>
        </w:rPr>
        <w:t>的一般布置情况，明确了数字机房区在</w:t>
      </w:r>
      <w:r w:rsidRPr="00FD68ED">
        <w:rPr>
          <w:rFonts w:hint="eastAsia"/>
          <w:sz w:val="21"/>
          <w:szCs w:val="21"/>
        </w:rPr>
        <w:t>融合型配电房</w:t>
      </w:r>
      <w:r>
        <w:rPr>
          <w:rFonts w:hint="eastAsia"/>
          <w:sz w:val="21"/>
          <w:szCs w:val="21"/>
        </w:rPr>
        <w:t>中的位置要求。</w:t>
      </w:r>
    </w:p>
    <w:p w14:paraId="7F6F7210" w14:textId="43855E52" w:rsidR="00D72CDB" w:rsidRDefault="00FD68ED">
      <w:pPr>
        <w:pStyle w:val="a9"/>
        <w:rPr>
          <w:sz w:val="21"/>
          <w:szCs w:val="21"/>
        </w:rPr>
      </w:pPr>
      <w:r>
        <w:rPr>
          <w:rFonts w:hint="eastAsia"/>
          <w:sz w:val="21"/>
          <w:szCs w:val="21"/>
        </w:rPr>
        <w:t>4.2.1 为更加清晰的</w:t>
      </w:r>
      <w:r w:rsidR="00B560BE">
        <w:rPr>
          <w:rFonts w:hint="eastAsia"/>
          <w:sz w:val="21"/>
          <w:szCs w:val="21"/>
        </w:rPr>
        <w:t>明确数字机房区在</w:t>
      </w:r>
      <w:r w:rsidR="00B560BE" w:rsidRPr="00FD68ED">
        <w:rPr>
          <w:rFonts w:hint="eastAsia"/>
          <w:sz w:val="21"/>
          <w:szCs w:val="21"/>
        </w:rPr>
        <w:t>融合型配电房</w:t>
      </w:r>
      <w:r w:rsidR="00B560BE">
        <w:rPr>
          <w:rFonts w:hint="eastAsia"/>
          <w:sz w:val="21"/>
          <w:szCs w:val="21"/>
        </w:rPr>
        <w:t>中的布置以及其功能分区，提供了典型的数字机房区的功能分区示意图，具体项目中建议根据实际建筑布局和需求动态调整</w:t>
      </w:r>
      <w:r>
        <w:rPr>
          <w:rFonts w:hint="eastAsia"/>
          <w:sz w:val="21"/>
          <w:szCs w:val="21"/>
        </w:rPr>
        <w:t>。</w:t>
      </w:r>
    </w:p>
    <w:p w14:paraId="7177D8B4" w14:textId="442699D6" w:rsidR="00D72CDB" w:rsidRDefault="008258DB">
      <w:pPr>
        <w:pStyle w:val="a9"/>
        <w:rPr>
          <w:sz w:val="21"/>
          <w:szCs w:val="21"/>
        </w:rPr>
      </w:pPr>
      <w:r>
        <w:rPr>
          <w:rFonts w:hint="eastAsia"/>
          <w:sz w:val="21"/>
          <w:szCs w:val="21"/>
        </w:rPr>
        <w:t>5.1.</w:t>
      </w:r>
      <w:r w:rsidR="00B560BE"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 xml:space="preserve"> </w:t>
      </w:r>
      <w:proofErr w:type="gramStart"/>
      <w:r w:rsidR="004E7081">
        <w:rPr>
          <w:rFonts w:hint="eastAsia"/>
          <w:sz w:val="21"/>
          <w:szCs w:val="21"/>
        </w:rPr>
        <w:t>算力区</w:t>
      </w:r>
      <w:proofErr w:type="gramEnd"/>
      <w:r w:rsidR="004E7081">
        <w:rPr>
          <w:rFonts w:hint="eastAsia"/>
          <w:sz w:val="21"/>
          <w:szCs w:val="21"/>
        </w:rPr>
        <w:t>其功能类似于数据中心机房</w:t>
      </w:r>
      <w:r w:rsidR="00B22C59">
        <w:rPr>
          <w:rFonts w:hint="eastAsia"/>
          <w:sz w:val="21"/>
          <w:szCs w:val="21"/>
        </w:rPr>
        <w:t>，其</w:t>
      </w:r>
      <w:r w:rsidR="004E7081">
        <w:rPr>
          <w:rFonts w:hint="eastAsia"/>
          <w:sz w:val="21"/>
          <w:szCs w:val="21"/>
        </w:rPr>
        <w:t>环境要求可执行</w:t>
      </w:r>
      <w:r w:rsidR="004E7081" w:rsidRPr="004E7081">
        <w:rPr>
          <w:rFonts w:hint="eastAsia"/>
          <w:sz w:val="21"/>
          <w:szCs w:val="21"/>
        </w:rPr>
        <w:t>GB50174《数据中心设计规范》</w:t>
      </w:r>
      <w:r w:rsidR="008846A6">
        <w:rPr>
          <w:rFonts w:hint="eastAsia"/>
          <w:sz w:val="21"/>
          <w:szCs w:val="21"/>
        </w:rPr>
        <w:t>附表A</w:t>
      </w:r>
      <w:r>
        <w:rPr>
          <w:rFonts w:hint="eastAsia"/>
          <w:sz w:val="21"/>
          <w:szCs w:val="21"/>
        </w:rPr>
        <w:t>。</w:t>
      </w:r>
      <w:r w:rsidR="00B22C59">
        <w:rPr>
          <w:rFonts w:hint="eastAsia"/>
          <w:sz w:val="21"/>
          <w:szCs w:val="21"/>
        </w:rPr>
        <w:t>通信区其功能类似于通信局（站），其环境要求可执行</w:t>
      </w:r>
      <w:r w:rsidR="00B22C59" w:rsidRPr="00B22C59">
        <w:rPr>
          <w:sz w:val="21"/>
          <w:szCs w:val="21"/>
        </w:rPr>
        <w:t>YD/T 1821</w:t>
      </w:r>
      <w:r w:rsidR="00B22C59">
        <w:rPr>
          <w:rFonts w:hint="eastAsia"/>
          <w:sz w:val="21"/>
          <w:szCs w:val="21"/>
        </w:rPr>
        <w:t>《通信局（站）机房环境条件要求与检测方法》</w:t>
      </w:r>
      <w:r w:rsidR="008846A6">
        <w:rPr>
          <w:rFonts w:hint="eastAsia"/>
          <w:sz w:val="21"/>
          <w:szCs w:val="21"/>
        </w:rPr>
        <w:t>5.1</w:t>
      </w:r>
      <w:r w:rsidR="00B22C59">
        <w:rPr>
          <w:rFonts w:hint="eastAsia"/>
          <w:sz w:val="21"/>
          <w:szCs w:val="21"/>
        </w:rPr>
        <w:t>。</w:t>
      </w:r>
    </w:p>
    <w:p w14:paraId="38310CF6" w14:textId="2059326F" w:rsidR="00D72CDB" w:rsidRDefault="008258DB">
      <w:pPr>
        <w:pStyle w:val="a9"/>
        <w:rPr>
          <w:sz w:val="21"/>
          <w:szCs w:val="21"/>
        </w:rPr>
      </w:pPr>
      <w:r>
        <w:rPr>
          <w:rFonts w:hint="eastAsia"/>
          <w:sz w:val="21"/>
          <w:szCs w:val="21"/>
        </w:rPr>
        <w:t>5.1.</w:t>
      </w:r>
      <w:r w:rsidR="00B22C59"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 xml:space="preserve"> </w:t>
      </w:r>
      <w:proofErr w:type="gramStart"/>
      <w:r w:rsidR="008846A6">
        <w:rPr>
          <w:rFonts w:hint="eastAsia"/>
          <w:sz w:val="21"/>
          <w:szCs w:val="21"/>
        </w:rPr>
        <w:t>算力区</w:t>
      </w:r>
      <w:proofErr w:type="gramEnd"/>
      <w:r w:rsidR="008846A6">
        <w:rPr>
          <w:rFonts w:hint="eastAsia"/>
          <w:sz w:val="21"/>
          <w:szCs w:val="21"/>
        </w:rPr>
        <w:t>作为服务器等IT设备长期运行的场所，其温度、露点温度和相对湿度应满足设备使用需求。应按照GB50174《数据中心设计规范》附表A中的相关要求执行</w:t>
      </w:r>
      <w:r>
        <w:rPr>
          <w:rFonts w:hint="eastAsia"/>
          <w:sz w:val="21"/>
          <w:szCs w:val="21"/>
        </w:rPr>
        <w:t>。</w:t>
      </w:r>
    </w:p>
    <w:p w14:paraId="2505F16E" w14:textId="73520825" w:rsidR="00D72CDB" w:rsidRDefault="008258DB">
      <w:pPr>
        <w:pStyle w:val="a9"/>
        <w:rPr>
          <w:sz w:val="21"/>
          <w:szCs w:val="21"/>
        </w:rPr>
      </w:pPr>
      <w:r>
        <w:rPr>
          <w:rFonts w:hint="eastAsia"/>
          <w:sz w:val="21"/>
          <w:szCs w:val="21"/>
        </w:rPr>
        <w:t>5.</w:t>
      </w:r>
      <w:r w:rsidR="008846A6"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.</w:t>
      </w:r>
      <w:r w:rsidR="008846A6">
        <w:rPr>
          <w:rFonts w:hint="eastAsia"/>
          <w:sz w:val="21"/>
          <w:szCs w:val="21"/>
        </w:rPr>
        <w:t>3</w:t>
      </w:r>
      <w:r>
        <w:rPr>
          <w:rFonts w:hint="eastAsia"/>
          <w:sz w:val="21"/>
          <w:szCs w:val="21"/>
        </w:rPr>
        <w:t xml:space="preserve"> </w:t>
      </w:r>
      <w:r w:rsidR="008846A6">
        <w:rPr>
          <w:rFonts w:hint="eastAsia"/>
          <w:sz w:val="21"/>
          <w:szCs w:val="21"/>
        </w:rPr>
        <w:t>通信</w:t>
      </w:r>
      <w:r w:rsidR="00B22C59">
        <w:rPr>
          <w:rFonts w:hint="eastAsia"/>
          <w:sz w:val="21"/>
          <w:szCs w:val="21"/>
        </w:rPr>
        <w:t>区</w:t>
      </w:r>
      <w:r w:rsidR="008846A6">
        <w:rPr>
          <w:rFonts w:hint="eastAsia"/>
          <w:sz w:val="21"/>
          <w:szCs w:val="21"/>
        </w:rPr>
        <w:t>其功能定位用于承载网络末梢接入业务</w:t>
      </w:r>
      <w:r w:rsidR="00B22C59">
        <w:rPr>
          <w:rFonts w:hint="eastAsia"/>
          <w:sz w:val="21"/>
          <w:szCs w:val="21"/>
        </w:rPr>
        <w:t>，其温度、露点温度和相对湿度应满足设备使用需求</w:t>
      </w:r>
      <w:r>
        <w:rPr>
          <w:rFonts w:hint="eastAsia"/>
          <w:sz w:val="21"/>
          <w:szCs w:val="21"/>
        </w:rPr>
        <w:t>。</w:t>
      </w:r>
      <w:r w:rsidR="00B22C59">
        <w:rPr>
          <w:rFonts w:hint="eastAsia"/>
          <w:sz w:val="21"/>
          <w:szCs w:val="21"/>
        </w:rPr>
        <w:t>应按照</w:t>
      </w:r>
      <w:r w:rsidR="008846A6" w:rsidRPr="00B22C59">
        <w:rPr>
          <w:sz w:val="21"/>
          <w:szCs w:val="21"/>
        </w:rPr>
        <w:t>YD/T 1821</w:t>
      </w:r>
      <w:r w:rsidR="008846A6">
        <w:rPr>
          <w:rFonts w:hint="eastAsia"/>
          <w:sz w:val="21"/>
          <w:szCs w:val="21"/>
        </w:rPr>
        <w:t>《通信局（站）机房环境条件要求与检测方法》5.1</w:t>
      </w:r>
      <w:r w:rsidR="00B22C59">
        <w:rPr>
          <w:rFonts w:hint="eastAsia"/>
          <w:sz w:val="21"/>
          <w:szCs w:val="21"/>
        </w:rPr>
        <w:t>的相关要求执行。</w:t>
      </w:r>
    </w:p>
    <w:p w14:paraId="700BC4D3" w14:textId="087C50F3" w:rsidR="00D72CDB" w:rsidRDefault="008258DB">
      <w:pPr>
        <w:pStyle w:val="a9"/>
        <w:rPr>
          <w:sz w:val="21"/>
          <w:szCs w:val="21"/>
        </w:rPr>
      </w:pPr>
      <w:r>
        <w:rPr>
          <w:rFonts w:hint="eastAsia"/>
          <w:sz w:val="21"/>
          <w:szCs w:val="21"/>
        </w:rPr>
        <w:t>5.</w:t>
      </w:r>
      <w:r w:rsidR="008846A6"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>.</w:t>
      </w:r>
      <w:r w:rsidR="008846A6">
        <w:rPr>
          <w:rFonts w:hint="eastAsia"/>
          <w:sz w:val="21"/>
          <w:szCs w:val="21"/>
        </w:rPr>
        <w:t>4</w:t>
      </w:r>
      <w:r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过高和过低的温度都会对电池造成损害，</w:t>
      </w:r>
      <w:r w:rsidR="008846A6">
        <w:rPr>
          <w:rFonts w:hint="eastAsia"/>
          <w:sz w:val="21"/>
          <w:szCs w:val="21"/>
        </w:rPr>
        <w:t>不同类别的蓄电池有不同的使用环境，应按照</w:t>
      </w:r>
      <w:r w:rsidR="008846A6" w:rsidRPr="00B22C59">
        <w:rPr>
          <w:sz w:val="21"/>
          <w:szCs w:val="21"/>
        </w:rPr>
        <w:t>YD/T 1821</w:t>
      </w:r>
      <w:r w:rsidR="008846A6">
        <w:rPr>
          <w:rFonts w:hint="eastAsia"/>
          <w:sz w:val="21"/>
          <w:szCs w:val="21"/>
        </w:rPr>
        <w:t>《通信局（站）机房环境条件要求与检测方法》5.1的相关要求执行</w:t>
      </w:r>
      <w:r>
        <w:rPr>
          <w:rFonts w:hint="eastAsia"/>
          <w:sz w:val="21"/>
          <w:szCs w:val="21"/>
        </w:rPr>
        <w:t>。</w:t>
      </w:r>
    </w:p>
    <w:p w14:paraId="0E8AD7E1" w14:textId="3FBE1697" w:rsidR="00D72CDB" w:rsidRDefault="008258DB">
      <w:pPr>
        <w:pStyle w:val="a9"/>
        <w:rPr>
          <w:sz w:val="21"/>
          <w:szCs w:val="21"/>
        </w:rPr>
      </w:pPr>
      <w:r>
        <w:rPr>
          <w:rFonts w:hint="eastAsia"/>
          <w:sz w:val="21"/>
          <w:szCs w:val="21"/>
        </w:rPr>
        <w:t>5.</w:t>
      </w:r>
      <w:r w:rsidR="00073D52"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 xml:space="preserve">.1 </w:t>
      </w:r>
      <w:r w:rsidR="00073D52">
        <w:rPr>
          <w:rFonts w:hint="eastAsia"/>
          <w:sz w:val="21"/>
          <w:szCs w:val="21"/>
        </w:rPr>
        <w:t>数字机房区及其配套设施其工作噪音应得到严格控制，噪音要求应满足</w:t>
      </w:r>
      <w:r w:rsidR="00073D52" w:rsidRPr="00B22C59">
        <w:rPr>
          <w:sz w:val="21"/>
          <w:szCs w:val="21"/>
        </w:rPr>
        <w:t>YD/T 1821</w:t>
      </w:r>
      <w:r w:rsidR="00073D52">
        <w:rPr>
          <w:rFonts w:hint="eastAsia"/>
          <w:sz w:val="21"/>
          <w:szCs w:val="21"/>
        </w:rPr>
        <w:t>《通信局（站）机房环境条件要求与检测方法》5.7中的相关要求</w:t>
      </w:r>
      <w:r>
        <w:rPr>
          <w:rFonts w:hint="eastAsia"/>
          <w:sz w:val="21"/>
          <w:szCs w:val="21"/>
        </w:rPr>
        <w:t>。</w:t>
      </w:r>
    </w:p>
    <w:p w14:paraId="7F8884B6" w14:textId="6810A306" w:rsidR="00D72CDB" w:rsidRDefault="008258DB">
      <w:pPr>
        <w:pStyle w:val="a9"/>
        <w:rPr>
          <w:sz w:val="21"/>
          <w:szCs w:val="21"/>
        </w:rPr>
      </w:pPr>
      <w:r>
        <w:rPr>
          <w:rFonts w:hint="eastAsia"/>
          <w:sz w:val="21"/>
          <w:szCs w:val="21"/>
        </w:rPr>
        <w:t>5.</w:t>
      </w:r>
      <w:r w:rsidR="000733AE"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 xml:space="preserve">.2 </w:t>
      </w:r>
      <w:r w:rsidR="000733AE">
        <w:rPr>
          <w:rFonts w:hint="eastAsia"/>
          <w:sz w:val="21"/>
          <w:szCs w:val="21"/>
        </w:rPr>
        <w:t>数字机房区及其配套设施其工作噪音应得到严格控制，噪音要求应满足</w:t>
      </w:r>
      <w:r w:rsidR="000733AE" w:rsidRPr="00B22C59">
        <w:rPr>
          <w:sz w:val="21"/>
          <w:szCs w:val="21"/>
        </w:rPr>
        <w:t>YD/T 1821</w:t>
      </w:r>
      <w:r w:rsidR="000733AE">
        <w:rPr>
          <w:rFonts w:hint="eastAsia"/>
          <w:sz w:val="21"/>
          <w:szCs w:val="21"/>
        </w:rPr>
        <w:t>《通信局（站）机房环境条件要求与检测方法》5.7中的相关要求</w:t>
      </w:r>
      <w:r>
        <w:rPr>
          <w:rFonts w:hint="eastAsia"/>
        </w:rPr>
        <w:t>。</w:t>
      </w:r>
    </w:p>
    <w:p w14:paraId="3358403D" w14:textId="5E0F9FC7" w:rsidR="00D72CDB" w:rsidRDefault="008258DB">
      <w:pPr>
        <w:pStyle w:val="a9"/>
        <w:rPr>
          <w:sz w:val="21"/>
          <w:szCs w:val="21"/>
        </w:rPr>
      </w:pPr>
      <w:r>
        <w:rPr>
          <w:rFonts w:hint="eastAsia"/>
          <w:sz w:val="21"/>
          <w:szCs w:val="21"/>
        </w:rPr>
        <w:t>5.</w:t>
      </w:r>
      <w:r w:rsidR="000733AE"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>.</w:t>
      </w:r>
      <w:r w:rsidR="000733AE">
        <w:rPr>
          <w:rFonts w:hint="eastAsia"/>
          <w:sz w:val="21"/>
          <w:szCs w:val="21"/>
        </w:rPr>
        <w:t>3</w:t>
      </w:r>
      <w:r>
        <w:rPr>
          <w:rFonts w:hint="eastAsia"/>
          <w:sz w:val="21"/>
          <w:szCs w:val="21"/>
        </w:rPr>
        <w:t xml:space="preserve"> </w:t>
      </w:r>
      <w:r w:rsidR="000733AE">
        <w:rPr>
          <w:rFonts w:hint="eastAsia"/>
          <w:sz w:val="21"/>
          <w:szCs w:val="21"/>
        </w:rPr>
        <w:t>数字机房区的无线电干扰环境场强要求应满足</w:t>
      </w:r>
      <w:r w:rsidR="000733AE" w:rsidRPr="00B22C59">
        <w:rPr>
          <w:sz w:val="21"/>
          <w:szCs w:val="21"/>
        </w:rPr>
        <w:t>YD/T 1821</w:t>
      </w:r>
      <w:r w:rsidR="000733AE">
        <w:rPr>
          <w:rFonts w:hint="eastAsia"/>
          <w:sz w:val="21"/>
          <w:szCs w:val="21"/>
        </w:rPr>
        <w:t>《通信局（站）机房环境条件要求与检测方法》5.5.1中的相关要求</w:t>
      </w:r>
      <w:r>
        <w:rPr>
          <w:rFonts w:hint="eastAsia"/>
          <w:sz w:val="21"/>
          <w:szCs w:val="21"/>
        </w:rPr>
        <w:t>。</w:t>
      </w:r>
    </w:p>
    <w:p w14:paraId="32F7047F" w14:textId="7B992F59" w:rsidR="000733AE" w:rsidRDefault="000733AE" w:rsidP="000733AE">
      <w:pPr>
        <w:pStyle w:val="a9"/>
        <w:rPr>
          <w:sz w:val="21"/>
          <w:szCs w:val="21"/>
        </w:rPr>
      </w:pPr>
      <w:r>
        <w:rPr>
          <w:rFonts w:hint="eastAsia"/>
          <w:sz w:val="21"/>
          <w:szCs w:val="21"/>
        </w:rPr>
        <w:t>5.2.4 数字机房区的磁场干扰场强要求应满足</w:t>
      </w:r>
      <w:r w:rsidRPr="00B22C59">
        <w:rPr>
          <w:sz w:val="21"/>
          <w:szCs w:val="21"/>
        </w:rPr>
        <w:t>YD/T 1821</w:t>
      </w:r>
      <w:r>
        <w:rPr>
          <w:rFonts w:hint="eastAsia"/>
          <w:sz w:val="21"/>
          <w:szCs w:val="21"/>
        </w:rPr>
        <w:t>《通信局（站）机房环境条件要求与检测方法》5.5.2中的相关要求。</w:t>
      </w:r>
    </w:p>
    <w:p w14:paraId="3EBA512F" w14:textId="5EC48281" w:rsidR="000733AE" w:rsidRDefault="000733AE" w:rsidP="000733AE">
      <w:pPr>
        <w:pStyle w:val="a9"/>
        <w:rPr>
          <w:sz w:val="21"/>
          <w:szCs w:val="21"/>
        </w:rPr>
      </w:pPr>
      <w:r>
        <w:rPr>
          <w:rFonts w:hint="eastAsia"/>
          <w:sz w:val="21"/>
          <w:szCs w:val="21"/>
        </w:rPr>
        <w:t>5.2.5 数字机房区的对地静电电压值要求应满足</w:t>
      </w:r>
      <w:r w:rsidR="00A00A91">
        <w:rPr>
          <w:rFonts w:hint="eastAsia"/>
          <w:sz w:val="21"/>
          <w:szCs w:val="21"/>
        </w:rPr>
        <w:t>GB50174《数据中心设计规范》5.2.4</w:t>
      </w:r>
      <w:r>
        <w:rPr>
          <w:rFonts w:hint="eastAsia"/>
          <w:sz w:val="21"/>
          <w:szCs w:val="21"/>
        </w:rPr>
        <w:t>中的相关要求。</w:t>
      </w:r>
    </w:p>
    <w:p w14:paraId="5BA54365" w14:textId="50A16479" w:rsidR="00D72CDB" w:rsidRDefault="008258DB">
      <w:pPr>
        <w:pStyle w:val="a9"/>
        <w:rPr>
          <w:sz w:val="21"/>
          <w:szCs w:val="21"/>
        </w:rPr>
      </w:pPr>
      <w:r>
        <w:rPr>
          <w:rFonts w:hint="eastAsia"/>
          <w:sz w:val="21"/>
          <w:szCs w:val="21"/>
        </w:rPr>
        <w:t>6.1.</w:t>
      </w:r>
      <w:r w:rsidR="000733AE">
        <w:rPr>
          <w:rFonts w:hint="eastAsia"/>
          <w:sz w:val="21"/>
          <w:szCs w:val="21"/>
        </w:rPr>
        <w:t>3</w:t>
      </w:r>
      <w:r>
        <w:rPr>
          <w:rFonts w:hint="eastAsia"/>
          <w:sz w:val="21"/>
          <w:szCs w:val="21"/>
        </w:rPr>
        <w:t xml:space="preserve"> </w:t>
      </w:r>
      <w:r w:rsidR="000733AE">
        <w:rPr>
          <w:rFonts w:hint="eastAsia"/>
          <w:sz w:val="21"/>
          <w:szCs w:val="21"/>
        </w:rPr>
        <w:t>此条文参考GB50174《数据中心设计规范》6.1.3中对主机房净高不宜小于3.0米的规定，但结合目前各类设备的主流标高和实际工程实施中的经验，此处对机房净高要求提高到3.2米。</w:t>
      </w:r>
    </w:p>
    <w:p w14:paraId="6E174E5C" w14:textId="75B6CEFE" w:rsidR="00D72CDB" w:rsidRDefault="008258DB">
      <w:pPr>
        <w:pStyle w:val="a9"/>
        <w:rPr>
          <w:sz w:val="21"/>
          <w:szCs w:val="21"/>
        </w:rPr>
      </w:pPr>
      <w:r>
        <w:rPr>
          <w:rFonts w:hint="eastAsia"/>
          <w:sz w:val="21"/>
          <w:szCs w:val="21"/>
        </w:rPr>
        <w:t>6.</w:t>
      </w:r>
      <w:r w:rsidR="000733AE"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>.</w:t>
      </w:r>
      <w:r w:rsidR="000733AE">
        <w:rPr>
          <w:rFonts w:hint="eastAsia"/>
          <w:sz w:val="21"/>
          <w:szCs w:val="21"/>
        </w:rPr>
        <w:t>1</w:t>
      </w:r>
      <w:r>
        <w:rPr>
          <w:rFonts w:hint="eastAsia"/>
          <w:sz w:val="21"/>
          <w:szCs w:val="21"/>
        </w:rPr>
        <w:t xml:space="preserve"> </w:t>
      </w:r>
      <w:r w:rsidR="00F35314">
        <w:rPr>
          <w:rFonts w:hint="eastAsia"/>
          <w:sz w:val="21"/>
          <w:szCs w:val="21"/>
        </w:rPr>
        <w:t>数字机房区作为服务器等IT设备及配套电源设备的长期运行的场所，对安装部位的承重应进行核实，满足各类设备的安全使用需求。应按照GB50174《数据中心设计规范》附表A中的相关要求执行。</w:t>
      </w:r>
    </w:p>
    <w:p w14:paraId="0F260301" w14:textId="4556D37A" w:rsidR="00D72CDB" w:rsidRDefault="008258DB">
      <w:pPr>
        <w:pStyle w:val="a9"/>
        <w:rPr>
          <w:sz w:val="21"/>
          <w:szCs w:val="21"/>
        </w:rPr>
      </w:pPr>
      <w:r>
        <w:rPr>
          <w:rFonts w:hint="eastAsia"/>
          <w:sz w:val="21"/>
          <w:szCs w:val="21"/>
        </w:rPr>
        <w:t>6.2.</w:t>
      </w:r>
      <w:r w:rsidR="00A928A3">
        <w:rPr>
          <w:rFonts w:hint="eastAsia"/>
          <w:sz w:val="21"/>
          <w:szCs w:val="21"/>
        </w:rPr>
        <w:t xml:space="preserve">3 </w:t>
      </w:r>
      <w:r w:rsidR="00A928A3" w:rsidRPr="00A928A3">
        <w:rPr>
          <w:rFonts w:hint="eastAsia"/>
          <w:sz w:val="21"/>
          <w:szCs w:val="21"/>
        </w:rPr>
        <w:t>改建的配电房应根据荷载要求进行抗震鉴定</w:t>
      </w:r>
      <w:r w:rsidR="00A928A3">
        <w:rPr>
          <w:rFonts w:hint="eastAsia"/>
          <w:sz w:val="21"/>
          <w:szCs w:val="21"/>
        </w:rPr>
        <w:t>，按照GB50174《数据中心设计规范》6.1.8规定执行</w:t>
      </w:r>
      <w:r>
        <w:rPr>
          <w:rFonts w:hint="eastAsia"/>
          <w:sz w:val="21"/>
          <w:szCs w:val="21"/>
        </w:rPr>
        <w:t>。</w:t>
      </w:r>
    </w:p>
    <w:p w14:paraId="404E0046" w14:textId="43A6E64C" w:rsidR="00D72CDB" w:rsidRDefault="00824539">
      <w:pPr>
        <w:pStyle w:val="a9"/>
        <w:rPr>
          <w:sz w:val="21"/>
          <w:szCs w:val="21"/>
        </w:rPr>
      </w:pPr>
      <w:r>
        <w:rPr>
          <w:rFonts w:hint="eastAsia"/>
          <w:sz w:val="21"/>
          <w:szCs w:val="21"/>
        </w:rPr>
        <w:t>6</w:t>
      </w:r>
      <w:r w:rsidR="00374D00">
        <w:rPr>
          <w:rFonts w:hint="eastAsia"/>
          <w:sz w:val="21"/>
          <w:szCs w:val="21"/>
        </w:rPr>
        <w:t>.</w:t>
      </w:r>
      <w:r>
        <w:rPr>
          <w:rFonts w:hint="eastAsia"/>
          <w:sz w:val="21"/>
          <w:szCs w:val="21"/>
        </w:rPr>
        <w:t>2</w:t>
      </w:r>
      <w:r w:rsidR="00374D00">
        <w:rPr>
          <w:rFonts w:hint="eastAsia"/>
          <w:sz w:val="21"/>
          <w:szCs w:val="21"/>
        </w:rPr>
        <w:t>.</w:t>
      </w:r>
      <w:r>
        <w:rPr>
          <w:rFonts w:hint="eastAsia"/>
          <w:sz w:val="21"/>
          <w:szCs w:val="21"/>
        </w:rPr>
        <w:t>5</w:t>
      </w:r>
      <w:r w:rsidR="00374D00"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为降低建筑围护结构发热，降低机房的能耗，建议数字机房</w:t>
      </w:r>
      <w:proofErr w:type="gramStart"/>
      <w:r>
        <w:rPr>
          <w:rFonts w:hint="eastAsia"/>
          <w:sz w:val="21"/>
          <w:szCs w:val="21"/>
        </w:rPr>
        <w:t>区不要</w:t>
      </w:r>
      <w:proofErr w:type="gramEnd"/>
      <w:r>
        <w:rPr>
          <w:rFonts w:hint="eastAsia"/>
          <w:sz w:val="21"/>
          <w:szCs w:val="21"/>
        </w:rPr>
        <w:t>设置窗户</w:t>
      </w:r>
      <w:r w:rsidR="00374D00">
        <w:rPr>
          <w:rFonts w:hint="eastAsia"/>
          <w:sz w:val="21"/>
          <w:szCs w:val="21"/>
        </w:rPr>
        <w:t>。</w:t>
      </w:r>
      <w:r>
        <w:rPr>
          <w:rFonts w:hint="eastAsia"/>
          <w:sz w:val="21"/>
          <w:szCs w:val="21"/>
        </w:rPr>
        <w:t>如外窗必须保留，应考虑窗户材质和遮阳措施尽量降低热量传导如机房。</w:t>
      </w:r>
    </w:p>
    <w:p w14:paraId="7DE79628" w14:textId="5BF884BF" w:rsidR="00D72CDB" w:rsidRDefault="004A58C6">
      <w:pPr>
        <w:pStyle w:val="a9"/>
        <w:rPr>
          <w:sz w:val="21"/>
          <w:szCs w:val="21"/>
        </w:rPr>
      </w:pPr>
      <w:r>
        <w:rPr>
          <w:rFonts w:hint="eastAsia"/>
          <w:sz w:val="21"/>
          <w:szCs w:val="21"/>
        </w:rPr>
        <w:lastRenderedPageBreak/>
        <w:t>7</w:t>
      </w:r>
      <w:r w:rsidRPr="00CF4D0E">
        <w:rPr>
          <w:rFonts w:hint="eastAsia"/>
          <w:sz w:val="21"/>
          <w:szCs w:val="21"/>
        </w:rPr>
        <w:t>.</w:t>
      </w:r>
      <w:r w:rsidR="00F3625F">
        <w:rPr>
          <w:rFonts w:hint="eastAsia"/>
          <w:sz w:val="21"/>
          <w:szCs w:val="21"/>
        </w:rPr>
        <w:t>1 融合型配电房和数字机房区在空间规划上应明确，在调研过若干类似项目结合相关专业专家的座谈意见，数字机房区与通信区对土建要求中应充分考虑各功能区的物理隔离、防火、安防及各类线缆的敷设条件</w:t>
      </w:r>
      <w:r>
        <w:rPr>
          <w:rFonts w:hint="eastAsia"/>
          <w:sz w:val="21"/>
          <w:szCs w:val="21"/>
        </w:rPr>
        <w:t>。</w:t>
      </w:r>
    </w:p>
    <w:p w14:paraId="7FA9BD62" w14:textId="6D869255" w:rsidR="00D72CDB" w:rsidRDefault="008258DB">
      <w:pPr>
        <w:pStyle w:val="a9"/>
        <w:rPr>
          <w:sz w:val="21"/>
          <w:szCs w:val="21"/>
        </w:rPr>
      </w:pPr>
      <w:r>
        <w:rPr>
          <w:rFonts w:hint="eastAsia"/>
          <w:sz w:val="21"/>
          <w:szCs w:val="21"/>
        </w:rPr>
        <w:t>7.</w:t>
      </w:r>
      <w:r w:rsidR="00F3625F">
        <w:rPr>
          <w:rFonts w:hint="eastAsia"/>
          <w:sz w:val="21"/>
          <w:szCs w:val="21"/>
        </w:rPr>
        <w:t>2</w:t>
      </w:r>
      <w:r>
        <w:rPr>
          <w:rFonts w:hint="eastAsia"/>
          <w:sz w:val="21"/>
          <w:szCs w:val="21"/>
        </w:rPr>
        <w:t xml:space="preserve"> </w:t>
      </w:r>
      <w:r w:rsidR="00F3625F">
        <w:rPr>
          <w:rFonts w:hint="eastAsia"/>
          <w:sz w:val="21"/>
          <w:szCs w:val="21"/>
        </w:rPr>
        <w:t>在对现有配电房进行</w:t>
      </w:r>
      <w:r w:rsidR="0031356C">
        <w:rPr>
          <w:rFonts w:hint="eastAsia"/>
          <w:sz w:val="21"/>
          <w:szCs w:val="21"/>
        </w:rPr>
        <w:t>数字机房区改造时，根据调研情况和相关专业专家的座谈意见对改造时各分区之间的</w:t>
      </w:r>
      <w:r w:rsidR="0031356C" w:rsidRPr="0031356C">
        <w:rPr>
          <w:rFonts w:hint="eastAsia"/>
          <w:sz w:val="21"/>
          <w:szCs w:val="21"/>
        </w:rPr>
        <w:t>工艺、建筑、结构、消防、给排水、暖通、电气、电源、防雷接地</w:t>
      </w:r>
      <w:r w:rsidR="0031356C">
        <w:rPr>
          <w:rFonts w:hint="eastAsia"/>
          <w:sz w:val="21"/>
          <w:szCs w:val="21"/>
        </w:rPr>
        <w:t>等项目进行评估，不满足</w:t>
      </w:r>
      <w:r w:rsidR="008533C3">
        <w:rPr>
          <w:rFonts w:hint="eastAsia"/>
          <w:sz w:val="21"/>
          <w:szCs w:val="21"/>
        </w:rPr>
        <w:t>功能、安全及合</w:t>
      </w:r>
      <w:proofErr w:type="gramStart"/>
      <w:r w:rsidR="008533C3">
        <w:rPr>
          <w:rFonts w:hint="eastAsia"/>
          <w:sz w:val="21"/>
          <w:szCs w:val="21"/>
        </w:rPr>
        <w:t>规</w:t>
      </w:r>
      <w:proofErr w:type="gramEnd"/>
      <w:r w:rsidR="008533C3">
        <w:rPr>
          <w:rFonts w:hint="eastAsia"/>
          <w:sz w:val="21"/>
          <w:szCs w:val="21"/>
        </w:rPr>
        <w:t>要求</w:t>
      </w:r>
      <w:r w:rsidR="0031356C">
        <w:rPr>
          <w:rFonts w:hint="eastAsia"/>
          <w:sz w:val="21"/>
          <w:szCs w:val="21"/>
        </w:rPr>
        <w:t>的应予以改造</w:t>
      </w:r>
      <w:r>
        <w:rPr>
          <w:rFonts w:hint="eastAsia"/>
          <w:sz w:val="21"/>
          <w:szCs w:val="21"/>
        </w:rPr>
        <w:t>。</w:t>
      </w:r>
    </w:p>
    <w:p w14:paraId="60AC8702" w14:textId="79F8AC6E" w:rsidR="00D72CDB" w:rsidRDefault="00AF1BD9" w:rsidP="0045394D">
      <w:pPr>
        <w:pStyle w:val="a9"/>
        <w:rPr>
          <w:sz w:val="21"/>
          <w:szCs w:val="21"/>
        </w:rPr>
      </w:pPr>
      <w:r>
        <w:rPr>
          <w:rFonts w:hint="eastAsia"/>
          <w:sz w:val="21"/>
          <w:szCs w:val="21"/>
        </w:rPr>
        <w:t>8.2.2 机房中一般分为三类照明，包括了正常照明、保证照明、事故</w:t>
      </w:r>
      <w:r w:rsidR="0045394D">
        <w:rPr>
          <w:rFonts w:hint="eastAsia"/>
          <w:sz w:val="21"/>
          <w:szCs w:val="21"/>
        </w:rPr>
        <w:t>照明，各类照明应该满足各种情况的使用需求，应符合</w:t>
      </w:r>
      <w:r w:rsidR="0045394D" w:rsidRPr="0045394D">
        <w:rPr>
          <w:rFonts w:hint="eastAsia"/>
          <w:sz w:val="21"/>
          <w:szCs w:val="21"/>
        </w:rPr>
        <w:t>YD/T 1821《通信局（站）机房环境条件要求与检测方法》5.</w:t>
      </w:r>
      <w:r w:rsidR="0045394D">
        <w:rPr>
          <w:rFonts w:hint="eastAsia"/>
          <w:sz w:val="21"/>
          <w:szCs w:val="21"/>
        </w:rPr>
        <w:t>8</w:t>
      </w:r>
      <w:r w:rsidR="0045394D" w:rsidRPr="0045394D">
        <w:rPr>
          <w:rFonts w:hint="eastAsia"/>
          <w:sz w:val="21"/>
          <w:szCs w:val="21"/>
        </w:rPr>
        <w:t>中的相关要求</w:t>
      </w:r>
      <w:r>
        <w:rPr>
          <w:rFonts w:hint="eastAsia"/>
          <w:sz w:val="21"/>
          <w:szCs w:val="21"/>
        </w:rPr>
        <w:t>。</w:t>
      </w:r>
    </w:p>
    <w:p w14:paraId="55C44B0A" w14:textId="52F67928" w:rsidR="00D72CDB" w:rsidRDefault="00C453C3">
      <w:pPr>
        <w:pStyle w:val="a9"/>
        <w:rPr>
          <w:sz w:val="21"/>
          <w:szCs w:val="21"/>
        </w:rPr>
      </w:pPr>
      <w:r>
        <w:rPr>
          <w:rFonts w:hint="eastAsia"/>
          <w:sz w:val="21"/>
          <w:szCs w:val="21"/>
        </w:rPr>
        <w:t>8.3.1 参考了Q/GDW 10343《信息机房设计及建设规范》9.1.3的要求，交流供电系统应满足全部设备的所有负载的最大需求，并充分考虑今后的扩容计划。</w:t>
      </w:r>
    </w:p>
    <w:p w14:paraId="667FAD60" w14:textId="0952A27E" w:rsidR="00D72CDB" w:rsidRDefault="00C453C3">
      <w:pPr>
        <w:pStyle w:val="a9"/>
        <w:rPr>
          <w:sz w:val="21"/>
          <w:szCs w:val="21"/>
        </w:rPr>
      </w:pPr>
      <w:r>
        <w:rPr>
          <w:rFonts w:hint="eastAsia"/>
          <w:sz w:val="21"/>
          <w:szCs w:val="21"/>
        </w:rPr>
        <w:t>8.3.2 结合实际使用过程中的需求，通信设备交流电源系统的接入方式应满足Q/GDW 11442《通信专用电源技术要求、工程验收及运行维护规程》5.4中各条的相关要求。</w:t>
      </w:r>
    </w:p>
    <w:p w14:paraId="4B2B278C" w14:textId="0A59F0B6" w:rsidR="00D72CDB" w:rsidRDefault="00C453C3">
      <w:pPr>
        <w:pStyle w:val="a9"/>
        <w:rPr>
          <w:sz w:val="21"/>
          <w:szCs w:val="21"/>
        </w:rPr>
      </w:pPr>
      <w:r>
        <w:rPr>
          <w:rFonts w:hint="eastAsia"/>
          <w:sz w:val="21"/>
          <w:szCs w:val="21"/>
        </w:rPr>
        <w:t>8.4</w:t>
      </w:r>
      <w:r w:rsidR="0047245E">
        <w:rPr>
          <w:rFonts w:hint="eastAsia"/>
          <w:sz w:val="21"/>
          <w:szCs w:val="21"/>
        </w:rPr>
        <w:t>.1-8.4.3</w:t>
      </w:r>
      <w:r>
        <w:rPr>
          <w:rFonts w:hint="eastAsia"/>
          <w:sz w:val="21"/>
          <w:szCs w:val="21"/>
        </w:rPr>
        <w:t xml:space="preserve"> 参考了GB 51194《通信电源设备安装工程设计规范》5.1.3</w:t>
      </w:r>
      <w:r w:rsidR="0047245E">
        <w:rPr>
          <w:rFonts w:hint="eastAsia"/>
          <w:sz w:val="21"/>
          <w:szCs w:val="21"/>
        </w:rPr>
        <w:t>及5.3.1-5.3.4的相关要求</w:t>
      </w:r>
      <w:r>
        <w:rPr>
          <w:rFonts w:hint="eastAsia"/>
          <w:sz w:val="21"/>
          <w:szCs w:val="21"/>
        </w:rPr>
        <w:t>。</w:t>
      </w:r>
    </w:p>
    <w:p w14:paraId="2BD66E5E" w14:textId="419A062F" w:rsidR="00E74902" w:rsidRDefault="00E74902">
      <w:pPr>
        <w:pStyle w:val="a9"/>
        <w:rPr>
          <w:sz w:val="21"/>
          <w:szCs w:val="21"/>
        </w:rPr>
      </w:pPr>
      <w:r>
        <w:rPr>
          <w:rFonts w:hint="eastAsia"/>
          <w:sz w:val="21"/>
          <w:szCs w:val="21"/>
        </w:rPr>
        <w:t>8.5.1</w:t>
      </w:r>
      <w:r w:rsidR="001909E8">
        <w:rPr>
          <w:rFonts w:hint="eastAsia"/>
          <w:sz w:val="21"/>
          <w:szCs w:val="21"/>
        </w:rPr>
        <w:t xml:space="preserve">  按照GB50689《通信局（站）防雷与接地工程设计规范》3.1.1规定执行。</w:t>
      </w:r>
    </w:p>
    <w:p w14:paraId="16765A01" w14:textId="3ADD4275" w:rsidR="001909E8" w:rsidRPr="001909E8" w:rsidRDefault="001909E8">
      <w:pPr>
        <w:pStyle w:val="a9"/>
        <w:rPr>
          <w:sz w:val="21"/>
          <w:szCs w:val="21"/>
        </w:rPr>
      </w:pPr>
      <w:r>
        <w:rPr>
          <w:rFonts w:hint="eastAsia"/>
          <w:sz w:val="21"/>
          <w:szCs w:val="21"/>
        </w:rPr>
        <w:t>8.5.5  按照GB50689《通信局（站）防雷与接地工程设计规范》3.1.2规定执行。</w:t>
      </w:r>
    </w:p>
    <w:p w14:paraId="471EE5BB" w14:textId="7FA17701" w:rsidR="00C475B7" w:rsidRDefault="00C475B7" w:rsidP="00C475B7">
      <w:pPr>
        <w:pStyle w:val="a9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9.2.1 </w:t>
      </w:r>
      <w:r w:rsidR="00E74902"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按照GB50174《数据中心设计规范》7.2.2规定执行。</w:t>
      </w:r>
    </w:p>
    <w:p w14:paraId="587C5BA2" w14:textId="3AEBB592" w:rsidR="00C475B7" w:rsidRDefault="00C475B7" w:rsidP="00C475B7">
      <w:pPr>
        <w:pStyle w:val="a9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9.2.2 </w:t>
      </w:r>
      <w:r w:rsidR="00E74902"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按照GB50174《数据中心设计规范》7.2.3规定执行。</w:t>
      </w:r>
    </w:p>
    <w:p w14:paraId="7592AD98" w14:textId="25B2FEEF" w:rsidR="00C475B7" w:rsidRDefault="00C475B7" w:rsidP="00C475B7">
      <w:pPr>
        <w:pStyle w:val="a9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9.2.3 </w:t>
      </w:r>
      <w:r w:rsidR="00E74902"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按照GB50174《数据中心设计规范》7.3.1规定执行。</w:t>
      </w:r>
    </w:p>
    <w:p w14:paraId="6335CBE0" w14:textId="6263B210" w:rsidR="00C475B7" w:rsidRDefault="00C475B7" w:rsidP="00C475B7">
      <w:pPr>
        <w:pStyle w:val="a9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9.2.4 </w:t>
      </w:r>
      <w:r w:rsidR="00E74902"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按照GB50174《数据中心设计规范》7.3.2规定执行。</w:t>
      </w:r>
    </w:p>
    <w:p w14:paraId="7644077C" w14:textId="3F42026C" w:rsidR="00C475B7" w:rsidRDefault="00C475B7" w:rsidP="00C475B7">
      <w:pPr>
        <w:pStyle w:val="a9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9.2.5 </w:t>
      </w:r>
      <w:r w:rsidR="00E74902">
        <w:rPr>
          <w:rFonts w:hint="eastAsia"/>
          <w:sz w:val="21"/>
          <w:szCs w:val="21"/>
        </w:rPr>
        <w:t xml:space="preserve"> </w:t>
      </w:r>
      <w:r>
        <w:rPr>
          <w:rFonts w:hint="eastAsia"/>
          <w:sz w:val="21"/>
          <w:szCs w:val="21"/>
        </w:rPr>
        <w:t>按照GB50174《数据中心设计规范》7.4.2规定执行。</w:t>
      </w:r>
    </w:p>
    <w:p w14:paraId="742808B5" w14:textId="4F886971" w:rsidR="00C475B7" w:rsidRDefault="00C475B7" w:rsidP="00C475B7">
      <w:pPr>
        <w:pStyle w:val="a9"/>
        <w:rPr>
          <w:sz w:val="21"/>
          <w:szCs w:val="21"/>
        </w:rPr>
      </w:pPr>
      <w:r>
        <w:rPr>
          <w:rFonts w:hint="eastAsia"/>
          <w:sz w:val="21"/>
          <w:szCs w:val="21"/>
        </w:rPr>
        <w:t xml:space="preserve">9.2.6 </w:t>
      </w:r>
      <w:r w:rsidR="00E74902">
        <w:rPr>
          <w:rFonts w:hint="eastAsia"/>
          <w:sz w:val="21"/>
          <w:szCs w:val="21"/>
        </w:rPr>
        <w:t xml:space="preserve"> 按照</w:t>
      </w:r>
      <w:r>
        <w:rPr>
          <w:rFonts w:hint="eastAsia"/>
          <w:sz w:val="21"/>
          <w:szCs w:val="21"/>
        </w:rPr>
        <w:t>Q/GDW 10343《信息机房设计及建设规范》8.3.3</w:t>
      </w:r>
      <w:r w:rsidR="00E74902">
        <w:rPr>
          <w:rFonts w:hint="eastAsia"/>
          <w:sz w:val="21"/>
          <w:szCs w:val="21"/>
        </w:rPr>
        <w:t>规定执行</w:t>
      </w:r>
      <w:r>
        <w:rPr>
          <w:rFonts w:hint="eastAsia"/>
          <w:sz w:val="21"/>
          <w:szCs w:val="21"/>
        </w:rPr>
        <w:t>。</w:t>
      </w:r>
    </w:p>
    <w:p w14:paraId="3825E412" w14:textId="2FC551FC" w:rsidR="00D72CDB" w:rsidRDefault="00E74902">
      <w:pPr>
        <w:pStyle w:val="a9"/>
        <w:rPr>
          <w:sz w:val="21"/>
          <w:szCs w:val="21"/>
        </w:rPr>
      </w:pPr>
      <w:r>
        <w:rPr>
          <w:rFonts w:hint="eastAsia"/>
          <w:sz w:val="21"/>
          <w:szCs w:val="21"/>
        </w:rPr>
        <w:t>10.1.3 按照GB50174《数据中心设计规范》11.1.3规定执行。</w:t>
      </w:r>
    </w:p>
    <w:p w14:paraId="20AB66E7" w14:textId="0C496749" w:rsidR="00D72CDB" w:rsidRDefault="00E74902">
      <w:pPr>
        <w:pStyle w:val="a9"/>
        <w:rPr>
          <w:sz w:val="21"/>
          <w:szCs w:val="21"/>
        </w:rPr>
      </w:pPr>
      <w:r>
        <w:rPr>
          <w:rFonts w:hint="eastAsia"/>
          <w:sz w:val="21"/>
          <w:szCs w:val="21"/>
        </w:rPr>
        <w:t>10.1.4 按照GB50174《数据中心设计规范》11.1.4规定执行。</w:t>
      </w:r>
    </w:p>
    <w:p w14:paraId="6A9766A9" w14:textId="713AD946" w:rsidR="00D72CDB" w:rsidRDefault="00E74902">
      <w:pPr>
        <w:pStyle w:val="a9"/>
        <w:rPr>
          <w:sz w:val="21"/>
          <w:szCs w:val="21"/>
        </w:rPr>
      </w:pPr>
      <w:r>
        <w:rPr>
          <w:rFonts w:hint="eastAsia"/>
          <w:sz w:val="21"/>
          <w:szCs w:val="21"/>
        </w:rPr>
        <w:t>10.1.5 本条文规定了电源系统监控的具体监控内容和要求，根据调研情况和相关专业专家的座谈意见，同时参考了GB50174《数据中心设计规范》附表A形成该条文。</w:t>
      </w:r>
    </w:p>
    <w:p w14:paraId="4D4A4AD1" w14:textId="4BE85A25" w:rsidR="00D72CDB" w:rsidRDefault="008B1E87">
      <w:pPr>
        <w:pStyle w:val="a9"/>
        <w:rPr>
          <w:sz w:val="21"/>
          <w:szCs w:val="21"/>
        </w:rPr>
      </w:pPr>
      <w:r>
        <w:rPr>
          <w:rFonts w:hint="eastAsia"/>
          <w:sz w:val="21"/>
          <w:szCs w:val="21"/>
        </w:rPr>
        <w:t>11.1.1-11.1.8 参考GB50174《数据中心设计规范》10.2的条文及附表A，并结合相关专业专家的座谈意见形成该条文。</w:t>
      </w:r>
    </w:p>
    <w:p w14:paraId="36252392" w14:textId="661107B8" w:rsidR="00D72CDB" w:rsidRDefault="008B1E87">
      <w:pPr>
        <w:pStyle w:val="a9"/>
        <w:rPr>
          <w:sz w:val="21"/>
          <w:szCs w:val="21"/>
        </w:rPr>
      </w:pPr>
      <w:r>
        <w:rPr>
          <w:rFonts w:hint="eastAsia"/>
          <w:sz w:val="21"/>
          <w:szCs w:val="21"/>
        </w:rPr>
        <w:t>12.1.2 按照GB50174《数据中心设计规范》12.1.3规定执行。</w:t>
      </w:r>
    </w:p>
    <w:p w14:paraId="49D2643E" w14:textId="08D9006E" w:rsidR="00D72CDB" w:rsidRDefault="00A76300">
      <w:pPr>
        <w:pStyle w:val="a9"/>
        <w:rPr>
          <w:sz w:val="21"/>
          <w:szCs w:val="21"/>
        </w:rPr>
      </w:pPr>
      <w:r>
        <w:rPr>
          <w:rFonts w:hint="eastAsia"/>
          <w:sz w:val="21"/>
          <w:szCs w:val="21"/>
        </w:rPr>
        <w:t>12.3.1-12.3.7 参照GB 51369《通信设备安装工程抗震设计标准》第5.1-5.4条与6.1条。</w:t>
      </w:r>
    </w:p>
    <w:p w14:paraId="5F70E5E3" w14:textId="77777777" w:rsidR="00D72CDB" w:rsidRDefault="00D72CDB">
      <w:pPr>
        <w:pStyle w:val="a9"/>
        <w:ind w:firstLine="440"/>
        <w:rPr>
          <w:szCs w:val="22"/>
        </w:rPr>
      </w:pPr>
    </w:p>
    <w:p w14:paraId="093022CA" w14:textId="77777777" w:rsidR="00D72CDB" w:rsidRDefault="008258DB">
      <w:pPr>
        <w:pStyle w:val="10"/>
        <w:spacing w:beforeLines="0" w:afterLines="0"/>
        <w:rPr>
          <w:rFonts w:ascii="宋体" w:hAnsi="宋体"/>
          <w:b w:val="0"/>
          <w:bCs w:val="0"/>
          <w:szCs w:val="21"/>
        </w:rPr>
      </w:pPr>
      <w:bookmarkStart w:id="23" w:name="_Toc4909"/>
      <w:r>
        <w:rPr>
          <w:rFonts w:ascii="宋体" w:hAnsi="宋体" w:hint="eastAsia"/>
          <w:b w:val="0"/>
          <w:bCs w:val="0"/>
          <w:szCs w:val="21"/>
        </w:rPr>
        <w:t>五、与相关法律法规和国家标准的关系</w:t>
      </w:r>
      <w:bookmarkEnd w:id="23"/>
    </w:p>
    <w:p w14:paraId="6420C26A" w14:textId="61C72BB0" w:rsidR="00AC0BC3" w:rsidRPr="00AC0BC3" w:rsidRDefault="00AC0BC3" w:rsidP="00AC0BC3">
      <w:pPr>
        <w:pStyle w:val="a9"/>
        <w:rPr>
          <w:sz w:val="21"/>
          <w:szCs w:val="21"/>
        </w:rPr>
      </w:pPr>
      <w:r w:rsidRPr="00AC0BC3">
        <w:rPr>
          <w:rFonts w:hint="eastAsia"/>
          <w:sz w:val="21"/>
          <w:szCs w:val="21"/>
        </w:rPr>
        <w:t>本着科学、规范、统一和实用原则，按照《中华人民共和国标准化法》和《江苏省标准监督管理办法》等有关法律、法规、文件的要求，本标准规范了融合型配电房</w:t>
      </w:r>
      <w:r>
        <w:rPr>
          <w:rFonts w:hint="eastAsia"/>
          <w:sz w:val="21"/>
          <w:szCs w:val="21"/>
        </w:rPr>
        <w:t>内</w:t>
      </w:r>
      <w:proofErr w:type="gramStart"/>
      <w:r>
        <w:rPr>
          <w:rFonts w:hint="eastAsia"/>
          <w:sz w:val="21"/>
          <w:szCs w:val="21"/>
        </w:rPr>
        <w:t>建</w:t>
      </w:r>
      <w:r w:rsidRPr="00AC0BC3">
        <w:rPr>
          <w:rFonts w:hint="eastAsia"/>
          <w:sz w:val="21"/>
          <w:szCs w:val="21"/>
        </w:rPr>
        <w:t>数字</w:t>
      </w:r>
      <w:proofErr w:type="gramEnd"/>
      <w:r w:rsidRPr="00AC0BC3">
        <w:rPr>
          <w:rFonts w:hint="eastAsia"/>
          <w:sz w:val="21"/>
          <w:szCs w:val="21"/>
        </w:rPr>
        <w:t>机房区的技术要求，遵守现行法律法规，执行相关国家标准、行业标准等上级标准，与相关标准协调配套。</w:t>
      </w:r>
    </w:p>
    <w:p w14:paraId="16B35363" w14:textId="67A0B058" w:rsidR="00D72CDB" w:rsidRDefault="00AC0BC3" w:rsidP="00344E59">
      <w:pPr>
        <w:pStyle w:val="a9"/>
        <w:rPr>
          <w:sz w:val="21"/>
          <w:szCs w:val="21"/>
        </w:rPr>
      </w:pPr>
      <w:r w:rsidRPr="00AC0BC3">
        <w:rPr>
          <w:rFonts w:hint="eastAsia"/>
          <w:sz w:val="21"/>
          <w:szCs w:val="21"/>
        </w:rPr>
        <w:t>本标准参考和引用了以下标准：</w:t>
      </w:r>
      <w:r w:rsidR="00344E59" w:rsidRPr="00344E59">
        <w:rPr>
          <w:rFonts w:hint="eastAsia"/>
          <w:sz w:val="21"/>
          <w:szCs w:val="21"/>
        </w:rPr>
        <w:t xml:space="preserve">GB 51194 </w:t>
      </w:r>
      <w:r w:rsidR="00344E59">
        <w:rPr>
          <w:rFonts w:hint="eastAsia"/>
          <w:sz w:val="21"/>
          <w:szCs w:val="21"/>
        </w:rPr>
        <w:t>《</w:t>
      </w:r>
      <w:r w:rsidR="00344E59" w:rsidRPr="00344E59">
        <w:rPr>
          <w:rFonts w:hint="eastAsia"/>
          <w:sz w:val="21"/>
          <w:szCs w:val="21"/>
        </w:rPr>
        <w:t>通信电源设备安装工程设计规范</w:t>
      </w:r>
      <w:r w:rsidR="00344E59">
        <w:rPr>
          <w:rFonts w:hint="eastAsia"/>
          <w:sz w:val="21"/>
          <w:szCs w:val="21"/>
        </w:rPr>
        <w:t>》</w:t>
      </w:r>
      <w:r w:rsidRPr="00AC0BC3">
        <w:rPr>
          <w:rFonts w:hint="eastAsia"/>
          <w:sz w:val="21"/>
          <w:szCs w:val="21"/>
        </w:rPr>
        <w:t>、YD/T1821《通信局(站)机房环境条件要求与检测方法》、GB50016《建筑设计防火规范》、GB50222《建筑内部装修设计防火规范》、GB50189《公共建筑节能设计标准》、YD/T5184《通信局(站)节能设计规范》、GB50174《数据中心设计规范》、GB8702《电磁环境控制限值》、GB50023《建筑抗震鉴定标准》、GB50367《混凝土结构加固设计规范》、JGJ116《建筑抗震加固技术规程》、JGJ145《混凝土结构后锚固技术规程》、YD/T1051《通信局(站)电源系统总技术要求》、GB50314《智能建筑设计标准》、GB50348</w:t>
      </w:r>
      <w:r w:rsidRPr="00AC0BC3">
        <w:rPr>
          <w:rFonts w:hint="eastAsia"/>
          <w:sz w:val="21"/>
          <w:szCs w:val="21"/>
        </w:rPr>
        <w:lastRenderedPageBreak/>
        <w:t>《安全防范工程技术规范》、GB50116《火灾自动报警系统设计规范》、GB50464《视频显示系统工程技术规范》、GB50689《通信局(站)防雷与接地工程设计规范》、YD/T2199《通信机房防火封堵安全技术要求》、</w:t>
      </w:r>
      <w:bookmarkStart w:id="24" w:name="_Hlk166323594"/>
      <w:r w:rsidRPr="00AC0BC3">
        <w:rPr>
          <w:rFonts w:hint="eastAsia"/>
          <w:sz w:val="21"/>
          <w:szCs w:val="21"/>
        </w:rPr>
        <w:t>GB50736《民用建筑供暖通风与空气调节设计规范》</w:t>
      </w:r>
      <w:bookmarkEnd w:id="24"/>
      <w:r w:rsidRPr="00AC0BC3">
        <w:rPr>
          <w:rFonts w:hint="eastAsia"/>
          <w:sz w:val="21"/>
          <w:szCs w:val="21"/>
        </w:rPr>
        <w:t>、GB/T51369《通信设备安装工程抗震设计标准》、YD/T5054《通信建筑抗震设防分类标准》、GB/T51242《同步数字体系(SDH)光纤传输系统工程设计规范》</w:t>
      </w:r>
      <w:r w:rsidR="00344E59">
        <w:rPr>
          <w:rFonts w:hint="eastAsia"/>
          <w:sz w:val="21"/>
          <w:szCs w:val="21"/>
        </w:rPr>
        <w:t>、</w:t>
      </w:r>
      <w:r w:rsidR="00344E59" w:rsidRPr="00344E59">
        <w:rPr>
          <w:rFonts w:hint="eastAsia"/>
          <w:sz w:val="21"/>
          <w:szCs w:val="21"/>
        </w:rPr>
        <w:t xml:space="preserve">Q/GDW 10343 </w:t>
      </w:r>
      <w:r w:rsidR="00344E59">
        <w:rPr>
          <w:rFonts w:hint="eastAsia"/>
          <w:sz w:val="21"/>
          <w:szCs w:val="21"/>
        </w:rPr>
        <w:t>《</w:t>
      </w:r>
      <w:r w:rsidR="00344E59" w:rsidRPr="00344E59">
        <w:rPr>
          <w:rFonts w:hint="eastAsia"/>
          <w:sz w:val="21"/>
          <w:szCs w:val="21"/>
        </w:rPr>
        <w:t>国家电网公司信息机房设计及建设规范</w:t>
      </w:r>
      <w:r w:rsidR="00344E59">
        <w:rPr>
          <w:rFonts w:hint="eastAsia"/>
          <w:sz w:val="21"/>
          <w:szCs w:val="21"/>
        </w:rPr>
        <w:t>》、</w:t>
      </w:r>
      <w:r w:rsidR="00344E59" w:rsidRPr="00344E59">
        <w:rPr>
          <w:rFonts w:hint="eastAsia"/>
          <w:sz w:val="21"/>
          <w:szCs w:val="21"/>
        </w:rPr>
        <w:t xml:space="preserve">Q/GDW 11442 </w:t>
      </w:r>
      <w:r w:rsidR="00344E59">
        <w:rPr>
          <w:rFonts w:hint="eastAsia"/>
          <w:sz w:val="21"/>
          <w:szCs w:val="21"/>
        </w:rPr>
        <w:t>《</w:t>
      </w:r>
      <w:r w:rsidR="00344E59" w:rsidRPr="00344E59">
        <w:rPr>
          <w:rFonts w:hint="eastAsia"/>
          <w:sz w:val="21"/>
          <w:szCs w:val="21"/>
        </w:rPr>
        <w:t>通信专用电源技术要求、工程验收及运行维护规程</w:t>
      </w:r>
      <w:r w:rsidR="00344E59">
        <w:rPr>
          <w:rFonts w:hint="eastAsia"/>
          <w:sz w:val="21"/>
          <w:szCs w:val="21"/>
        </w:rPr>
        <w:t>》</w:t>
      </w:r>
      <w:r>
        <w:rPr>
          <w:rFonts w:hint="eastAsia"/>
          <w:sz w:val="21"/>
          <w:szCs w:val="21"/>
        </w:rPr>
        <w:t>。</w:t>
      </w:r>
    </w:p>
    <w:p w14:paraId="7892B2AF" w14:textId="77777777" w:rsidR="00D72CDB" w:rsidRDefault="008258DB">
      <w:pPr>
        <w:pStyle w:val="a9"/>
        <w:rPr>
          <w:sz w:val="21"/>
          <w:szCs w:val="21"/>
        </w:rPr>
      </w:pPr>
      <w:r>
        <w:rPr>
          <w:rFonts w:hint="eastAsia"/>
          <w:sz w:val="21"/>
          <w:szCs w:val="21"/>
        </w:rPr>
        <w:t>本文件与相关技术领域的国家现行法律、法规和政策保持一致。</w:t>
      </w:r>
    </w:p>
    <w:p w14:paraId="2EDDECD8" w14:textId="313847FF" w:rsidR="00D72CDB" w:rsidRDefault="008258DB">
      <w:pPr>
        <w:pStyle w:val="a9"/>
        <w:rPr>
          <w:sz w:val="21"/>
          <w:szCs w:val="21"/>
        </w:rPr>
      </w:pPr>
      <w:r>
        <w:rPr>
          <w:rFonts w:hint="eastAsia"/>
          <w:sz w:val="21"/>
          <w:szCs w:val="21"/>
        </w:rPr>
        <w:t>本文件不涉及专利、软件著作权等知识产权使用问题</w:t>
      </w:r>
      <w:r w:rsidR="000251CB">
        <w:rPr>
          <w:rFonts w:hint="eastAsia"/>
          <w:sz w:val="21"/>
          <w:szCs w:val="21"/>
        </w:rPr>
        <w:t>。</w:t>
      </w:r>
    </w:p>
    <w:p w14:paraId="12D3EB52" w14:textId="77777777" w:rsidR="00D72CDB" w:rsidRDefault="00D72CDB">
      <w:pPr>
        <w:pStyle w:val="a9"/>
        <w:rPr>
          <w:sz w:val="21"/>
          <w:szCs w:val="21"/>
        </w:rPr>
      </w:pPr>
    </w:p>
    <w:p w14:paraId="66F75BE3" w14:textId="77777777" w:rsidR="00D72CDB" w:rsidRDefault="008258DB">
      <w:pPr>
        <w:pStyle w:val="10"/>
        <w:spacing w:beforeLines="0" w:afterLines="0"/>
        <w:rPr>
          <w:rFonts w:ascii="宋体" w:hAnsi="宋体"/>
          <w:b w:val="0"/>
          <w:bCs w:val="0"/>
          <w:szCs w:val="21"/>
        </w:rPr>
      </w:pPr>
      <w:bookmarkStart w:id="25" w:name="_Toc26404"/>
      <w:r>
        <w:rPr>
          <w:rFonts w:ascii="宋体" w:hAnsi="宋体" w:hint="eastAsia"/>
          <w:b w:val="0"/>
          <w:bCs w:val="0"/>
          <w:szCs w:val="21"/>
        </w:rPr>
        <w:t>六、实施推广建议</w:t>
      </w:r>
      <w:bookmarkEnd w:id="25"/>
    </w:p>
    <w:p w14:paraId="646F1FA0" w14:textId="1E6D8AD9" w:rsidR="000251CB" w:rsidRPr="000251CB" w:rsidRDefault="000251CB" w:rsidP="000251CB">
      <w:pPr>
        <w:pStyle w:val="a9"/>
        <w:rPr>
          <w:sz w:val="21"/>
          <w:szCs w:val="21"/>
        </w:rPr>
      </w:pPr>
      <w:r w:rsidRPr="000251CB">
        <w:rPr>
          <w:rFonts w:hint="eastAsia"/>
          <w:sz w:val="21"/>
          <w:szCs w:val="21"/>
        </w:rPr>
        <w:t>本标准适用于江苏省内具有数字机房需求的融合型配电房</w:t>
      </w:r>
      <w:r>
        <w:rPr>
          <w:rFonts w:hint="eastAsia"/>
          <w:sz w:val="21"/>
          <w:szCs w:val="21"/>
        </w:rPr>
        <w:t>内的</w:t>
      </w:r>
      <w:r w:rsidRPr="000251CB">
        <w:rPr>
          <w:rFonts w:hint="eastAsia"/>
          <w:sz w:val="21"/>
          <w:szCs w:val="21"/>
        </w:rPr>
        <w:t>数字机房区的新建、改造。</w:t>
      </w:r>
    </w:p>
    <w:p w14:paraId="161D1D09" w14:textId="77777777" w:rsidR="000251CB" w:rsidRPr="000251CB" w:rsidRDefault="000251CB" w:rsidP="000251CB">
      <w:pPr>
        <w:pStyle w:val="a9"/>
        <w:rPr>
          <w:sz w:val="21"/>
          <w:szCs w:val="21"/>
        </w:rPr>
      </w:pPr>
      <w:r w:rsidRPr="000251CB">
        <w:rPr>
          <w:rFonts w:hint="eastAsia"/>
          <w:sz w:val="21"/>
          <w:szCs w:val="21"/>
        </w:rPr>
        <w:t>本标准作为江苏省推荐性地方标准，不具有法律属性的特点，不具备强制执行的效力，这就要求相关部门要做好标准宣</w:t>
      </w:r>
      <w:proofErr w:type="gramStart"/>
      <w:r w:rsidRPr="000251CB">
        <w:rPr>
          <w:rFonts w:hint="eastAsia"/>
          <w:sz w:val="21"/>
          <w:szCs w:val="21"/>
        </w:rPr>
        <w:t>贯实施</w:t>
      </w:r>
      <w:proofErr w:type="gramEnd"/>
      <w:r w:rsidRPr="000251CB">
        <w:rPr>
          <w:rFonts w:hint="eastAsia"/>
          <w:sz w:val="21"/>
          <w:szCs w:val="21"/>
        </w:rPr>
        <w:t>工作，提出以下建议：</w:t>
      </w:r>
    </w:p>
    <w:p w14:paraId="75EFA8ED" w14:textId="4DEF306D" w:rsidR="000251CB" w:rsidRPr="000251CB" w:rsidRDefault="000251CB" w:rsidP="000251CB">
      <w:pPr>
        <w:pStyle w:val="a9"/>
        <w:rPr>
          <w:sz w:val="21"/>
          <w:szCs w:val="21"/>
        </w:rPr>
      </w:pPr>
      <w:r w:rsidRPr="000251CB">
        <w:rPr>
          <w:rFonts w:hint="eastAsia"/>
          <w:sz w:val="21"/>
          <w:szCs w:val="21"/>
        </w:rPr>
        <w:t>1、对涉及融合型配电房</w:t>
      </w:r>
      <w:r>
        <w:rPr>
          <w:rFonts w:hint="eastAsia"/>
          <w:sz w:val="21"/>
          <w:szCs w:val="21"/>
        </w:rPr>
        <w:t>内</w:t>
      </w:r>
      <w:proofErr w:type="gramStart"/>
      <w:r>
        <w:rPr>
          <w:rFonts w:hint="eastAsia"/>
          <w:sz w:val="21"/>
          <w:szCs w:val="21"/>
        </w:rPr>
        <w:t>建数字</w:t>
      </w:r>
      <w:proofErr w:type="gramEnd"/>
      <w:r>
        <w:rPr>
          <w:rFonts w:hint="eastAsia"/>
          <w:sz w:val="21"/>
          <w:szCs w:val="21"/>
        </w:rPr>
        <w:t>机房区</w:t>
      </w:r>
      <w:r w:rsidRPr="000251CB">
        <w:rPr>
          <w:rFonts w:hint="eastAsia"/>
          <w:sz w:val="21"/>
          <w:szCs w:val="21"/>
        </w:rPr>
        <w:t>工程项目的相关人员及相关合作单位组织标准宣贯培训。</w:t>
      </w:r>
    </w:p>
    <w:p w14:paraId="063070F4" w14:textId="77777777" w:rsidR="000251CB" w:rsidRPr="000251CB" w:rsidRDefault="000251CB" w:rsidP="000251CB">
      <w:pPr>
        <w:pStyle w:val="a9"/>
        <w:rPr>
          <w:sz w:val="21"/>
          <w:szCs w:val="21"/>
        </w:rPr>
      </w:pPr>
      <w:r w:rsidRPr="000251CB">
        <w:rPr>
          <w:rFonts w:hint="eastAsia"/>
          <w:sz w:val="21"/>
          <w:szCs w:val="21"/>
        </w:rPr>
        <w:t>2、对参与标准宣</w:t>
      </w:r>
      <w:proofErr w:type="gramStart"/>
      <w:r w:rsidRPr="000251CB">
        <w:rPr>
          <w:rFonts w:hint="eastAsia"/>
          <w:sz w:val="21"/>
          <w:szCs w:val="21"/>
        </w:rPr>
        <w:t>贯培训</w:t>
      </w:r>
      <w:proofErr w:type="gramEnd"/>
      <w:r w:rsidRPr="000251CB">
        <w:rPr>
          <w:rFonts w:hint="eastAsia"/>
          <w:sz w:val="21"/>
          <w:szCs w:val="21"/>
        </w:rPr>
        <w:t>人员进行考核，考核合格方可参与融合型配电房工程建设项目</w:t>
      </w:r>
    </w:p>
    <w:p w14:paraId="0B6A0700" w14:textId="041F81A6" w:rsidR="000251CB" w:rsidRPr="000251CB" w:rsidRDefault="000251CB" w:rsidP="000251CB">
      <w:pPr>
        <w:pStyle w:val="a9"/>
        <w:rPr>
          <w:sz w:val="21"/>
          <w:szCs w:val="21"/>
        </w:rPr>
      </w:pPr>
      <w:r w:rsidRPr="000251CB">
        <w:rPr>
          <w:rFonts w:hint="eastAsia"/>
          <w:sz w:val="21"/>
          <w:szCs w:val="21"/>
        </w:rPr>
        <w:t>3、进行融合型配电房</w:t>
      </w:r>
      <w:r>
        <w:rPr>
          <w:rFonts w:hint="eastAsia"/>
          <w:sz w:val="21"/>
          <w:szCs w:val="21"/>
        </w:rPr>
        <w:t>内</w:t>
      </w:r>
      <w:proofErr w:type="gramStart"/>
      <w:r>
        <w:rPr>
          <w:rFonts w:hint="eastAsia"/>
          <w:sz w:val="21"/>
          <w:szCs w:val="21"/>
        </w:rPr>
        <w:t>建数字</w:t>
      </w:r>
      <w:proofErr w:type="gramEnd"/>
      <w:r>
        <w:rPr>
          <w:rFonts w:hint="eastAsia"/>
          <w:sz w:val="21"/>
          <w:szCs w:val="21"/>
        </w:rPr>
        <w:t>机房区</w:t>
      </w:r>
      <w:r w:rsidRPr="000251CB">
        <w:rPr>
          <w:rFonts w:hint="eastAsia"/>
          <w:sz w:val="21"/>
          <w:szCs w:val="21"/>
        </w:rPr>
        <w:t>试点建设，总结标准实施情况，并制订纠偏策略，纠正建设过程中不落实标准情况，制订标准实施方案。</w:t>
      </w:r>
    </w:p>
    <w:p w14:paraId="3A8D0F06" w14:textId="17B4AA0C" w:rsidR="00D72CDB" w:rsidRDefault="000251CB" w:rsidP="000251CB">
      <w:pPr>
        <w:pStyle w:val="a9"/>
        <w:rPr>
          <w:sz w:val="21"/>
          <w:szCs w:val="21"/>
        </w:rPr>
      </w:pPr>
      <w:r w:rsidRPr="000251CB">
        <w:rPr>
          <w:rFonts w:hint="eastAsia"/>
          <w:sz w:val="21"/>
          <w:szCs w:val="21"/>
        </w:rPr>
        <w:t>4、在后续融合型配电房</w:t>
      </w:r>
      <w:r>
        <w:rPr>
          <w:rFonts w:hint="eastAsia"/>
          <w:sz w:val="21"/>
          <w:szCs w:val="21"/>
        </w:rPr>
        <w:t>内</w:t>
      </w:r>
      <w:proofErr w:type="gramStart"/>
      <w:r>
        <w:rPr>
          <w:rFonts w:hint="eastAsia"/>
          <w:sz w:val="21"/>
          <w:szCs w:val="21"/>
        </w:rPr>
        <w:t>建数字</w:t>
      </w:r>
      <w:proofErr w:type="gramEnd"/>
      <w:r>
        <w:rPr>
          <w:rFonts w:hint="eastAsia"/>
          <w:sz w:val="21"/>
          <w:szCs w:val="21"/>
        </w:rPr>
        <w:t>机房区的</w:t>
      </w:r>
      <w:r w:rsidRPr="000251CB">
        <w:rPr>
          <w:rFonts w:hint="eastAsia"/>
          <w:sz w:val="21"/>
          <w:szCs w:val="21"/>
        </w:rPr>
        <w:t>建设项目中落实标准实施方案</w:t>
      </w:r>
    </w:p>
    <w:p w14:paraId="508620CF" w14:textId="77777777" w:rsidR="00D72CDB" w:rsidRDefault="00D72CDB">
      <w:pPr>
        <w:ind w:firstLineChars="200" w:firstLine="420"/>
      </w:pPr>
    </w:p>
    <w:sectPr w:rsidR="00D72CDB">
      <w:pgSz w:w="11906" w:h="16838"/>
      <w:pgMar w:top="1417" w:right="1417" w:bottom="1417" w:left="1417" w:header="850" w:footer="992" w:gutter="0"/>
      <w:cols w:space="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1141A8" w14:textId="77777777" w:rsidR="008258DB" w:rsidRDefault="008258DB" w:rsidP="00B942AB">
      <w:r>
        <w:separator/>
      </w:r>
    </w:p>
  </w:endnote>
  <w:endnote w:type="continuationSeparator" w:id="0">
    <w:p w14:paraId="4C20B70C" w14:textId="77777777" w:rsidR="008258DB" w:rsidRDefault="008258DB" w:rsidP="00B942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B98D9C" w14:textId="77777777" w:rsidR="008258DB" w:rsidRDefault="008258DB" w:rsidP="00B942AB">
      <w:r>
        <w:separator/>
      </w:r>
    </w:p>
  </w:footnote>
  <w:footnote w:type="continuationSeparator" w:id="0">
    <w:p w14:paraId="11D41B1D" w14:textId="77777777" w:rsidR="008258DB" w:rsidRDefault="008258DB" w:rsidP="00B942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N2YzNjBkOTgyNWQ1YTMxYzM3MzMwNWFiODNmOWIzYWMifQ=="/>
  </w:docVars>
  <w:rsids>
    <w:rsidRoot w:val="00172A27"/>
    <w:rsid w:val="000251CB"/>
    <w:rsid w:val="00056A2E"/>
    <w:rsid w:val="000733AE"/>
    <w:rsid w:val="00073D52"/>
    <w:rsid w:val="00172A27"/>
    <w:rsid w:val="001909E8"/>
    <w:rsid w:val="002535BB"/>
    <w:rsid w:val="0031356C"/>
    <w:rsid w:val="00344E59"/>
    <w:rsid w:val="00374D00"/>
    <w:rsid w:val="0045394D"/>
    <w:rsid w:val="0047245E"/>
    <w:rsid w:val="004A58C6"/>
    <w:rsid w:val="004E3644"/>
    <w:rsid w:val="004E7081"/>
    <w:rsid w:val="005C7158"/>
    <w:rsid w:val="005F0D72"/>
    <w:rsid w:val="00637046"/>
    <w:rsid w:val="00781F17"/>
    <w:rsid w:val="00824539"/>
    <w:rsid w:val="008258DB"/>
    <w:rsid w:val="008533C3"/>
    <w:rsid w:val="0087734F"/>
    <w:rsid w:val="008846A6"/>
    <w:rsid w:val="0088552C"/>
    <w:rsid w:val="008B1E87"/>
    <w:rsid w:val="00A00A91"/>
    <w:rsid w:val="00A76300"/>
    <w:rsid w:val="00A928A3"/>
    <w:rsid w:val="00AC0BC3"/>
    <w:rsid w:val="00AF1BD9"/>
    <w:rsid w:val="00B22C59"/>
    <w:rsid w:val="00B560BE"/>
    <w:rsid w:val="00B942AB"/>
    <w:rsid w:val="00B942E6"/>
    <w:rsid w:val="00C453C3"/>
    <w:rsid w:val="00C475B7"/>
    <w:rsid w:val="00CE074D"/>
    <w:rsid w:val="00CF4D0E"/>
    <w:rsid w:val="00D250FC"/>
    <w:rsid w:val="00D72CDB"/>
    <w:rsid w:val="00E74902"/>
    <w:rsid w:val="00EB7C8E"/>
    <w:rsid w:val="00F14715"/>
    <w:rsid w:val="00F35314"/>
    <w:rsid w:val="00F3625F"/>
    <w:rsid w:val="00FD68ED"/>
    <w:rsid w:val="03D1745D"/>
    <w:rsid w:val="05AD1FED"/>
    <w:rsid w:val="069B1CB5"/>
    <w:rsid w:val="07305A80"/>
    <w:rsid w:val="0BBF13B1"/>
    <w:rsid w:val="0E0F7E49"/>
    <w:rsid w:val="0EC371A3"/>
    <w:rsid w:val="162532F7"/>
    <w:rsid w:val="17262AA5"/>
    <w:rsid w:val="17B27D2A"/>
    <w:rsid w:val="195447B6"/>
    <w:rsid w:val="199013F0"/>
    <w:rsid w:val="1ABD7ED6"/>
    <w:rsid w:val="1BC54A02"/>
    <w:rsid w:val="1C933654"/>
    <w:rsid w:val="1EEF6CF2"/>
    <w:rsid w:val="1F7B0A2D"/>
    <w:rsid w:val="214661AA"/>
    <w:rsid w:val="23086626"/>
    <w:rsid w:val="233179F7"/>
    <w:rsid w:val="259B502C"/>
    <w:rsid w:val="26BB1D77"/>
    <w:rsid w:val="282A51FA"/>
    <w:rsid w:val="285D68FF"/>
    <w:rsid w:val="2CC80CC7"/>
    <w:rsid w:val="2D1E5224"/>
    <w:rsid w:val="2DBA6E1F"/>
    <w:rsid w:val="2DD73FB3"/>
    <w:rsid w:val="31BD2B1C"/>
    <w:rsid w:val="32036FDF"/>
    <w:rsid w:val="324E2AAB"/>
    <w:rsid w:val="35C7217F"/>
    <w:rsid w:val="37BD1949"/>
    <w:rsid w:val="38A427AB"/>
    <w:rsid w:val="3D07322A"/>
    <w:rsid w:val="41402E7D"/>
    <w:rsid w:val="43482D6B"/>
    <w:rsid w:val="435131F9"/>
    <w:rsid w:val="44162604"/>
    <w:rsid w:val="460174AD"/>
    <w:rsid w:val="49256FF6"/>
    <w:rsid w:val="49F01776"/>
    <w:rsid w:val="4A0C76EA"/>
    <w:rsid w:val="4B335DA2"/>
    <w:rsid w:val="4F713CB8"/>
    <w:rsid w:val="50590B0D"/>
    <w:rsid w:val="559A1E35"/>
    <w:rsid w:val="56987DB9"/>
    <w:rsid w:val="5C051C32"/>
    <w:rsid w:val="60A1229B"/>
    <w:rsid w:val="60EF3FD5"/>
    <w:rsid w:val="626E6D16"/>
    <w:rsid w:val="63A73233"/>
    <w:rsid w:val="64890194"/>
    <w:rsid w:val="6E091F5B"/>
    <w:rsid w:val="6E0C6F12"/>
    <w:rsid w:val="6F19589F"/>
    <w:rsid w:val="70DC573D"/>
    <w:rsid w:val="75F0053E"/>
    <w:rsid w:val="77904CBC"/>
    <w:rsid w:val="78597E2D"/>
    <w:rsid w:val="7BFD10C8"/>
    <w:rsid w:val="7C0F072D"/>
    <w:rsid w:val="7C90180C"/>
    <w:rsid w:val="7E8333F1"/>
    <w:rsid w:val="7EC52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8D73D61"/>
  <w15:docId w15:val="{AB78A084-181F-4253-B405-8CBCD911A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 w:qFormat="1"/>
    <w:lsdException w:name="toc 2" w:semiHidden="1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hAnsi="Calibri"/>
      <w:kern w:val="2"/>
      <w:sz w:val="21"/>
      <w:szCs w:val="21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TOC2"/>
    <w:qFormat/>
    <w:pPr>
      <w:adjustRightInd w:val="0"/>
      <w:spacing w:after="120" w:line="360" w:lineRule="auto"/>
      <w:textAlignment w:val="baseline"/>
    </w:pPr>
    <w:rPr>
      <w:kern w:val="0"/>
    </w:rPr>
  </w:style>
  <w:style w:type="paragraph" w:styleId="TOC2">
    <w:name w:val="toc 2"/>
    <w:basedOn w:val="a"/>
    <w:next w:val="a"/>
    <w:semiHidden/>
    <w:qFormat/>
    <w:pPr>
      <w:tabs>
        <w:tab w:val="right" w:leader="dot" w:pos="9241"/>
      </w:tabs>
    </w:pPr>
    <w:rPr>
      <w:rFonts w:ascii="宋体" w:cs="宋体"/>
    </w:rPr>
  </w:style>
  <w:style w:type="paragraph" w:styleId="a4">
    <w:name w:val="annotation text"/>
    <w:basedOn w:val="a"/>
    <w:pPr>
      <w:jc w:val="left"/>
    </w:pPr>
  </w:style>
  <w:style w:type="paragraph" w:styleId="a5">
    <w:name w:val="footer"/>
    <w:basedOn w:val="a"/>
    <w:qFormat/>
    <w:pPr>
      <w:snapToGrid w:val="0"/>
      <w:ind w:rightChars="100" w:right="210"/>
      <w:jc w:val="right"/>
    </w:pPr>
    <w:rPr>
      <w:kern w:val="0"/>
      <w:sz w:val="18"/>
      <w:szCs w:val="18"/>
    </w:rPr>
  </w:style>
  <w:style w:type="paragraph" w:styleId="TOC1">
    <w:name w:val="toc 1"/>
    <w:basedOn w:val="a"/>
    <w:next w:val="a"/>
    <w:uiPriority w:val="39"/>
    <w:qFormat/>
    <w:pPr>
      <w:tabs>
        <w:tab w:val="right" w:leader="dot" w:pos="9241"/>
      </w:tabs>
      <w:spacing w:beforeLines="25" w:afterLines="25"/>
      <w:jc w:val="left"/>
    </w:pPr>
    <w:rPr>
      <w:rFonts w:ascii="宋体" w:cs="宋体"/>
    </w:rPr>
  </w:style>
  <w:style w:type="paragraph" w:styleId="a6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7">
    <w:name w:val="Table Grid"/>
    <w:basedOn w:val="a2"/>
    <w:qFormat/>
    <w:rPr>
      <w:rFonts w:ascii="宋体" w:cs="宋体"/>
      <w:sz w:val="18"/>
      <w:szCs w:val="1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8">
    <w:name w:val="page number"/>
    <w:qFormat/>
    <w:rPr>
      <w:rFonts w:ascii="Times New Roman" w:eastAsia="宋体" w:hAnsi="Times New Roman" w:cs="Times New Roman"/>
      <w:sz w:val="18"/>
      <w:szCs w:val="18"/>
    </w:rPr>
  </w:style>
  <w:style w:type="paragraph" w:customStyle="1" w:styleId="a9">
    <w:name w:val="段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hAnsi="Calibri"/>
      <w:sz w:val="22"/>
    </w:rPr>
  </w:style>
  <w:style w:type="paragraph" w:customStyle="1" w:styleId="aa">
    <w:name w:val="章标题"/>
    <w:next w:val="a9"/>
    <w:qFormat/>
    <w:pPr>
      <w:spacing w:beforeLines="100" w:afterLines="100"/>
      <w:jc w:val="both"/>
      <w:outlineLvl w:val="1"/>
    </w:pPr>
    <w:rPr>
      <w:rFonts w:ascii="黑体" w:eastAsia="黑体" w:hAnsi="Calibri" w:cs="黑体"/>
      <w:sz w:val="21"/>
      <w:szCs w:val="21"/>
    </w:rPr>
  </w:style>
  <w:style w:type="paragraph" w:customStyle="1" w:styleId="ab">
    <w:name w:val="目次、标准名称标题"/>
    <w:basedOn w:val="a"/>
    <w:next w:val="a9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 w:cs="黑体"/>
      <w:kern w:val="0"/>
      <w:sz w:val="32"/>
      <w:szCs w:val="32"/>
    </w:rPr>
  </w:style>
  <w:style w:type="paragraph" w:customStyle="1" w:styleId="10">
    <w:name w:val="样式 标题 1 + 非加粗"/>
    <w:basedOn w:val="1"/>
    <w:qFormat/>
    <w:pPr>
      <w:spacing w:beforeLines="100" w:afterLines="100" w:line="240" w:lineRule="auto"/>
    </w:pPr>
    <w:rPr>
      <w:rFonts w:eastAsia="黑体"/>
      <w:sz w:val="21"/>
    </w:rPr>
  </w:style>
  <w:style w:type="paragraph" w:customStyle="1" w:styleId="ac">
    <w:name w:val="标准书脚_奇数页"/>
    <w:qFormat/>
    <w:pPr>
      <w:spacing w:before="120"/>
      <w:ind w:right="198"/>
      <w:jc w:val="right"/>
    </w:pPr>
    <w:rPr>
      <w:rFonts w:ascii="宋体" w:hAnsi="Calibri" w:cs="宋体"/>
      <w:sz w:val="18"/>
      <w:szCs w:val="18"/>
    </w:rPr>
  </w:style>
  <w:style w:type="paragraph" w:customStyle="1" w:styleId="ad">
    <w:name w:val="一级条标题"/>
    <w:basedOn w:val="aa"/>
    <w:next w:val="a9"/>
    <w:qFormat/>
    <w:pPr>
      <w:spacing w:beforeLines="50" w:afterLines="50"/>
      <w:outlineLvl w:val="2"/>
    </w:pPr>
    <w:rPr>
      <w:rFonts w:cs="Times New Roman"/>
    </w:rPr>
  </w:style>
  <w:style w:type="paragraph" w:customStyle="1" w:styleId="ae">
    <w:name w:val="二级条标题"/>
    <w:basedOn w:val="ad"/>
    <w:next w:val="a9"/>
    <w:qFormat/>
    <w:pPr>
      <w:spacing w:before="50" w:after="50"/>
      <w:outlineLvl w:val="3"/>
    </w:pPr>
  </w:style>
  <w:style w:type="paragraph" w:styleId="af">
    <w:name w:val="List Paragraph"/>
    <w:basedOn w:val="a"/>
    <w:uiPriority w:val="1"/>
    <w:qFormat/>
    <w:pPr>
      <w:autoSpaceDE w:val="0"/>
      <w:autoSpaceDN w:val="0"/>
      <w:adjustRightInd w:val="0"/>
      <w:jc w:val="left"/>
    </w:pPr>
    <w:rPr>
      <w:kern w:val="0"/>
      <w:sz w:val="24"/>
      <w:szCs w:val="24"/>
    </w:rPr>
  </w:style>
  <w:style w:type="paragraph" w:styleId="af0">
    <w:name w:val="header"/>
    <w:basedOn w:val="a"/>
    <w:link w:val="af1"/>
    <w:rsid w:val="00B942A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1">
    <w:name w:val="页眉 字符"/>
    <w:basedOn w:val="a1"/>
    <w:link w:val="af0"/>
    <w:rsid w:val="00B942AB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835</Words>
  <Characters>4766</Characters>
  <Application>Microsoft Office Word</Application>
  <DocSecurity>0</DocSecurity>
  <Lines>39</Lines>
  <Paragraphs>11</Paragraphs>
  <ScaleCrop>false</ScaleCrop>
  <Company/>
  <LinksUpToDate>false</LinksUpToDate>
  <CharactersWithSpaces>5590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上善若水</dc:creator>
  <cp:lastModifiedBy>411420716@qq.com</cp:lastModifiedBy>
  <cp:revision>2</cp:revision>
  <dcterms:created xsi:type="dcterms:W3CDTF">2024-05-11T06:53:00Z</dcterms:created>
  <dcterms:modified xsi:type="dcterms:W3CDTF">2024-05-11T06:53:00Z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30631C907C274468ADF89CDF5DC6D576_12</vt:lpwstr>
  </property>
</Properties>
</file>