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黑体_GBK" w:cs="Times New Roman"/>
          <w:w w:val="90"/>
          <w:sz w:val="44"/>
          <w:szCs w:val="44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w w:val="9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w w:val="90"/>
          <w:sz w:val="44"/>
          <w:szCs w:val="44"/>
        </w:rPr>
      </w:pPr>
      <w:r>
        <w:rPr>
          <w:rFonts w:ascii="Times New Roman" w:hAnsi="Times New Roman" w:eastAsia="方正小标宋_GBK" w:cs="Times New Roman"/>
          <w:w w:val="90"/>
          <w:sz w:val="44"/>
          <w:szCs w:val="44"/>
        </w:rPr>
        <w:t>2024年度市政策引导类计划（软科学研究）指南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b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ascii="Times New Roman" w:eastAsia="方正仿宋_GBK" w:cs="Times New Roman"/>
          <w:sz w:val="32"/>
          <w:szCs w:val="32"/>
        </w:rPr>
        <w:t>年度软科学研究指南设定研究方向，申报单位可直接引用具体指南方向作为研究题目，或在指南方向内自拟题目开展研究，原则上每个研究方向支持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eastAsia="方正仿宋_GBK" w:cs="Times New Roman"/>
          <w:sz w:val="32"/>
          <w:szCs w:val="32"/>
        </w:rPr>
        <w:t>个项目立项。</w:t>
      </w:r>
    </w:p>
    <w:p>
      <w:pPr>
        <w:spacing w:line="58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一、重点项目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1001  </w:t>
      </w:r>
      <w:r>
        <w:rPr>
          <w:rFonts w:ascii="Times New Roman" w:eastAsia="方正仿宋_GBK" w:cs="Times New Roman"/>
          <w:bCs/>
          <w:sz w:val="32"/>
          <w:szCs w:val="32"/>
        </w:rPr>
        <w:t>盐城市因地制宜发展新质生产力系列研究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1002  盐城市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十五五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科技创新发展规划方向路径研究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1003  教育科技人才良性循环典型案例及对策研究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1004  新阶段科技招商工作定位及路径研究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1005  培育发展未来产业的路径及对策研究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1006  加快建设高能级创新载体集群路径及对策研究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1007  科创支撑绿色低碳发展示范区建设新路径研究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1008  系统化优化全市科技创新项目体系研究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1009  新形势下科创与科普融通发展路径研究</w:t>
      </w:r>
    </w:p>
    <w:p>
      <w:pPr>
        <w:spacing w:line="58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二、面上项目</w:t>
      </w:r>
    </w:p>
    <w:p>
      <w:pPr>
        <w:spacing w:line="580" w:lineRule="exact"/>
        <w:ind w:firstLine="660" w:firstLineChars="200"/>
        <w:rPr>
          <w:rFonts w:ascii="Times New Roman" w:hAnsi="Times New Roman" w:eastAsia="方正楷体_GBK" w:cs="Times New Roman"/>
          <w:kern w:val="0"/>
          <w:sz w:val="33"/>
          <w:szCs w:val="33"/>
        </w:rPr>
      </w:pPr>
      <w:r>
        <w:rPr>
          <w:rFonts w:ascii="Times New Roman" w:eastAsia="方正楷体_GBK" w:cs="Times New Roman"/>
          <w:kern w:val="0"/>
          <w:sz w:val="33"/>
          <w:szCs w:val="33"/>
        </w:rPr>
        <w:t>（一）科技项目招引攻坚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1011  招商引资项目准入评估机制中创新要素研究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1012  科技招商人才培养机制研究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1013  多方协同发力的科技招商组织体系研究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1014  科技招商激励政策对比分析及对策研究</w:t>
      </w:r>
    </w:p>
    <w:p>
      <w:pPr>
        <w:spacing w:line="580" w:lineRule="exact"/>
        <w:ind w:firstLine="660" w:firstLineChars="200"/>
        <w:rPr>
          <w:rFonts w:ascii="Times New Roman" w:hAnsi="Times New Roman" w:eastAsia="方正楷体_GBK" w:cs="Times New Roman"/>
          <w:kern w:val="0"/>
          <w:sz w:val="33"/>
          <w:szCs w:val="33"/>
        </w:rPr>
      </w:pPr>
      <w:r>
        <w:rPr>
          <w:rFonts w:ascii="Times New Roman" w:eastAsia="方正楷体_GBK" w:cs="Times New Roman"/>
          <w:kern w:val="0"/>
          <w:sz w:val="33"/>
          <w:szCs w:val="33"/>
        </w:rPr>
        <w:t>（二）科创企业培育攻坚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1015  高新技术企业高质量成长的路径和对策研究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1016  产业龙头企业建设科技产业园、科技企业孵化器、创新联合体的对策研究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1017  发挥创新型骨干企业引领支撑作用的路径和对策研究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1018  构建大中小企业融通创新发展的路径研究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1019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科技型企业研发能力提升典型案例研究</w:t>
      </w:r>
    </w:p>
    <w:p>
      <w:pPr>
        <w:spacing w:line="580" w:lineRule="exact"/>
        <w:ind w:firstLine="660" w:firstLineChars="200"/>
        <w:rPr>
          <w:rFonts w:ascii="Times New Roman" w:hAnsi="Times New Roman" w:eastAsia="方正楷体_GBK" w:cs="Times New Roman"/>
          <w:kern w:val="0"/>
          <w:sz w:val="33"/>
          <w:szCs w:val="33"/>
        </w:rPr>
      </w:pPr>
      <w:r>
        <w:rPr>
          <w:rFonts w:ascii="Times New Roman" w:eastAsia="方正楷体_GBK" w:cs="Times New Roman"/>
          <w:kern w:val="0"/>
          <w:sz w:val="33"/>
          <w:szCs w:val="33"/>
        </w:rPr>
        <w:t>（三）创新载体建设攻坚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1020  </w:t>
      </w:r>
      <w:r>
        <w:rPr>
          <w:rFonts w:ascii="Times New Roman" w:eastAsia="方正仿宋_GBK" w:cs="Times New Roman"/>
          <w:bCs/>
          <w:sz w:val="32"/>
          <w:szCs w:val="32"/>
        </w:rPr>
        <w:t>高质量推进</w:t>
      </w:r>
      <w:r>
        <w:rPr>
          <w:rFonts w:ascii="Times New Roman" w:eastAsia="方正仿宋_GBK" w:cs="Times New Roman"/>
          <w:kern w:val="0"/>
          <w:sz w:val="33"/>
          <w:szCs w:val="33"/>
        </w:rPr>
        <w:t>创新之核建设发展路径的研究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1021  </w:t>
      </w:r>
      <w:r>
        <w:rPr>
          <w:rFonts w:ascii="Times New Roman" w:eastAsia="方正仿宋_GBK" w:cs="Times New Roman"/>
          <w:bCs/>
          <w:sz w:val="32"/>
          <w:szCs w:val="32"/>
        </w:rPr>
        <w:t>概念验证中心建设模式和路径对策研究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1022  盐城市推进新型研发机构可持续高质量发展的思路和举措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研究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1023  </w:t>
      </w:r>
      <w:r>
        <w:rPr>
          <w:rFonts w:ascii="Times New Roman" w:eastAsia="方正仿宋_GBK" w:cs="Times New Roman"/>
          <w:bCs/>
          <w:sz w:val="32"/>
          <w:szCs w:val="32"/>
        </w:rPr>
        <w:t>加快创新联合体建设推进产业科技创新的路径和对策研究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1024  </w:t>
      </w:r>
      <w:r>
        <w:rPr>
          <w:rFonts w:ascii="Times New Roman" w:eastAsia="方正仿宋_GBK" w:cs="Times New Roman"/>
          <w:bCs/>
          <w:sz w:val="32"/>
          <w:szCs w:val="32"/>
        </w:rPr>
        <w:t>建设高质量标杆孵化器和未来产业园的路径研究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1025  </w:t>
      </w:r>
      <w:r>
        <w:rPr>
          <w:rFonts w:ascii="Times New Roman" w:eastAsia="方正仿宋_GBK" w:cs="Times New Roman"/>
          <w:bCs/>
          <w:sz w:val="32"/>
          <w:szCs w:val="32"/>
        </w:rPr>
        <w:t>科创园区提质增效高质量发展路径及对策研究</w:t>
      </w:r>
    </w:p>
    <w:p>
      <w:pPr>
        <w:spacing w:line="580" w:lineRule="exact"/>
        <w:ind w:firstLine="660" w:firstLineChars="200"/>
        <w:rPr>
          <w:rFonts w:ascii="Times New Roman" w:hAnsi="Times New Roman" w:eastAsia="方正楷体_GBK" w:cs="Times New Roman"/>
          <w:kern w:val="0"/>
          <w:sz w:val="33"/>
          <w:szCs w:val="33"/>
        </w:rPr>
      </w:pPr>
      <w:r>
        <w:rPr>
          <w:rFonts w:ascii="Times New Roman" w:eastAsia="方正楷体_GBK" w:cs="Times New Roman"/>
          <w:kern w:val="0"/>
          <w:sz w:val="33"/>
          <w:szCs w:val="33"/>
        </w:rPr>
        <w:t>（四）产业自主创新攻坚行动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1026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 xml:space="preserve"> </w:t>
      </w:r>
      <w:r>
        <w:rPr>
          <w:rFonts w:ascii="Times New Roman" w:eastAsia="方正仿宋_GBK" w:cs="Times New Roman"/>
          <w:bCs/>
          <w:sz w:val="32"/>
          <w:szCs w:val="32"/>
        </w:rPr>
        <w:t>推动驻盐高校及创新型龙头企业加强基础研究的路径及对策研究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1027  </w:t>
      </w:r>
      <w:r>
        <w:rPr>
          <w:rFonts w:ascii="Times New Roman" w:eastAsia="方正仿宋_GBK" w:cs="Times New Roman"/>
          <w:bCs/>
          <w:sz w:val="32"/>
          <w:szCs w:val="32"/>
        </w:rPr>
        <w:t>盐城市重点产业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“</w:t>
      </w:r>
      <w:r>
        <w:rPr>
          <w:rFonts w:ascii="Times New Roman" w:eastAsia="方正仿宋_GBK" w:cs="Times New Roman"/>
          <w:bCs/>
          <w:sz w:val="32"/>
          <w:szCs w:val="32"/>
        </w:rPr>
        <w:t>卡脖子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”</w:t>
      </w:r>
      <w:r>
        <w:rPr>
          <w:rFonts w:ascii="Times New Roman" w:eastAsia="方正仿宋_GBK" w:cs="Times New Roman"/>
          <w:bCs/>
          <w:sz w:val="32"/>
          <w:szCs w:val="32"/>
        </w:rPr>
        <w:t>技术现状及分析研究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1028  </w:t>
      </w:r>
      <w:r>
        <w:rPr>
          <w:rFonts w:ascii="Times New Roman" w:eastAsia="方正仿宋_GBK" w:cs="Times New Roman"/>
          <w:bCs/>
          <w:sz w:val="32"/>
          <w:szCs w:val="32"/>
        </w:rPr>
        <w:t>重大科技成果研发过程阶段性评估机制研究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1029  </w:t>
      </w:r>
      <w:r>
        <w:rPr>
          <w:rFonts w:ascii="Times New Roman" w:eastAsia="方正仿宋_GBK" w:cs="Times New Roman"/>
          <w:bCs/>
          <w:sz w:val="32"/>
          <w:szCs w:val="32"/>
        </w:rPr>
        <w:t>业主制、定单式研发等新型项目组织机制研究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1030</w:t>
      </w:r>
      <w:r>
        <w:rPr>
          <w:rFonts w:ascii="Times New Roman" w:eastAsia="方正仿宋_GBK" w:cs="Times New Roman"/>
          <w:bCs/>
          <w:sz w:val="32"/>
          <w:szCs w:val="32"/>
        </w:rPr>
        <w:t>　区域特色产业高质量发展路径研究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1031  </w:t>
      </w:r>
      <w:r>
        <w:rPr>
          <w:rFonts w:ascii="Times New Roman" w:eastAsia="方正仿宋_GBK" w:cs="Times New Roman"/>
          <w:bCs/>
          <w:sz w:val="32"/>
          <w:szCs w:val="32"/>
        </w:rPr>
        <w:t>高水平规范化科技服务业发展路径及对策研究</w:t>
      </w:r>
    </w:p>
    <w:p>
      <w:pPr>
        <w:spacing w:line="580" w:lineRule="exact"/>
        <w:ind w:firstLine="660" w:firstLineChars="200"/>
        <w:rPr>
          <w:rFonts w:ascii="Times New Roman" w:hAnsi="Times New Roman" w:eastAsia="方正楷体_GBK" w:cs="Times New Roman"/>
          <w:kern w:val="0"/>
          <w:sz w:val="33"/>
          <w:szCs w:val="33"/>
        </w:rPr>
      </w:pPr>
      <w:r>
        <w:rPr>
          <w:rFonts w:ascii="Times New Roman" w:eastAsia="方正楷体_GBK" w:cs="Times New Roman"/>
          <w:kern w:val="0"/>
          <w:sz w:val="33"/>
          <w:szCs w:val="33"/>
        </w:rPr>
        <w:t>（五）创新生态提升攻坚行动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1032  </w:t>
      </w:r>
      <w:r>
        <w:rPr>
          <w:rFonts w:ascii="Times New Roman" w:eastAsia="方正仿宋_GBK" w:cs="Times New Roman"/>
          <w:bCs/>
          <w:sz w:val="32"/>
          <w:szCs w:val="32"/>
        </w:rPr>
        <w:t>持续营造一流创新创业生态的对策研究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1033  </w:t>
      </w:r>
      <w:r>
        <w:rPr>
          <w:rFonts w:ascii="Times New Roman" w:eastAsia="方正仿宋_GBK" w:cs="Times New Roman"/>
          <w:bCs/>
          <w:sz w:val="32"/>
          <w:szCs w:val="32"/>
        </w:rPr>
        <w:t>深度赋能企业创新的科技金融产品创新研究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1034  </w:t>
      </w:r>
      <w:r>
        <w:rPr>
          <w:rFonts w:ascii="Times New Roman" w:eastAsia="方正仿宋_GBK" w:cs="Times New Roman"/>
          <w:bCs/>
          <w:sz w:val="32"/>
          <w:szCs w:val="32"/>
        </w:rPr>
        <w:t>全社会研发投入激励政策对比分析和对策研究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1035  </w:t>
      </w:r>
      <w:r>
        <w:rPr>
          <w:rFonts w:ascii="Times New Roman" w:eastAsia="方正仿宋_GBK" w:cs="Times New Roman"/>
          <w:bCs/>
          <w:sz w:val="32"/>
          <w:szCs w:val="32"/>
        </w:rPr>
        <w:t>全生命周期背景下科技项目绩效评价研究</w:t>
      </w:r>
    </w:p>
    <w:p>
      <w:pPr>
        <w:spacing w:line="58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1036  </w:t>
      </w:r>
      <w:r>
        <w:rPr>
          <w:rFonts w:ascii="Times New Roman" w:eastAsia="方正仿宋_GBK" w:cs="Times New Roman"/>
          <w:kern w:val="0"/>
          <w:sz w:val="33"/>
          <w:szCs w:val="33"/>
        </w:rPr>
        <w:t>国有企业科技创新要素考核机制研究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1037  </w:t>
      </w:r>
      <w:r>
        <w:rPr>
          <w:rFonts w:ascii="Times New Roman" w:eastAsia="方正仿宋_GBK" w:cs="Times New Roman"/>
          <w:bCs/>
          <w:sz w:val="32"/>
          <w:szCs w:val="32"/>
        </w:rPr>
        <w:t>科技创新咨询专家库建设规范体系研究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1038  </w:t>
      </w:r>
      <w:r>
        <w:rPr>
          <w:rFonts w:ascii="Times New Roman" w:eastAsia="方正仿宋_GBK" w:cs="Times New Roman"/>
          <w:bCs/>
          <w:sz w:val="32"/>
          <w:szCs w:val="32"/>
        </w:rPr>
        <w:t>重点领域科技活动的科技伦理、科技评估与监督机制研究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1039  </w:t>
      </w:r>
      <w:r>
        <w:rPr>
          <w:rFonts w:ascii="Times New Roman" w:eastAsia="方正仿宋_GBK" w:cs="Times New Roman"/>
          <w:bCs/>
          <w:sz w:val="32"/>
          <w:szCs w:val="32"/>
        </w:rPr>
        <w:t>企业引培青年科研人员创新典型案例研究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1040  </w:t>
      </w:r>
      <w:r>
        <w:rPr>
          <w:rFonts w:ascii="Times New Roman" w:eastAsia="方正仿宋_GBK" w:cs="Times New Roman"/>
          <w:bCs/>
          <w:sz w:val="32"/>
          <w:szCs w:val="32"/>
        </w:rPr>
        <w:t>新形势下科技安全屏障构建机制研究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 xml:space="preserve">1041  </w:t>
      </w:r>
      <w:r>
        <w:rPr>
          <w:rFonts w:ascii="Times New Roman" w:eastAsia="方正仿宋_GBK" w:cs="Times New Roman"/>
          <w:kern w:val="0"/>
          <w:sz w:val="33"/>
          <w:szCs w:val="33"/>
        </w:rPr>
        <w:t>科技档案信息系统化构建路径及应用研究</w:t>
      </w:r>
    </w:p>
    <w:p>
      <w:pPr>
        <w:spacing w:line="58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80" w:lineRule="exact"/>
        <w:rPr>
          <w:rFonts w:ascii="Times New Roman" w:eastAsia="方正黑体_GBK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0120499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I1Y2E1NjE5YjhiYzQ0YTQxZGRhZjgwNzU0NTEifQ=="/>
  </w:docVars>
  <w:rsids>
    <w:rsidRoot w:val="0011421E"/>
    <w:rsid w:val="0000585A"/>
    <w:rsid w:val="000207E0"/>
    <w:rsid w:val="00032BAB"/>
    <w:rsid w:val="00042CE3"/>
    <w:rsid w:val="0004772F"/>
    <w:rsid w:val="000547B2"/>
    <w:rsid w:val="0006150E"/>
    <w:rsid w:val="000641C3"/>
    <w:rsid w:val="00067480"/>
    <w:rsid w:val="0007354D"/>
    <w:rsid w:val="000A3A49"/>
    <w:rsid w:val="000A65D6"/>
    <w:rsid w:val="000A7ABB"/>
    <w:rsid w:val="000C0BC2"/>
    <w:rsid w:val="000C50F9"/>
    <w:rsid w:val="000D476C"/>
    <w:rsid w:val="000D5EF9"/>
    <w:rsid w:val="000E3C0E"/>
    <w:rsid w:val="000E6B14"/>
    <w:rsid w:val="000E750C"/>
    <w:rsid w:val="000E7530"/>
    <w:rsid w:val="000F6C8A"/>
    <w:rsid w:val="001130E0"/>
    <w:rsid w:val="0011421E"/>
    <w:rsid w:val="001255F3"/>
    <w:rsid w:val="0012708A"/>
    <w:rsid w:val="00131549"/>
    <w:rsid w:val="00133AAE"/>
    <w:rsid w:val="001444F5"/>
    <w:rsid w:val="00144FC0"/>
    <w:rsid w:val="00150E18"/>
    <w:rsid w:val="00152536"/>
    <w:rsid w:val="00166C15"/>
    <w:rsid w:val="001700CC"/>
    <w:rsid w:val="001719E6"/>
    <w:rsid w:val="00175D10"/>
    <w:rsid w:val="001A1A4D"/>
    <w:rsid w:val="001D27F9"/>
    <w:rsid w:val="001D30C3"/>
    <w:rsid w:val="0020245D"/>
    <w:rsid w:val="00202A1A"/>
    <w:rsid w:val="002061CA"/>
    <w:rsid w:val="00217227"/>
    <w:rsid w:val="00223C89"/>
    <w:rsid w:val="002263C1"/>
    <w:rsid w:val="00227444"/>
    <w:rsid w:val="00227460"/>
    <w:rsid w:val="00231D55"/>
    <w:rsid w:val="00233923"/>
    <w:rsid w:val="002402E0"/>
    <w:rsid w:val="00263693"/>
    <w:rsid w:val="002702CD"/>
    <w:rsid w:val="002816CC"/>
    <w:rsid w:val="002B0FA9"/>
    <w:rsid w:val="002B32C1"/>
    <w:rsid w:val="002B63CF"/>
    <w:rsid w:val="002C3738"/>
    <w:rsid w:val="002C55EC"/>
    <w:rsid w:val="002D5016"/>
    <w:rsid w:val="002D68D1"/>
    <w:rsid w:val="002F2EF6"/>
    <w:rsid w:val="002F403C"/>
    <w:rsid w:val="00306EC9"/>
    <w:rsid w:val="00312D09"/>
    <w:rsid w:val="003251B8"/>
    <w:rsid w:val="00325C19"/>
    <w:rsid w:val="0033137F"/>
    <w:rsid w:val="00341999"/>
    <w:rsid w:val="00341FB3"/>
    <w:rsid w:val="003514FC"/>
    <w:rsid w:val="003542C8"/>
    <w:rsid w:val="003600FF"/>
    <w:rsid w:val="00365575"/>
    <w:rsid w:val="0037101A"/>
    <w:rsid w:val="00371159"/>
    <w:rsid w:val="00382AFC"/>
    <w:rsid w:val="003A39D3"/>
    <w:rsid w:val="003A669E"/>
    <w:rsid w:val="003A7AE6"/>
    <w:rsid w:val="003C3215"/>
    <w:rsid w:val="003C3B55"/>
    <w:rsid w:val="003D7D27"/>
    <w:rsid w:val="003E1F39"/>
    <w:rsid w:val="003E273A"/>
    <w:rsid w:val="003F096A"/>
    <w:rsid w:val="003F72BE"/>
    <w:rsid w:val="0040292D"/>
    <w:rsid w:val="00406142"/>
    <w:rsid w:val="00407024"/>
    <w:rsid w:val="00420F27"/>
    <w:rsid w:val="004245E0"/>
    <w:rsid w:val="00425782"/>
    <w:rsid w:val="00436208"/>
    <w:rsid w:val="00442CCC"/>
    <w:rsid w:val="00462DF6"/>
    <w:rsid w:val="004653AA"/>
    <w:rsid w:val="004670E0"/>
    <w:rsid w:val="0047674A"/>
    <w:rsid w:val="004772D1"/>
    <w:rsid w:val="00482C94"/>
    <w:rsid w:val="00485107"/>
    <w:rsid w:val="004B3B68"/>
    <w:rsid w:val="004C4EE5"/>
    <w:rsid w:val="004D33E0"/>
    <w:rsid w:val="004D40B8"/>
    <w:rsid w:val="004D4CF7"/>
    <w:rsid w:val="004E1559"/>
    <w:rsid w:val="004E4495"/>
    <w:rsid w:val="004E5245"/>
    <w:rsid w:val="004E7DC2"/>
    <w:rsid w:val="004F78CE"/>
    <w:rsid w:val="00502910"/>
    <w:rsid w:val="00503CB4"/>
    <w:rsid w:val="00507A68"/>
    <w:rsid w:val="005107F5"/>
    <w:rsid w:val="0053169A"/>
    <w:rsid w:val="00543E19"/>
    <w:rsid w:val="0055762D"/>
    <w:rsid w:val="005764FB"/>
    <w:rsid w:val="005A47D4"/>
    <w:rsid w:val="005B4CF2"/>
    <w:rsid w:val="005C162F"/>
    <w:rsid w:val="005C301E"/>
    <w:rsid w:val="005C67BE"/>
    <w:rsid w:val="005D01AA"/>
    <w:rsid w:val="005D1895"/>
    <w:rsid w:val="0060565E"/>
    <w:rsid w:val="00607636"/>
    <w:rsid w:val="00613FA9"/>
    <w:rsid w:val="00640B36"/>
    <w:rsid w:val="00655F79"/>
    <w:rsid w:val="00662A8B"/>
    <w:rsid w:val="00664A96"/>
    <w:rsid w:val="00665E6D"/>
    <w:rsid w:val="00667D67"/>
    <w:rsid w:val="00675535"/>
    <w:rsid w:val="00681D48"/>
    <w:rsid w:val="006850C7"/>
    <w:rsid w:val="00691768"/>
    <w:rsid w:val="006931E6"/>
    <w:rsid w:val="0069320A"/>
    <w:rsid w:val="006A20D2"/>
    <w:rsid w:val="006A3928"/>
    <w:rsid w:val="006B1C33"/>
    <w:rsid w:val="006B46E0"/>
    <w:rsid w:val="006C2854"/>
    <w:rsid w:val="006D08EE"/>
    <w:rsid w:val="006D56CC"/>
    <w:rsid w:val="006E466F"/>
    <w:rsid w:val="006F0A51"/>
    <w:rsid w:val="006F1C65"/>
    <w:rsid w:val="006F795F"/>
    <w:rsid w:val="00713B79"/>
    <w:rsid w:val="00727EC5"/>
    <w:rsid w:val="007403C0"/>
    <w:rsid w:val="00740503"/>
    <w:rsid w:val="00743E86"/>
    <w:rsid w:val="00744C17"/>
    <w:rsid w:val="0077001B"/>
    <w:rsid w:val="00776237"/>
    <w:rsid w:val="007772BA"/>
    <w:rsid w:val="00777EC5"/>
    <w:rsid w:val="00781B85"/>
    <w:rsid w:val="00787C66"/>
    <w:rsid w:val="00791DB2"/>
    <w:rsid w:val="00794A4F"/>
    <w:rsid w:val="007A5CBD"/>
    <w:rsid w:val="007B7FDC"/>
    <w:rsid w:val="007D4822"/>
    <w:rsid w:val="007D5CEA"/>
    <w:rsid w:val="007E4FEB"/>
    <w:rsid w:val="007E5186"/>
    <w:rsid w:val="007F5009"/>
    <w:rsid w:val="007F6C6B"/>
    <w:rsid w:val="00813DF2"/>
    <w:rsid w:val="008173F2"/>
    <w:rsid w:val="008219B1"/>
    <w:rsid w:val="008367D9"/>
    <w:rsid w:val="00840710"/>
    <w:rsid w:val="00843126"/>
    <w:rsid w:val="00855B96"/>
    <w:rsid w:val="008676D3"/>
    <w:rsid w:val="00867BD2"/>
    <w:rsid w:val="00867FCF"/>
    <w:rsid w:val="008715B6"/>
    <w:rsid w:val="00873817"/>
    <w:rsid w:val="008771F9"/>
    <w:rsid w:val="00877995"/>
    <w:rsid w:val="0088328F"/>
    <w:rsid w:val="00886415"/>
    <w:rsid w:val="008872C8"/>
    <w:rsid w:val="00892D71"/>
    <w:rsid w:val="00893A60"/>
    <w:rsid w:val="00895505"/>
    <w:rsid w:val="008A3A70"/>
    <w:rsid w:val="008A5746"/>
    <w:rsid w:val="008A7264"/>
    <w:rsid w:val="008A739B"/>
    <w:rsid w:val="008B3816"/>
    <w:rsid w:val="008B6F25"/>
    <w:rsid w:val="008D73F1"/>
    <w:rsid w:val="008E0664"/>
    <w:rsid w:val="008E58FA"/>
    <w:rsid w:val="00923CDC"/>
    <w:rsid w:val="009320FF"/>
    <w:rsid w:val="00933D13"/>
    <w:rsid w:val="009517A0"/>
    <w:rsid w:val="00960731"/>
    <w:rsid w:val="00964BE4"/>
    <w:rsid w:val="00975EA6"/>
    <w:rsid w:val="00993C59"/>
    <w:rsid w:val="009A202C"/>
    <w:rsid w:val="009E3C03"/>
    <w:rsid w:val="009F1D40"/>
    <w:rsid w:val="009F60A4"/>
    <w:rsid w:val="009F793E"/>
    <w:rsid w:val="00A02859"/>
    <w:rsid w:val="00A05F06"/>
    <w:rsid w:val="00A13690"/>
    <w:rsid w:val="00A16BF9"/>
    <w:rsid w:val="00A16C6A"/>
    <w:rsid w:val="00A22B45"/>
    <w:rsid w:val="00A27C37"/>
    <w:rsid w:val="00A40422"/>
    <w:rsid w:val="00A4372D"/>
    <w:rsid w:val="00A44671"/>
    <w:rsid w:val="00A86831"/>
    <w:rsid w:val="00A8770B"/>
    <w:rsid w:val="00A9360D"/>
    <w:rsid w:val="00A977D9"/>
    <w:rsid w:val="00AB3B73"/>
    <w:rsid w:val="00AB617D"/>
    <w:rsid w:val="00AD115D"/>
    <w:rsid w:val="00AE294A"/>
    <w:rsid w:val="00AE3999"/>
    <w:rsid w:val="00AE3B0A"/>
    <w:rsid w:val="00AE424D"/>
    <w:rsid w:val="00AF401F"/>
    <w:rsid w:val="00AF48BB"/>
    <w:rsid w:val="00AF758B"/>
    <w:rsid w:val="00AF7A9D"/>
    <w:rsid w:val="00B004A8"/>
    <w:rsid w:val="00B05F2E"/>
    <w:rsid w:val="00B13734"/>
    <w:rsid w:val="00B13F07"/>
    <w:rsid w:val="00B32F7E"/>
    <w:rsid w:val="00B33EC6"/>
    <w:rsid w:val="00B36DB0"/>
    <w:rsid w:val="00B5047D"/>
    <w:rsid w:val="00B704F3"/>
    <w:rsid w:val="00B768A1"/>
    <w:rsid w:val="00B76FBD"/>
    <w:rsid w:val="00B871F2"/>
    <w:rsid w:val="00B90BC2"/>
    <w:rsid w:val="00B97C79"/>
    <w:rsid w:val="00BA0747"/>
    <w:rsid w:val="00BA2CE3"/>
    <w:rsid w:val="00BB5EC7"/>
    <w:rsid w:val="00BC52A5"/>
    <w:rsid w:val="00BF56A3"/>
    <w:rsid w:val="00C12CC4"/>
    <w:rsid w:val="00C222D4"/>
    <w:rsid w:val="00C3227C"/>
    <w:rsid w:val="00C351C8"/>
    <w:rsid w:val="00C60624"/>
    <w:rsid w:val="00C63DFA"/>
    <w:rsid w:val="00C65B2E"/>
    <w:rsid w:val="00C662CD"/>
    <w:rsid w:val="00C67D83"/>
    <w:rsid w:val="00C7179A"/>
    <w:rsid w:val="00C737A8"/>
    <w:rsid w:val="00C75475"/>
    <w:rsid w:val="00C808D6"/>
    <w:rsid w:val="00C81F98"/>
    <w:rsid w:val="00C82335"/>
    <w:rsid w:val="00C83AB8"/>
    <w:rsid w:val="00C9229F"/>
    <w:rsid w:val="00CC177C"/>
    <w:rsid w:val="00CC20FC"/>
    <w:rsid w:val="00CC469F"/>
    <w:rsid w:val="00D03A62"/>
    <w:rsid w:val="00D05686"/>
    <w:rsid w:val="00D33365"/>
    <w:rsid w:val="00D52AE2"/>
    <w:rsid w:val="00D67ADE"/>
    <w:rsid w:val="00D81DDE"/>
    <w:rsid w:val="00D9171E"/>
    <w:rsid w:val="00D93185"/>
    <w:rsid w:val="00D93604"/>
    <w:rsid w:val="00DB14C8"/>
    <w:rsid w:val="00DB2807"/>
    <w:rsid w:val="00DD06FB"/>
    <w:rsid w:val="00DE37EE"/>
    <w:rsid w:val="00DE5198"/>
    <w:rsid w:val="00DE6CD7"/>
    <w:rsid w:val="00E01E6A"/>
    <w:rsid w:val="00E024BD"/>
    <w:rsid w:val="00E052B7"/>
    <w:rsid w:val="00E25964"/>
    <w:rsid w:val="00E343F7"/>
    <w:rsid w:val="00E41839"/>
    <w:rsid w:val="00E46A37"/>
    <w:rsid w:val="00E50D92"/>
    <w:rsid w:val="00E84938"/>
    <w:rsid w:val="00EA7FFB"/>
    <w:rsid w:val="00EB093C"/>
    <w:rsid w:val="00EB29DE"/>
    <w:rsid w:val="00EB6165"/>
    <w:rsid w:val="00EC7163"/>
    <w:rsid w:val="00ED40C2"/>
    <w:rsid w:val="00ED7125"/>
    <w:rsid w:val="00EE1CF9"/>
    <w:rsid w:val="00EE5BF5"/>
    <w:rsid w:val="00EF1380"/>
    <w:rsid w:val="00EF4A17"/>
    <w:rsid w:val="00F10255"/>
    <w:rsid w:val="00F144C3"/>
    <w:rsid w:val="00F21C75"/>
    <w:rsid w:val="00F3299D"/>
    <w:rsid w:val="00F32EB1"/>
    <w:rsid w:val="00F4179E"/>
    <w:rsid w:val="00F42B69"/>
    <w:rsid w:val="00F43EB2"/>
    <w:rsid w:val="00F43FB3"/>
    <w:rsid w:val="00F44D95"/>
    <w:rsid w:val="00F65D9C"/>
    <w:rsid w:val="00F75FB9"/>
    <w:rsid w:val="00F77C5D"/>
    <w:rsid w:val="00F77D61"/>
    <w:rsid w:val="00FA3AA1"/>
    <w:rsid w:val="00FA4411"/>
    <w:rsid w:val="00FA4B9E"/>
    <w:rsid w:val="00FB45C6"/>
    <w:rsid w:val="00FB49EC"/>
    <w:rsid w:val="00FB50D8"/>
    <w:rsid w:val="00FB629A"/>
    <w:rsid w:val="00FC2ABD"/>
    <w:rsid w:val="00FC3988"/>
    <w:rsid w:val="00FC5395"/>
    <w:rsid w:val="00FD4992"/>
    <w:rsid w:val="00FD5750"/>
    <w:rsid w:val="00FE166F"/>
    <w:rsid w:val="00FF5B29"/>
    <w:rsid w:val="00FF796E"/>
    <w:rsid w:val="1C4154B0"/>
    <w:rsid w:val="1D4A0249"/>
    <w:rsid w:val="492C44C6"/>
    <w:rsid w:val="51D56D13"/>
    <w:rsid w:val="7653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rPr>
      <w:rFonts w:ascii="Calibri" w:hAnsi="Calibri" w:eastAsia="方正仿宋_GBK" w:cs="Times New Roman"/>
      <w:sz w:val="24"/>
      <w:szCs w:val="24"/>
    </w:rPr>
  </w:style>
  <w:style w:type="paragraph" w:styleId="3">
    <w:name w:val="Plain Text"/>
    <w:basedOn w:val="1"/>
    <w:link w:val="21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bjh-p"/>
    <w:basedOn w:val="10"/>
    <w:qFormat/>
    <w:uiPriority w:val="0"/>
  </w:style>
  <w:style w:type="character" w:customStyle="1" w:styleId="15">
    <w:name w:val="bjh-strong"/>
    <w:basedOn w:val="10"/>
    <w:qFormat/>
    <w:uiPriority w:val="0"/>
  </w:style>
  <w:style w:type="paragraph" w:customStyle="1" w:styleId="16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character" w:customStyle="1" w:styleId="17">
    <w:name w:val="日期 Char"/>
    <w:basedOn w:val="10"/>
    <w:link w:val="4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纯文本 Char"/>
    <w:basedOn w:val="10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1">
    <w:name w:val="纯文本 Char1"/>
    <w:link w:val="3"/>
    <w:qFormat/>
    <w:uiPriority w:val="0"/>
    <w:rPr>
      <w:rFonts w:ascii="宋体" w:hAnsi="Courier New" w:eastAsia="宋体" w:cs="Times New Roman"/>
      <w:szCs w:val="21"/>
    </w:rPr>
  </w:style>
  <w:style w:type="character" w:customStyle="1" w:styleId="22">
    <w:name w:val="正文文本 Char"/>
    <w:basedOn w:val="10"/>
    <w:link w:val="2"/>
    <w:qFormat/>
    <w:uiPriority w:val="0"/>
    <w:rPr>
      <w:rFonts w:ascii="Calibri" w:hAnsi="Calibri" w:eastAsia="方正仿宋_GBK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3CFE31-E8CA-43C8-8817-8311983F84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3729</Words>
  <Characters>3969</Characters>
  <Lines>30</Lines>
  <Paragraphs>8</Paragraphs>
  <TotalTime>123</TotalTime>
  <ScaleCrop>false</ScaleCrop>
  <LinksUpToDate>false</LinksUpToDate>
  <CharactersWithSpaces>4127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2024-05-10T09:09:00Z</dcterms:created>
  <dc:creator>Administrator</dc:creator>
  <cp:lastModifiedBy>Loving Strangers</cp:lastModifiedBy>
  <cp:lastPrinted>2024-07-10T10:07:00Z</cp:lastPrinted>
  <dcterms:modified xsi:type="dcterms:W3CDTF">2024-07-16T02:11:31Z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5D2D92C76FB74D959A12030D73A9F14C_13</vt:lpwstr>
  </property>
</Properties>
</file>