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706A9" w14:textId="77777777" w:rsidR="00C13386" w:rsidRDefault="00000000">
      <w:pPr>
        <w:spacing w:after="927" w:line="259" w:lineRule="auto"/>
        <w:ind w:left="0" w:right="110"/>
        <w:jc w:val="center"/>
      </w:pPr>
      <w:r>
        <w:rPr>
          <w:sz w:val="28"/>
        </w:rPr>
        <w:t>2024年第19号</w:t>
      </w:r>
    </w:p>
    <w:p w14:paraId="60377814" w14:textId="77777777" w:rsidR="00C13386" w:rsidRDefault="00000000">
      <w:pPr>
        <w:pStyle w:val="1"/>
        <w:jc w:val="left"/>
      </w:pPr>
      <w:r>
        <w:t>关于2023年度国家级资质认定检验检测机构监督抽查情况的通告</w:t>
      </w:r>
    </w:p>
    <w:p w14:paraId="4B068CAE" w14:textId="77777777" w:rsidR="00C13386" w:rsidRDefault="00000000">
      <w:pPr>
        <w:ind w:left="47" w:right="47" w:firstLine="643"/>
      </w:pPr>
      <w:r>
        <w:t>按照《关于组织开展2023年度检验检测机构监督抽查工作的通知》（</w:t>
      </w:r>
      <w:proofErr w:type="gramStart"/>
      <w:r>
        <w:t>国市监检测</w:t>
      </w:r>
      <w:proofErr w:type="gramEnd"/>
      <w:r>
        <w:t>发〔2023〕90号），市场监管总局、公安部、</w:t>
      </w:r>
      <w:r>
        <w:rPr>
          <w:noProof/>
        </w:rPr>
        <w:drawing>
          <wp:inline distT="0" distB="0" distL="0" distR="0" wp14:anchorId="70592EC1" wp14:editId="2863A311">
            <wp:extent cx="3048" cy="3049"/>
            <wp:effectExtent l="0" t="0" r="0" b="0"/>
            <wp:docPr id="976" name="Picture 976"/>
            <wp:cNvGraphicFramePr/>
            <a:graphic xmlns:a="http://schemas.openxmlformats.org/drawingml/2006/main">
              <a:graphicData uri="http://schemas.openxmlformats.org/drawingml/2006/picture">
                <pic:pic xmlns:pic="http://schemas.openxmlformats.org/drawingml/2006/picture">
                  <pic:nvPicPr>
                    <pic:cNvPr id="976" name="Picture 976"/>
                    <pic:cNvPicPr/>
                  </pic:nvPicPr>
                  <pic:blipFill>
                    <a:blip r:embed="rId7"/>
                    <a:stretch>
                      <a:fillRect/>
                    </a:stretch>
                  </pic:blipFill>
                  <pic:spPr>
                    <a:xfrm>
                      <a:off x="0" y="0"/>
                      <a:ext cx="3048" cy="3049"/>
                    </a:xfrm>
                    <a:prstGeom prst="rect">
                      <a:avLst/>
                    </a:prstGeom>
                  </pic:spPr>
                </pic:pic>
              </a:graphicData>
            </a:graphic>
          </wp:inline>
        </w:drawing>
      </w:r>
      <w:r>
        <w:t>自然资源部、生态环境部、交通运输部、水利部、海关总署、国</w:t>
      </w:r>
    </w:p>
    <w:p w14:paraId="554FBAE3" w14:textId="77777777" w:rsidR="00C13386" w:rsidRDefault="00000000">
      <w:pPr>
        <w:spacing w:after="0" w:line="259" w:lineRule="auto"/>
        <w:ind w:left="7714" w:right="0"/>
        <w:jc w:val="left"/>
      </w:pPr>
      <w:r>
        <w:rPr>
          <w:noProof/>
        </w:rPr>
        <w:drawing>
          <wp:inline distT="0" distB="0" distL="0" distR="0" wp14:anchorId="11738DE2" wp14:editId="1916CE40">
            <wp:extent cx="633984" cy="27440"/>
            <wp:effectExtent l="0" t="0" r="0" b="0"/>
            <wp:docPr id="24536" name="Picture 24536"/>
            <wp:cNvGraphicFramePr/>
            <a:graphic xmlns:a="http://schemas.openxmlformats.org/drawingml/2006/main">
              <a:graphicData uri="http://schemas.openxmlformats.org/drawingml/2006/picture">
                <pic:pic xmlns:pic="http://schemas.openxmlformats.org/drawingml/2006/picture">
                  <pic:nvPicPr>
                    <pic:cNvPr id="24536" name="Picture 24536"/>
                    <pic:cNvPicPr/>
                  </pic:nvPicPr>
                  <pic:blipFill>
                    <a:blip r:embed="rId8"/>
                    <a:stretch>
                      <a:fillRect/>
                    </a:stretch>
                  </pic:blipFill>
                  <pic:spPr>
                    <a:xfrm>
                      <a:off x="0" y="0"/>
                      <a:ext cx="633984" cy="27440"/>
                    </a:xfrm>
                    <a:prstGeom prst="rect">
                      <a:avLst/>
                    </a:prstGeom>
                  </pic:spPr>
                </pic:pic>
              </a:graphicData>
            </a:graphic>
          </wp:inline>
        </w:drawing>
      </w:r>
    </w:p>
    <w:p w14:paraId="6EC181D6" w14:textId="77777777" w:rsidR="00C13386" w:rsidRDefault="00000000">
      <w:pPr>
        <w:ind w:left="47" w:right="47"/>
      </w:pPr>
      <w:proofErr w:type="gramStart"/>
      <w:r>
        <w:t>家药监</w:t>
      </w:r>
      <w:proofErr w:type="gramEnd"/>
      <w:r>
        <w:t>局以部门联合“双随机、</w:t>
      </w:r>
      <w:proofErr w:type="gramStart"/>
      <w:r>
        <w:t>一</w:t>
      </w:r>
      <w:proofErr w:type="gramEnd"/>
      <w:r>
        <w:t>公开"监管的方式，组织完成 2023年度国家级资质认定检验检测机构监督抽查工作。现将有关情况通告如下：</w:t>
      </w:r>
    </w:p>
    <w:p w14:paraId="109ED3C0" w14:textId="77777777" w:rsidR="00C13386" w:rsidRDefault="00000000">
      <w:pPr>
        <w:spacing w:line="259" w:lineRule="auto"/>
        <w:ind w:left="667" w:right="0" w:hanging="10"/>
        <w:jc w:val="left"/>
      </w:pPr>
      <w:r>
        <w:rPr>
          <w:noProof/>
        </w:rPr>
        <w:drawing>
          <wp:inline distT="0" distB="0" distL="0" distR="0" wp14:anchorId="1AF33B1A" wp14:editId="002F23B9">
            <wp:extent cx="188976" cy="27440"/>
            <wp:effectExtent l="0" t="0" r="0" b="0"/>
            <wp:docPr id="3939" name="Picture 3939"/>
            <wp:cNvGraphicFramePr/>
            <a:graphic xmlns:a="http://schemas.openxmlformats.org/drawingml/2006/main">
              <a:graphicData uri="http://schemas.openxmlformats.org/drawingml/2006/picture">
                <pic:pic xmlns:pic="http://schemas.openxmlformats.org/drawingml/2006/picture">
                  <pic:nvPicPr>
                    <pic:cNvPr id="3939" name="Picture 3939"/>
                    <pic:cNvPicPr/>
                  </pic:nvPicPr>
                  <pic:blipFill>
                    <a:blip r:embed="rId9"/>
                    <a:stretch>
                      <a:fillRect/>
                    </a:stretch>
                  </pic:blipFill>
                  <pic:spPr>
                    <a:xfrm>
                      <a:off x="0" y="0"/>
                      <a:ext cx="188976" cy="27440"/>
                    </a:xfrm>
                    <a:prstGeom prst="rect">
                      <a:avLst/>
                    </a:prstGeom>
                  </pic:spPr>
                </pic:pic>
              </a:graphicData>
            </a:graphic>
          </wp:inline>
        </w:drawing>
      </w:r>
      <w:r>
        <w:rPr>
          <w:sz w:val="32"/>
        </w:rPr>
        <w:t>、基本情况</w:t>
      </w:r>
    </w:p>
    <w:p w14:paraId="382E1A88" w14:textId="77777777" w:rsidR="00C13386" w:rsidRDefault="00000000">
      <w:pPr>
        <w:ind w:left="47" w:right="47" w:firstLine="638"/>
      </w:pPr>
      <w:r>
        <w:t>本次联合监督抽查是对2022年检验检测市场专项整治的“回</w:t>
      </w:r>
      <w:r>
        <w:rPr>
          <w:noProof/>
        </w:rPr>
        <w:drawing>
          <wp:inline distT="0" distB="0" distL="0" distR="0" wp14:anchorId="2B7A2A6E" wp14:editId="08BA769D">
            <wp:extent cx="3049" cy="3049"/>
            <wp:effectExtent l="0" t="0" r="0" b="0"/>
            <wp:docPr id="3940" name="Picture 3940"/>
            <wp:cNvGraphicFramePr/>
            <a:graphic xmlns:a="http://schemas.openxmlformats.org/drawingml/2006/main">
              <a:graphicData uri="http://schemas.openxmlformats.org/drawingml/2006/picture">
                <pic:pic xmlns:pic="http://schemas.openxmlformats.org/drawingml/2006/picture">
                  <pic:nvPicPr>
                    <pic:cNvPr id="3940" name="Picture 3940"/>
                    <pic:cNvPicPr/>
                  </pic:nvPicPr>
                  <pic:blipFill>
                    <a:blip r:embed="rId7"/>
                    <a:stretch>
                      <a:fillRect/>
                    </a:stretch>
                  </pic:blipFill>
                  <pic:spPr>
                    <a:xfrm>
                      <a:off x="0" y="0"/>
                      <a:ext cx="3049" cy="3049"/>
                    </a:xfrm>
                    <a:prstGeom prst="rect">
                      <a:avLst/>
                    </a:prstGeom>
                  </pic:spPr>
                </pic:pic>
              </a:graphicData>
            </a:graphic>
          </wp:inline>
        </w:drawing>
      </w:r>
      <w:r>
        <w:rPr>
          <w:noProof/>
        </w:rPr>
        <w:drawing>
          <wp:inline distT="0" distB="0" distL="0" distR="0" wp14:anchorId="74650CD2" wp14:editId="63A9BF6F">
            <wp:extent cx="3048" cy="6098"/>
            <wp:effectExtent l="0" t="0" r="0" b="0"/>
            <wp:docPr id="3941" name="Picture 3941"/>
            <wp:cNvGraphicFramePr/>
            <a:graphic xmlns:a="http://schemas.openxmlformats.org/drawingml/2006/main">
              <a:graphicData uri="http://schemas.openxmlformats.org/drawingml/2006/picture">
                <pic:pic xmlns:pic="http://schemas.openxmlformats.org/drawingml/2006/picture">
                  <pic:nvPicPr>
                    <pic:cNvPr id="3941" name="Picture 3941"/>
                    <pic:cNvPicPr/>
                  </pic:nvPicPr>
                  <pic:blipFill>
                    <a:blip r:embed="rId10"/>
                    <a:stretch>
                      <a:fillRect/>
                    </a:stretch>
                  </pic:blipFill>
                  <pic:spPr>
                    <a:xfrm>
                      <a:off x="0" y="0"/>
                      <a:ext cx="3048" cy="6098"/>
                    </a:xfrm>
                    <a:prstGeom prst="rect">
                      <a:avLst/>
                    </a:prstGeom>
                  </pic:spPr>
                </pic:pic>
              </a:graphicData>
            </a:graphic>
          </wp:inline>
        </w:drawing>
      </w:r>
      <w:r>
        <w:t>头看"，目的是持续保持对虚假和不实检验检测行为的高压打击态势，坚决破除检验检测市场乱象。抽查将自然资源、生态环境、机动车、水利水质、进出口商品、医疗器械防护用品、食品、成品油、网络关键设备和网络安全专用产品、常压液体危险货物罐体作为重点领域，随机抽查国家级资质认定检验检测机构100家（含23家国家质检中心）。其中，自然资源检验检测机构5家、生态环境检验检测机构10家、机动车检验机构10家、水利水质监测机构5家、进出口商品检验机构5家、医疗器械防护用品检验检测机构5家、食品检验机构10家、成品油检验机构5家、网络关键设备和网络安全专用产</w:t>
      </w:r>
      <w:r>
        <w:lastRenderedPageBreak/>
        <w:t>品检验机构5家、常压液体危险货物罐体出厂检验机构5家，其他领域机构35家。</w:t>
      </w:r>
    </w:p>
    <w:p w14:paraId="5BBCAC92" w14:textId="77777777" w:rsidR="00C13386" w:rsidRDefault="00000000">
      <w:pPr>
        <w:ind w:left="47" w:right="47" w:firstLine="672"/>
      </w:pPr>
      <w:r>
        <w:t>同时，按照市场监管总局部署要求，各地市场监管部门联合行业主管部门抽查省级资质认定检验检测机构16440家，具体检查结果由地方市场监管部门予以公布。</w:t>
      </w:r>
    </w:p>
    <w:p w14:paraId="70353CB8" w14:textId="77777777" w:rsidR="00C13386" w:rsidRDefault="00000000">
      <w:pPr>
        <w:spacing w:line="259" w:lineRule="auto"/>
        <w:ind w:left="667" w:right="0" w:hanging="10"/>
        <w:jc w:val="left"/>
      </w:pPr>
      <w:r>
        <w:rPr>
          <w:noProof/>
        </w:rPr>
        <w:drawing>
          <wp:inline distT="0" distB="0" distL="0" distR="0" wp14:anchorId="0221FBF1" wp14:editId="6CCAEE44">
            <wp:extent cx="188976" cy="134151"/>
            <wp:effectExtent l="0" t="0" r="0" b="0"/>
            <wp:docPr id="24539" name="Picture 24539"/>
            <wp:cNvGraphicFramePr/>
            <a:graphic xmlns:a="http://schemas.openxmlformats.org/drawingml/2006/main">
              <a:graphicData uri="http://schemas.openxmlformats.org/drawingml/2006/picture">
                <pic:pic xmlns:pic="http://schemas.openxmlformats.org/drawingml/2006/picture">
                  <pic:nvPicPr>
                    <pic:cNvPr id="24539" name="Picture 24539"/>
                    <pic:cNvPicPr/>
                  </pic:nvPicPr>
                  <pic:blipFill>
                    <a:blip r:embed="rId11"/>
                    <a:stretch>
                      <a:fillRect/>
                    </a:stretch>
                  </pic:blipFill>
                  <pic:spPr>
                    <a:xfrm>
                      <a:off x="0" y="0"/>
                      <a:ext cx="188976" cy="134151"/>
                    </a:xfrm>
                    <a:prstGeom prst="rect">
                      <a:avLst/>
                    </a:prstGeom>
                  </pic:spPr>
                </pic:pic>
              </a:graphicData>
            </a:graphic>
          </wp:inline>
        </w:drawing>
      </w:r>
      <w:r>
        <w:rPr>
          <w:sz w:val="32"/>
        </w:rPr>
        <w:t>、监督抽查结果</w:t>
      </w:r>
    </w:p>
    <w:p w14:paraId="45675D53" w14:textId="77777777" w:rsidR="00C13386" w:rsidRDefault="00000000">
      <w:pPr>
        <w:ind w:left="47" w:right="47" w:firstLine="634"/>
      </w:pPr>
      <w:r>
        <w:t xml:space="preserve">2023年度国家级资质认定检验检测机构监督抽查共发现存在违法违规行为机构30家，占全部抽查机构数量的30％。其中， </w:t>
      </w:r>
      <w:r>
        <w:rPr>
          <w:noProof/>
        </w:rPr>
        <w:drawing>
          <wp:inline distT="0" distB="0" distL="0" distR="0" wp14:anchorId="40239CDE" wp14:editId="3145CC49">
            <wp:extent cx="185928" cy="15245"/>
            <wp:effectExtent l="0" t="0" r="0" b="0"/>
            <wp:docPr id="3945" name="Picture 3945"/>
            <wp:cNvGraphicFramePr/>
            <a:graphic xmlns:a="http://schemas.openxmlformats.org/drawingml/2006/main">
              <a:graphicData uri="http://schemas.openxmlformats.org/drawingml/2006/picture">
                <pic:pic xmlns:pic="http://schemas.openxmlformats.org/drawingml/2006/picture">
                  <pic:nvPicPr>
                    <pic:cNvPr id="3945" name="Picture 3945"/>
                    <pic:cNvPicPr/>
                  </pic:nvPicPr>
                  <pic:blipFill>
                    <a:blip r:embed="rId12"/>
                    <a:stretch>
                      <a:fillRect/>
                    </a:stretch>
                  </pic:blipFill>
                  <pic:spPr>
                    <a:xfrm>
                      <a:off x="0" y="0"/>
                      <a:ext cx="185928" cy="15245"/>
                    </a:xfrm>
                    <a:prstGeom prst="rect">
                      <a:avLst/>
                    </a:prstGeom>
                  </pic:spPr>
                </pic:pic>
              </a:graphicData>
            </a:graphic>
          </wp:inline>
        </w:drawing>
      </w:r>
      <w:r>
        <w:t>2</w:t>
      </w:r>
      <w:r>
        <w:rPr>
          <w:noProof/>
        </w:rPr>
        <w:drawing>
          <wp:inline distT="0" distB="0" distL="0" distR="0" wp14:anchorId="5DBAEBFA" wp14:editId="66FBBF64">
            <wp:extent cx="188976" cy="15245"/>
            <wp:effectExtent l="0" t="0" r="0" b="0"/>
            <wp:docPr id="3944" name="Picture 3944"/>
            <wp:cNvGraphicFramePr/>
            <a:graphic xmlns:a="http://schemas.openxmlformats.org/drawingml/2006/main">
              <a:graphicData uri="http://schemas.openxmlformats.org/drawingml/2006/picture">
                <pic:pic xmlns:pic="http://schemas.openxmlformats.org/drawingml/2006/picture">
                  <pic:nvPicPr>
                    <pic:cNvPr id="3944" name="Picture 3944"/>
                    <pic:cNvPicPr/>
                  </pic:nvPicPr>
                  <pic:blipFill>
                    <a:blip r:embed="rId13"/>
                    <a:stretch>
                      <a:fillRect/>
                    </a:stretch>
                  </pic:blipFill>
                  <pic:spPr>
                    <a:xfrm>
                      <a:off x="0" y="0"/>
                      <a:ext cx="188976" cy="15245"/>
                    </a:xfrm>
                    <a:prstGeom prst="rect">
                      <a:avLst/>
                    </a:prstGeom>
                  </pic:spPr>
                </pic:pic>
              </a:graphicData>
            </a:graphic>
          </wp:inline>
        </w:drawing>
      </w:r>
    </w:p>
    <w:p w14:paraId="29740402" w14:textId="77777777" w:rsidR="00C13386" w:rsidRDefault="00000000">
      <w:pPr>
        <w:ind w:left="47" w:right="47"/>
      </w:pPr>
      <w:r>
        <w:t>存在超出资质认定证书规定的检验检测能力范围出具检验检测数据、结果的机构1家；其他机构存在未按规定办理变更手续、未按照国家有关强制性规定的检验检测方法进行检验检测、未按规定分包检验检测项目等问题。</w:t>
      </w:r>
    </w:p>
    <w:p w14:paraId="62CA85CF" w14:textId="77777777" w:rsidR="00C13386" w:rsidRDefault="00000000">
      <w:pPr>
        <w:numPr>
          <w:ilvl w:val="0"/>
          <w:numId w:val="1"/>
        </w:numPr>
        <w:spacing w:after="0" w:line="259" w:lineRule="auto"/>
        <w:ind w:right="0" w:hanging="744"/>
        <w:jc w:val="left"/>
      </w:pPr>
      <w:r>
        <w:rPr>
          <w:sz w:val="28"/>
        </w:rPr>
        <w:t>需予以特别关注的违法违规问题</w:t>
      </w:r>
    </w:p>
    <w:p w14:paraId="0E7C422D" w14:textId="77777777" w:rsidR="00C13386" w:rsidRDefault="00000000">
      <w:pPr>
        <w:spacing w:after="52"/>
        <w:ind w:left="47" w:right="47" w:firstLine="643"/>
      </w:pPr>
      <w:r>
        <w:t>机构超出资质认定证书规定的检验检测能力范围，出具检验检测数据、结果。在近期的监督检查中，发现部分检验检测机构混淆资质认定许可的法律要求，仅以自我声明或标注“某某产品/ 项目/参数不在资质认定能力范围内"的方式，即向社会出具带有资质认定标志的检验检测报告，在招投标活动或投诉举报中多次引发争议，需要相关机构高度重视，切实加强相关法律法规学习理解，避免相关风险。</w:t>
      </w:r>
    </w:p>
    <w:p w14:paraId="50036202" w14:textId="77777777" w:rsidR="00C13386" w:rsidRDefault="00000000">
      <w:pPr>
        <w:numPr>
          <w:ilvl w:val="0"/>
          <w:numId w:val="1"/>
        </w:numPr>
        <w:spacing w:after="0" w:line="259" w:lineRule="auto"/>
        <w:ind w:right="0" w:hanging="744"/>
        <w:jc w:val="left"/>
      </w:pPr>
      <w:r>
        <w:rPr>
          <w:sz w:val="34"/>
        </w:rPr>
        <w:t>一般性违规问题</w:t>
      </w:r>
    </w:p>
    <w:p w14:paraId="2CD3C044" w14:textId="77777777" w:rsidR="00C13386" w:rsidRDefault="00000000">
      <w:pPr>
        <w:ind w:left="47" w:right="47" w:firstLine="662"/>
      </w:pPr>
      <w:r>
        <w:t>一是未按规定及时办理变更手续。二是未按照国家有关强制性规定的检验检测规程或方法进行检验检测。三是未按规定分包检验检测项目或者应当注明而未注明分包情况。</w:t>
      </w:r>
    </w:p>
    <w:p w14:paraId="5283CCDD" w14:textId="77777777" w:rsidR="00C13386" w:rsidRDefault="00000000">
      <w:pPr>
        <w:numPr>
          <w:ilvl w:val="0"/>
          <w:numId w:val="1"/>
        </w:numPr>
        <w:spacing w:line="259" w:lineRule="auto"/>
        <w:ind w:right="0" w:hanging="744"/>
        <w:jc w:val="left"/>
      </w:pPr>
      <w:r>
        <w:rPr>
          <w:sz w:val="32"/>
        </w:rPr>
        <w:lastRenderedPageBreak/>
        <w:t>普遍性问题</w:t>
      </w:r>
    </w:p>
    <w:p w14:paraId="25572429" w14:textId="77777777" w:rsidR="00C13386" w:rsidRDefault="00000000">
      <w:pPr>
        <w:spacing w:after="34"/>
        <w:ind w:left="47" w:right="47" w:firstLine="662"/>
      </w:pPr>
      <w:r>
        <w:t>本次监督抽查发现存在的普遍性问题，虽不构成违法违规，但需要通过说服教育、提醒纠正等手段督促机构自行改正。一是</w:t>
      </w:r>
      <w:r>
        <w:rPr>
          <w:noProof/>
        </w:rPr>
        <w:drawing>
          <wp:inline distT="0" distB="0" distL="0" distR="0" wp14:anchorId="62EA5CE8" wp14:editId="53FB1A9B">
            <wp:extent cx="3048" cy="3048"/>
            <wp:effectExtent l="0" t="0" r="0" b="0"/>
            <wp:docPr id="7260" name="Picture 7260"/>
            <wp:cNvGraphicFramePr/>
            <a:graphic xmlns:a="http://schemas.openxmlformats.org/drawingml/2006/main">
              <a:graphicData uri="http://schemas.openxmlformats.org/drawingml/2006/picture">
                <pic:pic xmlns:pic="http://schemas.openxmlformats.org/drawingml/2006/picture">
                  <pic:nvPicPr>
                    <pic:cNvPr id="7260" name="Picture 7260"/>
                    <pic:cNvPicPr/>
                  </pic:nvPicPr>
                  <pic:blipFill>
                    <a:blip r:embed="rId14"/>
                    <a:stretch>
                      <a:fillRect/>
                    </a:stretch>
                  </pic:blipFill>
                  <pic:spPr>
                    <a:xfrm>
                      <a:off x="0" y="0"/>
                      <a:ext cx="3048" cy="3048"/>
                    </a:xfrm>
                    <a:prstGeom prst="rect">
                      <a:avLst/>
                    </a:prstGeom>
                  </pic:spPr>
                </pic:pic>
              </a:graphicData>
            </a:graphic>
          </wp:inline>
        </w:drawing>
      </w:r>
      <w:r>
        <w:t>机构主体责任意识不强。部分机构对检测对象潜在风险认识不足，存在重经营、轻管理、实际能力与承担业务量不匹配等问题。</w:t>
      </w:r>
      <w:r>
        <w:rPr>
          <w:noProof/>
        </w:rPr>
        <w:drawing>
          <wp:inline distT="0" distB="0" distL="0" distR="0" wp14:anchorId="63387C7B" wp14:editId="090C622A">
            <wp:extent cx="167640" cy="109759"/>
            <wp:effectExtent l="0" t="0" r="0" b="0"/>
            <wp:docPr id="24542" name="Picture 24542"/>
            <wp:cNvGraphicFramePr/>
            <a:graphic xmlns:a="http://schemas.openxmlformats.org/drawingml/2006/main">
              <a:graphicData uri="http://schemas.openxmlformats.org/drawingml/2006/picture">
                <pic:pic xmlns:pic="http://schemas.openxmlformats.org/drawingml/2006/picture">
                  <pic:nvPicPr>
                    <pic:cNvPr id="24542" name="Picture 24542"/>
                    <pic:cNvPicPr/>
                  </pic:nvPicPr>
                  <pic:blipFill>
                    <a:blip r:embed="rId15"/>
                    <a:stretch>
                      <a:fillRect/>
                    </a:stretch>
                  </pic:blipFill>
                  <pic:spPr>
                    <a:xfrm>
                      <a:off x="0" y="0"/>
                      <a:ext cx="167640" cy="109759"/>
                    </a:xfrm>
                    <a:prstGeom prst="rect">
                      <a:avLst/>
                    </a:prstGeom>
                  </pic:spPr>
                </pic:pic>
              </a:graphicData>
            </a:graphic>
          </wp:inline>
        </w:drawing>
      </w:r>
    </w:p>
    <w:p w14:paraId="1B1305A0" w14:textId="77777777" w:rsidR="00C13386" w:rsidRDefault="00000000">
      <w:pPr>
        <w:ind w:left="47" w:right="47"/>
      </w:pPr>
      <w:r>
        <w:t>是设备设施管理不严谨。主要表现在未按检验检测规程或方法要</w:t>
      </w:r>
    </w:p>
    <w:p w14:paraId="43CB7E9A" w14:textId="77777777" w:rsidR="00C13386" w:rsidRDefault="00000000">
      <w:pPr>
        <w:spacing w:after="0" w:line="259" w:lineRule="auto"/>
        <w:ind w:left="7738" w:right="0"/>
        <w:jc w:val="left"/>
      </w:pPr>
      <w:r>
        <w:rPr>
          <w:noProof/>
        </w:rPr>
        <w:drawing>
          <wp:inline distT="0" distB="0" distL="0" distR="0" wp14:anchorId="3B1E92D1" wp14:editId="1EF32030">
            <wp:extent cx="627888" cy="18293"/>
            <wp:effectExtent l="0" t="0" r="0" b="0"/>
            <wp:docPr id="24544" name="Picture 24544"/>
            <wp:cNvGraphicFramePr/>
            <a:graphic xmlns:a="http://schemas.openxmlformats.org/drawingml/2006/main">
              <a:graphicData uri="http://schemas.openxmlformats.org/drawingml/2006/picture">
                <pic:pic xmlns:pic="http://schemas.openxmlformats.org/drawingml/2006/picture">
                  <pic:nvPicPr>
                    <pic:cNvPr id="24544" name="Picture 24544"/>
                    <pic:cNvPicPr/>
                  </pic:nvPicPr>
                  <pic:blipFill>
                    <a:blip r:embed="rId16"/>
                    <a:stretch>
                      <a:fillRect/>
                    </a:stretch>
                  </pic:blipFill>
                  <pic:spPr>
                    <a:xfrm>
                      <a:off x="0" y="0"/>
                      <a:ext cx="627888" cy="18293"/>
                    </a:xfrm>
                    <a:prstGeom prst="rect">
                      <a:avLst/>
                    </a:prstGeom>
                  </pic:spPr>
                </pic:pic>
              </a:graphicData>
            </a:graphic>
          </wp:inline>
        </w:drawing>
      </w:r>
    </w:p>
    <w:p w14:paraId="70C4AB9D" w14:textId="77777777" w:rsidR="00C13386" w:rsidRDefault="00000000">
      <w:pPr>
        <w:ind w:left="47" w:right="125"/>
      </w:pPr>
      <w:r>
        <w:t>求对环境条件进行监控并记录；未对检测区域进行分区和有效隔离等。三是原始记录不规范。部分机构存在检测过程原始记录信</w:t>
      </w:r>
      <w:r>
        <w:rPr>
          <w:noProof/>
        </w:rPr>
        <w:drawing>
          <wp:inline distT="0" distB="0" distL="0" distR="0" wp14:anchorId="7026971E" wp14:editId="13805742">
            <wp:extent cx="3048" cy="3049"/>
            <wp:effectExtent l="0" t="0" r="0" b="0"/>
            <wp:docPr id="10646" name="Picture 10646"/>
            <wp:cNvGraphicFramePr/>
            <a:graphic xmlns:a="http://schemas.openxmlformats.org/drawingml/2006/main">
              <a:graphicData uri="http://schemas.openxmlformats.org/drawingml/2006/picture">
                <pic:pic xmlns:pic="http://schemas.openxmlformats.org/drawingml/2006/picture">
                  <pic:nvPicPr>
                    <pic:cNvPr id="10646" name="Picture 10646"/>
                    <pic:cNvPicPr/>
                  </pic:nvPicPr>
                  <pic:blipFill>
                    <a:blip r:embed="rId17"/>
                    <a:stretch>
                      <a:fillRect/>
                    </a:stretch>
                  </pic:blipFill>
                  <pic:spPr>
                    <a:xfrm>
                      <a:off x="0" y="0"/>
                      <a:ext cx="3048" cy="3049"/>
                    </a:xfrm>
                    <a:prstGeom prst="rect">
                      <a:avLst/>
                    </a:prstGeom>
                  </pic:spPr>
                </pic:pic>
              </a:graphicData>
            </a:graphic>
          </wp:inline>
        </w:drawing>
      </w:r>
      <w:r>
        <w:t>息不全、报告可追溯性差等问题。</w:t>
      </w:r>
    </w:p>
    <w:p w14:paraId="43F8A5CA" w14:textId="77777777" w:rsidR="00C13386" w:rsidRDefault="00000000">
      <w:pPr>
        <w:spacing w:line="259" w:lineRule="auto"/>
        <w:ind w:left="667" w:right="0" w:hanging="10"/>
        <w:jc w:val="left"/>
      </w:pPr>
      <w:r>
        <w:rPr>
          <w:noProof/>
        </w:rPr>
        <w:drawing>
          <wp:inline distT="0" distB="0" distL="0" distR="0" wp14:anchorId="3DA02E1B" wp14:editId="4515A550">
            <wp:extent cx="185928" cy="158541"/>
            <wp:effectExtent l="0" t="0" r="0" b="0"/>
            <wp:docPr id="24548" name="Picture 24548"/>
            <wp:cNvGraphicFramePr/>
            <a:graphic xmlns:a="http://schemas.openxmlformats.org/drawingml/2006/main">
              <a:graphicData uri="http://schemas.openxmlformats.org/drawingml/2006/picture">
                <pic:pic xmlns:pic="http://schemas.openxmlformats.org/drawingml/2006/picture">
                  <pic:nvPicPr>
                    <pic:cNvPr id="24548" name="Picture 24548"/>
                    <pic:cNvPicPr/>
                  </pic:nvPicPr>
                  <pic:blipFill>
                    <a:blip r:embed="rId18"/>
                    <a:stretch>
                      <a:fillRect/>
                    </a:stretch>
                  </pic:blipFill>
                  <pic:spPr>
                    <a:xfrm>
                      <a:off x="0" y="0"/>
                      <a:ext cx="185928" cy="158541"/>
                    </a:xfrm>
                    <a:prstGeom prst="rect">
                      <a:avLst/>
                    </a:prstGeom>
                  </pic:spPr>
                </pic:pic>
              </a:graphicData>
            </a:graphic>
          </wp:inline>
        </w:drawing>
      </w:r>
      <w:r>
        <w:rPr>
          <w:sz w:val="32"/>
        </w:rPr>
        <w:t>、处理结果</w:t>
      </w:r>
    </w:p>
    <w:p w14:paraId="34FD04AF" w14:textId="77777777" w:rsidR="00C13386" w:rsidRDefault="00000000">
      <w:pPr>
        <w:ind w:left="47" w:right="47" w:firstLine="638"/>
      </w:pPr>
      <w:r>
        <w:t>依据《检验检测机构监督管理办法》《检验检测机构资质认定管理办法》，对相关国家级资质认定检验检测机构的处理如下：（一）对存在超出资质认定证书规定的检验检测能力范围出具检验检测数据、结果等问题的1家机构责令限期改正，并移交属地市场监管部门实施行政处罚。（名单见附件）</w:t>
      </w:r>
    </w:p>
    <w:p w14:paraId="69A9804B" w14:textId="77777777" w:rsidR="00C13386" w:rsidRDefault="00000000">
      <w:pPr>
        <w:ind w:left="47" w:right="47" w:firstLine="792"/>
      </w:pPr>
      <w:r>
        <w:t>（二）对存在未按规定及时办理变更手续、未按照国家有关强制性规定的检验检测规程或方法进行检验检测、未按规定分包检验检测项目或者应当注明而未注明分包情况等问题的29家机构责令1个月内改正。</w:t>
      </w:r>
    </w:p>
    <w:p w14:paraId="26ABAB78" w14:textId="77777777" w:rsidR="00C13386" w:rsidRDefault="00000000">
      <w:pPr>
        <w:spacing w:line="259" w:lineRule="auto"/>
        <w:ind w:left="667" w:right="0" w:hanging="10"/>
        <w:jc w:val="left"/>
      </w:pPr>
      <w:r>
        <w:rPr>
          <w:sz w:val="32"/>
        </w:rPr>
        <w:t>四、相关要求</w:t>
      </w:r>
    </w:p>
    <w:p w14:paraId="22DDD57D" w14:textId="77777777" w:rsidR="00C13386" w:rsidRDefault="00000000">
      <w:pPr>
        <w:numPr>
          <w:ilvl w:val="0"/>
          <w:numId w:val="2"/>
        </w:numPr>
        <w:ind w:right="47" w:firstLine="802"/>
      </w:pPr>
      <w:r>
        <w:t>加强属地监管，及时反馈处理结果。地方市场监管部门要依法依规抓好相关机构后续处理工作，并及时反馈处理情况。</w:t>
      </w:r>
    </w:p>
    <w:p w14:paraId="3353ED69" w14:textId="77777777" w:rsidR="00C13386" w:rsidRDefault="00000000">
      <w:pPr>
        <w:ind w:left="47" w:right="47"/>
      </w:pPr>
      <w:r>
        <w:t>在完成对相关机构的执法调查及处罚后，向社会公示查处结果。</w:t>
      </w:r>
    </w:p>
    <w:p w14:paraId="35C7962F" w14:textId="77777777" w:rsidR="00C13386" w:rsidRDefault="00000000">
      <w:pPr>
        <w:numPr>
          <w:ilvl w:val="0"/>
          <w:numId w:val="2"/>
        </w:numPr>
        <w:ind w:right="47" w:firstLine="802"/>
      </w:pPr>
      <w:r>
        <w:lastRenderedPageBreak/>
        <w:t>认真做好整改，切实落实主体责任。检验检测机构要牢固树立底线意识、风险意识、合</w:t>
      </w:r>
      <w:proofErr w:type="gramStart"/>
      <w:r>
        <w:t>规</w:t>
      </w:r>
      <w:proofErr w:type="gramEnd"/>
      <w:r>
        <w:t>意识，认真落实主体责任，针对检查反馈的问题要逐一落实整改措施，规避、降低运行风险；加强相关法律法规、技术标准等培训学习，依法依规开展检验检测活动，确保检验检测数据、结果可靠、准确。</w:t>
      </w:r>
      <w:r>
        <w:rPr>
          <w:noProof/>
        </w:rPr>
        <w:drawing>
          <wp:inline distT="0" distB="0" distL="0" distR="0" wp14:anchorId="6A73D04B" wp14:editId="780AAC1A">
            <wp:extent cx="3048" cy="3049"/>
            <wp:effectExtent l="0" t="0" r="0" b="0"/>
            <wp:docPr id="10650" name="Picture 10650"/>
            <wp:cNvGraphicFramePr/>
            <a:graphic xmlns:a="http://schemas.openxmlformats.org/drawingml/2006/main">
              <a:graphicData uri="http://schemas.openxmlformats.org/drawingml/2006/picture">
                <pic:pic xmlns:pic="http://schemas.openxmlformats.org/drawingml/2006/picture">
                  <pic:nvPicPr>
                    <pic:cNvPr id="10650" name="Picture 10650"/>
                    <pic:cNvPicPr/>
                  </pic:nvPicPr>
                  <pic:blipFill>
                    <a:blip r:embed="rId7"/>
                    <a:stretch>
                      <a:fillRect/>
                    </a:stretch>
                  </pic:blipFill>
                  <pic:spPr>
                    <a:xfrm>
                      <a:off x="0" y="0"/>
                      <a:ext cx="3048" cy="3049"/>
                    </a:xfrm>
                    <a:prstGeom prst="rect">
                      <a:avLst/>
                    </a:prstGeom>
                  </pic:spPr>
                </pic:pic>
              </a:graphicData>
            </a:graphic>
          </wp:inline>
        </w:drawing>
      </w:r>
    </w:p>
    <w:p w14:paraId="44D95607" w14:textId="77777777" w:rsidR="00C13386" w:rsidRDefault="00000000">
      <w:pPr>
        <w:spacing w:after="0" w:line="259" w:lineRule="auto"/>
        <w:ind w:left="355" w:right="0"/>
        <w:jc w:val="left"/>
      </w:pPr>
      <w:r>
        <w:rPr>
          <w:noProof/>
        </w:rPr>
        <w:drawing>
          <wp:inline distT="0" distB="0" distL="0" distR="0" wp14:anchorId="4C796000" wp14:editId="6764B1E5">
            <wp:extent cx="201168" cy="12195"/>
            <wp:effectExtent l="0" t="0" r="0" b="0"/>
            <wp:docPr id="24550" name="Picture 24550"/>
            <wp:cNvGraphicFramePr/>
            <a:graphic xmlns:a="http://schemas.openxmlformats.org/drawingml/2006/main">
              <a:graphicData uri="http://schemas.openxmlformats.org/drawingml/2006/picture">
                <pic:pic xmlns:pic="http://schemas.openxmlformats.org/drawingml/2006/picture">
                  <pic:nvPicPr>
                    <pic:cNvPr id="24550" name="Picture 24550"/>
                    <pic:cNvPicPr/>
                  </pic:nvPicPr>
                  <pic:blipFill>
                    <a:blip r:embed="rId19"/>
                    <a:stretch>
                      <a:fillRect/>
                    </a:stretch>
                  </pic:blipFill>
                  <pic:spPr>
                    <a:xfrm>
                      <a:off x="0" y="0"/>
                      <a:ext cx="201168" cy="12195"/>
                    </a:xfrm>
                    <a:prstGeom prst="rect">
                      <a:avLst/>
                    </a:prstGeom>
                  </pic:spPr>
                </pic:pic>
              </a:graphicData>
            </a:graphic>
          </wp:inline>
        </w:drawing>
      </w:r>
      <w:r>
        <w:rPr>
          <w:sz w:val="24"/>
        </w:rPr>
        <w:t xml:space="preserve">4 </w:t>
      </w:r>
      <w:r>
        <w:rPr>
          <w:noProof/>
        </w:rPr>
        <w:drawing>
          <wp:inline distT="0" distB="0" distL="0" distR="0" wp14:anchorId="1D098C7D" wp14:editId="125F5946">
            <wp:extent cx="185928" cy="15243"/>
            <wp:effectExtent l="0" t="0" r="0" b="0"/>
            <wp:docPr id="10651" name="Picture 10651"/>
            <wp:cNvGraphicFramePr/>
            <a:graphic xmlns:a="http://schemas.openxmlformats.org/drawingml/2006/main">
              <a:graphicData uri="http://schemas.openxmlformats.org/drawingml/2006/picture">
                <pic:pic xmlns:pic="http://schemas.openxmlformats.org/drawingml/2006/picture">
                  <pic:nvPicPr>
                    <pic:cNvPr id="10651" name="Picture 10651"/>
                    <pic:cNvPicPr/>
                  </pic:nvPicPr>
                  <pic:blipFill>
                    <a:blip r:embed="rId20"/>
                    <a:stretch>
                      <a:fillRect/>
                    </a:stretch>
                  </pic:blipFill>
                  <pic:spPr>
                    <a:xfrm>
                      <a:off x="0" y="0"/>
                      <a:ext cx="185928" cy="15243"/>
                    </a:xfrm>
                    <a:prstGeom prst="rect">
                      <a:avLst/>
                    </a:prstGeom>
                  </pic:spPr>
                </pic:pic>
              </a:graphicData>
            </a:graphic>
          </wp:inline>
        </w:drawing>
      </w:r>
    </w:p>
    <w:p w14:paraId="60C612EC" w14:textId="77777777" w:rsidR="00C13386" w:rsidRDefault="00000000">
      <w:pPr>
        <w:numPr>
          <w:ilvl w:val="0"/>
          <w:numId w:val="2"/>
        </w:numPr>
        <w:spacing w:after="775"/>
        <w:ind w:right="47" w:firstLine="802"/>
      </w:pPr>
      <w:r>
        <w:t>强化联合监管，推进检查结果互认。市场监管总局将</w:t>
      </w:r>
      <w:r>
        <w:rPr>
          <w:noProof/>
        </w:rPr>
        <w:drawing>
          <wp:inline distT="0" distB="0" distL="0" distR="0" wp14:anchorId="6EF09F4E" wp14:editId="201C5B1D">
            <wp:extent cx="3048" cy="3049"/>
            <wp:effectExtent l="0" t="0" r="0" b="0"/>
            <wp:docPr id="13848" name="Picture 13848"/>
            <wp:cNvGraphicFramePr/>
            <a:graphic xmlns:a="http://schemas.openxmlformats.org/drawingml/2006/main">
              <a:graphicData uri="http://schemas.openxmlformats.org/drawingml/2006/picture">
                <pic:pic xmlns:pic="http://schemas.openxmlformats.org/drawingml/2006/picture">
                  <pic:nvPicPr>
                    <pic:cNvPr id="13848" name="Picture 13848"/>
                    <pic:cNvPicPr/>
                  </pic:nvPicPr>
                  <pic:blipFill>
                    <a:blip r:embed="rId21"/>
                    <a:stretch>
                      <a:fillRect/>
                    </a:stretch>
                  </pic:blipFill>
                  <pic:spPr>
                    <a:xfrm>
                      <a:off x="0" y="0"/>
                      <a:ext cx="3048" cy="3049"/>
                    </a:xfrm>
                    <a:prstGeom prst="rect">
                      <a:avLst/>
                    </a:prstGeom>
                  </pic:spPr>
                </pic:pic>
              </a:graphicData>
            </a:graphic>
          </wp:inline>
        </w:drawing>
      </w:r>
      <w:r>
        <w:t>联合相关部门，加强信息沟通协调，推动失信联合惩戒，按照相关规定通过国家企业信用信息公示系统等渠道公开查处结果，促进“双随机、</w:t>
      </w:r>
      <w:proofErr w:type="gramStart"/>
      <w:r>
        <w:t>一</w:t>
      </w:r>
      <w:proofErr w:type="gramEnd"/>
      <w:r>
        <w:t>公开"监管与信用监管有效衔接，形成有力威慑，增强机构守法自觉性。</w:t>
      </w:r>
    </w:p>
    <w:p w14:paraId="29D0D368" w14:textId="77777777" w:rsidR="00C13386" w:rsidRDefault="00000000">
      <w:pPr>
        <w:ind w:left="763" w:right="47"/>
      </w:pPr>
      <w:r>
        <w:t xml:space="preserve">附件： </w:t>
      </w:r>
      <w:r>
        <w:rPr>
          <w:u w:val="single" w:color="000000"/>
        </w:rPr>
        <w:t>责令改</w:t>
      </w:r>
      <w:r>
        <w:t>正的检验检测机构名单</w:t>
      </w:r>
    </w:p>
    <w:p w14:paraId="6BA64DBF" w14:textId="68B8B825" w:rsidR="00CF1135" w:rsidRDefault="00CF1135" w:rsidP="00CF1135">
      <w:pPr>
        <w:pStyle w:val="a3"/>
        <w:ind w:firstLine="480"/>
        <w:jc w:val="center"/>
        <w:rPr>
          <w:sz w:val="27"/>
          <w:szCs w:val="27"/>
        </w:rPr>
      </w:pPr>
      <w:r>
        <w:rPr>
          <w:rFonts w:ascii="微软雅黑" w:eastAsia="微软雅黑" w:hAnsi="微软雅黑" w:hint="eastAsia"/>
          <w:sz w:val="27"/>
          <w:szCs w:val="27"/>
        </w:rPr>
        <w:t>市场监管总局</w:t>
      </w:r>
      <w:r>
        <w:rPr>
          <w:rFonts w:hint="eastAsia"/>
          <w:sz w:val="27"/>
          <w:szCs w:val="27"/>
        </w:rPr>
        <w:t xml:space="preserve">     </w:t>
      </w:r>
      <w:r>
        <w:rPr>
          <w:rFonts w:ascii="微软雅黑" w:eastAsia="微软雅黑" w:hAnsi="微软雅黑" w:hint="eastAsia"/>
          <w:sz w:val="27"/>
          <w:szCs w:val="27"/>
        </w:rPr>
        <w:t>公安部</w:t>
      </w:r>
    </w:p>
    <w:p w14:paraId="622B99EF" w14:textId="1FD6425F" w:rsidR="00CF1135" w:rsidRDefault="00CF1135" w:rsidP="00CF1135">
      <w:pPr>
        <w:pStyle w:val="a3"/>
        <w:ind w:firstLine="480"/>
        <w:jc w:val="center"/>
        <w:rPr>
          <w:sz w:val="27"/>
          <w:szCs w:val="27"/>
        </w:rPr>
      </w:pPr>
      <w:r>
        <w:rPr>
          <w:rFonts w:ascii="微软雅黑" w:eastAsia="微软雅黑" w:hAnsi="微软雅黑" w:hint="eastAsia"/>
          <w:sz w:val="27"/>
          <w:szCs w:val="27"/>
        </w:rPr>
        <w:t>自然资源部</w:t>
      </w:r>
      <w:r>
        <w:rPr>
          <w:rFonts w:hint="eastAsia"/>
          <w:sz w:val="27"/>
          <w:szCs w:val="27"/>
        </w:rPr>
        <w:t xml:space="preserve">      </w:t>
      </w:r>
      <w:r>
        <w:rPr>
          <w:rFonts w:ascii="微软雅黑" w:eastAsia="微软雅黑" w:hAnsi="微软雅黑" w:hint="eastAsia"/>
          <w:sz w:val="27"/>
          <w:szCs w:val="27"/>
        </w:rPr>
        <w:t>生态环境部</w:t>
      </w:r>
    </w:p>
    <w:p w14:paraId="230BEE3B" w14:textId="430B468C" w:rsidR="00CF1135" w:rsidRDefault="00CF1135" w:rsidP="00CF1135">
      <w:pPr>
        <w:pStyle w:val="a3"/>
        <w:ind w:firstLine="480"/>
        <w:jc w:val="center"/>
        <w:rPr>
          <w:sz w:val="27"/>
          <w:szCs w:val="27"/>
        </w:rPr>
      </w:pPr>
      <w:r>
        <w:rPr>
          <w:rFonts w:ascii="微软雅黑" w:eastAsia="微软雅黑" w:hAnsi="微软雅黑" w:hint="eastAsia"/>
          <w:sz w:val="27"/>
          <w:szCs w:val="27"/>
        </w:rPr>
        <w:t>交通运输部</w:t>
      </w:r>
      <w:r>
        <w:rPr>
          <w:rFonts w:ascii="微软雅黑" w:eastAsia="微软雅黑" w:hAnsi="微软雅黑" w:hint="eastAsia"/>
          <w:sz w:val="27"/>
          <w:szCs w:val="27"/>
        </w:rPr>
        <w:t xml:space="preserve">   </w:t>
      </w:r>
      <w:r>
        <w:rPr>
          <w:rFonts w:ascii="微软雅黑" w:eastAsia="微软雅黑" w:hAnsi="微软雅黑" w:hint="eastAsia"/>
          <w:sz w:val="27"/>
          <w:szCs w:val="27"/>
        </w:rPr>
        <w:t>水利部</w:t>
      </w:r>
    </w:p>
    <w:p w14:paraId="0AF44C6A" w14:textId="70F44737" w:rsidR="00CF1135" w:rsidRDefault="00CF1135" w:rsidP="00CF1135">
      <w:pPr>
        <w:pStyle w:val="a3"/>
        <w:ind w:firstLine="480"/>
        <w:jc w:val="center"/>
        <w:rPr>
          <w:sz w:val="27"/>
          <w:szCs w:val="27"/>
        </w:rPr>
      </w:pPr>
      <w:r>
        <w:rPr>
          <w:rFonts w:ascii="微软雅黑" w:eastAsia="微软雅黑" w:hAnsi="微软雅黑" w:hint="eastAsia"/>
          <w:sz w:val="27"/>
          <w:szCs w:val="27"/>
        </w:rPr>
        <w:t>海关总署</w:t>
      </w:r>
      <w:r>
        <w:rPr>
          <w:rFonts w:hint="eastAsia"/>
          <w:sz w:val="27"/>
          <w:szCs w:val="27"/>
        </w:rPr>
        <w:t xml:space="preserve">   </w:t>
      </w:r>
      <w:r>
        <w:rPr>
          <w:rFonts w:ascii="微软雅黑" w:eastAsia="微软雅黑" w:hAnsi="微软雅黑" w:hint="eastAsia"/>
          <w:sz w:val="27"/>
          <w:szCs w:val="27"/>
        </w:rPr>
        <w:t>国家药监局</w:t>
      </w:r>
    </w:p>
    <w:p w14:paraId="5924295E" w14:textId="77777777" w:rsidR="00CF1135" w:rsidRDefault="00CF1135" w:rsidP="00CF1135">
      <w:pPr>
        <w:pStyle w:val="a3"/>
        <w:ind w:firstLine="480"/>
        <w:jc w:val="center"/>
        <w:rPr>
          <w:sz w:val="27"/>
          <w:szCs w:val="27"/>
        </w:rPr>
      </w:pPr>
      <w:r>
        <w:rPr>
          <w:rFonts w:ascii="微软雅黑" w:eastAsia="微软雅黑" w:hAnsi="微软雅黑" w:hint="eastAsia"/>
          <w:sz w:val="27"/>
          <w:szCs w:val="27"/>
        </w:rPr>
        <w:t>2024年7月2日</w:t>
      </w:r>
    </w:p>
    <w:p w14:paraId="4B4B174B" w14:textId="1C637D50" w:rsidR="00C13386" w:rsidRPr="00CF1135" w:rsidRDefault="00C13386">
      <w:pPr>
        <w:spacing w:after="403" w:line="259" w:lineRule="auto"/>
        <w:ind w:left="883" w:right="0"/>
        <w:jc w:val="left"/>
      </w:pPr>
    </w:p>
    <w:p w14:paraId="3F976BBB" w14:textId="094DDCCA" w:rsidR="00C13386" w:rsidRDefault="00000000" w:rsidP="00CF1135">
      <w:pPr>
        <w:spacing w:after="0" w:line="259" w:lineRule="auto"/>
        <w:ind w:left="7805" w:right="0"/>
        <w:jc w:val="left"/>
        <w:rPr>
          <w:rFonts w:hint="eastAsia"/>
        </w:rPr>
        <w:sectPr w:rsidR="00C13386">
          <w:footerReference w:type="even" r:id="rId22"/>
          <w:footerReference w:type="default" r:id="rId23"/>
          <w:footerReference w:type="first" r:id="rId24"/>
          <w:type w:val="continuous"/>
          <w:pgSz w:w="11904" w:h="16834"/>
          <w:pgMar w:top="2156" w:right="1310" w:bottom="1263" w:left="1502" w:header="720" w:footer="720" w:gutter="0"/>
          <w:cols w:space="720"/>
        </w:sectPr>
      </w:pPr>
      <w:r>
        <w:rPr>
          <w:noProof/>
        </w:rPr>
        <w:drawing>
          <wp:inline distT="0" distB="0" distL="0" distR="0" wp14:anchorId="1ED59516" wp14:editId="02C53647">
            <wp:extent cx="627886" cy="18293"/>
            <wp:effectExtent l="0" t="0" r="0" b="0"/>
            <wp:docPr id="24554" name="Picture 24554"/>
            <wp:cNvGraphicFramePr/>
            <a:graphic xmlns:a="http://schemas.openxmlformats.org/drawingml/2006/main">
              <a:graphicData uri="http://schemas.openxmlformats.org/drawingml/2006/picture">
                <pic:pic xmlns:pic="http://schemas.openxmlformats.org/drawingml/2006/picture">
                  <pic:nvPicPr>
                    <pic:cNvPr id="24554" name="Picture 24554"/>
                    <pic:cNvPicPr/>
                  </pic:nvPicPr>
                  <pic:blipFill>
                    <a:blip r:embed="rId25"/>
                    <a:stretch>
                      <a:fillRect/>
                    </a:stretch>
                  </pic:blipFill>
                  <pic:spPr>
                    <a:xfrm>
                      <a:off x="0" y="0"/>
                      <a:ext cx="627886" cy="18293"/>
                    </a:xfrm>
                    <a:prstGeom prst="rect">
                      <a:avLst/>
                    </a:prstGeom>
                  </pic:spPr>
                </pic:pic>
              </a:graphicData>
            </a:graphic>
          </wp:inline>
        </w:drawing>
      </w:r>
    </w:p>
    <w:p w14:paraId="35B68C75" w14:textId="77777777" w:rsidR="00CF1135" w:rsidRPr="00CF1135" w:rsidRDefault="00CF1135" w:rsidP="00CF1135">
      <w:pPr>
        <w:ind w:left="0"/>
        <w:rPr>
          <w:rFonts w:hint="eastAsia"/>
        </w:rPr>
      </w:pPr>
    </w:p>
    <w:p w14:paraId="5926B844" w14:textId="77777777" w:rsidR="00CF1135" w:rsidRPr="00CF1135" w:rsidRDefault="00CF1135" w:rsidP="00CF1135">
      <w:pPr>
        <w:rPr>
          <w:rFonts w:hint="eastAsia"/>
        </w:rPr>
      </w:pPr>
    </w:p>
    <w:p w14:paraId="0127045E" w14:textId="77777777" w:rsidR="00C13386" w:rsidRDefault="00000000">
      <w:pPr>
        <w:ind w:left="47" w:right="47"/>
      </w:pPr>
      <w:r>
        <w:t>附件</w:t>
      </w:r>
      <w:r>
        <w:rPr>
          <w:noProof/>
        </w:rPr>
        <w:drawing>
          <wp:inline distT="0" distB="0" distL="0" distR="0" wp14:anchorId="080BDFF5" wp14:editId="4A9B617E">
            <wp:extent cx="3048" cy="3049"/>
            <wp:effectExtent l="0" t="0" r="0" b="0"/>
            <wp:docPr id="15021" name="Picture 15021"/>
            <wp:cNvGraphicFramePr/>
            <a:graphic xmlns:a="http://schemas.openxmlformats.org/drawingml/2006/main">
              <a:graphicData uri="http://schemas.openxmlformats.org/drawingml/2006/picture">
                <pic:pic xmlns:pic="http://schemas.openxmlformats.org/drawingml/2006/picture">
                  <pic:nvPicPr>
                    <pic:cNvPr id="15021" name="Picture 15021"/>
                    <pic:cNvPicPr/>
                  </pic:nvPicPr>
                  <pic:blipFill>
                    <a:blip r:embed="rId26"/>
                    <a:stretch>
                      <a:fillRect/>
                    </a:stretch>
                  </pic:blipFill>
                  <pic:spPr>
                    <a:xfrm>
                      <a:off x="0" y="0"/>
                      <a:ext cx="3048" cy="3049"/>
                    </a:xfrm>
                    <a:prstGeom prst="rect">
                      <a:avLst/>
                    </a:prstGeom>
                  </pic:spPr>
                </pic:pic>
              </a:graphicData>
            </a:graphic>
          </wp:inline>
        </w:drawing>
      </w:r>
    </w:p>
    <w:p w14:paraId="50DF2F2A" w14:textId="77777777" w:rsidR="00C13386" w:rsidRDefault="00000000">
      <w:pPr>
        <w:pStyle w:val="1"/>
        <w:spacing w:after="0" w:line="259" w:lineRule="auto"/>
        <w:ind w:left="0" w:right="1210" w:firstLine="0"/>
      </w:pPr>
      <w:r>
        <w:t>责令改正的检验检测机构名单</w:t>
      </w:r>
    </w:p>
    <w:tbl>
      <w:tblPr>
        <w:tblStyle w:val="TableGrid"/>
        <w:tblW w:w="9202" w:type="dxa"/>
        <w:tblInd w:w="-125" w:type="dxa"/>
        <w:tblCellMar>
          <w:top w:w="130" w:type="dxa"/>
          <w:left w:w="110" w:type="dxa"/>
          <w:bottom w:w="0" w:type="dxa"/>
          <w:right w:w="106" w:type="dxa"/>
        </w:tblCellMar>
        <w:tblLook w:val="04A0" w:firstRow="1" w:lastRow="0" w:firstColumn="1" w:lastColumn="0" w:noHBand="0" w:noVBand="1"/>
      </w:tblPr>
      <w:tblGrid>
        <w:gridCol w:w="841"/>
        <w:gridCol w:w="2246"/>
        <w:gridCol w:w="2227"/>
        <w:gridCol w:w="3888"/>
      </w:tblGrid>
      <w:tr w:rsidR="00C13386" w14:paraId="138D0036" w14:textId="77777777">
        <w:trPr>
          <w:trHeight w:val="468"/>
        </w:trPr>
        <w:tc>
          <w:tcPr>
            <w:tcW w:w="840" w:type="dxa"/>
            <w:tcBorders>
              <w:top w:val="single" w:sz="2" w:space="0" w:color="000000"/>
              <w:left w:val="single" w:sz="2" w:space="0" w:color="000000"/>
              <w:bottom w:val="single" w:sz="2" w:space="0" w:color="000000"/>
              <w:right w:val="single" w:sz="2" w:space="0" w:color="000000"/>
            </w:tcBorders>
            <w:vAlign w:val="center"/>
          </w:tcPr>
          <w:p w14:paraId="1D212DC3" w14:textId="77777777" w:rsidR="00C13386" w:rsidRDefault="00000000">
            <w:pPr>
              <w:spacing w:after="0" w:line="259" w:lineRule="auto"/>
              <w:ind w:left="72" w:right="0"/>
            </w:pPr>
            <w:r>
              <w:rPr>
                <w:sz w:val="24"/>
              </w:rPr>
              <w:t>领域</w:t>
            </w:r>
          </w:p>
        </w:tc>
        <w:tc>
          <w:tcPr>
            <w:tcW w:w="2246" w:type="dxa"/>
            <w:tcBorders>
              <w:top w:val="single" w:sz="2" w:space="0" w:color="000000"/>
              <w:left w:val="single" w:sz="2" w:space="0" w:color="000000"/>
              <w:bottom w:val="single" w:sz="2" w:space="0" w:color="000000"/>
              <w:right w:val="single" w:sz="2" w:space="0" w:color="000000"/>
            </w:tcBorders>
          </w:tcPr>
          <w:p w14:paraId="1CE54611" w14:textId="77777777" w:rsidR="00C13386" w:rsidRDefault="00C13386">
            <w:pPr>
              <w:spacing w:after="160" w:line="259" w:lineRule="auto"/>
              <w:ind w:left="0" w:right="0"/>
              <w:jc w:val="left"/>
            </w:pPr>
          </w:p>
        </w:tc>
        <w:tc>
          <w:tcPr>
            <w:tcW w:w="2227" w:type="dxa"/>
            <w:tcBorders>
              <w:top w:val="single" w:sz="2" w:space="0" w:color="000000"/>
              <w:left w:val="single" w:sz="2" w:space="0" w:color="000000"/>
              <w:bottom w:val="single" w:sz="2" w:space="0" w:color="000000"/>
              <w:right w:val="single" w:sz="2" w:space="0" w:color="000000"/>
            </w:tcBorders>
          </w:tcPr>
          <w:p w14:paraId="22BDC4CE" w14:textId="77777777" w:rsidR="00C13386" w:rsidRDefault="00000000">
            <w:pPr>
              <w:spacing w:after="0" w:line="259" w:lineRule="auto"/>
              <w:ind w:left="0" w:right="10"/>
              <w:jc w:val="center"/>
            </w:pPr>
            <w:r>
              <w:rPr>
                <w:sz w:val="24"/>
              </w:rPr>
              <w:t>证书名称</w:t>
            </w:r>
          </w:p>
        </w:tc>
        <w:tc>
          <w:tcPr>
            <w:tcW w:w="3888" w:type="dxa"/>
            <w:tcBorders>
              <w:top w:val="single" w:sz="2" w:space="0" w:color="000000"/>
              <w:left w:val="single" w:sz="2" w:space="0" w:color="000000"/>
              <w:bottom w:val="single" w:sz="2" w:space="0" w:color="000000"/>
              <w:right w:val="single" w:sz="2" w:space="0" w:color="000000"/>
            </w:tcBorders>
          </w:tcPr>
          <w:p w14:paraId="6533E960" w14:textId="77777777" w:rsidR="00C13386" w:rsidRDefault="00000000">
            <w:pPr>
              <w:spacing w:after="0" w:line="259" w:lineRule="auto"/>
              <w:ind w:left="0" w:right="10"/>
              <w:jc w:val="center"/>
            </w:pPr>
            <w:r>
              <w:rPr>
                <w:sz w:val="24"/>
              </w:rPr>
              <w:t>存在主要问题</w:t>
            </w:r>
          </w:p>
        </w:tc>
      </w:tr>
      <w:tr w:rsidR="00C13386" w14:paraId="4050ABDF" w14:textId="77777777">
        <w:trPr>
          <w:trHeight w:val="1909"/>
        </w:trPr>
        <w:tc>
          <w:tcPr>
            <w:tcW w:w="840" w:type="dxa"/>
            <w:tcBorders>
              <w:top w:val="single" w:sz="2" w:space="0" w:color="000000"/>
              <w:left w:val="single" w:sz="2" w:space="0" w:color="000000"/>
              <w:bottom w:val="single" w:sz="2" w:space="0" w:color="000000"/>
              <w:right w:val="single" w:sz="2" w:space="0" w:color="000000"/>
            </w:tcBorders>
            <w:vAlign w:val="center"/>
          </w:tcPr>
          <w:p w14:paraId="234DE685" w14:textId="77777777" w:rsidR="00C13386" w:rsidRDefault="00000000">
            <w:pPr>
              <w:spacing w:after="0" w:line="259" w:lineRule="auto"/>
              <w:ind w:left="19" w:right="0"/>
            </w:pPr>
            <w:r>
              <w:rPr>
                <w:sz w:val="22"/>
              </w:rPr>
              <w:t>车检</w:t>
            </w:r>
          </w:p>
        </w:tc>
        <w:tc>
          <w:tcPr>
            <w:tcW w:w="2246" w:type="dxa"/>
            <w:tcBorders>
              <w:top w:val="single" w:sz="2" w:space="0" w:color="000000"/>
              <w:left w:val="single" w:sz="2" w:space="0" w:color="000000"/>
              <w:bottom w:val="single" w:sz="2" w:space="0" w:color="000000"/>
              <w:right w:val="single" w:sz="2" w:space="0" w:color="000000"/>
            </w:tcBorders>
            <w:vAlign w:val="center"/>
          </w:tcPr>
          <w:p w14:paraId="7E913A0E" w14:textId="77777777" w:rsidR="00C13386" w:rsidRDefault="00000000">
            <w:pPr>
              <w:spacing w:after="0" w:line="259" w:lineRule="auto"/>
              <w:ind w:left="34" w:right="0" w:hanging="24"/>
            </w:pPr>
            <w:r>
              <w:rPr>
                <w:sz w:val="22"/>
              </w:rPr>
              <w:t>长沙汽车电器检测中心有限责任公司</w:t>
            </w:r>
          </w:p>
        </w:tc>
        <w:tc>
          <w:tcPr>
            <w:tcW w:w="2227" w:type="dxa"/>
            <w:tcBorders>
              <w:top w:val="single" w:sz="2" w:space="0" w:color="000000"/>
              <w:left w:val="single" w:sz="2" w:space="0" w:color="000000"/>
              <w:bottom w:val="single" w:sz="2" w:space="0" w:color="000000"/>
              <w:right w:val="single" w:sz="2" w:space="0" w:color="000000"/>
            </w:tcBorders>
            <w:vAlign w:val="center"/>
          </w:tcPr>
          <w:p w14:paraId="246D1EB4" w14:textId="77777777" w:rsidR="00C13386" w:rsidRDefault="00000000">
            <w:pPr>
              <w:spacing w:after="0" w:line="259" w:lineRule="auto"/>
              <w:ind w:left="34" w:right="0" w:hanging="24"/>
              <w:jc w:val="left"/>
            </w:pPr>
            <w:r>
              <w:rPr>
                <w:sz w:val="22"/>
              </w:rPr>
              <w:t>长沙汽车电器检测中心有限责任公司</w:t>
            </w:r>
          </w:p>
        </w:tc>
        <w:tc>
          <w:tcPr>
            <w:tcW w:w="3888" w:type="dxa"/>
            <w:tcBorders>
              <w:top w:val="single" w:sz="2" w:space="0" w:color="000000"/>
              <w:left w:val="single" w:sz="2" w:space="0" w:color="000000"/>
              <w:bottom w:val="single" w:sz="2" w:space="0" w:color="000000"/>
              <w:right w:val="single" w:sz="2" w:space="0" w:color="000000"/>
            </w:tcBorders>
          </w:tcPr>
          <w:p w14:paraId="093F9D5C" w14:textId="77777777" w:rsidR="00C13386" w:rsidRDefault="00000000">
            <w:pPr>
              <w:spacing w:after="44" w:line="216" w:lineRule="auto"/>
              <w:ind w:left="0" w:right="0" w:firstLine="115"/>
            </w:pPr>
            <w:r>
              <w:rPr>
                <w:sz w:val="24"/>
              </w:rPr>
              <w:t>o）超出资质认定证书规定的检验检测能力范围出具检验检测数据、结果。</w:t>
            </w:r>
          </w:p>
          <w:p w14:paraId="68848E36" w14:textId="77777777" w:rsidR="00C13386" w:rsidRDefault="00000000">
            <w:pPr>
              <w:spacing w:after="0" w:line="259" w:lineRule="auto"/>
              <w:ind w:left="5" w:right="0" w:firstLine="110"/>
            </w:pPr>
            <w:r>
              <w:rPr>
                <w:sz w:val="22"/>
              </w:rPr>
              <w:t>（2）未事先取得委托人对分包检验检测项目的同意。</w:t>
            </w:r>
          </w:p>
        </w:tc>
      </w:tr>
    </w:tbl>
    <w:p w14:paraId="71DE6652" w14:textId="77777777" w:rsidR="00C13386" w:rsidRDefault="00000000">
      <w:pPr>
        <w:spacing w:after="0" w:line="259" w:lineRule="auto"/>
        <w:ind w:left="7690" w:right="-134"/>
        <w:jc w:val="left"/>
      </w:pPr>
      <w:r>
        <w:rPr>
          <w:noProof/>
        </w:rPr>
        <w:drawing>
          <wp:inline distT="0" distB="0" distL="0" distR="0" wp14:anchorId="45F7EE0C" wp14:editId="537422F1">
            <wp:extent cx="630937" cy="15245"/>
            <wp:effectExtent l="0" t="0" r="0" b="0"/>
            <wp:docPr id="24556" name="Picture 24556"/>
            <wp:cNvGraphicFramePr/>
            <a:graphic xmlns:a="http://schemas.openxmlformats.org/drawingml/2006/main">
              <a:graphicData uri="http://schemas.openxmlformats.org/drawingml/2006/picture">
                <pic:pic xmlns:pic="http://schemas.openxmlformats.org/drawingml/2006/picture">
                  <pic:nvPicPr>
                    <pic:cNvPr id="24556" name="Picture 24556"/>
                    <pic:cNvPicPr/>
                  </pic:nvPicPr>
                  <pic:blipFill>
                    <a:blip r:embed="rId27"/>
                    <a:stretch>
                      <a:fillRect/>
                    </a:stretch>
                  </pic:blipFill>
                  <pic:spPr>
                    <a:xfrm>
                      <a:off x="0" y="0"/>
                      <a:ext cx="630937" cy="15245"/>
                    </a:xfrm>
                    <a:prstGeom prst="rect">
                      <a:avLst/>
                    </a:prstGeom>
                  </pic:spPr>
                </pic:pic>
              </a:graphicData>
            </a:graphic>
          </wp:inline>
        </w:drawing>
      </w:r>
    </w:p>
    <w:p w14:paraId="3F0EB57F" w14:textId="7321EAE5" w:rsidR="00C13386" w:rsidRDefault="00C13386">
      <w:pPr>
        <w:spacing w:after="182" w:line="259" w:lineRule="auto"/>
        <w:ind w:left="-254" w:right="-403"/>
        <w:jc w:val="left"/>
      </w:pPr>
    </w:p>
    <w:p w14:paraId="3255969D" w14:textId="77777777" w:rsidR="00C13386" w:rsidRDefault="00000000">
      <w:pPr>
        <w:spacing w:after="3" w:line="259" w:lineRule="auto"/>
        <w:ind w:left="153" w:right="0" w:hanging="10"/>
        <w:jc w:val="left"/>
      </w:pPr>
      <w:r>
        <w:rPr>
          <w:noProof/>
        </w:rPr>
        <w:drawing>
          <wp:inline distT="0" distB="0" distL="0" distR="0" wp14:anchorId="762D09DF" wp14:editId="38E0A700">
            <wp:extent cx="213360" cy="67075"/>
            <wp:effectExtent l="0" t="0" r="0" b="0"/>
            <wp:docPr id="24560" name="Picture 24560"/>
            <wp:cNvGraphicFramePr/>
            <a:graphic xmlns:a="http://schemas.openxmlformats.org/drawingml/2006/main">
              <a:graphicData uri="http://schemas.openxmlformats.org/drawingml/2006/picture">
                <pic:pic xmlns:pic="http://schemas.openxmlformats.org/drawingml/2006/picture">
                  <pic:nvPicPr>
                    <pic:cNvPr id="24560" name="Picture 24560"/>
                    <pic:cNvPicPr/>
                  </pic:nvPicPr>
                  <pic:blipFill>
                    <a:blip r:embed="rId28"/>
                    <a:stretch>
                      <a:fillRect/>
                    </a:stretch>
                  </pic:blipFill>
                  <pic:spPr>
                    <a:xfrm>
                      <a:off x="0" y="0"/>
                      <a:ext cx="213360" cy="67075"/>
                    </a:xfrm>
                    <a:prstGeom prst="rect">
                      <a:avLst/>
                    </a:prstGeom>
                  </pic:spPr>
                </pic:pic>
              </a:graphicData>
            </a:graphic>
          </wp:inline>
        </w:drawing>
      </w:r>
      <w:r>
        <w:rPr>
          <w:sz w:val="26"/>
        </w:rPr>
        <w:t>8</w:t>
      </w:r>
      <w:r>
        <w:rPr>
          <w:noProof/>
        </w:rPr>
        <w:drawing>
          <wp:inline distT="0" distB="0" distL="0" distR="0" wp14:anchorId="1D736F90" wp14:editId="708BA281">
            <wp:extent cx="198120" cy="12195"/>
            <wp:effectExtent l="0" t="0" r="0" b="0"/>
            <wp:docPr id="24562" name="Picture 24562"/>
            <wp:cNvGraphicFramePr/>
            <a:graphic xmlns:a="http://schemas.openxmlformats.org/drawingml/2006/main">
              <a:graphicData uri="http://schemas.openxmlformats.org/drawingml/2006/picture">
                <pic:pic xmlns:pic="http://schemas.openxmlformats.org/drawingml/2006/picture">
                  <pic:nvPicPr>
                    <pic:cNvPr id="24562" name="Picture 24562"/>
                    <pic:cNvPicPr/>
                  </pic:nvPicPr>
                  <pic:blipFill>
                    <a:blip r:embed="rId29"/>
                    <a:stretch>
                      <a:fillRect/>
                    </a:stretch>
                  </pic:blipFill>
                  <pic:spPr>
                    <a:xfrm>
                      <a:off x="0" y="0"/>
                      <a:ext cx="198120" cy="12195"/>
                    </a:xfrm>
                    <a:prstGeom prst="rect">
                      <a:avLst/>
                    </a:prstGeom>
                  </pic:spPr>
                </pic:pic>
              </a:graphicData>
            </a:graphic>
          </wp:inline>
        </w:drawing>
      </w:r>
    </w:p>
    <w:sectPr w:rsidR="00C13386">
      <w:footerReference w:type="even" r:id="rId30"/>
      <w:footerReference w:type="default" r:id="rId31"/>
      <w:footerReference w:type="first" r:id="rId32"/>
      <w:pgSz w:w="11904" w:h="16834"/>
      <w:pgMar w:top="2168" w:right="1747" w:bottom="1277" w:left="16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966DF" w14:textId="77777777" w:rsidR="00236792" w:rsidRDefault="00236792">
      <w:pPr>
        <w:spacing w:after="0" w:line="240" w:lineRule="auto"/>
      </w:pPr>
      <w:r>
        <w:separator/>
      </w:r>
    </w:p>
  </w:endnote>
  <w:endnote w:type="continuationSeparator" w:id="0">
    <w:p w14:paraId="7854141D" w14:textId="77777777" w:rsidR="00236792" w:rsidRDefault="0023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05566" w14:textId="77777777" w:rsidR="00C13386" w:rsidRDefault="00C13386">
    <w:pPr>
      <w:spacing w:after="160" w:line="259" w:lineRule="auto"/>
      <w:ind w:left="0" w:righ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34B32" w14:textId="77777777" w:rsidR="00C13386" w:rsidRDefault="00000000">
    <w:pPr>
      <w:spacing w:after="0" w:line="259" w:lineRule="auto"/>
      <w:ind w:left="0" w:right="701"/>
      <w:jc w:val="right"/>
    </w:pPr>
    <w:r>
      <w:fldChar w:fldCharType="begin"/>
    </w:r>
    <w:r>
      <w:instrText xml:space="preserve"> PAGE   \* MERGEFORMAT </w:instrText>
    </w:r>
    <w:r>
      <w:fldChar w:fldCharType="separate"/>
    </w:r>
    <w:r>
      <w:rPr>
        <w:sz w:val="38"/>
      </w:rPr>
      <w:t>1</w:t>
    </w:r>
    <w:r>
      <w:rPr>
        <w:sz w:val="3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93B97" w14:textId="77777777" w:rsidR="00C13386" w:rsidRDefault="00000000">
    <w:pPr>
      <w:spacing w:after="0" w:line="259" w:lineRule="auto"/>
      <w:ind w:left="0" w:right="701"/>
      <w:jc w:val="right"/>
    </w:pPr>
    <w:r>
      <w:fldChar w:fldCharType="begin"/>
    </w:r>
    <w:r>
      <w:instrText xml:space="preserve"> PAGE   \* MERGEFORMAT </w:instrText>
    </w:r>
    <w:r>
      <w:fldChar w:fldCharType="separate"/>
    </w:r>
    <w:r>
      <w:rPr>
        <w:sz w:val="38"/>
      </w:rPr>
      <w:t>1</w:t>
    </w:r>
    <w:r>
      <w:rPr>
        <w:sz w:val="3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89175" w14:textId="77777777" w:rsidR="00C13386" w:rsidRDefault="00C13386">
    <w:pPr>
      <w:spacing w:after="160" w:line="259" w:lineRule="auto"/>
      <w:ind w:left="0" w:right="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71674" w14:textId="77777777" w:rsidR="00C13386" w:rsidRDefault="00000000">
    <w:pPr>
      <w:spacing w:after="0" w:line="259" w:lineRule="auto"/>
      <w:ind w:left="0" w:right="394"/>
      <w:jc w:val="right"/>
    </w:pPr>
    <w:r>
      <w:fldChar w:fldCharType="begin"/>
    </w:r>
    <w:r>
      <w:instrText xml:space="preserve"> PAGE   \* MERGEFORMAT </w:instrText>
    </w:r>
    <w:r>
      <w:fldChar w:fldCharType="separate"/>
    </w:r>
    <w:r>
      <w:rPr>
        <w:sz w:val="38"/>
      </w:rPr>
      <w:t>1</w:t>
    </w:r>
    <w:r>
      <w:rPr>
        <w:sz w:val="3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1E187" w14:textId="77777777" w:rsidR="00C13386" w:rsidRDefault="00000000">
    <w:pPr>
      <w:spacing w:after="0" w:line="259" w:lineRule="auto"/>
      <w:ind w:left="0" w:right="394"/>
      <w:jc w:val="right"/>
    </w:pPr>
    <w:r>
      <w:fldChar w:fldCharType="begin"/>
    </w:r>
    <w:r>
      <w:instrText xml:space="preserve"> PAGE   \* MERGEFORMAT </w:instrText>
    </w:r>
    <w:r>
      <w:fldChar w:fldCharType="separate"/>
    </w:r>
    <w:r>
      <w:rPr>
        <w:sz w:val="38"/>
      </w:rPr>
      <w:t>1</w:t>
    </w:r>
    <w:r>
      <w:rPr>
        <w:sz w:val="3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AAFC1" w14:textId="77777777" w:rsidR="00236792" w:rsidRDefault="00236792">
      <w:pPr>
        <w:spacing w:after="0" w:line="240" w:lineRule="auto"/>
      </w:pPr>
      <w:r>
        <w:separator/>
      </w:r>
    </w:p>
  </w:footnote>
  <w:footnote w:type="continuationSeparator" w:id="0">
    <w:p w14:paraId="5671E415" w14:textId="77777777" w:rsidR="00236792" w:rsidRDefault="002367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1ADB"/>
    <w:multiLevelType w:val="hybridMultilevel"/>
    <w:tmpl w:val="123CE11E"/>
    <w:lvl w:ilvl="0" w:tplc="CB5403CA">
      <w:start w:val="1"/>
      <w:numFmt w:val="ideographDigital"/>
      <w:lvlText w:val="（%1）"/>
      <w:lvlJc w:val="left"/>
      <w:pPr>
        <w:ind w:left="1589"/>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1" w:tplc="A5F8BDB4">
      <w:start w:val="1"/>
      <w:numFmt w:val="lowerLetter"/>
      <w:lvlText w:val="%2"/>
      <w:lvlJc w:val="left"/>
      <w:pPr>
        <w:ind w:left="1885"/>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2" w:tplc="583097A0">
      <w:start w:val="1"/>
      <w:numFmt w:val="lowerRoman"/>
      <w:lvlText w:val="%3"/>
      <w:lvlJc w:val="left"/>
      <w:pPr>
        <w:ind w:left="2605"/>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3" w:tplc="7B0C1558">
      <w:start w:val="1"/>
      <w:numFmt w:val="decimal"/>
      <w:lvlText w:val="%4"/>
      <w:lvlJc w:val="left"/>
      <w:pPr>
        <w:ind w:left="3325"/>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4" w:tplc="293428BA">
      <w:start w:val="1"/>
      <w:numFmt w:val="lowerLetter"/>
      <w:lvlText w:val="%5"/>
      <w:lvlJc w:val="left"/>
      <w:pPr>
        <w:ind w:left="4045"/>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5" w:tplc="AFEEDD0C">
      <w:start w:val="1"/>
      <w:numFmt w:val="lowerRoman"/>
      <w:lvlText w:val="%6"/>
      <w:lvlJc w:val="left"/>
      <w:pPr>
        <w:ind w:left="4765"/>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6" w:tplc="B22A8E38">
      <w:start w:val="1"/>
      <w:numFmt w:val="decimal"/>
      <w:lvlText w:val="%7"/>
      <w:lvlJc w:val="left"/>
      <w:pPr>
        <w:ind w:left="5485"/>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7" w:tplc="79B0E8AA">
      <w:start w:val="1"/>
      <w:numFmt w:val="lowerLetter"/>
      <w:lvlText w:val="%8"/>
      <w:lvlJc w:val="left"/>
      <w:pPr>
        <w:ind w:left="6205"/>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lvl w:ilvl="8" w:tplc="3EDE2252">
      <w:start w:val="1"/>
      <w:numFmt w:val="lowerRoman"/>
      <w:lvlText w:val="%9"/>
      <w:lvlJc w:val="left"/>
      <w:pPr>
        <w:ind w:left="6925"/>
      </w:pPr>
      <w:rPr>
        <w:rFonts w:ascii="微软雅黑" w:eastAsia="微软雅黑" w:hAnsi="微软雅黑" w:cs="微软雅黑"/>
        <w:b w:val="0"/>
        <w:i w:val="0"/>
        <w:strike w:val="0"/>
        <w:dstrike w:val="0"/>
        <w:color w:val="000000"/>
        <w:sz w:val="38"/>
        <w:szCs w:val="38"/>
        <w:u w:val="none" w:color="000000"/>
        <w:bdr w:val="none" w:sz="0" w:space="0" w:color="auto"/>
        <w:shd w:val="clear" w:color="auto" w:fill="auto"/>
        <w:vertAlign w:val="baseline"/>
      </w:rPr>
    </w:lvl>
  </w:abstractNum>
  <w:abstractNum w:abstractNumId="1" w15:restartNumberingAfterBreak="0">
    <w:nsid w:val="735D125D"/>
    <w:multiLevelType w:val="hybridMultilevel"/>
    <w:tmpl w:val="512208D8"/>
    <w:lvl w:ilvl="0" w:tplc="98EAE9C8">
      <w:start w:val="1"/>
      <w:numFmt w:val="ideographDigital"/>
      <w:lvlText w:val="（%1）"/>
      <w:lvlJc w:val="left"/>
      <w:pPr>
        <w:ind w:left="47"/>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1" w:tplc="4AD42F24">
      <w:start w:val="1"/>
      <w:numFmt w:val="lowerLetter"/>
      <w:lvlText w:val="%2"/>
      <w:lvlJc w:val="left"/>
      <w:pPr>
        <w:ind w:left="190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F12CC506">
      <w:start w:val="1"/>
      <w:numFmt w:val="lowerRoman"/>
      <w:lvlText w:val="%3"/>
      <w:lvlJc w:val="left"/>
      <w:pPr>
        <w:ind w:left="262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F5C2CEC4">
      <w:start w:val="1"/>
      <w:numFmt w:val="decimal"/>
      <w:lvlText w:val="%4"/>
      <w:lvlJc w:val="left"/>
      <w:pPr>
        <w:ind w:left="334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CFA8DFF2">
      <w:start w:val="1"/>
      <w:numFmt w:val="lowerLetter"/>
      <w:lvlText w:val="%5"/>
      <w:lvlJc w:val="left"/>
      <w:pPr>
        <w:ind w:left="406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CCFC9AC0">
      <w:start w:val="1"/>
      <w:numFmt w:val="lowerRoman"/>
      <w:lvlText w:val="%6"/>
      <w:lvlJc w:val="left"/>
      <w:pPr>
        <w:ind w:left="478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6720AE20">
      <w:start w:val="1"/>
      <w:numFmt w:val="decimal"/>
      <w:lvlText w:val="%7"/>
      <w:lvlJc w:val="left"/>
      <w:pPr>
        <w:ind w:left="550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7C1A88D0">
      <w:start w:val="1"/>
      <w:numFmt w:val="lowerLetter"/>
      <w:lvlText w:val="%8"/>
      <w:lvlJc w:val="left"/>
      <w:pPr>
        <w:ind w:left="622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FAAAD7B0">
      <w:start w:val="1"/>
      <w:numFmt w:val="lowerRoman"/>
      <w:lvlText w:val="%9"/>
      <w:lvlJc w:val="left"/>
      <w:pPr>
        <w:ind w:left="694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num w:numId="1" w16cid:durableId="7996080">
    <w:abstractNumId w:val="0"/>
  </w:num>
  <w:num w:numId="2" w16cid:durableId="1978796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4"/>
  <w:bordersDoNotSurroundHeader/>
  <w:bordersDoNotSurroundFooter/>
  <w:proofState w:spelling="clean" w:grammar="clean"/>
  <w:defaultTabStop w:val="4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86"/>
    <w:rsid w:val="00236792"/>
    <w:rsid w:val="0047445A"/>
    <w:rsid w:val="00C13386"/>
    <w:rsid w:val="00CF1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AAB0"/>
  <w15:docId w15:val="{C24BBF31-7DB6-4251-BEAF-53860AC9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50" w:lineRule="auto"/>
      <w:ind w:left="43" w:right="96"/>
      <w:jc w:val="both"/>
    </w:pPr>
    <w:rPr>
      <w:rFonts w:ascii="微软雅黑" w:eastAsia="微软雅黑" w:hAnsi="微软雅黑" w:cs="微软雅黑"/>
      <w:color w:val="000000"/>
      <w:sz w:val="30"/>
    </w:rPr>
  </w:style>
  <w:style w:type="paragraph" w:styleId="1">
    <w:name w:val="heading 1"/>
    <w:next w:val="a"/>
    <w:link w:val="10"/>
    <w:uiPriority w:val="9"/>
    <w:qFormat/>
    <w:pPr>
      <w:keepNext/>
      <w:keepLines/>
      <w:spacing w:after="407" w:line="216" w:lineRule="auto"/>
      <w:ind w:left="2549" w:hanging="2323"/>
      <w:jc w:val="right"/>
      <w:outlineLvl w:val="0"/>
    </w:pPr>
    <w:rPr>
      <w:rFonts w:ascii="微软雅黑" w:eastAsia="微软雅黑" w:hAnsi="微软雅黑" w:cs="微软雅黑"/>
      <w:color w:val="000000"/>
      <w:sz w:val="4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000000"/>
      <w:sz w:val="46"/>
    </w:rPr>
  </w:style>
  <w:style w:type="table" w:customStyle="1" w:styleId="TableGrid">
    <w:name w:val="TableGrid"/>
    <w:tblPr>
      <w:tblCellMar>
        <w:top w:w="0" w:type="dxa"/>
        <w:left w:w="0" w:type="dxa"/>
        <w:bottom w:w="0" w:type="dxa"/>
        <w:right w:w="0" w:type="dxa"/>
      </w:tblCellMar>
    </w:tblPr>
  </w:style>
  <w:style w:type="paragraph" w:styleId="a3">
    <w:name w:val="Normal (Web)"/>
    <w:basedOn w:val="a"/>
    <w:uiPriority w:val="99"/>
    <w:semiHidden/>
    <w:unhideWhenUsed/>
    <w:rsid w:val="00CF1135"/>
    <w:pPr>
      <w:spacing w:before="100" w:beforeAutospacing="1" w:after="100" w:afterAutospacing="1" w:line="240" w:lineRule="auto"/>
      <w:ind w:left="0" w:right="0"/>
      <w:jc w:val="left"/>
    </w:pPr>
    <w:rPr>
      <w:rFonts w:ascii="宋体" w:eastAsia="宋体" w:hAnsi="宋体" w:cs="宋体"/>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198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17.jpg"/><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6.jp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3.xm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2.xml"/><Relationship Id="rId28" Type="http://schemas.openxmlformats.org/officeDocument/2006/relationships/image" Target="media/image19.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1.xml"/><Relationship Id="rId27" Type="http://schemas.openxmlformats.org/officeDocument/2006/relationships/image" Target="media/image18.jpg"/><Relationship Id="rId30" Type="http://schemas.openxmlformats.org/officeDocument/2006/relationships/footer" Target="footer4.xml"/><Relationship Id="rId8"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瑶瑶 孟</dc:creator>
  <cp:keywords/>
  <cp:lastModifiedBy>瑶瑶 孟</cp:lastModifiedBy>
  <cp:revision>2</cp:revision>
  <dcterms:created xsi:type="dcterms:W3CDTF">2024-07-16T06:05:00Z</dcterms:created>
  <dcterms:modified xsi:type="dcterms:W3CDTF">2024-07-16T06:05:00Z</dcterms:modified>
</cp:coreProperties>
</file>