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4B5EA">
      <w:pPr>
        <w:spacing w:line="560" w:lineRule="exact"/>
        <w:jc w:val="left"/>
        <w:rPr>
          <w:rFonts w:hint="eastAsia" w:ascii="Times New Roman" w:hAnsi="Times New Roman" w:eastAsia="方正楷体_GBK"/>
          <w:sz w:val="32"/>
          <w:szCs w:val="32"/>
        </w:rPr>
      </w:pPr>
      <w:r>
        <w:rPr>
          <w:rFonts w:hint="eastAsia" w:ascii="Times New Roman" w:hAnsi="Times New Roman" w:eastAsia="方正楷体_GBK"/>
          <w:sz w:val="32"/>
          <w:szCs w:val="32"/>
        </w:rPr>
        <w:t>附件</w:t>
      </w:r>
      <w:r>
        <w:rPr>
          <w:rFonts w:ascii="Times New Roman" w:hAnsi="Times New Roman" w:eastAsia="方正楷体_GBK"/>
          <w:sz w:val="32"/>
          <w:szCs w:val="32"/>
        </w:rPr>
        <w:t>1</w:t>
      </w:r>
      <w:r>
        <w:rPr>
          <w:rFonts w:hint="eastAsia" w:ascii="Times New Roman" w:hAnsi="Times New Roman" w:eastAsia="方正楷体_GBK"/>
          <w:sz w:val="32"/>
          <w:szCs w:val="32"/>
        </w:rPr>
        <w:t>：</w:t>
      </w:r>
    </w:p>
    <w:p w14:paraId="6E9BA243">
      <w:pPr>
        <w:overflowPunct w:val="0"/>
        <w:autoSpaceDE w:val="0"/>
        <w:autoSpaceDN w:val="0"/>
        <w:spacing w:line="560" w:lineRule="exact"/>
        <w:jc w:val="center"/>
        <w:rPr>
          <w:rFonts w:eastAsia="方正小标宋_GBK"/>
          <w:sz w:val="44"/>
          <w:szCs w:val="44"/>
        </w:rPr>
      </w:pPr>
      <w:r>
        <w:rPr>
          <w:rFonts w:hint="eastAsia" w:eastAsia="方正小标宋_GBK"/>
          <w:sz w:val="44"/>
          <w:szCs w:val="44"/>
        </w:rPr>
        <w:t>镇江市工信局</w:t>
      </w:r>
      <w:r>
        <w:rPr>
          <w:rFonts w:eastAsia="方正小标宋_GBK"/>
          <w:sz w:val="44"/>
          <w:szCs w:val="44"/>
        </w:rPr>
        <w:t>企业行政合规指导清单</w:t>
      </w:r>
      <w:r>
        <w:rPr>
          <w:rFonts w:hint="eastAsia" w:eastAsia="方正小标宋_GBK"/>
          <w:sz w:val="44"/>
          <w:szCs w:val="44"/>
        </w:rPr>
        <w:t>（征求意见稿）</w:t>
      </w:r>
    </w:p>
    <w:tbl>
      <w:tblPr>
        <w:tblStyle w:val="2"/>
        <w:tblpPr w:leftFromText="180" w:rightFromText="180" w:vertAnchor="page" w:horzAnchor="margin" w:tblpXSpec="center" w:tblpY="3256"/>
        <w:tblW w:w="510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5"/>
        <w:gridCol w:w="1698"/>
        <w:gridCol w:w="1710"/>
        <w:gridCol w:w="4083"/>
        <w:gridCol w:w="1135"/>
        <w:gridCol w:w="3515"/>
        <w:gridCol w:w="1773"/>
      </w:tblGrid>
      <w:tr w14:paraId="082D77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3" w:hRule="atLeast"/>
        </w:trPr>
        <w:tc>
          <w:tcPr>
            <w:tcW w:w="555" w:type="dxa"/>
            <w:noWrap w:val="0"/>
            <w:vAlign w:val="center"/>
          </w:tcPr>
          <w:p w14:paraId="05DA1D39">
            <w:pPr>
              <w:overflowPunct w:val="0"/>
              <w:autoSpaceDE w:val="0"/>
              <w:autoSpaceDN w:val="0"/>
              <w:jc w:val="center"/>
              <w:rPr>
                <w:rFonts w:eastAsia="黑体"/>
                <w:sz w:val="24"/>
              </w:rPr>
            </w:pPr>
            <w:r>
              <w:rPr>
                <w:rFonts w:hAnsi="黑体" w:eastAsia="黑体"/>
                <w:sz w:val="24"/>
              </w:rPr>
              <w:t>序号</w:t>
            </w:r>
          </w:p>
        </w:tc>
        <w:tc>
          <w:tcPr>
            <w:tcW w:w="1698" w:type="dxa"/>
            <w:noWrap w:val="0"/>
            <w:vAlign w:val="center"/>
          </w:tcPr>
          <w:p w14:paraId="2E43F5E8">
            <w:pPr>
              <w:overflowPunct w:val="0"/>
              <w:autoSpaceDE w:val="0"/>
              <w:autoSpaceDN w:val="0"/>
              <w:jc w:val="center"/>
              <w:rPr>
                <w:rFonts w:eastAsia="黑体"/>
                <w:sz w:val="24"/>
              </w:rPr>
            </w:pPr>
            <w:r>
              <w:rPr>
                <w:rFonts w:hAnsi="黑体" w:eastAsia="黑体"/>
                <w:sz w:val="24"/>
              </w:rPr>
              <w:t>合规事项</w:t>
            </w:r>
          </w:p>
        </w:tc>
        <w:tc>
          <w:tcPr>
            <w:tcW w:w="1710" w:type="dxa"/>
            <w:noWrap w:val="0"/>
            <w:vAlign w:val="center"/>
          </w:tcPr>
          <w:p w14:paraId="4823FE8D">
            <w:pPr>
              <w:overflowPunct w:val="0"/>
              <w:autoSpaceDE w:val="0"/>
              <w:autoSpaceDN w:val="0"/>
              <w:jc w:val="center"/>
              <w:rPr>
                <w:rFonts w:eastAsia="黑体"/>
                <w:sz w:val="24"/>
              </w:rPr>
            </w:pPr>
            <w:r>
              <w:rPr>
                <w:rFonts w:hAnsi="黑体" w:eastAsia="黑体"/>
                <w:sz w:val="24"/>
              </w:rPr>
              <w:t>常见违法行为表现</w:t>
            </w:r>
          </w:p>
        </w:tc>
        <w:tc>
          <w:tcPr>
            <w:tcW w:w="4083" w:type="dxa"/>
            <w:noWrap w:val="0"/>
            <w:vAlign w:val="center"/>
          </w:tcPr>
          <w:p w14:paraId="10303129">
            <w:pPr>
              <w:overflowPunct w:val="0"/>
              <w:autoSpaceDE w:val="0"/>
              <w:autoSpaceDN w:val="0"/>
              <w:jc w:val="center"/>
              <w:rPr>
                <w:rFonts w:eastAsia="黑体"/>
                <w:sz w:val="24"/>
              </w:rPr>
            </w:pPr>
            <w:r>
              <w:rPr>
                <w:rFonts w:hAnsi="黑体" w:eastAsia="黑体"/>
                <w:sz w:val="24"/>
              </w:rPr>
              <w:t>法律依据及违法责任</w:t>
            </w:r>
          </w:p>
        </w:tc>
        <w:tc>
          <w:tcPr>
            <w:tcW w:w="1135" w:type="dxa"/>
            <w:noWrap w:val="0"/>
            <w:vAlign w:val="center"/>
          </w:tcPr>
          <w:p w14:paraId="4917BDFB">
            <w:pPr>
              <w:overflowPunct w:val="0"/>
              <w:autoSpaceDE w:val="0"/>
              <w:autoSpaceDN w:val="0"/>
              <w:jc w:val="center"/>
              <w:rPr>
                <w:rFonts w:eastAsia="黑体"/>
                <w:sz w:val="24"/>
              </w:rPr>
            </w:pPr>
            <w:r>
              <w:rPr>
                <w:rFonts w:hAnsi="黑体" w:eastAsia="黑体"/>
                <w:sz w:val="24"/>
              </w:rPr>
              <w:t>发生频率</w:t>
            </w:r>
          </w:p>
        </w:tc>
        <w:tc>
          <w:tcPr>
            <w:tcW w:w="3515" w:type="dxa"/>
            <w:noWrap w:val="0"/>
            <w:vAlign w:val="center"/>
          </w:tcPr>
          <w:p w14:paraId="012F9F7D">
            <w:pPr>
              <w:overflowPunct w:val="0"/>
              <w:autoSpaceDE w:val="0"/>
              <w:autoSpaceDN w:val="0"/>
              <w:jc w:val="center"/>
              <w:rPr>
                <w:rFonts w:eastAsia="黑体"/>
                <w:sz w:val="24"/>
              </w:rPr>
            </w:pPr>
            <w:r>
              <w:rPr>
                <w:rFonts w:hAnsi="黑体" w:eastAsia="黑体"/>
                <w:sz w:val="24"/>
              </w:rPr>
              <w:t>合规建议</w:t>
            </w:r>
          </w:p>
        </w:tc>
        <w:tc>
          <w:tcPr>
            <w:tcW w:w="1773" w:type="dxa"/>
            <w:noWrap w:val="0"/>
            <w:vAlign w:val="center"/>
          </w:tcPr>
          <w:p w14:paraId="5D5F35DE">
            <w:pPr>
              <w:overflowPunct w:val="0"/>
              <w:autoSpaceDE w:val="0"/>
              <w:autoSpaceDN w:val="0"/>
              <w:jc w:val="center"/>
              <w:rPr>
                <w:rFonts w:eastAsia="黑体"/>
                <w:sz w:val="24"/>
              </w:rPr>
            </w:pPr>
            <w:r>
              <w:rPr>
                <w:rFonts w:hAnsi="黑体" w:eastAsia="黑体"/>
                <w:sz w:val="24"/>
              </w:rPr>
              <w:t>指导部门</w:t>
            </w:r>
          </w:p>
          <w:p w14:paraId="224F8D68">
            <w:pPr>
              <w:overflowPunct w:val="0"/>
              <w:autoSpaceDE w:val="0"/>
              <w:autoSpaceDN w:val="0"/>
              <w:jc w:val="center"/>
              <w:rPr>
                <w:rFonts w:eastAsia="黑体"/>
                <w:sz w:val="24"/>
              </w:rPr>
            </w:pPr>
            <w:r>
              <w:rPr>
                <w:rFonts w:hAnsi="黑体" w:eastAsia="黑体"/>
                <w:sz w:val="24"/>
              </w:rPr>
              <w:t>（</w:t>
            </w:r>
            <w:r>
              <w:rPr>
                <w:rFonts w:hint="eastAsia" w:hAnsi="黑体" w:eastAsia="黑体"/>
                <w:sz w:val="24"/>
              </w:rPr>
              <w:t>单位</w:t>
            </w:r>
            <w:r>
              <w:rPr>
                <w:rFonts w:eastAsia="黑体"/>
                <w:sz w:val="24"/>
              </w:rPr>
              <w:t>/</w:t>
            </w:r>
            <w:r>
              <w:rPr>
                <w:rFonts w:hint="eastAsia" w:eastAsia="黑体"/>
                <w:sz w:val="24"/>
              </w:rPr>
              <w:t>处</w:t>
            </w:r>
            <w:r>
              <w:rPr>
                <w:rFonts w:hAnsi="黑体" w:eastAsia="黑体"/>
                <w:sz w:val="24"/>
              </w:rPr>
              <w:t>室）</w:t>
            </w:r>
          </w:p>
        </w:tc>
      </w:tr>
      <w:tr w14:paraId="490A4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15" w:hRule="atLeast"/>
        </w:trPr>
        <w:tc>
          <w:tcPr>
            <w:tcW w:w="555" w:type="dxa"/>
            <w:noWrap w:val="0"/>
            <w:vAlign w:val="center"/>
          </w:tcPr>
          <w:p w14:paraId="40BC1D1C">
            <w:pPr>
              <w:jc w:val="center"/>
              <w:rPr>
                <w:szCs w:val="21"/>
              </w:rPr>
            </w:pPr>
            <w:r>
              <w:rPr>
                <w:szCs w:val="21"/>
              </w:rPr>
              <w:t>1</w:t>
            </w:r>
          </w:p>
        </w:tc>
        <w:tc>
          <w:tcPr>
            <w:tcW w:w="1698" w:type="dxa"/>
            <w:noWrap w:val="0"/>
            <w:vAlign w:val="center"/>
          </w:tcPr>
          <w:p w14:paraId="6A747BCD">
            <w:pPr>
              <w:overflowPunct w:val="0"/>
              <w:autoSpaceDE w:val="0"/>
              <w:autoSpaceDN w:val="0"/>
              <w:rPr>
                <w:rFonts w:hint="eastAsia"/>
                <w:snapToGrid w:val="0"/>
                <w:kern w:val="32"/>
                <w:szCs w:val="21"/>
              </w:rPr>
            </w:pPr>
            <w:r>
              <w:rPr>
                <w:rFonts w:hint="eastAsia"/>
                <w:szCs w:val="21"/>
              </w:rPr>
              <w:t>固定资产投资项目（技改项目）开工建设前获得节能审查意见或报送节能承诺表</w:t>
            </w:r>
          </w:p>
        </w:tc>
        <w:tc>
          <w:tcPr>
            <w:tcW w:w="1710" w:type="dxa"/>
            <w:noWrap w:val="0"/>
            <w:vAlign w:val="center"/>
          </w:tcPr>
          <w:p w14:paraId="1D71F9AA">
            <w:pPr>
              <w:overflowPunct w:val="0"/>
              <w:autoSpaceDE w:val="0"/>
              <w:autoSpaceDN w:val="0"/>
              <w:rPr>
                <w:rFonts w:hint="eastAsia"/>
                <w:snapToGrid w:val="0"/>
                <w:kern w:val="32"/>
                <w:szCs w:val="21"/>
              </w:rPr>
            </w:pPr>
            <w:r>
              <w:rPr>
                <w:rFonts w:hint="eastAsia"/>
                <w:szCs w:val="21"/>
              </w:rPr>
              <w:t>未按规定进行节能审查或节能审查未获通过，即擅自开工建设或擅自投入生产、使用</w:t>
            </w:r>
          </w:p>
        </w:tc>
        <w:tc>
          <w:tcPr>
            <w:tcW w:w="4083" w:type="dxa"/>
            <w:noWrap w:val="0"/>
            <w:vAlign w:val="center"/>
          </w:tcPr>
          <w:p w14:paraId="4F0362CC">
            <w:pPr>
              <w:overflowPunct w:val="0"/>
              <w:autoSpaceDE w:val="0"/>
              <w:autoSpaceDN w:val="0"/>
              <w:adjustRightInd w:val="0"/>
              <w:snapToGrid w:val="0"/>
              <w:textAlignment w:val="baseline"/>
              <w:rPr>
                <w:rFonts w:hint="eastAsia"/>
                <w:szCs w:val="21"/>
              </w:rPr>
            </w:pPr>
            <w:r>
              <w:rPr>
                <w:rFonts w:hint="eastAsia"/>
                <w:szCs w:val="21"/>
              </w:rPr>
              <w:t>《固定资产投资项目节能审查办法》（中华人民共和国国家发展和改革委员会令第44号）第十三条第一款、《江苏省固定资产投资项目节能审查实施办法》（苏发改规发〔2017〕1号）第二十五条第一款</w:t>
            </w:r>
          </w:p>
          <w:p w14:paraId="16230072">
            <w:pPr>
              <w:overflowPunct w:val="0"/>
              <w:autoSpaceDE w:val="0"/>
              <w:autoSpaceDN w:val="0"/>
              <w:adjustRightInd w:val="0"/>
              <w:snapToGrid w:val="0"/>
              <w:ind w:firstLine="420" w:firstLineChars="200"/>
              <w:textAlignment w:val="baseline"/>
              <w:rPr>
                <w:rFonts w:hint="eastAsia"/>
                <w:snapToGrid w:val="0"/>
                <w:kern w:val="32"/>
                <w:szCs w:val="21"/>
              </w:rPr>
            </w:pPr>
            <w:r>
              <w:rPr>
                <w:rFonts w:hint="eastAsia"/>
                <w:szCs w:val="21"/>
              </w:rPr>
              <w:t>由节能审查机关责令停止建设或停止生产、使用，限期改造；不能改造或逾期不改造的生产性项目，由节能审查机关报请本级人民政府按照国务院和省政府规定的权限责令关闭，并依法追究有关责任人的责任。</w:t>
            </w:r>
          </w:p>
        </w:tc>
        <w:tc>
          <w:tcPr>
            <w:tcW w:w="1135" w:type="dxa"/>
            <w:noWrap w:val="0"/>
            <w:vAlign w:val="center"/>
          </w:tcPr>
          <w:p w14:paraId="65A83959">
            <w:pPr>
              <w:overflowPunct w:val="0"/>
              <w:autoSpaceDE w:val="0"/>
              <w:autoSpaceDN w:val="0"/>
              <w:jc w:val="center"/>
              <w:rPr>
                <w:snapToGrid w:val="0"/>
                <w:kern w:val="32"/>
                <w:szCs w:val="21"/>
              </w:rPr>
            </w:pPr>
            <w:r>
              <w:rPr>
                <w:rFonts w:hAnsi="宋体"/>
                <w:szCs w:val="21"/>
              </w:rPr>
              <w:t>☆☆☆</w:t>
            </w:r>
          </w:p>
        </w:tc>
        <w:tc>
          <w:tcPr>
            <w:tcW w:w="3515" w:type="dxa"/>
            <w:noWrap w:val="0"/>
            <w:vAlign w:val="center"/>
          </w:tcPr>
          <w:p w14:paraId="5EFC8419">
            <w:pPr>
              <w:overflowPunct w:val="0"/>
              <w:autoSpaceDE w:val="0"/>
              <w:autoSpaceDN w:val="0"/>
              <w:jc w:val="left"/>
              <w:rPr>
                <w:rFonts w:hint="eastAsia"/>
                <w:szCs w:val="21"/>
              </w:rPr>
            </w:pPr>
            <w:r>
              <w:rPr>
                <w:rFonts w:hint="eastAsia"/>
                <w:szCs w:val="21"/>
              </w:rPr>
              <w:t>1.满足以下条件的项目向节能审查机关报送固定资产投资项目节能承诺表：</w:t>
            </w:r>
          </w:p>
          <w:p w14:paraId="04A4DEE0">
            <w:pPr>
              <w:overflowPunct w:val="0"/>
              <w:autoSpaceDE w:val="0"/>
              <w:autoSpaceDN w:val="0"/>
              <w:jc w:val="left"/>
              <w:rPr>
                <w:rFonts w:hint="eastAsia"/>
                <w:szCs w:val="21"/>
              </w:rPr>
            </w:pPr>
            <w:r>
              <w:rPr>
                <w:rFonts w:hint="eastAsia"/>
                <w:szCs w:val="21"/>
              </w:rPr>
              <w:t>（1）年综合能源消费量不满1000吨标准煤且年电力消费量不满500万千瓦时的固定资产投资项目；</w:t>
            </w:r>
          </w:p>
          <w:p w14:paraId="5D09648E">
            <w:pPr>
              <w:overflowPunct w:val="0"/>
              <w:autoSpaceDE w:val="0"/>
              <w:autoSpaceDN w:val="0"/>
              <w:jc w:val="left"/>
              <w:rPr>
                <w:szCs w:val="21"/>
              </w:rPr>
            </w:pPr>
            <w:r>
              <w:rPr>
                <w:rFonts w:hint="eastAsia"/>
                <w:szCs w:val="21"/>
              </w:rPr>
              <w:t>（2）用能工艺简单、节能潜力小的行业的固定资产投资项目。</w:t>
            </w:r>
          </w:p>
          <w:p w14:paraId="4E0AB9BA">
            <w:pPr>
              <w:overflowPunct w:val="0"/>
              <w:autoSpaceDE w:val="0"/>
              <w:autoSpaceDN w:val="0"/>
              <w:jc w:val="left"/>
              <w:rPr>
                <w:rFonts w:hint="eastAsia"/>
                <w:snapToGrid w:val="0"/>
                <w:kern w:val="32"/>
                <w:szCs w:val="21"/>
              </w:rPr>
            </w:pPr>
            <w:r>
              <w:rPr>
                <w:rFonts w:hint="eastAsia"/>
                <w:szCs w:val="21"/>
              </w:rPr>
              <w:t>2.其他项目应编制节能报告，向节能审查机关提出审查申请，并在项目开工建设前获得节能审查机关出具的节能审查意见。</w:t>
            </w:r>
          </w:p>
        </w:tc>
        <w:tc>
          <w:tcPr>
            <w:tcW w:w="1773" w:type="dxa"/>
            <w:noWrap w:val="0"/>
            <w:vAlign w:val="center"/>
          </w:tcPr>
          <w:p w14:paraId="6189ACC6">
            <w:pPr>
              <w:overflowPunct w:val="0"/>
              <w:autoSpaceDE w:val="0"/>
              <w:autoSpaceDN w:val="0"/>
              <w:rPr>
                <w:rFonts w:hint="eastAsia"/>
                <w:szCs w:val="21"/>
              </w:rPr>
            </w:pPr>
            <w:r>
              <w:rPr>
                <w:rFonts w:hint="eastAsia"/>
                <w:szCs w:val="21"/>
              </w:rPr>
              <w:t>市工信局节能与综合利用处</w:t>
            </w:r>
          </w:p>
          <w:p w14:paraId="670F010D">
            <w:pPr>
              <w:overflowPunct w:val="0"/>
              <w:autoSpaceDE w:val="0"/>
              <w:autoSpaceDN w:val="0"/>
              <w:rPr>
                <w:rFonts w:hint="eastAsia"/>
                <w:szCs w:val="21"/>
              </w:rPr>
            </w:pPr>
            <w:r>
              <w:rPr>
                <w:rFonts w:hint="eastAsia"/>
                <w:szCs w:val="21"/>
              </w:rPr>
              <w:t>（联系电话：</w:t>
            </w:r>
            <w:r>
              <w:rPr>
                <w:szCs w:val="21"/>
              </w:rPr>
              <w:t>0511-80822163</w:t>
            </w:r>
            <w:r>
              <w:rPr>
                <w:rFonts w:hint="eastAsia"/>
                <w:szCs w:val="21"/>
              </w:rPr>
              <w:t>）</w:t>
            </w:r>
          </w:p>
        </w:tc>
      </w:tr>
      <w:tr w14:paraId="7D64B4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555" w:type="dxa"/>
            <w:noWrap w:val="0"/>
            <w:vAlign w:val="center"/>
          </w:tcPr>
          <w:p w14:paraId="1334321B">
            <w:pPr>
              <w:overflowPunct w:val="0"/>
              <w:autoSpaceDE w:val="0"/>
              <w:autoSpaceDN w:val="0"/>
              <w:jc w:val="center"/>
              <w:rPr>
                <w:snapToGrid w:val="0"/>
                <w:kern w:val="32"/>
                <w:szCs w:val="21"/>
              </w:rPr>
            </w:pPr>
            <w:r>
              <w:rPr>
                <w:szCs w:val="21"/>
              </w:rPr>
              <w:t>2</w:t>
            </w:r>
          </w:p>
        </w:tc>
        <w:tc>
          <w:tcPr>
            <w:tcW w:w="1698" w:type="dxa"/>
            <w:noWrap w:val="0"/>
            <w:vAlign w:val="center"/>
          </w:tcPr>
          <w:p w14:paraId="4AE8E78D">
            <w:pPr>
              <w:overflowPunct w:val="0"/>
              <w:autoSpaceDE w:val="0"/>
              <w:autoSpaceDN w:val="0"/>
              <w:rPr>
                <w:rFonts w:hint="eastAsia"/>
                <w:snapToGrid w:val="0"/>
                <w:kern w:val="32"/>
                <w:szCs w:val="21"/>
              </w:rPr>
            </w:pPr>
            <w:r>
              <w:rPr>
                <w:rFonts w:hint="eastAsia"/>
                <w:szCs w:val="21"/>
              </w:rPr>
              <w:t>禁止使用国家明令淘汰的用能设备和生产工艺</w:t>
            </w:r>
          </w:p>
        </w:tc>
        <w:tc>
          <w:tcPr>
            <w:tcW w:w="1710" w:type="dxa"/>
            <w:noWrap w:val="0"/>
            <w:vAlign w:val="center"/>
          </w:tcPr>
          <w:p w14:paraId="656DFCDC">
            <w:pPr>
              <w:overflowPunct w:val="0"/>
              <w:autoSpaceDE w:val="0"/>
              <w:autoSpaceDN w:val="0"/>
              <w:rPr>
                <w:rFonts w:hint="eastAsia"/>
                <w:snapToGrid w:val="0"/>
                <w:kern w:val="32"/>
                <w:szCs w:val="21"/>
              </w:rPr>
            </w:pPr>
            <w:r>
              <w:rPr>
                <w:rFonts w:hint="eastAsia"/>
                <w:szCs w:val="21"/>
              </w:rPr>
              <w:t>使用国家明令淘汰的用能设备或者生产工艺</w:t>
            </w:r>
          </w:p>
        </w:tc>
        <w:tc>
          <w:tcPr>
            <w:tcW w:w="4083" w:type="dxa"/>
            <w:noWrap w:val="0"/>
            <w:vAlign w:val="center"/>
          </w:tcPr>
          <w:p w14:paraId="398147D7">
            <w:pPr>
              <w:overflowPunct w:val="0"/>
              <w:autoSpaceDE w:val="0"/>
              <w:autoSpaceDN w:val="0"/>
              <w:rPr>
                <w:rFonts w:hint="eastAsia"/>
                <w:szCs w:val="21"/>
              </w:rPr>
            </w:pPr>
            <w:r>
              <w:rPr>
                <w:rFonts w:hint="eastAsia"/>
                <w:szCs w:val="21"/>
              </w:rPr>
              <w:t>《中华人民共和国节约能源法》</w:t>
            </w:r>
          </w:p>
          <w:p w14:paraId="74A3CADA">
            <w:pPr>
              <w:overflowPunct w:val="0"/>
              <w:autoSpaceDE w:val="0"/>
              <w:autoSpaceDN w:val="0"/>
              <w:rPr>
                <w:rFonts w:hint="eastAsia"/>
                <w:szCs w:val="21"/>
              </w:rPr>
            </w:pPr>
            <w:r>
              <w:rPr>
                <w:rFonts w:hint="eastAsia"/>
                <w:szCs w:val="21"/>
              </w:rPr>
              <w:t>第十七条 禁止生产、进口、销售国家明令淘汰或者不符合强制性能源效率标准的用能产品、设备；禁止使用国家明令淘汰的用能设备、生产工艺。</w:t>
            </w:r>
          </w:p>
          <w:p w14:paraId="7337E015">
            <w:pPr>
              <w:overflowPunct w:val="0"/>
              <w:autoSpaceDE w:val="0"/>
              <w:autoSpaceDN w:val="0"/>
              <w:rPr>
                <w:rFonts w:hint="eastAsia"/>
                <w:szCs w:val="21"/>
              </w:rPr>
            </w:pPr>
            <w:r>
              <w:rPr>
                <w:rFonts w:hint="eastAsia"/>
                <w:szCs w:val="21"/>
              </w:rPr>
              <w:t>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14:paraId="5FB649DC">
            <w:pPr>
              <w:overflowPunct w:val="0"/>
              <w:autoSpaceDE w:val="0"/>
              <w:autoSpaceDN w:val="0"/>
              <w:rPr>
                <w:rFonts w:hint="eastAsia"/>
                <w:szCs w:val="21"/>
              </w:rPr>
            </w:pPr>
            <w:r>
              <w:rPr>
                <w:rFonts w:hint="eastAsia"/>
                <w:szCs w:val="21"/>
              </w:rPr>
              <w:t>《江苏省节约能源条例》 第三十九条第二款 用能单位和个人应当依法履行节能义务，不得有下列行为：（二）使用国家明令淘汰的用能设备、生产工艺；</w:t>
            </w:r>
          </w:p>
          <w:p w14:paraId="27500B5D">
            <w:pPr>
              <w:overflowPunct w:val="0"/>
              <w:autoSpaceDE w:val="0"/>
              <w:autoSpaceDN w:val="0"/>
              <w:rPr>
                <w:snapToGrid w:val="0"/>
                <w:kern w:val="32"/>
                <w:szCs w:val="21"/>
              </w:rPr>
            </w:pPr>
            <w:r>
              <w:rPr>
                <w:rFonts w:hint="eastAsia"/>
                <w:szCs w:val="21"/>
              </w:rPr>
              <w:t>《节能监察办法》 第十一条 节能监察机构依照授权或者委托，具体实施节能监察工作。节能监察应当包括下列内容：……（三）执行用能设备和生产工艺淘汰制度的情况。</w:t>
            </w:r>
          </w:p>
        </w:tc>
        <w:tc>
          <w:tcPr>
            <w:tcW w:w="1135" w:type="dxa"/>
            <w:noWrap w:val="0"/>
            <w:vAlign w:val="center"/>
          </w:tcPr>
          <w:p w14:paraId="4C9B5722">
            <w:pPr>
              <w:overflowPunct w:val="0"/>
              <w:autoSpaceDE w:val="0"/>
              <w:autoSpaceDN w:val="0"/>
              <w:jc w:val="center"/>
              <w:rPr>
                <w:snapToGrid w:val="0"/>
                <w:kern w:val="32"/>
                <w:szCs w:val="21"/>
              </w:rPr>
            </w:pPr>
            <w:r>
              <w:rPr>
                <w:rFonts w:hAnsi="宋体"/>
                <w:szCs w:val="21"/>
              </w:rPr>
              <w:t>☆☆☆</w:t>
            </w:r>
          </w:p>
        </w:tc>
        <w:tc>
          <w:tcPr>
            <w:tcW w:w="3515" w:type="dxa"/>
            <w:noWrap w:val="0"/>
            <w:vAlign w:val="center"/>
          </w:tcPr>
          <w:p w14:paraId="6E43E32C">
            <w:pPr>
              <w:overflowPunct w:val="0"/>
              <w:autoSpaceDE w:val="0"/>
              <w:autoSpaceDN w:val="0"/>
              <w:rPr>
                <w:rFonts w:hint="eastAsia"/>
                <w:szCs w:val="21"/>
              </w:rPr>
            </w:pPr>
            <w:r>
              <w:rPr>
                <w:rFonts w:hint="eastAsia"/>
                <w:szCs w:val="21"/>
              </w:rPr>
              <w:t>1</w:t>
            </w:r>
            <w:r>
              <w:rPr>
                <w:szCs w:val="21"/>
              </w:rPr>
              <w:t>.</w:t>
            </w:r>
            <w:r>
              <w:rPr>
                <w:rFonts w:hint="eastAsia"/>
                <w:szCs w:val="21"/>
              </w:rPr>
              <w:t>建立完整的企业用能设备台账（包括设备名称、设备型号、容量、生产时间、安装位置）并定期更新；</w:t>
            </w:r>
          </w:p>
          <w:p w14:paraId="133F23F0">
            <w:pPr>
              <w:overflowPunct w:val="0"/>
              <w:autoSpaceDE w:val="0"/>
              <w:autoSpaceDN w:val="0"/>
              <w:rPr>
                <w:rFonts w:hint="eastAsia"/>
                <w:snapToGrid w:val="0"/>
                <w:kern w:val="32"/>
                <w:szCs w:val="21"/>
              </w:rPr>
            </w:pPr>
            <w:r>
              <w:rPr>
                <w:rFonts w:hint="eastAsia"/>
                <w:szCs w:val="21"/>
              </w:rPr>
              <w:t>2</w:t>
            </w:r>
            <w:r>
              <w:rPr>
                <w:szCs w:val="21"/>
              </w:rPr>
              <w:t>.</w:t>
            </w:r>
            <w:r>
              <w:rPr>
                <w:rFonts w:hint="eastAsia"/>
                <w:szCs w:val="21"/>
              </w:rPr>
              <w:t>对照《产业结构调整指导目录》（2</w:t>
            </w:r>
            <w:r>
              <w:rPr>
                <w:szCs w:val="21"/>
              </w:rPr>
              <w:t>019</w:t>
            </w:r>
            <w:r>
              <w:rPr>
                <w:rFonts w:hint="eastAsia"/>
                <w:szCs w:val="21"/>
              </w:rPr>
              <w:t>年本）和《高耗能落后机电设备（产品）淘汰目录（第一~四批）》等，确保用能单位没有使用国家明令淘汰的用能设备和生产工艺。</w:t>
            </w:r>
          </w:p>
        </w:tc>
        <w:tc>
          <w:tcPr>
            <w:tcW w:w="1773" w:type="dxa"/>
            <w:noWrap w:val="0"/>
            <w:vAlign w:val="center"/>
          </w:tcPr>
          <w:p w14:paraId="76F07A9D">
            <w:pPr>
              <w:overflowPunct w:val="0"/>
              <w:autoSpaceDE w:val="0"/>
              <w:autoSpaceDN w:val="0"/>
              <w:rPr>
                <w:rFonts w:ascii="宋体" w:hAnsi="宋体"/>
                <w:szCs w:val="21"/>
              </w:rPr>
            </w:pPr>
            <w:r>
              <w:rPr>
                <w:rFonts w:hint="eastAsia" w:ascii="宋体" w:hAnsi="宋体"/>
                <w:szCs w:val="21"/>
              </w:rPr>
              <w:t>市节能监察中心</w:t>
            </w:r>
          </w:p>
          <w:p w14:paraId="134803BE">
            <w:pPr>
              <w:overflowPunct w:val="0"/>
              <w:autoSpaceDE w:val="0"/>
              <w:autoSpaceDN w:val="0"/>
              <w:rPr>
                <w:rFonts w:ascii="宋体" w:hAnsi="宋体"/>
                <w:szCs w:val="21"/>
              </w:rPr>
            </w:pPr>
            <w:r>
              <w:rPr>
                <w:rFonts w:hint="eastAsia" w:ascii="宋体" w:hAnsi="宋体"/>
                <w:szCs w:val="21"/>
              </w:rPr>
              <w:t>（联系电话：）</w:t>
            </w:r>
          </w:p>
          <w:p w14:paraId="600B6DCD">
            <w:pPr>
              <w:overflowPunct w:val="0"/>
              <w:autoSpaceDE w:val="0"/>
              <w:autoSpaceDN w:val="0"/>
              <w:rPr>
                <w:rFonts w:hint="eastAsia" w:ascii="宋体" w:hAnsi="宋体"/>
                <w:sz w:val="28"/>
                <w:szCs w:val="28"/>
              </w:rPr>
            </w:pPr>
          </w:p>
        </w:tc>
      </w:tr>
      <w:tr w14:paraId="092B9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4" w:hRule="atLeast"/>
        </w:trPr>
        <w:tc>
          <w:tcPr>
            <w:tcW w:w="555" w:type="dxa"/>
            <w:noWrap w:val="0"/>
            <w:vAlign w:val="center"/>
          </w:tcPr>
          <w:p w14:paraId="53600FA7">
            <w:pPr>
              <w:overflowPunct w:val="0"/>
              <w:autoSpaceDE w:val="0"/>
              <w:autoSpaceDN w:val="0"/>
              <w:jc w:val="center"/>
              <w:rPr>
                <w:snapToGrid w:val="0"/>
                <w:kern w:val="32"/>
                <w:szCs w:val="21"/>
              </w:rPr>
            </w:pPr>
            <w:r>
              <w:rPr>
                <w:szCs w:val="21"/>
              </w:rPr>
              <w:t>3</w:t>
            </w:r>
          </w:p>
        </w:tc>
        <w:tc>
          <w:tcPr>
            <w:tcW w:w="1698" w:type="dxa"/>
            <w:noWrap w:val="0"/>
            <w:vAlign w:val="center"/>
          </w:tcPr>
          <w:p w14:paraId="54ECEA4A">
            <w:pPr>
              <w:overflowPunct w:val="0"/>
              <w:autoSpaceDE w:val="0"/>
              <w:autoSpaceDN w:val="0"/>
              <w:rPr>
                <w:rFonts w:hint="eastAsia"/>
                <w:snapToGrid w:val="0"/>
                <w:kern w:val="32"/>
                <w:szCs w:val="21"/>
              </w:rPr>
            </w:pPr>
            <w:r>
              <w:rPr>
                <w:rFonts w:hint="eastAsia"/>
                <w:szCs w:val="21"/>
              </w:rPr>
              <w:t>工程建设项目禁止使用袋装水泥、禁止现场搅拌混凝土和砂浆</w:t>
            </w:r>
          </w:p>
        </w:tc>
        <w:tc>
          <w:tcPr>
            <w:tcW w:w="1710" w:type="dxa"/>
            <w:noWrap w:val="0"/>
            <w:vAlign w:val="center"/>
          </w:tcPr>
          <w:p w14:paraId="4B97C7DB">
            <w:pPr>
              <w:overflowPunct w:val="0"/>
              <w:autoSpaceDE w:val="0"/>
              <w:autoSpaceDN w:val="0"/>
              <w:rPr>
                <w:rFonts w:hint="eastAsia"/>
                <w:snapToGrid w:val="0"/>
                <w:kern w:val="32"/>
                <w:szCs w:val="21"/>
              </w:rPr>
            </w:pPr>
            <w:r>
              <w:rPr>
                <w:rFonts w:hint="eastAsia"/>
                <w:szCs w:val="21"/>
              </w:rPr>
              <w:t>工程建设项目使用袋装水泥、现场搅拌混凝土和砂浆</w:t>
            </w:r>
          </w:p>
        </w:tc>
        <w:tc>
          <w:tcPr>
            <w:tcW w:w="4083" w:type="dxa"/>
            <w:noWrap w:val="0"/>
            <w:vAlign w:val="center"/>
          </w:tcPr>
          <w:p w14:paraId="6AB635A4">
            <w:pPr>
              <w:overflowPunct w:val="0"/>
              <w:autoSpaceDE w:val="0"/>
              <w:autoSpaceDN w:val="0"/>
              <w:rPr>
                <w:rFonts w:hint="eastAsia"/>
                <w:szCs w:val="21"/>
              </w:rPr>
            </w:pPr>
            <w:r>
              <w:rPr>
                <w:rFonts w:hint="eastAsia"/>
                <w:szCs w:val="21"/>
              </w:rPr>
              <w:t xml:space="preserve">《江苏省散装水泥促进条例》 </w:t>
            </w:r>
          </w:p>
          <w:p w14:paraId="2A411E6D">
            <w:pPr>
              <w:overflowPunct w:val="0"/>
              <w:autoSpaceDE w:val="0"/>
              <w:autoSpaceDN w:val="0"/>
              <w:rPr>
                <w:szCs w:val="21"/>
              </w:rPr>
            </w:pPr>
            <w:r>
              <w:rPr>
                <w:rFonts w:hint="eastAsia"/>
                <w:szCs w:val="21"/>
              </w:rPr>
              <w:t xml:space="preserve">第二十三条 设区的市建成区内的工程建设项目，禁止使用袋装水泥、现场搅拌混凝土和砂浆，但有本条例规定的特殊情形除外。 县（市）建成区内的工程建设项目，禁止使用袋装水泥和现场搅拌混凝土，并限期禁止现场搅拌砂浆，但有本条例规定的特殊情形除外。 乡镇、村工程建设项目，应当逐步使用散装水泥、预拌混凝土和预拌砂浆。 禁止现场搅拌混凝土和砂浆的具体范围和时限，由设区的市、县（市）人民政府确定并公布。 </w:t>
            </w:r>
          </w:p>
          <w:p w14:paraId="49A62161">
            <w:pPr>
              <w:overflowPunct w:val="0"/>
              <w:autoSpaceDE w:val="0"/>
              <w:autoSpaceDN w:val="0"/>
              <w:rPr>
                <w:szCs w:val="21"/>
              </w:rPr>
            </w:pPr>
            <w:r>
              <w:rPr>
                <w:rFonts w:hint="eastAsia"/>
                <w:szCs w:val="21"/>
              </w:rPr>
              <w:t xml:space="preserve">第二十四条 大中型基础设施项目、各级各类开发区和工业园区内的工程建设项目，禁止使用袋装水泥、现场搅拌混凝土和砂浆，但有本条例规定的特殊情形除外。 </w:t>
            </w:r>
          </w:p>
          <w:p w14:paraId="45D75E61">
            <w:pPr>
              <w:overflowPunct w:val="0"/>
              <w:autoSpaceDE w:val="0"/>
              <w:autoSpaceDN w:val="0"/>
              <w:rPr>
                <w:rFonts w:hint="eastAsia"/>
                <w:snapToGrid w:val="0"/>
                <w:kern w:val="32"/>
                <w:szCs w:val="21"/>
              </w:rPr>
            </w:pPr>
            <w:r>
              <w:rPr>
                <w:rFonts w:hint="eastAsia"/>
                <w:szCs w:val="21"/>
              </w:rPr>
              <w:t>第三十条 违反本条例第二十二条、第二十三条第一款、第二款、第二十四条规定，使用袋装水泥的，由散装水泥行政主管部门责令改正，并可以按照使用袋装水泥量处以每吨三百元罚款。违反本条例第二十三条第一款、第二款、第二十四条规定，现场搅拌混凝土、砂浆的，由散装水泥行政主管部门责令改正，并可以处以三万元以上十万元以下罚款。</w:t>
            </w:r>
          </w:p>
        </w:tc>
        <w:tc>
          <w:tcPr>
            <w:tcW w:w="1135" w:type="dxa"/>
            <w:noWrap w:val="0"/>
            <w:vAlign w:val="center"/>
          </w:tcPr>
          <w:p w14:paraId="345D0762">
            <w:pPr>
              <w:overflowPunct w:val="0"/>
              <w:autoSpaceDE w:val="0"/>
              <w:autoSpaceDN w:val="0"/>
              <w:jc w:val="center"/>
              <w:rPr>
                <w:snapToGrid w:val="0"/>
                <w:kern w:val="32"/>
                <w:szCs w:val="21"/>
              </w:rPr>
            </w:pPr>
            <w:r>
              <w:rPr>
                <w:rFonts w:hAnsi="宋体"/>
                <w:szCs w:val="21"/>
              </w:rPr>
              <w:t>☆☆☆</w:t>
            </w:r>
          </w:p>
        </w:tc>
        <w:tc>
          <w:tcPr>
            <w:tcW w:w="3515" w:type="dxa"/>
            <w:noWrap w:val="0"/>
            <w:vAlign w:val="center"/>
          </w:tcPr>
          <w:p w14:paraId="1165B065">
            <w:pPr>
              <w:overflowPunct w:val="0"/>
              <w:autoSpaceDE w:val="0"/>
              <w:autoSpaceDN w:val="0"/>
              <w:rPr>
                <w:rFonts w:hint="eastAsia"/>
                <w:snapToGrid w:val="0"/>
                <w:kern w:val="32"/>
                <w:szCs w:val="21"/>
              </w:rPr>
            </w:pPr>
            <w:r>
              <w:rPr>
                <w:rFonts w:hint="eastAsia"/>
                <w:snapToGrid w:val="0"/>
                <w:kern w:val="32"/>
                <w:szCs w:val="21"/>
              </w:rPr>
              <w:t>1.工程建设项目应使用散装水泥、预拌混凝土和预拌砂浆；</w:t>
            </w:r>
          </w:p>
          <w:p w14:paraId="1E125032">
            <w:pPr>
              <w:overflowPunct w:val="0"/>
              <w:autoSpaceDE w:val="0"/>
              <w:autoSpaceDN w:val="0"/>
              <w:rPr>
                <w:rFonts w:hint="eastAsia"/>
                <w:snapToGrid w:val="0"/>
                <w:kern w:val="32"/>
                <w:szCs w:val="21"/>
              </w:rPr>
            </w:pPr>
            <w:r>
              <w:rPr>
                <w:rFonts w:hint="eastAsia"/>
                <w:snapToGrid w:val="0"/>
                <w:kern w:val="32"/>
                <w:szCs w:val="21"/>
              </w:rPr>
              <w:t>2.有下列情形之一的，可以使用袋装水泥，但应当在使用前取得所在地散装水泥行政主管部门的备案：①散装水泥专用车辆无法到达施工现场的；②使用特种水泥或者施工工艺有特殊要求的；③水泥使用总量不超过三十吨的；</w:t>
            </w:r>
          </w:p>
          <w:p w14:paraId="3E5D5EBC">
            <w:pPr>
              <w:overflowPunct w:val="0"/>
              <w:autoSpaceDE w:val="0"/>
              <w:autoSpaceDN w:val="0"/>
              <w:rPr>
                <w:rFonts w:hint="eastAsia"/>
                <w:snapToGrid w:val="0"/>
                <w:kern w:val="32"/>
                <w:szCs w:val="21"/>
              </w:rPr>
            </w:pPr>
            <w:r>
              <w:rPr>
                <w:rFonts w:hint="eastAsia"/>
                <w:snapToGrid w:val="0"/>
                <w:kern w:val="32"/>
                <w:szCs w:val="21"/>
              </w:rPr>
              <w:t>3.有下列情形之一的，可以现场搅拌混凝土和砂浆，但应当在使用前取得所在地散装水泥行政主管部门的备案：①混凝土或者砂浆专用车辆无法到达施工现场的；②需要使用特种混凝土、特种砂浆或者施工工艺有特殊要求，预拌混凝土、预拌砂浆生产企业无法供应的；③混凝土累计使用总量在二百立方米以下的；④砂浆累计使用总量在一百吨以下的；⑤施工现场三十公里范围内没有预拌混凝土、预拌砂浆供应的等特殊情形之一的。</w:t>
            </w:r>
          </w:p>
        </w:tc>
        <w:tc>
          <w:tcPr>
            <w:tcW w:w="1773" w:type="dxa"/>
            <w:noWrap w:val="0"/>
            <w:vAlign w:val="center"/>
          </w:tcPr>
          <w:p w14:paraId="37A0055D">
            <w:pPr>
              <w:overflowPunct w:val="0"/>
              <w:autoSpaceDE w:val="0"/>
              <w:autoSpaceDN w:val="0"/>
              <w:rPr>
                <w:rFonts w:hint="eastAsia"/>
                <w:szCs w:val="21"/>
              </w:rPr>
            </w:pPr>
            <w:r>
              <w:rPr>
                <w:rFonts w:hint="eastAsia"/>
                <w:szCs w:val="21"/>
              </w:rPr>
              <w:t>市墙散办</w:t>
            </w:r>
          </w:p>
          <w:p w14:paraId="17F9E13B">
            <w:pPr>
              <w:overflowPunct w:val="0"/>
              <w:autoSpaceDE w:val="0"/>
              <w:autoSpaceDN w:val="0"/>
              <w:rPr>
                <w:snapToGrid w:val="0"/>
                <w:kern w:val="32"/>
                <w:szCs w:val="21"/>
              </w:rPr>
            </w:pPr>
            <w:r>
              <w:rPr>
                <w:rFonts w:hint="eastAsia"/>
                <w:szCs w:val="21"/>
              </w:rPr>
              <w:t>（联系电话：</w:t>
            </w:r>
            <w:r>
              <w:rPr>
                <w:szCs w:val="21"/>
              </w:rPr>
              <w:t>051189666956</w:t>
            </w:r>
            <w:r>
              <w:rPr>
                <w:rFonts w:hint="eastAsia"/>
                <w:szCs w:val="21"/>
              </w:rPr>
              <w:t>）</w:t>
            </w:r>
          </w:p>
          <w:p w14:paraId="4AFBFDC2">
            <w:pPr>
              <w:overflowPunct w:val="0"/>
              <w:autoSpaceDE w:val="0"/>
              <w:autoSpaceDN w:val="0"/>
              <w:rPr>
                <w:rFonts w:hint="eastAsia"/>
                <w:snapToGrid w:val="0"/>
                <w:kern w:val="32"/>
                <w:szCs w:val="21"/>
              </w:rPr>
            </w:pPr>
          </w:p>
        </w:tc>
      </w:tr>
      <w:tr w14:paraId="1A408B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4" w:hRule="atLeast"/>
        </w:trPr>
        <w:tc>
          <w:tcPr>
            <w:tcW w:w="555" w:type="dxa"/>
            <w:noWrap w:val="0"/>
            <w:vAlign w:val="center"/>
          </w:tcPr>
          <w:p w14:paraId="0EB88D1F">
            <w:pPr>
              <w:overflowPunct w:val="0"/>
              <w:autoSpaceDE w:val="0"/>
              <w:autoSpaceDN w:val="0"/>
              <w:jc w:val="center"/>
              <w:rPr>
                <w:szCs w:val="21"/>
              </w:rPr>
            </w:pPr>
            <w:r>
              <w:rPr>
                <w:rFonts w:hint="eastAsia"/>
                <w:szCs w:val="21"/>
              </w:rPr>
              <w:t>4</w:t>
            </w:r>
          </w:p>
        </w:tc>
        <w:tc>
          <w:tcPr>
            <w:tcW w:w="1698" w:type="dxa"/>
            <w:noWrap w:val="0"/>
            <w:vAlign w:val="center"/>
          </w:tcPr>
          <w:p w14:paraId="58F864DE">
            <w:pPr>
              <w:widowControl/>
              <w:jc w:val="left"/>
              <w:rPr>
                <w:rFonts w:hint="eastAsia" w:ascii="宋体" w:hAnsi="宋体" w:cs="宋体"/>
                <w:kern w:val="0"/>
                <w:szCs w:val="21"/>
              </w:rPr>
            </w:pPr>
            <w:r>
              <w:rPr>
                <w:rFonts w:hint="eastAsia" w:ascii="宋体" w:hAnsi="宋体" w:cs="宋体"/>
                <w:color w:val="000000"/>
                <w:kern w:val="0"/>
                <w:szCs w:val="21"/>
              </w:rPr>
              <w:t>妥善保存、 移送监控化学品有关的生产、使用记录</w:t>
            </w:r>
          </w:p>
        </w:tc>
        <w:tc>
          <w:tcPr>
            <w:tcW w:w="1710" w:type="dxa"/>
            <w:noWrap w:val="0"/>
            <w:vAlign w:val="center"/>
          </w:tcPr>
          <w:p w14:paraId="7BBE6996">
            <w:pPr>
              <w:widowControl/>
              <w:jc w:val="left"/>
              <w:rPr>
                <w:rFonts w:hint="eastAsia" w:ascii="宋体" w:hAnsi="宋体" w:cs="宋体"/>
                <w:kern w:val="0"/>
                <w:szCs w:val="21"/>
              </w:rPr>
            </w:pPr>
            <w:r>
              <w:rPr>
                <w:rFonts w:hint="eastAsia" w:ascii="宋体" w:hAnsi="宋体" w:cs="宋体"/>
                <w:color w:val="000000"/>
                <w:kern w:val="0"/>
                <w:szCs w:val="21"/>
              </w:rPr>
              <w:t>未妥善保存、 移送监控化学 品 有 关 的 生产、使用记录</w:t>
            </w:r>
          </w:p>
        </w:tc>
        <w:tc>
          <w:tcPr>
            <w:tcW w:w="4083" w:type="dxa"/>
            <w:noWrap w:val="0"/>
            <w:vAlign w:val="center"/>
          </w:tcPr>
          <w:p w14:paraId="1C91B713">
            <w:pPr>
              <w:widowControl/>
              <w:jc w:val="left"/>
              <w:rPr>
                <w:rFonts w:ascii="宋体" w:hAnsi="宋体" w:cs="宋体"/>
                <w:kern w:val="0"/>
                <w:szCs w:val="21"/>
              </w:rPr>
            </w:pPr>
            <w:r>
              <w:rPr>
                <w:rFonts w:hint="eastAsia" w:ascii="宋体" w:hAnsi="宋体" w:cs="宋体"/>
                <w:color w:val="000000"/>
                <w:kern w:val="0"/>
                <w:szCs w:val="21"/>
              </w:rPr>
              <w:t xml:space="preserve">《中华人民共和国监控化学品管理条例》实施细则 </w:t>
            </w:r>
          </w:p>
          <w:p w14:paraId="3E59EFB9">
            <w:pPr>
              <w:widowControl/>
              <w:jc w:val="left"/>
              <w:rPr>
                <w:rFonts w:hint="eastAsia" w:ascii="宋体" w:hAnsi="宋体" w:cs="宋体"/>
                <w:kern w:val="0"/>
                <w:szCs w:val="21"/>
              </w:rPr>
            </w:pPr>
            <w:r>
              <w:rPr>
                <w:rFonts w:hint="eastAsia" w:ascii="宋体" w:hAnsi="宋体" w:cs="宋体"/>
                <w:color w:val="000000"/>
                <w:kern w:val="0"/>
                <w:szCs w:val="21"/>
              </w:rPr>
              <w:t xml:space="preserve">第三十七条第二款 生产、使用第二类监控化学品的，应当妥善保存与第二类监控化学品的生产、使用有关的记录，保存期限不得少于 </w:t>
            </w:r>
            <w:r>
              <w:rPr>
                <w:rFonts w:ascii="Times New Roman" w:hAnsi="Times New Roman"/>
                <w:color w:val="000000"/>
                <w:kern w:val="0"/>
                <w:szCs w:val="21"/>
              </w:rPr>
              <w:t xml:space="preserve">3 </w:t>
            </w:r>
            <w:r>
              <w:rPr>
                <w:rFonts w:hint="eastAsia" w:ascii="宋体" w:hAnsi="宋体" w:cs="宋体"/>
                <w:color w:val="000000"/>
                <w:kern w:val="0"/>
                <w:szCs w:val="21"/>
              </w:rPr>
              <w:t xml:space="preserve">年。生产第三类监控化学品的， 应当妥善保存与第三类监控化学品有关的生产记录，保存期限不得少于 </w:t>
            </w:r>
            <w:r>
              <w:rPr>
                <w:rFonts w:ascii="Times New Roman" w:hAnsi="Times New Roman"/>
                <w:color w:val="000000"/>
                <w:kern w:val="0"/>
                <w:szCs w:val="21"/>
              </w:rPr>
              <w:t xml:space="preserve">1 </w:t>
            </w:r>
            <w:r>
              <w:rPr>
                <w:rFonts w:hint="eastAsia" w:ascii="宋体" w:hAnsi="宋体" w:cs="宋体"/>
                <w:color w:val="000000"/>
                <w:kern w:val="0"/>
                <w:szCs w:val="21"/>
              </w:rPr>
              <w:t xml:space="preserve">年。终止生产经营活动的，应当将与监控化学品生产、使用有关的记录移交所在地设区的市级以上地方工业和信息化主管部门或者地方人民政府确 定的监控化学品管理部门存档。第三十八条第二款：生产第四类监控化学品的，应当妥善保存与第四类监控化学品有关的生产记录，保存期限不得少于 </w:t>
            </w:r>
            <w:r>
              <w:rPr>
                <w:rFonts w:ascii="Times New Roman" w:hAnsi="Times New Roman"/>
                <w:color w:val="000000"/>
                <w:kern w:val="0"/>
                <w:szCs w:val="21"/>
              </w:rPr>
              <w:t xml:space="preserve">1 </w:t>
            </w:r>
            <w:r>
              <w:rPr>
                <w:rFonts w:hint="eastAsia" w:ascii="宋体" w:hAnsi="宋体" w:cs="宋体"/>
                <w:color w:val="000000"/>
                <w:kern w:val="0"/>
                <w:szCs w:val="21"/>
              </w:rPr>
              <w:t>年。终止生产经营活动的，应当将与第四类监控化学品生产有关的生产记录移交所在地设区的市级以上地方工业和信息化主管部门或者地方人民政府确定的监控化学品管理部门存档。</w:t>
            </w:r>
          </w:p>
        </w:tc>
        <w:tc>
          <w:tcPr>
            <w:tcW w:w="1135" w:type="dxa"/>
            <w:noWrap w:val="0"/>
            <w:vAlign w:val="center"/>
          </w:tcPr>
          <w:p w14:paraId="7309D306">
            <w:pPr>
              <w:overflowPunct w:val="0"/>
              <w:autoSpaceDE w:val="0"/>
              <w:autoSpaceDN w:val="0"/>
              <w:jc w:val="center"/>
              <w:rPr>
                <w:rFonts w:hAnsi="宋体"/>
                <w:szCs w:val="21"/>
              </w:rPr>
            </w:pPr>
            <w:r>
              <w:rPr>
                <w:rFonts w:hint="eastAsia" w:hAnsi="宋体"/>
                <w:szCs w:val="21"/>
              </w:rPr>
              <w:t>☆☆</w:t>
            </w:r>
          </w:p>
        </w:tc>
        <w:tc>
          <w:tcPr>
            <w:tcW w:w="3515" w:type="dxa"/>
            <w:noWrap w:val="0"/>
            <w:vAlign w:val="center"/>
          </w:tcPr>
          <w:p w14:paraId="4567C3EE">
            <w:pPr>
              <w:widowControl/>
              <w:jc w:val="left"/>
              <w:rPr>
                <w:rFonts w:hint="eastAsia" w:ascii="宋体" w:hAnsi="宋体" w:cs="宋体"/>
                <w:kern w:val="0"/>
                <w:szCs w:val="21"/>
              </w:rPr>
            </w:pPr>
            <w:r>
              <w:rPr>
                <w:rFonts w:hint="eastAsia" w:ascii="宋体" w:hAnsi="宋体" w:cs="宋体"/>
                <w:color w:val="000000"/>
                <w:kern w:val="0"/>
                <w:szCs w:val="21"/>
              </w:rPr>
              <w:t xml:space="preserve">妥善保存、移送监控化学品有关的生产、 使用记录。生产、使用第二类监控化学品的，应当妥善保存与第二类监控化学品的生产、使用有关的记录，保存期限不得少于 </w:t>
            </w:r>
            <w:r>
              <w:rPr>
                <w:rFonts w:ascii="Times New Roman" w:hAnsi="Times New Roman"/>
                <w:color w:val="000000"/>
                <w:kern w:val="0"/>
                <w:szCs w:val="21"/>
              </w:rPr>
              <w:t xml:space="preserve">3 </w:t>
            </w:r>
            <w:r>
              <w:rPr>
                <w:rFonts w:hint="eastAsia" w:ascii="宋体" w:hAnsi="宋体" w:cs="宋体"/>
                <w:color w:val="000000"/>
                <w:kern w:val="0"/>
                <w:szCs w:val="21"/>
              </w:rPr>
              <w:t xml:space="preserve">年。生产第三类、第四类监控化学品的，应当妥善保存与第三类、第四类监控化学品有关的生产记录，保存期限不得少于 </w:t>
            </w:r>
            <w:r>
              <w:rPr>
                <w:rFonts w:ascii="Times New Roman" w:hAnsi="Times New Roman"/>
                <w:color w:val="000000"/>
                <w:kern w:val="0"/>
                <w:szCs w:val="21"/>
              </w:rPr>
              <w:t xml:space="preserve">1 </w:t>
            </w:r>
            <w:r>
              <w:rPr>
                <w:rFonts w:hint="eastAsia" w:ascii="宋体" w:hAnsi="宋体" w:cs="宋体"/>
                <w:color w:val="000000"/>
                <w:kern w:val="0"/>
                <w:szCs w:val="21"/>
              </w:rPr>
              <w:t>年。</w:t>
            </w:r>
          </w:p>
        </w:tc>
        <w:tc>
          <w:tcPr>
            <w:tcW w:w="1773" w:type="dxa"/>
            <w:noWrap w:val="0"/>
            <w:vAlign w:val="center"/>
          </w:tcPr>
          <w:p w14:paraId="456E2D58">
            <w:pPr>
              <w:widowControl/>
              <w:jc w:val="left"/>
              <w:rPr>
                <w:rFonts w:ascii="宋体" w:hAnsi="宋体" w:cs="宋体"/>
                <w:kern w:val="0"/>
                <w:szCs w:val="21"/>
              </w:rPr>
            </w:pPr>
            <w:r>
              <w:rPr>
                <w:rFonts w:hint="eastAsia" w:ascii="宋体" w:hAnsi="宋体" w:cs="宋体"/>
                <w:color w:val="000000"/>
                <w:kern w:val="0"/>
                <w:szCs w:val="21"/>
              </w:rPr>
              <w:t xml:space="preserve">市工信局材料工业处 </w:t>
            </w:r>
          </w:p>
          <w:p w14:paraId="22AF3ED8">
            <w:pPr>
              <w:overflowPunct w:val="0"/>
              <w:autoSpaceDE w:val="0"/>
              <w:autoSpaceDN w:val="0"/>
              <w:rPr>
                <w:rFonts w:hint="eastAsia"/>
                <w:szCs w:val="21"/>
              </w:rPr>
            </w:pPr>
            <w:r>
              <w:rPr>
                <w:rFonts w:ascii="Times New Roman" w:hAnsi="Times New Roman"/>
                <w:color w:val="000000"/>
                <w:kern w:val="0"/>
                <w:szCs w:val="21"/>
              </w:rPr>
              <w:t>0511-84424679</w:t>
            </w:r>
          </w:p>
        </w:tc>
      </w:tr>
      <w:tr w14:paraId="1E18E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4" w:hRule="atLeast"/>
        </w:trPr>
        <w:tc>
          <w:tcPr>
            <w:tcW w:w="555" w:type="dxa"/>
            <w:noWrap w:val="0"/>
            <w:vAlign w:val="center"/>
          </w:tcPr>
          <w:p w14:paraId="75DC0708">
            <w:pPr>
              <w:overflowPunct w:val="0"/>
              <w:autoSpaceDE w:val="0"/>
              <w:autoSpaceDN w:val="0"/>
              <w:jc w:val="center"/>
              <w:rPr>
                <w:szCs w:val="21"/>
              </w:rPr>
            </w:pPr>
            <w:r>
              <w:rPr>
                <w:rFonts w:hint="eastAsia"/>
                <w:szCs w:val="21"/>
              </w:rPr>
              <w:t>5</w:t>
            </w:r>
          </w:p>
        </w:tc>
        <w:tc>
          <w:tcPr>
            <w:tcW w:w="1698" w:type="dxa"/>
            <w:noWrap w:val="0"/>
            <w:vAlign w:val="center"/>
          </w:tcPr>
          <w:p w14:paraId="76DBCF6C">
            <w:pPr>
              <w:widowControl/>
              <w:jc w:val="left"/>
              <w:rPr>
                <w:rFonts w:hint="eastAsia" w:ascii="宋体" w:hAnsi="宋体" w:cs="宋体"/>
                <w:color w:val="000000"/>
                <w:kern w:val="0"/>
                <w:szCs w:val="21"/>
              </w:rPr>
            </w:pPr>
            <w:r>
              <w:rPr>
                <w:rFonts w:hint="eastAsia" w:ascii="宋体" w:hAnsi="宋体" w:cs="宋体"/>
                <w:color w:val="000000"/>
                <w:kern w:val="0"/>
                <w:szCs w:val="21"/>
              </w:rPr>
              <w:t>使用无线电频率、 台 （站）应当取得许可</w:t>
            </w:r>
          </w:p>
        </w:tc>
        <w:tc>
          <w:tcPr>
            <w:tcW w:w="1710" w:type="dxa"/>
            <w:noWrap w:val="0"/>
            <w:vAlign w:val="center"/>
          </w:tcPr>
          <w:p w14:paraId="6C7BC5A5">
            <w:pPr>
              <w:widowControl/>
              <w:jc w:val="left"/>
              <w:rPr>
                <w:rFonts w:hint="eastAsia" w:ascii="宋体" w:hAnsi="宋体" w:cs="宋体"/>
                <w:color w:val="000000"/>
                <w:kern w:val="0"/>
                <w:szCs w:val="21"/>
              </w:rPr>
            </w:pPr>
            <w:r>
              <w:rPr>
                <w:rFonts w:hint="eastAsia" w:ascii="宋体" w:hAnsi="宋体" w:cs="宋体"/>
                <w:color w:val="000000"/>
                <w:kern w:val="0"/>
                <w:szCs w:val="21"/>
              </w:rPr>
              <w:t>未经许可，擅自设置使用对讲机等无线电发射设备</w:t>
            </w:r>
          </w:p>
        </w:tc>
        <w:tc>
          <w:tcPr>
            <w:tcW w:w="4083" w:type="dxa"/>
            <w:noWrap w:val="0"/>
            <w:vAlign w:val="center"/>
          </w:tcPr>
          <w:p w14:paraId="36208F64">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《中华人民共和国无线电管理条例》 第六条、第十四条、第二十七条、第七十条 未经许可擅自使用无线电频率，或者擅自设置、使用无线电台（站）的，由无线电管理机构责令改正，没收从事违法活动的设备和违法所得，可以并处 </w:t>
            </w:r>
            <w:r>
              <w:rPr>
                <w:rFonts w:ascii="Times New Roman" w:hAnsi="Times New Roman"/>
                <w:color w:val="000000"/>
                <w:kern w:val="0"/>
                <w:szCs w:val="21"/>
              </w:rPr>
              <w:t xml:space="preserve">5 </w:t>
            </w:r>
            <w:r>
              <w:rPr>
                <w:rFonts w:hint="eastAsia" w:ascii="宋体" w:hAnsi="宋体" w:cs="宋体"/>
                <w:color w:val="000000"/>
                <w:kern w:val="0"/>
                <w:szCs w:val="21"/>
              </w:rPr>
              <w:t xml:space="preserve">万元以下的罚款；拒不改正的，并处 </w:t>
            </w:r>
            <w:r>
              <w:rPr>
                <w:rFonts w:ascii="Times New Roman" w:hAnsi="Times New Roman"/>
                <w:color w:val="000000"/>
                <w:kern w:val="0"/>
                <w:szCs w:val="21"/>
              </w:rPr>
              <w:t xml:space="preserve">5 </w:t>
            </w:r>
            <w:r>
              <w:rPr>
                <w:rFonts w:hint="eastAsia" w:ascii="宋体" w:hAnsi="宋体" w:cs="宋体"/>
                <w:color w:val="000000"/>
                <w:kern w:val="0"/>
                <w:szCs w:val="21"/>
              </w:rPr>
              <w:t xml:space="preserve">万元以上 </w:t>
            </w:r>
            <w:r>
              <w:rPr>
                <w:rFonts w:ascii="Times New Roman" w:hAnsi="Times New Roman"/>
                <w:color w:val="000000"/>
                <w:kern w:val="0"/>
                <w:szCs w:val="21"/>
              </w:rPr>
              <w:t xml:space="preserve">20 </w:t>
            </w:r>
            <w:r>
              <w:rPr>
                <w:rFonts w:hint="eastAsia" w:ascii="宋体" w:hAnsi="宋体" w:cs="宋体"/>
                <w:color w:val="000000"/>
                <w:kern w:val="0"/>
                <w:szCs w:val="21"/>
              </w:rPr>
              <w:t xml:space="preserve">万元以下的罚款；擅自设置、使用无线电台（站）从事诈骗等违法活动，尚不构成犯罪的，并处 </w:t>
            </w:r>
            <w:r>
              <w:rPr>
                <w:rFonts w:ascii="Times New Roman" w:hAnsi="Times New Roman"/>
                <w:color w:val="000000"/>
                <w:kern w:val="0"/>
                <w:szCs w:val="21"/>
              </w:rPr>
              <w:t xml:space="preserve">20 </w:t>
            </w:r>
            <w:r>
              <w:rPr>
                <w:rFonts w:hint="eastAsia" w:ascii="宋体" w:hAnsi="宋体" w:cs="宋体"/>
                <w:color w:val="000000"/>
                <w:kern w:val="0"/>
                <w:szCs w:val="21"/>
              </w:rPr>
              <w:t xml:space="preserve">万元以上 </w:t>
            </w:r>
            <w:r>
              <w:rPr>
                <w:rFonts w:ascii="Times New Roman" w:hAnsi="Times New Roman"/>
                <w:color w:val="000000"/>
                <w:kern w:val="0"/>
                <w:szCs w:val="21"/>
              </w:rPr>
              <w:t xml:space="preserve">50 </w:t>
            </w:r>
            <w:r>
              <w:rPr>
                <w:rFonts w:hint="eastAsia" w:ascii="宋体" w:hAnsi="宋体" w:cs="宋体"/>
                <w:color w:val="000000"/>
                <w:kern w:val="0"/>
                <w:szCs w:val="21"/>
              </w:rPr>
              <w:t>万元以下的罚款。</w:t>
            </w:r>
          </w:p>
        </w:tc>
        <w:tc>
          <w:tcPr>
            <w:tcW w:w="1135" w:type="dxa"/>
            <w:noWrap w:val="0"/>
            <w:vAlign w:val="center"/>
          </w:tcPr>
          <w:p w14:paraId="618E714B">
            <w:pPr>
              <w:overflowPunct w:val="0"/>
              <w:autoSpaceDE w:val="0"/>
              <w:autoSpaceDN w:val="0"/>
              <w:jc w:val="center"/>
              <w:rPr>
                <w:rFonts w:hint="eastAsia" w:hAnsi="宋体"/>
                <w:szCs w:val="21"/>
              </w:rPr>
            </w:pPr>
            <w:r>
              <w:rPr>
                <w:rFonts w:hint="eastAsia" w:hAnsi="宋体"/>
                <w:szCs w:val="21"/>
              </w:rPr>
              <w:t>☆☆</w:t>
            </w:r>
          </w:p>
        </w:tc>
        <w:tc>
          <w:tcPr>
            <w:tcW w:w="3515" w:type="dxa"/>
            <w:noWrap w:val="0"/>
            <w:vAlign w:val="center"/>
          </w:tcPr>
          <w:p w14:paraId="054D7B31">
            <w:pPr>
              <w:widowControl/>
              <w:jc w:val="left"/>
              <w:rPr>
                <w:rFonts w:hint="eastAsia" w:ascii="宋体" w:hAnsi="宋体" w:cs="宋体"/>
                <w:color w:val="000000"/>
                <w:kern w:val="0"/>
                <w:szCs w:val="21"/>
              </w:rPr>
            </w:pPr>
            <w:r>
              <w:rPr>
                <w:rFonts w:hint="eastAsia" w:ascii="宋体" w:hAnsi="宋体" w:cs="宋体"/>
                <w:color w:val="000000"/>
                <w:kern w:val="0"/>
                <w:szCs w:val="21"/>
              </w:rPr>
              <w:t>设置、使用无线电台（站）之前应及时向无线电管理部门申请，领取电台执照， 不得擅自使用无线电频率，或者擅自设置、使用无线电台（站）。</w:t>
            </w:r>
          </w:p>
        </w:tc>
        <w:tc>
          <w:tcPr>
            <w:tcW w:w="1773" w:type="dxa"/>
            <w:noWrap w:val="0"/>
            <w:vAlign w:val="center"/>
          </w:tcPr>
          <w:p w14:paraId="08AB0DFF">
            <w:pPr>
              <w:widowControl/>
              <w:jc w:val="left"/>
              <w:rPr>
                <w:rFonts w:ascii="宋体" w:hAnsi="宋体" w:cs="宋体"/>
                <w:kern w:val="0"/>
                <w:szCs w:val="21"/>
              </w:rPr>
            </w:pPr>
            <w:r>
              <w:rPr>
                <w:rFonts w:hint="eastAsia" w:ascii="宋体" w:hAnsi="宋体" w:cs="宋体"/>
                <w:color w:val="000000"/>
                <w:kern w:val="0"/>
                <w:szCs w:val="21"/>
              </w:rPr>
              <w:t xml:space="preserve">省工信厅镇江无线电管理处 </w:t>
            </w:r>
          </w:p>
          <w:p w14:paraId="539C2872">
            <w:pPr>
              <w:widowControl/>
              <w:jc w:val="left"/>
              <w:rPr>
                <w:rFonts w:hint="eastAsia" w:ascii="宋体" w:hAnsi="宋体" w:cs="宋体"/>
                <w:color w:val="000000"/>
                <w:kern w:val="0"/>
                <w:szCs w:val="21"/>
              </w:rPr>
            </w:pPr>
            <w:r>
              <w:rPr>
                <w:rFonts w:ascii="Times New Roman" w:hAnsi="Times New Roman"/>
                <w:color w:val="000000"/>
                <w:kern w:val="0"/>
                <w:szCs w:val="21"/>
              </w:rPr>
              <w:t>0511-89666902</w:t>
            </w:r>
          </w:p>
        </w:tc>
      </w:tr>
    </w:tbl>
    <w:p w14:paraId="63204E66">
      <w:pPr>
        <w:ind w:firstLine="480"/>
        <w:jc w:val="left"/>
        <w:rPr>
          <w:rFonts w:hint="eastAsia" w:ascii="方正楷体_GBK" w:eastAsia="方正楷体_GBK"/>
          <w:sz w:val="24"/>
        </w:rPr>
      </w:pPr>
      <w:r>
        <w:rPr>
          <w:rFonts w:hint="eastAsia" w:ascii="方正楷体_GBK" w:eastAsia="方正楷体_GBK"/>
          <w:sz w:val="24"/>
        </w:rPr>
        <w:t>填报说明：</w:t>
      </w:r>
    </w:p>
    <w:p w14:paraId="229AC579">
      <w:pPr>
        <w:ind w:firstLine="480"/>
        <w:jc w:val="left"/>
        <w:rPr>
          <w:rFonts w:hint="eastAsia" w:ascii="方正楷体_GBK" w:eastAsia="方正楷体_GBK"/>
          <w:sz w:val="24"/>
        </w:rPr>
      </w:pPr>
      <w:r>
        <w:rPr>
          <w:sz w:val="24"/>
        </w:rPr>
        <w:t>1</w:t>
      </w:r>
      <w:r>
        <w:rPr>
          <w:rFonts w:hint="eastAsia"/>
          <w:sz w:val="24"/>
        </w:rPr>
        <w:t>﹒</w:t>
      </w:r>
      <w:r>
        <w:rPr>
          <w:sz w:val="24"/>
        </w:rPr>
        <w:t>本清单为提示参考用途，不作为最终行政执法依据。目的是便于企业加强行政执法风险点的合规管理，降低法律风险；</w:t>
      </w:r>
    </w:p>
    <w:p w14:paraId="71DE72E0">
      <w:pPr>
        <w:ind w:firstLine="480"/>
        <w:jc w:val="left"/>
        <w:rPr>
          <w:rFonts w:hint="eastAsia" w:ascii="方正楷体_GBK" w:eastAsia="方正楷体_GBK"/>
          <w:sz w:val="24"/>
        </w:rPr>
      </w:pPr>
      <w:r>
        <w:rPr>
          <w:sz w:val="24"/>
        </w:rPr>
        <w:t>2</w:t>
      </w:r>
      <w:r>
        <w:rPr>
          <w:rFonts w:hint="eastAsia"/>
          <w:sz w:val="24"/>
        </w:rPr>
        <w:t>﹒</w:t>
      </w:r>
      <w:r>
        <w:rPr>
          <w:sz w:val="24"/>
        </w:rPr>
        <w:t>请根据企业违法频率、违法成本、企业忽视程度三个指标进行风险点的筛选并确定风险指数等级（1-5星，5星为风险指数等级最高）；</w:t>
      </w:r>
    </w:p>
    <w:p w14:paraId="5E6B9F95">
      <w:pPr>
        <w:ind w:firstLine="480"/>
        <w:jc w:val="left"/>
        <w:rPr>
          <w:rFonts w:hint="eastAsia" w:ascii="方正楷体_GBK" w:eastAsia="方正楷体_GBK"/>
          <w:sz w:val="24"/>
        </w:rPr>
      </w:pPr>
      <w:r>
        <w:rPr>
          <w:sz w:val="24"/>
        </w:rPr>
        <w:t>3</w:t>
      </w:r>
      <w:r>
        <w:rPr>
          <w:rFonts w:hint="eastAsia"/>
          <w:sz w:val="24"/>
        </w:rPr>
        <w:t>﹒</w:t>
      </w:r>
      <w:r>
        <w:rPr>
          <w:sz w:val="24"/>
        </w:rPr>
        <w:t>违法后果及法律依据请根据现行的法律条款进行梳理列明；</w:t>
      </w:r>
    </w:p>
    <w:p w14:paraId="54DC3037">
      <w:pPr>
        <w:ind w:firstLine="480"/>
        <w:jc w:val="left"/>
        <w:rPr>
          <w:rFonts w:hint="eastAsia" w:ascii="方正楷体_GBK" w:eastAsia="方正楷体_GBK"/>
          <w:sz w:val="24"/>
        </w:rPr>
      </w:pPr>
      <w:r>
        <w:rPr>
          <w:sz w:val="24"/>
        </w:rPr>
        <w:t>4</w:t>
      </w:r>
      <w:r>
        <w:rPr>
          <w:rFonts w:hint="eastAsia"/>
          <w:sz w:val="24"/>
        </w:rPr>
        <w:t>﹒</w:t>
      </w:r>
      <w:r>
        <w:rPr>
          <w:sz w:val="24"/>
        </w:rPr>
        <w:t>合规指导是在依照法律法规规定基础上，根据执法办案、监督检查等业务工作进行总结提炼，提出有针对性、可操作性的指导建议（操作手册、具体措施）；</w:t>
      </w:r>
    </w:p>
    <w:p w14:paraId="2DE9A10D">
      <w:pPr>
        <w:ind w:firstLine="480"/>
        <w:jc w:val="left"/>
        <w:rPr>
          <w:rFonts w:ascii="方正楷体_GBK" w:eastAsia="方正楷体_GBK"/>
          <w:sz w:val="24"/>
        </w:rPr>
      </w:pPr>
      <w:r>
        <w:rPr>
          <w:sz w:val="24"/>
        </w:rPr>
        <w:t>5</w:t>
      </w:r>
      <w:r>
        <w:rPr>
          <w:rFonts w:hint="eastAsia"/>
          <w:sz w:val="24"/>
        </w:rPr>
        <w:t>﹒指导部门</w:t>
      </w:r>
      <w:r>
        <w:rPr>
          <w:sz w:val="24"/>
        </w:rPr>
        <w:t>包括具体业务单位、联系方式、联系地址、邮箱地址、公众号二维码等内容均可填入，便于企业今后咨询沟通。</w:t>
      </w:r>
    </w:p>
    <w:p w14:paraId="36B83885">
      <w:pPr>
        <w:tabs>
          <w:tab w:val="left" w:pos="312"/>
        </w:tabs>
        <w:spacing w:line="520" w:lineRule="exact"/>
        <w:jc w:val="center"/>
        <w:rPr>
          <w:rFonts w:ascii="Times New Roman" w:hAnsi="Times New Roman" w:eastAsia="方正仿宋_GBK"/>
          <w:sz w:val="32"/>
          <w:szCs w:val="32"/>
        </w:rPr>
      </w:pPr>
    </w:p>
    <w:p w14:paraId="741A6937">
      <w:pPr>
        <w:tabs>
          <w:tab w:val="left" w:pos="312"/>
        </w:tabs>
        <w:spacing w:line="520" w:lineRule="exact"/>
        <w:rPr>
          <w:rFonts w:ascii="Times New Roman" w:hAnsi="Times New Roman" w:eastAsia="方正仿宋_GBK"/>
          <w:sz w:val="32"/>
          <w:szCs w:val="32"/>
        </w:rPr>
      </w:pPr>
    </w:p>
    <w:p w14:paraId="74F0D169">
      <w:bookmarkStart w:id="0" w:name="_GoBack"/>
      <w:bookmarkEnd w:id="0"/>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90347E-8C09-4E70-95B1-0B24ADF3F3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A3CF1AD-0A9D-47A5-AE78-3DC316FF4512}"/>
  </w:font>
  <w:font w:name="方正楷体_GBK">
    <w:panose1 w:val="02000000000000000000"/>
    <w:charset w:val="86"/>
    <w:family w:val="script"/>
    <w:pitch w:val="default"/>
    <w:sig w:usb0="800002BF" w:usb1="38CF7CFA" w:usb2="00000016" w:usb3="00000000" w:csb0="00040000" w:csb1="00000000"/>
    <w:embedRegular r:id="rId3" w:fontKey="{A0FA30A7-BBBF-4E9B-AD38-8F7A3BDD3889}"/>
  </w:font>
  <w:font w:name="方正小标宋_GBK">
    <w:panose1 w:val="02000000000000000000"/>
    <w:charset w:val="86"/>
    <w:family w:val="script"/>
    <w:pitch w:val="default"/>
    <w:sig w:usb0="A00002BF" w:usb1="38CF7CFA" w:usb2="00082016" w:usb3="00000000" w:csb0="00040001" w:csb1="00000000"/>
    <w:embedRegular r:id="rId4" w:fontKey="{04A4AAB9-BF18-459F-964C-D4AA47875E0C}"/>
  </w:font>
  <w:font w:name="方正仿宋_GBK">
    <w:panose1 w:val="02000000000000000000"/>
    <w:charset w:val="86"/>
    <w:family w:val="script"/>
    <w:pitch w:val="default"/>
    <w:sig w:usb0="A00002BF" w:usb1="38CF7CFA" w:usb2="00082016" w:usb3="00000000" w:csb0="00040001" w:csb1="00000000"/>
    <w:embedRegular r:id="rId5" w:fontKey="{1E27B4C7-93F6-4FCA-AEF6-C7A6C43449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MzM3YjQ5MzE2NmQ4ZTkyOGNmY2I4MjVhYWU4NTgifQ=="/>
  </w:docVars>
  <w:rsids>
    <w:rsidRoot w:val="00000000"/>
    <w:rsid w:val="74E1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2024-07-22T10:27:11Z</dcterms:created>
  <dc:creator>dell</dc:creator>
  <cp:lastModifiedBy>瀑雲夕歌</cp:lastModifiedBy>
  <dcterms:modified xsi:type="dcterms:W3CDTF">2024-07-22T10:27:27Z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B87C41CDB02D4B28B9DB370C3A19881B_12</vt:lpwstr>
  </property>
</Properties>
</file>