
<file path=[Content_Types].xml><?xml version="1.0" encoding="utf-8"?>
<Types xmlns="http://schemas.openxmlformats.org/package/2006/content-types">
  <Default Extension="xml" ContentType="application/xml"/>
  <Default Extension="tiff" ContentType="image/tif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30"/>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20"/>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pPr>
              <w:pStyle w:val="20"/>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23.100</w:t>
            </w:r>
            <w:r>
              <w:rPr>
                <w:rFonts w:ascii="黑体" w:hAnsi="黑体" w:eastAsia="黑体"/>
                <w:sz w:val="21"/>
                <w:szCs w:val="21"/>
              </w:rPr>
              <w:fldChar w:fldCharType="end"/>
            </w:r>
            <w:bookmarkEnd w:id="0"/>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pPr>
              <w:pStyle w:val="20"/>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pPr>
              <w:pStyle w:val="20"/>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 xml:space="preserve"> J 70</w:t>
            </w:r>
            <w:r>
              <w:rPr>
                <w:rFonts w:ascii="黑体" w:hAnsi="黑体" w:eastAsia="黑体"/>
                <w:sz w:val="21"/>
                <w:szCs w:val="21"/>
              </w:rPr>
              <w:fldChar w:fldCharType="end"/>
            </w:r>
            <w:bookmarkEnd w:id="1"/>
          </w:p>
        </w:tc>
      </w:tr>
    </w:tbl>
    <w:tbl>
      <w:tblPr>
        <w:tblStyle w:val="30"/>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pPr>
              <w:pStyle w:val="54"/>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32</w:t>
            </w:r>
            <w:r>
              <w:fldChar w:fldCharType="end"/>
            </w:r>
            <w:bookmarkEnd w:id="3"/>
          </w:p>
        </w:tc>
      </w:tr>
    </w:tbl>
    <w:p>
      <w:pPr>
        <w:pStyle w:val="55"/>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江苏省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pPr>
        <w:pStyle w:val="200"/>
        <w:framePr w:wrap="around"/>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t>32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pPr>
        <w:pStyle w:val="201"/>
        <w:framePr w:wrap="around"/>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pPr>
        <w:pStyle w:val="55"/>
        <w:framePr w:w="9639" w:h="6976" w:hRule="exact" w:hSpace="0" w:vSpace="0" w:wrap="around" w:hAnchor="page" w:y="6408"/>
        <w:jc w:val="center"/>
        <w:rPr>
          <w:rFonts w:ascii="黑体" w:hAnsi="黑体" w:eastAsia="黑体"/>
          <w:b w:val="0"/>
          <w:bCs w:val="0"/>
          <w:w w:val="100"/>
        </w:rPr>
      </w:pPr>
    </w:p>
    <w:p>
      <w:pPr>
        <w:pStyle w:val="202"/>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t>超高压水射流船舶除锈工艺规范</w:t>
      </w:r>
      <w:r>
        <w:fldChar w:fldCharType="end"/>
      </w:r>
      <w:bookmarkEnd w:id="9"/>
    </w:p>
    <w:p>
      <w:pPr>
        <w:framePr w:w="9639" w:h="6974" w:hRule="exact" w:wrap="around" w:vAnchor="page" w:hAnchor="page" w:x="1419" w:y="6408" w:anchorLock="1"/>
        <w:ind w:left="-1418"/>
      </w:pPr>
    </w:p>
    <w:p>
      <w:pPr>
        <w:pStyle w:val="130"/>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Process Specification for Ship Rust Removal of Ultra-high Pressure Waterjet</w:t>
      </w:r>
      <w:r>
        <w:rPr>
          <w:rFonts w:eastAsia="黑体"/>
          <w:szCs w:val="28"/>
        </w:rPr>
        <w:fldChar w:fldCharType="end"/>
      </w:r>
      <w:bookmarkEnd w:id="10"/>
    </w:p>
    <w:p>
      <w:pPr>
        <w:framePr w:w="9639" w:h="6974" w:hRule="exact" w:wrap="around" w:vAnchor="page" w:hAnchor="page" w:x="1419" w:y="6408" w:anchorLock="1"/>
        <w:spacing w:line="760" w:lineRule="exact"/>
        <w:ind w:left="-1418"/>
      </w:pPr>
    </w:p>
    <w:p>
      <w:pPr>
        <w:pStyle w:val="130"/>
        <w:framePr w:w="9639" w:h="6974" w:hRule="exact" w:wrap="around" w:vAnchor="page" w:hAnchor="page" w:x="1419" w:y="6408" w:anchorLock="1"/>
        <w:textAlignment w:val="bottom"/>
        <w:rPr>
          <w:rFonts w:eastAsia="黑体"/>
          <w:szCs w:val="28"/>
        </w:rPr>
      </w:pPr>
    </w:p>
    <w:p>
      <w:pPr>
        <w:pStyle w:val="130"/>
        <w:framePr w:w="9639" w:h="6974" w:hRule="exact" w:wrap="around" w:vAnchor="page" w:hAnchor="page" w:x="1419" w:y="6408" w:anchorLock="1"/>
        <w:spacing w:before="440" w:after="160"/>
        <w:textAlignment w:val="bottom"/>
        <w:rPr>
          <w:sz w:val="24"/>
          <w:szCs w:val="28"/>
        </w:rPr>
      </w:pPr>
      <w:r>
        <w:rPr>
          <w:rFonts w:hint="eastAsia"/>
          <w:sz w:val="24"/>
          <w:szCs w:val="28"/>
        </w:rPr>
        <w:t>（</w:t>
      </w:r>
      <w:r>
        <w:rPr>
          <w:rFonts w:hint="eastAsia"/>
          <w:sz w:val="24"/>
          <w:szCs w:val="28"/>
          <w:lang w:eastAsia="zh-CN"/>
        </w:rPr>
        <w:t>征求意见</w:t>
      </w:r>
      <w:r>
        <w:rPr>
          <w:rFonts w:hint="eastAsia"/>
          <w:sz w:val="24"/>
          <w:szCs w:val="28"/>
        </w:rPr>
        <w:t>稿）</w:t>
      </w:r>
      <w:r>
        <w:rPr>
          <w:sz w:val="24"/>
          <w:szCs w:val="28"/>
        </w:rPr>
        <w:fldChar w:fldCharType="begin">
          <w:ffData>
            <w:name w:val="下拉1"/>
            <w:enabled/>
            <w:calcOnExit w:val="0"/>
            <w:ddList>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pPr>
        <w:pStyle w:val="130"/>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pPr>
        <w:pStyle w:val="198"/>
        <w:framePr w:wrap="around" w:y="14176"/>
      </w:pPr>
      <w:r>
        <w:rPr>
          <w:rFonts w:hint="eastAsia" w:ascii="黑体"/>
          <w:lang w:val="en-US" w:eastAsia="zh-CN"/>
        </w:rPr>
        <w:t>2024</w:t>
      </w:r>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3"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3"/>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4"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4"/>
      <w:r>
        <w:rPr>
          <w:rFonts w:hint="eastAsia"/>
        </w:rPr>
        <w:t>发布</w:t>
      </w:r>
    </w:p>
    <w:p>
      <w:pPr>
        <w:pStyle w:val="199"/>
        <w:framePr w:wrap="around" w:y="14176"/>
      </w:pPr>
      <w:r>
        <w:rPr>
          <w:rFonts w:hint="eastAsia" w:ascii="黑体"/>
          <w:lang w:val="en-US" w:eastAsia="zh-CN"/>
        </w:rPr>
        <w:t>2024</w:t>
      </w:r>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5"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6"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实施</w:t>
      </w:r>
    </w:p>
    <w:p>
      <w:pPr>
        <w:pStyle w:val="156"/>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17" w:name="fm"/>
      <w:r>
        <w:rPr>
          <w:rFonts w:hAnsi="黑体"/>
          <w:w w:val="100"/>
          <w:sz w:val="28"/>
        </w:rPr>
        <w:instrText xml:space="preserve"> FORMTEXT </w:instrText>
      </w:r>
      <w:r>
        <w:rPr>
          <w:rFonts w:hAnsi="黑体"/>
          <w:w w:val="100"/>
          <w:sz w:val="28"/>
        </w:rPr>
        <w:fldChar w:fldCharType="separate"/>
      </w:r>
      <w:r>
        <w:rPr>
          <w:rFonts w:hint="eastAsia" w:hAnsi="黑体"/>
          <w:w w:val="100"/>
          <w:sz w:val="28"/>
        </w:rPr>
        <w:t>江苏省</w:t>
      </w:r>
      <w:r>
        <w:rPr>
          <w:rFonts w:hint="eastAsia" w:hAnsi="黑体"/>
          <w:w w:val="100"/>
          <w:sz w:val="28"/>
          <w:lang w:eastAsia="zh-CN"/>
        </w:rPr>
        <w:t>市场</w:t>
      </w:r>
      <w:r>
        <w:rPr>
          <w:rFonts w:hint="eastAsia" w:hAnsi="黑体"/>
          <w:w w:val="100"/>
          <w:sz w:val="28"/>
        </w:rPr>
        <w:t>监督</w:t>
      </w:r>
      <w:r>
        <w:rPr>
          <w:rFonts w:hAnsi="黑体"/>
          <w:w w:val="100"/>
          <w:sz w:val="28"/>
        </w:rPr>
        <w:t>管理局</w:t>
      </w:r>
      <w:r>
        <w:rPr>
          <w:rFonts w:hAnsi="黑体"/>
          <w:w w:val="100"/>
          <w:sz w:val="28"/>
        </w:rPr>
        <w:fldChar w:fldCharType="end"/>
      </w:r>
      <w:bookmarkEnd w:id="17"/>
      <w:r>
        <w:rPr>
          <w:rFonts w:ascii="Times New Roman"/>
          <w:w w:val="100"/>
          <w:sz w:val="28"/>
        </w:rPr>
        <w:t>  </w:t>
      </w:r>
      <w:r>
        <w:rPr>
          <w:rStyle w:val="234"/>
          <w:rFonts w:hint="eastAsia" w:hAnsi="黑体"/>
          <w:position w:val="0"/>
        </w:rPr>
        <w:t>发</w:t>
      </w:r>
      <w:r>
        <w:rPr>
          <w:rStyle w:val="234"/>
          <w:rFonts w:hint="eastAsia" w:hAnsi="黑体"/>
          <w:spacing w:val="0"/>
          <w:position w:val="0"/>
        </w:rPr>
        <w:t>布</w:t>
      </w:r>
    </w:p>
    <w:p>
      <w:pPr>
        <w:rPr>
          <w:rFonts w:ascii="宋体" w:hAnsi="宋体"/>
          <w:sz w:val="28"/>
          <w:szCs w:val="28"/>
        </w:rPr>
        <w:sectPr>
          <w:headerReference r:id="rId7" w:type="first"/>
          <w:footerReference r:id="rId10" w:type="first"/>
          <w:headerReference r:id="rId5" w:type="default"/>
          <w:footerReference r:id="rId8" w:type="default"/>
          <w:headerReference r:id="rId6" w:type="even"/>
          <w:footerReference r:id="rId9"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pPr>
        <w:pStyle w:val="96"/>
        <w:spacing w:after="468"/>
      </w:pPr>
      <w:bookmarkStart w:id="18" w:name="BookMark1"/>
      <w:bookmarkStart w:id="19" w:name="_Toc119075720"/>
      <w:bookmarkStart w:id="20" w:name="_Toc159937656"/>
      <w:bookmarkStart w:id="21" w:name="_Toc9459"/>
      <w:r>
        <w:rPr>
          <w:rFonts w:hint="eastAsia"/>
          <w:spacing w:val="320"/>
        </w:rPr>
        <w:t>目</w:t>
      </w:r>
      <w:r>
        <w:rPr>
          <w:rFonts w:hint="eastAsia"/>
        </w:rPr>
        <w:t>次</w:t>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"_Toc159942437" </w:instrText>
      </w:r>
      <w:r>
        <w:fldChar w:fldCharType="separate"/>
      </w:r>
      <w:r>
        <w:rPr>
          <w:rStyle w:val="36"/>
          <w:spacing w:val="320"/>
        </w:rPr>
        <w:t>前</w:t>
      </w:r>
      <w:r>
        <w:rPr>
          <w:rStyle w:val="36"/>
        </w:rPr>
        <w:t>言</w:t>
      </w:r>
      <w:r>
        <w:tab/>
      </w:r>
      <w:r>
        <w:fldChar w:fldCharType="begin"/>
      </w:r>
      <w:r>
        <w:instrText xml:space="preserve"> PAGEREF _Toc159942437 \h </w:instrText>
      </w:r>
      <w:r>
        <w:fldChar w:fldCharType="separate"/>
      </w:r>
      <w:r>
        <w:t>III</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"_Toc159942438" </w:instrText>
      </w:r>
      <w:r>
        <w:fldChar w:fldCharType="separate"/>
      </w:r>
      <w:r>
        <w:rPr>
          <w:rStyle w:val="36"/>
          <w:spacing w:val="320"/>
        </w:rPr>
        <w:t>引言</w:t>
      </w:r>
      <w:r>
        <w:tab/>
      </w:r>
      <w:r>
        <w:fldChar w:fldCharType="begin"/>
      </w:r>
      <w:r>
        <w:instrText xml:space="preserve"> PAGEREF _Toc159942438 \h </w:instrText>
      </w:r>
      <w:r>
        <w:fldChar w:fldCharType="separate"/>
      </w:r>
      <w:r>
        <w:t>IV</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"_Toc159942439" </w:instrText>
      </w:r>
      <w:r>
        <w:fldChar w:fldCharType="separate"/>
      </w:r>
      <w:r>
        <w:rPr>
          <w:rStyle w:val="36"/>
        </w:rPr>
        <w:t>1 范围</w:t>
      </w:r>
      <w:r>
        <w:tab/>
      </w:r>
      <w:r>
        <w:fldChar w:fldCharType="begin"/>
      </w:r>
      <w:r>
        <w:instrText xml:space="preserve"> PAGEREF _Toc159942439 \h </w:instrText>
      </w:r>
      <w:r>
        <w:fldChar w:fldCharType="separate"/>
      </w:r>
      <w:r>
        <w:t>1</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"_Toc159942440" </w:instrText>
      </w:r>
      <w:r>
        <w:fldChar w:fldCharType="separate"/>
      </w:r>
      <w:r>
        <w:rPr>
          <w:rStyle w:val="36"/>
        </w:rPr>
        <w:t>2 规范性引用文件</w:t>
      </w:r>
      <w:r>
        <w:tab/>
      </w:r>
      <w:r>
        <w:fldChar w:fldCharType="begin"/>
      </w:r>
      <w:r>
        <w:instrText xml:space="preserve"> PAGEREF _Toc159942440 \h </w:instrText>
      </w:r>
      <w:r>
        <w:fldChar w:fldCharType="separate"/>
      </w:r>
      <w:r>
        <w:t>1</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"_Toc159942441" </w:instrText>
      </w:r>
      <w:r>
        <w:fldChar w:fldCharType="separate"/>
      </w:r>
      <w:r>
        <w:rPr>
          <w:rStyle w:val="36"/>
        </w:rPr>
        <w:t>3 术语和定义</w:t>
      </w:r>
      <w:r>
        <w:tab/>
      </w:r>
      <w:r>
        <w:fldChar w:fldCharType="begin"/>
      </w:r>
      <w:r>
        <w:instrText xml:space="preserve"> PAGEREF _Toc159942441 \h </w:instrText>
      </w:r>
      <w:r>
        <w:fldChar w:fldCharType="separate"/>
      </w:r>
      <w:r>
        <w:t>1</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"_Toc159942448" </w:instrText>
      </w:r>
      <w:r>
        <w:fldChar w:fldCharType="separate"/>
      </w:r>
      <w:r>
        <w:rPr>
          <w:rStyle w:val="36"/>
        </w:rPr>
        <w:t>4 除锈</w:t>
      </w:r>
      <w:r>
        <w:rPr>
          <w:rStyle w:val="36"/>
          <w:rFonts w:ascii="Times New Roman"/>
        </w:rPr>
        <w:t>处理</w:t>
      </w:r>
      <w:r>
        <w:rPr>
          <w:rStyle w:val="36"/>
        </w:rPr>
        <w:t>等级与闪锈等级</w:t>
      </w:r>
      <w:r>
        <w:tab/>
      </w:r>
      <w:r>
        <w:fldChar w:fldCharType="begin"/>
      </w:r>
      <w:r>
        <w:instrText xml:space="preserve"> PAGEREF _Toc159942448 \h </w:instrText>
      </w:r>
      <w:r>
        <w:fldChar w:fldCharType="separate"/>
      </w:r>
      <w:r>
        <w:t>2</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"_Toc159942449" </w:instrText>
      </w:r>
      <w:r>
        <w:fldChar w:fldCharType="separate"/>
      </w:r>
      <w:r>
        <w:rPr>
          <w:rStyle w:val="36"/>
          <w14:scene3d>
            <w14:lightRig w14:rig="threePt" w14:dir="t">
              <w14:rot w14:lat="0" w14:lon="0" w14:rev="0"/>
            </w14:lightRig>
          </w14:scene3d>
        </w:rPr>
        <w:t>4.1</w:t>
      </w:r>
      <w:r>
        <w:rPr>
          <w:rStyle w:val="36"/>
        </w:rPr>
        <w:t xml:space="preserve"> 目视法除锈</w:t>
      </w:r>
      <w:r>
        <w:rPr>
          <w:rStyle w:val="36"/>
          <w:rFonts w:ascii="Times New Roman"/>
        </w:rPr>
        <w:t>处理</w:t>
      </w:r>
      <w:r>
        <w:rPr>
          <w:rStyle w:val="36"/>
        </w:rPr>
        <w:t>等级</w:t>
      </w:r>
      <w:r>
        <w:tab/>
      </w:r>
      <w:r>
        <w:fldChar w:fldCharType="begin"/>
      </w:r>
      <w:r>
        <w:instrText xml:space="preserve"> PAGEREF _Toc159942449 \h </w:instrText>
      </w:r>
      <w:r>
        <w:fldChar w:fldCharType="separate"/>
      </w:r>
      <w:r>
        <w:t>2</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"_Toc159942450" </w:instrText>
      </w:r>
      <w:r>
        <w:fldChar w:fldCharType="separate"/>
      </w:r>
      <w:r>
        <w:rPr>
          <w:rStyle w:val="36"/>
          <w14:scene3d>
            <w14:lightRig w14:rig="threePt" w14:dir="t">
              <w14:rot w14:lat="0" w14:lon="0" w14:rev="0"/>
            </w14:lightRig>
          </w14:scene3d>
        </w:rPr>
        <w:t>4.2</w:t>
      </w:r>
      <w:r>
        <w:rPr>
          <w:rStyle w:val="36"/>
        </w:rPr>
        <w:t xml:space="preserve"> 测试法除锈处理等级</w:t>
      </w:r>
      <w:r>
        <w:tab/>
      </w:r>
      <w:r>
        <w:fldChar w:fldCharType="begin"/>
      </w:r>
      <w:r>
        <w:instrText xml:space="preserve"> PAGEREF _Toc159942450 \h </w:instrText>
      </w:r>
      <w:r>
        <w:fldChar w:fldCharType="separate"/>
      </w:r>
      <w:r>
        <w:t>2</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"_Toc159942451" </w:instrText>
      </w:r>
      <w:r>
        <w:fldChar w:fldCharType="separate"/>
      </w:r>
      <w:r>
        <w:rPr>
          <w:rStyle w:val="36"/>
          <w14:scene3d>
            <w14:lightRig w14:rig="threePt" w14:dir="t">
              <w14:rot w14:lat="0" w14:lon="0" w14:rev="0"/>
            </w14:lightRig>
          </w14:scene3d>
        </w:rPr>
        <w:t>4.3</w:t>
      </w:r>
      <w:r>
        <w:rPr>
          <w:rStyle w:val="36"/>
        </w:rPr>
        <w:t xml:space="preserve"> 闪锈等级</w:t>
      </w:r>
      <w:r>
        <w:tab/>
      </w:r>
      <w:r>
        <w:fldChar w:fldCharType="begin"/>
      </w:r>
      <w:r>
        <w:instrText xml:space="preserve"> PAGEREF _Toc159942451 \h </w:instrText>
      </w:r>
      <w:r>
        <w:fldChar w:fldCharType="separate"/>
      </w:r>
      <w:r>
        <w:t>2</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"_Toc159942452" </w:instrText>
      </w:r>
      <w:r>
        <w:fldChar w:fldCharType="separate"/>
      </w:r>
      <w:r>
        <w:rPr>
          <w:rStyle w:val="36"/>
        </w:rPr>
        <w:t>5 除锈工艺参数</w:t>
      </w:r>
      <w:r>
        <w:tab/>
      </w:r>
      <w:r>
        <w:fldChar w:fldCharType="begin"/>
      </w:r>
      <w:r>
        <w:instrText xml:space="preserve"> PAGEREF _Toc159942452 \h </w:instrText>
      </w:r>
      <w:r>
        <w:fldChar w:fldCharType="separate"/>
      </w:r>
      <w:r>
        <w:t>3</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"_Toc159942453" </w:instrText>
      </w:r>
      <w:r>
        <w:fldChar w:fldCharType="separate"/>
      </w:r>
      <w:r>
        <w:rPr>
          <w:rStyle w:val="36"/>
          <w14:scene3d>
            <w14:lightRig w14:rig="threePt" w14:dir="t">
              <w14:rot w14:lat="0" w14:lon="0" w14:rev="0"/>
            </w14:lightRig>
          </w14:scene3d>
        </w:rPr>
        <w:t>5.1</w:t>
      </w:r>
      <w:r>
        <w:rPr>
          <w:rStyle w:val="36"/>
        </w:rPr>
        <w:t xml:space="preserve"> 压力与流量的选择</w:t>
      </w:r>
      <w:r>
        <w:tab/>
      </w:r>
      <w:r>
        <w:fldChar w:fldCharType="begin"/>
      </w:r>
      <w:r>
        <w:instrText xml:space="preserve"> PAGEREF _Toc159942453 \h </w:instrText>
      </w:r>
      <w:r>
        <w:fldChar w:fldCharType="separate"/>
      </w:r>
      <w:r>
        <w:t>3</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"_Toc159942454" </w:instrText>
      </w:r>
      <w:r>
        <w:fldChar w:fldCharType="separate"/>
      </w:r>
      <w:r>
        <w:rPr>
          <w:rStyle w:val="36"/>
          <w14:scene3d>
            <w14:lightRig w14:rig="threePt" w14:dir="t">
              <w14:rot w14:lat="0" w14:lon="0" w14:rev="0"/>
            </w14:lightRig>
          </w14:scene3d>
        </w:rPr>
        <w:t>5.2</w:t>
      </w:r>
      <w:r>
        <w:rPr>
          <w:rStyle w:val="36"/>
        </w:rPr>
        <w:t xml:space="preserve"> 靶距的选择</w:t>
      </w:r>
      <w:r>
        <w:tab/>
      </w:r>
      <w:r>
        <w:fldChar w:fldCharType="begin"/>
      </w:r>
      <w:r>
        <w:instrText xml:space="preserve"> PAGEREF _Toc159942454 \h </w:instrText>
      </w:r>
      <w:r>
        <w:fldChar w:fldCharType="separate"/>
      </w:r>
      <w:r>
        <w:t>3</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"_Toc159942455" </w:instrText>
      </w:r>
      <w:r>
        <w:fldChar w:fldCharType="separate"/>
      </w:r>
      <w:r>
        <w:rPr>
          <w:rStyle w:val="36"/>
          <w14:scene3d>
            <w14:lightRig w14:rig="threePt" w14:dir="t">
              <w14:rot w14:lat="0" w14:lon="0" w14:rev="0"/>
            </w14:lightRig>
          </w14:scene3d>
        </w:rPr>
        <w:t>5.3</w:t>
      </w:r>
      <w:r>
        <w:rPr>
          <w:rStyle w:val="36"/>
        </w:rPr>
        <w:t xml:space="preserve"> 除锈宽幅与喷头移动速度的选择</w:t>
      </w:r>
      <w:r>
        <w:tab/>
      </w:r>
      <w:r>
        <w:fldChar w:fldCharType="begin"/>
      </w:r>
      <w:r>
        <w:instrText xml:space="preserve"> PAGEREF _Toc159942455 \h </w:instrText>
      </w:r>
      <w:r>
        <w:fldChar w:fldCharType="separate"/>
      </w:r>
      <w:r>
        <w:t>3</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"_Toc159942456" </w:instrText>
      </w:r>
      <w:r>
        <w:fldChar w:fldCharType="separate"/>
      </w:r>
      <w:r>
        <w:rPr>
          <w:rStyle w:val="36"/>
        </w:rPr>
        <w:t>6 除锈作业模式</w:t>
      </w:r>
      <w:r>
        <w:tab/>
      </w:r>
      <w:r>
        <w:fldChar w:fldCharType="begin"/>
      </w:r>
      <w:r>
        <w:instrText xml:space="preserve"> PAGEREF _Toc159942456 \h </w:instrText>
      </w:r>
      <w:r>
        <w:fldChar w:fldCharType="separate"/>
      </w:r>
      <w:r>
        <w:t>4</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"_Toc159942457" </w:instrText>
      </w:r>
      <w:r>
        <w:fldChar w:fldCharType="separate"/>
      </w:r>
      <w:r>
        <w:rPr>
          <w:rStyle w:val="36"/>
          <w14:scene3d>
            <w14:lightRig w14:rig="threePt" w14:dir="t">
              <w14:rot w14:lat="0" w14:lon="0" w14:rev="0"/>
            </w14:lightRig>
          </w14:scene3d>
        </w:rPr>
        <w:t>6.1</w:t>
      </w:r>
      <w:r>
        <w:rPr>
          <w:rStyle w:val="36"/>
        </w:rPr>
        <w:t xml:space="preserve"> 一般要求</w:t>
      </w:r>
      <w:r>
        <w:tab/>
      </w:r>
      <w:r>
        <w:fldChar w:fldCharType="begin"/>
      </w:r>
      <w:r>
        <w:instrText xml:space="preserve"> PAGEREF _Toc159942457 \h </w:instrText>
      </w:r>
      <w:r>
        <w:fldChar w:fldCharType="separate"/>
      </w:r>
      <w:r>
        <w:t>4</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"_Toc159942458" </w:instrText>
      </w:r>
      <w:r>
        <w:fldChar w:fldCharType="separate"/>
      </w:r>
      <w:r>
        <w:rPr>
          <w:rStyle w:val="36"/>
          <w14:scene3d>
            <w14:lightRig w14:rig="threePt" w14:dir="t">
              <w14:rot w14:lat="0" w14:lon="0" w14:rev="0"/>
            </w14:lightRig>
          </w14:scene3d>
        </w:rPr>
        <w:t>6.2</w:t>
      </w:r>
      <w:r>
        <w:rPr>
          <w:rStyle w:val="36"/>
        </w:rPr>
        <w:t xml:space="preserve"> 除锈作业比率的制定</w:t>
      </w:r>
      <w:r>
        <w:tab/>
      </w:r>
      <w:r>
        <w:fldChar w:fldCharType="begin"/>
      </w:r>
      <w:r>
        <w:instrText xml:space="preserve"> PAGEREF _Toc159942458 \h </w:instrText>
      </w:r>
      <w:r>
        <w:fldChar w:fldCharType="separate"/>
      </w:r>
      <w:r>
        <w:t>4</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"_Toc159942459" </w:instrText>
      </w:r>
      <w:r>
        <w:fldChar w:fldCharType="separate"/>
      </w:r>
      <w:r>
        <w:rPr>
          <w:rStyle w:val="36"/>
          <w14:scene3d>
            <w14:lightRig w14:rig="threePt" w14:dir="t">
              <w14:rot w14:lat="0" w14:lon="0" w14:rev="0"/>
            </w14:lightRig>
          </w14:scene3d>
        </w:rPr>
        <w:t>6.3</w:t>
      </w:r>
      <w:r>
        <w:rPr>
          <w:rStyle w:val="36"/>
        </w:rPr>
        <w:t xml:space="preserve"> 除锈作业施工区域面积的制定</w:t>
      </w:r>
      <w:r>
        <w:tab/>
      </w:r>
      <w:r>
        <w:fldChar w:fldCharType="begin"/>
      </w:r>
      <w:r>
        <w:instrText xml:space="preserve"> PAGEREF _Toc159942459 \h </w:instrText>
      </w:r>
      <w:r>
        <w:fldChar w:fldCharType="separate"/>
      </w:r>
      <w:r>
        <w:t>5</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"_Toc159942460" </w:instrText>
      </w:r>
      <w:r>
        <w:fldChar w:fldCharType="separate"/>
      </w:r>
      <w:r>
        <w:rPr>
          <w:rStyle w:val="36"/>
          <w14:scene3d>
            <w14:lightRig w14:rig="threePt" w14:dir="t">
              <w14:rot w14:lat="0" w14:lon="0" w14:rev="0"/>
            </w14:lightRig>
          </w14:scene3d>
        </w:rPr>
        <w:t>6.4</w:t>
      </w:r>
      <w:r>
        <w:rPr>
          <w:rStyle w:val="36"/>
        </w:rPr>
        <w:t xml:space="preserve"> 除锈作业执行机构的选用</w:t>
      </w:r>
      <w:r>
        <w:tab/>
      </w:r>
      <w:r>
        <w:fldChar w:fldCharType="begin"/>
      </w:r>
      <w:r>
        <w:instrText xml:space="preserve"> PAGEREF _Toc159942460 \h </w:instrText>
      </w:r>
      <w:r>
        <w:fldChar w:fldCharType="separate"/>
      </w:r>
      <w:r>
        <w:t>5</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"_Toc159942461" </w:instrText>
      </w:r>
      <w:r>
        <w:fldChar w:fldCharType="separate"/>
      </w:r>
      <w:r>
        <w:rPr>
          <w:rStyle w:val="36"/>
        </w:rPr>
        <w:t>7 除锈作业要求</w:t>
      </w:r>
      <w:r>
        <w:tab/>
      </w:r>
      <w:r>
        <w:fldChar w:fldCharType="begin"/>
      </w:r>
      <w:r>
        <w:instrText xml:space="preserve"> PAGEREF _Toc159942461 \h </w:instrText>
      </w:r>
      <w:r>
        <w:fldChar w:fldCharType="separate"/>
      </w:r>
      <w:r>
        <w:t>5</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"_Toc159942462" </w:instrText>
      </w:r>
      <w:r>
        <w:fldChar w:fldCharType="separate"/>
      </w:r>
      <w:r>
        <w:rPr>
          <w:rStyle w:val="36"/>
          <w14:scene3d>
            <w14:lightRig w14:rig="threePt" w14:dir="t">
              <w14:rot w14:lat="0" w14:lon="0" w14:rev="0"/>
            </w14:lightRig>
          </w14:scene3d>
        </w:rPr>
        <w:t>7.1</w:t>
      </w:r>
      <w:r>
        <w:rPr>
          <w:rStyle w:val="36"/>
        </w:rPr>
        <w:t xml:space="preserve"> 人员</w:t>
      </w:r>
      <w:r>
        <w:tab/>
      </w:r>
      <w:r>
        <w:fldChar w:fldCharType="begin"/>
      </w:r>
      <w:r>
        <w:instrText xml:space="preserve"> PAGEREF _Toc159942462 \h </w:instrText>
      </w:r>
      <w:r>
        <w:fldChar w:fldCharType="separate"/>
      </w:r>
      <w:r>
        <w:t>6</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"_Toc159942463" </w:instrText>
      </w:r>
      <w:r>
        <w:fldChar w:fldCharType="separate"/>
      </w:r>
      <w:r>
        <w:rPr>
          <w:rStyle w:val="36"/>
          <w14:scene3d>
            <w14:lightRig w14:rig="threePt" w14:dir="t">
              <w14:rot w14:lat="0" w14:lon="0" w14:rev="0"/>
            </w14:lightRig>
          </w14:scene3d>
        </w:rPr>
        <w:t>7.2</w:t>
      </w:r>
      <w:r>
        <w:rPr>
          <w:rStyle w:val="36"/>
        </w:rPr>
        <w:t xml:space="preserve"> 设备</w:t>
      </w:r>
      <w:r>
        <w:tab/>
      </w:r>
      <w:r>
        <w:fldChar w:fldCharType="begin"/>
      </w:r>
      <w:r>
        <w:instrText xml:space="preserve"> PAGEREF _Toc159942463 \h </w:instrText>
      </w:r>
      <w:r>
        <w:fldChar w:fldCharType="separate"/>
      </w:r>
      <w:r>
        <w:t>7</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"_Toc159942464" </w:instrText>
      </w:r>
      <w:r>
        <w:fldChar w:fldCharType="separate"/>
      </w:r>
      <w:r>
        <w:rPr>
          <w:rStyle w:val="36"/>
          <w14:scene3d>
            <w14:lightRig w14:rig="threePt" w14:dir="t">
              <w14:rot w14:lat="0" w14:lon="0" w14:rev="0"/>
            </w14:lightRig>
          </w14:scene3d>
        </w:rPr>
        <w:t>7.3</w:t>
      </w:r>
      <w:r>
        <w:rPr>
          <w:rStyle w:val="36"/>
        </w:rPr>
        <w:t xml:space="preserve"> 维护保养</w:t>
      </w:r>
      <w:r>
        <w:tab/>
      </w:r>
      <w:r>
        <w:fldChar w:fldCharType="begin"/>
      </w:r>
      <w:r>
        <w:instrText xml:space="preserve"> PAGEREF _Toc159942464 \h </w:instrText>
      </w:r>
      <w:r>
        <w:fldChar w:fldCharType="separate"/>
      </w:r>
      <w:r>
        <w:t>7</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"_Toc159942465" </w:instrText>
      </w:r>
      <w:r>
        <w:fldChar w:fldCharType="separate"/>
      </w:r>
      <w:r>
        <w:rPr>
          <w:rStyle w:val="36"/>
          <w14:scene3d>
            <w14:lightRig w14:rig="threePt" w14:dir="t">
              <w14:rot w14:lat="0" w14:lon="0" w14:rev="0"/>
            </w14:lightRig>
          </w14:scene3d>
        </w:rPr>
        <w:t>7.4</w:t>
      </w:r>
      <w:r>
        <w:rPr>
          <w:rStyle w:val="36"/>
        </w:rPr>
        <w:t xml:space="preserve"> 关键零部件的维护</w:t>
      </w:r>
      <w:r>
        <w:tab/>
      </w:r>
      <w:r>
        <w:fldChar w:fldCharType="begin"/>
      </w:r>
      <w:r>
        <w:instrText xml:space="preserve"> PAGEREF _Toc159942465 \h </w:instrText>
      </w:r>
      <w:r>
        <w:fldChar w:fldCharType="separate"/>
      </w:r>
      <w:r>
        <w:t>8</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"_Toc159942466" </w:instrText>
      </w:r>
      <w:r>
        <w:fldChar w:fldCharType="separate"/>
      </w:r>
      <w:r>
        <w:rPr>
          <w:rStyle w:val="36"/>
          <w14:scene3d>
            <w14:lightRig w14:rig="threePt" w14:dir="t">
              <w14:rot w14:lat="0" w14:lon="0" w14:rev="0"/>
            </w14:lightRig>
          </w14:scene3d>
        </w:rPr>
        <w:t>7.5</w:t>
      </w:r>
      <w:r>
        <w:rPr>
          <w:rStyle w:val="36"/>
        </w:rPr>
        <w:t xml:space="preserve"> 人员防护</w:t>
      </w:r>
      <w:r>
        <w:tab/>
      </w:r>
      <w:r>
        <w:fldChar w:fldCharType="begin"/>
      </w:r>
      <w:r>
        <w:instrText xml:space="preserve"> PAGEREF _Toc159942466 \h </w:instrText>
      </w:r>
      <w:r>
        <w:fldChar w:fldCharType="separate"/>
      </w:r>
      <w:r>
        <w:t>8</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"_Toc159942467" </w:instrText>
      </w:r>
      <w:r>
        <w:fldChar w:fldCharType="separate"/>
      </w:r>
      <w:r>
        <w:rPr>
          <w:rStyle w:val="36"/>
          <w:spacing w:val="100"/>
        </w:rPr>
        <w:t>附录A</w:t>
      </w:r>
      <w:r>
        <w:rPr>
          <w:rStyle w:val="36"/>
        </w:rPr>
        <w:t xml:space="preserve"> （资料性） 除锈处理等级表面状态描述</w:t>
      </w:r>
      <w:r>
        <w:tab/>
      </w:r>
      <w:r>
        <w:fldChar w:fldCharType="begin"/>
      </w:r>
      <w:r>
        <w:instrText xml:space="preserve"> PAGEREF _Toc159942467 \h </w:instrText>
      </w:r>
      <w:r>
        <w:fldChar w:fldCharType="separate"/>
      </w:r>
      <w:r>
        <w:t>10</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"_Toc159942468" </w:instrText>
      </w:r>
      <w:r>
        <w:fldChar w:fldCharType="separate"/>
      </w:r>
      <w:r>
        <w:rPr>
          <w:rStyle w:val="36"/>
        </w:rPr>
        <w:t>A.1 钢材的初始表面状态的示例照片</w:t>
      </w:r>
      <w:r>
        <w:tab/>
      </w:r>
      <w:r>
        <w:fldChar w:fldCharType="begin"/>
      </w:r>
      <w:r>
        <w:instrText xml:space="preserve"> PAGEREF _Toc159942468 \h </w:instrText>
      </w:r>
      <w:r>
        <w:fldChar w:fldCharType="separate"/>
      </w:r>
      <w:r>
        <w:t>10</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"_Toc159942469" </w:instrText>
      </w:r>
      <w:r>
        <w:fldChar w:fldCharType="separate"/>
      </w:r>
      <w:r>
        <w:rPr>
          <w:rStyle w:val="36"/>
        </w:rPr>
        <w:t>A.2 除锈处理等级的表面状态</w:t>
      </w:r>
      <w:r>
        <w:tab/>
      </w:r>
      <w:r>
        <w:fldChar w:fldCharType="begin"/>
      </w:r>
      <w:r>
        <w:instrText xml:space="preserve"> PAGEREF _Toc159942469 \h </w:instrText>
      </w:r>
      <w:r>
        <w:fldChar w:fldCharType="separate"/>
      </w:r>
      <w:r>
        <w:t>13</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"_Toc159942470" </w:instrText>
      </w:r>
      <w:r>
        <w:fldChar w:fldCharType="separate"/>
      </w:r>
      <w:r>
        <w:rPr>
          <w:rStyle w:val="36"/>
        </w:rPr>
        <w:t>A.3 除锈处理等级示例照片</w:t>
      </w:r>
      <w:r>
        <w:tab/>
      </w:r>
      <w:r>
        <w:fldChar w:fldCharType="begin"/>
      </w:r>
      <w:r>
        <w:instrText xml:space="preserve"> PAGEREF _Toc159942470 \h </w:instrText>
      </w:r>
      <w:r>
        <w:fldChar w:fldCharType="separate"/>
      </w:r>
      <w:r>
        <w:t>13</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"_Toc159942471" </w:instrText>
      </w:r>
      <w:r>
        <w:fldChar w:fldCharType="separate"/>
      </w:r>
      <w:r>
        <w:rPr>
          <w:rStyle w:val="36"/>
          <w:spacing w:val="100"/>
        </w:rPr>
        <w:t>附录B</w:t>
      </w:r>
      <w:r>
        <w:rPr>
          <w:rStyle w:val="36"/>
        </w:rPr>
        <w:t xml:space="preserve"> （资料性） 闪锈等级的典型样板照片</w:t>
      </w:r>
      <w:r>
        <w:tab/>
      </w:r>
      <w:r>
        <w:fldChar w:fldCharType="begin"/>
      </w:r>
      <w:r>
        <w:instrText xml:space="preserve"> PAGEREF _Toc159942471 \h </w:instrText>
      </w:r>
      <w:r>
        <w:fldChar w:fldCharType="separate"/>
      </w:r>
      <w:r>
        <w:t>24</w:t>
      </w:r>
      <w:r>
        <w:fldChar w:fldCharType="end"/>
      </w:r>
      <w:r>
        <w:fldChar w:fldCharType="end"/>
      </w:r>
    </w:p>
    <w:p>
      <w:pPr>
        <w:pStyle w:val="26"/>
        <w:rPr>
          <w:rFonts w:asciiTheme="minorHAnsi" w:hAnsiTheme="minorHAnsi" w:eastAsiaTheme="minorEastAsia" w:cstheme="minorBidi"/>
          <w:szCs w:val="22"/>
          <w14:ligatures w14:val="standardContextual"/>
        </w:rPr>
      </w:pPr>
      <w:r>
        <w:fldChar w:fldCharType="begin"/>
      </w:r>
      <w:r>
        <w:instrText xml:space="preserve"> HYPERLINK \l "_Toc159942472" </w:instrText>
      </w:r>
      <w:r>
        <w:fldChar w:fldCharType="separate"/>
      </w:r>
      <w:r>
        <w:rPr>
          <w:rStyle w:val="36"/>
        </w:rPr>
        <w:t>B.1 闪锈等级的典型样本照片</w:t>
      </w:r>
      <w:r>
        <w:tab/>
      </w:r>
      <w:r>
        <w:fldChar w:fldCharType="begin"/>
      </w:r>
      <w:r>
        <w:instrText xml:space="preserve"> PAGEREF _Toc159942472 \h </w:instrText>
      </w:r>
      <w:r>
        <w:fldChar w:fldCharType="separate"/>
      </w:r>
      <w:r>
        <w:t>24</w:t>
      </w:r>
      <w:r>
        <w:fldChar w:fldCharType="end"/>
      </w:r>
      <w:r>
        <w:fldChar w:fldCharType="end"/>
      </w:r>
    </w:p>
    <w:p>
      <w:pPr>
        <w:pStyle w:val="21"/>
        <w:tabs>
          <w:tab w:val="right" w:leader="dot" w:pos="9344"/>
        </w:tabs>
        <w:rPr>
          <w:rFonts w:asciiTheme="minorHAnsi" w:hAnsiTheme="minorHAnsi" w:eastAsiaTheme="minorEastAsia" w:cstheme="minorBidi"/>
          <w:szCs w:val="22"/>
          <w14:ligatures w14:val="standardContextual"/>
        </w:rPr>
      </w:pPr>
      <w:r>
        <w:fldChar w:fldCharType="begin"/>
      </w:r>
      <w:r>
        <w:instrText xml:space="preserve"> HYPERLINK \l "_Toc159942473" </w:instrText>
      </w:r>
      <w:r>
        <w:fldChar w:fldCharType="separate"/>
      </w:r>
      <w:r>
        <w:rPr>
          <w:rStyle w:val="36"/>
          <w:spacing w:val="100"/>
        </w:rPr>
        <w:t>附录C</w:t>
      </w:r>
      <w:r>
        <w:rPr>
          <w:rStyle w:val="36"/>
        </w:rPr>
        <w:t xml:space="preserve"> （资料性） 典型的工艺流程图</w:t>
      </w:r>
      <w:r>
        <w:tab/>
      </w:r>
      <w:r>
        <w:fldChar w:fldCharType="begin"/>
      </w:r>
      <w:r>
        <w:instrText xml:space="preserve"> PAGEREF _Toc159942473 \h </w:instrText>
      </w:r>
      <w:r>
        <w:fldChar w:fldCharType="separate"/>
      </w:r>
      <w:r>
        <w:t>26</w:t>
      </w:r>
      <w:r>
        <w:fldChar w:fldCharType="end"/>
      </w:r>
      <w:r>
        <w:fldChar w:fldCharType="end"/>
      </w:r>
    </w:p>
    <w:p>
      <w:pPr>
        <w:pStyle w:val="96"/>
        <w:spacing w:after="468"/>
        <w:sectPr>
          <w:headerReference r:id="rId11" w:type="default"/>
          <w:footerReference r:id="rId13" w:type="default"/>
          <w:headerReference r:id="rId12" w:type="even"/>
          <w:pgSz w:w="11906" w:h="16838"/>
          <w:pgMar w:top="2410" w:right="1134" w:bottom="1134" w:left="1134" w:header="1418" w:footer="1134" w:gutter="284"/>
          <w:pgNumType w:fmt="upperRoman" w:start="1"/>
          <w:cols w:space="425" w:num="1"/>
          <w:formProt w:val="0"/>
          <w:docGrid w:type="lines" w:linePitch="312" w:charSpace="0"/>
        </w:sectPr>
      </w:pPr>
      <w:r>
        <w:fldChar w:fldCharType="end"/>
      </w:r>
    </w:p>
    <w:bookmarkEnd w:id="18"/>
    <w:p>
      <w:pPr>
        <w:pStyle w:val="94"/>
        <w:spacing w:after="468"/>
      </w:pPr>
      <w:bookmarkStart w:id="22" w:name="_Toc159942437"/>
      <w:bookmarkStart w:id="23" w:name="BookMark2"/>
      <w:r>
        <w:rPr>
          <w:spacing w:val="320"/>
        </w:rPr>
        <w:t>前</w:t>
      </w:r>
      <w:r>
        <w:t>言</w:t>
      </w:r>
      <w:bookmarkEnd w:id="19"/>
      <w:bookmarkEnd w:id="20"/>
      <w:bookmarkEnd w:id="21"/>
      <w:bookmarkEnd w:id="22"/>
    </w:p>
    <w:p>
      <w:pPr>
        <w:pStyle w:val="61"/>
        <w:ind w:firstLine="420"/>
        <w:rPr>
          <w:color w:val="auto"/>
        </w:rPr>
      </w:pPr>
      <w:r>
        <w:rPr>
          <w:rFonts w:hint="eastAsia"/>
          <w:color w:val="auto"/>
        </w:rPr>
        <w:t>本文件按照GB/T 1.1—2020《标准化工作导则  第1部分：标准化文件的结构和起草规则》的规定起草。</w:t>
      </w:r>
    </w:p>
    <w:p>
      <w:pPr>
        <w:pStyle w:val="61"/>
        <w:ind w:firstLine="420"/>
        <w:rPr>
          <w:color w:val="auto"/>
        </w:rPr>
      </w:pPr>
      <w:r>
        <w:rPr>
          <w:rFonts w:hint="eastAsia"/>
          <w:color w:val="auto"/>
        </w:rPr>
        <w:t>本文件由南通市市场监督管理局提出。</w:t>
      </w:r>
    </w:p>
    <w:p>
      <w:pPr>
        <w:pStyle w:val="61"/>
        <w:ind w:firstLine="420"/>
        <w:rPr>
          <w:color w:val="auto"/>
        </w:rPr>
      </w:pPr>
      <w:r>
        <w:rPr>
          <w:rFonts w:hint="eastAsia"/>
          <w:color w:val="auto"/>
        </w:rPr>
        <w:t>本文件由江苏省工业和信息化厅归口。</w:t>
      </w:r>
    </w:p>
    <w:p>
      <w:pPr>
        <w:pStyle w:val="61"/>
        <w:ind w:firstLine="420"/>
        <w:rPr>
          <w:color w:val="auto"/>
        </w:rPr>
      </w:pPr>
      <w:r>
        <w:rPr>
          <w:rFonts w:hint="eastAsia"/>
          <w:color w:val="auto"/>
        </w:rPr>
        <w:t>本文件起草单位：</w:t>
      </w:r>
      <w:r>
        <w:rPr>
          <w:rFonts w:hint="eastAsia" w:ascii="Times New Roman"/>
          <w:color w:val="auto"/>
        </w:rPr>
        <w:t>南通中远海运船务工程有限公司、合肥通用机械研究院有限公司、</w:t>
      </w:r>
      <w:r>
        <w:rPr>
          <w:rFonts w:hint="eastAsia"/>
          <w:color w:val="auto"/>
        </w:rPr>
        <w:t>南通大学、</w:t>
      </w:r>
      <w:r>
        <w:rPr>
          <w:color w:val="auto"/>
        </w:rPr>
        <w:t>南通中远克莱芬</w:t>
      </w:r>
      <w:r>
        <w:rPr>
          <w:rFonts w:hint="eastAsia"/>
          <w:color w:val="auto"/>
        </w:rPr>
        <w:t>船舶</w:t>
      </w:r>
      <w:r>
        <w:rPr>
          <w:color w:val="auto"/>
        </w:rPr>
        <w:t>工程有限公司、中远海运重工</w:t>
      </w:r>
      <w:r>
        <w:rPr>
          <w:rFonts w:hint="eastAsia"/>
          <w:color w:val="auto"/>
        </w:rPr>
        <w:t>有限</w:t>
      </w:r>
      <w:r>
        <w:rPr>
          <w:color w:val="auto"/>
        </w:rPr>
        <w:t>公司、无锡高压</w:t>
      </w:r>
      <w:r>
        <w:rPr>
          <w:rFonts w:hint="eastAsia"/>
          <w:color w:val="auto"/>
        </w:rPr>
        <w:t>清洗</w:t>
      </w:r>
      <w:r>
        <w:rPr>
          <w:color w:val="auto"/>
        </w:rPr>
        <w:t>设备有限公司、江苏水能</w:t>
      </w:r>
      <w:r>
        <w:rPr>
          <w:rFonts w:hint="eastAsia"/>
          <w:color w:val="auto"/>
        </w:rPr>
        <w:t>金属科技</w:t>
      </w:r>
      <w:r>
        <w:rPr>
          <w:color w:val="auto"/>
        </w:rPr>
        <w:t>有限</w:t>
      </w:r>
      <w:r>
        <w:rPr>
          <w:rFonts w:hint="eastAsia"/>
          <w:color w:val="auto"/>
        </w:rPr>
        <w:t>公司、启东中远海运海洋工程有限公司</w:t>
      </w:r>
    </w:p>
    <w:p>
      <w:pPr>
        <w:pStyle w:val="61"/>
        <w:ind w:firstLine="420"/>
        <w:rPr>
          <w:color w:val="auto"/>
        </w:rPr>
      </w:pPr>
      <w:r>
        <w:rPr>
          <w:rFonts w:hint="eastAsia"/>
          <w:color w:val="auto"/>
        </w:rPr>
        <w:t>本文件主要起草人：李荣、</w:t>
      </w:r>
      <w:r>
        <w:rPr>
          <w:color w:val="auto"/>
        </w:rPr>
        <w:t xml:space="preserve"> </w:t>
      </w:r>
      <w:r>
        <w:rPr>
          <w:rFonts w:hint="eastAsia" w:ascii="Times New Roman"/>
          <w:color w:val="auto"/>
        </w:rPr>
        <w:t>陆华、王振刚、姜飞超、陈真、张春林、曹宇鹏、仇明、罗文清、陈应战、万家平、鲁飞、陈正文、华钟麟、靳少林</w:t>
      </w:r>
      <w:bookmarkStart w:id="344" w:name="_GoBack"/>
      <w:bookmarkEnd w:id="344"/>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94"/>
        <w:numPr>
          <w:ilvl w:val="0"/>
          <w:numId w:val="0"/>
        </w:numPr>
        <w:spacing w:after="468"/>
        <w:ind w:left="422" w:hanging="422" w:hangingChars="44"/>
        <w:rPr>
          <w:color w:val="000000" w:themeColor="text1"/>
          <w:spacing w:val="320"/>
          <w14:textFill>
            <w14:solidFill>
              <w14:schemeClr w14:val="tx1"/>
            </w14:solidFill>
          </w14:textFill>
        </w:rPr>
      </w:pPr>
      <w:r>
        <w:rPr>
          <w:rFonts w:hint="eastAsia"/>
          <w:color w:val="000000" w:themeColor="text1"/>
          <w:spacing w:val="320"/>
          <w14:textFill>
            <w14:solidFill>
              <w14:schemeClr w14:val="tx1"/>
            </w14:solidFill>
          </w14:textFill>
        </w:rPr>
        <w:t>引言</w:t>
      </w:r>
    </w:p>
    <w:p>
      <w:pPr>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船舶工业是我国支柱工业之一，近年来我国承接了全球近70%的修船工程量</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除锈是船舶</w:t>
      </w:r>
      <w:r>
        <w:rPr>
          <w:rFonts w:hint="eastAsia"/>
          <w:color w:val="000000" w:themeColor="text1"/>
          <w14:textFill>
            <w14:solidFill>
              <w14:schemeClr w14:val="tx1"/>
            </w14:solidFill>
          </w14:textFill>
        </w:rPr>
        <w:t>修理过程中</w:t>
      </w:r>
      <w:r>
        <w:rPr>
          <w:color w:val="000000" w:themeColor="text1"/>
          <w14:textFill>
            <w14:solidFill>
              <w14:schemeClr w14:val="tx1"/>
            </w14:solidFill>
          </w14:textFill>
        </w:rPr>
        <w:t>必不可少的工艺</w:t>
      </w:r>
      <w:r>
        <w:rPr>
          <w:rFonts w:hint="eastAsia"/>
          <w:color w:val="000000" w:themeColor="text1"/>
          <w14:textFill>
            <w14:solidFill>
              <w14:schemeClr w14:val="tx1"/>
            </w14:solidFill>
          </w14:textFill>
        </w:rPr>
        <w:t>，传统的喷射除锈工艺作业</w:t>
      </w:r>
      <w:r>
        <w:rPr>
          <w:color w:val="000000" w:themeColor="text1"/>
          <w14:textFill>
            <w14:solidFill>
              <w14:schemeClr w14:val="tx1"/>
            </w14:solidFill>
          </w14:textFill>
        </w:rPr>
        <w:t>劳动强度大、</w:t>
      </w:r>
      <w:r>
        <w:rPr>
          <w:rFonts w:hint="eastAsia"/>
          <w:color w:val="000000" w:themeColor="text1"/>
          <w14:textFill>
            <w14:solidFill>
              <w14:schemeClr w14:val="tx1"/>
            </w14:solidFill>
          </w14:textFill>
        </w:rPr>
        <w:t>环境</w:t>
      </w:r>
      <w:r>
        <w:rPr>
          <w:color w:val="000000" w:themeColor="text1"/>
          <w14:textFill>
            <w14:solidFill>
              <w14:schemeClr w14:val="tx1"/>
            </w14:solidFill>
          </w14:textFill>
        </w:rPr>
        <w:t>污染严重、</w:t>
      </w:r>
      <w:r>
        <w:rPr>
          <w:bCs/>
          <w:color w:val="000000" w:themeColor="text1"/>
          <w14:textFill>
            <w14:solidFill>
              <w14:schemeClr w14:val="tx1"/>
            </w14:solidFill>
          </w14:textFill>
        </w:rPr>
        <w:t>自动化程度低、</w:t>
      </w:r>
      <w:r>
        <w:rPr>
          <w:color w:val="000000" w:themeColor="text1"/>
          <w14:textFill>
            <w14:solidFill>
              <w14:schemeClr w14:val="tx1"/>
            </w14:solidFill>
          </w14:textFill>
        </w:rPr>
        <w:t>技术水平落后</w:t>
      </w:r>
      <w:r>
        <w:rPr>
          <w:rFonts w:hint="eastAsia"/>
          <w:color w:val="000000" w:themeColor="text1"/>
          <w14:textFill>
            <w14:solidFill>
              <w14:schemeClr w14:val="tx1"/>
            </w14:solidFill>
          </w14:textFill>
        </w:rPr>
        <w:t>，已经严重阻碍了我国船舶修造行业的发展</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200MPa以上的超高压水射流除锈工艺，具有优异的除锈效果，自动化程度高，且不会造成环境污染，在船舶除锈领域得到了广泛的应用。本文件旨在规定超高压水射流船舶除锈工艺的质量等级、工艺参数、作业执行机构型式和除锈作业要求，为全省船舶修理企业提供超高压水射流除锈工艺文件，促进我省绿色修造船行业水平整体提升。</w:t>
      </w: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sectPr>
          <w:pgSz w:w="11906" w:h="16838"/>
          <w:pgMar w:top="2410" w:right="1134" w:bottom="1134" w:left="1134" w:header="1418" w:footer="1134" w:gutter="284"/>
          <w:pgNumType w:fmt="upperRoman"/>
          <w:cols w:space="425" w:num="1"/>
          <w:formProt w:val="0"/>
          <w:docGrid w:type="lines" w:linePitch="312" w:charSpace="0"/>
        </w:sectPr>
      </w:pPr>
    </w:p>
    <w:bookmarkEnd w:id="23"/>
    <w:p>
      <w:pPr>
        <w:spacing w:line="20" w:lineRule="exact"/>
        <w:jc w:val="center"/>
        <w:rPr>
          <w:rFonts w:ascii="黑体" w:hAnsi="黑体" w:eastAsia="黑体"/>
          <w:sz w:val="32"/>
          <w:szCs w:val="32"/>
        </w:rPr>
      </w:pPr>
      <w:bookmarkStart w:id="24" w:name="BookMark4"/>
    </w:p>
    <w:p>
      <w:pPr>
        <w:spacing w:line="20" w:lineRule="exact"/>
        <w:jc w:val="center"/>
        <w:rPr>
          <w:rFonts w:ascii="黑体" w:hAnsi="黑体" w:eastAsia="黑体"/>
          <w:sz w:val="32"/>
          <w:szCs w:val="32"/>
        </w:rPr>
      </w:pPr>
    </w:p>
    <w:sdt>
      <w:sdtPr>
        <w:tag w:val="NEW_STAND_NAME"/>
        <w:id w:val="595910757"/>
        <w:lock w:val="sdtLocked"/>
        <w:placeholder>
          <w:docPart w:val="65B4864DE2D64C26B7F8E199B70ED8F4"/>
        </w:placeholder>
      </w:sdtPr>
      <w:sdtContent>
        <w:p>
          <w:pPr>
            <w:pStyle w:val="182"/>
            <w:spacing w:before="3" w:beforeLines="1" w:after="686" w:afterLines="220"/>
          </w:pPr>
          <w:bookmarkStart w:id="25" w:name="NEW_STAND_NAME"/>
          <w:r>
            <w:rPr>
              <w:rFonts w:hint="eastAsia"/>
            </w:rPr>
            <w:t>超高压水射流船舶除锈工艺规范</w:t>
          </w:r>
        </w:p>
      </w:sdtContent>
    </w:sdt>
    <w:bookmarkEnd w:id="25"/>
    <w:p>
      <w:pPr>
        <w:pStyle w:val="109"/>
        <w:spacing w:before="0" w:beforeLines="0" w:after="156" w:afterLines="50"/>
        <w:rPr>
          <w:szCs w:val="22"/>
        </w:rPr>
      </w:pPr>
      <w:bookmarkStart w:id="26" w:name="_Toc17233333"/>
      <w:bookmarkStart w:id="27" w:name="_Toc17233325"/>
      <w:bookmarkStart w:id="28" w:name="_Toc159937658"/>
      <w:bookmarkStart w:id="29" w:name="_Toc26986771"/>
      <w:bookmarkStart w:id="30" w:name="_Toc159942439"/>
      <w:bookmarkStart w:id="31" w:name="_Toc26986530"/>
      <w:bookmarkStart w:id="32" w:name="_Toc24884211"/>
      <w:bookmarkStart w:id="33" w:name="_Toc3492"/>
      <w:bookmarkStart w:id="34" w:name="_Toc26718930"/>
      <w:bookmarkStart w:id="35" w:name="_Toc26648465"/>
      <w:bookmarkStart w:id="36" w:name="_Toc119075722"/>
      <w:bookmarkStart w:id="37" w:name="_Toc24884218"/>
      <w:r>
        <w:rPr>
          <w:rFonts w:hint="eastAsia"/>
          <w:szCs w:val="22"/>
        </w:rPr>
        <w:t>范围</w:t>
      </w:r>
      <w:bookmarkEnd w:id="26"/>
      <w:bookmarkEnd w:id="27"/>
      <w:bookmarkEnd w:id="28"/>
      <w:bookmarkEnd w:id="29"/>
      <w:bookmarkEnd w:id="30"/>
      <w:bookmarkEnd w:id="31"/>
      <w:bookmarkEnd w:id="32"/>
      <w:bookmarkEnd w:id="33"/>
      <w:bookmarkEnd w:id="34"/>
      <w:bookmarkEnd w:id="35"/>
      <w:bookmarkEnd w:id="36"/>
      <w:bookmarkEnd w:id="37"/>
    </w:p>
    <w:p>
      <w:pPr>
        <w:pStyle w:val="61"/>
        <w:ind w:firstLine="420"/>
      </w:pPr>
      <w:r>
        <w:rPr>
          <w:rFonts w:hint="eastAsia"/>
        </w:rPr>
        <w:t>本文件规定了超高压水射流除锈工艺的除锈处理等级、工艺参数、除锈作业模式和作业要求。</w:t>
      </w:r>
    </w:p>
    <w:p>
      <w:pPr>
        <w:pStyle w:val="61"/>
        <w:ind w:firstLine="420"/>
      </w:pPr>
      <w:r>
        <w:rPr>
          <w:rFonts w:hint="eastAsia"/>
        </w:rPr>
        <w:t>本文件将适用于船舶钢制船体外板超高压水射流除锈作业，其它相似应用可参照执行。</w:t>
      </w:r>
    </w:p>
    <w:p>
      <w:pPr>
        <w:pStyle w:val="109"/>
        <w:spacing w:before="312" w:after="312"/>
      </w:pPr>
      <w:bookmarkStart w:id="38" w:name="_Toc142498827"/>
      <w:bookmarkStart w:id="39" w:name="_Toc49153400"/>
      <w:bookmarkStart w:id="40" w:name="_Toc49157374"/>
      <w:bookmarkStart w:id="41" w:name="_Toc159937659"/>
      <w:bookmarkStart w:id="42" w:name="_Toc43117758"/>
      <w:bookmarkStart w:id="43" w:name="_Toc159942440"/>
      <w:r>
        <w:rPr>
          <w:rFonts w:hint="eastAsia"/>
        </w:rPr>
        <w:t>规范性引用文件</w:t>
      </w:r>
      <w:bookmarkEnd w:id="38"/>
      <w:bookmarkEnd w:id="39"/>
      <w:bookmarkEnd w:id="40"/>
      <w:bookmarkEnd w:id="41"/>
      <w:bookmarkEnd w:id="42"/>
      <w:bookmarkEnd w:id="43"/>
    </w:p>
    <w:p>
      <w:pPr>
        <w:pStyle w:val="235"/>
        <w:spacing w:before="120" w:after="1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p>
      <w:pPr>
        <w:pStyle w:val="235"/>
        <w:spacing w:before="120" w:after="120"/>
      </w:pPr>
      <w:r>
        <w:rPr>
          <w:rFonts w:hint="eastAsia"/>
        </w:rPr>
        <w:t>G</w:t>
      </w:r>
      <w:r>
        <w:t>B/T 11651 个体防护装备选用规范</w:t>
      </w:r>
    </w:p>
    <w:p>
      <w:pPr>
        <w:pStyle w:val="235"/>
        <w:spacing w:before="120" w:after="120"/>
      </w:pPr>
      <w:r>
        <w:t>GB/T 41513</w:t>
      </w:r>
      <w:r>
        <w:rPr>
          <w:rFonts w:hint="eastAsia"/>
        </w:rPr>
        <w:t xml:space="preserve"> 喷射设备分类及名词术语</w:t>
      </w:r>
    </w:p>
    <w:p>
      <w:pPr>
        <w:pStyle w:val="235"/>
        <w:spacing w:before="120" w:after="120"/>
      </w:pPr>
      <w:r>
        <w:t>GB/T 4</w:t>
      </w:r>
      <w:r>
        <w:rPr>
          <w:rFonts w:hint="eastAsia"/>
        </w:rPr>
        <w:t>3142</w:t>
      </w:r>
      <w:r>
        <w:t xml:space="preserve"> </w:t>
      </w:r>
      <w:r>
        <w:rPr>
          <w:rFonts w:hint="eastAsia"/>
        </w:rPr>
        <w:t>超高压水射流船舶除锈成套装备</w:t>
      </w:r>
    </w:p>
    <w:p>
      <w:pPr>
        <w:pStyle w:val="109"/>
        <w:spacing w:before="312" w:after="312"/>
      </w:pPr>
      <w:bookmarkStart w:id="44" w:name="_Toc49153401"/>
      <w:bookmarkStart w:id="45" w:name="_Toc159942441"/>
      <w:bookmarkStart w:id="46" w:name="_Toc159937660"/>
      <w:bookmarkStart w:id="47" w:name="_Toc142498828"/>
      <w:bookmarkStart w:id="48" w:name="_Toc43117759"/>
      <w:bookmarkStart w:id="49" w:name="_Toc49157375"/>
      <w:r>
        <w:rPr>
          <w:rFonts w:hint="eastAsia"/>
        </w:rPr>
        <w:t>术语和定义</w:t>
      </w:r>
      <w:bookmarkEnd w:id="44"/>
      <w:bookmarkEnd w:id="45"/>
      <w:bookmarkEnd w:id="46"/>
      <w:bookmarkEnd w:id="47"/>
      <w:bookmarkEnd w:id="48"/>
      <w:bookmarkEnd w:id="49"/>
    </w:p>
    <w:p>
      <w:pPr>
        <w:pStyle w:val="235"/>
        <w:spacing w:before="120" w:after="120"/>
      </w:pPr>
      <w:r>
        <w:t>GB/T 41513</w:t>
      </w:r>
      <w:r>
        <w:rPr>
          <w:rFonts w:hint="eastAsia"/>
        </w:rPr>
        <w:t>界定的及下列术语定义适用于本文件。</w:t>
      </w:r>
      <w:bookmarkStart w:id="50" w:name="_Toc142498829"/>
      <w:bookmarkEnd w:id="50"/>
      <w:bookmarkStart w:id="51" w:name="_Toc49153402"/>
      <w:bookmarkStart w:id="52" w:name="_Toc49157376"/>
      <w:bookmarkStart w:id="53" w:name="_Toc43117760"/>
    </w:p>
    <w:p>
      <w:pPr>
        <w:pStyle w:val="110"/>
        <w:spacing w:before="156" w:after="156"/>
        <w:rPr>
          <w:strike/>
        </w:rPr>
      </w:pPr>
      <w:bookmarkStart w:id="54" w:name="_Toc159937661"/>
      <w:bookmarkEnd w:id="54"/>
      <w:bookmarkStart w:id="55" w:name="_Toc159942442"/>
      <w:bookmarkEnd w:id="55"/>
      <w:bookmarkStart w:id="56" w:name="_Toc159939985"/>
      <w:bookmarkEnd w:id="56"/>
    </w:p>
    <w:p>
      <w:pPr>
        <w:pStyle w:val="110"/>
        <w:numPr>
          <w:ilvl w:val="0"/>
          <w:numId w:val="0"/>
        </w:numPr>
        <w:spacing w:before="156" w:after="156"/>
        <w:ind w:firstLine="420" w:firstLineChars="200"/>
        <w:rPr>
          <w:strike/>
        </w:rPr>
      </w:pPr>
      <w:bookmarkStart w:id="57" w:name="_Toc159939986"/>
      <w:bookmarkStart w:id="58" w:name="_Toc159937662"/>
      <w:bookmarkStart w:id="59" w:name="_Toc159942443"/>
      <w:r>
        <w:rPr>
          <w:rFonts w:hint="eastAsia"/>
        </w:rPr>
        <w:t>超高压水射流除锈工艺</w:t>
      </w:r>
      <w:bookmarkEnd w:id="51"/>
      <w:r>
        <w:rPr>
          <w:rFonts w:hint="eastAsia"/>
        </w:rPr>
        <w:t xml:space="preserve"> </w:t>
      </w:r>
      <w:r>
        <w:t>surface preparation process with ultra-high pressure water jet</w:t>
      </w:r>
      <w:bookmarkEnd w:id="52"/>
      <w:bookmarkEnd w:id="57"/>
      <w:bookmarkEnd w:id="58"/>
      <w:bookmarkEnd w:id="59"/>
    </w:p>
    <w:p>
      <w:pPr>
        <w:pStyle w:val="235"/>
        <w:spacing w:before="120" w:after="120"/>
      </w:pPr>
      <w:r>
        <w:rPr>
          <w:rFonts w:hint="eastAsia"/>
        </w:rPr>
        <w:t>是一种</w:t>
      </w:r>
      <w:bookmarkStart w:id="60" w:name="_Hlk113286135"/>
      <w:r>
        <w:rPr>
          <w:rFonts w:hint="eastAsia"/>
        </w:rPr>
        <w:t>利用超高压水射流</w:t>
      </w:r>
      <w:bookmarkEnd w:id="60"/>
      <w:r>
        <w:rPr>
          <w:rFonts w:hint="eastAsia"/>
        </w:rPr>
        <w:t>的打击力清除金属表面上的锈蚀层和涂层的湿式除锈工艺。常温清水经过超高压泵或其他高压设备加压后，通过喷嘴以较高的速度喷射而出，形成的超高压水射流通过执行机构作用于船体表面的锈蚀层和涂层并使其剥离，作业产生的含渣废水经真空回收机组过滤、分离后分别输送到固体和液体废物集中处理系统进行处理，实现水射流除锈作业工艺过程。该除锈过程具有即除即干不返锈、对金属基体无损伤、无二次污染和自动化程度高等特点。</w:t>
      </w:r>
      <w:bookmarkStart w:id="61" w:name="_Toc142498830"/>
      <w:bookmarkEnd w:id="61"/>
      <w:bookmarkStart w:id="62" w:name="_Toc49153403"/>
      <w:bookmarkStart w:id="63" w:name="_Toc49157377"/>
    </w:p>
    <w:p>
      <w:pPr>
        <w:pStyle w:val="110"/>
        <w:spacing w:before="156" w:after="156"/>
      </w:pPr>
      <w:bookmarkStart w:id="64" w:name="_Toc159942444"/>
      <w:bookmarkEnd w:id="64"/>
      <w:bookmarkStart w:id="65" w:name="_Toc159937663"/>
      <w:bookmarkEnd w:id="65"/>
      <w:bookmarkStart w:id="66" w:name="_Toc159939987"/>
      <w:bookmarkEnd w:id="66"/>
    </w:p>
    <w:p>
      <w:pPr>
        <w:pStyle w:val="110"/>
        <w:numPr>
          <w:ilvl w:val="0"/>
          <w:numId w:val="0"/>
        </w:numPr>
        <w:spacing w:before="156" w:after="156"/>
        <w:ind w:firstLine="420" w:firstLineChars="200"/>
      </w:pPr>
      <w:bookmarkStart w:id="67" w:name="_Toc159937664"/>
      <w:bookmarkStart w:id="68" w:name="_Toc159942445"/>
      <w:bookmarkStart w:id="69" w:name="_Toc159939988"/>
      <w:r>
        <w:rPr>
          <w:rFonts w:hint="eastAsia"/>
        </w:rPr>
        <w:t>初始表面状态 Initial</w:t>
      </w:r>
      <w:r>
        <w:t xml:space="preserve"> </w:t>
      </w:r>
      <w:r>
        <w:rPr>
          <w:rFonts w:hint="eastAsia"/>
        </w:rPr>
        <w:t>surface</w:t>
      </w:r>
      <w:r>
        <w:t xml:space="preserve"> </w:t>
      </w:r>
      <w:r>
        <w:rPr>
          <w:rFonts w:hint="eastAsia"/>
        </w:rPr>
        <w:t>condition</w:t>
      </w:r>
      <w:bookmarkEnd w:id="53"/>
      <w:bookmarkEnd w:id="62"/>
      <w:bookmarkEnd w:id="63"/>
      <w:bookmarkEnd w:id="67"/>
      <w:bookmarkEnd w:id="68"/>
      <w:bookmarkEnd w:id="69"/>
    </w:p>
    <w:p>
      <w:pPr>
        <w:pStyle w:val="235"/>
        <w:spacing w:before="120" w:after="120"/>
      </w:pPr>
      <w:r>
        <w:rPr>
          <w:rFonts w:hint="eastAsia"/>
        </w:rPr>
        <w:t>涂覆过的钢材表面由于锈蚀、起泡或剥落而引起的老化或损坏的可见外观。</w:t>
      </w:r>
    </w:p>
    <w:p>
      <w:pPr>
        <w:pStyle w:val="110"/>
        <w:spacing w:before="156" w:after="156"/>
        <w:ind w:left="567" w:hanging="609"/>
      </w:pPr>
      <w:bookmarkStart w:id="70" w:name="_Toc159942446"/>
      <w:bookmarkEnd w:id="70"/>
      <w:bookmarkStart w:id="71" w:name="_Toc159939989"/>
      <w:bookmarkEnd w:id="71"/>
      <w:bookmarkStart w:id="72" w:name="_Toc159937665"/>
      <w:bookmarkEnd w:id="72"/>
      <w:bookmarkStart w:id="73" w:name="_Toc142498831"/>
      <w:bookmarkEnd w:id="73"/>
      <w:bookmarkStart w:id="74" w:name="_Toc49157378"/>
      <w:bookmarkStart w:id="75" w:name="_Toc49153404"/>
      <w:bookmarkStart w:id="76" w:name="_Toc43117761"/>
    </w:p>
    <w:p>
      <w:pPr>
        <w:pStyle w:val="237"/>
        <w:numPr>
          <w:ilvl w:val="0"/>
          <w:numId w:val="0"/>
        </w:numPr>
        <w:ind w:firstLine="420" w:firstLineChars="200"/>
        <w:rPr>
          <w:szCs w:val="20"/>
        </w:rPr>
      </w:pPr>
      <w:r>
        <w:rPr>
          <w:rFonts w:hint="eastAsia"/>
          <w:szCs w:val="20"/>
        </w:rPr>
        <w:t>闪锈 Flash</w:t>
      </w:r>
      <w:r>
        <w:rPr>
          <w:szCs w:val="20"/>
        </w:rPr>
        <w:t xml:space="preserve"> </w:t>
      </w:r>
      <w:r>
        <w:rPr>
          <w:rFonts w:hint="eastAsia"/>
          <w:szCs w:val="20"/>
        </w:rPr>
        <w:t>rust</w:t>
      </w:r>
      <w:bookmarkEnd w:id="74"/>
      <w:bookmarkEnd w:id="75"/>
      <w:bookmarkEnd w:id="76"/>
    </w:p>
    <w:p>
      <w:pPr>
        <w:pStyle w:val="235"/>
        <w:spacing w:before="120" w:after="120"/>
      </w:pPr>
      <w:r>
        <w:rPr>
          <w:rFonts w:hint="eastAsia"/>
        </w:rPr>
        <w:t>钢材表面经过高压水射流除锈后,发生快速生锈的</w:t>
      </w:r>
      <w:r>
        <w:t>现象</w:t>
      </w:r>
      <w:r>
        <w:rPr>
          <w:rFonts w:hint="eastAsia"/>
        </w:rPr>
        <w:t>。</w:t>
      </w:r>
    </w:p>
    <w:p>
      <w:pPr>
        <w:pStyle w:val="110"/>
        <w:spacing w:before="156" w:after="156"/>
        <w:ind w:left="567" w:hanging="609"/>
      </w:pPr>
      <w:bookmarkStart w:id="77" w:name="_Toc159942447"/>
      <w:bookmarkEnd w:id="77"/>
      <w:bookmarkStart w:id="78" w:name="_Toc159937666"/>
      <w:bookmarkEnd w:id="78"/>
      <w:bookmarkStart w:id="79" w:name="_Toc142498832"/>
      <w:bookmarkEnd w:id="79"/>
      <w:bookmarkStart w:id="80" w:name="_Toc159939990"/>
      <w:bookmarkEnd w:id="80"/>
      <w:bookmarkStart w:id="81" w:name="_Toc49153405"/>
      <w:bookmarkStart w:id="82" w:name="_Toc49157379"/>
    </w:p>
    <w:p>
      <w:pPr>
        <w:pStyle w:val="237"/>
        <w:numPr>
          <w:ilvl w:val="0"/>
          <w:numId w:val="0"/>
        </w:numPr>
        <w:ind w:firstLine="420" w:firstLineChars="200"/>
      </w:pPr>
      <w:r>
        <w:t>除锈</w:t>
      </w:r>
      <w:r>
        <w:rPr>
          <w:rFonts w:hint="eastAsia"/>
        </w:rPr>
        <w:t>作业</w:t>
      </w:r>
      <w:bookmarkEnd w:id="81"/>
      <w:r>
        <w:rPr>
          <w:rFonts w:hint="eastAsia"/>
        </w:rPr>
        <w:t xml:space="preserve">比率 </w:t>
      </w:r>
      <w:r>
        <w:rPr>
          <w:szCs w:val="20"/>
        </w:rPr>
        <w:t>operation ratio</w:t>
      </w:r>
      <w:bookmarkEnd w:id="82"/>
      <w:r>
        <w:rPr>
          <w:szCs w:val="20"/>
        </w:rPr>
        <w:t xml:space="preserve"> </w:t>
      </w:r>
      <w:r>
        <w:t>of surface preparation</w:t>
      </w:r>
    </w:p>
    <w:p>
      <w:pPr>
        <w:pStyle w:val="235"/>
        <w:tabs>
          <w:tab w:val="right" w:pos="9354"/>
          <w:tab w:val="clear" w:pos="9298"/>
        </w:tabs>
        <w:spacing w:before="120" w:after="120"/>
      </w:pPr>
      <w:r>
        <w:rPr>
          <w:rFonts w:hint="eastAsia"/>
        </w:rPr>
        <w:t>针对特定维修的船舶，其外表面需要除锈的作业面积占整船外表面面积的比率。</w:t>
      </w:r>
      <w:r>
        <w:tab/>
      </w:r>
    </w:p>
    <w:p>
      <w:pPr>
        <w:pStyle w:val="109"/>
        <w:spacing w:before="312" w:after="312"/>
      </w:pPr>
      <w:bookmarkStart w:id="83" w:name="_Toc49157380"/>
      <w:bookmarkStart w:id="84" w:name="_Toc33517341"/>
      <w:bookmarkStart w:id="85" w:name="_Toc49153406"/>
      <w:bookmarkStart w:id="86" w:name="_Toc43117762"/>
      <w:bookmarkStart w:id="87" w:name="_Toc142498833"/>
      <w:bookmarkStart w:id="88" w:name="_Toc159937667"/>
      <w:bookmarkStart w:id="89" w:name="_Toc159942448"/>
      <w:r>
        <w:rPr>
          <w:rFonts w:hint="eastAsia"/>
        </w:rPr>
        <w:t>除锈</w:t>
      </w:r>
      <w:r>
        <w:rPr>
          <w:rFonts w:ascii="Times New Roman"/>
          <w:szCs w:val="24"/>
        </w:rPr>
        <w:t>处理</w:t>
      </w:r>
      <w:r>
        <w:rPr>
          <w:rFonts w:hint="eastAsia"/>
        </w:rPr>
        <w:t>等级</w:t>
      </w:r>
      <w:bookmarkEnd w:id="83"/>
      <w:bookmarkEnd w:id="84"/>
      <w:bookmarkEnd w:id="85"/>
      <w:bookmarkEnd w:id="86"/>
      <w:r>
        <w:rPr>
          <w:rFonts w:hint="eastAsia"/>
        </w:rPr>
        <w:t>与闪锈等级</w:t>
      </w:r>
      <w:bookmarkEnd w:id="87"/>
      <w:bookmarkEnd w:id="88"/>
      <w:bookmarkEnd w:id="89"/>
    </w:p>
    <w:p>
      <w:pPr>
        <w:pStyle w:val="110"/>
        <w:spacing w:before="156" w:after="156"/>
        <w:ind w:left="567" w:hanging="609"/>
      </w:pPr>
      <w:bookmarkStart w:id="90" w:name="_Toc49157381"/>
      <w:bookmarkStart w:id="91" w:name="_Toc43117763"/>
      <w:bookmarkStart w:id="92" w:name="_Toc159942449"/>
      <w:bookmarkStart w:id="93" w:name="_Toc159937668"/>
      <w:bookmarkStart w:id="94" w:name="_Toc49153407"/>
      <w:bookmarkStart w:id="95" w:name="_Toc142498834"/>
      <w:r>
        <w:rPr>
          <w:rFonts w:hint="eastAsia"/>
        </w:rPr>
        <w:t>目视法除锈</w:t>
      </w:r>
      <w:r>
        <w:rPr>
          <w:rFonts w:ascii="Times New Roman"/>
          <w:szCs w:val="24"/>
        </w:rPr>
        <w:t>处理</w:t>
      </w:r>
      <w:r>
        <w:rPr>
          <w:rFonts w:hint="eastAsia"/>
        </w:rPr>
        <w:t>等级</w:t>
      </w:r>
      <w:bookmarkEnd w:id="90"/>
      <w:bookmarkEnd w:id="91"/>
      <w:bookmarkEnd w:id="92"/>
      <w:bookmarkEnd w:id="93"/>
      <w:bookmarkEnd w:id="94"/>
      <w:bookmarkEnd w:id="95"/>
    </w:p>
    <w:p>
      <w:pPr>
        <w:pStyle w:val="170"/>
        <w:rPr>
          <w:rFonts w:ascii="Times New Roman"/>
        </w:rPr>
      </w:pPr>
      <w:r>
        <w:rPr>
          <w:rFonts w:hint="eastAsia"/>
        </w:rPr>
        <w:t>经高压水射流除锈后表面的目视法</w:t>
      </w:r>
      <w:r>
        <w:rPr>
          <w:rFonts w:ascii="Times New Roman"/>
          <w:szCs w:val="24"/>
        </w:rPr>
        <w:t>除锈处理等级</w:t>
      </w:r>
      <w:r>
        <w:rPr>
          <w:rFonts w:hint="eastAsia"/>
        </w:rPr>
        <w:t>分为4个等级，</w:t>
      </w:r>
      <w:r>
        <w:rPr>
          <w:rFonts w:ascii="Times New Roman"/>
        </w:rPr>
        <w:t>除锈处理等级</w:t>
      </w:r>
      <w:r>
        <w:rPr>
          <w:rFonts w:hint="eastAsia" w:ascii="Times New Roman"/>
        </w:rPr>
        <w:t>的</w:t>
      </w:r>
      <w:r>
        <w:rPr>
          <w:rFonts w:ascii="Times New Roman"/>
        </w:rPr>
        <w:t>表面状态文字</w:t>
      </w:r>
      <w:r>
        <w:rPr>
          <w:rFonts w:hint="eastAsia" w:ascii="Times New Roman"/>
        </w:rPr>
        <w:t>描述</w:t>
      </w:r>
      <w:r>
        <w:rPr>
          <w:rFonts w:ascii="Times New Roman"/>
        </w:rPr>
        <w:t>和典型样板照片见附录</w:t>
      </w:r>
      <w:r>
        <w:rPr>
          <w:rFonts w:hint="eastAsia" w:ascii="Times New Roman"/>
        </w:rPr>
        <w:t>A</w:t>
      </w:r>
      <w:r>
        <w:rPr>
          <w:rFonts w:ascii="Times New Roman"/>
        </w:rPr>
        <w:t>。</w:t>
      </w:r>
      <w:r>
        <w:rPr>
          <w:rFonts w:hint="eastAsia"/>
        </w:rPr>
        <w:t>除锈后的表面质量应符合其中的一种。</w:t>
      </w:r>
    </w:p>
    <w:p>
      <w:pPr>
        <w:pStyle w:val="170"/>
      </w:pPr>
      <w:r>
        <w:rPr>
          <w:rFonts w:hint="eastAsia"/>
        </w:rPr>
        <w:t>目视法除锈处理等级的评定，应在良好的日光或照明（经双方认可）条件下，凭借正常视力检查，并与本文件提供的典型样板照片进行对比。应结合表A</w:t>
      </w:r>
      <w:r>
        <w:t>.2</w:t>
      </w:r>
      <w:r>
        <w:rPr>
          <w:rFonts w:hint="eastAsia"/>
        </w:rPr>
        <w:t>的文字</w:t>
      </w:r>
      <w:r>
        <w:rPr>
          <w:rFonts w:hint="eastAsia" w:ascii="Times New Roman"/>
        </w:rPr>
        <w:t>描述</w:t>
      </w:r>
      <w:r>
        <w:rPr>
          <w:rFonts w:hint="eastAsia"/>
        </w:rPr>
        <w:t>，将相应的照片尽量靠近待评定的钢材表面，并与其置于同一平面上进行比较。</w:t>
      </w:r>
    </w:p>
    <w:p>
      <w:pPr>
        <w:pStyle w:val="170"/>
      </w:pPr>
      <w:r>
        <w:rPr>
          <w:rFonts w:hint="eastAsia"/>
        </w:rPr>
        <w:t>除锈</w:t>
      </w:r>
      <w:r>
        <w:rPr>
          <w:rFonts w:ascii="Times New Roman"/>
          <w:szCs w:val="24"/>
        </w:rPr>
        <w:t>处理</w:t>
      </w:r>
      <w:r>
        <w:rPr>
          <w:rFonts w:hint="eastAsia"/>
        </w:rPr>
        <w:t>等级的评定应在表面干燥且闪锈发生之前进行，按表A</w:t>
      </w:r>
      <w:r>
        <w:t>.2</w:t>
      </w:r>
      <w:r>
        <w:rPr>
          <w:rFonts w:hint="eastAsia"/>
        </w:rPr>
        <w:t>中定义的状态，记录与清理结果最为接近的等级作为评定结果。</w:t>
      </w:r>
    </w:p>
    <w:p>
      <w:pPr>
        <w:pStyle w:val="110"/>
        <w:spacing w:before="156" w:after="156"/>
        <w:ind w:left="567" w:hanging="609"/>
      </w:pPr>
      <w:bookmarkStart w:id="96" w:name="_Toc43117764"/>
      <w:bookmarkStart w:id="97" w:name="_Toc159937669"/>
      <w:bookmarkStart w:id="98" w:name="_Toc49157382"/>
      <w:bookmarkStart w:id="99" w:name="_Toc49153408"/>
      <w:bookmarkStart w:id="100" w:name="_Toc142498835"/>
      <w:bookmarkStart w:id="101" w:name="_Toc159942450"/>
      <w:r>
        <w:rPr>
          <w:rFonts w:hint="eastAsia"/>
        </w:rPr>
        <w:t>测试法除锈处理等级</w:t>
      </w:r>
      <w:bookmarkEnd w:id="96"/>
      <w:bookmarkEnd w:id="97"/>
      <w:bookmarkEnd w:id="98"/>
      <w:bookmarkEnd w:id="99"/>
      <w:bookmarkEnd w:id="100"/>
      <w:bookmarkEnd w:id="101"/>
    </w:p>
    <w:p>
      <w:pPr>
        <w:pStyle w:val="170"/>
      </w:pPr>
      <w:r>
        <w:rPr>
          <w:rFonts w:hint="eastAsia"/>
        </w:rPr>
        <w:t>测试法除锈处理等级分为4个等级，表面状态文字描述见表</w:t>
      </w:r>
      <w:r>
        <w:t>1</w:t>
      </w:r>
      <w:r>
        <w:rPr>
          <w:rFonts w:hint="eastAsia"/>
        </w:rPr>
        <w:t>。</w:t>
      </w:r>
    </w:p>
    <w:p>
      <w:pPr>
        <w:pStyle w:val="170"/>
      </w:pPr>
      <w:r>
        <w:rPr>
          <w:rFonts w:hint="eastAsia"/>
        </w:rPr>
        <w:t>除</w:t>
      </w:r>
      <w:r>
        <w:t>4</w:t>
      </w:r>
      <w:r>
        <w:rPr>
          <w:rFonts w:hint="eastAsia"/>
        </w:rPr>
        <w:t>.</w:t>
      </w:r>
      <w:r>
        <w:t>1</w:t>
      </w:r>
      <w:r>
        <w:rPr>
          <w:rFonts w:hint="eastAsia"/>
        </w:rPr>
        <w:t>的要求外，在认为需要时，表面在复涂前必须处理至SC1～SC4等级中的一种。</w:t>
      </w:r>
    </w:p>
    <w:p>
      <w:pPr>
        <w:pStyle w:val="117"/>
        <w:spacing w:before="156" w:after="156"/>
        <w:ind w:left="0"/>
      </w:pPr>
      <w:bookmarkStart w:id="102" w:name="_Toc142498889"/>
      <w:r>
        <w:rPr>
          <w:rFonts w:hint="eastAsia"/>
        </w:rPr>
        <w:t>测试法除锈处理等级的表面状态文字描述</w:t>
      </w:r>
      <w:bookmarkEnd w:id="102"/>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039"/>
        <w:gridCol w:w="625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39" w:type="dxa"/>
          </w:tcPr>
          <w:p>
            <w:pPr>
              <w:spacing w:line="240" w:lineRule="auto"/>
              <w:jc w:val="center"/>
              <w:rPr>
                <w:rFonts w:ascii="宋体" w:hAnsi="宋体"/>
                <w:sz w:val="18"/>
                <w:szCs w:val="18"/>
              </w:rPr>
            </w:pPr>
            <w:r>
              <w:rPr>
                <w:rFonts w:hint="eastAsia" w:ascii="宋体" w:hAnsi="宋体"/>
                <w:sz w:val="18"/>
                <w:szCs w:val="18"/>
              </w:rPr>
              <w:t>测试法除锈处理等级</w:t>
            </w:r>
          </w:p>
        </w:tc>
        <w:tc>
          <w:tcPr>
            <w:tcW w:w="6257" w:type="dxa"/>
          </w:tcPr>
          <w:p>
            <w:pPr>
              <w:spacing w:line="240" w:lineRule="auto"/>
              <w:jc w:val="center"/>
              <w:rPr>
                <w:rFonts w:ascii="宋体" w:hAnsi="宋体"/>
                <w:sz w:val="18"/>
                <w:szCs w:val="18"/>
              </w:rPr>
            </w:pPr>
            <w:r>
              <w:rPr>
                <w:rFonts w:hint="eastAsia" w:ascii="宋体" w:hAnsi="宋体"/>
                <w:sz w:val="18"/>
                <w:szCs w:val="18"/>
              </w:rPr>
              <w:t>测试法除锈处理等级的文字描述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39" w:type="dxa"/>
            <w:vAlign w:val="center"/>
          </w:tcPr>
          <w:p>
            <w:pPr>
              <w:spacing w:line="240" w:lineRule="auto"/>
              <w:jc w:val="center"/>
              <w:rPr>
                <w:rFonts w:ascii="宋体" w:hAnsi="宋体"/>
                <w:sz w:val="18"/>
                <w:szCs w:val="18"/>
              </w:rPr>
            </w:pPr>
            <w:r>
              <w:rPr>
                <w:rFonts w:hint="eastAsia" w:ascii="宋体" w:hAnsi="宋体"/>
                <w:sz w:val="18"/>
                <w:szCs w:val="18"/>
              </w:rPr>
              <w:t>SC1</w:t>
            </w:r>
          </w:p>
        </w:tc>
        <w:tc>
          <w:tcPr>
            <w:tcW w:w="6257" w:type="dxa"/>
          </w:tcPr>
          <w:p>
            <w:pPr>
              <w:spacing w:line="240" w:lineRule="auto"/>
              <w:jc w:val="left"/>
              <w:rPr>
                <w:rFonts w:ascii="宋体" w:hAnsi="宋体"/>
                <w:sz w:val="18"/>
                <w:szCs w:val="18"/>
              </w:rPr>
            </w:pPr>
            <w:r>
              <w:rPr>
                <w:rFonts w:hint="eastAsia" w:ascii="宋体" w:hAnsi="宋体"/>
                <w:sz w:val="18"/>
                <w:szCs w:val="18"/>
              </w:rPr>
              <w:t>采用灵敏度近似于实验室设备的现场测试设备进行测试，表面必须无任何可测出的污染物（指水溶性氯化物、可溶性铁盐和硫化物）。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39" w:type="dxa"/>
            <w:vAlign w:val="center"/>
          </w:tcPr>
          <w:p>
            <w:pPr>
              <w:spacing w:line="240" w:lineRule="auto"/>
              <w:jc w:val="center"/>
              <w:rPr>
                <w:rFonts w:ascii="宋体" w:hAnsi="宋体"/>
                <w:sz w:val="18"/>
                <w:szCs w:val="18"/>
              </w:rPr>
            </w:pPr>
            <w:r>
              <w:rPr>
                <w:rFonts w:hint="eastAsia" w:ascii="宋体" w:hAnsi="宋体"/>
                <w:sz w:val="18"/>
                <w:szCs w:val="18"/>
              </w:rPr>
              <w:t>SC2</w:t>
            </w:r>
          </w:p>
        </w:tc>
        <w:tc>
          <w:tcPr>
            <w:tcW w:w="6257" w:type="dxa"/>
          </w:tcPr>
          <w:p>
            <w:pPr>
              <w:spacing w:line="240" w:lineRule="auto"/>
              <w:jc w:val="left"/>
              <w:rPr>
                <w:rFonts w:ascii="宋体" w:hAnsi="宋体"/>
                <w:sz w:val="18"/>
                <w:szCs w:val="18"/>
              </w:rPr>
            </w:pPr>
            <w:r>
              <w:rPr>
                <w:rFonts w:hint="eastAsia" w:ascii="宋体" w:hAnsi="宋体"/>
                <w:sz w:val="18"/>
                <w:szCs w:val="18"/>
              </w:rPr>
              <w:t>采用重演性好的可靠测试设备进行现场或实验室分析时，表面的氯化物污染物小于7</w:t>
            </w:r>
            <w:r>
              <w:rPr>
                <w:rFonts w:ascii="宋体" w:hAnsi="宋体" w:cs="Calibri"/>
                <w:sz w:val="18"/>
                <w:szCs w:val="18"/>
              </w:rPr>
              <w:t>μ</w:t>
            </w:r>
            <w:r>
              <w:rPr>
                <w:rFonts w:hint="eastAsia" w:ascii="宋体" w:hAnsi="宋体"/>
                <w:sz w:val="18"/>
                <w:szCs w:val="18"/>
              </w:rPr>
              <w:t>g/cm</w:t>
            </w:r>
            <w:r>
              <w:rPr>
                <w:rFonts w:hint="eastAsia" w:ascii="宋体" w:hAnsi="宋体"/>
                <w:sz w:val="18"/>
                <w:szCs w:val="18"/>
                <w:vertAlign w:val="superscript"/>
              </w:rPr>
              <w:t>2</w:t>
            </w:r>
            <w:r>
              <w:rPr>
                <w:rFonts w:hint="eastAsia" w:ascii="宋体" w:hAnsi="宋体"/>
                <w:sz w:val="18"/>
                <w:szCs w:val="18"/>
              </w:rPr>
              <w:t>，可溶性铁盐污染物小于10</w:t>
            </w:r>
            <w:r>
              <w:rPr>
                <w:rFonts w:ascii="宋体" w:hAnsi="宋体" w:cs="Calibri"/>
                <w:sz w:val="18"/>
                <w:szCs w:val="18"/>
              </w:rPr>
              <w:t>μ</w:t>
            </w:r>
            <w:r>
              <w:rPr>
                <w:rFonts w:hint="eastAsia" w:ascii="宋体" w:hAnsi="宋体"/>
                <w:sz w:val="18"/>
                <w:szCs w:val="18"/>
              </w:rPr>
              <w:t>g/cm</w:t>
            </w:r>
            <w:r>
              <w:rPr>
                <w:rFonts w:hint="eastAsia" w:ascii="宋体" w:hAnsi="宋体"/>
                <w:sz w:val="18"/>
                <w:szCs w:val="18"/>
                <w:vertAlign w:val="superscript"/>
              </w:rPr>
              <w:t>2</w:t>
            </w:r>
            <w:r>
              <w:rPr>
                <w:rFonts w:hint="eastAsia" w:ascii="宋体" w:hAnsi="宋体"/>
                <w:sz w:val="18"/>
                <w:szCs w:val="18"/>
              </w:rPr>
              <w:t>，硫化物污染物小于17</w:t>
            </w:r>
            <w:r>
              <w:rPr>
                <w:rFonts w:ascii="宋体" w:hAnsi="宋体" w:cs="Calibri"/>
                <w:sz w:val="18"/>
                <w:szCs w:val="18"/>
              </w:rPr>
              <w:t>μ</w:t>
            </w:r>
            <w:r>
              <w:rPr>
                <w:rFonts w:hint="eastAsia" w:ascii="宋体" w:hAnsi="宋体"/>
                <w:sz w:val="18"/>
                <w:szCs w:val="18"/>
              </w:rPr>
              <w:t>g/cm</w:t>
            </w:r>
            <w:r>
              <w:rPr>
                <w:rFonts w:hint="eastAsia" w:ascii="宋体" w:hAnsi="宋体"/>
                <w:sz w:val="18"/>
                <w:szCs w:val="18"/>
                <w:vertAlign w:val="superscript"/>
              </w:rPr>
              <w:t>2</w:t>
            </w:r>
            <w:r>
              <w:rPr>
                <w:rFonts w:hint="eastAsia" w:ascii="宋体" w:hAnsi="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39" w:type="dxa"/>
            <w:vAlign w:val="center"/>
          </w:tcPr>
          <w:p>
            <w:pPr>
              <w:spacing w:line="240" w:lineRule="auto"/>
              <w:jc w:val="center"/>
              <w:rPr>
                <w:rFonts w:ascii="宋体" w:hAnsi="宋体"/>
                <w:sz w:val="18"/>
                <w:szCs w:val="18"/>
              </w:rPr>
            </w:pPr>
            <w:r>
              <w:rPr>
                <w:rFonts w:hint="eastAsia" w:ascii="宋体" w:hAnsi="宋体"/>
                <w:sz w:val="18"/>
                <w:szCs w:val="18"/>
              </w:rPr>
              <w:t>SC3</w:t>
            </w:r>
          </w:p>
        </w:tc>
        <w:tc>
          <w:tcPr>
            <w:tcW w:w="6257" w:type="dxa"/>
          </w:tcPr>
          <w:p>
            <w:pPr>
              <w:spacing w:line="240" w:lineRule="auto"/>
              <w:jc w:val="left"/>
              <w:rPr>
                <w:rFonts w:ascii="宋体" w:hAnsi="宋体"/>
                <w:sz w:val="18"/>
                <w:szCs w:val="18"/>
              </w:rPr>
            </w:pPr>
            <w:r>
              <w:rPr>
                <w:rFonts w:hint="eastAsia" w:ascii="宋体" w:hAnsi="宋体"/>
                <w:sz w:val="18"/>
                <w:szCs w:val="18"/>
              </w:rPr>
              <w:t>采用重演性好的可靠测试设备进行现场或实验室分析时，表面的氯化物和硫化物污染物均小于50</w:t>
            </w:r>
            <w:r>
              <w:rPr>
                <w:rFonts w:ascii="宋体" w:hAnsi="宋体" w:cs="Calibri"/>
                <w:sz w:val="18"/>
                <w:szCs w:val="18"/>
              </w:rPr>
              <w:t>μ</w:t>
            </w:r>
            <w:r>
              <w:rPr>
                <w:rFonts w:hint="eastAsia" w:ascii="宋体" w:hAnsi="宋体"/>
                <w:sz w:val="18"/>
                <w:szCs w:val="18"/>
              </w:rPr>
              <w:t>g/cm</w:t>
            </w:r>
            <w:r>
              <w:rPr>
                <w:rFonts w:hint="eastAsia" w:ascii="宋体" w:hAnsi="宋体"/>
                <w:sz w:val="18"/>
                <w:szCs w:val="18"/>
                <w:vertAlign w:val="superscript"/>
              </w:rPr>
              <w:t>2</w:t>
            </w:r>
            <w:r>
              <w:rPr>
                <w:rFonts w:hint="eastAsia" w:ascii="宋体" w:hAnsi="宋体"/>
                <w:sz w:val="18"/>
                <w:szCs w:val="18"/>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039" w:type="dxa"/>
            <w:vAlign w:val="center"/>
          </w:tcPr>
          <w:p>
            <w:pPr>
              <w:spacing w:line="240" w:lineRule="auto"/>
              <w:jc w:val="center"/>
              <w:rPr>
                <w:rFonts w:ascii="宋体" w:hAnsi="宋体"/>
                <w:sz w:val="18"/>
                <w:szCs w:val="18"/>
              </w:rPr>
            </w:pPr>
            <w:r>
              <w:rPr>
                <w:rFonts w:hint="eastAsia" w:ascii="宋体" w:hAnsi="宋体"/>
                <w:sz w:val="18"/>
                <w:szCs w:val="18"/>
              </w:rPr>
              <w:t>SC</w:t>
            </w:r>
            <w:r>
              <w:rPr>
                <w:rFonts w:ascii="宋体" w:hAnsi="宋体"/>
                <w:sz w:val="18"/>
                <w:szCs w:val="18"/>
              </w:rPr>
              <w:t>4</w:t>
            </w:r>
          </w:p>
        </w:tc>
        <w:tc>
          <w:tcPr>
            <w:tcW w:w="6257" w:type="dxa"/>
          </w:tcPr>
          <w:p>
            <w:pPr>
              <w:spacing w:line="240" w:lineRule="auto"/>
              <w:jc w:val="left"/>
              <w:rPr>
                <w:rFonts w:ascii="宋体" w:hAnsi="宋体"/>
                <w:sz w:val="18"/>
                <w:szCs w:val="18"/>
              </w:rPr>
            </w:pPr>
            <w:r>
              <w:rPr>
                <w:rFonts w:hint="eastAsia" w:ascii="宋体" w:hAnsi="宋体"/>
                <w:sz w:val="18"/>
                <w:szCs w:val="18"/>
              </w:rPr>
              <w:t>采用重演性好的可靠测试设备进行现场或实验室分析时，表面可有大于50</w:t>
            </w:r>
            <w:r>
              <w:rPr>
                <w:rFonts w:ascii="宋体" w:hAnsi="宋体" w:cs="Calibri"/>
                <w:sz w:val="18"/>
                <w:szCs w:val="18"/>
              </w:rPr>
              <w:t>μ</w:t>
            </w:r>
            <w:r>
              <w:rPr>
                <w:rFonts w:hint="eastAsia" w:ascii="宋体" w:hAnsi="宋体"/>
                <w:sz w:val="18"/>
                <w:szCs w:val="18"/>
              </w:rPr>
              <w:t>g/cm</w:t>
            </w:r>
            <w:r>
              <w:rPr>
                <w:rFonts w:hint="eastAsia" w:ascii="宋体" w:hAnsi="宋体"/>
                <w:sz w:val="18"/>
                <w:szCs w:val="18"/>
                <w:vertAlign w:val="superscript"/>
              </w:rPr>
              <w:t>2</w:t>
            </w:r>
            <w:r>
              <w:rPr>
                <w:rFonts w:hint="eastAsia" w:ascii="宋体" w:hAnsi="宋体"/>
                <w:sz w:val="18"/>
                <w:szCs w:val="18"/>
              </w:rPr>
              <w:t>的氯化物和硫化物污染物。</w:t>
            </w:r>
          </w:p>
        </w:tc>
      </w:tr>
    </w:tbl>
    <w:p>
      <w:pPr>
        <w:pStyle w:val="110"/>
        <w:spacing w:before="156" w:after="156"/>
        <w:ind w:left="567" w:hanging="609"/>
      </w:pPr>
      <w:bookmarkStart w:id="103" w:name="_Toc142498836"/>
      <w:bookmarkStart w:id="104" w:name="_Toc159942451"/>
      <w:bookmarkStart w:id="105" w:name="_Toc159937670"/>
      <w:bookmarkStart w:id="106" w:name="_Toc43117765"/>
      <w:bookmarkStart w:id="107" w:name="_Toc49153409"/>
      <w:bookmarkStart w:id="108" w:name="_Toc49157383"/>
      <w:bookmarkStart w:id="109" w:name="_Toc33517344"/>
      <w:r>
        <w:rPr>
          <w:rFonts w:hint="eastAsia"/>
        </w:rPr>
        <w:t>闪锈等级</w:t>
      </w:r>
      <w:bookmarkEnd w:id="103"/>
      <w:bookmarkEnd w:id="104"/>
      <w:bookmarkEnd w:id="105"/>
    </w:p>
    <w:p>
      <w:pPr>
        <w:pStyle w:val="170"/>
      </w:pPr>
      <w:r>
        <w:rPr>
          <w:rFonts w:hint="eastAsia"/>
        </w:rPr>
        <w:t>超高压水射流除锈后表面的闪锈等级分为3个等级，闪锈等级的表面状态文字描述见表</w:t>
      </w:r>
      <w:r>
        <w:t>2</w:t>
      </w:r>
      <w:r>
        <w:rPr>
          <w:rFonts w:hint="eastAsia"/>
        </w:rPr>
        <w:t>，</w:t>
      </w:r>
      <w:r>
        <w:rPr>
          <w:rFonts w:ascii="Times New Roman"/>
        </w:rPr>
        <w:t>典型样板照片</w:t>
      </w:r>
      <w:r>
        <w:rPr>
          <w:rFonts w:hint="eastAsia"/>
        </w:rPr>
        <w:t>见附录B。</w:t>
      </w:r>
    </w:p>
    <w:p>
      <w:pPr>
        <w:pStyle w:val="170"/>
      </w:pPr>
      <w:r>
        <w:t>超高压水</w:t>
      </w:r>
      <w:r>
        <w:rPr>
          <w:rFonts w:hint="eastAsia"/>
        </w:rPr>
        <w:t>射流</w:t>
      </w:r>
      <w:r>
        <w:t>除锈</w:t>
      </w:r>
      <w:r>
        <w:rPr>
          <w:rFonts w:hint="eastAsia"/>
        </w:rPr>
        <w:t>处理的</w:t>
      </w:r>
      <w:r>
        <w:t>闪锈等级描述是指在超高压水除锈作业产生闪锈后，钢板表面直观可视状态，直接判断是否适合涂装要求。</w:t>
      </w:r>
      <w:r>
        <w:rPr>
          <w:rFonts w:hint="eastAsia"/>
        </w:rPr>
        <w:t>钢板表面的闪锈的</w:t>
      </w:r>
      <w:r>
        <w:t>等级</w:t>
      </w:r>
      <w:r>
        <w:rPr>
          <w:rFonts w:hint="eastAsia"/>
        </w:rPr>
        <w:t>达到</w:t>
      </w:r>
      <w:r>
        <w:t xml:space="preserve">H </w:t>
      </w:r>
      <w:r>
        <w:rPr>
          <w:rFonts w:hint="eastAsia"/>
        </w:rPr>
        <w:t>(F</w:t>
      </w:r>
      <w:r>
        <w:t>R-3</w:t>
      </w:r>
      <w:r>
        <w:rPr>
          <w:rFonts w:hint="eastAsia"/>
        </w:rPr>
        <w:t>)</w:t>
      </w:r>
      <w:r>
        <w:t xml:space="preserve"> 时，需要重新</w:t>
      </w:r>
      <w:r>
        <w:rPr>
          <w:rFonts w:hint="eastAsia"/>
        </w:rPr>
        <w:t>用</w:t>
      </w:r>
      <w:r>
        <w:t>150M</w:t>
      </w:r>
      <w:r>
        <w:rPr>
          <w:rFonts w:hint="eastAsia"/>
        </w:rPr>
        <w:t>P</w:t>
      </w:r>
      <w:r>
        <w:t>a以上高压水清洗</w:t>
      </w:r>
      <w:r>
        <w:rPr>
          <w:rFonts w:hint="eastAsia"/>
        </w:rPr>
        <w:t>。高压水喷射处理后，当钢板表面的闪锈状况和油漆配套要求不相符时，应对闪锈区域进行相应的处理或变更油漆配套。</w:t>
      </w:r>
    </w:p>
    <w:p>
      <w:pPr>
        <w:pStyle w:val="170"/>
        <w:rPr>
          <w:rFonts w:ascii="Calibri" w:hAnsi="Calibri"/>
        </w:rPr>
      </w:pPr>
      <w:r>
        <w:rPr>
          <w:rFonts w:hint="eastAsia"/>
        </w:rPr>
        <w:t>闪锈等级的目视评定，应</w:t>
      </w:r>
      <w:r>
        <w:rPr>
          <w:rFonts w:hint="eastAsia" w:ascii="Calibri" w:hAnsi="Calibri"/>
        </w:rPr>
        <w:t>在良好的日光或照明（经双方认可）条件下，凭借正常视力检查，并与本文件提供的典型样板照片进行对比。应结合表</w:t>
      </w:r>
      <w:r>
        <w:rPr>
          <w:rFonts w:ascii="Calibri" w:hAnsi="Calibri"/>
        </w:rPr>
        <w:t>2</w:t>
      </w:r>
      <w:r>
        <w:rPr>
          <w:rFonts w:hint="eastAsia" w:ascii="Calibri" w:hAnsi="Calibri"/>
        </w:rPr>
        <w:t>的文字描述，将相应的照片尽量靠近待评定的钢材表面，并与其置于同一平面上进行比较。</w:t>
      </w:r>
    </w:p>
    <w:p>
      <w:pPr>
        <w:pStyle w:val="170"/>
      </w:pPr>
      <w:r>
        <w:rPr>
          <w:rFonts w:hint="eastAsia"/>
        </w:rPr>
        <w:t>闪锈等级（如果存在）的评定应在涂料涂覆前立即进行，按表</w:t>
      </w:r>
      <w:r>
        <w:t>2</w:t>
      </w:r>
      <w:r>
        <w:rPr>
          <w:rFonts w:hint="eastAsia"/>
        </w:rPr>
        <w:t>中定义的状态，记录与明显的闪锈最为接近的等级作为评定结果。</w:t>
      </w:r>
    </w:p>
    <w:p>
      <w:pPr>
        <w:pStyle w:val="117"/>
        <w:spacing w:before="156" w:after="156"/>
        <w:ind w:left="0"/>
      </w:pPr>
      <w:bookmarkStart w:id="110" w:name="_Toc142498890"/>
      <w:r>
        <w:rPr>
          <w:rFonts w:hint="eastAsia"/>
        </w:rPr>
        <w:t>闪锈等级的表面状态文字描述</w:t>
      </w:r>
      <w:bookmarkEnd w:id="110"/>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405"/>
        <w:gridCol w:w="589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05" w:type="dxa"/>
          </w:tcPr>
          <w:p>
            <w:pPr>
              <w:spacing w:line="240" w:lineRule="auto"/>
              <w:jc w:val="center"/>
              <w:rPr>
                <w:sz w:val="18"/>
                <w:szCs w:val="18"/>
              </w:rPr>
            </w:pPr>
            <w:r>
              <w:rPr>
                <w:rFonts w:hint="eastAsia"/>
                <w:sz w:val="18"/>
                <w:szCs w:val="18"/>
              </w:rPr>
              <w:t>闪锈等级</w:t>
            </w:r>
          </w:p>
        </w:tc>
        <w:tc>
          <w:tcPr>
            <w:tcW w:w="5891" w:type="dxa"/>
          </w:tcPr>
          <w:p>
            <w:pPr>
              <w:spacing w:line="240" w:lineRule="auto"/>
              <w:jc w:val="center"/>
              <w:rPr>
                <w:sz w:val="18"/>
                <w:szCs w:val="18"/>
              </w:rPr>
            </w:pPr>
            <w:r>
              <w:rPr>
                <w:rFonts w:hint="eastAsia"/>
                <w:sz w:val="18"/>
                <w:szCs w:val="18"/>
              </w:rPr>
              <w:t>闪锈等级的表面状态文字描述（在不放大的情况下进行观察）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05" w:type="dxa"/>
            <w:vAlign w:val="center"/>
          </w:tcPr>
          <w:p>
            <w:pPr>
              <w:spacing w:line="240" w:lineRule="auto"/>
              <w:jc w:val="center"/>
              <w:rPr>
                <w:sz w:val="18"/>
                <w:szCs w:val="18"/>
              </w:rPr>
            </w:pPr>
            <w:r>
              <w:rPr>
                <w:rFonts w:hint="eastAsia"/>
                <w:sz w:val="18"/>
                <w:szCs w:val="18"/>
              </w:rPr>
              <w:t>L</w:t>
            </w:r>
            <w:r>
              <w:rPr>
                <w:sz w:val="18"/>
                <w:szCs w:val="18"/>
              </w:rPr>
              <w:t xml:space="preserve"> </w:t>
            </w:r>
            <w:r>
              <w:rPr>
                <w:rFonts w:hint="eastAsia"/>
                <w:sz w:val="18"/>
                <w:szCs w:val="18"/>
              </w:rPr>
              <w:t>(F</w:t>
            </w:r>
            <w:r>
              <w:rPr>
                <w:sz w:val="18"/>
                <w:szCs w:val="18"/>
              </w:rPr>
              <w:t>R-1</w:t>
            </w:r>
            <w:r>
              <w:rPr>
                <w:rFonts w:hint="eastAsia"/>
                <w:sz w:val="18"/>
                <w:szCs w:val="18"/>
              </w:rPr>
              <w:t>)：轻度闪锈</w:t>
            </w:r>
          </w:p>
        </w:tc>
        <w:tc>
          <w:tcPr>
            <w:tcW w:w="5891" w:type="dxa"/>
          </w:tcPr>
          <w:p>
            <w:pPr>
              <w:spacing w:line="240" w:lineRule="auto"/>
              <w:jc w:val="left"/>
              <w:rPr>
                <w:sz w:val="18"/>
                <w:szCs w:val="18"/>
              </w:rPr>
            </w:pPr>
            <w:r>
              <w:rPr>
                <w:rFonts w:hint="eastAsia"/>
                <w:sz w:val="18"/>
                <w:szCs w:val="18"/>
              </w:rPr>
              <w:t>经处理的表面生锈形成黄棕色锈层。但锈很少，原表面隐约可见。锈层均匀分布或散布呈现。锈层附着良好，用布轻擦无法轻易擦掉。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05" w:type="dxa"/>
            <w:vAlign w:val="center"/>
          </w:tcPr>
          <w:p>
            <w:pPr>
              <w:spacing w:line="240" w:lineRule="auto"/>
              <w:jc w:val="center"/>
              <w:rPr>
                <w:sz w:val="18"/>
                <w:szCs w:val="18"/>
              </w:rPr>
            </w:pPr>
            <w:r>
              <w:rPr>
                <w:sz w:val="18"/>
                <w:szCs w:val="18"/>
              </w:rPr>
              <w:t xml:space="preserve">M </w:t>
            </w:r>
            <w:r>
              <w:rPr>
                <w:rFonts w:hint="eastAsia"/>
                <w:sz w:val="18"/>
                <w:szCs w:val="18"/>
              </w:rPr>
              <w:t>(F</w:t>
            </w:r>
            <w:r>
              <w:rPr>
                <w:sz w:val="18"/>
                <w:szCs w:val="18"/>
              </w:rPr>
              <w:t>R-2</w:t>
            </w:r>
            <w:r>
              <w:rPr>
                <w:rFonts w:hint="eastAsia"/>
                <w:sz w:val="18"/>
                <w:szCs w:val="18"/>
              </w:rPr>
              <w:t>)：中度闪锈</w:t>
            </w:r>
          </w:p>
        </w:tc>
        <w:tc>
          <w:tcPr>
            <w:tcW w:w="5891" w:type="dxa"/>
          </w:tcPr>
          <w:p>
            <w:pPr>
              <w:spacing w:line="240" w:lineRule="auto"/>
              <w:jc w:val="left"/>
              <w:rPr>
                <w:sz w:val="18"/>
                <w:szCs w:val="18"/>
              </w:rPr>
            </w:pPr>
            <w:r>
              <w:rPr>
                <w:rFonts w:hint="eastAsia"/>
                <w:sz w:val="18"/>
                <w:szCs w:val="18"/>
              </w:rPr>
              <w:t>经处理的表面生锈形成红棕色锈层。锈层能遮盖住原表面。锈层均匀分布或散布呈现。锈层附着</w:t>
            </w:r>
            <w:r>
              <w:rPr>
                <w:sz w:val="18"/>
                <w:szCs w:val="18"/>
              </w:rPr>
              <w:t>较好，</w:t>
            </w:r>
            <w:r>
              <w:rPr>
                <w:rFonts w:hint="eastAsia"/>
                <w:sz w:val="18"/>
                <w:szCs w:val="18"/>
              </w:rPr>
              <w:t>用布轻擦后布上显示轻微锈迹。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405" w:type="dxa"/>
            <w:vAlign w:val="center"/>
          </w:tcPr>
          <w:p>
            <w:pPr>
              <w:spacing w:line="240" w:lineRule="auto"/>
              <w:jc w:val="center"/>
              <w:rPr>
                <w:sz w:val="18"/>
                <w:szCs w:val="18"/>
              </w:rPr>
            </w:pPr>
            <w:r>
              <w:rPr>
                <w:sz w:val="18"/>
                <w:szCs w:val="18"/>
              </w:rPr>
              <w:t xml:space="preserve">H </w:t>
            </w:r>
            <w:r>
              <w:rPr>
                <w:rFonts w:hint="eastAsia"/>
                <w:sz w:val="18"/>
                <w:szCs w:val="18"/>
              </w:rPr>
              <w:t>(F</w:t>
            </w:r>
            <w:r>
              <w:rPr>
                <w:sz w:val="18"/>
                <w:szCs w:val="18"/>
              </w:rPr>
              <w:t>R-3</w:t>
            </w:r>
            <w:r>
              <w:rPr>
                <w:rFonts w:hint="eastAsia"/>
                <w:sz w:val="18"/>
                <w:szCs w:val="18"/>
              </w:rPr>
              <w:t>)：重度闪锈</w:t>
            </w:r>
          </w:p>
        </w:tc>
        <w:tc>
          <w:tcPr>
            <w:tcW w:w="5891" w:type="dxa"/>
          </w:tcPr>
          <w:p>
            <w:pPr>
              <w:spacing w:line="240" w:lineRule="auto"/>
              <w:jc w:val="left"/>
              <w:rPr>
                <w:sz w:val="18"/>
                <w:szCs w:val="18"/>
              </w:rPr>
            </w:pPr>
            <w:r>
              <w:rPr>
                <w:rFonts w:hint="eastAsia"/>
                <w:sz w:val="18"/>
                <w:szCs w:val="18"/>
              </w:rPr>
              <w:t>经处理的表面生锈形成厚的红棕色锈层。锈层能完全遮盖住原表面。锈层分布均匀、松散。用干燥的手轻轻擦拭很容易脱落，用布轻擦后布上显示明显锈迹</w:t>
            </w:r>
          </w:p>
        </w:tc>
      </w:tr>
    </w:tbl>
    <w:p>
      <w:pPr>
        <w:pStyle w:val="109"/>
        <w:spacing w:before="312" w:after="312"/>
      </w:pPr>
      <w:bookmarkStart w:id="111" w:name="_Toc142498837"/>
      <w:bookmarkStart w:id="112" w:name="_Toc159937671"/>
      <w:bookmarkStart w:id="113" w:name="_Toc159942452"/>
      <w:r>
        <w:rPr>
          <w:rFonts w:hint="eastAsia"/>
        </w:rPr>
        <w:t>除锈工艺参数</w:t>
      </w:r>
      <w:bookmarkEnd w:id="106"/>
      <w:bookmarkEnd w:id="107"/>
      <w:bookmarkEnd w:id="108"/>
      <w:bookmarkEnd w:id="109"/>
      <w:bookmarkEnd w:id="111"/>
      <w:bookmarkEnd w:id="112"/>
      <w:bookmarkEnd w:id="113"/>
    </w:p>
    <w:p>
      <w:pPr>
        <w:pStyle w:val="235"/>
        <w:spacing w:before="120" w:after="120"/>
      </w:pPr>
      <w:r>
        <w:rPr>
          <w:rFonts w:hint="eastAsia"/>
        </w:rPr>
        <w:t>超高压水射流除锈工艺参数主要包括压力、流量、靶距、除锈宽幅与喷头移动速度。各工艺参数分别按以下的原则进行选择确定。</w:t>
      </w:r>
    </w:p>
    <w:p>
      <w:pPr>
        <w:pStyle w:val="110"/>
        <w:spacing w:before="156" w:after="156"/>
        <w:ind w:left="567" w:hanging="609"/>
      </w:pPr>
      <w:bookmarkStart w:id="114" w:name="_Toc49153411"/>
      <w:bookmarkStart w:id="115" w:name="_Toc49157385"/>
      <w:bookmarkStart w:id="116" w:name="_Toc43117767"/>
      <w:bookmarkStart w:id="117" w:name="_Toc159942453"/>
      <w:bookmarkStart w:id="118" w:name="_Toc159937672"/>
      <w:bookmarkStart w:id="119" w:name="_Toc142498838"/>
      <w:r>
        <w:rPr>
          <w:rFonts w:hint="eastAsia"/>
        </w:rPr>
        <w:t>压力与流量的选择</w:t>
      </w:r>
      <w:bookmarkEnd w:id="114"/>
      <w:bookmarkEnd w:id="115"/>
      <w:bookmarkEnd w:id="116"/>
      <w:bookmarkEnd w:id="117"/>
      <w:bookmarkEnd w:id="118"/>
      <w:bookmarkEnd w:id="119"/>
      <w:bookmarkStart w:id="120" w:name="_Toc49153412"/>
      <w:bookmarkStart w:id="121" w:name="_Toc43117768"/>
    </w:p>
    <w:bookmarkEnd w:id="120"/>
    <w:bookmarkEnd w:id="121"/>
    <w:p>
      <w:pPr>
        <w:pStyle w:val="235"/>
        <w:spacing w:before="120" w:after="120"/>
      </w:pPr>
      <w:r>
        <w:rPr>
          <w:rFonts w:hint="eastAsia"/>
        </w:rPr>
        <w:t>应根据钢板初始表面状态和需要达到的除锈处理等级，合理地选择除锈工艺参数，以获得最佳工作效率。不同除锈处理等级的水射流工作压力与流量可按表</w:t>
      </w:r>
      <w:r>
        <w:t>3</w:t>
      </w:r>
      <w:r>
        <w:rPr>
          <w:rFonts w:hint="eastAsia"/>
        </w:rPr>
        <w:t>进行选择。</w:t>
      </w:r>
    </w:p>
    <w:p>
      <w:pPr>
        <w:pStyle w:val="244"/>
        <w:tabs>
          <w:tab w:val="clear" w:pos="360"/>
        </w:tabs>
      </w:pPr>
      <w:r>
        <w:rPr>
          <w:rFonts w:hint="eastAsia"/>
        </w:rPr>
        <w:t>表3</w:t>
      </w:r>
      <w:r>
        <w:t xml:space="preserve"> </w:t>
      </w:r>
      <w:r>
        <w:rPr>
          <w:rFonts w:hint="eastAsia"/>
        </w:rPr>
        <w:t>水射流工作压力与流量参数的选择</w:t>
      </w:r>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774"/>
        <w:gridCol w:w="3504"/>
        <w:gridCol w:w="329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74" w:type="dxa"/>
            <w:vAlign w:val="center"/>
          </w:tcPr>
          <w:p>
            <w:pPr>
              <w:spacing w:line="240" w:lineRule="auto"/>
              <w:jc w:val="center"/>
              <w:rPr>
                <w:rFonts w:ascii="宋体" w:hAnsi="宋体"/>
                <w:sz w:val="18"/>
                <w:szCs w:val="18"/>
              </w:rPr>
            </w:pPr>
            <w:r>
              <w:rPr>
                <w:rFonts w:hint="eastAsia" w:ascii="宋体" w:hAnsi="宋体"/>
                <w:sz w:val="18"/>
                <w:szCs w:val="18"/>
              </w:rPr>
              <w:t>除锈处理等级</w:t>
            </w:r>
          </w:p>
        </w:tc>
        <w:tc>
          <w:tcPr>
            <w:tcW w:w="3504" w:type="dxa"/>
          </w:tcPr>
          <w:p>
            <w:pPr>
              <w:spacing w:line="240" w:lineRule="auto"/>
              <w:jc w:val="center"/>
              <w:rPr>
                <w:rFonts w:ascii="宋体" w:hAnsi="宋体"/>
                <w:sz w:val="18"/>
                <w:szCs w:val="18"/>
              </w:rPr>
            </w:pPr>
            <w:r>
              <w:rPr>
                <w:rFonts w:hint="eastAsia" w:ascii="宋体" w:hAnsi="宋体"/>
                <w:sz w:val="18"/>
                <w:szCs w:val="18"/>
              </w:rPr>
              <w:t>工作压力</w:t>
            </w:r>
          </w:p>
          <w:p>
            <w:pPr>
              <w:pStyle w:val="21"/>
              <w:spacing w:line="240" w:lineRule="auto"/>
              <w:jc w:val="center"/>
              <w:rPr>
                <w:rFonts w:hAnsi="宋体"/>
                <w:sz w:val="18"/>
                <w:szCs w:val="18"/>
              </w:rPr>
            </w:pPr>
            <w:r>
              <w:rPr>
                <w:rFonts w:hint="eastAsia" w:hAnsi="宋体"/>
                <w:sz w:val="18"/>
                <w:szCs w:val="18"/>
              </w:rPr>
              <w:t>MP</w:t>
            </w:r>
            <w:r>
              <w:rPr>
                <w:rFonts w:hAnsi="宋体"/>
                <w:sz w:val="18"/>
                <w:szCs w:val="18"/>
              </w:rPr>
              <w:t>a</w:t>
            </w:r>
          </w:p>
        </w:tc>
        <w:tc>
          <w:tcPr>
            <w:tcW w:w="3292" w:type="dxa"/>
          </w:tcPr>
          <w:p>
            <w:pPr>
              <w:spacing w:line="240" w:lineRule="auto"/>
              <w:jc w:val="center"/>
              <w:rPr>
                <w:rFonts w:ascii="宋体" w:hAnsi="宋体"/>
                <w:sz w:val="18"/>
                <w:szCs w:val="18"/>
              </w:rPr>
            </w:pPr>
            <w:r>
              <w:rPr>
                <w:rFonts w:hint="eastAsia" w:ascii="宋体" w:hAnsi="宋体"/>
                <w:sz w:val="18"/>
                <w:szCs w:val="18"/>
              </w:rPr>
              <w:t>流量</w:t>
            </w:r>
          </w:p>
          <w:p>
            <w:pPr>
              <w:pStyle w:val="21"/>
              <w:spacing w:line="240" w:lineRule="auto"/>
              <w:jc w:val="center"/>
              <w:rPr>
                <w:rFonts w:hAnsi="宋体"/>
                <w:sz w:val="18"/>
                <w:szCs w:val="18"/>
              </w:rPr>
            </w:pPr>
            <w:r>
              <w:rPr>
                <w:rFonts w:hAnsi="宋体"/>
                <w:sz w:val="18"/>
                <w:szCs w:val="18"/>
              </w:rPr>
              <w:t>l/min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74" w:type="dxa"/>
            <w:vAlign w:val="center"/>
          </w:tcPr>
          <w:p>
            <w:pPr>
              <w:spacing w:line="240" w:lineRule="auto"/>
              <w:jc w:val="center"/>
              <w:rPr>
                <w:rFonts w:ascii="宋体" w:hAnsi="宋体"/>
                <w:sz w:val="18"/>
                <w:szCs w:val="18"/>
              </w:rPr>
            </w:pPr>
            <w:r>
              <w:rPr>
                <w:rFonts w:ascii="宋体" w:hAnsi="宋体"/>
                <w:bCs/>
                <w:sz w:val="18"/>
                <w:szCs w:val="18"/>
              </w:rPr>
              <w:t>Wa 1</w:t>
            </w:r>
          </w:p>
        </w:tc>
        <w:tc>
          <w:tcPr>
            <w:tcW w:w="3504" w:type="dxa"/>
          </w:tcPr>
          <w:p>
            <w:pPr>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180</w:t>
            </w:r>
          </w:p>
        </w:tc>
        <w:tc>
          <w:tcPr>
            <w:tcW w:w="3292" w:type="dxa"/>
            <w:vMerge w:val="restart"/>
            <w:vAlign w:val="center"/>
          </w:tcPr>
          <w:p>
            <w:pPr>
              <w:spacing w:line="240" w:lineRule="auto"/>
              <w:jc w:val="center"/>
              <w:rPr>
                <w:rFonts w:ascii="宋体" w:hAnsi="宋体"/>
                <w:sz w:val="18"/>
                <w:szCs w:val="18"/>
              </w:rPr>
            </w:pPr>
            <w:r>
              <w:rPr>
                <w:rFonts w:hint="eastAsia" w:ascii="宋体" w:hAnsi="宋体"/>
                <w:sz w:val="18"/>
                <w:szCs w:val="18"/>
              </w:rPr>
              <w:t>≥2</w:t>
            </w:r>
            <w:r>
              <w:rPr>
                <w:rFonts w:ascii="宋体" w:hAnsi="宋体"/>
                <w:sz w:val="18"/>
                <w:szCs w:val="18"/>
              </w:rPr>
              <w:t>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74" w:type="dxa"/>
            <w:vAlign w:val="center"/>
          </w:tcPr>
          <w:p>
            <w:pPr>
              <w:spacing w:line="240" w:lineRule="auto"/>
              <w:jc w:val="center"/>
              <w:rPr>
                <w:rFonts w:ascii="宋体" w:hAnsi="宋体"/>
                <w:sz w:val="18"/>
                <w:szCs w:val="18"/>
              </w:rPr>
            </w:pPr>
            <w:bookmarkStart w:id="122" w:name="_Hlk113291020"/>
            <w:bookmarkStart w:id="123" w:name="_Hlk113291010"/>
            <w:r>
              <w:rPr>
                <w:rFonts w:ascii="宋体" w:hAnsi="宋体"/>
                <w:bCs/>
                <w:sz w:val="18"/>
                <w:szCs w:val="18"/>
              </w:rPr>
              <w:t>Wa 2</w:t>
            </w:r>
            <w:bookmarkEnd w:id="122"/>
            <w:bookmarkEnd w:id="123"/>
          </w:p>
        </w:tc>
        <w:tc>
          <w:tcPr>
            <w:tcW w:w="3504" w:type="dxa"/>
          </w:tcPr>
          <w:p>
            <w:pPr>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200</w:t>
            </w:r>
          </w:p>
        </w:tc>
        <w:tc>
          <w:tcPr>
            <w:tcW w:w="3292" w:type="dxa"/>
            <w:vMerge w:val="continue"/>
          </w:tcPr>
          <w:p>
            <w:pPr>
              <w:spacing w:line="240" w:lineRule="auto"/>
              <w:jc w:val="left"/>
              <w:rPr>
                <w:rFonts w:ascii="宋体" w:hAnsi="宋体"/>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74" w:type="dxa"/>
            <w:vAlign w:val="center"/>
          </w:tcPr>
          <w:p>
            <w:pPr>
              <w:spacing w:line="240" w:lineRule="auto"/>
              <w:jc w:val="center"/>
              <w:rPr>
                <w:rFonts w:ascii="宋体" w:hAnsi="宋体"/>
                <w:sz w:val="18"/>
                <w:szCs w:val="18"/>
              </w:rPr>
            </w:pPr>
            <w:r>
              <w:rPr>
                <w:rFonts w:ascii="宋体" w:hAnsi="宋体"/>
                <w:bCs/>
                <w:sz w:val="18"/>
                <w:szCs w:val="18"/>
              </w:rPr>
              <w:t>Wa 2.5</w:t>
            </w:r>
          </w:p>
        </w:tc>
        <w:tc>
          <w:tcPr>
            <w:tcW w:w="3504" w:type="dxa"/>
          </w:tcPr>
          <w:p>
            <w:pPr>
              <w:spacing w:line="240" w:lineRule="auto"/>
              <w:jc w:val="center"/>
              <w:rPr>
                <w:rFonts w:ascii="宋体" w:hAnsi="宋体"/>
                <w:sz w:val="18"/>
                <w:szCs w:val="18"/>
              </w:rPr>
            </w:pPr>
            <w:r>
              <w:rPr>
                <w:rFonts w:hint="eastAsia" w:ascii="宋体" w:hAnsi="宋体"/>
                <w:sz w:val="18"/>
                <w:szCs w:val="18"/>
              </w:rPr>
              <w:t>≥</w:t>
            </w:r>
            <w:r>
              <w:rPr>
                <w:rFonts w:ascii="宋体" w:hAnsi="宋体"/>
                <w:sz w:val="18"/>
                <w:szCs w:val="18"/>
              </w:rPr>
              <w:t>220</w:t>
            </w:r>
          </w:p>
        </w:tc>
        <w:tc>
          <w:tcPr>
            <w:tcW w:w="3292" w:type="dxa"/>
            <w:vMerge w:val="continue"/>
          </w:tcPr>
          <w:p>
            <w:pPr>
              <w:spacing w:line="240" w:lineRule="auto"/>
              <w:jc w:val="left"/>
              <w:rPr>
                <w:rFonts w:ascii="宋体" w:hAnsi="宋体"/>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2774" w:type="dxa"/>
            <w:vAlign w:val="center"/>
          </w:tcPr>
          <w:p>
            <w:pPr>
              <w:spacing w:line="240" w:lineRule="auto"/>
              <w:jc w:val="center"/>
              <w:rPr>
                <w:rFonts w:ascii="宋体" w:hAnsi="宋体"/>
                <w:sz w:val="18"/>
                <w:szCs w:val="18"/>
              </w:rPr>
            </w:pPr>
            <w:r>
              <w:rPr>
                <w:rFonts w:ascii="宋体" w:hAnsi="宋体"/>
                <w:bCs/>
                <w:sz w:val="18"/>
                <w:szCs w:val="18"/>
              </w:rPr>
              <w:t>Wa 3</w:t>
            </w:r>
          </w:p>
        </w:tc>
        <w:tc>
          <w:tcPr>
            <w:tcW w:w="3504" w:type="dxa"/>
          </w:tcPr>
          <w:p>
            <w:pPr>
              <w:spacing w:line="240" w:lineRule="auto"/>
              <w:jc w:val="center"/>
              <w:rPr>
                <w:rFonts w:ascii="宋体" w:hAnsi="宋体"/>
                <w:sz w:val="18"/>
                <w:szCs w:val="18"/>
              </w:rPr>
            </w:pPr>
            <w:r>
              <w:rPr>
                <w:rFonts w:hint="eastAsia" w:ascii="宋体" w:hAnsi="宋体"/>
                <w:sz w:val="18"/>
                <w:szCs w:val="18"/>
              </w:rPr>
              <w:t>≥2</w:t>
            </w:r>
            <w:r>
              <w:rPr>
                <w:rFonts w:ascii="宋体" w:hAnsi="宋体"/>
                <w:sz w:val="18"/>
                <w:szCs w:val="18"/>
              </w:rPr>
              <w:t>40</w:t>
            </w:r>
          </w:p>
        </w:tc>
        <w:tc>
          <w:tcPr>
            <w:tcW w:w="3292" w:type="dxa"/>
            <w:vMerge w:val="continue"/>
          </w:tcPr>
          <w:p>
            <w:pPr>
              <w:spacing w:line="240" w:lineRule="auto"/>
              <w:jc w:val="left"/>
              <w:rPr>
                <w:rFonts w:ascii="宋体" w:hAnsi="宋体"/>
                <w:sz w:val="18"/>
                <w:szCs w:val="18"/>
              </w:rPr>
            </w:pPr>
          </w:p>
        </w:tc>
      </w:tr>
    </w:tbl>
    <w:p>
      <w:pPr>
        <w:pStyle w:val="110"/>
        <w:spacing w:before="156" w:after="156"/>
        <w:ind w:left="567" w:hanging="609"/>
      </w:pPr>
      <w:bookmarkStart w:id="124" w:name="_Toc43117769"/>
      <w:bookmarkStart w:id="125" w:name="_Toc49153413"/>
      <w:bookmarkStart w:id="126" w:name="_Toc159937673"/>
      <w:bookmarkStart w:id="127" w:name="_Toc142498839"/>
      <w:bookmarkStart w:id="128" w:name="_Toc159942454"/>
      <w:r>
        <w:rPr>
          <w:rFonts w:hint="eastAsia"/>
        </w:rPr>
        <w:t>靶距</w:t>
      </w:r>
      <w:bookmarkEnd w:id="124"/>
      <w:bookmarkEnd w:id="125"/>
      <w:r>
        <w:rPr>
          <w:rFonts w:hint="eastAsia"/>
        </w:rPr>
        <w:t>的选择</w:t>
      </w:r>
      <w:bookmarkEnd w:id="126"/>
      <w:bookmarkEnd w:id="127"/>
      <w:bookmarkEnd w:id="128"/>
    </w:p>
    <w:p>
      <w:pPr>
        <w:pStyle w:val="235"/>
        <w:spacing w:before="120" w:after="120"/>
      </w:pPr>
      <w:r>
        <w:rPr>
          <w:rFonts w:hint="eastAsia"/>
        </w:rPr>
        <w:t>自动作业的水射流靶距宜在</w:t>
      </w:r>
      <w:r>
        <w:t>5mm</w:t>
      </w:r>
      <w:r>
        <w:rPr>
          <w:rFonts w:hint="eastAsia"/>
        </w:rPr>
        <w:t>～</w:t>
      </w:r>
      <w:r>
        <w:t>20mm</w:t>
      </w:r>
      <w:r>
        <w:rPr>
          <w:rFonts w:hint="eastAsia"/>
        </w:rPr>
        <w:t>之间；喷枪除锈作业的水射流靶距应控制在1</w:t>
      </w:r>
      <w:r>
        <w:t>50mm</w:t>
      </w:r>
      <w:r>
        <w:rPr>
          <w:rFonts w:hint="eastAsia"/>
        </w:rPr>
        <w:t>以内。</w:t>
      </w:r>
    </w:p>
    <w:p>
      <w:pPr>
        <w:pStyle w:val="110"/>
        <w:spacing w:before="156" w:after="156"/>
        <w:ind w:left="567" w:hanging="609"/>
      </w:pPr>
      <w:bookmarkStart w:id="129" w:name="_Toc159937674"/>
      <w:bookmarkStart w:id="130" w:name="_Toc142498840"/>
      <w:bookmarkStart w:id="131" w:name="_Toc159942455"/>
      <w:r>
        <w:rPr>
          <w:rFonts w:hint="eastAsia"/>
        </w:rPr>
        <w:t>除锈宽幅与喷头移动速度的选择</w:t>
      </w:r>
      <w:bookmarkEnd w:id="129"/>
      <w:bookmarkEnd w:id="130"/>
      <w:bookmarkEnd w:id="131"/>
    </w:p>
    <w:p>
      <w:pPr>
        <w:pStyle w:val="170"/>
      </w:pPr>
      <w:r>
        <w:rPr>
          <w:rFonts w:hint="eastAsia"/>
        </w:rPr>
        <w:t>除锈宽幅与喷头移动速度参数的确定应满足：对于所有除锈处理等级，旋转喷枪除锈作业效率不应低于</w:t>
      </w:r>
      <w:r>
        <w:t>8</w:t>
      </w:r>
      <w:r>
        <w:rPr>
          <w:rFonts w:hint="eastAsia"/>
        </w:rPr>
        <w:t>m</w:t>
      </w:r>
      <w:r>
        <w:rPr>
          <w:vertAlign w:val="superscript"/>
        </w:rPr>
        <w:t>2</w:t>
      </w:r>
      <w:r>
        <w:t>/h</w:t>
      </w:r>
      <w:r>
        <w:rPr>
          <w:rFonts w:hint="eastAsia"/>
        </w:rPr>
        <w:t>；平面清洗器作业效率不应低于2</w:t>
      </w:r>
      <w:r>
        <w:t>0</w:t>
      </w:r>
      <w:r>
        <w:rPr>
          <w:rFonts w:hint="eastAsia"/>
        </w:rPr>
        <w:t xml:space="preserve"> m</w:t>
      </w:r>
      <w:r>
        <w:rPr>
          <w:vertAlign w:val="superscript"/>
        </w:rPr>
        <w:t>2</w:t>
      </w:r>
      <w:r>
        <w:t>/h</w:t>
      </w:r>
      <w:r>
        <w:rPr>
          <w:rFonts w:hint="eastAsia"/>
        </w:rPr>
        <w:t>。</w:t>
      </w:r>
    </w:p>
    <w:p>
      <w:pPr>
        <w:pStyle w:val="170"/>
      </w:pPr>
      <w:r>
        <w:rPr>
          <w:rFonts w:hint="eastAsia" w:hAnsi="宋体"/>
        </w:rPr>
        <w:t>平面清洗器的除锈宽幅宜在0.</w:t>
      </w:r>
      <w:r>
        <w:rPr>
          <w:rFonts w:hAnsi="宋体"/>
        </w:rPr>
        <w:t>25</w:t>
      </w:r>
      <w:r>
        <w:rPr>
          <w:rFonts w:hint="eastAsia" w:hAnsi="宋体"/>
        </w:rPr>
        <w:t>m～0.6m之间。</w:t>
      </w:r>
    </w:p>
    <w:p>
      <w:pPr>
        <w:pStyle w:val="170"/>
      </w:pPr>
      <w:r>
        <w:rPr>
          <w:rFonts w:hint="eastAsia"/>
        </w:rPr>
        <w:t>额定工况下，爬壁机器人除锈作业行走速度在2</w:t>
      </w:r>
      <w:r>
        <w:t xml:space="preserve"> m/min</w:t>
      </w:r>
      <w:r>
        <w:rPr>
          <w:rFonts w:hint="eastAsia"/>
        </w:rPr>
        <w:t>-4</w:t>
      </w:r>
      <w:r>
        <w:t>m/min</w:t>
      </w:r>
      <w:r>
        <w:rPr>
          <w:rFonts w:hint="eastAsia"/>
        </w:rPr>
        <w:t>；非除锈作业工况下，最大行走速度不小于8</w:t>
      </w:r>
      <w:r>
        <w:t>m/min</w:t>
      </w:r>
      <w:r>
        <w:rPr>
          <w:rFonts w:hint="eastAsia"/>
        </w:rPr>
        <w:t>。</w:t>
      </w:r>
    </w:p>
    <w:p>
      <w:pPr>
        <w:pStyle w:val="170"/>
      </w:pPr>
      <w:r>
        <w:rPr>
          <w:rFonts w:hint="eastAsia"/>
        </w:rPr>
        <w:t>额定工况下，大臂车作业最大行走速度不小于4m/min；非除锈作业工况下，最大行走速度不小于8m/min。</w:t>
      </w:r>
    </w:p>
    <w:p>
      <w:pPr>
        <w:pStyle w:val="170"/>
      </w:pPr>
      <w:r>
        <w:rPr>
          <w:rFonts w:hint="eastAsia"/>
        </w:rPr>
        <w:t>坞底车作业最大行走速度不小于4m/min；非除锈作业工况下，最大行走速度不小于8m/min。</w:t>
      </w:r>
    </w:p>
    <w:p>
      <w:pPr>
        <w:pStyle w:val="109"/>
        <w:spacing w:before="312" w:after="312"/>
      </w:pPr>
      <w:bookmarkStart w:id="132" w:name="_Toc49157387"/>
      <w:bookmarkStart w:id="133" w:name="_Toc49153416"/>
      <w:bookmarkStart w:id="134" w:name="_Toc142498841"/>
      <w:bookmarkStart w:id="135" w:name="_Toc159942456"/>
      <w:bookmarkStart w:id="136" w:name="_Toc43117771"/>
      <w:bookmarkStart w:id="137" w:name="_Toc159937675"/>
      <w:r>
        <w:rPr>
          <w:rFonts w:hint="eastAsia"/>
        </w:rPr>
        <w:t>除锈作业模式</w:t>
      </w:r>
      <w:bookmarkEnd w:id="132"/>
      <w:bookmarkEnd w:id="133"/>
      <w:bookmarkEnd w:id="134"/>
      <w:bookmarkEnd w:id="135"/>
      <w:bookmarkEnd w:id="136"/>
      <w:bookmarkEnd w:id="137"/>
    </w:p>
    <w:p>
      <w:pPr>
        <w:pStyle w:val="110"/>
        <w:spacing w:before="156" w:after="156"/>
        <w:ind w:left="567" w:hanging="609"/>
      </w:pPr>
      <w:bookmarkStart w:id="138" w:name="_Toc159937676"/>
      <w:bookmarkStart w:id="139" w:name="_Toc159942457"/>
      <w:bookmarkStart w:id="140" w:name="_Toc142498842"/>
      <w:bookmarkStart w:id="141" w:name="_Toc43117772"/>
      <w:bookmarkStart w:id="142" w:name="_Toc49153417"/>
      <w:bookmarkStart w:id="143" w:name="_Toc49157388"/>
      <w:bookmarkStart w:id="144" w:name="_Hlk113352782"/>
      <w:r>
        <w:rPr>
          <w:rFonts w:hint="eastAsia"/>
        </w:rPr>
        <w:t>一般要求</w:t>
      </w:r>
      <w:bookmarkEnd w:id="138"/>
      <w:bookmarkEnd w:id="139"/>
      <w:bookmarkEnd w:id="140"/>
      <w:bookmarkEnd w:id="141"/>
      <w:bookmarkEnd w:id="142"/>
      <w:bookmarkEnd w:id="143"/>
    </w:p>
    <w:p>
      <w:pPr>
        <w:pStyle w:val="170"/>
      </w:pPr>
      <w:r>
        <w:rPr>
          <w:rFonts w:hint="eastAsia"/>
        </w:rPr>
        <w:t>典型的水射流除锈工艺流程见附录C。</w:t>
      </w:r>
    </w:p>
    <w:p>
      <w:pPr>
        <w:pStyle w:val="170"/>
      </w:pPr>
      <w:r>
        <w:rPr>
          <w:rFonts w:hint="eastAsia"/>
        </w:rPr>
        <w:t>除锈作业前，</w:t>
      </w:r>
      <w:r>
        <w:t>工程主管</w:t>
      </w:r>
      <w:r>
        <w:rPr>
          <w:rFonts w:hint="eastAsia"/>
        </w:rPr>
        <w:t>应会同甲方（业主或船东）、涂料商共同进行现场勘验，明确甲方要求的处理指标，确定除锈部位、范围和除锈处理等级。</w:t>
      </w:r>
    </w:p>
    <w:p>
      <w:pPr>
        <w:pStyle w:val="170"/>
      </w:pPr>
      <w:r>
        <w:rPr>
          <w:rFonts w:hint="eastAsia"/>
        </w:rPr>
        <w:t>现场勘验应检查和拍摄表面锈蚀、擦伤、油污及涂层状态，以及船舶水线下附着海生物情况等，制定除锈作业比例、施工区域面积、除锈作业执行机构型式，并确定除锈工艺参数，在此基础上，制定详细的施工作业计划。</w:t>
      </w:r>
    </w:p>
    <w:bookmarkEnd w:id="144"/>
    <w:p>
      <w:pPr>
        <w:pStyle w:val="110"/>
        <w:spacing w:before="156" w:after="156"/>
        <w:ind w:left="567" w:hanging="609"/>
      </w:pPr>
      <w:bookmarkStart w:id="145" w:name="_Toc159937677"/>
      <w:bookmarkStart w:id="146" w:name="_Toc43117773"/>
      <w:bookmarkStart w:id="147" w:name="_Toc159942458"/>
      <w:bookmarkStart w:id="148" w:name="_Toc49153418"/>
      <w:bookmarkStart w:id="149" w:name="_Toc49157389"/>
      <w:bookmarkStart w:id="150" w:name="_Toc142498843"/>
      <w:r>
        <w:rPr>
          <w:rFonts w:hint="eastAsia"/>
        </w:rPr>
        <w:t>除锈作业比率的制定</w:t>
      </w:r>
      <w:bookmarkEnd w:id="145"/>
      <w:bookmarkEnd w:id="146"/>
      <w:bookmarkEnd w:id="147"/>
      <w:bookmarkEnd w:id="148"/>
      <w:bookmarkEnd w:id="149"/>
      <w:bookmarkEnd w:id="150"/>
    </w:p>
    <w:p>
      <w:pPr>
        <w:pStyle w:val="170"/>
      </w:pPr>
      <w:r>
        <w:rPr>
          <w:rFonts w:hint="eastAsia"/>
        </w:rPr>
        <w:t>一般</w:t>
      </w:r>
      <w:r>
        <w:t>由工程主管与</w:t>
      </w:r>
      <w:r>
        <w:rPr>
          <w:rFonts w:hint="eastAsia"/>
        </w:rPr>
        <w:t>甲方（业主或船东）</w:t>
      </w:r>
      <w:r>
        <w:t>共同进行工程勘验。对施工区域选取4个</w:t>
      </w:r>
      <w:r>
        <w:rPr>
          <w:rFonts w:hint="eastAsia"/>
        </w:rPr>
        <w:t>部位</w:t>
      </w:r>
      <w:r>
        <w:t>以上，每个</w:t>
      </w:r>
      <w:r>
        <w:rPr>
          <w:rFonts w:hint="eastAsia"/>
        </w:rPr>
        <w:t>部位</w:t>
      </w:r>
      <w:r>
        <w:t>1平方米以上，测量锈蚀的面积占总面积的</w:t>
      </w:r>
      <w:r>
        <w:rPr>
          <w:rFonts w:hint="eastAsia"/>
        </w:rPr>
        <w:t>比率</w:t>
      </w:r>
      <w:r>
        <w:t>，进行汇总</w:t>
      </w:r>
      <w:r>
        <w:rPr>
          <w:rFonts w:hint="eastAsia"/>
        </w:rPr>
        <w:t>，</w:t>
      </w:r>
      <w:r>
        <w:t>平均得到最终的施工区域除锈</w:t>
      </w:r>
      <w:r>
        <w:rPr>
          <w:rFonts w:hint="eastAsia"/>
        </w:rPr>
        <w:t>作业比率（可参考图1分级划分）。</w:t>
      </w:r>
    </w:p>
    <w:p>
      <w:pPr>
        <w:pStyle w:val="170"/>
      </w:pPr>
      <w:r>
        <w:t>勘验</w:t>
      </w:r>
      <w:r>
        <w:rPr>
          <w:rFonts w:hint="eastAsia"/>
        </w:rPr>
        <w:t>时应注意，</w:t>
      </w:r>
      <w:r>
        <w:t>部分锈蚀的锈苞表面状态目测良好，需要用尖头锤子敲击锈苞，根据底层的锈蚀状况制定工程除锈</w:t>
      </w:r>
      <w:r>
        <w:rPr>
          <w:rFonts w:hint="eastAsia"/>
        </w:rPr>
        <w:t>作业比率。</w:t>
      </w:r>
    </w:p>
    <w:p>
      <w:pPr>
        <w:pStyle w:val="170"/>
      </w:pPr>
      <w:r>
        <w:t>根据</w:t>
      </w:r>
      <w:r>
        <w:rPr>
          <w:rFonts w:hint="eastAsia"/>
        </w:rPr>
        <w:t>甲方（业主或船东）</w:t>
      </w:r>
      <w:r>
        <w:t>的质量要求制定相应</w:t>
      </w:r>
      <w:r>
        <w:rPr>
          <w:rFonts w:hint="eastAsia"/>
        </w:rPr>
        <w:t>除锈处理等级</w:t>
      </w:r>
      <w:r>
        <w:t>，</w:t>
      </w:r>
      <w:r>
        <w:rPr>
          <w:rFonts w:hint="eastAsia"/>
        </w:rPr>
        <w:t>一般</w:t>
      </w:r>
      <w:r>
        <w:t>采用</w:t>
      </w:r>
      <w:r>
        <w:rPr>
          <w:rFonts w:ascii="Times New Roman"/>
          <w:bCs/>
        </w:rPr>
        <w:t>Wa 1</w:t>
      </w:r>
      <w:r>
        <w:rPr>
          <w:rFonts w:hint="eastAsia" w:ascii="Times New Roman"/>
          <w:bCs/>
        </w:rPr>
        <w:t>，</w:t>
      </w:r>
      <w:r>
        <w:rPr>
          <w:rFonts w:ascii="Times New Roman"/>
          <w:bCs/>
        </w:rPr>
        <w:t>Wa 2</w:t>
      </w:r>
      <w:r>
        <w:rPr>
          <w:rFonts w:hint="eastAsia" w:ascii="Times New Roman"/>
          <w:bCs/>
        </w:rPr>
        <w:t>，</w:t>
      </w:r>
      <w:r>
        <w:rPr>
          <w:rFonts w:ascii="Times New Roman"/>
          <w:bCs/>
        </w:rPr>
        <w:t>Wa 2.5</w:t>
      </w:r>
      <w:r>
        <w:rPr>
          <w:rFonts w:hint="eastAsia" w:ascii="Times New Roman"/>
          <w:bCs/>
        </w:rPr>
        <w:t>，W</w:t>
      </w:r>
      <w:r>
        <w:rPr>
          <w:rFonts w:ascii="Times New Roman"/>
          <w:bCs/>
        </w:rPr>
        <w:t>a 3</w:t>
      </w:r>
      <w:r>
        <w:t>或组合方式制定除锈</w:t>
      </w:r>
      <w:r>
        <w:rPr>
          <w:rFonts w:hint="eastAsia"/>
        </w:rPr>
        <w:t>作业比率</w:t>
      </w:r>
      <w:r>
        <w:t>。若除锈区域最终需要</w:t>
      </w:r>
      <w:r>
        <w:rPr>
          <w:rFonts w:hint="eastAsia"/>
        </w:rPr>
        <w:t>全部</w:t>
      </w:r>
      <w:r>
        <w:t>油漆，所制定除锈等级</w:t>
      </w:r>
      <w:r>
        <w:rPr>
          <w:rFonts w:hint="eastAsia"/>
        </w:rPr>
        <w:t>的除锈作业比率</w:t>
      </w:r>
      <w:r>
        <w:t>之和应是100%</w:t>
      </w:r>
      <w:r>
        <w:rPr>
          <w:rFonts w:hint="eastAsia"/>
        </w:rPr>
        <w:t>。</w:t>
      </w:r>
    </w:p>
    <w:p>
      <w:pPr>
        <w:pStyle w:val="170"/>
      </w:pPr>
      <w:r>
        <w:rPr>
          <w:rFonts w:hint="eastAsia"/>
        </w:rPr>
        <w:t>除特别约定，</w:t>
      </w:r>
      <w:r>
        <w:t>除锈</w:t>
      </w:r>
      <w:r>
        <w:rPr>
          <w:rFonts w:hint="eastAsia"/>
        </w:rPr>
        <w:t>作业比率应不低于</w:t>
      </w:r>
      <w:r>
        <w:t>20%，不足20%的锈蚀面积按20%除锈</w:t>
      </w:r>
      <w:r>
        <w:rPr>
          <w:rFonts w:hint="eastAsia"/>
        </w:rPr>
        <w:t>作业比率</w:t>
      </w:r>
      <w:r>
        <w:t>计算，超过20%</w:t>
      </w:r>
      <w:r>
        <w:rPr>
          <w:rFonts w:hint="eastAsia"/>
        </w:rPr>
        <w:t>的</w:t>
      </w:r>
      <w:r>
        <w:t>除锈</w:t>
      </w:r>
      <w:r>
        <w:rPr>
          <w:rFonts w:hint="eastAsia"/>
        </w:rPr>
        <w:t>作业比率</w:t>
      </w:r>
      <w:r>
        <w:t>按实际计算</w:t>
      </w:r>
      <w:r>
        <w:rPr>
          <w:rFonts w:hint="eastAsia"/>
        </w:rPr>
        <w:t>。</w:t>
      </w:r>
    </w:p>
    <w:p>
      <w:pPr>
        <w:pStyle w:val="242"/>
        <w:numPr>
          <w:ilvl w:val="0"/>
          <w:numId w:val="0"/>
        </w:numPr>
        <w:spacing w:before="156" w:after="156"/>
        <w:jc w:val="center"/>
      </w:pPr>
      <w:r>
        <w:drawing>
          <wp:inline distT="0" distB="0" distL="0" distR="0">
            <wp:extent cx="3030855" cy="2751455"/>
            <wp:effectExtent l="0" t="0" r="0" b="0"/>
            <wp:docPr id="66" name="图片 66" descr="图片包含 日历&#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图片包含 日历&#10;&#10;描述已自动生成"/>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032610" cy="2753157"/>
                    </a:xfrm>
                    <a:prstGeom prst="rect">
                      <a:avLst/>
                    </a:prstGeom>
                    <a:noFill/>
                    <a:ln>
                      <a:noFill/>
                    </a:ln>
                  </pic:spPr>
                </pic:pic>
              </a:graphicData>
            </a:graphic>
          </wp:inline>
        </w:drawing>
      </w:r>
    </w:p>
    <w:p>
      <w:pPr>
        <w:pStyle w:val="119"/>
        <w:spacing w:before="156" w:after="156"/>
      </w:pPr>
      <w:bookmarkStart w:id="151" w:name="_Toc142498854"/>
      <w:r>
        <w:rPr>
          <w:rFonts w:hint="eastAsia"/>
        </w:rPr>
        <w:t>除锈作业比率</w:t>
      </w:r>
      <w:bookmarkEnd w:id="151"/>
    </w:p>
    <w:p>
      <w:pPr>
        <w:pStyle w:val="110"/>
        <w:spacing w:before="156" w:after="156"/>
        <w:ind w:left="567" w:hanging="609"/>
      </w:pPr>
      <w:bookmarkStart w:id="152" w:name="_Toc142498844"/>
      <w:bookmarkStart w:id="153" w:name="_Toc159937678"/>
      <w:bookmarkStart w:id="154" w:name="_Toc159942459"/>
      <w:bookmarkStart w:id="155" w:name="_Toc49153419"/>
      <w:bookmarkStart w:id="156" w:name="_Toc49157390"/>
      <w:bookmarkStart w:id="157" w:name="_Toc43117774"/>
      <w:r>
        <w:rPr>
          <w:rFonts w:hint="eastAsia"/>
        </w:rPr>
        <w:t>除锈作业施工区域面积的制定</w:t>
      </w:r>
      <w:bookmarkEnd w:id="152"/>
      <w:bookmarkEnd w:id="153"/>
      <w:bookmarkEnd w:id="154"/>
      <w:bookmarkEnd w:id="155"/>
      <w:bookmarkEnd w:id="156"/>
      <w:bookmarkEnd w:id="157"/>
    </w:p>
    <w:p>
      <w:pPr>
        <w:pStyle w:val="235"/>
        <w:spacing w:before="120" w:after="120"/>
      </w:pPr>
      <w:r>
        <w:rPr>
          <w:rFonts w:hint="eastAsia"/>
        </w:rPr>
        <w:t>对于船舶除锈，依据船体布置图（图2）和表3计算方法进行船舶外板（船壳）的除锈作业施工区域面积。</w:t>
      </w:r>
    </w:p>
    <w:p>
      <w:pPr>
        <w:pStyle w:val="235"/>
        <w:spacing w:before="120" w:after="120"/>
      </w:pPr>
      <w:r>
        <w:drawing>
          <wp:inline distT="0" distB="0" distL="0" distR="0">
            <wp:extent cx="5271135" cy="1452245"/>
            <wp:effectExtent l="0" t="0" r="5715" b="0"/>
            <wp:docPr id="65" name="图片 65"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图示&#10;&#10;描述已自动生成"/>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1135" cy="1452245"/>
                    </a:xfrm>
                    <a:prstGeom prst="rect">
                      <a:avLst/>
                    </a:prstGeom>
                    <a:noFill/>
                    <a:ln>
                      <a:noFill/>
                    </a:ln>
                  </pic:spPr>
                </pic:pic>
              </a:graphicData>
            </a:graphic>
          </wp:inline>
        </w:drawing>
      </w:r>
    </w:p>
    <w:p>
      <w:pPr>
        <w:pStyle w:val="119"/>
        <w:spacing w:before="156" w:after="156"/>
      </w:pPr>
      <w:bookmarkStart w:id="158" w:name="_Toc142498855"/>
      <w:r>
        <w:rPr>
          <w:rFonts w:hint="eastAsia"/>
        </w:rPr>
        <w:t>船体布置图</w:t>
      </w:r>
      <w:bookmarkEnd w:id="158"/>
    </w:p>
    <w:p>
      <w:pPr>
        <w:pStyle w:val="117"/>
        <w:spacing w:before="156" w:after="156"/>
        <w:ind w:left="0"/>
      </w:pPr>
      <w:bookmarkStart w:id="159" w:name="_Toc142498891"/>
      <w:r>
        <w:rPr>
          <w:rFonts w:hint="eastAsia"/>
        </w:rPr>
        <w:t>船舶除锈作业施工区域面积的计算公式</w:t>
      </w:r>
      <w:bookmarkEnd w:id="159"/>
    </w:p>
    <w:tbl>
      <w:tblPr>
        <w:tblStyle w:val="29"/>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3114"/>
        <w:gridCol w:w="2126"/>
        <w:gridCol w:w="305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restart"/>
            <w:vAlign w:val="center"/>
          </w:tcPr>
          <w:p>
            <w:pPr>
              <w:spacing w:line="240" w:lineRule="auto"/>
              <w:jc w:val="center"/>
              <w:rPr>
                <w:sz w:val="18"/>
                <w:szCs w:val="18"/>
              </w:rPr>
            </w:pPr>
            <w:r>
              <w:rPr>
                <w:rFonts w:hint="eastAsia"/>
                <w:sz w:val="18"/>
                <w:szCs w:val="18"/>
              </w:rPr>
              <w:t>船底及舷侧水线以下部分</w:t>
            </w:r>
          </w:p>
        </w:tc>
        <w:tc>
          <w:tcPr>
            <w:tcW w:w="5182" w:type="dxa"/>
            <w:gridSpan w:val="2"/>
            <w:vAlign w:val="center"/>
          </w:tcPr>
          <w:p>
            <w:pPr>
              <w:spacing w:line="240" w:lineRule="auto"/>
              <w:rPr>
                <w:rFonts w:ascii="黑体" w:hAnsi="黑体" w:eastAsia="黑体"/>
                <w:sz w:val="18"/>
                <w:szCs w:val="18"/>
              </w:rPr>
            </w:pPr>
            <m:oMathPara>
              <m:oMath>
                <m:r>
                  <m:rPr>
                    <m:sty m:val="p"/>
                  </m:rPr>
                  <w:rPr>
                    <w:rFonts w:ascii="Cambria Math" w:hAnsi="Cambria Math"/>
                    <w:sz w:val="18"/>
                    <w:szCs w:val="18"/>
                  </w:rPr>
                  <m:t>A=</m:t>
                </m:r>
                <m:d>
                  <m:dPr>
                    <m:begChr m:val="["/>
                    <m:endChr m:val="]"/>
                    <m:ctrlPr>
                      <w:rPr>
                        <w:rFonts w:ascii="Cambria Math" w:hAnsi="Cambria Math"/>
                        <w:iCs/>
                        <w:sz w:val="18"/>
                        <w:szCs w:val="18"/>
                      </w:rPr>
                    </m:ctrlPr>
                  </m:dPr>
                  <m:e>
                    <m:d>
                      <m:dPr>
                        <m:ctrlPr>
                          <w:rPr>
                            <w:rFonts w:ascii="Cambria Math" w:hAnsi="Cambria Math"/>
                            <w:iCs/>
                            <w:sz w:val="18"/>
                            <w:szCs w:val="18"/>
                          </w:rPr>
                        </m:ctrlPr>
                      </m:dPr>
                      <m:e>
                        <m:r>
                          <m:rPr>
                            <m:sty m:val="p"/>
                          </m:rPr>
                          <w:rPr>
                            <w:rFonts w:ascii="Cambria Math" w:hAnsi="Cambria Math"/>
                            <w:sz w:val="18"/>
                            <w:szCs w:val="18"/>
                          </w:rPr>
                          <m:t>2</m:t>
                        </m:r>
                        <m:r>
                          <m:rPr>
                            <m:sty m:val="p"/>
                          </m:rPr>
                          <w:rPr>
                            <w:rFonts w:hint="eastAsia" w:ascii="Cambria Math" w:hAnsi="Cambria Math"/>
                            <w:sz w:val="18"/>
                            <w:szCs w:val="18"/>
                          </w:rPr>
                          <m:t>×</m:t>
                        </m:r>
                        <m:r>
                          <m:rPr>
                            <m:sty m:val="p"/>
                          </m:rPr>
                          <w:rPr>
                            <w:rFonts w:ascii="Cambria Math" w:hAnsi="Cambria Math"/>
                            <w:sz w:val="18"/>
                            <w:szCs w:val="18"/>
                          </w:rPr>
                          <m:t>d</m:t>
                        </m:r>
                        <m:ctrlPr>
                          <w:rPr>
                            <w:rFonts w:ascii="Cambria Math" w:hAnsi="Cambria Math"/>
                            <w:iCs/>
                            <w:sz w:val="18"/>
                            <w:szCs w:val="18"/>
                          </w:rPr>
                        </m:ctrlPr>
                      </m:e>
                    </m:d>
                    <m:r>
                      <m:rPr>
                        <m:sty m:val="p"/>
                      </m:rPr>
                      <w:rPr>
                        <w:rFonts w:ascii="Cambria Math" w:hAnsi="Cambria Math"/>
                        <w:sz w:val="18"/>
                        <w:szCs w:val="18"/>
                      </w:rPr>
                      <m:t>+B</m:t>
                    </m:r>
                    <m:ctrlPr>
                      <w:rPr>
                        <w:rFonts w:ascii="Cambria Math" w:hAnsi="Cambria Math"/>
                        <w:iCs/>
                        <w:sz w:val="18"/>
                        <w:szCs w:val="18"/>
                      </w:rPr>
                    </m:ctrlPr>
                  </m:e>
                </m:d>
                <m:r>
                  <m:rPr>
                    <m:sty m:val="p"/>
                  </m:rPr>
                  <w:rPr>
                    <w:rFonts w:hint="eastAsia" w:ascii="Cambria Math" w:hAnsi="Cambria Math"/>
                    <w:sz w:val="18"/>
                    <w:szCs w:val="18"/>
                  </w:rPr>
                  <m:t>×</m:t>
                </m:r>
                <m:r>
                  <m:rPr>
                    <m:sty m:val="p"/>
                  </m:rPr>
                  <w:rPr>
                    <w:rFonts w:ascii="Cambria Math" w:hAnsi="Cambria Math"/>
                    <w:sz w:val="18"/>
                    <w:szCs w:val="18"/>
                  </w:rPr>
                  <m:t>LPP</m:t>
                </m:r>
                <m:r>
                  <m:rPr>
                    <m:sty m:val="p"/>
                  </m:rPr>
                  <w:rPr>
                    <w:rFonts w:hint="eastAsia" w:ascii="Cambria Math" w:hAnsi="Cambria Math"/>
                    <w:sz w:val="18"/>
                    <w:szCs w:val="18"/>
                  </w:rPr>
                  <m:t>×</m:t>
                </m:r>
                <m:r>
                  <m:rPr>
                    <m:sty m:val="p"/>
                  </m:rPr>
                  <w:rPr>
                    <w:rFonts w:ascii="Cambria Math" w:hAnsi="Cambria Math"/>
                    <w:sz w:val="18"/>
                    <w:szCs w:val="18"/>
                  </w:rPr>
                  <m:t>P</m:t>
                </m:r>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5182" w:type="dxa"/>
            <w:gridSpan w:val="2"/>
            <w:vAlign w:val="center"/>
          </w:tcPr>
          <w:p>
            <w:pPr>
              <w:spacing w:line="240" w:lineRule="auto"/>
              <w:jc w:val="center"/>
              <w:rPr>
                <w:sz w:val="18"/>
                <w:szCs w:val="18"/>
              </w:rPr>
            </w:pPr>
            <w:r>
              <w:rPr>
                <w:sz w:val="18"/>
                <w:szCs w:val="18"/>
              </w:rPr>
              <w:t>d</w:t>
            </w:r>
            <w:r>
              <w:rPr>
                <w:rFonts w:hint="eastAsia"/>
                <w:sz w:val="18"/>
                <w:szCs w:val="18"/>
              </w:rPr>
              <w:t>：重载线的最大吃水深度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5182" w:type="dxa"/>
            <w:gridSpan w:val="2"/>
            <w:vAlign w:val="center"/>
          </w:tcPr>
          <w:p>
            <w:pPr>
              <w:spacing w:line="240" w:lineRule="auto"/>
              <w:jc w:val="center"/>
              <w:rPr>
                <w:sz w:val="18"/>
                <w:szCs w:val="18"/>
              </w:rPr>
            </w:pPr>
            <w:r>
              <w:rPr>
                <w:rFonts w:hint="eastAsia"/>
                <w:sz w:val="18"/>
                <w:szCs w:val="18"/>
              </w:rPr>
              <w:t>B：船的最大宽度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5182" w:type="dxa"/>
            <w:gridSpan w:val="2"/>
            <w:vAlign w:val="center"/>
          </w:tcPr>
          <w:p>
            <w:pPr>
              <w:spacing w:line="240" w:lineRule="auto"/>
              <w:jc w:val="center"/>
              <w:rPr>
                <w:sz w:val="18"/>
                <w:szCs w:val="18"/>
              </w:rPr>
            </w:pPr>
            <w:r>
              <w:rPr>
                <w:rFonts w:hint="eastAsia"/>
                <w:sz w:val="18"/>
                <w:szCs w:val="18"/>
              </w:rPr>
              <w:t>L</w:t>
            </w:r>
            <w:r>
              <w:rPr>
                <w:sz w:val="18"/>
                <w:szCs w:val="18"/>
              </w:rPr>
              <w:t>PP</w:t>
            </w:r>
            <w:r>
              <w:rPr>
                <w:rFonts w:hint="eastAsia"/>
                <w:sz w:val="18"/>
                <w:szCs w:val="18"/>
              </w:rPr>
              <w:t>：两柱间长度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2126" w:type="dxa"/>
            <w:vMerge w:val="restart"/>
            <w:vAlign w:val="center"/>
          </w:tcPr>
          <w:p>
            <w:pPr>
              <w:spacing w:line="240" w:lineRule="auto"/>
              <w:jc w:val="center"/>
              <w:rPr>
                <w:sz w:val="18"/>
                <w:szCs w:val="18"/>
              </w:rPr>
            </w:pPr>
            <w:r>
              <w:rPr>
                <w:rFonts w:hint="eastAsia"/>
                <w:sz w:val="18"/>
                <w:szCs w:val="18"/>
              </w:rPr>
              <w:t>P：造船系数</w:t>
            </w:r>
          </w:p>
        </w:tc>
        <w:tc>
          <w:tcPr>
            <w:tcW w:w="3056" w:type="dxa"/>
            <w:vAlign w:val="center"/>
          </w:tcPr>
          <w:p>
            <w:pPr>
              <w:spacing w:line="240" w:lineRule="auto"/>
              <w:rPr>
                <w:sz w:val="18"/>
                <w:szCs w:val="18"/>
              </w:rPr>
            </w:pPr>
            <w:r>
              <w:rPr>
                <w:rFonts w:hint="eastAsia"/>
                <w:sz w:val="18"/>
                <w:szCs w:val="18"/>
              </w:rPr>
              <w:t>大油轮：0</w:t>
            </w:r>
            <w:r>
              <w:rPr>
                <w:sz w:val="18"/>
                <w:szCs w:val="18"/>
              </w:rPr>
              <w:t>.90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2126" w:type="dxa"/>
            <w:vMerge w:val="continue"/>
            <w:vAlign w:val="center"/>
          </w:tcPr>
          <w:p>
            <w:pPr>
              <w:spacing w:line="240" w:lineRule="auto"/>
              <w:rPr>
                <w:sz w:val="18"/>
                <w:szCs w:val="18"/>
              </w:rPr>
            </w:pPr>
          </w:p>
        </w:tc>
        <w:tc>
          <w:tcPr>
            <w:tcW w:w="3056" w:type="dxa"/>
            <w:vAlign w:val="center"/>
          </w:tcPr>
          <w:p>
            <w:pPr>
              <w:spacing w:line="240" w:lineRule="auto"/>
              <w:rPr>
                <w:sz w:val="18"/>
                <w:szCs w:val="18"/>
              </w:rPr>
            </w:pPr>
            <w:r>
              <w:rPr>
                <w:rFonts w:hint="eastAsia"/>
                <w:sz w:val="18"/>
                <w:szCs w:val="18"/>
              </w:rPr>
              <w:t>散货船：0</w:t>
            </w:r>
            <w:r>
              <w:rPr>
                <w:sz w:val="18"/>
                <w:szCs w:val="18"/>
              </w:rPr>
              <w:t>.85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rPr>
                <w:sz w:val="18"/>
                <w:szCs w:val="18"/>
              </w:rPr>
            </w:pPr>
          </w:p>
        </w:tc>
        <w:tc>
          <w:tcPr>
            <w:tcW w:w="2126" w:type="dxa"/>
            <w:vMerge w:val="continue"/>
            <w:vAlign w:val="center"/>
          </w:tcPr>
          <w:p>
            <w:pPr>
              <w:spacing w:line="240" w:lineRule="auto"/>
              <w:rPr>
                <w:sz w:val="18"/>
                <w:szCs w:val="18"/>
              </w:rPr>
            </w:pPr>
          </w:p>
        </w:tc>
        <w:tc>
          <w:tcPr>
            <w:tcW w:w="3056" w:type="dxa"/>
            <w:vAlign w:val="center"/>
          </w:tcPr>
          <w:p>
            <w:pPr>
              <w:spacing w:line="240" w:lineRule="auto"/>
              <w:rPr>
                <w:sz w:val="18"/>
                <w:szCs w:val="18"/>
              </w:rPr>
            </w:pPr>
            <w:r>
              <w:rPr>
                <w:rFonts w:hint="eastAsia"/>
                <w:sz w:val="18"/>
                <w:szCs w:val="18"/>
              </w:rPr>
              <w:t>干货船：0.7</w:t>
            </w:r>
            <w:r>
              <w:rPr>
                <w:sz w:val="18"/>
                <w:szCs w:val="18"/>
              </w:rPr>
              <w:t>0</w:t>
            </w:r>
            <w:r>
              <w:rPr>
                <w:rFonts w:hint="eastAsia"/>
                <w:sz w:val="18"/>
                <w:szCs w:val="18"/>
              </w:rPr>
              <w:t>～0</w:t>
            </w:r>
            <w:r>
              <w:rPr>
                <w:sz w:val="18"/>
                <w:szCs w:val="18"/>
              </w:rPr>
              <w:t>.75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restart"/>
            <w:vAlign w:val="center"/>
          </w:tcPr>
          <w:p>
            <w:pPr>
              <w:spacing w:line="240" w:lineRule="auto"/>
              <w:jc w:val="center"/>
              <w:rPr>
                <w:sz w:val="18"/>
                <w:szCs w:val="18"/>
              </w:rPr>
            </w:pPr>
            <w:r>
              <w:rPr>
                <w:rFonts w:hint="eastAsia"/>
                <w:sz w:val="18"/>
                <w:szCs w:val="18"/>
              </w:rPr>
              <w:t>舷侧水线以上部分</w:t>
            </w:r>
          </w:p>
        </w:tc>
        <w:tc>
          <w:tcPr>
            <w:tcW w:w="5182" w:type="dxa"/>
            <w:gridSpan w:val="2"/>
            <w:vAlign w:val="center"/>
          </w:tcPr>
          <w:p>
            <w:pPr>
              <w:spacing w:line="240" w:lineRule="auto"/>
              <w:rPr>
                <w:iCs/>
                <w:sz w:val="18"/>
                <w:szCs w:val="18"/>
              </w:rPr>
            </w:pPr>
            <m:oMathPara>
              <m:oMath>
                <m:r>
                  <m:rPr>
                    <m:sty m:val="p"/>
                  </m:rPr>
                  <w:rPr>
                    <w:rFonts w:ascii="Cambria Math" w:hAnsi="Cambria Math"/>
                    <w:sz w:val="18"/>
                    <w:szCs w:val="18"/>
                  </w:rPr>
                  <m:t>A=2</m:t>
                </m:r>
                <m:r>
                  <m:rPr>
                    <m:sty m:val="p"/>
                  </m:rPr>
                  <w:rPr>
                    <w:rFonts w:hint="eastAsia" w:ascii="Cambria Math" w:hAnsi="Cambria Math"/>
                    <w:sz w:val="18"/>
                    <w:szCs w:val="18"/>
                  </w:rPr>
                  <m:t>×</m:t>
                </m:r>
                <m:r>
                  <m:rPr>
                    <m:sty m:val="p"/>
                  </m:rPr>
                  <w:rPr>
                    <w:rFonts w:ascii="Cambria Math" w:hAnsi="Cambria Math"/>
                    <w:sz w:val="18"/>
                    <w:szCs w:val="18"/>
                  </w:rPr>
                  <m:t>H</m:t>
                </m:r>
                <m:r>
                  <m:rPr>
                    <m:sty m:val="p"/>
                  </m:rPr>
                  <w:rPr>
                    <w:rFonts w:hint="eastAsia" w:ascii="Cambria Math" w:hAnsi="Cambria Math"/>
                    <w:sz w:val="18"/>
                    <w:szCs w:val="18"/>
                  </w:rPr>
                  <m:t>×</m:t>
                </m:r>
                <m:d>
                  <m:dPr>
                    <m:ctrlPr>
                      <w:rPr>
                        <w:rFonts w:ascii="Cambria Math" w:hAnsi="Cambria Math"/>
                        <w:iCs/>
                        <w:sz w:val="18"/>
                        <w:szCs w:val="18"/>
                      </w:rPr>
                    </m:ctrlPr>
                  </m:dPr>
                  <m:e>
                    <m:r>
                      <m:rPr>
                        <m:sty m:val="p"/>
                      </m:rPr>
                      <w:rPr>
                        <w:rFonts w:ascii="Cambria Math" w:hAnsi="Cambria Math"/>
                        <w:sz w:val="18"/>
                        <w:szCs w:val="18"/>
                      </w:rPr>
                      <m:t>LPP</m:t>
                    </m:r>
                    <m:r>
                      <m:rPr>
                        <m:sty m:val="p"/>
                      </m:rPr>
                      <w:rPr>
                        <w:rFonts w:hint="eastAsia" w:ascii="Cambria Math" w:hAnsi="Cambria Math"/>
                        <w:sz w:val="18"/>
                        <w:szCs w:val="18"/>
                      </w:rPr>
                      <m:t>+</m:t>
                    </m:r>
                    <m:r>
                      <m:rPr>
                        <m:sty m:val="p"/>
                      </m:rPr>
                      <w:rPr>
                        <w:rFonts w:ascii="Cambria Math" w:hAnsi="Cambria Math"/>
                        <w:sz w:val="18"/>
                        <w:szCs w:val="18"/>
                      </w:rPr>
                      <m:t>0.5</m:t>
                    </m:r>
                    <m:r>
                      <m:rPr>
                        <m:sty m:val="p"/>
                      </m:rPr>
                      <w:rPr>
                        <w:rFonts w:hint="eastAsia" w:ascii="Cambria Math" w:hAnsi="Cambria Math"/>
                        <w:sz w:val="18"/>
                        <w:szCs w:val="18"/>
                      </w:rPr>
                      <m:t>×</m:t>
                    </m:r>
                    <m:r>
                      <m:rPr>
                        <m:sty m:val="p"/>
                      </m:rPr>
                      <w:rPr>
                        <w:rFonts w:ascii="Cambria Math" w:hAnsi="Cambria Math"/>
                        <w:sz w:val="18"/>
                        <w:szCs w:val="18"/>
                      </w:rPr>
                      <m:t>B</m:t>
                    </m:r>
                    <m:ctrlPr>
                      <w:rPr>
                        <w:rFonts w:ascii="Cambria Math" w:hAnsi="Cambria Math"/>
                        <w:iCs/>
                        <w:sz w:val="18"/>
                        <w:szCs w:val="18"/>
                      </w:rPr>
                    </m:ctrlPr>
                  </m:e>
                </m:d>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sz w:val="18"/>
                <w:szCs w:val="18"/>
              </w:rPr>
              <w:t>H</w:t>
            </w:r>
            <w:r>
              <w:rPr>
                <w:rFonts w:hint="eastAsia"/>
                <w:sz w:val="18"/>
                <w:szCs w:val="18"/>
              </w:rPr>
              <w:t>：水线高度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rFonts w:hint="eastAsia"/>
                <w:sz w:val="18"/>
                <w:szCs w:val="18"/>
              </w:rPr>
              <w:t>L</w:t>
            </w:r>
            <w:r>
              <w:rPr>
                <w:sz w:val="18"/>
                <w:szCs w:val="18"/>
              </w:rPr>
              <w:t>PP</w:t>
            </w:r>
            <w:r>
              <w:rPr>
                <w:rFonts w:hint="eastAsia"/>
                <w:sz w:val="18"/>
                <w:szCs w:val="18"/>
              </w:rPr>
              <w:t>：两柱间长度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rFonts w:hint="eastAsia"/>
                <w:sz w:val="18"/>
                <w:szCs w:val="18"/>
              </w:rPr>
              <w:t>B：船的最大宽度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restart"/>
            <w:vAlign w:val="center"/>
          </w:tcPr>
          <w:p>
            <w:pPr>
              <w:spacing w:line="240" w:lineRule="auto"/>
              <w:jc w:val="center"/>
              <w:rPr>
                <w:sz w:val="18"/>
                <w:szCs w:val="18"/>
              </w:rPr>
            </w:pPr>
            <w:r>
              <w:rPr>
                <w:rFonts w:hint="eastAsia"/>
                <w:sz w:val="18"/>
                <w:szCs w:val="18"/>
              </w:rPr>
              <w:t>干舷（结构吃水至上甲板）</w:t>
            </w:r>
          </w:p>
        </w:tc>
        <w:tc>
          <w:tcPr>
            <w:tcW w:w="5182" w:type="dxa"/>
            <w:gridSpan w:val="2"/>
            <w:vAlign w:val="center"/>
          </w:tcPr>
          <w:p>
            <w:pPr>
              <w:spacing w:line="240" w:lineRule="auto"/>
              <w:rPr>
                <w:sz w:val="18"/>
                <w:szCs w:val="18"/>
              </w:rPr>
            </w:pPr>
            <m:oMathPara>
              <m:oMath>
                <m:r>
                  <m:rPr/>
                  <w:rPr>
                    <w:rFonts w:ascii="Cambria Math" w:hAnsi="Cambria Math"/>
                    <w:sz w:val="18"/>
                    <w:szCs w:val="18"/>
                  </w:rPr>
                  <m:t>A=2</m:t>
                </m:r>
                <m:r>
                  <m:rPr/>
                  <w:rPr>
                    <w:rFonts w:hint="eastAsia" w:ascii="Cambria Math" w:hAnsi="Cambria Math"/>
                    <w:sz w:val="18"/>
                    <w:szCs w:val="18"/>
                  </w:rPr>
                  <m:t>×</m:t>
                </m:r>
                <m:r>
                  <m:rPr>
                    <m:sty m:val="p"/>
                  </m:rPr>
                  <w:rPr>
                    <w:rFonts w:ascii="Cambria Math" w:hAnsi="Cambria Math"/>
                    <w:sz w:val="18"/>
                    <w:szCs w:val="18"/>
                  </w:rPr>
                  <m:t>H</m:t>
                </m:r>
                <m:r>
                  <m:rPr/>
                  <w:rPr>
                    <w:rFonts w:hint="eastAsia" w:ascii="Cambria Math" w:hAnsi="Cambria Math"/>
                    <w:sz w:val="18"/>
                    <w:szCs w:val="18"/>
                  </w:rPr>
                  <m:t>×</m:t>
                </m:r>
                <m:d>
                  <m:dPr>
                    <m:ctrlPr>
                      <w:rPr>
                        <w:rFonts w:ascii="Cambria Math" w:hAnsi="Cambria Math"/>
                        <w:sz w:val="18"/>
                        <w:szCs w:val="18"/>
                      </w:rPr>
                    </m:ctrlPr>
                  </m:dPr>
                  <m:e>
                    <m:r>
                      <m:rPr>
                        <m:sty m:val="p"/>
                      </m:rPr>
                      <w:rPr>
                        <w:rFonts w:ascii="Cambria Math" w:hAnsi="Cambria Math"/>
                        <w:sz w:val="18"/>
                        <w:szCs w:val="18"/>
                      </w:rPr>
                      <m:t>LOA</m:t>
                    </m:r>
                    <m:r>
                      <m:rPr/>
                      <w:rPr>
                        <w:rFonts w:hint="eastAsia" w:ascii="Cambria Math" w:hAnsi="Cambria Math"/>
                        <w:sz w:val="18"/>
                        <w:szCs w:val="18"/>
                      </w:rPr>
                      <m:t>+</m:t>
                    </m:r>
                    <m:r>
                      <m:rPr/>
                      <w:rPr>
                        <w:rFonts w:ascii="Cambria Math" w:hAnsi="Cambria Math"/>
                        <w:sz w:val="18"/>
                        <w:szCs w:val="18"/>
                      </w:rPr>
                      <m:t>0.5</m:t>
                    </m:r>
                    <m:r>
                      <m:rPr/>
                      <w:rPr>
                        <w:rFonts w:hint="eastAsia" w:ascii="Cambria Math" w:hAnsi="Cambria Math"/>
                        <w:sz w:val="18"/>
                        <w:szCs w:val="18"/>
                      </w:rPr>
                      <m:t>×</m:t>
                    </m:r>
                    <m:r>
                      <m:rPr>
                        <m:sty m:val="p"/>
                      </m:rPr>
                      <w:rPr>
                        <w:rFonts w:ascii="Cambria Math" w:hAnsi="Cambria Math"/>
                        <w:sz w:val="18"/>
                        <w:szCs w:val="18"/>
                      </w:rPr>
                      <m:t>B</m:t>
                    </m:r>
                    <m:ctrlPr>
                      <w:rPr>
                        <w:rFonts w:ascii="Cambria Math" w:hAnsi="Cambria Math"/>
                        <w:sz w:val="18"/>
                        <w:szCs w:val="18"/>
                      </w:rPr>
                    </m:ctrlPr>
                  </m:e>
                </m:d>
              </m:oMath>
            </m:oMathPara>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rFonts w:hint="eastAsia"/>
                <w:sz w:val="18"/>
                <w:szCs w:val="18"/>
              </w:rPr>
              <w:t>H：干舷的高度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rFonts w:hint="eastAsia"/>
                <w:sz w:val="18"/>
                <w:szCs w:val="18"/>
              </w:rPr>
              <w:t>L</w:t>
            </w:r>
            <w:r>
              <w:rPr>
                <w:sz w:val="18"/>
                <w:szCs w:val="18"/>
              </w:rPr>
              <w:t>OA</w:t>
            </w:r>
            <w:r>
              <w:rPr>
                <w:rFonts w:hint="eastAsia"/>
                <w:sz w:val="18"/>
                <w:szCs w:val="18"/>
              </w:rPr>
              <w:t>：船的全长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3114" w:type="dxa"/>
            <w:vMerge w:val="continue"/>
            <w:vAlign w:val="center"/>
          </w:tcPr>
          <w:p>
            <w:pPr>
              <w:spacing w:line="240" w:lineRule="auto"/>
              <w:jc w:val="center"/>
              <w:rPr>
                <w:sz w:val="18"/>
                <w:szCs w:val="18"/>
              </w:rPr>
            </w:pPr>
          </w:p>
        </w:tc>
        <w:tc>
          <w:tcPr>
            <w:tcW w:w="5182" w:type="dxa"/>
            <w:gridSpan w:val="2"/>
            <w:vAlign w:val="center"/>
          </w:tcPr>
          <w:p>
            <w:pPr>
              <w:spacing w:line="240" w:lineRule="auto"/>
              <w:jc w:val="center"/>
              <w:rPr>
                <w:sz w:val="18"/>
                <w:szCs w:val="18"/>
              </w:rPr>
            </w:pPr>
            <w:r>
              <w:rPr>
                <w:rFonts w:hint="eastAsia"/>
                <w:sz w:val="18"/>
                <w:szCs w:val="18"/>
              </w:rPr>
              <w:t>B：船的最大宽度</w:t>
            </w:r>
          </w:p>
        </w:tc>
      </w:tr>
    </w:tbl>
    <w:p>
      <w:pPr>
        <w:pStyle w:val="110"/>
        <w:spacing w:before="156" w:after="156"/>
        <w:ind w:left="567" w:hanging="609"/>
      </w:pPr>
      <w:bookmarkStart w:id="160" w:name="_Toc43117775"/>
      <w:bookmarkStart w:id="161" w:name="_Toc159942460"/>
      <w:bookmarkStart w:id="162" w:name="_Toc49153420"/>
      <w:bookmarkStart w:id="163" w:name="_Toc159937679"/>
      <w:bookmarkStart w:id="164" w:name="_Toc49157391"/>
      <w:bookmarkStart w:id="165" w:name="_Toc142498845"/>
      <w:r>
        <w:rPr>
          <w:rFonts w:hint="eastAsia"/>
        </w:rPr>
        <w:t>除锈作业执行机构</w:t>
      </w:r>
      <w:bookmarkEnd w:id="160"/>
      <w:r>
        <w:rPr>
          <w:rFonts w:hint="eastAsia"/>
        </w:rPr>
        <w:t>的选用</w:t>
      </w:r>
      <w:bookmarkEnd w:id="161"/>
      <w:bookmarkEnd w:id="162"/>
      <w:bookmarkEnd w:id="163"/>
      <w:bookmarkEnd w:id="164"/>
      <w:bookmarkEnd w:id="165"/>
    </w:p>
    <w:p>
      <w:pPr>
        <w:pStyle w:val="170"/>
      </w:pPr>
      <w:r>
        <w:rPr>
          <w:rFonts w:hint="eastAsia"/>
        </w:rPr>
        <w:t>对舷侧大面积区域，宜采用爬壁机器人或大臂车搭载平面清洗器作业。</w:t>
      </w:r>
    </w:p>
    <w:p>
      <w:pPr>
        <w:pStyle w:val="170"/>
      </w:pPr>
      <w:r>
        <w:rPr>
          <w:rFonts w:hint="eastAsia"/>
        </w:rPr>
        <w:t>对船底大面积区域，宜采用专用坞底车或短臂车等搭载平面清洗器作业。</w:t>
      </w:r>
    </w:p>
    <w:p>
      <w:pPr>
        <w:pStyle w:val="170"/>
      </w:pPr>
      <w:r>
        <w:rPr>
          <w:rFonts w:hint="eastAsia"/>
        </w:rPr>
        <w:t>对船舶艏艉曲面区域，宜采用大臂车搭载小直径（2</w:t>
      </w:r>
      <w:r>
        <w:t>00mm</w:t>
      </w:r>
      <w:r>
        <w:rPr>
          <w:rFonts w:hint="eastAsia"/>
        </w:rPr>
        <w:t>直径以下）平面清洗器或使用旋转喷枪作业。</w:t>
      </w:r>
    </w:p>
    <w:p>
      <w:pPr>
        <w:pStyle w:val="109"/>
        <w:spacing w:before="312" w:after="156" w:afterLines="50"/>
      </w:pPr>
      <w:bookmarkStart w:id="166" w:name="_Toc159942461"/>
      <w:r>
        <w:rPr>
          <w:rFonts w:hint="eastAsia"/>
        </w:rPr>
        <w:t>除锈作业要求</w:t>
      </w:r>
      <w:bookmarkEnd w:id="166"/>
    </w:p>
    <w:p>
      <w:pPr>
        <w:pStyle w:val="110"/>
        <w:spacing w:before="156" w:after="156"/>
      </w:pPr>
      <w:bookmarkStart w:id="167" w:name="_Toc119075737"/>
      <w:bookmarkStart w:id="168" w:name="_Toc159942462"/>
      <w:bookmarkStart w:id="169" w:name="_Toc3455"/>
      <w:r>
        <w:rPr>
          <w:rFonts w:hint="eastAsia"/>
        </w:rPr>
        <w:t>人员</w:t>
      </w:r>
      <w:bookmarkEnd w:id="167"/>
      <w:bookmarkEnd w:id="168"/>
      <w:bookmarkEnd w:id="169"/>
    </w:p>
    <w:p>
      <w:pPr>
        <w:pStyle w:val="61"/>
        <w:ind w:firstLine="420"/>
      </w:pPr>
      <w:bookmarkStart w:id="170" w:name="_Toc29774"/>
      <w:bookmarkStart w:id="171" w:name="_Toc119075738"/>
      <w:bookmarkStart w:id="172" w:name="_Toc119072907"/>
      <w:r>
        <w:rPr>
          <w:rFonts w:hint="eastAsia"/>
        </w:rPr>
        <w:t>为了规范超高压水除锈工程作业，从事超高压水除锈工程作业和设备维护人员均需要进行技能培训。掌握工程作业操作规范和设备维护维修技能，提高工作效率和保证工程质量，从而保障超高压水除锈工程作业的顺利开展。</w:t>
      </w:r>
      <w:bookmarkEnd w:id="170"/>
      <w:bookmarkEnd w:id="171"/>
      <w:bookmarkEnd w:id="172"/>
    </w:p>
    <w:p>
      <w:pPr>
        <w:pStyle w:val="70"/>
        <w:spacing w:before="156" w:after="156"/>
      </w:pPr>
      <w:r>
        <w:rPr>
          <w:rFonts w:hint="eastAsia"/>
        </w:rPr>
        <w:t>操作者的培训</w:t>
      </w:r>
    </w:p>
    <w:p>
      <w:pPr>
        <w:ind w:firstLine="420" w:firstLineChars="200"/>
      </w:pPr>
      <w:r>
        <w:rPr>
          <w:rFonts w:hint="eastAsia"/>
        </w:rPr>
        <w:t>超高压水射流操作者应经过培训，掌握操作知识和技能，一般理论培训不少于2学时，实际操作培训不少于8学时，具有以下能力：</w:t>
      </w:r>
    </w:p>
    <w:p>
      <w:pPr>
        <w:pStyle w:val="179"/>
        <w:numPr>
          <w:ilvl w:val="0"/>
          <w:numId w:val="34"/>
        </w:numPr>
      </w:pPr>
      <w:r>
        <w:rPr>
          <w:rFonts w:hint="eastAsia"/>
        </w:rPr>
        <w:t>操作者需要掌握超高压水除锈作业工艺流程和质量要求；</w:t>
      </w:r>
    </w:p>
    <w:p>
      <w:pPr>
        <w:pStyle w:val="179"/>
      </w:pPr>
      <w:r>
        <w:rPr>
          <w:rFonts w:hint="eastAsia"/>
        </w:rPr>
        <w:t>施工前熟悉施工部位、质量要求、设备布置、人员配备和工期要求；</w:t>
      </w:r>
    </w:p>
    <w:p>
      <w:pPr>
        <w:pStyle w:val="179"/>
        <w:rPr>
          <w:rFonts w:hAnsi="宋体"/>
        </w:rPr>
      </w:pPr>
      <w:r>
        <w:rPr>
          <w:rFonts w:hint="eastAsia" w:hAnsi="宋体"/>
        </w:rPr>
        <w:t>了解除锈表面锈蚀状态和油漆性能，调节合适的操作压力；</w:t>
      </w:r>
    </w:p>
    <w:p>
      <w:pPr>
        <w:pStyle w:val="179"/>
        <w:rPr>
          <w:rFonts w:hAnsi="宋体"/>
        </w:rPr>
      </w:pPr>
      <w:r>
        <w:rPr>
          <w:rFonts w:hint="eastAsia" w:hAnsi="宋体"/>
        </w:rPr>
        <w:t>掌握高压管正确连接方法和安装的必要安全装置；</w:t>
      </w:r>
    </w:p>
    <w:p>
      <w:pPr>
        <w:pStyle w:val="179"/>
        <w:rPr>
          <w:rFonts w:hAnsi="宋体"/>
        </w:rPr>
      </w:pPr>
      <w:r>
        <w:rPr>
          <w:rFonts w:hint="eastAsia" w:hAnsi="宋体"/>
        </w:rPr>
        <w:t>掌握喷嘴拆卸和安装技能；</w:t>
      </w:r>
    </w:p>
    <w:p>
      <w:pPr>
        <w:pStyle w:val="179"/>
        <w:rPr>
          <w:rFonts w:hAnsi="宋体"/>
        </w:rPr>
      </w:pPr>
      <w:r>
        <w:rPr>
          <w:rFonts w:hint="eastAsia" w:hAnsi="宋体"/>
        </w:rPr>
        <w:t>固定式除锈喷枪操作者技能的培训，包含控枪姿势（正面作业、仰面作业和俯视作业）、开关枪方法、靶距的控制、走枪速度以及识别除锈</w:t>
      </w:r>
      <w:r>
        <w:rPr>
          <w:rFonts w:hAnsi="宋体"/>
        </w:rPr>
        <w:t>质量等内容</w:t>
      </w:r>
      <w:r>
        <w:rPr>
          <w:rFonts w:hint="eastAsia" w:hAnsi="宋体"/>
        </w:rPr>
        <w:t>；</w:t>
      </w:r>
    </w:p>
    <w:p>
      <w:pPr>
        <w:pStyle w:val="179"/>
        <w:rPr>
          <w:rFonts w:hAnsi="宋体"/>
        </w:rPr>
      </w:pPr>
      <w:r>
        <w:rPr>
          <w:rFonts w:hint="eastAsia" w:hAnsi="宋体"/>
        </w:rPr>
        <w:t>平面清洗器操作者技能的培训，包含操控大臂车、坞底车的技能及控制爬壁机器人的技能，具体</w:t>
      </w:r>
      <w:r>
        <w:rPr>
          <w:rFonts w:hAnsi="宋体"/>
        </w:rPr>
        <w:t>应接受这类设备供应商的培训</w:t>
      </w:r>
      <w:r>
        <w:rPr>
          <w:rFonts w:hint="eastAsia" w:hAnsi="宋体"/>
        </w:rPr>
        <w:t>，</w:t>
      </w:r>
      <w:r>
        <w:rPr>
          <w:rFonts w:hAnsi="宋体"/>
        </w:rPr>
        <w:t>并</w:t>
      </w:r>
      <w:r>
        <w:rPr>
          <w:rFonts w:hint="eastAsia" w:hAnsi="宋体"/>
        </w:rPr>
        <w:t>同时</w:t>
      </w:r>
      <w:r>
        <w:rPr>
          <w:rFonts w:hAnsi="宋体"/>
        </w:rPr>
        <w:t>掌握或协同</w:t>
      </w:r>
      <w:r>
        <w:rPr>
          <w:rFonts w:hint="eastAsia" w:hAnsi="宋体"/>
        </w:rPr>
        <w:t>开关水射流以及识别除锈质量等内容；</w:t>
      </w:r>
    </w:p>
    <w:p>
      <w:pPr>
        <w:pStyle w:val="179"/>
        <w:rPr>
          <w:rFonts w:hAnsi="宋体"/>
        </w:rPr>
      </w:pPr>
      <w:r>
        <w:rPr>
          <w:rFonts w:hint="eastAsia" w:hAnsi="宋体"/>
        </w:rPr>
        <w:t>工程完工后的装备拆卸技能，高压管接头保护等。</w:t>
      </w:r>
    </w:p>
    <w:p>
      <w:pPr>
        <w:pStyle w:val="70"/>
        <w:spacing w:before="156" w:after="156"/>
      </w:pPr>
      <w:r>
        <w:rPr>
          <w:rFonts w:hint="eastAsia"/>
        </w:rPr>
        <w:t>设备维护人员的培训</w:t>
      </w:r>
    </w:p>
    <w:p>
      <w:pPr>
        <w:pStyle w:val="235"/>
      </w:pPr>
      <w:r>
        <w:rPr>
          <w:rFonts w:hint="eastAsia"/>
        </w:rPr>
        <w:t>超高压水射流除锈设备是一套专业性很强的设备，经过专业培训的人员才可以对其进行维护和检修，其维护人员应具有以下能力：</w:t>
      </w:r>
    </w:p>
    <w:p>
      <w:pPr>
        <w:pStyle w:val="235"/>
        <w:rPr>
          <w:rFonts w:hAnsi="宋体"/>
        </w:rPr>
      </w:pPr>
      <w:r>
        <w:rPr>
          <w:rFonts w:hint="eastAsia"/>
        </w:rPr>
        <w:t>a）</w:t>
      </w:r>
      <w:r>
        <w:rPr>
          <w:rFonts w:hint="eastAsia" w:hAnsi="宋体"/>
        </w:rPr>
        <w:t>熟练掌握超高压水发生装置、回收装置、平面清洗器、除锈喷枪、高压软管等原理和结构，及设备操作规程和维护说明书；</w:t>
      </w:r>
    </w:p>
    <w:p>
      <w:pPr>
        <w:pStyle w:val="235"/>
        <w:rPr>
          <w:rFonts w:hAnsi="宋体"/>
        </w:rPr>
      </w:pPr>
      <w:r>
        <w:rPr>
          <w:rFonts w:hint="eastAsia"/>
        </w:rPr>
        <w:t>b）</w:t>
      </w:r>
      <w:r>
        <w:rPr>
          <w:rFonts w:hint="eastAsia" w:hAnsi="宋体"/>
        </w:rPr>
        <w:t>掌握设备维修和保养技能。动力端润滑管理、液力端填料密封的更换、柱塞的更换、阀件的更换和粘合剂的使用步骤等；</w:t>
      </w:r>
    </w:p>
    <w:p>
      <w:pPr>
        <w:pStyle w:val="235"/>
        <w:rPr>
          <w:rFonts w:hAnsi="宋体"/>
        </w:rPr>
      </w:pPr>
      <w:r>
        <w:rPr>
          <w:rFonts w:hint="eastAsia"/>
        </w:rPr>
        <w:t>c）</w:t>
      </w:r>
      <w:r>
        <w:rPr>
          <w:rFonts w:hint="eastAsia" w:hAnsi="宋体"/>
        </w:rPr>
        <w:t>掌握各个单元保养周期，临近保养周期密切关注运行动态，并能够进行设备维修和备件更换；</w:t>
      </w:r>
    </w:p>
    <w:p>
      <w:pPr>
        <w:pStyle w:val="235"/>
        <w:rPr>
          <w:rFonts w:hAnsi="宋体"/>
        </w:rPr>
      </w:pPr>
      <w:r>
        <w:rPr>
          <w:rFonts w:hint="eastAsia"/>
        </w:rPr>
        <w:t>d）</w:t>
      </w:r>
      <w:r>
        <w:rPr>
          <w:rFonts w:hint="eastAsia" w:hAnsi="宋体"/>
        </w:rPr>
        <w:t>熟悉备件、易损件使用寿命，对于可修复配件掌握其修复技能；</w:t>
      </w:r>
    </w:p>
    <w:p>
      <w:pPr>
        <w:pStyle w:val="235"/>
        <w:rPr>
          <w:rFonts w:hAnsi="宋体"/>
        </w:rPr>
      </w:pPr>
      <w:r>
        <w:rPr>
          <w:rFonts w:hint="eastAsia" w:hAnsi="宋体"/>
        </w:rPr>
        <w:t>e) 掌握平面清洗器旋转密封的拆解和更换，包括喷嘴的更换；</w:t>
      </w:r>
    </w:p>
    <w:p>
      <w:pPr>
        <w:pStyle w:val="235"/>
        <w:rPr>
          <w:rFonts w:hAnsi="宋体"/>
        </w:rPr>
      </w:pPr>
      <w:r>
        <w:rPr>
          <w:rFonts w:hint="eastAsia" w:hAnsi="宋体"/>
        </w:rPr>
        <w:t>f）掌握平面清洗器在大臂车、坞底车、爬壁机器人上的安装方法。</w:t>
      </w:r>
    </w:p>
    <w:p>
      <w:pPr>
        <w:pStyle w:val="70"/>
        <w:spacing w:before="156" w:after="156"/>
      </w:pPr>
      <w:bookmarkStart w:id="173" w:name="_Toc249071988"/>
      <w:bookmarkStart w:id="174" w:name="_Toc267642914"/>
      <w:bookmarkStart w:id="175" w:name="_Toc266800434"/>
      <w:bookmarkStart w:id="176" w:name="_Toc251569521"/>
      <w:bookmarkStart w:id="177" w:name="_Toc251569590"/>
      <w:r>
        <w:rPr>
          <w:rFonts w:hint="eastAsia"/>
        </w:rPr>
        <w:t>应急</w:t>
      </w:r>
      <w:r>
        <w:t>预案</w:t>
      </w:r>
      <w:bookmarkEnd w:id="173"/>
      <w:bookmarkEnd w:id="174"/>
      <w:bookmarkEnd w:id="175"/>
      <w:bookmarkEnd w:id="176"/>
      <w:bookmarkEnd w:id="177"/>
      <w:r>
        <w:rPr>
          <w:rFonts w:hint="eastAsia"/>
        </w:rPr>
        <w:t>的培训</w:t>
      </w:r>
    </w:p>
    <w:p>
      <w:pPr>
        <w:pStyle w:val="235"/>
      </w:pPr>
      <w:r>
        <w:rPr>
          <w:rFonts w:hint="eastAsia"/>
        </w:rPr>
        <w:t>超高压水射流除锈作业是一个系统过程，在作业期间会遇到下列各种突发应急情况，在作业前，需要有应急预案的培训。</w:t>
      </w:r>
    </w:p>
    <w:p>
      <w:pPr>
        <w:pStyle w:val="179"/>
        <w:numPr>
          <w:ilvl w:val="0"/>
          <w:numId w:val="35"/>
        </w:numPr>
      </w:pPr>
      <w:r>
        <w:rPr>
          <w:rFonts w:hint="eastAsia"/>
        </w:rPr>
        <w:t>超高压水除锈作业过程可能遇到的突发情况：喷嘴堵塞、喷枪开关失灵、接头处渗漏、高压软管爆管和超高压泵机组运行异响等，应立即按下急停开关，降压后关闭机组，操作人员扣动扳机排空剩余压力，联系设备维护人员进行检修；</w:t>
      </w:r>
    </w:p>
    <w:p>
      <w:pPr>
        <w:pStyle w:val="179"/>
      </w:pPr>
      <w:r>
        <w:rPr>
          <w:rFonts w:hint="eastAsia"/>
        </w:rPr>
        <w:t>若在作业中发生水射流伤人事件，监护人员立即按下急停开关，降压后关闭机组。发生事故后，应将受伤者立即送往医院并告知医生受伤的原因，并说明水射流的穿透破坏能力。</w:t>
      </w:r>
    </w:p>
    <w:p>
      <w:pPr>
        <w:pStyle w:val="110"/>
        <w:spacing w:before="156" w:after="156"/>
      </w:pPr>
      <w:bookmarkStart w:id="178" w:name="_Toc159942463"/>
      <w:bookmarkStart w:id="179" w:name="_Toc119075739"/>
      <w:bookmarkStart w:id="180" w:name="_Toc19706"/>
      <w:r>
        <w:rPr>
          <w:rFonts w:hint="eastAsia"/>
        </w:rPr>
        <w:t>设备</w:t>
      </w:r>
      <w:bookmarkEnd w:id="178"/>
      <w:bookmarkEnd w:id="179"/>
      <w:bookmarkEnd w:id="180"/>
    </w:p>
    <w:p>
      <w:pPr>
        <w:pStyle w:val="70"/>
        <w:spacing w:before="156" w:after="156"/>
      </w:pPr>
      <w:bookmarkStart w:id="181" w:name="_Toc223"/>
      <w:bookmarkStart w:id="182" w:name="_Toc119075740"/>
      <w:r>
        <w:rPr>
          <w:rFonts w:hint="eastAsia"/>
        </w:rPr>
        <w:t>设备组成</w:t>
      </w:r>
      <w:bookmarkEnd w:id="181"/>
      <w:bookmarkEnd w:id="182"/>
    </w:p>
    <w:p>
      <w:pPr>
        <w:pStyle w:val="61"/>
        <w:ind w:firstLine="420"/>
      </w:pPr>
      <w:r>
        <w:rPr>
          <w:rFonts w:hint="eastAsia"/>
        </w:rPr>
        <w:t>除锈成套装备应符合</w:t>
      </w:r>
      <w:r>
        <w:t>GB/T 4</w:t>
      </w:r>
      <w:r>
        <w:rPr>
          <w:rFonts w:hint="eastAsia"/>
        </w:rPr>
        <w:t>3142要求。</w:t>
      </w:r>
    </w:p>
    <w:p>
      <w:pPr>
        <w:pStyle w:val="70"/>
        <w:spacing w:before="156" w:after="156"/>
      </w:pPr>
      <w:bookmarkStart w:id="183" w:name="_Toc15333"/>
      <w:bookmarkStart w:id="184" w:name="_Toc119075741"/>
      <w:r>
        <w:rPr>
          <w:rFonts w:hint="eastAsia"/>
        </w:rPr>
        <w:t>设备验收</w:t>
      </w:r>
      <w:bookmarkEnd w:id="183"/>
      <w:bookmarkEnd w:id="184"/>
    </w:p>
    <w:p>
      <w:pPr>
        <w:pStyle w:val="61"/>
        <w:ind w:firstLine="420"/>
      </w:pPr>
      <w:r>
        <w:rPr>
          <w:rFonts w:hint="eastAsia"/>
        </w:rPr>
        <w:t>超高压水射流除锈成套装备的检验验收应按照厂家提供的验收标准或供需双方协定的相关标准验收，合格后才能使用。</w:t>
      </w:r>
    </w:p>
    <w:p>
      <w:pPr>
        <w:pStyle w:val="110"/>
        <w:spacing w:before="156" w:after="156"/>
      </w:pPr>
      <w:bookmarkStart w:id="185" w:name="_Toc119075742"/>
      <w:bookmarkStart w:id="186" w:name="_Toc159942464"/>
      <w:bookmarkStart w:id="187" w:name="_Toc5477"/>
      <w:r>
        <w:rPr>
          <w:rFonts w:hint="eastAsia"/>
        </w:rPr>
        <w:t>维护保养</w:t>
      </w:r>
      <w:bookmarkEnd w:id="185"/>
      <w:bookmarkEnd w:id="186"/>
      <w:bookmarkEnd w:id="187"/>
    </w:p>
    <w:p>
      <w:pPr>
        <w:pStyle w:val="70"/>
        <w:spacing w:before="156" w:after="156"/>
      </w:pPr>
      <w:bookmarkStart w:id="188" w:name="_Toc119075743"/>
      <w:bookmarkStart w:id="189" w:name="_Toc32025"/>
      <w:r>
        <w:rPr>
          <w:rFonts w:hint="eastAsia"/>
        </w:rPr>
        <w:t>设备维护的分级</w:t>
      </w:r>
    </w:p>
    <w:p>
      <w:pPr>
        <w:pStyle w:val="235"/>
      </w:pPr>
      <w:r>
        <w:rPr>
          <w:rFonts w:hint="eastAsia"/>
        </w:rPr>
        <w:t>设备按照使用时间，分为日常维护、定期维护和检修维护。</w:t>
      </w:r>
    </w:p>
    <w:p>
      <w:pPr>
        <w:pStyle w:val="70"/>
        <w:spacing w:before="156" w:after="156"/>
      </w:pPr>
      <w:r>
        <w:rPr>
          <w:rFonts w:hint="eastAsia"/>
        </w:rPr>
        <w:t>日常维护</w:t>
      </w:r>
    </w:p>
    <w:p>
      <w:pPr>
        <w:pStyle w:val="169"/>
      </w:pPr>
      <w:r>
        <w:rPr>
          <w:rFonts w:hint="eastAsia"/>
        </w:rPr>
        <w:t>操作者所做的日常维护保养，包括定期检查各零部件的正常工作状态，各连接件、紧固件是否安装正确、完好，确保设备中没有故障零部件。</w:t>
      </w:r>
    </w:p>
    <w:p>
      <w:pPr>
        <w:pStyle w:val="169"/>
      </w:pPr>
      <w:r>
        <w:rPr>
          <w:rFonts w:hint="eastAsia"/>
        </w:rPr>
        <w:t>一般在每次施工作业完成后，根据运行记录，结合常规保养，进行隐患故障排除，具体内容如下：</w:t>
      </w:r>
    </w:p>
    <w:p>
      <w:pPr>
        <w:pStyle w:val="179"/>
        <w:numPr>
          <w:ilvl w:val="0"/>
          <w:numId w:val="36"/>
        </w:numPr>
      </w:pPr>
      <w:r>
        <w:rPr>
          <w:rFonts w:hint="eastAsia"/>
        </w:rPr>
        <w:t>检查维修填料函、柱塞的泄漏情况；</w:t>
      </w:r>
    </w:p>
    <w:p>
      <w:pPr>
        <w:pStyle w:val="179"/>
      </w:pPr>
      <w:r>
        <w:rPr>
          <w:rFonts w:hint="eastAsia"/>
        </w:rPr>
        <w:t>检查维修润滑油油泵、压力表、过滤器、过滤网、油管等；</w:t>
      </w:r>
    </w:p>
    <w:p>
      <w:pPr>
        <w:pStyle w:val="179"/>
      </w:pPr>
      <w:r>
        <w:rPr>
          <w:rFonts w:hint="eastAsia"/>
        </w:rPr>
        <w:t>检查润滑油油量油质，必要时清洗更换；</w:t>
      </w:r>
    </w:p>
    <w:p>
      <w:pPr>
        <w:pStyle w:val="179"/>
      </w:pPr>
      <w:r>
        <w:rPr>
          <w:rFonts w:hint="eastAsia"/>
        </w:rPr>
        <w:t>检查润滑油冷却器，必要时进行密封实验；</w:t>
      </w:r>
    </w:p>
    <w:p>
      <w:pPr>
        <w:pStyle w:val="179"/>
      </w:pPr>
      <w:r>
        <w:rPr>
          <w:rFonts w:hint="eastAsia"/>
        </w:rPr>
        <w:t>解体检查维修调试调压阀（若有）；</w:t>
      </w:r>
    </w:p>
    <w:p>
      <w:pPr>
        <w:pStyle w:val="179"/>
      </w:pPr>
      <w:r>
        <w:rPr>
          <w:rFonts w:hint="eastAsia"/>
        </w:rPr>
        <w:t>检查各部件连接螺栓；</w:t>
      </w:r>
    </w:p>
    <w:p>
      <w:pPr>
        <w:pStyle w:val="179"/>
      </w:pPr>
      <w:r>
        <w:rPr>
          <w:rFonts w:hint="eastAsia"/>
        </w:rPr>
        <w:t>检查漏油漏水现象。</w:t>
      </w:r>
    </w:p>
    <w:p>
      <w:pPr>
        <w:pStyle w:val="70"/>
        <w:spacing w:before="156" w:after="156"/>
      </w:pPr>
      <w:r>
        <w:rPr>
          <w:rFonts w:hint="eastAsia"/>
        </w:rPr>
        <w:t>定期维护</w:t>
      </w:r>
    </w:p>
    <w:p>
      <w:pPr>
        <w:pStyle w:val="169"/>
      </w:pPr>
      <w:r>
        <w:rPr>
          <w:rFonts w:hint="eastAsia"/>
        </w:rPr>
        <w:t>按照制造商的要求对设备进行定期维护，对重点部件检测、修理。</w:t>
      </w:r>
    </w:p>
    <w:p>
      <w:pPr>
        <w:pStyle w:val="169"/>
      </w:pPr>
      <w:r>
        <w:rPr>
          <w:rFonts w:hint="eastAsia"/>
        </w:rPr>
        <w:t>检查设备的阀、接头及喷枪等零部件，该项工作可由操作者在专业技术人员指导下按常规维修程序进行，检查的主要内容如下：</w:t>
      </w:r>
    </w:p>
    <w:p>
      <w:pPr>
        <w:pStyle w:val="179"/>
        <w:numPr>
          <w:ilvl w:val="0"/>
          <w:numId w:val="37"/>
        </w:numPr>
      </w:pPr>
      <w:r>
        <w:rPr>
          <w:rFonts w:hint="eastAsia"/>
        </w:rPr>
        <w:t>检查填料函、密封填料、碳环、隔环、弹簧、油封、柱塞等，根据磨损程度更换修复（填料、碳环、油封）；</w:t>
      </w:r>
    </w:p>
    <w:p>
      <w:pPr>
        <w:pStyle w:val="179"/>
      </w:pPr>
      <w:r>
        <w:rPr>
          <w:rFonts w:hint="eastAsia"/>
        </w:rPr>
        <w:t>解体检查维修进排液阀片、阀座；</w:t>
      </w:r>
    </w:p>
    <w:p>
      <w:pPr>
        <w:pStyle w:val="179"/>
      </w:pPr>
      <w:r>
        <w:rPr>
          <w:rFonts w:hint="eastAsia"/>
        </w:rPr>
        <w:t>开箱检查传动齿轮的间隙以及表面磨损情况；</w:t>
      </w:r>
    </w:p>
    <w:p>
      <w:pPr>
        <w:pStyle w:val="179"/>
      </w:pPr>
      <w:r>
        <w:rPr>
          <w:rFonts w:hint="eastAsia"/>
        </w:rPr>
        <w:t>开箱检查连杆大头瓦、小头瓦（套）的径向间隙和表面接触情况；</w:t>
      </w:r>
    </w:p>
    <w:p>
      <w:pPr>
        <w:pStyle w:val="179"/>
      </w:pPr>
      <w:r>
        <w:rPr>
          <w:rFonts w:hint="eastAsia"/>
        </w:rPr>
        <w:t>开箱检查连杆大头瓦、小头瓦（套）的轴向窜量；</w:t>
      </w:r>
    </w:p>
    <w:p>
      <w:pPr>
        <w:pStyle w:val="179"/>
      </w:pPr>
      <w:r>
        <w:rPr>
          <w:rFonts w:hint="eastAsia"/>
        </w:rPr>
        <w:t>开箱检查轴承间隙和磨损情况；</w:t>
      </w:r>
    </w:p>
    <w:p>
      <w:pPr>
        <w:pStyle w:val="179"/>
      </w:pPr>
      <w:r>
        <w:rPr>
          <w:rFonts w:hint="eastAsia"/>
        </w:rPr>
        <w:t>根据d～</w:t>
      </w:r>
      <w:r>
        <w:t>f</w:t>
      </w:r>
      <w:r>
        <w:rPr>
          <w:rFonts w:hint="eastAsia"/>
        </w:rPr>
        <w:t>项检查结果更换修复；</w:t>
      </w:r>
    </w:p>
    <w:p>
      <w:pPr>
        <w:pStyle w:val="179"/>
      </w:pPr>
      <w:r>
        <w:rPr>
          <w:rFonts w:hint="eastAsia"/>
        </w:rPr>
        <w:t>清洗更换润滑油，对润滑油冷却器做密封实验；</w:t>
      </w:r>
    </w:p>
    <w:p>
      <w:pPr>
        <w:pStyle w:val="179"/>
      </w:pPr>
      <w:r>
        <w:rPr>
          <w:rFonts w:hint="eastAsia"/>
        </w:rPr>
        <w:t>校验高压泵与柴油机（电动机）联轴器的对中精度。</w:t>
      </w:r>
    </w:p>
    <w:p>
      <w:pPr>
        <w:pStyle w:val="110"/>
        <w:spacing w:before="156" w:after="156"/>
        <w:ind w:left="567" w:hanging="609"/>
      </w:pPr>
      <w:bookmarkStart w:id="190" w:name="_Toc47530709"/>
      <w:bookmarkStart w:id="191" w:name="_Toc142145699"/>
      <w:bookmarkStart w:id="192" w:name="_Toc159942465"/>
      <w:bookmarkStart w:id="193" w:name="_Toc251569546"/>
      <w:bookmarkStart w:id="194" w:name="_Toc249072013"/>
      <w:bookmarkStart w:id="195" w:name="_Toc251569615"/>
      <w:bookmarkStart w:id="196" w:name="_Toc267642935"/>
      <w:bookmarkStart w:id="197" w:name="_Toc266800455"/>
      <w:r>
        <w:rPr>
          <w:rFonts w:hint="eastAsia"/>
        </w:rPr>
        <w:t>关键零部件的维护</w:t>
      </w:r>
      <w:bookmarkEnd w:id="190"/>
      <w:bookmarkEnd w:id="191"/>
      <w:bookmarkEnd w:id="192"/>
    </w:p>
    <w:p>
      <w:pPr>
        <w:pStyle w:val="70"/>
        <w:spacing w:before="156" w:after="156"/>
      </w:pPr>
      <w:r>
        <w:rPr>
          <w:rFonts w:hint="eastAsia"/>
        </w:rPr>
        <w:t>动力设备</w:t>
      </w:r>
      <w:bookmarkEnd w:id="193"/>
      <w:bookmarkEnd w:id="194"/>
      <w:bookmarkEnd w:id="195"/>
      <w:bookmarkEnd w:id="196"/>
      <w:bookmarkEnd w:id="197"/>
    </w:p>
    <w:p>
      <w:pPr>
        <w:pStyle w:val="235"/>
        <w:rPr>
          <w:rFonts w:hAnsi="宋体"/>
        </w:rPr>
      </w:pPr>
      <w:r>
        <w:rPr>
          <w:rFonts w:hint="eastAsia" w:hAnsi="宋体"/>
        </w:rPr>
        <w:t>每天都必须检查动力设备，应确保燃料、油、介质和冷却水的正常供给；皮带应松紧适宜，没有剥皮、破裂等损伤；所有保护装置安全可靠、无损坏。每天都必须检查控制电缆和原动机控制开关。</w:t>
      </w:r>
    </w:p>
    <w:p>
      <w:pPr>
        <w:pStyle w:val="70"/>
        <w:spacing w:before="156" w:after="156"/>
      </w:pPr>
      <w:bookmarkStart w:id="198" w:name="_Toc251569616"/>
      <w:bookmarkStart w:id="199" w:name="_Toc251569547"/>
      <w:bookmarkStart w:id="200" w:name="_Toc267642936"/>
      <w:bookmarkStart w:id="201" w:name="_Toc266800456"/>
      <w:bookmarkStart w:id="202" w:name="_Toc249072014"/>
      <w:r>
        <w:rPr>
          <w:rFonts w:hint="eastAsia"/>
        </w:rPr>
        <w:t>泵</w:t>
      </w:r>
      <w:bookmarkEnd w:id="198"/>
      <w:bookmarkEnd w:id="199"/>
      <w:bookmarkEnd w:id="200"/>
      <w:bookmarkEnd w:id="201"/>
      <w:bookmarkEnd w:id="202"/>
    </w:p>
    <w:p>
      <w:pPr>
        <w:pStyle w:val="235"/>
        <w:rPr>
          <w:rFonts w:hAnsi="宋体"/>
        </w:rPr>
      </w:pPr>
      <w:r>
        <w:rPr>
          <w:rFonts w:hint="eastAsia" w:hAnsi="宋体"/>
        </w:rPr>
        <w:t>泵在启动前和关机后都应检查，确保其无泄漏或连接松动；泵运行应无异常声响，盘车无卡阻。泵不工作的时间内，保持油位。</w:t>
      </w:r>
    </w:p>
    <w:p>
      <w:pPr>
        <w:pStyle w:val="70"/>
        <w:spacing w:before="156" w:after="156"/>
      </w:pPr>
      <w:r>
        <w:rPr>
          <w:rFonts w:hint="eastAsia"/>
        </w:rPr>
        <w:t>供水设备</w:t>
      </w:r>
    </w:p>
    <w:p>
      <w:pPr>
        <w:pStyle w:val="235"/>
        <w:rPr>
          <w:rFonts w:hAnsi="宋体"/>
        </w:rPr>
      </w:pPr>
      <w:r>
        <w:rPr>
          <w:rFonts w:hint="eastAsia" w:hAnsi="宋体"/>
        </w:rPr>
        <w:t>开机前应检查泵进水管路，可配备前置泵以保证一定水压和流量；作业期间应向水箱充足供水，水箱内无锈无脏。过滤器必须定期检查，确保其无堵塞和损坏；检查、更换、除锈过滤器时，严防固体颗粒通过进水管进入泵和喷头。滤网过滤精度和过滤面积应与设备对水质和水量的要求相适应。</w:t>
      </w:r>
    </w:p>
    <w:p>
      <w:pPr>
        <w:pStyle w:val="70"/>
        <w:spacing w:before="156" w:after="156"/>
      </w:pPr>
      <w:bookmarkStart w:id="203" w:name="_Toc249072016"/>
      <w:bookmarkStart w:id="204" w:name="_Toc251569618"/>
      <w:bookmarkStart w:id="205" w:name="_Toc267642938"/>
      <w:bookmarkStart w:id="206" w:name="_Toc251569549"/>
      <w:bookmarkStart w:id="207" w:name="_Toc266800458"/>
      <w:r>
        <w:rPr>
          <w:rFonts w:hint="eastAsia"/>
        </w:rPr>
        <w:t>软管总成</w:t>
      </w:r>
      <w:bookmarkEnd w:id="203"/>
      <w:bookmarkEnd w:id="204"/>
      <w:bookmarkEnd w:id="205"/>
      <w:bookmarkEnd w:id="206"/>
      <w:bookmarkEnd w:id="207"/>
    </w:p>
    <w:p>
      <w:pPr>
        <w:pStyle w:val="235"/>
        <w:rPr>
          <w:rFonts w:hAnsi="宋体"/>
        </w:rPr>
      </w:pPr>
      <w:r>
        <w:rPr>
          <w:rFonts w:hint="eastAsia" w:hAnsi="宋体"/>
        </w:rPr>
        <w:t>必须检查软管总成有无钢丝外漏以及折纹，有无因被压或磨损等引起的损坏，有无因内部破裂而引起的鼓包等。缠绕在绞盘上的软管不能过度弯曲，以免压折或损坏；绞盘则应有足够的润滑油和良好的密封。</w:t>
      </w:r>
    </w:p>
    <w:p>
      <w:pPr>
        <w:pStyle w:val="70"/>
        <w:spacing w:before="156" w:after="156"/>
      </w:pPr>
      <w:r>
        <w:rPr>
          <w:rFonts w:hint="eastAsia"/>
        </w:rPr>
        <w:t>平面清洗器和除锈喷枪</w:t>
      </w:r>
    </w:p>
    <w:p>
      <w:pPr>
        <w:pStyle w:val="235"/>
        <w:rPr>
          <w:rFonts w:hAnsi="宋体"/>
        </w:rPr>
      </w:pPr>
      <w:r>
        <w:rPr>
          <w:rFonts w:hint="eastAsia" w:hAnsi="宋体"/>
        </w:rPr>
        <w:t>平面清洗器和除锈喷枪在安装前，确保喷嘴无堵塞和损坏，喷头连接螺纹完好、无损伤。</w:t>
      </w:r>
      <w:bookmarkStart w:id="208" w:name="_Toc267642940"/>
      <w:bookmarkStart w:id="209" w:name="_Toc266800460"/>
      <w:bookmarkStart w:id="210" w:name="_Toc251569551"/>
      <w:bookmarkStart w:id="211" w:name="_Toc249072018"/>
      <w:bookmarkStart w:id="212" w:name="_Toc251569620"/>
    </w:p>
    <w:p>
      <w:pPr>
        <w:pStyle w:val="70"/>
        <w:spacing w:before="156" w:after="156"/>
      </w:pPr>
      <w:r>
        <w:rPr>
          <w:rFonts w:hint="eastAsia"/>
        </w:rPr>
        <w:t>阀</w:t>
      </w:r>
      <w:bookmarkEnd w:id="208"/>
      <w:bookmarkEnd w:id="209"/>
      <w:bookmarkEnd w:id="210"/>
      <w:bookmarkEnd w:id="211"/>
      <w:bookmarkEnd w:id="212"/>
    </w:p>
    <w:p>
      <w:pPr>
        <w:pStyle w:val="235"/>
        <w:rPr>
          <w:rFonts w:hAnsi="宋体"/>
        </w:rPr>
      </w:pPr>
      <w:r>
        <w:rPr>
          <w:rFonts w:hint="eastAsia" w:hAnsi="宋体"/>
        </w:rPr>
        <w:t>作业前对脚踏控制阀、喷枪（阀）、调压阀、溢流卸荷阀、安全阀都必须检查，确保其清洁和性能良好，要定期对各种阀运行检验，及时修复或更换各种阀的损坏零件。</w:t>
      </w:r>
    </w:p>
    <w:p>
      <w:pPr>
        <w:pStyle w:val="70"/>
        <w:spacing w:before="156" w:after="156"/>
      </w:pPr>
      <w:bookmarkStart w:id="213" w:name="_Toc266800461"/>
      <w:bookmarkStart w:id="214" w:name="_Toc251569621"/>
      <w:bookmarkStart w:id="215" w:name="_Toc267642941"/>
      <w:bookmarkStart w:id="216" w:name="_Toc251569552"/>
      <w:bookmarkStart w:id="217" w:name="_Toc249072019"/>
      <w:r>
        <w:rPr>
          <w:rFonts w:hint="eastAsia"/>
        </w:rPr>
        <w:t>电气设备</w:t>
      </w:r>
      <w:bookmarkEnd w:id="213"/>
      <w:bookmarkEnd w:id="214"/>
      <w:bookmarkEnd w:id="215"/>
      <w:bookmarkEnd w:id="216"/>
      <w:bookmarkEnd w:id="217"/>
    </w:p>
    <w:p>
      <w:pPr>
        <w:pStyle w:val="235"/>
        <w:rPr>
          <w:rFonts w:hAnsi="宋体"/>
        </w:rPr>
      </w:pPr>
      <w:r>
        <w:rPr>
          <w:rFonts w:hint="eastAsia" w:hAnsi="宋体"/>
        </w:rPr>
        <w:t>对电气设备应做特别防护。作业前，必须检查所有电器盒、接头、旋钮、电缆和仪器、仪表有无损坏；这种检查应每天例行一次，确保作业时不会因水或磨料等侵蚀而损坏；电动机初次接线或每次重新接线后，都必须检查其转向是否正确。</w:t>
      </w:r>
    </w:p>
    <w:p>
      <w:pPr>
        <w:pStyle w:val="70"/>
        <w:spacing w:before="156" w:after="156"/>
      </w:pPr>
      <w:bookmarkStart w:id="218" w:name="_Toc251569623"/>
      <w:bookmarkStart w:id="219" w:name="_Toc267642943"/>
      <w:bookmarkStart w:id="220" w:name="_Toc266800463"/>
      <w:bookmarkStart w:id="221" w:name="_Toc249072021"/>
      <w:bookmarkStart w:id="222" w:name="_Toc251569554"/>
      <w:r>
        <w:rPr>
          <w:rFonts w:hint="eastAsia"/>
        </w:rPr>
        <w:t>专用工具</w:t>
      </w:r>
      <w:bookmarkEnd w:id="218"/>
      <w:bookmarkEnd w:id="219"/>
      <w:bookmarkEnd w:id="220"/>
      <w:bookmarkEnd w:id="221"/>
      <w:bookmarkEnd w:id="222"/>
    </w:p>
    <w:p>
      <w:pPr>
        <w:pStyle w:val="235"/>
        <w:rPr>
          <w:rFonts w:hAnsi="宋体"/>
        </w:rPr>
      </w:pPr>
      <w:r>
        <w:rPr>
          <w:rFonts w:hint="eastAsia" w:hAnsi="宋体"/>
        </w:rPr>
        <w:t>高压零部件组装与拆卸应使用制造厂提供或推荐使用的专用工具。</w:t>
      </w:r>
    </w:p>
    <w:p>
      <w:pPr>
        <w:pStyle w:val="70"/>
        <w:spacing w:before="156" w:after="156"/>
      </w:pPr>
      <w:bookmarkStart w:id="223" w:name="_Toc251569555"/>
      <w:bookmarkStart w:id="224" w:name="_Toc47530710"/>
      <w:bookmarkStart w:id="225" w:name="_Toc251569624"/>
      <w:bookmarkStart w:id="226" w:name="_Toc266800464"/>
      <w:bookmarkStart w:id="227" w:name="_Toc267642944"/>
      <w:bookmarkStart w:id="228" w:name="_Toc142145700"/>
      <w:bookmarkStart w:id="229" w:name="_Toc249072022"/>
      <w:r>
        <w:rPr>
          <w:rFonts w:hint="eastAsia"/>
        </w:rPr>
        <w:t>防冻措施</w:t>
      </w:r>
      <w:bookmarkEnd w:id="223"/>
      <w:bookmarkEnd w:id="224"/>
      <w:bookmarkEnd w:id="225"/>
      <w:bookmarkEnd w:id="226"/>
      <w:bookmarkEnd w:id="227"/>
      <w:bookmarkEnd w:id="228"/>
      <w:bookmarkEnd w:id="229"/>
    </w:p>
    <w:p>
      <w:pPr>
        <w:pStyle w:val="61"/>
        <w:ind w:firstLine="420"/>
      </w:pPr>
      <w:r>
        <w:rPr>
          <w:rFonts w:hint="eastAsia"/>
        </w:rPr>
        <w:t>当设备在寒冷环境下使用时，必须增加防冻措施，具体做法是： 将喷枪(喷头)拆下，将出水管口插进供水水箱，开机打循环，使防冻剂在设备管路内循环。如果泵或软管中的水已经结冰，应在设备除冰前将喷枪(喷头)拆下，用低压水流经设备以确保设备中无冰渣后，方可重新起动。</w:t>
      </w:r>
      <w:bookmarkEnd w:id="188"/>
      <w:bookmarkEnd w:id="189"/>
    </w:p>
    <w:p>
      <w:pPr>
        <w:pStyle w:val="110"/>
        <w:spacing w:before="156" w:after="156"/>
      </w:pPr>
      <w:bookmarkStart w:id="230" w:name="_Toc119075751"/>
      <w:bookmarkStart w:id="231" w:name="_Toc159942466"/>
      <w:bookmarkStart w:id="232" w:name="_Toc6229"/>
      <w:r>
        <w:rPr>
          <w:rFonts w:hint="eastAsia"/>
        </w:rPr>
        <w:t>人员防护</w:t>
      </w:r>
      <w:bookmarkEnd w:id="230"/>
      <w:bookmarkEnd w:id="231"/>
      <w:bookmarkEnd w:id="232"/>
    </w:p>
    <w:p>
      <w:pPr>
        <w:pStyle w:val="61"/>
        <w:ind w:firstLine="420"/>
      </w:pPr>
      <w:r>
        <w:rPr>
          <w:rFonts w:hint="eastAsia"/>
        </w:rPr>
        <w:t>除锈作业人员的防护，应满足下列要求：</w:t>
      </w:r>
    </w:p>
    <w:p>
      <w:pPr>
        <w:pStyle w:val="179"/>
        <w:numPr>
          <w:ilvl w:val="0"/>
          <w:numId w:val="38"/>
        </w:numPr>
      </w:pPr>
      <w:r>
        <w:rPr>
          <w:rFonts w:hint="eastAsia"/>
        </w:rPr>
        <w:t>按照G</w:t>
      </w:r>
      <w:r>
        <w:t>B/T 11651</w:t>
      </w:r>
      <w:r>
        <w:rPr>
          <w:rFonts w:hint="eastAsia"/>
        </w:rPr>
        <w:t>的规定使用劳动保护用品；</w:t>
      </w:r>
    </w:p>
    <w:p>
      <w:pPr>
        <w:pStyle w:val="179"/>
      </w:pPr>
      <w:r>
        <w:rPr>
          <w:rFonts w:hint="eastAsia"/>
        </w:rPr>
        <w:t>在除锈作业现场为操作人员提供工业用耳塞和急救医疗箱。</w:t>
      </w:r>
    </w:p>
    <w:p/>
    <w:p/>
    <w:p/>
    <w:p>
      <w:pPr>
        <w:tabs>
          <w:tab w:val="left" w:pos="3555"/>
        </w:tabs>
      </w:pPr>
      <w:r>
        <w:tab/>
      </w:r>
    </w:p>
    <w:p>
      <w:pPr>
        <w:pStyle w:val="61"/>
        <w:ind w:firstLine="420"/>
        <w:jc w:val="center"/>
        <w:sectPr>
          <w:footerReference r:id="rId14" w:type="default"/>
          <w:pgSz w:w="11906" w:h="16838"/>
          <w:pgMar w:top="2410" w:right="1134" w:bottom="1134" w:left="1134" w:header="1418" w:footer="1134" w:gutter="284"/>
          <w:pgNumType w:start="1"/>
          <w:cols w:space="425" w:num="1"/>
          <w:formProt w:val="0"/>
          <w:docGrid w:type="lines" w:linePitch="312" w:charSpace="0"/>
        </w:sectPr>
      </w:pPr>
    </w:p>
    <w:bookmarkEnd w:id="24"/>
    <w:p>
      <w:pPr>
        <w:pStyle w:val="203"/>
        <w:rPr>
          <w:vanish w:val="0"/>
        </w:rPr>
      </w:pPr>
      <w:bookmarkStart w:id="233" w:name="BookMark5"/>
    </w:p>
    <w:p>
      <w:pPr>
        <w:pStyle w:val="204"/>
        <w:rPr>
          <w:vanish w:val="0"/>
        </w:rPr>
      </w:pPr>
    </w:p>
    <w:p>
      <w:pPr>
        <w:pStyle w:val="81"/>
        <w:spacing w:before="78" w:after="156"/>
      </w:pPr>
      <w:bookmarkStart w:id="234" w:name="_Toc159937681"/>
      <w:bookmarkStart w:id="235" w:name="_Toc159942467"/>
    </w:p>
    <w:p>
      <w:pPr>
        <w:pStyle w:val="81"/>
        <w:spacing w:before="78" w:after="156"/>
      </w:pPr>
      <w:r>
        <w:rPr>
          <w:rFonts w:hint="eastAsia"/>
        </w:rPr>
        <w:t>（资料性）</w:t>
      </w:r>
    </w:p>
    <w:p>
      <w:pPr>
        <w:pStyle w:val="81"/>
        <w:spacing w:before="78" w:after="156"/>
      </w:pPr>
      <w:r>
        <w:rPr>
          <w:rFonts w:hint="eastAsia"/>
        </w:rPr>
        <w:t>除锈处理等级表面状态描述</w:t>
      </w:r>
      <w:bookmarkEnd w:id="234"/>
      <w:bookmarkEnd w:id="235"/>
    </w:p>
    <w:p>
      <w:pPr>
        <w:pStyle w:val="61"/>
        <w:ind w:firstLine="420"/>
      </w:pPr>
      <w:r>
        <w:rPr>
          <w:rFonts w:ascii="Times New Roman"/>
        </w:rPr>
        <w:t>水射流清理前，钢材的初始表面状态共分为五种。劣化的钢材表面初始状态分为DC A、DC B和DC C三种</w:t>
      </w:r>
      <w:r>
        <w:rPr>
          <w:rFonts w:hint="eastAsia" w:ascii="Times New Roman"/>
        </w:rPr>
        <w:t>，</w:t>
      </w:r>
      <w:r>
        <w:rPr>
          <w:rFonts w:ascii="Times New Roman"/>
        </w:rPr>
        <w:t>带有底漆的初始表面状态分为DP I和DP Z两种。初始表面状态由表A</w:t>
      </w:r>
      <w:r>
        <w:rPr>
          <w:rFonts w:hint="eastAsia" w:ascii="Times New Roman"/>
        </w:rPr>
        <w:t>.</w:t>
      </w:r>
      <w:r>
        <w:rPr>
          <w:rFonts w:ascii="Times New Roman"/>
        </w:rPr>
        <w:t>1给出的文字叙述和典型样板照片（图A.1～</w:t>
      </w:r>
      <w:r>
        <w:rPr>
          <w:rFonts w:hint="eastAsia" w:ascii="Times New Roman"/>
        </w:rPr>
        <w:t>图</w:t>
      </w:r>
      <w:r>
        <w:rPr>
          <w:rFonts w:ascii="Times New Roman"/>
        </w:rPr>
        <w:t>A.5）共同定义</w:t>
      </w:r>
      <w:r>
        <w:rPr>
          <w:rFonts w:hint="eastAsia" w:ascii="Times New Roman"/>
        </w:rPr>
        <w:t>。</w:t>
      </w:r>
    </w:p>
    <w:p>
      <w:pPr>
        <w:pStyle w:val="82"/>
        <w:spacing w:before="156" w:after="156"/>
      </w:pPr>
      <w:bookmarkStart w:id="236" w:name="_Toc142498892"/>
      <w:bookmarkStart w:id="237" w:name="_Toc118813846"/>
      <w:r>
        <w:rPr>
          <w:rFonts w:hint="eastAsia"/>
        </w:rPr>
        <w:t>初始表面状态描述</w:t>
      </w:r>
      <w:bookmarkEnd w:id="236"/>
      <w:bookmarkEnd w:id="237"/>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96"/>
        <w:gridCol w:w="6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rPr>
                <w:sz w:val="18"/>
                <w:szCs w:val="18"/>
              </w:rPr>
            </w:pPr>
            <w:r>
              <w:rPr>
                <w:rFonts w:hint="eastAsia"/>
                <w:sz w:val="18"/>
                <w:szCs w:val="18"/>
              </w:rPr>
              <w:t>初始表面</w:t>
            </w:r>
            <w:r>
              <w:rPr>
                <w:sz w:val="18"/>
                <w:szCs w:val="18"/>
              </w:rPr>
              <w:t>状态</w:t>
            </w:r>
            <w:r>
              <w:rPr>
                <w:rFonts w:hint="eastAsia"/>
                <w:sz w:val="18"/>
                <w:szCs w:val="18"/>
              </w:rPr>
              <w:t>符号</w:t>
            </w:r>
          </w:p>
        </w:tc>
        <w:tc>
          <w:tcPr>
            <w:tcW w:w="6600" w:type="dxa"/>
          </w:tcPr>
          <w:p>
            <w:pPr>
              <w:pStyle w:val="61"/>
              <w:ind w:firstLine="0" w:firstLineChars="0"/>
              <w:jc w:val="center"/>
              <w:rPr>
                <w:sz w:val="18"/>
                <w:szCs w:val="18"/>
              </w:rPr>
            </w:pPr>
            <w:r>
              <w:rPr>
                <w:rFonts w:hint="eastAsia"/>
                <w:sz w:val="18"/>
                <w:szCs w:val="18"/>
              </w:rPr>
              <w:t>初始</w:t>
            </w:r>
            <w:r>
              <w:rPr>
                <w:sz w:val="18"/>
                <w:szCs w:val="18"/>
              </w:rPr>
              <w:t>表面状态文字描述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jc w:val="center"/>
              <w:rPr>
                <w:sz w:val="18"/>
                <w:szCs w:val="18"/>
              </w:rPr>
            </w:pPr>
            <w:r>
              <w:rPr>
                <w:sz w:val="18"/>
                <w:szCs w:val="18"/>
              </w:rPr>
              <w:t>DC A</w:t>
            </w:r>
          </w:p>
        </w:tc>
        <w:tc>
          <w:tcPr>
            <w:tcW w:w="6600" w:type="dxa"/>
          </w:tcPr>
          <w:p>
            <w:pPr>
              <w:pStyle w:val="61"/>
              <w:ind w:firstLine="0" w:firstLineChars="0"/>
              <w:jc w:val="center"/>
              <w:rPr>
                <w:sz w:val="18"/>
                <w:szCs w:val="18"/>
              </w:rPr>
            </w:pPr>
            <w:r>
              <w:rPr>
                <w:rFonts w:hint="eastAsia"/>
                <w:sz w:val="18"/>
                <w:szCs w:val="18"/>
              </w:rPr>
              <w:t>采用保护涂料体系涂装过，油漆涂层系统已经劣化为如图</w:t>
            </w:r>
            <w:r>
              <w:rPr>
                <w:sz w:val="18"/>
                <w:szCs w:val="18"/>
              </w:rPr>
              <w:t>A.1</w:t>
            </w:r>
            <w:r>
              <w:rPr>
                <w:rFonts w:hint="eastAsia"/>
                <w:sz w:val="18"/>
                <w:szCs w:val="18"/>
              </w:rPr>
              <w:t>的表面。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jc w:val="center"/>
              <w:rPr>
                <w:sz w:val="18"/>
                <w:szCs w:val="18"/>
              </w:rPr>
            </w:pPr>
            <w:r>
              <w:rPr>
                <w:sz w:val="18"/>
                <w:szCs w:val="18"/>
              </w:rPr>
              <w:t>DC B</w:t>
            </w:r>
          </w:p>
        </w:tc>
        <w:tc>
          <w:tcPr>
            <w:tcW w:w="6600" w:type="dxa"/>
          </w:tcPr>
          <w:p>
            <w:pPr>
              <w:pStyle w:val="61"/>
              <w:ind w:firstLine="0" w:firstLineChars="0"/>
              <w:jc w:val="center"/>
              <w:rPr>
                <w:sz w:val="18"/>
                <w:szCs w:val="18"/>
              </w:rPr>
            </w:pPr>
            <w:r>
              <w:rPr>
                <w:rFonts w:hint="eastAsia"/>
                <w:sz w:val="18"/>
                <w:szCs w:val="18"/>
              </w:rPr>
              <w:t>采用保护涂料体系涂装过，油漆涂层系统已经劣化为如图</w:t>
            </w:r>
            <w:r>
              <w:rPr>
                <w:sz w:val="18"/>
                <w:szCs w:val="18"/>
              </w:rPr>
              <w:t>A.2</w:t>
            </w:r>
            <w:r>
              <w:rPr>
                <w:rFonts w:hint="eastAsia"/>
                <w:sz w:val="18"/>
                <w:szCs w:val="18"/>
              </w:rPr>
              <w:t>的表面。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jc w:val="center"/>
              <w:rPr>
                <w:sz w:val="18"/>
                <w:szCs w:val="18"/>
              </w:rPr>
            </w:pPr>
            <w:r>
              <w:rPr>
                <w:sz w:val="18"/>
                <w:szCs w:val="18"/>
              </w:rPr>
              <w:t>DC C</w:t>
            </w:r>
          </w:p>
        </w:tc>
        <w:tc>
          <w:tcPr>
            <w:tcW w:w="6600" w:type="dxa"/>
          </w:tcPr>
          <w:p>
            <w:pPr>
              <w:pStyle w:val="61"/>
              <w:ind w:firstLine="0" w:firstLineChars="0"/>
              <w:jc w:val="center"/>
              <w:rPr>
                <w:sz w:val="18"/>
                <w:szCs w:val="18"/>
              </w:rPr>
            </w:pPr>
            <w:r>
              <w:rPr>
                <w:rFonts w:hint="eastAsia"/>
                <w:sz w:val="18"/>
                <w:szCs w:val="18"/>
              </w:rPr>
              <w:t>以前涂覆过或没有涂覆过保护涂料，油漆涂层系统已经劣化为如图</w:t>
            </w:r>
            <w:r>
              <w:rPr>
                <w:sz w:val="18"/>
                <w:szCs w:val="18"/>
              </w:rPr>
              <w:t>A.3</w:t>
            </w:r>
            <w:r>
              <w:rPr>
                <w:rFonts w:hint="eastAsia"/>
                <w:sz w:val="18"/>
                <w:szCs w:val="18"/>
              </w:rPr>
              <w:t>的表面。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jc w:val="center"/>
              <w:rPr>
                <w:sz w:val="18"/>
                <w:szCs w:val="18"/>
              </w:rPr>
            </w:pPr>
            <w:r>
              <w:rPr>
                <w:sz w:val="18"/>
                <w:szCs w:val="18"/>
              </w:rPr>
              <w:t>DP I</w:t>
            </w:r>
          </w:p>
        </w:tc>
        <w:tc>
          <w:tcPr>
            <w:tcW w:w="6600" w:type="dxa"/>
            <w:vAlign w:val="center"/>
          </w:tcPr>
          <w:p>
            <w:pPr>
              <w:pStyle w:val="61"/>
              <w:ind w:firstLine="0" w:firstLineChars="0"/>
              <w:jc w:val="center"/>
              <w:rPr>
                <w:sz w:val="18"/>
                <w:szCs w:val="18"/>
              </w:rPr>
            </w:pPr>
            <w:r>
              <w:rPr>
                <w:rFonts w:hint="eastAsia"/>
                <w:sz w:val="18"/>
                <w:szCs w:val="18"/>
              </w:rPr>
              <w:t>已经劣化的带有环氧氧化铁预涂</w:t>
            </w:r>
            <w:r>
              <w:rPr>
                <w:sz w:val="18"/>
                <w:szCs w:val="18"/>
              </w:rPr>
              <w:t>(车间)底漆的表面</w:t>
            </w:r>
            <w:r>
              <w:rPr>
                <w:rFonts w:hint="eastAsia"/>
                <w:sz w:val="18"/>
                <w:szCs w:val="18"/>
              </w:rPr>
              <w:t>,如图</w:t>
            </w:r>
            <w:r>
              <w:rPr>
                <w:sz w:val="18"/>
                <w:szCs w:val="18"/>
              </w:rPr>
              <w:t>A.4</w:t>
            </w:r>
            <w:r>
              <w:rPr>
                <w:rFonts w:hint="eastAsia"/>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96" w:type="dxa"/>
            <w:vAlign w:val="center"/>
          </w:tcPr>
          <w:p>
            <w:pPr>
              <w:pStyle w:val="61"/>
              <w:ind w:firstLine="0" w:firstLineChars="0"/>
              <w:jc w:val="center"/>
              <w:rPr>
                <w:sz w:val="18"/>
                <w:szCs w:val="18"/>
              </w:rPr>
            </w:pPr>
            <w:r>
              <w:rPr>
                <w:sz w:val="18"/>
                <w:szCs w:val="18"/>
              </w:rPr>
              <w:t>DP Z</w:t>
            </w:r>
          </w:p>
        </w:tc>
        <w:tc>
          <w:tcPr>
            <w:tcW w:w="6600" w:type="dxa"/>
            <w:vAlign w:val="center"/>
          </w:tcPr>
          <w:p>
            <w:pPr>
              <w:pStyle w:val="61"/>
              <w:ind w:firstLine="0" w:firstLineChars="0"/>
              <w:jc w:val="center"/>
              <w:rPr>
                <w:sz w:val="18"/>
                <w:szCs w:val="18"/>
              </w:rPr>
            </w:pPr>
            <w:r>
              <w:rPr>
                <w:rFonts w:hint="eastAsia"/>
                <w:sz w:val="18"/>
                <w:szCs w:val="18"/>
              </w:rPr>
              <w:t>已经劣化的带有硅酸锌预涂</w:t>
            </w:r>
            <w:r>
              <w:rPr>
                <w:sz w:val="18"/>
                <w:szCs w:val="18"/>
              </w:rPr>
              <w:t>(车间)底漆的表面</w:t>
            </w:r>
            <w:r>
              <w:rPr>
                <w:rFonts w:hint="eastAsia"/>
                <w:sz w:val="18"/>
                <w:szCs w:val="18"/>
              </w:rPr>
              <w:t>，</w:t>
            </w:r>
            <w:r>
              <w:rPr>
                <w:sz w:val="18"/>
                <w:szCs w:val="18"/>
              </w:rPr>
              <w:t>如</w:t>
            </w:r>
            <w:r>
              <w:rPr>
                <w:rFonts w:hint="eastAsia"/>
                <w:sz w:val="18"/>
                <w:szCs w:val="18"/>
              </w:rPr>
              <w:t>图</w:t>
            </w:r>
            <w:r>
              <w:rPr>
                <w:sz w:val="18"/>
                <w:szCs w:val="18"/>
              </w:rPr>
              <w:t>A.5</w:t>
            </w:r>
            <w:r>
              <w:rPr>
                <w:rFonts w:hint="eastAsia"/>
                <w:sz w:val="18"/>
                <w:szCs w:val="18"/>
              </w:rPr>
              <w:t>。</w:t>
            </w:r>
          </w:p>
        </w:tc>
      </w:tr>
    </w:tbl>
    <w:p>
      <w:pPr>
        <w:pStyle w:val="83"/>
        <w:spacing w:before="156" w:after="156"/>
      </w:pPr>
      <w:bookmarkStart w:id="238" w:name="_Toc118813802"/>
      <w:bookmarkStart w:id="239" w:name="_Toc159937682"/>
      <w:bookmarkStart w:id="240" w:name="_Toc118126623"/>
      <w:bookmarkStart w:id="241" w:name="_Toc159942468"/>
      <w:bookmarkStart w:id="242" w:name="_Toc142498849"/>
      <w:bookmarkStart w:id="243" w:name="_Toc118215998"/>
      <w:bookmarkStart w:id="244" w:name="_Toc89415427"/>
      <w:bookmarkStart w:id="245" w:name="_Toc109135225"/>
      <w:r>
        <w:rPr>
          <w:rFonts w:hint="eastAsia"/>
        </w:rPr>
        <w:t>钢材的初始表面状态的</w:t>
      </w:r>
      <w:r>
        <w:t>示例照片</w:t>
      </w:r>
      <w:bookmarkEnd w:id="238"/>
      <w:bookmarkEnd w:id="239"/>
      <w:bookmarkEnd w:id="240"/>
      <w:bookmarkEnd w:id="241"/>
      <w:bookmarkEnd w:id="242"/>
      <w:bookmarkEnd w:id="243"/>
      <w:bookmarkEnd w:id="244"/>
      <w:bookmarkEnd w:id="245"/>
    </w:p>
    <w:p>
      <w:pPr>
        <w:pStyle w:val="61"/>
        <w:ind w:firstLine="0" w:firstLineChars="0"/>
        <w:jc w:val="center"/>
      </w:pPr>
      <w:r>
        <w:drawing>
          <wp:inline distT="0" distB="0" distL="0" distR="0">
            <wp:extent cx="5274310" cy="28860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274310" cy="2886075"/>
                    </a:xfrm>
                    <a:prstGeom prst="rect">
                      <a:avLst/>
                    </a:prstGeom>
                  </pic:spPr>
                </pic:pic>
              </a:graphicData>
            </a:graphic>
          </wp:inline>
        </w:drawing>
      </w:r>
    </w:p>
    <w:p>
      <w:pPr>
        <w:pStyle w:val="88"/>
        <w:spacing w:before="0" w:beforeLines="0" w:after="312" w:afterLines="100"/>
        <w:ind w:left="4111" w:firstLine="0"/>
        <w:jc w:val="left"/>
      </w:pPr>
      <w:bookmarkStart w:id="246" w:name="_Toc142498856"/>
      <w:bookmarkStart w:id="247" w:name="_Toc118813809"/>
      <w:r>
        <w:rPr>
          <w:rFonts w:hint="eastAsia"/>
        </w:rPr>
        <w:t>D</w:t>
      </w:r>
      <w:r>
        <w:t>C A</w:t>
      </w:r>
      <w:bookmarkEnd w:id="246"/>
      <w:bookmarkEnd w:id="247"/>
    </w:p>
    <w:p>
      <w:pPr>
        <w:pStyle w:val="61"/>
        <w:ind w:firstLine="0" w:firstLineChars="0"/>
        <w:jc w:val="center"/>
      </w:pPr>
      <w:r>
        <w:drawing>
          <wp:inline distT="0" distB="0" distL="0" distR="0">
            <wp:extent cx="5274310" cy="358013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274310" cy="3580130"/>
                    </a:xfrm>
                    <a:prstGeom prst="rect">
                      <a:avLst/>
                    </a:prstGeom>
                  </pic:spPr>
                </pic:pic>
              </a:graphicData>
            </a:graphic>
          </wp:inline>
        </w:drawing>
      </w:r>
    </w:p>
    <w:p>
      <w:pPr>
        <w:pStyle w:val="88"/>
        <w:spacing w:before="0" w:beforeLines="0" w:after="312" w:afterLines="100"/>
        <w:ind w:left="4395" w:firstLine="0"/>
        <w:jc w:val="left"/>
      </w:pPr>
      <w:bookmarkStart w:id="248" w:name="_Toc118813810"/>
      <w:bookmarkStart w:id="249" w:name="_Toc142498857"/>
      <w:r>
        <w:rPr>
          <w:rFonts w:hint="eastAsia"/>
        </w:rPr>
        <w:t>DC B</w:t>
      </w:r>
      <w:bookmarkEnd w:id="248"/>
      <w:bookmarkEnd w:id="249"/>
    </w:p>
    <w:p>
      <w:pPr>
        <w:pStyle w:val="61"/>
        <w:ind w:firstLine="0" w:firstLineChars="0"/>
        <w:jc w:val="center"/>
      </w:pPr>
      <w:r>
        <w:drawing>
          <wp:inline distT="0" distB="0" distL="0" distR="0">
            <wp:extent cx="5274310" cy="37604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274310" cy="3760470"/>
                    </a:xfrm>
                    <a:prstGeom prst="rect">
                      <a:avLst/>
                    </a:prstGeom>
                  </pic:spPr>
                </pic:pic>
              </a:graphicData>
            </a:graphic>
          </wp:inline>
        </w:drawing>
      </w:r>
    </w:p>
    <w:p>
      <w:pPr>
        <w:pStyle w:val="88"/>
        <w:spacing w:before="0" w:beforeLines="0" w:after="312" w:afterLines="100"/>
        <w:ind w:left="4253" w:firstLine="0"/>
        <w:jc w:val="left"/>
      </w:pPr>
      <w:bookmarkStart w:id="250" w:name="_Toc142498858"/>
      <w:bookmarkStart w:id="251" w:name="_Toc118813811"/>
      <w:r>
        <w:rPr>
          <w:rFonts w:hint="eastAsia"/>
        </w:rPr>
        <w:t>D</w:t>
      </w:r>
      <w:r>
        <w:t>C C</w:t>
      </w:r>
      <w:bookmarkEnd w:id="250"/>
      <w:bookmarkEnd w:id="251"/>
    </w:p>
    <w:p>
      <w:pPr>
        <w:pStyle w:val="61"/>
        <w:ind w:firstLine="0" w:firstLineChars="0"/>
        <w:jc w:val="center"/>
      </w:pPr>
      <w:r>
        <w:drawing>
          <wp:inline distT="0" distB="0" distL="0" distR="0">
            <wp:extent cx="5274310" cy="348043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5274310" cy="3480435"/>
                    </a:xfrm>
                    <a:prstGeom prst="rect">
                      <a:avLst/>
                    </a:prstGeom>
                  </pic:spPr>
                </pic:pic>
              </a:graphicData>
            </a:graphic>
          </wp:inline>
        </w:drawing>
      </w:r>
    </w:p>
    <w:p>
      <w:pPr>
        <w:pStyle w:val="88"/>
        <w:spacing w:before="0" w:beforeLines="0" w:after="312" w:afterLines="100"/>
        <w:ind w:left="4253" w:firstLine="0"/>
        <w:jc w:val="left"/>
      </w:pPr>
      <w:bookmarkStart w:id="252" w:name="_Toc118813812"/>
      <w:bookmarkStart w:id="253" w:name="_Toc142498859"/>
      <w:r>
        <w:rPr>
          <w:rFonts w:hint="eastAsia"/>
        </w:rPr>
        <w:t>DP I</w:t>
      </w:r>
      <w:bookmarkEnd w:id="252"/>
      <w:bookmarkEnd w:id="253"/>
    </w:p>
    <w:p>
      <w:pPr>
        <w:pStyle w:val="61"/>
        <w:ind w:firstLine="0" w:firstLineChars="0"/>
        <w:jc w:val="center"/>
      </w:pPr>
      <w:r>
        <w:rPr>
          <w:rFonts w:hAnsi="黑体"/>
        </w:rPr>
        <w:drawing>
          <wp:inline distT="0" distB="0" distL="0" distR="0">
            <wp:extent cx="5273675" cy="372237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273675" cy="3722370"/>
                    </a:xfrm>
                    <a:prstGeom prst="rect">
                      <a:avLst/>
                    </a:prstGeom>
                  </pic:spPr>
                </pic:pic>
              </a:graphicData>
            </a:graphic>
          </wp:inline>
        </w:drawing>
      </w:r>
    </w:p>
    <w:p>
      <w:pPr>
        <w:pStyle w:val="88"/>
        <w:spacing w:before="156" w:after="156"/>
      </w:pPr>
      <w:bookmarkStart w:id="254" w:name="_Toc118813813"/>
      <w:bookmarkStart w:id="255" w:name="_Toc142498860"/>
      <w:r>
        <w:t>D</w:t>
      </w:r>
      <w:r>
        <w:rPr>
          <w:rFonts w:hint="eastAsia"/>
        </w:rPr>
        <w:t>P Z</w:t>
      </w:r>
      <w:bookmarkEnd w:id="254"/>
      <w:bookmarkEnd w:id="255"/>
    </w:p>
    <w:p>
      <w:pPr>
        <w:pStyle w:val="83"/>
        <w:spacing w:before="156" w:after="156"/>
      </w:pPr>
      <w:bookmarkStart w:id="256" w:name="_Toc159937683"/>
      <w:bookmarkStart w:id="257" w:name="_Toc159942469"/>
      <w:bookmarkStart w:id="258" w:name="_Toc142498850"/>
      <w:bookmarkStart w:id="259" w:name="_Toc109135226"/>
      <w:bookmarkStart w:id="260" w:name="_Toc118126624"/>
      <w:bookmarkStart w:id="261" w:name="_Toc118215999"/>
      <w:bookmarkStart w:id="262" w:name="_Toc89415428"/>
      <w:bookmarkStart w:id="263" w:name="_Toc118813803"/>
      <w:r>
        <w:rPr>
          <w:rFonts w:hint="eastAsia"/>
        </w:rPr>
        <w:t>除锈处理等级的</w:t>
      </w:r>
      <w:r>
        <w:t>表面状态</w:t>
      </w:r>
      <w:bookmarkEnd w:id="256"/>
      <w:bookmarkEnd w:id="257"/>
      <w:bookmarkEnd w:id="258"/>
      <w:bookmarkEnd w:id="259"/>
      <w:bookmarkEnd w:id="260"/>
      <w:bookmarkEnd w:id="261"/>
      <w:bookmarkEnd w:id="262"/>
      <w:bookmarkEnd w:id="263"/>
    </w:p>
    <w:p>
      <w:pPr>
        <w:pStyle w:val="217"/>
      </w:pPr>
      <w:r>
        <w:t>经过水射流清理的表面处理等级用字母Wa表示。规定了四个处理等级，分别为Wa1、Wa2、</w:t>
      </w:r>
      <w:r>
        <w:rPr>
          <w:rFonts w:hint="eastAsia"/>
        </w:rPr>
        <w:t xml:space="preserve">    </w:t>
      </w:r>
      <w:r>
        <w:t>Wa2.5和</w:t>
      </w:r>
      <w:r>
        <w:rPr>
          <w:rFonts w:hint="eastAsia"/>
        </w:rPr>
        <w:t xml:space="preserve"> </w:t>
      </w:r>
      <w:r>
        <w:t>Wa3，表示清理程度。由清理后的表面状态文字</w:t>
      </w:r>
      <w:r>
        <w:rPr>
          <w:rFonts w:hint="eastAsia"/>
        </w:rPr>
        <w:t>描述</w:t>
      </w:r>
      <w:r>
        <w:t>和典型样板照片共同定义。</w:t>
      </w:r>
    </w:p>
    <w:p>
      <w:pPr>
        <w:pStyle w:val="217"/>
        <w:spacing w:line="240" w:lineRule="auto"/>
        <w:rPr>
          <w:rFonts w:ascii="Times New Roman"/>
          <w:kern w:val="0"/>
        </w:rPr>
      </w:pPr>
      <w:r>
        <w:rPr>
          <w:rFonts w:hint="eastAsia" w:ascii="Times New Roman"/>
          <w:kern w:val="0"/>
        </w:rPr>
        <w:t>不同</w:t>
      </w:r>
      <w:r>
        <w:rPr>
          <w:rFonts w:ascii="Times New Roman"/>
          <w:kern w:val="0"/>
        </w:rPr>
        <w:t>处理等级的表面状态描述见表A.2，典型样板照片见图A.6～</w:t>
      </w:r>
      <w:r>
        <w:rPr>
          <w:rFonts w:hint="eastAsia" w:ascii="Times New Roman"/>
          <w:kern w:val="0"/>
        </w:rPr>
        <w:t>图</w:t>
      </w:r>
      <w:r>
        <w:rPr>
          <w:rFonts w:ascii="Times New Roman"/>
          <w:kern w:val="0"/>
        </w:rPr>
        <w:t>A.25</w:t>
      </w:r>
      <w:r>
        <w:rPr>
          <w:rFonts w:hint="eastAsia" w:ascii="Times New Roman"/>
          <w:kern w:val="0"/>
        </w:rPr>
        <w:t>，</w:t>
      </w:r>
      <w:r>
        <w:rPr>
          <w:rFonts w:ascii="Times New Roman"/>
          <w:kern w:val="0"/>
        </w:rPr>
        <w:t>照片</w:t>
      </w:r>
      <w:r>
        <w:rPr>
          <w:rFonts w:hint="eastAsia" w:ascii="Times New Roman"/>
          <w:kern w:val="0"/>
        </w:rPr>
        <w:t>下方</w:t>
      </w:r>
      <w:r>
        <w:rPr>
          <w:rFonts w:ascii="Times New Roman"/>
          <w:kern w:val="0"/>
        </w:rPr>
        <w:t>标</w:t>
      </w:r>
      <w:r>
        <w:rPr>
          <w:rFonts w:hint="eastAsia" w:ascii="Times New Roman"/>
          <w:kern w:val="0"/>
        </w:rPr>
        <w:t>明</w:t>
      </w:r>
      <w:r>
        <w:rPr>
          <w:rFonts w:ascii="Times New Roman"/>
          <w:kern w:val="0"/>
        </w:rPr>
        <w:t>有处理等级的符号和</w:t>
      </w:r>
      <w:r>
        <w:rPr>
          <w:rFonts w:hint="eastAsia" w:ascii="Times New Roman"/>
          <w:kern w:val="0"/>
        </w:rPr>
        <w:t>对应</w:t>
      </w:r>
      <w:r>
        <w:rPr>
          <w:rFonts w:ascii="Times New Roman"/>
          <w:kern w:val="0"/>
        </w:rPr>
        <w:t>的初始表面状态</w:t>
      </w:r>
      <w:r>
        <w:rPr>
          <w:rFonts w:hint="eastAsia" w:ascii="Times New Roman"/>
          <w:kern w:val="0"/>
        </w:rPr>
        <w:t>符号</w:t>
      </w:r>
      <w:r>
        <w:rPr>
          <w:rFonts w:ascii="Times New Roman"/>
          <w:kern w:val="0"/>
        </w:rPr>
        <w:t>，例如</w:t>
      </w:r>
      <w:r>
        <w:rPr>
          <w:rFonts w:hint="eastAsia" w:ascii="Times New Roman"/>
          <w:kern w:val="0"/>
        </w:rPr>
        <w:t>：</w:t>
      </w:r>
      <w:r>
        <w:rPr>
          <w:rFonts w:ascii="Times New Roman"/>
          <w:kern w:val="0"/>
        </w:rPr>
        <w:t>Wa2</w:t>
      </w:r>
      <w:r>
        <w:rPr>
          <w:rFonts w:hint="eastAsia" w:ascii="Times New Roman"/>
          <w:kern w:val="0"/>
        </w:rPr>
        <w:t>（</w:t>
      </w:r>
      <w:r>
        <w:rPr>
          <w:rFonts w:ascii="Times New Roman"/>
          <w:kern w:val="0"/>
        </w:rPr>
        <w:t>DC B）</w:t>
      </w:r>
      <w:r>
        <w:rPr>
          <w:rFonts w:hint="eastAsia" w:ascii="Times New Roman"/>
          <w:kern w:val="0"/>
        </w:rPr>
        <w:t>。</w:t>
      </w:r>
    </w:p>
    <w:p>
      <w:pPr>
        <w:pStyle w:val="82"/>
        <w:spacing w:before="156" w:after="156"/>
      </w:pPr>
      <w:bookmarkStart w:id="264" w:name="_Toc118813847"/>
      <w:bookmarkStart w:id="265" w:name="_Toc142498893"/>
      <w:r>
        <w:rPr>
          <w:rFonts w:hint="eastAsia"/>
        </w:rPr>
        <w:t>除锈处理等级的表面状态文字描述</w:t>
      </w:r>
      <w:bookmarkEnd w:id="264"/>
      <w:bookmarkEnd w:id="265"/>
    </w:p>
    <w:tbl>
      <w:tblPr>
        <w:tblStyle w:val="3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1"/>
        <w:gridCol w:w="70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240" w:lineRule="auto"/>
              <w:ind w:firstLine="90" w:firstLineChars="50"/>
              <w:jc w:val="center"/>
              <w:rPr>
                <w:rFonts w:ascii="Times New Roman" w:hAnsi="Times New Roman"/>
                <w:bCs/>
                <w:sz w:val="18"/>
                <w:szCs w:val="18"/>
              </w:rPr>
            </w:pPr>
            <w:r>
              <w:rPr>
                <w:rFonts w:hint="eastAsia" w:ascii="Times New Roman" w:hAnsi="Times New Roman"/>
                <w:bCs/>
                <w:sz w:val="18"/>
                <w:szCs w:val="18"/>
              </w:rPr>
              <w:t>处理等级的</w:t>
            </w:r>
          </w:p>
          <w:p>
            <w:pPr>
              <w:spacing w:line="240" w:lineRule="auto"/>
              <w:ind w:firstLine="90" w:firstLineChars="50"/>
              <w:jc w:val="center"/>
              <w:rPr>
                <w:rFonts w:ascii="Times New Roman" w:hAnsi="Times New Roman"/>
                <w:bCs/>
                <w:sz w:val="18"/>
                <w:szCs w:val="18"/>
              </w:rPr>
            </w:pPr>
            <w:r>
              <w:rPr>
                <w:rFonts w:hint="eastAsia" w:ascii="Times New Roman" w:hAnsi="Times New Roman"/>
                <w:bCs/>
                <w:sz w:val="18"/>
                <w:szCs w:val="18"/>
              </w:rPr>
              <w:t>表示符号</w:t>
            </w:r>
          </w:p>
        </w:tc>
        <w:tc>
          <w:tcPr>
            <w:tcW w:w="7025" w:type="dxa"/>
            <w:vAlign w:val="center"/>
          </w:tcPr>
          <w:p>
            <w:pPr>
              <w:spacing w:line="240" w:lineRule="auto"/>
              <w:jc w:val="center"/>
              <w:rPr>
                <w:rFonts w:ascii="Times New Roman" w:hAnsi="Times New Roman"/>
                <w:bCs/>
                <w:sz w:val="18"/>
                <w:szCs w:val="18"/>
              </w:rPr>
            </w:pPr>
            <w:r>
              <w:rPr>
                <w:rFonts w:hint="eastAsia" w:ascii="Times New Roman" w:hAnsi="Times New Roman"/>
                <w:bCs/>
                <w:sz w:val="18"/>
                <w:szCs w:val="18"/>
              </w:rPr>
              <w:t>除锈</w:t>
            </w:r>
            <w:r>
              <w:rPr>
                <w:rFonts w:ascii="Times New Roman" w:hAnsi="Times New Roman"/>
                <w:bCs/>
                <w:sz w:val="18"/>
                <w:szCs w:val="18"/>
              </w:rPr>
              <w:t>处理等级的</w:t>
            </w:r>
            <w:r>
              <w:rPr>
                <w:rFonts w:hint="eastAsia" w:ascii="Times New Roman" w:hAnsi="Times New Roman"/>
                <w:bCs/>
                <w:sz w:val="18"/>
                <w:szCs w:val="18"/>
              </w:rPr>
              <w:t>表面状态文字描述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240" w:lineRule="auto"/>
              <w:jc w:val="center"/>
              <w:rPr>
                <w:rFonts w:ascii="Times New Roman" w:hAnsi="Times New Roman"/>
                <w:bCs/>
                <w:sz w:val="18"/>
                <w:szCs w:val="18"/>
              </w:rPr>
            </w:pPr>
            <w:bookmarkStart w:id="266" w:name="_Hlk74667770"/>
            <w:r>
              <w:rPr>
                <w:rFonts w:ascii="Times New Roman" w:hAnsi="Times New Roman"/>
                <w:bCs/>
                <w:sz w:val="18"/>
                <w:szCs w:val="18"/>
              </w:rPr>
              <w:t>Wa1</w:t>
            </w:r>
          </w:p>
        </w:tc>
        <w:tc>
          <w:tcPr>
            <w:tcW w:w="7025" w:type="dxa"/>
            <w:vAlign w:val="center"/>
          </w:tcPr>
          <w:p>
            <w:pPr>
              <w:spacing w:line="240" w:lineRule="auto"/>
              <w:rPr>
                <w:rFonts w:ascii="Times New Roman" w:hAnsi="Times New Roman"/>
                <w:bCs/>
                <w:sz w:val="18"/>
                <w:szCs w:val="18"/>
              </w:rPr>
            </w:pPr>
            <w:r>
              <w:rPr>
                <w:rFonts w:ascii="Times New Roman" w:hAnsi="Times New Roman"/>
                <w:bCs/>
                <w:sz w:val="18"/>
                <w:szCs w:val="18"/>
              </w:rPr>
              <w:t>轻度的水射流清理</w:t>
            </w:r>
            <w:r>
              <w:rPr>
                <w:rFonts w:hint="eastAsia" w:ascii="Times New Roman" w:hAnsi="Times New Roman"/>
                <w:bCs/>
                <w:sz w:val="18"/>
                <w:szCs w:val="18"/>
              </w:rPr>
              <w:t>：</w:t>
            </w:r>
          </w:p>
          <w:p>
            <w:pPr>
              <w:spacing w:line="240" w:lineRule="auto"/>
              <w:rPr>
                <w:rFonts w:ascii="Times New Roman" w:hAnsi="Times New Roman"/>
                <w:sz w:val="18"/>
                <w:szCs w:val="18"/>
              </w:rPr>
            </w:pPr>
            <w:r>
              <w:rPr>
                <w:rFonts w:ascii="Times New Roman" w:hAnsi="Times New Roman"/>
                <w:sz w:val="18"/>
                <w:szCs w:val="18"/>
              </w:rPr>
              <w:t>在不放大的情况下观察时，表面应无可见的油、脂、疏松或有缺陷的涂层、疏松铁锈和其他外来杂质。任何残留污染物应随机分散，包括牢固附着的涂层、外来杂质和铁锈。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240" w:lineRule="auto"/>
              <w:jc w:val="center"/>
              <w:rPr>
                <w:rFonts w:ascii="Times New Roman" w:hAnsi="Times New Roman"/>
                <w:bCs/>
                <w:sz w:val="18"/>
                <w:szCs w:val="18"/>
              </w:rPr>
            </w:pPr>
            <w:r>
              <w:rPr>
                <w:rFonts w:ascii="Times New Roman" w:hAnsi="Times New Roman"/>
                <w:bCs/>
                <w:sz w:val="18"/>
                <w:szCs w:val="18"/>
              </w:rPr>
              <w:t>Wa2</w:t>
            </w:r>
          </w:p>
        </w:tc>
        <w:tc>
          <w:tcPr>
            <w:tcW w:w="7025" w:type="dxa"/>
            <w:vAlign w:val="center"/>
          </w:tcPr>
          <w:p>
            <w:pPr>
              <w:spacing w:line="240" w:lineRule="auto"/>
              <w:rPr>
                <w:rFonts w:ascii="Times New Roman" w:hAnsi="Times New Roman"/>
                <w:bCs/>
                <w:sz w:val="18"/>
                <w:szCs w:val="18"/>
              </w:rPr>
            </w:pPr>
            <w:r>
              <w:rPr>
                <w:rFonts w:ascii="Times New Roman" w:hAnsi="Times New Roman"/>
                <w:bCs/>
                <w:sz w:val="18"/>
                <w:szCs w:val="18"/>
              </w:rPr>
              <w:t>彻底的水射流清理</w:t>
            </w:r>
            <w:r>
              <w:rPr>
                <w:rFonts w:hint="eastAsia" w:ascii="Times New Roman" w:hAnsi="Times New Roman"/>
                <w:bCs/>
                <w:sz w:val="18"/>
                <w:szCs w:val="18"/>
              </w:rPr>
              <w:t>：</w:t>
            </w:r>
          </w:p>
          <w:p>
            <w:pPr>
              <w:spacing w:line="240" w:lineRule="auto"/>
              <w:rPr>
                <w:rFonts w:ascii="Times New Roman" w:hAnsi="Times New Roman"/>
                <w:sz w:val="18"/>
                <w:szCs w:val="18"/>
              </w:rPr>
            </w:pPr>
            <w:r>
              <w:rPr>
                <w:rFonts w:ascii="Times New Roman" w:hAnsi="Times New Roman"/>
                <w:sz w:val="18"/>
                <w:szCs w:val="18"/>
              </w:rPr>
              <w:t>在不放大的情况下观察时，表面应无可见的油、脂和污物以及大部分铁锈、原始涂层和其他外来杂质。任何残留污染物应随机分散，包括牢固附着的涂层、外来杂质和铁锈斑点。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napToGrid w:val="0"/>
              <w:spacing w:line="240" w:lineRule="auto"/>
              <w:jc w:val="center"/>
              <w:textAlignment w:val="center"/>
              <w:rPr>
                <w:rFonts w:ascii="Times New Roman" w:hAnsi="Times New Roman"/>
                <w:bCs/>
                <w:sz w:val="18"/>
                <w:szCs w:val="18"/>
              </w:rPr>
            </w:pPr>
            <w:r>
              <w:rPr>
                <w:rFonts w:ascii="Times New Roman" w:hAnsi="Times New Roman"/>
                <w:bCs/>
                <w:sz w:val="18"/>
                <w:szCs w:val="18"/>
              </w:rPr>
              <w:t>Wa2.5</w:t>
            </w:r>
          </w:p>
        </w:tc>
        <w:tc>
          <w:tcPr>
            <w:tcW w:w="7025" w:type="dxa"/>
            <w:vAlign w:val="center"/>
          </w:tcPr>
          <w:p>
            <w:pPr>
              <w:spacing w:line="240" w:lineRule="auto"/>
              <w:rPr>
                <w:rFonts w:ascii="Times New Roman" w:hAnsi="Times New Roman"/>
                <w:bCs/>
                <w:sz w:val="18"/>
                <w:szCs w:val="18"/>
              </w:rPr>
            </w:pPr>
            <w:r>
              <w:rPr>
                <w:rFonts w:ascii="Times New Roman" w:hAnsi="Times New Roman"/>
                <w:bCs/>
                <w:sz w:val="18"/>
                <w:szCs w:val="18"/>
              </w:rPr>
              <w:t>非常彻底的水射流清理</w:t>
            </w:r>
            <w:r>
              <w:rPr>
                <w:rFonts w:hint="eastAsia" w:ascii="Times New Roman" w:hAnsi="Times New Roman"/>
                <w:bCs/>
                <w:sz w:val="18"/>
                <w:szCs w:val="18"/>
              </w:rPr>
              <w:t>：</w:t>
            </w:r>
          </w:p>
          <w:p>
            <w:pPr>
              <w:spacing w:line="240" w:lineRule="auto"/>
              <w:rPr>
                <w:rFonts w:ascii="Times New Roman" w:hAnsi="Times New Roman"/>
                <w:sz w:val="18"/>
                <w:szCs w:val="18"/>
              </w:rPr>
            </w:pPr>
            <w:r>
              <w:rPr>
                <w:rFonts w:ascii="Times New Roman" w:hAnsi="Times New Roman"/>
                <w:sz w:val="18"/>
                <w:szCs w:val="18"/>
              </w:rPr>
              <w:t>在不放大的情况下观察时，表面应无任何可见的铁锈、油、脂、污物。少量痕迹牢固地粘附在先前的薄锈上；可能会留下少量牢固粘合的薄油漆涂层痕迹，以及少量其他杂质的痕迹。任何残留污染物应随机分散。原始涂层去掉之处可呈现金属基体的光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71" w:type="dxa"/>
            <w:vAlign w:val="center"/>
          </w:tcPr>
          <w:p>
            <w:pPr>
              <w:spacing w:line="240" w:lineRule="auto"/>
              <w:jc w:val="center"/>
              <w:rPr>
                <w:rFonts w:ascii="Times New Roman" w:hAnsi="Times New Roman"/>
                <w:bCs/>
                <w:sz w:val="18"/>
                <w:szCs w:val="18"/>
              </w:rPr>
            </w:pPr>
            <w:r>
              <w:rPr>
                <w:rFonts w:ascii="Times New Roman" w:hAnsi="Times New Roman"/>
                <w:bCs/>
                <w:sz w:val="18"/>
                <w:szCs w:val="18"/>
              </w:rPr>
              <w:t>Wa3</w:t>
            </w:r>
          </w:p>
        </w:tc>
        <w:tc>
          <w:tcPr>
            <w:tcW w:w="7025" w:type="dxa"/>
            <w:vAlign w:val="center"/>
          </w:tcPr>
          <w:p>
            <w:pPr>
              <w:spacing w:line="240" w:lineRule="auto"/>
              <w:rPr>
                <w:rFonts w:ascii="Times New Roman" w:hAnsi="Times New Roman"/>
                <w:bCs/>
                <w:sz w:val="18"/>
                <w:szCs w:val="18"/>
              </w:rPr>
            </w:pPr>
            <w:r>
              <w:rPr>
                <w:rFonts w:ascii="Times New Roman" w:hAnsi="Times New Roman"/>
                <w:bCs/>
                <w:sz w:val="18"/>
                <w:szCs w:val="18"/>
              </w:rPr>
              <w:t>裸露基材的水射流清理</w:t>
            </w:r>
            <w:r>
              <w:rPr>
                <w:rFonts w:hint="eastAsia" w:ascii="Times New Roman" w:hAnsi="Times New Roman"/>
                <w:bCs/>
                <w:sz w:val="18"/>
                <w:szCs w:val="18"/>
              </w:rPr>
              <w:t>：</w:t>
            </w:r>
          </w:p>
          <w:p>
            <w:pPr>
              <w:spacing w:line="240" w:lineRule="auto"/>
              <w:rPr>
                <w:rFonts w:ascii="Times New Roman" w:hAnsi="Times New Roman"/>
                <w:sz w:val="18"/>
                <w:szCs w:val="18"/>
              </w:rPr>
            </w:pPr>
            <w:r>
              <w:rPr>
                <w:rFonts w:ascii="Times New Roman" w:hAnsi="Times New Roman"/>
                <w:sz w:val="18"/>
                <w:szCs w:val="18"/>
              </w:rPr>
              <w:t>在不放大的情况下观察时，表面应无任何可见的铁锈、油、脂、污垢、先前的油漆涂层以及所有其他异物。钢材表面可以看起来均匀或不均匀。原始涂层去掉之处可呈现金属基体的光泽。</w:t>
            </w:r>
          </w:p>
        </w:tc>
      </w:tr>
      <w:bookmarkEnd w:id="266"/>
    </w:tbl>
    <w:p>
      <w:pPr>
        <w:pStyle w:val="83"/>
        <w:spacing w:before="156" w:after="156"/>
      </w:pPr>
      <w:bookmarkStart w:id="267" w:name="_Toc118813804"/>
      <w:bookmarkStart w:id="268" w:name="_Toc159937684"/>
      <w:bookmarkStart w:id="269" w:name="_Toc159942470"/>
      <w:bookmarkStart w:id="270" w:name="_Toc118126625"/>
      <w:bookmarkStart w:id="271" w:name="_Toc142498851"/>
      <w:bookmarkStart w:id="272" w:name="_Toc118216000"/>
      <w:r>
        <w:rPr>
          <w:rFonts w:hint="eastAsia"/>
        </w:rPr>
        <w:t>除锈处理</w:t>
      </w:r>
      <w:r>
        <w:t>等级示例照片</w:t>
      </w:r>
      <w:bookmarkEnd w:id="267"/>
      <w:bookmarkEnd w:id="268"/>
      <w:bookmarkEnd w:id="269"/>
      <w:bookmarkEnd w:id="270"/>
      <w:bookmarkEnd w:id="271"/>
      <w:bookmarkEnd w:id="272"/>
    </w:p>
    <w:p>
      <w:pPr>
        <w:pStyle w:val="61"/>
        <w:ind w:firstLine="420"/>
      </w:pPr>
      <w:r>
        <w:rPr>
          <w:rFonts w:hint="eastAsia"/>
        </w:rPr>
        <w:t>不同钢材初始</w:t>
      </w:r>
      <w:r>
        <w:t>表面</w:t>
      </w:r>
      <w:r>
        <w:rPr>
          <w:rFonts w:hint="eastAsia"/>
        </w:rPr>
        <w:t>状态在水射流处理后</w:t>
      </w:r>
      <w:r>
        <w:t>的</w:t>
      </w:r>
      <w:r>
        <w:rPr>
          <w:rFonts w:hint="eastAsia"/>
        </w:rPr>
        <w:t>除锈等级示例</w:t>
      </w:r>
      <w:r>
        <w:t>照片</w:t>
      </w:r>
      <w:r>
        <w:rPr>
          <w:rFonts w:hint="eastAsia"/>
        </w:rPr>
        <w:t>如下图</w:t>
      </w:r>
      <w:r>
        <w:t>所示</w:t>
      </w:r>
      <w:r>
        <w:rPr>
          <w:rFonts w:hint="eastAsia"/>
        </w:rPr>
        <w:t>。</w:t>
      </w:r>
    </w:p>
    <w:p>
      <w:pPr>
        <w:pStyle w:val="61"/>
        <w:ind w:firstLine="420"/>
      </w:pPr>
    </w:p>
    <w:p>
      <w:pPr>
        <w:pStyle w:val="88"/>
        <w:numPr>
          <w:ilvl w:val="0"/>
          <w:numId w:val="0"/>
        </w:numPr>
        <w:spacing w:before="156" w:after="156"/>
      </w:pPr>
      <w:bookmarkStart w:id="273" w:name="_Toc142498861"/>
      <w:bookmarkStart w:id="274" w:name="_Toc118813814"/>
      <w:r>
        <w:drawing>
          <wp:inline distT="0" distB="0" distL="0" distR="0">
            <wp:extent cx="5922645" cy="324104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946725" cy="3254018"/>
                    </a:xfrm>
                    <a:prstGeom prst="rect">
                      <a:avLst/>
                    </a:prstGeom>
                  </pic:spPr>
                </pic:pic>
              </a:graphicData>
            </a:graphic>
          </wp:inline>
        </w:drawing>
      </w:r>
      <w:bookmarkEnd w:id="273"/>
      <w:bookmarkEnd w:id="274"/>
    </w:p>
    <w:p>
      <w:pPr>
        <w:pStyle w:val="88"/>
        <w:spacing w:before="156" w:after="156"/>
      </w:pPr>
      <w:bookmarkStart w:id="275" w:name="_Toc118813815"/>
      <w:bookmarkStart w:id="276" w:name="_Toc142498862"/>
      <w:bookmarkStart w:id="277" w:name="_Hlk74821346"/>
      <w:r>
        <w:t>Wa1</w:t>
      </w:r>
      <w:r>
        <w:rPr>
          <w:rFonts w:hint="eastAsia"/>
        </w:rPr>
        <w:t>（D</w:t>
      </w:r>
      <w:r>
        <w:t>C A）</w:t>
      </w:r>
      <w:bookmarkEnd w:id="275"/>
      <w:bookmarkEnd w:id="276"/>
    </w:p>
    <w:bookmarkEnd w:id="277"/>
    <w:p>
      <w:pPr>
        <w:spacing w:line="240" w:lineRule="auto"/>
        <w:jc w:val="center"/>
        <w:rPr>
          <w:rFonts w:ascii="宋体" w:hAnsi="宋体"/>
          <w:b/>
          <w:bCs/>
        </w:rPr>
      </w:pPr>
      <w:r>
        <w:drawing>
          <wp:inline distT="0" distB="0" distL="0" distR="0">
            <wp:extent cx="5939155" cy="3340100"/>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0"/>
                      <a:ext cx="5946577" cy="3344860"/>
                    </a:xfrm>
                    <a:prstGeom prst="rect">
                      <a:avLst/>
                    </a:prstGeom>
                  </pic:spPr>
                </pic:pic>
              </a:graphicData>
            </a:graphic>
          </wp:inline>
        </w:drawing>
      </w:r>
    </w:p>
    <w:p>
      <w:pPr>
        <w:pStyle w:val="88"/>
        <w:spacing w:before="0" w:beforeLines="0" w:after="312" w:afterLines="100"/>
        <w:ind w:left="4395" w:firstLine="0"/>
        <w:jc w:val="left"/>
      </w:pPr>
      <w:bookmarkStart w:id="278" w:name="_Toc142498863"/>
      <w:bookmarkStart w:id="279" w:name="_Toc118813816"/>
      <w:bookmarkStart w:id="280" w:name="_Hlk74821360"/>
      <w:r>
        <w:t>Wa2</w:t>
      </w:r>
      <w:r>
        <w:rPr>
          <w:rFonts w:hint="eastAsia"/>
        </w:rPr>
        <w:t>（D</w:t>
      </w:r>
      <w:r>
        <w:t>C A）</w:t>
      </w:r>
      <w:bookmarkEnd w:id="278"/>
      <w:bookmarkEnd w:id="279"/>
    </w:p>
    <w:bookmarkEnd w:id="280"/>
    <w:p>
      <w:pPr>
        <w:spacing w:line="240" w:lineRule="auto"/>
        <w:jc w:val="center"/>
        <w:rPr>
          <w:rFonts w:ascii="宋体" w:hAnsi="宋体"/>
          <w:b/>
          <w:bCs/>
        </w:rPr>
      </w:pPr>
      <w:r>
        <w:drawing>
          <wp:inline distT="0" distB="0" distL="0" distR="0">
            <wp:extent cx="5911850" cy="335851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5920436" cy="3363657"/>
                    </a:xfrm>
                    <a:prstGeom prst="rect">
                      <a:avLst/>
                    </a:prstGeom>
                  </pic:spPr>
                </pic:pic>
              </a:graphicData>
            </a:graphic>
          </wp:inline>
        </w:drawing>
      </w:r>
    </w:p>
    <w:p>
      <w:pPr>
        <w:pStyle w:val="88"/>
        <w:spacing w:before="0" w:beforeLines="0" w:after="312" w:afterLines="100"/>
        <w:ind w:left="4536" w:firstLine="0"/>
        <w:jc w:val="left"/>
      </w:pPr>
      <w:bookmarkStart w:id="281" w:name="_Toc118813817"/>
      <w:bookmarkStart w:id="282" w:name="_Toc142498864"/>
      <w:r>
        <w:t>Wa2.5</w:t>
      </w:r>
      <w:r>
        <w:rPr>
          <w:rFonts w:hint="eastAsia"/>
        </w:rPr>
        <w:t>（D</w:t>
      </w:r>
      <w:r>
        <w:t>C A）</w:t>
      </w:r>
      <w:bookmarkEnd w:id="281"/>
      <w:bookmarkEnd w:id="282"/>
    </w:p>
    <w:p>
      <w:pPr>
        <w:spacing w:line="240" w:lineRule="auto"/>
        <w:jc w:val="center"/>
        <w:rPr>
          <w:rFonts w:ascii="宋体" w:hAnsi="宋体"/>
          <w:b/>
          <w:bCs/>
        </w:rPr>
      </w:pPr>
      <w:r>
        <w:drawing>
          <wp:inline distT="0" distB="0" distL="0" distR="0">
            <wp:extent cx="5854065" cy="3253105"/>
            <wp:effectExtent l="0" t="0" r="0" b="44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7">
                      <a:extLst>
                        <a:ext uri="{28A0092B-C50C-407E-A947-70E740481C1C}">
                          <a14:useLocalDpi xmlns:a14="http://schemas.microsoft.com/office/drawing/2010/main" val="0"/>
                        </a:ext>
                      </a:extLst>
                    </a:blip>
                    <a:stretch>
                      <a:fillRect/>
                    </a:stretch>
                  </pic:blipFill>
                  <pic:spPr>
                    <a:xfrm>
                      <a:off x="0" y="0"/>
                      <a:ext cx="5859371" cy="3256303"/>
                    </a:xfrm>
                    <a:prstGeom prst="rect">
                      <a:avLst/>
                    </a:prstGeom>
                  </pic:spPr>
                </pic:pic>
              </a:graphicData>
            </a:graphic>
          </wp:inline>
        </w:drawing>
      </w:r>
    </w:p>
    <w:p>
      <w:pPr>
        <w:pStyle w:val="88"/>
        <w:spacing w:before="0" w:beforeLines="0" w:after="312" w:afterLines="100"/>
        <w:ind w:left="4678" w:firstLine="0"/>
        <w:jc w:val="left"/>
      </w:pPr>
      <w:bookmarkStart w:id="283" w:name="_Toc142498865"/>
      <w:bookmarkStart w:id="284" w:name="_Toc118813818"/>
      <w:r>
        <w:t>Wa3</w:t>
      </w:r>
      <w:r>
        <w:rPr>
          <w:rFonts w:hint="eastAsia"/>
        </w:rPr>
        <w:t>（D</w:t>
      </w:r>
      <w:r>
        <w:t>C A）</w:t>
      </w:r>
      <w:bookmarkEnd w:id="283"/>
      <w:bookmarkEnd w:id="284"/>
    </w:p>
    <w:p>
      <w:pPr>
        <w:spacing w:line="240" w:lineRule="auto"/>
        <w:jc w:val="center"/>
        <w:rPr>
          <w:rFonts w:ascii="宋体" w:hAnsi="宋体"/>
          <w:b/>
          <w:bCs/>
        </w:rPr>
      </w:pPr>
      <w:r>
        <w:drawing>
          <wp:inline distT="0" distB="0" distL="0" distR="0">
            <wp:extent cx="5124450" cy="342900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5140768" cy="3439970"/>
                    </a:xfrm>
                    <a:prstGeom prst="rect">
                      <a:avLst/>
                    </a:prstGeom>
                  </pic:spPr>
                </pic:pic>
              </a:graphicData>
            </a:graphic>
          </wp:inline>
        </w:drawing>
      </w:r>
    </w:p>
    <w:p>
      <w:pPr>
        <w:pStyle w:val="88"/>
        <w:spacing w:before="0" w:beforeLines="0" w:after="312" w:afterLines="100"/>
        <w:ind w:left="4536" w:firstLine="0"/>
        <w:jc w:val="left"/>
      </w:pPr>
      <w:bookmarkStart w:id="285" w:name="_Toc118813819"/>
      <w:bookmarkStart w:id="286" w:name="_Toc142498866"/>
      <w:r>
        <w:t>Wa1</w:t>
      </w:r>
      <w:r>
        <w:rPr>
          <w:rFonts w:hint="eastAsia"/>
        </w:rPr>
        <w:t>（</w:t>
      </w:r>
      <w:r>
        <w:t>DC B）</w:t>
      </w:r>
      <w:bookmarkEnd w:id="285"/>
      <w:bookmarkEnd w:id="286"/>
    </w:p>
    <w:p>
      <w:pPr>
        <w:spacing w:line="240" w:lineRule="auto"/>
        <w:jc w:val="center"/>
        <w:rPr>
          <w:rFonts w:ascii="宋体" w:hAnsi="宋体"/>
          <w:b/>
          <w:bCs/>
        </w:rPr>
      </w:pPr>
      <w:bookmarkStart w:id="287" w:name="_Hlk74821628"/>
      <w:r>
        <w:drawing>
          <wp:inline distT="0" distB="0" distL="0" distR="0">
            <wp:extent cx="5156200" cy="3437255"/>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165077" cy="3443177"/>
                    </a:xfrm>
                    <a:prstGeom prst="rect">
                      <a:avLst/>
                    </a:prstGeom>
                  </pic:spPr>
                </pic:pic>
              </a:graphicData>
            </a:graphic>
          </wp:inline>
        </w:drawing>
      </w:r>
    </w:p>
    <w:bookmarkEnd w:id="287"/>
    <w:p>
      <w:pPr>
        <w:pStyle w:val="88"/>
        <w:spacing w:before="0" w:beforeLines="0" w:after="312" w:afterLines="100"/>
        <w:ind w:left="4678" w:firstLine="0"/>
        <w:jc w:val="left"/>
      </w:pPr>
      <w:bookmarkStart w:id="288" w:name="_Toc142498867"/>
      <w:bookmarkStart w:id="289" w:name="_Hlk74821851"/>
      <w:bookmarkStart w:id="290" w:name="_Toc118813820"/>
      <w:r>
        <w:t>Wa2</w:t>
      </w:r>
      <w:r>
        <w:rPr>
          <w:rFonts w:hint="eastAsia"/>
        </w:rPr>
        <w:t>（D</w:t>
      </w:r>
      <w:r>
        <w:t>C B）</w:t>
      </w:r>
      <w:bookmarkEnd w:id="288"/>
      <w:bookmarkEnd w:id="289"/>
      <w:bookmarkEnd w:id="290"/>
    </w:p>
    <w:p>
      <w:pPr>
        <w:spacing w:line="240" w:lineRule="auto"/>
        <w:jc w:val="center"/>
        <w:rPr>
          <w:rFonts w:ascii="宋体" w:hAnsi="宋体"/>
          <w:b/>
          <w:bCs/>
        </w:rPr>
      </w:pPr>
      <w:r>
        <w:drawing>
          <wp:inline distT="0" distB="0" distL="0" distR="0">
            <wp:extent cx="5155565" cy="3465830"/>
            <wp:effectExtent l="0" t="0" r="6985"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5167922" cy="3474318"/>
                    </a:xfrm>
                    <a:prstGeom prst="rect">
                      <a:avLst/>
                    </a:prstGeom>
                  </pic:spPr>
                </pic:pic>
              </a:graphicData>
            </a:graphic>
          </wp:inline>
        </w:drawing>
      </w:r>
    </w:p>
    <w:p>
      <w:pPr>
        <w:pStyle w:val="88"/>
        <w:spacing w:before="0" w:beforeLines="0" w:after="312" w:afterLines="100"/>
        <w:ind w:left="4678" w:firstLine="0"/>
        <w:jc w:val="left"/>
      </w:pPr>
      <w:bookmarkStart w:id="291" w:name="_Toc118813821"/>
      <w:bookmarkStart w:id="292" w:name="_Toc142498868"/>
      <w:r>
        <w:t>Wa2.5</w:t>
      </w:r>
      <w:r>
        <w:rPr>
          <w:rFonts w:hint="eastAsia"/>
        </w:rPr>
        <w:t>（D</w:t>
      </w:r>
      <w:r>
        <w:t>C B）</w:t>
      </w:r>
      <w:bookmarkEnd w:id="291"/>
      <w:bookmarkEnd w:id="292"/>
    </w:p>
    <w:p>
      <w:pPr>
        <w:snapToGrid w:val="0"/>
        <w:spacing w:line="240" w:lineRule="auto"/>
        <w:jc w:val="center"/>
        <w:textAlignment w:val="center"/>
        <w:rPr>
          <w:rFonts w:ascii="宋体" w:hAnsi="宋体"/>
          <w:b/>
          <w:bCs/>
        </w:rPr>
      </w:pPr>
      <w:r>
        <w:drawing>
          <wp:inline distT="0" distB="0" distL="0" distR="0">
            <wp:extent cx="5081905" cy="3395345"/>
            <wp:effectExtent l="0" t="0" r="444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5099423" cy="3406778"/>
                    </a:xfrm>
                    <a:prstGeom prst="rect">
                      <a:avLst/>
                    </a:prstGeom>
                  </pic:spPr>
                </pic:pic>
              </a:graphicData>
            </a:graphic>
          </wp:inline>
        </w:drawing>
      </w:r>
    </w:p>
    <w:p>
      <w:pPr>
        <w:pStyle w:val="88"/>
        <w:spacing w:before="0" w:beforeLines="0" w:after="312" w:afterLines="100"/>
        <w:ind w:left="4820" w:firstLine="0"/>
        <w:jc w:val="left"/>
      </w:pPr>
      <w:bookmarkStart w:id="293" w:name="_Toc142498869"/>
      <w:bookmarkStart w:id="294" w:name="_Toc118813822"/>
      <w:r>
        <w:t>Wa3</w:t>
      </w:r>
      <w:r>
        <w:rPr>
          <w:rFonts w:hint="eastAsia"/>
        </w:rPr>
        <w:t>（</w:t>
      </w:r>
      <w:r>
        <w:t>DC B）</w:t>
      </w:r>
      <w:bookmarkEnd w:id="293"/>
      <w:bookmarkEnd w:id="294"/>
    </w:p>
    <w:p>
      <w:pPr>
        <w:spacing w:line="240" w:lineRule="auto"/>
        <w:jc w:val="center"/>
        <w:rPr>
          <w:rFonts w:ascii="宋体" w:hAnsi="宋体"/>
          <w:b/>
          <w:bCs/>
        </w:rPr>
      </w:pPr>
      <w:r>
        <w:drawing>
          <wp:inline distT="0" distB="0" distL="0" distR="0">
            <wp:extent cx="4859020" cy="327850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4869254" cy="3285838"/>
                    </a:xfrm>
                    <a:prstGeom prst="rect">
                      <a:avLst/>
                    </a:prstGeom>
                  </pic:spPr>
                </pic:pic>
              </a:graphicData>
            </a:graphic>
          </wp:inline>
        </w:drawing>
      </w:r>
    </w:p>
    <w:p>
      <w:pPr>
        <w:pStyle w:val="88"/>
        <w:spacing w:before="0" w:beforeLines="0" w:after="312" w:afterLines="100"/>
        <w:ind w:left="4395" w:firstLine="0"/>
        <w:jc w:val="left"/>
      </w:pPr>
      <w:bookmarkStart w:id="295" w:name="_Toc118813823"/>
      <w:bookmarkStart w:id="296" w:name="_Toc142498870"/>
      <w:r>
        <w:t>Wa1</w:t>
      </w:r>
      <w:r>
        <w:rPr>
          <w:rFonts w:hint="eastAsia"/>
        </w:rPr>
        <w:t>（D</w:t>
      </w:r>
      <w:r>
        <w:t>C C）</w:t>
      </w:r>
      <w:bookmarkEnd w:id="295"/>
      <w:bookmarkEnd w:id="296"/>
    </w:p>
    <w:p>
      <w:pPr>
        <w:pStyle w:val="61"/>
        <w:spacing w:line="360" w:lineRule="auto"/>
        <w:ind w:firstLine="0" w:firstLineChars="0"/>
        <w:jc w:val="center"/>
      </w:pPr>
      <w:r>
        <w:drawing>
          <wp:inline distT="0" distB="0" distL="0" distR="0">
            <wp:extent cx="4954270" cy="3527425"/>
            <wp:effectExtent l="0" t="0" r="0" b="0"/>
            <wp:docPr id="44212905" name="图片 4421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12905" name="图片 44212905"/>
                    <pic:cNvPicPr>
                      <a:picLocks noChangeAspect="1"/>
                    </pic:cNvPicPr>
                  </pic:nvPicPr>
                  <pic:blipFill>
                    <a:blip r:embed="rId33">
                      <a:extLst>
                        <a:ext uri="{28A0092B-C50C-407E-A947-70E740481C1C}">
                          <a14:useLocalDpi xmlns:a14="http://schemas.microsoft.com/office/drawing/2010/main" val="0"/>
                        </a:ext>
                      </a:extLst>
                    </a:blip>
                    <a:srcRect r="484"/>
                    <a:stretch>
                      <a:fillRect/>
                    </a:stretch>
                  </pic:blipFill>
                  <pic:spPr>
                    <a:xfrm>
                      <a:off x="0" y="0"/>
                      <a:ext cx="4960099" cy="3531461"/>
                    </a:xfrm>
                    <a:prstGeom prst="rect">
                      <a:avLst/>
                    </a:prstGeom>
                    <a:ln>
                      <a:noFill/>
                    </a:ln>
                  </pic:spPr>
                </pic:pic>
              </a:graphicData>
            </a:graphic>
          </wp:inline>
        </w:drawing>
      </w:r>
    </w:p>
    <w:p>
      <w:pPr>
        <w:pStyle w:val="88"/>
        <w:spacing w:before="0" w:beforeLines="0" w:after="312" w:afterLines="100"/>
        <w:ind w:left="4678" w:firstLine="0"/>
        <w:jc w:val="left"/>
      </w:pPr>
      <w:bookmarkStart w:id="297" w:name="_Toc118813824"/>
      <w:bookmarkStart w:id="298" w:name="_Toc142498871"/>
      <w:r>
        <w:t>Wa2</w:t>
      </w:r>
      <w:r>
        <w:rPr>
          <w:rFonts w:hint="eastAsia"/>
        </w:rPr>
        <w:t>（</w:t>
      </w:r>
      <w:r>
        <w:t>DC C</w:t>
      </w:r>
      <w:r>
        <w:rPr>
          <w:rFonts w:hint="eastAsia"/>
        </w:rPr>
        <w:t>）</w:t>
      </w:r>
      <w:bookmarkEnd w:id="297"/>
      <w:bookmarkEnd w:id="298"/>
    </w:p>
    <w:p>
      <w:pPr>
        <w:pStyle w:val="88"/>
        <w:numPr>
          <w:ilvl w:val="0"/>
          <w:numId w:val="0"/>
        </w:numPr>
        <w:spacing w:beforeLines="0" w:afterLines="0"/>
      </w:pPr>
      <w:bookmarkStart w:id="299" w:name="_Toc118813825"/>
      <w:bookmarkStart w:id="300" w:name="_Toc142498872"/>
      <w:r>
        <w:drawing>
          <wp:inline distT="0" distB="0" distL="0" distR="0">
            <wp:extent cx="4922520" cy="35134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34">
                      <a:extLst>
                        <a:ext uri="{28A0092B-C50C-407E-A947-70E740481C1C}">
                          <a14:useLocalDpi xmlns:a14="http://schemas.microsoft.com/office/drawing/2010/main" val="0"/>
                        </a:ext>
                      </a:extLst>
                    </a:blip>
                    <a:srcRect l="-94" t="311" b="-1"/>
                    <a:stretch>
                      <a:fillRect/>
                    </a:stretch>
                  </pic:blipFill>
                  <pic:spPr>
                    <a:xfrm>
                      <a:off x="0" y="0"/>
                      <a:ext cx="4942317" cy="3527955"/>
                    </a:xfrm>
                    <a:prstGeom prst="rect">
                      <a:avLst/>
                    </a:prstGeom>
                    <a:ln>
                      <a:noFill/>
                    </a:ln>
                  </pic:spPr>
                </pic:pic>
              </a:graphicData>
            </a:graphic>
          </wp:inline>
        </w:drawing>
      </w:r>
      <w:bookmarkEnd w:id="299"/>
      <w:bookmarkEnd w:id="300"/>
    </w:p>
    <w:p>
      <w:pPr>
        <w:pStyle w:val="88"/>
        <w:spacing w:before="0" w:beforeLines="0" w:after="312" w:afterLines="100"/>
        <w:ind w:left="4678" w:firstLine="0"/>
        <w:jc w:val="left"/>
      </w:pPr>
      <w:bookmarkStart w:id="301" w:name="_Toc142498873"/>
      <w:bookmarkStart w:id="302" w:name="_Toc118813826"/>
      <w:r>
        <w:t>Wa2.5</w:t>
      </w:r>
      <w:r>
        <w:rPr>
          <w:rFonts w:hint="eastAsia"/>
        </w:rPr>
        <w:t>（D</w:t>
      </w:r>
      <w:r>
        <w:t>C C）</w:t>
      </w:r>
      <w:bookmarkEnd w:id="301"/>
      <w:bookmarkEnd w:id="302"/>
    </w:p>
    <w:p>
      <w:pPr>
        <w:pStyle w:val="88"/>
        <w:numPr>
          <w:ilvl w:val="0"/>
          <w:numId w:val="0"/>
        </w:numPr>
        <w:spacing w:beforeLines="0" w:afterLines="0"/>
      </w:pPr>
      <w:bookmarkStart w:id="303" w:name="_Toc118813827"/>
      <w:bookmarkStart w:id="304" w:name="_Toc142498874"/>
      <w:r>
        <w:drawing>
          <wp:inline distT="0" distB="0" distL="0" distR="0">
            <wp:extent cx="4794885" cy="3438525"/>
            <wp:effectExtent l="0" t="0" r="5715"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798779" cy="3441647"/>
                    </a:xfrm>
                    <a:prstGeom prst="rect">
                      <a:avLst/>
                    </a:prstGeom>
                  </pic:spPr>
                </pic:pic>
              </a:graphicData>
            </a:graphic>
          </wp:inline>
        </w:drawing>
      </w:r>
      <w:bookmarkEnd w:id="303"/>
      <w:bookmarkEnd w:id="304"/>
    </w:p>
    <w:p>
      <w:pPr>
        <w:pStyle w:val="88"/>
        <w:spacing w:before="0" w:beforeLines="0" w:after="312" w:afterLines="100"/>
        <w:ind w:left="4536" w:firstLine="0"/>
        <w:jc w:val="left"/>
      </w:pPr>
      <w:bookmarkStart w:id="305" w:name="_Toc118813828"/>
      <w:bookmarkStart w:id="306" w:name="_Toc142498875"/>
      <w:r>
        <w:t>Wa3</w:t>
      </w:r>
      <w:r>
        <w:rPr>
          <w:rFonts w:hint="eastAsia"/>
        </w:rPr>
        <w:t>（</w:t>
      </w:r>
      <w:r>
        <w:t>DC C）</w:t>
      </w:r>
      <w:bookmarkEnd w:id="305"/>
      <w:bookmarkEnd w:id="306"/>
    </w:p>
    <w:p>
      <w:pPr>
        <w:spacing w:line="240" w:lineRule="auto"/>
        <w:jc w:val="center"/>
        <w:rPr>
          <w:rFonts w:ascii="宋体" w:hAnsi="宋体"/>
          <w:b/>
          <w:bCs/>
        </w:rPr>
      </w:pPr>
      <w:r>
        <w:drawing>
          <wp:inline distT="0" distB="0" distL="0" distR="0">
            <wp:extent cx="5274310" cy="347535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5274310" cy="3475355"/>
                    </a:xfrm>
                    <a:prstGeom prst="rect">
                      <a:avLst/>
                    </a:prstGeom>
                  </pic:spPr>
                </pic:pic>
              </a:graphicData>
            </a:graphic>
          </wp:inline>
        </w:drawing>
      </w:r>
    </w:p>
    <w:p>
      <w:pPr>
        <w:pStyle w:val="88"/>
        <w:spacing w:before="0" w:beforeLines="0" w:after="312" w:afterLines="100"/>
        <w:ind w:left="4395" w:firstLine="0"/>
        <w:jc w:val="left"/>
      </w:pPr>
      <w:bookmarkStart w:id="307" w:name="_Toc142498876"/>
      <w:bookmarkStart w:id="308" w:name="_Toc118813829"/>
      <w:r>
        <w:t>Wa1</w:t>
      </w:r>
      <w:r>
        <w:rPr>
          <w:rFonts w:hint="eastAsia"/>
        </w:rPr>
        <w:t>（</w:t>
      </w:r>
      <w:r>
        <w:t>DPI）</w:t>
      </w:r>
      <w:bookmarkEnd w:id="307"/>
      <w:bookmarkEnd w:id="308"/>
    </w:p>
    <w:p>
      <w:pPr>
        <w:spacing w:line="240" w:lineRule="auto"/>
        <w:jc w:val="center"/>
        <w:rPr>
          <w:rFonts w:ascii="宋体" w:hAnsi="宋体"/>
          <w:b/>
          <w:bCs/>
        </w:rPr>
      </w:pPr>
      <w:r>
        <w:drawing>
          <wp:inline distT="0" distB="0" distL="0" distR="0">
            <wp:extent cx="5274310" cy="35198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5274310" cy="3519805"/>
                    </a:xfrm>
                    <a:prstGeom prst="rect">
                      <a:avLst/>
                    </a:prstGeom>
                  </pic:spPr>
                </pic:pic>
              </a:graphicData>
            </a:graphic>
          </wp:inline>
        </w:drawing>
      </w:r>
    </w:p>
    <w:p>
      <w:pPr>
        <w:pStyle w:val="88"/>
        <w:spacing w:before="0" w:beforeLines="0" w:after="312" w:afterLines="100"/>
        <w:ind w:left="4395" w:firstLine="0"/>
        <w:jc w:val="left"/>
      </w:pPr>
      <w:bookmarkStart w:id="309" w:name="_Toc142498877"/>
      <w:bookmarkStart w:id="310" w:name="_Toc118813830"/>
      <w:bookmarkStart w:id="311" w:name="_Hlk74833286"/>
      <w:r>
        <w:t>Wa2</w:t>
      </w:r>
      <w:r>
        <w:rPr>
          <w:rFonts w:hint="eastAsia"/>
        </w:rPr>
        <w:t>（</w:t>
      </w:r>
      <w:r>
        <w:t>DPI）</w:t>
      </w:r>
      <w:bookmarkEnd w:id="309"/>
      <w:bookmarkEnd w:id="310"/>
    </w:p>
    <w:bookmarkEnd w:id="311"/>
    <w:p>
      <w:pPr>
        <w:pStyle w:val="88"/>
        <w:numPr>
          <w:ilvl w:val="0"/>
          <w:numId w:val="0"/>
        </w:numPr>
        <w:spacing w:beforeLines="0" w:afterLines="0"/>
      </w:pPr>
      <w:bookmarkStart w:id="312" w:name="_Toc118813831"/>
      <w:bookmarkStart w:id="313" w:name="_Toc142498878"/>
      <w:r>
        <w:drawing>
          <wp:inline distT="0" distB="0" distL="0" distR="0">
            <wp:extent cx="4953000" cy="3275330"/>
            <wp:effectExtent l="0" t="0" r="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4957422" cy="3278487"/>
                    </a:xfrm>
                    <a:prstGeom prst="rect">
                      <a:avLst/>
                    </a:prstGeom>
                  </pic:spPr>
                </pic:pic>
              </a:graphicData>
            </a:graphic>
          </wp:inline>
        </w:drawing>
      </w:r>
      <w:bookmarkEnd w:id="312"/>
      <w:bookmarkEnd w:id="313"/>
    </w:p>
    <w:p>
      <w:pPr>
        <w:pStyle w:val="88"/>
        <w:spacing w:before="0" w:beforeLines="0" w:after="312" w:afterLines="100"/>
        <w:ind w:left="4395" w:firstLine="0"/>
        <w:jc w:val="left"/>
      </w:pPr>
      <w:bookmarkStart w:id="314" w:name="_Toc118813832"/>
      <w:bookmarkStart w:id="315" w:name="_Toc142498879"/>
      <w:r>
        <w:t>Wa2.5</w:t>
      </w:r>
      <w:r>
        <w:rPr>
          <w:rFonts w:hint="eastAsia"/>
        </w:rPr>
        <w:t>（</w:t>
      </w:r>
      <w:r>
        <w:t>DPI）</w:t>
      </w:r>
      <w:bookmarkEnd w:id="314"/>
      <w:bookmarkEnd w:id="315"/>
    </w:p>
    <w:p>
      <w:pPr>
        <w:pStyle w:val="61"/>
        <w:ind w:firstLine="0" w:firstLineChars="0"/>
        <w:jc w:val="center"/>
      </w:pPr>
      <w:r>
        <w:drawing>
          <wp:inline distT="0" distB="0" distL="0" distR="0">
            <wp:extent cx="4927600" cy="3238500"/>
            <wp:effectExtent l="0" t="0" r="635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930602" cy="3241071"/>
                    </a:xfrm>
                    <a:prstGeom prst="rect">
                      <a:avLst/>
                    </a:prstGeom>
                  </pic:spPr>
                </pic:pic>
              </a:graphicData>
            </a:graphic>
          </wp:inline>
        </w:drawing>
      </w:r>
    </w:p>
    <w:p>
      <w:pPr>
        <w:pStyle w:val="88"/>
        <w:spacing w:before="0" w:beforeLines="0" w:after="312" w:afterLines="100"/>
        <w:ind w:left="4820" w:firstLine="0"/>
        <w:jc w:val="left"/>
      </w:pPr>
      <w:bookmarkStart w:id="316" w:name="_Toc118813833"/>
      <w:bookmarkStart w:id="317" w:name="_Toc142498880"/>
      <w:r>
        <w:t>Wa3</w:t>
      </w:r>
      <w:r>
        <w:rPr>
          <w:rFonts w:hint="eastAsia"/>
        </w:rPr>
        <w:t>（</w:t>
      </w:r>
      <w:r>
        <w:t>DPI）</w:t>
      </w:r>
      <w:bookmarkEnd w:id="316"/>
      <w:bookmarkEnd w:id="317"/>
    </w:p>
    <w:p>
      <w:pPr>
        <w:spacing w:line="240" w:lineRule="auto"/>
        <w:jc w:val="center"/>
        <w:rPr>
          <w:rFonts w:ascii="黑体" w:hAnsi="黑体" w:eastAsia="黑体"/>
          <w:bCs/>
        </w:rPr>
      </w:pPr>
      <w:r>
        <w:rPr>
          <w:rFonts w:ascii="黑体" w:hAnsi="黑体" w:eastAsia="黑体"/>
        </w:rPr>
        <w:drawing>
          <wp:inline distT="0" distB="0" distL="0" distR="0">
            <wp:extent cx="4752340" cy="3409315"/>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40">
                      <a:extLst>
                        <a:ext uri="{28A0092B-C50C-407E-A947-70E740481C1C}">
                          <a14:useLocalDpi xmlns:a14="http://schemas.microsoft.com/office/drawing/2010/main" val="0"/>
                        </a:ext>
                      </a:extLst>
                    </a:blip>
                    <a:stretch>
                      <a:fillRect/>
                    </a:stretch>
                  </pic:blipFill>
                  <pic:spPr>
                    <a:xfrm>
                      <a:off x="0" y="0"/>
                      <a:ext cx="4757309" cy="3412922"/>
                    </a:xfrm>
                    <a:prstGeom prst="rect">
                      <a:avLst/>
                    </a:prstGeom>
                  </pic:spPr>
                </pic:pic>
              </a:graphicData>
            </a:graphic>
          </wp:inline>
        </w:drawing>
      </w:r>
    </w:p>
    <w:p>
      <w:pPr>
        <w:pStyle w:val="88"/>
        <w:spacing w:before="0" w:beforeLines="0" w:after="312" w:afterLines="100"/>
        <w:ind w:left="4678" w:firstLine="0"/>
        <w:jc w:val="left"/>
      </w:pPr>
      <w:bookmarkStart w:id="318" w:name="_Toc142498881"/>
      <w:bookmarkStart w:id="319" w:name="_Toc118813834"/>
      <w:r>
        <w:t>Wa1</w:t>
      </w:r>
      <w:r>
        <w:rPr>
          <w:rFonts w:hint="eastAsia"/>
        </w:rPr>
        <w:t>（</w:t>
      </w:r>
      <w:r>
        <w:t>DP Z）</w:t>
      </w:r>
      <w:bookmarkEnd w:id="318"/>
      <w:bookmarkEnd w:id="319"/>
    </w:p>
    <w:p>
      <w:pPr>
        <w:pStyle w:val="88"/>
        <w:numPr>
          <w:ilvl w:val="0"/>
          <w:numId w:val="0"/>
        </w:numPr>
        <w:spacing w:beforeLines="0" w:afterLines="0"/>
      </w:pPr>
      <w:bookmarkStart w:id="320" w:name="_Toc142498882"/>
      <w:bookmarkStart w:id="321" w:name="_Toc118813835"/>
      <w:bookmarkStart w:id="322" w:name="_Hlk74833806"/>
      <w:r>
        <w:drawing>
          <wp:inline distT="0" distB="0" distL="0" distR="0">
            <wp:extent cx="4831715" cy="3230880"/>
            <wp:effectExtent l="0" t="0" r="6985"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4835792" cy="3234146"/>
                    </a:xfrm>
                    <a:prstGeom prst="rect">
                      <a:avLst/>
                    </a:prstGeom>
                  </pic:spPr>
                </pic:pic>
              </a:graphicData>
            </a:graphic>
          </wp:inline>
        </w:drawing>
      </w:r>
      <w:bookmarkEnd w:id="320"/>
      <w:bookmarkEnd w:id="321"/>
    </w:p>
    <w:p>
      <w:pPr>
        <w:pStyle w:val="88"/>
        <w:spacing w:before="0" w:beforeLines="0" w:after="312" w:afterLines="100"/>
        <w:ind w:left="4395" w:firstLine="0"/>
        <w:jc w:val="left"/>
      </w:pPr>
      <w:bookmarkStart w:id="323" w:name="_Toc118813836"/>
      <w:bookmarkStart w:id="324" w:name="_Toc142498883"/>
      <w:r>
        <w:t>Wa2</w:t>
      </w:r>
      <w:r>
        <w:rPr>
          <w:rFonts w:hint="eastAsia"/>
        </w:rPr>
        <w:t>（</w:t>
      </w:r>
      <w:r>
        <w:t>DP Z）</w:t>
      </w:r>
      <w:bookmarkEnd w:id="323"/>
      <w:bookmarkEnd w:id="324"/>
    </w:p>
    <w:bookmarkEnd w:id="322"/>
    <w:p>
      <w:pPr>
        <w:spacing w:line="240" w:lineRule="auto"/>
        <w:jc w:val="center"/>
        <w:rPr>
          <w:rFonts w:ascii="宋体" w:hAnsi="宋体"/>
          <w:b/>
          <w:bCs/>
        </w:rPr>
      </w:pPr>
      <w:r>
        <w:drawing>
          <wp:inline distT="0" distB="0" distL="0" distR="0">
            <wp:extent cx="4444365" cy="31502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4454681" cy="3157857"/>
                    </a:xfrm>
                    <a:prstGeom prst="rect">
                      <a:avLst/>
                    </a:prstGeom>
                  </pic:spPr>
                </pic:pic>
              </a:graphicData>
            </a:graphic>
          </wp:inline>
        </w:drawing>
      </w:r>
    </w:p>
    <w:p>
      <w:pPr>
        <w:pStyle w:val="88"/>
        <w:spacing w:before="0" w:beforeLines="0" w:after="312" w:afterLines="100"/>
        <w:ind w:left="3969"/>
        <w:jc w:val="left"/>
      </w:pPr>
      <w:bookmarkStart w:id="325" w:name="_Toc118813837"/>
      <w:bookmarkStart w:id="326" w:name="_Toc142498884"/>
      <w:r>
        <w:t>Wa2.5</w:t>
      </w:r>
      <w:r>
        <w:rPr>
          <w:rFonts w:hint="eastAsia"/>
        </w:rPr>
        <w:t>（</w:t>
      </w:r>
      <w:r>
        <w:t>DP Z）</w:t>
      </w:r>
      <w:bookmarkEnd w:id="325"/>
      <w:bookmarkEnd w:id="326"/>
    </w:p>
    <w:p>
      <w:pPr>
        <w:spacing w:line="240" w:lineRule="auto"/>
        <w:jc w:val="center"/>
        <w:rPr>
          <w:rFonts w:ascii="宋体" w:hAnsi="宋体"/>
          <w:b/>
          <w:bCs/>
        </w:rPr>
      </w:pPr>
      <w:r>
        <w:drawing>
          <wp:inline distT="0" distB="0" distL="0" distR="0">
            <wp:extent cx="4626610" cy="3288665"/>
            <wp:effectExtent l="0" t="0" r="2540" b="698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0" y="0"/>
                      <a:ext cx="4635874" cy="3295232"/>
                    </a:xfrm>
                    <a:prstGeom prst="rect">
                      <a:avLst/>
                    </a:prstGeom>
                  </pic:spPr>
                </pic:pic>
              </a:graphicData>
            </a:graphic>
          </wp:inline>
        </w:drawing>
      </w:r>
    </w:p>
    <w:p>
      <w:pPr>
        <w:pStyle w:val="88"/>
        <w:spacing w:before="156" w:after="156"/>
      </w:pPr>
      <w:bookmarkStart w:id="327" w:name="_Toc142498885"/>
      <w:bookmarkStart w:id="328" w:name="_Toc118813838"/>
      <w:r>
        <w:t>Wa3</w:t>
      </w:r>
      <w:r>
        <w:rPr>
          <w:rFonts w:hint="eastAsia"/>
        </w:rPr>
        <w:t>（</w:t>
      </w:r>
      <w:r>
        <w:t>DP Z）</w:t>
      </w:r>
      <w:bookmarkEnd w:id="327"/>
      <w:bookmarkEnd w:id="328"/>
    </w:p>
    <w:p>
      <w:pPr>
        <w:pStyle w:val="61"/>
        <w:ind w:firstLine="420"/>
      </w:pPr>
    </w:p>
    <w:p>
      <w:pPr>
        <w:pStyle w:val="61"/>
        <w:ind w:firstLine="420"/>
      </w:pPr>
    </w:p>
    <w:p>
      <w:pPr>
        <w:pStyle w:val="61"/>
        <w:ind w:firstLine="420"/>
        <w:sectPr>
          <w:pgSz w:w="11906" w:h="16838"/>
          <w:pgMar w:top="2410" w:right="1134" w:bottom="1134" w:left="1134" w:header="1418" w:footer="1134" w:gutter="284"/>
          <w:cols w:space="425" w:num="1"/>
          <w:formProt w:val="0"/>
          <w:docGrid w:type="lines" w:linePitch="312" w:charSpace="0"/>
        </w:sectPr>
      </w:pPr>
    </w:p>
    <w:p>
      <w:pPr>
        <w:pStyle w:val="203"/>
        <w:rPr>
          <w:vanish w:val="0"/>
        </w:rPr>
      </w:pPr>
    </w:p>
    <w:p>
      <w:pPr>
        <w:pStyle w:val="204"/>
        <w:rPr>
          <w:vanish w:val="0"/>
        </w:rPr>
      </w:pPr>
    </w:p>
    <w:p>
      <w:pPr>
        <w:pStyle w:val="81"/>
        <w:spacing w:before="78" w:after="156"/>
      </w:pPr>
      <w:bookmarkStart w:id="329" w:name="_Toc159942471"/>
      <w:bookmarkStart w:id="330" w:name="_Toc159937685"/>
    </w:p>
    <w:p>
      <w:pPr>
        <w:pStyle w:val="81"/>
        <w:spacing w:before="78" w:after="156"/>
      </w:pPr>
      <w:r>
        <w:rPr>
          <w:rFonts w:hint="eastAsia"/>
        </w:rPr>
        <w:t>（资料性）</w:t>
      </w:r>
    </w:p>
    <w:p>
      <w:pPr>
        <w:pStyle w:val="81"/>
        <w:spacing w:before="78" w:after="156"/>
      </w:pPr>
      <w:r>
        <w:rPr>
          <w:rFonts w:hint="eastAsia"/>
        </w:rPr>
        <w:t>闪锈等级的典型样板照片</w:t>
      </w:r>
      <w:bookmarkEnd w:id="329"/>
      <w:bookmarkEnd w:id="330"/>
    </w:p>
    <w:p>
      <w:pPr>
        <w:pStyle w:val="83"/>
        <w:spacing w:before="156" w:after="156"/>
      </w:pPr>
      <w:bookmarkStart w:id="331" w:name="_Toc159937686"/>
      <w:bookmarkStart w:id="332" w:name="_Toc159942472"/>
      <w:bookmarkStart w:id="333" w:name="_Toc142498853"/>
      <w:bookmarkStart w:id="334" w:name="_Toc118813806"/>
      <w:r>
        <w:rPr>
          <w:rFonts w:hint="eastAsia"/>
        </w:rPr>
        <w:t>闪锈等级的典型样本</w:t>
      </w:r>
      <w:r>
        <w:t>照片</w:t>
      </w:r>
      <w:bookmarkEnd w:id="331"/>
      <w:bookmarkEnd w:id="332"/>
      <w:bookmarkEnd w:id="333"/>
      <w:bookmarkEnd w:id="334"/>
    </w:p>
    <w:p>
      <w:pPr>
        <w:pStyle w:val="61"/>
        <w:ind w:firstLine="420"/>
      </w:pPr>
      <w:r>
        <w:rPr>
          <w:rFonts w:hint="eastAsia"/>
        </w:rPr>
        <w:t>闪锈等级的</w:t>
      </w:r>
      <w:r>
        <w:rPr>
          <w:rFonts w:ascii="Times New Roman"/>
        </w:rPr>
        <w:t>典型样板照片</w:t>
      </w:r>
      <w:r>
        <w:rPr>
          <w:rFonts w:hint="eastAsia"/>
        </w:rPr>
        <w:t>如下图所示。</w:t>
      </w:r>
    </w:p>
    <w:p>
      <w:pPr>
        <w:pStyle w:val="235"/>
        <w:spacing w:before="120" w:after="120"/>
        <w:ind w:firstLine="0" w:firstLineChars="0"/>
        <w:jc w:val="center"/>
      </w:pPr>
      <w:r>
        <w:drawing>
          <wp:inline distT="0" distB="0" distL="0" distR="0">
            <wp:extent cx="2377440" cy="2099945"/>
            <wp:effectExtent l="0" t="0" r="3810" b="0"/>
            <wp:docPr id="1471841499" name="图片 1471841499" descr="躺在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1841499" name="图片 1471841499" descr="躺在地上&#10;&#10;中度可信度描述已自动生成"/>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383534" cy="2105864"/>
                    </a:xfrm>
                    <a:prstGeom prst="rect">
                      <a:avLst/>
                    </a:prstGeom>
                    <a:noFill/>
                    <a:ln>
                      <a:noFill/>
                    </a:ln>
                  </pic:spPr>
                </pic:pic>
              </a:graphicData>
            </a:graphic>
          </wp:inline>
        </w:drawing>
      </w:r>
    </w:p>
    <w:p>
      <w:pPr>
        <w:pStyle w:val="88"/>
        <w:spacing w:before="156" w:after="156"/>
      </w:pPr>
      <w:bookmarkStart w:id="335" w:name="_Toc118813839"/>
      <w:bookmarkStart w:id="336" w:name="_Toc142498886"/>
      <w:r>
        <w:rPr>
          <w:rFonts w:hint="eastAsia"/>
        </w:rPr>
        <w:t>轻度闪锈L</w:t>
      </w:r>
      <w:r>
        <w:t xml:space="preserve"> </w:t>
      </w:r>
      <w:r>
        <w:rPr>
          <w:rFonts w:hint="eastAsia"/>
        </w:rPr>
        <w:t>(F</w:t>
      </w:r>
      <w:r>
        <w:t>R-1</w:t>
      </w:r>
      <w:r>
        <w:rPr>
          <w:rFonts w:hint="eastAsia"/>
        </w:rPr>
        <w:t>)</w:t>
      </w:r>
      <w:bookmarkEnd w:id="335"/>
      <w:bookmarkEnd w:id="336"/>
    </w:p>
    <w:p>
      <w:pPr>
        <w:pStyle w:val="235"/>
        <w:spacing w:before="120" w:after="120"/>
        <w:ind w:firstLine="0" w:firstLineChars="0"/>
        <w:jc w:val="center"/>
      </w:pPr>
      <w:r>
        <w:rPr>
          <w:rFonts w:hint="eastAsia"/>
        </w:rPr>
        <w:drawing>
          <wp:inline distT="0" distB="0" distL="0" distR="0">
            <wp:extent cx="2345055" cy="2070100"/>
            <wp:effectExtent l="0" t="0" r="0" b="6350"/>
            <wp:docPr id="4" name="图片 4" descr="砖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砖地上&#10;&#10;中度可信度描述已自动生成"/>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2352272" cy="2076043"/>
                    </a:xfrm>
                    <a:prstGeom prst="rect">
                      <a:avLst/>
                    </a:prstGeom>
                    <a:noFill/>
                    <a:ln>
                      <a:noFill/>
                    </a:ln>
                  </pic:spPr>
                </pic:pic>
              </a:graphicData>
            </a:graphic>
          </wp:inline>
        </w:drawing>
      </w:r>
    </w:p>
    <w:p>
      <w:pPr>
        <w:pStyle w:val="88"/>
        <w:spacing w:before="156" w:after="156"/>
      </w:pPr>
      <w:bookmarkStart w:id="337" w:name="_Toc142498887"/>
      <w:bookmarkStart w:id="338" w:name="_Toc118813840"/>
      <w:r>
        <w:rPr>
          <w:rFonts w:hint="eastAsia"/>
        </w:rPr>
        <w:t>中度闪锈</w:t>
      </w:r>
      <w:r>
        <w:t xml:space="preserve">M </w:t>
      </w:r>
      <w:r>
        <w:rPr>
          <w:rFonts w:hint="eastAsia"/>
        </w:rPr>
        <w:t>(F</w:t>
      </w:r>
      <w:r>
        <w:t>R-2</w:t>
      </w:r>
      <w:r>
        <w:rPr>
          <w:rFonts w:hint="eastAsia"/>
        </w:rPr>
        <w:t>)</w:t>
      </w:r>
      <w:bookmarkEnd w:id="337"/>
      <w:bookmarkEnd w:id="338"/>
    </w:p>
    <w:p>
      <w:pPr>
        <w:pStyle w:val="235"/>
        <w:spacing w:before="120" w:after="120"/>
        <w:ind w:firstLine="0" w:firstLineChars="0"/>
        <w:jc w:val="center"/>
      </w:pPr>
      <w:r>
        <w:drawing>
          <wp:inline distT="0" distB="0" distL="0" distR="0">
            <wp:extent cx="2289810" cy="2006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293871" cy="2010630"/>
                    </a:xfrm>
                    <a:prstGeom prst="rect">
                      <a:avLst/>
                    </a:prstGeom>
                    <a:noFill/>
                    <a:ln>
                      <a:noFill/>
                    </a:ln>
                  </pic:spPr>
                </pic:pic>
              </a:graphicData>
            </a:graphic>
          </wp:inline>
        </w:drawing>
      </w:r>
    </w:p>
    <w:p>
      <w:pPr>
        <w:pStyle w:val="88"/>
        <w:spacing w:before="156" w:after="156"/>
      </w:pPr>
      <w:bookmarkStart w:id="339" w:name="_Toc142498888"/>
      <w:bookmarkStart w:id="340" w:name="_Toc118813841"/>
      <w:r>
        <w:rPr>
          <w:rFonts w:hint="eastAsia"/>
        </w:rPr>
        <w:t>重度闪锈</w:t>
      </w:r>
      <w:r>
        <w:t xml:space="preserve">H </w:t>
      </w:r>
      <w:r>
        <w:rPr>
          <w:rFonts w:hint="eastAsia"/>
        </w:rPr>
        <w:t>(F</w:t>
      </w:r>
      <w:r>
        <w:t>R-3</w:t>
      </w:r>
      <w:r>
        <w:rPr>
          <w:rFonts w:hint="eastAsia"/>
        </w:rPr>
        <w:t>)</w:t>
      </w:r>
      <w:bookmarkEnd w:id="339"/>
      <w:bookmarkEnd w:id="340"/>
    </w:p>
    <w:p>
      <w:pPr>
        <w:pStyle w:val="61"/>
        <w:ind w:firstLine="420"/>
      </w:pPr>
    </w:p>
    <w:p>
      <w:pPr>
        <w:pStyle w:val="61"/>
        <w:ind w:firstLine="420"/>
      </w:pPr>
    </w:p>
    <w:p>
      <w:pPr>
        <w:pStyle w:val="61"/>
        <w:ind w:firstLine="420"/>
      </w:pPr>
    </w:p>
    <w:p>
      <w:pPr>
        <w:pStyle w:val="61"/>
        <w:ind w:firstLine="420"/>
      </w:pPr>
    </w:p>
    <w:p>
      <w:pPr>
        <w:pStyle w:val="61"/>
        <w:ind w:firstLine="420"/>
      </w:pPr>
    </w:p>
    <w:p>
      <w:pPr>
        <w:pStyle w:val="61"/>
        <w:ind w:firstLine="420"/>
        <w:sectPr>
          <w:pgSz w:w="11906" w:h="16838"/>
          <w:pgMar w:top="2410" w:right="1134" w:bottom="1134" w:left="1134" w:header="1418" w:footer="1134" w:gutter="284"/>
          <w:cols w:space="425" w:num="1"/>
          <w:formProt w:val="0"/>
          <w:docGrid w:type="lines" w:linePitch="312" w:charSpace="0"/>
        </w:sectPr>
      </w:pPr>
    </w:p>
    <w:p>
      <w:pPr>
        <w:pStyle w:val="203"/>
        <w:rPr>
          <w:vanish w:val="0"/>
        </w:rPr>
      </w:pPr>
    </w:p>
    <w:p>
      <w:pPr>
        <w:pStyle w:val="204"/>
        <w:rPr>
          <w:vanish w:val="0"/>
        </w:rPr>
      </w:pPr>
    </w:p>
    <w:p>
      <w:pPr>
        <w:pStyle w:val="81"/>
        <w:spacing w:before="78" w:after="156"/>
      </w:pPr>
      <w:bookmarkStart w:id="341" w:name="_Toc159937687"/>
      <w:bookmarkStart w:id="342" w:name="_Toc159942473"/>
    </w:p>
    <w:p>
      <w:pPr>
        <w:pStyle w:val="81"/>
        <w:spacing w:before="78" w:after="156"/>
      </w:pPr>
      <w:r>
        <w:rPr>
          <w:rFonts w:hint="eastAsia"/>
        </w:rPr>
        <w:t>（资料性）</w:t>
      </w:r>
    </w:p>
    <w:p>
      <w:pPr>
        <w:pStyle w:val="81"/>
        <w:spacing w:before="78" w:after="156"/>
      </w:pPr>
      <w:r>
        <w:rPr>
          <w:rFonts w:hint="eastAsia"/>
        </w:rPr>
        <w:t>典型的工艺流程图</w:t>
      </w:r>
      <w:bookmarkEnd w:id="341"/>
      <w:bookmarkEnd w:id="342"/>
    </w:p>
    <w:p>
      <w:pPr>
        <w:pStyle w:val="61"/>
        <w:ind w:firstLine="420"/>
        <w:jc w:val="center"/>
      </w:pPr>
      <w:r>
        <w:drawing>
          <wp:inline distT="0" distB="0" distL="0" distR="0">
            <wp:extent cx="2388235" cy="5110480"/>
            <wp:effectExtent l="0" t="0" r="0" b="0"/>
            <wp:docPr id="1784602793" name="图片 178460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602793" name="图片 1784602793"/>
                    <pic:cNvPicPr>
                      <a:picLocks noChangeAspect="1"/>
                    </pic:cNvPicPr>
                  </pic:nvPicPr>
                  <pic:blipFill>
                    <a:blip r:embed="rId47"/>
                    <a:stretch>
                      <a:fillRect/>
                    </a:stretch>
                  </pic:blipFill>
                  <pic:spPr>
                    <a:xfrm>
                      <a:off x="0" y="0"/>
                      <a:ext cx="2416922" cy="5171365"/>
                    </a:xfrm>
                    <a:prstGeom prst="rect">
                      <a:avLst/>
                    </a:prstGeom>
                  </pic:spPr>
                </pic:pic>
              </a:graphicData>
            </a:graphic>
          </wp:inline>
        </w:drawing>
      </w:r>
    </w:p>
    <w:p>
      <w:pPr>
        <w:pStyle w:val="203"/>
      </w:pPr>
      <w:r>
        <w:rPr>
          <w:rFonts w:hint="eastAsia"/>
        </w:rPr>
        <w:t>典型的工艺流程图</w:t>
      </w:r>
    </w:p>
    <w:p>
      <w:pPr>
        <w:pStyle w:val="203"/>
      </w:pPr>
      <w:r>
        <w:rPr>
          <w:rFonts w:hint="eastAsia"/>
        </w:rPr>
        <w:t>典型的工艺流程图</w:t>
      </w:r>
    </w:p>
    <w:p>
      <w:pPr>
        <w:pStyle w:val="88"/>
        <w:spacing w:before="156" w:after="156"/>
      </w:pPr>
      <w:r>
        <w:rPr>
          <w:rFonts w:hint="eastAsia"/>
        </w:rPr>
        <w:t>典型工艺流程图</w:t>
      </w:r>
    </w:p>
    <w:p>
      <w:pPr>
        <w:pStyle w:val="61"/>
        <w:ind w:firstLine="420"/>
      </w:pPr>
    </w:p>
    <w:p>
      <w:pPr>
        <w:pStyle w:val="61"/>
        <w:ind w:firstLine="420"/>
      </w:pPr>
    </w:p>
    <w:p>
      <w:pPr>
        <w:pStyle w:val="61"/>
        <w:ind w:firstLine="420"/>
        <w:jc w:val="center"/>
      </w:pPr>
      <w:bookmarkStart w:id="343" w:name="BookMark8"/>
      <w:r>
        <w:drawing>
          <wp:inline distT="0" distB="0" distL="0" distR="0">
            <wp:extent cx="1485900" cy="317500"/>
            <wp:effectExtent l="0" t="0" r="0" b="6350"/>
            <wp:docPr id="10" name="图片 10"/>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48">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233"/>
      <w:bookmarkEnd w:id="343"/>
    </w:p>
    <w:sectPr>
      <w:pgSz w:w="11906" w:h="16838"/>
      <w:pgMar w:top="2410"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Light">
    <w:altName w:val="宋体"/>
    <w:panose1 w:val="02010600030101010101"/>
    <w:charset w:val="86"/>
    <w:family w:val="auto"/>
    <w:pitch w:val="default"/>
    <w:sig w:usb0="00000000" w:usb1="00000000" w:usb2="00000016" w:usb3="00000000" w:csb0="0004000F" w:csb1="00000000"/>
  </w:font>
  <w:font w:name="Cambria Math">
    <w:panose1 w:val="02040503050406030204"/>
    <w:charset w:val="00"/>
    <w:family w:val="roman"/>
    <w:pitch w:val="default"/>
    <w:sig w:usb0="E00002FF" w:usb1="420024FF" w:usb2="00000000" w:usb3="00000000" w:csb0="2000019F" w:csb1="00000000"/>
  </w:font>
  <w:font w:name="等线">
    <w:altName w:val="Arial Unicode MS"/>
    <w:panose1 w:val="00000000000000000000"/>
    <w:charset w:val="00"/>
    <w:family w:val="auto"/>
    <w:pitch w:val="default"/>
    <w:sig w:usb0="00000000" w:usb1="00000000" w:usb2="00000000" w:usb3="00000000" w:csb0="0000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pPr>
    <w:r>
      <w:fldChar w:fldCharType="begin"/>
    </w:r>
    <w:r>
      <w:instrText xml:space="preserve">PAGE   \* MERGEFORMAT</w:instrText>
    </w:r>
    <w:r>
      <w:fldChar w:fldCharType="separate"/>
    </w:r>
    <w:r>
      <w:rPr>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76877840"/>
      <w:docPartObj>
        <w:docPartGallery w:val="autotext"/>
      </w:docPartObj>
    </w:sdtPr>
    <w:sdtContent>
      <w:p>
        <w:pPr>
          <w:pStyle w:val="19"/>
        </w:pPr>
        <w:r>
          <w:fldChar w:fldCharType="begin"/>
        </w:r>
        <w:r>
          <w:instrText xml:space="preserve">PAGE   \* MERGEFORMAT</w:instrText>
        </w:r>
        <w:r>
          <w:fldChar w:fldCharType="separate"/>
        </w:r>
        <w:r>
          <w:rPr>
            <w:lang w:val="zh-CN"/>
          </w:rPr>
          <w:t>III</w:t>
        </w:r>
        <w:r>
          <w:fldChar w:fldCharType="end"/>
        </w:r>
      </w:p>
    </w:sdtContent>
  </w:sdt>
  <w:p>
    <w:pPr>
      <w:pStyle w:val="5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23793203"/>
      <w:docPartObj>
        <w:docPartGallery w:val="autotext"/>
      </w:docPartObj>
    </w:sdtPr>
    <w:sdtContent>
      <w:p>
        <w:pPr>
          <w:pStyle w:val="19"/>
        </w:pPr>
        <w:r>
          <w:fldChar w:fldCharType="begin"/>
        </w:r>
        <w:r>
          <w:instrText xml:space="preserve">PAGE   \* MERGEFORMAT</w:instrText>
        </w:r>
        <w:r>
          <w:fldChar w:fldCharType="separate"/>
        </w:r>
        <w:r>
          <w:rPr>
            <w:lang w:val="zh-CN"/>
          </w:rPr>
          <w:t>17</w:t>
        </w:r>
        <w:r>
          <w:fldChar w:fldCharType="end"/>
        </w:r>
      </w:p>
    </w:sdtContent>
  </w:sdt>
  <w:p>
    <w:pPr>
      <w:pStyle w:val="5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6"/>
      <w:tabs>
        <w:tab w:val="left" w:pos="1260"/>
        <w:tab w:val="right" w:pos="9354"/>
      </w:tabs>
      <w:jc w:val="left"/>
    </w:pPr>
    <w:r>
      <w:tab/>
    </w:r>
    <w:r>
      <w:tab/>
    </w:r>
    <w:r>
      <w:tab/>
    </w:r>
    <w:r>
      <w:fldChar w:fldCharType="begin"/>
    </w:r>
    <w:r>
      <w:instrText xml:space="preserve"> STYLEREF  标准文件_文件编号  \* MERGEFORMAT </w:instrText>
    </w:r>
    <w:r>
      <w:fldChar w:fldCharType="separate"/>
    </w:r>
    <w:r>
      <w:t>DB 32/T XXXX—XXXX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32/T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9"/>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64"/>
      <w:suff w:val="nothing"/>
      <w:lvlText w:val="%1%2.%3　"/>
      <w:lvlJc w:val="left"/>
      <w:pPr>
        <w:ind w:left="0" w:firstLine="0"/>
      </w:pPr>
    </w:lvl>
    <w:lvl w:ilvl="3" w:tentative="0">
      <w:start w:val="1"/>
      <w:numFmt w:val="decimal"/>
      <w:pStyle w:val="123"/>
      <w:suff w:val="nothing"/>
      <w:lvlText w:val="%1%2.%3.%4　"/>
      <w:lvlJc w:val="left"/>
      <w:pPr>
        <w:ind w:left="0" w:firstLine="0"/>
      </w:pPr>
    </w:lvl>
    <w:lvl w:ilvl="4" w:tentative="0">
      <w:start w:val="1"/>
      <w:numFmt w:val="decimal"/>
      <w:pStyle w:val="158"/>
      <w:suff w:val="nothing"/>
      <w:lvlText w:val="%1%2.%3.%4.%5　"/>
      <w:lvlJc w:val="left"/>
      <w:pPr>
        <w:ind w:left="0" w:firstLine="0"/>
      </w:pPr>
    </w:lvl>
    <w:lvl w:ilvl="5" w:tentative="0">
      <w:start w:val="1"/>
      <w:numFmt w:val="decimal"/>
      <w:pStyle w:val="160"/>
      <w:suff w:val="nothing"/>
      <w:lvlText w:val="%1%2.%3.%4.%5.%6　"/>
      <w:lvlJc w:val="left"/>
      <w:pPr>
        <w:ind w:left="0" w:firstLine="0"/>
      </w:pPr>
    </w:lvl>
    <w:lvl w:ilvl="6" w:tentative="0">
      <w:start w:val="1"/>
      <w:numFmt w:val="decimal"/>
      <w:pStyle w:val="163"/>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5"/>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94"/>
      <w:lvlText w:val="%1"/>
      <w:lvlJc w:val="left"/>
      <w:pPr>
        <w:ind w:left="425" w:hanging="425"/>
      </w:pPr>
      <w:rPr>
        <w:rFonts w:hint="eastAsia"/>
      </w:rPr>
    </w:lvl>
    <w:lvl w:ilvl="1" w:tentative="0">
      <w:start w:val="1"/>
      <w:numFmt w:val="decimal"/>
      <w:pStyle w:val="205"/>
      <w:suff w:val="nothing"/>
      <w:lvlText w:val="%10.%2 "/>
      <w:lvlJc w:val="left"/>
      <w:pPr>
        <w:ind w:left="0" w:firstLine="0"/>
      </w:pPr>
      <w:rPr>
        <w:rFonts w:hint="eastAsia" w:ascii="黑体" w:eastAsia="黑体" w:hAnsiTheme="minorHAnsi"/>
        <w:b w:val="0"/>
        <w:i w:val="0"/>
        <w:sz w:val="21"/>
      </w:rPr>
    </w:lvl>
    <w:lvl w:ilvl="2" w:tentative="0">
      <w:start w:val="1"/>
      <w:numFmt w:val="decimal"/>
      <w:pStyle w:val="206"/>
      <w:suff w:val="nothing"/>
      <w:lvlText w:val="%10.%2.%3 "/>
      <w:lvlJc w:val="left"/>
      <w:pPr>
        <w:ind w:left="0" w:firstLine="0"/>
      </w:pPr>
      <w:rPr>
        <w:rFonts w:hint="eastAsia" w:ascii="黑体" w:eastAsia="黑体" w:hAnsiTheme="minorHAnsi"/>
        <w:b w:val="0"/>
        <w:i w:val="0"/>
        <w:sz w:val="21"/>
      </w:rPr>
    </w:lvl>
    <w:lvl w:ilvl="3" w:tentative="0">
      <w:start w:val="1"/>
      <w:numFmt w:val="decimal"/>
      <w:pStyle w:val="207"/>
      <w:suff w:val="nothing"/>
      <w:lvlText w:val="%10.%2.%3.%4 "/>
      <w:lvlJc w:val="left"/>
      <w:pPr>
        <w:ind w:left="0" w:firstLine="0"/>
      </w:pPr>
      <w:rPr>
        <w:rFonts w:hint="eastAsia" w:ascii="黑体" w:eastAsia="黑体" w:hAnsiTheme="minorHAnsi"/>
        <w:b w:val="0"/>
        <w:i w:val="0"/>
        <w:sz w:val="21"/>
      </w:rPr>
    </w:lvl>
    <w:lvl w:ilvl="4" w:tentative="0">
      <w:start w:val="1"/>
      <w:numFmt w:val="decimal"/>
      <w:pStyle w:val="208"/>
      <w:suff w:val="nothing"/>
      <w:lvlText w:val="%10.%2.%3.%4.%5 "/>
      <w:lvlJc w:val="left"/>
      <w:pPr>
        <w:ind w:left="0" w:firstLine="0"/>
      </w:pPr>
      <w:rPr>
        <w:rFonts w:hint="eastAsia" w:ascii="黑体" w:eastAsia="黑体" w:hAnsiTheme="minorHAnsi"/>
        <w:b w:val="0"/>
        <w:i w:val="0"/>
        <w:sz w:val="21"/>
      </w:rPr>
    </w:lvl>
    <w:lvl w:ilvl="5" w:tentative="0">
      <w:start w:val="1"/>
      <w:numFmt w:val="decimal"/>
      <w:pStyle w:val="209"/>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6"/>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72"/>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74"/>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0D983844"/>
    <w:multiLevelType w:val="multilevel"/>
    <w:tmpl w:val="0D983844"/>
    <w:lvl w:ilvl="0" w:tentative="0">
      <w:start w:val="1"/>
      <w:numFmt w:val="decimal"/>
      <w:pStyle w:val="245"/>
      <w:suff w:val="nothing"/>
      <w:lvlText w:val="图%1　"/>
      <w:lvlJc w:val="left"/>
      <w:pPr>
        <w:ind w:left="3402"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8">
    <w:nsid w:val="1AD20F90"/>
    <w:multiLevelType w:val="multilevel"/>
    <w:tmpl w:val="1AD20F90"/>
    <w:lvl w:ilvl="0" w:tentative="0">
      <w:start w:val="1"/>
      <w:numFmt w:val="none"/>
      <w:pStyle w:val="115"/>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9">
    <w:nsid w:val="1AF15012"/>
    <w:multiLevelType w:val="multilevel"/>
    <w:tmpl w:val="1AF15012"/>
    <w:lvl w:ilvl="0" w:tentative="0">
      <w:start w:val="1"/>
      <w:numFmt w:val="upperLetter"/>
      <w:pStyle w:val="90"/>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10">
    <w:nsid w:val="1EAA1992"/>
    <w:multiLevelType w:val="multilevel"/>
    <w:tmpl w:val="1EAA1992"/>
    <w:lvl w:ilvl="0" w:tentative="0">
      <w:start w:val="1"/>
      <w:numFmt w:val="none"/>
      <w:pStyle w:val="97"/>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1">
    <w:nsid w:val="1FC91163"/>
    <w:multiLevelType w:val="multilevel"/>
    <w:tmpl w:val="1FC91163"/>
    <w:lvl w:ilvl="0" w:tentative="0">
      <w:start w:val="1"/>
      <w:numFmt w:val="decimal"/>
      <w:pStyle w:val="238"/>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237"/>
      <w:suff w:val="nothing"/>
      <w:lvlText w:val="%1.%2　"/>
      <w:lvlJc w:val="left"/>
      <w:pPr>
        <w:ind w:left="0"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239"/>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pStyle w:val="240"/>
      <w:suff w:val="nothing"/>
      <w:lvlText w:val="%1.%2.%3.%4.%5　"/>
      <w:lvlJc w:val="left"/>
      <w:pPr>
        <w:ind w:left="0" w:firstLine="0"/>
      </w:pPr>
      <w:rPr>
        <w:rFonts w:hint="eastAsia" w:ascii="黑体" w:hAnsi="Times New Roman" w:eastAsia="黑体"/>
        <w:b w:val="0"/>
        <w:i w:val="0"/>
        <w:sz w:val="21"/>
      </w:rPr>
    </w:lvl>
    <w:lvl w:ilvl="5" w:tentative="0">
      <w:start w:val="1"/>
      <w:numFmt w:val="decimal"/>
      <w:pStyle w:val="241"/>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12">
    <w:nsid w:val="2C5917C3"/>
    <w:multiLevelType w:val="multilevel"/>
    <w:tmpl w:val="2C5917C3"/>
    <w:lvl w:ilvl="0" w:tentative="0">
      <w:start w:val="1"/>
      <w:numFmt w:val="none"/>
      <w:pStyle w:val="137"/>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92"/>
      <w:lvlText w:val=""/>
      <w:lvlJc w:val="left"/>
      <w:pPr>
        <w:ind w:left="851" w:hanging="431"/>
      </w:pPr>
      <w:rPr>
        <w:rFonts w:hint="default" w:ascii="Symbol" w:hAnsi="Symbol"/>
        <w:sz w:val="21"/>
      </w:rPr>
    </w:lvl>
    <w:lvl w:ilvl="2" w:tentative="0">
      <w:start w:val="1"/>
      <w:numFmt w:val="bullet"/>
      <w:pStyle w:val="177"/>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3">
    <w:nsid w:val="32F04FB2"/>
    <w:multiLevelType w:val="multilevel"/>
    <w:tmpl w:val="32F04FB2"/>
    <w:lvl w:ilvl="0" w:tentative="0">
      <w:start w:val="1"/>
      <w:numFmt w:val="lowerLetter"/>
      <w:pStyle w:val="106"/>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4">
    <w:nsid w:val="44C50F90"/>
    <w:multiLevelType w:val="multilevel"/>
    <w:tmpl w:val="44C50F90"/>
    <w:lvl w:ilvl="0" w:tentative="0">
      <w:start w:val="1"/>
      <w:numFmt w:val="lowerLetter"/>
      <w:pStyle w:val="179"/>
      <w:lvlText w:val="%1)"/>
      <w:lvlJc w:val="left"/>
      <w:pPr>
        <w:tabs>
          <w:tab w:val="left" w:pos="851"/>
        </w:tabs>
        <w:ind w:left="851" w:hanging="426"/>
      </w:pPr>
      <w:rPr>
        <w:rFonts w:hint="eastAsia" w:ascii="宋体" w:hAnsi="Times New Roman" w:eastAsia="宋体"/>
        <w:sz w:val="21"/>
      </w:rPr>
    </w:lvl>
    <w:lvl w:ilvl="1" w:tentative="0">
      <w:start w:val="1"/>
      <w:numFmt w:val="decimal"/>
      <w:pStyle w:val="114"/>
      <w:lvlText w:val="%2)"/>
      <w:lvlJc w:val="left"/>
      <w:pPr>
        <w:tabs>
          <w:tab w:val="left" w:pos="1276"/>
        </w:tabs>
        <w:ind w:left="1276" w:hanging="425"/>
      </w:pPr>
      <w:rPr>
        <w:rFonts w:hint="eastAsia" w:ascii="宋体" w:hAnsi="Times New Roman" w:eastAsia="宋体"/>
        <w:sz w:val="21"/>
      </w:rPr>
    </w:lvl>
    <w:lvl w:ilvl="2" w:tentative="0">
      <w:start w:val="1"/>
      <w:numFmt w:val="decimal"/>
      <w:pStyle w:val="122"/>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5">
    <w:nsid w:val="48802D1C"/>
    <w:multiLevelType w:val="multilevel"/>
    <w:tmpl w:val="48802D1C"/>
    <w:lvl w:ilvl="0" w:tentative="0">
      <w:start w:val="1"/>
      <w:numFmt w:val="upperLetter"/>
      <w:pStyle w:val="203"/>
      <w:lvlText w:val="%1"/>
      <w:lvlJc w:val="left"/>
      <w:pPr>
        <w:ind w:left="420" w:hanging="420"/>
      </w:pPr>
      <w:rPr>
        <w:rFonts w:hint="eastAsia"/>
      </w:rPr>
    </w:lvl>
    <w:lvl w:ilvl="1" w:tentative="0">
      <w:start w:val="1"/>
      <w:numFmt w:val="decimal"/>
      <w:pStyle w:val="88"/>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6">
    <w:nsid w:val="4B733A5F"/>
    <w:multiLevelType w:val="multilevel"/>
    <w:tmpl w:val="4B733A5F"/>
    <w:lvl w:ilvl="0" w:tentative="0">
      <w:start w:val="1"/>
      <w:numFmt w:val="decimal"/>
      <w:pStyle w:val="188"/>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7">
    <w:nsid w:val="4E5D0534"/>
    <w:multiLevelType w:val="multilevel"/>
    <w:tmpl w:val="4E5D0534"/>
    <w:lvl w:ilvl="0" w:tentative="0">
      <w:start w:val="1"/>
      <w:numFmt w:val="decimal"/>
      <w:pStyle w:val="121"/>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4632751"/>
    <w:multiLevelType w:val="multilevel"/>
    <w:tmpl w:val="54632751"/>
    <w:lvl w:ilvl="0" w:tentative="0">
      <w:start w:val="1"/>
      <w:numFmt w:val="none"/>
      <w:pStyle w:val="98"/>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9">
    <w:nsid w:val="557C2AF5"/>
    <w:multiLevelType w:val="multilevel"/>
    <w:tmpl w:val="557C2AF5"/>
    <w:lvl w:ilvl="0" w:tentative="0">
      <w:start w:val="1"/>
      <w:numFmt w:val="decimal"/>
      <w:pStyle w:val="119"/>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0">
    <w:nsid w:val="5603797C"/>
    <w:multiLevelType w:val="multilevel"/>
    <w:tmpl w:val="5603797C"/>
    <w:lvl w:ilvl="0" w:tentative="0">
      <w:start w:val="1"/>
      <w:numFmt w:val="upperLetter"/>
      <w:pStyle w:val="204"/>
      <w:suff w:val="space"/>
      <w:lvlText w:val="%1"/>
      <w:lvlJc w:val="left"/>
      <w:pPr>
        <w:ind w:left="425" w:hanging="425"/>
      </w:pPr>
      <w:rPr>
        <w:rFonts w:hint="eastAsia"/>
      </w:rPr>
    </w:lvl>
    <w:lvl w:ilvl="1" w:tentative="0">
      <w:start w:val="1"/>
      <w:numFmt w:val="decimal"/>
      <w:pStyle w:val="82"/>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1">
    <w:nsid w:val="564D2089"/>
    <w:multiLevelType w:val="multilevel"/>
    <w:tmpl w:val="564D2089"/>
    <w:lvl w:ilvl="0" w:tentative="0">
      <w:start w:val="1"/>
      <w:numFmt w:val="none"/>
      <w:pStyle w:val="116"/>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644622F9"/>
    <w:multiLevelType w:val="multilevel"/>
    <w:tmpl w:val="644622F9"/>
    <w:lvl w:ilvl="0" w:tentative="0">
      <w:start w:val="1"/>
      <w:numFmt w:val="upperRoman"/>
      <w:pStyle w:val="173"/>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3">
    <w:nsid w:val="646260FA"/>
    <w:multiLevelType w:val="multilevel"/>
    <w:tmpl w:val="646260FA"/>
    <w:lvl w:ilvl="0" w:tentative="0">
      <w:start w:val="1"/>
      <w:numFmt w:val="decimal"/>
      <w:pStyle w:val="117"/>
      <w:suff w:val="nothing"/>
      <w:lvlText w:val="表%1　"/>
      <w:lvlJc w:val="left"/>
      <w:pPr>
        <w:ind w:left="4394" w:firstLine="0"/>
      </w:pPr>
    </w:lvl>
    <w:lvl w:ilvl="1" w:tentative="0">
      <w:start w:val="1"/>
      <w:numFmt w:val="decimal"/>
      <w:lvlText w:val="%1.%2"/>
      <w:lvlJc w:val="left"/>
      <w:pPr>
        <w:tabs>
          <w:tab w:val="left" w:pos="5386"/>
        </w:tabs>
        <w:ind w:left="5386" w:hanging="567"/>
      </w:pPr>
    </w:lvl>
    <w:lvl w:ilvl="2" w:tentative="0">
      <w:start w:val="1"/>
      <w:numFmt w:val="decimal"/>
      <w:lvlText w:val="%1.%2.%3"/>
      <w:lvlJc w:val="left"/>
      <w:pPr>
        <w:tabs>
          <w:tab w:val="left" w:pos="5811"/>
        </w:tabs>
        <w:ind w:left="5811" w:hanging="567"/>
      </w:pPr>
    </w:lvl>
    <w:lvl w:ilvl="3" w:tentative="0">
      <w:start w:val="1"/>
      <w:numFmt w:val="decimal"/>
      <w:lvlText w:val="%1.%2.%3.%4"/>
      <w:lvlJc w:val="left"/>
      <w:pPr>
        <w:tabs>
          <w:tab w:val="left" w:pos="6378"/>
        </w:tabs>
        <w:ind w:left="6378" w:hanging="708"/>
      </w:pPr>
    </w:lvl>
    <w:lvl w:ilvl="4" w:tentative="0">
      <w:start w:val="1"/>
      <w:numFmt w:val="decimal"/>
      <w:lvlText w:val="%1.%2.%3.%4.%5"/>
      <w:lvlJc w:val="left"/>
      <w:pPr>
        <w:tabs>
          <w:tab w:val="left" w:pos="6945"/>
        </w:tabs>
        <w:ind w:left="6945" w:hanging="850"/>
      </w:pPr>
    </w:lvl>
    <w:lvl w:ilvl="5" w:tentative="0">
      <w:start w:val="1"/>
      <w:numFmt w:val="decimal"/>
      <w:lvlText w:val="%1.%2.%3.%4.%5.%6"/>
      <w:lvlJc w:val="left"/>
      <w:pPr>
        <w:tabs>
          <w:tab w:val="left" w:pos="7654"/>
        </w:tabs>
        <w:ind w:left="7654" w:hanging="1134"/>
      </w:pPr>
    </w:lvl>
    <w:lvl w:ilvl="6" w:tentative="0">
      <w:start w:val="1"/>
      <w:numFmt w:val="decimal"/>
      <w:lvlText w:val="%1.%2.%3.%4.%5.%6.%7"/>
      <w:lvlJc w:val="left"/>
      <w:pPr>
        <w:tabs>
          <w:tab w:val="left" w:pos="8221"/>
        </w:tabs>
        <w:ind w:left="8221" w:hanging="1276"/>
      </w:pPr>
    </w:lvl>
    <w:lvl w:ilvl="7" w:tentative="0">
      <w:start w:val="1"/>
      <w:numFmt w:val="decimal"/>
      <w:lvlText w:val="%1.%2.%3.%4.%5.%6.%7.%8"/>
      <w:lvlJc w:val="left"/>
      <w:pPr>
        <w:tabs>
          <w:tab w:val="left" w:pos="8788"/>
        </w:tabs>
        <w:ind w:left="8788" w:hanging="1418"/>
      </w:pPr>
    </w:lvl>
    <w:lvl w:ilvl="8" w:tentative="0">
      <w:start w:val="1"/>
      <w:numFmt w:val="decimal"/>
      <w:lvlText w:val="%1.%2.%3.%4.%5.%6.%7.%8.%9"/>
      <w:lvlJc w:val="left"/>
      <w:pPr>
        <w:tabs>
          <w:tab w:val="left" w:pos="9496"/>
        </w:tabs>
        <w:ind w:left="9496" w:hanging="1700"/>
      </w:pPr>
    </w:lvl>
  </w:abstractNum>
  <w:abstractNum w:abstractNumId="24">
    <w:nsid w:val="654A26C9"/>
    <w:multiLevelType w:val="multilevel"/>
    <w:tmpl w:val="654A26C9"/>
    <w:lvl w:ilvl="0" w:tentative="0">
      <w:start w:val="1"/>
      <w:numFmt w:val="none"/>
      <w:pStyle w:val="194"/>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pStyle w:val="242"/>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5">
    <w:nsid w:val="657D3FBC"/>
    <w:multiLevelType w:val="multilevel"/>
    <w:tmpl w:val="657D3FBC"/>
    <w:lvl w:ilvl="0" w:tentative="0">
      <w:start w:val="1"/>
      <w:numFmt w:val="upperLetter"/>
      <w:pStyle w:val="81"/>
      <w:suff w:val="nothing"/>
      <w:lvlText w:val="附录%1"/>
      <w:lvlJc w:val="left"/>
      <w:pPr>
        <w:ind w:left="0" w:firstLine="0"/>
      </w:pPr>
      <w:rPr>
        <w:rFonts w:hint="eastAsia"/>
        <w:spacing w:val="100"/>
      </w:rPr>
    </w:lvl>
    <w:lvl w:ilvl="1" w:tentative="0">
      <w:start w:val="1"/>
      <w:numFmt w:val="decimal"/>
      <w:pStyle w:val="83"/>
      <w:suff w:val="nothing"/>
      <w:lvlText w:val="%1.%2　"/>
      <w:lvlJc w:val="left"/>
      <w:pPr>
        <w:ind w:left="0" w:firstLine="0"/>
      </w:pPr>
      <w:rPr>
        <w:rFonts w:hint="eastAsia" w:ascii="黑体" w:eastAsia="黑体"/>
        <w:b w:val="0"/>
        <w:i w:val="0"/>
        <w:sz w:val="21"/>
      </w:rPr>
    </w:lvl>
    <w:lvl w:ilvl="2" w:tentative="0">
      <w:start w:val="1"/>
      <w:numFmt w:val="decimal"/>
      <w:pStyle w:val="84"/>
      <w:suff w:val="nothing"/>
      <w:lvlText w:val="%1.%2.%3　"/>
      <w:lvlJc w:val="left"/>
      <w:pPr>
        <w:ind w:left="0" w:firstLine="0"/>
      </w:pPr>
      <w:rPr>
        <w:rFonts w:hint="eastAsia" w:ascii="黑体" w:eastAsia="黑体"/>
        <w:b w:val="0"/>
        <w:i w:val="0"/>
        <w:sz w:val="21"/>
      </w:rPr>
    </w:lvl>
    <w:lvl w:ilvl="3" w:tentative="0">
      <w:start w:val="1"/>
      <w:numFmt w:val="decimal"/>
      <w:pStyle w:val="86"/>
      <w:suff w:val="nothing"/>
      <w:lvlText w:val="%1.%2.%3.%4　"/>
      <w:lvlJc w:val="left"/>
      <w:pPr>
        <w:ind w:left="0" w:firstLine="0"/>
      </w:pPr>
      <w:rPr>
        <w:rFonts w:hint="eastAsia" w:ascii="黑体" w:eastAsia="黑体"/>
        <w:b w:val="0"/>
        <w:i w:val="0"/>
        <w:sz w:val="21"/>
      </w:rPr>
    </w:lvl>
    <w:lvl w:ilvl="4" w:tentative="0">
      <w:start w:val="1"/>
      <w:numFmt w:val="decimal"/>
      <w:pStyle w:val="87"/>
      <w:suff w:val="nothing"/>
      <w:lvlText w:val="%1.%2.%3.%4.%5　"/>
      <w:lvlJc w:val="left"/>
      <w:pPr>
        <w:ind w:left="0" w:firstLine="0"/>
      </w:pPr>
      <w:rPr>
        <w:rFonts w:hint="eastAsia" w:ascii="黑体" w:eastAsia="黑体"/>
        <w:b w:val="0"/>
        <w:i w:val="0"/>
        <w:sz w:val="21"/>
      </w:rPr>
    </w:lvl>
    <w:lvl w:ilvl="5" w:tentative="0">
      <w:start w:val="1"/>
      <w:numFmt w:val="decimal"/>
      <w:pStyle w:val="89"/>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6">
    <w:nsid w:val="69506ABF"/>
    <w:multiLevelType w:val="multilevel"/>
    <w:tmpl w:val="69506ABF"/>
    <w:lvl w:ilvl="0" w:tentative="0">
      <w:start w:val="1"/>
      <w:numFmt w:val="bullet"/>
      <w:pStyle w:val="193"/>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7">
    <w:nsid w:val="6CA41985"/>
    <w:multiLevelType w:val="multilevel"/>
    <w:tmpl w:val="6CA41985"/>
    <w:lvl w:ilvl="0" w:tentative="0">
      <w:start w:val="1"/>
      <w:numFmt w:val="decimal"/>
      <w:pStyle w:val="102"/>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
    <w:nsid w:val="6CE42AC1"/>
    <w:multiLevelType w:val="multilevel"/>
    <w:tmpl w:val="6CE42AC1"/>
    <w:lvl w:ilvl="0" w:tentative="0">
      <w:start w:val="1"/>
      <w:numFmt w:val="lowerLetter"/>
      <w:pStyle w:val="178"/>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CEA2025"/>
    <w:multiLevelType w:val="multilevel"/>
    <w:tmpl w:val="6CEA2025"/>
    <w:lvl w:ilvl="0" w:tentative="0">
      <w:start w:val="1"/>
      <w:numFmt w:val="none"/>
      <w:pStyle w:val="157"/>
      <w:suff w:val="nothing"/>
      <w:lvlText w:val="%1"/>
      <w:lvlJc w:val="left"/>
      <w:pPr>
        <w:ind w:left="0" w:firstLine="0"/>
      </w:pPr>
      <w:rPr>
        <w:rFonts w:hint="eastAsia"/>
      </w:rPr>
    </w:lvl>
    <w:lvl w:ilvl="1" w:tentative="0">
      <w:start w:val="1"/>
      <w:numFmt w:val="decimal"/>
      <w:pStyle w:val="109"/>
      <w:suff w:val="nothing"/>
      <w:lvlText w:val="%1%2　"/>
      <w:lvlJc w:val="left"/>
      <w:pPr>
        <w:ind w:left="0" w:firstLine="0"/>
      </w:pPr>
      <w:rPr>
        <w:rFonts w:hint="eastAsia" w:ascii="黑体" w:eastAsia="黑体"/>
        <w:b w:val="0"/>
        <w:i w:val="0"/>
        <w:sz w:val="21"/>
      </w:rPr>
    </w:lvl>
    <w:lvl w:ilvl="2" w:tentative="0">
      <w:start w:val="1"/>
      <w:numFmt w:val="decimal"/>
      <w:pStyle w:val="110"/>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70"/>
      <w:suff w:val="nothing"/>
      <w:lvlText w:val="%1%2.%3.%4　"/>
      <w:lvlJc w:val="left"/>
      <w:pPr>
        <w:ind w:left="142" w:firstLine="0"/>
      </w:pPr>
      <w:rPr>
        <w:rFonts w:hint="eastAsia" w:ascii="黑体" w:eastAsia="黑体"/>
        <w:b w:val="0"/>
        <w:i w:val="0"/>
        <w:sz w:val="21"/>
      </w:rPr>
    </w:lvl>
    <w:lvl w:ilvl="4" w:tentative="0">
      <w:start w:val="1"/>
      <w:numFmt w:val="decimal"/>
      <w:pStyle w:val="99"/>
      <w:suff w:val="nothing"/>
      <w:lvlText w:val="%1%2.%3.%4.%5　"/>
      <w:lvlJc w:val="left"/>
      <w:pPr>
        <w:ind w:left="0" w:firstLine="0"/>
      </w:pPr>
      <w:rPr>
        <w:rFonts w:hint="eastAsia" w:ascii="黑体" w:eastAsia="黑体"/>
        <w:b w:val="0"/>
        <w:i w:val="0"/>
        <w:sz w:val="21"/>
      </w:rPr>
    </w:lvl>
    <w:lvl w:ilvl="5" w:tentative="0">
      <w:start w:val="1"/>
      <w:numFmt w:val="decimal"/>
      <w:pStyle w:val="103"/>
      <w:suff w:val="nothing"/>
      <w:lvlText w:val="%1%2.%3.%4.%5.%6　"/>
      <w:lvlJc w:val="left"/>
      <w:pPr>
        <w:ind w:left="0" w:firstLine="0"/>
      </w:pPr>
      <w:rPr>
        <w:rFonts w:hint="eastAsia" w:ascii="黑体" w:eastAsia="黑体"/>
        <w:b w:val="0"/>
        <w:i w:val="0"/>
        <w:sz w:val="21"/>
      </w:rPr>
    </w:lvl>
    <w:lvl w:ilvl="6" w:tentative="0">
      <w:start w:val="1"/>
      <w:numFmt w:val="decimal"/>
      <w:pStyle w:val="108"/>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0">
    <w:nsid w:val="6DBF04F4"/>
    <w:multiLevelType w:val="multilevel"/>
    <w:tmpl w:val="6DBF04F4"/>
    <w:lvl w:ilvl="0" w:tentative="0">
      <w:start w:val="1"/>
      <w:numFmt w:val="none"/>
      <w:pStyle w:val="184"/>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31">
    <w:nsid w:val="6DF35F19"/>
    <w:multiLevelType w:val="multilevel"/>
    <w:tmpl w:val="6DF35F19"/>
    <w:lvl w:ilvl="0" w:tentative="0">
      <w:start w:val="1"/>
      <w:numFmt w:val="decimal"/>
      <w:pStyle w:val="120"/>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2">
    <w:nsid w:val="76933334"/>
    <w:multiLevelType w:val="multilevel"/>
    <w:tmpl w:val="76933334"/>
    <w:lvl w:ilvl="0" w:tentative="0">
      <w:start w:val="1"/>
      <w:numFmt w:val="none"/>
      <w:pStyle w:val="144"/>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9"/>
  </w:num>
  <w:num w:numId="3">
    <w:abstractNumId w:val="5"/>
  </w:num>
  <w:num w:numId="4">
    <w:abstractNumId w:val="25"/>
  </w:num>
  <w:num w:numId="5">
    <w:abstractNumId w:val="20"/>
  </w:num>
  <w:num w:numId="6">
    <w:abstractNumId w:val="15"/>
  </w:num>
  <w:num w:numId="7">
    <w:abstractNumId w:val="9"/>
  </w:num>
  <w:num w:numId="8">
    <w:abstractNumId w:val="3"/>
  </w:num>
  <w:num w:numId="9">
    <w:abstractNumId w:val="10"/>
  </w:num>
  <w:num w:numId="10">
    <w:abstractNumId w:val="18"/>
  </w:num>
  <w:num w:numId="11">
    <w:abstractNumId w:val="27"/>
  </w:num>
  <w:num w:numId="12">
    <w:abstractNumId w:val="13"/>
  </w:num>
  <w:num w:numId="13">
    <w:abstractNumId w:val="14"/>
  </w:num>
  <w:num w:numId="14">
    <w:abstractNumId w:val="8"/>
  </w:num>
  <w:num w:numId="15">
    <w:abstractNumId w:val="21"/>
  </w:num>
  <w:num w:numId="16">
    <w:abstractNumId w:val="23"/>
  </w:num>
  <w:num w:numId="17">
    <w:abstractNumId w:val="19"/>
  </w:num>
  <w:num w:numId="18">
    <w:abstractNumId w:val="31"/>
  </w:num>
  <w:num w:numId="19">
    <w:abstractNumId w:val="17"/>
  </w:num>
  <w:num w:numId="20">
    <w:abstractNumId w:val="1"/>
  </w:num>
  <w:num w:numId="21">
    <w:abstractNumId w:val="12"/>
  </w:num>
  <w:num w:numId="22">
    <w:abstractNumId w:val="32"/>
  </w:num>
  <w:num w:numId="23">
    <w:abstractNumId w:val="22"/>
  </w:num>
  <w:num w:numId="24">
    <w:abstractNumId w:val="6"/>
  </w:num>
  <w:num w:numId="25">
    <w:abstractNumId w:val="28"/>
  </w:num>
  <w:num w:numId="26">
    <w:abstractNumId w:val="30"/>
  </w:num>
  <w:num w:numId="27">
    <w:abstractNumId w:val="2"/>
  </w:num>
  <w:num w:numId="28">
    <w:abstractNumId w:val="4"/>
  </w:num>
  <w:num w:numId="29">
    <w:abstractNumId w:val="16"/>
  </w:num>
  <w:num w:numId="30">
    <w:abstractNumId w:val="26"/>
  </w:num>
  <w:num w:numId="31">
    <w:abstractNumId w:val="24"/>
  </w:num>
  <w:num w:numId="32">
    <w:abstractNumId w:val="11"/>
  </w:num>
  <w:num w:numId="33">
    <w:abstractNumId w:val="7"/>
  </w:num>
  <w:num w:numId="3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5"/>
  <w:bordersDoNotSurroundHeader w:val="1"/>
  <w:bordersDoNotSurroundFooter w:val="1"/>
  <w:attachedTemplate r:id="rId1"/>
  <w:documentProtection w:edit="forms" w:enforcement="0"/>
  <w:defaultTabStop w:val="420"/>
  <w:drawingGridHorizontalSpacing w:val="105"/>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g0MzA4ZDY0NWQ1NjE4YTA0OWMwYzdjZDE1YzljMzMifQ=="/>
  </w:docVars>
  <w:rsids>
    <w:rsidRoot w:val="00417D60"/>
    <w:rsid w:val="0000040A"/>
    <w:rsid w:val="00000A94"/>
    <w:rsid w:val="00001972"/>
    <w:rsid w:val="00001D9A"/>
    <w:rsid w:val="00007B3A"/>
    <w:rsid w:val="000107E0"/>
    <w:rsid w:val="00011FDE"/>
    <w:rsid w:val="00012AEB"/>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3EE7"/>
    <w:rsid w:val="000556ED"/>
    <w:rsid w:val="00055C0E"/>
    <w:rsid w:val="00055FE2"/>
    <w:rsid w:val="0005616F"/>
    <w:rsid w:val="00060C2E"/>
    <w:rsid w:val="00061033"/>
    <w:rsid w:val="000619E9"/>
    <w:rsid w:val="000622D4"/>
    <w:rsid w:val="0006357D"/>
    <w:rsid w:val="00067F1E"/>
    <w:rsid w:val="00071CC0"/>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04F"/>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9EB"/>
    <w:rsid w:val="000F4AEA"/>
    <w:rsid w:val="000F633F"/>
    <w:rsid w:val="000F67E9"/>
    <w:rsid w:val="00104926"/>
    <w:rsid w:val="00113B1E"/>
    <w:rsid w:val="0011711C"/>
    <w:rsid w:val="0012059C"/>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0DD"/>
    <w:rsid w:val="001852C9"/>
    <w:rsid w:val="00187E3B"/>
    <w:rsid w:val="00190087"/>
    <w:rsid w:val="001913C4"/>
    <w:rsid w:val="0019348F"/>
    <w:rsid w:val="00193A07"/>
    <w:rsid w:val="00194C95"/>
    <w:rsid w:val="00195C34"/>
    <w:rsid w:val="00196EF5"/>
    <w:rsid w:val="001A1A53"/>
    <w:rsid w:val="001A234A"/>
    <w:rsid w:val="001A4CF3"/>
    <w:rsid w:val="001B06E8"/>
    <w:rsid w:val="001B238A"/>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D552A"/>
    <w:rsid w:val="001E1B6A"/>
    <w:rsid w:val="001E2252"/>
    <w:rsid w:val="001E2484"/>
    <w:rsid w:val="001E3CC4"/>
    <w:rsid w:val="001E4882"/>
    <w:rsid w:val="001E73AB"/>
    <w:rsid w:val="001F092D"/>
    <w:rsid w:val="001F143A"/>
    <w:rsid w:val="001F1605"/>
    <w:rsid w:val="001F2508"/>
    <w:rsid w:val="001F4078"/>
    <w:rsid w:val="001F4816"/>
    <w:rsid w:val="001F4EE9"/>
    <w:rsid w:val="001F69B4"/>
    <w:rsid w:val="001F77C7"/>
    <w:rsid w:val="00200183"/>
    <w:rsid w:val="00200333"/>
    <w:rsid w:val="0020107D"/>
    <w:rsid w:val="00202AA4"/>
    <w:rsid w:val="002031F7"/>
    <w:rsid w:val="002040E6"/>
    <w:rsid w:val="0020527B"/>
    <w:rsid w:val="00205F2C"/>
    <w:rsid w:val="00210B15"/>
    <w:rsid w:val="00210D08"/>
    <w:rsid w:val="002142EA"/>
    <w:rsid w:val="00215CBA"/>
    <w:rsid w:val="002204BB"/>
    <w:rsid w:val="00221B79"/>
    <w:rsid w:val="00221C6B"/>
    <w:rsid w:val="00224B97"/>
    <w:rsid w:val="002253A1"/>
    <w:rsid w:val="00225CF8"/>
    <w:rsid w:val="0022794E"/>
    <w:rsid w:val="00233D64"/>
    <w:rsid w:val="0023482A"/>
    <w:rsid w:val="002359CB"/>
    <w:rsid w:val="00243540"/>
    <w:rsid w:val="0024497B"/>
    <w:rsid w:val="00244BD4"/>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81BB8"/>
    <w:rsid w:val="00281E9E"/>
    <w:rsid w:val="00282405"/>
    <w:rsid w:val="002851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055"/>
    <w:rsid w:val="002C09E7"/>
    <w:rsid w:val="002C1E06"/>
    <w:rsid w:val="002C1E1C"/>
    <w:rsid w:val="002C3F07"/>
    <w:rsid w:val="002C5278"/>
    <w:rsid w:val="002C7EBB"/>
    <w:rsid w:val="002D06C1"/>
    <w:rsid w:val="002D3C79"/>
    <w:rsid w:val="002D42B5"/>
    <w:rsid w:val="002D4F1A"/>
    <w:rsid w:val="002D6EC6"/>
    <w:rsid w:val="002D79AC"/>
    <w:rsid w:val="002E039D"/>
    <w:rsid w:val="002E4D5A"/>
    <w:rsid w:val="002E6326"/>
    <w:rsid w:val="002F153B"/>
    <w:rsid w:val="002F30E0"/>
    <w:rsid w:val="002F35E4"/>
    <w:rsid w:val="002F3730"/>
    <w:rsid w:val="002F38E1"/>
    <w:rsid w:val="002F6104"/>
    <w:rsid w:val="002F740E"/>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6FCF"/>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35AA"/>
    <w:rsid w:val="00376713"/>
    <w:rsid w:val="00381815"/>
    <w:rsid w:val="003819AF"/>
    <w:rsid w:val="003820E9"/>
    <w:rsid w:val="00382DE7"/>
    <w:rsid w:val="00384FFC"/>
    <w:rsid w:val="0038594A"/>
    <w:rsid w:val="003872FC"/>
    <w:rsid w:val="00387ADC"/>
    <w:rsid w:val="00390020"/>
    <w:rsid w:val="003903D6"/>
    <w:rsid w:val="00390EE6"/>
    <w:rsid w:val="0039118F"/>
    <w:rsid w:val="00392AD7"/>
    <w:rsid w:val="003938D9"/>
    <w:rsid w:val="00394376"/>
    <w:rsid w:val="003943FF"/>
    <w:rsid w:val="00394686"/>
    <w:rsid w:val="00395700"/>
    <w:rsid w:val="003974EB"/>
    <w:rsid w:val="00397CC5"/>
    <w:rsid w:val="003A1582"/>
    <w:rsid w:val="003A4077"/>
    <w:rsid w:val="003A6CFC"/>
    <w:rsid w:val="003B09AD"/>
    <w:rsid w:val="003B1F18"/>
    <w:rsid w:val="003B5BF0"/>
    <w:rsid w:val="003B60BF"/>
    <w:rsid w:val="003B6BE3"/>
    <w:rsid w:val="003C010C"/>
    <w:rsid w:val="003C0A6C"/>
    <w:rsid w:val="003C14F8"/>
    <w:rsid w:val="003C5A43"/>
    <w:rsid w:val="003D0519"/>
    <w:rsid w:val="003D0FF6"/>
    <w:rsid w:val="003D262C"/>
    <w:rsid w:val="003D6D61"/>
    <w:rsid w:val="003D7765"/>
    <w:rsid w:val="003E091D"/>
    <w:rsid w:val="003E1C53"/>
    <w:rsid w:val="003E2A69"/>
    <w:rsid w:val="003E2D49"/>
    <w:rsid w:val="003E2FD4"/>
    <w:rsid w:val="003E49F6"/>
    <w:rsid w:val="003E660F"/>
    <w:rsid w:val="003E6873"/>
    <w:rsid w:val="003F0841"/>
    <w:rsid w:val="003F23D3"/>
    <w:rsid w:val="003F3A93"/>
    <w:rsid w:val="003F3F08"/>
    <w:rsid w:val="003F49F1"/>
    <w:rsid w:val="003F6272"/>
    <w:rsid w:val="00400E72"/>
    <w:rsid w:val="00401400"/>
    <w:rsid w:val="00404869"/>
    <w:rsid w:val="00405884"/>
    <w:rsid w:val="00407D39"/>
    <w:rsid w:val="0041477A"/>
    <w:rsid w:val="004167A3"/>
    <w:rsid w:val="00417D60"/>
    <w:rsid w:val="004305C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4BA"/>
    <w:rsid w:val="004B3AA8"/>
    <w:rsid w:val="004B3E93"/>
    <w:rsid w:val="004C1FBC"/>
    <w:rsid w:val="004C3F1D"/>
    <w:rsid w:val="004C458D"/>
    <w:rsid w:val="004C4605"/>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8A6"/>
    <w:rsid w:val="00510A7B"/>
    <w:rsid w:val="00512F6E"/>
    <w:rsid w:val="00513038"/>
    <w:rsid w:val="00514174"/>
    <w:rsid w:val="00516088"/>
    <w:rsid w:val="00516B0B"/>
    <w:rsid w:val="00521559"/>
    <w:rsid w:val="005220EC"/>
    <w:rsid w:val="00523F95"/>
    <w:rsid w:val="0052452C"/>
    <w:rsid w:val="00524D65"/>
    <w:rsid w:val="00525B16"/>
    <w:rsid w:val="00531B89"/>
    <w:rsid w:val="00533D04"/>
    <w:rsid w:val="00534804"/>
    <w:rsid w:val="00534BDF"/>
    <w:rsid w:val="005354EA"/>
    <w:rsid w:val="0053585F"/>
    <w:rsid w:val="00535EC4"/>
    <w:rsid w:val="00535ED9"/>
    <w:rsid w:val="0053692B"/>
    <w:rsid w:val="00541853"/>
    <w:rsid w:val="005418C2"/>
    <w:rsid w:val="00543BDA"/>
    <w:rsid w:val="005441CC"/>
    <w:rsid w:val="00545793"/>
    <w:rsid w:val="005479DA"/>
    <w:rsid w:val="00547BCC"/>
    <w:rsid w:val="0055013B"/>
    <w:rsid w:val="00551F6F"/>
    <w:rsid w:val="00553B66"/>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38AF"/>
    <w:rsid w:val="005B4903"/>
    <w:rsid w:val="005B51CE"/>
    <w:rsid w:val="005B5885"/>
    <w:rsid w:val="005B5CD7"/>
    <w:rsid w:val="005B6CF6"/>
    <w:rsid w:val="005B7422"/>
    <w:rsid w:val="005C29B8"/>
    <w:rsid w:val="005C5F21"/>
    <w:rsid w:val="005C7156"/>
    <w:rsid w:val="005D0C75"/>
    <w:rsid w:val="005D1B8A"/>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783"/>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46C28"/>
    <w:rsid w:val="00651ACB"/>
    <w:rsid w:val="00651C47"/>
    <w:rsid w:val="00652AB2"/>
    <w:rsid w:val="00653FED"/>
    <w:rsid w:val="00654EC0"/>
    <w:rsid w:val="0065525B"/>
    <w:rsid w:val="00655D4F"/>
    <w:rsid w:val="00656D29"/>
    <w:rsid w:val="00657168"/>
    <w:rsid w:val="00662222"/>
    <w:rsid w:val="006640E5"/>
    <w:rsid w:val="006646F1"/>
    <w:rsid w:val="00664929"/>
    <w:rsid w:val="00664F62"/>
    <w:rsid w:val="006655E1"/>
    <w:rsid w:val="00670F38"/>
    <w:rsid w:val="00672060"/>
    <w:rsid w:val="00672BFD"/>
    <w:rsid w:val="006770F4"/>
    <w:rsid w:val="00677A84"/>
    <w:rsid w:val="0068026D"/>
    <w:rsid w:val="00680622"/>
    <w:rsid w:val="00680A27"/>
    <w:rsid w:val="00680D79"/>
    <w:rsid w:val="006816A4"/>
    <w:rsid w:val="006819B8"/>
    <w:rsid w:val="006840A6"/>
    <w:rsid w:val="006850CD"/>
    <w:rsid w:val="00685AAB"/>
    <w:rsid w:val="00685AC9"/>
    <w:rsid w:val="00695D22"/>
    <w:rsid w:val="006A07AA"/>
    <w:rsid w:val="006A25E5"/>
    <w:rsid w:val="006A2B46"/>
    <w:rsid w:val="006A336D"/>
    <w:rsid w:val="006A37B9"/>
    <w:rsid w:val="006B2672"/>
    <w:rsid w:val="006B54BF"/>
    <w:rsid w:val="006B5F44"/>
    <w:rsid w:val="006B5F90"/>
    <w:rsid w:val="006B62E4"/>
    <w:rsid w:val="006B6725"/>
    <w:rsid w:val="006C1BBA"/>
    <w:rsid w:val="006C2079"/>
    <w:rsid w:val="006C5A62"/>
    <w:rsid w:val="006C5D68"/>
    <w:rsid w:val="006C6976"/>
    <w:rsid w:val="006C6DD0"/>
    <w:rsid w:val="006C748D"/>
    <w:rsid w:val="006C7555"/>
    <w:rsid w:val="006D04EA"/>
    <w:rsid w:val="006D16C4"/>
    <w:rsid w:val="006D3E96"/>
    <w:rsid w:val="006D4515"/>
    <w:rsid w:val="006D4BB1"/>
    <w:rsid w:val="006D6593"/>
    <w:rsid w:val="006E23EA"/>
    <w:rsid w:val="006E46E0"/>
    <w:rsid w:val="006E7839"/>
    <w:rsid w:val="006F03A8"/>
    <w:rsid w:val="006F2ACA"/>
    <w:rsid w:val="006F2ADC"/>
    <w:rsid w:val="006F2BFE"/>
    <w:rsid w:val="006F31E9"/>
    <w:rsid w:val="006F6284"/>
    <w:rsid w:val="007002C5"/>
    <w:rsid w:val="00702ECA"/>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5145"/>
    <w:rsid w:val="00776599"/>
    <w:rsid w:val="0078114B"/>
    <w:rsid w:val="00781DD2"/>
    <w:rsid w:val="00783ECF"/>
    <w:rsid w:val="0078413A"/>
    <w:rsid w:val="007959E8"/>
    <w:rsid w:val="00795E9C"/>
    <w:rsid w:val="007961E3"/>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30DB"/>
    <w:rsid w:val="00823303"/>
    <w:rsid w:val="008233B2"/>
    <w:rsid w:val="00823A9F"/>
    <w:rsid w:val="00823C85"/>
    <w:rsid w:val="00823F75"/>
    <w:rsid w:val="00825138"/>
    <w:rsid w:val="008269DD"/>
    <w:rsid w:val="00830621"/>
    <w:rsid w:val="0083348C"/>
    <w:rsid w:val="008373D3"/>
    <w:rsid w:val="00840617"/>
    <w:rsid w:val="00840F84"/>
    <w:rsid w:val="00842A47"/>
    <w:rsid w:val="00843C13"/>
    <w:rsid w:val="008450C9"/>
    <w:rsid w:val="008454F8"/>
    <w:rsid w:val="00850117"/>
    <w:rsid w:val="00850EBE"/>
    <w:rsid w:val="0085173A"/>
    <w:rsid w:val="00856316"/>
    <w:rsid w:val="008603CE"/>
    <w:rsid w:val="008620FC"/>
    <w:rsid w:val="008627A5"/>
    <w:rsid w:val="00863E05"/>
    <w:rsid w:val="00865ACA"/>
    <w:rsid w:val="00865D28"/>
    <w:rsid w:val="00865F85"/>
    <w:rsid w:val="0086765D"/>
    <w:rsid w:val="00867C10"/>
    <w:rsid w:val="00867D78"/>
    <w:rsid w:val="00870439"/>
    <w:rsid w:val="00870DA1"/>
    <w:rsid w:val="00883F93"/>
    <w:rsid w:val="00884DB3"/>
    <w:rsid w:val="00885A9D"/>
    <w:rsid w:val="008864F6"/>
    <w:rsid w:val="00890373"/>
    <w:rsid w:val="0089049D"/>
    <w:rsid w:val="008928C9"/>
    <w:rsid w:val="008930CB"/>
    <w:rsid w:val="008938DC"/>
    <w:rsid w:val="00893FD1"/>
    <w:rsid w:val="00894836"/>
    <w:rsid w:val="00895172"/>
    <w:rsid w:val="00895680"/>
    <w:rsid w:val="00896DFF"/>
    <w:rsid w:val="0089762C"/>
    <w:rsid w:val="008A0541"/>
    <w:rsid w:val="008A1893"/>
    <w:rsid w:val="008A3215"/>
    <w:rsid w:val="008A363F"/>
    <w:rsid w:val="008A57E6"/>
    <w:rsid w:val="008A6F81"/>
    <w:rsid w:val="008A769A"/>
    <w:rsid w:val="008B0C9C"/>
    <w:rsid w:val="008B166D"/>
    <w:rsid w:val="008B17F4"/>
    <w:rsid w:val="008B3615"/>
    <w:rsid w:val="008B4AC4"/>
    <w:rsid w:val="008B50C8"/>
    <w:rsid w:val="008B5281"/>
    <w:rsid w:val="008B7E05"/>
    <w:rsid w:val="008C03C5"/>
    <w:rsid w:val="008C1797"/>
    <w:rsid w:val="008C219C"/>
    <w:rsid w:val="008C475E"/>
    <w:rsid w:val="008C4A75"/>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2611"/>
    <w:rsid w:val="008F479B"/>
    <w:rsid w:val="008F4C29"/>
    <w:rsid w:val="008F57B8"/>
    <w:rsid w:val="008F70BD"/>
    <w:rsid w:val="008F788F"/>
    <w:rsid w:val="008F7EA2"/>
    <w:rsid w:val="00902722"/>
    <w:rsid w:val="009027BC"/>
    <w:rsid w:val="009062E6"/>
    <w:rsid w:val="00911BE5"/>
    <w:rsid w:val="00913CA9"/>
    <w:rsid w:val="009145AE"/>
    <w:rsid w:val="009146CE"/>
    <w:rsid w:val="00914CA7"/>
    <w:rsid w:val="00915C3E"/>
    <w:rsid w:val="009161A8"/>
    <w:rsid w:val="00921507"/>
    <w:rsid w:val="009245F5"/>
    <w:rsid w:val="009249EC"/>
    <w:rsid w:val="009273B3"/>
    <w:rsid w:val="009305B5"/>
    <w:rsid w:val="009429D5"/>
    <w:rsid w:val="00942BF1"/>
    <w:rsid w:val="00945180"/>
    <w:rsid w:val="00945428"/>
    <w:rsid w:val="0094607B"/>
    <w:rsid w:val="00950647"/>
    <w:rsid w:val="00953604"/>
    <w:rsid w:val="0095496B"/>
    <w:rsid w:val="009610DC"/>
    <w:rsid w:val="00961490"/>
    <w:rsid w:val="0096381A"/>
    <w:rsid w:val="00965E04"/>
    <w:rsid w:val="009674AD"/>
    <w:rsid w:val="00970CDC"/>
    <w:rsid w:val="00977010"/>
    <w:rsid w:val="00977D02"/>
    <w:rsid w:val="009809BB"/>
    <w:rsid w:val="0098364B"/>
    <w:rsid w:val="00983F76"/>
    <w:rsid w:val="009911AF"/>
    <w:rsid w:val="00991875"/>
    <w:rsid w:val="00991F92"/>
    <w:rsid w:val="00992985"/>
    <w:rsid w:val="009929E6"/>
    <w:rsid w:val="00993889"/>
    <w:rsid w:val="0099551B"/>
    <w:rsid w:val="00997BF1"/>
    <w:rsid w:val="009A089C"/>
    <w:rsid w:val="009A0B7D"/>
    <w:rsid w:val="009A118E"/>
    <w:rsid w:val="009A21CD"/>
    <w:rsid w:val="009A278C"/>
    <w:rsid w:val="009A2BC2"/>
    <w:rsid w:val="009A42C1"/>
    <w:rsid w:val="009A5429"/>
    <w:rsid w:val="009A72AD"/>
    <w:rsid w:val="009B09E0"/>
    <w:rsid w:val="009B0BC5"/>
    <w:rsid w:val="009B1247"/>
    <w:rsid w:val="009B2144"/>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9F5508"/>
    <w:rsid w:val="00A0096C"/>
    <w:rsid w:val="00A01757"/>
    <w:rsid w:val="00A028C0"/>
    <w:rsid w:val="00A02BAE"/>
    <w:rsid w:val="00A06A6B"/>
    <w:rsid w:val="00A07E47"/>
    <w:rsid w:val="00A1190A"/>
    <w:rsid w:val="00A129D0"/>
    <w:rsid w:val="00A12C33"/>
    <w:rsid w:val="00A138BA"/>
    <w:rsid w:val="00A14C8E"/>
    <w:rsid w:val="00A153D9"/>
    <w:rsid w:val="00A15F09"/>
    <w:rsid w:val="00A169B6"/>
    <w:rsid w:val="00A2271D"/>
    <w:rsid w:val="00A237D5"/>
    <w:rsid w:val="00A24D9B"/>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48F3"/>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2A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239B"/>
    <w:rsid w:val="00B33693"/>
    <w:rsid w:val="00B33952"/>
    <w:rsid w:val="00B33C5E"/>
    <w:rsid w:val="00B342F4"/>
    <w:rsid w:val="00B34369"/>
    <w:rsid w:val="00B34DC2"/>
    <w:rsid w:val="00B378E5"/>
    <w:rsid w:val="00B4101F"/>
    <w:rsid w:val="00B4346D"/>
    <w:rsid w:val="00B440F4"/>
    <w:rsid w:val="00B447A5"/>
    <w:rsid w:val="00B4654C"/>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3C0C"/>
    <w:rsid w:val="00B86677"/>
    <w:rsid w:val="00B87131"/>
    <w:rsid w:val="00B92F3A"/>
    <w:rsid w:val="00B939B1"/>
    <w:rsid w:val="00B96D40"/>
    <w:rsid w:val="00B97386"/>
    <w:rsid w:val="00BA263B"/>
    <w:rsid w:val="00BA42B2"/>
    <w:rsid w:val="00BA4C49"/>
    <w:rsid w:val="00BA5109"/>
    <w:rsid w:val="00BA58D4"/>
    <w:rsid w:val="00BA5B9E"/>
    <w:rsid w:val="00BA70DC"/>
    <w:rsid w:val="00BA7C9A"/>
    <w:rsid w:val="00BB5F8F"/>
    <w:rsid w:val="00BB657A"/>
    <w:rsid w:val="00BC1A4E"/>
    <w:rsid w:val="00BC539B"/>
    <w:rsid w:val="00BC5DC7"/>
    <w:rsid w:val="00BC6B8B"/>
    <w:rsid w:val="00BC73D8"/>
    <w:rsid w:val="00BD52D7"/>
    <w:rsid w:val="00BD5AD2"/>
    <w:rsid w:val="00BE22F3"/>
    <w:rsid w:val="00BE5B52"/>
    <w:rsid w:val="00BE7B8D"/>
    <w:rsid w:val="00BF0993"/>
    <w:rsid w:val="00BF10A9"/>
    <w:rsid w:val="00BF1703"/>
    <w:rsid w:val="00BF177D"/>
    <w:rsid w:val="00BF231C"/>
    <w:rsid w:val="00BF51E5"/>
    <w:rsid w:val="00BF74A6"/>
    <w:rsid w:val="00C013AD"/>
    <w:rsid w:val="00C04904"/>
    <w:rsid w:val="00C056B3"/>
    <w:rsid w:val="00C103E5"/>
    <w:rsid w:val="00C13319"/>
    <w:rsid w:val="00C13EE9"/>
    <w:rsid w:val="00C1600C"/>
    <w:rsid w:val="00C21540"/>
    <w:rsid w:val="00C21906"/>
    <w:rsid w:val="00C21BFA"/>
    <w:rsid w:val="00C22148"/>
    <w:rsid w:val="00C24C8D"/>
    <w:rsid w:val="00C25FE2"/>
    <w:rsid w:val="00C26B53"/>
    <w:rsid w:val="00C279B2"/>
    <w:rsid w:val="00C33E50"/>
    <w:rsid w:val="00C34C20"/>
    <w:rsid w:val="00C35A3E"/>
    <w:rsid w:val="00C42130"/>
    <w:rsid w:val="00C423A4"/>
    <w:rsid w:val="00C44BF5"/>
    <w:rsid w:val="00C521D6"/>
    <w:rsid w:val="00C55232"/>
    <w:rsid w:val="00C553A4"/>
    <w:rsid w:val="00C55A06"/>
    <w:rsid w:val="00C55D03"/>
    <w:rsid w:val="00C601BC"/>
    <w:rsid w:val="00C6329F"/>
    <w:rsid w:val="00C63340"/>
    <w:rsid w:val="00C643F9"/>
    <w:rsid w:val="00C64E95"/>
    <w:rsid w:val="00C71372"/>
    <w:rsid w:val="00C72410"/>
    <w:rsid w:val="00C7287F"/>
    <w:rsid w:val="00C770C7"/>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2427"/>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7B27"/>
    <w:rsid w:val="00CE0C4F"/>
    <w:rsid w:val="00CE30EA"/>
    <w:rsid w:val="00CF048A"/>
    <w:rsid w:val="00CF0F03"/>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73F7"/>
    <w:rsid w:val="00DC0321"/>
    <w:rsid w:val="00DC3067"/>
    <w:rsid w:val="00DC370B"/>
    <w:rsid w:val="00DC5A36"/>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4536"/>
    <w:rsid w:val="00E06404"/>
    <w:rsid w:val="00E11A85"/>
    <w:rsid w:val="00E12495"/>
    <w:rsid w:val="00E15CCD"/>
    <w:rsid w:val="00E202EF"/>
    <w:rsid w:val="00E210B5"/>
    <w:rsid w:val="00E23D99"/>
    <w:rsid w:val="00E24360"/>
    <w:rsid w:val="00E2552F"/>
    <w:rsid w:val="00E3137A"/>
    <w:rsid w:val="00E32CCF"/>
    <w:rsid w:val="00E34A98"/>
    <w:rsid w:val="00E35D1E"/>
    <w:rsid w:val="00E364F9"/>
    <w:rsid w:val="00E365FA"/>
    <w:rsid w:val="00E36789"/>
    <w:rsid w:val="00E37D1B"/>
    <w:rsid w:val="00E44A83"/>
    <w:rsid w:val="00E502C1"/>
    <w:rsid w:val="00E502DD"/>
    <w:rsid w:val="00E50D3A"/>
    <w:rsid w:val="00E51387"/>
    <w:rsid w:val="00E51E68"/>
    <w:rsid w:val="00E52EFD"/>
    <w:rsid w:val="00E5408A"/>
    <w:rsid w:val="00E5461E"/>
    <w:rsid w:val="00E55AC7"/>
    <w:rsid w:val="00E56800"/>
    <w:rsid w:val="00E60C63"/>
    <w:rsid w:val="00E62FF9"/>
    <w:rsid w:val="00E635D6"/>
    <w:rsid w:val="00E639BC"/>
    <w:rsid w:val="00E6491D"/>
    <w:rsid w:val="00E664CC"/>
    <w:rsid w:val="00E70388"/>
    <w:rsid w:val="00E70F65"/>
    <w:rsid w:val="00E70F92"/>
    <w:rsid w:val="00E74C54"/>
    <w:rsid w:val="00E77A03"/>
    <w:rsid w:val="00E819C2"/>
    <w:rsid w:val="00E822E8"/>
    <w:rsid w:val="00E82554"/>
    <w:rsid w:val="00E82606"/>
    <w:rsid w:val="00E846C8"/>
    <w:rsid w:val="00E84957"/>
    <w:rsid w:val="00E84A55"/>
    <w:rsid w:val="00E85BFF"/>
    <w:rsid w:val="00E86DE8"/>
    <w:rsid w:val="00E8744A"/>
    <w:rsid w:val="00E90391"/>
    <w:rsid w:val="00E906C2"/>
    <w:rsid w:val="00E9311F"/>
    <w:rsid w:val="00E934D1"/>
    <w:rsid w:val="00E94AF0"/>
    <w:rsid w:val="00E95D13"/>
    <w:rsid w:val="00E95DD3"/>
    <w:rsid w:val="00E969D5"/>
    <w:rsid w:val="00E97CDC"/>
    <w:rsid w:val="00EA12EA"/>
    <w:rsid w:val="00EA58D1"/>
    <w:rsid w:val="00EA61BC"/>
    <w:rsid w:val="00EA681A"/>
    <w:rsid w:val="00EA735B"/>
    <w:rsid w:val="00EB17DE"/>
    <w:rsid w:val="00EB1E69"/>
    <w:rsid w:val="00EB2086"/>
    <w:rsid w:val="00EB5EDF"/>
    <w:rsid w:val="00EB60FE"/>
    <w:rsid w:val="00EB7034"/>
    <w:rsid w:val="00EB74DB"/>
    <w:rsid w:val="00EC16D5"/>
    <w:rsid w:val="00EC5359"/>
    <w:rsid w:val="00EC562A"/>
    <w:rsid w:val="00ED067A"/>
    <w:rsid w:val="00ED2B50"/>
    <w:rsid w:val="00ED5B55"/>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174EA"/>
    <w:rsid w:val="00F25BB6"/>
    <w:rsid w:val="00F26B7E"/>
    <w:rsid w:val="00F27A3B"/>
    <w:rsid w:val="00F33817"/>
    <w:rsid w:val="00F420D5"/>
    <w:rsid w:val="00F451EA"/>
    <w:rsid w:val="00F45447"/>
    <w:rsid w:val="00F456C6"/>
    <w:rsid w:val="00F4577B"/>
    <w:rsid w:val="00F46496"/>
    <w:rsid w:val="00F474D0"/>
    <w:rsid w:val="00F50179"/>
    <w:rsid w:val="00F515EE"/>
    <w:rsid w:val="00F5182D"/>
    <w:rsid w:val="00F56511"/>
    <w:rsid w:val="00F6194E"/>
    <w:rsid w:val="00F623AC"/>
    <w:rsid w:val="00F632A6"/>
    <w:rsid w:val="00F6412A"/>
    <w:rsid w:val="00F65893"/>
    <w:rsid w:val="00F66A4A"/>
    <w:rsid w:val="00F7117E"/>
    <w:rsid w:val="00F71E22"/>
    <w:rsid w:val="00F72142"/>
    <w:rsid w:val="00F722F6"/>
    <w:rsid w:val="00F72AE7"/>
    <w:rsid w:val="00F7792D"/>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A7EDE"/>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F7C2908"/>
    <w:rsid w:val="0F8B2510"/>
    <w:rsid w:val="10F1706E"/>
    <w:rsid w:val="13D7410D"/>
    <w:rsid w:val="183E0C1B"/>
    <w:rsid w:val="185D327C"/>
    <w:rsid w:val="1AC24482"/>
    <w:rsid w:val="47D46A1D"/>
    <w:rsid w:val="549B44D0"/>
    <w:rsid w:val="55932402"/>
    <w:rsid w:val="6D09660D"/>
    <w:rsid w:val="7128007F"/>
    <w:rsid w:val="78673F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qFormat="1"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9"/>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0"/>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41"/>
    <w:qFormat/>
    <w:uiPriority w:val="0"/>
    <w:pPr>
      <w:keepNext/>
      <w:keepLines/>
      <w:spacing w:before="260" w:after="260" w:line="416" w:lineRule="auto"/>
      <w:outlineLvl w:val="2"/>
    </w:pPr>
    <w:rPr>
      <w:b/>
      <w:bCs/>
      <w:sz w:val="32"/>
      <w:szCs w:val="32"/>
    </w:rPr>
  </w:style>
  <w:style w:type="paragraph" w:styleId="5">
    <w:name w:val="heading 4"/>
    <w:basedOn w:val="1"/>
    <w:next w:val="1"/>
    <w:link w:val="42"/>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43"/>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44"/>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5"/>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6"/>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7"/>
    <w:qFormat/>
    <w:uiPriority w:val="0"/>
    <w:pPr>
      <w:keepNext/>
      <w:keepLines/>
      <w:adjustRightInd/>
      <w:spacing w:before="240" w:after="64" w:line="320" w:lineRule="auto"/>
      <w:outlineLvl w:val="8"/>
    </w:pPr>
    <w:rPr>
      <w:rFonts w:ascii="Arial" w:hAnsi="Arial" w:eastAsia="黑体"/>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annotation text"/>
    <w:basedOn w:val="1"/>
    <w:link w:val="246"/>
    <w:semiHidden/>
    <w:unhideWhenUsed/>
    <w:qFormat/>
    <w:uiPriority w:val="99"/>
    <w:pPr>
      <w:jc w:val="left"/>
    </w:pPr>
  </w:style>
  <w:style w:type="paragraph" w:styleId="14">
    <w:name w:val="Body Text"/>
    <w:basedOn w:val="1"/>
    <w:link w:val="91"/>
    <w:qFormat/>
    <w:uiPriority w:val="0"/>
    <w:pPr>
      <w:spacing w:after="120"/>
    </w:pPr>
  </w:style>
  <w:style w:type="paragraph" w:styleId="15">
    <w:name w:val="toc 5"/>
    <w:basedOn w:val="1"/>
    <w:next w:val="1"/>
    <w:unhideWhenUsed/>
    <w:qFormat/>
    <w:uiPriority w:val="39"/>
    <w:pPr>
      <w:ind w:left="839"/>
    </w:pPr>
    <w:rPr>
      <w:rFonts w:ascii="宋体"/>
    </w:rPr>
  </w:style>
  <w:style w:type="paragraph" w:styleId="16">
    <w:name w:val="toc 3"/>
    <w:basedOn w:val="1"/>
    <w:next w:val="1"/>
    <w:unhideWhenUsed/>
    <w:qFormat/>
    <w:uiPriority w:val="39"/>
    <w:pPr>
      <w:spacing w:line="300" w:lineRule="exact"/>
      <w:ind w:left="420"/>
    </w:pPr>
    <w:rPr>
      <w:rFonts w:ascii="宋体"/>
    </w:rPr>
  </w:style>
  <w:style w:type="paragraph" w:styleId="17">
    <w:name w:val="Date"/>
    <w:basedOn w:val="1"/>
    <w:next w:val="1"/>
    <w:link w:val="248"/>
    <w:semiHidden/>
    <w:unhideWhenUsed/>
    <w:qFormat/>
    <w:uiPriority w:val="99"/>
    <w:pPr>
      <w:ind w:left="100" w:leftChars="2500"/>
    </w:pPr>
  </w:style>
  <w:style w:type="paragraph" w:styleId="18">
    <w:name w:val="Balloon Text"/>
    <w:basedOn w:val="1"/>
    <w:link w:val="50"/>
    <w:semiHidden/>
    <w:unhideWhenUsed/>
    <w:qFormat/>
    <w:uiPriority w:val="99"/>
    <w:rPr>
      <w:sz w:val="18"/>
      <w:szCs w:val="18"/>
    </w:rPr>
  </w:style>
  <w:style w:type="paragraph" w:styleId="19">
    <w:name w:val="footer"/>
    <w:basedOn w:val="1"/>
    <w:link w:val="49"/>
    <w:qFormat/>
    <w:uiPriority w:val="99"/>
    <w:pPr>
      <w:tabs>
        <w:tab w:val="center" w:pos="4153"/>
        <w:tab w:val="right" w:pos="8306"/>
      </w:tabs>
      <w:adjustRightInd/>
      <w:snapToGrid w:val="0"/>
      <w:spacing w:line="240" w:lineRule="auto"/>
      <w:jc w:val="right"/>
    </w:pPr>
    <w:rPr>
      <w:rFonts w:ascii="宋体"/>
      <w:sz w:val="18"/>
      <w:szCs w:val="18"/>
    </w:rPr>
  </w:style>
  <w:style w:type="paragraph" w:styleId="20">
    <w:name w:val="header"/>
    <w:basedOn w:val="1"/>
    <w:link w:val="48"/>
    <w:qFormat/>
    <w:uiPriority w:val="99"/>
    <w:pPr>
      <w:tabs>
        <w:tab w:val="center" w:pos="4153"/>
        <w:tab w:val="right" w:pos="8306"/>
      </w:tabs>
      <w:adjustRightInd/>
      <w:snapToGrid w:val="0"/>
      <w:jc w:val="center"/>
    </w:pPr>
    <w:rPr>
      <w:sz w:val="18"/>
      <w:szCs w:val="18"/>
    </w:rPr>
  </w:style>
  <w:style w:type="paragraph" w:styleId="21">
    <w:name w:val="toc 1"/>
    <w:basedOn w:val="1"/>
    <w:next w:val="1"/>
    <w:unhideWhenUsed/>
    <w:qFormat/>
    <w:uiPriority w:val="39"/>
    <w:rPr>
      <w:rFonts w:ascii="宋体"/>
    </w:rPr>
  </w:style>
  <w:style w:type="paragraph" w:styleId="22">
    <w:name w:val="toc 4"/>
    <w:basedOn w:val="1"/>
    <w:next w:val="1"/>
    <w:unhideWhenUsed/>
    <w:qFormat/>
    <w:uiPriority w:val="39"/>
    <w:pPr>
      <w:tabs>
        <w:tab w:val="right" w:leader="dot" w:pos="9344"/>
      </w:tabs>
      <w:spacing w:line="300" w:lineRule="exact"/>
      <w:ind w:left="629"/>
    </w:pPr>
    <w:rPr>
      <w:rFonts w:ascii="宋体"/>
    </w:rPr>
  </w:style>
  <w:style w:type="paragraph" w:styleId="23">
    <w:name w:val="footnote text"/>
    <w:basedOn w:val="1"/>
    <w:next w:val="1"/>
    <w:link w:val="104"/>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4">
    <w:name w:val="toc 6"/>
    <w:basedOn w:val="1"/>
    <w:next w:val="1"/>
    <w:unhideWhenUsed/>
    <w:qFormat/>
    <w:uiPriority w:val="39"/>
    <w:pPr>
      <w:spacing w:line="300" w:lineRule="exact"/>
      <w:ind w:left="1049"/>
    </w:pPr>
    <w:rPr>
      <w:rFonts w:ascii="宋体"/>
    </w:rPr>
  </w:style>
  <w:style w:type="paragraph" w:styleId="25">
    <w:name w:val="table of figures"/>
    <w:basedOn w:val="1"/>
    <w:next w:val="1"/>
    <w:semiHidden/>
    <w:qFormat/>
    <w:uiPriority w:val="0"/>
    <w:pPr>
      <w:adjustRightInd/>
      <w:spacing w:line="240" w:lineRule="auto"/>
      <w:jc w:val="left"/>
    </w:pPr>
    <w:rPr>
      <w:szCs w:val="24"/>
    </w:rPr>
  </w:style>
  <w:style w:type="paragraph" w:styleId="26">
    <w:name w:val="toc 2"/>
    <w:basedOn w:val="1"/>
    <w:next w:val="1"/>
    <w:unhideWhenUsed/>
    <w:qFormat/>
    <w:uiPriority w:val="39"/>
    <w:pPr>
      <w:tabs>
        <w:tab w:val="right" w:leader="dot" w:pos="9344"/>
      </w:tabs>
      <w:spacing w:line="300" w:lineRule="exact"/>
      <w:ind w:left="210"/>
    </w:pPr>
    <w:rPr>
      <w:rFonts w:ascii="宋体"/>
    </w:rPr>
  </w:style>
  <w:style w:type="paragraph" w:styleId="27">
    <w:name w:val="Title"/>
    <w:basedOn w:val="1"/>
    <w:link w:val="53"/>
    <w:qFormat/>
    <w:uiPriority w:val="0"/>
    <w:pPr>
      <w:spacing w:before="240" w:after="60"/>
      <w:jc w:val="center"/>
      <w:outlineLvl w:val="0"/>
    </w:pPr>
    <w:rPr>
      <w:rFonts w:ascii="Arial" w:hAnsi="Arial" w:cs="Arial"/>
      <w:b/>
      <w:bCs/>
      <w:sz w:val="32"/>
      <w:szCs w:val="32"/>
    </w:rPr>
  </w:style>
  <w:style w:type="paragraph" w:styleId="28">
    <w:name w:val="annotation subject"/>
    <w:basedOn w:val="13"/>
    <w:next w:val="13"/>
    <w:link w:val="247"/>
    <w:semiHidden/>
    <w:unhideWhenUsed/>
    <w:qFormat/>
    <w:uiPriority w:val="99"/>
    <w:rPr>
      <w:b/>
      <w:bCs/>
    </w:rPr>
  </w:style>
  <w:style w:type="table" w:styleId="30">
    <w:name w:val="Table Grid"/>
    <w:basedOn w:val="29"/>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2">
    <w:name w:val="Strong"/>
    <w:qFormat/>
    <w:uiPriority w:val="22"/>
    <w:rPr>
      <w:b/>
      <w:bCs/>
    </w:rPr>
  </w:style>
  <w:style w:type="character" w:styleId="33">
    <w:name w:val="page number"/>
    <w:qFormat/>
    <w:uiPriority w:val="0"/>
    <w:rPr>
      <w:rFonts w:ascii="宋体" w:hAnsi="Times New Roman" w:eastAsia="宋体"/>
      <w:sz w:val="18"/>
    </w:rPr>
  </w:style>
  <w:style w:type="character" w:styleId="34">
    <w:name w:val="FollowedHyperlink"/>
    <w:basedOn w:val="31"/>
    <w:semiHidden/>
    <w:unhideWhenUsed/>
    <w:qFormat/>
    <w:uiPriority w:val="99"/>
    <w:rPr>
      <w:color w:val="954F72" w:themeColor="followedHyperlink"/>
      <w:u w:val="single"/>
      <w14:textFill>
        <w14:solidFill>
          <w14:schemeClr w14:val="folHlink"/>
        </w14:solidFill>
      </w14:textFill>
    </w:rPr>
  </w:style>
  <w:style w:type="character" w:styleId="35">
    <w:name w:val="Emphasis"/>
    <w:qFormat/>
    <w:uiPriority w:val="20"/>
    <w:rPr>
      <w:i/>
      <w:iCs/>
    </w:rPr>
  </w:style>
  <w:style w:type="character" w:styleId="36">
    <w:name w:val="Hyperlink"/>
    <w:qFormat/>
    <w:uiPriority w:val="99"/>
    <w:rPr>
      <w:rFonts w:ascii="宋体" w:hAnsi="Times New Roman" w:eastAsia="宋体"/>
      <w:color w:val="auto"/>
      <w:spacing w:val="0"/>
      <w:w w:val="100"/>
      <w:position w:val="0"/>
      <w:sz w:val="21"/>
      <w:u w:val="none"/>
      <w:vertAlign w:val="baseline"/>
    </w:rPr>
  </w:style>
  <w:style w:type="character" w:styleId="37">
    <w:name w:val="annotation reference"/>
    <w:basedOn w:val="31"/>
    <w:semiHidden/>
    <w:unhideWhenUsed/>
    <w:qFormat/>
    <w:uiPriority w:val="99"/>
    <w:rPr>
      <w:sz w:val="21"/>
      <w:szCs w:val="21"/>
    </w:rPr>
  </w:style>
  <w:style w:type="character" w:styleId="38">
    <w:name w:val="footnote reference"/>
    <w:semiHidden/>
    <w:qFormat/>
    <w:uiPriority w:val="0"/>
    <w:rPr>
      <w:rFonts w:ascii="宋体" w:hAnsi="宋体" w:eastAsia="宋体" w:cs="Times New Roman"/>
      <w:spacing w:val="0"/>
      <w:sz w:val="18"/>
      <w:vertAlign w:val="superscript"/>
    </w:rPr>
  </w:style>
  <w:style w:type="character" w:customStyle="1" w:styleId="39">
    <w:name w:val="标题 1 Char"/>
    <w:link w:val="2"/>
    <w:qFormat/>
    <w:uiPriority w:val="0"/>
    <w:rPr>
      <w:rFonts w:ascii="Times New Roman" w:hAnsi="Times New Roman" w:eastAsia="宋体" w:cs="Times New Roman"/>
      <w:b/>
      <w:bCs/>
      <w:kern w:val="44"/>
      <w:sz w:val="44"/>
      <w:szCs w:val="44"/>
    </w:rPr>
  </w:style>
  <w:style w:type="character" w:customStyle="1" w:styleId="40">
    <w:name w:val="标题 2 Char"/>
    <w:link w:val="3"/>
    <w:qFormat/>
    <w:uiPriority w:val="0"/>
    <w:rPr>
      <w:rFonts w:ascii="Arial" w:hAnsi="Arial" w:eastAsia="黑体" w:cs="Times New Roman"/>
      <w:b/>
      <w:bCs/>
      <w:sz w:val="32"/>
      <w:szCs w:val="32"/>
    </w:rPr>
  </w:style>
  <w:style w:type="character" w:customStyle="1" w:styleId="41">
    <w:name w:val="标题 3 Char"/>
    <w:link w:val="4"/>
    <w:qFormat/>
    <w:uiPriority w:val="0"/>
    <w:rPr>
      <w:rFonts w:ascii="Times New Roman" w:hAnsi="Times New Roman" w:eastAsia="宋体" w:cs="Times New Roman"/>
      <w:b/>
      <w:bCs/>
      <w:sz w:val="32"/>
      <w:szCs w:val="32"/>
    </w:rPr>
  </w:style>
  <w:style w:type="character" w:customStyle="1" w:styleId="42">
    <w:name w:val="标题 4 Char"/>
    <w:link w:val="5"/>
    <w:qFormat/>
    <w:uiPriority w:val="0"/>
    <w:rPr>
      <w:rFonts w:ascii="Arial" w:hAnsi="Arial" w:eastAsia="黑体" w:cs="Times New Roman"/>
      <w:b/>
      <w:bCs/>
      <w:sz w:val="28"/>
      <w:szCs w:val="28"/>
    </w:rPr>
  </w:style>
  <w:style w:type="character" w:customStyle="1" w:styleId="43">
    <w:name w:val="标题 5 Char"/>
    <w:link w:val="6"/>
    <w:qFormat/>
    <w:uiPriority w:val="0"/>
    <w:rPr>
      <w:rFonts w:ascii="Times New Roman" w:hAnsi="Times New Roman" w:eastAsia="宋体" w:cs="Times New Roman"/>
      <w:b/>
      <w:bCs/>
      <w:sz w:val="28"/>
      <w:szCs w:val="28"/>
    </w:rPr>
  </w:style>
  <w:style w:type="character" w:customStyle="1" w:styleId="44">
    <w:name w:val="标题 6 Char"/>
    <w:link w:val="7"/>
    <w:qFormat/>
    <w:uiPriority w:val="0"/>
    <w:rPr>
      <w:rFonts w:ascii="Arial" w:hAnsi="Arial" w:eastAsia="黑体" w:cs="Times New Roman"/>
      <w:b/>
      <w:bCs/>
      <w:sz w:val="24"/>
      <w:szCs w:val="24"/>
    </w:rPr>
  </w:style>
  <w:style w:type="character" w:customStyle="1" w:styleId="45">
    <w:name w:val="标题 7 Char"/>
    <w:link w:val="8"/>
    <w:qFormat/>
    <w:uiPriority w:val="0"/>
    <w:rPr>
      <w:rFonts w:ascii="Times New Roman" w:hAnsi="Times New Roman" w:eastAsia="宋体" w:cs="Times New Roman"/>
      <w:b/>
      <w:bCs/>
      <w:sz w:val="24"/>
      <w:szCs w:val="24"/>
    </w:rPr>
  </w:style>
  <w:style w:type="character" w:customStyle="1" w:styleId="46">
    <w:name w:val="标题 8 Char"/>
    <w:link w:val="9"/>
    <w:qFormat/>
    <w:uiPriority w:val="0"/>
    <w:rPr>
      <w:rFonts w:ascii="Arial" w:hAnsi="Arial" w:eastAsia="黑体" w:cs="Times New Roman"/>
      <w:sz w:val="24"/>
      <w:szCs w:val="24"/>
    </w:rPr>
  </w:style>
  <w:style w:type="character" w:customStyle="1" w:styleId="47">
    <w:name w:val="标题 9 Char"/>
    <w:link w:val="10"/>
    <w:qFormat/>
    <w:uiPriority w:val="0"/>
    <w:rPr>
      <w:rFonts w:ascii="Arial" w:hAnsi="Arial" w:eastAsia="黑体" w:cs="Times New Roman"/>
      <w:szCs w:val="21"/>
    </w:rPr>
  </w:style>
  <w:style w:type="character" w:customStyle="1" w:styleId="48">
    <w:name w:val="页眉 Char"/>
    <w:link w:val="20"/>
    <w:qFormat/>
    <w:uiPriority w:val="99"/>
    <w:rPr>
      <w:rFonts w:ascii="Times New Roman" w:hAnsi="Times New Roman" w:eastAsia="宋体" w:cs="Times New Roman"/>
      <w:sz w:val="18"/>
      <w:szCs w:val="18"/>
    </w:rPr>
  </w:style>
  <w:style w:type="character" w:customStyle="1" w:styleId="49">
    <w:name w:val="页脚 Char"/>
    <w:link w:val="19"/>
    <w:qFormat/>
    <w:uiPriority w:val="99"/>
    <w:rPr>
      <w:rFonts w:ascii="宋体" w:hAnsi="Times New Roman" w:eastAsia="宋体" w:cs="Times New Roman"/>
      <w:sz w:val="18"/>
      <w:szCs w:val="18"/>
    </w:rPr>
  </w:style>
  <w:style w:type="character" w:customStyle="1" w:styleId="50">
    <w:name w:val="批注框文本 Char"/>
    <w:link w:val="18"/>
    <w:semiHidden/>
    <w:qFormat/>
    <w:uiPriority w:val="99"/>
    <w:rPr>
      <w:sz w:val="18"/>
      <w:szCs w:val="18"/>
    </w:rPr>
  </w:style>
  <w:style w:type="paragraph" w:styleId="51">
    <w:name w:val="Quote"/>
    <w:basedOn w:val="1"/>
    <w:next w:val="1"/>
    <w:link w:val="52"/>
    <w:qFormat/>
    <w:uiPriority w:val="29"/>
    <w:rPr>
      <w:i/>
      <w:iCs/>
      <w:color w:val="000000"/>
    </w:rPr>
  </w:style>
  <w:style w:type="character" w:customStyle="1" w:styleId="52">
    <w:name w:val="引用 Char"/>
    <w:link w:val="51"/>
    <w:qFormat/>
    <w:uiPriority w:val="29"/>
    <w:rPr>
      <w:i/>
      <w:iCs/>
      <w:color w:val="000000"/>
    </w:rPr>
  </w:style>
  <w:style w:type="character" w:customStyle="1" w:styleId="53">
    <w:name w:val="标题 Char"/>
    <w:link w:val="27"/>
    <w:qFormat/>
    <w:uiPriority w:val="0"/>
    <w:rPr>
      <w:rFonts w:ascii="Arial" w:hAnsi="Arial" w:eastAsia="宋体" w:cs="Arial"/>
      <w:b/>
      <w:bCs/>
      <w:sz w:val="32"/>
      <w:szCs w:val="32"/>
    </w:rPr>
  </w:style>
  <w:style w:type="paragraph" w:customStyle="1" w:styleId="54">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5">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6">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7">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8">
    <w:name w:val="标准书眉一"/>
    <w:qFormat/>
    <w:uiPriority w:val="0"/>
    <w:pPr>
      <w:jc w:val="both"/>
    </w:pPr>
    <w:rPr>
      <w:rFonts w:ascii="Times New Roman" w:hAnsi="Times New Roman" w:eastAsia="宋体" w:cs="Times New Roman"/>
      <w:lang w:val="en-US" w:eastAsia="zh-CN" w:bidi="ar-SA"/>
    </w:rPr>
  </w:style>
  <w:style w:type="paragraph" w:customStyle="1" w:styleId="59">
    <w:name w:val="标准文件_ICS"/>
    <w:basedOn w:val="1"/>
    <w:qFormat/>
    <w:uiPriority w:val="0"/>
    <w:pPr>
      <w:spacing w:line="0" w:lineRule="atLeast"/>
    </w:pPr>
    <w:rPr>
      <w:rFonts w:ascii="黑体" w:hAnsi="宋体" w:eastAsia="黑体"/>
    </w:rPr>
  </w:style>
  <w:style w:type="paragraph" w:customStyle="1" w:styleId="60">
    <w:name w:val="标准文件_标准正文"/>
    <w:basedOn w:val="1"/>
    <w:next w:val="61"/>
    <w:qFormat/>
    <w:uiPriority w:val="0"/>
    <w:pPr>
      <w:snapToGrid w:val="0"/>
      <w:ind w:firstLine="200" w:firstLineChars="200"/>
    </w:pPr>
    <w:rPr>
      <w:kern w:val="0"/>
    </w:rPr>
  </w:style>
  <w:style w:type="paragraph" w:customStyle="1" w:styleId="61">
    <w:name w:val="标准文件_段"/>
    <w:link w:val="189"/>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62">
    <w:name w:val="标准文件_版本"/>
    <w:basedOn w:val="60"/>
    <w:qFormat/>
    <w:uiPriority w:val="0"/>
    <w:pPr>
      <w:adjustRightInd/>
      <w:snapToGrid/>
      <w:ind w:firstLine="0" w:firstLineChars="0"/>
    </w:pPr>
    <w:rPr>
      <w:rFonts w:ascii="宋体" w:hAnsi="宋体"/>
      <w:kern w:val="2"/>
    </w:rPr>
  </w:style>
  <w:style w:type="paragraph" w:customStyle="1" w:styleId="63">
    <w:name w:val="标准文件_标准部门"/>
    <w:basedOn w:val="1"/>
    <w:qFormat/>
    <w:uiPriority w:val="0"/>
    <w:pPr>
      <w:jc w:val="center"/>
    </w:pPr>
    <w:rPr>
      <w:rFonts w:ascii="黑体" w:eastAsia="黑体"/>
      <w:kern w:val="0"/>
      <w:sz w:val="44"/>
    </w:rPr>
  </w:style>
  <w:style w:type="paragraph" w:customStyle="1" w:styleId="64">
    <w:name w:val="标准文件_标准代替"/>
    <w:basedOn w:val="1"/>
    <w:next w:val="1"/>
    <w:qFormat/>
    <w:uiPriority w:val="0"/>
    <w:pPr>
      <w:spacing w:line="310" w:lineRule="exact"/>
      <w:jc w:val="right"/>
    </w:pPr>
    <w:rPr>
      <w:rFonts w:ascii="宋体" w:hAnsi="宋体"/>
      <w:kern w:val="0"/>
    </w:rPr>
  </w:style>
  <w:style w:type="paragraph" w:customStyle="1" w:styleId="65">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6">
    <w:name w:val="标准文件_页眉奇数页"/>
    <w:next w:val="1"/>
    <w:qFormat/>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7">
    <w:name w:val="标准文件_页眉偶数页"/>
    <w:basedOn w:val="66"/>
    <w:next w:val="1"/>
    <w:qFormat/>
    <w:uiPriority w:val="0"/>
    <w:pPr>
      <w:jc w:val="left"/>
    </w:pPr>
  </w:style>
  <w:style w:type="paragraph" w:customStyle="1" w:styleId="68">
    <w:name w:val="标准文件_参考文献标题"/>
    <w:basedOn w:val="1"/>
    <w:next w:val="1"/>
    <w:qFormat/>
    <w:uiPriority w:val="0"/>
    <w:pPr>
      <w:widowControl/>
      <w:shd w:val="clear" w:color="FFFFFF" w:fill="FFFFFF"/>
      <w:adjustRightInd/>
      <w:spacing w:before="40" w:beforeLines="40" w:after="50" w:afterLines="50" w:line="240" w:lineRule="auto"/>
      <w:jc w:val="center"/>
      <w:outlineLvl w:val="0"/>
    </w:pPr>
    <w:rPr>
      <w:rFonts w:ascii="黑体" w:eastAsia="黑体"/>
      <w:kern w:val="0"/>
    </w:rPr>
  </w:style>
  <w:style w:type="paragraph" w:customStyle="1" w:styleId="69">
    <w:name w:val="标准文件_参考文献条目"/>
    <w:qFormat/>
    <w:uiPriority w:val="0"/>
    <w:pPr>
      <w:numPr>
        <w:ilvl w:val="0"/>
        <w:numId w:val="1"/>
      </w:numPr>
    </w:pPr>
    <w:rPr>
      <w:rFonts w:ascii="宋体" w:hAnsi="Times New Roman" w:eastAsia="宋体" w:cs="Times New Roman"/>
      <w:lang w:val="en-US" w:eastAsia="zh-CN" w:bidi="ar-SA"/>
    </w:rPr>
  </w:style>
  <w:style w:type="paragraph" w:customStyle="1" w:styleId="70">
    <w:name w:val="标准文件_二级条标题"/>
    <w:next w:val="61"/>
    <w:qFormat/>
    <w:uiPriority w:val="0"/>
    <w:pPr>
      <w:widowControl w:val="0"/>
      <w:numPr>
        <w:ilvl w:val="3"/>
        <w:numId w:val="2"/>
      </w:numPr>
      <w:spacing w:before="50" w:beforeLines="50" w:after="50" w:afterLines="50"/>
      <w:ind w:left="0"/>
      <w:jc w:val="both"/>
      <w:outlineLvl w:val="2"/>
    </w:pPr>
    <w:rPr>
      <w:rFonts w:ascii="黑体" w:hAnsi="Times New Roman" w:eastAsia="黑体" w:cs="Times New Roman"/>
      <w:sz w:val="21"/>
      <w:lang w:val="en-US" w:eastAsia="zh-CN" w:bidi="ar-SA"/>
    </w:rPr>
  </w:style>
  <w:style w:type="character" w:customStyle="1" w:styleId="71">
    <w:name w:val="标准文件_发布"/>
    <w:qFormat/>
    <w:uiPriority w:val="0"/>
    <w:rPr>
      <w:rFonts w:ascii="黑体" w:eastAsia="黑体"/>
      <w:spacing w:val="0"/>
      <w:w w:val="100"/>
      <w:position w:val="3"/>
      <w:sz w:val="28"/>
    </w:rPr>
  </w:style>
  <w:style w:type="paragraph" w:customStyle="1" w:styleId="72">
    <w:name w:val="标准文件_方框数字列项"/>
    <w:basedOn w:val="61"/>
    <w:qFormat/>
    <w:uiPriority w:val="0"/>
    <w:pPr>
      <w:numPr>
        <w:ilvl w:val="0"/>
        <w:numId w:val="3"/>
      </w:numPr>
      <w:ind w:firstLine="0" w:firstLineChars="0"/>
    </w:pPr>
  </w:style>
  <w:style w:type="paragraph" w:customStyle="1" w:styleId="73">
    <w:name w:val="标准文件_封面标准编号"/>
    <w:basedOn w:val="1"/>
    <w:next w:val="64"/>
    <w:qFormat/>
    <w:uiPriority w:val="0"/>
    <w:pPr>
      <w:spacing w:line="310" w:lineRule="exact"/>
      <w:jc w:val="right"/>
    </w:pPr>
    <w:rPr>
      <w:rFonts w:ascii="黑体" w:eastAsia="黑体"/>
      <w:kern w:val="0"/>
      <w:sz w:val="28"/>
    </w:rPr>
  </w:style>
  <w:style w:type="paragraph" w:customStyle="1" w:styleId="74">
    <w:name w:val="标准文件_封面标准分类号"/>
    <w:basedOn w:val="1"/>
    <w:qFormat/>
    <w:uiPriority w:val="0"/>
    <w:rPr>
      <w:rFonts w:ascii="黑体" w:eastAsia="黑体"/>
      <w:b/>
      <w:kern w:val="0"/>
      <w:sz w:val="28"/>
    </w:rPr>
  </w:style>
  <w:style w:type="paragraph" w:customStyle="1" w:styleId="75">
    <w:name w:val="标准文件_封面标准名称"/>
    <w:basedOn w:val="1"/>
    <w:qFormat/>
    <w:uiPriority w:val="0"/>
    <w:pPr>
      <w:spacing w:line="240" w:lineRule="auto"/>
      <w:jc w:val="center"/>
    </w:pPr>
    <w:rPr>
      <w:rFonts w:ascii="黑体" w:eastAsia="黑体"/>
      <w:kern w:val="0"/>
      <w:sz w:val="52"/>
    </w:rPr>
  </w:style>
  <w:style w:type="paragraph" w:customStyle="1" w:styleId="76">
    <w:name w:val="标准文件_封面标准英文名称"/>
    <w:basedOn w:val="1"/>
    <w:qFormat/>
    <w:uiPriority w:val="0"/>
    <w:pPr>
      <w:spacing w:line="240" w:lineRule="auto"/>
      <w:jc w:val="center"/>
    </w:pPr>
    <w:rPr>
      <w:rFonts w:ascii="黑体" w:eastAsia="黑体"/>
      <w:b/>
      <w:sz w:val="28"/>
    </w:rPr>
  </w:style>
  <w:style w:type="paragraph" w:customStyle="1" w:styleId="77">
    <w:name w:val="标准文件_封面发布日期"/>
    <w:basedOn w:val="1"/>
    <w:qFormat/>
    <w:uiPriority w:val="0"/>
    <w:pPr>
      <w:spacing w:line="310" w:lineRule="exact"/>
    </w:pPr>
    <w:rPr>
      <w:rFonts w:ascii="黑体" w:eastAsia="黑体"/>
      <w:kern w:val="0"/>
      <w:sz w:val="28"/>
    </w:rPr>
  </w:style>
  <w:style w:type="paragraph" w:customStyle="1" w:styleId="78">
    <w:name w:val="标准文件_封面密级"/>
    <w:basedOn w:val="1"/>
    <w:qFormat/>
    <w:uiPriority w:val="0"/>
    <w:rPr>
      <w:rFonts w:eastAsia="黑体"/>
      <w:sz w:val="32"/>
    </w:rPr>
  </w:style>
  <w:style w:type="paragraph" w:customStyle="1" w:styleId="79">
    <w:name w:val="标准文件_封面实施日期"/>
    <w:basedOn w:val="1"/>
    <w:qFormat/>
    <w:uiPriority w:val="0"/>
    <w:pPr>
      <w:spacing w:line="310" w:lineRule="exact"/>
      <w:jc w:val="right"/>
    </w:pPr>
    <w:rPr>
      <w:rFonts w:ascii="黑体" w:eastAsia="黑体"/>
      <w:sz w:val="28"/>
    </w:rPr>
  </w:style>
  <w:style w:type="paragraph" w:customStyle="1" w:styleId="80">
    <w:name w:val="标准文件_封面抬头"/>
    <w:basedOn w:val="61"/>
    <w:qFormat/>
    <w:uiPriority w:val="0"/>
    <w:pPr>
      <w:adjustRightInd w:val="0"/>
      <w:spacing w:line="800" w:lineRule="exact"/>
      <w:ind w:firstLine="0" w:firstLineChars="0"/>
      <w:jc w:val="distribute"/>
    </w:pPr>
    <w:rPr>
      <w:rFonts w:ascii="黑体" w:eastAsia="黑体"/>
      <w:b/>
      <w:sz w:val="64"/>
    </w:rPr>
  </w:style>
  <w:style w:type="paragraph" w:customStyle="1" w:styleId="81">
    <w:name w:val="标准文件_附录标识"/>
    <w:next w:val="61"/>
    <w:qFormat/>
    <w:uiPriority w:val="0"/>
    <w:pPr>
      <w:numPr>
        <w:ilvl w:val="0"/>
        <w:numId w:val="4"/>
      </w:numPr>
      <w:shd w:val="clear" w:color="FFFFFF" w:fill="FFFFFF"/>
      <w:tabs>
        <w:tab w:val="left" w:pos="6406"/>
      </w:tabs>
      <w:spacing w:before="25" w:beforeLines="25" w:after="50" w:afterLines="50"/>
      <w:jc w:val="center"/>
      <w:outlineLvl w:val="0"/>
    </w:pPr>
    <w:rPr>
      <w:rFonts w:ascii="黑体" w:hAnsi="Times New Roman" w:eastAsia="黑体" w:cs="Times New Roman"/>
      <w:sz w:val="21"/>
      <w:lang w:val="en-US" w:eastAsia="zh-CN" w:bidi="ar-SA"/>
    </w:rPr>
  </w:style>
  <w:style w:type="paragraph" w:customStyle="1" w:styleId="82">
    <w:name w:val="标准文件_附录表标题"/>
    <w:next w:val="61"/>
    <w:qFormat/>
    <w:uiPriority w:val="0"/>
    <w:pPr>
      <w:numPr>
        <w:ilvl w:val="1"/>
        <w:numId w:val="5"/>
      </w:numPr>
      <w:adjustRightInd w:val="0"/>
      <w:snapToGrid w:val="0"/>
      <w:spacing w:before="50" w:beforeLines="50" w:after="50" w:afterLines="50"/>
      <w:ind w:firstLine="420"/>
      <w:jc w:val="center"/>
      <w:textAlignment w:val="baseline"/>
    </w:pPr>
    <w:rPr>
      <w:rFonts w:ascii="黑体" w:hAnsi="Times New Roman" w:eastAsia="黑体" w:cs="Times New Roman"/>
      <w:kern w:val="21"/>
      <w:sz w:val="21"/>
      <w:lang w:val="en-US" w:eastAsia="zh-CN" w:bidi="ar-SA"/>
    </w:rPr>
  </w:style>
  <w:style w:type="paragraph" w:customStyle="1" w:styleId="83">
    <w:name w:val="标准文件_附录一级条标题"/>
    <w:next w:val="61"/>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84">
    <w:name w:val="标准文件_附录二级条标题"/>
    <w:basedOn w:val="83"/>
    <w:next w:val="61"/>
    <w:qFormat/>
    <w:uiPriority w:val="0"/>
    <w:pPr>
      <w:widowControl/>
      <w:numPr>
        <w:ilvl w:val="2"/>
      </w:numPr>
      <w:wordWrap w:val="0"/>
      <w:overflowPunct w:val="0"/>
      <w:autoSpaceDE w:val="0"/>
      <w:autoSpaceDN w:val="0"/>
      <w:textAlignment w:val="baseline"/>
      <w:outlineLvl w:val="3"/>
    </w:pPr>
  </w:style>
  <w:style w:type="paragraph" w:customStyle="1" w:styleId="85">
    <w:name w:val="标准文件_附录公式"/>
    <w:basedOn w:val="60"/>
    <w:next w:val="60"/>
    <w:qFormat/>
    <w:uiPriority w:val="0"/>
    <w:pPr>
      <w:tabs>
        <w:tab w:val="center" w:pos="4678"/>
        <w:tab w:val="right" w:leader="middleDot" w:pos="9356"/>
      </w:tabs>
      <w:spacing w:line="240" w:lineRule="auto"/>
      <w:ind w:right="-51" w:firstLine="0" w:firstLineChars="0"/>
    </w:pPr>
    <w:rPr>
      <w:rFonts w:ascii="宋体" w:hAnsi="宋体"/>
    </w:rPr>
  </w:style>
  <w:style w:type="paragraph" w:customStyle="1" w:styleId="86">
    <w:name w:val="标准文件_附录三级条标题"/>
    <w:next w:val="61"/>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7">
    <w:name w:val="标准文件_附录四级条标题"/>
    <w:next w:val="61"/>
    <w:qFormat/>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8">
    <w:name w:val="标准文件_附录图标题"/>
    <w:next w:val="61"/>
    <w:qFormat/>
    <w:uiPriority w:val="0"/>
    <w:pPr>
      <w:numPr>
        <w:ilvl w:val="1"/>
        <w:numId w:val="6"/>
      </w:numPr>
      <w:adjustRightInd w:val="0"/>
      <w:snapToGrid w:val="0"/>
      <w:spacing w:before="50" w:beforeLines="50" w:after="50" w:afterLines="50"/>
      <w:ind w:firstLine="420"/>
      <w:jc w:val="center"/>
    </w:pPr>
    <w:rPr>
      <w:rFonts w:ascii="黑体" w:hAnsi="Times New Roman" w:eastAsia="黑体" w:cs="Times New Roman"/>
      <w:sz w:val="21"/>
      <w:lang w:val="en-US" w:eastAsia="zh-CN" w:bidi="ar-SA"/>
    </w:rPr>
  </w:style>
  <w:style w:type="paragraph" w:customStyle="1" w:styleId="89">
    <w:name w:val="标准文件_附录五级条标题"/>
    <w:next w:val="61"/>
    <w:qFormat/>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90">
    <w:name w:val="标准文件_附录英文标识"/>
    <w:next w:val="14"/>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91">
    <w:name w:val="正文文本 Char"/>
    <w:link w:val="14"/>
    <w:qFormat/>
    <w:uiPriority w:val="0"/>
    <w:rPr>
      <w:rFonts w:ascii="Times New Roman" w:hAnsi="Times New Roman" w:eastAsia="宋体" w:cs="Times New Roman"/>
      <w:szCs w:val="20"/>
    </w:rPr>
  </w:style>
  <w:style w:type="paragraph" w:customStyle="1" w:styleId="92">
    <w:name w:val="标准文件_附录章标题"/>
    <w:next w:val="61"/>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93">
    <w:name w:val="标准文件_公式后的破折号"/>
    <w:basedOn w:val="61"/>
    <w:next w:val="61"/>
    <w:qFormat/>
    <w:uiPriority w:val="0"/>
    <w:pPr>
      <w:ind w:left="488" w:leftChars="200" w:hanging="289" w:hangingChars="290"/>
    </w:pPr>
  </w:style>
  <w:style w:type="paragraph" w:customStyle="1" w:styleId="94">
    <w:name w:val="标准文件_前言、引言标题"/>
    <w:next w:val="1"/>
    <w:qFormat/>
    <w:uiPriority w:val="0"/>
    <w:pPr>
      <w:numPr>
        <w:ilvl w:val="0"/>
        <w:numId w:val="8"/>
      </w:numPr>
      <w:shd w:val="clear" w:color="FFFFFF" w:fill="FFFFFF"/>
      <w:spacing w:after="150" w:afterLines="150"/>
      <w:jc w:val="center"/>
      <w:outlineLvl w:val="0"/>
    </w:pPr>
    <w:rPr>
      <w:rFonts w:ascii="黑体" w:hAnsi="Times New Roman" w:eastAsia="黑体" w:cs="Times New Roman"/>
      <w:sz w:val="32"/>
      <w:lang w:val="en-US" w:eastAsia="zh-CN" w:bidi="ar-SA"/>
    </w:rPr>
  </w:style>
  <w:style w:type="paragraph" w:customStyle="1" w:styleId="95">
    <w:name w:val="标准文件_目次、标准名称标题"/>
    <w:basedOn w:val="94"/>
    <w:next w:val="61"/>
    <w:qFormat/>
    <w:uiPriority w:val="0"/>
    <w:pPr>
      <w:spacing w:line="460" w:lineRule="exact"/>
    </w:pPr>
  </w:style>
  <w:style w:type="paragraph" w:customStyle="1" w:styleId="96">
    <w:name w:val="标准文件_目录标题"/>
    <w:basedOn w:val="1"/>
    <w:qFormat/>
    <w:uiPriority w:val="0"/>
    <w:pPr>
      <w:spacing w:after="150" w:afterLines="150" w:line="240" w:lineRule="auto"/>
      <w:jc w:val="center"/>
    </w:pPr>
    <w:rPr>
      <w:rFonts w:ascii="黑体" w:eastAsia="黑体"/>
      <w:sz w:val="32"/>
    </w:rPr>
  </w:style>
  <w:style w:type="paragraph" w:customStyle="1" w:styleId="97">
    <w:name w:val="标准文件_破折号列项"/>
    <w:qFormat/>
    <w:uiPriority w:val="0"/>
    <w:pPr>
      <w:numPr>
        <w:ilvl w:val="0"/>
        <w:numId w:val="9"/>
      </w:numPr>
      <w:adjustRightInd w:val="0"/>
      <w:snapToGrid w:val="0"/>
      <w:ind w:left="0" w:firstLine="200" w:firstLineChars="200"/>
    </w:pPr>
    <w:rPr>
      <w:rFonts w:ascii="Times New Roman" w:hAnsi="Times New Roman" w:eastAsia="宋体" w:cs="Times New Roman"/>
      <w:sz w:val="21"/>
      <w:lang w:val="en-US" w:eastAsia="zh-CN" w:bidi="ar-SA"/>
    </w:rPr>
  </w:style>
  <w:style w:type="paragraph" w:customStyle="1" w:styleId="98">
    <w:name w:val="标准文件_破折号列项（二级）"/>
    <w:basedOn w:val="97"/>
    <w:qFormat/>
    <w:uiPriority w:val="0"/>
    <w:pPr>
      <w:numPr>
        <w:numId w:val="10"/>
      </w:numPr>
      <w:ind w:left="0" w:firstLine="200"/>
    </w:pPr>
  </w:style>
  <w:style w:type="paragraph" w:customStyle="1" w:styleId="99">
    <w:name w:val="标准文件_三级条标题"/>
    <w:basedOn w:val="70"/>
    <w:next w:val="61"/>
    <w:qFormat/>
    <w:uiPriority w:val="0"/>
    <w:pPr>
      <w:widowControl/>
      <w:numPr>
        <w:ilvl w:val="4"/>
      </w:numPr>
      <w:outlineLvl w:val="3"/>
    </w:pPr>
  </w:style>
  <w:style w:type="character" w:customStyle="1" w:styleId="100">
    <w:name w:val="不明显参考1"/>
    <w:qFormat/>
    <w:uiPriority w:val="31"/>
    <w:rPr>
      <w:smallCaps/>
      <w:color w:val="C0504D"/>
      <w:u w:val="single"/>
    </w:rPr>
  </w:style>
  <w:style w:type="paragraph" w:customStyle="1" w:styleId="101">
    <w:name w:val="标准文件_示例后续"/>
    <w:basedOn w:val="1"/>
    <w:qFormat/>
    <w:uiPriority w:val="0"/>
    <w:pPr>
      <w:adjustRightInd/>
      <w:spacing w:line="240" w:lineRule="auto"/>
      <w:ind w:firstLine="200" w:firstLineChars="200"/>
    </w:pPr>
    <w:rPr>
      <w:sz w:val="18"/>
      <w:szCs w:val="24"/>
    </w:rPr>
  </w:style>
  <w:style w:type="paragraph" w:customStyle="1" w:styleId="102">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103">
    <w:name w:val="标准文件_四级条标题"/>
    <w:next w:val="61"/>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104">
    <w:name w:val="脚注文本 Char"/>
    <w:link w:val="23"/>
    <w:semiHidden/>
    <w:qFormat/>
    <w:uiPriority w:val="0"/>
    <w:rPr>
      <w:rFonts w:ascii="宋体" w:hAnsi="Times New Roman" w:eastAsia="宋体" w:cs="Times New Roman"/>
      <w:sz w:val="18"/>
      <w:szCs w:val="18"/>
    </w:rPr>
  </w:style>
  <w:style w:type="paragraph" w:customStyle="1" w:styleId="105">
    <w:name w:val="标准文件_条文脚注"/>
    <w:basedOn w:val="23"/>
    <w:qFormat/>
    <w:uiPriority w:val="0"/>
    <w:pPr>
      <w:adjustRightInd w:val="0"/>
      <w:spacing w:line="240" w:lineRule="auto"/>
      <w:ind w:left="0" w:leftChars="0" w:firstLine="200" w:firstLineChars="200"/>
      <w:jc w:val="both"/>
    </w:pPr>
    <w:rPr>
      <w:rFonts w:hAnsi="宋体"/>
    </w:rPr>
  </w:style>
  <w:style w:type="paragraph" w:customStyle="1" w:styleId="106">
    <w:name w:val="标准文件_图表脚注"/>
    <w:basedOn w:val="1"/>
    <w:next w:val="61"/>
    <w:qFormat/>
    <w:uiPriority w:val="0"/>
    <w:pPr>
      <w:numPr>
        <w:ilvl w:val="0"/>
        <w:numId w:val="12"/>
      </w:numPr>
      <w:spacing w:line="240" w:lineRule="auto"/>
      <w:jc w:val="left"/>
    </w:pPr>
    <w:rPr>
      <w:rFonts w:ascii="宋体" w:hAnsi="宋体"/>
      <w:sz w:val="18"/>
    </w:rPr>
  </w:style>
  <w:style w:type="character" w:customStyle="1" w:styleId="107">
    <w:name w:val="标准文件_图表脚注内容"/>
    <w:qFormat/>
    <w:uiPriority w:val="0"/>
    <w:rPr>
      <w:rFonts w:ascii="宋体" w:hAnsi="宋体" w:eastAsia="宋体" w:cs="Times New Roman"/>
      <w:spacing w:val="0"/>
      <w:sz w:val="18"/>
      <w:vertAlign w:val="superscript"/>
    </w:rPr>
  </w:style>
  <w:style w:type="paragraph" w:customStyle="1" w:styleId="108">
    <w:name w:val="标准文件_五级条标题"/>
    <w:next w:val="61"/>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9">
    <w:name w:val="标准文件_章标题"/>
    <w:next w:val="61"/>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10">
    <w:name w:val="标准文件_一级条标题"/>
    <w:basedOn w:val="109"/>
    <w:next w:val="61"/>
    <w:qFormat/>
    <w:uiPriority w:val="0"/>
    <w:pPr>
      <w:numPr>
        <w:ilvl w:val="2"/>
      </w:numPr>
      <w:spacing w:before="50" w:beforeLines="50" w:after="50" w:afterLines="50"/>
      <w:outlineLvl w:val="1"/>
    </w:pPr>
  </w:style>
  <w:style w:type="paragraph" w:customStyle="1" w:styleId="111">
    <w:name w:val="标准文件_一致程度"/>
    <w:basedOn w:val="1"/>
    <w:qFormat/>
    <w:uiPriority w:val="0"/>
    <w:pPr>
      <w:spacing w:line="440" w:lineRule="exact"/>
      <w:jc w:val="center"/>
    </w:pPr>
    <w:rPr>
      <w:sz w:val="28"/>
    </w:rPr>
  </w:style>
  <w:style w:type="paragraph" w:customStyle="1" w:styleId="112">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13">
    <w:name w:val="标准文件_英文图表脚注"/>
    <w:basedOn w:val="60"/>
    <w:qFormat/>
    <w:uiPriority w:val="0"/>
    <w:pPr>
      <w:widowControl/>
      <w:adjustRightInd/>
      <w:snapToGrid/>
      <w:spacing w:line="240" w:lineRule="auto"/>
      <w:ind w:left="79" w:hanging="79" w:hangingChars="80"/>
    </w:pPr>
    <w:rPr>
      <w:rFonts w:ascii="宋体" w:hAnsi="宋体"/>
    </w:rPr>
  </w:style>
  <w:style w:type="paragraph" w:customStyle="1" w:styleId="114">
    <w:name w:val="标准文件_数字编号列项（二级）"/>
    <w:qFormat/>
    <w:uiPriority w:val="0"/>
    <w:pPr>
      <w:numPr>
        <w:ilvl w:val="1"/>
        <w:numId w:val="13"/>
      </w:numPr>
      <w:tabs>
        <w:tab w:val="left" w:pos="851"/>
      </w:tabs>
      <w:jc w:val="both"/>
    </w:pPr>
    <w:rPr>
      <w:rFonts w:ascii="宋体" w:hAnsi="Times New Roman" w:eastAsia="宋体" w:cs="Times New Roman"/>
      <w:sz w:val="21"/>
      <w:lang w:val="en-US" w:eastAsia="zh-CN" w:bidi="ar-SA"/>
    </w:rPr>
  </w:style>
  <w:style w:type="paragraph" w:customStyle="1" w:styleId="115">
    <w:name w:val="标准文件_英文注："/>
    <w:basedOn w:val="1"/>
    <w:next w:val="61"/>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6">
    <w:name w:val="标准文件_英文注×："/>
    <w:basedOn w:val="1"/>
    <w:qFormat/>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7">
    <w:name w:val="标准文件_正文表标题"/>
    <w:next w:val="61"/>
    <w:qFormat/>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8">
    <w:name w:val="标准文件_正文公式"/>
    <w:basedOn w:val="1"/>
    <w:next w:val="60"/>
    <w:qFormat/>
    <w:uiPriority w:val="0"/>
    <w:pPr>
      <w:tabs>
        <w:tab w:val="center" w:pos="4678"/>
        <w:tab w:val="right" w:leader="middleDot" w:pos="9356"/>
      </w:tabs>
      <w:spacing w:line="240" w:lineRule="auto"/>
    </w:pPr>
    <w:rPr>
      <w:rFonts w:ascii="宋体" w:hAnsi="宋体"/>
    </w:rPr>
  </w:style>
  <w:style w:type="paragraph" w:customStyle="1" w:styleId="119">
    <w:name w:val="标准文件_正文图标题"/>
    <w:next w:val="61"/>
    <w:qFormat/>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20">
    <w:name w:val="标准文件_正文英文表标题"/>
    <w:next w:val="61"/>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21">
    <w:name w:val="标准文件_正文英文图标题"/>
    <w:next w:val="61"/>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22">
    <w:name w:val="标准文件_编号列项（三级）"/>
    <w:qFormat/>
    <w:uiPriority w:val="0"/>
    <w:pPr>
      <w:numPr>
        <w:ilvl w:val="2"/>
        <w:numId w:val="13"/>
      </w:numPr>
      <w:tabs>
        <w:tab w:val="left" w:pos="851"/>
      </w:tabs>
    </w:pPr>
    <w:rPr>
      <w:rFonts w:ascii="宋体" w:hAnsi="Times New Roman" w:eastAsia="宋体" w:cs="Times New Roman"/>
      <w:sz w:val="21"/>
      <w:lang w:val="en-US" w:eastAsia="zh-CN" w:bidi="ar-SA"/>
    </w:rPr>
  </w:style>
  <w:style w:type="paragraph" w:customStyle="1" w:styleId="123">
    <w:name w:val="二级无标题条"/>
    <w:basedOn w:val="1"/>
    <w:qFormat/>
    <w:uiPriority w:val="0"/>
    <w:pPr>
      <w:numPr>
        <w:ilvl w:val="3"/>
        <w:numId w:val="20"/>
      </w:numPr>
      <w:adjustRightInd/>
      <w:spacing w:line="240" w:lineRule="auto"/>
    </w:pPr>
    <w:rPr>
      <w:rFonts w:ascii="宋体" w:hAnsi="宋体"/>
      <w:szCs w:val="24"/>
    </w:rPr>
  </w:style>
  <w:style w:type="paragraph" w:customStyle="1" w:styleId="124">
    <w:name w:val="发布部门"/>
    <w:next w:val="61"/>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5">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6">
    <w:name w:val="封面标准代替信息"/>
    <w:basedOn w:val="1"/>
    <w:qFormat/>
    <w:uiPriority w:val="0"/>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7">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8">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9">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30">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31">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32">
    <w:name w:val="封面正文"/>
    <w:qFormat/>
    <w:uiPriority w:val="0"/>
    <w:pPr>
      <w:jc w:val="both"/>
    </w:pPr>
    <w:rPr>
      <w:rFonts w:ascii="Times New Roman" w:hAnsi="Times New Roman" w:eastAsia="宋体" w:cs="Times New Roman"/>
      <w:lang w:val="en-US" w:eastAsia="zh-CN" w:bidi="ar-SA"/>
    </w:rPr>
  </w:style>
  <w:style w:type="paragraph" w:customStyle="1" w:styleId="133">
    <w:name w:val="附录二级无标题条"/>
    <w:basedOn w:val="1"/>
    <w:next w:val="61"/>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34">
    <w:name w:val="附录三级无标题条"/>
    <w:basedOn w:val="133"/>
    <w:next w:val="61"/>
    <w:qFormat/>
    <w:uiPriority w:val="0"/>
    <w:pPr>
      <w:outlineLvl w:val="4"/>
    </w:pPr>
  </w:style>
  <w:style w:type="paragraph" w:customStyle="1" w:styleId="135">
    <w:name w:val="附录四级无标题条"/>
    <w:basedOn w:val="134"/>
    <w:next w:val="61"/>
    <w:qFormat/>
    <w:uiPriority w:val="0"/>
    <w:pPr>
      <w:outlineLvl w:val="5"/>
    </w:pPr>
  </w:style>
  <w:style w:type="paragraph" w:customStyle="1" w:styleId="136">
    <w:name w:val="附录图"/>
    <w:next w:val="61"/>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7">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8">
    <w:name w:val="附录五级无标题条"/>
    <w:basedOn w:val="135"/>
    <w:next w:val="61"/>
    <w:qFormat/>
    <w:uiPriority w:val="0"/>
    <w:pPr>
      <w:outlineLvl w:val="6"/>
    </w:pPr>
  </w:style>
  <w:style w:type="paragraph" w:customStyle="1" w:styleId="139">
    <w:name w:val="附录性质"/>
    <w:basedOn w:val="1"/>
    <w:qFormat/>
    <w:uiPriority w:val="0"/>
    <w:pPr>
      <w:widowControl/>
      <w:adjustRightInd/>
      <w:jc w:val="center"/>
    </w:pPr>
    <w:rPr>
      <w:rFonts w:ascii="黑体" w:eastAsia="黑体"/>
    </w:rPr>
  </w:style>
  <w:style w:type="paragraph" w:customStyle="1" w:styleId="140">
    <w:name w:val="附录一级无标题条"/>
    <w:basedOn w:val="92"/>
    <w:next w:val="61"/>
    <w:qFormat/>
    <w:uiPriority w:val="0"/>
    <w:pPr>
      <w:autoSpaceDN w:val="0"/>
      <w:outlineLvl w:val="2"/>
    </w:pPr>
    <w:rPr>
      <w:rFonts w:ascii="宋体" w:hAnsi="宋体" w:eastAsia="宋体"/>
    </w:rPr>
  </w:style>
  <w:style w:type="character" w:customStyle="1" w:styleId="141">
    <w:name w:val="个人答复风格"/>
    <w:qFormat/>
    <w:uiPriority w:val="0"/>
    <w:rPr>
      <w:rFonts w:ascii="Arial" w:hAnsi="Arial" w:eastAsia="宋体" w:cs="Arial"/>
      <w:color w:val="auto"/>
      <w:spacing w:val="0"/>
      <w:sz w:val="20"/>
    </w:rPr>
  </w:style>
  <w:style w:type="character" w:customStyle="1" w:styleId="142">
    <w:name w:val="个人撰写风格"/>
    <w:qFormat/>
    <w:uiPriority w:val="0"/>
    <w:rPr>
      <w:rFonts w:ascii="Arial" w:hAnsi="Arial" w:eastAsia="宋体" w:cs="Arial"/>
      <w:color w:val="auto"/>
      <w:spacing w:val="0"/>
      <w:sz w:val="20"/>
    </w:rPr>
  </w:style>
  <w:style w:type="paragraph" w:customStyle="1" w:styleId="143">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44">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5">
    <w:name w:val="列项·"/>
    <w:basedOn w:val="61"/>
    <w:qFormat/>
    <w:uiPriority w:val="0"/>
    <w:pPr>
      <w:tabs>
        <w:tab w:val="left" w:pos="840"/>
      </w:tabs>
    </w:pPr>
  </w:style>
  <w:style w:type="paragraph" w:customStyle="1" w:styleId="146">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7">
    <w:name w:val="目录 21"/>
    <w:basedOn w:val="1"/>
    <w:next w:val="1"/>
    <w:semiHidden/>
    <w:uiPriority w:val="0"/>
    <w:pPr>
      <w:adjustRightInd/>
      <w:spacing w:line="240" w:lineRule="auto"/>
      <w:jc w:val="left"/>
    </w:pPr>
    <w:rPr>
      <w:bCs/>
      <w:iCs/>
    </w:rPr>
  </w:style>
  <w:style w:type="paragraph" w:customStyle="1" w:styleId="148">
    <w:name w:val="目录 31"/>
    <w:basedOn w:val="1"/>
    <w:next w:val="1"/>
    <w:semiHidden/>
    <w:uiPriority w:val="0"/>
    <w:pPr>
      <w:spacing w:line="240" w:lineRule="auto"/>
    </w:pPr>
    <w:rPr>
      <w:rFonts w:ascii="宋体" w:hAnsi="宋体"/>
      <w:iCs/>
    </w:rPr>
  </w:style>
  <w:style w:type="paragraph" w:customStyle="1" w:styleId="149">
    <w:name w:val="目录 41"/>
    <w:basedOn w:val="1"/>
    <w:next w:val="1"/>
    <w:semiHidden/>
    <w:qFormat/>
    <w:uiPriority w:val="0"/>
    <w:pPr>
      <w:adjustRightInd/>
      <w:spacing w:line="240" w:lineRule="auto"/>
      <w:jc w:val="left"/>
    </w:pPr>
  </w:style>
  <w:style w:type="paragraph" w:customStyle="1" w:styleId="150">
    <w:name w:val="目录 51"/>
    <w:basedOn w:val="1"/>
    <w:next w:val="1"/>
    <w:semiHidden/>
    <w:qFormat/>
    <w:uiPriority w:val="0"/>
    <w:pPr>
      <w:spacing w:line="240" w:lineRule="auto"/>
    </w:pPr>
    <w:rPr>
      <w:rFonts w:ascii="宋体" w:hAnsi="宋体"/>
    </w:rPr>
  </w:style>
  <w:style w:type="paragraph" w:customStyle="1" w:styleId="151">
    <w:name w:val="目录 61"/>
    <w:basedOn w:val="1"/>
    <w:next w:val="1"/>
    <w:semiHidden/>
    <w:qFormat/>
    <w:uiPriority w:val="0"/>
    <w:pPr>
      <w:adjustRightInd/>
      <w:spacing w:line="240" w:lineRule="auto"/>
      <w:jc w:val="left"/>
    </w:pPr>
  </w:style>
  <w:style w:type="paragraph" w:customStyle="1" w:styleId="152">
    <w:name w:val="目录 71"/>
    <w:basedOn w:val="151"/>
    <w:semiHidden/>
    <w:qFormat/>
    <w:uiPriority w:val="0"/>
    <w:pPr>
      <w:ind w:left="1260"/>
    </w:pPr>
  </w:style>
  <w:style w:type="paragraph" w:customStyle="1" w:styleId="153">
    <w:name w:val="目录 81"/>
    <w:basedOn w:val="152"/>
    <w:semiHidden/>
    <w:qFormat/>
    <w:uiPriority w:val="0"/>
    <w:pPr>
      <w:ind w:left="1470"/>
    </w:pPr>
  </w:style>
  <w:style w:type="paragraph" w:customStyle="1" w:styleId="154">
    <w:name w:val="目录 91"/>
    <w:basedOn w:val="153"/>
    <w:semiHidden/>
    <w:qFormat/>
    <w:uiPriority w:val="0"/>
    <w:pPr>
      <w:ind w:left="1680"/>
    </w:pPr>
  </w:style>
  <w:style w:type="paragraph" w:customStyle="1" w:styleId="155">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6">
    <w:name w:val="其他发布部门"/>
    <w:basedOn w:val="124"/>
    <w:qFormat/>
    <w:uiPriority w:val="0"/>
    <w:pPr>
      <w:framePr w:wrap="around"/>
      <w:spacing w:line="0" w:lineRule="atLeast"/>
    </w:pPr>
    <w:rPr>
      <w:rFonts w:ascii="黑体" w:eastAsia="黑体"/>
      <w:b w:val="0"/>
    </w:rPr>
  </w:style>
  <w:style w:type="paragraph" w:customStyle="1" w:styleId="157">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8">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9">
    <w:name w:val="实施日期"/>
    <w:basedOn w:val="125"/>
    <w:qFormat/>
    <w:uiPriority w:val="0"/>
    <w:pPr>
      <w:framePr w:hSpace="0" w:wrap="around" w:xAlign="right"/>
      <w:jc w:val="right"/>
    </w:pPr>
  </w:style>
  <w:style w:type="paragraph" w:customStyle="1" w:styleId="160">
    <w:name w:val="四级无标题条"/>
    <w:basedOn w:val="1"/>
    <w:qFormat/>
    <w:uiPriority w:val="0"/>
    <w:pPr>
      <w:numPr>
        <w:ilvl w:val="5"/>
        <w:numId w:val="20"/>
      </w:numPr>
      <w:adjustRightInd/>
      <w:spacing w:line="240" w:lineRule="auto"/>
    </w:pPr>
    <w:rPr>
      <w:rFonts w:ascii="宋体" w:hAnsi="宋体"/>
      <w:szCs w:val="24"/>
    </w:rPr>
  </w:style>
  <w:style w:type="paragraph" w:customStyle="1" w:styleId="161">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62">
    <w:name w:val="无标题条"/>
    <w:next w:val="61"/>
    <w:qFormat/>
    <w:uiPriority w:val="0"/>
    <w:pPr>
      <w:jc w:val="both"/>
    </w:pPr>
    <w:rPr>
      <w:rFonts w:ascii="宋体" w:hAnsi="宋体" w:eastAsia="宋体" w:cs="Times New Roman"/>
      <w:sz w:val="21"/>
      <w:lang w:val="en-US" w:eastAsia="zh-CN" w:bidi="ar-SA"/>
    </w:rPr>
  </w:style>
  <w:style w:type="paragraph" w:customStyle="1" w:styleId="163">
    <w:name w:val="五级无标题条"/>
    <w:basedOn w:val="1"/>
    <w:autoRedefine/>
    <w:qFormat/>
    <w:uiPriority w:val="0"/>
    <w:pPr>
      <w:numPr>
        <w:ilvl w:val="6"/>
        <w:numId w:val="20"/>
      </w:numPr>
      <w:adjustRightInd/>
    </w:pPr>
    <w:rPr>
      <w:szCs w:val="24"/>
    </w:rPr>
  </w:style>
  <w:style w:type="paragraph" w:customStyle="1" w:styleId="164">
    <w:name w:val="一级无标题条"/>
    <w:basedOn w:val="1"/>
    <w:autoRedefine/>
    <w:qFormat/>
    <w:uiPriority w:val="0"/>
    <w:pPr>
      <w:numPr>
        <w:ilvl w:val="2"/>
        <w:numId w:val="20"/>
      </w:numPr>
      <w:adjustRightInd/>
      <w:spacing w:before="10" w:after="10" w:line="240" w:lineRule="auto"/>
    </w:pPr>
    <w:rPr>
      <w:rFonts w:ascii="宋体" w:hAnsi="宋体"/>
      <w:szCs w:val="24"/>
    </w:rPr>
  </w:style>
  <w:style w:type="paragraph" w:customStyle="1" w:styleId="165">
    <w:name w:val="注:后续"/>
    <w:autoRedefine/>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6">
    <w:name w:val="注×:后续"/>
    <w:basedOn w:val="165"/>
    <w:autoRedefine/>
    <w:qFormat/>
    <w:uiPriority w:val="0"/>
    <w:pPr>
      <w:ind w:left="1406" w:leftChars="0" w:hanging="499" w:firstLineChars="0"/>
    </w:pPr>
  </w:style>
  <w:style w:type="paragraph" w:customStyle="1" w:styleId="167">
    <w:name w:val="标准文件_一级无标题"/>
    <w:basedOn w:val="110"/>
    <w:autoRedefine/>
    <w:qFormat/>
    <w:uiPriority w:val="0"/>
    <w:pPr>
      <w:spacing w:before="0" w:beforeLines="0" w:after="0" w:afterLines="0"/>
      <w:outlineLvl w:val="9"/>
    </w:pPr>
    <w:rPr>
      <w:rFonts w:ascii="宋体" w:eastAsia="宋体"/>
    </w:rPr>
  </w:style>
  <w:style w:type="paragraph" w:customStyle="1" w:styleId="168">
    <w:name w:val="标准文件_五级无标题"/>
    <w:basedOn w:val="108"/>
    <w:autoRedefine/>
    <w:qFormat/>
    <w:uiPriority w:val="0"/>
    <w:pPr>
      <w:spacing w:before="0" w:beforeLines="0" w:after="0" w:afterLines="0"/>
      <w:outlineLvl w:val="9"/>
    </w:pPr>
    <w:rPr>
      <w:rFonts w:ascii="宋体" w:eastAsia="宋体"/>
    </w:rPr>
  </w:style>
  <w:style w:type="paragraph" w:customStyle="1" w:styleId="169">
    <w:name w:val="标准文件_三级无标题"/>
    <w:basedOn w:val="99"/>
    <w:autoRedefine/>
    <w:qFormat/>
    <w:uiPriority w:val="0"/>
    <w:pPr>
      <w:spacing w:before="0" w:beforeLines="0" w:after="0" w:afterLines="0"/>
      <w:outlineLvl w:val="9"/>
    </w:pPr>
    <w:rPr>
      <w:rFonts w:ascii="宋体" w:eastAsia="宋体"/>
    </w:rPr>
  </w:style>
  <w:style w:type="paragraph" w:customStyle="1" w:styleId="170">
    <w:name w:val="标准文件_二级无标题"/>
    <w:basedOn w:val="70"/>
    <w:autoRedefine/>
    <w:qFormat/>
    <w:uiPriority w:val="0"/>
    <w:pPr>
      <w:spacing w:before="0" w:beforeLines="0" w:after="0" w:afterLines="0"/>
      <w:outlineLvl w:val="9"/>
    </w:pPr>
    <w:rPr>
      <w:rFonts w:ascii="宋体" w:eastAsia="宋体"/>
    </w:rPr>
  </w:style>
  <w:style w:type="paragraph" w:customStyle="1" w:styleId="171">
    <w:name w:val="标准_四级无标题"/>
    <w:basedOn w:val="103"/>
    <w:next w:val="61"/>
    <w:autoRedefine/>
    <w:qFormat/>
    <w:uiPriority w:val="0"/>
    <w:rPr>
      <w:rFonts w:eastAsia="宋体"/>
    </w:rPr>
  </w:style>
  <w:style w:type="paragraph" w:customStyle="1" w:styleId="172">
    <w:name w:val="标准文件_四级无标题"/>
    <w:basedOn w:val="103"/>
    <w:autoRedefine/>
    <w:qFormat/>
    <w:uiPriority w:val="0"/>
    <w:pPr>
      <w:spacing w:before="0" w:beforeLines="0" w:after="0" w:afterLines="0"/>
      <w:outlineLvl w:val="9"/>
    </w:pPr>
    <w:rPr>
      <w:rFonts w:ascii="宋体" w:hAnsi="黑体" w:eastAsia="宋体"/>
      <w:szCs w:val="52"/>
    </w:rPr>
  </w:style>
  <w:style w:type="paragraph" w:customStyle="1" w:styleId="173">
    <w:name w:val="标准文件_大写罗马数字编号列项"/>
    <w:basedOn w:val="61"/>
    <w:autoRedefine/>
    <w:qFormat/>
    <w:uiPriority w:val="0"/>
    <w:pPr>
      <w:numPr>
        <w:ilvl w:val="0"/>
        <w:numId w:val="23"/>
      </w:numPr>
      <w:ind w:firstLine="0" w:firstLineChars="0"/>
    </w:pPr>
    <w:rPr>
      <w:rFonts w:ascii="Times New Roman" w:cs="Arial"/>
      <w:szCs w:val="28"/>
    </w:rPr>
  </w:style>
  <w:style w:type="paragraph" w:customStyle="1" w:styleId="174">
    <w:name w:val="标准文件_小写罗马数字编号列项"/>
    <w:basedOn w:val="61"/>
    <w:autoRedefine/>
    <w:qFormat/>
    <w:uiPriority w:val="0"/>
    <w:pPr>
      <w:numPr>
        <w:ilvl w:val="0"/>
        <w:numId w:val="24"/>
      </w:numPr>
      <w:ind w:firstLine="0" w:firstLineChars="0"/>
    </w:pPr>
    <w:rPr>
      <w:rFonts w:cs="Arial"/>
      <w:szCs w:val="28"/>
    </w:rPr>
  </w:style>
  <w:style w:type="paragraph" w:customStyle="1" w:styleId="175">
    <w:name w:val="标准文件_附录标题"/>
    <w:basedOn w:val="81"/>
    <w:autoRedefine/>
    <w:qFormat/>
    <w:uiPriority w:val="0"/>
    <w:pPr>
      <w:numPr>
        <w:numId w:val="0"/>
      </w:numPr>
      <w:spacing w:after="280"/>
      <w:outlineLvl w:val="9"/>
    </w:pPr>
  </w:style>
  <w:style w:type="paragraph" w:customStyle="1" w:styleId="176">
    <w:name w:val="标准文件_二级项"/>
    <w:autoRedefine/>
    <w:qFormat/>
    <w:uiPriority w:val="0"/>
    <w:rPr>
      <w:rFonts w:ascii="宋体" w:hAnsi="Times New Roman" w:eastAsia="宋体" w:cs="Times New Roman"/>
      <w:sz w:val="21"/>
      <w:lang w:val="en-US" w:eastAsia="zh-CN" w:bidi="ar-SA"/>
    </w:rPr>
  </w:style>
  <w:style w:type="paragraph" w:customStyle="1" w:styleId="177">
    <w:name w:val="标准文件_三级项"/>
    <w:basedOn w:val="1"/>
    <w:autoRedefine/>
    <w:qFormat/>
    <w:uiPriority w:val="0"/>
    <w:pPr>
      <w:numPr>
        <w:ilvl w:val="2"/>
        <w:numId w:val="21"/>
      </w:numPr>
      <w:spacing w:line="536870612" w:lineRule="auto"/>
    </w:pPr>
    <w:rPr>
      <w:rFonts w:ascii="Times New Roman" w:hAnsi="Times New Roman"/>
    </w:rPr>
  </w:style>
  <w:style w:type="paragraph" w:customStyle="1" w:styleId="178">
    <w:name w:val="图表脚注说明"/>
    <w:basedOn w:val="1"/>
    <w:next w:val="61"/>
    <w:autoRedefine/>
    <w:qFormat/>
    <w:uiPriority w:val="0"/>
    <w:pPr>
      <w:numPr>
        <w:ilvl w:val="0"/>
        <w:numId w:val="25"/>
      </w:numPr>
      <w:adjustRightInd/>
      <w:spacing w:line="240" w:lineRule="auto"/>
      <w:ind w:left="783" w:hanging="374"/>
    </w:pPr>
    <w:rPr>
      <w:rFonts w:ascii="宋体" w:hAnsi="Times New Roman"/>
      <w:sz w:val="18"/>
      <w:szCs w:val="18"/>
    </w:rPr>
  </w:style>
  <w:style w:type="paragraph" w:customStyle="1" w:styleId="179">
    <w:name w:val="标准文件_字母编号列项（一级）"/>
    <w:autoRedefine/>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80">
    <w:name w:val="标准文件_索引字母"/>
    <w:next w:val="61"/>
    <w:autoRedefine/>
    <w:qFormat/>
    <w:uiPriority w:val="0"/>
    <w:pPr>
      <w:jc w:val="center"/>
    </w:pPr>
    <w:rPr>
      <w:rFonts w:ascii="宋体" w:hAnsi="宋体" w:eastAsia="Times New Roman" w:cs="Times New Roman"/>
      <w:b/>
      <w:kern w:val="2"/>
      <w:sz w:val="21"/>
      <w:lang w:val="en-US" w:eastAsia="zh-CN" w:bidi="ar-SA"/>
    </w:rPr>
  </w:style>
  <w:style w:type="paragraph" w:customStyle="1" w:styleId="181">
    <w:name w:val="标准文件_附录前"/>
    <w:next w:val="61"/>
    <w:autoRedefine/>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82">
    <w:name w:val="标准文件_正文标准名称"/>
    <w:autoRedefine/>
    <w:qFormat/>
    <w:uiPriority w:val="0"/>
    <w:pPr>
      <w:spacing w:before="20" w:beforeLines="20" w:after="640" w:line="400" w:lineRule="exact"/>
      <w:jc w:val="center"/>
    </w:pPr>
    <w:rPr>
      <w:rFonts w:ascii="黑体" w:hAnsi="黑体" w:eastAsia="黑体" w:cs="Times New Roman"/>
      <w:kern w:val="2"/>
      <w:sz w:val="32"/>
      <w:szCs w:val="32"/>
      <w:lang w:val="en-US" w:eastAsia="zh-CN" w:bidi="ar-SA"/>
    </w:rPr>
  </w:style>
  <w:style w:type="paragraph" w:customStyle="1" w:styleId="183">
    <w:name w:val="标准文件_表格"/>
    <w:basedOn w:val="61"/>
    <w:autoRedefine/>
    <w:qFormat/>
    <w:uiPriority w:val="0"/>
    <w:pPr>
      <w:ind w:firstLine="0" w:firstLineChars="0"/>
      <w:jc w:val="center"/>
    </w:pPr>
    <w:rPr>
      <w:sz w:val="18"/>
    </w:rPr>
  </w:style>
  <w:style w:type="paragraph" w:customStyle="1" w:styleId="184">
    <w:name w:val="标准文件_注："/>
    <w:next w:val="61"/>
    <w:autoRedefine/>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5">
    <w:name w:val="标准文件_注×："/>
    <w:autoRedefine/>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6">
    <w:name w:val="标准文件_示例："/>
    <w:next w:val="187"/>
    <w:autoRedefine/>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7">
    <w:name w:val="标准文件_示例内容"/>
    <w:basedOn w:val="61"/>
    <w:autoRedefine/>
    <w:qFormat/>
    <w:uiPriority w:val="0"/>
    <w:pPr>
      <w:ind w:firstLine="420"/>
    </w:pPr>
    <w:rPr>
      <w:sz w:val="18"/>
    </w:rPr>
  </w:style>
  <w:style w:type="paragraph" w:customStyle="1" w:styleId="188">
    <w:name w:val="标准文件_示例×："/>
    <w:basedOn w:val="1"/>
    <w:next w:val="187"/>
    <w:autoRedefine/>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9">
    <w:name w:val="标准文件_段 Char"/>
    <w:link w:val="61"/>
    <w:autoRedefine/>
    <w:qFormat/>
    <w:uiPriority w:val="0"/>
    <w:rPr>
      <w:rFonts w:ascii="宋体" w:hAnsi="Times New Roman"/>
      <w:sz w:val="21"/>
    </w:rPr>
  </w:style>
  <w:style w:type="paragraph" w:customStyle="1" w:styleId="190">
    <w:name w:val="标准文件_表格续"/>
    <w:basedOn w:val="61"/>
    <w:next w:val="61"/>
    <w:autoRedefine/>
    <w:qFormat/>
    <w:uiPriority w:val="0"/>
    <w:pPr>
      <w:jc w:val="center"/>
    </w:pPr>
    <w:rPr>
      <w:rFonts w:ascii="黑体" w:hAnsi="黑体" w:eastAsia="黑体"/>
    </w:rPr>
  </w:style>
  <w:style w:type="character" w:styleId="191">
    <w:name w:val="Placeholder Text"/>
    <w:basedOn w:val="31"/>
    <w:autoRedefine/>
    <w:semiHidden/>
    <w:qFormat/>
    <w:uiPriority w:val="99"/>
    <w:rPr>
      <w:color w:val="808080"/>
    </w:rPr>
  </w:style>
  <w:style w:type="paragraph" w:customStyle="1" w:styleId="192">
    <w:name w:val="标准文件_二级项2"/>
    <w:basedOn w:val="61"/>
    <w:autoRedefine/>
    <w:qFormat/>
    <w:uiPriority w:val="0"/>
    <w:pPr>
      <w:numPr>
        <w:ilvl w:val="1"/>
        <w:numId w:val="21"/>
      </w:numPr>
      <w:ind w:left="1271" w:hanging="420" w:firstLineChars="0"/>
    </w:pPr>
  </w:style>
  <w:style w:type="paragraph" w:customStyle="1" w:styleId="193">
    <w:name w:val="标准文件_三级项2"/>
    <w:basedOn w:val="61"/>
    <w:autoRedefine/>
    <w:qFormat/>
    <w:uiPriority w:val="0"/>
    <w:pPr>
      <w:numPr>
        <w:ilvl w:val="0"/>
        <w:numId w:val="30"/>
      </w:numPr>
      <w:spacing w:line="300" w:lineRule="exact"/>
      <w:ind w:left="1276" w:hanging="425" w:firstLineChars="0"/>
    </w:pPr>
    <w:rPr>
      <w:rFonts w:ascii="Times New Roman"/>
    </w:rPr>
  </w:style>
  <w:style w:type="paragraph" w:customStyle="1" w:styleId="194">
    <w:name w:val="标准文件_一级项2"/>
    <w:basedOn w:val="61"/>
    <w:autoRedefine/>
    <w:qFormat/>
    <w:uiPriority w:val="0"/>
    <w:pPr>
      <w:numPr>
        <w:ilvl w:val="0"/>
        <w:numId w:val="31"/>
      </w:numPr>
      <w:spacing w:line="300" w:lineRule="exact"/>
      <w:ind w:left="1271" w:hanging="420" w:firstLineChars="0"/>
    </w:pPr>
    <w:rPr>
      <w:rFonts w:ascii="Times New Roman"/>
    </w:rPr>
  </w:style>
  <w:style w:type="paragraph" w:customStyle="1" w:styleId="195">
    <w:name w:val="标准文件_提示"/>
    <w:basedOn w:val="61"/>
    <w:next w:val="61"/>
    <w:autoRedefine/>
    <w:qFormat/>
    <w:uiPriority w:val="0"/>
    <w:pPr>
      <w:ind w:firstLine="420"/>
    </w:pPr>
    <w:rPr>
      <w:rFonts w:ascii="黑体" w:eastAsia="黑体"/>
    </w:rPr>
  </w:style>
  <w:style w:type="character" w:customStyle="1" w:styleId="196">
    <w:name w:val="标准文件_来源"/>
    <w:basedOn w:val="31"/>
    <w:autoRedefine/>
    <w:qFormat/>
    <w:uiPriority w:val="1"/>
    <w:rPr>
      <w:rFonts w:eastAsia="宋体"/>
      <w:sz w:val="21"/>
    </w:rPr>
  </w:style>
  <w:style w:type="paragraph" w:customStyle="1" w:styleId="197">
    <w:name w:val="标准文件_图表说明"/>
    <w:autoRedefine/>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8">
    <w:name w:val="其他发布日期"/>
    <w:basedOn w:val="125"/>
    <w:autoRedefine/>
    <w:qFormat/>
    <w:uiPriority w:val="0"/>
    <w:pPr>
      <w:framePr w:w="3997" w:h="471" w:hRule="exact" w:hSpace="0" w:vSpace="181" w:wrap="around" w:vAnchor="page" w:hAnchor="page" w:x="1419" w:y="14097"/>
    </w:pPr>
  </w:style>
  <w:style w:type="paragraph" w:customStyle="1" w:styleId="199">
    <w:name w:val="其他实施日期"/>
    <w:basedOn w:val="159"/>
    <w:autoRedefine/>
    <w:qFormat/>
    <w:uiPriority w:val="0"/>
    <w:pPr>
      <w:framePr w:w="3997" w:h="471" w:hRule="exact" w:vSpace="181" w:wrap="around" w:vAnchor="page" w:hAnchor="page" w:x="7089" w:y="14097"/>
    </w:pPr>
  </w:style>
  <w:style w:type="paragraph" w:customStyle="1" w:styleId="200">
    <w:name w:val="标准文件_文件编号"/>
    <w:basedOn w:val="61"/>
    <w:autoRedefine/>
    <w:qFormat/>
    <w:uiPriority w:val="0"/>
    <w:pPr>
      <w:framePr w:w="9356" w:h="624" w:hRule="exact" w:hSpace="181" w:vSpace="181" w:wrap="around" w:vAnchor="page" w:hAnchor="page" w:x="1419" w:y="3284"/>
      <w:wordWrap w:val="0"/>
      <w:spacing w:line="280" w:lineRule="exact"/>
      <w:ind w:firstLine="0" w:firstLineChars="0"/>
      <w:jc w:val="right"/>
    </w:pPr>
    <w:rPr>
      <w:rFonts w:ascii="黑体" w:eastAsia="黑体"/>
      <w:bCs/>
      <w:sz w:val="28"/>
      <w:szCs w:val="28"/>
    </w:rPr>
  </w:style>
  <w:style w:type="paragraph" w:customStyle="1" w:styleId="201">
    <w:name w:val="标准文件_替换文件编号"/>
    <w:basedOn w:val="200"/>
    <w:autoRedefine/>
    <w:qFormat/>
    <w:uiPriority w:val="0"/>
    <w:pPr>
      <w:framePr w:wrap="around"/>
      <w:spacing w:before="57"/>
    </w:pPr>
    <w:rPr>
      <w:sz w:val="21"/>
    </w:rPr>
  </w:style>
  <w:style w:type="paragraph" w:customStyle="1" w:styleId="202">
    <w:name w:val="标准文件_文件名称"/>
    <w:basedOn w:val="61"/>
    <w:next w:val="61"/>
    <w:autoRedefine/>
    <w:qFormat/>
    <w:uiPriority w:val="0"/>
    <w:pPr>
      <w:framePr w:w="9639" w:h="6976" w:hRule="exact" w:wrap="around" w:vAnchor="page" w:hAnchor="page" w:y="6408"/>
      <w:autoSpaceDE/>
      <w:autoSpaceDN/>
      <w:spacing w:line="700" w:lineRule="exact"/>
      <w:ind w:firstLine="0" w:firstLineChars="0"/>
      <w:jc w:val="center"/>
    </w:pPr>
    <w:rPr>
      <w:rFonts w:ascii="黑体" w:hAnsi="黑体" w:eastAsia="黑体"/>
      <w:bCs/>
      <w:sz w:val="52"/>
    </w:rPr>
  </w:style>
  <w:style w:type="paragraph" w:customStyle="1" w:styleId="203">
    <w:name w:val="标准文件_附录图标号"/>
    <w:basedOn w:val="61"/>
    <w:next w:val="61"/>
    <w:autoRedefine/>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204">
    <w:name w:val="标准文件_附录表标号"/>
    <w:basedOn w:val="61"/>
    <w:next w:val="61"/>
    <w:autoRedefine/>
    <w:qFormat/>
    <w:uiPriority w:val="0"/>
    <w:pPr>
      <w:numPr>
        <w:ilvl w:val="0"/>
        <w:numId w:val="5"/>
      </w:numPr>
      <w:spacing w:line="14" w:lineRule="exact"/>
      <w:ind w:firstLine="0" w:firstLineChars="0"/>
      <w:jc w:val="center"/>
    </w:pPr>
    <w:rPr>
      <w:rFonts w:eastAsia="黑体"/>
      <w:vanish/>
      <w:sz w:val="2"/>
    </w:rPr>
  </w:style>
  <w:style w:type="paragraph" w:customStyle="1" w:styleId="205">
    <w:name w:val="标准文件_引言一级条标题"/>
    <w:basedOn w:val="61"/>
    <w:next w:val="61"/>
    <w:autoRedefine/>
    <w:qFormat/>
    <w:uiPriority w:val="0"/>
    <w:pPr>
      <w:numPr>
        <w:ilvl w:val="1"/>
        <w:numId w:val="8"/>
      </w:numPr>
      <w:spacing w:before="50" w:beforeLines="50" w:after="50" w:afterLines="50"/>
      <w:ind w:firstLineChars="0"/>
    </w:pPr>
    <w:rPr>
      <w:rFonts w:ascii="黑体" w:eastAsia="黑体"/>
    </w:rPr>
  </w:style>
  <w:style w:type="paragraph" w:customStyle="1" w:styleId="206">
    <w:name w:val="标准文件_引言二级条标题"/>
    <w:basedOn w:val="61"/>
    <w:next w:val="61"/>
    <w:autoRedefine/>
    <w:qFormat/>
    <w:uiPriority w:val="0"/>
    <w:pPr>
      <w:numPr>
        <w:ilvl w:val="2"/>
        <w:numId w:val="8"/>
      </w:numPr>
      <w:spacing w:before="50" w:beforeLines="50" w:after="50" w:afterLines="50"/>
      <w:ind w:firstLineChars="0"/>
    </w:pPr>
    <w:rPr>
      <w:rFonts w:ascii="黑体" w:eastAsia="黑体"/>
    </w:rPr>
  </w:style>
  <w:style w:type="paragraph" w:customStyle="1" w:styleId="207">
    <w:name w:val="标准文件_引言三级条标题"/>
    <w:basedOn w:val="61"/>
    <w:next w:val="61"/>
    <w:autoRedefine/>
    <w:qFormat/>
    <w:uiPriority w:val="0"/>
    <w:pPr>
      <w:numPr>
        <w:ilvl w:val="3"/>
        <w:numId w:val="8"/>
      </w:numPr>
      <w:spacing w:before="50" w:beforeLines="50" w:after="50" w:afterLines="50"/>
      <w:ind w:firstLineChars="0"/>
    </w:pPr>
    <w:rPr>
      <w:rFonts w:ascii="黑体" w:eastAsia="黑体"/>
    </w:rPr>
  </w:style>
  <w:style w:type="paragraph" w:customStyle="1" w:styleId="208">
    <w:name w:val="标准文件_引言四级条标题"/>
    <w:basedOn w:val="61"/>
    <w:next w:val="61"/>
    <w:autoRedefine/>
    <w:qFormat/>
    <w:uiPriority w:val="0"/>
    <w:pPr>
      <w:numPr>
        <w:ilvl w:val="4"/>
        <w:numId w:val="8"/>
      </w:numPr>
      <w:spacing w:before="50" w:beforeLines="50" w:after="50" w:afterLines="50"/>
      <w:ind w:firstLineChars="0"/>
    </w:pPr>
    <w:rPr>
      <w:rFonts w:ascii="黑体" w:eastAsia="黑体"/>
    </w:rPr>
  </w:style>
  <w:style w:type="paragraph" w:customStyle="1" w:styleId="209">
    <w:name w:val="标准文件_引言五级条标题"/>
    <w:basedOn w:val="61"/>
    <w:next w:val="61"/>
    <w:autoRedefine/>
    <w:qFormat/>
    <w:uiPriority w:val="0"/>
    <w:pPr>
      <w:numPr>
        <w:ilvl w:val="5"/>
        <w:numId w:val="8"/>
      </w:numPr>
      <w:spacing w:before="50" w:beforeLines="50" w:after="50" w:afterLines="50"/>
      <w:ind w:firstLineChars="0"/>
    </w:pPr>
    <w:rPr>
      <w:rFonts w:ascii="黑体" w:eastAsia="黑体"/>
    </w:rPr>
  </w:style>
  <w:style w:type="paragraph" w:customStyle="1" w:styleId="210">
    <w:name w:val="标准文件_注后"/>
    <w:basedOn w:val="61"/>
    <w:autoRedefine/>
    <w:qFormat/>
    <w:uiPriority w:val="0"/>
    <w:pPr>
      <w:ind w:left="811" w:firstLine="0" w:firstLineChars="0"/>
    </w:pPr>
    <w:rPr>
      <w:sz w:val="18"/>
    </w:rPr>
  </w:style>
  <w:style w:type="paragraph" w:customStyle="1" w:styleId="211">
    <w:name w:val="标准文件_注X后"/>
    <w:basedOn w:val="61"/>
    <w:autoRedefine/>
    <w:qFormat/>
    <w:uiPriority w:val="0"/>
    <w:pPr>
      <w:ind w:left="811" w:firstLine="0" w:firstLineChars="0"/>
    </w:pPr>
    <w:rPr>
      <w:sz w:val="18"/>
    </w:rPr>
  </w:style>
  <w:style w:type="paragraph" w:customStyle="1" w:styleId="212">
    <w:name w:val="标准文件_示例后"/>
    <w:basedOn w:val="61"/>
    <w:autoRedefine/>
    <w:qFormat/>
    <w:uiPriority w:val="0"/>
    <w:pPr>
      <w:ind w:left="964" w:firstLine="0" w:firstLineChars="0"/>
    </w:pPr>
    <w:rPr>
      <w:sz w:val="18"/>
    </w:rPr>
  </w:style>
  <w:style w:type="paragraph" w:customStyle="1" w:styleId="213">
    <w:name w:val="标准文件_示例X后"/>
    <w:basedOn w:val="61"/>
    <w:link w:val="214"/>
    <w:autoRedefine/>
    <w:qFormat/>
    <w:uiPriority w:val="0"/>
    <w:pPr>
      <w:ind w:left="1049" w:firstLine="0" w:firstLineChars="0"/>
    </w:pPr>
    <w:rPr>
      <w:sz w:val="18"/>
    </w:rPr>
  </w:style>
  <w:style w:type="character" w:customStyle="1" w:styleId="214">
    <w:name w:val="标准文件_示例X后 字符"/>
    <w:basedOn w:val="189"/>
    <w:link w:val="213"/>
    <w:autoRedefine/>
    <w:qFormat/>
    <w:uiPriority w:val="0"/>
    <w:rPr>
      <w:rFonts w:ascii="宋体" w:hAnsi="Times New Roman"/>
      <w:sz w:val="18"/>
    </w:rPr>
  </w:style>
  <w:style w:type="paragraph" w:customStyle="1" w:styleId="215">
    <w:name w:val="标准文件_索引项"/>
    <w:basedOn w:val="61"/>
    <w:next w:val="61"/>
    <w:autoRedefine/>
    <w:qFormat/>
    <w:uiPriority w:val="0"/>
    <w:pPr>
      <w:tabs>
        <w:tab w:val="right" w:leader="dot" w:pos="9356"/>
      </w:tabs>
      <w:ind w:left="210" w:hanging="210" w:firstLineChars="0"/>
      <w:jc w:val="left"/>
    </w:pPr>
  </w:style>
  <w:style w:type="paragraph" w:customStyle="1" w:styleId="216">
    <w:name w:val="标准文件_附录一级无标题"/>
    <w:basedOn w:val="83"/>
    <w:autoRedefine/>
    <w:qFormat/>
    <w:uiPriority w:val="0"/>
    <w:pPr>
      <w:spacing w:before="0" w:beforeLines="0" w:after="0" w:afterLines="0" w:line="276" w:lineRule="auto"/>
      <w:outlineLvl w:val="9"/>
    </w:pPr>
    <w:rPr>
      <w:rFonts w:ascii="宋体" w:eastAsia="宋体"/>
    </w:rPr>
  </w:style>
  <w:style w:type="paragraph" w:customStyle="1" w:styleId="217">
    <w:name w:val="标准文件_附录二级无标题"/>
    <w:basedOn w:val="84"/>
    <w:autoRedefine/>
    <w:qFormat/>
    <w:uiPriority w:val="0"/>
    <w:pPr>
      <w:spacing w:before="0" w:beforeLines="0" w:after="0" w:afterLines="0" w:line="276" w:lineRule="auto"/>
      <w:outlineLvl w:val="9"/>
    </w:pPr>
    <w:rPr>
      <w:rFonts w:ascii="宋体" w:eastAsia="宋体"/>
    </w:rPr>
  </w:style>
  <w:style w:type="paragraph" w:customStyle="1" w:styleId="218">
    <w:name w:val="标准文件_附录三级无标题"/>
    <w:basedOn w:val="86"/>
    <w:autoRedefine/>
    <w:qFormat/>
    <w:uiPriority w:val="0"/>
    <w:pPr>
      <w:spacing w:before="0" w:beforeLines="0" w:after="0" w:afterLines="0" w:line="276" w:lineRule="auto"/>
      <w:outlineLvl w:val="9"/>
    </w:pPr>
    <w:rPr>
      <w:rFonts w:ascii="宋体" w:eastAsia="宋体"/>
    </w:rPr>
  </w:style>
  <w:style w:type="paragraph" w:customStyle="1" w:styleId="219">
    <w:name w:val="标准文件_附录四级无标题"/>
    <w:basedOn w:val="87"/>
    <w:autoRedefine/>
    <w:qFormat/>
    <w:uiPriority w:val="0"/>
    <w:pPr>
      <w:spacing w:before="0" w:beforeLines="0" w:after="0" w:afterLines="0" w:line="276" w:lineRule="auto"/>
      <w:outlineLvl w:val="9"/>
    </w:pPr>
    <w:rPr>
      <w:rFonts w:ascii="宋体" w:eastAsia="宋体"/>
    </w:rPr>
  </w:style>
  <w:style w:type="paragraph" w:customStyle="1" w:styleId="220">
    <w:name w:val="标准文件_附录五级无标题"/>
    <w:basedOn w:val="89"/>
    <w:autoRedefine/>
    <w:qFormat/>
    <w:uiPriority w:val="0"/>
    <w:pPr>
      <w:spacing w:before="0" w:beforeLines="0" w:after="0" w:afterLines="0" w:line="276" w:lineRule="auto"/>
      <w:outlineLvl w:val="9"/>
    </w:pPr>
    <w:rPr>
      <w:rFonts w:ascii="宋体" w:eastAsia="宋体"/>
    </w:rPr>
  </w:style>
  <w:style w:type="paragraph" w:customStyle="1" w:styleId="221">
    <w:name w:val="标准文件_引言一级无标题"/>
    <w:basedOn w:val="205"/>
    <w:next w:val="61"/>
    <w:autoRedefine/>
    <w:qFormat/>
    <w:uiPriority w:val="0"/>
    <w:pPr>
      <w:spacing w:before="0" w:beforeLines="0" w:after="0" w:afterLines="0" w:line="276" w:lineRule="auto"/>
    </w:pPr>
    <w:rPr>
      <w:rFonts w:ascii="宋体" w:eastAsia="宋体"/>
    </w:rPr>
  </w:style>
  <w:style w:type="paragraph" w:customStyle="1" w:styleId="222">
    <w:name w:val="标准文件_引言二级无标题"/>
    <w:basedOn w:val="206"/>
    <w:next w:val="61"/>
    <w:autoRedefine/>
    <w:qFormat/>
    <w:uiPriority w:val="0"/>
    <w:pPr>
      <w:spacing w:before="0" w:beforeLines="0" w:after="0" w:afterLines="0" w:line="276" w:lineRule="auto"/>
    </w:pPr>
    <w:rPr>
      <w:rFonts w:ascii="宋体" w:eastAsia="宋体"/>
    </w:rPr>
  </w:style>
  <w:style w:type="paragraph" w:customStyle="1" w:styleId="223">
    <w:name w:val="标准文件_引言三级无标题"/>
    <w:basedOn w:val="207"/>
    <w:next w:val="61"/>
    <w:autoRedefine/>
    <w:qFormat/>
    <w:uiPriority w:val="0"/>
    <w:pPr>
      <w:spacing w:before="0" w:beforeLines="0" w:after="0" w:afterLines="0" w:line="276" w:lineRule="auto"/>
    </w:pPr>
    <w:rPr>
      <w:rFonts w:ascii="宋体" w:eastAsia="宋体"/>
    </w:rPr>
  </w:style>
  <w:style w:type="paragraph" w:customStyle="1" w:styleId="224">
    <w:name w:val="标准文件_引言四级无标题"/>
    <w:basedOn w:val="208"/>
    <w:next w:val="61"/>
    <w:autoRedefine/>
    <w:qFormat/>
    <w:uiPriority w:val="0"/>
    <w:pPr>
      <w:spacing w:before="0" w:beforeLines="0" w:after="0" w:afterLines="0" w:line="276" w:lineRule="auto"/>
    </w:pPr>
    <w:rPr>
      <w:rFonts w:ascii="宋体" w:eastAsia="宋体"/>
    </w:rPr>
  </w:style>
  <w:style w:type="paragraph" w:customStyle="1" w:styleId="225">
    <w:name w:val="标准文件_引言五级无标题"/>
    <w:basedOn w:val="209"/>
    <w:next w:val="61"/>
    <w:autoRedefine/>
    <w:qFormat/>
    <w:uiPriority w:val="0"/>
    <w:pPr>
      <w:spacing w:before="0" w:beforeLines="0" w:after="0" w:afterLines="0" w:line="276" w:lineRule="auto"/>
    </w:pPr>
    <w:rPr>
      <w:rFonts w:ascii="宋体" w:eastAsia="宋体"/>
    </w:rPr>
  </w:style>
  <w:style w:type="paragraph" w:customStyle="1" w:styleId="226">
    <w:name w:val="标准文件_索引标题"/>
    <w:basedOn w:val="68"/>
    <w:next w:val="61"/>
    <w:qFormat/>
    <w:uiPriority w:val="0"/>
    <w:rPr>
      <w:rFonts w:hAnsi="黑体"/>
    </w:rPr>
  </w:style>
  <w:style w:type="paragraph" w:customStyle="1" w:styleId="227">
    <w:name w:val="标准文件_脚注内容"/>
    <w:basedOn w:val="61"/>
    <w:qFormat/>
    <w:uiPriority w:val="0"/>
    <w:pPr>
      <w:ind w:left="400" w:leftChars="200" w:hanging="200" w:hangingChars="200"/>
    </w:pPr>
    <w:rPr>
      <w:sz w:val="15"/>
    </w:rPr>
  </w:style>
  <w:style w:type="paragraph" w:customStyle="1" w:styleId="228">
    <w:name w:val="标准文件_术语条一"/>
    <w:basedOn w:val="167"/>
    <w:next w:val="61"/>
    <w:qFormat/>
    <w:uiPriority w:val="0"/>
  </w:style>
  <w:style w:type="paragraph" w:customStyle="1" w:styleId="229">
    <w:name w:val="标准文件_术语条二"/>
    <w:basedOn w:val="170"/>
    <w:next w:val="61"/>
    <w:qFormat/>
    <w:uiPriority w:val="0"/>
  </w:style>
  <w:style w:type="paragraph" w:customStyle="1" w:styleId="230">
    <w:name w:val="标准文件_术语条三"/>
    <w:basedOn w:val="169"/>
    <w:next w:val="61"/>
    <w:qFormat/>
    <w:uiPriority w:val="0"/>
  </w:style>
  <w:style w:type="paragraph" w:customStyle="1" w:styleId="231">
    <w:name w:val="标准文件_术语条四"/>
    <w:basedOn w:val="172"/>
    <w:next w:val="61"/>
    <w:qFormat/>
    <w:uiPriority w:val="0"/>
  </w:style>
  <w:style w:type="paragraph" w:customStyle="1" w:styleId="232">
    <w:name w:val="标准文件_术语条五"/>
    <w:basedOn w:val="168"/>
    <w:next w:val="61"/>
    <w:qFormat/>
    <w:uiPriority w:val="0"/>
  </w:style>
  <w:style w:type="paragraph" w:customStyle="1" w:styleId="233">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34">
    <w:name w:val="发布"/>
    <w:basedOn w:val="31"/>
    <w:qFormat/>
    <w:uiPriority w:val="0"/>
    <w:rPr>
      <w:rFonts w:ascii="黑体" w:eastAsia="黑体"/>
      <w:spacing w:val="85"/>
      <w:w w:val="100"/>
      <w:position w:val="3"/>
      <w:sz w:val="28"/>
      <w:szCs w:val="28"/>
    </w:rPr>
  </w:style>
  <w:style w:type="paragraph" w:customStyle="1" w:styleId="235">
    <w:name w:val="段"/>
    <w:link w:val="236"/>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character" w:customStyle="1" w:styleId="236">
    <w:name w:val="段 Char"/>
    <w:basedOn w:val="31"/>
    <w:link w:val="235"/>
    <w:qFormat/>
    <w:uiPriority w:val="0"/>
    <w:rPr>
      <w:rFonts w:ascii="宋体" w:hAnsi="Times New Roman"/>
      <w:sz w:val="21"/>
    </w:rPr>
  </w:style>
  <w:style w:type="paragraph" w:customStyle="1" w:styleId="237">
    <w:name w:val="一级条标题"/>
    <w:next w:val="235"/>
    <w:qFormat/>
    <w:uiPriority w:val="0"/>
    <w:pPr>
      <w:numPr>
        <w:ilvl w:val="1"/>
        <w:numId w:val="32"/>
      </w:numPr>
      <w:spacing w:before="156" w:beforeLines="50" w:after="156" w:afterLines="50"/>
      <w:outlineLvl w:val="2"/>
    </w:pPr>
    <w:rPr>
      <w:rFonts w:ascii="黑体" w:hAnsi="Times New Roman" w:eastAsia="黑体" w:cs="Times New Roman"/>
      <w:sz w:val="21"/>
      <w:szCs w:val="21"/>
      <w:lang w:val="en-US" w:eastAsia="zh-CN" w:bidi="ar-SA"/>
    </w:rPr>
  </w:style>
  <w:style w:type="paragraph" w:customStyle="1" w:styleId="238">
    <w:name w:val="章标题"/>
    <w:next w:val="235"/>
    <w:qFormat/>
    <w:uiPriority w:val="0"/>
    <w:pPr>
      <w:numPr>
        <w:ilvl w:val="0"/>
        <w:numId w:val="32"/>
      </w:numPr>
      <w:spacing w:before="312" w:beforeLines="100" w:after="312" w:afterLines="100"/>
      <w:jc w:val="both"/>
      <w:outlineLvl w:val="1"/>
    </w:pPr>
    <w:rPr>
      <w:rFonts w:ascii="黑体" w:hAnsi="Times New Roman" w:eastAsia="黑体" w:cs="Times New Roman"/>
      <w:sz w:val="21"/>
      <w:lang w:val="en-US" w:eastAsia="zh-CN" w:bidi="ar-SA"/>
    </w:rPr>
  </w:style>
  <w:style w:type="paragraph" w:customStyle="1" w:styleId="239">
    <w:name w:val="二级条标题"/>
    <w:basedOn w:val="237"/>
    <w:next w:val="235"/>
    <w:qFormat/>
    <w:uiPriority w:val="0"/>
    <w:pPr>
      <w:numPr>
        <w:ilvl w:val="2"/>
      </w:numPr>
      <w:spacing w:before="50" w:after="50"/>
      <w:outlineLvl w:val="3"/>
    </w:pPr>
  </w:style>
  <w:style w:type="paragraph" w:customStyle="1" w:styleId="240">
    <w:name w:val="四级条标题"/>
    <w:basedOn w:val="1"/>
    <w:next w:val="235"/>
    <w:qFormat/>
    <w:uiPriority w:val="0"/>
    <w:pPr>
      <w:widowControl/>
      <w:numPr>
        <w:ilvl w:val="4"/>
        <w:numId w:val="32"/>
      </w:numPr>
      <w:adjustRightInd/>
      <w:spacing w:before="50" w:beforeLines="50" w:after="50" w:afterLines="50" w:line="240" w:lineRule="auto"/>
      <w:jc w:val="left"/>
      <w:outlineLvl w:val="5"/>
    </w:pPr>
    <w:rPr>
      <w:rFonts w:ascii="黑体" w:hAnsi="Times New Roman" w:eastAsia="黑体"/>
      <w:kern w:val="0"/>
    </w:rPr>
  </w:style>
  <w:style w:type="paragraph" w:customStyle="1" w:styleId="241">
    <w:name w:val="五级条标题"/>
    <w:basedOn w:val="240"/>
    <w:next w:val="235"/>
    <w:qFormat/>
    <w:uiPriority w:val="0"/>
    <w:pPr>
      <w:numPr>
        <w:ilvl w:val="5"/>
      </w:numPr>
      <w:outlineLvl w:val="6"/>
    </w:pPr>
  </w:style>
  <w:style w:type="paragraph" w:customStyle="1" w:styleId="242">
    <w:name w:val="二级无"/>
    <w:basedOn w:val="239"/>
    <w:qFormat/>
    <w:uiPriority w:val="0"/>
    <w:pPr>
      <w:numPr>
        <w:numId w:val="31"/>
      </w:numPr>
      <w:spacing w:before="0" w:beforeLines="0" w:after="0" w:afterLines="0"/>
    </w:pPr>
    <w:rPr>
      <w:rFonts w:ascii="宋体" w:eastAsia="宋体"/>
    </w:rPr>
  </w:style>
  <w:style w:type="paragraph" w:customStyle="1" w:styleId="243">
    <w:name w:val="三级无"/>
    <w:basedOn w:val="1"/>
    <w:qFormat/>
    <w:uiPriority w:val="0"/>
    <w:pPr>
      <w:widowControl/>
      <w:adjustRightInd/>
      <w:spacing w:line="240" w:lineRule="auto"/>
      <w:jc w:val="left"/>
      <w:outlineLvl w:val="4"/>
    </w:pPr>
    <w:rPr>
      <w:rFonts w:ascii="宋体" w:hAnsi="Times New Roman"/>
      <w:kern w:val="0"/>
    </w:rPr>
  </w:style>
  <w:style w:type="paragraph" w:customStyle="1" w:styleId="244">
    <w:name w:val="正文表标题"/>
    <w:next w:val="235"/>
    <w:qFormat/>
    <w:uiPriority w:val="0"/>
    <w:pPr>
      <w:tabs>
        <w:tab w:val="left" w:pos="360"/>
      </w:tabs>
      <w:spacing w:before="156" w:beforeLines="50" w:after="156" w:afterLines="50"/>
      <w:jc w:val="center"/>
    </w:pPr>
    <w:rPr>
      <w:rFonts w:ascii="黑体" w:hAnsi="Times New Roman" w:eastAsia="黑体" w:cs="Times New Roman"/>
      <w:sz w:val="21"/>
      <w:lang w:val="en-US" w:eastAsia="zh-CN" w:bidi="ar-SA"/>
    </w:rPr>
  </w:style>
  <w:style w:type="paragraph" w:customStyle="1" w:styleId="245">
    <w:name w:val="正文图标题"/>
    <w:next w:val="235"/>
    <w:qFormat/>
    <w:uiPriority w:val="0"/>
    <w:pPr>
      <w:numPr>
        <w:ilvl w:val="0"/>
        <w:numId w:val="33"/>
      </w:numPr>
      <w:spacing w:before="156" w:beforeLines="50" w:after="156" w:afterLines="50"/>
      <w:jc w:val="center"/>
    </w:pPr>
    <w:rPr>
      <w:rFonts w:ascii="黑体" w:hAnsi="Times New Roman" w:eastAsia="黑体" w:cs="Times New Roman"/>
      <w:sz w:val="21"/>
      <w:lang w:val="en-US" w:eastAsia="zh-CN" w:bidi="ar-SA"/>
    </w:rPr>
  </w:style>
  <w:style w:type="character" w:customStyle="1" w:styleId="246">
    <w:name w:val="批注文字 Char"/>
    <w:basedOn w:val="31"/>
    <w:link w:val="13"/>
    <w:semiHidden/>
    <w:qFormat/>
    <w:uiPriority w:val="99"/>
    <w:rPr>
      <w:kern w:val="2"/>
      <w:sz w:val="21"/>
      <w:szCs w:val="21"/>
    </w:rPr>
  </w:style>
  <w:style w:type="character" w:customStyle="1" w:styleId="247">
    <w:name w:val="批注主题 Char"/>
    <w:basedOn w:val="246"/>
    <w:link w:val="28"/>
    <w:semiHidden/>
    <w:qFormat/>
    <w:uiPriority w:val="99"/>
    <w:rPr>
      <w:b/>
      <w:bCs/>
      <w:kern w:val="2"/>
      <w:sz w:val="21"/>
      <w:szCs w:val="21"/>
    </w:rPr>
  </w:style>
  <w:style w:type="character" w:customStyle="1" w:styleId="248">
    <w:name w:val="日期 Char"/>
    <w:basedOn w:val="31"/>
    <w:link w:val="17"/>
    <w:semiHidden/>
    <w:qFormat/>
    <w:uiPriority w:val="99"/>
    <w:rPr>
      <w:kern w:val="2"/>
      <w:sz w:val="21"/>
      <w:szCs w:val="21"/>
    </w:rPr>
  </w:style>
  <w:style w:type="paragraph" w:customStyle="1" w:styleId="249">
    <w:name w:val="TOC Heading"/>
    <w:basedOn w:val="2"/>
    <w:next w:val="1"/>
    <w:unhideWhenUsed/>
    <w:qFormat/>
    <w:uiPriority w:val="39"/>
    <w:pPr>
      <w:widowControl/>
      <w:adjustRightInd/>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250">
    <w:name w:val="Revision"/>
    <w:hidden/>
    <w:semiHidden/>
    <w:qFormat/>
    <w:uiPriority w:val="99"/>
    <w:rPr>
      <w:rFonts w:ascii="Calibri" w:hAnsi="Calibri" w:eastAsia="宋体" w:cs="Times New Roman"/>
      <w:kern w:val="2"/>
      <w:sz w:val="21"/>
      <w:szCs w:val="21"/>
      <w:lang w:val="en-US" w:eastAsia="zh-CN" w:bidi="ar-SA"/>
    </w:rPr>
  </w:style>
  <w:style w:type="paragraph" w:customStyle="1" w:styleId="251">
    <w:name w:val="三级条标题"/>
    <w:basedOn w:val="239"/>
    <w:next w:val="1"/>
    <w:qFormat/>
    <w:uiPriority w:val="0"/>
    <w:pPr>
      <w:numPr>
        <w:ilvl w:val="0"/>
        <w:numId w:val="0"/>
      </w:numPr>
      <w:outlineLvl w:val="4"/>
    </w:pPr>
  </w:style>
  <w:style w:type="paragraph" w:customStyle="1" w:styleId="252">
    <w:name w:val="数字编号列项（二级）"/>
    <w:qFormat/>
    <w:uiPriority w:val="0"/>
    <w:pPr>
      <w:tabs>
        <w:tab w:val="left" w:pos="1259"/>
      </w:tabs>
      <w:ind w:left="1259" w:hanging="420"/>
      <w:jc w:val="both"/>
    </w:pPr>
    <w:rPr>
      <w:rFonts w:ascii="宋体" w:hAnsi="Times New Roman" w:eastAsia="宋体" w:cs="Times New Roman"/>
      <w:sz w:val="21"/>
      <w:lang w:val="en-US" w:eastAsia="zh-CN" w:bidi="ar-SA"/>
    </w:rPr>
  </w:style>
  <w:style w:type="character" w:customStyle="1" w:styleId="253">
    <w:name w:val="content-right_8zs40"/>
    <w:basedOn w:val="31"/>
    <w:qFormat/>
    <w:uiPriority w:val="0"/>
  </w:style>
  <w:style w:type="paragraph" w:customStyle="1" w:styleId="254">
    <w:name w:val="字母编号列项（一级）"/>
    <w:qFormat/>
    <w:uiPriority w:val="0"/>
    <w:pPr>
      <w:tabs>
        <w:tab w:val="left" w:pos="839"/>
      </w:tabs>
      <w:ind w:left="839" w:hanging="419"/>
      <w:jc w:val="both"/>
    </w:pPr>
    <w:rPr>
      <w:rFonts w:ascii="宋体" w:hAnsi="Times New Roman" w:eastAsia="宋体" w:cs="Times New Roman"/>
      <w:sz w:val="21"/>
      <w:lang w:val="en-US" w:eastAsia="zh-CN" w:bidi="ar-SA"/>
    </w:rPr>
  </w:style>
  <w:style w:type="paragraph" w:customStyle="1" w:styleId="255">
    <w:name w:val="编号列项（三级）"/>
    <w:qFormat/>
    <w:uiPriority w:val="0"/>
    <w:pPr>
      <w:tabs>
        <w:tab w:val="left" w:pos="0"/>
      </w:tabs>
      <w:ind w:left="1678" w:hanging="419"/>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3" Type="http://schemas.openxmlformats.org/officeDocument/2006/relationships/glossaryDocument" Target="glossary/document.xml"/><Relationship Id="rId52" Type="http://schemas.openxmlformats.org/officeDocument/2006/relationships/fontTable" Target="fontTable.xml"/><Relationship Id="rId51" Type="http://schemas.openxmlformats.org/officeDocument/2006/relationships/customXml" Target="../customXml/item2.xml"/><Relationship Id="rId50" Type="http://schemas.openxmlformats.org/officeDocument/2006/relationships/numbering" Target="numbering.xml"/><Relationship Id="rId5" Type="http://schemas.openxmlformats.org/officeDocument/2006/relationships/header" Target="header1.xml"/><Relationship Id="rId49" Type="http://schemas.openxmlformats.org/officeDocument/2006/relationships/customXml" Target="../customXml/item1.xml"/><Relationship Id="rId48" Type="http://schemas.openxmlformats.org/officeDocument/2006/relationships/image" Target="media/image33.jpeg"/><Relationship Id="rId47" Type="http://schemas.openxmlformats.org/officeDocument/2006/relationships/image" Target="media/image32.png"/><Relationship Id="rId46" Type="http://schemas.openxmlformats.org/officeDocument/2006/relationships/image" Target="media/image31.jpeg"/><Relationship Id="rId45" Type="http://schemas.openxmlformats.org/officeDocument/2006/relationships/image" Target="media/image30.jpeg"/><Relationship Id="rId44" Type="http://schemas.openxmlformats.org/officeDocument/2006/relationships/image" Target="media/image29.jpeg"/><Relationship Id="rId43" Type="http://schemas.openxmlformats.org/officeDocument/2006/relationships/image" Target="media/image28.png"/><Relationship Id="rId42" Type="http://schemas.openxmlformats.org/officeDocument/2006/relationships/image" Target="media/image27.png"/><Relationship Id="rId41" Type="http://schemas.openxmlformats.org/officeDocument/2006/relationships/image" Target="media/image26.png"/><Relationship Id="rId40" Type="http://schemas.openxmlformats.org/officeDocument/2006/relationships/image" Target="media/image25.png"/><Relationship Id="rId4" Type="http://schemas.openxmlformats.org/officeDocument/2006/relationships/endnotes" Target="endnotes.xml"/><Relationship Id="rId39" Type="http://schemas.openxmlformats.org/officeDocument/2006/relationships/image" Target="media/image24.png"/><Relationship Id="rId38" Type="http://schemas.openxmlformats.org/officeDocument/2006/relationships/image" Target="media/image23.png"/><Relationship Id="rId37" Type="http://schemas.openxmlformats.org/officeDocument/2006/relationships/image" Target="media/image22.png"/><Relationship Id="rId36" Type="http://schemas.openxmlformats.org/officeDocument/2006/relationships/image" Target="media/image21.png"/><Relationship Id="rId35" Type="http://schemas.openxmlformats.org/officeDocument/2006/relationships/image" Target="media/image20.png"/><Relationship Id="rId34" Type="http://schemas.openxmlformats.org/officeDocument/2006/relationships/image" Target="media/image19.png"/><Relationship Id="rId33" Type="http://schemas.openxmlformats.org/officeDocument/2006/relationships/image" Target="media/image18.png"/><Relationship Id="rId32" Type="http://schemas.openxmlformats.org/officeDocument/2006/relationships/image" Target="media/image17.png"/><Relationship Id="rId31" Type="http://schemas.openxmlformats.org/officeDocument/2006/relationships/image" Target="media/image16.png"/><Relationship Id="rId30" Type="http://schemas.openxmlformats.org/officeDocument/2006/relationships/image" Target="media/image15.png"/><Relationship Id="rId3" Type="http://schemas.openxmlformats.org/officeDocument/2006/relationships/footnotes" Target="footnotes.xml"/><Relationship Id="rId29" Type="http://schemas.openxmlformats.org/officeDocument/2006/relationships/image" Target="media/image14.png"/><Relationship Id="rId28" Type="http://schemas.openxmlformats.org/officeDocument/2006/relationships/image" Target="media/image13.png"/><Relationship Id="rId27" Type="http://schemas.openxmlformats.org/officeDocument/2006/relationships/image" Target="media/image12.png"/><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image" Target="media/image8.png"/><Relationship Id="rId22" Type="http://schemas.openxmlformats.org/officeDocument/2006/relationships/image" Target="media/image7.png"/><Relationship Id="rId21" Type="http://schemas.openxmlformats.org/officeDocument/2006/relationships/image" Target="media/image6.png"/><Relationship Id="rId20" Type="http://schemas.openxmlformats.org/officeDocument/2006/relationships/image" Target="media/image5.png"/><Relationship Id="rId2" Type="http://schemas.openxmlformats.org/officeDocument/2006/relationships/settings" Target="settings.xml"/><Relationship Id="rId19" Type="http://schemas.openxmlformats.org/officeDocument/2006/relationships/image" Target="media/image4.png"/><Relationship Id="rId18" Type="http://schemas.openxmlformats.org/officeDocument/2006/relationships/image" Target="media/image3.png"/><Relationship Id="rId17" Type="http://schemas.openxmlformats.org/officeDocument/2006/relationships/image" Target="media/image2.png"/><Relationship Id="rId16" Type="http://schemas.openxmlformats.org/officeDocument/2006/relationships/image" Target="media/image1.tiff"/><Relationship Id="rId15" Type="http://schemas.openxmlformats.org/officeDocument/2006/relationships/theme" Target="theme/theme1.xml"/><Relationship Id="rId14" Type="http://schemas.openxmlformats.org/officeDocument/2006/relationships/footer" Target="footer5.xml"/><Relationship Id="rId13" Type="http://schemas.openxmlformats.org/officeDocument/2006/relationships/footer" Target="footer4.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65B4864DE2D64C26B7F8E199B70ED8F4"/>
        <w:style w:val=""/>
        <w:category>
          <w:name w:val="常规"/>
          <w:gallery w:val="placeholder"/>
        </w:category>
        <w:types>
          <w:type w:val="bbPlcHdr"/>
        </w:types>
        <w:behaviors>
          <w:behavior w:val="content"/>
        </w:behaviors>
        <w:description w:val=""/>
        <w:guid w:val="{CF4EBBF2-1707-4A86-B340-2B69BC8BEA58}"/>
      </w:docPartPr>
      <w:docPartBody>
        <w:p>
          <w:pPr>
            <w:pStyle w:val="5"/>
          </w:pPr>
          <w:r>
            <w:rPr>
              <w:rStyle w:val="4"/>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6649"/>
    <w:rsid w:val="00050C44"/>
    <w:rsid w:val="000B6998"/>
    <w:rsid w:val="00366C2B"/>
    <w:rsid w:val="00374999"/>
    <w:rsid w:val="00493D8D"/>
    <w:rsid w:val="004D343C"/>
    <w:rsid w:val="00622B45"/>
    <w:rsid w:val="006A2B17"/>
    <w:rsid w:val="007E550F"/>
    <w:rsid w:val="007F358D"/>
    <w:rsid w:val="00A10A61"/>
    <w:rsid w:val="00A3359C"/>
    <w:rsid w:val="00AB1532"/>
    <w:rsid w:val="00CC44D6"/>
    <w:rsid w:val="00D07C6E"/>
    <w:rsid w:val="00E31AF3"/>
    <w:rsid w:val="00E535EB"/>
    <w:rsid w:val="00E5636C"/>
    <w:rsid w:val="00E75128"/>
    <w:rsid w:val="00EA27DD"/>
    <w:rsid w:val="00EC664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iPriority="1" w:name="Default Paragraph Font"/>
    <w:lsdException w:qFormat="1" w:uiPriority="99" w:name="Normal Table"/>
    <w:lsdException w:qFormat="1" w:unhideWhenUsed="0" w:uiPriority="99" w:name="Placeholder Text"/>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autoRedefine/>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semiHidden/>
    <w:qFormat/>
    <w:uiPriority w:val="99"/>
    <w:rPr>
      <w:color w:val="808080"/>
    </w:rPr>
  </w:style>
  <w:style w:type="paragraph" w:customStyle="1" w:styleId="5">
    <w:name w:val="65B4864DE2D64C26B7F8E199B70ED8F4"/>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95AB72-C8CD-401D-8931-072A2107DCCC}">
  <ds:schemaRefs/>
</ds:datastoreItem>
</file>

<file path=docProps/app.xml><?xml version="1.0" encoding="utf-8"?>
<Properties xmlns="http://schemas.openxmlformats.org/officeDocument/2006/extended-properties" xmlns:vt="http://schemas.openxmlformats.org/officeDocument/2006/docPropsVTypes">
  <Template>地方标准.dotx</Template>
  <Company>PCMI</Company>
  <Pages>30</Pages>
  <Words>7568</Words>
  <Characters>8260</Characters>
  <Lines>79</Lines>
  <Paragraphs>22</Paragraphs>
  <TotalTime>1</TotalTime>
  <ScaleCrop>false</ScaleCrop>
  <LinksUpToDate>false</LinksUpToDate>
  <CharactersWithSpaces>8440</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2024-02-27T03:37:00Z</dcterms:created>
  <dc:creator>HCH</dc:creator>
  <dc:description>&lt;config cover="true" show_menu="true" version="1.0.0" doctype="SDKXY"&gt;_x000d_
&lt;/config&gt;</dc:description>
  <cp:lastModifiedBy>朱智荣</cp:lastModifiedBy>
  <cp:lastPrinted>2020-08-30T10:00:00Z</cp:lastPrinted>
  <dcterms:modified xsi:type="dcterms:W3CDTF">2024-07-19T09:05:21Z</dcterms:modified>
  <dc:title>地方标准</dc:title>
  <cp:revision>24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2052-12.1.0.16929</vt:lpwstr>
  </property>
  <property fmtid="{D5CDD505-2E9C-101B-9397-08002B2CF9AE}" pid="15" name="ICV">
    <vt:lpwstr>FF8B102272754BD2B63D1090599042C8_12</vt:lpwstr>
  </property>
</Properties>
</file>