
<file path=[Content_Types].xml><?xml version="1.0" encoding="utf-8"?>
<Types xmlns="http://schemas.openxmlformats.org/package/2006/content-types">
  <Default Extension="xml" ContentType="application/xml"/>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2"/>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22"/>
              <w:framePr w:wrap="notBeside" w:vAnchor="page" w:hAnchor="page" w:x="1372" w:y="568"/>
              <w:tabs>
                <w:tab w:val="clear" w:pos="4153"/>
                <w:tab w:val="clear" w:pos="8306"/>
              </w:tabs>
              <w:spacing w:line="240" w:lineRule="auto"/>
              <w:jc w:val="left"/>
              <w:rPr>
                <w:rFonts w:hint="eastAsia" w:ascii="黑体" w:hAnsi="黑体" w:eastAsia="黑体"/>
                <w:sz w:val="21"/>
                <w:szCs w:val="21"/>
              </w:rPr>
            </w:pPr>
            <w:bookmarkStart w:id="0" w:name="_Hlk167910892"/>
            <w:bookmarkEnd w:id="0"/>
            <w:r>
              <w:rPr>
                <w:rFonts w:ascii="Times New Roman" w:hAnsi="Times New Roman" w:eastAsia="黑体"/>
                <w:sz w:val="21"/>
                <w:szCs w:val="21"/>
              </w:rPr>
              <w:t>ICS</w:t>
            </w:r>
          </w:p>
        </w:tc>
        <w:tc>
          <w:tcPr>
            <w:tcW w:w="8855" w:type="dxa"/>
          </w:tcPr>
          <w:p>
            <w:pPr>
              <w:pStyle w:val="22"/>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1"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91.010</w:t>
            </w:r>
            <w:r>
              <w:rPr>
                <w:rFonts w:ascii="黑体" w:hAnsi="黑体" w:eastAsia="黑体"/>
                <w:sz w:val="21"/>
                <w:szCs w:val="21"/>
              </w:rPr>
              <w:fldChar w:fldCharType="end"/>
            </w:r>
            <w:bookmarkEnd w:id="1"/>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22"/>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CCS</w:t>
            </w:r>
          </w:p>
        </w:tc>
        <w:tc>
          <w:tcPr>
            <w:tcW w:w="8855" w:type="dxa"/>
          </w:tcPr>
          <w:p>
            <w:pPr>
              <w:pStyle w:val="22"/>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P 07</w:t>
            </w:r>
            <w:r>
              <w:rPr>
                <w:rFonts w:ascii="黑体" w:hAnsi="黑体" w:eastAsia="黑体"/>
                <w:sz w:val="21"/>
                <w:szCs w:val="21"/>
              </w:rPr>
              <w:fldChar w:fldCharType="end"/>
            </w:r>
            <w:bookmarkEnd w:id="2"/>
          </w:p>
        </w:tc>
      </w:tr>
    </w:tbl>
    <w:tbl>
      <w:tblPr>
        <w:tblStyle w:val="32"/>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55"/>
              <w:framePr w:w="0" w:hRule="auto" w:wrap="auto" w:vAnchor="margin" w:hAnchor="text" w:xAlign="left" w:yAlign="inline"/>
              <w:rPr>
                <w:rFonts w:hint="eastAsia" w:ascii="宋体" w:hAnsi="宋体"/>
                <w:sz w:val="28"/>
                <w:szCs w:val="28"/>
              </w:rPr>
            </w:pPr>
            <w:bookmarkStart w:id="3"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fldChar w:fldCharType="begin">
                <w:ffData>
                  <w:name w:val="c1"/>
                  <w:enabled/>
                  <w:calcOnExit w:val="0"/>
                  <w:textInput>
                    <w:maxLength w:val="8"/>
                  </w:textInput>
                </w:ffData>
              </w:fldChar>
            </w:r>
            <w:bookmarkStart w:id="4" w:name="c1"/>
            <w:r>
              <w:instrText xml:space="preserve"> FORMTEXT </w:instrText>
            </w:r>
            <w:r>
              <w:fldChar w:fldCharType="separate"/>
            </w:r>
            <w:r>
              <w:rPr>
                <w:rFonts w:hint="eastAsia"/>
              </w:rPr>
              <w:t>32</w:t>
            </w:r>
            <w:r>
              <w:fldChar w:fldCharType="end"/>
            </w:r>
            <w:bookmarkEnd w:id="4"/>
          </w:p>
        </w:tc>
      </w:tr>
    </w:tbl>
    <w:p>
      <w:pPr>
        <w:pStyle w:val="56"/>
        <w:framePr w:w="9639" w:h="624" w:hRule="exact" w:hSpace="181" w:vSpace="181" w:wrap="around" w:hAnchor="page" w:x="1305" w:y="2269"/>
        <w:rPr>
          <w:rFonts w:hint="eastAsia"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5"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江苏省</w:t>
      </w:r>
      <w:r>
        <w:rPr>
          <w:rFonts w:ascii="黑体" w:eastAsia="黑体"/>
          <w:b w:val="0"/>
          <w:w w:val="100"/>
          <w:sz w:val="48"/>
        </w:rPr>
        <w:fldChar w:fldCharType="end"/>
      </w:r>
      <w:bookmarkEnd w:id="5"/>
      <w:r>
        <w:rPr>
          <w:rFonts w:hint="eastAsia" w:ascii="黑体" w:hAnsi="黑体" w:eastAsia="黑体"/>
          <w:b w:val="0"/>
          <w:bCs w:val="0"/>
          <w:w w:val="100"/>
          <w:sz w:val="48"/>
          <w:szCs w:val="48"/>
        </w:rPr>
        <w:t>地方标准</w:t>
      </w:r>
    </w:p>
    <w:bookmarkEnd w:id="3"/>
    <w:p>
      <w:pPr>
        <w:pStyle w:val="201"/>
        <w:framePr/>
        <w:rPr>
          <w:lang w:val="fr-FR"/>
        </w:rPr>
      </w:pPr>
      <w:r>
        <w:rPr>
          <w:lang w:val="fr-FR"/>
        </w:rPr>
        <w:t>DB</w:t>
      </w:r>
      <w:r>
        <w:fldChar w:fldCharType="begin">
          <w:ffData>
            <w:name w:val="文字1"/>
            <w:enabled/>
            <w:calcOnExit w:val="0"/>
            <w:textInput>
              <w:default w:val="XX/T"/>
            </w:textInput>
          </w:ffData>
        </w:fldChar>
      </w:r>
      <w:bookmarkStart w:id="6" w:name="文字1"/>
      <w:r>
        <w:rPr>
          <w:lang w:val="fr-FR"/>
        </w:rPr>
        <w:instrText xml:space="preserve"> FORMTEXT </w:instrText>
      </w:r>
      <w:r>
        <w:fldChar w:fldCharType="separate"/>
      </w:r>
      <w:r>
        <w:rPr>
          <w:rFonts w:hint="eastAsia"/>
          <w:lang w:val="en-US" w:eastAsia="zh-CN"/>
        </w:rPr>
        <w:t>32</w:t>
      </w:r>
      <w:bookmarkStart w:id="277" w:name="_GoBack"/>
      <w:bookmarkEnd w:id="277"/>
      <w:r>
        <w:rPr>
          <w:lang w:val="fr-FR"/>
        </w:rPr>
        <w:t>/T</w:t>
      </w:r>
      <w:r>
        <w:fldChar w:fldCharType="end"/>
      </w:r>
      <w:bookmarkEnd w:id="6"/>
      <w:r>
        <w:fldChar w:fldCharType="begin">
          <w:ffData>
            <w:name w:val="NSTD_CODE_F"/>
            <w:enabled/>
            <w:calcOnExit w:val="0"/>
            <w:textInput>
              <w:default w:val="XXXX"/>
            </w:textInput>
          </w:ffData>
        </w:fldChar>
      </w:r>
      <w:bookmarkStart w:id="7" w:name="NSTD_CODE_F"/>
      <w:r>
        <w:rPr>
          <w:lang w:val="fr-FR"/>
        </w:rPr>
        <w:instrText xml:space="preserve"> FORMTEXT </w:instrText>
      </w:r>
      <w:r>
        <w:fldChar w:fldCharType="separate"/>
      </w:r>
      <w:r>
        <w:rPr>
          <w:lang w:val="fr-FR"/>
        </w:rPr>
        <w:t>XXXX</w:t>
      </w:r>
      <w:r>
        <w:fldChar w:fldCharType="end"/>
      </w:r>
      <w:bookmarkEnd w:id="7"/>
      <w:r>
        <w:rPr>
          <w:rFonts w:hAnsi="黑体"/>
          <w:lang w:val="fr-FR"/>
        </w:rPr>
        <w:t>—</w:t>
      </w:r>
      <w:r>
        <w:fldChar w:fldCharType="begin">
          <w:ffData>
            <w:name w:val="NSTD_CODE_B"/>
            <w:enabled/>
            <w:calcOnExit w:val="0"/>
            <w:textInput>
              <w:default w:val="XXXX"/>
            </w:textInput>
          </w:ffData>
        </w:fldChar>
      </w:r>
      <w:bookmarkStart w:id="8" w:name="NSTD_CODE_B"/>
      <w:r>
        <w:rPr>
          <w:lang w:val="fr-FR"/>
        </w:rPr>
        <w:instrText xml:space="preserve"> FORMTEXT </w:instrText>
      </w:r>
      <w:r>
        <w:fldChar w:fldCharType="separate"/>
      </w:r>
      <w:r>
        <w:rPr>
          <w:lang w:val="fr-FR"/>
        </w:rPr>
        <w:t>XXXX</w:t>
      </w:r>
      <w:r>
        <w:fldChar w:fldCharType="end"/>
      </w:r>
      <w:bookmarkEnd w:id="8"/>
    </w:p>
    <w:p>
      <w:pPr>
        <w:pStyle w:val="202"/>
        <w:framePr/>
        <w:rPr>
          <w:rFonts w:hint="eastAsia" w:hAnsi="黑体"/>
        </w:rPr>
      </w:pPr>
      <w:r>
        <w:rPr>
          <w:rFonts w:hAnsi="黑体"/>
        </w:rPr>
        <w:fldChar w:fldCharType="begin">
          <w:ffData>
            <w:name w:val="OSTD_CODE"/>
            <w:enabled/>
            <w:calcOnExit w:val="0"/>
            <w:textInput/>
          </w:ffData>
        </w:fldChar>
      </w:r>
      <w:bookmarkStart w:id="9"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9"/>
    </w:p>
    <w:p>
      <w:pPr>
        <w:spacing w:line="240" w:lineRule="auto"/>
        <w:rPr>
          <w:rFonts w:hint="eastAsia" w:ascii="黑体" w:hAnsi="黑体" w:eastAsia="黑体"/>
          <w:kern w:val="0"/>
          <w:sz w:val="10"/>
          <w:szCs w:val="10"/>
        </w:rPr>
      </w:pPr>
      <w:r>
        <mc:AlternateContent>
          <mc:Choice Requires="wps">
            <w:drawing>
              <wp:anchor distT="0" distB="0" distL="114300" distR="114300" simplePos="0" relativeHeight="251714560" behindDoc="0" locked="0" layoutInCell="1" allowOverlap="0">
                <wp:simplePos x="0" y="0"/>
                <wp:positionH relativeFrom="page">
                  <wp:posOffset>900430</wp:posOffset>
                </wp:positionH>
                <wp:positionV relativeFrom="page">
                  <wp:posOffset>2700020</wp:posOffset>
                </wp:positionV>
                <wp:extent cx="6120130" cy="0"/>
                <wp:effectExtent l="0" t="0" r="0" b="0"/>
                <wp:wrapNone/>
                <wp:docPr id="1230332861" name="直接连接符 201"/>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201" o:spid="_x0000_s1026" o:spt="20" style="position:absolute;left:0pt;margin-left:70.9pt;margin-top:212.6pt;height:0pt;width:481.9pt;mso-position-horizontal-relative:page;mso-position-vertical-relative:page;z-index:251714560;mso-width-relative:page;mso-height-relative:page;" filled="f" stroked="t" coordsize="21600,21600" o:allowoverlap="f" o:gfxdata="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d&#10;/iPM2AAAAAwBAAAPAAAAAAAAAAEAIAAAACIAAABkcnMvZG93bnJldi54bWxQSwECFAAUAAAACACH&#10;TuJARUWZS+sBAAC1AwAADgAAAAAAAAABACAAAAAnAQAAZHJzL2Uyb0RvYy54bWxQSwUGAAAAAAYA&#10;BgBZAQAAhAUAAAAA&#10;">
                <v:fill on="f" focussize="0,0"/>
                <v:stroke color="#000000" joinstyle="round"/>
                <v:imagedata o:title=""/>
                <o:lock v:ext="edit" aspectratio="f"/>
              </v:line>
            </w:pict>
          </mc:Fallback>
        </mc:AlternateContent>
      </w:r>
    </w:p>
    <w:p>
      <w:pPr>
        <w:pStyle w:val="56"/>
        <w:framePr w:w="9639" w:h="6976" w:hRule="exact" w:hSpace="0" w:vSpace="0" w:wrap="around" w:hAnchor="page" w:y="6408"/>
        <w:jc w:val="center"/>
        <w:rPr>
          <w:rFonts w:hint="eastAsia" w:ascii="黑体" w:hAnsi="黑体" w:eastAsia="黑体"/>
          <w:b w:val="0"/>
          <w:bCs w:val="0"/>
          <w:w w:val="100"/>
        </w:rPr>
      </w:pPr>
    </w:p>
    <w:p>
      <w:pPr>
        <w:pStyle w:val="203"/>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10" w:name="CSTD_NAME"/>
      <w:r>
        <w:instrText xml:space="preserve"> FORMTEXT </w:instrText>
      </w:r>
      <w:r>
        <w:fldChar w:fldCharType="separate"/>
      </w:r>
      <w:r>
        <w:rPr>
          <w:rFonts w:hint="eastAsia"/>
        </w:rPr>
        <w:t>绿色建筑信息模型应用技术标准</w:t>
      </w:r>
      <w:r>
        <w:fldChar w:fldCharType="end"/>
      </w:r>
      <w:bookmarkEnd w:id="10"/>
    </w:p>
    <w:p>
      <w:pPr>
        <w:framePr w:w="9639" w:h="6974" w:hRule="exact" w:wrap="around" w:vAnchor="page" w:hAnchor="page" w:x="1419" w:y="6408" w:anchorLock="1"/>
        <w:ind w:left="-1418"/>
      </w:pPr>
    </w:p>
    <w:p>
      <w:pPr>
        <w:pStyle w:val="131"/>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1" w:name="ESTD_NAME"/>
      <w:r>
        <w:rPr>
          <w:rFonts w:eastAsia="黑体"/>
          <w:szCs w:val="28"/>
        </w:rPr>
        <w:instrText xml:space="preserve"> FORMTEXT </w:instrText>
      </w:r>
      <w:r>
        <w:rPr>
          <w:rFonts w:eastAsia="黑体"/>
          <w:szCs w:val="28"/>
        </w:rPr>
        <w:fldChar w:fldCharType="separate"/>
      </w:r>
      <w:r>
        <w:rPr>
          <w:rFonts w:eastAsia="黑体"/>
          <w:szCs w:val="28"/>
        </w:rPr>
        <w:t>Technical Standard for Green Building Information Model Application</w:t>
      </w:r>
      <w:r>
        <w:rPr>
          <w:rFonts w:eastAsia="黑体"/>
          <w:szCs w:val="28"/>
        </w:rPr>
        <w:fldChar w:fldCharType="end"/>
      </w:r>
      <w:bookmarkEnd w:id="11"/>
    </w:p>
    <w:p>
      <w:pPr>
        <w:framePr w:w="9639" w:h="6974" w:hRule="exact" w:wrap="around" w:vAnchor="page" w:hAnchor="page" w:x="1419" w:y="6408" w:anchorLock="1"/>
        <w:spacing w:line="760" w:lineRule="exact"/>
        <w:ind w:left="-1418"/>
      </w:pPr>
    </w:p>
    <w:p>
      <w:pPr>
        <w:pStyle w:val="131"/>
        <w:framePr w:w="9639" w:h="6974" w:hRule="exact" w:wrap="around" w:vAnchor="page" w:hAnchor="page" w:x="1419" w:y="6408" w:anchorLock="1"/>
        <w:textAlignment w:val="bottom"/>
        <w:rPr>
          <w:rFonts w:eastAsia="黑体"/>
          <w:szCs w:val="28"/>
        </w:rPr>
      </w:pPr>
    </w:p>
    <w:p>
      <w:pPr>
        <w:pStyle w:val="131"/>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2" w:name="下拉1"/>
      <w:r>
        <w:rPr>
          <w:sz w:val="24"/>
          <w:szCs w:val="28"/>
        </w:rPr>
        <w:instrText xml:space="preserve"> FORMDROPDOWN </w:instrText>
      </w:r>
      <w:r>
        <w:rPr>
          <w:sz w:val="24"/>
          <w:szCs w:val="28"/>
        </w:rPr>
        <w:fldChar w:fldCharType="separate"/>
      </w:r>
      <w:r>
        <w:rPr>
          <w:sz w:val="24"/>
          <w:szCs w:val="28"/>
        </w:rPr>
        <w:fldChar w:fldCharType="end"/>
      </w:r>
      <w:bookmarkEnd w:id="12"/>
    </w:p>
    <w:p>
      <w:pPr>
        <w:pStyle w:val="131"/>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3"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3"/>
    </w:p>
    <w:p>
      <w:pPr>
        <w:pStyle w:val="131"/>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4" w:name="下拉2"/>
      <w:r>
        <w:rPr>
          <w:b/>
          <w:sz w:val="21"/>
          <w:szCs w:val="28"/>
        </w:rPr>
        <w:instrText xml:space="preserve"> FORMDROPDOWN </w:instrText>
      </w:r>
      <w:r>
        <w:rPr>
          <w:b/>
          <w:sz w:val="21"/>
          <w:szCs w:val="28"/>
        </w:rPr>
        <w:fldChar w:fldCharType="separate"/>
      </w:r>
      <w:r>
        <w:rPr>
          <w:b/>
          <w:sz w:val="21"/>
          <w:szCs w:val="28"/>
        </w:rPr>
        <w:fldChar w:fldCharType="end"/>
      </w:r>
      <w:bookmarkEnd w:id="14"/>
    </w:p>
    <w:p>
      <w:pPr>
        <w:pStyle w:val="199"/>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fldChar w:fldCharType="separate"/>
      </w:r>
      <w:r>
        <w:rPr>
          <w:rFonts w:hint="eastAsia" w:ascii="黑体"/>
        </w:rPr>
        <w:t>2021</w:t>
      </w:r>
      <w:r>
        <w:rPr>
          <w:rFonts w:ascii="黑体"/>
        </w:rPr>
        <w:fldChar w:fldCharType="end"/>
      </w:r>
      <w:bookmarkEnd w:id="15"/>
      <w:r>
        <w:rPr>
          <w:rFonts w:ascii="黑体"/>
        </w:rPr>
        <w:t>-</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ascii="黑体"/>
        </w:rPr>
        <w:t>-</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rPr>
          <w:rFonts w:hint="eastAsia"/>
        </w:rPr>
        <w:t>发布</w:t>
      </w:r>
    </w:p>
    <w:p>
      <w:pPr>
        <w:pStyle w:val="200"/>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fldChar w:fldCharType="separate"/>
      </w:r>
      <w:r>
        <w:rPr>
          <w:rFonts w:hint="eastAsia" w:ascii="黑体"/>
        </w:rPr>
        <w:t>2021</w:t>
      </w:r>
      <w:r>
        <w:rPr>
          <w:rFonts w:ascii="黑体"/>
        </w:rPr>
        <w:fldChar w:fldCharType="end"/>
      </w:r>
      <w:bookmarkEnd w:id="18"/>
      <w:r>
        <w:rPr>
          <w:rFonts w:ascii="黑体"/>
        </w:rPr>
        <w:t>-</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ascii="黑体"/>
        </w:rPr>
        <w:t>-</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20"/>
      <w:r>
        <w:rPr>
          <w:rFonts w:hint="eastAsia"/>
        </w:rPr>
        <w:t>实施</w:t>
      </w:r>
    </w:p>
    <w:p>
      <w:pPr>
        <w:pStyle w:val="157"/>
        <w:framePr w:h="584" w:hRule="exact" w:hSpace="181" w:vSpace="181" w:wrap="around" w:y="15027"/>
        <w:rPr>
          <w:rFonts w:hint="eastAsia" w:hAnsi="黑体"/>
        </w:rPr>
      </w:pPr>
      <w:r>
        <w:rPr>
          <w:rFonts w:hAnsi="黑体"/>
          <w:w w:val="100"/>
          <w:sz w:val="28"/>
        </w:rPr>
        <w:fldChar w:fldCharType="begin">
          <w:ffData>
            <w:name w:val="fm"/>
            <w:enabled/>
            <w:calcOnExit w:val="0"/>
            <w:textInput/>
          </w:ffData>
        </w:fldChar>
      </w:r>
      <w:bookmarkStart w:id="21" w:name="fm"/>
      <w:r>
        <w:rPr>
          <w:rFonts w:hAnsi="黑体"/>
          <w:w w:val="100"/>
          <w:sz w:val="28"/>
        </w:rPr>
        <w:instrText xml:space="preserve"> FORMTEXT </w:instrText>
      </w:r>
      <w:r>
        <w:rPr>
          <w:rFonts w:hAnsi="黑体"/>
          <w:w w:val="100"/>
          <w:sz w:val="28"/>
        </w:rPr>
        <w:fldChar w:fldCharType="separate"/>
      </w:r>
      <w:r>
        <w:rPr>
          <w:rFonts w:hint="eastAsia" w:hAnsi="黑体"/>
          <w:w w:val="100"/>
          <w:sz w:val="28"/>
        </w:rPr>
        <w:t>江苏省市场监督管理局 江苏省住房和城乡建设厅</w:t>
      </w:r>
      <w:r>
        <w:rPr>
          <w:rFonts w:hAnsi="黑体"/>
          <w:w w:val="100"/>
          <w:sz w:val="28"/>
        </w:rPr>
        <w:fldChar w:fldCharType="end"/>
      </w:r>
      <w:bookmarkEnd w:id="21"/>
      <w:r>
        <w:rPr>
          <w:rFonts w:ascii="Times New Roman"/>
          <w:w w:val="100"/>
          <w:sz w:val="28"/>
        </w:rPr>
        <w:t>  </w:t>
      </w:r>
      <w:r>
        <w:rPr>
          <w:rStyle w:val="235"/>
          <w:rFonts w:hint="eastAsia" w:hAnsi="黑体"/>
          <w:position w:val="0"/>
        </w:rPr>
        <w:t>发</w:t>
      </w:r>
      <w:r>
        <w:rPr>
          <w:rStyle w:val="235"/>
          <w:rFonts w:hint="eastAsia" w:hAnsi="黑体"/>
          <w:spacing w:val="0"/>
          <w:position w:val="0"/>
        </w:rPr>
        <w:t>布</w:t>
      </w:r>
    </w:p>
    <w:p>
      <w:pPr>
        <w:rPr>
          <w:rFonts w:hint="eastAsia" w:ascii="宋体" w:hAnsi="宋体"/>
          <w:sz w:val="28"/>
          <w:szCs w:val="28"/>
        </w:rPr>
        <w:sectPr>
          <w:headerReference r:id="rId6" w:type="first"/>
          <w:footerReference r:id="rId8" w:type="first"/>
          <w:headerReference r:id="rId5" w:type="default"/>
          <w:footerReference r:id="rId7" w:type="even"/>
          <w:type w:val="continuous"/>
          <w:pgSz w:w="11906" w:h="16838"/>
          <w:pgMar w:top="-338" w:right="1134" w:bottom="1021" w:left="1134" w:header="0" w:footer="0" w:gutter="284"/>
          <w:cols w:space="425" w:num="1"/>
          <w:formProt w:val="0"/>
          <w:titlePg/>
          <w:docGrid w:linePitch="312" w:charSpace="0"/>
        </w:sectPr>
      </w:pPr>
      <w:r>
        <mc:AlternateContent>
          <mc:Choice Requires="wps">
            <w:drawing>
              <wp:anchor distT="0" distB="0" distL="114300" distR="114300" simplePos="0" relativeHeight="251715584" behindDoc="0" locked="1" layoutInCell="1" allowOverlap="1">
                <wp:simplePos x="0" y="0"/>
                <wp:positionH relativeFrom="page">
                  <wp:posOffset>899795</wp:posOffset>
                </wp:positionH>
                <wp:positionV relativeFrom="page">
                  <wp:posOffset>9252585</wp:posOffset>
                </wp:positionV>
                <wp:extent cx="6120130" cy="0"/>
                <wp:effectExtent l="0" t="0" r="0" b="0"/>
                <wp:wrapNone/>
                <wp:docPr id="627516218" name="直接连接符 199"/>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199" o:spid="_x0000_s1026" o:spt="20" style="position:absolute;left:0pt;margin-left:70.85pt;margin-top:728.55pt;height:0pt;width:481.9pt;mso-position-horizontal-relative:page;mso-position-vertical-relative:page;z-index:251715584;mso-width-relative:page;mso-height-relative:page;" filled="f" stroked="t" coordsize="21600,21600" o:gfxdata="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5&#10;qdGL1wAAAA4BAAAPAAAAAAAAAAEAIAAAACIAAABkcnMvZG93bnJldi54bWxQSwECFAAUAAAACACH&#10;TuJAh0kVY+wBAAC0AwAADgAAAAAAAAABACAAAAAmAQAAZHJzL2Uyb0RvYy54bWxQSwUGAAAAAAYA&#10;BgBZAQAAhAUAAAAA&#10;">
                <v:fill on="f" focussize="0,0"/>
                <v:stroke color="#000000" joinstyle="round"/>
                <v:imagedata o:title=""/>
                <o:lock v:ext="edit" aspectratio="f"/>
                <w10:anchorlock/>
              </v:line>
            </w:pict>
          </mc:Fallback>
        </mc:AlternateContent>
      </w:r>
    </w:p>
    <w:p>
      <w:pPr>
        <w:pStyle w:val="97"/>
        <w:spacing w:after="468"/>
      </w:pPr>
      <w:bookmarkStart w:id="22" w:name="BookMark2"/>
      <w:r>
        <w:rPr>
          <w:rFonts w:hint="eastAsia"/>
        </w:rPr>
        <w:t>目</w:t>
      </w:r>
      <w:r>
        <w:rPr>
          <w:rFonts w:hAnsi="黑体" w:cstheme="minorBidi"/>
          <w:szCs w:val="32"/>
          <w:lang w:val="zh-CN"/>
        </w:rPr>
        <w:t>　</w:t>
      </w:r>
      <w:r>
        <w:rPr>
          <w:rFonts w:hint="eastAsia"/>
        </w:rPr>
        <w:t>次</w:t>
      </w:r>
    </w:p>
    <w:sdt>
      <w:sdtPr>
        <w:rPr>
          <w:rFonts w:ascii="Calibri" w:hAnsi="宋体"/>
          <w:lang w:val="zh-CN"/>
        </w:rPr>
        <w:id w:val="647253091"/>
        <w:docPartObj>
          <w:docPartGallery w:val="Table of Contents"/>
          <w:docPartUnique/>
        </w:docPartObj>
      </w:sdtPr>
      <w:sdtEndPr>
        <w:rPr>
          <w:rFonts w:ascii="Calibri" w:hAnsi="宋体"/>
          <w:b/>
          <w:bCs/>
          <w:lang w:val="zh-CN"/>
        </w:rPr>
      </w:sdtEndPr>
      <w:sdtContent>
        <w:p>
          <w:pPr>
            <w:pStyle w:val="23"/>
            <w:tabs>
              <w:tab w:val="right" w:leader="dot" w:pos="9344"/>
            </w:tabs>
            <w:rPr>
              <w:rFonts w:hint="eastAsia" w:asciiTheme="minorHAnsi" w:hAnsiTheme="minorHAnsi" w:eastAsiaTheme="minorEastAsia" w:cstheme="minorBidi"/>
              <w:szCs w:val="22"/>
              <w14:ligatures w14:val="standardContextual"/>
            </w:rPr>
          </w:pPr>
          <w:r>
            <w:rPr>
              <w:rFonts w:hAnsi="宋体"/>
            </w:rPr>
            <w:fldChar w:fldCharType="begin"/>
          </w:r>
          <w:r>
            <w:rPr>
              <w:rFonts w:hAnsi="宋体"/>
            </w:rPr>
            <w:instrText xml:space="preserve"> TOC \o "1-3" \h \z \u </w:instrText>
          </w:r>
          <w:r>
            <w:rPr>
              <w:rFonts w:hint="eastAsia" w:hAnsi="宋体"/>
            </w:rPr>
            <w:instrText xml:space="preserve">\b CCC</w:instrText>
          </w:r>
          <w:r>
            <w:rPr>
              <w:rFonts w:hAnsi="宋体"/>
            </w:rPr>
            <w:fldChar w:fldCharType="separate"/>
          </w:r>
          <w:r>
            <w:fldChar w:fldCharType="begin"/>
          </w:r>
          <w:r>
            <w:instrText xml:space="preserve"> HYPERLINK \l "_Toc168008268" </w:instrText>
          </w:r>
          <w:r>
            <w:fldChar w:fldCharType="separate"/>
          </w:r>
          <w:r>
            <w:rPr>
              <w:rStyle w:val="37"/>
              <w:spacing w:val="320"/>
            </w:rPr>
            <w:t>前</w:t>
          </w:r>
          <w:r>
            <w:rPr>
              <w:rStyle w:val="37"/>
            </w:rPr>
            <w:t>言</w:t>
          </w:r>
          <w:r>
            <w:tab/>
          </w:r>
          <w:r>
            <w:fldChar w:fldCharType="begin"/>
          </w:r>
          <w:r>
            <w:instrText xml:space="preserve"> PAGEREF _Toc168008268 \h </w:instrText>
          </w:r>
          <w:r>
            <w:fldChar w:fldCharType="separate"/>
          </w:r>
          <w:r>
            <w:t>V</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"_Toc168008269" </w:instrText>
          </w:r>
          <w:r>
            <w:fldChar w:fldCharType="separate"/>
          </w:r>
          <w:r>
            <w:rPr>
              <w:rStyle w:val="37"/>
            </w:rPr>
            <w:t>1 范围</w:t>
          </w:r>
          <w:r>
            <w:tab/>
          </w:r>
          <w:r>
            <w:fldChar w:fldCharType="begin"/>
          </w:r>
          <w:r>
            <w:instrText xml:space="preserve"> PAGEREF _Toc168008269 \h </w:instrText>
          </w:r>
          <w:r>
            <w:fldChar w:fldCharType="separate"/>
          </w:r>
          <w:r>
            <w:t>1</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"_Toc168008270" </w:instrText>
          </w:r>
          <w:r>
            <w:fldChar w:fldCharType="separate"/>
          </w:r>
          <w:r>
            <w:rPr>
              <w:rStyle w:val="37"/>
            </w:rPr>
            <w:t>2 规范性引用文件</w:t>
          </w:r>
          <w:r>
            <w:tab/>
          </w:r>
          <w:r>
            <w:fldChar w:fldCharType="begin"/>
          </w:r>
          <w:r>
            <w:instrText xml:space="preserve"> PAGEREF _Toc168008270 \h </w:instrText>
          </w:r>
          <w:r>
            <w:fldChar w:fldCharType="separate"/>
          </w:r>
          <w:r>
            <w:t>1</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"_Toc168008271" </w:instrText>
          </w:r>
          <w:r>
            <w:fldChar w:fldCharType="separate"/>
          </w:r>
          <w:r>
            <w:rPr>
              <w:rStyle w:val="37"/>
            </w:rPr>
            <w:t>3 术语和定义</w:t>
          </w:r>
          <w:r>
            <w:tab/>
          </w:r>
          <w:r>
            <w:fldChar w:fldCharType="begin"/>
          </w:r>
          <w:r>
            <w:instrText xml:space="preserve"> PAGEREF _Toc168008271 \h </w:instrText>
          </w:r>
          <w:r>
            <w:fldChar w:fldCharType="separate"/>
          </w:r>
          <w:r>
            <w:t>1</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"_Toc168008272" </w:instrText>
          </w:r>
          <w:r>
            <w:fldChar w:fldCharType="separate"/>
          </w:r>
          <w:r>
            <w:rPr>
              <w:rStyle w:val="37"/>
            </w:rPr>
            <w:t>4 基本规定</w:t>
          </w:r>
          <w:r>
            <w:tab/>
          </w:r>
          <w:r>
            <w:fldChar w:fldCharType="begin"/>
          </w:r>
          <w:r>
            <w:instrText xml:space="preserve"> PAGEREF _Toc168008272 \h </w:instrText>
          </w:r>
          <w:r>
            <w:fldChar w:fldCharType="separate"/>
          </w:r>
          <w:r>
            <w:t>2</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"_Toc168008273" </w:instrText>
          </w:r>
          <w:r>
            <w:fldChar w:fldCharType="separate"/>
          </w:r>
          <w:r>
            <w:rPr>
              <w:rStyle w:val="37"/>
              <w:rFonts w:hAnsi="黑体" w:cs="黑体"/>
            </w:rPr>
            <w:t>4.1 基本应用原则</w:t>
          </w:r>
          <w:r>
            <w:tab/>
          </w:r>
          <w:r>
            <w:fldChar w:fldCharType="begin"/>
          </w:r>
          <w:r>
            <w:instrText xml:space="preserve"> PAGEREF _Toc168008273 \h </w:instrText>
          </w:r>
          <w:r>
            <w:fldChar w:fldCharType="separate"/>
          </w:r>
          <w:r>
            <w:t>2</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"_Toc168008274" </w:instrText>
          </w:r>
          <w:r>
            <w:fldChar w:fldCharType="separate"/>
          </w:r>
          <w:r>
            <w:rPr>
              <w:rStyle w:val="37"/>
              <w:rFonts w:hAnsi="黑体" w:cs="黑体"/>
            </w:rPr>
            <w:t>4.2 软件应用规定</w:t>
          </w:r>
          <w:r>
            <w:tab/>
          </w:r>
          <w:r>
            <w:fldChar w:fldCharType="begin"/>
          </w:r>
          <w:r>
            <w:instrText xml:space="preserve"> PAGEREF _Toc168008274 \h </w:instrText>
          </w:r>
          <w:r>
            <w:fldChar w:fldCharType="separate"/>
          </w:r>
          <w:r>
            <w:t>2</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"_Toc168008275" </w:instrText>
          </w:r>
          <w:r>
            <w:fldChar w:fldCharType="separate"/>
          </w:r>
          <w:r>
            <w:rPr>
              <w:rStyle w:val="37"/>
              <w:rFonts w:hAnsi="黑体" w:cs="黑体"/>
            </w:rPr>
            <w:t>4.3 BIM实施要求</w:t>
          </w:r>
          <w:r>
            <w:tab/>
          </w:r>
          <w:r>
            <w:fldChar w:fldCharType="begin"/>
          </w:r>
          <w:r>
            <w:instrText xml:space="preserve"> PAGEREF _Toc168008275 \h </w:instrText>
          </w:r>
          <w:r>
            <w:fldChar w:fldCharType="separate"/>
          </w:r>
          <w:r>
            <w:t>2</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"_Toc168008276" </w:instrText>
          </w:r>
          <w:r>
            <w:fldChar w:fldCharType="separate"/>
          </w:r>
          <w:r>
            <w:rPr>
              <w:rStyle w:val="37"/>
            </w:rPr>
            <w:t>5 全生命周期应用策划</w:t>
          </w:r>
          <w:r>
            <w:tab/>
          </w:r>
          <w:r>
            <w:fldChar w:fldCharType="begin"/>
          </w:r>
          <w:r>
            <w:instrText xml:space="preserve"> PAGEREF _Toc168008276 \h </w:instrText>
          </w:r>
          <w:r>
            <w:fldChar w:fldCharType="separate"/>
          </w:r>
          <w:r>
            <w:t>3</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"_Toc168008277" </w:instrText>
          </w:r>
          <w:r>
            <w:fldChar w:fldCharType="separate"/>
          </w:r>
          <w:r>
            <w:rPr>
              <w:rStyle w:val="37"/>
              <w:rFonts w:hAnsi="黑体" w:cs="黑体"/>
            </w:rPr>
            <w:t>5.1 一般规定</w:t>
          </w:r>
          <w:r>
            <w:tab/>
          </w:r>
          <w:r>
            <w:fldChar w:fldCharType="begin"/>
          </w:r>
          <w:r>
            <w:instrText xml:space="preserve"> PAGEREF _Toc168008277 \h </w:instrText>
          </w:r>
          <w:r>
            <w:fldChar w:fldCharType="separate"/>
          </w:r>
          <w:r>
            <w:t>3</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"_Toc168008278" </w:instrText>
          </w:r>
          <w:r>
            <w:fldChar w:fldCharType="separate"/>
          </w:r>
          <w:r>
            <w:rPr>
              <w:rStyle w:val="37"/>
              <w:rFonts w:hAnsi="黑体" w:cs="黑体"/>
            </w:rPr>
            <w:t>5.2 应用目标</w:t>
          </w:r>
          <w:r>
            <w:tab/>
          </w:r>
          <w:r>
            <w:fldChar w:fldCharType="begin"/>
          </w:r>
          <w:r>
            <w:instrText xml:space="preserve"> PAGEREF _Toc168008278 \h </w:instrText>
          </w:r>
          <w:r>
            <w:fldChar w:fldCharType="separate"/>
          </w:r>
          <w:r>
            <w:t>3</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"_Toc168008279" </w:instrText>
          </w:r>
          <w:r>
            <w:fldChar w:fldCharType="separate"/>
          </w:r>
          <w:r>
            <w:rPr>
              <w:rStyle w:val="37"/>
              <w:rFonts w:hAnsi="黑体" w:cs="黑体"/>
            </w:rPr>
            <w:t>5.3 应用组织</w:t>
          </w:r>
          <w:r>
            <w:tab/>
          </w:r>
          <w:r>
            <w:fldChar w:fldCharType="begin"/>
          </w:r>
          <w:r>
            <w:instrText xml:space="preserve"> PAGEREF _Toc168008279 \h </w:instrText>
          </w:r>
          <w:r>
            <w:fldChar w:fldCharType="separate"/>
          </w:r>
          <w:r>
            <w:t>3</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"_Toc168008280" </w:instrText>
          </w:r>
          <w:r>
            <w:fldChar w:fldCharType="separate"/>
          </w:r>
          <w:r>
            <w:rPr>
              <w:rStyle w:val="37"/>
              <w:rFonts w:hAnsi="黑体" w:cs="黑体"/>
            </w:rPr>
            <w:t>5.4 应用流程</w:t>
          </w:r>
          <w:r>
            <w:tab/>
          </w:r>
          <w:r>
            <w:fldChar w:fldCharType="begin"/>
          </w:r>
          <w:r>
            <w:instrText xml:space="preserve"> PAGEREF _Toc168008280 \h </w:instrText>
          </w:r>
          <w:r>
            <w:fldChar w:fldCharType="separate"/>
          </w:r>
          <w:r>
            <w:t>3</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"_Toc168008281" </w:instrText>
          </w:r>
          <w:r>
            <w:fldChar w:fldCharType="separate"/>
          </w:r>
          <w:r>
            <w:rPr>
              <w:rStyle w:val="37"/>
            </w:rPr>
            <w:t>6 模型规定</w:t>
          </w:r>
          <w:r>
            <w:tab/>
          </w:r>
          <w:r>
            <w:fldChar w:fldCharType="begin"/>
          </w:r>
          <w:r>
            <w:instrText xml:space="preserve"> PAGEREF _Toc168008281 \h </w:instrText>
          </w:r>
          <w:r>
            <w:fldChar w:fldCharType="separate"/>
          </w:r>
          <w:r>
            <w:t>5</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"_Toc168008282" </w:instrText>
          </w:r>
          <w:r>
            <w:fldChar w:fldCharType="separate"/>
          </w:r>
          <w:r>
            <w:rPr>
              <w:rStyle w:val="37"/>
              <w:rFonts w:hAnsi="黑体" w:cs="黑体"/>
            </w:rPr>
            <w:t>6.1 一般规定</w:t>
          </w:r>
          <w:r>
            <w:tab/>
          </w:r>
          <w:r>
            <w:fldChar w:fldCharType="begin"/>
          </w:r>
          <w:r>
            <w:instrText xml:space="preserve"> PAGEREF _Toc168008282 \h </w:instrText>
          </w:r>
          <w:r>
            <w:fldChar w:fldCharType="separate"/>
          </w:r>
          <w:r>
            <w:t>5</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"_Toc168008283" </w:instrText>
          </w:r>
          <w:r>
            <w:fldChar w:fldCharType="separate"/>
          </w:r>
          <w:r>
            <w:rPr>
              <w:rStyle w:val="37"/>
              <w:rFonts w:hAnsi="黑体" w:cs="黑体"/>
            </w:rPr>
            <w:t>6.2 模型策划</w:t>
          </w:r>
          <w:r>
            <w:tab/>
          </w:r>
          <w:r>
            <w:fldChar w:fldCharType="begin"/>
          </w:r>
          <w:r>
            <w:instrText xml:space="preserve"> PAGEREF _Toc168008283 \h </w:instrText>
          </w:r>
          <w:r>
            <w:fldChar w:fldCharType="separate"/>
          </w:r>
          <w:r>
            <w:t>5</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"_Toc168008284" </w:instrText>
          </w:r>
          <w:r>
            <w:fldChar w:fldCharType="separate"/>
          </w:r>
          <w:r>
            <w:rPr>
              <w:rStyle w:val="37"/>
              <w:rFonts w:hAnsi="黑体" w:cs="黑体"/>
            </w:rPr>
            <w:t>6.3 模型精细度</w:t>
          </w:r>
          <w:r>
            <w:tab/>
          </w:r>
          <w:r>
            <w:fldChar w:fldCharType="begin"/>
          </w:r>
          <w:r>
            <w:instrText xml:space="preserve"> PAGEREF _Toc168008284 \h </w:instrText>
          </w:r>
          <w:r>
            <w:fldChar w:fldCharType="separate"/>
          </w:r>
          <w:r>
            <w:t>8</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"_Toc168008285" </w:instrText>
          </w:r>
          <w:r>
            <w:fldChar w:fldCharType="separate"/>
          </w:r>
          <w:r>
            <w:rPr>
              <w:rStyle w:val="37"/>
              <w:rFonts w:hAnsi="黑体" w:cs="黑体"/>
            </w:rPr>
            <w:t>6.4 模型命名</w:t>
          </w:r>
          <w:r>
            <w:tab/>
          </w:r>
          <w:r>
            <w:fldChar w:fldCharType="begin"/>
          </w:r>
          <w:r>
            <w:instrText xml:space="preserve"> PAGEREF _Toc168008285 \h </w:instrText>
          </w:r>
          <w:r>
            <w:fldChar w:fldCharType="separate"/>
          </w:r>
          <w:r>
            <w:t>10</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"_Toc168008286" </w:instrText>
          </w:r>
          <w:r>
            <w:fldChar w:fldCharType="separate"/>
          </w:r>
          <w:r>
            <w:rPr>
              <w:rStyle w:val="37"/>
              <w:rFonts w:hAnsi="黑体" w:cs="黑体"/>
            </w:rPr>
            <w:t>6.5 交付规定</w:t>
          </w:r>
          <w:r>
            <w:tab/>
          </w:r>
          <w:r>
            <w:fldChar w:fldCharType="begin"/>
          </w:r>
          <w:r>
            <w:instrText xml:space="preserve"> PAGEREF _Toc168008286 \h </w:instrText>
          </w:r>
          <w:r>
            <w:fldChar w:fldCharType="separate"/>
          </w:r>
          <w:r>
            <w:t>10</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"_Toc168008287" </w:instrText>
          </w:r>
          <w:r>
            <w:fldChar w:fldCharType="separate"/>
          </w:r>
          <w:r>
            <w:rPr>
              <w:rStyle w:val="37"/>
            </w:rPr>
            <w:t>7 设计阶段应用</w:t>
          </w:r>
          <w:r>
            <w:tab/>
          </w:r>
          <w:r>
            <w:fldChar w:fldCharType="begin"/>
          </w:r>
          <w:r>
            <w:instrText xml:space="preserve"> PAGEREF _Toc168008287 \h </w:instrText>
          </w:r>
          <w:r>
            <w:fldChar w:fldCharType="separate"/>
          </w:r>
          <w:r>
            <w:t>12</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"_Toc168008288" </w:instrText>
          </w:r>
          <w:r>
            <w:fldChar w:fldCharType="separate"/>
          </w:r>
          <w:r>
            <w:rPr>
              <w:rStyle w:val="37"/>
              <w:rFonts w:hAnsi="黑体" w:cs="黑体"/>
            </w:rPr>
            <w:t>7.1 一般规定</w:t>
          </w:r>
          <w:r>
            <w:tab/>
          </w:r>
          <w:r>
            <w:fldChar w:fldCharType="begin"/>
          </w:r>
          <w:r>
            <w:instrText xml:space="preserve"> PAGEREF _Toc168008288 \h </w:instrText>
          </w:r>
          <w:r>
            <w:fldChar w:fldCharType="separate"/>
          </w:r>
          <w:r>
            <w:t>12</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"_Toc168008289" </w:instrText>
          </w:r>
          <w:r>
            <w:fldChar w:fldCharType="separate"/>
          </w:r>
          <w:r>
            <w:rPr>
              <w:rStyle w:val="37"/>
              <w:rFonts w:hAnsi="黑体" w:cs="黑体"/>
            </w:rPr>
            <w:t>7.2 设计校验与空间优化</w:t>
          </w:r>
          <w:r>
            <w:tab/>
          </w:r>
          <w:r>
            <w:fldChar w:fldCharType="begin"/>
          </w:r>
          <w:r>
            <w:instrText xml:space="preserve"> PAGEREF _Toc168008289 \h </w:instrText>
          </w:r>
          <w:r>
            <w:fldChar w:fldCharType="separate"/>
          </w:r>
          <w:r>
            <w:t>12</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"_Toc168008290" </w:instrText>
          </w:r>
          <w:r>
            <w:fldChar w:fldCharType="separate"/>
          </w:r>
          <w:r>
            <w:rPr>
              <w:rStyle w:val="37"/>
              <w:rFonts w:hAnsi="黑体" w:cs="黑体"/>
            </w:rPr>
            <w:t>7.3 可视化应用</w:t>
          </w:r>
          <w:r>
            <w:tab/>
          </w:r>
          <w:r>
            <w:fldChar w:fldCharType="begin"/>
          </w:r>
          <w:r>
            <w:instrText xml:space="preserve"> PAGEREF _Toc168008290 \h </w:instrText>
          </w:r>
          <w:r>
            <w:fldChar w:fldCharType="separate"/>
          </w:r>
          <w:r>
            <w:t>13</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"_Toc168008291" </w:instrText>
          </w:r>
          <w:r>
            <w:fldChar w:fldCharType="separate"/>
          </w:r>
          <w:r>
            <w:rPr>
              <w:rStyle w:val="37"/>
              <w:rFonts w:hAnsi="黑体" w:cs="黑体"/>
            </w:rPr>
            <w:t>7.4 制图表达</w:t>
          </w:r>
          <w:r>
            <w:tab/>
          </w:r>
          <w:r>
            <w:fldChar w:fldCharType="begin"/>
          </w:r>
          <w:r>
            <w:instrText xml:space="preserve"> PAGEREF _Toc168008291 \h </w:instrText>
          </w:r>
          <w:r>
            <w:fldChar w:fldCharType="separate"/>
          </w:r>
          <w:r>
            <w:t>13</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"_Toc168008292" </w:instrText>
          </w:r>
          <w:r>
            <w:fldChar w:fldCharType="separate"/>
          </w:r>
          <w:r>
            <w:rPr>
              <w:rStyle w:val="37"/>
              <w:rFonts w:hAnsi="黑体" w:cs="黑体"/>
            </w:rPr>
            <w:t>7.5 专项设计深化</w:t>
          </w:r>
          <w:r>
            <w:tab/>
          </w:r>
          <w:r>
            <w:fldChar w:fldCharType="begin"/>
          </w:r>
          <w:r>
            <w:instrText xml:space="preserve"> PAGEREF _Toc168008292 \h </w:instrText>
          </w:r>
          <w:r>
            <w:fldChar w:fldCharType="separate"/>
          </w:r>
          <w:r>
            <w:t>14</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"_Toc168008293" </w:instrText>
          </w:r>
          <w:r>
            <w:fldChar w:fldCharType="separate"/>
          </w:r>
          <w:r>
            <w:rPr>
              <w:rStyle w:val="37"/>
              <w:rFonts w:hAnsi="黑体" w:cs="黑体"/>
            </w:rPr>
            <w:t>7.6 绿色设计专项应用</w:t>
          </w:r>
          <w:r>
            <w:tab/>
          </w:r>
          <w:r>
            <w:fldChar w:fldCharType="begin"/>
          </w:r>
          <w:r>
            <w:instrText xml:space="preserve"> PAGEREF _Toc168008293 \h </w:instrText>
          </w:r>
          <w:r>
            <w:fldChar w:fldCharType="separate"/>
          </w:r>
          <w:r>
            <w:t>14</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"_Toc168008294" </w:instrText>
          </w:r>
          <w:r>
            <w:fldChar w:fldCharType="separate"/>
          </w:r>
          <w:r>
            <w:rPr>
              <w:rStyle w:val="37"/>
              <w:rFonts w:hAnsi="黑体" w:cs="黑体"/>
            </w:rPr>
            <w:t>7.7 智能化审查和模型评价</w:t>
          </w:r>
          <w:r>
            <w:tab/>
          </w:r>
          <w:r>
            <w:fldChar w:fldCharType="begin"/>
          </w:r>
          <w:r>
            <w:instrText xml:space="preserve"> PAGEREF _Toc168008294 \h </w:instrText>
          </w:r>
          <w:r>
            <w:fldChar w:fldCharType="separate"/>
          </w:r>
          <w:r>
            <w:t>15</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"_Toc168008295" </w:instrText>
          </w:r>
          <w:r>
            <w:fldChar w:fldCharType="separate"/>
          </w:r>
          <w:r>
            <w:rPr>
              <w:rStyle w:val="37"/>
            </w:rPr>
            <w:t>8 施工阶段应用</w:t>
          </w:r>
          <w:r>
            <w:tab/>
          </w:r>
          <w:r>
            <w:fldChar w:fldCharType="begin"/>
          </w:r>
          <w:r>
            <w:instrText xml:space="preserve"> PAGEREF _Toc168008295 \h </w:instrText>
          </w:r>
          <w:r>
            <w:fldChar w:fldCharType="separate"/>
          </w:r>
          <w:r>
            <w:t>16</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"_Toc168008296" </w:instrText>
          </w:r>
          <w:r>
            <w:fldChar w:fldCharType="separate"/>
          </w:r>
          <w:r>
            <w:rPr>
              <w:rStyle w:val="37"/>
              <w:rFonts w:hAnsi="黑体" w:cs="黑体"/>
            </w:rPr>
            <w:t>8.1 一般规定</w:t>
          </w:r>
          <w:r>
            <w:tab/>
          </w:r>
          <w:r>
            <w:fldChar w:fldCharType="begin"/>
          </w:r>
          <w:r>
            <w:instrText xml:space="preserve"> PAGEREF _Toc168008296 \h </w:instrText>
          </w:r>
          <w:r>
            <w:fldChar w:fldCharType="separate"/>
          </w:r>
          <w:r>
            <w:t>16</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"_Toc168008297" </w:instrText>
          </w:r>
          <w:r>
            <w:fldChar w:fldCharType="separate"/>
          </w:r>
          <w:r>
            <w:rPr>
              <w:rStyle w:val="37"/>
              <w:rFonts w:hAnsi="黑体" w:cs="黑体"/>
            </w:rPr>
            <w:t>8.2 施工模拟</w:t>
          </w:r>
          <w:r>
            <w:tab/>
          </w:r>
          <w:r>
            <w:fldChar w:fldCharType="begin"/>
          </w:r>
          <w:r>
            <w:instrText xml:space="preserve"> PAGEREF _Toc168008297 \h </w:instrText>
          </w:r>
          <w:r>
            <w:fldChar w:fldCharType="separate"/>
          </w:r>
          <w:r>
            <w:t>16</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"_Toc168008298" </w:instrText>
          </w:r>
          <w:r>
            <w:fldChar w:fldCharType="separate"/>
          </w:r>
          <w:r>
            <w:rPr>
              <w:rStyle w:val="37"/>
              <w:rFonts w:hAnsi="黑体" w:cs="黑体"/>
            </w:rPr>
            <w:t>8.3 预制加工</w:t>
          </w:r>
          <w:r>
            <w:tab/>
          </w:r>
          <w:r>
            <w:fldChar w:fldCharType="begin"/>
          </w:r>
          <w:r>
            <w:instrText xml:space="preserve"> PAGEREF _Toc168008298 \h </w:instrText>
          </w:r>
          <w:r>
            <w:fldChar w:fldCharType="separate"/>
          </w:r>
          <w:r>
            <w:t>17</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"_Toc168008299" </w:instrText>
          </w:r>
          <w:r>
            <w:fldChar w:fldCharType="separate"/>
          </w:r>
          <w:r>
            <w:rPr>
              <w:rStyle w:val="37"/>
              <w:rFonts w:hAnsi="黑体" w:cs="黑体"/>
            </w:rPr>
            <w:t>8.4 进度管理</w:t>
          </w:r>
          <w:r>
            <w:tab/>
          </w:r>
          <w:r>
            <w:fldChar w:fldCharType="begin"/>
          </w:r>
          <w:r>
            <w:instrText xml:space="preserve"> PAGEREF _Toc168008299 \h </w:instrText>
          </w:r>
          <w:r>
            <w:fldChar w:fldCharType="separate"/>
          </w:r>
          <w:r>
            <w:t>17</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"_Toc168008300" </w:instrText>
          </w:r>
          <w:r>
            <w:fldChar w:fldCharType="separate"/>
          </w:r>
          <w:r>
            <w:rPr>
              <w:rStyle w:val="37"/>
              <w:rFonts w:hAnsi="黑体" w:cs="黑体"/>
            </w:rPr>
            <w:t>8.5 成本管理</w:t>
          </w:r>
          <w:r>
            <w:tab/>
          </w:r>
          <w:r>
            <w:fldChar w:fldCharType="begin"/>
          </w:r>
          <w:r>
            <w:instrText xml:space="preserve"> PAGEREF _Toc168008300 \h </w:instrText>
          </w:r>
          <w:r>
            <w:fldChar w:fldCharType="separate"/>
          </w:r>
          <w:r>
            <w:t>18</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"_Toc168008301" </w:instrText>
          </w:r>
          <w:r>
            <w:fldChar w:fldCharType="separate"/>
          </w:r>
          <w:r>
            <w:rPr>
              <w:rStyle w:val="37"/>
              <w:rFonts w:hAnsi="黑体" w:cs="黑体"/>
            </w:rPr>
            <w:t>8.6 质量管理</w:t>
          </w:r>
          <w:r>
            <w:tab/>
          </w:r>
          <w:r>
            <w:fldChar w:fldCharType="begin"/>
          </w:r>
          <w:r>
            <w:instrText xml:space="preserve"> PAGEREF _Toc168008301 \h </w:instrText>
          </w:r>
          <w:r>
            <w:fldChar w:fldCharType="separate"/>
          </w:r>
          <w:r>
            <w:t>18</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"_Toc168008302" </w:instrText>
          </w:r>
          <w:r>
            <w:fldChar w:fldCharType="separate"/>
          </w:r>
          <w:r>
            <w:rPr>
              <w:rStyle w:val="37"/>
              <w:rFonts w:hAnsi="黑体" w:cs="黑体"/>
            </w:rPr>
            <w:t>8.7 安全管理</w:t>
          </w:r>
          <w:r>
            <w:tab/>
          </w:r>
          <w:r>
            <w:fldChar w:fldCharType="begin"/>
          </w:r>
          <w:r>
            <w:instrText xml:space="preserve"> PAGEREF _Toc168008302 \h </w:instrText>
          </w:r>
          <w:r>
            <w:fldChar w:fldCharType="separate"/>
          </w:r>
          <w:r>
            <w:t>19</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"_Toc168008303" </w:instrText>
          </w:r>
          <w:r>
            <w:fldChar w:fldCharType="separate"/>
          </w:r>
          <w:r>
            <w:rPr>
              <w:rStyle w:val="37"/>
              <w:rFonts w:hAnsi="黑体" w:cs="黑体"/>
            </w:rPr>
            <w:t>8.8 绿色施工专项应用</w:t>
          </w:r>
          <w:r>
            <w:tab/>
          </w:r>
          <w:r>
            <w:fldChar w:fldCharType="begin"/>
          </w:r>
          <w:r>
            <w:instrText xml:space="preserve"> PAGEREF _Toc168008303 \h </w:instrText>
          </w:r>
          <w:r>
            <w:fldChar w:fldCharType="separate"/>
          </w:r>
          <w:r>
            <w:t>19</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"_Toc168008304" </w:instrText>
          </w:r>
          <w:r>
            <w:fldChar w:fldCharType="separate"/>
          </w:r>
          <w:r>
            <w:rPr>
              <w:rStyle w:val="37"/>
              <w:rFonts w:hAnsi="黑体" w:cs="黑体"/>
            </w:rPr>
            <w:t>8.9 竣工验收</w:t>
          </w:r>
          <w:r>
            <w:tab/>
          </w:r>
          <w:r>
            <w:fldChar w:fldCharType="begin"/>
          </w:r>
          <w:r>
            <w:instrText xml:space="preserve"> PAGEREF _Toc168008304 \h </w:instrText>
          </w:r>
          <w:r>
            <w:fldChar w:fldCharType="separate"/>
          </w:r>
          <w:r>
            <w:t>20</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"_Toc168008305" </w:instrText>
          </w:r>
          <w:r>
            <w:fldChar w:fldCharType="separate"/>
          </w:r>
          <w:r>
            <w:rPr>
              <w:rStyle w:val="37"/>
            </w:rPr>
            <w:t>9 运维阶段应用</w:t>
          </w:r>
          <w:r>
            <w:tab/>
          </w:r>
          <w:r>
            <w:fldChar w:fldCharType="begin"/>
          </w:r>
          <w:r>
            <w:instrText xml:space="preserve"> PAGEREF _Toc168008305 \h </w:instrText>
          </w:r>
          <w:r>
            <w:fldChar w:fldCharType="separate"/>
          </w:r>
          <w:r>
            <w:t>21</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"_Toc168008306" </w:instrText>
          </w:r>
          <w:r>
            <w:fldChar w:fldCharType="separate"/>
          </w:r>
          <w:r>
            <w:rPr>
              <w:rStyle w:val="37"/>
              <w:rFonts w:hAnsi="黑体" w:cs="黑体"/>
            </w:rPr>
            <w:t>9.1 一般规定</w:t>
          </w:r>
          <w:r>
            <w:tab/>
          </w:r>
          <w:r>
            <w:fldChar w:fldCharType="begin"/>
          </w:r>
          <w:r>
            <w:instrText xml:space="preserve"> PAGEREF _Toc168008306 \h </w:instrText>
          </w:r>
          <w:r>
            <w:fldChar w:fldCharType="separate"/>
          </w:r>
          <w:r>
            <w:t>21</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"_Toc168008307" </w:instrText>
          </w:r>
          <w:r>
            <w:fldChar w:fldCharType="separate"/>
          </w:r>
          <w:r>
            <w:rPr>
              <w:rStyle w:val="37"/>
              <w:rFonts w:hAnsi="黑体" w:cs="黑体"/>
            </w:rPr>
            <w:t>9.2 能源与碳排放管理模型应用</w:t>
          </w:r>
          <w:r>
            <w:tab/>
          </w:r>
          <w:r>
            <w:fldChar w:fldCharType="begin"/>
          </w:r>
          <w:r>
            <w:instrText xml:space="preserve"> PAGEREF _Toc168008307 \h </w:instrText>
          </w:r>
          <w:r>
            <w:fldChar w:fldCharType="separate"/>
          </w:r>
          <w:r>
            <w:t>21</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"_Toc168008308" </w:instrText>
          </w:r>
          <w:r>
            <w:fldChar w:fldCharType="separate"/>
          </w:r>
          <w:r>
            <w:rPr>
              <w:rStyle w:val="37"/>
              <w:rFonts w:hAnsi="黑体" w:cs="黑体"/>
            </w:rPr>
            <w:t>9.3 安防与消防管理模型应用</w:t>
          </w:r>
          <w:r>
            <w:tab/>
          </w:r>
          <w:r>
            <w:fldChar w:fldCharType="begin"/>
          </w:r>
          <w:r>
            <w:instrText xml:space="preserve"> PAGEREF _Toc168008308 \h </w:instrText>
          </w:r>
          <w:r>
            <w:fldChar w:fldCharType="separate"/>
          </w:r>
          <w:r>
            <w:t>22</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"_Toc168008309" </w:instrText>
          </w:r>
          <w:r>
            <w:fldChar w:fldCharType="separate"/>
          </w:r>
          <w:r>
            <w:rPr>
              <w:rStyle w:val="37"/>
              <w:rFonts w:hAnsi="黑体" w:cs="黑体"/>
            </w:rPr>
            <w:t>9.4 空间与资产管理模型应用</w:t>
          </w:r>
          <w:r>
            <w:tab/>
          </w:r>
          <w:r>
            <w:fldChar w:fldCharType="begin"/>
          </w:r>
          <w:r>
            <w:instrText xml:space="preserve"> PAGEREF _Toc168008309 \h </w:instrText>
          </w:r>
          <w:r>
            <w:fldChar w:fldCharType="separate"/>
          </w:r>
          <w:r>
            <w:t>22</w:t>
          </w:r>
          <w:r>
            <w:fldChar w:fldCharType="end"/>
          </w:r>
          <w:r>
            <w:fldChar w:fldCharType="end"/>
          </w:r>
        </w:p>
        <w:p>
          <w:pPr>
            <w:pStyle w:val="28"/>
            <w:rPr>
              <w:rFonts w:hint="eastAsia" w:asciiTheme="minorHAnsi" w:hAnsiTheme="minorHAnsi" w:eastAsiaTheme="minorEastAsia" w:cstheme="minorBidi"/>
              <w:szCs w:val="22"/>
              <w14:ligatures w14:val="standardContextual"/>
            </w:rPr>
          </w:pPr>
          <w:r>
            <w:fldChar w:fldCharType="begin"/>
          </w:r>
          <w:r>
            <w:instrText xml:space="preserve"> HYPERLINK \l "_Toc168008310" </w:instrText>
          </w:r>
          <w:r>
            <w:fldChar w:fldCharType="separate"/>
          </w:r>
          <w:r>
            <w:rPr>
              <w:rStyle w:val="37"/>
              <w:rFonts w:hAnsi="黑体" w:cs="黑体"/>
            </w:rPr>
            <w:t>9.5 设备设施管理模型应用</w:t>
          </w:r>
          <w:r>
            <w:tab/>
          </w:r>
          <w:r>
            <w:fldChar w:fldCharType="begin"/>
          </w:r>
          <w:r>
            <w:instrText xml:space="preserve"> PAGEREF _Toc168008310 \h </w:instrText>
          </w:r>
          <w:r>
            <w:fldChar w:fldCharType="separate"/>
          </w:r>
          <w:r>
            <w:t>23</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"_Toc168008311" </w:instrText>
          </w:r>
          <w:r>
            <w:fldChar w:fldCharType="separate"/>
          </w:r>
          <w:r>
            <w:rPr>
              <w:rStyle w:val="37"/>
              <w:spacing w:val="100"/>
            </w:rPr>
            <w:t>附录A</w:t>
          </w:r>
          <w:r>
            <w:rPr>
              <w:rStyle w:val="37"/>
              <w:rFonts w:hint="eastAsia"/>
              <w:spacing w:val="100"/>
            </w:rPr>
            <w:t>（规范性)</w:t>
          </w:r>
          <w:r>
            <w:rPr>
              <w:rStyle w:val="37"/>
              <w:rFonts w:hint="eastAsia"/>
            </w:rPr>
            <w:t xml:space="preserve"> </w:t>
          </w:r>
          <w:r>
            <w:rPr>
              <w:rStyle w:val="37"/>
            </w:rPr>
            <w:t>结构基础（砼结构）模型精细度表达</w:t>
          </w:r>
          <w:r>
            <w:tab/>
          </w:r>
          <w:r>
            <w:fldChar w:fldCharType="begin"/>
          </w:r>
          <w:r>
            <w:instrText xml:space="preserve"> PAGEREF _Toc168008311 \h </w:instrText>
          </w:r>
          <w:r>
            <w:fldChar w:fldCharType="separate"/>
          </w:r>
          <w:r>
            <w:t>25</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"_Toc168008312" </w:instrText>
          </w:r>
          <w:r>
            <w:fldChar w:fldCharType="separate"/>
          </w:r>
          <w:r>
            <w:rPr>
              <w:rStyle w:val="37"/>
              <w:spacing w:val="100"/>
            </w:rPr>
            <w:t>附录B</w:t>
          </w:r>
          <w:r>
            <w:rPr>
              <w:rStyle w:val="37"/>
              <w:rFonts w:hint="eastAsia"/>
              <w:spacing w:val="100"/>
            </w:rPr>
            <w:t>（规范性）</w:t>
          </w:r>
          <w:r>
            <w:rPr>
              <w:rStyle w:val="37"/>
            </w:rPr>
            <w:t>结构框架、空间划分、内部装饰、外部装饰（砼结构）主要构件模型精细度表达</w:t>
          </w:r>
          <w:r>
            <w:tab/>
          </w:r>
          <w:r>
            <w:fldChar w:fldCharType="begin"/>
          </w:r>
          <w:r>
            <w:instrText xml:space="preserve"> PAGEREF _Toc168008312 \h </w:instrText>
          </w:r>
          <w:r>
            <w:fldChar w:fldCharType="separate"/>
          </w:r>
          <w:r>
            <w:t>30</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"_Toc168008313" </w:instrText>
          </w:r>
          <w:r>
            <w:fldChar w:fldCharType="separate"/>
          </w:r>
          <w:r>
            <w:rPr>
              <w:rStyle w:val="37"/>
              <w:spacing w:val="100"/>
            </w:rPr>
            <w:t>附录C</w:t>
          </w:r>
          <w:r>
            <w:rPr>
              <w:rStyle w:val="37"/>
              <w:rFonts w:hint="eastAsia"/>
              <w:spacing w:val="100"/>
            </w:rPr>
            <w:t>（规范性）</w:t>
          </w:r>
          <w:r>
            <w:rPr>
              <w:rStyle w:val="37"/>
            </w:rPr>
            <w:t xml:space="preserve"> 结构框架、空间划分、内部装饰、外部装饰（钢结构）主要构件模型精细度表达</w:t>
          </w:r>
          <w:r>
            <w:tab/>
          </w:r>
          <w:r>
            <w:fldChar w:fldCharType="begin"/>
          </w:r>
          <w:r>
            <w:instrText xml:space="preserve"> PAGEREF _Toc168008313 \h </w:instrText>
          </w:r>
          <w:r>
            <w:fldChar w:fldCharType="separate"/>
          </w:r>
          <w:r>
            <w:t>35</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"_Toc168008314" </w:instrText>
          </w:r>
          <w:r>
            <w:fldChar w:fldCharType="separate"/>
          </w:r>
          <w:r>
            <w:rPr>
              <w:rStyle w:val="37"/>
              <w:spacing w:val="100"/>
            </w:rPr>
            <w:t>附录D</w:t>
          </w:r>
          <w:r>
            <w:rPr>
              <w:rStyle w:val="37"/>
              <w:rFonts w:hint="eastAsia"/>
              <w:spacing w:val="100"/>
            </w:rPr>
            <w:t>（规范性）</w:t>
          </w:r>
          <w:r>
            <w:rPr>
              <w:rStyle w:val="37"/>
              <w:rFonts w:hint="eastAsia"/>
            </w:rPr>
            <w:t xml:space="preserve"> </w:t>
          </w:r>
          <w:r>
            <w:rPr>
              <w:rStyle w:val="37"/>
            </w:rPr>
            <w:t>机电专业主要构件模型精细度表达</w:t>
          </w:r>
          <w:r>
            <w:tab/>
          </w:r>
          <w:r>
            <w:fldChar w:fldCharType="begin"/>
          </w:r>
          <w:r>
            <w:instrText xml:space="preserve"> PAGEREF _Toc168008314 \h </w:instrText>
          </w:r>
          <w:r>
            <w:fldChar w:fldCharType="separate"/>
          </w:r>
          <w:r>
            <w:t>40</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"_Toc168008315" </w:instrText>
          </w:r>
          <w:r>
            <w:fldChar w:fldCharType="separate"/>
          </w:r>
          <w:r>
            <w:rPr>
              <w:rStyle w:val="37"/>
              <w:spacing w:val="100"/>
            </w:rPr>
            <w:t>附录E</w:t>
          </w:r>
          <w:r>
            <w:rPr>
              <w:rStyle w:val="37"/>
              <w:rFonts w:hint="eastAsia"/>
              <w:spacing w:val="100"/>
            </w:rPr>
            <w:t>（规范性）</w:t>
          </w:r>
          <w:r>
            <w:rPr>
              <w:rStyle w:val="37"/>
              <w:rFonts w:hint="eastAsia"/>
            </w:rPr>
            <w:t xml:space="preserve"> </w:t>
          </w:r>
          <w:r>
            <w:rPr>
              <w:rStyle w:val="37"/>
            </w:rPr>
            <w:t>场地主要构件模型精细度表达</w:t>
          </w:r>
          <w:r>
            <w:tab/>
          </w:r>
          <w:r>
            <w:fldChar w:fldCharType="begin"/>
          </w:r>
          <w:r>
            <w:instrText xml:space="preserve"> PAGEREF _Toc168008315 \h </w:instrText>
          </w:r>
          <w:r>
            <w:fldChar w:fldCharType="separate"/>
          </w:r>
          <w:r>
            <w:t>45</w:t>
          </w:r>
          <w:r>
            <w:fldChar w:fldCharType="end"/>
          </w:r>
          <w:r>
            <w:fldChar w:fldCharType="end"/>
          </w:r>
        </w:p>
        <w:p>
          <w:pPr>
            <w:pStyle w:val="23"/>
            <w:tabs>
              <w:tab w:val="right" w:leader="dot" w:pos="9344"/>
            </w:tabs>
            <w:rPr>
              <w:rFonts w:hint="eastAsia" w:asciiTheme="minorHAnsi" w:hAnsiTheme="minorHAnsi" w:eastAsiaTheme="minorEastAsia" w:cstheme="minorBidi"/>
              <w:szCs w:val="22"/>
              <w14:ligatures w14:val="standardContextual"/>
            </w:rPr>
          </w:pPr>
          <w:r>
            <w:fldChar w:fldCharType="begin"/>
          </w:r>
          <w:r>
            <w:instrText xml:space="preserve"> HYPERLINK \l "_Toc168008316" </w:instrText>
          </w:r>
          <w:r>
            <w:fldChar w:fldCharType="separate"/>
          </w:r>
          <w:r>
            <w:rPr>
              <w:rStyle w:val="37"/>
              <w:spacing w:val="100"/>
            </w:rPr>
            <w:t>附录F</w:t>
          </w:r>
          <w:r>
            <w:rPr>
              <w:rStyle w:val="37"/>
              <w:rFonts w:hint="eastAsia"/>
              <w:spacing w:val="100"/>
            </w:rPr>
            <w:t>（规范性）</w:t>
          </w:r>
          <w:r>
            <w:rPr>
              <w:rStyle w:val="37"/>
            </w:rPr>
            <w:t xml:space="preserve"> 装修专业主要构件模型精细度表达</w:t>
          </w:r>
          <w:r>
            <w:tab/>
          </w:r>
          <w:r>
            <w:fldChar w:fldCharType="begin"/>
          </w:r>
          <w:r>
            <w:instrText xml:space="preserve"> PAGEREF _Toc168008316 \h </w:instrText>
          </w:r>
          <w:r>
            <w:fldChar w:fldCharType="separate"/>
          </w:r>
          <w:r>
            <w:t>50</w:t>
          </w:r>
          <w:r>
            <w:fldChar w:fldCharType="end"/>
          </w:r>
          <w:r>
            <w:fldChar w:fldCharType="end"/>
          </w:r>
        </w:p>
        <w:p>
          <w:pPr>
            <w:spacing w:line="240" w:lineRule="auto"/>
            <w:rPr>
              <w:rFonts w:hint="eastAsia" w:ascii="宋体" w:hAnsi="宋体"/>
              <w:b/>
              <w:bCs/>
              <w:lang w:val="zh-CN"/>
            </w:rPr>
          </w:pPr>
          <w:r>
            <w:rPr>
              <w:rFonts w:ascii="宋体" w:hAnsi="宋体"/>
              <w:b/>
              <w:bCs/>
              <w:lang w:val="zh-CN"/>
            </w:rPr>
            <w:fldChar w:fldCharType="end"/>
          </w:r>
        </w:p>
      </w:sdtContent>
    </w:sdt>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TOC \h \z \t "题注,1" </w:instrText>
      </w:r>
      <w:r>
        <w:fldChar w:fldCharType="separate"/>
      </w:r>
      <w:r>
        <w:fldChar w:fldCharType="begin"/>
      </w:r>
      <w:r>
        <w:instrText xml:space="preserve"> HYPERLINK \l "_Toc174544079" </w:instrText>
      </w:r>
      <w:r>
        <w:fldChar w:fldCharType="separate"/>
      </w:r>
      <w:r>
        <w:rPr>
          <w:rStyle w:val="37"/>
          <w:rFonts w:hint="eastAsia" w:ascii="黑体" w:hAnsi="黑体"/>
        </w:rPr>
        <w:t>图1 绿色建筑信息模型全生命周期具体应用流程</w:t>
      </w:r>
      <w:r>
        <w:rPr>
          <w:rFonts w:hint="eastAsia"/>
        </w:rPr>
        <w:tab/>
      </w:r>
      <w:r>
        <w:rPr>
          <w:rFonts w:hint="eastAsia"/>
        </w:rPr>
        <w:fldChar w:fldCharType="begin"/>
      </w:r>
      <w:r>
        <w:rPr>
          <w:rFonts w:hint="eastAsia"/>
        </w:rPr>
        <w:instrText xml:space="preserve"> </w:instrText>
      </w:r>
      <w:r>
        <w:instrText xml:space="preserve">PAGEREF _Toc174544079 \h</w:instrText>
      </w:r>
      <w:r>
        <w:rPr>
          <w:rFonts w:hint="eastAsia"/>
        </w:rPr>
        <w:instrText xml:space="preserve"> </w:instrText>
      </w:r>
      <w:r>
        <w:fldChar w:fldCharType="separate"/>
      </w:r>
      <w:r>
        <w:t>4</w:t>
      </w:r>
      <w:r>
        <w:rPr>
          <w:rFonts w:hint="eastAsia"/>
        </w:rPr>
        <w:fldChar w:fldCharType="end"/>
      </w:r>
      <w:r>
        <w:rPr>
          <w:rFonts w:hint="eastAsia"/>
        </w:rPr>
        <w:fldChar w:fldCharType="end"/>
      </w:r>
    </w:p>
    <w:p>
      <w:pPr>
        <w:pStyle w:val="23"/>
        <w:tabs>
          <w:tab w:val="right" w:leader="dot" w:pos="9060"/>
        </w:tabs>
        <w:rPr>
          <w:rStyle w:val="37"/>
        </w:rPr>
      </w:pPr>
      <w:r>
        <w:fldChar w:fldCharType="begin"/>
      </w:r>
      <w:r>
        <w:instrText xml:space="preserve"> HYPERLINK \l "_Toc174544092" </w:instrText>
      </w:r>
      <w:r>
        <w:fldChar w:fldCharType="separate"/>
      </w:r>
      <w:r>
        <w:rPr>
          <w:rStyle w:val="37"/>
          <w:rFonts w:hint="eastAsia" w:ascii="黑体" w:hAnsi="黑体"/>
        </w:rPr>
        <w:t>图2</w:t>
      </w:r>
      <w:r>
        <w:rPr>
          <w:rStyle w:val="37"/>
          <w:rFonts w:hint="eastAsia" w:ascii="黑体" w:hAnsi="黑体"/>
          <w:kern w:val="0"/>
        </w:rPr>
        <w:t xml:space="preserve"> 基于建筑信息模型的管道系统轴测图</w:t>
      </w:r>
      <w:r>
        <w:rPr>
          <w:rFonts w:hint="eastAsia"/>
        </w:rPr>
        <w:tab/>
      </w:r>
      <w:r>
        <w:rPr>
          <w:rFonts w:hint="eastAsia"/>
        </w:rPr>
        <w:fldChar w:fldCharType="begin"/>
      </w:r>
      <w:r>
        <w:rPr>
          <w:rFonts w:hint="eastAsia"/>
        </w:rPr>
        <w:instrText xml:space="preserve"> </w:instrText>
      </w:r>
      <w:r>
        <w:instrText xml:space="preserve">PAGEREF _Toc174544092 \h</w:instrText>
      </w:r>
      <w:r>
        <w:rPr>
          <w:rFonts w:hint="eastAsia"/>
        </w:rPr>
        <w:instrText xml:space="preserve"> </w:instrText>
      </w:r>
      <w:r>
        <w:fldChar w:fldCharType="separate"/>
      </w:r>
      <w:r>
        <w:t>14</w:t>
      </w:r>
      <w:r>
        <w:rPr>
          <w:rFonts w:hint="eastAsia"/>
        </w:rPr>
        <w:fldChar w:fldCharType="end"/>
      </w:r>
      <w:r>
        <w:rPr>
          <w:rFonts w:hint="eastAsia"/>
        </w:rPr>
        <w:fldChar w:fldCharType="end"/>
      </w:r>
    </w:p>
    <w:p>
      <w:pPr>
        <w:rPr>
          <w:rFonts w:hint="eastAsia"/>
        </w:rPr>
      </w:pP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"_Toc174544080" </w:instrText>
      </w:r>
      <w:r>
        <w:fldChar w:fldCharType="separate"/>
      </w:r>
      <w:r>
        <w:rPr>
          <w:rStyle w:val="37"/>
          <w:rFonts w:hint="eastAsia" w:ascii="黑体" w:hAnsi="黑体"/>
        </w:rPr>
        <w:t>表1</w:t>
      </w:r>
      <w:r>
        <w:rPr>
          <w:rStyle w:val="37"/>
          <w:rFonts w:hint="eastAsia" w:ascii="黑体" w:hAnsi="黑体"/>
          <w:kern w:val="0"/>
        </w:rPr>
        <w:t xml:space="preserve"> 建筑工程对象的拆分</w:t>
      </w:r>
      <w:r>
        <w:rPr>
          <w:rFonts w:hint="eastAsia"/>
        </w:rPr>
        <w:tab/>
      </w:r>
      <w:r>
        <w:rPr>
          <w:rFonts w:hint="eastAsia"/>
        </w:rPr>
        <w:fldChar w:fldCharType="begin"/>
      </w:r>
      <w:r>
        <w:rPr>
          <w:rFonts w:hint="eastAsia"/>
        </w:rPr>
        <w:instrText xml:space="preserve"> </w:instrText>
      </w:r>
      <w:r>
        <w:instrText xml:space="preserve">PAGEREF _Toc174544080 \h</w:instrText>
      </w:r>
      <w:r>
        <w:rPr>
          <w:rFonts w:hint="eastAsia"/>
        </w:rPr>
        <w:instrText xml:space="preserve"> </w:instrText>
      </w:r>
      <w:r>
        <w:fldChar w:fldCharType="separate"/>
      </w:r>
      <w:r>
        <w:t>6</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"_Toc174544081" </w:instrText>
      </w:r>
      <w:r>
        <w:fldChar w:fldCharType="separate"/>
      </w:r>
      <w:r>
        <w:rPr>
          <w:rStyle w:val="37"/>
          <w:rFonts w:hint="eastAsia" w:ascii="黑体" w:hAnsi="黑体"/>
        </w:rPr>
        <w:t>表2</w:t>
      </w:r>
      <w:r>
        <w:rPr>
          <w:rStyle w:val="37"/>
          <w:rFonts w:hint="eastAsia" w:ascii="黑体" w:hAnsi="黑体"/>
          <w:kern w:val="0"/>
        </w:rPr>
        <w:t xml:space="preserve"> 设备工程对象的拆分</w:t>
      </w:r>
      <w:r>
        <w:rPr>
          <w:rFonts w:hint="eastAsia"/>
        </w:rPr>
        <w:tab/>
      </w:r>
      <w:r>
        <w:rPr>
          <w:rFonts w:hint="eastAsia"/>
        </w:rPr>
        <w:fldChar w:fldCharType="begin"/>
      </w:r>
      <w:r>
        <w:rPr>
          <w:rFonts w:hint="eastAsia"/>
        </w:rPr>
        <w:instrText xml:space="preserve"> </w:instrText>
      </w:r>
      <w:r>
        <w:instrText xml:space="preserve">PAGEREF _Toc174544081 \h</w:instrText>
      </w:r>
      <w:r>
        <w:rPr>
          <w:rFonts w:hint="eastAsia"/>
        </w:rPr>
        <w:instrText xml:space="preserve"> </w:instrText>
      </w:r>
      <w:r>
        <w:fldChar w:fldCharType="separate"/>
      </w:r>
      <w:r>
        <w:t>6</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"_Toc174544082" </w:instrText>
      </w:r>
      <w:r>
        <w:fldChar w:fldCharType="separate"/>
      </w:r>
      <w:r>
        <w:rPr>
          <w:rStyle w:val="37"/>
          <w:rFonts w:hint="eastAsia" w:ascii="黑体" w:hAnsi="黑体"/>
        </w:rPr>
        <w:t>表3</w:t>
      </w:r>
      <w:r>
        <w:rPr>
          <w:rStyle w:val="37"/>
          <w:rFonts w:hint="eastAsia" w:ascii="黑体" w:hAnsi="黑体"/>
          <w:kern w:val="0"/>
        </w:rPr>
        <w:t xml:space="preserve"> 场地工程对象的拆分</w:t>
      </w:r>
      <w:r>
        <w:rPr>
          <w:rFonts w:hint="eastAsia"/>
        </w:rPr>
        <w:tab/>
      </w:r>
      <w:r>
        <w:rPr>
          <w:rFonts w:hint="eastAsia"/>
        </w:rPr>
        <w:fldChar w:fldCharType="begin"/>
      </w:r>
      <w:r>
        <w:rPr>
          <w:rFonts w:hint="eastAsia"/>
        </w:rPr>
        <w:instrText xml:space="preserve"> </w:instrText>
      </w:r>
      <w:r>
        <w:instrText xml:space="preserve">PAGEREF _Toc174544082 \h</w:instrText>
      </w:r>
      <w:r>
        <w:rPr>
          <w:rFonts w:hint="eastAsia"/>
        </w:rPr>
        <w:instrText xml:space="preserve"> </w:instrText>
      </w:r>
      <w:r>
        <w:fldChar w:fldCharType="separate"/>
      </w:r>
      <w:r>
        <w:t>7</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"_Toc174544083" </w:instrText>
      </w:r>
      <w:r>
        <w:fldChar w:fldCharType="separate"/>
      </w:r>
      <w:r>
        <w:rPr>
          <w:rStyle w:val="37"/>
          <w:rFonts w:hint="eastAsia" w:ascii="黑体" w:hAnsi="黑体"/>
        </w:rPr>
        <w:t>表4</w:t>
      </w:r>
      <w:r>
        <w:rPr>
          <w:rStyle w:val="37"/>
          <w:rFonts w:hint="eastAsia" w:ascii="黑体" w:hAnsi="黑体"/>
          <w:kern w:val="0"/>
        </w:rPr>
        <w:t xml:space="preserve"> 设计阶段模型精细度基本等级划分</w:t>
      </w:r>
      <w:r>
        <w:rPr>
          <w:rFonts w:hint="eastAsia"/>
        </w:rPr>
        <w:tab/>
      </w:r>
      <w:r>
        <w:rPr>
          <w:rFonts w:hint="eastAsia"/>
        </w:rPr>
        <w:fldChar w:fldCharType="begin"/>
      </w:r>
      <w:r>
        <w:rPr>
          <w:rFonts w:hint="eastAsia"/>
        </w:rPr>
        <w:instrText xml:space="preserve"> </w:instrText>
      </w:r>
      <w:r>
        <w:instrText xml:space="preserve">PAGEREF _Toc174544083 \h</w:instrText>
      </w:r>
      <w:r>
        <w:rPr>
          <w:rFonts w:hint="eastAsia"/>
        </w:rPr>
        <w:instrText xml:space="preserve"> </w:instrText>
      </w:r>
      <w:r>
        <w:fldChar w:fldCharType="separate"/>
      </w:r>
      <w:r>
        <w:t>8</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"_Toc174544084" </w:instrText>
      </w:r>
      <w:r>
        <w:fldChar w:fldCharType="separate"/>
      </w:r>
      <w:r>
        <w:rPr>
          <w:rStyle w:val="37"/>
          <w:rFonts w:hint="eastAsia" w:ascii="黑体" w:hAnsi="黑体"/>
        </w:rPr>
        <w:t>表5</w:t>
      </w:r>
      <w:r>
        <w:rPr>
          <w:rStyle w:val="37"/>
          <w:rFonts w:hint="eastAsia" w:ascii="黑体" w:hAnsi="黑体"/>
          <w:kern w:val="0"/>
        </w:rPr>
        <w:t xml:space="preserve"> 模型单元精细度的分级</w:t>
      </w:r>
      <w:r>
        <w:rPr>
          <w:rFonts w:hint="eastAsia"/>
        </w:rPr>
        <w:tab/>
      </w:r>
      <w:r>
        <w:rPr>
          <w:rFonts w:hint="eastAsia"/>
        </w:rPr>
        <w:fldChar w:fldCharType="begin"/>
      </w:r>
      <w:r>
        <w:rPr>
          <w:rFonts w:hint="eastAsia"/>
        </w:rPr>
        <w:instrText xml:space="preserve"> </w:instrText>
      </w:r>
      <w:r>
        <w:instrText xml:space="preserve">PAGEREF _Toc174544084 \h</w:instrText>
      </w:r>
      <w:r>
        <w:rPr>
          <w:rFonts w:hint="eastAsia"/>
        </w:rPr>
        <w:instrText xml:space="preserve"> </w:instrText>
      </w:r>
      <w:r>
        <w:fldChar w:fldCharType="separate"/>
      </w:r>
      <w:r>
        <w:t>8</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"_Toc174544085" </w:instrText>
      </w:r>
      <w:r>
        <w:fldChar w:fldCharType="separate"/>
      </w:r>
      <w:r>
        <w:rPr>
          <w:rStyle w:val="37"/>
          <w:rFonts w:hint="eastAsia" w:ascii="黑体" w:hAnsi="黑体"/>
        </w:rPr>
        <w:t>表6</w:t>
      </w:r>
      <w:r>
        <w:rPr>
          <w:rStyle w:val="37"/>
          <w:rFonts w:hint="eastAsia" w:ascii="黑体" w:hAnsi="黑体"/>
          <w:kern w:val="0"/>
        </w:rPr>
        <w:t xml:space="preserve"> 几何表达精度的等级划分</w:t>
      </w:r>
      <w:r>
        <w:rPr>
          <w:rFonts w:hint="eastAsia"/>
        </w:rPr>
        <w:tab/>
      </w:r>
      <w:r>
        <w:rPr>
          <w:rFonts w:hint="eastAsia"/>
        </w:rPr>
        <w:fldChar w:fldCharType="begin"/>
      </w:r>
      <w:r>
        <w:rPr>
          <w:rFonts w:hint="eastAsia"/>
        </w:rPr>
        <w:instrText xml:space="preserve"> </w:instrText>
      </w:r>
      <w:r>
        <w:instrText xml:space="preserve">PAGEREF _Toc174544085 \h</w:instrText>
      </w:r>
      <w:r>
        <w:rPr>
          <w:rFonts w:hint="eastAsia"/>
        </w:rPr>
        <w:instrText xml:space="preserve"> </w:instrText>
      </w:r>
      <w:r>
        <w:fldChar w:fldCharType="separate"/>
      </w:r>
      <w:r>
        <w:t>9</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"_Toc174544086" </w:instrText>
      </w:r>
      <w:r>
        <w:fldChar w:fldCharType="separate"/>
      </w:r>
      <w:r>
        <w:rPr>
          <w:rStyle w:val="37"/>
          <w:rFonts w:hint="eastAsia" w:ascii="黑体" w:hAnsi="黑体"/>
        </w:rPr>
        <w:t>表7</w:t>
      </w:r>
      <w:r>
        <w:rPr>
          <w:rStyle w:val="37"/>
          <w:rFonts w:hint="eastAsia" w:ascii="黑体" w:hAnsi="黑体"/>
          <w:kern w:val="0"/>
        </w:rPr>
        <w:t xml:space="preserve"> 信息深度的等级划分</w:t>
      </w:r>
      <w:r>
        <w:rPr>
          <w:rFonts w:hint="eastAsia"/>
        </w:rPr>
        <w:tab/>
      </w:r>
      <w:r>
        <w:rPr>
          <w:rFonts w:hint="eastAsia"/>
        </w:rPr>
        <w:fldChar w:fldCharType="begin"/>
      </w:r>
      <w:r>
        <w:rPr>
          <w:rFonts w:hint="eastAsia"/>
        </w:rPr>
        <w:instrText xml:space="preserve"> </w:instrText>
      </w:r>
      <w:r>
        <w:instrText xml:space="preserve">PAGEREF _Toc174544086 \h</w:instrText>
      </w:r>
      <w:r>
        <w:rPr>
          <w:rFonts w:hint="eastAsia"/>
        </w:rPr>
        <w:instrText xml:space="preserve"> </w:instrText>
      </w:r>
      <w:r>
        <w:fldChar w:fldCharType="separate"/>
      </w:r>
      <w:r>
        <w:t>9</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"_Toc174544087" </w:instrText>
      </w:r>
      <w:r>
        <w:fldChar w:fldCharType="separate"/>
      </w:r>
      <w:r>
        <w:rPr>
          <w:rStyle w:val="37"/>
          <w:rFonts w:hint="eastAsia" w:ascii="黑体" w:hAnsi="黑体"/>
        </w:rPr>
        <w:t>表8</w:t>
      </w:r>
      <w:r>
        <w:rPr>
          <w:rStyle w:val="37"/>
          <w:rFonts w:hint="eastAsia" w:ascii="黑体" w:hAnsi="黑体"/>
          <w:kern w:val="0"/>
        </w:rPr>
        <w:t xml:space="preserve"> 建筑结构构件优先级</w:t>
      </w:r>
      <w:r>
        <w:rPr>
          <w:rFonts w:hint="eastAsia"/>
        </w:rPr>
        <w:tab/>
      </w:r>
      <w:r>
        <w:rPr>
          <w:rFonts w:hint="eastAsia"/>
        </w:rPr>
        <w:fldChar w:fldCharType="begin"/>
      </w:r>
      <w:r>
        <w:rPr>
          <w:rFonts w:hint="eastAsia"/>
        </w:rPr>
        <w:instrText xml:space="preserve"> </w:instrText>
      </w:r>
      <w:r>
        <w:instrText xml:space="preserve">PAGEREF _Toc174544087 \h</w:instrText>
      </w:r>
      <w:r>
        <w:rPr>
          <w:rFonts w:hint="eastAsia"/>
        </w:rPr>
        <w:instrText xml:space="preserve"> </w:instrText>
      </w:r>
      <w:r>
        <w:fldChar w:fldCharType="separate"/>
      </w:r>
      <w:r>
        <w:t>9</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"_Toc174544088" </w:instrText>
      </w:r>
      <w:r>
        <w:fldChar w:fldCharType="separate"/>
      </w:r>
      <w:r>
        <w:rPr>
          <w:rStyle w:val="37"/>
          <w:rFonts w:hint="eastAsia" w:ascii="黑体" w:hAnsi="黑体"/>
        </w:rPr>
        <w:t>表9</w:t>
      </w:r>
      <w:r>
        <w:rPr>
          <w:rStyle w:val="37"/>
          <w:rFonts w:hint="eastAsia" w:ascii="黑体" w:hAnsi="黑体"/>
          <w:kern w:val="0"/>
        </w:rPr>
        <w:t xml:space="preserve"> 机电管线构件优先级</w:t>
      </w:r>
      <w:r>
        <w:rPr>
          <w:rFonts w:hint="eastAsia"/>
        </w:rPr>
        <w:tab/>
      </w:r>
      <w:r>
        <w:rPr>
          <w:rFonts w:hint="eastAsia"/>
        </w:rPr>
        <w:fldChar w:fldCharType="begin"/>
      </w:r>
      <w:r>
        <w:rPr>
          <w:rFonts w:hint="eastAsia"/>
        </w:rPr>
        <w:instrText xml:space="preserve"> </w:instrText>
      </w:r>
      <w:r>
        <w:instrText xml:space="preserve">PAGEREF _Toc174544088 \h</w:instrText>
      </w:r>
      <w:r>
        <w:rPr>
          <w:rFonts w:hint="eastAsia"/>
        </w:rPr>
        <w:instrText xml:space="preserve"> </w:instrText>
      </w:r>
      <w:r>
        <w:fldChar w:fldCharType="separate"/>
      </w:r>
      <w:r>
        <w:t>10</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"_Toc174544089" </w:instrText>
      </w:r>
      <w:r>
        <w:fldChar w:fldCharType="separate"/>
      </w:r>
      <w:r>
        <w:rPr>
          <w:rStyle w:val="37"/>
          <w:rFonts w:hint="eastAsia" w:ascii="黑体" w:hAnsi="黑体"/>
        </w:rPr>
        <w:t>表10</w:t>
      </w:r>
      <w:r>
        <w:rPr>
          <w:rStyle w:val="37"/>
          <w:rFonts w:hint="eastAsia" w:ascii="黑体" w:hAnsi="黑体"/>
          <w:kern w:val="0"/>
        </w:rPr>
        <w:t xml:space="preserve"> BIM交付成果文件格式</w:t>
      </w:r>
      <w:r>
        <w:rPr>
          <w:rFonts w:hint="eastAsia"/>
        </w:rPr>
        <w:tab/>
      </w:r>
      <w:r>
        <w:rPr>
          <w:rFonts w:hint="eastAsia"/>
        </w:rPr>
        <w:fldChar w:fldCharType="begin"/>
      </w:r>
      <w:r>
        <w:rPr>
          <w:rFonts w:hint="eastAsia"/>
        </w:rPr>
        <w:instrText xml:space="preserve"> </w:instrText>
      </w:r>
      <w:r>
        <w:instrText xml:space="preserve">PAGEREF _Toc174544089 \h</w:instrText>
      </w:r>
      <w:r>
        <w:rPr>
          <w:rFonts w:hint="eastAsia"/>
        </w:rPr>
        <w:instrText xml:space="preserve"> </w:instrText>
      </w:r>
      <w:r>
        <w:fldChar w:fldCharType="separate"/>
      </w:r>
      <w:r>
        <w:t>10</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"_Toc174544090" </w:instrText>
      </w:r>
      <w:r>
        <w:fldChar w:fldCharType="separate"/>
      </w:r>
      <w:r>
        <w:rPr>
          <w:rStyle w:val="37"/>
          <w:rFonts w:hint="eastAsia" w:ascii="黑体" w:hAnsi="黑体"/>
        </w:rPr>
        <w:t>表11 各阶段BIM技术应用成果交付内容</w:t>
      </w:r>
      <w:r>
        <w:rPr>
          <w:rFonts w:hint="eastAsia"/>
        </w:rPr>
        <w:tab/>
      </w:r>
      <w:r>
        <w:rPr>
          <w:rFonts w:hint="eastAsia"/>
        </w:rPr>
        <w:fldChar w:fldCharType="begin"/>
      </w:r>
      <w:r>
        <w:rPr>
          <w:rFonts w:hint="eastAsia"/>
        </w:rPr>
        <w:instrText xml:space="preserve"> </w:instrText>
      </w:r>
      <w:r>
        <w:instrText xml:space="preserve">PAGEREF _Toc174544090 \h</w:instrText>
      </w:r>
      <w:r>
        <w:rPr>
          <w:rFonts w:hint="eastAsia"/>
        </w:rPr>
        <w:instrText xml:space="preserve"> </w:instrText>
      </w:r>
      <w:r>
        <w:fldChar w:fldCharType="separate"/>
      </w:r>
      <w:r>
        <w:t>11</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"_Toc174544091" </w:instrText>
      </w:r>
      <w:r>
        <w:fldChar w:fldCharType="separate"/>
      </w:r>
      <w:r>
        <w:rPr>
          <w:rStyle w:val="37"/>
          <w:rFonts w:hint="eastAsia" w:ascii="黑体" w:hAnsi="黑体"/>
        </w:rPr>
        <w:t>表12 设计各阶段优化内容</w:t>
      </w:r>
      <w:r>
        <w:rPr>
          <w:rFonts w:hint="eastAsia"/>
        </w:rPr>
        <w:tab/>
      </w:r>
      <w:r>
        <w:rPr>
          <w:rFonts w:hint="eastAsia"/>
        </w:rPr>
        <w:fldChar w:fldCharType="begin"/>
      </w:r>
      <w:r>
        <w:rPr>
          <w:rFonts w:hint="eastAsia"/>
        </w:rPr>
        <w:instrText xml:space="preserve"> </w:instrText>
      </w:r>
      <w:r>
        <w:instrText xml:space="preserve">PAGEREF _Toc174544091 \h</w:instrText>
      </w:r>
      <w:r>
        <w:rPr>
          <w:rFonts w:hint="eastAsia"/>
        </w:rPr>
        <w:instrText xml:space="preserve"> </w:instrText>
      </w:r>
      <w:r>
        <w:fldChar w:fldCharType="separate"/>
      </w:r>
      <w:r>
        <w:t>12</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"_Toc174544093" </w:instrText>
      </w:r>
      <w:r>
        <w:fldChar w:fldCharType="separate"/>
      </w:r>
      <w:r>
        <w:rPr>
          <w:rStyle w:val="37"/>
          <w:rFonts w:hint="eastAsia" w:ascii="黑体" w:hAnsi="黑体"/>
        </w:rPr>
        <w:t>表13 施工模拟模型元素及信息</w:t>
      </w:r>
      <w:r>
        <w:rPr>
          <w:rFonts w:hint="eastAsia"/>
        </w:rPr>
        <w:tab/>
      </w:r>
      <w:r>
        <w:rPr>
          <w:rFonts w:hint="eastAsia"/>
        </w:rPr>
        <w:fldChar w:fldCharType="begin"/>
      </w:r>
      <w:r>
        <w:rPr>
          <w:rFonts w:hint="eastAsia"/>
        </w:rPr>
        <w:instrText xml:space="preserve"> </w:instrText>
      </w:r>
      <w:r>
        <w:instrText xml:space="preserve">PAGEREF _Toc174544093 \h</w:instrText>
      </w:r>
      <w:r>
        <w:rPr>
          <w:rFonts w:hint="eastAsia"/>
        </w:rPr>
        <w:instrText xml:space="preserve"> </w:instrText>
      </w:r>
      <w:r>
        <w:fldChar w:fldCharType="separate"/>
      </w:r>
      <w:r>
        <w:t>16</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"_Toc174544094" </w:instrText>
      </w:r>
      <w:r>
        <w:fldChar w:fldCharType="separate"/>
      </w:r>
      <w:r>
        <w:rPr>
          <w:rStyle w:val="37"/>
          <w:rFonts w:hint="eastAsia" w:ascii="黑体" w:hAnsi="黑体"/>
        </w:rPr>
        <w:t>表14 预制构件模型元素及信息</w:t>
      </w:r>
      <w:r>
        <w:rPr>
          <w:rFonts w:hint="eastAsia"/>
        </w:rPr>
        <w:tab/>
      </w:r>
      <w:r>
        <w:rPr>
          <w:rFonts w:hint="eastAsia"/>
        </w:rPr>
        <w:fldChar w:fldCharType="begin"/>
      </w:r>
      <w:r>
        <w:rPr>
          <w:rFonts w:hint="eastAsia"/>
        </w:rPr>
        <w:instrText xml:space="preserve"> </w:instrText>
      </w:r>
      <w:r>
        <w:instrText xml:space="preserve">PAGEREF _Toc174544094 \h</w:instrText>
      </w:r>
      <w:r>
        <w:rPr>
          <w:rFonts w:hint="eastAsia"/>
        </w:rPr>
        <w:instrText xml:space="preserve"> </w:instrText>
      </w:r>
      <w:r>
        <w:fldChar w:fldCharType="separate"/>
      </w:r>
      <w:r>
        <w:t>17</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"_Toc174544095" </w:instrText>
      </w:r>
      <w:r>
        <w:fldChar w:fldCharType="separate"/>
      </w:r>
      <w:r>
        <w:rPr>
          <w:rStyle w:val="37"/>
          <w:rFonts w:hint="eastAsia" w:ascii="黑体" w:hAnsi="黑体"/>
        </w:rPr>
        <w:t>表15</w:t>
      </w:r>
      <w:r>
        <w:rPr>
          <w:rStyle w:val="37"/>
          <w:rFonts w:hint="eastAsia" w:ascii="黑体" w:hAnsi="黑体"/>
          <w:kern w:val="0"/>
        </w:rPr>
        <w:t xml:space="preserve"> 进度管理模型元素及信息</w:t>
      </w:r>
      <w:r>
        <w:rPr>
          <w:rFonts w:hint="eastAsia"/>
        </w:rPr>
        <w:tab/>
      </w:r>
      <w:r>
        <w:rPr>
          <w:rFonts w:hint="eastAsia"/>
        </w:rPr>
        <w:fldChar w:fldCharType="begin"/>
      </w:r>
      <w:r>
        <w:rPr>
          <w:rFonts w:hint="eastAsia"/>
        </w:rPr>
        <w:instrText xml:space="preserve"> </w:instrText>
      </w:r>
      <w:r>
        <w:instrText xml:space="preserve">PAGEREF _Toc174544095 \h</w:instrText>
      </w:r>
      <w:r>
        <w:rPr>
          <w:rFonts w:hint="eastAsia"/>
        </w:rPr>
        <w:instrText xml:space="preserve"> </w:instrText>
      </w:r>
      <w:r>
        <w:fldChar w:fldCharType="separate"/>
      </w:r>
      <w:r>
        <w:t>18</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"_Toc174544096" </w:instrText>
      </w:r>
      <w:r>
        <w:fldChar w:fldCharType="separate"/>
      </w:r>
      <w:r>
        <w:rPr>
          <w:rStyle w:val="37"/>
          <w:rFonts w:hint="eastAsia" w:ascii="黑体" w:hAnsi="黑体"/>
        </w:rPr>
        <w:t>表16</w:t>
      </w:r>
      <w:r>
        <w:rPr>
          <w:rStyle w:val="37"/>
          <w:rFonts w:hint="eastAsia" w:ascii="黑体" w:hAnsi="黑体"/>
          <w:kern w:val="0"/>
        </w:rPr>
        <w:t xml:space="preserve"> 成本管理模型元素及信息</w:t>
      </w:r>
      <w:r>
        <w:rPr>
          <w:rFonts w:hint="eastAsia"/>
        </w:rPr>
        <w:tab/>
      </w:r>
      <w:r>
        <w:rPr>
          <w:rFonts w:hint="eastAsia"/>
        </w:rPr>
        <w:fldChar w:fldCharType="begin"/>
      </w:r>
      <w:r>
        <w:rPr>
          <w:rFonts w:hint="eastAsia"/>
        </w:rPr>
        <w:instrText xml:space="preserve"> </w:instrText>
      </w:r>
      <w:r>
        <w:instrText xml:space="preserve">PAGEREF _Toc174544096 \h</w:instrText>
      </w:r>
      <w:r>
        <w:rPr>
          <w:rFonts w:hint="eastAsia"/>
        </w:rPr>
        <w:instrText xml:space="preserve"> </w:instrText>
      </w:r>
      <w:r>
        <w:fldChar w:fldCharType="separate"/>
      </w:r>
      <w:r>
        <w:t>18</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"_Toc174544097" </w:instrText>
      </w:r>
      <w:r>
        <w:fldChar w:fldCharType="separate"/>
      </w:r>
      <w:r>
        <w:rPr>
          <w:rStyle w:val="37"/>
          <w:rFonts w:hint="eastAsia" w:ascii="黑体" w:hAnsi="黑体"/>
        </w:rPr>
        <w:t>表17</w:t>
      </w:r>
      <w:r>
        <w:rPr>
          <w:rStyle w:val="37"/>
          <w:rFonts w:hint="eastAsia" w:ascii="黑体" w:hAnsi="黑体"/>
          <w:kern w:val="0"/>
        </w:rPr>
        <w:t xml:space="preserve"> 安全管理模型元素及信息</w:t>
      </w:r>
      <w:r>
        <w:rPr>
          <w:rFonts w:hint="eastAsia"/>
        </w:rPr>
        <w:tab/>
      </w:r>
      <w:r>
        <w:rPr>
          <w:rFonts w:hint="eastAsia"/>
        </w:rPr>
        <w:fldChar w:fldCharType="begin"/>
      </w:r>
      <w:r>
        <w:rPr>
          <w:rFonts w:hint="eastAsia"/>
        </w:rPr>
        <w:instrText xml:space="preserve"> </w:instrText>
      </w:r>
      <w:r>
        <w:instrText xml:space="preserve">PAGEREF _Toc174544097 \h</w:instrText>
      </w:r>
      <w:r>
        <w:rPr>
          <w:rFonts w:hint="eastAsia"/>
        </w:rPr>
        <w:instrText xml:space="preserve"> </w:instrText>
      </w:r>
      <w:r>
        <w:fldChar w:fldCharType="separate"/>
      </w:r>
      <w:r>
        <w:t>19</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"_Toc174544098" </w:instrText>
      </w:r>
      <w:r>
        <w:fldChar w:fldCharType="separate"/>
      </w:r>
      <w:r>
        <w:rPr>
          <w:rStyle w:val="37"/>
          <w:rFonts w:hint="eastAsia" w:ascii="黑体" w:hAnsi="黑体"/>
        </w:rPr>
        <w:t>表18</w:t>
      </w:r>
      <w:r>
        <w:rPr>
          <w:rStyle w:val="37"/>
          <w:rFonts w:hint="eastAsia" w:ascii="黑体" w:hAnsi="黑体"/>
          <w:kern w:val="0"/>
        </w:rPr>
        <w:t xml:space="preserve"> 能源与碳排放管理的附加数据与模型对象的对应关系</w:t>
      </w:r>
      <w:r>
        <w:rPr>
          <w:rFonts w:hint="eastAsia"/>
        </w:rPr>
        <w:tab/>
      </w:r>
      <w:r>
        <w:rPr>
          <w:rFonts w:hint="eastAsia"/>
        </w:rPr>
        <w:fldChar w:fldCharType="begin"/>
      </w:r>
      <w:r>
        <w:rPr>
          <w:rFonts w:hint="eastAsia"/>
        </w:rPr>
        <w:instrText xml:space="preserve"> </w:instrText>
      </w:r>
      <w:r>
        <w:instrText xml:space="preserve">PAGEREF _Toc174544098 \h</w:instrText>
      </w:r>
      <w:r>
        <w:rPr>
          <w:rFonts w:hint="eastAsia"/>
        </w:rPr>
        <w:instrText xml:space="preserve"> </w:instrText>
      </w:r>
      <w:r>
        <w:fldChar w:fldCharType="separate"/>
      </w:r>
      <w:r>
        <w:t>21</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"_Toc174544099" </w:instrText>
      </w:r>
      <w:r>
        <w:fldChar w:fldCharType="separate"/>
      </w:r>
      <w:r>
        <w:rPr>
          <w:rStyle w:val="37"/>
          <w:rFonts w:hint="eastAsia" w:ascii="黑体" w:hAnsi="黑体"/>
        </w:rPr>
        <w:t>表19</w:t>
      </w:r>
      <w:r>
        <w:rPr>
          <w:rStyle w:val="37"/>
          <w:rFonts w:hint="eastAsia" w:ascii="黑体" w:hAnsi="黑体"/>
          <w:kern w:val="0"/>
        </w:rPr>
        <w:t xml:space="preserve"> 能源与碳排放管理模型元素及信息</w:t>
      </w:r>
      <w:r>
        <w:rPr>
          <w:rFonts w:hint="eastAsia"/>
        </w:rPr>
        <w:tab/>
      </w:r>
      <w:r>
        <w:rPr>
          <w:rFonts w:hint="eastAsia"/>
        </w:rPr>
        <w:fldChar w:fldCharType="begin"/>
      </w:r>
      <w:r>
        <w:rPr>
          <w:rFonts w:hint="eastAsia"/>
        </w:rPr>
        <w:instrText xml:space="preserve"> </w:instrText>
      </w:r>
      <w:r>
        <w:instrText xml:space="preserve">PAGEREF _Toc174544099 \h</w:instrText>
      </w:r>
      <w:r>
        <w:rPr>
          <w:rFonts w:hint="eastAsia"/>
        </w:rPr>
        <w:instrText xml:space="preserve"> </w:instrText>
      </w:r>
      <w:r>
        <w:fldChar w:fldCharType="separate"/>
      </w:r>
      <w:r>
        <w:t>21</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"_Toc174544100" </w:instrText>
      </w:r>
      <w:r>
        <w:fldChar w:fldCharType="separate"/>
      </w:r>
      <w:r>
        <w:rPr>
          <w:rStyle w:val="37"/>
          <w:rFonts w:hint="eastAsia" w:ascii="黑体" w:hAnsi="黑体"/>
        </w:rPr>
        <w:t>表20</w:t>
      </w:r>
      <w:r>
        <w:rPr>
          <w:rStyle w:val="37"/>
          <w:rFonts w:hint="eastAsia" w:ascii="黑体" w:hAnsi="黑体"/>
          <w:kern w:val="0"/>
        </w:rPr>
        <w:t xml:space="preserve"> 安防与消防管理的附加数据与模型对象的对应关系</w:t>
      </w:r>
      <w:r>
        <w:rPr>
          <w:rFonts w:hint="eastAsia"/>
        </w:rPr>
        <w:tab/>
      </w:r>
      <w:r>
        <w:rPr>
          <w:rFonts w:hint="eastAsia"/>
        </w:rPr>
        <w:fldChar w:fldCharType="begin"/>
      </w:r>
      <w:r>
        <w:rPr>
          <w:rFonts w:hint="eastAsia"/>
        </w:rPr>
        <w:instrText xml:space="preserve"> </w:instrText>
      </w:r>
      <w:r>
        <w:instrText xml:space="preserve">PAGEREF _Toc174544100 \h</w:instrText>
      </w:r>
      <w:r>
        <w:rPr>
          <w:rFonts w:hint="eastAsia"/>
        </w:rPr>
        <w:instrText xml:space="preserve"> </w:instrText>
      </w:r>
      <w:r>
        <w:fldChar w:fldCharType="separate"/>
      </w:r>
      <w:r>
        <w:t>22</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"_Toc174544101" </w:instrText>
      </w:r>
      <w:r>
        <w:fldChar w:fldCharType="separate"/>
      </w:r>
      <w:r>
        <w:rPr>
          <w:rStyle w:val="37"/>
          <w:rFonts w:hint="eastAsia" w:ascii="黑体" w:hAnsi="黑体"/>
        </w:rPr>
        <w:t>表21</w:t>
      </w:r>
      <w:r>
        <w:rPr>
          <w:rStyle w:val="37"/>
          <w:rFonts w:hint="eastAsia" w:ascii="黑体" w:hAnsi="黑体"/>
          <w:kern w:val="0"/>
        </w:rPr>
        <w:t xml:space="preserve"> 安防与消防管理模型元素及信息</w:t>
      </w:r>
      <w:r>
        <w:rPr>
          <w:rFonts w:hint="eastAsia"/>
        </w:rPr>
        <w:tab/>
      </w:r>
      <w:r>
        <w:rPr>
          <w:rFonts w:hint="eastAsia"/>
        </w:rPr>
        <w:fldChar w:fldCharType="begin"/>
      </w:r>
      <w:r>
        <w:rPr>
          <w:rFonts w:hint="eastAsia"/>
        </w:rPr>
        <w:instrText xml:space="preserve"> </w:instrText>
      </w:r>
      <w:r>
        <w:instrText xml:space="preserve">PAGEREF _Toc174544101 \h</w:instrText>
      </w:r>
      <w:r>
        <w:rPr>
          <w:rFonts w:hint="eastAsia"/>
        </w:rPr>
        <w:instrText xml:space="preserve"> </w:instrText>
      </w:r>
      <w:r>
        <w:fldChar w:fldCharType="separate"/>
      </w:r>
      <w:r>
        <w:t>22</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"_Toc174544102" </w:instrText>
      </w:r>
      <w:r>
        <w:fldChar w:fldCharType="separate"/>
      </w:r>
      <w:r>
        <w:rPr>
          <w:rStyle w:val="37"/>
          <w:rFonts w:hint="eastAsia" w:ascii="黑体" w:hAnsi="黑体"/>
        </w:rPr>
        <w:t>表22</w:t>
      </w:r>
      <w:r>
        <w:rPr>
          <w:rStyle w:val="37"/>
          <w:rFonts w:hint="eastAsia" w:ascii="黑体" w:hAnsi="黑体"/>
          <w:kern w:val="0"/>
        </w:rPr>
        <w:t xml:space="preserve"> 空间与资产管理的附加数据与模型对象的对应关系</w:t>
      </w:r>
      <w:r>
        <w:rPr>
          <w:rFonts w:hint="eastAsia"/>
        </w:rPr>
        <w:tab/>
      </w:r>
      <w:r>
        <w:rPr>
          <w:rFonts w:hint="eastAsia"/>
        </w:rPr>
        <w:fldChar w:fldCharType="begin"/>
      </w:r>
      <w:r>
        <w:rPr>
          <w:rFonts w:hint="eastAsia"/>
        </w:rPr>
        <w:instrText xml:space="preserve"> </w:instrText>
      </w:r>
      <w:r>
        <w:instrText xml:space="preserve">PAGEREF _Toc174544102 \h</w:instrText>
      </w:r>
      <w:r>
        <w:rPr>
          <w:rFonts w:hint="eastAsia"/>
        </w:rPr>
        <w:instrText xml:space="preserve"> </w:instrText>
      </w:r>
      <w:r>
        <w:fldChar w:fldCharType="separate"/>
      </w:r>
      <w:r>
        <w:t>23</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"_Toc174544103" </w:instrText>
      </w:r>
      <w:r>
        <w:fldChar w:fldCharType="separate"/>
      </w:r>
      <w:r>
        <w:rPr>
          <w:rStyle w:val="37"/>
          <w:rFonts w:hint="eastAsia" w:ascii="黑体" w:hAnsi="黑体"/>
        </w:rPr>
        <w:t>表23</w:t>
      </w:r>
      <w:r>
        <w:rPr>
          <w:rStyle w:val="37"/>
          <w:rFonts w:hint="eastAsia" w:ascii="黑体" w:hAnsi="黑体"/>
          <w:kern w:val="0"/>
        </w:rPr>
        <w:t xml:space="preserve"> 空间与资产管理模型元素及信息</w:t>
      </w:r>
      <w:r>
        <w:rPr>
          <w:rFonts w:hint="eastAsia"/>
        </w:rPr>
        <w:tab/>
      </w:r>
      <w:r>
        <w:rPr>
          <w:rFonts w:hint="eastAsia"/>
        </w:rPr>
        <w:fldChar w:fldCharType="begin"/>
      </w:r>
      <w:r>
        <w:rPr>
          <w:rFonts w:hint="eastAsia"/>
        </w:rPr>
        <w:instrText xml:space="preserve"> </w:instrText>
      </w:r>
      <w:r>
        <w:instrText xml:space="preserve">PAGEREF _Toc174544103 \h</w:instrText>
      </w:r>
      <w:r>
        <w:rPr>
          <w:rFonts w:hint="eastAsia"/>
        </w:rPr>
        <w:instrText xml:space="preserve"> </w:instrText>
      </w:r>
      <w:r>
        <w:fldChar w:fldCharType="separate"/>
      </w:r>
      <w:r>
        <w:t>23</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"_Toc174544104" </w:instrText>
      </w:r>
      <w:r>
        <w:fldChar w:fldCharType="separate"/>
      </w:r>
      <w:r>
        <w:rPr>
          <w:rStyle w:val="37"/>
          <w:rFonts w:hint="eastAsia" w:ascii="黑体" w:hAnsi="黑体"/>
        </w:rPr>
        <w:t>表24</w:t>
      </w:r>
      <w:r>
        <w:rPr>
          <w:rStyle w:val="37"/>
          <w:rFonts w:hint="eastAsia" w:ascii="黑体" w:hAnsi="黑体"/>
          <w:kern w:val="0"/>
        </w:rPr>
        <w:t xml:space="preserve"> 设备设施管理的附加数据与模型对象的对应关系</w:t>
      </w:r>
      <w:r>
        <w:rPr>
          <w:rFonts w:hint="eastAsia"/>
        </w:rPr>
        <w:tab/>
      </w:r>
      <w:r>
        <w:rPr>
          <w:rFonts w:hint="eastAsia"/>
        </w:rPr>
        <w:fldChar w:fldCharType="begin"/>
      </w:r>
      <w:r>
        <w:rPr>
          <w:rFonts w:hint="eastAsia"/>
        </w:rPr>
        <w:instrText xml:space="preserve"> </w:instrText>
      </w:r>
      <w:r>
        <w:instrText xml:space="preserve">PAGEREF _Toc174544104 \h</w:instrText>
      </w:r>
      <w:r>
        <w:rPr>
          <w:rFonts w:hint="eastAsia"/>
        </w:rPr>
        <w:instrText xml:space="preserve"> </w:instrText>
      </w:r>
      <w:r>
        <w:fldChar w:fldCharType="separate"/>
      </w:r>
      <w:r>
        <w:t>23</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"_Toc174544105" </w:instrText>
      </w:r>
      <w:r>
        <w:fldChar w:fldCharType="separate"/>
      </w:r>
      <w:r>
        <w:rPr>
          <w:rStyle w:val="37"/>
          <w:rFonts w:hint="eastAsia" w:ascii="黑体" w:hAnsi="黑体"/>
        </w:rPr>
        <w:t>表25 设备设施管理模型元素及信息</w:t>
      </w:r>
      <w:r>
        <w:rPr>
          <w:rFonts w:hint="eastAsia"/>
        </w:rPr>
        <w:tab/>
      </w:r>
      <w:r>
        <w:rPr>
          <w:rFonts w:hint="eastAsia"/>
        </w:rPr>
        <w:fldChar w:fldCharType="begin"/>
      </w:r>
      <w:r>
        <w:rPr>
          <w:rFonts w:hint="eastAsia"/>
        </w:rPr>
        <w:instrText xml:space="preserve"> </w:instrText>
      </w:r>
      <w:r>
        <w:instrText xml:space="preserve">PAGEREF _Toc174544105 \h</w:instrText>
      </w:r>
      <w:r>
        <w:rPr>
          <w:rFonts w:hint="eastAsia"/>
        </w:rPr>
        <w:instrText xml:space="preserve"> </w:instrText>
      </w:r>
      <w:r>
        <w:fldChar w:fldCharType="separate"/>
      </w:r>
      <w:r>
        <w:t>24</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"_Toc174544106" </w:instrText>
      </w:r>
      <w:r>
        <w:fldChar w:fldCharType="separate"/>
      </w:r>
      <w:r>
        <w:rPr>
          <w:rStyle w:val="37"/>
          <w:rFonts w:hint="eastAsia" w:ascii="黑体" w:hAnsi="黑体"/>
        </w:rPr>
        <w:t>表A.1</w:t>
      </w:r>
      <w:r>
        <w:rPr>
          <w:rStyle w:val="37"/>
          <w:rFonts w:hint="eastAsia" w:ascii="黑体" w:hAnsi="黑体"/>
          <w:kern w:val="0"/>
        </w:rPr>
        <w:t xml:space="preserve"> 结构基础（砼结构）LOD 1.0模型精细度表达</w:t>
      </w:r>
      <w:r>
        <w:rPr>
          <w:rFonts w:hint="eastAsia"/>
        </w:rPr>
        <w:tab/>
      </w:r>
      <w:r>
        <w:rPr>
          <w:rFonts w:hint="eastAsia"/>
        </w:rPr>
        <w:fldChar w:fldCharType="begin"/>
      </w:r>
      <w:r>
        <w:rPr>
          <w:rFonts w:hint="eastAsia"/>
        </w:rPr>
        <w:instrText xml:space="preserve"> </w:instrText>
      </w:r>
      <w:r>
        <w:instrText xml:space="preserve">PAGEREF _Toc174544106 \h</w:instrText>
      </w:r>
      <w:r>
        <w:rPr>
          <w:rFonts w:hint="eastAsia"/>
        </w:rPr>
        <w:instrText xml:space="preserve"> </w:instrText>
      </w:r>
      <w:r>
        <w:fldChar w:fldCharType="separate"/>
      </w:r>
      <w:r>
        <w:t>25</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"_Toc174544107" </w:instrText>
      </w:r>
      <w:r>
        <w:fldChar w:fldCharType="separate"/>
      </w:r>
      <w:r>
        <w:rPr>
          <w:rStyle w:val="37"/>
          <w:rFonts w:hint="eastAsia" w:ascii="黑体" w:hAnsi="黑体"/>
        </w:rPr>
        <w:t xml:space="preserve">表A.2 </w:t>
      </w:r>
      <w:r>
        <w:rPr>
          <w:rStyle w:val="37"/>
          <w:rFonts w:hint="eastAsia" w:ascii="黑体" w:hAnsi="黑体"/>
          <w:kern w:val="0"/>
        </w:rPr>
        <w:t>结构基础（砼结构）LOD 2.0模型精细度表达</w:t>
      </w:r>
      <w:r>
        <w:rPr>
          <w:rFonts w:hint="eastAsia"/>
        </w:rPr>
        <w:tab/>
      </w:r>
      <w:r>
        <w:rPr>
          <w:rFonts w:hint="eastAsia"/>
        </w:rPr>
        <w:fldChar w:fldCharType="begin"/>
      </w:r>
      <w:r>
        <w:rPr>
          <w:rFonts w:hint="eastAsia"/>
        </w:rPr>
        <w:instrText xml:space="preserve"> </w:instrText>
      </w:r>
      <w:r>
        <w:instrText xml:space="preserve">PAGEREF _Toc174544107 \h</w:instrText>
      </w:r>
      <w:r>
        <w:rPr>
          <w:rFonts w:hint="eastAsia"/>
        </w:rPr>
        <w:instrText xml:space="preserve"> </w:instrText>
      </w:r>
      <w:r>
        <w:fldChar w:fldCharType="separate"/>
      </w:r>
      <w:r>
        <w:t>26</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"_Toc174544108" </w:instrText>
      </w:r>
      <w:r>
        <w:fldChar w:fldCharType="separate"/>
      </w:r>
      <w:r>
        <w:rPr>
          <w:rStyle w:val="37"/>
          <w:rFonts w:hint="eastAsia" w:ascii="黑体" w:hAnsi="黑体"/>
        </w:rPr>
        <w:t>表A.3</w:t>
      </w:r>
      <w:r>
        <w:rPr>
          <w:rStyle w:val="37"/>
          <w:rFonts w:hint="eastAsia" w:ascii="黑体" w:hAnsi="黑体"/>
          <w:kern w:val="0"/>
        </w:rPr>
        <w:t xml:space="preserve"> 结构基础（砼结构）LOD 3.0模型精细度表达</w:t>
      </w:r>
      <w:r>
        <w:rPr>
          <w:rFonts w:hint="eastAsia"/>
        </w:rPr>
        <w:tab/>
      </w:r>
      <w:r>
        <w:rPr>
          <w:rFonts w:hint="eastAsia"/>
        </w:rPr>
        <w:fldChar w:fldCharType="begin"/>
      </w:r>
      <w:r>
        <w:rPr>
          <w:rFonts w:hint="eastAsia"/>
        </w:rPr>
        <w:instrText xml:space="preserve"> </w:instrText>
      </w:r>
      <w:r>
        <w:instrText xml:space="preserve">PAGEREF _Toc174544108 \h</w:instrText>
      </w:r>
      <w:r>
        <w:rPr>
          <w:rFonts w:hint="eastAsia"/>
        </w:rPr>
        <w:instrText xml:space="preserve"> </w:instrText>
      </w:r>
      <w:r>
        <w:fldChar w:fldCharType="separate"/>
      </w:r>
      <w:r>
        <w:t>27</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"_Toc174544109" </w:instrText>
      </w:r>
      <w:r>
        <w:fldChar w:fldCharType="separate"/>
      </w:r>
      <w:r>
        <w:rPr>
          <w:rStyle w:val="37"/>
          <w:rFonts w:hint="eastAsia" w:ascii="黑体" w:hAnsi="黑体"/>
        </w:rPr>
        <w:t xml:space="preserve">表A.4 </w:t>
      </w:r>
      <w:r>
        <w:rPr>
          <w:rStyle w:val="37"/>
          <w:rFonts w:hint="eastAsia" w:ascii="黑体" w:hAnsi="黑体"/>
          <w:kern w:val="0"/>
        </w:rPr>
        <w:t>结构基础（砼结构）LOD 3.5模型精细度表达</w:t>
      </w:r>
      <w:r>
        <w:rPr>
          <w:rFonts w:hint="eastAsia"/>
        </w:rPr>
        <w:tab/>
      </w:r>
      <w:r>
        <w:rPr>
          <w:rFonts w:hint="eastAsia"/>
        </w:rPr>
        <w:fldChar w:fldCharType="begin"/>
      </w:r>
      <w:r>
        <w:rPr>
          <w:rFonts w:hint="eastAsia"/>
        </w:rPr>
        <w:instrText xml:space="preserve"> </w:instrText>
      </w:r>
      <w:r>
        <w:instrText xml:space="preserve">PAGEREF _Toc174544109 \h</w:instrText>
      </w:r>
      <w:r>
        <w:rPr>
          <w:rFonts w:hint="eastAsia"/>
        </w:rPr>
        <w:instrText xml:space="preserve"> </w:instrText>
      </w:r>
      <w:r>
        <w:fldChar w:fldCharType="separate"/>
      </w:r>
      <w:r>
        <w:t>28</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"_Toc174544110" </w:instrText>
      </w:r>
      <w:r>
        <w:fldChar w:fldCharType="separate"/>
      </w:r>
      <w:r>
        <w:rPr>
          <w:rStyle w:val="37"/>
          <w:rFonts w:hint="eastAsia" w:ascii="黑体" w:hAnsi="黑体"/>
        </w:rPr>
        <w:t>表A.5</w:t>
      </w:r>
      <w:r>
        <w:rPr>
          <w:rStyle w:val="37"/>
          <w:rFonts w:hint="eastAsia" w:ascii="黑体" w:hAnsi="黑体"/>
          <w:kern w:val="0"/>
        </w:rPr>
        <w:t xml:space="preserve"> 结构基础（砼结构）LOD 4.0模型精细度表达</w:t>
      </w:r>
      <w:r>
        <w:rPr>
          <w:rFonts w:hint="eastAsia"/>
        </w:rPr>
        <w:tab/>
      </w:r>
      <w:r>
        <w:rPr>
          <w:rFonts w:hint="eastAsia"/>
        </w:rPr>
        <w:fldChar w:fldCharType="begin"/>
      </w:r>
      <w:r>
        <w:rPr>
          <w:rFonts w:hint="eastAsia"/>
        </w:rPr>
        <w:instrText xml:space="preserve"> </w:instrText>
      </w:r>
      <w:r>
        <w:instrText xml:space="preserve">PAGEREF _Toc174544110 \h</w:instrText>
      </w:r>
      <w:r>
        <w:rPr>
          <w:rFonts w:hint="eastAsia"/>
        </w:rPr>
        <w:instrText xml:space="preserve"> </w:instrText>
      </w:r>
      <w:r>
        <w:fldChar w:fldCharType="separate"/>
      </w:r>
      <w:r>
        <w:t>29</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"_Toc174544111" </w:instrText>
      </w:r>
      <w:r>
        <w:fldChar w:fldCharType="separate"/>
      </w:r>
      <w:r>
        <w:rPr>
          <w:rStyle w:val="37"/>
          <w:rFonts w:hint="eastAsia" w:ascii="黑体" w:hAnsi="黑体"/>
        </w:rPr>
        <w:t xml:space="preserve">表B.1 </w:t>
      </w:r>
      <w:r>
        <w:rPr>
          <w:rStyle w:val="37"/>
          <w:rFonts w:hint="eastAsia" w:ascii="黑体" w:hAnsi="黑体"/>
          <w:kern w:val="0"/>
        </w:rPr>
        <w:t>结构框架、空间划分、内部装饰、外部装饰（砼结构）主要构件LOD1.0模型精细度表达</w:t>
      </w:r>
      <w:r>
        <w:rPr>
          <w:rFonts w:hint="eastAsia"/>
        </w:rPr>
        <w:tab/>
      </w:r>
      <w:r>
        <w:rPr>
          <w:rFonts w:hint="eastAsia"/>
        </w:rPr>
        <w:fldChar w:fldCharType="begin"/>
      </w:r>
      <w:r>
        <w:rPr>
          <w:rFonts w:hint="eastAsia"/>
        </w:rPr>
        <w:instrText xml:space="preserve"> </w:instrText>
      </w:r>
      <w:r>
        <w:instrText xml:space="preserve">PAGEREF _Toc174544111 \h</w:instrText>
      </w:r>
      <w:r>
        <w:rPr>
          <w:rFonts w:hint="eastAsia"/>
        </w:rPr>
        <w:instrText xml:space="preserve"> </w:instrText>
      </w:r>
      <w:r>
        <w:fldChar w:fldCharType="separate"/>
      </w:r>
      <w:r>
        <w:t>30</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"_Toc174544112" </w:instrText>
      </w:r>
      <w:r>
        <w:fldChar w:fldCharType="separate"/>
      </w:r>
      <w:r>
        <w:rPr>
          <w:rStyle w:val="37"/>
          <w:rFonts w:hint="eastAsia" w:ascii="黑体" w:hAnsi="黑体"/>
        </w:rPr>
        <w:t xml:space="preserve">表B.2 </w:t>
      </w:r>
      <w:r>
        <w:rPr>
          <w:rStyle w:val="37"/>
          <w:rFonts w:hint="eastAsia" w:ascii="黑体" w:hAnsi="黑体"/>
          <w:kern w:val="0"/>
        </w:rPr>
        <w:t>结构框架、空间划分、内部装饰、外部装饰（砼结构）主要构件LOD2.0模型精细度表达</w:t>
      </w:r>
      <w:r>
        <w:rPr>
          <w:rFonts w:hint="eastAsia"/>
        </w:rPr>
        <w:tab/>
      </w:r>
      <w:r>
        <w:rPr>
          <w:rFonts w:hint="eastAsia"/>
        </w:rPr>
        <w:fldChar w:fldCharType="begin"/>
      </w:r>
      <w:r>
        <w:rPr>
          <w:rFonts w:hint="eastAsia"/>
        </w:rPr>
        <w:instrText xml:space="preserve"> </w:instrText>
      </w:r>
      <w:r>
        <w:instrText xml:space="preserve">PAGEREF _Toc174544112 \h</w:instrText>
      </w:r>
      <w:r>
        <w:rPr>
          <w:rFonts w:hint="eastAsia"/>
        </w:rPr>
        <w:instrText xml:space="preserve"> </w:instrText>
      </w:r>
      <w:r>
        <w:fldChar w:fldCharType="separate"/>
      </w:r>
      <w:r>
        <w:t>31</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"_Toc174544113" </w:instrText>
      </w:r>
      <w:r>
        <w:fldChar w:fldCharType="separate"/>
      </w:r>
      <w:r>
        <w:rPr>
          <w:rStyle w:val="37"/>
          <w:rFonts w:hint="eastAsia" w:ascii="黑体" w:hAnsi="黑体"/>
        </w:rPr>
        <w:t xml:space="preserve">表B.3 </w:t>
      </w:r>
      <w:r>
        <w:rPr>
          <w:rStyle w:val="37"/>
          <w:rFonts w:hint="eastAsia" w:ascii="黑体" w:hAnsi="黑体"/>
          <w:kern w:val="0"/>
        </w:rPr>
        <w:t>结构框架、空间划分、内部装饰、外部装饰（砼结构）主要构件LOD3.0模型精细度表达</w:t>
      </w:r>
      <w:r>
        <w:rPr>
          <w:rFonts w:hint="eastAsia"/>
        </w:rPr>
        <w:tab/>
      </w:r>
      <w:r>
        <w:rPr>
          <w:rFonts w:hint="eastAsia"/>
        </w:rPr>
        <w:fldChar w:fldCharType="begin"/>
      </w:r>
      <w:r>
        <w:rPr>
          <w:rFonts w:hint="eastAsia"/>
        </w:rPr>
        <w:instrText xml:space="preserve"> </w:instrText>
      </w:r>
      <w:r>
        <w:instrText xml:space="preserve">PAGEREF _Toc174544113 \h</w:instrText>
      </w:r>
      <w:r>
        <w:rPr>
          <w:rFonts w:hint="eastAsia"/>
        </w:rPr>
        <w:instrText xml:space="preserve"> </w:instrText>
      </w:r>
      <w:r>
        <w:fldChar w:fldCharType="separate"/>
      </w:r>
      <w:r>
        <w:t>32</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"_Toc174544114" </w:instrText>
      </w:r>
      <w:r>
        <w:fldChar w:fldCharType="separate"/>
      </w:r>
      <w:r>
        <w:rPr>
          <w:rStyle w:val="37"/>
          <w:rFonts w:hint="eastAsia" w:ascii="黑体" w:hAnsi="黑体"/>
        </w:rPr>
        <w:t xml:space="preserve">表B.4 </w:t>
      </w:r>
      <w:r>
        <w:rPr>
          <w:rStyle w:val="37"/>
          <w:rFonts w:hint="eastAsia" w:ascii="黑体" w:hAnsi="黑体"/>
          <w:kern w:val="0"/>
        </w:rPr>
        <w:t>结构框架、空间划分、内部装饰、外部装饰（砼结构）主要构件LOD3.5模型精细度表达</w:t>
      </w:r>
      <w:r>
        <w:rPr>
          <w:rFonts w:hint="eastAsia"/>
        </w:rPr>
        <w:tab/>
      </w:r>
      <w:r>
        <w:rPr>
          <w:rFonts w:hint="eastAsia"/>
        </w:rPr>
        <w:fldChar w:fldCharType="begin"/>
      </w:r>
      <w:r>
        <w:rPr>
          <w:rFonts w:hint="eastAsia"/>
        </w:rPr>
        <w:instrText xml:space="preserve"> </w:instrText>
      </w:r>
      <w:r>
        <w:instrText xml:space="preserve">PAGEREF _Toc174544114 \h</w:instrText>
      </w:r>
      <w:r>
        <w:rPr>
          <w:rFonts w:hint="eastAsia"/>
        </w:rPr>
        <w:instrText xml:space="preserve"> </w:instrText>
      </w:r>
      <w:r>
        <w:fldChar w:fldCharType="separate"/>
      </w:r>
      <w:r>
        <w:t>33</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"_Toc174544115" </w:instrText>
      </w:r>
      <w:r>
        <w:fldChar w:fldCharType="separate"/>
      </w:r>
      <w:r>
        <w:rPr>
          <w:rStyle w:val="37"/>
          <w:rFonts w:hint="eastAsia" w:ascii="黑体" w:hAnsi="黑体"/>
        </w:rPr>
        <w:t xml:space="preserve">表B.5 </w:t>
      </w:r>
      <w:r>
        <w:rPr>
          <w:rStyle w:val="37"/>
          <w:rFonts w:hint="eastAsia" w:ascii="黑体" w:hAnsi="黑体"/>
          <w:kern w:val="0"/>
        </w:rPr>
        <w:t>结构框架、空间划分、内部装饰、外部装饰（砼结构）主要构件LOD4.0模型精细度表达</w:t>
      </w:r>
      <w:r>
        <w:rPr>
          <w:rFonts w:hint="eastAsia"/>
        </w:rPr>
        <w:tab/>
      </w:r>
      <w:r>
        <w:rPr>
          <w:rFonts w:hint="eastAsia"/>
        </w:rPr>
        <w:fldChar w:fldCharType="begin"/>
      </w:r>
      <w:r>
        <w:rPr>
          <w:rFonts w:hint="eastAsia"/>
        </w:rPr>
        <w:instrText xml:space="preserve"> </w:instrText>
      </w:r>
      <w:r>
        <w:instrText xml:space="preserve">PAGEREF _Toc174544115 \h</w:instrText>
      </w:r>
      <w:r>
        <w:rPr>
          <w:rFonts w:hint="eastAsia"/>
        </w:rPr>
        <w:instrText xml:space="preserve"> </w:instrText>
      </w:r>
      <w:r>
        <w:fldChar w:fldCharType="separate"/>
      </w:r>
      <w:r>
        <w:t>34</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"_Toc174544116" </w:instrText>
      </w:r>
      <w:r>
        <w:fldChar w:fldCharType="separate"/>
      </w:r>
      <w:r>
        <w:rPr>
          <w:rStyle w:val="37"/>
          <w:rFonts w:hint="eastAsia" w:ascii="黑体" w:hAnsi="黑体"/>
        </w:rPr>
        <w:t>表C.1 结构框架、空间划分、内部装饰、外部装饰（钢结构）主要构件LOD1.0模型精细度表达</w:t>
      </w:r>
      <w:r>
        <w:rPr>
          <w:rFonts w:hint="eastAsia"/>
        </w:rPr>
        <w:tab/>
      </w:r>
      <w:r>
        <w:rPr>
          <w:rFonts w:hint="eastAsia"/>
        </w:rPr>
        <w:fldChar w:fldCharType="begin"/>
      </w:r>
      <w:r>
        <w:rPr>
          <w:rFonts w:hint="eastAsia"/>
        </w:rPr>
        <w:instrText xml:space="preserve"> </w:instrText>
      </w:r>
      <w:r>
        <w:instrText xml:space="preserve">PAGEREF _Toc174544116 \h</w:instrText>
      </w:r>
      <w:r>
        <w:rPr>
          <w:rFonts w:hint="eastAsia"/>
        </w:rPr>
        <w:instrText xml:space="preserve"> </w:instrText>
      </w:r>
      <w:r>
        <w:fldChar w:fldCharType="separate"/>
      </w:r>
      <w:r>
        <w:t>35</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"_Toc174544117" </w:instrText>
      </w:r>
      <w:r>
        <w:fldChar w:fldCharType="separate"/>
      </w:r>
      <w:r>
        <w:rPr>
          <w:rStyle w:val="37"/>
          <w:rFonts w:hint="eastAsia" w:ascii="黑体" w:hAnsi="黑体"/>
        </w:rPr>
        <w:t>表C.2 结构框架、空间划分、内部装饰、外部装饰（钢结构）主要构件LOD2.0模型精细度表达</w:t>
      </w:r>
      <w:r>
        <w:rPr>
          <w:rFonts w:hint="eastAsia"/>
        </w:rPr>
        <w:tab/>
      </w:r>
      <w:r>
        <w:rPr>
          <w:rFonts w:hint="eastAsia"/>
        </w:rPr>
        <w:fldChar w:fldCharType="begin"/>
      </w:r>
      <w:r>
        <w:rPr>
          <w:rFonts w:hint="eastAsia"/>
        </w:rPr>
        <w:instrText xml:space="preserve"> </w:instrText>
      </w:r>
      <w:r>
        <w:instrText xml:space="preserve">PAGEREF _Toc174544117 \h</w:instrText>
      </w:r>
      <w:r>
        <w:rPr>
          <w:rFonts w:hint="eastAsia"/>
        </w:rPr>
        <w:instrText xml:space="preserve"> </w:instrText>
      </w:r>
      <w:r>
        <w:fldChar w:fldCharType="separate"/>
      </w:r>
      <w:r>
        <w:t>36</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"_Toc174544118" </w:instrText>
      </w:r>
      <w:r>
        <w:fldChar w:fldCharType="separate"/>
      </w:r>
      <w:r>
        <w:rPr>
          <w:rStyle w:val="37"/>
          <w:rFonts w:hint="eastAsia" w:ascii="黑体" w:hAnsi="黑体"/>
        </w:rPr>
        <w:t>表C.3 结构框架、空间划分、内部装饰、外部装饰（钢结构）主要构件LOD3.0模型精细度表达</w:t>
      </w:r>
      <w:r>
        <w:rPr>
          <w:rFonts w:hint="eastAsia"/>
        </w:rPr>
        <w:tab/>
      </w:r>
      <w:r>
        <w:rPr>
          <w:rFonts w:hint="eastAsia"/>
        </w:rPr>
        <w:fldChar w:fldCharType="begin"/>
      </w:r>
      <w:r>
        <w:rPr>
          <w:rFonts w:hint="eastAsia"/>
        </w:rPr>
        <w:instrText xml:space="preserve"> </w:instrText>
      </w:r>
      <w:r>
        <w:instrText xml:space="preserve">PAGEREF _Toc174544118 \h</w:instrText>
      </w:r>
      <w:r>
        <w:rPr>
          <w:rFonts w:hint="eastAsia"/>
        </w:rPr>
        <w:instrText xml:space="preserve"> </w:instrText>
      </w:r>
      <w:r>
        <w:fldChar w:fldCharType="separate"/>
      </w:r>
      <w:r>
        <w:t>37</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"_Toc174544119" </w:instrText>
      </w:r>
      <w:r>
        <w:fldChar w:fldCharType="separate"/>
      </w:r>
      <w:r>
        <w:rPr>
          <w:rStyle w:val="37"/>
          <w:rFonts w:hint="eastAsia" w:ascii="黑体" w:hAnsi="黑体"/>
        </w:rPr>
        <w:t>表C.4 结构框架、空间划分、内部装饰、外部装饰（钢结构）主要构件LOD3.5模型精细度表达</w:t>
      </w:r>
      <w:r>
        <w:rPr>
          <w:rFonts w:hint="eastAsia"/>
        </w:rPr>
        <w:tab/>
      </w:r>
      <w:r>
        <w:rPr>
          <w:rFonts w:hint="eastAsia"/>
        </w:rPr>
        <w:fldChar w:fldCharType="begin"/>
      </w:r>
      <w:r>
        <w:rPr>
          <w:rFonts w:hint="eastAsia"/>
        </w:rPr>
        <w:instrText xml:space="preserve"> </w:instrText>
      </w:r>
      <w:r>
        <w:instrText xml:space="preserve">PAGEREF _Toc174544119 \h</w:instrText>
      </w:r>
      <w:r>
        <w:rPr>
          <w:rFonts w:hint="eastAsia"/>
        </w:rPr>
        <w:instrText xml:space="preserve"> </w:instrText>
      </w:r>
      <w:r>
        <w:fldChar w:fldCharType="separate"/>
      </w:r>
      <w:r>
        <w:t>38</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"_Toc174544120" </w:instrText>
      </w:r>
      <w:r>
        <w:fldChar w:fldCharType="separate"/>
      </w:r>
      <w:r>
        <w:rPr>
          <w:rStyle w:val="37"/>
          <w:rFonts w:hint="eastAsia" w:ascii="黑体" w:hAnsi="黑体"/>
        </w:rPr>
        <w:t>表C.5 结构框架、空间划分、内部装饰、外部装饰（钢结构）主要构件LOD4.0模型精细度表达</w:t>
      </w:r>
      <w:r>
        <w:rPr>
          <w:rFonts w:hint="eastAsia"/>
        </w:rPr>
        <w:tab/>
      </w:r>
      <w:r>
        <w:rPr>
          <w:rFonts w:hint="eastAsia"/>
        </w:rPr>
        <w:fldChar w:fldCharType="begin"/>
      </w:r>
      <w:r>
        <w:rPr>
          <w:rFonts w:hint="eastAsia"/>
        </w:rPr>
        <w:instrText xml:space="preserve"> </w:instrText>
      </w:r>
      <w:r>
        <w:instrText xml:space="preserve">PAGEREF _Toc174544120 \h</w:instrText>
      </w:r>
      <w:r>
        <w:rPr>
          <w:rFonts w:hint="eastAsia"/>
        </w:rPr>
        <w:instrText xml:space="preserve"> </w:instrText>
      </w:r>
      <w:r>
        <w:fldChar w:fldCharType="separate"/>
      </w:r>
      <w:r>
        <w:t>39</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"_Toc174544121" </w:instrText>
      </w:r>
      <w:r>
        <w:fldChar w:fldCharType="separate"/>
      </w:r>
      <w:r>
        <w:rPr>
          <w:rStyle w:val="37"/>
          <w:rFonts w:hint="eastAsia" w:ascii="黑体" w:hAnsi="黑体"/>
        </w:rPr>
        <w:t>表D.1 机电专业主要构件LOD 1.0模型精细度表达</w:t>
      </w:r>
      <w:r>
        <w:rPr>
          <w:rFonts w:hint="eastAsia"/>
        </w:rPr>
        <w:tab/>
      </w:r>
      <w:r>
        <w:rPr>
          <w:rFonts w:hint="eastAsia"/>
        </w:rPr>
        <w:fldChar w:fldCharType="begin"/>
      </w:r>
      <w:r>
        <w:rPr>
          <w:rFonts w:hint="eastAsia"/>
        </w:rPr>
        <w:instrText xml:space="preserve"> </w:instrText>
      </w:r>
      <w:r>
        <w:instrText xml:space="preserve">PAGEREF _Toc174544121 \h</w:instrText>
      </w:r>
      <w:r>
        <w:rPr>
          <w:rFonts w:hint="eastAsia"/>
        </w:rPr>
        <w:instrText xml:space="preserve"> </w:instrText>
      </w:r>
      <w:r>
        <w:fldChar w:fldCharType="separate"/>
      </w:r>
      <w:r>
        <w:t>40</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"_Toc174544122" </w:instrText>
      </w:r>
      <w:r>
        <w:fldChar w:fldCharType="separate"/>
      </w:r>
      <w:r>
        <w:rPr>
          <w:rStyle w:val="37"/>
          <w:rFonts w:hint="eastAsia" w:ascii="黑体" w:hAnsi="黑体"/>
        </w:rPr>
        <w:t>表D.2 机电专业主要构件LOD 2.0模型精细度表达</w:t>
      </w:r>
      <w:r>
        <w:rPr>
          <w:rFonts w:hint="eastAsia"/>
        </w:rPr>
        <w:tab/>
      </w:r>
      <w:r>
        <w:rPr>
          <w:rFonts w:hint="eastAsia"/>
        </w:rPr>
        <w:fldChar w:fldCharType="begin"/>
      </w:r>
      <w:r>
        <w:rPr>
          <w:rFonts w:hint="eastAsia"/>
        </w:rPr>
        <w:instrText xml:space="preserve"> </w:instrText>
      </w:r>
      <w:r>
        <w:instrText xml:space="preserve">PAGEREF _Toc174544122 \h</w:instrText>
      </w:r>
      <w:r>
        <w:rPr>
          <w:rFonts w:hint="eastAsia"/>
        </w:rPr>
        <w:instrText xml:space="preserve"> </w:instrText>
      </w:r>
      <w:r>
        <w:fldChar w:fldCharType="separate"/>
      </w:r>
      <w:r>
        <w:t>41</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"_Toc174544123" </w:instrText>
      </w:r>
      <w:r>
        <w:fldChar w:fldCharType="separate"/>
      </w:r>
      <w:r>
        <w:rPr>
          <w:rStyle w:val="37"/>
          <w:rFonts w:hint="eastAsia" w:ascii="黑体" w:hAnsi="黑体"/>
        </w:rPr>
        <w:t>表D.3 机电专业主要构件LOD 3.0模型精细度表达</w:t>
      </w:r>
      <w:r>
        <w:rPr>
          <w:rFonts w:hint="eastAsia"/>
        </w:rPr>
        <w:tab/>
      </w:r>
      <w:r>
        <w:rPr>
          <w:rFonts w:hint="eastAsia"/>
        </w:rPr>
        <w:fldChar w:fldCharType="begin"/>
      </w:r>
      <w:r>
        <w:rPr>
          <w:rFonts w:hint="eastAsia"/>
        </w:rPr>
        <w:instrText xml:space="preserve"> </w:instrText>
      </w:r>
      <w:r>
        <w:instrText xml:space="preserve">PAGEREF _Toc174544123 \h</w:instrText>
      </w:r>
      <w:r>
        <w:rPr>
          <w:rFonts w:hint="eastAsia"/>
        </w:rPr>
        <w:instrText xml:space="preserve"> </w:instrText>
      </w:r>
      <w:r>
        <w:fldChar w:fldCharType="separate"/>
      </w:r>
      <w:r>
        <w:t>42</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"_Toc174544124" </w:instrText>
      </w:r>
      <w:r>
        <w:fldChar w:fldCharType="separate"/>
      </w:r>
      <w:r>
        <w:rPr>
          <w:rStyle w:val="37"/>
          <w:rFonts w:hint="eastAsia" w:ascii="黑体" w:hAnsi="黑体"/>
        </w:rPr>
        <w:t>表D.4 机电专业主要构件LOD 3.5模型精细度表达</w:t>
      </w:r>
      <w:r>
        <w:rPr>
          <w:rFonts w:hint="eastAsia"/>
        </w:rPr>
        <w:tab/>
      </w:r>
      <w:r>
        <w:rPr>
          <w:rFonts w:hint="eastAsia"/>
        </w:rPr>
        <w:fldChar w:fldCharType="begin"/>
      </w:r>
      <w:r>
        <w:rPr>
          <w:rFonts w:hint="eastAsia"/>
        </w:rPr>
        <w:instrText xml:space="preserve"> </w:instrText>
      </w:r>
      <w:r>
        <w:instrText xml:space="preserve">PAGEREF _Toc174544124 \h</w:instrText>
      </w:r>
      <w:r>
        <w:rPr>
          <w:rFonts w:hint="eastAsia"/>
        </w:rPr>
        <w:instrText xml:space="preserve"> </w:instrText>
      </w:r>
      <w:r>
        <w:fldChar w:fldCharType="separate"/>
      </w:r>
      <w:r>
        <w:t>43</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"_Toc174544125" </w:instrText>
      </w:r>
      <w:r>
        <w:fldChar w:fldCharType="separate"/>
      </w:r>
      <w:r>
        <w:rPr>
          <w:rStyle w:val="37"/>
          <w:rFonts w:hint="eastAsia" w:ascii="黑体" w:hAnsi="黑体"/>
        </w:rPr>
        <w:t>表D.5 机电专业主要构件LOD 4.0模型精细度表达</w:t>
      </w:r>
      <w:r>
        <w:rPr>
          <w:rFonts w:hint="eastAsia"/>
        </w:rPr>
        <w:tab/>
      </w:r>
      <w:r>
        <w:rPr>
          <w:rFonts w:hint="eastAsia"/>
        </w:rPr>
        <w:fldChar w:fldCharType="begin"/>
      </w:r>
      <w:r>
        <w:rPr>
          <w:rFonts w:hint="eastAsia"/>
        </w:rPr>
        <w:instrText xml:space="preserve"> </w:instrText>
      </w:r>
      <w:r>
        <w:instrText xml:space="preserve">PAGEREF _Toc174544125 \h</w:instrText>
      </w:r>
      <w:r>
        <w:rPr>
          <w:rFonts w:hint="eastAsia"/>
        </w:rPr>
        <w:instrText xml:space="preserve"> </w:instrText>
      </w:r>
      <w:r>
        <w:fldChar w:fldCharType="separate"/>
      </w:r>
      <w:r>
        <w:t>44</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"_Toc174544126" </w:instrText>
      </w:r>
      <w:r>
        <w:fldChar w:fldCharType="separate"/>
      </w:r>
      <w:r>
        <w:rPr>
          <w:rStyle w:val="37"/>
          <w:rFonts w:hint="eastAsia" w:ascii="黑体" w:hAnsi="黑体"/>
        </w:rPr>
        <w:t>表E.1 场地主要构件LOD 1.0模型精细度表达</w:t>
      </w:r>
      <w:r>
        <w:rPr>
          <w:rFonts w:hint="eastAsia"/>
        </w:rPr>
        <w:tab/>
      </w:r>
      <w:r>
        <w:rPr>
          <w:rFonts w:hint="eastAsia"/>
        </w:rPr>
        <w:fldChar w:fldCharType="begin"/>
      </w:r>
      <w:r>
        <w:rPr>
          <w:rFonts w:hint="eastAsia"/>
        </w:rPr>
        <w:instrText xml:space="preserve"> </w:instrText>
      </w:r>
      <w:r>
        <w:instrText xml:space="preserve">PAGEREF _Toc174544126 \h</w:instrText>
      </w:r>
      <w:r>
        <w:rPr>
          <w:rFonts w:hint="eastAsia"/>
        </w:rPr>
        <w:instrText xml:space="preserve"> </w:instrText>
      </w:r>
      <w:r>
        <w:fldChar w:fldCharType="separate"/>
      </w:r>
      <w:r>
        <w:t>45</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"_Toc174544127" </w:instrText>
      </w:r>
      <w:r>
        <w:fldChar w:fldCharType="separate"/>
      </w:r>
      <w:r>
        <w:rPr>
          <w:rStyle w:val="37"/>
          <w:rFonts w:hint="eastAsia" w:ascii="黑体" w:hAnsi="黑体"/>
        </w:rPr>
        <w:t>表E.2 场地主要构件LOD 2.0模型精细度表达</w:t>
      </w:r>
      <w:r>
        <w:rPr>
          <w:rFonts w:hint="eastAsia"/>
        </w:rPr>
        <w:tab/>
      </w:r>
      <w:r>
        <w:rPr>
          <w:rFonts w:hint="eastAsia"/>
        </w:rPr>
        <w:fldChar w:fldCharType="begin"/>
      </w:r>
      <w:r>
        <w:rPr>
          <w:rFonts w:hint="eastAsia"/>
        </w:rPr>
        <w:instrText xml:space="preserve"> </w:instrText>
      </w:r>
      <w:r>
        <w:instrText xml:space="preserve">PAGEREF _Toc174544127 \h</w:instrText>
      </w:r>
      <w:r>
        <w:rPr>
          <w:rFonts w:hint="eastAsia"/>
        </w:rPr>
        <w:instrText xml:space="preserve"> </w:instrText>
      </w:r>
      <w:r>
        <w:fldChar w:fldCharType="separate"/>
      </w:r>
      <w:r>
        <w:t>46</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"_Toc174544128" </w:instrText>
      </w:r>
      <w:r>
        <w:fldChar w:fldCharType="separate"/>
      </w:r>
      <w:r>
        <w:rPr>
          <w:rStyle w:val="37"/>
          <w:rFonts w:hint="eastAsia" w:ascii="黑体" w:hAnsi="黑体"/>
        </w:rPr>
        <w:t>表E.3 场地主要构件LOD 3.0模型精细度表达</w:t>
      </w:r>
      <w:r>
        <w:rPr>
          <w:rFonts w:hint="eastAsia"/>
        </w:rPr>
        <w:tab/>
      </w:r>
      <w:r>
        <w:rPr>
          <w:rFonts w:hint="eastAsia"/>
        </w:rPr>
        <w:fldChar w:fldCharType="begin"/>
      </w:r>
      <w:r>
        <w:rPr>
          <w:rFonts w:hint="eastAsia"/>
        </w:rPr>
        <w:instrText xml:space="preserve"> </w:instrText>
      </w:r>
      <w:r>
        <w:instrText xml:space="preserve">PAGEREF _Toc174544128 \h</w:instrText>
      </w:r>
      <w:r>
        <w:rPr>
          <w:rFonts w:hint="eastAsia"/>
        </w:rPr>
        <w:instrText xml:space="preserve"> </w:instrText>
      </w:r>
      <w:r>
        <w:fldChar w:fldCharType="separate"/>
      </w:r>
      <w:r>
        <w:t>47</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"_Toc174544129" </w:instrText>
      </w:r>
      <w:r>
        <w:fldChar w:fldCharType="separate"/>
      </w:r>
      <w:r>
        <w:rPr>
          <w:rStyle w:val="37"/>
          <w:rFonts w:hint="eastAsia" w:ascii="黑体" w:hAnsi="黑体"/>
        </w:rPr>
        <w:t>表E.4 场地主要构件LOD 3.5模型精细度表达</w:t>
      </w:r>
      <w:r>
        <w:rPr>
          <w:rFonts w:hint="eastAsia"/>
        </w:rPr>
        <w:tab/>
      </w:r>
      <w:r>
        <w:rPr>
          <w:rFonts w:hint="eastAsia"/>
        </w:rPr>
        <w:fldChar w:fldCharType="begin"/>
      </w:r>
      <w:r>
        <w:rPr>
          <w:rFonts w:hint="eastAsia"/>
        </w:rPr>
        <w:instrText xml:space="preserve"> </w:instrText>
      </w:r>
      <w:r>
        <w:instrText xml:space="preserve">PAGEREF _Toc174544129 \h</w:instrText>
      </w:r>
      <w:r>
        <w:rPr>
          <w:rFonts w:hint="eastAsia"/>
        </w:rPr>
        <w:instrText xml:space="preserve"> </w:instrText>
      </w:r>
      <w:r>
        <w:fldChar w:fldCharType="separate"/>
      </w:r>
      <w:r>
        <w:t>48</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"_Toc174544130" </w:instrText>
      </w:r>
      <w:r>
        <w:fldChar w:fldCharType="separate"/>
      </w:r>
      <w:r>
        <w:rPr>
          <w:rStyle w:val="37"/>
          <w:rFonts w:hint="eastAsia" w:ascii="黑体" w:hAnsi="黑体"/>
        </w:rPr>
        <w:t>表E.5 场地主要构件LOD 4.0模型精细度表达</w:t>
      </w:r>
      <w:r>
        <w:rPr>
          <w:rFonts w:hint="eastAsia"/>
        </w:rPr>
        <w:tab/>
      </w:r>
      <w:r>
        <w:rPr>
          <w:rFonts w:hint="eastAsia"/>
        </w:rPr>
        <w:fldChar w:fldCharType="begin"/>
      </w:r>
      <w:r>
        <w:rPr>
          <w:rFonts w:hint="eastAsia"/>
        </w:rPr>
        <w:instrText xml:space="preserve"> </w:instrText>
      </w:r>
      <w:r>
        <w:instrText xml:space="preserve">PAGEREF _Toc174544130 \h</w:instrText>
      </w:r>
      <w:r>
        <w:rPr>
          <w:rFonts w:hint="eastAsia"/>
        </w:rPr>
        <w:instrText xml:space="preserve"> </w:instrText>
      </w:r>
      <w:r>
        <w:fldChar w:fldCharType="separate"/>
      </w:r>
      <w:r>
        <w:t>49</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"_Toc174544131" </w:instrText>
      </w:r>
      <w:r>
        <w:fldChar w:fldCharType="separate"/>
      </w:r>
      <w:r>
        <w:rPr>
          <w:rStyle w:val="37"/>
          <w:rFonts w:hint="eastAsia" w:ascii="黑体" w:hAnsi="黑体"/>
        </w:rPr>
        <w:t>表F.1 装修专业主要构件LOD 1.0模型精细度表达</w:t>
      </w:r>
      <w:r>
        <w:rPr>
          <w:rFonts w:hint="eastAsia"/>
        </w:rPr>
        <w:tab/>
      </w:r>
      <w:r>
        <w:rPr>
          <w:rFonts w:hint="eastAsia"/>
        </w:rPr>
        <w:fldChar w:fldCharType="begin"/>
      </w:r>
      <w:r>
        <w:rPr>
          <w:rFonts w:hint="eastAsia"/>
        </w:rPr>
        <w:instrText xml:space="preserve"> </w:instrText>
      </w:r>
      <w:r>
        <w:instrText xml:space="preserve">PAGEREF _Toc174544131 \h</w:instrText>
      </w:r>
      <w:r>
        <w:rPr>
          <w:rFonts w:hint="eastAsia"/>
        </w:rPr>
        <w:instrText xml:space="preserve"> </w:instrText>
      </w:r>
      <w:r>
        <w:fldChar w:fldCharType="separate"/>
      </w:r>
      <w:r>
        <w:t>50</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"_Toc174544132" </w:instrText>
      </w:r>
      <w:r>
        <w:fldChar w:fldCharType="separate"/>
      </w:r>
      <w:r>
        <w:rPr>
          <w:rStyle w:val="37"/>
          <w:rFonts w:hint="eastAsia" w:ascii="黑体" w:hAnsi="黑体"/>
        </w:rPr>
        <w:t>表F.2 装修专业主要构件LOD 2.0模型精细度表达</w:t>
      </w:r>
      <w:r>
        <w:rPr>
          <w:rFonts w:hint="eastAsia"/>
        </w:rPr>
        <w:tab/>
      </w:r>
      <w:r>
        <w:rPr>
          <w:rFonts w:hint="eastAsia"/>
        </w:rPr>
        <w:fldChar w:fldCharType="begin"/>
      </w:r>
      <w:r>
        <w:rPr>
          <w:rFonts w:hint="eastAsia"/>
        </w:rPr>
        <w:instrText xml:space="preserve"> </w:instrText>
      </w:r>
      <w:r>
        <w:instrText xml:space="preserve">PAGEREF _Toc174544132 \h</w:instrText>
      </w:r>
      <w:r>
        <w:rPr>
          <w:rFonts w:hint="eastAsia"/>
        </w:rPr>
        <w:instrText xml:space="preserve"> </w:instrText>
      </w:r>
      <w:r>
        <w:fldChar w:fldCharType="separate"/>
      </w:r>
      <w:r>
        <w:t>51</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"_Toc174544133" </w:instrText>
      </w:r>
      <w:r>
        <w:fldChar w:fldCharType="separate"/>
      </w:r>
      <w:r>
        <w:rPr>
          <w:rStyle w:val="37"/>
          <w:rFonts w:hint="eastAsia" w:ascii="黑体" w:hAnsi="黑体"/>
        </w:rPr>
        <w:t>表F.3 装修专业主要构件LOD 3.0模型精细度表达</w:t>
      </w:r>
      <w:r>
        <w:rPr>
          <w:rFonts w:hint="eastAsia"/>
        </w:rPr>
        <w:tab/>
      </w:r>
      <w:r>
        <w:rPr>
          <w:rFonts w:hint="eastAsia"/>
        </w:rPr>
        <w:fldChar w:fldCharType="begin"/>
      </w:r>
      <w:r>
        <w:rPr>
          <w:rFonts w:hint="eastAsia"/>
        </w:rPr>
        <w:instrText xml:space="preserve"> </w:instrText>
      </w:r>
      <w:r>
        <w:instrText xml:space="preserve">PAGEREF _Toc174544133 \h</w:instrText>
      </w:r>
      <w:r>
        <w:rPr>
          <w:rFonts w:hint="eastAsia"/>
        </w:rPr>
        <w:instrText xml:space="preserve"> </w:instrText>
      </w:r>
      <w:r>
        <w:fldChar w:fldCharType="separate"/>
      </w:r>
      <w:r>
        <w:t>52</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"_Toc174544134" </w:instrText>
      </w:r>
      <w:r>
        <w:fldChar w:fldCharType="separate"/>
      </w:r>
      <w:r>
        <w:rPr>
          <w:rStyle w:val="37"/>
          <w:rFonts w:hint="eastAsia" w:ascii="黑体" w:hAnsi="黑体"/>
        </w:rPr>
        <w:t>表F.4 装修专业主要构件LOD 3.5模型精细度表达</w:t>
      </w:r>
      <w:r>
        <w:rPr>
          <w:rFonts w:hint="eastAsia"/>
        </w:rPr>
        <w:tab/>
      </w:r>
      <w:r>
        <w:rPr>
          <w:rFonts w:hint="eastAsia"/>
        </w:rPr>
        <w:fldChar w:fldCharType="begin"/>
      </w:r>
      <w:r>
        <w:rPr>
          <w:rFonts w:hint="eastAsia"/>
        </w:rPr>
        <w:instrText xml:space="preserve"> </w:instrText>
      </w:r>
      <w:r>
        <w:instrText xml:space="preserve">PAGEREF _Toc174544134 \h</w:instrText>
      </w:r>
      <w:r>
        <w:rPr>
          <w:rFonts w:hint="eastAsia"/>
        </w:rPr>
        <w:instrText xml:space="preserve"> </w:instrText>
      </w:r>
      <w:r>
        <w:fldChar w:fldCharType="separate"/>
      </w:r>
      <w:r>
        <w:t>53</w:t>
      </w:r>
      <w:r>
        <w:rPr>
          <w:rFonts w:hint="eastAsia"/>
        </w:rPr>
        <w:fldChar w:fldCharType="end"/>
      </w:r>
      <w:r>
        <w:rPr>
          <w:rFonts w:hint="eastAsia"/>
        </w:rPr>
        <w:fldChar w:fldCharType="end"/>
      </w:r>
    </w:p>
    <w:p>
      <w:pPr>
        <w:pStyle w:val="23"/>
        <w:tabs>
          <w:tab w:val="right" w:leader="dot" w:pos="9060"/>
        </w:tabs>
        <w:rPr>
          <w:rFonts w:hint="eastAsia" w:asciiTheme="minorHAnsi" w:hAnsiTheme="minorHAnsi" w:eastAsiaTheme="minorEastAsia" w:cstheme="minorBidi"/>
          <w:szCs w:val="22"/>
          <w14:ligatures w14:val="standardContextual"/>
        </w:rPr>
      </w:pPr>
      <w:r>
        <w:fldChar w:fldCharType="begin"/>
      </w:r>
      <w:r>
        <w:instrText xml:space="preserve"> HYPERLINK \l "_Toc174544135" </w:instrText>
      </w:r>
      <w:r>
        <w:fldChar w:fldCharType="separate"/>
      </w:r>
      <w:r>
        <w:rPr>
          <w:rStyle w:val="37"/>
          <w:rFonts w:hint="eastAsia" w:ascii="黑体" w:hAnsi="黑体"/>
        </w:rPr>
        <w:t>表F.5 装修专业主要构件LOD 4.0模型精细度表达</w:t>
      </w:r>
      <w:r>
        <w:rPr>
          <w:rFonts w:hint="eastAsia"/>
        </w:rPr>
        <w:tab/>
      </w:r>
      <w:r>
        <w:rPr>
          <w:rFonts w:hint="eastAsia"/>
        </w:rPr>
        <w:fldChar w:fldCharType="begin"/>
      </w:r>
      <w:r>
        <w:rPr>
          <w:rFonts w:hint="eastAsia"/>
        </w:rPr>
        <w:instrText xml:space="preserve"> </w:instrText>
      </w:r>
      <w:r>
        <w:instrText xml:space="preserve">PAGEREF _Toc174544135 \h</w:instrText>
      </w:r>
      <w:r>
        <w:rPr>
          <w:rFonts w:hint="eastAsia"/>
        </w:rPr>
        <w:instrText xml:space="preserve"> </w:instrText>
      </w:r>
      <w:r>
        <w:fldChar w:fldCharType="separate"/>
      </w:r>
      <w:r>
        <w:t>54</w:t>
      </w:r>
      <w:r>
        <w:rPr>
          <w:rFonts w:hint="eastAsia"/>
        </w:rPr>
        <w:fldChar w:fldCharType="end"/>
      </w:r>
      <w:r>
        <w:rPr>
          <w:rFonts w:hint="eastAsia"/>
        </w:rPr>
        <w:fldChar w:fldCharType="end"/>
      </w:r>
    </w:p>
    <w:p>
      <w:pPr>
        <w:pStyle w:val="23"/>
      </w:pPr>
      <w:r>
        <w:fldChar w:fldCharType="end"/>
      </w:r>
      <w:r>
        <w:fldChar w:fldCharType="begin"/>
      </w:r>
      <w:r>
        <w:instrText xml:space="preserve"> TOC \h \z \t "题注,1" </w:instrText>
      </w:r>
      <w:r>
        <w:fldChar w:fldCharType="separate"/>
      </w:r>
      <w:r>
        <w:fldChar w:fldCharType="end"/>
      </w:r>
    </w:p>
    <w:p>
      <w:pPr>
        <w:pStyle w:val="97"/>
        <w:spacing w:after="468"/>
        <w:jc w:val="both"/>
        <w:rPr>
          <w:sz w:val="21"/>
        </w:rPr>
      </w:pPr>
    </w:p>
    <w:p>
      <w:pPr>
        <w:widowControl/>
        <w:adjustRightInd/>
        <w:spacing w:line="240" w:lineRule="auto"/>
        <w:jc w:val="left"/>
        <w:rPr>
          <w:rFonts w:ascii="黑体" w:eastAsia="黑体"/>
          <w:sz w:val="32"/>
        </w:rPr>
      </w:pPr>
      <w:r>
        <w:br w:type="page"/>
      </w:r>
    </w:p>
    <w:p>
      <w:pPr>
        <w:pStyle w:val="95"/>
        <w:spacing w:after="468"/>
      </w:pPr>
      <w:bookmarkStart w:id="23" w:name="_Toc168008268"/>
      <w:bookmarkStart w:id="24" w:name="_Toc103338685"/>
      <w:bookmarkStart w:id="25" w:name="CCC"/>
      <w:r>
        <w:rPr>
          <w:rFonts w:hint="eastAsia"/>
          <w:spacing w:val="320"/>
        </w:rPr>
        <w:t xml:space="preserve"> </w:t>
      </w:r>
      <w:r>
        <w:rPr>
          <w:spacing w:val="320"/>
        </w:rPr>
        <w:t>前</w:t>
      </w:r>
      <w:r>
        <w:t>言</w:t>
      </w:r>
      <w:bookmarkEnd w:id="23"/>
      <w:bookmarkEnd w:id="24"/>
    </w:p>
    <w:p>
      <w:pPr>
        <w:pStyle w:val="62"/>
        <w:ind w:firstLine="420"/>
        <w:rPr>
          <w:rFonts w:hint="eastAsia" w:hAnsi="宋体"/>
        </w:rPr>
      </w:pPr>
      <w:r>
        <w:rPr>
          <w:rFonts w:hAnsi="宋体"/>
        </w:rPr>
        <w:t>本</w:t>
      </w:r>
      <w:r>
        <w:rPr>
          <w:rFonts w:hint="eastAsia" w:hAnsi="宋体"/>
        </w:rPr>
        <w:t>文件</w:t>
      </w:r>
      <w:r>
        <w:rPr>
          <w:rFonts w:hAnsi="宋体"/>
        </w:rPr>
        <w:t>按照GB/T 1.1—2020《标准化工作导则  第1部分：标准化文件的结构和起草规则》的规定起草。</w:t>
      </w:r>
    </w:p>
    <w:p>
      <w:pPr>
        <w:pStyle w:val="62"/>
        <w:ind w:firstLine="420"/>
        <w:rPr>
          <w:rFonts w:hint="eastAsia" w:hAnsi="宋体"/>
        </w:rPr>
      </w:pPr>
      <w:r>
        <w:rPr>
          <w:rFonts w:hint="eastAsia" w:hAnsi="宋体"/>
        </w:rPr>
        <w:t>本文件</w:t>
      </w:r>
      <w:r>
        <w:rPr>
          <w:rFonts w:hAnsi="宋体"/>
        </w:rPr>
        <w:t>代替DGJ32/TJ</w:t>
      </w:r>
      <w:r>
        <w:rPr>
          <w:rFonts w:hint="eastAsia" w:hAnsi="宋体"/>
        </w:rPr>
        <w:t xml:space="preserve"> </w:t>
      </w:r>
      <w:r>
        <w:rPr>
          <w:rFonts w:hAnsi="宋体"/>
        </w:rPr>
        <w:t>210</w:t>
      </w:r>
      <w:r>
        <w:rPr>
          <w:rFonts w:hint="eastAsia" w:hAnsi="宋体"/>
        </w:rPr>
        <w:t>-</w:t>
      </w:r>
      <w:r>
        <w:rPr>
          <w:rFonts w:hAnsi="宋体"/>
        </w:rPr>
        <w:t>2016《江苏省民用建筑信息模型设计应用标准》</w:t>
      </w:r>
      <w:r>
        <w:rPr>
          <w:rFonts w:hint="eastAsia" w:hAnsi="宋体"/>
        </w:rPr>
        <w:t>，</w:t>
      </w:r>
      <w:r>
        <w:rPr>
          <w:rFonts w:hAnsi="宋体"/>
        </w:rPr>
        <w:t>与DGJ32/TJ</w:t>
      </w:r>
      <w:r>
        <w:rPr>
          <w:rFonts w:hint="eastAsia" w:hAnsi="宋体"/>
        </w:rPr>
        <w:t xml:space="preserve"> </w:t>
      </w:r>
      <w:r>
        <w:rPr>
          <w:rFonts w:hAnsi="宋体"/>
        </w:rPr>
        <w:t>210</w:t>
      </w:r>
      <w:r>
        <w:rPr>
          <w:rFonts w:hint="eastAsia" w:hAnsi="宋体"/>
        </w:rPr>
        <w:t>-</w:t>
      </w:r>
      <w:r>
        <w:rPr>
          <w:rFonts w:hAnsi="宋体"/>
        </w:rPr>
        <w:t>2016</w:t>
      </w:r>
      <w:r>
        <w:rPr>
          <w:rFonts w:hint="eastAsia" w:hAnsi="宋体"/>
        </w:rPr>
        <w:t>相比</w:t>
      </w:r>
      <w:r>
        <w:rPr>
          <w:rFonts w:hAnsi="宋体"/>
        </w:rPr>
        <w:t>，除结构调整和编辑性改动外，主要技术变化如下：</w:t>
      </w:r>
    </w:p>
    <w:p>
      <w:pPr>
        <w:pStyle w:val="62"/>
        <w:ind w:firstLine="420"/>
        <w:rPr>
          <w:rFonts w:hint="eastAsia" w:hAnsi="宋体"/>
        </w:rPr>
      </w:pPr>
      <w:r>
        <w:rPr>
          <w:rFonts w:hAnsi="宋体"/>
        </w:rPr>
        <w:t>――</w:t>
      </w:r>
      <w:r>
        <w:rPr>
          <w:rFonts w:hint="eastAsia" w:hAnsi="宋体"/>
        </w:rPr>
        <w:t>新增</w:t>
      </w:r>
      <w:r>
        <w:rPr>
          <w:rFonts w:hAnsi="宋体"/>
        </w:rPr>
        <w:t>了</w:t>
      </w:r>
      <w:r>
        <w:rPr>
          <w:rFonts w:hint="eastAsia" w:hAnsi="宋体"/>
        </w:rPr>
        <w:t>“</w:t>
      </w:r>
      <w:r>
        <w:rPr>
          <w:rFonts w:hint="eastAsia" w:hAnsi="宋体"/>
          <w:color w:val="000000"/>
        </w:rPr>
        <w:t>绿色建筑信息模型全生命周期应用策划</w:t>
      </w:r>
      <w:r>
        <w:rPr>
          <w:rFonts w:hint="eastAsia" w:hAnsi="宋体"/>
        </w:rPr>
        <w:t>”相关</w:t>
      </w:r>
      <w:r>
        <w:rPr>
          <w:rFonts w:hint="eastAsia" w:hAnsi="宋体"/>
          <w:color w:val="000000"/>
        </w:rPr>
        <w:t>内容</w:t>
      </w:r>
      <w:r>
        <w:rPr>
          <w:rFonts w:hint="eastAsia" w:hAnsi="宋体"/>
        </w:rPr>
        <w:t>；</w:t>
      </w:r>
    </w:p>
    <w:p>
      <w:pPr>
        <w:pStyle w:val="62"/>
        <w:ind w:firstLine="420"/>
        <w:rPr>
          <w:rFonts w:hint="eastAsia" w:hAnsi="宋体"/>
          <w:color w:val="000000"/>
        </w:rPr>
      </w:pPr>
      <w:r>
        <w:rPr>
          <w:rFonts w:hAnsi="宋体"/>
        </w:rPr>
        <w:t>――</w:t>
      </w:r>
      <w:r>
        <w:rPr>
          <w:rFonts w:hint="eastAsia" w:hAnsi="宋体"/>
          <w:color w:val="000000"/>
        </w:rPr>
        <w:t>修改、完善了模型应用规定；</w:t>
      </w:r>
    </w:p>
    <w:p>
      <w:pPr>
        <w:pStyle w:val="62"/>
        <w:ind w:firstLine="420"/>
        <w:rPr>
          <w:rFonts w:hint="eastAsia" w:hAnsi="宋体"/>
          <w:color w:val="000000"/>
        </w:rPr>
      </w:pPr>
      <w:r>
        <w:rPr>
          <w:rFonts w:hAnsi="宋体"/>
        </w:rPr>
        <w:t>――</w:t>
      </w:r>
      <w:r>
        <w:rPr>
          <w:rFonts w:hint="eastAsia" w:hAnsi="宋体"/>
          <w:color w:val="000000"/>
        </w:rPr>
        <w:t>将原“模型创建”、“模型应用”、“设计交付”内容整合修改为“模型规定”；</w:t>
      </w:r>
    </w:p>
    <w:p>
      <w:pPr>
        <w:pStyle w:val="62"/>
        <w:ind w:firstLine="420"/>
        <w:rPr>
          <w:rFonts w:hint="eastAsia" w:hAnsi="宋体"/>
        </w:rPr>
      </w:pPr>
      <w:r>
        <w:rPr>
          <w:rFonts w:hAnsi="宋体"/>
        </w:rPr>
        <w:t>――</w:t>
      </w:r>
      <w:r>
        <w:rPr>
          <w:rFonts w:hint="eastAsia" w:hAnsi="宋体"/>
          <w:color w:val="000000"/>
        </w:rPr>
        <w:t>将原“设计协同”修改完善为“设计阶段应用”；</w:t>
      </w:r>
    </w:p>
    <w:p>
      <w:pPr>
        <w:pStyle w:val="62"/>
        <w:ind w:firstLine="420"/>
        <w:rPr>
          <w:rFonts w:hint="eastAsia" w:hAnsi="宋体"/>
        </w:rPr>
      </w:pPr>
      <w:r>
        <w:rPr>
          <w:rFonts w:hAnsi="宋体"/>
        </w:rPr>
        <w:t>――</w:t>
      </w:r>
      <w:r>
        <w:rPr>
          <w:rFonts w:hint="eastAsia" w:hAnsi="宋体"/>
        </w:rPr>
        <w:t>新增</w:t>
      </w:r>
      <w:r>
        <w:rPr>
          <w:rFonts w:hint="eastAsia" w:hAnsi="宋体"/>
          <w:color w:val="000000"/>
        </w:rPr>
        <w:t>了“施工阶段应用”、“运维阶段应用”</w:t>
      </w:r>
      <w:r>
        <w:rPr>
          <w:rFonts w:hint="eastAsia" w:hAnsi="宋体"/>
        </w:rPr>
        <w:t>。</w:t>
      </w:r>
    </w:p>
    <w:p>
      <w:pPr>
        <w:pStyle w:val="62"/>
        <w:ind w:firstLine="420"/>
        <w:rPr>
          <w:rFonts w:hint="eastAsia" w:hAnsi="宋体"/>
        </w:rPr>
      </w:pPr>
      <w:r>
        <w:rPr>
          <w:rFonts w:hint="eastAsia" w:hAnsi="宋体"/>
        </w:rPr>
        <w:t>请注意</w:t>
      </w:r>
      <w:r>
        <w:rPr>
          <w:rFonts w:hAnsi="宋体"/>
        </w:rPr>
        <w:t>本文件的某些内容可能涉及专利</w:t>
      </w:r>
      <w:r>
        <w:rPr>
          <w:rFonts w:hint="eastAsia" w:hAnsi="宋体"/>
        </w:rPr>
        <w:t>。</w:t>
      </w:r>
      <w:r>
        <w:rPr>
          <w:rFonts w:hAnsi="宋体"/>
        </w:rPr>
        <w:t>本文件的发布机构不承担识别专利的责任。</w:t>
      </w:r>
    </w:p>
    <w:p>
      <w:pPr>
        <w:pStyle w:val="62"/>
        <w:ind w:firstLine="420"/>
        <w:rPr>
          <w:rFonts w:hint="eastAsia" w:hAnsi="宋体"/>
        </w:rPr>
      </w:pPr>
      <w:r>
        <w:rPr>
          <w:rFonts w:hAnsi="宋体"/>
        </w:rPr>
        <w:t>本</w:t>
      </w:r>
      <w:r>
        <w:rPr>
          <w:rFonts w:hint="eastAsia" w:hAnsi="宋体"/>
        </w:rPr>
        <w:t>文件</w:t>
      </w:r>
      <w:r>
        <w:rPr>
          <w:rFonts w:hAnsi="宋体"/>
        </w:rPr>
        <w:t>由江苏省住房和城乡建设厅</w:t>
      </w:r>
      <w:r>
        <w:rPr>
          <w:rFonts w:hint="eastAsia" w:hAnsi="宋体"/>
        </w:rPr>
        <w:t>提出、归口并组织实施</w:t>
      </w:r>
      <w:r>
        <w:rPr>
          <w:rFonts w:hAnsi="宋体"/>
        </w:rPr>
        <w:t>。</w:t>
      </w:r>
    </w:p>
    <w:p>
      <w:pPr>
        <w:pStyle w:val="62"/>
        <w:ind w:firstLine="420"/>
        <w:rPr>
          <w:rFonts w:hint="eastAsia" w:hAnsi="宋体"/>
        </w:rPr>
      </w:pPr>
      <w:r>
        <w:rPr>
          <w:rFonts w:hAnsi="宋体"/>
        </w:rPr>
        <w:t>本</w:t>
      </w:r>
      <w:r>
        <w:rPr>
          <w:rFonts w:hint="eastAsia" w:hAnsi="宋体"/>
        </w:rPr>
        <w:t>文件</w:t>
      </w:r>
      <w:r>
        <w:rPr>
          <w:rFonts w:hAnsi="宋体"/>
        </w:rPr>
        <w:t>起草单位：</w:t>
      </w:r>
      <w:bookmarkStart w:id="26" w:name="OLE_LINK4"/>
      <w:bookmarkStart w:id="27" w:name="OLE_LINK3"/>
      <w:r>
        <w:rPr>
          <w:rFonts w:hAnsi="宋体"/>
        </w:rPr>
        <w:t>江苏省勘察设计行业协会</w:t>
      </w:r>
      <w:bookmarkEnd w:id="26"/>
      <w:bookmarkEnd w:id="27"/>
      <w:r>
        <w:rPr>
          <w:rFonts w:hint="eastAsia" w:hAnsi="宋体"/>
        </w:rPr>
        <w:t>、</w:t>
      </w:r>
      <w:r>
        <w:rPr>
          <w:rFonts w:hAnsi="宋体"/>
        </w:rPr>
        <w:t>东南大学</w:t>
      </w:r>
      <w:r>
        <w:rPr>
          <w:rFonts w:hint="eastAsia" w:hAnsi="宋体"/>
        </w:rPr>
        <w:t>、</w:t>
      </w:r>
      <w:r>
        <w:rPr>
          <w:rFonts w:hAnsi="宋体"/>
        </w:rPr>
        <w:t>中通服咨询设计研究院有限公司</w:t>
      </w:r>
      <w:r>
        <w:rPr>
          <w:rFonts w:hint="eastAsia" w:hAnsi="宋体"/>
        </w:rPr>
        <w:t>、中建生态环境集团有限公司、南京长江都市建筑设计股份有限公司、启迪设计集团股份有限公司、中衡设计集团股份有限公司、南京毕亩智慧科技有限公司</w:t>
      </w:r>
      <w:r>
        <w:rPr>
          <w:rFonts w:hAnsi="宋体"/>
        </w:rPr>
        <w:t>。</w:t>
      </w:r>
    </w:p>
    <w:p>
      <w:pPr>
        <w:pStyle w:val="62"/>
        <w:ind w:firstLine="420"/>
        <w:rPr>
          <w:rFonts w:hint="eastAsia" w:hAnsi="宋体"/>
          <w:bCs/>
        </w:rPr>
      </w:pPr>
      <w:r>
        <w:rPr>
          <w:rFonts w:hAnsi="宋体"/>
        </w:rPr>
        <w:t>本</w:t>
      </w:r>
      <w:r>
        <w:rPr>
          <w:rFonts w:hint="eastAsia" w:hAnsi="宋体"/>
        </w:rPr>
        <w:t>文件</w:t>
      </w:r>
      <w:r>
        <w:rPr>
          <w:rFonts w:hAnsi="宋体"/>
        </w:rPr>
        <w:t>主要起草人：</w:t>
      </w:r>
      <w:r>
        <w:rPr>
          <w:rFonts w:hint="eastAsia" w:hAnsi="宋体"/>
          <w:bCs/>
        </w:rPr>
        <w:t xml:space="preserve">徐 照 吴大江 吴 刚 刘宇红 韦 笑 薛世伟 严怀达 汤昱泽 朱 强 汪 深 马少亭 孙昱晨 李 兵 </w:t>
      </w:r>
      <w:r>
        <w:rPr>
          <w:rFonts w:hAnsi="宋体"/>
          <w:bCs/>
        </w:rPr>
        <w:t xml:space="preserve"> </w:t>
      </w:r>
      <w:r>
        <w:rPr>
          <w:rFonts w:hint="eastAsia" w:hAnsi="宋体"/>
          <w:bCs/>
        </w:rPr>
        <w:t xml:space="preserve">张 宏 侯智荣 李国建 孙晓波 张 华 霍慧秀 张 </w:t>
      </w:r>
      <w:r>
        <w:rPr>
          <w:rFonts w:hAnsi="宋体"/>
          <w:bCs/>
        </w:rPr>
        <w:t xml:space="preserve"> </w:t>
      </w:r>
      <w:r>
        <w:rPr>
          <w:rFonts w:hint="eastAsia" w:hAnsi="宋体"/>
          <w:bCs/>
        </w:rPr>
        <w:t>骋</w:t>
      </w:r>
    </w:p>
    <w:p>
      <w:pPr>
        <w:pStyle w:val="237"/>
        <w:ind w:left="420" w:leftChars="200" w:firstLine="0" w:firstLineChars="0"/>
        <w:rPr>
          <w:rFonts w:hint="eastAsia" w:hAnsi="宋体"/>
          <w:bCs/>
        </w:rPr>
      </w:pPr>
      <w:r>
        <w:rPr>
          <w:rFonts w:hint="eastAsia" w:hAnsi="宋体"/>
          <w:szCs w:val="22"/>
        </w:rPr>
        <w:t>本文件</w:t>
      </w:r>
      <w:r>
        <w:rPr>
          <w:rFonts w:hAnsi="宋体"/>
          <w:szCs w:val="22"/>
        </w:rPr>
        <w:t>及其所替代文件的历次版本发布情况为：</w:t>
      </w:r>
    </w:p>
    <w:p>
      <w:pPr>
        <w:pStyle w:val="237"/>
        <w:ind w:left="420" w:leftChars="200" w:firstLine="0" w:firstLineChars="0"/>
        <w:rPr>
          <w:rFonts w:hint="eastAsia" w:hAnsi="宋体"/>
          <w:bCs/>
        </w:rPr>
      </w:pPr>
      <w:r>
        <w:rPr>
          <w:rFonts w:hAnsi="宋体"/>
          <w:bCs/>
        </w:rPr>
        <w:t>――201</w:t>
      </w:r>
      <w:r>
        <w:rPr>
          <w:rFonts w:hint="eastAsia" w:hAnsi="宋体"/>
          <w:bCs/>
        </w:rPr>
        <w:t>6年9月</w:t>
      </w:r>
      <w:r>
        <w:rPr>
          <w:rFonts w:hAnsi="宋体"/>
          <w:bCs/>
        </w:rPr>
        <w:t>1</w:t>
      </w:r>
      <w:r>
        <w:rPr>
          <w:rFonts w:hint="eastAsia" w:hAnsi="宋体"/>
          <w:bCs/>
        </w:rPr>
        <w:t>日</w:t>
      </w:r>
      <w:r>
        <w:rPr>
          <w:rFonts w:hAnsi="宋体"/>
          <w:bCs/>
        </w:rPr>
        <w:t>首次发布为DGJ32/TJ</w:t>
      </w:r>
      <w:r>
        <w:rPr>
          <w:rFonts w:hint="eastAsia" w:hAnsi="宋体"/>
          <w:bCs/>
        </w:rPr>
        <w:t xml:space="preserve"> </w:t>
      </w:r>
      <w:r>
        <w:rPr>
          <w:rFonts w:hAnsi="宋体"/>
          <w:bCs/>
        </w:rPr>
        <w:t>210</w:t>
      </w:r>
      <w:r>
        <w:rPr>
          <w:rFonts w:hint="eastAsia" w:hAnsi="宋体"/>
          <w:bCs/>
        </w:rPr>
        <w:t>-</w:t>
      </w:r>
      <w:r>
        <w:rPr>
          <w:rFonts w:hAnsi="宋体"/>
          <w:bCs/>
        </w:rPr>
        <w:t>2016</w:t>
      </w:r>
      <w:r>
        <w:rPr>
          <w:rFonts w:hint="eastAsia" w:hAnsi="宋体"/>
          <w:bCs/>
        </w:rPr>
        <w:t>；</w:t>
      </w:r>
    </w:p>
    <w:p>
      <w:pPr>
        <w:pStyle w:val="237"/>
        <w:ind w:left="420" w:leftChars="200" w:firstLine="0" w:firstLineChars="0"/>
        <w:rPr>
          <w:rFonts w:hint="eastAsia" w:hAnsi="宋体"/>
          <w:szCs w:val="22"/>
        </w:rPr>
      </w:pPr>
      <w:r>
        <w:rPr>
          <w:rFonts w:hAnsi="宋体"/>
        </w:rPr>
        <w:t>――</w:t>
      </w:r>
      <w:r>
        <w:rPr>
          <w:rFonts w:hint="eastAsia" w:hAnsi="宋体"/>
          <w:szCs w:val="22"/>
        </w:rPr>
        <w:t>本次</w:t>
      </w:r>
      <w:r>
        <w:rPr>
          <w:rFonts w:hAnsi="宋体"/>
          <w:szCs w:val="22"/>
        </w:rPr>
        <w:t>为第一次修订</w:t>
      </w:r>
      <w:r>
        <w:rPr>
          <w:rFonts w:hint="eastAsia" w:hAnsi="宋体"/>
          <w:szCs w:val="22"/>
        </w:rPr>
        <w:t>。</w:t>
      </w:r>
    </w:p>
    <w:p/>
    <w:p>
      <w:pPr>
        <w:pStyle w:val="62"/>
        <w:ind w:firstLine="199" w:firstLineChars="95"/>
        <w:sectPr>
          <w:headerReference r:id="rId9" w:type="default"/>
          <w:footerReference r:id="rId11" w:type="default"/>
          <w:headerReference r:id="rId10" w:type="even"/>
          <w:pgSz w:w="11906" w:h="16838"/>
          <w:pgMar w:top="1418" w:right="1134" w:bottom="1134" w:left="1418" w:header="1418" w:footer="1134" w:gutter="284"/>
          <w:pgNumType w:fmt="upperRoman" w:start="1"/>
          <w:cols w:space="425" w:num="1"/>
          <w:formProt w:val="0"/>
          <w:docGrid w:type="lines" w:linePitch="312" w:charSpace="0"/>
        </w:sectPr>
      </w:pPr>
    </w:p>
    <w:bookmarkEnd w:id="22"/>
    <w:p>
      <w:pPr>
        <w:spacing w:line="20" w:lineRule="exact"/>
        <w:jc w:val="center"/>
        <w:rPr>
          <w:rFonts w:hint="eastAsia" w:ascii="黑体" w:hAnsi="黑体" w:eastAsia="黑体"/>
          <w:sz w:val="32"/>
          <w:szCs w:val="32"/>
        </w:rPr>
      </w:pPr>
      <w:bookmarkStart w:id="28" w:name="BookMark4"/>
    </w:p>
    <w:p>
      <w:pPr>
        <w:spacing w:line="20" w:lineRule="exact"/>
        <w:jc w:val="center"/>
        <w:rPr>
          <w:rFonts w:hint="eastAsia" w:ascii="黑体" w:hAnsi="黑体" w:eastAsia="黑体"/>
          <w:sz w:val="32"/>
          <w:szCs w:val="32"/>
        </w:rPr>
      </w:pPr>
    </w:p>
    <w:sdt>
      <w:sdtPr>
        <w:tag w:val="NEW_STAND_NAME"/>
        <w:id w:val="595910757"/>
        <w:lock w:val="sdtLocked"/>
        <w:placeholder>
          <w:docPart w:val="9E3B628B95164B5A8436AB1B13CD098E"/>
        </w:placeholder>
      </w:sdtPr>
      <w:sdtContent>
        <w:p>
          <w:pPr>
            <w:pStyle w:val="183"/>
            <w:spacing w:before="567" w:beforeLines="182" w:after="686" w:afterLines="220"/>
            <w:rPr>
              <w:rFonts w:hint="eastAsia"/>
            </w:rPr>
          </w:pPr>
          <w:bookmarkStart w:id="29" w:name="NEW_STAND_NAME"/>
          <w:r>
            <w:rPr>
              <w:rFonts w:hint="eastAsia"/>
            </w:rPr>
            <w:t>绿色建筑信息模型应用技术标准</w:t>
          </w:r>
        </w:p>
      </w:sdtContent>
    </w:sdt>
    <w:bookmarkEnd w:id="29"/>
    <w:p>
      <w:pPr>
        <w:pStyle w:val="110"/>
        <w:spacing w:before="312" w:after="312"/>
      </w:pPr>
      <w:bookmarkStart w:id="30" w:name="_Toc17233325"/>
      <w:bookmarkStart w:id="31" w:name="_Toc17233333"/>
      <w:bookmarkStart w:id="32" w:name="_Toc24884211"/>
      <w:bookmarkStart w:id="33" w:name="_Toc24884218"/>
      <w:bookmarkStart w:id="34" w:name="_Toc26648465"/>
      <w:bookmarkStart w:id="35" w:name="_Toc26718930"/>
      <w:bookmarkStart w:id="36" w:name="_Toc26986530"/>
      <w:bookmarkStart w:id="37" w:name="_Toc26986771"/>
      <w:bookmarkStart w:id="38" w:name="_Toc168008269"/>
      <w:r>
        <w:rPr>
          <w:rFonts w:hint="eastAsia"/>
        </w:rPr>
        <w:t>1 范围</w:t>
      </w:r>
      <w:bookmarkEnd w:id="30"/>
      <w:bookmarkEnd w:id="31"/>
      <w:bookmarkEnd w:id="32"/>
      <w:bookmarkEnd w:id="33"/>
      <w:bookmarkEnd w:id="34"/>
      <w:bookmarkEnd w:id="35"/>
      <w:bookmarkEnd w:id="36"/>
      <w:bookmarkEnd w:id="37"/>
      <w:bookmarkEnd w:id="38"/>
    </w:p>
    <w:p>
      <w:pPr>
        <w:widowControl/>
        <w:adjustRightInd/>
        <w:spacing w:line="240" w:lineRule="auto"/>
        <w:ind w:firstLine="420" w:firstLineChars="200"/>
        <w:rPr>
          <w:rFonts w:hint="eastAsia" w:ascii="宋体" w:hAnsi="宋体"/>
          <w:bCs/>
        </w:rPr>
      </w:pPr>
      <w:bookmarkStart w:id="39" w:name="_Toc17233326"/>
      <w:bookmarkStart w:id="40" w:name="_Toc17233334"/>
      <w:bookmarkStart w:id="41" w:name="_Toc24884212"/>
      <w:bookmarkStart w:id="42" w:name="_Toc24884219"/>
      <w:bookmarkStart w:id="43" w:name="_Toc26648466"/>
      <w:r>
        <w:rPr>
          <w:rFonts w:ascii="Times New Roman" w:hAnsi="Times New Roman"/>
        </w:rPr>
        <w:t>本标准适用于民用绿色建筑全生命周期建筑信息模型在设计、施工和运维阶段的应用与管理。</w:t>
      </w:r>
    </w:p>
    <w:p>
      <w:pPr>
        <w:pStyle w:val="110"/>
        <w:spacing w:before="312" w:after="312"/>
        <w:rPr>
          <w:szCs w:val="21"/>
        </w:rPr>
      </w:pPr>
      <w:bookmarkStart w:id="44" w:name="_Toc26718931"/>
      <w:bookmarkStart w:id="45" w:name="_Toc26986531"/>
      <w:bookmarkStart w:id="46" w:name="_Toc26986772"/>
      <w:bookmarkStart w:id="47" w:name="_Toc168008270"/>
      <w:r>
        <w:rPr>
          <w:rFonts w:hint="eastAsia"/>
          <w:szCs w:val="21"/>
        </w:rPr>
        <w:t>2 规范性引用文件</w:t>
      </w:r>
      <w:bookmarkEnd w:id="39"/>
      <w:bookmarkEnd w:id="40"/>
      <w:bookmarkEnd w:id="41"/>
      <w:bookmarkEnd w:id="42"/>
      <w:bookmarkEnd w:id="43"/>
      <w:bookmarkEnd w:id="44"/>
      <w:bookmarkEnd w:id="45"/>
      <w:bookmarkEnd w:id="46"/>
      <w:bookmarkEnd w:id="47"/>
    </w:p>
    <w:p>
      <w:pPr>
        <w:widowControl/>
        <w:adjustRightInd/>
        <w:spacing w:line="240" w:lineRule="auto"/>
        <w:ind w:firstLine="420" w:firstLineChars="200"/>
        <w:rPr>
          <w:rFonts w:hint="eastAsia" w:ascii="宋体" w:hAnsi="宋体"/>
          <w:bCs/>
        </w:rPr>
      </w:pPr>
      <w:r>
        <w:rPr>
          <w:rFonts w:hint="eastAsia" w:ascii="宋体" w:hAnsi="宋体"/>
          <w:bCs/>
        </w:rPr>
        <w:t>下列文件中的内容通过文中的规范性引用而构成本文件必不可少的条款。其中，注日期的引用文件，仅该日期对应的版本适用于本文件；不注日期的引用文件，其最新版本（包括所有的修改单）适用于本文件。</w:t>
      </w:r>
    </w:p>
    <w:p>
      <w:pPr>
        <w:widowControl/>
        <w:adjustRightInd/>
        <w:spacing w:line="240" w:lineRule="auto"/>
        <w:ind w:firstLine="420" w:firstLineChars="200"/>
        <w:rPr>
          <w:rFonts w:hint="eastAsia" w:ascii="宋体" w:hAnsi="宋体"/>
          <w:bCs/>
        </w:rPr>
      </w:pPr>
      <w:r>
        <w:rPr>
          <w:rFonts w:ascii="宋体" w:hAnsi="宋体"/>
          <w:bCs/>
        </w:rPr>
        <w:t>GB50300</w:t>
      </w:r>
      <w:r>
        <w:rPr>
          <w:rFonts w:hint="eastAsia" w:ascii="宋体" w:hAnsi="宋体"/>
          <w:bCs/>
        </w:rPr>
        <w:t xml:space="preserve"> </w:t>
      </w:r>
      <w:r>
        <w:rPr>
          <w:rFonts w:ascii="宋体" w:hAnsi="宋体"/>
          <w:bCs/>
        </w:rPr>
        <w:t>建筑工程施工质量验收统一标准</w:t>
      </w:r>
    </w:p>
    <w:p>
      <w:pPr>
        <w:widowControl/>
        <w:adjustRightInd/>
        <w:spacing w:line="240" w:lineRule="auto"/>
        <w:ind w:firstLine="420" w:firstLineChars="200"/>
        <w:rPr>
          <w:rFonts w:hint="eastAsia" w:ascii="宋体" w:hAnsi="宋体"/>
          <w:bCs/>
        </w:rPr>
      </w:pPr>
      <w:r>
        <w:rPr>
          <w:rFonts w:hint="eastAsia" w:ascii="宋体" w:hAnsi="宋体"/>
          <w:bCs/>
        </w:rPr>
        <w:t>GB/T50378 绿色建筑评价标准</w:t>
      </w:r>
    </w:p>
    <w:p>
      <w:pPr>
        <w:widowControl/>
        <w:adjustRightInd/>
        <w:spacing w:line="240" w:lineRule="auto"/>
        <w:ind w:firstLine="420" w:firstLineChars="200"/>
        <w:rPr>
          <w:rFonts w:hint="eastAsia" w:ascii="宋体" w:hAnsi="宋体"/>
          <w:bCs/>
        </w:rPr>
      </w:pPr>
      <w:r>
        <w:rPr>
          <w:rFonts w:ascii="宋体" w:hAnsi="宋体"/>
          <w:bCs/>
        </w:rPr>
        <w:t>GB/T50640</w:t>
      </w:r>
      <w:r>
        <w:rPr>
          <w:rFonts w:hint="eastAsia" w:ascii="宋体" w:hAnsi="宋体"/>
          <w:bCs/>
        </w:rPr>
        <w:t xml:space="preserve"> 建筑与市政工程绿色施工评价标准</w:t>
      </w:r>
    </w:p>
    <w:p>
      <w:pPr>
        <w:widowControl/>
        <w:adjustRightInd/>
        <w:spacing w:line="240" w:lineRule="auto"/>
        <w:ind w:firstLine="420" w:firstLineChars="200"/>
        <w:rPr>
          <w:rFonts w:hint="eastAsia" w:ascii="宋体" w:hAnsi="宋体"/>
          <w:bCs/>
        </w:rPr>
      </w:pPr>
      <w:r>
        <w:rPr>
          <w:rFonts w:ascii="宋体" w:hAnsi="宋体"/>
          <w:bCs/>
        </w:rPr>
        <w:t>GB/T50905</w:t>
      </w:r>
      <w:r>
        <w:rPr>
          <w:rFonts w:hint="eastAsia" w:ascii="宋体" w:hAnsi="宋体"/>
          <w:bCs/>
        </w:rPr>
        <w:t xml:space="preserve"> </w:t>
      </w:r>
      <w:r>
        <w:rPr>
          <w:rFonts w:ascii="宋体" w:hAnsi="宋体"/>
          <w:bCs/>
        </w:rPr>
        <w:t>建筑工程绿色施工规范</w:t>
      </w:r>
    </w:p>
    <w:p>
      <w:pPr>
        <w:widowControl/>
        <w:adjustRightInd/>
        <w:spacing w:line="240" w:lineRule="auto"/>
        <w:ind w:firstLine="420" w:firstLineChars="200"/>
        <w:rPr>
          <w:rFonts w:hint="eastAsia" w:ascii="宋体" w:hAnsi="宋体"/>
          <w:bCs/>
        </w:rPr>
      </w:pPr>
      <w:r>
        <w:rPr>
          <w:rFonts w:hint="eastAsia" w:ascii="宋体" w:hAnsi="宋体"/>
          <w:bCs/>
        </w:rPr>
        <w:t>GB/T51212 建筑信息模型应用统一标准</w:t>
      </w:r>
    </w:p>
    <w:p>
      <w:pPr>
        <w:widowControl/>
        <w:adjustRightInd/>
        <w:spacing w:line="240" w:lineRule="auto"/>
        <w:ind w:firstLine="420" w:firstLineChars="200"/>
        <w:rPr>
          <w:rFonts w:hint="eastAsia" w:ascii="宋体" w:hAnsi="宋体"/>
          <w:bCs/>
        </w:rPr>
      </w:pPr>
      <w:r>
        <w:rPr>
          <w:rFonts w:hint="eastAsia" w:ascii="宋体" w:hAnsi="宋体"/>
          <w:bCs/>
        </w:rPr>
        <w:t>GB/T51235 建筑信息模型施工应用标准</w:t>
      </w:r>
    </w:p>
    <w:p>
      <w:pPr>
        <w:widowControl/>
        <w:adjustRightInd/>
        <w:spacing w:line="240" w:lineRule="auto"/>
        <w:ind w:firstLine="420" w:firstLineChars="200"/>
        <w:rPr>
          <w:rFonts w:hint="eastAsia" w:ascii="宋体" w:hAnsi="宋体"/>
          <w:bCs/>
        </w:rPr>
      </w:pPr>
      <w:r>
        <w:rPr>
          <w:rFonts w:hint="eastAsia" w:ascii="宋体" w:hAnsi="宋体"/>
          <w:bCs/>
        </w:rPr>
        <w:t>GB/T51301 建筑信息模型设计交付标准</w:t>
      </w:r>
    </w:p>
    <w:p>
      <w:pPr>
        <w:widowControl/>
        <w:adjustRightInd/>
        <w:spacing w:line="240" w:lineRule="auto"/>
        <w:ind w:firstLine="420" w:firstLineChars="200"/>
        <w:rPr>
          <w:rFonts w:hint="eastAsia" w:ascii="宋体" w:hAnsi="宋体"/>
          <w:bCs/>
        </w:rPr>
      </w:pPr>
      <w:r>
        <w:rPr>
          <w:rFonts w:hint="eastAsia" w:ascii="宋体" w:hAnsi="宋体"/>
          <w:bCs/>
        </w:rPr>
        <w:t>JGJ/T448 建筑工程设计信息模型制图标准</w:t>
      </w:r>
    </w:p>
    <w:p>
      <w:pPr>
        <w:pStyle w:val="110"/>
        <w:spacing w:before="312" w:after="312"/>
        <w:rPr>
          <w:szCs w:val="21"/>
        </w:rPr>
      </w:pPr>
      <w:bookmarkStart w:id="48" w:name="_Toc168008271"/>
      <w:r>
        <w:rPr>
          <w:rFonts w:hint="eastAsia"/>
          <w:szCs w:val="21"/>
        </w:rPr>
        <w:t>3 术语和定义</w:t>
      </w:r>
      <w:bookmarkEnd w:id="48"/>
    </w:p>
    <w:sdt>
      <w:sdtPr>
        <w:id w:val="-1909835108"/>
        <w:placeholder>
          <w:docPart w:val="08B9AE389C7948AAA37C86BAA9EA2344"/>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pPr>
            <w:pStyle w:val="62"/>
            <w:ind w:firstLine="420"/>
          </w:pPr>
          <w:bookmarkStart w:id="49" w:name="_Toc26986532"/>
          <w:bookmarkEnd w:id="49"/>
          <w:r>
            <w:t>下列术语和定义适用于本文件。</w:t>
          </w:r>
        </w:p>
      </w:sdtContent>
    </w:sdt>
    <w:p>
      <w:pPr>
        <w:spacing w:line="240" w:lineRule="auto"/>
        <w:rPr>
          <w:rFonts w:hint="eastAsia" w:ascii="黑体" w:hAnsi="黑体" w:eastAsia="黑体"/>
        </w:rPr>
      </w:pPr>
      <w:r>
        <w:rPr>
          <w:rFonts w:hint="eastAsia" w:ascii="黑体" w:hAnsi="黑体" w:eastAsia="黑体"/>
        </w:rPr>
        <w:t>3.1</w:t>
      </w:r>
    </w:p>
    <w:p>
      <w:pPr>
        <w:spacing w:line="240" w:lineRule="auto"/>
        <w:ind w:firstLine="420" w:firstLineChars="200"/>
        <w:rPr>
          <w:rFonts w:hint="eastAsia" w:ascii="黑体" w:hAnsi="黑体" w:eastAsia="黑体"/>
        </w:rPr>
      </w:pPr>
      <w:r>
        <w:rPr>
          <w:rFonts w:ascii="黑体" w:hAnsi="黑体" w:eastAsia="黑体"/>
        </w:rPr>
        <w:t>绿色建筑 green building</w:t>
      </w:r>
    </w:p>
    <w:p>
      <w:pPr>
        <w:pStyle w:val="62"/>
        <w:ind w:firstLine="420"/>
        <w:rPr>
          <w:rFonts w:hint="eastAsia" w:hAnsi="宋体"/>
          <w:szCs w:val="21"/>
        </w:rPr>
      </w:pPr>
      <w:r>
        <w:rPr>
          <w:rFonts w:hAnsi="宋体"/>
          <w:szCs w:val="21"/>
        </w:rPr>
        <w:t>在全生命</w:t>
      </w:r>
      <w:r>
        <w:rPr>
          <w:rFonts w:hint="eastAsia" w:hAnsi="宋体"/>
          <w:szCs w:val="21"/>
        </w:rPr>
        <w:t>周</w:t>
      </w:r>
      <w:r>
        <w:rPr>
          <w:rFonts w:hAnsi="宋体"/>
          <w:szCs w:val="21"/>
        </w:rPr>
        <w:t>期内，节约资源、保护环境、减少污染，为人们提供健康、舒适、高效的使用空间，最大限度地实现人与自然和谐共生的高质量建筑。</w:t>
      </w:r>
    </w:p>
    <w:p>
      <w:pPr>
        <w:spacing w:line="240" w:lineRule="auto"/>
        <w:rPr>
          <w:rFonts w:hint="eastAsia" w:ascii="黑体" w:hAnsi="黑体" w:eastAsia="黑体"/>
        </w:rPr>
      </w:pPr>
      <w:r>
        <w:rPr>
          <w:rFonts w:hint="eastAsia" w:ascii="黑体" w:hAnsi="黑体" w:eastAsia="黑体"/>
        </w:rPr>
        <w:t>3.2</w:t>
      </w:r>
    </w:p>
    <w:p>
      <w:pPr>
        <w:spacing w:line="240" w:lineRule="auto"/>
        <w:ind w:firstLine="420" w:firstLineChars="200"/>
        <w:rPr>
          <w:rFonts w:hint="eastAsia" w:ascii="黑体" w:hAnsi="黑体" w:eastAsia="黑体"/>
        </w:rPr>
      </w:pPr>
      <w:r>
        <w:rPr>
          <w:rFonts w:ascii="黑体" w:hAnsi="黑体" w:eastAsia="黑体"/>
        </w:rPr>
        <w:t>建筑信息模型 building information modeling（BIM）</w:t>
      </w:r>
    </w:p>
    <w:p>
      <w:pPr>
        <w:pStyle w:val="62"/>
        <w:ind w:firstLine="420"/>
        <w:rPr>
          <w:rFonts w:hint="eastAsia" w:hAnsi="宋体"/>
          <w:szCs w:val="21"/>
        </w:rPr>
      </w:pPr>
      <w:r>
        <w:rPr>
          <w:rFonts w:hAnsi="宋体"/>
          <w:szCs w:val="21"/>
        </w:rPr>
        <w:t>在建筑工程及设施全生命</w:t>
      </w:r>
      <w:r>
        <w:rPr>
          <w:rFonts w:hint="eastAsia" w:hAnsi="宋体"/>
          <w:szCs w:val="21"/>
        </w:rPr>
        <w:t>周</w:t>
      </w:r>
      <w:r>
        <w:rPr>
          <w:rFonts w:hAnsi="宋体"/>
          <w:szCs w:val="21"/>
        </w:rPr>
        <w:t>期内，对其物理和功能特性进行数字化表达，并依此设计、施工、运维的过程和结果的总称。简称模型。</w:t>
      </w:r>
    </w:p>
    <w:p>
      <w:pPr>
        <w:spacing w:line="240" w:lineRule="auto"/>
        <w:rPr>
          <w:rFonts w:hint="eastAsia" w:ascii="黑体" w:hAnsi="黑体" w:eastAsia="黑体"/>
        </w:rPr>
      </w:pPr>
      <w:r>
        <w:rPr>
          <w:rFonts w:hint="eastAsia" w:ascii="黑体" w:hAnsi="黑体" w:eastAsia="黑体"/>
        </w:rPr>
        <w:t>3.3</w:t>
      </w:r>
    </w:p>
    <w:p>
      <w:pPr>
        <w:spacing w:line="240" w:lineRule="auto"/>
        <w:ind w:firstLine="420" w:firstLineChars="200"/>
        <w:rPr>
          <w:rFonts w:hint="eastAsia" w:ascii="黑体" w:hAnsi="黑体" w:eastAsia="黑体"/>
        </w:rPr>
      </w:pPr>
      <w:r>
        <w:rPr>
          <w:rFonts w:hint="eastAsia" w:ascii="黑体" w:hAnsi="黑体" w:eastAsia="黑体"/>
        </w:rPr>
        <w:t>几何信息 g</w:t>
      </w:r>
      <w:r>
        <w:rPr>
          <w:rFonts w:ascii="黑体" w:hAnsi="黑体" w:eastAsia="黑体"/>
        </w:rPr>
        <w:t>eometric information</w:t>
      </w:r>
    </w:p>
    <w:p>
      <w:pPr>
        <w:pStyle w:val="62"/>
        <w:ind w:firstLine="420"/>
        <w:rPr>
          <w:rFonts w:hint="eastAsia" w:hAnsi="宋体"/>
          <w:szCs w:val="21"/>
        </w:rPr>
      </w:pPr>
      <w:r>
        <w:rPr>
          <w:rFonts w:hint="eastAsia" w:hAnsi="宋体"/>
          <w:szCs w:val="21"/>
        </w:rPr>
        <w:t>模型单元尺寸、定位以及相互关系的信息。</w:t>
      </w:r>
    </w:p>
    <w:p>
      <w:pPr>
        <w:spacing w:line="240" w:lineRule="auto"/>
        <w:rPr>
          <w:rFonts w:hint="eastAsia" w:ascii="黑体" w:hAnsi="黑体" w:eastAsia="黑体"/>
        </w:rPr>
      </w:pPr>
      <w:r>
        <w:rPr>
          <w:rFonts w:hint="eastAsia" w:ascii="黑体" w:hAnsi="黑体" w:eastAsia="黑体"/>
        </w:rPr>
        <w:t>3.4</w:t>
      </w:r>
    </w:p>
    <w:p>
      <w:pPr>
        <w:spacing w:line="240" w:lineRule="auto"/>
        <w:ind w:firstLine="420" w:firstLineChars="200"/>
        <w:rPr>
          <w:rFonts w:hint="eastAsia" w:ascii="黑体" w:hAnsi="黑体" w:eastAsia="黑体"/>
        </w:rPr>
      </w:pPr>
      <w:r>
        <w:rPr>
          <w:rFonts w:hint="eastAsia" w:ascii="黑体" w:hAnsi="黑体" w:eastAsia="黑体"/>
        </w:rPr>
        <w:t xml:space="preserve">非几何信息 </w:t>
      </w:r>
      <w:r>
        <w:rPr>
          <w:rFonts w:ascii="黑体" w:hAnsi="黑体" w:eastAsia="黑体"/>
        </w:rPr>
        <w:t>non geometric information</w:t>
      </w:r>
    </w:p>
    <w:p>
      <w:pPr>
        <w:pStyle w:val="62"/>
        <w:ind w:firstLine="420"/>
        <w:rPr>
          <w:rFonts w:hint="eastAsia" w:hAnsi="宋体"/>
          <w:szCs w:val="21"/>
        </w:rPr>
      </w:pPr>
      <w:r>
        <w:rPr>
          <w:rFonts w:hint="eastAsia" w:hAnsi="宋体"/>
          <w:szCs w:val="21"/>
        </w:rPr>
        <w:t>除几何信息以外的所有属性信息。</w:t>
      </w:r>
    </w:p>
    <w:p>
      <w:pPr>
        <w:spacing w:line="240" w:lineRule="auto"/>
        <w:rPr>
          <w:rFonts w:hint="eastAsia" w:ascii="黑体" w:hAnsi="黑体" w:eastAsia="黑体"/>
        </w:rPr>
      </w:pPr>
      <w:r>
        <w:rPr>
          <w:rFonts w:hint="eastAsia" w:ascii="黑体" w:hAnsi="黑体" w:eastAsia="黑体"/>
        </w:rPr>
        <w:t>3.5</w:t>
      </w:r>
    </w:p>
    <w:p>
      <w:pPr>
        <w:spacing w:line="240" w:lineRule="auto"/>
        <w:ind w:firstLine="420" w:firstLineChars="200"/>
        <w:rPr>
          <w:rFonts w:hint="eastAsia" w:ascii="黑体" w:hAnsi="黑体" w:eastAsia="黑体"/>
        </w:rPr>
      </w:pPr>
      <w:r>
        <w:rPr>
          <w:rFonts w:hint="eastAsia" w:ascii="黑体" w:hAnsi="黑体" w:eastAsia="黑体"/>
        </w:rPr>
        <w:t>几何表达精度 level of geometric detail</w:t>
      </w:r>
    </w:p>
    <w:p>
      <w:pPr>
        <w:pStyle w:val="62"/>
        <w:ind w:firstLine="420"/>
        <w:rPr>
          <w:rFonts w:hint="eastAsia" w:hAnsi="宋体"/>
          <w:szCs w:val="21"/>
        </w:rPr>
      </w:pPr>
      <w:r>
        <w:rPr>
          <w:rFonts w:hint="eastAsia" w:hAnsi="宋体"/>
          <w:szCs w:val="21"/>
        </w:rPr>
        <w:t>模型单元几何信息表达的精确性。</w:t>
      </w:r>
    </w:p>
    <w:p>
      <w:pPr>
        <w:spacing w:line="240" w:lineRule="auto"/>
        <w:rPr>
          <w:rFonts w:hint="eastAsia" w:ascii="黑体" w:hAnsi="黑体" w:eastAsia="黑体"/>
        </w:rPr>
      </w:pPr>
      <w:r>
        <w:rPr>
          <w:rFonts w:hint="eastAsia" w:ascii="黑体" w:hAnsi="黑体" w:eastAsia="黑体"/>
        </w:rPr>
        <w:t>3.6</w:t>
      </w:r>
    </w:p>
    <w:p>
      <w:pPr>
        <w:spacing w:line="240" w:lineRule="auto"/>
        <w:ind w:firstLine="420" w:firstLineChars="200"/>
        <w:rPr>
          <w:rFonts w:hint="eastAsia" w:ascii="黑体" w:hAnsi="黑体" w:eastAsia="黑体"/>
        </w:rPr>
      </w:pPr>
      <w:r>
        <w:rPr>
          <w:rFonts w:hint="eastAsia" w:ascii="黑体" w:hAnsi="黑体" w:eastAsia="黑体"/>
        </w:rPr>
        <w:t>信息深度 level of information detail</w:t>
      </w:r>
    </w:p>
    <w:p>
      <w:pPr>
        <w:pStyle w:val="62"/>
        <w:ind w:firstLine="420"/>
        <w:rPr>
          <w:rFonts w:hint="eastAsia" w:hAnsi="宋体"/>
          <w:szCs w:val="21"/>
        </w:rPr>
      </w:pPr>
      <w:r>
        <w:rPr>
          <w:rFonts w:hint="eastAsia" w:hAnsi="宋体"/>
          <w:szCs w:val="21"/>
        </w:rPr>
        <w:t>模型单元承载属性信息的详细程度。</w:t>
      </w:r>
    </w:p>
    <w:p>
      <w:pPr>
        <w:spacing w:line="240" w:lineRule="auto"/>
        <w:rPr>
          <w:rFonts w:hint="eastAsia" w:ascii="黑体" w:hAnsi="黑体" w:eastAsia="黑体"/>
        </w:rPr>
      </w:pPr>
      <w:r>
        <w:rPr>
          <w:rFonts w:hint="eastAsia" w:ascii="黑体" w:hAnsi="黑体" w:eastAsia="黑体"/>
        </w:rPr>
        <w:t>3.7</w:t>
      </w:r>
    </w:p>
    <w:p>
      <w:pPr>
        <w:spacing w:line="240" w:lineRule="auto"/>
        <w:ind w:firstLine="420" w:firstLineChars="200"/>
        <w:rPr>
          <w:rFonts w:hint="eastAsia" w:ascii="黑体" w:hAnsi="黑体" w:eastAsia="黑体"/>
        </w:rPr>
      </w:pPr>
      <w:r>
        <w:rPr>
          <w:rFonts w:ascii="黑体" w:hAnsi="黑体" w:eastAsia="黑体"/>
        </w:rPr>
        <w:t>模型单元 model unit</w:t>
      </w:r>
    </w:p>
    <w:p>
      <w:pPr>
        <w:pStyle w:val="62"/>
        <w:ind w:firstLine="420"/>
        <w:rPr>
          <w:rFonts w:hint="eastAsia" w:hAnsi="宋体"/>
          <w:szCs w:val="21"/>
        </w:rPr>
      </w:pPr>
      <w:r>
        <w:rPr>
          <w:rFonts w:hAnsi="宋体"/>
          <w:szCs w:val="21"/>
        </w:rPr>
        <w:t>模型中承载建筑</w:t>
      </w:r>
      <w:r>
        <w:rPr>
          <w:rFonts w:hint="eastAsia" w:hAnsi="宋体"/>
          <w:szCs w:val="21"/>
        </w:rPr>
        <w:t>单元中</w:t>
      </w:r>
      <w:r>
        <w:rPr>
          <w:rFonts w:hAnsi="宋体"/>
          <w:szCs w:val="21"/>
        </w:rPr>
        <w:t>的实体及其相关属性的集合，是工程对象的数字表述</w:t>
      </w:r>
      <w:r>
        <w:rPr>
          <w:rFonts w:hint="eastAsia" w:hAnsi="宋体"/>
          <w:szCs w:val="21"/>
        </w:rPr>
        <w:t>。</w:t>
      </w:r>
    </w:p>
    <w:p>
      <w:pPr>
        <w:spacing w:line="240" w:lineRule="auto"/>
        <w:rPr>
          <w:rFonts w:hint="eastAsia" w:ascii="黑体" w:hAnsi="黑体" w:eastAsia="黑体"/>
        </w:rPr>
      </w:pPr>
      <w:r>
        <w:rPr>
          <w:rFonts w:hint="eastAsia" w:ascii="黑体" w:hAnsi="黑体" w:eastAsia="黑体"/>
        </w:rPr>
        <w:t>3.8</w:t>
      </w:r>
    </w:p>
    <w:p>
      <w:pPr>
        <w:spacing w:line="240" w:lineRule="auto"/>
        <w:ind w:firstLine="420" w:firstLineChars="200"/>
        <w:rPr>
          <w:rFonts w:hint="eastAsia" w:ascii="黑体" w:hAnsi="黑体" w:eastAsia="黑体"/>
        </w:rPr>
      </w:pPr>
      <w:r>
        <w:rPr>
          <w:rFonts w:ascii="黑体" w:hAnsi="黑体" w:eastAsia="黑体"/>
        </w:rPr>
        <w:t>模型</w:t>
      </w:r>
      <w:r>
        <w:rPr>
          <w:rFonts w:hint="eastAsia" w:ascii="黑体" w:hAnsi="黑体" w:eastAsia="黑体"/>
        </w:rPr>
        <w:t>精</w:t>
      </w:r>
      <w:r>
        <w:rPr>
          <w:rFonts w:ascii="黑体" w:hAnsi="黑体" w:eastAsia="黑体"/>
        </w:rPr>
        <w:t>细度 level of model definition</w:t>
      </w:r>
      <w:r>
        <w:rPr>
          <w:rFonts w:hint="eastAsia" w:ascii="黑体" w:hAnsi="黑体" w:eastAsia="黑体"/>
        </w:rPr>
        <w:t>（L</w:t>
      </w:r>
      <w:r>
        <w:rPr>
          <w:rFonts w:ascii="黑体" w:hAnsi="黑体" w:eastAsia="黑体"/>
        </w:rPr>
        <w:t>OD</w:t>
      </w:r>
      <w:r>
        <w:rPr>
          <w:rFonts w:hint="eastAsia" w:ascii="黑体" w:hAnsi="黑体" w:eastAsia="黑体"/>
        </w:rPr>
        <w:t>）</w:t>
      </w:r>
    </w:p>
    <w:p>
      <w:pPr>
        <w:pStyle w:val="62"/>
        <w:ind w:firstLine="420"/>
        <w:rPr>
          <w:rFonts w:hint="eastAsia" w:hAnsi="宋体"/>
          <w:szCs w:val="21"/>
        </w:rPr>
      </w:pPr>
      <w:r>
        <w:rPr>
          <w:rFonts w:hint="eastAsia" w:hAnsi="宋体"/>
          <w:szCs w:val="21"/>
        </w:rPr>
        <w:t>模型单元包含信息的详细程度。</w:t>
      </w:r>
    </w:p>
    <w:p>
      <w:pPr>
        <w:spacing w:line="240" w:lineRule="auto"/>
        <w:rPr>
          <w:rFonts w:hint="eastAsia" w:ascii="黑体" w:hAnsi="黑体" w:eastAsia="黑体"/>
        </w:rPr>
      </w:pPr>
      <w:r>
        <w:rPr>
          <w:rFonts w:hint="eastAsia" w:ascii="黑体" w:hAnsi="黑体" w:eastAsia="黑体"/>
        </w:rPr>
        <w:t>3.9</w:t>
      </w:r>
    </w:p>
    <w:p>
      <w:pPr>
        <w:spacing w:line="240" w:lineRule="auto"/>
        <w:ind w:firstLine="420" w:firstLineChars="200"/>
        <w:rPr>
          <w:rFonts w:hint="eastAsia" w:ascii="黑体" w:hAnsi="黑体" w:eastAsia="黑体"/>
        </w:rPr>
      </w:pPr>
      <w:r>
        <w:rPr>
          <w:rFonts w:hint="eastAsia" w:ascii="黑体" w:hAnsi="黑体" w:eastAsia="黑体"/>
        </w:rPr>
        <w:t xml:space="preserve">最小模型单元 </w:t>
      </w:r>
      <w:r>
        <w:rPr>
          <w:rFonts w:ascii="黑体" w:hAnsi="黑体" w:eastAsia="黑体"/>
        </w:rPr>
        <w:t>minimal model unit</w:t>
      </w:r>
    </w:p>
    <w:p>
      <w:pPr>
        <w:pStyle w:val="62"/>
        <w:ind w:firstLine="420"/>
        <w:rPr>
          <w:rFonts w:hint="eastAsia" w:hAnsi="宋体"/>
          <w:szCs w:val="21"/>
        </w:rPr>
      </w:pPr>
      <w:r>
        <w:rPr>
          <w:rFonts w:hAnsi="宋体"/>
          <w:szCs w:val="21"/>
        </w:rPr>
        <w:t>根据建筑工程项目的应用需求而分解和交付的</w:t>
      </w:r>
      <w:r>
        <w:rPr>
          <w:rFonts w:hint="eastAsia" w:hAnsi="宋体"/>
          <w:szCs w:val="21"/>
        </w:rPr>
        <w:t>最高精细度</w:t>
      </w:r>
      <w:r>
        <w:rPr>
          <w:rFonts w:hAnsi="宋体"/>
          <w:szCs w:val="21"/>
        </w:rPr>
        <w:t>的模型单元</w:t>
      </w:r>
      <w:r>
        <w:rPr>
          <w:rFonts w:hint="eastAsia" w:hAnsi="宋体"/>
          <w:szCs w:val="21"/>
        </w:rPr>
        <w:t>。</w:t>
      </w:r>
    </w:p>
    <w:p>
      <w:pPr>
        <w:spacing w:line="240" w:lineRule="auto"/>
        <w:rPr>
          <w:rFonts w:hint="eastAsia" w:ascii="黑体" w:hAnsi="黑体" w:eastAsia="黑体"/>
        </w:rPr>
      </w:pPr>
      <w:r>
        <w:rPr>
          <w:rFonts w:hint="eastAsia" w:ascii="黑体" w:hAnsi="黑体" w:eastAsia="黑体"/>
        </w:rPr>
        <w:t>3.10</w:t>
      </w:r>
    </w:p>
    <w:p>
      <w:pPr>
        <w:spacing w:line="240" w:lineRule="auto"/>
        <w:ind w:firstLine="420" w:firstLineChars="200"/>
        <w:rPr>
          <w:rFonts w:hint="eastAsia" w:ascii="黑体" w:hAnsi="黑体" w:eastAsia="黑体"/>
        </w:rPr>
      </w:pPr>
      <w:r>
        <w:rPr>
          <w:rFonts w:hint="eastAsia" w:ascii="黑体" w:hAnsi="黑体" w:eastAsia="黑体"/>
        </w:rPr>
        <w:t xml:space="preserve">提资视图 </w:t>
      </w:r>
      <w:r>
        <w:rPr>
          <w:rFonts w:ascii="黑体" w:hAnsi="黑体" w:eastAsia="黑体"/>
        </w:rPr>
        <w:t>information provision view</w:t>
      </w:r>
    </w:p>
    <w:p>
      <w:pPr>
        <w:pStyle w:val="62"/>
        <w:ind w:firstLine="420"/>
        <w:rPr>
          <w:rFonts w:hint="eastAsia" w:hAnsi="宋体"/>
          <w:szCs w:val="21"/>
        </w:rPr>
      </w:pPr>
      <w:r>
        <w:rPr>
          <w:rFonts w:hint="eastAsia" w:hAnsi="宋体"/>
          <w:szCs w:val="21"/>
        </w:rPr>
        <w:t>提供后续设计所需资料的视图。</w:t>
      </w:r>
    </w:p>
    <w:p>
      <w:pPr>
        <w:pStyle w:val="110"/>
        <w:spacing w:before="312" w:after="312"/>
        <w:rPr>
          <w:szCs w:val="21"/>
        </w:rPr>
      </w:pPr>
      <w:bookmarkStart w:id="50" w:name="_Toc168008272"/>
      <w:r>
        <w:rPr>
          <w:rFonts w:hint="eastAsia"/>
          <w:szCs w:val="21"/>
        </w:rPr>
        <w:t xml:space="preserve">4 </w:t>
      </w:r>
      <w:r>
        <w:rPr>
          <w:szCs w:val="21"/>
        </w:rPr>
        <w:t>基本规定</w:t>
      </w:r>
      <w:bookmarkEnd w:id="50"/>
    </w:p>
    <w:p>
      <w:pPr>
        <w:pStyle w:val="111"/>
        <w:spacing w:before="156" w:after="156"/>
        <w:rPr>
          <w:rFonts w:hint="eastAsia" w:hAnsi="黑体" w:cs="黑体"/>
        </w:rPr>
      </w:pPr>
      <w:bookmarkStart w:id="51" w:name="_Toc168008273"/>
      <w:r>
        <w:rPr>
          <w:rFonts w:hint="eastAsia" w:hAnsi="黑体" w:cs="黑体"/>
        </w:rPr>
        <w:t xml:space="preserve">4.1 </w:t>
      </w:r>
      <w:r>
        <w:rPr>
          <w:rFonts w:hAnsi="黑体" w:cs="黑体"/>
        </w:rPr>
        <w:t>基本应用原则</w:t>
      </w:r>
      <w:bookmarkEnd w:id="51"/>
      <w:bookmarkStart w:id="52" w:name="_Hlk134030185"/>
    </w:p>
    <w:p>
      <w:pPr>
        <w:pStyle w:val="171"/>
        <w:rPr>
          <w:rFonts w:hint="eastAsia"/>
        </w:rPr>
      </w:pPr>
      <w:r>
        <w:rPr>
          <w:rFonts w:hint="eastAsia"/>
        </w:rPr>
        <w:t xml:space="preserve">4.1.1 </w:t>
      </w:r>
      <w:r>
        <w:t>绿色建筑信息模型应用</w:t>
      </w:r>
      <w:r>
        <w:rPr>
          <w:rFonts w:hint="eastAsia"/>
        </w:rPr>
        <w:t>应</w:t>
      </w:r>
      <w:r>
        <w:t>统筹建筑工程质量、成本、安全、效率、环保、绿色等要素，实现设计、施工、运维全过程一体化。</w:t>
      </w:r>
    </w:p>
    <w:p>
      <w:pPr>
        <w:pStyle w:val="171"/>
        <w:rPr>
          <w:rFonts w:hint="eastAsia"/>
        </w:rPr>
      </w:pPr>
      <w:r>
        <w:rPr>
          <w:rFonts w:hint="eastAsia"/>
        </w:rPr>
        <w:t xml:space="preserve">4.1.2 </w:t>
      </w:r>
      <w:r>
        <w:t>绿色建筑信息模型应用</w:t>
      </w:r>
      <w:r>
        <w:rPr>
          <w:rFonts w:hint="eastAsia"/>
        </w:rPr>
        <w:t>应体现</w:t>
      </w:r>
      <w:r>
        <w:t>建筑工程全生命周期</w:t>
      </w:r>
      <w:r>
        <w:rPr>
          <w:rFonts w:hint="eastAsia"/>
        </w:rPr>
        <w:t>的特性。</w:t>
      </w:r>
    </w:p>
    <w:p>
      <w:pPr>
        <w:pStyle w:val="171"/>
        <w:rPr>
          <w:rFonts w:hint="eastAsia"/>
        </w:rPr>
      </w:pPr>
      <w:r>
        <w:rPr>
          <w:rFonts w:hint="eastAsia"/>
        </w:rPr>
        <w:t xml:space="preserve">4.1.3 </w:t>
      </w:r>
      <w:r>
        <w:rPr>
          <w:rFonts w:ascii="宋体" w:hAnsi="宋体"/>
        </w:rPr>
        <w:t>绿色建筑信息模型应用</w:t>
      </w:r>
      <w:r>
        <w:rPr>
          <w:rFonts w:hint="eastAsia" w:ascii="宋体" w:hAnsi="宋体"/>
        </w:rPr>
        <w:t>应体现B</w:t>
      </w:r>
      <w:r>
        <w:rPr>
          <w:rFonts w:ascii="宋体" w:hAnsi="宋体"/>
        </w:rPr>
        <w:t>IM</w:t>
      </w:r>
      <w:r>
        <w:rPr>
          <w:rFonts w:hint="eastAsia" w:ascii="宋体" w:hAnsi="宋体"/>
        </w:rPr>
        <w:t>模型的复用性，具备延续性和可传递性，各阶段模型应在上一阶段模型基础上深化完成。</w:t>
      </w:r>
    </w:p>
    <w:p>
      <w:pPr>
        <w:pStyle w:val="111"/>
        <w:spacing w:before="156" w:after="156"/>
        <w:rPr>
          <w:rFonts w:hint="eastAsia" w:hAnsi="黑体" w:cs="黑体"/>
        </w:rPr>
      </w:pPr>
      <w:bookmarkStart w:id="53" w:name="_Toc167201541"/>
      <w:bookmarkStart w:id="54" w:name="_Toc168008274"/>
      <w:r>
        <w:rPr>
          <w:rFonts w:hint="eastAsia" w:hAnsi="黑体" w:cs="黑体"/>
        </w:rPr>
        <w:t>4</w:t>
      </w:r>
      <w:r>
        <w:rPr>
          <w:rFonts w:hAnsi="黑体" w:cs="黑体"/>
        </w:rPr>
        <w:t>.2 软件应用规定</w:t>
      </w:r>
      <w:bookmarkEnd w:id="53"/>
      <w:bookmarkEnd w:id="54"/>
    </w:p>
    <w:p>
      <w:pPr>
        <w:pStyle w:val="171"/>
        <w:rPr>
          <w:rFonts w:hint="eastAsia"/>
        </w:rPr>
      </w:pPr>
      <w:r>
        <w:rPr>
          <w:rFonts w:hint="eastAsia"/>
        </w:rPr>
        <w:t xml:space="preserve">4.2.1 </w:t>
      </w:r>
      <w:r>
        <w:rPr>
          <w:rFonts w:ascii="宋体" w:hAnsi="宋体"/>
        </w:rPr>
        <w:t>BIM软件</w:t>
      </w:r>
      <w:r>
        <w:rPr>
          <w:rFonts w:hint="eastAsia" w:ascii="宋体" w:hAnsi="宋体"/>
        </w:rPr>
        <w:t>应满足工程项目各阶段应用的要求，并</w:t>
      </w:r>
      <w:r>
        <w:rPr>
          <w:rFonts w:ascii="宋体" w:hAnsi="宋体"/>
        </w:rPr>
        <w:t>符合</w:t>
      </w:r>
      <w:r>
        <w:rPr>
          <w:rFonts w:hint="eastAsia" w:ascii="宋体" w:hAnsi="宋体"/>
        </w:rPr>
        <w:t>国家和江苏省现行</w:t>
      </w:r>
      <w:r>
        <w:rPr>
          <w:rFonts w:ascii="宋体" w:hAnsi="宋体"/>
        </w:rPr>
        <w:t>相关标准的</w:t>
      </w:r>
      <w:r>
        <w:rPr>
          <w:rFonts w:hint="eastAsia" w:ascii="宋体" w:hAnsi="宋体"/>
        </w:rPr>
        <w:t>要求</w:t>
      </w:r>
      <w:r>
        <w:rPr>
          <w:rFonts w:ascii="宋体" w:hAnsi="宋体"/>
        </w:rPr>
        <w:t>。</w:t>
      </w:r>
    </w:p>
    <w:bookmarkEnd w:id="52"/>
    <w:p>
      <w:pPr>
        <w:pStyle w:val="171"/>
        <w:rPr>
          <w:rFonts w:hint="eastAsia"/>
        </w:rPr>
      </w:pPr>
      <w:r>
        <w:rPr>
          <w:rFonts w:hint="eastAsia"/>
        </w:rPr>
        <w:t xml:space="preserve">4.2.2 </w:t>
      </w:r>
      <w:r>
        <w:rPr>
          <w:rFonts w:ascii="宋体" w:hAnsi="宋体"/>
        </w:rPr>
        <w:t>BIM软件版本及传递数据的接口</w:t>
      </w:r>
      <w:r>
        <w:rPr>
          <w:rFonts w:hint="eastAsia" w:ascii="宋体" w:hAnsi="宋体"/>
        </w:rPr>
        <w:t>应</w:t>
      </w:r>
      <w:r>
        <w:rPr>
          <w:rFonts w:ascii="宋体" w:hAnsi="宋体"/>
        </w:rPr>
        <w:t>遵循一致性原则，满足数据交换需求，保证BIM数据传递的正确性</w:t>
      </w:r>
      <w:r>
        <w:rPr>
          <w:rFonts w:hint="eastAsia" w:ascii="宋体" w:hAnsi="宋体"/>
        </w:rPr>
        <w:t>、有效性</w:t>
      </w:r>
      <w:r>
        <w:rPr>
          <w:rFonts w:ascii="宋体" w:hAnsi="宋体"/>
        </w:rPr>
        <w:t>及完整性。</w:t>
      </w:r>
    </w:p>
    <w:p>
      <w:pPr>
        <w:pStyle w:val="171"/>
        <w:rPr>
          <w:rFonts w:hint="eastAsia"/>
        </w:rPr>
      </w:pPr>
      <w:r>
        <w:rPr>
          <w:rFonts w:hint="eastAsia"/>
        </w:rPr>
        <w:t xml:space="preserve">4.2.3 </w:t>
      </w:r>
      <w:r>
        <w:rPr>
          <w:rFonts w:hint="eastAsia" w:ascii="宋体" w:hAnsi="宋体"/>
        </w:rPr>
        <w:t>B</w:t>
      </w:r>
      <w:r>
        <w:rPr>
          <w:rFonts w:ascii="宋体" w:hAnsi="宋体"/>
        </w:rPr>
        <w:t>IM</w:t>
      </w:r>
      <w:r>
        <w:rPr>
          <w:rFonts w:hint="eastAsia" w:ascii="宋体" w:hAnsi="宋体"/>
        </w:rPr>
        <w:t>软件、数据集成与管理平台</w:t>
      </w:r>
      <w:r>
        <w:rPr>
          <w:rFonts w:ascii="宋体" w:hAnsi="宋体"/>
        </w:rPr>
        <w:t>宜符合所建工程项目业务特征</w:t>
      </w:r>
      <w:r>
        <w:rPr>
          <w:rFonts w:hint="eastAsia" w:ascii="宋体" w:hAnsi="宋体"/>
        </w:rPr>
        <w:t>。</w:t>
      </w:r>
    </w:p>
    <w:p>
      <w:pPr>
        <w:pStyle w:val="111"/>
        <w:spacing w:before="156" w:after="156"/>
        <w:rPr>
          <w:rFonts w:ascii="Times New Roman"/>
          <w:szCs w:val="21"/>
        </w:rPr>
      </w:pPr>
      <w:bookmarkStart w:id="55" w:name="_Toc167201542"/>
      <w:bookmarkStart w:id="56" w:name="_Toc168008275"/>
      <w:r>
        <w:rPr>
          <w:rFonts w:hint="eastAsia" w:hAnsi="黑体" w:cs="黑体"/>
        </w:rPr>
        <w:t>4</w:t>
      </w:r>
      <w:r>
        <w:rPr>
          <w:rFonts w:hAnsi="黑体" w:cs="黑体"/>
        </w:rPr>
        <w:t>.3 BIM实施要求</w:t>
      </w:r>
      <w:bookmarkEnd w:id="55"/>
      <w:bookmarkEnd w:id="56"/>
    </w:p>
    <w:p>
      <w:pPr>
        <w:pStyle w:val="171"/>
        <w:rPr>
          <w:rFonts w:hint="eastAsia"/>
        </w:rPr>
      </w:pPr>
      <w:r>
        <w:rPr>
          <w:rFonts w:hint="eastAsia"/>
        </w:rPr>
        <w:t>4</w:t>
      </w:r>
      <w:r>
        <w:t xml:space="preserve">.3.1 </w:t>
      </w:r>
      <w:r>
        <w:rPr>
          <w:rFonts w:ascii="宋体" w:hAnsi="宋体"/>
        </w:rPr>
        <w:t>项目BIM技术应用实施过程中，各参与方对BIM模型及BIM技术应用所承担的工作范围</w:t>
      </w:r>
      <w:r>
        <w:rPr>
          <w:rFonts w:hint="eastAsia" w:ascii="宋体" w:hAnsi="宋体"/>
        </w:rPr>
        <w:t>及职责</w:t>
      </w:r>
      <w:r>
        <w:rPr>
          <w:rFonts w:ascii="宋体" w:hAnsi="宋体"/>
        </w:rPr>
        <w:t>应与各参与方合同规定的项目承包范围和任务一致。</w:t>
      </w:r>
    </w:p>
    <w:p>
      <w:pPr>
        <w:pStyle w:val="171"/>
        <w:rPr>
          <w:rFonts w:hint="eastAsia"/>
        </w:rPr>
      </w:pPr>
      <w:r>
        <w:rPr>
          <w:rFonts w:hint="eastAsia"/>
        </w:rPr>
        <w:t>4</w:t>
      </w:r>
      <w:r>
        <w:t xml:space="preserve">.3.2 </w:t>
      </w:r>
      <w:r>
        <w:rPr>
          <w:rFonts w:ascii="宋体" w:hAnsi="宋体"/>
        </w:rPr>
        <w:t>项目BIM技术应用实施过程应与项目实施进度保持同步。</w:t>
      </w:r>
      <w:r>
        <w:rPr>
          <w:rFonts w:hint="eastAsia" w:ascii="宋体" w:hAnsi="宋体"/>
        </w:rPr>
        <w:t>实施</w:t>
      </w:r>
      <w:r>
        <w:rPr>
          <w:rFonts w:ascii="宋体" w:hAnsi="宋体"/>
        </w:rPr>
        <w:t>过程中BIM模型和相关成果应及时按规定节点更新。</w:t>
      </w:r>
    </w:p>
    <w:p>
      <w:pPr>
        <w:pStyle w:val="171"/>
        <w:rPr>
          <w:rFonts w:hint="eastAsia"/>
        </w:rPr>
      </w:pPr>
      <w:r>
        <w:rPr>
          <w:rFonts w:hint="eastAsia"/>
        </w:rPr>
        <w:t>4</w:t>
      </w:r>
      <w:r>
        <w:t xml:space="preserve">.3.3 </w:t>
      </w:r>
      <w:r>
        <w:rPr>
          <w:rFonts w:ascii="宋体" w:hAnsi="宋体"/>
        </w:rPr>
        <w:t>BIM</w:t>
      </w:r>
      <w:r>
        <w:rPr>
          <w:rFonts w:hint="eastAsia" w:ascii="宋体" w:hAnsi="宋体"/>
        </w:rPr>
        <w:t>技术</w:t>
      </w:r>
      <w:r>
        <w:rPr>
          <w:rFonts w:ascii="宋体" w:hAnsi="宋体"/>
        </w:rPr>
        <w:t>应用</w:t>
      </w:r>
      <w:r>
        <w:rPr>
          <w:rFonts w:hint="eastAsia" w:ascii="宋体" w:hAnsi="宋体"/>
        </w:rPr>
        <w:t>宜</w:t>
      </w:r>
      <w:r>
        <w:rPr>
          <w:rFonts w:ascii="宋体" w:hAnsi="宋体"/>
        </w:rPr>
        <w:t>贯穿于</w:t>
      </w:r>
      <w:r>
        <w:rPr>
          <w:rFonts w:hint="eastAsia" w:ascii="宋体" w:hAnsi="宋体"/>
        </w:rPr>
        <w:t>绿色建筑</w:t>
      </w:r>
      <w:r>
        <w:rPr>
          <w:rFonts w:ascii="宋体" w:hAnsi="宋体"/>
        </w:rPr>
        <w:t>全生命</w:t>
      </w:r>
      <w:r>
        <w:rPr>
          <w:rFonts w:hint="eastAsia" w:ascii="宋体" w:hAnsi="宋体"/>
        </w:rPr>
        <w:t>周</w:t>
      </w:r>
      <w:r>
        <w:rPr>
          <w:rFonts w:ascii="宋体" w:hAnsi="宋体"/>
        </w:rPr>
        <w:t>期</w:t>
      </w:r>
      <w:r>
        <w:rPr>
          <w:rFonts w:hint="eastAsia" w:ascii="宋体" w:hAnsi="宋体"/>
        </w:rPr>
        <w:t>，</w:t>
      </w:r>
      <w:r>
        <w:rPr>
          <w:rFonts w:ascii="宋体" w:hAnsi="宋体"/>
        </w:rPr>
        <w:t>实施单位可根据项目实际需求，选择实施相应</w:t>
      </w:r>
      <w:r>
        <w:rPr>
          <w:rFonts w:hint="eastAsia" w:ascii="宋体" w:hAnsi="宋体"/>
        </w:rPr>
        <w:t>的绿色建筑</w:t>
      </w:r>
      <w:r>
        <w:rPr>
          <w:rFonts w:ascii="宋体" w:hAnsi="宋体"/>
        </w:rPr>
        <w:t>BIM技术应用。</w:t>
      </w:r>
    </w:p>
    <w:p>
      <w:pPr>
        <w:pStyle w:val="110"/>
        <w:spacing w:before="312" w:after="312"/>
        <w:rPr>
          <w:szCs w:val="21"/>
        </w:rPr>
      </w:pPr>
      <w:r>
        <w:rPr>
          <w:rFonts w:ascii="Times New Roman"/>
          <w:sz w:val="28"/>
          <w:szCs w:val="28"/>
        </w:rPr>
        <w:br w:type="page"/>
      </w:r>
      <w:bookmarkStart w:id="57" w:name="_Toc168008276"/>
      <w:r>
        <w:rPr>
          <w:rFonts w:hint="eastAsia"/>
          <w:szCs w:val="21"/>
        </w:rPr>
        <w:t xml:space="preserve">5 </w:t>
      </w:r>
      <w:r>
        <w:rPr>
          <w:szCs w:val="21"/>
        </w:rPr>
        <w:t>全生命周期应用策划</w:t>
      </w:r>
      <w:bookmarkEnd w:id="57"/>
    </w:p>
    <w:p>
      <w:pPr>
        <w:pStyle w:val="111"/>
        <w:spacing w:before="156" w:after="156"/>
        <w:rPr>
          <w:rFonts w:hint="eastAsia" w:hAnsi="黑体" w:cs="黑体"/>
        </w:rPr>
      </w:pPr>
      <w:bookmarkStart w:id="58" w:name="_Toc167201544"/>
      <w:bookmarkStart w:id="59" w:name="_Toc168008277"/>
      <w:r>
        <w:rPr>
          <w:rFonts w:hint="eastAsia" w:hAnsi="黑体" w:cs="黑体"/>
        </w:rPr>
        <w:t>5</w:t>
      </w:r>
      <w:r>
        <w:rPr>
          <w:rFonts w:hAnsi="黑体" w:cs="黑体"/>
        </w:rPr>
        <w:t>.1 一般规定</w:t>
      </w:r>
      <w:bookmarkEnd w:id="58"/>
      <w:bookmarkEnd w:id="59"/>
    </w:p>
    <w:p>
      <w:pPr>
        <w:pStyle w:val="171"/>
        <w:rPr>
          <w:rFonts w:hint="eastAsia"/>
        </w:rPr>
      </w:pPr>
      <w:r>
        <w:rPr>
          <w:rFonts w:hint="eastAsia"/>
        </w:rPr>
        <w:t>5</w:t>
      </w:r>
      <w:r>
        <w:t>.1.1 建设单位宜在立项阶段组织编制绿色建筑信息模型全生命周期应用策划方案，项目各参与方</w:t>
      </w:r>
      <w:r>
        <w:rPr>
          <w:rFonts w:hint="eastAsia"/>
        </w:rPr>
        <w:t>应</w:t>
      </w:r>
      <w:r>
        <w:t>遵照执行。</w:t>
      </w:r>
    </w:p>
    <w:p>
      <w:pPr>
        <w:pStyle w:val="171"/>
        <w:rPr>
          <w:rFonts w:hint="eastAsia"/>
        </w:rPr>
      </w:pPr>
      <w:r>
        <w:rPr>
          <w:rFonts w:hint="eastAsia"/>
        </w:rPr>
        <w:t>5</w:t>
      </w:r>
      <w:r>
        <w:t xml:space="preserve">.1.2 </w:t>
      </w:r>
      <w:r>
        <w:rPr>
          <w:rFonts w:hint="eastAsia"/>
        </w:rPr>
        <w:t>绿色建筑</w:t>
      </w:r>
      <w:r>
        <w:t>信息模型全生命周期应用策划方案应包括总体应用目标、各阶段应用内容</w:t>
      </w:r>
      <w:r>
        <w:rPr>
          <w:rFonts w:hint="eastAsia"/>
        </w:rPr>
        <w:t>、</w:t>
      </w:r>
      <w:r>
        <w:t>应用组织、应用范围、应用流程及模型相关要求等。</w:t>
      </w:r>
    </w:p>
    <w:p>
      <w:pPr>
        <w:pStyle w:val="171"/>
        <w:rPr>
          <w:rFonts w:hint="eastAsia"/>
        </w:rPr>
      </w:pPr>
      <w:r>
        <w:rPr>
          <w:rFonts w:hint="eastAsia"/>
        </w:rPr>
        <w:t>5</w:t>
      </w:r>
      <w:r>
        <w:t xml:space="preserve">.1.3 </w:t>
      </w:r>
      <w:r>
        <w:rPr>
          <w:rFonts w:hint="eastAsia"/>
        </w:rPr>
        <w:t>绿色建筑</w:t>
      </w:r>
      <w:r>
        <w:t>信息模型应用策划方案应根据实际情况对</w:t>
      </w:r>
      <w:r>
        <w:rPr>
          <w:rFonts w:hint="eastAsia"/>
        </w:rPr>
        <w:t>项目</w:t>
      </w:r>
      <w:r>
        <w:t>全过程</w:t>
      </w:r>
      <w:r>
        <w:rPr>
          <w:rFonts w:hint="eastAsia"/>
        </w:rPr>
        <w:t>和</w:t>
      </w:r>
      <w:r>
        <w:t>全要素进行统筹。</w:t>
      </w:r>
    </w:p>
    <w:p>
      <w:pPr>
        <w:pStyle w:val="111"/>
        <w:spacing w:before="156" w:after="156"/>
        <w:rPr>
          <w:rFonts w:ascii="Times New Roman"/>
          <w:szCs w:val="21"/>
        </w:rPr>
      </w:pPr>
      <w:bookmarkStart w:id="60" w:name="_Toc167201545"/>
      <w:bookmarkStart w:id="61" w:name="_Toc168008278"/>
      <w:bookmarkStart w:id="62" w:name="_Hlk134030884"/>
      <w:r>
        <w:rPr>
          <w:rFonts w:hint="eastAsia" w:hAnsi="黑体" w:cs="黑体"/>
        </w:rPr>
        <w:t>5</w:t>
      </w:r>
      <w:r>
        <w:rPr>
          <w:rFonts w:hAnsi="黑体" w:cs="黑体"/>
        </w:rPr>
        <w:t>.2 应用目标</w:t>
      </w:r>
      <w:bookmarkEnd w:id="60"/>
      <w:bookmarkEnd w:id="61"/>
    </w:p>
    <w:p>
      <w:pPr>
        <w:pStyle w:val="171"/>
        <w:rPr>
          <w:rFonts w:hint="eastAsia"/>
        </w:rPr>
      </w:pPr>
      <w:r>
        <w:rPr>
          <w:rFonts w:hint="eastAsia"/>
        </w:rPr>
        <w:t xml:space="preserve">5.2.1 </w:t>
      </w:r>
      <w:r>
        <w:rPr>
          <w:rFonts w:hint="eastAsia" w:ascii="宋体" w:hAnsi="宋体"/>
        </w:rPr>
        <w:t>绿色建筑信息模型应用目标应根据江苏省绿色建筑在项目管理、设计管理、施工管理、运维管理的BIM技术应用需求，规范项目实施过程中BIM技术应用行为，实现BIM模型设计应用、施工管理和运维管理的规范化、标准化应用。</w:t>
      </w:r>
    </w:p>
    <w:p>
      <w:pPr>
        <w:pStyle w:val="171"/>
        <w:rPr>
          <w:rFonts w:hint="eastAsia"/>
        </w:rPr>
      </w:pPr>
      <w:r>
        <w:rPr>
          <w:rFonts w:hint="eastAsia"/>
        </w:rPr>
        <w:t>5.2.2</w:t>
      </w:r>
      <w:r>
        <w:t xml:space="preserve"> </w:t>
      </w:r>
      <w:r>
        <w:rPr>
          <w:rFonts w:ascii="宋体" w:hAnsi="宋体"/>
        </w:rPr>
        <w:t>BIM</w:t>
      </w:r>
      <w:r>
        <w:rPr>
          <w:rFonts w:hint="eastAsia" w:ascii="宋体" w:hAnsi="宋体"/>
        </w:rPr>
        <w:t>全生命周期策划应以设计应用、施工应用和运维应用的模型信息传递为核心，充分考虑建设绿色建筑的目标，对B</w:t>
      </w:r>
      <w:r>
        <w:rPr>
          <w:rFonts w:ascii="宋体" w:hAnsi="宋体"/>
        </w:rPr>
        <w:t>IM</w:t>
      </w:r>
      <w:r>
        <w:rPr>
          <w:rFonts w:hint="eastAsia" w:ascii="宋体" w:hAnsi="宋体"/>
        </w:rPr>
        <w:t>模型信息进行规定，明确模型信息要求，检验BIM成果，推进江苏省绿色建筑BIM技术应用和实践。</w:t>
      </w:r>
    </w:p>
    <w:p>
      <w:pPr>
        <w:pStyle w:val="171"/>
        <w:rPr>
          <w:rFonts w:hint="eastAsia"/>
        </w:rPr>
      </w:pPr>
      <w:r>
        <w:rPr>
          <w:rFonts w:hint="eastAsia"/>
        </w:rPr>
        <w:t xml:space="preserve">5.2.3 </w:t>
      </w:r>
      <w:r>
        <w:rPr>
          <w:rFonts w:ascii="宋体" w:hAnsi="宋体"/>
        </w:rPr>
        <w:t>在</w:t>
      </w:r>
      <w:r>
        <w:rPr>
          <w:rFonts w:hint="eastAsia" w:ascii="宋体" w:hAnsi="宋体"/>
        </w:rPr>
        <w:t>绿色</w:t>
      </w:r>
      <w:r>
        <w:rPr>
          <w:rFonts w:ascii="宋体" w:hAnsi="宋体"/>
        </w:rPr>
        <w:t>建筑全生命</w:t>
      </w:r>
      <w:r>
        <w:rPr>
          <w:rFonts w:hint="eastAsia" w:ascii="宋体" w:hAnsi="宋体"/>
        </w:rPr>
        <w:t>周期</w:t>
      </w:r>
      <w:r>
        <w:rPr>
          <w:rFonts w:ascii="宋体" w:hAnsi="宋体"/>
        </w:rPr>
        <w:t>的BIM应用过程中，</w:t>
      </w:r>
      <w:r>
        <w:rPr>
          <w:rFonts w:hint="eastAsia" w:ascii="宋体" w:hAnsi="宋体"/>
        </w:rPr>
        <w:t>应</w:t>
      </w:r>
      <w:r>
        <w:rPr>
          <w:rFonts w:ascii="宋体" w:hAnsi="宋体"/>
        </w:rPr>
        <w:t>建立</w:t>
      </w:r>
      <w:r>
        <w:rPr>
          <w:rFonts w:hint="eastAsia" w:ascii="宋体" w:hAnsi="宋体"/>
        </w:rPr>
        <w:t>各阶段</w:t>
      </w:r>
      <w:r>
        <w:rPr>
          <w:rFonts w:ascii="宋体" w:hAnsi="宋体"/>
        </w:rPr>
        <w:t>模型共享与交换机制，保证模型数据能够在不同阶段之间进行有效传递</w:t>
      </w:r>
      <w:r>
        <w:rPr>
          <w:rFonts w:hint="eastAsia" w:ascii="宋体" w:hAnsi="宋体"/>
        </w:rPr>
        <w:t>和应用。</w:t>
      </w:r>
    </w:p>
    <w:p>
      <w:pPr>
        <w:pStyle w:val="171"/>
        <w:rPr>
          <w:rFonts w:hint="eastAsia"/>
        </w:rPr>
      </w:pPr>
      <w:r>
        <w:rPr>
          <w:rFonts w:hint="eastAsia"/>
        </w:rPr>
        <w:t>5.2.4 设计阶段应根据总体应用目标，结合项目实际情况，进行技术经济可行性分析，明确项目绿色设计关键指标，明确绿色建筑星级水平、设计阶段建筑碳减排量。</w:t>
      </w:r>
    </w:p>
    <w:p>
      <w:pPr>
        <w:pStyle w:val="171"/>
        <w:rPr>
          <w:rFonts w:hint="eastAsia"/>
        </w:rPr>
      </w:pPr>
      <w:r>
        <w:rPr>
          <w:rFonts w:hint="eastAsia"/>
        </w:rPr>
        <w:t xml:space="preserve">5.2.5 </w:t>
      </w:r>
      <w:r>
        <w:rPr>
          <w:rFonts w:hint="eastAsia" w:ascii="宋体" w:hAnsi="宋体"/>
        </w:rPr>
        <w:t>施工阶段应根据《建筑与市政工程绿色施工评价标准》GB/T 50640中的优良级别，明确项目绿色施工关键指标、施工碳减排量，围绕施工管理、环境保护与节约资源等方面确定实施计划和保障方案。</w:t>
      </w:r>
    </w:p>
    <w:p>
      <w:pPr>
        <w:pStyle w:val="111"/>
        <w:spacing w:before="156" w:after="156"/>
        <w:rPr>
          <w:rFonts w:ascii="Times New Roman"/>
          <w:szCs w:val="21"/>
        </w:rPr>
      </w:pPr>
      <w:bookmarkStart w:id="63" w:name="_Toc167201546"/>
      <w:bookmarkStart w:id="64" w:name="_Toc168008279"/>
      <w:r>
        <w:rPr>
          <w:rFonts w:hint="eastAsia" w:hAnsi="黑体" w:cs="黑体"/>
        </w:rPr>
        <w:t>5</w:t>
      </w:r>
      <w:r>
        <w:rPr>
          <w:rFonts w:hAnsi="黑体" w:cs="黑体"/>
        </w:rPr>
        <w:t>.3 应用组织</w:t>
      </w:r>
      <w:bookmarkEnd w:id="63"/>
      <w:bookmarkEnd w:id="64"/>
    </w:p>
    <w:bookmarkEnd w:id="62"/>
    <w:p>
      <w:pPr>
        <w:pStyle w:val="171"/>
        <w:rPr>
          <w:rFonts w:hint="eastAsia"/>
        </w:rPr>
      </w:pPr>
      <w:r>
        <w:rPr>
          <w:rFonts w:hint="eastAsia"/>
        </w:rPr>
        <w:t>5</w:t>
      </w:r>
      <w:r>
        <w:t xml:space="preserve">.3.1 </w:t>
      </w:r>
      <w:r>
        <w:rPr>
          <w:rFonts w:hint="eastAsia"/>
        </w:rPr>
        <w:t>绿色建筑信息模型全生命周期应用策划</w:t>
      </w:r>
      <w:r>
        <w:t>应明确规定项目各参与单位的职责和工作边界。</w:t>
      </w:r>
    </w:p>
    <w:p>
      <w:pPr>
        <w:pStyle w:val="171"/>
        <w:rPr>
          <w:rFonts w:hint="eastAsia"/>
        </w:rPr>
      </w:pPr>
      <w:r>
        <w:rPr>
          <w:rFonts w:hint="eastAsia"/>
        </w:rPr>
        <w:t>5</w:t>
      </w:r>
      <w:r>
        <w:t xml:space="preserve">.3.2 </w:t>
      </w:r>
      <w:r>
        <w:rPr>
          <w:rFonts w:ascii="宋体" w:hAnsi="宋体"/>
        </w:rPr>
        <w:t>建设单位</w:t>
      </w:r>
      <w:r>
        <w:rPr>
          <w:rFonts w:hint="eastAsia" w:ascii="宋体" w:hAnsi="宋体"/>
        </w:rPr>
        <w:t>应</w:t>
      </w:r>
      <w:r>
        <w:rPr>
          <w:rFonts w:ascii="宋体" w:hAnsi="宋体"/>
        </w:rPr>
        <w:t>组织策划项目</w:t>
      </w:r>
      <w:r>
        <w:rPr>
          <w:rFonts w:hint="eastAsia" w:ascii="宋体" w:hAnsi="宋体"/>
        </w:rPr>
        <w:t>绿色建筑信息模型应用</w:t>
      </w:r>
      <w:r>
        <w:rPr>
          <w:rFonts w:ascii="宋体" w:hAnsi="宋体"/>
        </w:rPr>
        <w:t>的实施策略；组织各参与单位</w:t>
      </w:r>
      <w:r>
        <w:rPr>
          <w:rFonts w:hint="eastAsia" w:ascii="宋体" w:hAnsi="宋体"/>
        </w:rPr>
        <w:t>制定</w:t>
      </w:r>
      <w:r>
        <w:rPr>
          <w:rFonts w:ascii="宋体" w:hAnsi="宋体"/>
        </w:rPr>
        <w:t>BIM技术应用标准与管理办法；组织制定BIM交付成果审核流程，对各阶段、各参与单位的BIM交付成果进行审核和管理。</w:t>
      </w:r>
    </w:p>
    <w:p>
      <w:pPr>
        <w:pStyle w:val="171"/>
        <w:rPr>
          <w:rFonts w:hint="eastAsia"/>
        </w:rPr>
      </w:pPr>
      <w:r>
        <w:rPr>
          <w:rFonts w:hint="eastAsia"/>
        </w:rPr>
        <w:t>5</w:t>
      </w:r>
      <w:r>
        <w:t xml:space="preserve">.3.3 </w:t>
      </w:r>
      <w:r>
        <w:rPr>
          <w:rFonts w:ascii="宋体" w:hAnsi="宋体"/>
        </w:rPr>
        <w:t>设计单位</w:t>
      </w:r>
      <w:r>
        <w:rPr>
          <w:rFonts w:hint="eastAsia" w:ascii="宋体" w:hAnsi="宋体"/>
        </w:rPr>
        <w:t>应</w:t>
      </w:r>
      <w:r>
        <w:rPr>
          <w:rFonts w:ascii="宋体" w:hAnsi="宋体"/>
        </w:rPr>
        <w:t>根据BIM技术应用标准，</w:t>
      </w:r>
      <w:r>
        <w:rPr>
          <w:rFonts w:hint="eastAsia" w:ascii="宋体" w:hAnsi="宋体"/>
        </w:rPr>
        <w:t>设计并</w:t>
      </w:r>
      <w:r>
        <w:rPr>
          <w:rFonts w:ascii="宋体" w:hAnsi="宋体"/>
        </w:rPr>
        <w:t>创建设计阶段</w:t>
      </w:r>
      <w:r>
        <w:rPr>
          <w:rFonts w:hint="eastAsia" w:ascii="宋体" w:hAnsi="宋体"/>
        </w:rPr>
        <w:t>B</w:t>
      </w:r>
      <w:r>
        <w:rPr>
          <w:rFonts w:ascii="宋体" w:hAnsi="宋体"/>
        </w:rPr>
        <w:t>IM模型</w:t>
      </w:r>
      <w:r>
        <w:rPr>
          <w:rFonts w:hint="eastAsia" w:ascii="宋体" w:hAnsi="宋体"/>
        </w:rPr>
        <w:t>；</w:t>
      </w:r>
      <w:r>
        <w:rPr>
          <w:rFonts w:ascii="宋体" w:hAnsi="宋体"/>
        </w:rPr>
        <w:t>以建设单位批准的方案作为BIM工作依据</w:t>
      </w:r>
      <w:r>
        <w:rPr>
          <w:rFonts w:hint="eastAsia" w:ascii="宋体" w:hAnsi="宋体"/>
        </w:rPr>
        <w:t>，</w:t>
      </w:r>
      <w:r>
        <w:rPr>
          <w:rFonts w:ascii="宋体" w:hAnsi="宋体"/>
        </w:rPr>
        <w:t>编制工程项目设计方案，征求相关单位意见和建议。</w:t>
      </w:r>
    </w:p>
    <w:p>
      <w:pPr>
        <w:pStyle w:val="171"/>
        <w:rPr>
          <w:rFonts w:hint="eastAsia"/>
        </w:rPr>
      </w:pPr>
      <w:r>
        <w:rPr>
          <w:rFonts w:hint="eastAsia"/>
        </w:rPr>
        <w:t>5</w:t>
      </w:r>
      <w:r>
        <w:t xml:space="preserve">.3.4 </w:t>
      </w:r>
      <w:r>
        <w:rPr>
          <w:rFonts w:ascii="宋体" w:hAnsi="宋体"/>
        </w:rPr>
        <w:t>施工单位</w:t>
      </w:r>
      <w:r>
        <w:rPr>
          <w:rFonts w:hint="eastAsia" w:ascii="宋体" w:hAnsi="宋体"/>
        </w:rPr>
        <w:t>应</w:t>
      </w:r>
      <w:r>
        <w:rPr>
          <w:rFonts w:ascii="宋体" w:hAnsi="宋体"/>
        </w:rPr>
        <w:t>结合工程项目设计方案、施工工法及项目管理要求完善设计阶段模型，形成施工阶段</w:t>
      </w:r>
      <w:r>
        <w:rPr>
          <w:rFonts w:hint="eastAsia" w:ascii="宋体" w:hAnsi="宋体"/>
        </w:rPr>
        <w:t>B</w:t>
      </w:r>
      <w:r>
        <w:rPr>
          <w:rFonts w:ascii="宋体" w:hAnsi="宋体"/>
        </w:rPr>
        <w:t>IM模型；利用施工阶段</w:t>
      </w:r>
      <w:r>
        <w:rPr>
          <w:rFonts w:hint="eastAsia" w:ascii="宋体" w:hAnsi="宋体"/>
        </w:rPr>
        <w:t>B</w:t>
      </w:r>
      <w:r>
        <w:rPr>
          <w:rFonts w:ascii="宋体" w:hAnsi="宋体"/>
        </w:rPr>
        <w:t>IM模型完善施工方案、指导现场施工；利用BIM技术对施工进度、质量、安全和成本等进行管理</w:t>
      </w:r>
      <w:r>
        <w:rPr>
          <w:rFonts w:hint="eastAsia" w:ascii="宋体" w:hAnsi="宋体"/>
        </w:rPr>
        <w:t>。</w:t>
      </w:r>
    </w:p>
    <w:p>
      <w:pPr>
        <w:pStyle w:val="171"/>
        <w:rPr>
          <w:rFonts w:hint="eastAsia"/>
        </w:rPr>
      </w:pPr>
      <w:r>
        <w:rPr>
          <w:rFonts w:hint="eastAsia"/>
        </w:rPr>
        <w:t>5</w:t>
      </w:r>
      <w:r>
        <w:t xml:space="preserve">.3.5 </w:t>
      </w:r>
      <w:r>
        <w:rPr>
          <w:rFonts w:hint="eastAsia" w:ascii="宋体" w:hAnsi="宋体"/>
        </w:rPr>
        <w:t>运维</w:t>
      </w:r>
      <w:r>
        <w:rPr>
          <w:rFonts w:ascii="宋体" w:hAnsi="宋体"/>
        </w:rPr>
        <w:t>单位</w:t>
      </w:r>
      <w:r>
        <w:rPr>
          <w:rFonts w:hint="eastAsia" w:ascii="宋体" w:hAnsi="宋体"/>
        </w:rPr>
        <w:t>应</w:t>
      </w:r>
      <w:r>
        <w:rPr>
          <w:rFonts w:ascii="宋体" w:hAnsi="宋体"/>
        </w:rPr>
        <w:t>接收工程项目竣工</w:t>
      </w:r>
      <w:r>
        <w:rPr>
          <w:rFonts w:hint="eastAsia" w:ascii="宋体" w:hAnsi="宋体"/>
        </w:rPr>
        <w:t>验收</w:t>
      </w:r>
      <w:r>
        <w:rPr>
          <w:rFonts w:ascii="宋体" w:hAnsi="宋体"/>
        </w:rPr>
        <w:t>模型，并完善</w:t>
      </w:r>
      <w:r>
        <w:rPr>
          <w:rFonts w:hint="eastAsia" w:ascii="宋体" w:hAnsi="宋体"/>
        </w:rPr>
        <w:t>形成</w:t>
      </w:r>
      <w:r>
        <w:rPr>
          <w:rFonts w:ascii="宋体" w:hAnsi="宋体"/>
        </w:rPr>
        <w:t>运维</w:t>
      </w:r>
      <w:r>
        <w:rPr>
          <w:rFonts w:hint="eastAsia" w:ascii="宋体" w:hAnsi="宋体"/>
        </w:rPr>
        <w:t>阶段</w:t>
      </w:r>
      <w:r>
        <w:rPr>
          <w:rFonts w:ascii="宋体" w:hAnsi="宋体"/>
        </w:rPr>
        <w:t>BIM模型，保证其正确性和完整性；利用运维BIM模型进行资产、空间和能源等的日常管理，并对BIM模型进行深化、更新和维护，保持适用性</w:t>
      </w:r>
      <w:r>
        <w:rPr>
          <w:rFonts w:hint="eastAsia" w:ascii="宋体" w:hAnsi="宋体"/>
        </w:rPr>
        <w:t>；</w:t>
      </w:r>
      <w:r>
        <w:rPr>
          <w:rFonts w:ascii="宋体" w:hAnsi="宋体"/>
        </w:rPr>
        <w:t>搭建基于BIM技术的</w:t>
      </w:r>
      <w:r>
        <w:rPr>
          <w:rFonts w:hint="eastAsia" w:ascii="宋体" w:hAnsi="宋体"/>
        </w:rPr>
        <w:t>绿色建筑</w:t>
      </w:r>
      <w:r>
        <w:rPr>
          <w:rFonts w:ascii="宋体" w:hAnsi="宋体"/>
        </w:rPr>
        <w:t>运维管理平台，实现</w:t>
      </w:r>
      <w:r>
        <w:rPr>
          <w:rFonts w:hint="eastAsia" w:ascii="宋体" w:hAnsi="宋体"/>
        </w:rPr>
        <w:t>信息化运维管理。</w:t>
      </w:r>
    </w:p>
    <w:p>
      <w:pPr>
        <w:pStyle w:val="111"/>
        <w:spacing w:before="156" w:after="156"/>
        <w:rPr>
          <w:rFonts w:hint="eastAsia" w:hAnsi="黑体" w:cs="黑体"/>
        </w:rPr>
      </w:pPr>
      <w:bookmarkStart w:id="65" w:name="_Toc167201547"/>
      <w:bookmarkStart w:id="66" w:name="_Toc168008280"/>
      <w:bookmarkStart w:id="67" w:name="_Hlk134031015"/>
      <w:r>
        <w:rPr>
          <w:rFonts w:hint="eastAsia" w:hAnsi="黑体" w:cs="黑体"/>
        </w:rPr>
        <w:t>5</w:t>
      </w:r>
      <w:r>
        <w:rPr>
          <w:rFonts w:hAnsi="黑体" w:cs="黑体"/>
        </w:rPr>
        <w:t>.4 应用流程</w:t>
      </w:r>
      <w:bookmarkEnd w:id="65"/>
      <w:bookmarkEnd w:id="66"/>
    </w:p>
    <w:bookmarkEnd w:id="67"/>
    <w:p>
      <w:pPr>
        <w:pStyle w:val="171"/>
        <w:rPr>
          <w:rFonts w:hint="eastAsia"/>
        </w:rPr>
      </w:pPr>
      <w:r>
        <w:rPr>
          <w:rFonts w:hint="eastAsia"/>
        </w:rPr>
        <w:t>5</w:t>
      </w:r>
      <w:r>
        <w:t xml:space="preserve">.4.1 </w:t>
      </w:r>
      <w:r>
        <w:rPr>
          <w:rFonts w:hint="eastAsia" w:ascii="宋体" w:hAnsi="宋体"/>
        </w:rPr>
        <w:t>绿色建筑信息模型全生命周期包含设计阶段、施工阶段、运维阶段，应通过B</w:t>
      </w:r>
      <w:r>
        <w:rPr>
          <w:rFonts w:ascii="宋体" w:hAnsi="宋体"/>
        </w:rPr>
        <w:t>IM</w:t>
      </w:r>
      <w:r>
        <w:rPr>
          <w:rFonts w:hint="eastAsia" w:ascii="宋体" w:hAnsi="宋体"/>
        </w:rPr>
        <w:t>模型将建筑信息数据从设计阶段完整传递到施工阶段、运维阶段，各阶段信息数据应分别集成在施工图信息模型、竣工信息模型和运维信息模型上。</w:t>
      </w:r>
    </w:p>
    <w:p>
      <w:pPr>
        <w:pStyle w:val="171"/>
        <w:rPr>
          <w:rFonts w:hint="eastAsia"/>
        </w:rPr>
      </w:pPr>
      <w:r>
        <w:rPr>
          <w:rFonts w:hint="eastAsia"/>
        </w:rPr>
        <w:t xml:space="preserve">5.4.2 </w:t>
      </w:r>
      <w:r>
        <w:rPr>
          <w:rFonts w:hint="eastAsia" w:ascii="宋体" w:hAnsi="宋体"/>
        </w:rPr>
        <w:t>绿色建筑信息模型全生命周期具体应用流程宜遵循图1所示流程。</w:t>
      </w:r>
    </w:p>
    <w:p>
      <w:pPr>
        <w:pStyle w:val="171"/>
        <w:spacing w:before="156" w:beforeLines="50" w:after="156" w:afterLines="50"/>
        <w:jc w:val="center"/>
        <w:rPr>
          <w:rFonts w:hint="eastAsia"/>
        </w:rPr>
      </w:pPr>
      <w:r>
        <w:drawing>
          <wp:inline distT="0" distB="0" distL="0" distR="0">
            <wp:extent cx="4772660" cy="7666355"/>
            <wp:effectExtent l="0" t="0" r="0" b="0"/>
            <wp:docPr id="1407260001" name="图片 4" descr="f61c0e36bdf10135208704d484139487_8499398c49d4da591b86359b38c4803b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60001" name="图片 4" descr="f61c0e36bdf10135208704d484139487_8499398c49d4da591b86359b38c4803b_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780605" cy="7679161"/>
                    </a:xfrm>
                    <a:prstGeom prst="rect">
                      <a:avLst/>
                    </a:prstGeom>
                    <a:noFill/>
                    <a:ln>
                      <a:noFill/>
                    </a:ln>
                    <a:effectLst/>
                  </pic:spPr>
                </pic:pic>
              </a:graphicData>
            </a:graphic>
          </wp:inline>
        </w:drawing>
      </w:r>
    </w:p>
    <w:p>
      <w:pPr>
        <w:pStyle w:val="13"/>
        <w:spacing w:before="156" w:beforeLines="50" w:after="156" w:afterLines="50"/>
        <w:jc w:val="center"/>
        <w:rPr>
          <w:rFonts w:hint="eastAsia" w:ascii="黑体" w:hAnsi="黑体"/>
        </w:rPr>
      </w:pPr>
      <w:bookmarkStart w:id="68" w:name="_Toc168097889"/>
      <w:bookmarkStart w:id="69" w:name="_Toc174544022"/>
      <w:bookmarkStart w:id="70" w:name="_Toc174544079"/>
      <w:r>
        <w:rPr>
          <w:rFonts w:hint="eastAsia" w:ascii="黑体" w:hAnsi="黑体"/>
          <w:sz w:val="21"/>
          <w:szCs w:val="21"/>
        </w:rPr>
        <w:t>图</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图</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w:t>
      </w:r>
      <w:r>
        <w:rPr>
          <w:rFonts w:ascii="黑体" w:hAnsi="黑体"/>
          <w:sz w:val="21"/>
          <w:szCs w:val="21"/>
        </w:rPr>
        <w:fldChar w:fldCharType="end"/>
      </w:r>
      <w:r>
        <w:rPr>
          <w:rFonts w:ascii="黑体" w:hAnsi="黑体"/>
          <w:sz w:val="21"/>
          <w:szCs w:val="21"/>
        </w:rPr>
        <w:t xml:space="preserve"> </w:t>
      </w:r>
      <w:r>
        <w:rPr>
          <w:rFonts w:hint="eastAsia" w:ascii="黑体" w:hAnsi="黑体"/>
          <w:sz w:val="21"/>
          <w:szCs w:val="21"/>
        </w:rPr>
        <w:t>绿色建筑信息模型全生命周期具体应用流程</w:t>
      </w:r>
      <w:bookmarkEnd w:id="68"/>
      <w:bookmarkEnd w:id="69"/>
      <w:bookmarkEnd w:id="70"/>
    </w:p>
    <w:p>
      <w:pPr>
        <w:pStyle w:val="110"/>
        <w:spacing w:before="312" w:after="312"/>
        <w:rPr>
          <w:rFonts w:ascii="Times New Roman"/>
          <w:sz w:val="28"/>
          <w:szCs w:val="28"/>
        </w:rPr>
      </w:pPr>
      <w:bookmarkStart w:id="71" w:name="_Toc167201548"/>
      <w:r>
        <w:rPr>
          <w:rFonts w:ascii="Times New Roman"/>
          <w:sz w:val="28"/>
          <w:szCs w:val="28"/>
        </w:rPr>
        <w:br w:type="page"/>
      </w:r>
      <w:bookmarkStart w:id="72" w:name="_Toc168008281"/>
      <w:r>
        <w:rPr>
          <w:rFonts w:hint="eastAsia"/>
          <w:szCs w:val="21"/>
        </w:rPr>
        <w:t>6 模型规定</w:t>
      </w:r>
      <w:bookmarkEnd w:id="71"/>
      <w:bookmarkEnd w:id="72"/>
    </w:p>
    <w:p>
      <w:pPr>
        <w:pStyle w:val="111"/>
        <w:spacing w:before="156" w:after="156"/>
        <w:rPr>
          <w:rFonts w:hint="eastAsia" w:hAnsi="黑体" w:cs="黑体"/>
        </w:rPr>
      </w:pPr>
      <w:bookmarkStart w:id="73" w:name="_Toc167201549"/>
      <w:bookmarkStart w:id="74" w:name="_Toc168008282"/>
      <w:r>
        <w:rPr>
          <w:rFonts w:hint="eastAsia" w:hAnsi="黑体" w:cs="黑体"/>
        </w:rPr>
        <w:t>6</w:t>
      </w:r>
      <w:r>
        <w:rPr>
          <w:rFonts w:hAnsi="黑体" w:cs="黑体"/>
        </w:rPr>
        <w:t>.1 一般规定</w:t>
      </w:r>
      <w:bookmarkEnd w:id="73"/>
      <w:bookmarkEnd w:id="74"/>
    </w:p>
    <w:p>
      <w:pPr>
        <w:pStyle w:val="171"/>
        <w:rPr>
          <w:rFonts w:hint="eastAsia"/>
        </w:rPr>
      </w:pPr>
      <w:r>
        <w:rPr>
          <w:rFonts w:hint="eastAsia"/>
        </w:rPr>
        <w:t>6.1.</w:t>
      </w:r>
      <w:r>
        <w:t>1</w:t>
      </w:r>
      <w:r>
        <w:rPr>
          <w:rFonts w:hint="eastAsia"/>
        </w:rPr>
        <w:t xml:space="preserve"> </w:t>
      </w:r>
      <w:r>
        <w:rPr>
          <w:rFonts w:hint="eastAsia" w:ascii="宋体" w:hAnsi="宋体"/>
        </w:rPr>
        <w:t>BIM模型在生产和应用过程中，应保障模型信息安全，并符合国家与行业信息安全的相关标准规定。</w:t>
      </w:r>
    </w:p>
    <w:p>
      <w:pPr>
        <w:pStyle w:val="171"/>
        <w:rPr>
          <w:rFonts w:hint="eastAsia"/>
        </w:rPr>
      </w:pPr>
      <w:r>
        <w:rPr>
          <w:rFonts w:hint="eastAsia"/>
        </w:rPr>
        <w:t>6.1.</w:t>
      </w:r>
      <w:r>
        <w:t>2</w:t>
      </w:r>
      <w:r>
        <w:rPr>
          <w:rFonts w:hint="eastAsia"/>
        </w:rPr>
        <w:t xml:space="preserve"> </w:t>
      </w:r>
      <w:r>
        <w:rPr>
          <w:rFonts w:hint="eastAsia" w:ascii="宋体" w:hAnsi="宋体"/>
        </w:rPr>
        <w:t>BIM模型及其信息成果应充分反映绿色建筑的控制指标和技术措施，并应具有优化功能和可扩展性，模型数据传递应具备连续性和可追溯性。</w:t>
      </w:r>
    </w:p>
    <w:p>
      <w:pPr>
        <w:pStyle w:val="171"/>
        <w:rPr>
          <w:rFonts w:hint="eastAsia"/>
        </w:rPr>
      </w:pPr>
      <w:r>
        <w:rPr>
          <w:rFonts w:hint="eastAsia"/>
        </w:rPr>
        <w:t xml:space="preserve">6.1.3 </w:t>
      </w:r>
      <w:r>
        <w:rPr>
          <w:rFonts w:hint="eastAsia" w:ascii="宋体" w:hAnsi="宋体"/>
        </w:rPr>
        <w:t>BIM模型在全生命周期的应用阶段应包括设计阶段、施工阶段和运维阶段，并应满足下列要求：</w:t>
      </w:r>
    </w:p>
    <w:p>
      <w:pPr>
        <w:pStyle w:val="180"/>
        <w:numPr>
          <w:ilvl w:val="0"/>
          <w:numId w:val="32"/>
        </w:numPr>
        <w:tabs>
          <w:tab w:val="left" w:pos="851"/>
        </w:tabs>
        <w:ind w:left="840" w:leftChars="200" w:hanging="420" w:hangingChars="200"/>
        <w:rPr>
          <w:rFonts w:hint="eastAsia" w:hAnsi="宋体"/>
        </w:rPr>
      </w:pPr>
      <w:r>
        <w:rPr>
          <w:rFonts w:hint="eastAsia" w:hAnsi="宋体"/>
        </w:rPr>
        <w:t>设计阶段应分为方案设计、初步设计、施工图设计、深化设计四个阶段，并应在各个阶段确保BIM模型满足对应精细度要求；</w:t>
      </w:r>
    </w:p>
    <w:p>
      <w:pPr>
        <w:pStyle w:val="180"/>
        <w:numPr>
          <w:ilvl w:val="0"/>
          <w:numId w:val="32"/>
        </w:numPr>
        <w:tabs>
          <w:tab w:val="left" w:pos="851"/>
        </w:tabs>
        <w:ind w:left="840" w:leftChars="200" w:hanging="420" w:hangingChars="200"/>
        <w:rPr>
          <w:rFonts w:hint="eastAsia" w:hAnsi="宋体"/>
        </w:rPr>
      </w:pPr>
      <w:r>
        <w:rPr>
          <w:rFonts w:hint="eastAsia" w:hAnsi="宋体"/>
        </w:rPr>
        <w:t>施工阶段的BIM模型应基于</w:t>
      </w:r>
      <w:r>
        <w:rPr>
          <w:rFonts w:hAnsi="宋体"/>
        </w:rPr>
        <w:t>施工图设计模型或深化设计模型</w:t>
      </w:r>
      <w:r>
        <w:rPr>
          <w:rFonts w:hint="eastAsia" w:hAnsi="宋体"/>
        </w:rPr>
        <w:t>创建，通过附加</w:t>
      </w:r>
      <w:r>
        <w:rPr>
          <w:rFonts w:hAnsi="宋体"/>
        </w:rPr>
        <w:t>模型元素及信息</w:t>
      </w:r>
      <w:r>
        <w:rPr>
          <w:rFonts w:hint="eastAsia" w:hAnsi="宋体"/>
        </w:rPr>
        <w:t>满足施工阶段不同应用的需要，并最终形成竣工验收模型；</w:t>
      </w:r>
    </w:p>
    <w:p>
      <w:pPr>
        <w:pStyle w:val="180"/>
        <w:numPr>
          <w:ilvl w:val="0"/>
          <w:numId w:val="32"/>
        </w:numPr>
        <w:tabs>
          <w:tab w:val="left" w:pos="851"/>
        </w:tabs>
        <w:ind w:left="840" w:leftChars="200" w:hanging="420" w:hangingChars="200"/>
        <w:rPr>
          <w:rFonts w:hint="eastAsia" w:hAnsi="宋体"/>
        </w:rPr>
      </w:pPr>
      <w:r>
        <w:rPr>
          <w:rFonts w:hint="eastAsia" w:hAnsi="宋体"/>
        </w:rPr>
        <w:t>运维阶段的BIM模型应基于竣工验收模型创建，通过附加相应的数据与信息满足运维阶段不同应用的需要。</w:t>
      </w:r>
    </w:p>
    <w:p>
      <w:pPr>
        <w:pStyle w:val="111"/>
        <w:spacing w:before="156" w:after="156"/>
        <w:rPr>
          <w:rFonts w:hint="eastAsia" w:hAnsi="黑体" w:cs="黑体"/>
        </w:rPr>
      </w:pPr>
      <w:bookmarkStart w:id="75" w:name="_Toc167201550"/>
      <w:bookmarkStart w:id="76" w:name="_Toc168008283"/>
      <w:bookmarkStart w:id="77" w:name="_Hlk134031314"/>
      <w:r>
        <w:rPr>
          <w:rFonts w:hint="eastAsia" w:hAnsi="黑体" w:cs="黑体"/>
        </w:rPr>
        <w:t>6</w:t>
      </w:r>
      <w:r>
        <w:rPr>
          <w:rFonts w:hAnsi="黑体" w:cs="黑体"/>
        </w:rPr>
        <w:t>.2 模型策划</w:t>
      </w:r>
      <w:bookmarkEnd w:id="75"/>
      <w:bookmarkEnd w:id="76"/>
    </w:p>
    <w:bookmarkEnd w:id="77"/>
    <w:p>
      <w:pPr>
        <w:pStyle w:val="171"/>
        <w:rPr>
          <w:rFonts w:hint="eastAsia"/>
        </w:rPr>
      </w:pPr>
      <w:r>
        <w:rPr>
          <w:rFonts w:hint="eastAsia"/>
        </w:rPr>
        <w:t>6</w:t>
      </w:r>
      <w:r>
        <w:t xml:space="preserve">.2.1 </w:t>
      </w:r>
      <w:r>
        <w:rPr>
          <w:rFonts w:ascii="宋体" w:hAnsi="宋体"/>
        </w:rPr>
        <w:t>BIM模型创建</w:t>
      </w:r>
      <w:r>
        <w:rPr>
          <w:rFonts w:hint="eastAsia" w:ascii="宋体" w:hAnsi="宋体"/>
        </w:rPr>
        <w:t>时应满足下列要求：</w:t>
      </w:r>
    </w:p>
    <w:p>
      <w:pPr>
        <w:pStyle w:val="180"/>
        <w:numPr>
          <w:ilvl w:val="0"/>
          <w:numId w:val="33"/>
        </w:numPr>
        <w:tabs>
          <w:tab w:val="left" w:pos="851"/>
        </w:tabs>
        <w:ind w:left="840" w:leftChars="200" w:hanging="420" w:hangingChars="200"/>
        <w:rPr>
          <w:rFonts w:hint="eastAsia" w:hAnsi="宋体"/>
        </w:rPr>
      </w:pPr>
      <w:r>
        <w:rPr>
          <w:rFonts w:hAnsi="宋体"/>
        </w:rPr>
        <w:t>BIM模型可采用集成方式统一创建，也可采用分工协作方式按专业或任务分别创建</w:t>
      </w:r>
      <w:r>
        <w:rPr>
          <w:rFonts w:hint="eastAsia" w:hAnsi="宋体"/>
        </w:rPr>
        <w:t>；</w:t>
      </w:r>
    </w:p>
    <w:p>
      <w:pPr>
        <w:pStyle w:val="180"/>
        <w:numPr>
          <w:ilvl w:val="0"/>
          <w:numId w:val="33"/>
        </w:numPr>
        <w:tabs>
          <w:tab w:val="left" w:pos="851"/>
        </w:tabs>
        <w:ind w:left="840" w:leftChars="200" w:hanging="420" w:hangingChars="200"/>
        <w:rPr>
          <w:rFonts w:hint="eastAsia" w:hAnsi="宋体"/>
        </w:rPr>
      </w:pPr>
      <w:r>
        <w:rPr>
          <w:rFonts w:hAnsi="宋体"/>
        </w:rPr>
        <w:t>BIM模型应采用全比例尺和统一的坐标系、标高系统、原点坐标、度量单位</w:t>
      </w:r>
      <w:r>
        <w:rPr>
          <w:rFonts w:hint="eastAsia" w:hAnsi="宋体"/>
        </w:rPr>
        <w:t>；</w:t>
      </w:r>
    </w:p>
    <w:p>
      <w:pPr>
        <w:pStyle w:val="180"/>
        <w:numPr>
          <w:ilvl w:val="0"/>
          <w:numId w:val="33"/>
        </w:numPr>
        <w:tabs>
          <w:tab w:val="left" w:pos="851"/>
        </w:tabs>
        <w:ind w:left="840" w:leftChars="200" w:hanging="420" w:hangingChars="200"/>
        <w:rPr>
          <w:rFonts w:hint="eastAsia" w:hAnsi="宋体"/>
        </w:rPr>
      </w:pPr>
      <w:r>
        <w:rPr>
          <w:rFonts w:hAnsi="宋体"/>
        </w:rPr>
        <w:t>BIM模型</w:t>
      </w:r>
      <w:r>
        <w:rPr>
          <w:rFonts w:hint="eastAsia" w:hAnsi="宋体"/>
        </w:rPr>
        <w:t>创建的精细</w:t>
      </w:r>
      <w:r>
        <w:rPr>
          <w:rFonts w:hAnsi="宋体"/>
        </w:rPr>
        <w:t>度应</w:t>
      </w:r>
      <w:r>
        <w:rPr>
          <w:rFonts w:hint="eastAsia" w:hAnsi="宋体"/>
        </w:rPr>
        <w:t>符合</w:t>
      </w:r>
      <w:r>
        <w:rPr>
          <w:rFonts w:hAnsi="宋体"/>
        </w:rPr>
        <w:t>项目</w:t>
      </w:r>
      <w:r>
        <w:rPr>
          <w:rFonts w:hint="eastAsia" w:hAnsi="宋体"/>
        </w:rPr>
        <w:t>的</w:t>
      </w:r>
      <w:r>
        <w:rPr>
          <w:rFonts w:hAnsi="宋体"/>
        </w:rPr>
        <w:t>实际需求</w:t>
      </w:r>
      <w:r>
        <w:rPr>
          <w:rFonts w:hint="eastAsia" w:hAnsi="宋体"/>
        </w:rPr>
        <w:t>。</w:t>
      </w:r>
    </w:p>
    <w:p>
      <w:pPr>
        <w:pStyle w:val="171"/>
        <w:rPr>
          <w:rFonts w:hint="eastAsia"/>
        </w:rPr>
      </w:pPr>
      <w:r>
        <w:rPr>
          <w:rFonts w:hint="eastAsia"/>
        </w:rPr>
        <w:t>6.</w:t>
      </w:r>
      <w:r>
        <w:t>2</w:t>
      </w:r>
      <w:r>
        <w:rPr>
          <w:rFonts w:hint="eastAsia"/>
        </w:rPr>
        <w:t>.2</w:t>
      </w:r>
      <w:r>
        <w:t xml:space="preserve"> </w:t>
      </w:r>
      <w:r>
        <w:rPr>
          <w:rFonts w:ascii="宋体" w:hAnsi="宋体"/>
        </w:rPr>
        <w:t>BIM</w:t>
      </w:r>
      <w:r>
        <w:rPr>
          <w:rFonts w:hint="eastAsia" w:ascii="宋体" w:hAnsi="宋体"/>
        </w:rPr>
        <w:t>模型构件及构件库创建时应符合下列要求：</w:t>
      </w:r>
    </w:p>
    <w:p>
      <w:pPr>
        <w:pStyle w:val="180"/>
        <w:numPr>
          <w:ilvl w:val="0"/>
          <w:numId w:val="34"/>
        </w:numPr>
        <w:tabs>
          <w:tab w:val="left" w:pos="851"/>
        </w:tabs>
        <w:ind w:left="840" w:leftChars="200" w:hanging="420" w:hangingChars="200"/>
        <w:rPr>
          <w:rFonts w:hint="eastAsia" w:hAnsi="宋体"/>
        </w:rPr>
      </w:pPr>
      <w:r>
        <w:rPr>
          <w:rFonts w:hint="eastAsia" w:hAnsi="宋体"/>
        </w:rPr>
        <w:t>模型创建过程中宜明确规定模型构件的命名、制作过程、验收标准、使用说明等；</w:t>
      </w:r>
    </w:p>
    <w:p>
      <w:pPr>
        <w:pStyle w:val="180"/>
        <w:numPr>
          <w:ilvl w:val="0"/>
          <w:numId w:val="34"/>
        </w:numPr>
        <w:tabs>
          <w:tab w:val="left" w:pos="851"/>
        </w:tabs>
        <w:ind w:left="840" w:leftChars="200" w:hanging="420" w:hangingChars="200"/>
        <w:rPr>
          <w:rFonts w:hint="eastAsia" w:hAnsi="宋体"/>
        </w:rPr>
      </w:pPr>
      <w:r>
        <w:rPr>
          <w:rFonts w:hAnsi="宋体"/>
        </w:rPr>
        <w:t>构件模型和构件</w:t>
      </w:r>
      <w:r>
        <w:rPr>
          <w:rFonts w:hint="eastAsia" w:hAnsi="宋体"/>
        </w:rPr>
        <w:t>模型</w:t>
      </w:r>
      <w:r>
        <w:rPr>
          <w:rFonts w:hAnsi="宋体"/>
        </w:rPr>
        <w:t>库是重要的信息资产，</w:t>
      </w:r>
      <w:r>
        <w:rPr>
          <w:rFonts w:hint="eastAsia" w:hAnsi="宋体"/>
        </w:rPr>
        <w:t>应</w:t>
      </w:r>
      <w:r>
        <w:rPr>
          <w:rFonts w:hAnsi="宋体"/>
        </w:rPr>
        <w:t>针对构件</w:t>
      </w:r>
      <w:r>
        <w:rPr>
          <w:rFonts w:hint="eastAsia" w:hAnsi="宋体"/>
        </w:rPr>
        <w:t>模型</w:t>
      </w:r>
      <w:r>
        <w:rPr>
          <w:rFonts w:hAnsi="宋体"/>
        </w:rPr>
        <w:t>资源库建立统一的管理制度，实现构件</w:t>
      </w:r>
      <w:r>
        <w:rPr>
          <w:rFonts w:hint="eastAsia" w:hAnsi="宋体"/>
        </w:rPr>
        <w:t>模型</w:t>
      </w:r>
      <w:r>
        <w:rPr>
          <w:rFonts w:hAnsi="宋体"/>
        </w:rPr>
        <w:t>的创建、收集、编辑、存储、使用、废除等有效管理。</w:t>
      </w:r>
    </w:p>
    <w:p>
      <w:pPr>
        <w:pStyle w:val="171"/>
        <w:rPr>
          <w:rFonts w:hint="eastAsia"/>
        </w:rPr>
      </w:pPr>
      <w:r>
        <w:rPr>
          <w:rFonts w:hint="eastAsia"/>
        </w:rPr>
        <w:t>6</w:t>
      </w:r>
      <w:r>
        <w:t xml:space="preserve">.2.3 </w:t>
      </w:r>
      <w:r>
        <w:rPr>
          <w:rFonts w:ascii="宋体" w:hAnsi="宋体"/>
        </w:rPr>
        <w:t>BIM</w:t>
      </w:r>
      <w:r>
        <w:rPr>
          <w:rFonts w:hint="eastAsia" w:ascii="宋体" w:hAnsi="宋体"/>
        </w:rPr>
        <w:t>模型创建时的</w:t>
      </w:r>
      <w:r>
        <w:rPr>
          <w:rFonts w:ascii="宋体" w:hAnsi="宋体"/>
        </w:rPr>
        <w:t>视图表达</w:t>
      </w:r>
      <w:r>
        <w:rPr>
          <w:rFonts w:hint="eastAsia" w:ascii="宋体" w:hAnsi="宋体"/>
        </w:rPr>
        <w:t>应符合下列要求：</w:t>
      </w:r>
    </w:p>
    <w:p>
      <w:pPr>
        <w:pStyle w:val="180"/>
        <w:numPr>
          <w:ilvl w:val="0"/>
          <w:numId w:val="35"/>
        </w:numPr>
        <w:tabs>
          <w:tab w:val="left" w:pos="851"/>
        </w:tabs>
        <w:ind w:left="840" w:leftChars="200" w:hanging="420" w:hangingChars="200"/>
        <w:rPr>
          <w:rFonts w:hint="eastAsia" w:hAnsi="宋体"/>
        </w:rPr>
      </w:pPr>
      <w:r>
        <w:rPr>
          <w:rFonts w:hAnsi="宋体"/>
        </w:rPr>
        <w:t>在进行实际</w:t>
      </w:r>
      <w:r>
        <w:rPr>
          <w:rFonts w:hint="eastAsia" w:hAnsi="宋体"/>
        </w:rPr>
        <w:t>应用</w:t>
      </w:r>
      <w:r>
        <w:rPr>
          <w:rFonts w:hAnsi="宋体"/>
        </w:rPr>
        <w:t>前，应设置</w:t>
      </w:r>
      <w:r>
        <w:rPr>
          <w:rFonts w:hint="eastAsia" w:hAnsi="宋体"/>
        </w:rPr>
        <w:t>以下内容</w:t>
      </w:r>
      <w:r>
        <w:rPr>
          <w:rFonts w:hAnsi="宋体"/>
        </w:rPr>
        <w:t>：线宽表、材质样式、线型图案、线样式、填充样式、剖面标记样式、箭头样式、对象样式、视图样板、导出DWG样式</w:t>
      </w:r>
      <w:r>
        <w:rPr>
          <w:rFonts w:hint="eastAsia" w:hAnsi="宋体"/>
        </w:rPr>
        <w:t>等；</w:t>
      </w:r>
    </w:p>
    <w:p>
      <w:pPr>
        <w:pStyle w:val="180"/>
        <w:numPr>
          <w:ilvl w:val="0"/>
          <w:numId w:val="35"/>
        </w:numPr>
        <w:tabs>
          <w:tab w:val="left" w:pos="851"/>
        </w:tabs>
        <w:ind w:left="840" w:leftChars="200" w:hanging="420" w:hangingChars="200"/>
        <w:rPr>
          <w:rFonts w:hint="eastAsia" w:hAnsi="宋体"/>
        </w:rPr>
      </w:pPr>
      <w:r>
        <w:rPr>
          <w:rFonts w:hAnsi="宋体"/>
        </w:rPr>
        <w:t>建模视图为基础视图，模型前期创建在此视图中，此视图不做特殊规定，可根据习惯自行设置构件的颜色</w:t>
      </w:r>
      <w:r>
        <w:rPr>
          <w:rFonts w:hint="eastAsia" w:hAnsi="宋体"/>
        </w:rPr>
        <w:t>、</w:t>
      </w:r>
      <w:r>
        <w:rPr>
          <w:rFonts w:hAnsi="宋体"/>
        </w:rPr>
        <w:t>过滤器等，满足基本建模</w:t>
      </w:r>
      <w:r>
        <w:rPr>
          <w:rFonts w:hint="eastAsia" w:hAnsi="宋体"/>
        </w:rPr>
        <w:t>要求；</w:t>
      </w:r>
    </w:p>
    <w:p>
      <w:pPr>
        <w:pStyle w:val="180"/>
        <w:numPr>
          <w:ilvl w:val="0"/>
          <w:numId w:val="35"/>
        </w:numPr>
        <w:tabs>
          <w:tab w:val="left" w:pos="851"/>
        </w:tabs>
        <w:ind w:left="840" w:leftChars="200" w:hanging="420" w:hangingChars="200"/>
        <w:rPr>
          <w:rFonts w:hint="eastAsia" w:hAnsi="宋体"/>
        </w:rPr>
      </w:pPr>
      <w:r>
        <w:rPr>
          <w:rFonts w:hAnsi="宋体"/>
        </w:rPr>
        <w:t>提资视图主要分为两类，一类为配合视图，一类为其他专业出图需要</w:t>
      </w:r>
      <w:r>
        <w:rPr>
          <w:rFonts w:hint="eastAsia" w:hAnsi="宋体"/>
        </w:rPr>
        <w:t>的</w:t>
      </w:r>
      <w:r>
        <w:rPr>
          <w:rFonts w:hAnsi="宋体"/>
        </w:rPr>
        <w:t>参照</w:t>
      </w:r>
      <w:r>
        <w:rPr>
          <w:rFonts w:hint="eastAsia" w:hAnsi="宋体"/>
        </w:rPr>
        <w:t>视图</w:t>
      </w:r>
      <w:r>
        <w:rPr>
          <w:rFonts w:hAnsi="宋体"/>
        </w:rPr>
        <w:t>，提资视图</w:t>
      </w:r>
      <w:r>
        <w:rPr>
          <w:rFonts w:hint="eastAsia" w:hAnsi="宋体"/>
        </w:rPr>
        <w:t>应</w:t>
      </w:r>
      <w:r>
        <w:rPr>
          <w:rFonts w:hAnsi="宋体"/>
        </w:rPr>
        <w:t>与</w:t>
      </w:r>
      <w:r>
        <w:rPr>
          <w:rFonts w:hint="eastAsia" w:hAnsi="宋体"/>
        </w:rPr>
        <w:t>出图</w:t>
      </w:r>
      <w:r>
        <w:rPr>
          <w:rFonts w:hAnsi="宋体"/>
        </w:rPr>
        <w:t>视图比例统一</w:t>
      </w:r>
      <w:r>
        <w:rPr>
          <w:rFonts w:hint="eastAsia" w:hAnsi="宋体"/>
        </w:rPr>
        <w:t>；</w:t>
      </w:r>
    </w:p>
    <w:p>
      <w:pPr>
        <w:pStyle w:val="180"/>
        <w:numPr>
          <w:ilvl w:val="0"/>
          <w:numId w:val="35"/>
        </w:numPr>
        <w:tabs>
          <w:tab w:val="left" w:pos="851"/>
        </w:tabs>
        <w:ind w:left="840" w:leftChars="200" w:hanging="420" w:hangingChars="200"/>
        <w:rPr>
          <w:rFonts w:hint="eastAsia" w:hAnsi="宋体"/>
        </w:rPr>
      </w:pPr>
      <w:r>
        <w:rPr>
          <w:rFonts w:hAnsi="宋体"/>
        </w:rPr>
        <w:t>出图视图应包含出图的尺寸标注</w:t>
      </w:r>
      <w:r>
        <w:rPr>
          <w:rFonts w:hint="eastAsia" w:hAnsi="宋体"/>
        </w:rPr>
        <w:t>、</w:t>
      </w:r>
      <w:r>
        <w:rPr>
          <w:rFonts w:hAnsi="宋体"/>
        </w:rPr>
        <w:t>详图注释等二维信息。</w:t>
      </w:r>
    </w:p>
    <w:p>
      <w:pPr>
        <w:pStyle w:val="171"/>
        <w:rPr>
          <w:rFonts w:hint="eastAsia"/>
        </w:rPr>
      </w:pPr>
      <w:r>
        <w:rPr>
          <w:rFonts w:hint="eastAsia"/>
        </w:rPr>
        <w:t>6</w:t>
      </w:r>
      <w:r>
        <w:t xml:space="preserve">.2.4 </w:t>
      </w:r>
      <w:r>
        <w:rPr>
          <w:rFonts w:ascii="宋体" w:hAnsi="宋体"/>
        </w:rPr>
        <w:t>BIM模型</w:t>
      </w:r>
      <w:r>
        <w:rPr>
          <w:rFonts w:hint="eastAsia" w:ascii="宋体" w:hAnsi="宋体"/>
        </w:rPr>
        <w:t>的</w:t>
      </w:r>
      <w:r>
        <w:rPr>
          <w:rFonts w:ascii="宋体" w:hAnsi="宋体"/>
        </w:rPr>
        <w:t>拆分</w:t>
      </w:r>
      <w:r>
        <w:rPr>
          <w:rFonts w:hint="eastAsia" w:ascii="宋体" w:hAnsi="宋体"/>
        </w:rPr>
        <w:t>应符合下列要求：</w:t>
      </w:r>
    </w:p>
    <w:p>
      <w:pPr>
        <w:pStyle w:val="180"/>
        <w:numPr>
          <w:ilvl w:val="0"/>
          <w:numId w:val="36"/>
        </w:numPr>
        <w:tabs>
          <w:tab w:val="left" w:pos="851"/>
        </w:tabs>
        <w:ind w:left="840" w:leftChars="200" w:hanging="420" w:hangingChars="200"/>
        <w:rPr>
          <w:rFonts w:hint="eastAsia" w:hAnsi="宋体"/>
        </w:rPr>
      </w:pPr>
      <w:r>
        <w:rPr>
          <w:rFonts w:hAnsi="宋体"/>
        </w:rPr>
        <w:t>工程对象模型单元分为四级：项目级、功能级、构件级、零件级</w:t>
      </w:r>
      <w:r>
        <w:rPr>
          <w:rFonts w:hint="eastAsia" w:hAnsi="宋体"/>
        </w:rPr>
        <w:t>；</w:t>
      </w:r>
    </w:p>
    <w:p>
      <w:pPr>
        <w:pStyle w:val="180"/>
        <w:numPr>
          <w:ilvl w:val="0"/>
          <w:numId w:val="36"/>
        </w:numPr>
        <w:tabs>
          <w:tab w:val="left" w:pos="851"/>
        </w:tabs>
        <w:ind w:left="840" w:leftChars="200" w:hanging="420" w:hangingChars="200"/>
        <w:rPr>
          <w:rFonts w:hint="eastAsia" w:hAnsi="宋体"/>
        </w:rPr>
      </w:pPr>
      <w:r>
        <w:rPr>
          <w:rFonts w:hAnsi="宋体"/>
        </w:rPr>
        <w:t>项目级模型单元拆分</w:t>
      </w:r>
      <w:r>
        <w:rPr>
          <w:rFonts w:hint="eastAsia" w:hAnsi="宋体"/>
        </w:rPr>
        <w:t>时，</w:t>
      </w:r>
      <w:r>
        <w:rPr>
          <w:rFonts w:hAnsi="宋体"/>
        </w:rPr>
        <w:t>应根据子项目的位置、规模、业态等因素进行拆分。一般情况下，项目级模型单元主要拆分为地下建筑、地上建筑、场地</w:t>
      </w:r>
      <w:r>
        <w:rPr>
          <w:rFonts w:hint="eastAsia" w:hAnsi="宋体"/>
        </w:rPr>
        <w:t>等</w:t>
      </w:r>
      <w:r>
        <w:rPr>
          <w:rFonts w:hAnsi="宋体"/>
        </w:rPr>
        <w:t>。地上建筑如有多个单独建筑时，进行再次拆分</w:t>
      </w:r>
      <w:r>
        <w:rPr>
          <w:rFonts w:hint="eastAsia" w:hAnsi="宋体"/>
        </w:rPr>
        <w:t>；</w:t>
      </w:r>
    </w:p>
    <w:p>
      <w:pPr>
        <w:pStyle w:val="180"/>
        <w:numPr>
          <w:ilvl w:val="0"/>
          <w:numId w:val="36"/>
        </w:numPr>
        <w:tabs>
          <w:tab w:val="left" w:pos="851"/>
        </w:tabs>
        <w:ind w:left="840" w:leftChars="200" w:hanging="420" w:hangingChars="200"/>
        <w:rPr>
          <w:rFonts w:hint="eastAsia" w:hAnsi="宋体"/>
        </w:rPr>
      </w:pPr>
      <w:r>
        <w:rPr>
          <w:rFonts w:hAnsi="宋体"/>
        </w:rPr>
        <w:t>功能级模型单元拆分</w:t>
      </w:r>
      <w:r>
        <w:rPr>
          <w:rFonts w:hint="eastAsia" w:hAnsi="宋体"/>
        </w:rPr>
        <w:t>时，应</w:t>
      </w:r>
      <w:r>
        <w:rPr>
          <w:rFonts w:hAnsi="宋体"/>
        </w:rPr>
        <w:t>按照承载完整功能模块或空间信息进行拆分</w:t>
      </w:r>
      <w:r>
        <w:rPr>
          <w:rFonts w:hint="eastAsia" w:hAnsi="宋体"/>
        </w:rPr>
        <w:t>；</w:t>
      </w:r>
    </w:p>
    <w:p>
      <w:pPr>
        <w:pStyle w:val="180"/>
        <w:numPr>
          <w:ilvl w:val="0"/>
          <w:numId w:val="36"/>
        </w:numPr>
        <w:tabs>
          <w:tab w:val="left" w:pos="851"/>
        </w:tabs>
        <w:ind w:left="840" w:leftChars="200" w:hanging="420" w:hangingChars="200"/>
        <w:rPr>
          <w:rFonts w:hint="eastAsia" w:hAnsi="宋体"/>
        </w:rPr>
      </w:pPr>
      <w:r>
        <w:rPr>
          <w:rFonts w:hAnsi="宋体"/>
        </w:rPr>
        <w:t>构件级模型单元拆分</w:t>
      </w:r>
      <w:r>
        <w:rPr>
          <w:rFonts w:hint="eastAsia" w:hAnsi="宋体"/>
        </w:rPr>
        <w:t>时，</w:t>
      </w:r>
      <w:r>
        <w:rPr>
          <w:rFonts w:hAnsi="宋体"/>
        </w:rPr>
        <w:t>应根据功能级模型单元所具有的模型单元进行拆分</w:t>
      </w:r>
      <w:r>
        <w:rPr>
          <w:rFonts w:hint="eastAsia" w:hAnsi="宋体"/>
        </w:rPr>
        <w:t>；</w:t>
      </w:r>
    </w:p>
    <w:p>
      <w:pPr>
        <w:pStyle w:val="180"/>
        <w:numPr>
          <w:ilvl w:val="0"/>
          <w:numId w:val="36"/>
        </w:numPr>
        <w:tabs>
          <w:tab w:val="left" w:pos="851"/>
        </w:tabs>
        <w:ind w:left="840" w:leftChars="200" w:hanging="420" w:hangingChars="200"/>
        <w:rPr>
          <w:rFonts w:hint="eastAsia" w:hAnsi="宋体"/>
        </w:rPr>
      </w:pPr>
      <w:r>
        <w:rPr>
          <w:rFonts w:hAnsi="宋体"/>
        </w:rPr>
        <w:t>创建模型时应考虑到模型单元的专业及系统归属</w:t>
      </w:r>
      <w:r>
        <w:rPr>
          <w:rFonts w:hint="eastAsia" w:hAnsi="宋体"/>
        </w:rPr>
        <w:t>，并在模型单元或最小模型单元中体现；</w:t>
      </w:r>
    </w:p>
    <w:p>
      <w:pPr>
        <w:pStyle w:val="180"/>
        <w:numPr>
          <w:ilvl w:val="0"/>
          <w:numId w:val="36"/>
        </w:numPr>
        <w:tabs>
          <w:tab w:val="left" w:pos="851"/>
        </w:tabs>
        <w:ind w:left="840" w:leftChars="200" w:hanging="420" w:hangingChars="200"/>
        <w:rPr>
          <w:rFonts w:hint="eastAsia" w:hAnsi="宋体"/>
        </w:rPr>
      </w:pPr>
      <w:r>
        <w:rPr>
          <w:rFonts w:hAnsi="宋体"/>
        </w:rPr>
        <w:t>设计阶段</w:t>
      </w:r>
      <w:r>
        <w:rPr>
          <w:rFonts w:hint="eastAsia" w:hAnsi="宋体"/>
        </w:rPr>
        <w:t>建筑工程对象的拆分</w:t>
      </w:r>
      <w:r>
        <w:rPr>
          <w:rFonts w:hAnsi="宋体"/>
        </w:rPr>
        <w:t>应符合表1的规定</w:t>
      </w:r>
      <w:r>
        <w:rPr>
          <w:rFonts w:hint="eastAsia" w:hAnsi="宋体"/>
        </w:rPr>
        <w:t>，设备工程对象的拆分应符合表</w:t>
      </w:r>
      <w:r>
        <w:rPr>
          <w:rFonts w:hAnsi="宋体"/>
        </w:rPr>
        <w:t>2</w:t>
      </w:r>
      <w:r>
        <w:rPr>
          <w:rFonts w:hint="eastAsia" w:hAnsi="宋体"/>
        </w:rPr>
        <w:t>的规定，场地工程对象的拆分应符合表</w:t>
      </w:r>
      <w:r>
        <w:rPr>
          <w:rFonts w:hAnsi="宋体"/>
        </w:rPr>
        <w:t>3</w:t>
      </w:r>
      <w:r>
        <w:rPr>
          <w:rFonts w:hint="eastAsia" w:hAnsi="宋体"/>
        </w:rPr>
        <w:t>的规定</w:t>
      </w:r>
      <w:r>
        <w:rPr>
          <w:rFonts w:hAnsi="宋体"/>
        </w:rPr>
        <w:t>，未尽细分项，可根据项目情况灵活补充。</w:t>
      </w:r>
    </w:p>
    <w:p>
      <w:pPr>
        <w:pStyle w:val="13"/>
        <w:spacing w:before="156" w:beforeLines="50" w:after="156" w:afterLines="50"/>
        <w:jc w:val="center"/>
        <w:rPr>
          <w:rFonts w:hint="eastAsia" w:ascii="黑体" w:hAnsi="黑体"/>
          <w:kern w:val="0"/>
        </w:rPr>
      </w:pPr>
      <w:bookmarkStart w:id="78" w:name="_Toc174544080"/>
      <w:bookmarkStart w:id="79" w:name="_Toc174544023"/>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w:t>
      </w:r>
      <w:r>
        <w:rPr>
          <w:rFonts w:ascii="黑体" w:hAnsi="黑体"/>
          <w:sz w:val="21"/>
          <w:szCs w:val="21"/>
        </w:rPr>
        <w:fldChar w:fldCharType="end"/>
      </w:r>
      <w:r>
        <w:rPr>
          <w:rFonts w:ascii="黑体" w:hAnsi="黑体"/>
          <w:kern w:val="0"/>
          <w:sz w:val="21"/>
          <w:szCs w:val="21"/>
        </w:rPr>
        <w:t xml:space="preserve"> 建筑工程对象的拆分</w:t>
      </w:r>
      <w:bookmarkEnd w:id="78"/>
      <w:bookmarkEnd w:id="79"/>
    </w:p>
    <w:tbl>
      <w:tblPr>
        <w:tblStyle w:val="31"/>
        <w:tblW w:w="828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17"/>
        <w:gridCol w:w="2968"/>
        <w:gridCol w:w="319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2117" w:type="dxa"/>
            <w:tcBorders>
              <w:top w:val="single" w:color="auto" w:sz="8" w:space="0"/>
              <w:bottom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功能级</w:t>
            </w:r>
          </w:p>
        </w:tc>
        <w:tc>
          <w:tcPr>
            <w:tcW w:w="2968" w:type="dxa"/>
            <w:tcBorders>
              <w:top w:val="single" w:color="auto" w:sz="8" w:space="0"/>
              <w:bottom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构件级</w:t>
            </w:r>
          </w:p>
        </w:tc>
        <w:tc>
          <w:tcPr>
            <w:tcW w:w="3198" w:type="dxa"/>
            <w:tcBorders>
              <w:top w:val="single" w:color="auto" w:sz="8" w:space="0"/>
              <w:bottom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零件级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4" w:hRule="atLeast"/>
          <w:jc w:val="center"/>
        </w:trPr>
        <w:tc>
          <w:tcPr>
            <w:tcW w:w="2117" w:type="dxa"/>
            <w:vMerge w:val="restart"/>
            <w:tcBorders>
              <w:top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结构基础</w:t>
            </w:r>
          </w:p>
        </w:tc>
        <w:tc>
          <w:tcPr>
            <w:tcW w:w="2968" w:type="dxa"/>
            <w:tcBorders>
              <w:top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筏板</w:t>
            </w:r>
          </w:p>
        </w:tc>
        <w:tc>
          <w:tcPr>
            <w:tcW w:w="3198" w:type="dxa"/>
            <w:tcBorders>
              <w:top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承台</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桩</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挡土墙</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1"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地梁</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集水井</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排水沟</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垫层</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防水</w:t>
            </w:r>
            <w:r>
              <w:rPr>
                <w:rFonts w:hint="eastAsia" w:ascii="宋体" w:hAnsi="宋体"/>
                <w:bCs/>
                <w:sz w:val="18"/>
                <w:szCs w:val="18"/>
                <w:lang w:bidi="ar"/>
              </w:rPr>
              <w:t>构造</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防水材料、保护墙、止水带、回填材料等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2117"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结构框架</w:t>
            </w: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柱</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1"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梁</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板</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墙</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楼梯</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坡道</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8"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节点</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2117"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空间划分</w:t>
            </w: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墙</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核心层、构造柱、圈梁、预留洞口、设备百叶等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门</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门框、门板、视窗、合页、门锁、门吸等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窗</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窗框、开启扇、把手、窗锁</w:t>
            </w:r>
            <w:r>
              <w:rPr>
                <w:rFonts w:hint="eastAsia" w:ascii="宋体" w:hAnsi="宋体"/>
                <w:bCs/>
                <w:sz w:val="18"/>
                <w:szCs w:val="18"/>
                <w:lang w:bidi="ar"/>
              </w:rPr>
              <w:t>、玻璃材料、遮阳材料、附框</w:t>
            </w:r>
            <w:r>
              <w:rPr>
                <w:rFonts w:ascii="宋体" w:hAnsi="宋体"/>
                <w:bCs/>
                <w:sz w:val="18"/>
                <w:szCs w:val="18"/>
                <w:lang w:bidi="ar"/>
              </w:rPr>
              <w:t>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幕墙</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竖梃、嵌板、连接件、面板等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2117" w:type="dxa"/>
            <w:vMerge w:val="restart"/>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外部装饰</w:t>
            </w: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立面</w:t>
            </w:r>
            <w:r>
              <w:rPr>
                <w:rFonts w:hint="eastAsia" w:ascii="宋体" w:hAnsi="宋体"/>
                <w:bCs/>
                <w:sz w:val="18"/>
                <w:szCs w:val="18"/>
                <w:lang w:bidi="ar"/>
              </w:rPr>
              <w:t>/幕墙</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1" w:hRule="atLeast"/>
          <w:jc w:val="center"/>
        </w:trPr>
        <w:tc>
          <w:tcPr>
            <w:tcW w:w="2117" w:type="dxa"/>
            <w:vMerge w:val="continue"/>
            <w:noWrap/>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屋顶</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2117" w:type="dxa"/>
            <w:vMerge w:val="continue"/>
            <w:noWrap/>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栏杆扶手</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扶手、支撑等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 w:hRule="atLeast"/>
          <w:jc w:val="center"/>
        </w:trPr>
        <w:tc>
          <w:tcPr>
            <w:tcW w:w="2117" w:type="dxa"/>
            <w:vMerge w:val="continue"/>
            <w:noWrap/>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踏步</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支撑构件、饰面等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2117" w:type="dxa"/>
            <w:vMerge w:val="continue"/>
            <w:noWrap/>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雨棚</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支撑构件、饰面等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2117" w:type="dxa"/>
            <w:vMerge w:val="restart"/>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内部装饰</w:t>
            </w: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柱装饰</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梁装饰</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墙装饰</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1"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板装饰</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楼梯饰面</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坡道饰面</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211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968"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吊顶</w:t>
            </w:r>
          </w:p>
        </w:tc>
        <w:tc>
          <w:tcPr>
            <w:tcW w:w="319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构造层、面层等</w:t>
            </w:r>
          </w:p>
        </w:tc>
      </w:tr>
    </w:tbl>
    <w:p>
      <w:pPr>
        <w:pStyle w:val="171"/>
        <w:rPr>
          <w:rFonts w:hint="eastAsia" w:eastAsia="黑体"/>
        </w:rPr>
      </w:pPr>
    </w:p>
    <w:p>
      <w:pPr>
        <w:pStyle w:val="13"/>
        <w:spacing w:before="156" w:beforeLines="50" w:after="156" w:afterLines="50"/>
        <w:jc w:val="center"/>
        <w:rPr>
          <w:rFonts w:hint="eastAsia" w:ascii="黑体" w:hAnsi="黑体"/>
          <w:kern w:val="0"/>
        </w:rPr>
      </w:pPr>
      <w:bookmarkStart w:id="80" w:name="_Toc174544024"/>
      <w:bookmarkStart w:id="81" w:name="_Toc174544081"/>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2</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设备</w:t>
      </w:r>
      <w:r>
        <w:rPr>
          <w:rFonts w:ascii="黑体" w:hAnsi="黑体"/>
          <w:kern w:val="0"/>
          <w:sz w:val="21"/>
          <w:szCs w:val="21"/>
        </w:rPr>
        <w:t>工程对象的拆分</w:t>
      </w:r>
      <w:bookmarkEnd w:id="80"/>
      <w:bookmarkEnd w:id="81"/>
    </w:p>
    <w:tbl>
      <w:tblPr>
        <w:tblStyle w:val="31"/>
        <w:tblW w:w="828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538"/>
        <w:gridCol w:w="1701"/>
        <w:gridCol w:w="2413"/>
        <w:gridCol w:w="320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 w:hRule="atLeast"/>
          <w:jc w:val="center"/>
        </w:trPr>
        <w:tc>
          <w:tcPr>
            <w:tcW w:w="2665" w:type="dxa"/>
            <w:gridSpan w:val="3"/>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功能级</w:t>
            </w:r>
          </w:p>
        </w:tc>
        <w:tc>
          <w:tcPr>
            <w:tcW w:w="2413" w:type="dxa"/>
            <w:tcBorders>
              <w:top w:val="single" w:color="auto" w:sz="8" w:space="0"/>
              <w:bottom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构件级</w:t>
            </w:r>
          </w:p>
        </w:tc>
        <w:tc>
          <w:tcPr>
            <w:tcW w:w="3205" w:type="dxa"/>
            <w:tcBorders>
              <w:top w:val="single" w:color="auto" w:sz="8" w:space="0"/>
              <w:bottom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零件级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426" w:type="dxa"/>
            <w:vMerge w:val="restar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暖通</w:t>
            </w:r>
          </w:p>
        </w:tc>
        <w:tc>
          <w:tcPr>
            <w:tcW w:w="538" w:type="dxa"/>
            <w:vMerge w:val="restar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通风</w:t>
            </w:r>
          </w:p>
        </w:tc>
        <w:tc>
          <w:tcPr>
            <w:tcW w:w="1701"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送风</w:t>
            </w:r>
          </w:p>
        </w:tc>
        <w:tc>
          <w:tcPr>
            <w:tcW w:w="2413" w:type="dxa"/>
            <w:tcBorders>
              <w:top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tcBorders>
              <w:top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新风</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回风</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排风</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排烟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过滤除尘</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供暖系统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燃气系统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空调系统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426" w:type="dxa"/>
            <w:vMerge w:val="restart"/>
            <w:vAlign w:val="center"/>
          </w:tcPr>
          <w:p>
            <w:pPr>
              <w:widowControl/>
              <w:spacing w:line="240" w:lineRule="auto"/>
              <w:textAlignment w:val="center"/>
              <w:rPr>
                <w:rFonts w:hint="eastAsia" w:ascii="宋体" w:hAnsi="宋体"/>
                <w:bCs/>
                <w:sz w:val="18"/>
                <w:szCs w:val="18"/>
                <w:lang w:bidi="ar"/>
              </w:rPr>
            </w:pPr>
            <w:r>
              <w:rPr>
                <w:rFonts w:ascii="宋体" w:hAnsi="宋体"/>
                <w:bCs/>
                <w:sz w:val="18"/>
                <w:szCs w:val="18"/>
                <w:lang w:bidi="ar"/>
              </w:rPr>
              <w:t>给排水</w:t>
            </w:r>
          </w:p>
        </w:tc>
        <w:tc>
          <w:tcPr>
            <w:tcW w:w="538"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给水</w:t>
            </w: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生活用水</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中水</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排水</w:t>
            </w: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雨水</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污水废水</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消防</w:t>
            </w: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自动水喷淋</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砌体灭火</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消火栓系统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26" w:type="dxa"/>
            <w:vMerge w:val="restart"/>
            <w:vAlign w:val="center"/>
          </w:tcPr>
          <w:p>
            <w:pPr>
              <w:widowControl/>
              <w:spacing w:line="240" w:lineRule="auto"/>
              <w:textAlignment w:val="center"/>
              <w:rPr>
                <w:rFonts w:hint="eastAsia" w:ascii="宋体" w:hAnsi="宋体"/>
                <w:bCs/>
                <w:sz w:val="18"/>
                <w:szCs w:val="18"/>
                <w:lang w:bidi="ar"/>
              </w:rPr>
            </w:pPr>
            <w:r>
              <w:rPr>
                <w:rFonts w:ascii="宋体" w:hAnsi="宋体"/>
                <w:bCs/>
                <w:sz w:val="18"/>
                <w:szCs w:val="18"/>
                <w:lang w:bidi="ar"/>
              </w:rPr>
              <w:t>电</w:t>
            </w:r>
          </w:p>
        </w:tc>
        <w:tc>
          <w:tcPr>
            <w:tcW w:w="538"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供配电</w:t>
            </w: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高压配电</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低压干线</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普通电力</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消防电力</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应急电力</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照明</w:t>
            </w: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普通照明</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应急照明</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restart"/>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弱电</w:t>
            </w: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火灾自动报警</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低电压电力系统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通信系统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安防系统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538" w:type="dxa"/>
            <w:vMerge w:val="continue"/>
            <w:vAlign w:val="center"/>
          </w:tcPr>
          <w:p>
            <w:pPr>
              <w:widowControl/>
              <w:spacing w:line="240" w:lineRule="auto"/>
              <w:textAlignment w:val="center"/>
              <w:rPr>
                <w:rFonts w:hint="eastAsia" w:ascii="宋体" w:hAnsi="宋体"/>
                <w:bCs/>
                <w:sz w:val="18"/>
                <w:szCs w:val="18"/>
                <w:lang w:bidi="ar"/>
              </w:rPr>
            </w:pPr>
          </w:p>
        </w:tc>
        <w:tc>
          <w:tcPr>
            <w:tcW w:w="170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自动化控制系统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restart"/>
            <w:vAlign w:val="center"/>
          </w:tcPr>
          <w:p>
            <w:pPr>
              <w:widowControl/>
              <w:spacing w:line="240" w:lineRule="auto"/>
              <w:textAlignment w:val="center"/>
              <w:rPr>
                <w:rFonts w:hint="eastAsia" w:ascii="宋体" w:hAnsi="宋体"/>
                <w:bCs/>
                <w:sz w:val="18"/>
                <w:szCs w:val="18"/>
                <w:lang w:bidi="ar"/>
              </w:rPr>
            </w:pPr>
            <w:r>
              <w:rPr>
                <w:rFonts w:hint="eastAsia" w:ascii="宋体" w:hAnsi="宋体"/>
                <w:bCs/>
                <w:sz w:val="18"/>
                <w:szCs w:val="18"/>
                <w:lang w:bidi="ar"/>
              </w:rPr>
              <w:t>智能化</w:t>
            </w: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信息化应用系统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智能化集成系统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信息设施系统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建筑设备管理系统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公共安全系统</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239" w:type="dxa"/>
            <w:gridSpan w:val="2"/>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机房工程</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 w:hRule="atLeast"/>
          <w:jc w:val="center"/>
        </w:trPr>
        <w:tc>
          <w:tcPr>
            <w:tcW w:w="2665" w:type="dxa"/>
            <w:gridSpan w:val="3"/>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固定支吊架</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支吊架杆、吊杆</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紧固件、连接件等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2665" w:type="dxa"/>
            <w:gridSpan w:val="3"/>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抗震支吊架</w:t>
            </w:r>
          </w:p>
        </w:tc>
        <w:tc>
          <w:tcPr>
            <w:tcW w:w="2413" w:type="dxa"/>
            <w:noWrap/>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架杆、吊杆、抗震斜撑</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紧固件、抗震连接件等</w:t>
            </w:r>
          </w:p>
        </w:tc>
      </w:tr>
    </w:tbl>
    <w:p>
      <w:pPr>
        <w:pStyle w:val="171"/>
        <w:rPr>
          <w:rFonts w:hint="eastAsia" w:eastAsia="黑体"/>
        </w:rPr>
      </w:pPr>
    </w:p>
    <w:p>
      <w:pPr>
        <w:pStyle w:val="13"/>
        <w:spacing w:before="156" w:beforeLines="50" w:after="156" w:afterLines="50"/>
        <w:jc w:val="center"/>
        <w:rPr>
          <w:rFonts w:hint="eastAsia" w:ascii="黑体" w:hAnsi="黑体"/>
          <w:kern w:val="0"/>
        </w:rPr>
      </w:pPr>
      <w:bookmarkStart w:id="82" w:name="_Toc174544082"/>
      <w:bookmarkStart w:id="83" w:name="_Toc174544025"/>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3</w:t>
      </w:r>
      <w:r>
        <w:rPr>
          <w:rFonts w:ascii="黑体" w:hAnsi="黑体"/>
          <w:sz w:val="21"/>
          <w:szCs w:val="21"/>
        </w:rPr>
        <w:fldChar w:fldCharType="end"/>
      </w:r>
      <w:r>
        <w:rPr>
          <w:rFonts w:ascii="黑体" w:hAnsi="黑体"/>
          <w:kern w:val="0"/>
          <w:sz w:val="21"/>
          <w:szCs w:val="21"/>
        </w:rPr>
        <w:t xml:space="preserve"> 场地工程对象的拆分</w:t>
      </w:r>
      <w:bookmarkEnd w:id="82"/>
      <w:bookmarkEnd w:id="83"/>
    </w:p>
    <w:tbl>
      <w:tblPr>
        <w:tblStyle w:val="31"/>
        <w:tblW w:w="828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974"/>
        <w:gridCol w:w="1144"/>
        <w:gridCol w:w="2534"/>
        <w:gridCol w:w="320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2544" w:type="dxa"/>
            <w:gridSpan w:val="3"/>
            <w:tcBorders>
              <w:top w:val="single" w:color="auto" w:sz="8" w:space="0"/>
              <w:bottom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功能级</w:t>
            </w:r>
          </w:p>
        </w:tc>
        <w:tc>
          <w:tcPr>
            <w:tcW w:w="2534" w:type="dxa"/>
            <w:tcBorders>
              <w:top w:val="single" w:color="auto" w:sz="8" w:space="0"/>
              <w:bottom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构件级</w:t>
            </w:r>
          </w:p>
        </w:tc>
        <w:tc>
          <w:tcPr>
            <w:tcW w:w="3205" w:type="dxa"/>
            <w:tcBorders>
              <w:top w:val="single" w:color="auto" w:sz="8" w:space="0"/>
              <w:bottom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零件级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426" w:type="dxa"/>
            <w:vMerge w:val="restart"/>
            <w:tcBorders>
              <w:top w:val="single" w:color="auto" w:sz="8" w:space="0"/>
            </w:tcBorders>
            <w:vAlign w:val="center"/>
          </w:tcPr>
          <w:p>
            <w:pPr>
              <w:jc w:val="center"/>
              <w:rPr>
                <w:rFonts w:ascii="Times New Roman" w:hAnsi="Times New Roman"/>
                <w:sz w:val="18"/>
                <w:szCs w:val="18"/>
              </w:rPr>
            </w:pPr>
            <w:r>
              <w:rPr>
                <w:rFonts w:hint="eastAsia" w:ascii="Times New Roman" w:hAnsi="Times New Roman"/>
                <w:sz w:val="18"/>
                <w:szCs w:val="18"/>
              </w:rPr>
              <w:t>通行</w:t>
            </w:r>
          </w:p>
        </w:tc>
        <w:tc>
          <w:tcPr>
            <w:tcW w:w="2118" w:type="dxa"/>
            <w:gridSpan w:val="2"/>
            <w:vMerge w:val="restar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机动车</w:t>
            </w:r>
          </w:p>
        </w:tc>
        <w:tc>
          <w:tcPr>
            <w:tcW w:w="2534" w:type="dxa"/>
            <w:tcBorders>
              <w:top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道路</w:t>
            </w:r>
          </w:p>
        </w:tc>
        <w:tc>
          <w:tcPr>
            <w:tcW w:w="3205" w:type="dxa"/>
            <w:tcBorders>
              <w:top w:val="single" w:color="auto" w:sz="8" w:space="0"/>
            </w:tcBorders>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基础、构造层、划线与标识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停车位</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基础、构造层、划线与标识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8"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充电桩</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8" w:hRule="atLeast"/>
          <w:jc w:val="center"/>
        </w:trPr>
        <w:tc>
          <w:tcPr>
            <w:tcW w:w="426" w:type="dxa"/>
            <w:vMerge w:val="continue"/>
            <w:vAlign w:val="center"/>
          </w:tcPr>
          <w:p>
            <w:pPr>
              <w:jc w:val="center"/>
              <w:rPr>
                <w:rFonts w:ascii="Times New Roman" w:hAnsi="Times New Roman"/>
              </w:rPr>
            </w:pP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非机动车</w:t>
            </w:r>
          </w:p>
        </w:tc>
        <w:tc>
          <w:tcPr>
            <w:tcW w:w="2534"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道路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基础、构造层、划线与标识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停车位</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基础、构造层、划线与标识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426" w:type="dxa"/>
            <w:vMerge w:val="continue"/>
            <w:vAlign w:val="center"/>
          </w:tcPr>
          <w:p>
            <w:pPr>
              <w:jc w:val="center"/>
              <w:rPr>
                <w:rFonts w:ascii="Times New Roman" w:hAnsi="Times New Roman"/>
              </w:rPr>
            </w:pP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人行</w:t>
            </w:r>
          </w:p>
        </w:tc>
        <w:tc>
          <w:tcPr>
            <w:tcW w:w="2534"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道路</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基础、构造层、划线与标识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踏步</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基础、构造层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7"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坡道</w:t>
            </w:r>
          </w:p>
        </w:tc>
        <w:tc>
          <w:tcPr>
            <w:tcW w:w="3205" w:type="dxa"/>
            <w:noWrap/>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基础、构造层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6" w:hRule="atLeast"/>
          <w:jc w:val="center"/>
        </w:trPr>
        <w:tc>
          <w:tcPr>
            <w:tcW w:w="426" w:type="dxa"/>
            <w:vMerge w:val="restart"/>
            <w:vAlign w:val="center"/>
          </w:tcPr>
          <w:p>
            <w:pPr>
              <w:jc w:val="center"/>
              <w:rPr>
                <w:rFonts w:ascii="Times New Roman" w:hAnsi="Times New Roman"/>
                <w:sz w:val="18"/>
                <w:szCs w:val="18"/>
              </w:rPr>
            </w:pPr>
            <w:r>
              <w:rPr>
                <w:rFonts w:hint="eastAsia" w:ascii="Times New Roman" w:hAnsi="Times New Roman"/>
                <w:sz w:val="18"/>
                <w:szCs w:val="18"/>
              </w:rPr>
              <w:t>景观</w:t>
            </w: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常规绿化</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植物（树木、草坪）</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种植土</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9" w:hRule="atLeast"/>
          <w:jc w:val="center"/>
        </w:trPr>
        <w:tc>
          <w:tcPr>
            <w:tcW w:w="426" w:type="dxa"/>
            <w:vMerge w:val="continue"/>
            <w:vAlign w:val="center"/>
          </w:tcPr>
          <w:p>
            <w:pPr>
              <w:jc w:val="center"/>
              <w:rPr>
                <w:rFonts w:ascii="Times New Roman" w:hAnsi="Times New Roman"/>
              </w:rPr>
            </w:pP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种植屋面</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植物（树木、草坪）</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2"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覆土</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屋面构造层</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各构造层细分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426" w:type="dxa"/>
            <w:vMerge w:val="restart"/>
            <w:vAlign w:val="center"/>
          </w:tcPr>
          <w:p>
            <w:pPr>
              <w:jc w:val="center"/>
              <w:rPr>
                <w:rFonts w:ascii="Times New Roman" w:hAnsi="Times New Roman"/>
                <w:sz w:val="18"/>
                <w:szCs w:val="18"/>
              </w:rPr>
            </w:pPr>
            <w:r>
              <w:rPr>
                <w:rFonts w:hint="eastAsia" w:ascii="Times New Roman" w:hAnsi="Times New Roman"/>
                <w:sz w:val="18"/>
                <w:szCs w:val="18"/>
              </w:rPr>
              <w:t>活动设施</w:t>
            </w: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广场</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铺装地面</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休憩椅</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9"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雕塑</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9"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花坛</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其他</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2" w:hRule="atLeast"/>
          <w:jc w:val="center"/>
        </w:trPr>
        <w:tc>
          <w:tcPr>
            <w:tcW w:w="426" w:type="dxa"/>
            <w:vMerge w:val="continue"/>
            <w:vAlign w:val="center"/>
          </w:tcPr>
          <w:p>
            <w:pPr>
              <w:jc w:val="center"/>
              <w:rPr>
                <w:rFonts w:ascii="Times New Roman" w:hAnsi="Times New Roman"/>
              </w:rPr>
            </w:pP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健身设施</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漫步机</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3"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扭腰机</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9"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双杠</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吊环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其它</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426" w:type="dxa"/>
            <w:vMerge w:val="continue"/>
            <w:vAlign w:val="center"/>
          </w:tcPr>
          <w:p>
            <w:pPr>
              <w:jc w:val="center"/>
              <w:rPr>
                <w:rFonts w:ascii="Times New Roman" w:hAnsi="Times New Roman"/>
              </w:rPr>
            </w:pP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儿童设施</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滑滑梯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跷跷板</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9"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攀登设施</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其他</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5" w:hRule="atLeast"/>
          <w:jc w:val="center"/>
        </w:trPr>
        <w:tc>
          <w:tcPr>
            <w:tcW w:w="426" w:type="dxa"/>
            <w:vMerge w:val="restart"/>
            <w:vAlign w:val="center"/>
          </w:tcPr>
          <w:p>
            <w:pPr>
              <w:jc w:val="center"/>
              <w:rPr>
                <w:rFonts w:ascii="Times New Roman" w:hAnsi="Times New Roman"/>
                <w:sz w:val="18"/>
                <w:szCs w:val="18"/>
              </w:rPr>
            </w:pPr>
            <w:r>
              <w:rPr>
                <w:rFonts w:hint="eastAsia" w:ascii="Times New Roman" w:hAnsi="Times New Roman"/>
                <w:sz w:val="18"/>
                <w:szCs w:val="18"/>
              </w:rPr>
              <w:t>围护</w:t>
            </w: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大门</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构筑物</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伸缩门</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道闸</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组装、安装部件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426" w:type="dxa"/>
            <w:vMerge w:val="continue"/>
            <w:vAlign w:val="center"/>
          </w:tcPr>
          <w:p>
            <w:pPr>
              <w:jc w:val="center"/>
              <w:rPr>
                <w:rFonts w:ascii="Times New Roman" w:hAnsi="Times New Roman"/>
              </w:rPr>
            </w:pPr>
          </w:p>
        </w:tc>
        <w:tc>
          <w:tcPr>
            <w:tcW w:w="2118" w:type="dxa"/>
            <w:gridSpan w:val="2"/>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围墙</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上部围护</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2" w:hRule="atLeast"/>
          <w:jc w:val="center"/>
        </w:trPr>
        <w:tc>
          <w:tcPr>
            <w:tcW w:w="426" w:type="dxa"/>
            <w:vMerge w:val="continue"/>
            <w:vAlign w:val="center"/>
          </w:tcPr>
          <w:p>
            <w:pPr>
              <w:jc w:val="center"/>
              <w:rPr>
                <w:rFonts w:ascii="Times New Roman" w:hAnsi="Times New Roman"/>
              </w:rPr>
            </w:pPr>
          </w:p>
        </w:tc>
        <w:tc>
          <w:tcPr>
            <w:tcW w:w="2118" w:type="dxa"/>
            <w:gridSpan w:val="2"/>
            <w:vMerge w:val="continue"/>
            <w:vAlign w:val="center"/>
          </w:tcPr>
          <w:p>
            <w:pPr>
              <w:widowControl/>
              <w:spacing w:line="240" w:lineRule="auto"/>
              <w:jc w:val="center"/>
              <w:textAlignment w:val="center"/>
              <w:rPr>
                <w:rFonts w:hint="eastAsia" w:ascii="宋体" w:hAnsi="宋体"/>
                <w:bCs/>
                <w:sz w:val="18"/>
                <w:szCs w:val="18"/>
                <w:lang w:bidi="ar"/>
              </w:rPr>
            </w:pP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下部基础</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426" w:type="dxa"/>
            <w:vMerge w:val="restart"/>
            <w:vAlign w:val="center"/>
          </w:tcPr>
          <w:p>
            <w:pPr>
              <w:jc w:val="center"/>
              <w:rPr>
                <w:rFonts w:ascii="Times New Roman" w:hAnsi="Times New Roman"/>
                <w:sz w:val="18"/>
                <w:szCs w:val="18"/>
              </w:rPr>
            </w:pPr>
            <w:r>
              <w:rPr>
                <w:rFonts w:hint="eastAsia" w:ascii="Times New Roman" w:hAnsi="Times New Roman"/>
                <w:sz w:val="18"/>
                <w:szCs w:val="18"/>
              </w:rPr>
              <w:t>小市政</w:t>
            </w:r>
          </w:p>
        </w:tc>
        <w:tc>
          <w:tcPr>
            <w:tcW w:w="974"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供水</w:t>
            </w:r>
          </w:p>
        </w:tc>
        <w:tc>
          <w:tcPr>
            <w:tcW w:w="114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生活用水</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426" w:type="dxa"/>
            <w:vMerge w:val="continue"/>
            <w:vAlign w:val="center"/>
          </w:tcPr>
          <w:p>
            <w:pPr>
              <w:jc w:val="center"/>
              <w:rPr>
                <w:rFonts w:ascii="Times New Roman" w:hAnsi="Times New Roman"/>
              </w:rPr>
            </w:pPr>
          </w:p>
        </w:tc>
        <w:tc>
          <w:tcPr>
            <w:tcW w:w="974"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14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消防用水</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426" w:type="dxa"/>
            <w:vMerge w:val="continue"/>
            <w:vAlign w:val="center"/>
          </w:tcPr>
          <w:p>
            <w:pPr>
              <w:jc w:val="center"/>
              <w:rPr>
                <w:rFonts w:ascii="Times New Roman" w:hAnsi="Times New Roman"/>
              </w:rPr>
            </w:pPr>
          </w:p>
        </w:tc>
        <w:tc>
          <w:tcPr>
            <w:tcW w:w="974"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排水</w:t>
            </w:r>
          </w:p>
        </w:tc>
        <w:tc>
          <w:tcPr>
            <w:tcW w:w="114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雨水</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6" w:type="dxa"/>
            <w:vMerge w:val="continue"/>
            <w:vAlign w:val="center"/>
          </w:tcPr>
          <w:p>
            <w:pPr>
              <w:jc w:val="center"/>
              <w:rPr>
                <w:rFonts w:ascii="Times New Roman" w:hAnsi="Times New Roman"/>
              </w:rPr>
            </w:pPr>
          </w:p>
        </w:tc>
        <w:tc>
          <w:tcPr>
            <w:tcW w:w="974"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14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污水</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7" w:hRule="atLeast"/>
          <w:jc w:val="center"/>
        </w:trPr>
        <w:tc>
          <w:tcPr>
            <w:tcW w:w="426" w:type="dxa"/>
            <w:vMerge w:val="continue"/>
            <w:vAlign w:val="center"/>
          </w:tcPr>
          <w:p>
            <w:pPr>
              <w:jc w:val="center"/>
              <w:rPr>
                <w:rFonts w:ascii="Times New Roman" w:hAnsi="Times New Roman"/>
              </w:rPr>
            </w:pPr>
          </w:p>
        </w:tc>
        <w:tc>
          <w:tcPr>
            <w:tcW w:w="974"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供电</w:t>
            </w:r>
          </w:p>
        </w:tc>
        <w:tc>
          <w:tcPr>
            <w:tcW w:w="114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强电</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426" w:type="dxa"/>
            <w:vMerge w:val="continue"/>
            <w:vAlign w:val="center"/>
          </w:tcPr>
          <w:p>
            <w:pPr>
              <w:jc w:val="center"/>
              <w:rPr>
                <w:rFonts w:ascii="Times New Roman" w:hAnsi="Times New Roman"/>
              </w:rPr>
            </w:pPr>
          </w:p>
        </w:tc>
        <w:tc>
          <w:tcPr>
            <w:tcW w:w="974"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114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弱电</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设备、线缆、末端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仪表、连接件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7" w:hRule="atLeast"/>
          <w:jc w:val="center"/>
        </w:trPr>
        <w:tc>
          <w:tcPr>
            <w:tcW w:w="426" w:type="dxa"/>
            <w:vMerge w:val="continue"/>
            <w:vAlign w:val="center"/>
          </w:tcPr>
          <w:p>
            <w:pPr>
              <w:jc w:val="center"/>
              <w:rPr>
                <w:rFonts w:ascii="Times New Roman" w:hAnsi="Times New Roman"/>
              </w:rPr>
            </w:pPr>
          </w:p>
        </w:tc>
        <w:tc>
          <w:tcPr>
            <w:tcW w:w="2118" w:type="dxa"/>
            <w:gridSpan w:val="2"/>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供气</w:t>
            </w:r>
          </w:p>
        </w:tc>
        <w:tc>
          <w:tcPr>
            <w:tcW w:w="253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设备、管道、末端</w:t>
            </w:r>
          </w:p>
        </w:tc>
        <w:tc>
          <w:tcPr>
            <w:tcW w:w="3205"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仪表、阀门、连接件</w:t>
            </w:r>
          </w:p>
        </w:tc>
      </w:tr>
    </w:tbl>
    <w:p>
      <w:pPr>
        <w:pStyle w:val="171"/>
        <w:rPr>
          <w:rFonts w:hint="eastAsia"/>
        </w:rPr>
      </w:pPr>
      <w:bookmarkStart w:id="84" w:name="_Toc167201551"/>
      <w:bookmarkStart w:id="85" w:name="_Hlk134032223"/>
    </w:p>
    <w:p>
      <w:pPr>
        <w:pStyle w:val="111"/>
        <w:spacing w:before="156" w:after="156"/>
        <w:rPr>
          <w:rFonts w:hint="eastAsia" w:hAnsi="黑体" w:cs="黑体"/>
        </w:rPr>
      </w:pPr>
      <w:bookmarkStart w:id="86" w:name="_Toc168008284"/>
      <w:r>
        <w:rPr>
          <w:rFonts w:hint="eastAsia" w:hAnsi="黑体" w:cs="黑体"/>
        </w:rPr>
        <w:t>6</w:t>
      </w:r>
      <w:r>
        <w:rPr>
          <w:rFonts w:hAnsi="黑体" w:cs="黑体"/>
        </w:rPr>
        <w:t xml:space="preserve">.3 </w:t>
      </w:r>
      <w:r>
        <w:rPr>
          <w:rFonts w:hint="eastAsia" w:hAnsi="黑体" w:cs="黑体"/>
        </w:rPr>
        <w:t>模型精细度</w:t>
      </w:r>
      <w:bookmarkEnd w:id="84"/>
      <w:bookmarkEnd w:id="86"/>
    </w:p>
    <w:bookmarkEnd w:id="85"/>
    <w:p>
      <w:pPr>
        <w:pStyle w:val="171"/>
        <w:rPr>
          <w:rFonts w:ascii="Times New Roman" w:hAnsi="Times New Roman"/>
          <w:szCs w:val="21"/>
        </w:rPr>
      </w:pPr>
      <w:r>
        <w:rPr>
          <w:rFonts w:hint="eastAsia"/>
        </w:rPr>
        <w:t>6</w:t>
      </w:r>
      <w:r>
        <w:t>.3.1</w:t>
      </w:r>
      <w:r>
        <w:rPr>
          <w:rFonts w:hint="eastAsia"/>
        </w:rPr>
        <w:t xml:space="preserve"> 各阶段的</w:t>
      </w:r>
      <w:r>
        <w:t>模型精细度</w:t>
      </w:r>
      <w:r>
        <w:rPr>
          <w:rFonts w:hint="eastAsia"/>
        </w:rPr>
        <w:t>应符合下列要求：</w:t>
      </w:r>
    </w:p>
    <w:p>
      <w:pPr>
        <w:pStyle w:val="180"/>
        <w:numPr>
          <w:ilvl w:val="0"/>
          <w:numId w:val="37"/>
        </w:numPr>
        <w:tabs>
          <w:tab w:val="left" w:pos="851"/>
        </w:tabs>
        <w:ind w:left="840" w:leftChars="200" w:hanging="420" w:hangingChars="200"/>
        <w:rPr>
          <w:rFonts w:hint="eastAsia" w:hAnsi="宋体"/>
        </w:rPr>
      </w:pPr>
      <w:r>
        <w:rPr>
          <w:rFonts w:hint="eastAsia" w:hAnsi="宋体"/>
        </w:rPr>
        <w:t>设计阶段</w:t>
      </w:r>
      <w:r>
        <w:rPr>
          <w:rFonts w:hAnsi="宋体"/>
        </w:rPr>
        <w:t>模型精细度基本等级划分应符合表</w:t>
      </w:r>
      <w:r>
        <w:rPr>
          <w:rFonts w:hint="eastAsia" w:hAnsi="宋体"/>
        </w:rPr>
        <w:t>4</w:t>
      </w:r>
      <w:r>
        <w:rPr>
          <w:rFonts w:hAnsi="宋体"/>
        </w:rPr>
        <w:t>的规定</w:t>
      </w:r>
      <w:r>
        <w:rPr>
          <w:rFonts w:hint="eastAsia" w:hAnsi="宋体"/>
        </w:rPr>
        <w:t>；</w:t>
      </w:r>
    </w:p>
    <w:p>
      <w:pPr>
        <w:pStyle w:val="180"/>
        <w:numPr>
          <w:ilvl w:val="0"/>
          <w:numId w:val="37"/>
        </w:numPr>
        <w:tabs>
          <w:tab w:val="left" w:pos="851"/>
        </w:tabs>
        <w:ind w:left="840" w:leftChars="200" w:hanging="420" w:hangingChars="200"/>
        <w:rPr>
          <w:rFonts w:hint="eastAsia" w:hAnsi="宋体"/>
        </w:rPr>
      </w:pPr>
      <w:r>
        <w:rPr>
          <w:rFonts w:hAnsi="宋体"/>
        </w:rPr>
        <w:t>深化设计阶段的模型精细度应符合LOD3.5或LOD4.0</w:t>
      </w:r>
      <w:r>
        <w:rPr>
          <w:rFonts w:hint="eastAsia" w:hAnsi="宋体"/>
        </w:rPr>
        <w:t>的要求，</w:t>
      </w:r>
      <w:r>
        <w:rPr>
          <w:rFonts w:hAnsi="宋体"/>
        </w:rPr>
        <w:t>可根据具体项目的需求确定模型精细度等级</w:t>
      </w:r>
      <w:r>
        <w:rPr>
          <w:rFonts w:hint="eastAsia" w:hAnsi="宋体"/>
        </w:rPr>
        <w:t>；</w:t>
      </w:r>
    </w:p>
    <w:p>
      <w:pPr>
        <w:pStyle w:val="180"/>
        <w:numPr>
          <w:ilvl w:val="0"/>
          <w:numId w:val="37"/>
        </w:numPr>
        <w:tabs>
          <w:tab w:val="left" w:pos="851"/>
        </w:tabs>
        <w:ind w:left="840" w:leftChars="200" w:hanging="420" w:hangingChars="200"/>
        <w:rPr>
          <w:rFonts w:hint="eastAsia" w:hAnsi="宋体"/>
        </w:rPr>
      </w:pPr>
      <w:r>
        <w:rPr>
          <w:rFonts w:hint="eastAsia" w:hAnsi="宋体"/>
        </w:rPr>
        <w:t>施工阶段应用模型的</w:t>
      </w:r>
      <w:r>
        <w:rPr>
          <w:rFonts w:hAnsi="宋体"/>
        </w:rPr>
        <w:t>模型精细度可根据具体项目的需求确定</w:t>
      </w:r>
      <w:r>
        <w:rPr>
          <w:rFonts w:hint="eastAsia" w:hAnsi="宋体"/>
        </w:rPr>
        <w:t>，</w:t>
      </w:r>
      <w:r>
        <w:rPr>
          <w:rFonts w:hAnsi="宋体"/>
        </w:rPr>
        <w:t>不</w:t>
      </w:r>
      <w:r>
        <w:rPr>
          <w:rFonts w:hint="eastAsia" w:hAnsi="宋体"/>
        </w:rPr>
        <w:t>宜</w:t>
      </w:r>
      <w:r>
        <w:rPr>
          <w:rFonts w:hAnsi="宋体"/>
        </w:rPr>
        <w:t>低于LOD3</w:t>
      </w:r>
      <w:r>
        <w:rPr>
          <w:rFonts w:hint="eastAsia" w:hAnsi="宋体"/>
        </w:rPr>
        <w:t>.0；</w:t>
      </w:r>
    </w:p>
    <w:p>
      <w:pPr>
        <w:pStyle w:val="180"/>
        <w:numPr>
          <w:ilvl w:val="0"/>
          <w:numId w:val="37"/>
        </w:numPr>
        <w:tabs>
          <w:tab w:val="left" w:pos="851"/>
        </w:tabs>
        <w:ind w:left="840" w:leftChars="200" w:hanging="420" w:hangingChars="200"/>
        <w:rPr>
          <w:rFonts w:hint="eastAsia" w:hAnsi="宋体"/>
        </w:rPr>
      </w:pPr>
      <w:r>
        <w:rPr>
          <w:rFonts w:hint="eastAsia" w:hAnsi="宋体"/>
        </w:rPr>
        <w:t>竣工验收模型的</w:t>
      </w:r>
      <w:r>
        <w:rPr>
          <w:rFonts w:hAnsi="宋体"/>
        </w:rPr>
        <w:t>模型精细度可根据具体项目的需求确定</w:t>
      </w:r>
      <w:r>
        <w:rPr>
          <w:rFonts w:hint="eastAsia" w:hAnsi="宋体"/>
        </w:rPr>
        <w:t>，</w:t>
      </w:r>
      <w:r>
        <w:rPr>
          <w:rFonts w:hAnsi="宋体"/>
        </w:rPr>
        <w:t>不</w:t>
      </w:r>
      <w:r>
        <w:rPr>
          <w:rFonts w:hint="eastAsia" w:hAnsi="宋体"/>
        </w:rPr>
        <w:t>宜</w:t>
      </w:r>
      <w:r>
        <w:rPr>
          <w:rFonts w:hAnsi="宋体"/>
        </w:rPr>
        <w:t>低于LOD3</w:t>
      </w:r>
      <w:r>
        <w:rPr>
          <w:rFonts w:hint="eastAsia" w:hAnsi="宋体"/>
        </w:rPr>
        <w:t>.0；</w:t>
      </w:r>
    </w:p>
    <w:p>
      <w:pPr>
        <w:pStyle w:val="180"/>
        <w:numPr>
          <w:ilvl w:val="0"/>
          <w:numId w:val="37"/>
        </w:numPr>
        <w:tabs>
          <w:tab w:val="left" w:pos="851"/>
        </w:tabs>
        <w:ind w:left="840" w:leftChars="200" w:hanging="420" w:hangingChars="200"/>
        <w:rPr>
          <w:rFonts w:hint="eastAsia" w:hAnsi="宋体"/>
        </w:rPr>
      </w:pPr>
      <w:r>
        <w:rPr>
          <w:rFonts w:hint="eastAsia" w:hAnsi="宋体"/>
        </w:rPr>
        <w:t>运维阶段应用模型的模型精细度</w:t>
      </w:r>
      <w:r>
        <w:rPr>
          <w:rFonts w:hAnsi="宋体"/>
        </w:rPr>
        <w:t>可根据具体项目的需求确定</w:t>
      </w:r>
      <w:r>
        <w:rPr>
          <w:rFonts w:hint="eastAsia" w:hAnsi="宋体"/>
        </w:rPr>
        <w:t>。</w:t>
      </w:r>
    </w:p>
    <w:p>
      <w:pPr>
        <w:pStyle w:val="13"/>
        <w:spacing w:before="156" w:beforeLines="50" w:after="156" w:afterLines="50"/>
        <w:jc w:val="center"/>
        <w:rPr>
          <w:rFonts w:hint="eastAsia" w:ascii="黑体" w:hAnsi="黑体"/>
          <w:kern w:val="0"/>
        </w:rPr>
      </w:pPr>
      <w:bookmarkStart w:id="87" w:name="_Toc174544026"/>
      <w:bookmarkStart w:id="88" w:name="_Toc174544083"/>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4</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设计阶段</w:t>
      </w:r>
      <w:r>
        <w:rPr>
          <w:rFonts w:ascii="黑体" w:hAnsi="黑体"/>
          <w:kern w:val="0"/>
          <w:sz w:val="21"/>
          <w:szCs w:val="21"/>
        </w:rPr>
        <w:t>模型精细度基本等级划分</w:t>
      </w:r>
      <w:bookmarkEnd w:id="87"/>
      <w:bookmarkEnd w:id="88"/>
    </w:p>
    <w:tbl>
      <w:tblPr>
        <w:tblStyle w:val="31"/>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567"/>
        <w:gridCol w:w="2233"/>
        <w:gridCol w:w="2233"/>
        <w:gridCol w:w="1202"/>
        <w:gridCol w:w="205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844"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设计阶段</w:t>
            </w:r>
          </w:p>
        </w:tc>
        <w:tc>
          <w:tcPr>
            <w:tcW w:w="1202"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等级</w:t>
            </w:r>
          </w:p>
        </w:tc>
        <w:tc>
          <w:tcPr>
            <w:tcW w:w="1202"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英文名</w:t>
            </w:r>
          </w:p>
        </w:tc>
        <w:tc>
          <w:tcPr>
            <w:tcW w:w="647"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代号</w:t>
            </w:r>
          </w:p>
        </w:tc>
        <w:tc>
          <w:tcPr>
            <w:tcW w:w="1104"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44"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方案设计</w:t>
            </w:r>
          </w:p>
        </w:tc>
        <w:tc>
          <w:tcPr>
            <w:tcW w:w="1202"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1.0级模型精细度</w:t>
            </w:r>
          </w:p>
        </w:tc>
        <w:tc>
          <w:tcPr>
            <w:tcW w:w="1202"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of Model Definition 1.0</w:t>
            </w:r>
          </w:p>
        </w:tc>
        <w:tc>
          <w:tcPr>
            <w:tcW w:w="647"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1.0</w:t>
            </w:r>
          </w:p>
        </w:tc>
        <w:tc>
          <w:tcPr>
            <w:tcW w:w="1104"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构件</w:t>
            </w:r>
            <w:r>
              <w:rPr>
                <w:rFonts w:ascii="宋体" w:hAnsi="宋体"/>
                <w:bCs/>
                <w:sz w:val="18"/>
                <w:szCs w:val="18"/>
                <w:lang w:bidi="ar"/>
              </w:rPr>
              <w:t>级模型单元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44"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初步设计</w:t>
            </w:r>
          </w:p>
        </w:tc>
        <w:tc>
          <w:tcPr>
            <w:tcW w:w="120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2.0级模型精细度</w:t>
            </w:r>
          </w:p>
        </w:tc>
        <w:tc>
          <w:tcPr>
            <w:tcW w:w="120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of Model Definition 2.0</w:t>
            </w:r>
          </w:p>
        </w:tc>
        <w:tc>
          <w:tcPr>
            <w:tcW w:w="647"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2.0</w:t>
            </w:r>
          </w:p>
        </w:tc>
        <w:tc>
          <w:tcPr>
            <w:tcW w:w="1104" w:type="pct"/>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构件</w:t>
            </w:r>
            <w:r>
              <w:rPr>
                <w:rFonts w:ascii="宋体" w:hAnsi="宋体"/>
                <w:bCs/>
                <w:sz w:val="18"/>
                <w:szCs w:val="18"/>
                <w:lang w:bidi="ar"/>
              </w:rPr>
              <w:t>级模型单元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44"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施工图设计</w:t>
            </w:r>
          </w:p>
        </w:tc>
        <w:tc>
          <w:tcPr>
            <w:tcW w:w="120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3.0级模型精细度</w:t>
            </w:r>
          </w:p>
        </w:tc>
        <w:tc>
          <w:tcPr>
            <w:tcW w:w="120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of Model Definition 3.0</w:t>
            </w:r>
          </w:p>
        </w:tc>
        <w:tc>
          <w:tcPr>
            <w:tcW w:w="647"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3.0</w:t>
            </w:r>
          </w:p>
        </w:tc>
        <w:tc>
          <w:tcPr>
            <w:tcW w:w="1104"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构件级模型单元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44" w:type="pct"/>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深化设计</w:t>
            </w:r>
          </w:p>
        </w:tc>
        <w:tc>
          <w:tcPr>
            <w:tcW w:w="120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3.5级模型精细度</w:t>
            </w:r>
          </w:p>
        </w:tc>
        <w:tc>
          <w:tcPr>
            <w:tcW w:w="120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of Model Definition 3.5</w:t>
            </w:r>
          </w:p>
        </w:tc>
        <w:tc>
          <w:tcPr>
            <w:tcW w:w="647"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3.5</w:t>
            </w:r>
          </w:p>
        </w:tc>
        <w:tc>
          <w:tcPr>
            <w:tcW w:w="1104"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零件级模型单元（组成级）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44" w:type="pct"/>
            <w:vMerge w:val="continue"/>
            <w:vAlign w:val="center"/>
          </w:tcPr>
          <w:p>
            <w:pPr>
              <w:widowControl/>
              <w:spacing w:line="240" w:lineRule="auto"/>
              <w:jc w:val="center"/>
              <w:textAlignment w:val="center"/>
              <w:rPr>
                <w:rFonts w:hint="eastAsia" w:ascii="宋体" w:hAnsi="宋体"/>
                <w:bCs/>
                <w:sz w:val="18"/>
                <w:szCs w:val="18"/>
                <w:lang w:bidi="ar"/>
              </w:rPr>
            </w:pPr>
          </w:p>
        </w:tc>
        <w:tc>
          <w:tcPr>
            <w:tcW w:w="120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4.0级模型精细度</w:t>
            </w:r>
          </w:p>
        </w:tc>
        <w:tc>
          <w:tcPr>
            <w:tcW w:w="120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of Model Definition 4.0</w:t>
            </w:r>
          </w:p>
        </w:tc>
        <w:tc>
          <w:tcPr>
            <w:tcW w:w="647"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4.0</w:t>
            </w:r>
          </w:p>
        </w:tc>
        <w:tc>
          <w:tcPr>
            <w:tcW w:w="1104"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零件级模型单元（安装级）</w:t>
            </w:r>
          </w:p>
        </w:tc>
      </w:tr>
    </w:tbl>
    <w:p>
      <w:pPr>
        <w:pStyle w:val="171"/>
        <w:rPr>
          <w:rFonts w:hint="eastAsia"/>
        </w:rPr>
      </w:pPr>
    </w:p>
    <w:p>
      <w:pPr>
        <w:pStyle w:val="171"/>
        <w:rPr>
          <w:rFonts w:hint="eastAsia"/>
        </w:rPr>
      </w:pPr>
      <w:r>
        <w:rPr>
          <w:rFonts w:hint="eastAsia"/>
        </w:rPr>
        <w:t>6</w:t>
      </w:r>
      <w:r>
        <w:t>.3.</w:t>
      </w:r>
      <w:r>
        <w:rPr>
          <w:rFonts w:hint="eastAsia"/>
        </w:rPr>
        <w:t>2</w:t>
      </w:r>
      <w:r>
        <w:t xml:space="preserve"> </w:t>
      </w:r>
      <w:r>
        <w:rPr>
          <w:rFonts w:ascii="宋体" w:hAnsi="宋体"/>
        </w:rPr>
        <w:t>模型单元精细度的分级</w:t>
      </w:r>
      <w:r>
        <w:rPr>
          <w:rFonts w:hint="eastAsia" w:ascii="宋体" w:hAnsi="宋体"/>
        </w:rPr>
        <w:t>应符合表5的规定，几何表达精度的等级划分应符合表6的规定，信息深度的等级划分应符合表7的规定。</w:t>
      </w:r>
    </w:p>
    <w:p>
      <w:pPr>
        <w:pStyle w:val="13"/>
        <w:spacing w:before="156" w:beforeLines="50" w:after="156" w:afterLines="50"/>
        <w:jc w:val="center"/>
        <w:rPr>
          <w:rFonts w:hint="eastAsia" w:ascii="黑体" w:hAnsi="黑体"/>
          <w:kern w:val="0"/>
        </w:rPr>
      </w:pPr>
      <w:bookmarkStart w:id="89" w:name="_Toc174544084"/>
      <w:bookmarkStart w:id="90" w:name="_Toc174544027"/>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5</w:t>
      </w:r>
      <w:r>
        <w:rPr>
          <w:rFonts w:ascii="黑体" w:hAnsi="黑体"/>
          <w:sz w:val="21"/>
          <w:szCs w:val="21"/>
        </w:rPr>
        <w:fldChar w:fldCharType="end"/>
      </w:r>
      <w:r>
        <w:rPr>
          <w:rFonts w:ascii="黑体" w:hAnsi="黑体"/>
          <w:kern w:val="0"/>
          <w:sz w:val="21"/>
          <w:szCs w:val="21"/>
        </w:rPr>
        <w:t xml:space="preserve"> 模型单元精细度的分级</w:t>
      </w:r>
      <w:bookmarkEnd w:id="89"/>
      <w:bookmarkEnd w:id="90"/>
    </w:p>
    <w:tbl>
      <w:tblPr>
        <w:tblStyle w:val="31"/>
        <w:tblW w:w="5002"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726"/>
        <w:gridCol w:w="756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29"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模型单元分级</w:t>
            </w:r>
          </w:p>
        </w:tc>
        <w:tc>
          <w:tcPr>
            <w:tcW w:w="4071"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模型单元用途</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29"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1.0</w:t>
            </w:r>
          </w:p>
        </w:tc>
        <w:tc>
          <w:tcPr>
            <w:tcW w:w="4071"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承载项目、子项目或局部建筑信息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2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2.0</w:t>
            </w:r>
          </w:p>
        </w:tc>
        <w:tc>
          <w:tcPr>
            <w:tcW w:w="4071"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承载完整功能的模块或空间信息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2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3.0</w:t>
            </w:r>
          </w:p>
        </w:tc>
        <w:tc>
          <w:tcPr>
            <w:tcW w:w="4071"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承载单一的构配件或产品信息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2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3.5</w:t>
            </w:r>
          </w:p>
        </w:tc>
        <w:tc>
          <w:tcPr>
            <w:tcW w:w="4071"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承载构件级模型</w:t>
            </w:r>
            <w:r>
              <w:rPr>
                <w:rFonts w:hint="eastAsia" w:ascii="宋体" w:hAnsi="宋体"/>
                <w:bCs/>
                <w:sz w:val="18"/>
                <w:szCs w:val="18"/>
                <w:lang w:bidi="ar"/>
              </w:rPr>
              <w:t>、</w:t>
            </w:r>
            <w:r>
              <w:rPr>
                <w:rFonts w:ascii="宋体" w:hAnsi="宋体"/>
                <w:bCs/>
                <w:sz w:val="18"/>
                <w:szCs w:val="18"/>
                <w:lang w:bidi="ar"/>
              </w:rPr>
              <w:t>组成级零件的模型单元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92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LOD 4.0</w:t>
            </w:r>
          </w:p>
        </w:tc>
        <w:tc>
          <w:tcPr>
            <w:tcW w:w="4071"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承载构件级模型</w:t>
            </w:r>
            <w:r>
              <w:rPr>
                <w:rFonts w:hint="eastAsia" w:ascii="宋体" w:hAnsi="宋体"/>
                <w:bCs/>
                <w:sz w:val="18"/>
                <w:szCs w:val="18"/>
                <w:lang w:bidi="ar"/>
              </w:rPr>
              <w:t>、</w:t>
            </w:r>
            <w:r>
              <w:rPr>
                <w:rFonts w:ascii="宋体" w:hAnsi="宋体"/>
                <w:bCs/>
                <w:sz w:val="18"/>
                <w:szCs w:val="18"/>
                <w:lang w:bidi="ar"/>
              </w:rPr>
              <w:t>安装级零件的模型单元</w:t>
            </w:r>
          </w:p>
        </w:tc>
      </w:tr>
    </w:tbl>
    <w:p>
      <w:pPr>
        <w:pStyle w:val="171"/>
        <w:rPr>
          <w:rFonts w:hint="eastAsia"/>
        </w:rPr>
      </w:pPr>
    </w:p>
    <w:p>
      <w:pPr>
        <w:pStyle w:val="13"/>
        <w:spacing w:before="156" w:beforeLines="50" w:after="156" w:afterLines="50"/>
        <w:jc w:val="center"/>
        <w:rPr>
          <w:rFonts w:hint="eastAsia" w:ascii="黑体" w:hAnsi="黑体"/>
          <w:kern w:val="0"/>
        </w:rPr>
      </w:pPr>
      <w:bookmarkStart w:id="91" w:name="_Toc174544028"/>
      <w:bookmarkStart w:id="92" w:name="_Toc174544085"/>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6</w:t>
      </w:r>
      <w:r>
        <w:rPr>
          <w:rFonts w:ascii="黑体" w:hAnsi="黑体"/>
          <w:sz w:val="21"/>
          <w:szCs w:val="21"/>
        </w:rPr>
        <w:fldChar w:fldCharType="end"/>
      </w:r>
      <w:r>
        <w:rPr>
          <w:rFonts w:ascii="黑体" w:hAnsi="黑体"/>
          <w:kern w:val="0"/>
          <w:sz w:val="21"/>
          <w:szCs w:val="21"/>
        </w:rPr>
        <w:t xml:space="preserve"> 几何表达精度的等级划分</w:t>
      </w:r>
      <w:bookmarkEnd w:id="91"/>
      <w:bookmarkEnd w:id="92"/>
    </w:p>
    <w:tbl>
      <w:tblPr>
        <w:tblStyle w:val="31"/>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818"/>
        <w:gridCol w:w="2141"/>
        <w:gridCol w:w="796"/>
        <w:gridCol w:w="453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979"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等级</w:t>
            </w:r>
          </w:p>
        </w:tc>
        <w:tc>
          <w:tcPr>
            <w:tcW w:w="1153"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英文名</w:t>
            </w:r>
          </w:p>
        </w:tc>
        <w:tc>
          <w:tcPr>
            <w:tcW w:w="429"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代号</w:t>
            </w:r>
          </w:p>
        </w:tc>
        <w:tc>
          <w:tcPr>
            <w:tcW w:w="2439"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几何表达精度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3" w:hRule="atLeast"/>
        </w:trPr>
        <w:tc>
          <w:tcPr>
            <w:tcW w:w="979"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1级表达精度</w:t>
            </w:r>
          </w:p>
        </w:tc>
        <w:tc>
          <w:tcPr>
            <w:tcW w:w="1153"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1 of geometric detail</w:t>
            </w:r>
          </w:p>
        </w:tc>
        <w:tc>
          <w:tcPr>
            <w:tcW w:w="429"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G1</w:t>
            </w:r>
          </w:p>
        </w:tc>
        <w:tc>
          <w:tcPr>
            <w:tcW w:w="2439" w:type="pct"/>
            <w:tcBorders>
              <w:top w:val="single" w:color="auto" w:sz="8" w:space="0"/>
            </w:tcBorders>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满足二维化或者符号化识别需求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8" w:hRule="atLeast"/>
        </w:trPr>
        <w:tc>
          <w:tcPr>
            <w:tcW w:w="97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2级表达精度</w:t>
            </w:r>
          </w:p>
        </w:tc>
        <w:tc>
          <w:tcPr>
            <w:tcW w:w="1153"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2 of geometric detail</w:t>
            </w:r>
          </w:p>
        </w:tc>
        <w:tc>
          <w:tcPr>
            <w:tcW w:w="42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G2</w:t>
            </w:r>
          </w:p>
        </w:tc>
        <w:tc>
          <w:tcPr>
            <w:tcW w:w="2439" w:type="pct"/>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满足空间占位、主要颜色等粗略识别需求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97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3级表达精度</w:t>
            </w:r>
          </w:p>
        </w:tc>
        <w:tc>
          <w:tcPr>
            <w:tcW w:w="1153"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3 of geometric detail</w:t>
            </w:r>
          </w:p>
        </w:tc>
        <w:tc>
          <w:tcPr>
            <w:tcW w:w="42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G3</w:t>
            </w:r>
          </w:p>
        </w:tc>
        <w:tc>
          <w:tcPr>
            <w:tcW w:w="2439" w:type="pct"/>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满足建造安装流程、采购等精细识别需求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97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3.5级表达精度</w:t>
            </w:r>
          </w:p>
        </w:tc>
        <w:tc>
          <w:tcPr>
            <w:tcW w:w="1153"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3.5 of geometric detail</w:t>
            </w:r>
          </w:p>
        </w:tc>
        <w:tc>
          <w:tcPr>
            <w:tcW w:w="42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G3.5</w:t>
            </w:r>
          </w:p>
        </w:tc>
        <w:tc>
          <w:tcPr>
            <w:tcW w:w="2439" w:type="pct"/>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满足构件级模型单元组成级识别要求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1" w:hRule="atLeast"/>
        </w:trPr>
        <w:tc>
          <w:tcPr>
            <w:tcW w:w="97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4级表达精度</w:t>
            </w:r>
          </w:p>
        </w:tc>
        <w:tc>
          <w:tcPr>
            <w:tcW w:w="1153"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4 of geometric detail</w:t>
            </w:r>
          </w:p>
        </w:tc>
        <w:tc>
          <w:tcPr>
            <w:tcW w:w="42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G4</w:t>
            </w:r>
          </w:p>
        </w:tc>
        <w:tc>
          <w:tcPr>
            <w:tcW w:w="2439" w:type="pct"/>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满足高精度渲染展示、产品管理、制造加工准备等高精度识别需求</w:t>
            </w:r>
          </w:p>
        </w:tc>
      </w:tr>
    </w:tbl>
    <w:p>
      <w:pPr>
        <w:pStyle w:val="171"/>
        <w:rPr>
          <w:rFonts w:hint="eastAsia"/>
        </w:rPr>
      </w:pPr>
    </w:p>
    <w:p>
      <w:pPr>
        <w:pStyle w:val="13"/>
        <w:spacing w:before="156" w:beforeLines="50" w:after="156" w:afterLines="50"/>
        <w:jc w:val="center"/>
        <w:rPr>
          <w:rFonts w:hint="eastAsia" w:ascii="黑体" w:hAnsi="黑体"/>
          <w:kern w:val="0"/>
        </w:rPr>
      </w:pPr>
      <w:bookmarkStart w:id="93" w:name="_Toc174544029"/>
      <w:bookmarkStart w:id="94" w:name="_Toc174544086"/>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7</w:t>
      </w:r>
      <w:r>
        <w:rPr>
          <w:rFonts w:ascii="黑体" w:hAnsi="黑体"/>
          <w:sz w:val="21"/>
          <w:szCs w:val="21"/>
        </w:rPr>
        <w:fldChar w:fldCharType="end"/>
      </w:r>
      <w:r>
        <w:rPr>
          <w:rFonts w:ascii="黑体" w:hAnsi="黑体"/>
          <w:kern w:val="0"/>
          <w:sz w:val="21"/>
          <w:szCs w:val="21"/>
        </w:rPr>
        <w:t xml:space="preserve"> 信息深度的等级划分</w:t>
      </w:r>
      <w:bookmarkEnd w:id="93"/>
      <w:bookmarkEnd w:id="94"/>
    </w:p>
    <w:tbl>
      <w:tblPr>
        <w:tblStyle w:val="31"/>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818"/>
        <w:gridCol w:w="2134"/>
        <w:gridCol w:w="808"/>
        <w:gridCol w:w="452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979"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等级</w:t>
            </w:r>
          </w:p>
        </w:tc>
        <w:tc>
          <w:tcPr>
            <w:tcW w:w="1149"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英文名</w:t>
            </w:r>
          </w:p>
        </w:tc>
        <w:tc>
          <w:tcPr>
            <w:tcW w:w="435"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代号</w:t>
            </w:r>
          </w:p>
        </w:tc>
        <w:tc>
          <w:tcPr>
            <w:tcW w:w="2437"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几何表达精度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3" w:hRule="atLeast"/>
        </w:trPr>
        <w:tc>
          <w:tcPr>
            <w:tcW w:w="979"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1级表达精度</w:t>
            </w:r>
          </w:p>
        </w:tc>
        <w:tc>
          <w:tcPr>
            <w:tcW w:w="1149"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1 of information detail</w:t>
            </w:r>
          </w:p>
        </w:tc>
        <w:tc>
          <w:tcPr>
            <w:tcW w:w="435"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N1</w:t>
            </w:r>
          </w:p>
        </w:tc>
        <w:tc>
          <w:tcPr>
            <w:tcW w:w="2437" w:type="pct"/>
            <w:tcBorders>
              <w:top w:val="single" w:color="auto" w:sz="8" w:space="0"/>
            </w:tcBorders>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宜包含模型单元的身份描述、项目信息、组织角色等信息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8" w:hRule="atLeast"/>
        </w:trPr>
        <w:tc>
          <w:tcPr>
            <w:tcW w:w="97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2级表达精度</w:t>
            </w:r>
          </w:p>
        </w:tc>
        <w:tc>
          <w:tcPr>
            <w:tcW w:w="114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2 of information detail</w:t>
            </w:r>
          </w:p>
        </w:tc>
        <w:tc>
          <w:tcPr>
            <w:tcW w:w="43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N2</w:t>
            </w:r>
          </w:p>
        </w:tc>
        <w:tc>
          <w:tcPr>
            <w:tcW w:w="2437" w:type="pct"/>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宜包含和补充N1等级信息、增加实体系统关系、组成及材质、性能或属性信息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97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3级表达精度</w:t>
            </w:r>
          </w:p>
        </w:tc>
        <w:tc>
          <w:tcPr>
            <w:tcW w:w="114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3 of information detail</w:t>
            </w:r>
          </w:p>
        </w:tc>
        <w:tc>
          <w:tcPr>
            <w:tcW w:w="43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N3</w:t>
            </w:r>
          </w:p>
        </w:tc>
        <w:tc>
          <w:tcPr>
            <w:tcW w:w="2437" w:type="pct"/>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宜包含和补充N2等级信息，增加生产信息、安装信息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3" w:hRule="atLeast"/>
        </w:trPr>
        <w:tc>
          <w:tcPr>
            <w:tcW w:w="97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3.5级表达精度</w:t>
            </w:r>
          </w:p>
        </w:tc>
        <w:tc>
          <w:tcPr>
            <w:tcW w:w="114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3.5 of information detail</w:t>
            </w:r>
          </w:p>
        </w:tc>
        <w:tc>
          <w:tcPr>
            <w:tcW w:w="43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N3.5</w:t>
            </w:r>
          </w:p>
        </w:tc>
        <w:tc>
          <w:tcPr>
            <w:tcW w:w="2437" w:type="pct"/>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宜包含和补充N</w:t>
            </w:r>
            <w:r>
              <w:rPr>
                <w:rFonts w:hint="eastAsia" w:ascii="宋体" w:hAnsi="宋体"/>
                <w:bCs/>
                <w:sz w:val="18"/>
                <w:szCs w:val="18"/>
                <w:lang w:bidi="ar"/>
              </w:rPr>
              <w:t>3</w:t>
            </w:r>
            <w:r>
              <w:rPr>
                <w:rFonts w:ascii="宋体" w:hAnsi="宋体"/>
                <w:bCs/>
                <w:sz w:val="18"/>
                <w:szCs w:val="18"/>
                <w:lang w:bidi="ar"/>
              </w:rPr>
              <w:t>等级信息，增加零件级单元组成构件的生产信息、安装信息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1" w:hRule="atLeast"/>
        </w:trPr>
        <w:tc>
          <w:tcPr>
            <w:tcW w:w="97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4级表达精度</w:t>
            </w:r>
          </w:p>
        </w:tc>
        <w:tc>
          <w:tcPr>
            <w:tcW w:w="1149"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Level 4 of information detail</w:t>
            </w:r>
          </w:p>
        </w:tc>
        <w:tc>
          <w:tcPr>
            <w:tcW w:w="43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N4</w:t>
            </w:r>
          </w:p>
        </w:tc>
        <w:tc>
          <w:tcPr>
            <w:tcW w:w="2437" w:type="pct"/>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宜包含和补充N3.5等级信息、增加资产信息和维护信息</w:t>
            </w:r>
          </w:p>
        </w:tc>
      </w:tr>
    </w:tbl>
    <w:p>
      <w:pPr>
        <w:pStyle w:val="171"/>
        <w:rPr>
          <w:rFonts w:hint="eastAsia"/>
        </w:rPr>
      </w:pPr>
    </w:p>
    <w:p>
      <w:pPr>
        <w:pStyle w:val="171"/>
        <w:rPr>
          <w:rFonts w:ascii="Times New Roman" w:hAnsi="Times New Roman"/>
          <w:szCs w:val="21"/>
        </w:rPr>
      </w:pPr>
      <w:r>
        <w:rPr>
          <w:rFonts w:hint="eastAsia"/>
        </w:rPr>
        <w:t>6</w:t>
      </w:r>
      <w:r>
        <w:t>.3.</w:t>
      </w:r>
      <w:r>
        <w:rPr>
          <w:rFonts w:hint="eastAsia"/>
        </w:rPr>
        <w:t xml:space="preserve">3 </w:t>
      </w:r>
      <w:r>
        <w:t>模型单元的空间占位优先级</w:t>
      </w:r>
      <w:r>
        <w:rPr>
          <w:rFonts w:hint="eastAsia"/>
        </w:rPr>
        <w:t>应符合下列要求：</w:t>
      </w:r>
    </w:p>
    <w:p>
      <w:pPr>
        <w:pStyle w:val="180"/>
        <w:numPr>
          <w:ilvl w:val="0"/>
          <w:numId w:val="38"/>
        </w:numPr>
        <w:tabs>
          <w:tab w:val="left" w:pos="851"/>
        </w:tabs>
        <w:ind w:left="840" w:leftChars="200" w:hanging="420" w:hangingChars="200"/>
        <w:rPr>
          <w:rFonts w:hint="eastAsia" w:hAnsi="宋体"/>
        </w:rPr>
      </w:pPr>
      <w:r>
        <w:rPr>
          <w:rFonts w:hAnsi="宋体"/>
        </w:rPr>
        <w:t>优先级主要指模型的空间占位的剪切或者避让关系</w:t>
      </w:r>
      <w:r>
        <w:rPr>
          <w:rFonts w:hint="eastAsia" w:hAnsi="宋体"/>
        </w:rPr>
        <w:t>；</w:t>
      </w:r>
    </w:p>
    <w:p>
      <w:pPr>
        <w:pStyle w:val="180"/>
        <w:numPr>
          <w:ilvl w:val="0"/>
          <w:numId w:val="38"/>
        </w:numPr>
        <w:tabs>
          <w:tab w:val="left" w:pos="851"/>
        </w:tabs>
        <w:ind w:left="840" w:leftChars="200" w:hanging="420" w:hangingChars="200"/>
        <w:rPr>
          <w:rFonts w:hint="eastAsia" w:hAnsi="宋体"/>
        </w:rPr>
      </w:pPr>
      <w:r>
        <w:rPr>
          <w:rFonts w:hAnsi="宋体"/>
        </w:rPr>
        <w:t>结构构件的优先级大于建筑构件</w:t>
      </w:r>
      <w:r>
        <w:rPr>
          <w:rFonts w:hint="eastAsia" w:hAnsi="宋体"/>
        </w:rPr>
        <w:t>；</w:t>
      </w:r>
    </w:p>
    <w:p>
      <w:pPr>
        <w:pStyle w:val="180"/>
        <w:numPr>
          <w:ilvl w:val="0"/>
          <w:numId w:val="38"/>
        </w:numPr>
        <w:tabs>
          <w:tab w:val="left" w:pos="851"/>
        </w:tabs>
        <w:ind w:left="840" w:leftChars="200" w:hanging="420" w:hangingChars="200"/>
        <w:rPr>
          <w:rFonts w:hint="eastAsia" w:hAnsi="宋体"/>
        </w:rPr>
      </w:pPr>
      <w:r>
        <w:rPr>
          <w:rFonts w:hAnsi="宋体"/>
        </w:rPr>
        <w:t>在项目净高要求较高的情况下，机电管线如需要穿梁，</w:t>
      </w:r>
      <w:r>
        <w:rPr>
          <w:rFonts w:hint="eastAsia" w:hAnsi="宋体"/>
        </w:rPr>
        <w:t>则</w:t>
      </w:r>
      <w:r>
        <w:rPr>
          <w:rFonts w:hAnsi="宋体"/>
        </w:rPr>
        <w:t>管线的优先级大于结构构件</w:t>
      </w:r>
      <w:r>
        <w:rPr>
          <w:rFonts w:hint="eastAsia" w:hAnsi="宋体"/>
        </w:rPr>
        <w:t>；</w:t>
      </w:r>
    </w:p>
    <w:p>
      <w:pPr>
        <w:pStyle w:val="180"/>
        <w:numPr>
          <w:ilvl w:val="0"/>
          <w:numId w:val="38"/>
        </w:numPr>
        <w:tabs>
          <w:tab w:val="left" w:pos="851"/>
        </w:tabs>
        <w:ind w:left="840" w:leftChars="200" w:hanging="420" w:hangingChars="200"/>
        <w:rPr>
          <w:rFonts w:hint="eastAsia" w:hAnsi="宋体"/>
        </w:rPr>
      </w:pPr>
      <w:r>
        <w:rPr>
          <w:rFonts w:hAnsi="宋体"/>
        </w:rPr>
        <w:t>机电管线在没有条件绕行的情况下，优先级大于结构及建筑</w:t>
      </w:r>
      <w:r>
        <w:rPr>
          <w:rFonts w:hint="eastAsia" w:hAnsi="宋体"/>
        </w:rPr>
        <w:t>构件；</w:t>
      </w:r>
    </w:p>
    <w:p>
      <w:pPr>
        <w:pStyle w:val="180"/>
        <w:numPr>
          <w:ilvl w:val="0"/>
          <w:numId w:val="38"/>
        </w:numPr>
        <w:tabs>
          <w:tab w:val="left" w:pos="851"/>
        </w:tabs>
        <w:ind w:left="840" w:leftChars="200" w:hanging="420" w:hangingChars="200"/>
        <w:rPr>
          <w:rFonts w:hint="eastAsia" w:hAnsi="宋体"/>
        </w:rPr>
      </w:pPr>
      <w:r>
        <w:rPr>
          <w:rFonts w:hAnsi="宋体"/>
        </w:rPr>
        <w:t>优先级1为最高级，2次之，依此类推</w:t>
      </w:r>
      <w:r>
        <w:rPr>
          <w:rFonts w:hint="eastAsia" w:hAnsi="宋体"/>
        </w:rPr>
        <w:t>；</w:t>
      </w:r>
    </w:p>
    <w:p>
      <w:pPr>
        <w:pStyle w:val="180"/>
        <w:numPr>
          <w:ilvl w:val="0"/>
          <w:numId w:val="38"/>
        </w:numPr>
        <w:tabs>
          <w:tab w:val="left" w:pos="851"/>
        </w:tabs>
        <w:ind w:left="840" w:leftChars="200" w:hanging="420" w:hangingChars="200"/>
        <w:rPr>
          <w:rFonts w:hint="eastAsia" w:hAnsi="宋体"/>
        </w:rPr>
      </w:pPr>
      <w:r>
        <w:rPr>
          <w:rFonts w:hAnsi="宋体"/>
        </w:rPr>
        <w:t>建筑结构专业优先级较高的模型单元不应被优先级较低的模型单元重叠或剪切，优先级相同的模型单元不宜重叠</w:t>
      </w:r>
      <w:r>
        <w:rPr>
          <w:rFonts w:hint="eastAsia" w:hAnsi="宋体"/>
        </w:rPr>
        <w:t>；</w:t>
      </w:r>
      <w:r>
        <w:rPr>
          <w:rFonts w:hAnsi="宋体"/>
        </w:rPr>
        <w:t xml:space="preserve"> </w:t>
      </w:r>
    </w:p>
    <w:p>
      <w:pPr>
        <w:pStyle w:val="180"/>
        <w:numPr>
          <w:ilvl w:val="0"/>
          <w:numId w:val="38"/>
        </w:numPr>
        <w:tabs>
          <w:tab w:val="left" w:pos="851"/>
        </w:tabs>
        <w:ind w:left="840" w:leftChars="200" w:hanging="420" w:hangingChars="200"/>
        <w:rPr>
          <w:rFonts w:hint="eastAsia" w:hAnsi="宋体"/>
        </w:rPr>
      </w:pPr>
      <w:r>
        <w:rPr>
          <w:rFonts w:hint="eastAsia" w:hAnsi="宋体"/>
        </w:rPr>
        <w:t>机</w:t>
      </w:r>
      <w:r>
        <w:rPr>
          <w:rFonts w:hAnsi="宋体"/>
        </w:rPr>
        <w:t>电专业优先级较低的模型单元应避让优先级较高的模型单元</w:t>
      </w:r>
      <w:r>
        <w:rPr>
          <w:rFonts w:hint="eastAsia" w:hAnsi="宋体"/>
        </w:rPr>
        <w:t>；</w:t>
      </w:r>
    </w:p>
    <w:p>
      <w:pPr>
        <w:pStyle w:val="180"/>
        <w:numPr>
          <w:ilvl w:val="0"/>
          <w:numId w:val="38"/>
        </w:numPr>
        <w:tabs>
          <w:tab w:val="left" w:pos="851"/>
        </w:tabs>
        <w:ind w:left="840" w:leftChars="200" w:hanging="420" w:hangingChars="200"/>
        <w:rPr>
          <w:rFonts w:hint="eastAsia" w:hAnsi="宋体"/>
        </w:rPr>
      </w:pPr>
      <w:r>
        <w:rPr>
          <w:rFonts w:hint="eastAsia" w:hAnsi="宋体"/>
        </w:rPr>
        <w:t>建筑结构构件优先级划分应符合表8的规定，机电管线构件优先级划分应符合表9的规定。</w:t>
      </w:r>
    </w:p>
    <w:p>
      <w:pPr>
        <w:pStyle w:val="13"/>
        <w:spacing w:before="156" w:beforeLines="50" w:after="156" w:afterLines="50"/>
        <w:jc w:val="center"/>
        <w:rPr>
          <w:rFonts w:hint="eastAsia" w:ascii="黑体" w:hAnsi="黑体"/>
          <w:kern w:val="0"/>
        </w:rPr>
      </w:pPr>
      <w:bookmarkStart w:id="95" w:name="_Toc174544030"/>
      <w:bookmarkStart w:id="96" w:name="_Toc174544087"/>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8</w:t>
      </w:r>
      <w:r>
        <w:rPr>
          <w:rFonts w:ascii="黑体" w:hAnsi="黑体"/>
          <w:sz w:val="21"/>
          <w:szCs w:val="21"/>
        </w:rPr>
        <w:fldChar w:fldCharType="end"/>
      </w:r>
      <w:r>
        <w:rPr>
          <w:rFonts w:ascii="黑体" w:hAnsi="黑体"/>
          <w:kern w:val="0"/>
          <w:sz w:val="21"/>
          <w:szCs w:val="21"/>
        </w:rPr>
        <w:t xml:space="preserve"> 建筑结构构件优先级</w:t>
      </w:r>
      <w:bookmarkEnd w:id="95"/>
      <w:bookmarkEnd w:id="96"/>
    </w:p>
    <w:tbl>
      <w:tblPr>
        <w:tblStyle w:val="31"/>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597"/>
        <w:gridCol w:w="468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475"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模型单元名称</w:t>
            </w:r>
          </w:p>
        </w:tc>
        <w:tc>
          <w:tcPr>
            <w:tcW w:w="2525"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优先级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5"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基础</w:t>
            </w:r>
          </w:p>
        </w:tc>
        <w:tc>
          <w:tcPr>
            <w:tcW w:w="2525"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结构柱</w:t>
            </w:r>
          </w:p>
        </w:tc>
        <w:tc>
          <w:tcPr>
            <w:tcW w:w="252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结构梁</w:t>
            </w:r>
          </w:p>
        </w:tc>
        <w:tc>
          <w:tcPr>
            <w:tcW w:w="252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247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结构墙</w:t>
            </w:r>
          </w:p>
        </w:tc>
        <w:tc>
          <w:tcPr>
            <w:tcW w:w="252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结构板</w:t>
            </w:r>
          </w:p>
        </w:tc>
        <w:tc>
          <w:tcPr>
            <w:tcW w:w="252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建筑柱</w:t>
            </w:r>
          </w:p>
        </w:tc>
        <w:tc>
          <w:tcPr>
            <w:tcW w:w="252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247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建筑墙</w:t>
            </w:r>
          </w:p>
        </w:tc>
        <w:tc>
          <w:tcPr>
            <w:tcW w:w="2525"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7</w:t>
            </w:r>
          </w:p>
        </w:tc>
      </w:tr>
    </w:tbl>
    <w:p>
      <w:pPr>
        <w:pStyle w:val="13"/>
        <w:spacing w:before="156" w:beforeLines="50" w:after="156" w:afterLines="50"/>
        <w:jc w:val="center"/>
        <w:rPr>
          <w:rFonts w:hint="eastAsia" w:ascii="黑体" w:hAnsi="黑体"/>
          <w:kern w:val="0"/>
        </w:rPr>
      </w:pPr>
      <w:bookmarkStart w:id="97" w:name="_Toc174544031"/>
      <w:bookmarkStart w:id="98" w:name="_Toc174544088"/>
      <w:bookmarkStart w:id="99" w:name="_Hlk134032269"/>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9</w:t>
      </w:r>
      <w:r>
        <w:rPr>
          <w:rFonts w:ascii="黑体" w:hAnsi="黑体"/>
          <w:sz w:val="21"/>
          <w:szCs w:val="21"/>
        </w:rPr>
        <w:fldChar w:fldCharType="end"/>
      </w:r>
      <w:r>
        <w:rPr>
          <w:rFonts w:ascii="黑体" w:hAnsi="黑体"/>
          <w:kern w:val="0"/>
          <w:sz w:val="21"/>
          <w:szCs w:val="21"/>
        </w:rPr>
        <w:t xml:space="preserve"> 机电管线构件优先级</w:t>
      </w:r>
      <w:bookmarkEnd w:id="97"/>
      <w:bookmarkEnd w:id="98"/>
    </w:p>
    <w:tbl>
      <w:tblPr>
        <w:tblStyle w:val="31"/>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602"/>
        <w:gridCol w:w="468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478"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模型单元名称</w:t>
            </w:r>
          </w:p>
        </w:tc>
        <w:tc>
          <w:tcPr>
            <w:tcW w:w="2522"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优先级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8"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无压管</w:t>
            </w:r>
          </w:p>
        </w:tc>
        <w:tc>
          <w:tcPr>
            <w:tcW w:w="2522"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风管</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工艺管</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母线</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桥架</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有压管</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6</w:t>
            </w:r>
          </w:p>
        </w:tc>
      </w:tr>
      <w:bookmarkEnd w:id="99"/>
    </w:tbl>
    <w:p>
      <w:pPr>
        <w:spacing w:line="240" w:lineRule="auto"/>
        <w:ind w:firstLine="360" w:firstLineChars="200"/>
        <w:rPr>
          <w:rFonts w:hint="eastAsia" w:ascii="宋体" w:hAnsi="宋体"/>
          <w:sz w:val="18"/>
          <w:szCs w:val="18"/>
        </w:rPr>
      </w:pPr>
      <w:r>
        <w:rPr>
          <w:rFonts w:ascii="黑体" w:hAnsi="黑体" w:eastAsia="黑体"/>
          <w:sz w:val="18"/>
          <w:szCs w:val="18"/>
        </w:rPr>
        <w:t>注：</w:t>
      </w:r>
      <w:r>
        <w:rPr>
          <w:rFonts w:ascii="宋体" w:hAnsi="宋体"/>
          <w:sz w:val="18"/>
          <w:szCs w:val="18"/>
        </w:rPr>
        <w:t>机电管线构件的优先级同时要结合项目具体情况，考虑管线的复杂情况、造价、施工条件等。</w:t>
      </w:r>
    </w:p>
    <w:p>
      <w:pPr>
        <w:spacing w:line="240" w:lineRule="auto"/>
        <w:rPr>
          <w:rFonts w:hint="eastAsia" w:ascii="宋体" w:hAnsi="宋体"/>
          <w:sz w:val="18"/>
          <w:szCs w:val="18"/>
        </w:rPr>
      </w:pPr>
    </w:p>
    <w:p>
      <w:pPr>
        <w:pStyle w:val="171"/>
        <w:rPr>
          <w:rFonts w:ascii="Times New Roman" w:hAnsi="Times New Roman"/>
          <w:sz w:val="24"/>
          <w:szCs w:val="24"/>
        </w:rPr>
      </w:pPr>
      <w:r>
        <w:rPr>
          <w:rFonts w:hint="eastAsia"/>
        </w:rPr>
        <w:t>6</w:t>
      </w:r>
      <w:r>
        <w:t>.3.</w:t>
      </w:r>
      <w:r>
        <w:rPr>
          <w:rFonts w:hint="eastAsia"/>
        </w:rPr>
        <w:t xml:space="preserve">4 </w:t>
      </w:r>
      <w:r>
        <w:rPr>
          <w:rFonts w:hint="eastAsia" w:ascii="宋体" w:hAnsi="宋体"/>
        </w:rPr>
        <w:t>模型精细度表达宜按本标准附录A~附录F执行。</w:t>
      </w:r>
    </w:p>
    <w:p>
      <w:pPr>
        <w:pStyle w:val="111"/>
        <w:spacing w:before="156" w:after="156"/>
        <w:rPr>
          <w:rFonts w:hint="eastAsia" w:hAnsi="黑体" w:cs="黑体"/>
        </w:rPr>
      </w:pPr>
      <w:bookmarkStart w:id="100" w:name="_Toc167201552"/>
      <w:bookmarkStart w:id="101" w:name="_Toc168008285"/>
      <w:r>
        <w:rPr>
          <w:rFonts w:hint="eastAsia" w:hAnsi="黑体" w:cs="黑体"/>
        </w:rPr>
        <w:t>6</w:t>
      </w:r>
      <w:r>
        <w:rPr>
          <w:rFonts w:hAnsi="黑体" w:cs="黑体"/>
        </w:rPr>
        <w:t>.4 模型命名</w:t>
      </w:r>
      <w:bookmarkEnd w:id="100"/>
      <w:bookmarkEnd w:id="101"/>
    </w:p>
    <w:p>
      <w:pPr>
        <w:pStyle w:val="171"/>
        <w:rPr>
          <w:rFonts w:hint="eastAsia"/>
        </w:rPr>
      </w:pPr>
      <w:r>
        <w:rPr>
          <w:rFonts w:hint="eastAsia"/>
        </w:rPr>
        <w:t>6</w:t>
      </w:r>
      <w:r>
        <w:t xml:space="preserve">.4.1 </w:t>
      </w:r>
      <w:r>
        <w:rPr>
          <w:rFonts w:ascii="宋体" w:hAnsi="宋体"/>
        </w:rPr>
        <w:t>BIM模型命名</w:t>
      </w:r>
      <w:r>
        <w:rPr>
          <w:rFonts w:hint="eastAsia" w:ascii="宋体" w:hAnsi="宋体"/>
        </w:rPr>
        <w:t>应保持一致，并应符合下列要求：</w:t>
      </w:r>
    </w:p>
    <w:p>
      <w:pPr>
        <w:pStyle w:val="180"/>
        <w:numPr>
          <w:ilvl w:val="0"/>
          <w:numId w:val="39"/>
        </w:numPr>
        <w:tabs>
          <w:tab w:val="left" w:pos="851"/>
        </w:tabs>
        <w:ind w:left="840" w:leftChars="200" w:hanging="420" w:hangingChars="200"/>
        <w:rPr>
          <w:rFonts w:hint="eastAsia" w:hAnsi="宋体"/>
        </w:rPr>
      </w:pPr>
      <w:r>
        <w:rPr>
          <w:rFonts w:hAnsi="宋体"/>
        </w:rPr>
        <w:t>项目文件的命名</w:t>
      </w:r>
      <w:r>
        <w:rPr>
          <w:rFonts w:hint="eastAsia" w:hAnsi="宋体"/>
        </w:rPr>
        <w:t>宜</w:t>
      </w:r>
      <w:r>
        <w:rPr>
          <w:rFonts w:hAnsi="宋体"/>
        </w:rPr>
        <w:t>包含项目名称、完成日期、</w:t>
      </w:r>
      <w:r>
        <w:rPr>
          <w:rFonts w:hint="eastAsia" w:hAnsi="宋体"/>
        </w:rPr>
        <w:t>软件版本</w:t>
      </w:r>
      <w:r>
        <w:rPr>
          <w:rFonts w:hAnsi="宋体"/>
        </w:rPr>
        <w:t>等</w:t>
      </w:r>
      <w:r>
        <w:rPr>
          <w:rFonts w:hint="eastAsia" w:hAnsi="宋体"/>
        </w:rPr>
        <w:t>；</w:t>
      </w:r>
    </w:p>
    <w:p>
      <w:pPr>
        <w:pStyle w:val="180"/>
        <w:numPr>
          <w:ilvl w:val="0"/>
          <w:numId w:val="39"/>
        </w:numPr>
        <w:tabs>
          <w:tab w:val="left" w:pos="851"/>
        </w:tabs>
        <w:ind w:left="840" w:leftChars="200" w:hanging="420" w:hangingChars="200"/>
        <w:rPr>
          <w:rFonts w:hint="eastAsia" w:hAnsi="宋体"/>
        </w:rPr>
      </w:pPr>
      <w:r>
        <w:rPr>
          <w:rFonts w:hAnsi="宋体"/>
        </w:rPr>
        <w:t>模型文件的命名应包含模型的专业属性</w:t>
      </w:r>
      <w:r>
        <w:rPr>
          <w:rFonts w:hint="eastAsia" w:hAnsi="宋体"/>
        </w:rPr>
        <w:t>；</w:t>
      </w:r>
    </w:p>
    <w:p>
      <w:pPr>
        <w:pStyle w:val="180"/>
        <w:numPr>
          <w:ilvl w:val="0"/>
          <w:numId w:val="39"/>
        </w:numPr>
        <w:tabs>
          <w:tab w:val="left" w:pos="851"/>
        </w:tabs>
        <w:ind w:left="840" w:leftChars="200" w:hanging="420" w:hangingChars="200"/>
        <w:rPr>
          <w:rFonts w:hint="eastAsia" w:hAnsi="宋体"/>
        </w:rPr>
      </w:pPr>
      <w:r>
        <w:rPr>
          <w:rFonts w:hAnsi="宋体"/>
        </w:rPr>
        <w:t>模型单元的命名应包含模型的项目级信息、功能级信息、构件级信息。如模型单元为零件级，则应增加零件级信息。</w:t>
      </w:r>
    </w:p>
    <w:p>
      <w:pPr>
        <w:pStyle w:val="171"/>
        <w:rPr>
          <w:rFonts w:ascii="Times New Roman" w:hAnsi="Times New Roman"/>
          <w:szCs w:val="21"/>
        </w:rPr>
      </w:pPr>
      <w:r>
        <w:rPr>
          <w:rFonts w:hint="eastAsia"/>
        </w:rPr>
        <w:t>6</w:t>
      </w:r>
      <w:r>
        <w:t>.4.2</w:t>
      </w:r>
      <w:r>
        <w:rPr>
          <w:rFonts w:hint="eastAsia"/>
        </w:rPr>
        <w:t xml:space="preserve"> </w:t>
      </w:r>
      <w:r>
        <w:rPr>
          <w:rFonts w:ascii="宋体" w:hAnsi="宋体"/>
        </w:rPr>
        <w:t>建筑信息模型文件及模型构件的命名</w:t>
      </w:r>
      <w:r>
        <w:rPr>
          <w:rFonts w:hint="eastAsia" w:ascii="宋体" w:hAnsi="宋体"/>
        </w:rPr>
        <w:t>应符合下列要求：</w:t>
      </w:r>
    </w:p>
    <w:p>
      <w:pPr>
        <w:pStyle w:val="180"/>
        <w:numPr>
          <w:ilvl w:val="0"/>
          <w:numId w:val="40"/>
        </w:numPr>
        <w:tabs>
          <w:tab w:val="left" w:pos="851"/>
        </w:tabs>
        <w:ind w:left="840" w:leftChars="200" w:hanging="420" w:hangingChars="200"/>
        <w:rPr>
          <w:rFonts w:hint="eastAsia" w:hAnsi="宋体"/>
        </w:rPr>
      </w:pPr>
      <w:r>
        <w:rPr>
          <w:rFonts w:hAnsi="宋体"/>
        </w:rPr>
        <w:t>模型文件及模型构件的命名应简明且易于辨识</w:t>
      </w:r>
      <w:r>
        <w:rPr>
          <w:rFonts w:hint="eastAsia" w:hAnsi="宋体"/>
        </w:rPr>
        <w:t>；</w:t>
      </w:r>
    </w:p>
    <w:p>
      <w:pPr>
        <w:pStyle w:val="180"/>
        <w:numPr>
          <w:ilvl w:val="0"/>
          <w:numId w:val="40"/>
        </w:numPr>
        <w:tabs>
          <w:tab w:val="left" w:pos="851"/>
        </w:tabs>
        <w:ind w:left="840" w:leftChars="200" w:hanging="420" w:hangingChars="200"/>
        <w:rPr>
          <w:rFonts w:hint="eastAsia" w:hAnsi="宋体"/>
        </w:rPr>
      </w:pPr>
      <w:r>
        <w:rPr>
          <w:rFonts w:hAnsi="宋体"/>
        </w:rPr>
        <w:t>建筑信息模型构件的命名应包括工程对象、模型单元、最小模型单元等基本信息</w:t>
      </w:r>
      <w:r>
        <w:rPr>
          <w:rFonts w:hint="eastAsia" w:hAnsi="宋体"/>
        </w:rPr>
        <w:t>；</w:t>
      </w:r>
    </w:p>
    <w:p>
      <w:pPr>
        <w:pStyle w:val="180"/>
        <w:numPr>
          <w:ilvl w:val="0"/>
          <w:numId w:val="40"/>
        </w:numPr>
        <w:tabs>
          <w:tab w:val="left" w:pos="851"/>
        </w:tabs>
        <w:ind w:left="840" w:leftChars="200" w:hanging="420" w:hangingChars="200"/>
        <w:rPr>
          <w:rFonts w:hint="eastAsia" w:hAnsi="宋体"/>
        </w:rPr>
      </w:pPr>
      <w:r>
        <w:rPr>
          <w:rFonts w:hAnsi="宋体"/>
        </w:rPr>
        <w:t>命名文字部分内部组合宜使用英文</w:t>
      </w:r>
      <w:r>
        <w:rPr>
          <w:rFonts w:hint="eastAsia" w:hAnsi="宋体"/>
        </w:rPr>
        <w:t>、拼音</w:t>
      </w:r>
      <w:r>
        <w:rPr>
          <w:rFonts w:hAnsi="宋体"/>
        </w:rPr>
        <w:t>和汉字的组合</w:t>
      </w:r>
      <w:r>
        <w:rPr>
          <w:rFonts w:hint="eastAsia" w:hAnsi="宋体"/>
        </w:rPr>
        <w:t>；</w:t>
      </w:r>
    </w:p>
    <w:p>
      <w:pPr>
        <w:pStyle w:val="180"/>
        <w:numPr>
          <w:ilvl w:val="0"/>
          <w:numId w:val="40"/>
        </w:numPr>
        <w:tabs>
          <w:tab w:val="left" w:pos="851"/>
        </w:tabs>
        <w:ind w:left="840" w:leftChars="200" w:hanging="420" w:hangingChars="200"/>
        <w:rPr>
          <w:rFonts w:hint="eastAsia" w:hAnsi="宋体"/>
        </w:rPr>
      </w:pPr>
      <w:r>
        <w:rPr>
          <w:rFonts w:hAnsi="宋体"/>
        </w:rPr>
        <w:t>组合之间宜使用半角连字符号“-”分隔。</w:t>
      </w:r>
    </w:p>
    <w:p>
      <w:pPr>
        <w:pStyle w:val="111"/>
        <w:spacing w:before="156" w:after="156"/>
        <w:rPr>
          <w:rFonts w:hint="eastAsia" w:hAnsi="黑体" w:cs="黑体"/>
        </w:rPr>
      </w:pPr>
      <w:bookmarkStart w:id="102" w:name="_Toc167201553"/>
      <w:bookmarkStart w:id="103" w:name="_Toc168008286"/>
      <w:r>
        <w:rPr>
          <w:rFonts w:hint="eastAsia" w:hAnsi="黑体" w:cs="黑体"/>
        </w:rPr>
        <w:t>6</w:t>
      </w:r>
      <w:r>
        <w:rPr>
          <w:rFonts w:hAnsi="黑体" w:cs="黑体"/>
        </w:rPr>
        <w:t>.5 交付规定</w:t>
      </w:r>
      <w:bookmarkEnd w:id="102"/>
      <w:bookmarkEnd w:id="103"/>
    </w:p>
    <w:p>
      <w:pPr>
        <w:pStyle w:val="171"/>
        <w:rPr>
          <w:rFonts w:hint="eastAsia"/>
        </w:rPr>
      </w:pPr>
      <w:r>
        <w:rPr>
          <w:rFonts w:hint="eastAsia"/>
        </w:rPr>
        <w:t>6</w:t>
      </w:r>
      <w:r>
        <w:t xml:space="preserve">.5.1 </w:t>
      </w:r>
      <w:r>
        <w:rPr>
          <w:rFonts w:ascii="宋体" w:hAnsi="宋体"/>
        </w:rPr>
        <w:t>BIM</w:t>
      </w:r>
      <w:r>
        <w:rPr>
          <w:rFonts w:hint="eastAsia" w:ascii="宋体" w:hAnsi="宋体"/>
        </w:rPr>
        <w:t>交付</w:t>
      </w:r>
      <w:r>
        <w:rPr>
          <w:rFonts w:ascii="宋体" w:hAnsi="宋体"/>
        </w:rPr>
        <w:t>成果应包括BIM模型、图纸文件、分析报告、视频文件等。</w:t>
      </w:r>
    </w:p>
    <w:p>
      <w:pPr>
        <w:pStyle w:val="171"/>
        <w:rPr>
          <w:rFonts w:hint="eastAsia"/>
        </w:rPr>
      </w:pPr>
      <w:r>
        <w:rPr>
          <w:rFonts w:hint="eastAsia"/>
        </w:rPr>
        <w:t>6</w:t>
      </w:r>
      <w:r>
        <w:t xml:space="preserve">.5.2 </w:t>
      </w:r>
      <w:r>
        <w:rPr>
          <w:rFonts w:ascii="宋体" w:hAnsi="宋体"/>
        </w:rPr>
        <w:t>BIM</w:t>
      </w:r>
      <w:r>
        <w:rPr>
          <w:rFonts w:hint="eastAsia" w:ascii="宋体" w:hAnsi="宋体"/>
        </w:rPr>
        <w:t>交付</w:t>
      </w:r>
      <w:r>
        <w:rPr>
          <w:rFonts w:ascii="宋体" w:hAnsi="宋体"/>
        </w:rPr>
        <w:t>成果之间应确保具有正确有效的关联关系。</w:t>
      </w:r>
    </w:p>
    <w:p>
      <w:pPr>
        <w:pStyle w:val="171"/>
        <w:rPr>
          <w:rFonts w:hint="eastAsia"/>
        </w:rPr>
      </w:pPr>
      <w:r>
        <w:rPr>
          <w:rFonts w:hint="eastAsia"/>
        </w:rPr>
        <w:t>6</w:t>
      </w:r>
      <w:r>
        <w:t xml:space="preserve">.5.3 </w:t>
      </w:r>
      <w:r>
        <w:rPr>
          <w:rFonts w:ascii="宋体" w:hAnsi="宋体"/>
        </w:rPr>
        <w:t>BIM</w:t>
      </w:r>
      <w:r>
        <w:rPr>
          <w:rFonts w:hint="eastAsia" w:ascii="宋体" w:hAnsi="宋体"/>
        </w:rPr>
        <w:t>交付</w:t>
      </w:r>
      <w:r>
        <w:rPr>
          <w:rFonts w:ascii="宋体" w:hAnsi="宋体"/>
        </w:rPr>
        <w:t>成果应与各阶段的其他文件同时交付，并应确保交付内容满足各阶段应用需求。</w:t>
      </w:r>
    </w:p>
    <w:p>
      <w:pPr>
        <w:pStyle w:val="171"/>
        <w:rPr>
          <w:rFonts w:hint="eastAsia"/>
        </w:rPr>
      </w:pPr>
      <w:r>
        <w:rPr>
          <w:rFonts w:hint="eastAsia"/>
        </w:rPr>
        <w:t>6</w:t>
      </w:r>
      <w:r>
        <w:t xml:space="preserve">.5.4 </w:t>
      </w:r>
      <w:r>
        <w:rPr>
          <w:rFonts w:ascii="宋体" w:hAnsi="宋体"/>
        </w:rPr>
        <w:t>BIM</w:t>
      </w:r>
      <w:r>
        <w:rPr>
          <w:rFonts w:hint="eastAsia" w:ascii="宋体" w:hAnsi="宋体"/>
        </w:rPr>
        <w:t>交付</w:t>
      </w:r>
      <w:r>
        <w:rPr>
          <w:rFonts w:ascii="宋体" w:hAnsi="宋体"/>
        </w:rPr>
        <w:t>成果文件格式宜符合表</w:t>
      </w:r>
      <w:r>
        <w:rPr>
          <w:rFonts w:hint="eastAsia" w:ascii="宋体" w:hAnsi="宋体"/>
        </w:rPr>
        <w:t>10</w:t>
      </w:r>
      <w:r>
        <w:rPr>
          <w:rFonts w:ascii="宋体" w:hAnsi="宋体"/>
        </w:rPr>
        <w:t>的规定。</w:t>
      </w:r>
    </w:p>
    <w:p>
      <w:pPr>
        <w:pStyle w:val="13"/>
        <w:spacing w:before="156" w:beforeLines="50" w:after="156" w:afterLines="50"/>
        <w:jc w:val="center"/>
        <w:rPr>
          <w:rFonts w:hint="eastAsia" w:ascii="黑体" w:hAnsi="黑体"/>
          <w:kern w:val="0"/>
        </w:rPr>
      </w:pPr>
      <w:bookmarkStart w:id="104" w:name="_Toc174544032"/>
      <w:bookmarkStart w:id="105" w:name="_Toc174544089"/>
      <w:bookmarkStart w:id="106" w:name="_Hlk134033062"/>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10</w:t>
      </w:r>
      <w:r>
        <w:rPr>
          <w:rFonts w:ascii="黑体" w:hAnsi="黑体"/>
          <w:sz w:val="21"/>
          <w:szCs w:val="21"/>
        </w:rPr>
        <w:fldChar w:fldCharType="end"/>
      </w:r>
      <w:r>
        <w:rPr>
          <w:rFonts w:ascii="黑体" w:hAnsi="黑体"/>
          <w:kern w:val="0"/>
          <w:sz w:val="21"/>
          <w:szCs w:val="21"/>
        </w:rPr>
        <w:t xml:space="preserve"> BIM</w:t>
      </w:r>
      <w:r>
        <w:rPr>
          <w:rFonts w:hint="eastAsia" w:ascii="黑体" w:hAnsi="黑体"/>
          <w:kern w:val="0"/>
          <w:sz w:val="21"/>
          <w:szCs w:val="21"/>
        </w:rPr>
        <w:t>交付</w:t>
      </w:r>
      <w:r>
        <w:rPr>
          <w:rFonts w:ascii="黑体" w:hAnsi="黑体"/>
          <w:kern w:val="0"/>
          <w:sz w:val="21"/>
          <w:szCs w:val="21"/>
        </w:rPr>
        <w:t>成果文件格式</w:t>
      </w:r>
      <w:bookmarkEnd w:id="104"/>
      <w:bookmarkEnd w:id="105"/>
    </w:p>
    <w:tbl>
      <w:tblPr>
        <w:tblStyle w:val="31"/>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602"/>
        <w:gridCol w:w="468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478"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交付文件类型</w:t>
            </w:r>
          </w:p>
        </w:tc>
        <w:tc>
          <w:tcPr>
            <w:tcW w:w="2522" w:type="pct"/>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文件格式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3" w:hRule="atLeast"/>
          <w:jc w:val="center"/>
        </w:trPr>
        <w:tc>
          <w:tcPr>
            <w:tcW w:w="2478"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BIM模型</w:t>
            </w:r>
          </w:p>
        </w:tc>
        <w:tc>
          <w:tcPr>
            <w:tcW w:w="2522" w:type="pc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原生文件或其他开放格式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8"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图纸文件</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原文件或PDF等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0"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分析报告等文本文件</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DOC、PDF、WPS等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图像文件</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JPEG、PNG等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6"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视频文件</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AVI、MP4等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数据库文件</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SQL、DDL等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地理信息数据文件</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DXF、SDB等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2478"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激光扫描文件</w:t>
            </w:r>
          </w:p>
        </w:tc>
        <w:tc>
          <w:tcPr>
            <w:tcW w:w="2522" w:type="pc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ASC、TXT等</w:t>
            </w:r>
          </w:p>
        </w:tc>
      </w:tr>
      <w:bookmarkEnd w:id="106"/>
    </w:tbl>
    <w:p>
      <w:pPr>
        <w:pStyle w:val="171"/>
        <w:rPr>
          <w:rFonts w:hint="eastAsia"/>
        </w:rPr>
      </w:pPr>
    </w:p>
    <w:p>
      <w:pPr>
        <w:pStyle w:val="171"/>
        <w:rPr>
          <w:rFonts w:hint="eastAsia"/>
        </w:rPr>
      </w:pPr>
      <w:r>
        <w:rPr>
          <w:rFonts w:hint="eastAsia"/>
        </w:rPr>
        <w:t>6</w:t>
      </w:r>
      <w:r>
        <w:t xml:space="preserve">.5.5 </w:t>
      </w:r>
      <w:r>
        <w:rPr>
          <w:rFonts w:ascii="宋体" w:hAnsi="宋体"/>
        </w:rPr>
        <w:t>BIM</w:t>
      </w:r>
      <w:r>
        <w:rPr>
          <w:rFonts w:hint="eastAsia" w:ascii="宋体" w:hAnsi="宋体"/>
        </w:rPr>
        <w:t>交付成果</w:t>
      </w:r>
      <w:r>
        <w:rPr>
          <w:rFonts w:ascii="宋体" w:hAnsi="宋体"/>
        </w:rPr>
        <w:t>文件应符合各阶段建模的相关规定及对模型</w:t>
      </w:r>
      <w:r>
        <w:rPr>
          <w:rFonts w:hint="eastAsia" w:ascii="宋体" w:hAnsi="宋体"/>
        </w:rPr>
        <w:t>的</w:t>
      </w:r>
      <w:r>
        <w:rPr>
          <w:rFonts w:ascii="宋体" w:hAnsi="宋体"/>
        </w:rPr>
        <w:t>精细度要求</w:t>
      </w:r>
      <w:r>
        <w:rPr>
          <w:rFonts w:hint="eastAsia" w:ascii="宋体" w:hAnsi="宋体"/>
        </w:rPr>
        <w:t>，并</w:t>
      </w:r>
      <w:r>
        <w:rPr>
          <w:rFonts w:ascii="宋体" w:hAnsi="宋体"/>
        </w:rPr>
        <w:t>按照质量管理规定检查或者审校后方可交付。</w:t>
      </w:r>
    </w:p>
    <w:p>
      <w:pPr>
        <w:pStyle w:val="171"/>
        <w:rPr>
          <w:rFonts w:hint="eastAsia"/>
        </w:rPr>
      </w:pPr>
      <w:r>
        <w:rPr>
          <w:rFonts w:hint="eastAsia"/>
        </w:rPr>
        <w:t>6</w:t>
      </w:r>
      <w:r>
        <w:t xml:space="preserve">.5.6 </w:t>
      </w:r>
      <w:r>
        <w:rPr>
          <w:rFonts w:hint="eastAsia" w:ascii="宋体" w:hAnsi="宋体"/>
        </w:rPr>
        <w:t>B</w:t>
      </w:r>
      <w:r>
        <w:rPr>
          <w:rFonts w:ascii="宋体" w:hAnsi="宋体"/>
        </w:rPr>
        <w:t>IM</w:t>
      </w:r>
      <w:r>
        <w:rPr>
          <w:rFonts w:hint="eastAsia" w:ascii="宋体" w:hAnsi="宋体"/>
        </w:rPr>
        <w:t>交付</w:t>
      </w:r>
      <w:r>
        <w:rPr>
          <w:rFonts w:ascii="宋体" w:hAnsi="宋体"/>
        </w:rPr>
        <w:t>成果文件交付前应根据各阶段应用要求进行检查，满足应用要求才能提交。</w:t>
      </w:r>
    </w:p>
    <w:p>
      <w:pPr>
        <w:pStyle w:val="171"/>
        <w:rPr>
          <w:rFonts w:hint="eastAsia"/>
        </w:rPr>
      </w:pPr>
      <w:r>
        <w:rPr>
          <w:rFonts w:hint="eastAsia"/>
        </w:rPr>
        <w:t>6</w:t>
      </w:r>
      <w:r>
        <w:t xml:space="preserve">.5.7 </w:t>
      </w:r>
      <w:r>
        <w:rPr>
          <w:rFonts w:ascii="宋体" w:hAnsi="宋体"/>
        </w:rPr>
        <w:t>各阶段</w:t>
      </w:r>
      <w:r>
        <w:rPr>
          <w:rFonts w:hint="eastAsia" w:ascii="宋体" w:hAnsi="宋体"/>
        </w:rPr>
        <w:t>BIM技术应用</w:t>
      </w:r>
      <w:r>
        <w:rPr>
          <w:rFonts w:ascii="宋体" w:hAnsi="宋体"/>
        </w:rPr>
        <w:t>成果交付内容应</w:t>
      </w:r>
      <w:r>
        <w:rPr>
          <w:rFonts w:hint="eastAsia" w:ascii="宋体" w:hAnsi="宋体"/>
        </w:rPr>
        <w:t>根据</w:t>
      </w:r>
      <w:r>
        <w:rPr>
          <w:rFonts w:ascii="宋体" w:hAnsi="宋体"/>
        </w:rPr>
        <w:t>表</w:t>
      </w:r>
      <w:r>
        <w:rPr>
          <w:rFonts w:hint="eastAsia" w:ascii="宋体" w:hAnsi="宋体"/>
        </w:rPr>
        <w:t>11</w:t>
      </w:r>
      <w:r>
        <w:rPr>
          <w:rFonts w:ascii="宋体" w:hAnsi="宋体"/>
        </w:rPr>
        <w:t>选用</w:t>
      </w:r>
      <w:r>
        <w:rPr>
          <w:rFonts w:hint="eastAsia" w:ascii="宋体" w:hAnsi="宋体"/>
        </w:rPr>
        <w:t>。</w:t>
      </w:r>
    </w:p>
    <w:p>
      <w:pPr>
        <w:pStyle w:val="13"/>
        <w:spacing w:before="156" w:beforeLines="50" w:after="156" w:afterLines="50"/>
        <w:jc w:val="center"/>
        <w:rPr>
          <w:rFonts w:hint="eastAsia" w:ascii="黑体" w:hAnsi="黑体"/>
          <w:kern w:val="0"/>
        </w:rPr>
      </w:pPr>
      <w:bookmarkStart w:id="107" w:name="_Toc174544033"/>
      <w:bookmarkStart w:id="108" w:name="_Toc174544090"/>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11</w:t>
      </w:r>
      <w:r>
        <w:rPr>
          <w:rFonts w:ascii="黑体" w:hAnsi="黑体"/>
          <w:sz w:val="21"/>
          <w:szCs w:val="21"/>
        </w:rPr>
        <w:fldChar w:fldCharType="end"/>
      </w:r>
      <w:r>
        <w:rPr>
          <w:rFonts w:ascii="黑体" w:hAnsi="黑体"/>
          <w:sz w:val="21"/>
          <w:szCs w:val="21"/>
        </w:rPr>
        <w:t xml:space="preserve"> 各阶段BIM技术应用成果交付内容</w:t>
      </w:r>
      <w:bookmarkEnd w:id="107"/>
      <w:bookmarkEnd w:id="108"/>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2628"/>
        <w:gridCol w:w="422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阶段</w:t>
            </w:r>
          </w:p>
        </w:tc>
        <w:tc>
          <w:tcPr>
            <w:tcW w:w="2628"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应用类别</w:t>
            </w:r>
          </w:p>
        </w:tc>
        <w:tc>
          <w:tcPr>
            <w:tcW w:w="4224"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成果交付内容</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restar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设计阶段</w:t>
            </w:r>
          </w:p>
        </w:tc>
        <w:tc>
          <w:tcPr>
            <w:tcW w:w="2628"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设计校验</w:t>
            </w:r>
          </w:p>
        </w:tc>
        <w:tc>
          <w:tcPr>
            <w:tcW w:w="4224" w:type="dxa"/>
            <w:tcBorders>
              <w:top w:val="single" w:color="auto" w:sz="8" w:space="0"/>
            </w:tcBorders>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专业内设计图纸问题、专业间错漏碰缺问题校验报告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设计空间优化</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空间优化建议书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可视化应用</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漫游视频、虚拟仿真动画</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制图表达</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设计阶段图纸、计算文件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专项设计深化</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专项深化模型、图纸、计算文件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绿色设计专项应用</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节能、日照、风环境、光环境、声环境、热环境、抗震等专项应用报告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智能化审查和模型评价</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审查模型、审查文件、模型评价书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施工阶段</w:t>
            </w: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施工模拟</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施工模型、施工模拟动画、虚拟漫游文件、施工模拟分析报告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预制加工</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预制构件模型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进度管理</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进度管理模型、进度优化与模拟成果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成本管理</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成本管理模型、图纸问题统计、工程量清单表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质量管理</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质量管理模型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安全管理</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安全管理模型、可视化安全技术交底</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绿色施工专项应用</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自然采光和照明计算书，可再生能源使用情况报告，临时用水方案，实时污染控制方案等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竣工验收备案</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hint="eastAsia" w:ascii="宋体" w:hAnsi="宋体"/>
                <w:bCs/>
                <w:sz w:val="18"/>
                <w:szCs w:val="18"/>
                <w:lang w:bidi="ar"/>
              </w:rPr>
              <w:t>竣工验收模型、</w:t>
            </w:r>
            <w:r>
              <w:rPr>
                <w:rFonts w:ascii="宋体" w:hAnsi="宋体"/>
                <w:bCs/>
                <w:sz w:val="18"/>
                <w:szCs w:val="18"/>
                <w:lang w:bidi="ar"/>
              </w:rPr>
              <w:t>工程验收资料电子文件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 xml:space="preserve">运维阶段 </w:t>
            </w: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能源与碳排放管理</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hint="eastAsia" w:ascii="宋体" w:hAnsi="宋体"/>
                <w:bCs/>
                <w:sz w:val="18"/>
                <w:szCs w:val="18"/>
                <w:lang w:bidi="ar"/>
              </w:rPr>
              <w:t>能源与碳排放数据监测分析报告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安防与消防管理</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hint="eastAsia" w:ascii="宋体" w:hAnsi="宋体"/>
                <w:bCs/>
                <w:sz w:val="18"/>
                <w:szCs w:val="18"/>
                <w:lang w:bidi="ar"/>
              </w:rPr>
              <w:t>安防与消防深化模型、管理报告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空间与资产管理</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hint="eastAsia" w:ascii="宋体" w:hAnsi="宋体"/>
                <w:bCs/>
                <w:sz w:val="18"/>
                <w:szCs w:val="18"/>
                <w:lang w:bidi="ar"/>
              </w:rPr>
              <w:t>空间与资产深化模型、管理报告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702"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628"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设备设施管理</w:t>
            </w:r>
          </w:p>
        </w:tc>
        <w:tc>
          <w:tcPr>
            <w:tcW w:w="4224"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hint="eastAsia" w:ascii="宋体" w:hAnsi="宋体"/>
                <w:bCs/>
                <w:sz w:val="18"/>
                <w:szCs w:val="18"/>
                <w:lang w:bidi="ar"/>
              </w:rPr>
              <w:t>设备设施深化模型、管理报告</w:t>
            </w:r>
          </w:p>
        </w:tc>
      </w:tr>
    </w:tbl>
    <w:p>
      <w:pPr>
        <w:pStyle w:val="110"/>
        <w:spacing w:before="312" w:after="312"/>
        <w:rPr>
          <w:rFonts w:ascii="Times New Roman"/>
          <w:sz w:val="28"/>
          <w:szCs w:val="28"/>
        </w:rPr>
      </w:pPr>
      <w:r>
        <w:rPr>
          <w:rFonts w:ascii="Times New Roman"/>
          <w:sz w:val="28"/>
          <w:szCs w:val="28"/>
        </w:rPr>
        <w:br w:type="page"/>
      </w:r>
      <w:bookmarkStart w:id="109" w:name="_Toc167201554"/>
      <w:bookmarkStart w:id="110" w:name="_Toc168008287"/>
      <w:r>
        <w:rPr>
          <w:rFonts w:hint="eastAsia"/>
          <w:szCs w:val="21"/>
        </w:rPr>
        <w:t xml:space="preserve">7 </w:t>
      </w:r>
      <w:r>
        <w:rPr>
          <w:szCs w:val="21"/>
        </w:rPr>
        <w:t>设计阶段应用</w:t>
      </w:r>
      <w:bookmarkEnd w:id="109"/>
      <w:bookmarkEnd w:id="110"/>
      <w:bookmarkStart w:id="111" w:name="_Hlk134034685"/>
      <w:r>
        <w:rPr>
          <w:szCs w:val="21"/>
        </w:rPr>
        <w:t xml:space="preserve"> </w:t>
      </w:r>
    </w:p>
    <w:p>
      <w:pPr>
        <w:pStyle w:val="111"/>
        <w:spacing w:before="156" w:after="156"/>
        <w:rPr>
          <w:rFonts w:hint="eastAsia" w:hAnsi="黑体" w:cs="黑体"/>
        </w:rPr>
      </w:pPr>
      <w:bookmarkStart w:id="112" w:name="_Toc167201555"/>
      <w:bookmarkStart w:id="113" w:name="_Toc168008288"/>
      <w:r>
        <w:rPr>
          <w:rFonts w:hint="eastAsia" w:hAnsi="黑体" w:cs="黑体"/>
        </w:rPr>
        <w:t>7</w:t>
      </w:r>
      <w:r>
        <w:rPr>
          <w:rFonts w:hAnsi="黑体" w:cs="黑体"/>
        </w:rPr>
        <w:t>.1 一般规定</w:t>
      </w:r>
      <w:bookmarkEnd w:id="112"/>
      <w:bookmarkEnd w:id="113"/>
    </w:p>
    <w:p>
      <w:pPr>
        <w:pStyle w:val="171"/>
        <w:rPr>
          <w:rFonts w:hint="eastAsia"/>
        </w:rPr>
      </w:pPr>
      <w:r>
        <w:rPr>
          <w:rFonts w:hint="eastAsia"/>
        </w:rPr>
        <w:t>7</w:t>
      </w:r>
      <w:r>
        <w:t xml:space="preserve">.1.1 </w:t>
      </w:r>
      <w:r>
        <w:rPr>
          <w:rFonts w:ascii="宋体" w:hAnsi="宋体"/>
        </w:rPr>
        <w:t>各专业</w:t>
      </w:r>
      <w:r>
        <w:rPr>
          <w:rFonts w:hint="eastAsia" w:ascii="宋体" w:hAnsi="宋体"/>
        </w:rPr>
        <w:t>宜</w:t>
      </w:r>
      <w:r>
        <w:rPr>
          <w:rFonts w:ascii="宋体" w:hAnsi="宋体"/>
        </w:rPr>
        <w:t>基于BIM协同设计平台进行设计协同，实现模型信息的</w:t>
      </w:r>
      <w:r>
        <w:rPr>
          <w:rFonts w:hint="eastAsia" w:ascii="宋体" w:hAnsi="宋体"/>
        </w:rPr>
        <w:t>共享与交换</w:t>
      </w:r>
      <w:r>
        <w:rPr>
          <w:rFonts w:ascii="宋体" w:hAnsi="宋体"/>
        </w:rPr>
        <w:t>，为</w:t>
      </w:r>
      <w:r>
        <w:rPr>
          <w:rFonts w:hint="eastAsia" w:ascii="宋体" w:hAnsi="宋体"/>
        </w:rPr>
        <w:t>B</w:t>
      </w:r>
      <w:r>
        <w:rPr>
          <w:rFonts w:ascii="宋体" w:hAnsi="宋体"/>
        </w:rPr>
        <w:t>IM模型在</w:t>
      </w:r>
      <w:r>
        <w:rPr>
          <w:rFonts w:hint="eastAsia" w:ascii="宋体" w:hAnsi="宋体"/>
        </w:rPr>
        <w:t>绿色建筑</w:t>
      </w:r>
      <w:r>
        <w:rPr>
          <w:rFonts w:ascii="宋体" w:hAnsi="宋体"/>
        </w:rPr>
        <w:t>全生命</w:t>
      </w:r>
      <w:r>
        <w:rPr>
          <w:rFonts w:hint="eastAsia" w:ascii="宋体" w:hAnsi="宋体"/>
        </w:rPr>
        <w:t>周</w:t>
      </w:r>
      <w:r>
        <w:rPr>
          <w:rFonts w:ascii="宋体" w:hAnsi="宋体"/>
        </w:rPr>
        <w:t>期的应用创造条件。</w:t>
      </w:r>
    </w:p>
    <w:p>
      <w:pPr>
        <w:pStyle w:val="171"/>
        <w:rPr>
          <w:rFonts w:hint="eastAsia"/>
        </w:rPr>
      </w:pPr>
      <w:r>
        <w:rPr>
          <w:rFonts w:hint="eastAsia"/>
        </w:rPr>
        <w:t>7</w:t>
      </w:r>
      <w:r>
        <w:t xml:space="preserve">.1.2 </w:t>
      </w:r>
      <w:r>
        <w:rPr>
          <w:rFonts w:ascii="宋体" w:hAnsi="宋体"/>
        </w:rPr>
        <w:t>模型创建方应充分利用各种资源构建BIM资源库，创建标准化建模条件。</w:t>
      </w:r>
    </w:p>
    <w:p>
      <w:pPr>
        <w:pStyle w:val="171"/>
        <w:rPr>
          <w:rFonts w:hint="eastAsia"/>
        </w:rPr>
      </w:pPr>
      <w:r>
        <w:rPr>
          <w:rFonts w:hint="eastAsia"/>
        </w:rPr>
        <w:t>7</w:t>
      </w:r>
      <w:r>
        <w:t>.1.3 设</w:t>
      </w:r>
      <w:r>
        <w:rPr>
          <w:rFonts w:ascii="宋体" w:hAnsi="宋体"/>
        </w:rPr>
        <w:t>计阶段BIM技术应用</w:t>
      </w:r>
      <w:r>
        <w:rPr>
          <w:rFonts w:hint="eastAsia" w:ascii="宋体" w:hAnsi="宋体"/>
        </w:rPr>
        <w:t>应考虑</w:t>
      </w:r>
      <w:r>
        <w:rPr>
          <w:rFonts w:ascii="宋体" w:hAnsi="宋体"/>
        </w:rPr>
        <w:t>设计校验、设计空间优化、可视化应用、制图表达、专项设计深化、绿色设计专项应用、智能化审查和模型评价</w:t>
      </w:r>
      <w:r>
        <w:rPr>
          <w:rFonts w:hint="eastAsia" w:ascii="宋体" w:hAnsi="宋体"/>
        </w:rPr>
        <w:t>等BIM技术应用</w:t>
      </w:r>
      <w:r>
        <w:rPr>
          <w:rFonts w:ascii="宋体" w:hAnsi="宋体"/>
        </w:rPr>
        <w:t>。</w:t>
      </w:r>
    </w:p>
    <w:p>
      <w:pPr>
        <w:pStyle w:val="111"/>
        <w:spacing w:before="156" w:after="156"/>
        <w:rPr>
          <w:rFonts w:ascii="Times New Roman"/>
          <w:szCs w:val="21"/>
        </w:rPr>
      </w:pPr>
      <w:bookmarkStart w:id="114" w:name="_Toc167201556"/>
      <w:bookmarkStart w:id="115" w:name="_Toc168008289"/>
      <w:bookmarkStart w:id="116" w:name="_Hlk134033844"/>
      <w:r>
        <w:rPr>
          <w:rFonts w:hint="eastAsia" w:hAnsi="黑体" w:cs="黑体"/>
        </w:rPr>
        <w:t>7</w:t>
      </w:r>
      <w:r>
        <w:rPr>
          <w:rFonts w:hAnsi="黑体" w:cs="黑体"/>
        </w:rPr>
        <w:t>.2</w:t>
      </w:r>
      <w:r>
        <w:rPr>
          <w:rFonts w:hint="eastAsia" w:hAnsi="黑体" w:cs="黑体"/>
        </w:rPr>
        <w:t xml:space="preserve"> </w:t>
      </w:r>
      <w:r>
        <w:rPr>
          <w:rFonts w:hAnsi="黑体" w:cs="黑体"/>
        </w:rPr>
        <w:t>设计</w:t>
      </w:r>
      <w:r>
        <w:rPr>
          <w:rFonts w:hint="eastAsia" w:hAnsi="黑体" w:cs="黑体"/>
        </w:rPr>
        <w:t>校验与</w:t>
      </w:r>
      <w:r>
        <w:rPr>
          <w:rFonts w:hAnsi="黑体" w:cs="黑体"/>
        </w:rPr>
        <w:t>空间优化</w:t>
      </w:r>
      <w:bookmarkEnd w:id="114"/>
      <w:bookmarkEnd w:id="115"/>
    </w:p>
    <w:bookmarkEnd w:id="116"/>
    <w:p>
      <w:pPr>
        <w:pStyle w:val="171"/>
        <w:rPr>
          <w:rFonts w:hint="eastAsia"/>
        </w:rPr>
      </w:pPr>
      <w:r>
        <w:rPr>
          <w:rFonts w:hint="eastAsia"/>
        </w:rPr>
        <w:t>7</w:t>
      </w:r>
      <w:r>
        <w:t>.2.1 设计校验应包括</w:t>
      </w:r>
      <w:bookmarkEnd w:id="111"/>
      <w:r>
        <w:rPr>
          <w:rFonts w:hint="eastAsia"/>
        </w:rPr>
        <w:t>各专业设计不一致、空间净高不足、构件安装冲突等问题的校验。</w:t>
      </w:r>
    </w:p>
    <w:p>
      <w:pPr>
        <w:pStyle w:val="171"/>
        <w:rPr>
          <w:rFonts w:hint="eastAsia"/>
        </w:rPr>
      </w:pPr>
      <w:r>
        <w:rPr>
          <w:rFonts w:hint="eastAsia"/>
        </w:rPr>
        <w:t>7</w:t>
      </w:r>
      <w:r>
        <w:t>.2.2 设计校验报告宜包括</w:t>
      </w:r>
      <w:r>
        <w:rPr>
          <w:rFonts w:hint="eastAsia"/>
        </w:rPr>
        <w:t>问题位置、问题描述、问题追踪、核查修改意见等信息</w:t>
      </w:r>
      <w:r>
        <w:t>。</w:t>
      </w:r>
    </w:p>
    <w:p>
      <w:pPr>
        <w:pStyle w:val="171"/>
        <w:rPr>
          <w:rFonts w:hint="eastAsia"/>
        </w:rPr>
      </w:pPr>
      <w:r>
        <w:rPr>
          <w:rFonts w:hint="eastAsia"/>
        </w:rPr>
        <w:t>7.2.3</w:t>
      </w:r>
      <w:r>
        <w:t xml:space="preserve"> 在设计过程中，应关注建筑、结构、幕墙、装饰、设备等多专业的整体空间组织，对空间管理进行全面掌控，使各设计专业、</w:t>
      </w:r>
      <w:r>
        <w:rPr>
          <w:rFonts w:hint="eastAsia"/>
        </w:rPr>
        <w:t>构件元素</w:t>
      </w:r>
      <w:r>
        <w:t>协调统一。</w:t>
      </w:r>
    </w:p>
    <w:p>
      <w:pPr>
        <w:pStyle w:val="171"/>
        <w:rPr>
          <w:rFonts w:hint="eastAsia"/>
        </w:rPr>
      </w:pPr>
      <w:r>
        <w:rPr>
          <w:rFonts w:hint="eastAsia"/>
        </w:rPr>
        <w:t>7</w:t>
      </w:r>
      <w:r>
        <w:t>.</w:t>
      </w:r>
      <w:r>
        <w:rPr>
          <w:rFonts w:hint="eastAsia"/>
        </w:rPr>
        <w:t>2.4</w:t>
      </w:r>
      <w:r>
        <w:t xml:space="preserve"> 空间优化应以提升建筑空间安全性、舒适性、美观性、经济性</w:t>
      </w:r>
      <w:r>
        <w:rPr>
          <w:rFonts w:hint="eastAsia"/>
        </w:rPr>
        <w:t>为</w:t>
      </w:r>
      <w:r>
        <w:t>目标。</w:t>
      </w:r>
    </w:p>
    <w:p>
      <w:pPr>
        <w:pStyle w:val="171"/>
        <w:rPr>
          <w:rFonts w:hint="eastAsia"/>
        </w:rPr>
      </w:pPr>
      <w:r>
        <w:rPr>
          <w:rFonts w:hint="eastAsia"/>
        </w:rPr>
        <w:t>7</w:t>
      </w:r>
      <w:r>
        <w:t>.</w:t>
      </w:r>
      <w:r>
        <w:rPr>
          <w:rFonts w:hint="eastAsia"/>
        </w:rPr>
        <w:t xml:space="preserve">2.5 </w:t>
      </w:r>
      <w:r>
        <w:t>对建筑外部及内部空间关系进行优化应用，</w:t>
      </w:r>
      <w:r>
        <w:rPr>
          <w:rFonts w:hint="eastAsia"/>
        </w:rPr>
        <w:t>其</w:t>
      </w:r>
      <w:r>
        <w:t>内容</w:t>
      </w:r>
      <w:r>
        <w:rPr>
          <w:rFonts w:hint="eastAsia"/>
        </w:rPr>
        <w:t>应</w:t>
      </w:r>
      <w:r>
        <w:t>包括</w:t>
      </w:r>
      <w:r>
        <w:rPr>
          <w:rFonts w:hint="eastAsia"/>
        </w:rPr>
        <w:t>：</w:t>
      </w:r>
    </w:p>
    <w:p>
      <w:pPr>
        <w:pStyle w:val="180"/>
        <w:numPr>
          <w:ilvl w:val="0"/>
          <w:numId w:val="41"/>
        </w:numPr>
        <w:tabs>
          <w:tab w:val="left" w:pos="851"/>
        </w:tabs>
        <w:ind w:left="840" w:leftChars="200" w:hanging="420" w:hangingChars="200"/>
        <w:rPr>
          <w:rFonts w:hint="eastAsia" w:hAnsi="宋体"/>
        </w:rPr>
      </w:pPr>
      <w:r>
        <w:rPr>
          <w:rFonts w:hAnsi="宋体"/>
        </w:rPr>
        <w:t>总图布局结合项目功能需求、场地现状、场地周边既有建筑、景观、交通、市政现状优化总图布局</w:t>
      </w:r>
      <w:r>
        <w:rPr>
          <w:rFonts w:hint="eastAsia" w:hAnsi="宋体"/>
        </w:rPr>
        <w:t>；</w:t>
      </w:r>
    </w:p>
    <w:p>
      <w:pPr>
        <w:pStyle w:val="180"/>
        <w:numPr>
          <w:ilvl w:val="0"/>
          <w:numId w:val="41"/>
        </w:numPr>
        <w:tabs>
          <w:tab w:val="left" w:pos="851"/>
        </w:tabs>
        <w:ind w:left="840" w:leftChars="200" w:hanging="420" w:hangingChars="200"/>
        <w:rPr>
          <w:rFonts w:hint="eastAsia" w:hAnsi="宋体"/>
        </w:rPr>
      </w:pPr>
      <w:r>
        <w:rPr>
          <w:rFonts w:hAnsi="宋体"/>
        </w:rPr>
        <w:t>建筑形体</w:t>
      </w:r>
      <w:r>
        <w:rPr>
          <w:rFonts w:hint="eastAsia" w:hAnsi="宋体"/>
        </w:rPr>
        <w:t>根据规划限高</w:t>
      </w:r>
      <w:r>
        <w:rPr>
          <w:rFonts w:hAnsi="宋体"/>
        </w:rPr>
        <w:t>要求，结合</w:t>
      </w:r>
      <w:r>
        <w:rPr>
          <w:rFonts w:hint="eastAsia" w:hAnsi="宋体"/>
        </w:rPr>
        <w:t>建筑方案</w:t>
      </w:r>
      <w:r>
        <w:rPr>
          <w:rFonts w:hAnsi="宋体"/>
        </w:rPr>
        <w:t>、结构</w:t>
      </w:r>
      <w:r>
        <w:rPr>
          <w:rFonts w:hint="eastAsia" w:hAnsi="宋体"/>
        </w:rPr>
        <w:t>选型</w:t>
      </w:r>
      <w:r>
        <w:rPr>
          <w:rFonts w:hAnsi="宋体"/>
        </w:rPr>
        <w:t>、屋顶设备需求优化建筑形体</w:t>
      </w:r>
      <w:r>
        <w:rPr>
          <w:rFonts w:hint="eastAsia" w:hAnsi="宋体"/>
        </w:rPr>
        <w:t>；</w:t>
      </w:r>
    </w:p>
    <w:p>
      <w:pPr>
        <w:pStyle w:val="180"/>
        <w:numPr>
          <w:ilvl w:val="0"/>
          <w:numId w:val="41"/>
        </w:numPr>
        <w:tabs>
          <w:tab w:val="left" w:pos="851"/>
        </w:tabs>
        <w:ind w:left="840" w:leftChars="200" w:hanging="420" w:hangingChars="200"/>
        <w:rPr>
          <w:rFonts w:hint="eastAsia" w:hAnsi="宋体"/>
        </w:rPr>
      </w:pPr>
      <w:r>
        <w:rPr>
          <w:rFonts w:hAnsi="宋体"/>
        </w:rPr>
        <w:t>柱网梁高结合建筑平面功能需求、结构形式、内装及机电需求，确定柱网排布方案、结构梁高及管线穿梁方案</w:t>
      </w:r>
      <w:r>
        <w:rPr>
          <w:rFonts w:hint="eastAsia" w:hAnsi="宋体"/>
        </w:rPr>
        <w:t>；</w:t>
      </w:r>
    </w:p>
    <w:p>
      <w:pPr>
        <w:pStyle w:val="180"/>
        <w:numPr>
          <w:ilvl w:val="0"/>
          <w:numId w:val="41"/>
        </w:numPr>
        <w:tabs>
          <w:tab w:val="left" w:pos="851"/>
        </w:tabs>
        <w:ind w:left="840" w:leftChars="200" w:hanging="420" w:hangingChars="200"/>
        <w:rPr>
          <w:rFonts w:hint="eastAsia" w:hAnsi="宋体"/>
        </w:rPr>
      </w:pPr>
      <w:r>
        <w:rPr>
          <w:rFonts w:hAnsi="宋体"/>
        </w:rPr>
        <w:t>层高净高根据建筑、内装高度</w:t>
      </w:r>
      <w:r>
        <w:rPr>
          <w:rFonts w:hint="eastAsia" w:hAnsi="宋体"/>
        </w:rPr>
        <w:t>要求</w:t>
      </w:r>
      <w:r>
        <w:rPr>
          <w:rFonts w:hAnsi="宋体"/>
        </w:rPr>
        <w:t>，充分考虑施工误差、施工安装、检修空间预留，在方案和初步设计阶段确定项目层高，在施工图及深化设计阶段控制净高</w:t>
      </w:r>
      <w:r>
        <w:rPr>
          <w:rFonts w:hint="eastAsia" w:hAnsi="宋体"/>
        </w:rPr>
        <w:t>；</w:t>
      </w:r>
    </w:p>
    <w:p>
      <w:pPr>
        <w:pStyle w:val="180"/>
        <w:numPr>
          <w:ilvl w:val="0"/>
          <w:numId w:val="41"/>
        </w:numPr>
        <w:tabs>
          <w:tab w:val="left" w:pos="851"/>
        </w:tabs>
        <w:ind w:left="840" w:leftChars="200" w:hanging="420" w:hangingChars="200"/>
        <w:rPr>
          <w:rFonts w:hint="eastAsia" w:hAnsi="宋体"/>
        </w:rPr>
      </w:pPr>
      <w:r>
        <w:rPr>
          <w:rFonts w:hAnsi="宋体"/>
        </w:rPr>
        <w:t>机房布局结合建筑、机电需求，优化机房楼层及所属区域的布置</w:t>
      </w:r>
      <w:r>
        <w:rPr>
          <w:rFonts w:hint="eastAsia" w:hAnsi="宋体"/>
        </w:rPr>
        <w:t>；</w:t>
      </w:r>
    </w:p>
    <w:p>
      <w:pPr>
        <w:pStyle w:val="180"/>
        <w:numPr>
          <w:ilvl w:val="0"/>
          <w:numId w:val="41"/>
        </w:numPr>
        <w:tabs>
          <w:tab w:val="left" w:pos="851"/>
        </w:tabs>
        <w:ind w:left="840" w:leftChars="200" w:hanging="420" w:hangingChars="200"/>
        <w:rPr>
          <w:rFonts w:hint="eastAsia" w:hAnsi="宋体"/>
        </w:rPr>
      </w:pPr>
      <w:r>
        <w:rPr>
          <w:rFonts w:hAnsi="宋体"/>
        </w:rPr>
        <w:t>管线路由包含机电管线路由方案、管线管径尺寸、设备阀门连接等位置调整优化</w:t>
      </w:r>
      <w:r>
        <w:rPr>
          <w:rFonts w:hint="eastAsia" w:hAnsi="宋体"/>
        </w:rPr>
        <w:t>；</w:t>
      </w:r>
    </w:p>
    <w:p>
      <w:pPr>
        <w:pStyle w:val="180"/>
        <w:numPr>
          <w:ilvl w:val="0"/>
          <w:numId w:val="41"/>
        </w:numPr>
        <w:tabs>
          <w:tab w:val="left" w:pos="851"/>
        </w:tabs>
        <w:ind w:left="840" w:leftChars="200" w:hanging="420" w:hangingChars="200"/>
        <w:rPr>
          <w:rFonts w:hint="eastAsia" w:hAnsi="宋体"/>
        </w:rPr>
      </w:pPr>
      <w:r>
        <w:rPr>
          <w:rFonts w:hAnsi="宋体"/>
        </w:rPr>
        <w:t>管井落位结合建筑功能布局、机电管线路由情况，优化管井落</w:t>
      </w:r>
      <w:r>
        <w:rPr>
          <w:rFonts w:hint="eastAsia" w:hAnsi="宋体"/>
        </w:rPr>
        <w:t>位；</w:t>
      </w:r>
    </w:p>
    <w:p>
      <w:pPr>
        <w:pStyle w:val="180"/>
        <w:numPr>
          <w:ilvl w:val="0"/>
          <w:numId w:val="41"/>
        </w:numPr>
        <w:tabs>
          <w:tab w:val="left" w:pos="851"/>
        </w:tabs>
        <w:ind w:left="840" w:leftChars="200" w:hanging="420" w:hangingChars="200"/>
        <w:rPr>
          <w:rFonts w:hint="eastAsia" w:hAnsi="宋体"/>
        </w:rPr>
      </w:pPr>
      <w:r>
        <w:rPr>
          <w:rFonts w:hAnsi="宋体"/>
        </w:rPr>
        <w:t>构件布置包含优化建筑、结构、机电、内装等各类构件空间布置的安全性、舒适性、美观性、经济性。</w:t>
      </w:r>
    </w:p>
    <w:p>
      <w:pPr>
        <w:pStyle w:val="171"/>
        <w:rPr>
          <w:rFonts w:hint="eastAsia"/>
        </w:rPr>
      </w:pPr>
      <w:r>
        <w:rPr>
          <w:rFonts w:hint="eastAsia"/>
        </w:rPr>
        <w:t>7</w:t>
      </w:r>
      <w:r>
        <w:t>.</w:t>
      </w:r>
      <w:r>
        <w:rPr>
          <w:rFonts w:hint="eastAsia"/>
        </w:rPr>
        <w:t>2.6</w:t>
      </w:r>
      <w:r>
        <w:t xml:space="preserve"> </w:t>
      </w:r>
      <w:r>
        <w:rPr>
          <w:rFonts w:ascii="宋体" w:hAnsi="宋体"/>
        </w:rPr>
        <w:t>设计空间优化工作</w:t>
      </w:r>
      <w:r>
        <w:rPr>
          <w:rFonts w:hint="eastAsia" w:ascii="宋体" w:hAnsi="宋体"/>
        </w:rPr>
        <w:t>宜</w:t>
      </w:r>
      <w:r>
        <w:rPr>
          <w:rFonts w:ascii="宋体" w:hAnsi="宋体"/>
        </w:rPr>
        <w:t>贯穿建设项目</w:t>
      </w:r>
      <w:r>
        <w:rPr>
          <w:rFonts w:hint="eastAsia" w:ascii="宋体" w:hAnsi="宋体"/>
        </w:rPr>
        <w:t>方案设计</w:t>
      </w:r>
      <w:r>
        <w:rPr>
          <w:rFonts w:ascii="宋体" w:hAnsi="宋体"/>
        </w:rPr>
        <w:t>、初步设计、施工图设计、深化设计的全过程，</w:t>
      </w:r>
      <w:r>
        <w:rPr>
          <w:rFonts w:hint="eastAsia" w:ascii="宋体" w:hAnsi="宋体"/>
        </w:rPr>
        <w:t>设计各阶段优化内容宜符合表12规定。</w:t>
      </w:r>
    </w:p>
    <w:p>
      <w:pPr>
        <w:pStyle w:val="13"/>
        <w:spacing w:before="156" w:beforeLines="50" w:after="156" w:afterLines="50"/>
        <w:jc w:val="center"/>
        <w:rPr>
          <w:rFonts w:hint="eastAsia" w:ascii="黑体" w:hAnsi="黑体"/>
          <w:kern w:val="0"/>
        </w:rPr>
      </w:pPr>
      <w:bookmarkStart w:id="117" w:name="_Toc174544091"/>
      <w:bookmarkStart w:id="118" w:name="_Toc174544034"/>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12</w:t>
      </w:r>
      <w:r>
        <w:rPr>
          <w:rFonts w:ascii="黑体" w:hAnsi="黑体"/>
          <w:sz w:val="21"/>
          <w:szCs w:val="21"/>
        </w:rPr>
        <w:fldChar w:fldCharType="end"/>
      </w:r>
      <w:r>
        <w:rPr>
          <w:rFonts w:ascii="黑体" w:hAnsi="黑体"/>
          <w:sz w:val="21"/>
          <w:szCs w:val="21"/>
        </w:rPr>
        <w:t xml:space="preserve"> 设计</w:t>
      </w:r>
      <w:r>
        <w:rPr>
          <w:rFonts w:hint="eastAsia" w:ascii="黑体" w:hAnsi="黑体"/>
          <w:sz w:val="21"/>
          <w:szCs w:val="21"/>
        </w:rPr>
        <w:t>各</w:t>
      </w:r>
      <w:r>
        <w:rPr>
          <w:rFonts w:ascii="黑体" w:hAnsi="黑体"/>
          <w:sz w:val="21"/>
          <w:szCs w:val="21"/>
        </w:rPr>
        <w:t>阶段优化内容</w:t>
      </w:r>
      <w:bookmarkEnd w:id="117"/>
      <w:bookmarkEnd w:id="118"/>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222"/>
        <w:gridCol w:w="1849"/>
        <w:gridCol w:w="1324"/>
        <w:gridCol w:w="1418"/>
        <w:gridCol w:w="141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Borders>
              <w:top w:val="single" w:color="auto" w:sz="8" w:space="0"/>
              <w:bottom w:val="single" w:color="auto" w:sz="8" w:space="0"/>
            </w:tcBorders>
          </w:tcPr>
          <w:p>
            <w:pPr>
              <w:widowControl/>
              <w:spacing w:line="240" w:lineRule="auto"/>
              <w:jc w:val="center"/>
              <w:textAlignment w:val="center"/>
              <w:rPr>
                <w:rFonts w:hint="eastAsia" w:ascii="宋体" w:hAnsi="宋体"/>
                <w:bCs/>
                <w:sz w:val="18"/>
                <w:szCs w:val="18"/>
                <w:lang w:bidi="ar"/>
              </w:rPr>
            </w:pPr>
          </w:p>
        </w:tc>
        <w:tc>
          <w:tcPr>
            <w:tcW w:w="1849" w:type="dxa"/>
            <w:tcBorders>
              <w:top w:val="single" w:color="auto" w:sz="8" w:space="0"/>
              <w:bottom w:val="single" w:color="auto" w:sz="8" w:space="0"/>
            </w:tcBorders>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方案</w:t>
            </w:r>
            <w:r>
              <w:rPr>
                <w:rFonts w:hint="eastAsia" w:ascii="宋体" w:hAnsi="宋体"/>
                <w:bCs/>
                <w:sz w:val="18"/>
                <w:szCs w:val="18"/>
                <w:lang w:bidi="ar"/>
              </w:rPr>
              <w:t>设计</w:t>
            </w:r>
          </w:p>
        </w:tc>
        <w:tc>
          <w:tcPr>
            <w:tcW w:w="1324" w:type="dxa"/>
            <w:tcBorders>
              <w:top w:val="single" w:color="auto" w:sz="8" w:space="0"/>
              <w:bottom w:val="single" w:color="auto" w:sz="8" w:space="0"/>
            </w:tcBorders>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初步设计</w:t>
            </w:r>
          </w:p>
        </w:tc>
        <w:tc>
          <w:tcPr>
            <w:tcW w:w="1418" w:type="dxa"/>
            <w:tcBorders>
              <w:top w:val="single" w:color="auto" w:sz="8" w:space="0"/>
              <w:bottom w:val="single" w:color="auto" w:sz="8" w:space="0"/>
            </w:tcBorders>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施工图设计</w:t>
            </w:r>
          </w:p>
        </w:tc>
        <w:tc>
          <w:tcPr>
            <w:tcW w:w="1418" w:type="dxa"/>
            <w:tcBorders>
              <w:top w:val="single" w:color="auto" w:sz="8" w:space="0"/>
              <w:bottom w:val="single" w:color="auto" w:sz="8" w:space="0"/>
            </w:tcBorders>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深化设计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Borders>
              <w:top w:val="single" w:color="auto" w:sz="8" w:space="0"/>
            </w:tcBorders>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总图布局</w:t>
            </w:r>
          </w:p>
        </w:tc>
        <w:tc>
          <w:tcPr>
            <w:tcW w:w="1849" w:type="dxa"/>
            <w:tcBorders>
              <w:top w:val="single" w:color="auto" w:sz="8" w:space="0"/>
            </w:tcBorders>
          </w:tcPr>
          <w:p>
            <w:pPr>
              <w:widowControl/>
              <w:spacing w:line="240" w:lineRule="auto"/>
              <w:jc w:val="center"/>
              <w:textAlignment w:val="center"/>
              <w:rPr>
                <w:rFonts w:ascii="Times New Roman" w:hAnsi="Times New Roman"/>
              </w:rPr>
            </w:pPr>
            <w:r>
              <w:rPr>
                <w:rFonts w:ascii="Times New Roman" w:hAnsi="Times New Roman"/>
              </w:rPr>
              <w:t>●</w:t>
            </w:r>
          </w:p>
        </w:tc>
        <w:tc>
          <w:tcPr>
            <w:tcW w:w="1324" w:type="dxa"/>
            <w:tcBorders>
              <w:top w:val="single" w:color="auto" w:sz="8" w:space="0"/>
            </w:tcBorders>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418" w:type="dxa"/>
            <w:tcBorders>
              <w:top w:val="single" w:color="auto" w:sz="8" w:space="0"/>
            </w:tcBorders>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418" w:type="dxa"/>
            <w:tcBorders>
              <w:top w:val="single" w:color="auto" w:sz="8" w:space="0"/>
            </w:tcBorders>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平面布局</w:t>
            </w:r>
          </w:p>
        </w:tc>
        <w:tc>
          <w:tcPr>
            <w:tcW w:w="1849" w:type="dxa"/>
          </w:tcPr>
          <w:p>
            <w:pPr>
              <w:widowControl/>
              <w:spacing w:line="240" w:lineRule="auto"/>
              <w:jc w:val="center"/>
              <w:textAlignment w:val="center"/>
              <w:rPr>
                <w:rFonts w:ascii="Times New Roman" w:hAnsi="Times New Roman"/>
              </w:rPr>
            </w:pPr>
            <w:r>
              <w:rPr>
                <w:rFonts w:ascii="Times New Roman" w:hAnsi="Times New Roman"/>
              </w:rPr>
              <w:t>●</w:t>
            </w:r>
          </w:p>
        </w:tc>
        <w:tc>
          <w:tcPr>
            <w:tcW w:w="1324"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418"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418"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建筑形体</w:t>
            </w:r>
          </w:p>
        </w:tc>
        <w:tc>
          <w:tcPr>
            <w:tcW w:w="1849" w:type="dxa"/>
          </w:tcPr>
          <w:p>
            <w:pPr>
              <w:widowControl/>
              <w:spacing w:line="240" w:lineRule="auto"/>
              <w:jc w:val="center"/>
              <w:textAlignment w:val="center"/>
              <w:rPr>
                <w:rFonts w:ascii="Times New Roman" w:hAnsi="Times New Roman"/>
              </w:rPr>
            </w:pPr>
            <w:r>
              <w:rPr>
                <w:rFonts w:ascii="Times New Roman" w:hAnsi="Times New Roman"/>
              </w:rPr>
              <w:t>●</w:t>
            </w:r>
          </w:p>
        </w:tc>
        <w:tc>
          <w:tcPr>
            <w:tcW w:w="1324"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418"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柱网梁高</w:t>
            </w:r>
          </w:p>
        </w:tc>
        <w:tc>
          <w:tcPr>
            <w:tcW w:w="1849" w:type="dxa"/>
          </w:tcPr>
          <w:p>
            <w:pPr>
              <w:widowControl/>
              <w:spacing w:line="240" w:lineRule="auto"/>
              <w:jc w:val="center"/>
              <w:textAlignment w:val="center"/>
              <w:rPr>
                <w:rFonts w:ascii="Times New Roman" w:hAnsi="Times New Roman"/>
              </w:rPr>
            </w:pPr>
            <w:r>
              <w:rPr>
                <w:rFonts w:ascii="Times New Roman" w:hAnsi="Times New Roman"/>
              </w:rPr>
              <w:t>○</w:t>
            </w:r>
          </w:p>
        </w:tc>
        <w:tc>
          <w:tcPr>
            <w:tcW w:w="1324"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层高净高</w:t>
            </w:r>
          </w:p>
        </w:tc>
        <w:tc>
          <w:tcPr>
            <w:tcW w:w="1849" w:type="dxa"/>
          </w:tcPr>
          <w:p>
            <w:pPr>
              <w:widowControl/>
              <w:spacing w:line="240" w:lineRule="auto"/>
              <w:jc w:val="center"/>
              <w:textAlignment w:val="center"/>
              <w:rPr>
                <w:rFonts w:ascii="Times New Roman" w:hAnsi="Times New Roman"/>
              </w:rPr>
            </w:pPr>
            <w:r>
              <w:rPr>
                <w:rFonts w:ascii="Times New Roman" w:hAnsi="Times New Roman"/>
              </w:rPr>
              <w:t>○</w:t>
            </w:r>
          </w:p>
        </w:tc>
        <w:tc>
          <w:tcPr>
            <w:tcW w:w="1324"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机房布局</w:t>
            </w:r>
          </w:p>
        </w:tc>
        <w:tc>
          <w:tcPr>
            <w:tcW w:w="1849"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324"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管线路由</w:t>
            </w:r>
          </w:p>
        </w:tc>
        <w:tc>
          <w:tcPr>
            <w:tcW w:w="1849"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324"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管井落位</w:t>
            </w:r>
          </w:p>
        </w:tc>
        <w:tc>
          <w:tcPr>
            <w:tcW w:w="1849"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324"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222" w:type="dxa"/>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构件布置</w:t>
            </w:r>
          </w:p>
        </w:tc>
        <w:tc>
          <w:tcPr>
            <w:tcW w:w="1849" w:type="dxa"/>
          </w:tcPr>
          <w:p>
            <w:pPr>
              <w:widowControl/>
              <w:spacing w:line="240" w:lineRule="auto"/>
              <w:jc w:val="center"/>
              <w:textAlignment w:val="center"/>
              <w:rPr>
                <w:rFonts w:ascii="Times New Roman" w:hAnsi="Times New Roman"/>
              </w:rPr>
            </w:pPr>
            <w:r>
              <w:rPr>
                <w:rFonts w:hint="eastAsia" w:ascii="宋体" w:hAnsi="宋体"/>
                <w:bCs/>
                <w:sz w:val="18"/>
                <w:szCs w:val="18"/>
                <w:lang w:bidi="ar"/>
              </w:rPr>
              <w:t>-</w:t>
            </w:r>
          </w:p>
        </w:tc>
        <w:tc>
          <w:tcPr>
            <w:tcW w:w="1324"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c>
          <w:tcPr>
            <w:tcW w:w="1418" w:type="dxa"/>
          </w:tcPr>
          <w:p>
            <w:pPr>
              <w:widowControl/>
              <w:spacing w:line="240" w:lineRule="auto"/>
              <w:jc w:val="center"/>
              <w:textAlignment w:val="center"/>
              <w:rPr>
                <w:rFonts w:ascii="Times New Roman" w:hAnsi="Times New Roman"/>
              </w:rPr>
            </w:pPr>
            <w:r>
              <w:rPr>
                <w:rFonts w:ascii="Times New Roman" w:hAnsi="Times New Roman"/>
              </w:rPr>
              <w:t>●</w:t>
            </w:r>
          </w:p>
        </w:tc>
      </w:tr>
    </w:tbl>
    <w:p>
      <w:pPr>
        <w:spacing w:line="240" w:lineRule="auto"/>
        <w:ind w:firstLine="360" w:firstLineChars="200"/>
        <w:rPr>
          <w:rFonts w:hint="eastAsia" w:ascii="宋体" w:hAnsi="宋体"/>
          <w:sz w:val="18"/>
          <w:szCs w:val="18"/>
        </w:rPr>
      </w:pPr>
      <w:r>
        <w:rPr>
          <w:rFonts w:hint="eastAsia" w:ascii="黑体" w:hAnsi="黑体" w:eastAsia="黑体"/>
          <w:sz w:val="18"/>
          <w:szCs w:val="18"/>
        </w:rPr>
        <w:t>注：</w:t>
      </w:r>
      <w:r>
        <w:rPr>
          <w:rFonts w:ascii="Times New Roman" w:hAnsi="Times New Roman"/>
        </w:rPr>
        <w:t>●</w:t>
      </w:r>
      <w:r>
        <w:rPr>
          <w:rFonts w:hint="eastAsia" w:ascii="宋体" w:hAnsi="宋体"/>
          <w:sz w:val="18"/>
          <w:szCs w:val="18"/>
        </w:rPr>
        <w:t>代表重点优化项，</w:t>
      </w:r>
      <w:r>
        <w:rPr>
          <w:rFonts w:ascii="Times New Roman" w:hAnsi="Times New Roman"/>
        </w:rPr>
        <w:t>○</w:t>
      </w:r>
      <w:r>
        <w:rPr>
          <w:rFonts w:hint="eastAsia" w:ascii="宋体" w:hAnsi="宋体"/>
          <w:sz w:val="18"/>
          <w:szCs w:val="18"/>
        </w:rPr>
        <w:t>代表次重点优化项。</w:t>
      </w:r>
    </w:p>
    <w:p>
      <w:pPr>
        <w:pStyle w:val="171"/>
        <w:rPr>
          <w:rFonts w:hint="eastAsia"/>
        </w:rPr>
      </w:pPr>
    </w:p>
    <w:p>
      <w:pPr>
        <w:pStyle w:val="171"/>
        <w:rPr>
          <w:rFonts w:hint="eastAsia"/>
        </w:rPr>
      </w:pPr>
      <w:r>
        <w:rPr>
          <w:rFonts w:hint="eastAsia"/>
        </w:rPr>
        <w:t>7</w:t>
      </w:r>
      <w:r>
        <w:t>.</w:t>
      </w:r>
      <w:r>
        <w:rPr>
          <w:rFonts w:hint="eastAsia"/>
        </w:rPr>
        <w:t>2.7</w:t>
      </w:r>
      <w:r>
        <w:t xml:space="preserve"> 空间优化成果应以报告形式提交，报告内容不限于文字、图纸、图片、视频等。</w:t>
      </w:r>
    </w:p>
    <w:p>
      <w:pPr>
        <w:pStyle w:val="171"/>
        <w:rPr>
          <w:rFonts w:hint="eastAsia"/>
        </w:rPr>
      </w:pPr>
      <w:r>
        <w:rPr>
          <w:rFonts w:hint="eastAsia"/>
        </w:rPr>
        <w:t>7</w:t>
      </w:r>
      <w:r>
        <w:t>.</w:t>
      </w:r>
      <w:r>
        <w:rPr>
          <w:rFonts w:hint="eastAsia"/>
        </w:rPr>
        <w:t>2.8</w:t>
      </w:r>
      <w:r>
        <w:t xml:space="preserve"> 空间优化涉及多个设计专业、项目成本、项目周期，优化实施前应充分论证，并经过各相关方确认。</w:t>
      </w:r>
    </w:p>
    <w:p>
      <w:pPr>
        <w:pStyle w:val="111"/>
        <w:spacing w:before="156" w:after="156"/>
        <w:rPr>
          <w:rFonts w:hint="eastAsia" w:hAnsi="黑体" w:cs="黑体"/>
        </w:rPr>
      </w:pPr>
      <w:bookmarkStart w:id="119" w:name="_Toc168008290"/>
      <w:bookmarkStart w:id="120" w:name="_Toc167201557"/>
      <w:bookmarkStart w:id="121" w:name="_Hlk134034243"/>
      <w:r>
        <w:rPr>
          <w:rFonts w:hint="eastAsia" w:hAnsi="黑体" w:cs="黑体"/>
        </w:rPr>
        <w:t>7</w:t>
      </w:r>
      <w:r>
        <w:rPr>
          <w:rFonts w:hAnsi="黑体" w:cs="黑体"/>
        </w:rPr>
        <w:t>.</w:t>
      </w:r>
      <w:r>
        <w:rPr>
          <w:rFonts w:hint="eastAsia" w:hAnsi="黑体" w:cs="黑体"/>
        </w:rPr>
        <w:t>3</w:t>
      </w:r>
      <w:r>
        <w:rPr>
          <w:rFonts w:hAnsi="黑体" w:cs="黑体"/>
        </w:rPr>
        <w:t xml:space="preserve"> 可视化应用</w:t>
      </w:r>
      <w:bookmarkEnd w:id="119"/>
      <w:bookmarkEnd w:id="120"/>
    </w:p>
    <w:bookmarkEnd w:id="121"/>
    <w:p>
      <w:pPr>
        <w:pStyle w:val="171"/>
        <w:rPr>
          <w:rFonts w:hint="eastAsia"/>
        </w:rPr>
      </w:pPr>
      <w:r>
        <w:rPr>
          <w:rFonts w:hint="eastAsia"/>
        </w:rPr>
        <w:t xml:space="preserve">7.3.1 </w:t>
      </w:r>
      <w:r>
        <w:rPr>
          <w:rFonts w:hint="eastAsia" w:ascii="宋体" w:hAnsi="宋体"/>
        </w:rPr>
        <w:t>可视化应用宜包括BIM模型可视化、建筑漫游、虚拟现实、增强现实、点云扫描三维重建等。</w:t>
      </w:r>
    </w:p>
    <w:p>
      <w:pPr>
        <w:pStyle w:val="171"/>
        <w:rPr>
          <w:rFonts w:hint="eastAsia"/>
        </w:rPr>
      </w:pPr>
      <w:r>
        <w:rPr>
          <w:rFonts w:hint="eastAsia"/>
        </w:rPr>
        <w:t>7</w:t>
      </w:r>
      <w:r>
        <w:t>.</w:t>
      </w:r>
      <w:r>
        <w:rPr>
          <w:rFonts w:hint="eastAsia"/>
        </w:rPr>
        <w:t>3</w:t>
      </w:r>
      <w:r>
        <w:t>.2 虚拟现实</w:t>
      </w:r>
      <w:r>
        <w:rPr>
          <w:rFonts w:hint="eastAsia"/>
        </w:rPr>
        <w:t>的应用宜包括下列内容：</w:t>
      </w:r>
      <w:r>
        <w:t xml:space="preserve"> </w:t>
      </w:r>
    </w:p>
    <w:p>
      <w:pPr>
        <w:pStyle w:val="180"/>
        <w:numPr>
          <w:ilvl w:val="0"/>
          <w:numId w:val="42"/>
        </w:numPr>
        <w:tabs>
          <w:tab w:val="left" w:pos="851"/>
        </w:tabs>
        <w:ind w:left="840" w:leftChars="200" w:hanging="420" w:hangingChars="200"/>
        <w:rPr>
          <w:rFonts w:hint="eastAsia" w:hAnsi="宋体"/>
        </w:rPr>
      </w:pPr>
      <w:r>
        <w:rPr>
          <w:rFonts w:hAnsi="宋体"/>
        </w:rPr>
        <w:t>输出建筑漫游，适用于方案阶段的成果输出</w:t>
      </w:r>
      <w:r>
        <w:rPr>
          <w:rFonts w:hint="eastAsia" w:hAnsi="宋体"/>
        </w:rPr>
        <w:t>；</w:t>
      </w:r>
    </w:p>
    <w:p>
      <w:pPr>
        <w:pStyle w:val="180"/>
        <w:numPr>
          <w:ilvl w:val="0"/>
          <w:numId w:val="42"/>
        </w:numPr>
        <w:tabs>
          <w:tab w:val="left" w:pos="851"/>
        </w:tabs>
        <w:ind w:left="840" w:leftChars="200" w:hanging="420" w:hangingChars="200"/>
        <w:rPr>
          <w:rFonts w:hint="eastAsia" w:hAnsi="宋体"/>
        </w:rPr>
      </w:pPr>
      <w:r>
        <w:rPr>
          <w:rFonts w:hAnsi="宋体"/>
        </w:rPr>
        <w:t>模型交互式沟通交流，适用于项目交底、BIM例会。</w:t>
      </w:r>
    </w:p>
    <w:p>
      <w:pPr>
        <w:pStyle w:val="171"/>
        <w:rPr>
          <w:rFonts w:hint="eastAsia"/>
        </w:rPr>
      </w:pPr>
      <w:r>
        <w:rPr>
          <w:rFonts w:hint="eastAsia"/>
        </w:rPr>
        <w:t>7</w:t>
      </w:r>
      <w:r>
        <w:t>.</w:t>
      </w:r>
      <w:r>
        <w:rPr>
          <w:rFonts w:hint="eastAsia"/>
        </w:rPr>
        <w:t>3</w:t>
      </w:r>
      <w:r>
        <w:t>.3 增强现实</w:t>
      </w:r>
      <w:r>
        <w:rPr>
          <w:rFonts w:hint="eastAsia"/>
        </w:rPr>
        <w:t>的应用宜包括下列内容：</w:t>
      </w:r>
    </w:p>
    <w:p>
      <w:pPr>
        <w:pStyle w:val="180"/>
        <w:numPr>
          <w:ilvl w:val="0"/>
          <w:numId w:val="43"/>
        </w:numPr>
        <w:tabs>
          <w:tab w:val="left" w:pos="851"/>
        </w:tabs>
        <w:ind w:left="840" w:leftChars="200" w:hanging="420" w:hangingChars="200"/>
        <w:rPr>
          <w:rFonts w:hint="eastAsia" w:hAnsi="宋体"/>
        </w:rPr>
      </w:pPr>
      <w:r>
        <w:rPr>
          <w:rFonts w:hAnsi="宋体"/>
        </w:rPr>
        <w:t>在项目施工前，通过</w:t>
      </w:r>
      <w:r>
        <w:rPr>
          <w:rFonts w:hint="eastAsia" w:hAnsi="宋体"/>
        </w:rPr>
        <w:t>增强现实</w:t>
      </w:r>
      <w:r>
        <w:rPr>
          <w:rFonts w:hAnsi="宋体"/>
        </w:rPr>
        <w:t>技术将BIM模型投射于项目</w:t>
      </w:r>
      <w:r>
        <w:rPr>
          <w:rFonts w:hint="eastAsia" w:hAnsi="宋体"/>
        </w:rPr>
        <w:t>场地，</w:t>
      </w:r>
      <w:r>
        <w:rPr>
          <w:rFonts w:hAnsi="宋体"/>
        </w:rPr>
        <w:t>观察项目的竣工状态</w:t>
      </w:r>
      <w:r>
        <w:rPr>
          <w:rFonts w:hint="eastAsia" w:hAnsi="宋体"/>
        </w:rPr>
        <w:t>；</w:t>
      </w:r>
    </w:p>
    <w:p>
      <w:pPr>
        <w:pStyle w:val="180"/>
        <w:numPr>
          <w:ilvl w:val="0"/>
          <w:numId w:val="43"/>
        </w:numPr>
        <w:tabs>
          <w:tab w:val="left" w:pos="851"/>
        </w:tabs>
        <w:ind w:left="840" w:leftChars="200" w:hanging="420" w:hangingChars="200"/>
        <w:rPr>
          <w:rFonts w:hint="eastAsia" w:hAnsi="宋体"/>
        </w:rPr>
      </w:pPr>
      <w:r>
        <w:rPr>
          <w:rFonts w:hAnsi="宋体"/>
        </w:rPr>
        <w:t>在相关构件完成后，通过终端设备将现实</w:t>
      </w:r>
      <w:r>
        <w:rPr>
          <w:rFonts w:hint="eastAsia" w:hAnsi="宋体"/>
        </w:rPr>
        <w:t>场景</w:t>
      </w:r>
      <w:r>
        <w:rPr>
          <w:rFonts w:hAnsi="宋体"/>
        </w:rPr>
        <w:t>与BIM模型比对，核查误差。</w:t>
      </w:r>
    </w:p>
    <w:p>
      <w:pPr>
        <w:pStyle w:val="171"/>
        <w:rPr>
          <w:rFonts w:hint="eastAsia"/>
        </w:rPr>
      </w:pPr>
      <w:r>
        <w:rPr>
          <w:rFonts w:hint="eastAsia"/>
        </w:rPr>
        <w:t>7</w:t>
      </w:r>
      <w:r>
        <w:t>.</w:t>
      </w:r>
      <w:r>
        <w:rPr>
          <w:rFonts w:hint="eastAsia"/>
        </w:rPr>
        <w:t>3</w:t>
      </w:r>
      <w:r>
        <w:t>.4 点云扫描</w:t>
      </w:r>
      <w:r>
        <w:rPr>
          <w:rFonts w:hint="eastAsia"/>
        </w:rPr>
        <w:t>的应用宜包括下列内容：</w:t>
      </w:r>
    </w:p>
    <w:p>
      <w:pPr>
        <w:pStyle w:val="180"/>
        <w:numPr>
          <w:ilvl w:val="0"/>
          <w:numId w:val="44"/>
        </w:numPr>
        <w:tabs>
          <w:tab w:val="left" w:pos="851"/>
        </w:tabs>
        <w:ind w:left="840" w:leftChars="200" w:hanging="420" w:hangingChars="200"/>
        <w:rPr>
          <w:rFonts w:hint="eastAsia" w:hAnsi="宋体"/>
        </w:rPr>
      </w:pPr>
      <w:r>
        <w:rPr>
          <w:rFonts w:hint="eastAsia" w:hAnsi="宋体"/>
        </w:rPr>
        <w:t>在</w:t>
      </w:r>
      <w:r>
        <w:rPr>
          <w:rFonts w:hAnsi="宋体"/>
        </w:rPr>
        <w:t>方案设计阶段对周边场地环境</w:t>
      </w:r>
      <w:r>
        <w:rPr>
          <w:rFonts w:hint="eastAsia" w:hAnsi="宋体"/>
        </w:rPr>
        <w:t>或既有改造项目进行</w:t>
      </w:r>
      <w:r>
        <w:rPr>
          <w:rFonts w:hAnsi="宋体"/>
        </w:rPr>
        <w:t>扫描，</w:t>
      </w:r>
      <w:r>
        <w:rPr>
          <w:rFonts w:hint="eastAsia" w:hAnsi="宋体"/>
        </w:rPr>
        <w:t>扫描成果形成完善的现状场景，辅助</w:t>
      </w:r>
      <w:r>
        <w:rPr>
          <w:rFonts w:hAnsi="宋体"/>
        </w:rPr>
        <w:t>项目方案设计</w:t>
      </w:r>
      <w:r>
        <w:rPr>
          <w:rFonts w:hint="eastAsia" w:hAnsi="宋体"/>
        </w:rPr>
        <w:t>；</w:t>
      </w:r>
    </w:p>
    <w:p>
      <w:pPr>
        <w:pStyle w:val="180"/>
        <w:numPr>
          <w:ilvl w:val="0"/>
          <w:numId w:val="44"/>
        </w:numPr>
        <w:tabs>
          <w:tab w:val="left" w:pos="851"/>
        </w:tabs>
        <w:ind w:left="840" w:leftChars="200" w:hanging="420" w:hangingChars="200"/>
        <w:rPr>
          <w:rFonts w:hint="eastAsia" w:hAnsi="宋体"/>
        </w:rPr>
      </w:pPr>
      <w:r>
        <w:rPr>
          <w:rFonts w:hint="eastAsia" w:hAnsi="宋体"/>
        </w:rPr>
        <w:t>在项目建设过程中，</w:t>
      </w:r>
      <w:r>
        <w:rPr>
          <w:rFonts w:hAnsi="宋体"/>
        </w:rPr>
        <w:t>对土建完成构件进行点云扫描，扫描成果与BIM土建模型进行比对，核查误差</w:t>
      </w:r>
      <w:r>
        <w:rPr>
          <w:rFonts w:hint="eastAsia" w:hAnsi="宋体"/>
        </w:rPr>
        <w:t>，修正尚未施工的机电、内装、幕墙等设计，使其更符合现场条件</w:t>
      </w:r>
      <w:r>
        <w:rPr>
          <w:rFonts w:hAnsi="宋体"/>
        </w:rPr>
        <w:t>。</w:t>
      </w:r>
    </w:p>
    <w:p>
      <w:pPr>
        <w:pStyle w:val="111"/>
        <w:spacing w:before="156" w:after="156"/>
        <w:rPr>
          <w:rFonts w:hint="eastAsia" w:hAnsi="黑体" w:cs="黑体"/>
        </w:rPr>
      </w:pPr>
      <w:bookmarkStart w:id="122" w:name="_Toc168008291"/>
      <w:bookmarkStart w:id="123" w:name="_Toc167201558"/>
      <w:bookmarkStart w:id="124" w:name="_Hlk134034349"/>
      <w:r>
        <w:rPr>
          <w:rFonts w:hint="eastAsia" w:hAnsi="黑体" w:cs="黑体"/>
        </w:rPr>
        <w:t>7</w:t>
      </w:r>
      <w:r>
        <w:rPr>
          <w:rFonts w:hAnsi="黑体" w:cs="黑体"/>
        </w:rPr>
        <w:t>.</w:t>
      </w:r>
      <w:r>
        <w:rPr>
          <w:rFonts w:hint="eastAsia" w:hAnsi="黑体" w:cs="黑体"/>
        </w:rPr>
        <w:t>4</w:t>
      </w:r>
      <w:r>
        <w:rPr>
          <w:rFonts w:hAnsi="黑体" w:cs="黑体"/>
        </w:rPr>
        <w:t xml:space="preserve"> 制图表达</w:t>
      </w:r>
      <w:bookmarkEnd w:id="122"/>
      <w:bookmarkEnd w:id="123"/>
    </w:p>
    <w:bookmarkEnd w:id="124"/>
    <w:p>
      <w:pPr>
        <w:pStyle w:val="171"/>
        <w:rPr>
          <w:rFonts w:hint="eastAsia"/>
        </w:rPr>
      </w:pPr>
      <w:r>
        <w:rPr>
          <w:rFonts w:hint="eastAsia"/>
        </w:rPr>
        <w:t>7</w:t>
      </w:r>
      <w:r>
        <w:t>.</w:t>
      </w:r>
      <w:r>
        <w:rPr>
          <w:rFonts w:hint="eastAsia"/>
        </w:rPr>
        <w:t>4</w:t>
      </w:r>
      <w:r>
        <w:t>.1 图纸生成应在模型文件中创建图纸视图，或基于已有模型导出或直接打印图纸文件，图纸内容应与模型成果保持一致。</w:t>
      </w:r>
    </w:p>
    <w:p>
      <w:pPr>
        <w:pStyle w:val="171"/>
        <w:rPr>
          <w:rFonts w:hint="eastAsia"/>
        </w:rPr>
      </w:pPr>
      <w:r>
        <w:rPr>
          <w:rFonts w:hint="eastAsia"/>
        </w:rPr>
        <w:t>7</w:t>
      </w:r>
      <w:r>
        <w:t>.</w:t>
      </w:r>
      <w:r>
        <w:rPr>
          <w:rFonts w:hint="eastAsia"/>
        </w:rPr>
        <w:t>4</w:t>
      </w:r>
      <w:r>
        <w:t xml:space="preserve">.2 </w:t>
      </w:r>
      <w:r>
        <w:rPr>
          <w:rFonts w:ascii="宋体" w:hAnsi="宋体"/>
        </w:rPr>
        <w:t>用于图纸生成应用的模型单元精细度应符合《建筑信息模型设计交付标准》GB/T</w:t>
      </w:r>
      <w:r>
        <w:rPr>
          <w:rFonts w:hint="eastAsia" w:ascii="宋体" w:hAnsi="宋体"/>
        </w:rPr>
        <w:t xml:space="preserve"> </w:t>
      </w:r>
      <w:r>
        <w:rPr>
          <w:rFonts w:ascii="宋体" w:hAnsi="宋体"/>
        </w:rPr>
        <w:t>51301设计阶段交付协同的规定。</w:t>
      </w:r>
    </w:p>
    <w:p>
      <w:pPr>
        <w:pStyle w:val="171"/>
        <w:rPr>
          <w:rFonts w:hint="eastAsia"/>
        </w:rPr>
      </w:pPr>
      <w:r>
        <w:rPr>
          <w:rFonts w:hint="eastAsia"/>
        </w:rPr>
        <w:t>7</w:t>
      </w:r>
      <w:r>
        <w:t>.</w:t>
      </w:r>
      <w:r>
        <w:rPr>
          <w:rFonts w:hint="eastAsia"/>
        </w:rPr>
        <w:t>4</w:t>
      </w:r>
      <w:r>
        <w:t xml:space="preserve">.3 </w:t>
      </w:r>
      <w:r>
        <w:rPr>
          <w:rFonts w:ascii="宋体" w:hAnsi="宋体"/>
        </w:rPr>
        <w:t>基于</w:t>
      </w:r>
      <w:r>
        <w:rPr>
          <w:rFonts w:hint="eastAsia" w:ascii="宋体" w:hAnsi="宋体"/>
        </w:rPr>
        <w:t>B</w:t>
      </w:r>
      <w:r>
        <w:rPr>
          <w:rFonts w:ascii="宋体" w:hAnsi="宋体"/>
        </w:rPr>
        <w:t>IM的工程图纸及图纸化表达应符合《建筑信息模型设计交付标准》GB/T</w:t>
      </w:r>
      <w:r>
        <w:rPr>
          <w:rFonts w:hint="eastAsia" w:ascii="宋体" w:hAnsi="宋体"/>
        </w:rPr>
        <w:t xml:space="preserve"> </w:t>
      </w:r>
      <w:r>
        <w:rPr>
          <w:rFonts w:ascii="宋体" w:hAnsi="宋体"/>
        </w:rPr>
        <w:t>51301及《建筑工程设计信息模型制图标准》JGJ/T</w:t>
      </w:r>
      <w:r>
        <w:rPr>
          <w:rFonts w:hint="eastAsia" w:ascii="宋体" w:hAnsi="宋体"/>
        </w:rPr>
        <w:t xml:space="preserve"> </w:t>
      </w:r>
      <w:r>
        <w:rPr>
          <w:rFonts w:ascii="宋体" w:hAnsi="宋体"/>
        </w:rPr>
        <w:t>448的规定。</w:t>
      </w:r>
    </w:p>
    <w:p>
      <w:pPr>
        <w:pStyle w:val="171"/>
        <w:rPr>
          <w:rFonts w:hint="eastAsia"/>
        </w:rPr>
      </w:pPr>
      <w:r>
        <w:rPr>
          <w:rFonts w:hint="eastAsia"/>
        </w:rPr>
        <w:t>7</w:t>
      </w:r>
      <w:r>
        <w:t>.</w:t>
      </w:r>
      <w:r>
        <w:rPr>
          <w:rFonts w:hint="eastAsia"/>
        </w:rPr>
        <w:t>4</w:t>
      </w:r>
      <w:r>
        <w:t>.4 应充分利用模型成果生成图纸，宜采用三维图示辅助表达设计成果。</w:t>
      </w:r>
    </w:p>
    <w:p>
      <w:pPr>
        <w:pStyle w:val="171"/>
        <w:rPr>
          <w:rFonts w:hint="eastAsia"/>
        </w:rPr>
      </w:pPr>
      <w:r>
        <w:rPr>
          <w:rFonts w:hint="eastAsia"/>
        </w:rPr>
        <w:t>7</w:t>
      </w:r>
      <w:r>
        <w:t>.</w:t>
      </w:r>
      <w:r>
        <w:rPr>
          <w:rFonts w:hint="eastAsia"/>
        </w:rPr>
        <w:t>4</w:t>
      </w:r>
      <w:r>
        <w:t xml:space="preserve">.5 </w:t>
      </w:r>
      <w:r>
        <w:rPr>
          <w:rFonts w:ascii="宋体" w:hAnsi="宋体"/>
        </w:rPr>
        <w:t>给水排水系统、空调水系统、消防给水系统可基于</w:t>
      </w:r>
      <w:r>
        <w:rPr>
          <w:rFonts w:hint="eastAsia" w:ascii="宋体" w:hAnsi="宋体"/>
        </w:rPr>
        <w:t>B</w:t>
      </w:r>
      <w:r>
        <w:rPr>
          <w:rFonts w:ascii="宋体" w:hAnsi="宋体"/>
        </w:rPr>
        <w:t>IM模型生成管道轴测图，添加标注信息后直接导出形成系统轴测图。</w:t>
      </w:r>
    </w:p>
    <w:p>
      <w:pPr>
        <w:pStyle w:val="171"/>
        <w:rPr>
          <w:rFonts w:hint="eastAsia"/>
        </w:rPr>
      </w:pPr>
      <w:r>
        <w:rPr>
          <w:rFonts w:hint="eastAsia"/>
        </w:rPr>
        <w:t>7</w:t>
      </w:r>
      <w:r>
        <w:t>.</w:t>
      </w:r>
      <w:r>
        <w:rPr>
          <w:rFonts w:hint="eastAsia"/>
        </w:rPr>
        <w:t>4</w:t>
      </w:r>
      <w:r>
        <w:t>.6 系统轴测图应清</w:t>
      </w:r>
      <w:r>
        <w:rPr>
          <w:rFonts w:ascii="宋体" w:hAnsi="宋体"/>
        </w:rPr>
        <w:t>楚表达系统设计信息，</w:t>
      </w:r>
      <w:r>
        <w:rPr>
          <w:rFonts w:hint="eastAsia" w:ascii="宋体" w:hAnsi="宋体"/>
        </w:rPr>
        <w:t>应</w:t>
      </w:r>
      <w:r>
        <w:rPr>
          <w:rFonts w:ascii="宋体" w:hAnsi="宋体"/>
        </w:rPr>
        <w:t>反映管路系统的管道、管件、附件、设备等连接和配置情况，应标注管径、标高等设计信息，</w:t>
      </w:r>
      <w:r>
        <w:rPr>
          <w:rFonts w:hint="eastAsia" w:ascii="宋体" w:hAnsi="宋体"/>
        </w:rPr>
        <w:t>具体要求</w:t>
      </w:r>
      <w:r>
        <w:rPr>
          <w:rFonts w:ascii="宋体" w:hAnsi="宋体"/>
        </w:rPr>
        <w:t>可</w:t>
      </w:r>
      <w:r>
        <w:rPr>
          <w:rFonts w:hint="eastAsia" w:ascii="宋体" w:hAnsi="宋体"/>
        </w:rPr>
        <w:t>按照</w:t>
      </w:r>
      <w:r>
        <w:rPr>
          <w:rFonts w:ascii="宋体" w:hAnsi="宋体"/>
        </w:rPr>
        <w:t>图</w:t>
      </w:r>
      <w:r>
        <w:rPr>
          <w:rFonts w:hint="eastAsia" w:ascii="宋体" w:hAnsi="宋体"/>
        </w:rPr>
        <w:t>2执行</w:t>
      </w:r>
      <w:r>
        <w:rPr>
          <w:rFonts w:ascii="宋体" w:hAnsi="宋体"/>
        </w:rPr>
        <w:t>。</w:t>
      </w:r>
    </w:p>
    <w:p>
      <w:pPr>
        <w:spacing w:line="240" w:lineRule="auto"/>
        <w:jc w:val="center"/>
        <w:rPr>
          <w:rFonts w:ascii="Times New Roman" w:hAnsi="Times New Roman"/>
        </w:rPr>
      </w:pPr>
      <w:r>
        <w:rPr>
          <w:rFonts w:ascii="Times New Roman" w:hAnsi="Times New Roman"/>
        </w:rPr>
        <w:drawing>
          <wp:inline distT="0" distB="0" distL="0" distR="0">
            <wp:extent cx="5250815" cy="3535045"/>
            <wp:effectExtent l="0" t="0" r="0" b="0"/>
            <wp:docPr id="17453985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98516" name="图片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50815" cy="3535045"/>
                    </a:xfrm>
                    <a:prstGeom prst="rect">
                      <a:avLst/>
                    </a:prstGeom>
                    <a:noFill/>
                    <a:ln>
                      <a:noFill/>
                    </a:ln>
                  </pic:spPr>
                </pic:pic>
              </a:graphicData>
            </a:graphic>
          </wp:inline>
        </w:drawing>
      </w:r>
    </w:p>
    <w:p>
      <w:pPr>
        <w:pStyle w:val="13"/>
        <w:spacing w:before="156" w:beforeLines="50" w:after="156" w:afterLines="50"/>
        <w:jc w:val="center"/>
        <w:rPr>
          <w:rFonts w:hint="eastAsia" w:ascii="黑体" w:hAnsi="黑体"/>
          <w:kern w:val="0"/>
        </w:rPr>
      </w:pPr>
      <w:bookmarkStart w:id="125" w:name="_Toc174544092"/>
      <w:bookmarkStart w:id="126" w:name="_Toc168097902"/>
      <w:bookmarkStart w:id="127" w:name="_Toc174544035"/>
      <w:r>
        <w:rPr>
          <w:rFonts w:hint="eastAsia" w:ascii="黑体" w:hAnsi="黑体"/>
          <w:sz w:val="21"/>
          <w:szCs w:val="21"/>
        </w:rPr>
        <w:t>图</w:t>
      </w:r>
      <w:r>
        <w:rPr>
          <w:rFonts w:ascii="黑体" w:hAnsi="黑体"/>
          <w:sz w:val="21"/>
          <w:szCs w:val="21"/>
        </w:rPr>
        <w:t>2</w:t>
      </w:r>
      <w:r>
        <w:rPr>
          <w:rFonts w:ascii="黑体" w:hAnsi="黑体"/>
          <w:kern w:val="0"/>
          <w:sz w:val="21"/>
          <w:szCs w:val="21"/>
        </w:rPr>
        <w:t xml:space="preserve"> 基于建筑信息模型的管道系统轴测图</w:t>
      </w:r>
      <w:bookmarkEnd w:id="125"/>
      <w:bookmarkEnd w:id="126"/>
      <w:bookmarkEnd w:id="127"/>
    </w:p>
    <w:p>
      <w:pPr>
        <w:pStyle w:val="171"/>
        <w:rPr>
          <w:rFonts w:hint="eastAsia"/>
        </w:rPr>
      </w:pPr>
      <w:r>
        <w:rPr>
          <w:rFonts w:hint="eastAsia"/>
        </w:rPr>
        <w:t>7</w:t>
      </w:r>
      <w:r>
        <w:t>.</w:t>
      </w:r>
      <w:r>
        <w:rPr>
          <w:rFonts w:hint="eastAsia"/>
        </w:rPr>
        <w:t>4</w:t>
      </w:r>
      <w:r>
        <w:t>.7 基于图纸生成应用的工程图纸设计变更</w:t>
      </w:r>
      <w:r>
        <w:rPr>
          <w:rFonts w:ascii="宋体" w:hAnsi="宋体"/>
        </w:rPr>
        <w:t>，应在模型文件中直接创建变更图纸文件或基于变更修改后的</w:t>
      </w:r>
      <w:r>
        <w:rPr>
          <w:rFonts w:hint="eastAsia" w:ascii="宋体" w:hAnsi="宋体"/>
        </w:rPr>
        <w:t>B</w:t>
      </w:r>
      <w:r>
        <w:rPr>
          <w:rFonts w:ascii="宋体" w:hAnsi="宋体"/>
        </w:rPr>
        <w:t>IM模型直接导出或直接打印生成项目所需的变更图纸文件。</w:t>
      </w:r>
    </w:p>
    <w:p>
      <w:pPr>
        <w:pStyle w:val="171"/>
        <w:rPr>
          <w:rFonts w:hint="eastAsia"/>
        </w:rPr>
      </w:pPr>
      <w:r>
        <w:rPr>
          <w:rFonts w:hint="eastAsia"/>
        </w:rPr>
        <w:t>7</w:t>
      </w:r>
      <w:r>
        <w:t>.</w:t>
      </w:r>
      <w:r>
        <w:rPr>
          <w:rFonts w:hint="eastAsia"/>
        </w:rPr>
        <w:t>4</w:t>
      </w:r>
      <w:r>
        <w:t>.8</w:t>
      </w:r>
      <w:r>
        <w:rPr>
          <w:rFonts w:hint="eastAsia"/>
        </w:rPr>
        <w:t xml:space="preserve"> </w:t>
      </w:r>
      <w:r>
        <w:t>基于已有模型直接导出或直接打印生成项目所需的图纸文件时，</w:t>
      </w:r>
      <w:r>
        <w:rPr>
          <w:rFonts w:hint="eastAsia"/>
        </w:rPr>
        <w:t>图纸文件</w:t>
      </w:r>
      <w:r>
        <w:t>宜与模型文件关联，并附关联说明文件。</w:t>
      </w:r>
    </w:p>
    <w:p>
      <w:pPr>
        <w:pStyle w:val="111"/>
        <w:spacing w:before="156" w:after="156"/>
        <w:rPr>
          <w:rFonts w:hint="eastAsia" w:hAnsi="黑体" w:cs="黑体"/>
        </w:rPr>
      </w:pPr>
      <w:bookmarkStart w:id="128" w:name="_Toc167201559"/>
      <w:bookmarkStart w:id="129" w:name="_Toc168008292"/>
      <w:bookmarkStart w:id="130" w:name="_Hlk134034423"/>
      <w:r>
        <w:rPr>
          <w:rFonts w:hint="eastAsia" w:hAnsi="黑体" w:cs="黑体"/>
        </w:rPr>
        <w:t>7</w:t>
      </w:r>
      <w:r>
        <w:rPr>
          <w:rFonts w:hAnsi="黑体" w:cs="黑体"/>
        </w:rPr>
        <w:t>.</w:t>
      </w:r>
      <w:r>
        <w:rPr>
          <w:rFonts w:hint="eastAsia" w:hAnsi="黑体" w:cs="黑体"/>
        </w:rPr>
        <w:t>5</w:t>
      </w:r>
      <w:r>
        <w:rPr>
          <w:rFonts w:hAnsi="黑体" w:cs="黑体"/>
        </w:rPr>
        <w:t xml:space="preserve"> 专项设计深化</w:t>
      </w:r>
      <w:bookmarkEnd w:id="128"/>
      <w:bookmarkEnd w:id="129"/>
    </w:p>
    <w:bookmarkEnd w:id="130"/>
    <w:p>
      <w:pPr>
        <w:pStyle w:val="171"/>
        <w:rPr>
          <w:rFonts w:hint="eastAsia"/>
        </w:rPr>
      </w:pPr>
      <w:r>
        <w:rPr>
          <w:rFonts w:hint="eastAsia"/>
        </w:rPr>
        <w:t>7.5.1 应根据要求完成深化室内装修设计模型。完成包括但不限于吊顶模型、装饰构件、末端点位、墙面地面构造等模型。</w:t>
      </w:r>
    </w:p>
    <w:p>
      <w:pPr>
        <w:pStyle w:val="171"/>
        <w:rPr>
          <w:rFonts w:hint="eastAsia"/>
        </w:rPr>
      </w:pPr>
      <w:r>
        <w:rPr>
          <w:rFonts w:hint="eastAsia"/>
        </w:rPr>
        <w:t>7.5.2 应根据要求深化场地及景观设计模型。完成包括但不限于场地布局、室外管线、景观元素与地下室顶板、覆土层等模型。</w:t>
      </w:r>
    </w:p>
    <w:p>
      <w:pPr>
        <w:pStyle w:val="171"/>
        <w:rPr>
          <w:rFonts w:hint="eastAsia"/>
        </w:rPr>
      </w:pPr>
      <w:r>
        <w:rPr>
          <w:rFonts w:hint="eastAsia"/>
        </w:rPr>
        <w:t>7.5.3 应根据要求深化装配式专项设计模型，完成包括但不限于预制构件的深化模型，用于准确计算预制装配率。宜安排钢筋和各种预埋件的布置，用于复核构件与埋件之间的关系，并输出相应的预制构件图纸。</w:t>
      </w:r>
    </w:p>
    <w:p>
      <w:pPr>
        <w:pStyle w:val="171"/>
        <w:rPr>
          <w:rFonts w:hint="eastAsia"/>
        </w:rPr>
      </w:pPr>
      <w:r>
        <w:rPr>
          <w:rFonts w:hint="eastAsia"/>
        </w:rPr>
        <w:t>7.5.4 应根据要求深化幕墙设计模型。完成包括但不限于幕墙造型、幕墙结构、幕墙分割等模型。</w:t>
      </w:r>
    </w:p>
    <w:p>
      <w:pPr>
        <w:pStyle w:val="171"/>
        <w:rPr>
          <w:rFonts w:hint="eastAsia"/>
        </w:rPr>
      </w:pPr>
      <w:r>
        <w:rPr>
          <w:rFonts w:hint="eastAsia"/>
        </w:rPr>
        <w:t>7.5.5 应根据要求深化钢结构设计模型。完成包括但不限于钢结构造型、钢结构节点等模型。</w:t>
      </w:r>
    </w:p>
    <w:p>
      <w:pPr>
        <w:pStyle w:val="171"/>
        <w:rPr>
          <w:rFonts w:hint="eastAsia"/>
        </w:rPr>
      </w:pPr>
      <w:r>
        <w:rPr>
          <w:rFonts w:hint="eastAsia"/>
        </w:rPr>
        <w:t>7.5.6 应根据要求深化桩基设计模型。</w:t>
      </w:r>
    </w:p>
    <w:p>
      <w:pPr>
        <w:pStyle w:val="111"/>
        <w:spacing w:before="156" w:after="156"/>
        <w:rPr>
          <w:rFonts w:hint="eastAsia" w:hAnsi="黑体" w:cs="黑体"/>
        </w:rPr>
      </w:pPr>
      <w:bookmarkStart w:id="131" w:name="_Toc167201560"/>
      <w:bookmarkStart w:id="132" w:name="_Toc168008293"/>
      <w:bookmarkStart w:id="133" w:name="_Hlk134034618"/>
      <w:r>
        <w:rPr>
          <w:rFonts w:hint="eastAsia" w:hAnsi="黑体" w:cs="黑体"/>
        </w:rPr>
        <w:t>7</w:t>
      </w:r>
      <w:r>
        <w:rPr>
          <w:rFonts w:hAnsi="黑体" w:cs="黑体"/>
        </w:rPr>
        <w:t>.</w:t>
      </w:r>
      <w:r>
        <w:rPr>
          <w:rFonts w:hint="eastAsia" w:hAnsi="黑体" w:cs="黑体"/>
        </w:rPr>
        <w:t>6</w:t>
      </w:r>
      <w:r>
        <w:rPr>
          <w:rFonts w:hAnsi="黑体" w:cs="黑体"/>
        </w:rPr>
        <w:t xml:space="preserve"> 绿色设计专项应用</w:t>
      </w:r>
      <w:bookmarkEnd w:id="131"/>
      <w:bookmarkEnd w:id="132"/>
    </w:p>
    <w:bookmarkEnd w:id="133"/>
    <w:p>
      <w:pPr>
        <w:pStyle w:val="171"/>
        <w:rPr>
          <w:rFonts w:hint="eastAsia"/>
        </w:rPr>
      </w:pPr>
      <w:r>
        <w:rPr>
          <w:rFonts w:hint="eastAsia"/>
        </w:rPr>
        <w:t>7.6.1 绿色设计宜基</w:t>
      </w:r>
      <w:r>
        <w:rPr>
          <w:rFonts w:hint="eastAsia" w:ascii="宋体" w:hAnsi="宋体"/>
        </w:rPr>
        <w:t>于BIM技术，利用专业性能分析软件对项目进行多方面性能模拟，包括但不限于建筑的可视性、自然采光、空气流通、人员疏散、结构稳定性和能源效率。整合模拟结果，优化绿色建筑项目的性能、品质、安全性与经济合理</w:t>
      </w:r>
      <w:r>
        <w:rPr>
          <w:rFonts w:hint="eastAsia"/>
        </w:rPr>
        <w:t>性。应细致收集和分析各项性能数据，通过模型调整追求综合性能的最优平衡，并据此修进设计方案。</w:t>
      </w:r>
    </w:p>
    <w:p>
      <w:pPr>
        <w:pStyle w:val="171"/>
        <w:jc w:val="both"/>
        <w:rPr>
          <w:rFonts w:hint="eastAsia"/>
        </w:rPr>
      </w:pPr>
      <w:r>
        <w:rPr>
          <w:rFonts w:hint="eastAsia"/>
        </w:rPr>
        <w:t>7.6.2 绿色设计应充分结合《绿色建筑评价标准》GB/T 50378中的相关规定构建和应用BIM模型。</w:t>
      </w:r>
    </w:p>
    <w:p>
      <w:pPr>
        <w:pStyle w:val="171"/>
        <w:rPr>
          <w:rFonts w:hint="eastAsia"/>
        </w:rPr>
      </w:pPr>
      <w:r>
        <w:rPr>
          <w:rFonts w:hint="eastAsia"/>
        </w:rPr>
        <w:t xml:space="preserve">7.6.3 </w:t>
      </w:r>
      <w:r>
        <w:rPr>
          <w:rFonts w:hint="eastAsia" w:ascii="宋体" w:hAnsi="宋体"/>
        </w:rPr>
        <w:t>BIM模型中应包含健身设施面积、全龄活动空间以及景观设计数据等信息。BIM模型应根据项目实际需要构建，完善相关内容</w:t>
      </w:r>
      <w:r>
        <w:rPr>
          <w:rFonts w:hint="eastAsia"/>
        </w:rPr>
        <w:t>。</w:t>
      </w:r>
    </w:p>
    <w:p>
      <w:pPr>
        <w:pStyle w:val="111"/>
        <w:spacing w:before="156" w:after="156"/>
        <w:rPr>
          <w:rFonts w:hint="eastAsia" w:hAnsi="黑体" w:cs="黑体"/>
        </w:rPr>
      </w:pPr>
      <w:bookmarkStart w:id="134" w:name="_Toc167201561"/>
      <w:bookmarkStart w:id="135" w:name="_Toc168008294"/>
      <w:r>
        <w:rPr>
          <w:rFonts w:hint="eastAsia" w:hAnsi="黑体" w:cs="黑体"/>
        </w:rPr>
        <w:t>7</w:t>
      </w:r>
      <w:r>
        <w:rPr>
          <w:rFonts w:hAnsi="黑体" w:cs="黑体"/>
        </w:rPr>
        <w:t>.</w:t>
      </w:r>
      <w:r>
        <w:rPr>
          <w:rFonts w:hint="eastAsia" w:hAnsi="黑体" w:cs="黑体"/>
        </w:rPr>
        <w:t>7</w:t>
      </w:r>
      <w:r>
        <w:rPr>
          <w:rFonts w:hAnsi="黑体" w:cs="黑体"/>
        </w:rPr>
        <w:t xml:space="preserve"> 智能化审查和模型评价</w:t>
      </w:r>
      <w:bookmarkEnd w:id="134"/>
      <w:bookmarkEnd w:id="135"/>
    </w:p>
    <w:p>
      <w:pPr>
        <w:pStyle w:val="171"/>
        <w:rPr>
          <w:rFonts w:hint="eastAsia"/>
        </w:rPr>
      </w:pPr>
      <w:r>
        <w:rPr>
          <w:rFonts w:hint="eastAsia"/>
        </w:rPr>
        <w:t>7</w:t>
      </w:r>
      <w:r>
        <w:t>.</w:t>
      </w:r>
      <w:r>
        <w:rPr>
          <w:rFonts w:hint="eastAsia"/>
        </w:rPr>
        <w:t>7</w:t>
      </w:r>
      <w:r>
        <w:t>.1 绿色建筑信息模型智能化审查宜利用计算机、人工智能、大数据等技术，快速审查出模型中各项设计问题。</w:t>
      </w:r>
    </w:p>
    <w:p>
      <w:pPr>
        <w:pStyle w:val="171"/>
        <w:rPr>
          <w:rFonts w:hint="eastAsia" w:ascii="宋体" w:hAnsi="宋体"/>
        </w:rPr>
      </w:pPr>
      <w:r>
        <w:rPr>
          <w:rFonts w:hint="eastAsia"/>
        </w:rPr>
        <w:t>7.7.2</w:t>
      </w:r>
      <w:r>
        <w:t xml:space="preserve"> </w:t>
      </w:r>
      <w:r>
        <w:rPr>
          <w:rFonts w:hint="eastAsia"/>
        </w:rPr>
        <w:t>施工图建筑信息模型应由建筑及结构分析计算、机电、室外管综等模型组成，并满足《建筑信息模型设计交付标准》GB/T 51301的规定。</w:t>
      </w:r>
    </w:p>
    <w:p>
      <w:pPr>
        <w:pStyle w:val="171"/>
        <w:rPr>
          <w:rFonts w:hint="eastAsia"/>
        </w:rPr>
      </w:pPr>
      <w:r>
        <w:rPr>
          <w:rFonts w:hint="eastAsia"/>
        </w:rPr>
        <w:t>7.7.3 施工图建筑信息模型系统应符合下列要求：</w:t>
      </w:r>
    </w:p>
    <w:p>
      <w:pPr>
        <w:pStyle w:val="180"/>
        <w:numPr>
          <w:ilvl w:val="0"/>
          <w:numId w:val="45"/>
        </w:numPr>
        <w:tabs>
          <w:tab w:val="left" w:pos="851"/>
        </w:tabs>
        <w:ind w:left="840" w:leftChars="200" w:hanging="420" w:hangingChars="200"/>
        <w:rPr>
          <w:rFonts w:hint="eastAsia" w:hAnsi="宋体"/>
        </w:rPr>
      </w:pPr>
      <w:r>
        <w:rPr>
          <w:rFonts w:hint="eastAsia" w:hAnsi="宋体"/>
        </w:rPr>
        <w:t>建筑模型应包含建筑墙体、建筑柱、门、窗、屋面、屋顶、楼地面、幕墙、顶棚、楼梯、坡道、台阶、散水与明沟、栏杆、雨篷、阳台、露台、各类设备基础、混凝土主体结构；</w:t>
      </w:r>
    </w:p>
    <w:p>
      <w:pPr>
        <w:pStyle w:val="180"/>
        <w:numPr>
          <w:ilvl w:val="0"/>
          <w:numId w:val="45"/>
        </w:numPr>
        <w:tabs>
          <w:tab w:val="left" w:pos="851"/>
        </w:tabs>
        <w:ind w:left="840" w:leftChars="200" w:hanging="420" w:hangingChars="200"/>
        <w:rPr>
          <w:rFonts w:hint="eastAsia" w:hAnsi="宋体"/>
        </w:rPr>
      </w:pPr>
      <w:r>
        <w:rPr>
          <w:rFonts w:hint="eastAsia" w:hAnsi="宋体"/>
        </w:rPr>
        <w:t>结构分析计算模型应包含主梁、次梁、柱、支撑、墙、楼板、悬挑板等；</w:t>
      </w:r>
    </w:p>
    <w:p>
      <w:pPr>
        <w:pStyle w:val="180"/>
        <w:numPr>
          <w:ilvl w:val="0"/>
          <w:numId w:val="45"/>
        </w:numPr>
        <w:tabs>
          <w:tab w:val="left" w:pos="851"/>
        </w:tabs>
        <w:ind w:left="840" w:leftChars="200" w:hanging="420" w:hangingChars="200"/>
        <w:rPr>
          <w:rFonts w:hint="eastAsia" w:hAnsi="宋体"/>
        </w:rPr>
      </w:pPr>
      <w:r>
        <w:rPr>
          <w:rFonts w:hint="eastAsia" w:hAnsi="宋体"/>
        </w:rPr>
        <w:t>室内给排水模型应包含给水、排水、中水、循环水、消防系统设备和管道、管件、管道附件、卫浴装置、机械设备；</w:t>
      </w:r>
    </w:p>
    <w:p>
      <w:pPr>
        <w:pStyle w:val="180"/>
        <w:numPr>
          <w:ilvl w:val="0"/>
          <w:numId w:val="45"/>
        </w:numPr>
        <w:tabs>
          <w:tab w:val="left" w:pos="851"/>
        </w:tabs>
        <w:ind w:left="840" w:leftChars="200" w:hanging="420" w:hangingChars="200"/>
        <w:rPr>
          <w:rFonts w:hint="eastAsia" w:hAnsi="宋体"/>
        </w:rPr>
      </w:pPr>
      <w:r>
        <w:rPr>
          <w:rFonts w:hint="eastAsia" w:hAnsi="宋体"/>
        </w:rPr>
        <w:t>室内电气模型应包含供配电、照明、防雷与接地、智能化系统设备和电缆桥架、电气设备；</w:t>
      </w:r>
    </w:p>
    <w:p>
      <w:pPr>
        <w:pStyle w:val="180"/>
        <w:numPr>
          <w:ilvl w:val="0"/>
          <w:numId w:val="45"/>
        </w:numPr>
        <w:tabs>
          <w:tab w:val="left" w:pos="851"/>
        </w:tabs>
        <w:ind w:left="840" w:leftChars="200" w:hanging="420" w:hangingChars="200"/>
        <w:rPr>
          <w:rFonts w:hint="eastAsia" w:hAnsi="宋体"/>
        </w:rPr>
      </w:pPr>
      <w:r>
        <w:rPr>
          <w:rFonts w:hint="eastAsia" w:hAnsi="宋体"/>
        </w:rPr>
        <w:t>室内暖通空调模型应包含供暖、通风设备、空气调节、除尘净化、热力、燃气、气体系统设备和管道、管件、管路附件、风道末端、机械设备；</w:t>
      </w:r>
    </w:p>
    <w:p>
      <w:pPr>
        <w:pStyle w:val="180"/>
        <w:numPr>
          <w:ilvl w:val="0"/>
          <w:numId w:val="45"/>
        </w:numPr>
        <w:tabs>
          <w:tab w:val="left" w:pos="851"/>
        </w:tabs>
        <w:ind w:left="840" w:leftChars="200" w:hanging="420" w:hangingChars="200"/>
        <w:rPr>
          <w:rFonts w:hint="eastAsia" w:hAnsi="宋体"/>
        </w:rPr>
      </w:pPr>
      <w:r>
        <w:rPr>
          <w:rFonts w:hint="eastAsia" w:hAnsi="宋体"/>
        </w:rPr>
        <w:t>室外管综模型应包含室外给水、排水、雨水、中水、消防、热力、燃气、电力、通信、管廊系统的设备和管道、管道附件、场地；场地应包含地形、道路、停车场、消防登高场地、绿化水域，宜包含场地附属设施。</w:t>
      </w:r>
    </w:p>
    <w:p>
      <w:pPr>
        <w:pStyle w:val="171"/>
        <w:rPr>
          <w:rFonts w:hint="eastAsia"/>
        </w:rPr>
      </w:pPr>
      <w:r>
        <w:rPr>
          <w:rFonts w:hint="eastAsia"/>
        </w:rPr>
        <w:t>7</w:t>
      </w:r>
      <w:r>
        <w:t>.</w:t>
      </w:r>
      <w:r>
        <w:rPr>
          <w:rFonts w:hint="eastAsia"/>
        </w:rPr>
        <w:t>7</w:t>
      </w:r>
      <w:r>
        <w:t>.4 绿色建筑信息模型智能化审查宜包含模型完整性检查</w:t>
      </w:r>
      <w:r>
        <w:rPr>
          <w:rFonts w:hint="eastAsia"/>
        </w:rPr>
        <w:t>、</w:t>
      </w:r>
      <w:r>
        <w:t>模型质量规范性检查</w:t>
      </w:r>
      <w:r>
        <w:rPr>
          <w:rFonts w:hint="eastAsia"/>
        </w:rPr>
        <w:t>、</w:t>
      </w:r>
      <w:r>
        <w:t>模型设计合规性检查。</w:t>
      </w:r>
    </w:p>
    <w:p>
      <w:pPr>
        <w:pStyle w:val="171"/>
        <w:rPr>
          <w:rFonts w:hint="eastAsia"/>
        </w:rPr>
      </w:pPr>
      <w:r>
        <w:rPr>
          <w:rFonts w:hint="eastAsia"/>
        </w:rPr>
        <w:t>7</w:t>
      </w:r>
      <w:r>
        <w:t>.</w:t>
      </w:r>
      <w:r>
        <w:rPr>
          <w:rFonts w:hint="eastAsia"/>
        </w:rPr>
        <w:t>7</w:t>
      </w:r>
      <w:r>
        <w:t>.5 智能化审查后应输出模型评价报告，报告中宜包含问题类型、审查意见、错</w:t>
      </w:r>
      <w:r>
        <w:rPr>
          <w:rFonts w:ascii="宋体" w:hAnsi="宋体"/>
        </w:rPr>
        <w:t>误构件ID等</w:t>
      </w:r>
      <w:r>
        <w:t>信息。</w:t>
      </w:r>
    </w:p>
    <w:p>
      <w:pPr>
        <w:pStyle w:val="171"/>
        <w:rPr>
          <w:rFonts w:hint="eastAsia"/>
        </w:rPr>
      </w:pPr>
      <w:r>
        <w:rPr>
          <w:rFonts w:hint="eastAsia"/>
        </w:rPr>
        <w:t>7.7.6 审查意见应准确表达专业、项目编号、审查日期、项目名称、问题类型、审查结论。</w:t>
      </w:r>
    </w:p>
    <w:p>
      <w:pPr>
        <w:tabs>
          <w:tab w:val="left" w:pos="4345"/>
          <w:tab w:val="left" w:pos="4783"/>
        </w:tabs>
        <w:spacing w:line="500" w:lineRule="exact"/>
        <w:rPr>
          <w:rFonts w:ascii="Times New Roman" w:hAnsi="Times New Roman"/>
        </w:rPr>
      </w:pPr>
      <w:r>
        <w:rPr>
          <w:rFonts w:ascii="Times New Roman" w:hAnsi="Times New Roman"/>
        </w:rPr>
        <w:br w:type="page"/>
      </w:r>
    </w:p>
    <w:p>
      <w:pPr>
        <w:pStyle w:val="110"/>
        <w:spacing w:before="312" w:after="312"/>
        <w:rPr>
          <w:szCs w:val="21"/>
        </w:rPr>
      </w:pPr>
      <w:bookmarkStart w:id="136" w:name="_Toc167201562"/>
      <w:bookmarkStart w:id="137" w:name="_Toc168008295"/>
      <w:r>
        <w:rPr>
          <w:rFonts w:hint="eastAsia"/>
          <w:szCs w:val="21"/>
        </w:rPr>
        <w:t>8</w:t>
      </w:r>
      <w:r>
        <w:rPr>
          <w:szCs w:val="21"/>
        </w:rPr>
        <w:t xml:space="preserve"> 施工阶段应用</w:t>
      </w:r>
      <w:bookmarkEnd w:id="136"/>
      <w:bookmarkEnd w:id="137"/>
      <w:bookmarkStart w:id="138" w:name="_Hlk134036009"/>
      <w:r>
        <w:rPr>
          <w:szCs w:val="21"/>
        </w:rPr>
        <w:t xml:space="preserve"> </w:t>
      </w:r>
    </w:p>
    <w:p>
      <w:pPr>
        <w:pStyle w:val="111"/>
        <w:spacing w:before="156" w:after="156"/>
        <w:rPr>
          <w:rFonts w:hint="eastAsia" w:hAnsi="黑体" w:cs="黑体"/>
        </w:rPr>
      </w:pPr>
      <w:bookmarkStart w:id="139" w:name="_Toc167201563"/>
      <w:bookmarkStart w:id="140" w:name="_Toc168008296"/>
      <w:r>
        <w:rPr>
          <w:rFonts w:hint="eastAsia" w:hAnsi="黑体" w:cs="黑体"/>
        </w:rPr>
        <w:t>8</w:t>
      </w:r>
      <w:r>
        <w:rPr>
          <w:rFonts w:hAnsi="黑体" w:cs="黑体"/>
        </w:rPr>
        <w:t>.1 一般规定</w:t>
      </w:r>
      <w:bookmarkEnd w:id="139"/>
      <w:bookmarkEnd w:id="140"/>
    </w:p>
    <w:p>
      <w:pPr>
        <w:pStyle w:val="171"/>
        <w:rPr>
          <w:rFonts w:hint="eastAsia"/>
        </w:rPr>
      </w:pPr>
      <w:r>
        <w:rPr>
          <w:rFonts w:hint="eastAsia"/>
        </w:rPr>
        <w:t>8</w:t>
      </w:r>
      <w:r>
        <w:t>.1.1 绿色建筑信息模型施工阶段应用宜覆盖包括工程项目施工准备、施工实施、竣工验收的全过程，也可根据工程项目实际需要应用于某些</w:t>
      </w:r>
      <w:r>
        <w:rPr>
          <w:rFonts w:hint="eastAsia"/>
        </w:rPr>
        <w:t>具体</w:t>
      </w:r>
      <w:r>
        <w:t>环节和任务。</w:t>
      </w:r>
    </w:p>
    <w:p>
      <w:pPr>
        <w:pStyle w:val="171"/>
        <w:rPr>
          <w:rFonts w:hint="eastAsia"/>
        </w:rPr>
      </w:pPr>
      <w:r>
        <w:rPr>
          <w:rFonts w:hint="eastAsia"/>
        </w:rPr>
        <w:t>8</w:t>
      </w:r>
      <w:r>
        <w:t>.1.2 绿色建筑信息模型在施工阶段的应用</w:t>
      </w:r>
      <w:r>
        <w:rPr>
          <w:rFonts w:hint="eastAsia"/>
        </w:rPr>
        <w:t>宜</w:t>
      </w:r>
      <w:r>
        <w:t>包括进度管理、成本管理、质量管理、安全管理等</w:t>
      </w:r>
      <w:r>
        <w:rPr>
          <w:rFonts w:hint="eastAsia"/>
        </w:rPr>
        <w:t>内容，也可根据工程实际包括施工模拟、预制构件管理以及保温、防水可再生能源建筑应用等专项内容。</w:t>
      </w:r>
    </w:p>
    <w:p>
      <w:pPr>
        <w:pStyle w:val="171"/>
        <w:rPr>
          <w:rFonts w:hint="eastAsia" w:ascii="宋体" w:hAnsi="宋体"/>
        </w:rPr>
      </w:pPr>
      <w:r>
        <w:rPr>
          <w:rFonts w:hint="eastAsia"/>
        </w:rPr>
        <w:t>8</w:t>
      </w:r>
      <w:r>
        <w:t>.1.3 绿色建筑信息模型应基于全生</w:t>
      </w:r>
      <w:r>
        <w:rPr>
          <w:rFonts w:ascii="宋体" w:hAnsi="宋体"/>
        </w:rPr>
        <w:t>命周期应用策划，细化形成施工阶段BIM技术应用策划，</w:t>
      </w:r>
      <w:r>
        <w:rPr>
          <w:rFonts w:hint="eastAsia" w:ascii="宋体" w:hAnsi="宋体"/>
        </w:rPr>
        <w:t>并基于B</w:t>
      </w:r>
      <w:r>
        <w:rPr>
          <w:rFonts w:ascii="宋体" w:hAnsi="宋体"/>
        </w:rPr>
        <w:t>IM</w:t>
      </w:r>
      <w:r>
        <w:rPr>
          <w:rFonts w:hint="eastAsia" w:ascii="宋体" w:hAnsi="宋体"/>
        </w:rPr>
        <w:t>模型对施工过程进行管理。</w:t>
      </w:r>
    </w:p>
    <w:p>
      <w:pPr>
        <w:pStyle w:val="171"/>
        <w:rPr>
          <w:rFonts w:hint="eastAsia"/>
        </w:rPr>
      </w:pPr>
      <w:r>
        <w:rPr>
          <w:rFonts w:hint="eastAsia"/>
        </w:rPr>
        <w:t>8</w:t>
      </w:r>
      <w:r>
        <w:t>.1.4</w:t>
      </w:r>
      <w:r>
        <w:rPr>
          <w:rFonts w:hint="eastAsia"/>
        </w:rPr>
        <w:t xml:space="preserve"> </w:t>
      </w:r>
      <w:r>
        <w:t>在项目实施过程中，应根据项目特点和实际</w:t>
      </w:r>
      <w:r>
        <w:rPr>
          <w:rFonts w:ascii="宋体" w:hAnsi="宋体"/>
        </w:rPr>
        <w:t>管理需求对</w:t>
      </w:r>
      <w:r>
        <w:rPr>
          <w:rFonts w:hint="eastAsia" w:ascii="宋体" w:hAnsi="宋体"/>
        </w:rPr>
        <w:t>B</w:t>
      </w:r>
      <w:r>
        <w:rPr>
          <w:rFonts w:ascii="宋体" w:hAnsi="宋体"/>
        </w:rPr>
        <w:t>IM模型</w:t>
      </w:r>
      <w:r>
        <w:t>不断进行</w:t>
      </w:r>
      <w:r>
        <w:rPr>
          <w:rFonts w:hint="eastAsia"/>
        </w:rPr>
        <w:t>细化</w:t>
      </w:r>
      <w:r>
        <w:t>以满足现场施工需要。</w:t>
      </w:r>
    </w:p>
    <w:p>
      <w:pPr>
        <w:pStyle w:val="171"/>
        <w:rPr>
          <w:rFonts w:hint="eastAsia"/>
        </w:rPr>
      </w:pPr>
      <w:r>
        <w:rPr>
          <w:rFonts w:hint="eastAsia"/>
        </w:rPr>
        <w:t>8</w:t>
      </w:r>
      <w:r>
        <w:t>.1.5 绿色建筑信息模型在施工阶段的应用应满足绿色施工</w:t>
      </w:r>
      <w:r>
        <w:rPr>
          <w:rFonts w:ascii="宋体" w:hAnsi="宋体"/>
        </w:rPr>
        <w:t>的需要，绿色施工应符合《建筑工程绿色施工规范》GB/T 50905和《</w:t>
      </w:r>
      <w:r>
        <w:rPr>
          <w:rFonts w:hint="eastAsia" w:ascii="宋体" w:hAnsi="宋体"/>
        </w:rPr>
        <w:t>建筑与市政工程绿色施工评价标准</w:t>
      </w:r>
      <w:r>
        <w:rPr>
          <w:rFonts w:ascii="宋体" w:hAnsi="宋体"/>
        </w:rPr>
        <w:t>》GB/T 50640的</w:t>
      </w:r>
      <w:r>
        <w:t>规定。</w:t>
      </w:r>
    </w:p>
    <w:p>
      <w:pPr>
        <w:pStyle w:val="111"/>
        <w:spacing w:before="156" w:after="156"/>
        <w:rPr>
          <w:rFonts w:hint="eastAsia" w:hAnsi="黑体" w:cs="黑体"/>
        </w:rPr>
      </w:pPr>
      <w:bookmarkStart w:id="141" w:name="_Toc167201564"/>
      <w:bookmarkStart w:id="142" w:name="_Toc168008297"/>
      <w:bookmarkStart w:id="143" w:name="_Hlk134035069"/>
      <w:r>
        <w:rPr>
          <w:rFonts w:hint="eastAsia" w:hAnsi="黑体" w:cs="黑体"/>
        </w:rPr>
        <w:t>8</w:t>
      </w:r>
      <w:r>
        <w:rPr>
          <w:rFonts w:hAnsi="黑体" w:cs="黑体"/>
        </w:rPr>
        <w:t>.2 施工模拟</w:t>
      </w:r>
      <w:bookmarkEnd w:id="141"/>
      <w:bookmarkEnd w:id="142"/>
    </w:p>
    <w:bookmarkEnd w:id="143"/>
    <w:p>
      <w:pPr>
        <w:pStyle w:val="171"/>
        <w:rPr>
          <w:rFonts w:hint="eastAsia"/>
        </w:rPr>
      </w:pPr>
      <w:r>
        <w:rPr>
          <w:rFonts w:hint="eastAsia"/>
        </w:rPr>
        <w:t>8</w:t>
      </w:r>
      <w:r>
        <w:t xml:space="preserve">.2.1 </w:t>
      </w:r>
      <w:r>
        <w:rPr>
          <w:rFonts w:hint="eastAsia"/>
        </w:rPr>
        <w:t>绿色建筑信息模型施工阶段的</w:t>
      </w:r>
      <w:r>
        <w:t>施工模拟</w:t>
      </w:r>
      <w:r>
        <w:rPr>
          <w:rFonts w:hint="eastAsia"/>
        </w:rPr>
        <w:t>应</w:t>
      </w:r>
      <w:r>
        <w:t>包括施工组织模拟和施工工艺模拟，</w:t>
      </w:r>
      <w:r>
        <w:rPr>
          <w:rFonts w:hint="eastAsia"/>
        </w:rPr>
        <w:t>相关应用功能应</w:t>
      </w:r>
      <w:r>
        <w:t>满足下列要求</w:t>
      </w:r>
      <w:r>
        <w:rPr>
          <w:rFonts w:hint="eastAsia"/>
        </w:rPr>
        <w:t>：</w:t>
      </w:r>
    </w:p>
    <w:bookmarkEnd w:id="138"/>
    <w:p>
      <w:pPr>
        <w:pStyle w:val="180"/>
        <w:numPr>
          <w:ilvl w:val="0"/>
          <w:numId w:val="46"/>
        </w:numPr>
        <w:tabs>
          <w:tab w:val="left" w:pos="851"/>
        </w:tabs>
        <w:ind w:left="840" w:leftChars="200" w:hanging="420" w:hangingChars="200"/>
        <w:rPr>
          <w:rFonts w:hint="eastAsia" w:hAnsi="宋体"/>
        </w:rPr>
      </w:pPr>
      <w:r>
        <w:rPr>
          <w:rFonts w:hAnsi="宋体"/>
        </w:rPr>
        <w:t>施工模拟前应分析和确定绿色建筑</w:t>
      </w:r>
      <w:r>
        <w:rPr>
          <w:rFonts w:hint="eastAsia" w:hAnsi="宋体"/>
        </w:rPr>
        <w:t>信息模型</w:t>
      </w:r>
      <w:r>
        <w:rPr>
          <w:rFonts w:hAnsi="宋体"/>
        </w:rPr>
        <w:t>施工模拟的重点和难点</w:t>
      </w:r>
      <w:r>
        <w:rPr>
          <w:rFonts w:hint="eastAsia" w:hAnsi="宋体"/>
        </w:rPr>
        <w:t>，并</w:t>
      </w:r>
      <w:r>
        <w:rPr>
          <w:rFonts w:hAnsi="宋体"/>
        </w:rPr>
        <w:t>应确定BIM成果</w:t>
      </w:r>
      <w:r>
        <w:rPr>
          <w:rFonts w:hint="eastAsia" w:hAnsi="宋体"/>
        </w:rPr>
        <w:t>要求的</w:t>
      </w:r>
      <w:r>
        <w:rPr>
          <w:rFonts w:hAnsi="宋体"/>
        </w:rPr>
        <w:t>分阶段或分期交付计划</w:t>
      </w:r>
      <w:r>
        <w:rPr>
          <w:rFonts w:hint="eastAsia" w:hAnsi="宋体"/>
        </w:rPr>
        <w:t>；</w:t>
      </w:r>
    </w:p>
    <w:p>
      <w:pPr>
        <w:pStyle w:val="180"/>
        <w:numPr>
          <w:ilvl w:val="0"/>
          <w:numId w:val="46"/>
        </w:numPr>
        <w:tabs>
          <w:tab w:val="left" w:pos="851"/>
        </w:tabs>
        <w:ind w:left="840" w:leftChars="200" w:hanging="420" w:hangingChars="200"/>
        <w:rPr>
          <w:rFonts w:hint="eastAsia" w:hAnsi="宋体"/>
        </w:rPr>
      </w:pPr>
      <w:r>
        <w:rPr>
          <w:rFonts w:hAnsi="宋体"/>
        </w:rPr>
        <w:t>施工组织模拟前应制订工程项目初步实施计划，形成施工顺序和时间安排</w:t>
      </w:r>
      <w:r>
        <w:rPr>
          <w:rFonts w:hint="eastAsia" w:hAnsi="宋体"/>
        </w:rPr>
        <w:t>；</w:t>
      </w:r>
    </w:p>
    <w:p>
      <w:pPr>
        <w:pStyle w:val="180"/>
        <w:numPr>
          <w:ilvl w:val="0"/>
          <w:numId w:val="46"/>
        </w:numPr>
        <w:tabs>
          <w:tab w:val="left" w:pos="851"/>
        </w:tabs>
        <w:ind w:left="840" w:leftChars="200" w:hanging="420" w:hangingChars="200"/>
        <w:rPr>
          <w:rFonts w:hint="eastAsia" w:hAnsi="宋体"/>
        </w:rPr>
      </w:pPr>
      <w:r>
        <w:rPr>
          <w:rFonts w:hAnsi="宋体"/>
        </w:rPr>
        <w:t>施工工艺模拟前应完成相关施工方案的编制，确认工艺流程及相关技术要求</w:t>
      </w:r>
      <w:r>
        <w:rPr>
          <w:rFonts w:hint="eastAsia" w:hAnsi="宋体"/>
        </w:rPr>
        <w:t>；</w:t>
      </w:r>
    </w:p>
    <w:p>
      <w:pPr>
        <w:pStyle w:val="180"/>
        <w:numPr>
          <w:ilvl w:val="0"/>
          <w:numId w:val="46"/>
        </w:numPr>
        <w:tabs>
          <w:tab w:val="left" w:pos="851"/>
        </w:tabs>
        <w:ind w:left="840" w:leftChars="200" w:hanging="420" w:hangingChars="200"/>
        <w:rPr>
          <w:rFonts w:hint="eastAsia" w:hAnsi="宋体"/>
        </w:rPr>
      </w:pPr>
      <w:bookmarkStart w:id="144" w:name="_Hlk174489087"/>
      <w:bookmarkStart w:id="145" w:name="_Hlk174489144"/>
      <w:r>
        <w:rPr>
          <w:rFonts w:hint="eastAsia" w:hAnsi="宋体"/>
        </w:rPr>
        <w:t>施工组织模拟前宜</w:t>
      </w:r>
      <w:r>
        <w:rPr>
          <w:rFonts w:hAnsi="宋体"/>
        </w:rPr>
        <w:t>基于施工图设计模型或深化设计模型和施工图、施工组织设计文档等创建</w:t>
      </w:r>
      <w:r>
        <w:rPr>
          <w:rFonts w:hint="eastAsia" w:hAnsi="宋体"/>
        </w:rPr>
        <w:t>用于</w:t>
      </w:r>
      <w:r>
        <w:rPr>
          <w:rFonts w:hAnsi="宋体"/>
        </w:rPr>
        <w:t>施工</w:t>
      </w:r>
      <w:r>
        <w:rPr>
          <w:rFonts w:hint="eastAsia" w:hAnsi="宋体"/>
        </w:rPr>
        <w:t>组织</w:t>
      </w:r>
      <w:r>
        <w:rPr>
          <w:rFonts w:hAnsi="宋体"/>
        </w:rPr>
        <w:t>模拟</w:t>
      </w:r>
      <w:r>
        <w:rPr>
          <w:rFonts w:hint="eastAsia" w:hAnsi="宋体"/>
        </w:rPr>
        <w:t>的施工组织</w:t>
      </w:r>
      <w:r>
        <w:rPr>
          <w:rFonts w:hAnsi="宋体"/>
        </w:rPr>
        <w:t>模型</w:t>
      </w:r>
      <w:r>
        <w:rPr>
          <w:rFonts w:hint="eastAsia" w:hAnsi="宋体"/>
        </w:rPr>
        <w:t>；</w:t>
      </w:r>
      <w:bookmarkEnd w:id="144"/>
    </w:p>
    <w:bookmarkEnd w:id="145"/>
    <w:p>
      <w:pPr>
        <w:pStyle w:val="180"/>
        <w:numPr>
          <w:ilvl w:val="0"/>
          <w:numId w:val="46"/>
        </w:numPr>
        <w:tabs>
          <w:tab w:val="left" w:pos="851"/>
        </w:tabs>
        <w:ind w:left="840" w:leftChars="200" w:hanging="420" w:hangingChars="200"/>
        <w:rPr>
          <w:rFonts w:hint="eastAsia" w:hAnsi="宋体"/>
        </w:rPr>
      </w:pPr>
      <w:bookmarkStart w:id="146" w:name="_Hlk174489101"/>
      <w:r>
        <w:rPr>
          <w:rFonts w:hint="eastAsia" w:hAnsi="宋体"/>
        </w:rPr>
        <w:t>施工工艺模拟前宜根据已完成的施工组织模型，也可以在施工图、设计模型或深化设计模型基础上创建用于施工工艺模拟的施工工艺模型；</w:t>
      </w:r>
      <w:bookmarkEnd w:id="146"/>
    </w:p>
    <w:p>
      <w:pPr>
        <w:pStyle w:val="180"/>
        <w:numPr>
          <w:ilvl w:val="0"/>
          <w:numId w:val="46"/>
        </w:numPr>
        <w:tabs>
          <w:tab w:val="left" w:pos="851"/>
        </w:tabs>
        <w:ind w:left="840" w:leftChars="200" w:hanging="420" w:hangingChars="200"/>
        <w:rPr>
          <w:rFonts w:hint="eastAsia" w:hAnsi="宋体"/>
        </w:rPr>
      </w:pPr>
      <w:r>
        <w:rPr>
          <w:rFonts w:hAnsi="宋体"/>
        </w:rPr>
        <w:t>施工组织模拟时，宜根据模拟需要将施工项目的工序安排、资源配置和平面布置等信息与模型关联，应及时记录模拟过程中存在的问题，形成施工组织模拟分析报告</w:t>
      </w:r>
      <w:r>
        <w:rPr>
          <w:rFonts w:hint="eastAsia" w:hAnsi="宋体"/>
        </w:rPr>
        <w:t>；</w:t>
      </w:r>
    </w:p>
    <w:p>
      <w:pPr>
        <w:pStyle w:val="180"/>
        <w:numPr>
          <w:ilvl w:val="0"/>
          <w:numId w:val="46"/>
        </w:numPr>
        <w:tabs>
          <w:tab w:val="left" w:pos="851"/>
        </w:tabs>
        <w:ind w:left="840" w:leftChars="200" w:hanging="420" w:hangingChars="200"/>
        <w:rPr>
          <w:rFonts w:hint="eastAsia" w:hAnsi="宋体"/>
        </w:rPr>
      </w:pPr>
      <w:r>
        <w:rPr>
          <w:rFonts w:hAnsi="宋体"/>
        </w:rPr>
        <w:t>施工组织模拟完成后，应根据模拟成果对工序安排、资源配置、平面布置等进行协调和优化，并将相关信息更新或关联到模型中</w:t>
      </w:r>
      <w:r>
        <w:rPr>
          <w:rFonts w:hint="eastAsia" w:hAnsi="宋体"/>
        </w:rPr>
        <w:t>；</w:t>
      </w:r>
    </w:p>
    <w:p>
      <w:pPr>
        <w:pStyle w:val="180"/>
        <w:numPr>
          <w:ilvl w:val="0"/>
          <w:numId w:val="46"/>
        </w:numPr>
        <w:tabs>
          <w:tab w:val="left" w:pos="851"/>
        </w:tabs>
        <w:ind w:left="840" w:leftChars="200" w:hanging="420" w:hangingChars="200"/>
        <w:rPr>
          <w:rFonts w:hint="eastAsia" w:hAnsi="宋体"/>
        </w:rPr>
      </w:pPr>
      <w:r>
        <w:rPr>
          <w:rFonts w:hAnsi="宋体"/>
        </w:rPr>
        <w:t>施工工艺模拟时，宜及时记录出现的工序交接、施工定位等存在的问题，形成施工模拟分析报告</w:t>
      </w:r>
      <w:r>
        <w:rPr>
          <w:rFonts w:hint="eastAsia" w:hAnsi="宋体"/>
        </w:rPr>
        <w:t>；</w:t>
      </w:r>
    </w:p>
    <w:p>
      <w:pPr>
        <w:pStyle w:val="180"/>
        <w:numPr>
          <w:ilvl w:val="0"/>
          <w:numId w:val="46"/>
        </w:numPr>
        <w:tabs>
          <w:tab w:val="left" w:pos="851"/>
        </w:tabs>
        <w:ind w:left="840" w:leftChars="200" w:hanging="420" w:hangingChars="200"/>
        <w:rPr>
          <w:rFonts w:hint="eastAsia" w:hAnsi="宋体"/>
        </w:rPr>
      </w:pPr>
      <w:r>
        <w:rPr>
          <w:rFonts w:hAnsi="宋体"/>
        </w:rPr>
        <w:t>施工工艺模拟完成后，宜根据模拟成果进行协调优化，并将相关信息同步更新或关联到模型中。</w:t>
      </w:r>
    </w:p>
    <w:p>
      <w:pPr>
        <w:pStyle w:val="171"/>
        <w:rPr>
          <w:rFonts w:hint="eastAsia"/>
        </w:rPr>
      </w:pPr>
      <w:r>
        <w:rPr>
          <w:rFonts w:hint="eastAsia"/>
        </w:rPr>
        <w:t>8</w:t>
      </w:r>
      <w:r>
        <w:t>.2.2 施工模拟模型元素及信息宜</w:t>
      </w:r>
      <w:r>
        <w:rPr>
          <w:rFonts w:ascii="宋体" w:hAnsi="宋体"/>
        </w:rPr>
        <w:t>符合表</w:t>
      </w:r>
      <w:r>
        <w:rPr>
          <w:rFonts w:hint="eastAsia" w:ascii="宋体" w:hAnsi="宋体"/>
        </w:rPr>
        <w:t>13</w:t>
      </w:r>
      <w:r>
        <w:rPr>
          <w:rFonts w:ascii="宋体" w:hAnsi="宋体"/>
        </w:rPr>
        <w:t>的</w:t>
      </w:r>
      <w:r>
        <w:t>规定。</w:t>
      </w:r>
    </w:p>
    <w:p>
      <w:pPr>
        <w:pStyle w:val="13"/>
        <w:spacing w:before="156" w:beforeLines="50" w:after="156" w:afterLines="50"/>
        <w:jc w:val="center"/>
        <w:rPr>
          <w:rFonts w:hint="eastAsia" w:ascii="黑体" w:hAnsi="黑体"/>
        </w:rPr>
      </w:pPr>
      <w:bookmarkStart w:id="147" w:name="_Toc174544093"/>
      <w:bookmarkStart w:id="148" w:name="_Toc174544036"/>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13</w:t>
      </w:r>
      <w:r>
        <w:rPr>
          <w:rFonts w:ascii="黑体" w:hAnsi="黑体"/>
          <w:sz w:val="21"/>
          <w:szCs w:val="21"/>
        </w:rPr>
        <w:fldChar w:fldCharType="end"/>
      </w:r>
      <w:r>
        <w:rPr>
          <w:rFonts w:ascii="黑体" w:hAnsi="黑体"/>
          <w:sz w:val="21"/>
          <w:szCs w:val="21"/>
        </w:rPr>
        <w:t xml:space="preserve"> 施工</w:t>
      </w:r>
      <w:r>
        <w:rPr>
          <w:rFonts w:hint="eastAsia" w:ascii="黑体" w:hAnsi="黑体"/>
          <w:sz w:val="21"/>
          <w:szCs w:val="21"/>
        </w:rPr>
        <w:t>模拟</w:t>
      </w:r>
      <w:r>
        <w:rPr>
          <w:rFonts w:ascii="黑体" w:hAnsi="黑体"/>
          <w:sz w:val="21"/>
          <w:szCs w:val="21"/>
        </w:rPr>
        <w:t>模型元素及信息</w:t>
      </w:r>
      <w:bookmarkEnd w:id="147"/>
      <w:bookmarkEnd w:id="148"/>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47"/>
        <w:gridCol w:w="2054"/>
        <w:gridCol w:w="561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应用</w:t>
            </w:r>
          </w:p>
        </w:tc>
        <w:tc>
          <w:tcPr>
            <w:tcW w:w="2054"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模型元素类别</w:t>
            </w:r>
          </w:p>
        </w:tc>
        <w:tc>
          <w:tcPr>
            <w:tcW w:w="5619"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restar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施工组织模拟</w:t>
            </w:r>
          </w:p>
        </w:tc>
        <w:tc>
          <w:tcPr>
            <w:tcW w:w="2054"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5619" w:type="dxa"/>
            <w:tcBorders>
              <w:top w:val="single" w:color="auto" w:sz="8" w:space="0"/>
            </w:tcBorders>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施工图设计模型或深化设计模型元素及信息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5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场地布置</w:t>
            </w:r>
          </w:p>
        </w:tc>
        <w:tc>
          <w:tcPr>
            <w:tcW w:w="5619"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现场场地、地下管线、临时设施、施工机械设备、道路等</w:t>
            </w:r>
          </w:p>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几何信息包括：位置、几何尺寸（或轮廓）</w:t>
            </w:r>
          </w:p>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非几何信息包括：机械设备参数、生产厂家以及相关运行维护信息等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5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场地周边</w:t>
            </w:r>
          </w:p>
        </w:tc>
        <w:tc>
          <w:tcPr>
            <w:tcW w:w="5619"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临近区域的既有建（构）筑物、周边道路等</w:t>
            </w:r>
          </w:p>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几何信息包括：位置、几何尺寸（或轮廓）</w:t>
            </w:r>
          </w:p>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非几何信息包括：周边建筑物设计参数及道路的性能参数等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5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其他</w:t>
            </w:r>
          </w:p>
        </w:tc>
        <w:tc>
          <w:tcPr>
            <w:tcW w:w="5619"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施工组织所涉及的其他资源信息，如工程项目进度计划、劳动力计划、设备材料及机械进场计划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施工工艺模拟</w:t>
            </w:r>
          </w:p>
        </w:tc>
        <w:tc>
          <w:tcPr>
            <w:tcW w:w="205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5619"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施工组织模型，施工图、设计模型或深化设计模型元素及信息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54"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施工信息</w:t>
            </w:r>
          </w:p>
        </w:tc>
        <w:tc>
          <w:tcPr>
            <w:tcW w:w="5619"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涉及的时间、人力、施工机械及其工作面要求等信息</w:t>
            </w:r>
          </w:p>
        </w:tc>
      </w:tr>
    </w:tbl>
    <w:p>
      <w:pPr>
        <w:pStyle w:val="171"/>
        <w:rPr>
          <w:rFonts w:hint="eastAsia"/>
        </w:rPr>
      </w:pPr>
      <w:bookmarkStart w:id="149" w:name="_Toc167201565"/>
      <w:bookmarkStart w:id="150" w:name="_Hlk134035264"/>
    </w:p>
    <w:p>
      <w:pPr>
        <w:pStyle w:val="111"/>
        <w:spacing w:before="156" w:after="156"/>
        <w:rPr>
          <w:rFonts w:hint="eastAsia" w:hAnsi="黑体" w:cs="黑体"/>
        </w:rPr>
      </w:pPr>
      <w:bookmarkStart w:id="151" w:name="_Toc168008298"/>
      <w:r>
        <w:rPr>
          <w:rFonts w:hint="eastAsia" w:hAnsi="黑体" w:cs="黑体"/>
        </w:rPr>
        <w:t>8</w:t>
      </w:r>
      <w:r>
        <w:rPr>
          <w:rFonts w:hAnsi="黑体" w:cs="黑体"/>
        </w:rPr>
        <w:t>.3 预制加工</w:t>
      </w:r>
      <w:bookmarkEnd w:id="149"/>
      <w:bookmarkEnd w:id="151"/>
    </w:p>
    <w:bookmarkEnd w:id="150"/>
    <w:p>
      <w:pPr>
        <w:pStyle w:val="171"/>
        <w:rPr>
          <w:rFonts w:hint="eastAsia"/>
        </w:rPr>
      </w:pPr>
      <w:r>
        <w:rPr>
          <w:rFonts w:hint="eastAsia"/>
        </w:rPr>
        <w:t>8</w:t>
      </w:r>
      <w:r>
        <w:t>.3.1</w:t>
      </w:r>
      <w:r>
        <w:rPr>
          <w:rFonts w:hint="eastAsia"/>
        </w:rPr>
        <w:t xml:space="preserve"> 绿色建筑信息模型施工阶段的</w:t>
      </w:r>
      <w:r>
        <w:t>预制加工</w:t>
      </w:r>
      <w:r>
        <w:rPr>
          <w:rFonts w:hint="eastAsia"/>
        </w:rPr>
        <w:t>应</w:t>
      </w:r>
      <w:r>
        <w:t>包括混凝土预制构件生产、钢结构构件加工和机电</w:t>
      </w:r>
      <w:r>
        <w:rPr>
          <w:rFonts w:hint="eastAsia"/>
        </w:rPr>
        <w:t>预留预埋</w:t>
      </w:r>
      <w:r>
        <w:t>，</w:t>
      </w:r>
      <w:r>
        <w:rPr>
          <w:rFonts w:hint="eastAsia"/>
        </w:rPr>
        <w:t>相关应用功能应</w:t>
      </w:r>
      <w:r>
        <w:t>满足下列要求</w:t>
      </w:r>
      <w:r>
        <w:rPr>
          <w:rFonts w:hint="eastAsia"/>
        </w:rPr>
        <w:t>：</w:t>
      </w:r>
    </w:p>
    <w:p>
      <w:pPr>
        <w:pStyle w:val="180"/>
        <w:numPr>
          <w:ilvl w:val="0"/>
          <w:numId w:val="47"/>
        </w:numPr>
        <w:tabs>
          <w:tab w:val="left" w:pos="851"/>
        </w:tabs>
        <w:ind w:left="840" w:leftChars="200" w:hanging="420" w:hangingChars="200"/>
        <w:rPr>
          <w:rFonts w:hint="eastAsia" w:hAnsi="宋体"/>
        </w:rPr>
      </w:pPr>
      <w:r>
        <w:rPr>
          <w:rFonts w:hAnsi="宋体"/>
        </w:rPr>
        <w:t>预制加工</w:t>
      </w:r>
      <w:r>
        <w:rPr>
          <w:rFonts w:hint="eastAsia" w:hAnsi="宋体"/>
        </w:rPr>
        <w:t>模拟</w:t>
      </w:r>
      <w:r>
        <w:rPr>
          <w:rFonts w:hAnsi="宋体"/>
        </w:rPr>
        <w:t>前宜建立预制构件编码体系、生产管理编码体系和工作流程</w:t>
      </w:r>
      <w:r>
        <w:rPr>
          <w:rFonts w:hint="eastAsia" w:hAnsi="宋体"/>
        </w:rPr>
        <w:t>体系，预制构件应有唯一的编码标识；</w:t>
      </w:r>
    </w:p>
    <w:p>
      <w:pPr>
        <w:pStyle w:val="180"/>
        <w:numPr>
          <w:ilvl w:val="0"/>
          <w:numId w:val="47"/>
        </w:numPr>
        <w:tabs>
          <w:tab w:val="left" w:pos="851"/>
        </w:tabs>
        <w:ind w:left="840" w:leftChars="200" w:hanging="420" w:hangingChars="200"/>
        <w:rPr>
          <w:rFonts w:hint="eastAsia" w:hAnsi="宋体"/>
        </w:rPr>
      </w:pPr>
      <w:r>
        <w:rPr>
          <w:rFonts w:hint="eastAsia" w:hAnsi="宋体"/>
        </w:rPr>
        <w:t>构件生产、运输储存、现场安装等过程宜</w:t>
      </w:r>
      <w:r>
        <w:rPr>
          <w:rFonts w:hAnsi="宋体"/>
        </w:rPr>
        <w:t>基于</w:t>
      </w:r>
      <w:r>
        <w:rPr>
          <w:rFonts w:hint="eastAsia" w:hAnsi="宋体"/>
        </w:rPr>
        <w:t>预制构件模型进行模拟与管理；</w:t>
      </w:r>
    </w:p>
    <w:p>
      <w:pPr>
        <w:pStyle w:val="180"/>
        <w:numPr>
          <w:ilvl w:val="0"/>
          <w:numId w:val="47"/>
        </w:numPr>
        <w:tabs>
          <w:tab w:val="left" w:pos="851"/>
        </w:tabs>
        <w:ind w:left="840" w:leftChars="200" w:hanging="420" w:hangingChars="200"/>
        <w:rPr>
          <w:rFonts w:hint="eastAsia" w:hAnsi="宋体"/>
        </w:rPr>
      </w:pPr>
      <w:r>
        <w:rPr>
          <w:rFonts w:hint="eastAsia" w:hAnsi="宋体"/>
        </w:rPr>
        <w:t>预制构件模型宜附加或关联条形码、电子标签等成品管理物联网标识信息以及物流运输和安装等信息，实现预制加工过程的追溯管理。</w:t>
      </w:r>
    </w:p>
    <w:p>
      <w:pPr>
        <w:pStyle w:val="171"/>
        <w:rPr>
          <w:rFonts w:ascii="Times New Roman" w:hAnsi="Times New Roman"/>
          <w:szCs w:val="21"/>
        </w:rPr>
      </w:pPr>
      <w:r>
        <w:rPr>
          <w:rFonts w:hint="eastAsia"/>
        </w:rPr>
        <w:t>8</w:t>
      </w:r>
      <w:r>
        <w:t>.3.2 预制构件模型元素及信息宜符</w:t>
      </w:r>
      <w:r>
        <w:rPr>
          <w:rFonts w:ascii="宋体" w:hAnsi="宋体"/>
        </w:rPr>
        <w:t>合表</w:t>
      </w:r>
      <w:r>
        <w:rPr>
          <w:rFonts w:hint="eastAsia" w:ascii="宋体" w:hAnsi="宋体"/>
        </w:rPr>
        <w:t>14</w:t>
      </w:r>
      <w:r>
        <w:rPr>
          <w:rFonts w:ascii="宋体" w:hAnsi="宋体"/>
        </w:rPr>
        <w:t>的</w:t>
      </w:r>
      <w:r>
        <w:t>规定。</w:t>
      </w:r>
    </w:p>
    <w:p>
      <w:pPr>
        <w:pStyle w:val="13"/>
        <w:spacing w:before="156" w:beforeLines="50" w:after="156" w:afterLines="50"/>
        <w:jc w:val="center"/>
        <w:rPr>
          <w:rFonts w:hint="eastAsia" w:ascii="黑体" w:hAnsi="黑体"/>
          <w:kern w:val="0"/>
        </w:rPr>
      </w:pPr>
      <w:bookmarkStart w:id="152" w:name="_Toc174544037"/>
      <w:bookmarkStart w:id="153" w:name="_Toc174544094"/>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14</w:t>
      </w:r>
      <w:r>
        <w:rPr>
          <w:rFonts w:ascii="黑体" w:hAnsi="黑体"/>
          <w:sz w:val="21"/>
          <w:szCs w:val="21"/>
        </w:rPr>
        <w:fldChar w:fldCharType="end"/>
      </w:r>
      <w:r>
        <w:rPr>
          <w:rFonts w:ascii="黑体" w:hAnsi="黑体"/>
          <w:sz w:val="21"/>
          <w:szCs w:val="21"/>
        </w:rPr>
        <w:t xml:space="preserve"> 预制构件模型元素及信息</w:t>
      </w:r>
      <w:bookmarkEnd w:id="152"/>
      <w:bookmarkEnd w:id="153"/>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47"/>
        <w:gridCol w:w="2008"/>
        <w:gridCol w:w="566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应用</w:t>
            </w:r>
          </w:p>
        </w:tc>
        <w:tc>
          <w:tcPr>
            <w:tcW w:w="2008"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模型元素类别</w:t>
            </w:r>
          </w:p>
        </w:tc>
        <w:tc>
          <w:tcPr>
            <w:tcW w:w="5665"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restart"/>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混凝土预制构件生产</w:t>
            </w:r>
          </w:p>
        </w:tc>
        <w:tc>
          <w:tcPr>
            <w:tcW w:w="2008"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5665" w:type="dxa"/>
            <w:tcBorders>
              <w:top w:val="single" w:color="auto" w:sz="8" w:space="0"/>
            </w:tcBorders>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深化设计模型元素及信息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生产信息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 xml:space="preserve">工程量、构件数量、工期、任务划分等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构件属性信息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构建编码、材料、图纸编号等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加工图</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说明性通图、布置图、构件详图、大样图等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工序工艺信息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支模、钢筋、预埋件、混凝土浇筑、养护、拆模、外观处理等工序信息、数控文件、工序参数等工艺信息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构件生产质检信息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运输控制信息：二维码、芯片等物联网应用相关信息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钢结构加工</w:t>
            </w: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钢结构深化设计模型元素及信息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材料信息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材质、规格、产品合格证明、生产厂家、进场复验情况等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生产信息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生产批次、工程量、构件数量、工期、任务划分信息等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构件属性信息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编码、材质、数量、图纸编号等信息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零构件图</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零件图、构件图、布置图、说明性通图、排版图、大样图、工序卡等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工序工艺信息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下料、组立、焊接、外观处理等工序信息，数控文件、工序参数等工艺信息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工期成本信息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具体生产批次零构件工期、成本等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质量管理信息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生产批次零构件质检信息、生产责任人与责任单位信息、具体加工班组人员信息等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restart"/>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机电加工</w:t>
            </w: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深化设计模型元素及信息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生产信息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工程量、产品模块数量、工期、任务划分等信息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属性信息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编码、材料、图纸编号等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加工图</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说明性通图、布置图、产品模块详图、大样图等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工序工艺信息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毛坯和零件成形、机械加工、材料改性与处理、机械装配等工序信息，数控文件、工序参数等工艺信息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47" w:type="dxa"/>
            <w:vMerge w:val="continue"/>
            <w:vAlign w:val="center"/>
          </w:tcPr>
          <w:p>
            <w:pPr>
              <w:widowControl/>
              <w:spacing w:line="240" w:lineRule="auto"/>
              <w:jc w:val="center"/>
              <w:textAlignment w:val="center"/>
              <w:rPr>
                <w:rFonts w:hint="eastAsia" w:ascii="宋体" w:hAnsi="宋体"/>
                <w:bCs/>
                <w:sz w:val="18"/>
                <w:szCs w:val="18"/>
                <w:lang w:bidi="ar"/>
              </w:rPr>
            </w:pPr>
          </w:p>
        </w:tc>
        <w:tc>
          <w:tcPr>
            <w:tcW w:w="2008"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成品管理信息</w:t>
            </w:r>
          </w:p>
        </w:tc>
        <w:tc>
          <w:tcPr>
            <w:tcW w:w="5665"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条形码、电子标签等成品管理物联网标识信息，生产责任人与责任单位信息，具体生产班组人员信息等</w:t>
            </w:r>
          </w:p>
        </w:tc>
      </w:tr>
    </w:tbl>
    <w:p>
      <w:pPr>
        <w:pStyle w:val="171"/>
        <w:rPr>
          <w:rFonts w:ascii="Times New Roman" w:hAnsi="Times New Roman"/>
          <w:szCs w:val="21"/>
        </w:rPr>
      </w:pPr>
    </w:p>
    <w:p>
      <w:pPr>
        <w:pStyle w:val="111"/>
        <w:spacing w:before="156" w:after="156"/>
        <w:rPr>
          <w:rFonts w:hint="eastAsia" w:hAnsi="黑体" w:cs="黑体"/>
        </w:rPr>
      </w:pPr>
      <w:bookmarkStart w:id="154" w:name="_Toc167201566"/>
      <w:bookmarkStart w:id="155" w:name="_Toc168008299"/>
      <w:bookmarkStart w:id="156" w:name="_Hlk134035377"/>
      <w:r>
        <w:rPr>
          <w:rFonts w:hint="eastAsia" w:hAnsi="黑体" w:cs="黑体"/>
        </w:rPr>
        <w:t>8</w:t>
      </w:r>
      <w:r>
        <w:rPr>
          <w:rFonts w:hAnsi="黑体" w:cs="黑体"/>
        </w:rPr>
        <w:t>.4 进度管理</w:t>
      </w:r>
      <w:bookmarkEnd w:id="154"/>
      <w:bookmarkEnd w:id="155"/>
    </w:p>
    <w:bookmarkEnd w:id="156"/>
    <w:p>
      <w:pPr>
        <w:pStyle w:val="171"/>
        <w:rPr>
          <w:rFonts w:hint="eastAsia"/>
        </w:rPr>
      </w:pPr>
      <w:r>
        <w:rPr>
          <w:rFonts w:hint="eastAsia"/>
        </w:rPr>
        <w:t>8</w:t>
      </w:r>
      <w:r>
        <w:t xml:space="preserve">.4.1 </w:t>
      </w:r>
      <w:r>
        <w:rPr>
          <w:rFonts w:hint="eastAsia"/>
        </w:rPr>
        <w:t>绿色建筑信息模型施工阶段的进度管理应用功能应</w:t>
      </w:r>
      <w:r>
        <w:t>满足下列要求</w:t>
      </w:r>
      <w:r>
        <w:rPr>
          <w:rFonts w:hint="eastAsia"/>
        </w:rPr>
        <w:t>：</w:t>
      </w:r>
    </w:p>
    <w:p>
      <w:pPr>
        <w:pStyle w:val="180"/>
        <w:numPr>
          <w:ilvl w:val="0"/>
          <w:numId w:val="48"/>
        </w:numPr>
        <w:tabs>
          <w:tab w:val="left" w:pos="851"/>
        </w:tabs>
        <w:ind w:left="840" w:leftChars="200" w:hanging="420" w:hangingChars="200"/>
        <w:rPr>
          <w:rFonts w:hint="eastAsia" w:hAnsi="宋体"/>
        </w:rPr>
      </w:pPr>
      <w:r>
        <w:rPr>
          <w:rFonts w:hAnsi="宋体"/>
        </w:rPr>
        <w:t>编制进度计划时，应充分考虑项目特点和进度控制需求，并基于项目的整体工程、单位工程、分部工程、分项工程、施工段、工序依次创建工作分解结构</w:t>
      </w:r>
      <w:r>
        <w:rPr>
          <w:rFonts w:hint="eastAsia" w:hAnsi="宋体"/>
        </w:rPr>
        <w:t>；</w:t>
      </w:r>
    </w:p>
    <w:p>
      <w:pPr>
        <w:pStyle w:val="180"/>
        <w:numPr>
          <w:ilvl w:val="0"/>
          <w:numId w:val="48"/>
        </w:numPr>
        <w:tabs>
          <w:tab w:val="left" w:pos="851"/>
        </w:tabs>
        <w:ind w:left="840" w:leftChars="200" w:hanging="420" w:hangingChars="200"/>
        <w:rPr>
          <w:rFonts w:hint="eastAsia" w:hAnsi="宋体"/>
        </w:rPr>
      </w:pPr>
      <w:r>
        <w:rPr>
          <w:rFonts w:hAnsi="宋体"/>
        </w:rPr>
        <w:t>创建进度管理模型时，应先对实际进度的原始数据进行收集、整理、统计和分析，根据工作分解结构对导入的深化设计模型或预制构件模型进行拆分或合并处理，并将实际信息附加或关联到模型</w:t>
      </w:r>
      <w:r>
        <w:rPr>
          <w:rFonts w:hint="eastAsia" w:hAnsi="宋体"/>
        </w:rPr>
        <w:t>；</w:t>
      </w:r>
    </w:p>
    <w:p>
      <w:pPr>
        <w:pStyle w:val="180"/>
        <w:numPr>
          <w:ilvl w:val="0"/>
          <w:numId w:val="48"/>
        </w:numPr>
        <w:tabs>
          <w:tab w:val="left" w:pos="851"/>
        </w:tabs>
        <w:ind w:left="840" w:leftChars="200" w:hanging="420" w:hangingChars="200"/>
        <w:rPr>
          <w:rFonts w:hint="eastAsia" w:hAnsi="宋体"/>
        </w:rPr>
      </w:pPr>
      <w:r>
        <w:rPr>
          <w:rFonts w:hAnsi="宋体"/>
        </w:rPr>
        <w:t>人工、材料、机械等定额资源信息宜与模型关联</w:t>
      </w:r>
      <w:r>
        <w:rPr>
          <w:rFonts w:hint="eastAsia" w:hAnsi="宋体"/>
        </w:rPr>
        <w:t>；</w:t>
      </w:r>
    </w:p>
    <w:p>
      <w:pPr>
        <w:pStyle w:val="180"/>
        <w:numPr>
          <w:ilvl w:val="0"/>
          <w:numId w:val="48"/>
        </w:numPr>
        <w:tabs>
          <w:tab w:val="left" w:pos="851"/>
        </w:tabs>
        <w:ind w:left="840" w:leftChars="200" w:hanging="420" w:hangingChars="200"/>
        <w:rPr>
          <w:rFonts w:hint="eastAsia" w:hAnsi="宋体"/>
        </w:rPr>
      </w:pPr>
      <w:r>
        <w:rPr>
          <w:rFonts w:hAnsi="宋体"/>
        </w:rPr>
        <w:t>进度管理模型应实现形象进度可视化</w:t>
      </w:r>
      <w:r>
        <w:rPr>
          <w:rFonts w:hint="eastAsia" w:hAnsi="宋体"/>
        </w:rPr>
        <w:t>、</w:t>
      </w:r>
      <w:r>
        <w:rPr>
          <w:rFonts w:hAnsi="宋体"/>
        </w:rPr>
        <w:t>工程量估算</w:t>
      </w:r>
      <w:r>
        <w:rPr>
          <w:rFonts w:hint="eastAsia" w:hAnsi="宋体"/>
        </w:rPr>
        <w:t>、</w:t>
      </w:r>
      <w:r>
        <w:rPr>
          <w:rFonts w:hAnsi="宋体"/>
        </w:rPr>
        <w:t>资源配置、进度计划优化</w:t>
      </w:r>
      <w:r>
        <w:rPr>
          <w:rFonts w:hint="eastAsia" w:hAnsi="宋体"/>
        </w:rPr>
        <w:t>等功能；</w:t>
      </w:r>
    </w:p>
    <w:p>
      <w:pPr>
        <w:pStyle w:val="180"/>
        <w:numPr>
          <w:ilvl w:val="0"/>
          <w:numId w:val="48"/>
        </w:numPr>
        <w:tabs>
          <w:tab w:val="left" w:pos="851"/>
        </w:tabs>
        <w:ind w:left="840" w:leftChars="200" w:hanging="420" w:hangingChars="200"/>
        <w:rPr>
          <w:rFonts w:hint="eastAsia" w:hAnsi="宋体"/>
        </w:rPr>
      </w:pPr>
      <w:r>
        <w:rPr>
          <w:rFonts w:hAnsi="宋体"/>
        </w:rPr>
        <w:t>进度管理流程中设计的表单、文件以及施工模拟动画等成果宜附加或关联到模型</w:t>
      </w:r>
      <w:r>
        <w:rPr>
          <w:rFonts w:hint="eastAsia" w:hAnsi="宋体"/>
        </w:rPr>
        <w:t>；</w:t>
      </w:r>
    </w:p>
    <w:p>
      <w:pPr>
        <w:pStyle w:val="180"/>
        <w:numPr>
          <w:ilvl w:val="0"/>
          <w:numId w:val="48"/>
        </w:numPr>
        <w:tabs>
          <w:tab w:val="left" w:pos="851"/>
        </w:tabs>
        <w:ind w:left="840" w:leftChars="200" w:hanging="420" w:hangingChars="200"/>
        <w:rPr>
          <w:rFonts w:hint="eastAsia" w:hAnsi="宋体"/>
        </w:rPr>
      </w:pPr>
      <w:r>
        <w:rPr>
          <w:rFonts w:hAnsi="宋体"/>
        </w:rPr>
        <w:t>施工过程中，实际进度信息应被附加或关联到进度管理模型</w:t>
      </w:r>
      <w:r>
        <w:rPr>
          <w:rFonts w:hint="eastAsia" w:hAnsi="宋体"/>
        </w:rPr>
        <w:t>，</w:t>
      </w:r>
      <w:r>
        <w:rPr>
          <w:rFonts w:hAnsi="宋体"/>
        </w:rPr>
        <w:t>从而与工程进度计划进行对比分析，输出进度偏差结果，生成进度预警信息，更新进度管理模型。</w:t>
      </w:r>
    </w:p>
    <w:p>
      <w:pPr>
        <w:pStyle w:val="171"/>
        <w:rPr>
          <w:rFonts w:hint="eastAsia"/>
        </w:rPr>
      </w:pPr>
      <w:r>
        <w:rPr>
          <w:rFonts w:hint="eastAsia"/>
        </w:rPr>
        <w:t>8</w:t>
      </w:r>
      <w:r>
        <w:t>.4.2 进度管理模型元素及信息宜</w:t>
      </w:r>
      <w:r>
        <w:rPr>
          <w:rFonts w:ascii="宋体" w:hAnsi="宋体"/>
        </w:rPr>
        <w:t>符合表</w:t>
      </w:r>
      <w:r>
        <w:rPr>
          <w:rFonts w:hint="eastAsia" w:ascii="宋体" w:hAnsi="宋体"/>
        </w:rPr>
        <w:t>15</w:t>
      </w:r>
      <w:r>
        <w:rPr>
          <w:rFonts w:ascii="宋体" w:hAnsi="宋体"/>
        </w:rPr>
        <w:t>的</w:t>
      </w:r>
      <w:r>
        <w:t>规定。</w:t>
      </w:r>
    </w:p>
    <w:p>
      <w:pPr>
        <w:pStyle w:val="13"/>
        <w:spacing w:before="156" w:beforeLines="50" w:after="156" w:afterLines="50"/>
        <w:jc w:val="center"/>
        <w:rPr>
          <w:rFonts w:hint="eastAsia" w:ascii="黑体" w:hAnsi="黑体"/>
          <w:kern w:val="0"/>
        </w:rPr>
      </w:pPr>
      <w:bookmarkStart w:id="157" w:name="_Toc174544038"/>
      <w:bookmarkStart w:id="158" w:name="_Toc174544095"/>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15</w:t>
      </w:r>
      <w:r>
        <w:rPr>
          <w:rFonts w:ascii="黑体" w:hAnsi="黑体"/>
          <w:sz w:val="21"/>
          <w:szCs w:val="21"/>
        </w:rPr>
        <w:fldChar w:fldCharType="end"/>
      </w:r>
      <w:r>
        <w:rPr>
          <w:rFonts w:ascii="黑体" w:hAnsi="黑体"/>
          <w:kern w:val="0"/>
          <w:sz w:val="21"/>
          <w:szCs w:val="21"/>
        </w:rPr>
        <w:t xml:space="preserve"> 进度管理模型元素及信息</w:t>
      </w:r>
      <w:bookmarkEnd w:id="157"/>
      <w:bookmarkEnd w:id="158"/>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049"/>
        <w:gridCol w:w="64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模型元素类别</w:t>
            </w:r>
          </w:p>
        </w:tc>
        <w:tc>
          <w:tcPr>
            <w:tcW w:w="6473"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6473" w:type="dxa"/>
            <w:tcBorders>
              <w:top w:val="single" w:color="auto" w:sz="8" w:space="0"/>
            </w:tcBorders>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深化设计模型或预制构件模型元素及信息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工作分解结构</w:t>
            </w:r>
          </w:p>
        </w:tc>
        <w:tc>
          <w:tcPr>
            <w:tcW w:w="6473"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模型元素之间应表达工作分解的层级结构、任务之间的序列关联</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进度计划</w:t>
            </w:r>
          </w:p>
        </w:tc>
        <w:tc>
          <w:tcPr>
            <w:tcW w:w="6473"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单个任务模型元素的标识、创建日期、制定者、目的以及时间信息(最早开始时间、最迟开始时间、计划开始时间、最早完成时间、最迟完成时间、计划完成时间、任务完成所需时间、任务自由浮动的时间、允许浮动时间、是否关键、状态时间、开始时间浮动、完成时间浮动、完成的百分比)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实际进度</w:t>
            </w:r>
          </w:p>
        </w:tc>
        <w:tc>
          <w:tcPr>
            <w:tcW w:w="6473"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实际开始时间、实际完成时间、实际需要时间、剩余时间等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资源</w:t>
            </w:r>
          </w:p>
        </w:tc>
        <w:tc>
          <w:tcPr>
            <w:tcW w:w="6473"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人力、材料、机械及资金等。每类元素均包括唯一标识、类别、定额、消耗状态、数量等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进度管理流程</w:t>
            </w:r>
          </w:p>
        </w:tc>
        <w:tc>
          <w:tcPr>
            <w:tcW w:w="6473" w:type="dxa"/>
            <w:vAlign w:val="center"/>
          </w:tcPr>
          <w:p>
            <w:pPr>
              <w:widowControl/>
              <w:spacing w:line="240" w:lineRule="auto"/>
              <w:ind w:firstLine="180" w:firstLineChars="100"/>
              <w:jc w:val="left"/>
              <w:textAlignment w:val="center"/>
              <w:rPr>
                <w:rFonts w:hint="eastAsia" w:ascii="宋体" w:hAnsi="宋体"/>
                <w:bCs/>
                <w:sz w:val="18"/>
                <w:szCs w:val="18"/>
                <w:lang w:bidi="ar"/>
              </w:rPr>
            </w:pPr>
            <w:r>
              <w:rPr>
                <w:rFonts w:ascii="宋体" w:hAnsi="宋体"/>
                <w:bCs/>
                <w:sz w:val="18"/>
                <w:szCs w:val="18"/>
                <w:lang w:bidi="ar"/>
              </w:rPr>
              <w:t>进度计划申请单模型元素的编号、提交的进度计划、进度编制成果以及负责人签名等信息；进度计划审批单模型元素的进度计划编号、审批号、审批结果、审批意见、审批人等信息</w:t>
            </w:r>
          </w:p>
        </w:tc>
      </w:tr>
    </w:tbl>
    <w:p>
      <w:pPr>
        <w:pStyle w:val="171"/>
        <w:rPr>
          <w:rFonts w:ascii="Times New Roman" w:hAnsi="Times New Roman"/>
          <w:szCs w:val="21"/>
        </w:rPr>
      </w:pPr>
      <w:bookmarkStart w:id="159" w:name="_Toc167201567"/>
      <w:bookmarkStart w:id="160" w:name="_Hlk134035494"/>
    </w:p>
    <w:p>
      <w:pPr>
        <w:pStyle w:val="111"/>
        <w:spacing w:before="156" w:after="156"/>
        <w:rPr>
          <w:rFonts w:ascii="Times New Roman"/>
          <w:szCs w:val="21"/>
        </w:rPr>
      </w:pPr>
      <w:bookmarkStart w:id="161" w:name="_Toc168008300"/>
      <w:r>
        <w:rPr>
          <w:rFonts w:hint="eastAsia" w:hAnsi="黑体" w:cs="黑体"/>
        </w:rPr>
        <w:t>8</w:t>
      </w:r>
      <w:r>
        <w:rPr>
          <w:rFonts w:hAnsi="黑体" w:cs="黑体"/>
        </w:rPr>
        <w:t>.5 成本管理</w:t>
      </w:r>
      <w:bookmarkEnd w:id="159"/>
      <w:bookmarkEnd w:id="161"/>
    </w:p>
    <w:bookmarkEnd w:id="160"/>
    <w:p>
      <w:pPr>
        <w:pStyle w:val="171"/>
        <w:rPr>
          <w:rFonts w:hint="eastAsia"/>
        </w:rPr>
      </w:pPr>
      <w:r>
        <w:rPr>
          <w:rFonts w:hint="eastAsia"/>
        </w:rPr>
        <w:t>8</w:t>
      </w:r>
      <w:r>
        <w:t xml:space="preserve">.5.1 </w:t>
      </w:r>
      <w:r>
        <w:rPr>
          <w:rFonts w:hint="eastAsia"/>
        </w:rPr>
        <w:t>绿色建筑信息模型施工阶段的</w:t>
      </w:r>
      <w:r>
        <w:t>成本管理</w:t>
      </w:r>
      <w:r>
        <w:rPr>
          <w:rFonts w:hint="eastAsia"/>
        </w:rPr>
        <w:t>应用功能应</w:t>
      </w:r>
      <w:r>
        <w:t>满足下列要求</w:t>
      </w:r>
      <w:r>
        <w:rPr>
          <w:rFonts w:hint="eastAsia"/>
        </w:rPr>
        <w:t>：</w:t>
      </w:r>
    </w:p>
    <w:p>
      <w:pPr>
        <w:pStyle w:val="180"/>
        <w:numPr>
          <w:ilvl w:val="0"/>
          <w:numId w:val="49"/>
        </w:numPr>
        <w:tabs>
          <w:tab w:val="left" w:pos="851"/>
        </w:tabs>
        <w:ind w:left="840" w:leftChars="200" w:hanging="420" w:hangingChars="200"/>
        <w:rPr>
          <w:rFonts w:hint="eastAsia" w:hAnsi="宋体"/>
        </w:rPr>
      </w:pPr>
      <w:r>
        <w:rPr>
          <w:rFonts w:hAnsi="宋体"/>
        </w:rPr>
        <w:t>编制成本计划时，应充分考虑项目特点和成本控制需求，并将实际成本信息附加或关联到成本管理模型</w:t>
      </w:r>
      <w:r>
        <w:rPr>
          <w:rFonts w:hint="eastAsia" w:hAnsi="宋体"/>
        </w:rPr>
        <w:t>；</w:t>
      </w:r>
    </w:p>
    <w:p>
      <w:pPr>
        <w:pStyle w:val="180"/>
        <w:numPr>
          <w:ilvl w:val="0"/>
          <w:numId w:val="49"/>
        </w:numPr>
        <w:tabs>
          <w:tab w:val="left" w:pos="851"/>
        </w:tabs>
        <w:ind w:left="840" w:leftChars="200" w:hanging="420" w:hangingChars="200"/>
        <w:rPr>
          <w:rFonts w:hint="eastAsia" w:hAnsi="宋体"/>
        </w:rPr>
      </w:pPr>
      <w:r>
        <w:rPr>
          <w:rFonts w:hAnsi="宋体"/>
        </w:rPr>
        <w:t>创建成本管理模型时，应先对上游模型即深化设计模型或预制构件模型进行检查和调整</w:t>
      </w:r>
      <w:r>
        <w:rPr>
          <w:rFonts w:hint="eastAsia" w:hAnsi="宋体"/>
        </w:rPr>
        <w:t>；</w:t>
      </w:r>
    </w:p>
    <w:p>
      <w:pPr>
        <w:pStyle w:val="180"/>
        <w:numPr>
          <w:ilvl w:val="0"/>
          <w:numId w:val="49"/>
        </w:numPr>
        <w:tabs>
          <w:tab w:val="left" w:pos="851"/>
        </w:tabs>
        <w:ind w:left="840" w:leftChars="200" w:hanging="420" w:hangingChars="200"/>
        <w:rPr>
          <w:rFonts w:hint="eastAsia" w:hAnsi="宋体"/>
        </w:rPr>
      </w:pPr>
      <w:r>
        <w:rPr>
          <w:rFonts w:hAnsi="宋体"/>
        </w:rPr>
        <w:t>施工过程中，成本管理模型应能</w:t>
      </w:r>
      <w:r>
        <w:rPr>
          <w:rFonts w:hint="eastAsia" w:hAnsi="宋体"/>
        </w:rPr>
        <w:t>结合</w:t>
      </w:r>
      <w:r>
        <w:rPr>
          <w:rFonts w:hAnsi="宋体"/>
        </w:rPr>
        <w:t>进度信息，定期进行三算对比、纠偏、成本核算、成本分析工作</w:t>
      </w:r>
      <w:r>
        <w:rPr>
          <w:rFonts w:hint="eastAsia" w:hAnsi="宋体"/>
        </w:rPr>
        <w:t>。</w:t>
      </w:r>
    </w:p>
    <w:p>
      <w:pPr>
        <w:pStyle w:val="171"/>
        <w:rPr>
          <w:rFonts w:hint="eastAsia"/>
        </w:rPr>
      </w:pPr>
      <w:r>
        <w:rPr>
          <w:rFonts w:hint="eastAsia"/>
        </w:rPr>
        <w:t>8</w:t>
      </w:r>
      <w:r>
        <w:t>.5.2 成本管理模型元素及信</w:t>
      </w:r>
      <w:r>
        <w:rPr>
          <w:rFonts w:ascii="宋体" w:hAnsi="宋体"/>
        </w:rPr>
        <w:t>息宜符合表</w:t>
      </w:r>
      <w:r>
        <w:rPr>
          <w:rFonts w:hint="eastAsia" w:ascii="宋体" w:hAnsi="宋体"/>
        </w:rPr>
        <w:t>16</w:t>
      </w:r>
      <w:r>
        <w:rPr>
          <w:rFonts w:ascii="宋体" w:hAnsi="宋体"/>
        </w:rPr>
        <w:t>的</w:t>
      </w:r>
      <w:r>
        <w:t>规定。</w:t>
      </w:r>
    </w:p>
    <w:p>
      <w:pPr>
        <w:pStyle w:val="13"/>
        <w:spacing w:before="156" w:beforeLines="50" w:after="156" w:afterLines="50"/>
        <w:jc w:val="center"/>
        <w:rPr>
          <w:rFonts w:hint="eastAsia" w:ascii="黑体" w:hAnsi="黑体"/>
          <w:kern w:val="0"/>
        </w:rPr>
      </w:pPr>
      <w:bookmarkStart w:id="162" w:name="_Toc174544039"/>
      <w:bookmarkStart w:id="163" w:name="_Toc174544096"/>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16</w:t>
      </w:r>
      <w:r>
        <w:rPr>
          <w:rFonts w:ascii="黑体" w:hAnsi="黑体"/>
          <w:sz w:val="21"/>
          <w:szCs w:val="21"/>
        </w:rPr>
        <w:fldChar w:fldCharType="end"/>
      </w:r>
      <w:r>
        <w:rPr>
          <w:rFonts w:ascii="黑体" w:hAnsi="黑体"/>
          <w:kern w:val="0"/>
          <w:sz w:val="21"/>
          <w:szCs w:val="21"/>
        </w:rPr>
        <w:t xml:space="preserve"> 成本管理模型元素及信息</w:t>
      </w:r>
      <w:bookmarkEnd w:id="162"/>
      <w:bookmarkEnd w:id="163"/>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049"/>
        <w:gridCol w:w="64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模型元素类别</w:t>
            </w:r>
          </w:p>
        </w:tc>
        <w:tc>
          <w:tcPr>
            <w:tcW w:w="6473"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6473" w:type="dxa"/>
            <w:tcBorders>
              <w:top w:val="single" w:color="auto" w:sz="8" w:space="0"/>
            </w:tcBorders>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深化设计模型或预制构件模型元素及信息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成本管理</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施工任务，施工时间，施工任务与模型元素的对应关系</w:t>
            </w:r>
          </w:p>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工程量清单项目的合同预算成本、施工预算成本、实际成本</w:t>
            </w:r>
          </w:p>
        </w:tc>
      </w:tr>
    </w:tbl>
    <w:p>
      <w:pPr>
        <w:pStyle w:val="171"/>
        <w:rPr>
          <w:rFonts w:ascii="Times New Roman" w:hAnsi="Times New Roman"/>
          <w:szCs w:val="21"/>
        </w:rPr>
      </w:pPr>
    </w:p>
    <w:p>
      <w:pPr>
        <w:pStyle w:val="111"/>
        <w:spacing w:before="156" w:after="156"/>
        <w:rPr>
          <w:rFonts w:hint="eastAsia" w:hAnsi="黑体" w:cs="黑体"/>
        </w:rPr>
      </w:pPr>
      <w:bookmarkStart w:id="164" w:name="_Toc167201568"/>
      <w:bookmarkStart w:id="165" w:name="_Toc168008301"/>
      <w:bookmarkStart w:id="166" w:name="_Hlk134035617"/>
      <w:r>
        <w:rPr>
          <w:rFonts w:hint="eastAsia" w:hAnsi="黑体" w:cs="黑体"/>
        </w:rPr>
        <w:t>8</w:t>
      </w:r>
      <w:r>
        <w:rPr>
          <w:rFonts w:hAnsi="黑体" w:cs="黑体"/>
        </w:rPr>
        <w:t>.6 质量管理</w:t>
      </w:r>
      <w:bookmarkEnd w:id="164"/>
      <w:bookmarkEnd w:id="165"/>
    </w:p>
    <w:bookmarkEnd w:id="166"/>
    <w:p>
      <w:pPr>
        <w:pStyle w:val="171"/>
        <w:rPr>
          <w:rFonts w:hint="eastAsia"/>
        </w:rPr>
      </w:pPr>
      <w:r>
        <w:rPr>
          <w:rFonts w:hint="eastAsia"/>
        </w:rPr>
        <w:t>8</w:t>
      </w:r>
      <w:r>
        <w:t xml:space="preserve">.6.1 </w:t>
      </w:r>
      <w:r>
        <w:rPr>
          <w:rFonts w:hint="eastAsia"/>
        </w:rPr>
        <w:t>绿色建筑信息模型施工阶段的</w:t>
      </w:r>
      <w:r>
        <w:t>质量管理</w:t>
      </w:r>
      <w:r>
        <w:rPr>
          <w:rFonts w:hint="eastAsia"/>
        </w:rPr>
        <w:t>应用功能应</w:t>
      </w:r>
      <w:r>
        <w:t>满足下列要求</w:t>
      </w:r>
      <w:r>
        <w:rPr>
          <w:rFonts w:hint="eastAsia"/>
        </w:rPr>
        <w:t>：</w:t>
      </w:r>
    </w:p>
    <w:p>
      <w:pPr>
        <w:pStyle w:val="180"/>
        <w:numPr>
          <w:ilvl w:val="0"/>
          <w:numId w:val="50"/>
        </w:numPr>
        <w:tabs>
          <w:tab w:val="left" w:pos="851"/>
        </w:tabs>
        <w:ind w:left="840" w:leftChars="200" w:hanging="420" w:hangingChars="200"/>
        <w:rPr>
          <w:rFonts w:hint="eastAsia" w:hAnsi="宋体"/>
        </w:rPr>
      </w:pPr>
      <w:r>
        <w:rPr>
          <w:rFonts w:hAnsi="宋体"/>
        </w:rPr>
        <w:t>编制质量管理计划时，应充分考虑项目特点</w:t>
      </w:r>
      <w:r>
        <w:rPr>
          <w:rFonts w:hint="eastAsia" w:hAnsi="宋体"/>
        </w:rPr>
        <w:t>，明确</w:t>
      </w:r>
      <w:r>
        <w:rPr>
          <w:rFonts w:hAnsi="宋体"/>
        </w:rPr>
        <w:t>质量</w:t>
      </w:r>
      <w:r>
        <w:rPr>
          <w:rFonts w:hint="eastAsia" w:hAnsi="宋体"/>
        </w:rPr>
        <w:t>要求</w:t>
      </w:r>
      <w:r>
        <w:rPr>
          <w:rFonts w:hAnsi="宋体"/>
        </w:rPr>
        <w:t>，对工程施工项目的不同范围和不同时间段施行针对性措施</w:t>
      </w:r>
      <w:r>
        <w:rPr>
          <w:rFonts w:hint="eastAsia" w:hAnsi="宋体"/>
        </w:rPr>
        <w:t>；</w:t>
      </w:r>
    </w:p>
    <w:p>
      <w:pPr>
        <w:pStyle w:val="180"/>
        <w:numPr>
          <w:ilvl w:val="0"/>
          <w:numId w:val="50"/>
        </w:numPr>
        <w:tabs>
          <w:tab w:val="left" w:pos="851"/>
        </w:tabs>
        <w:ind w:left="840" w:leftChars="200" w:hanging="420" w:hangingChars="200"/>
        <w:rPr>
          <w:rFonts w:hint="eastAsia" w:hAnsi="宋体"/>
        </w:rPr>
      </w:pPr>
      <w:r>
        <w:rPr>
          <w:rFonts w:hAnsi="宋体"/>
        </w:rPr>
        <w:t>创建质量管理模型时，应先对</w:t>
      </w:r>
      <w:r>
        <w:rPr>
          <w:rFonts w:hint="eastAsia" w:hAnsi="宋体"/>
        </w:rPr>
        <w:t>上游</w:t>
      </w:r>
      <w:r>
        <w:rPr>
          <w:rFonts w:hAnsi="宋体"/>
        </w:rPr>
        <w:t>模型即深化设计模型或预制构件模型进行检查和调整，并充分考虑质量验收标准和施工资料</w:t>
      </w:r>
      <w:r>
        <w:rPr>
          <w:rFonts w:hint="eastAsia" w:hAnsi="宋体"/>
        </w:rPr>
        <w:t>；</w:t>
      </w:r>
    </w:p>
    <w:p>
      <w:pPr>
        <w:pStyle w:val="180"/>
        <w:numPr>
          <w:ilvl w:val="0"/>
          <w:numId w:val="50"/>
        </w:numPr>
        <w:tabs>
          <w:tab w:val="left" w:pos="851"/>
        </w:tabs>
        <w:ind w:left="840" w:leftChars="200" w:hanging="420" w:hangingChars="200"/>
        <w:rPr>
          <w:rFonts w:hint="eastAsia" w:hAnsi="宋体"/>
        </w:rPr>
      </w:pPr>
      <w:r>
        <w:rPr>
          <w:rFonts w:hAnsi="宋体"/>
        </w:rPr>
        <w:t>施工过程中，质量管理信息、质量问题处理信息、质量验收信息等应关联或附加</w:t>
      </w:r>
      <w:r>
        <w:rPr>
          <w:rFonts w:hint="eastAsia" w:hAnsi="宋体"/>
        </w:rPr>
        <w:t>到</w:t>
      </w:r>
      <w:r>
        <w:rPr>
          <w:rFonts w:hAnsi="宋体"/>
        </w:rPr>
        <w:t>质量管理模型，以进行质量验收、质量问题处理、质量问题分析等工作，采取一定的纠偏措施。</w:t>
      </w:r>
    </w:p>
    <w:p>
      <w:pPr>
        <w:pStyle w:val="171"/>
        <w:rPr>
          <w:rFonts w:hint="eastAsia" w:ascii="宋体" w:hAnsi="宋体"/>
        </w:rPr>
      </w:pPr>
      <w:r>
        <w:rPr>
          <w:rFonts w:hint="eastAsia"/>
        </w:rPr>
        <w:t xml:space="preserve">8.6.2 </w:t>
      </w:r>
      <w:r>
        <w:t>质量管理模型元素</w:t>
      </w:r>
      <w:r>
        <w:rPr>
          <w:rFonts w:hint="eastAsia"/>
        </w:rPr>
        <w:t>的</w:t>
      </w:r>
      <w:r>
        <w:t>质量管理信息</w:t>
      </w:r>
      <w:r>
        <w:rPr>
          <w:rFonts w:hint="eastAsia"/>
        </w:rPr>
        <w:t>宜按</w:t>
      </w:r>
      <w:r>
        <w:t>分部分项工程</w:t>
      </w:r>
      <w:r>
        <w:rPr>
          <w:rFonts w:hint="eastAsia"/>
        </w:rPr>
        <w:t>的</w:t>
      </w:r>
      <w:r>
        <w:rPr>
          <w:rFonts w:hint="eastAsia" w:ascii="宋体" w:hAnsi="宋体"/>
        </w:rPr>
        <w:t>划分进行</w:t>
      </w:r>
      <w:r>
        <w:rPr>
          <w:rFonts w:ascii="宋体" w:hAnsi="宋体"/>
        </w:rPr>
        <w:t>附加或关联</w:t>
      </w:r>
      <w:r>
        <w:rPr>
          <w:rFonts w:hint="eastAsia" w:ascii="宋体" w:hAnsi="宋体"/>
        </w:rPr>
        <w:t>，</w:t>
      </w:r>
      <w:r>
        <w:rPr>
          <w:rFonts w:ascii="宋体" w:hAnsi="宋体"/>
        </w:rPr>
        <w:t>分部工程、分项工程的划分</w:t>
      </w:r>
      <w:r>
        <w:rPr>
          <w:rFonts w:hint="eastAsia" w:ascii="宋体" w:hAnsi="宋体"/>
        </w:rPr>
        <w:t>宜</w:t>
      </w:r>
      <w:r>
        <w:rPr>
          <w:rFonts w:ascii="宋体" w:hAnsi="宋体"/>
        </w:rPr>
        <w:t>符合《建筑工程施工质量验收统一标准》GB 50300的规定</w:t>
      </w:r>
      <w:r>
        <w:rPr>
          <w:rFonts w:hint="eastAsia" w:ascii="宋体" w:hAnsi="宋体"/>
        </w:rPr>
        <w:t>。分部分项工程质量管理的非几何信息宜包括：</w:t>
      </w:r>
    </w:p>
    <w:p>
      <w:pPr>
        <w:pStyle w:val="180"/>
        <w:numPr>
          <w:ilvl w:val="0"/>
          <w:numId w:val="51"/>
        </w:numPr>
        <w:tabs>
          <w:tab w:val="left" w:pos="851"/>
        </w:tabs>
        <w:ind w:left="840" w:leftChars="200" w:hanging="420" w:hangingChars="200"/>
        <w:rPr>
          <w:rFonts w:hint="eastAsia" w:hAnsi="宋体"/>
        </w:rPr>
      </w:pPr>
      <w:r>
        <w:rPr>
          <w:rFonts w:hAnsi="宋体"/>
        </w:rPr>
        <w:t>质量控制资料</w:t>
      </w:r>
      <w:r>
        <w:rPr>
          <w:rFonts w:hint="eastAsia" w:hAnsi="宋体"/>
        </w:rPr>
        <w:t>，包括</w:t>
      </w:r>
      <w:r>
        <w:rPr>
          <w:rFonts w:hAnsi="宋体"/>
        </w:rPr>
        <w:t>原材料合格证及进场检验试验报告、材料设备试验报告、隐蔽工程验收记录、施工记录以及试验记录</w:t>
      </w:r>
      <w:r>
        <w:rPr>
          <w:rFonts w:hint="eastAsia" w:hAnsi="宋体"/>
        </w:rPr>
        <w:t>；</w:t>
      </w:r>
    </w:p>
    <w:p>
      <w:pPr>
        <w:pStyle w:val="180"/>
        <w:numPr>
          <w:ilvl w:val="0"/>
          <w:numId w:val="51"/>
        </w:numPr>
        <w:tabs>
          <w:tab w:val="left" w:pos="851"/>
        </w:tabs>
        <w:ind w:left="840" w:leftChars="200" w:hanging="420" w:hangingChars="200"/>
        <w:rPr>
          <w:rFonts w:hint="eastAsia" w:hAnsi="宋体"/>
        </w:rPr>
      </w:pPr>
      <w:r>
        <w:rPr>
          <w:rFonts w:hAnsi="宋体"/>
        </w:rPr>
        <w:t>功能检验资料，各分项工程试验记录资料等</w:t>
      </w:r>
      <w:r>
        <w:rPr>
          <w:rFonts w:hint="eastAsia" w:hAnsi="宋体"/>
        </w:rPr>
        <w:t>；</w:t>
      </w:r>
    </w:p>
    <w:p>
      <w:pPr>
        <w:pStyle w:val="180"/>
        <w:numPr>
          <w:ilvl w:val="0"/>
          <w:numId w:val="51"/>
        </w:numPr>
        <w:tabs>
          <w:tab w:val="left" w:pos="851"/>
        </w:tabs>
        <w:ind w:left="840" w:leftChars="200" w:hanging="420" w:hangingChars="200"/>
        <w:rPr>
          <w:rFonts w:hint="eastAsia" w:hAnsi="宋体"/>
        </w:rPr>
      </w:pPr>
      <w:r>
        <w:rPr>
          <w:rFonts w:hAnsi="宋体"/>
        </w:rPr>
        <w:t>观感质量检查记录，各分项工程观感质量检查记录</w:t>
      </w:r>
      <w:r>
        <w:rPr>
          <w:rFonts w:hint="eastAsia" w:hAnsi="宋体"/>
        </w:rPr>
        <w:t>；</w:t>
      </w:r>
    </w:p>
    <w:p>
      <w:pPr>
        <w:pStyle w:val="180"/>
        <w:numPr>
          <w:ilvl w:val="0"/>
          <w:numId w:val="51"/>
        </w:numPr>
        <w:tabs>
          <w:tab w:val="left" w:pos="851"/>
        </w:tabs>
        <w:ind w:left="840" w:leftChars="200" w:hanging="420" w:hangingChars="200"/>
        <w:rPr>
          <w:rFonts w:hint="eastAsia" w:hAnsi="宋体"/>
        </w:rPr>
      </w:pPr>
      <w:r>
        <w:rPr>
          <w:rFonts w:hAnsi="宋体"/>
        </w:rPr>
        <w:t>质量验收记录</w:t>
      </w:r>
      <w:r>
        <w:rPr>
          <w:rFonts w:hint="eastAsia" w:hAnsi="宋体"/>
        </w:rPr>
        <w:t>，包括</w:t>
      </w:r>
      <w:r>
        <w:rPr>
          <w:rFonts w:hAnsi="宋体"/>
        </w:rPr>
        <w:t>检验批质量验收记录、分项工程质量验收记录、分部（子分部）工程质量验收记录等</w:t>
      </w:r>
      <w:r>
        <w:rPr>
          <w:rFonts w:hint="eastAsia" w:hAnsi="宋体"/>
        </w:rPr>
        <w:t>。</w:t>
      </w:r>
    </w:p>
    <w:p>
      <w:pPr>
        <w:pStyle w:val="171"/>
        <w:rPr>
          <w:rFonts w:hint="eastAsia"/>
        </w:rPr>
      </w:pPr>
      <w:r>
        <w:rPr>
          <w:rFonts w:hint="eastAsia"/>
        </w:rPr>
        <w:t>8.6.3 其他</w:t>
      </w:r>
      <w:r>
        <w:t>质量管理模型元素及信息</w:t>
      </w:r>
      <w:r>
        <w:rPr>
          <w:rFonts w:hint="eastAsia"/>
        </w:rPr>
        <w:t>的详细信息可按《建筑信息模型施工应</w:t>
      </w:r>
      <w:r>
        <w:rPr>
          <w:rFonts w:hint="eastAsia" w:ascii="宋体" w:hAnsi="宋体"/>
        </w:rPr>
        <w:t>用标准》GB/T 51235执行。</w:t>
      </w:r>
    </w:p>
    <w:p>
      <w:pPr>
        <w:pStyle w:val="111"/>
        <w:spacing w:before="156" w:after="156"/>
        <w:rPr>
          <w:rFonts w:hint="eastAsia" w:hAnsi="黑体" w:cs="黑体"/>
        </w:rPr>
      </w:pPr>
      <w:bookmarkStart w:id="167" w:name="_Toc167201569"/>
      <w:bookmarkStart w:id="168" w:name="_Toc168008302"/>
      <w:bookmarkStart w:id="169" w:name="_Hlk134035868"/>
      <w:r>
        <w:rPr>
          <w:rFonts w:hint="eastAsia" w:hAnsi="黑体" w:cs="黑体"/>
        </w:rPr>
        <w:t>8</w:t>
      </w:r>
      <w:r>
        <w:rPr>
          <w:rFonts w:hAnsi="黑体" w:cs="黑体"/>
        </w:rPr>
        <w:t>.7 安全管理</w:t>
      </w:r>
      <w:bookmarkEnd w:id="167"/>
      <w:bookmarkEnd w:id="168"/>
    </w:p>
    <w:bookmarkEnd w:id="169"/>
    <w:p>
      <w:pPr>
        <w:pStyle w:val="171"/>
        <w:rPr>
          <w:rFonts w:hint="eastAsia"/>
        </w:rPr>
      </w:pPr>
      <w:r>
        <w:rPr>
          <w:rFonts w:hint="eastAsia"/>
        </w:rPr>
        <w:t>8</w:t>
      </w:r>
      <w:r>
        <w:t xml:space="preserve">.7.1 </w:t>
      </w:r>
      <w:r>
        <w:rPr>
          <w:rFonts w:hint="eastAsia"/>
        </w:rPr>
        <w:t>绿色建筑信息模型施工阶段的</w:t>
      </w:r>
      <w:r>
        <w:t>安全管理</w:t>
      </w:r>
      <w:r>
        <w:rPr>
          <w:rFonts w:hint="eastAsia"/>
        </w:rPr>
        <w:t>应用功能应</w:t>
      </w:r>
      <w:r>
        <w:t>满足下列要求</w:t>
      </w:r>
      <w:r>
        <w:rPr>
          <w:rFonts w:hint="eastAsia"/>
        </w:rPr>
        <w:t>：</w:t>
      </w:r>
    </w:p>
    <w:p>
      <w:pPr>
        <w:pStyle w:val="180"/>
        <w:numPr>
          <w:ilvl w:val="0"/>
          <w:numId w:val="52"/>
        </w:numPr>
        <w:tabs>
          <w:tab w:val="left" w:pos="851"/>
        </w:tabs>
        <w:ind w:left="840" w:leftChars="200" w:hanging="420" w:hangingChars="200"/>
        <w:rPr>
          <w:rFonts w:hint="eastAsia" w:hAnsi="宋体"/>
        </w:rPr>
      </w:pPr>
      <w:r>
        <w:rPr>
          <w:rFonts w:hAnsi="宋体"/>
        </w:rPr>
        <w:t>编制安全管理计划时，应充分考虑项目特点和</w:t>
      </w:r>
      <w:r>
        <w:rPr>
          <w:rFonts w:hint="eastAsia" w:hAnsi="宋体"/>
        </w:rPr>
        <w:t>安全</w:t>
      </w:r>
      <w:r>
        <w:rPr>
          <w:rFonts w:hAnsi="宋体"/>
        </w:rPr>
        <w:t>需求，对工程施工项目的不同范围和不同时间段施行针对性措施</w:t>
      </w:r>
      <w:r>
        <w:rPr>
          <w:rFonts w:hint="eastAsia" w:hAnsi="宋体"/>
        </w:rPr>
        <w:t>；</w:t>
      </w:r>
    </w:p>
    <w:p>
      <w:pPr>
        <w:pStyle w:val="180"/>
        <w:numPr>
          <w:ilvl w:val="0"/>
          <w:numId w:val="52"/>
        </w:numPr>
        <w:tabs>
          <w:tab w:val="left" w:pos="851"/>
        </w:tabs>
        <w:ind w:left="840" w:leftChars="200" w:hanging="420" w:hangingChars="200"/>
        <w:rPr>
          <w:rFonts w:hint="eastAsia" w:hAnsi="宋体"/>
        </w:rPr>
      </w:pPr>
      <w:r>
        <w:rPr>
          <w:rFonts w:hAnsi="宋体"/>
        </w:rPr>
        <w:t>创建安全管理模型时，应先对</w:t>
      </w:r>
      <w:r>
        <w:rPr>
          <w:rFonts w:hint="eastAsia" w:hAnsi="宋体"/>
        </w:rPr>
        <w:t>上游</w:t>
      </w:r>
      <w:r>
        <w:rPr>
          <w:rFonts w:hAnsi="宋体"/>
        </w:rPr>
        <w:t>模型即深化设计模型或预制构件模型进行检查和调整，并充分考虑安全标准和职业健康安全管理规程</w:t>
      </w:r>
      <w:r>
        <w:rPr>
          <w:rFonts w:hint="eastAsia" w:hAnsi="宋体"/>
        </w:rPr>
        <w:t>；</w:t>
      </w:r>
    </w:p>
    <w:p>
      <w:pPr>
        <w:pStyle w:val="180"/>
        <w:numPr>
          <w:ilvl w:val="0"/>
          <w:numId w:val="52"/>
        </w:numPr>
        <w:tabs>
          <w:tab w:val="left" w:pos="851"/>
        </w:tabs>
        <w:ind w:left="840" w:leftChars="200" w:hanging="420" w:hangingChars="200"/>
        <w:rPr>
          <w:rFonts w:hint="eastAsia" w:hAnsi="宋体"/>
        </w:rPr>
      </w:pPr>
      <w:r>
        <w:rPr>
          <w:rFonts w:hAnsi="宋体"/>
        </w:rPr>
        <w:t>施工过程中，安全生产及防护措施信息、安全检查信息、风险源信息、事故信息等应关联或附加</w:t>
      </w:r>
      <w:r>
        <w:rPr>
          <w:rFonts w:hint="eastAsia" w:hAnsi="宋体"/>
        </w:rPr>
        <w:t>到</w:t>
      </w:r>
      <w:r>
        <w:rPr>
          <w:rFonts w:hAnsi="宋体"/>
        </w:rPr>
        <w:t>安全管理模型，以进行安全技术交底、采取安全技术措施，辅助相关人员识别安全隐患，分析安全问题。</w:t>
      </w:r>
    </w:p>
    <w:p>
      <w:pPr>
        <w:pStyle w:val="171"/>
        <w:rPr>
          <w:rFonts w:ascii="Times New Roman" w:hAnsi="Times New Roman"/>
          <w:szCs w:val="21"/>
        </w:rPr>
      </w:pPr>
      <w:r>
        <w:rPr>
          <w:rFonts w:hint="eastAsia"/>
        </w:rPr>
        <w:t>8</w:t>
      </w:r>
      <w:r>
        <w:t>.7.2 安全管理模型元素及信息宜</w:t>
      </w:r>
      <w:r>
        <w:rPr>
          <w:rFonts w:ascii="宋体" w:hAnsi="宋体"/>
        </w:rPr>
        <w:t>符合表</w:t>
      </w:r>
      <w:r>
        <w:rPr>
          <w:rFonts w:hint="eastAsia" w:ascii="宋体" w:hAnsi="宋体"/>
        </w:rPr>
        <w:t>17</w:t>
      </w:r>
      <w:r>
        <w:rPr>
          <w:rFonts w:ascii="宋体" w:hAnsi="宋体"/>
        </w:rPr>
        <w:t>的规</w:t>
      </w:r>
      <w:r>
        <w:t>定</w:t>
      </w:r>
      <w:r>
        <w:rPr>
          <w:rFonts w:hint="eastAsia"/>
        </w:rPr>
        <w:t>。</w:t>
      </w:r>
    </w:p>
    <w:p>
      <w:pPr>
        <w:pStyle w:val="13"/>
        <w:spacing w:before="156" w:beforeLines="50" w:after="156" w:afterLines="50"/>
        <w:jc w:val="center"/>
        <w:rPr>
          <w:rFonts w:hint="eastAsia" w:ascii="黑体" w:hAnsi="黑体"/>
          <w:kern w:val="0"/>
        </w:rPr>
      </w:pPr>
      <w:bookmarkStart w:id="170" w:name="_Toc174544040"/>
      <w:bookmarkStart w:id="171" w:name="_Toc174544097"/>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17</w:t>
      </w:r>
      <w:r>
        <w:rPr>
          <w:rFonts w:ascii="黑体" w:hAnsi="黑体"/>
          <w:sz w:val="21"/>
          <w:szCs w:val="21"/>
        </w:rPr>
        <w:fldChar w:fldCharType="end"/>
      </w:r>
      <w:r>
        <w:rPr>
          <w:rFonts w:ascii="黑体" w:hAnsi="黑体"/>
          <w:kern w:val="0"/>
          <w:sz w:val="21"/>
          <w:szCs w:val="21"/>
        </w:rPr>
        <w:t xml:space="preserve"> 安全管理模型元素及信息</w:t>
      </w:r>
      <w:bookmarkEnd w:id="170"/>
      <w:bookmarkEnd w:id="171"/>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049"/>
        <w:gridCol w:w="64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模型元素类别</w:t>
            </w:r>
          </w:p>
        </w:tc>
        <w:tc>
          <w:tcPr>
            <w:tcW w:w="6473"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6473" w:type="dxa"/>
            <w:tcBorders>
              <w:top w:val="single" w:color="auto" w:sz="8" w:space="0"/>
            </w:tcBorders>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深化设计模型或预制构件模型元素及信息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安全生产／防护设施信息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脚手架、垂直运输设备、临边防护设施、洞口防护、临时用电、深基坑等。几何信息包括：位置、几何尺寸等。非几何信息包括：设备型号、生产能力、功率等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安全检查信息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安全生产责任制、安全教育、专项施工方案、危险性较大的专项方案论证情况、机械设备维护保养、分部分项工程安全技术交底等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风险源信息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风险隐患信息、风险评价信息，风险对策信息等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事故信息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事故调查报告及处理决定等</w:t>
            </w:r>
          </w:p>
        </w:tc>
      </w:tr>
    </w:tbl>
    <w:p>
      <w:pPr>
        <w:pStyle w:val="171"/>
        <w:rPr>
          <w:rFonts w:ascii="Times New Roman" w:hAnsi="Times New Roman"/>
          <w:szCs w:val="21"/>
        </w:rPr>
      </w:pPr>
    </w:p>
    <w:p>
      <w:pPr>
        <w:pStyle w:val="111"/>
        <w:spacing w:before="156" w:after="156"/>
        <w:rPr>
          <w:rFonts w:hint="eastAsia" w:hAnsi="黑体" w:cs="黑体"/>
        </w:rPr>
      </w:pPr>
      <w:bookmarkStart w:id="172" w:name="_Toc167201570"/>
      <w:bookmarkStart w:id="173" w:name="_Toc168008303"/>
      <w:bookmarkStart w:id="174" w:name="_Hlk134035945"/>
      <w:r>
        <w:rPr>
          <w:rFonts w:hint="eastAsia" w:hAnsi="黑体" w:cs="黑体"/>
        </w:rPr>
        <w:t>8</w:t>
      </w:r>
      <w:r>
        <w:rPr>
          <w:rFonts w:hAnsi="黑体" w:cs="黑体"/>
        </w:rPr>
        <w:t>.8 绿色施工专项应用</w:t>
      </w:r>
      <w:bookmarkEnd w:id="172"/>
      <w:bookmarkEnd w:id="173"/>
    </w:p>
    <w:bookmarkEnd w:id="174"/>
    <w:p>
      <w:pPr>
        <w:pStyle w:val="171"/>
        <w:rPr>
          <w:rFonts w:hint="eastAsia"/>
        </w:rPr>
      </w:pPr>
      <w:r>
        <w:rPr>
          <w:rFonts w:hint="eastAsia"/>
        </w:rPr>
        <w:t>8</w:t>
      </w:r>
      <w:r>
        <w:t xml:space="preserve">.8.1 </w:t>
      </w:r>
      <w:r>
        <w:rPr>
          <w:rFonts w:ascii="宋体" w:hAnsi="宋体"/>
        </w:rPr>
        <w:t>绿色施工专项应用</w:t>
      </w:r>
      <w:r>
        <w:rPr>
          <w:rFonts w:hint="eastAsia" w:ascii="宋体" w:hAnsi="宋体"/>
        </w:rPr>
        <w:t>应基于绿色建筑信息模型</w:t>
      </w:r>
      <w:r>
        <w:rPr>
          <w:rFonts w:ascii="宋体" w:hAnsi="宋体"/>
        </w:rPr>
        <w:t>在</w:t>
      </w:r>
      <w:r>
        <w:rPr>
          <w:rFonts w:hint="eastAsia" w:ascii="宋体" w:hAnsi="宋体"/>
        </w:rPr>
        <w:t>节约资源</w:t>
      </w:r>
      <w:r>
        <w:rPr>
          <w:rFonts w:ascii="宋体" w:hAnsi="宋体"/>
        </w:rPr>
        <w:t>方面进行</w:t>
      </w:r>
      <w:r>
        <w:rPr>
          <w:rFonts w:hint="eastAsia" w:ascii="宋体" w:hAnsi="宋体"/>
        </w:rPr>
        <w:t>技术</w:t>
      </w:r>
      <w:r>
        <w:rPr>
          <w:rFonts w:ascii="宋体" w:hAnsi="宋体"/>
        </w:rPr>
        <w:t>应用</w:t>
      </w:r>
      <w:r>
        <w:rPr>
          <w:rFonts w:hint="eastAsia" w:ascii="宋体" w:hAnsi="宋体"/>
        </w:rPr>
        <w:t>，包括</w:t>
      </w:r>
      <w:r>
        <w:rPr>
          <w:rFonts w:ascii="宋体" w:hAnsi="宋体"/>
        </w:rPr>
        <w:t>节能、节材、节水、节地和环境保护。</w:t>
      </w:r>
    </w:p>
    <w:p>
      <w:pPr>
        <w:pStyle w:val="171"/>
        <w:rPr>
          <w:rFonts w:hint="eastAsia"/>
        </w:rPr>
      </w:pPr>
      <w:r>
        <w:rPr>
          <w:rFonts w:hint="eastAsia"/>
        </w:rPr>
        <w:t>8</w:t>
      </w:r>
      <w:r>
        <w:t>.8.2 节能应用</w:t>
      </w:r>
      <w:r>
        <w:rPr>
          <w:rFonts w:hint="eastAsia"/>
        </w:rPr>
        <w:t>宜</w:t>
      </w:r>
      <w:r>
        <w:rPr>
          <w:rFonts w:hint="eastAsia" w:ascii="宋体" w:hAnsi="宋体"/>
        </w:rPr>
        <w:t>基于B</w:t>
      </w:r>
      <w:r>
        <w:rPr>
          <w:rFonts w:ascii="宋体" w:hAnsi="宋体"/>
        </w:rPr>
        <w:t>IM</w:t>
      </w:r>
      <w:r>
        <w:rPr>
          <w:rFonts w:hint="eastAsia" w:ascii="宋体" w:hAnsi="宋体"/>
        </w:rPr>
        <w:t>模型，根据现场环境、施工工序和施工工艺，对施工现场的机械进行三维布置，避免由于不合理的机</w:t>
      </w:r>
      <w:r>
        <w:rPr>
          <w:rFonts w:hint="eastAsia"/>
        </w:rPr>
        <w:t>械选择以及机械闲置、空转、损坏等造成的能源浪费。</w:t>
      </w:r>
    </w:p>
    <w:p>
      <w:pPr>
        <w:pStyle w:val="171"/>
        <w:rPr>
          <w:rFonts w:hint="eastAsia"/>
        </w:rPr>
      </w:pPr>
      <w:r>
        <w:rPr>
          <w:rFonts w:hint="eastAsia"/>
        </w:rPr>
        <w:t>8</w:t>
      </w:r>
      <w:r>
        <w:t>.8.3 节材应用宜</w:t>
      </w:r>
      <w:r>
        <w:rPr>
          <w:rFonts w:ascii="宋体" w:hAnsi="宋体"/>
        </w:rPr>
        <w:t>将BIM模型关联施工进度，根据不同工程进度确定材料用量，制定采购和使用计划，降低材料库存和减少材料</w:t>
      </w:r>
      <w:r>
        <w:t>浪费。</w:t>
      </w:r>
    </w:p>
    <w:p>
      <w:pPr>
        <w:pStyle w:val="171"/>
        <w:rPr>
          <w:rFonts w:hint="eastAsia"/>
        </w:rPr>
      </w:pPr>
      <w:r>
        <w:rPr>
          <w:rFonts w:hint="eastAsia"/>
        </w:rPr>
        <w:t>8</w:t>
      </w:r>
      <w:r>
        <w:t>.8.4 节水应用</w:t>
      </w:r>
      <w:r>
        <w:rPr>
          <w:rFonts w:hint="eastAsia"/>
        </w:rPr>
        <w:t>宜基</w:t>
      </w:r>
      <w:r>
        <w:rPr>
          <w:rFonts w:hint="eastAsia" w:ascii="宋体" w:hAnsi="宋体"/>
        </w:rPr>
        <w:t>于BIM模型</w:t>
      </w:r>
      <w:r>
        <w:rPr>
          <w:rFonts w:hint="eastAsia"/>
        </w:rPr>
        <w:t>对施工现场的给水、排水系统进行合理规划布置，减少用水量。</w:t>
      </w:r>
    </w:p>
    <w:p>
      <w:pPr>
        <w:pStyle w:val="171"/>
        <w:rPr>
          <w:rFonts w:hint="eastAsia"/>
        </w:rPr>
      </w:pPr>
      <w:r>
        <w:rPr>
          <w:rFonts w:hint="eastAsia"/>
        </w:rPr>
        <w:t>8</w:t>
      </w:r>
      <w:r>
        <w:t>.8.5 节地应用</w:t>
      </w:r>
      <w:r>
        <w:rPr>
          <w:rFonts w:hint="eastAsia"/>
        </w:rPr>
        <w:t>宜基</w:t>
      </w:r>
      <w:r>
        <w:rPr>
          <w:rFonts w:hint="eastAsia" w:ascii="宋体" w:hAnsi="宋体"/>
        </w:rPr>
        <w:t>于</w:t>
      </w:r>
      <w:r>
        <w:rPr>
          <w:rFonts w:ascii="宋体" w:hAnsi="宋体"/>
        </w:rPr>
        <w:t>BIM</w:t>
      </w:r>
      <w:r>
        <w:rPr>
          <w:rFonts w:hint="eastAsia" w:ascii="宋体" w:hAnsi="宋体"/>
        </w:rPr>
        <w:t>模型</w:t>
      </w:r>
      <w:r>
        <w:rPr>
          <w:rFonts w:ascii="宋体" w:hAnsi="宋体"/>
        </w:rPr>
        <w:t>进行施工现场土地综合利用管理。利用基于BIM的4D施工现场模拟技术，可依据现场情况及数据建立模型，更合理地划分</w:t>
      </w:r>
      <w:r>
        <w:t>现场区域。</w:t>
      </w:r>
    </w:p>
    <w:p>
      <w:pPr>
        <w:pStyle w:val="171"/>
        <w:rPr>
          <w:rFonts w:hint="eastAsia"/>
        </w:rPr>
      </w:pPr>
      <w:r>
        <w:rPr>
          <w:rFonts w:hint="eastAsia"/>
        </w:rPr>
        <w:t>8</w:t>
      </w:r>
      <w:r>
        <w:t>.8.6 环境保护</w:t>
      </w:r>
      <w:r>
        <w:rPr>
          <w:rFonts w:hint="eastAsia"/>
        </w:rPr>
        <w:t>应</w:t>
      </w:r>
      <w:r>
        <w:rPr>
          <w:rFonts w:hint="eastAsia" w:ascii="宋体" w:hAnsi="宋体"/>
        </w:rPr>
        <w:t>用宜</w:t>
      </w:r>
      <w:r>
        <w:rPr>
          <w:rFonts w:ascii="宋体" w:hAnsi="宋体"/>
        </w:rPr>
        <w:t>将BIM模型与物联网结合，通过颗粒物监测设备、气象控制设备、噪声监测设备全天监控现场环境、噪声和气象参数，协助</w:t>
      </w:r>
      <w:r>
        <w:t>施工实时监控污染位置。</w:t>
      </w:r>
    </w:p>
    <w:p>
      <w:pPr>
        <w:pStyle w:val="171"/>
        <w:rPr>
          <w:rFonts w:hint="eastAsia"/>
        </w:rPr>
      </w:pPr>
      <w:r>
        <w:rPr>
          <w:rFonts w:hint="eastAsia"/>
        </w:rPr>
        <w:t xml:space="preserve">8.8.7 </w:t>
      </w:r>
      <w:r>
        <w:t>绿色施工专项应用</w:t>
      </w:r>
      <w:r>
        <w:rPr>
          <w:rFonts w:hint="eastAsia"/>
        </w:rPr>
        <w:t>宜基于绿色建筑信息模型</w:t>
      </w:r>
      <w:r>
        <w:t>在</w:t>
      </w:r>
      <w:r>
        <w:rPr>
          <w:rFonts w:hint="eastAsia"/>
        </w:rPr>
        <w:t>技术创新</w:t>
      </w:r>
      <w:r>
        <w:t>方面进行</w:t>
      </w:r>
      <w:r>
        <w:rPr>
          <w:rFonts w:hint="eastAsia"/>
        </w:rPr>
        <w:t>技术</w:t>
      </w:r>
      <w:r>
        <w:t>应用，包括</w:t>
      </w:r>
      <w:r>
        <w:rPr>
          <w:rFonts w:hint="eastAsia"/>
        </w:rPr>
        <w:t>装配式施工技术、</w:t>
      </w:r>
      <w:r>
        <w:t>信息化施工技术</w:t>
      </w:r>
      <w:r>
        <w:rPr>
          <w:rFonts w:hint="eastAsia"/>
        </w:rPr>
        <w:t>及其他先进施工技术。</w:t>
      </w:r>
    </w:p>
    <w:p>
      <w:pPr>
        <w:pStyle w:val="171"/>
        <w:rPr>
          <w:rFonts w:hint="eastAsia"/>
        </w:rPr>
      </w:pPr>
    </w:p>
    <w:p>
      <w:pPr>
        <w:pStyle w:val="111"/>
        <w:spacing w:before="156" w:after="156"/>
        <w:rPr>
          <w:rFonts w:ascii="Times New Roman"/>
          <w:szCs w:val="21"/>
        </w:rPr>
      </w:pPr>
      <w:bookmarkStart w:id="175" w:name="_Toc167201571"/>
      <w:bookmarkStart w:id="176" w:name="_Toc168008304"/>
      <w:r>
        <w:rPr>
          <w:rFonts w:hint="eastAsia" w:hAnsi="黑体" w:cs="黑体"/>
        </w:rPr>
        <w:t>8</w:t>
      </w:r>
      <w:r>
        <w:rPr>
          <w:rFonts w:hAnsi="黑体" w:cs="黑体"/>
        </w:rPr>
        <w:t>.9 竣工验收</w:t>
      </w:r>
      <w:bookmarkEnd w:id="175"/>
      <w:bookmarkEnd w:id="176"/>
    </w:p>
    <w:p>
      <w:pPr>
        <w:pStyle w:val="171"/>
        <w:rPr>
          <w:rFonts w:hint="eastAsia"/>
        </w:rPr>
      </w:pPr>
      <w:r>
        <w:rPr>
          <w:rFonts w:hint="eastAsia"/>
        </w:rPr>
        <w:t>8</w:t>
      </w:r>
      <w:r>
        <w:t>.9.1</w:t>
      </w:r>
      <w:r>
        <w:rPr>
          <w:rFonts w:hint="eastAsia"/>
        </w:rPr>
        <w:t xml:space="preserve"> 竣工交付物应包含竣工验收模型、施工过程数据资料、竣工验收数据资料。</w:t>
      </w:r>
    </w:p>
    <w:p>
      <w:pPr>
        <w:pStyle w:val="171"/>
        <w:rPr>
          <w:rFonts w:hint="eastAsia"/>
        </w:rPr>
      </w:pPr>
      <w:r>
        <w:rPr>
          <w:rFonts w:hint="eastAsia"/>
        </w:rPr>
        <w:t>8</w:t>
      </w:r>
      <w:r>
        <w:t>.9.2</w:t>
      </w:r>
      <w:r>
        <w:rPr>
          <w:rFonts w:hint="eastAsia"/>
        </w:rPr>
        <w:t xml:space="preserve"> 竣工验收模型应与施工过程数据资料、竣工验收数据资料关联，并</w:t>
      </w:r>
      <w:r>
        <w:t>符合下列要求</w:t>
      </w:r>
      <w:r>
        <w:rPr>
          <w:rFonts w:hint="eastAsia"/>
        </w:rPr>
        <w:t>：</w:t>
      </w:r>
    </w:p>
    <w:p>
      <w:pPr>
        <w:pStyle w:val="180"/>
        <w:numPr>
          <w:ilvl w:val="0"/>
          <w:numId w:val="53"/>
        </w:numPr>
        <w:tabs>
          <w:tab w:val="left" w:pos="851"/>
        </w:tabs>
        <w:ind w:left="840" w:leftChars="200" w:hanging="420" w:hangingChars="200"/>
        <w:rPr>
          <w:rFonts w:hint="eastAsia" w:hAnsi="宋体"/>
        </w:rPr>
      </w:pPr>
      <w:r>
        <w:rPr>
          <w:rFonts w:hint="eastAsia" w:hAnsi="宋体"/>
        </w:rPr>
        <w:t>竣工验收模型应包含建筑专业、结构专业、给排水专业、电气专业、暖通专业、室内外给排水等的数据文件；</w:t>
      </w:r>
    </w:p>
    <w:p>
      <w:pPr>
        <w:pStyle w:val="180"/>
        <w:numPr>
          <w:ilvl w:val="0"/>
          <w:numId w:val="53"/>
        </w:numPr>
        <w:tabs>
          <w:tab w:val="left" w:pos="851"/>
        </w:tabs>
        <w:ind w:left="840" w:leftChars="200" w:hanging="420" w:hangingChars="200"/>
        <w:rPr>
          <w:rFonts w:hint="eastAsia" w:hAnsi="宋体"/>
        </w:rPr>
      </w:pPr>
      <w:r>
        <w:rPr>
          <w:rFonts w:hint="eastAsia" w:hAnsi="宋体"/>
        </w:rPr>
        <w:t>竣工验收模型应在施工图信息模型的基础上，加入施工过程中产生的变更模型，并应在模型上添加相关变更信息；</w:t>
      </w:r>
    </w:p>
    <w:p>
      <w:pPr>
        <w:pStyle w:val="180"/>
        <w:numPr>
          <w:ilvl w:val="0"/>
          <w:numId w:val="53"/>
        </w:numPr>
        <w:tabs>
          <w:tab w:val="left" w:pos="851"/>
        </w:tabs>
        <w:ind w:left="840" w:leftChars="200" w:hanging="420" w:hangingChars="200"/>
        <w:rPr>
          <w:rFonts w:hint="eastAsia" w:hAnsi="宋体"/>
        </w:rPr>
      </w:pPr>
      <w:r>
        <w:rPr>
          <w:rFonts w:hint="eastAsia" w:hAnsi="宋体"/>
        </w:rPr>
        <w:t>竣工验收</w:t>
      </w:r>
      <w:r>
        <w:rPr>
          <w:rFonts w:hAnsi="宋体"/>
        </w:rPr>
        <w:t>模型与</w:t>
      </w:r>
      <w:r>
        <w:rPr>
          <w:rFonts w:hint="eastAsia" w:hAnsi="宋体"/>
        </w:rPr>
        <w:t>竣工</w:t>
      </w:r>
      <w:r>
        <w:rPr>
          <w:rFonts w:hAnsi="宋体"/>
        </w:rPr>
        <w:t>验收</w:t>
      </w:r>
      <w:r>
        <w:rPr>
          <w:rFonts w:hint="eastAsia" w:hAnsi="宋体"/>
        </w:rPr>
        <w:t>数据</w:t>
      </w:r>
      <w:r>
        <w:rPr>
          <w:rFonts w:hAnsi="宋体"/>
        </w:rPr>
        <w:t>资料关联后，可通过单位工程、分部分项工程、楼层、构件等模型查询、调阅相关工程资料数据</w:t>
      </w:r>
      <w:r>
        <w:rPr>
          <w:rFonts w:hint="eastAsia" w:hAnsi="宋体"/>
        </w:rPr>
        <w:t>及工程模型。</w:t>
      </w:r>
    </w:p>
    <w:p>
      <w:pPr>
        <w:pStyle w:val="171"/>
        <w:rPr>
          <w:rFonts w:hint="eastAsia"/>
        </w:rPr>
      </w:pPr>
      <w:r>
        <w:rPr>
          <w:rFonts w:hint="eastAsia"/>
        </w:rPr>
        <w:t>8</w:t>
      </w:r>
      <w:r>
        <w:t xml:space="preserve">.9.3 </w:t>
      </w:r>
      <w:r>
        <w:rPr>
          <w:rFonts w:hint="eastAsia"/>
        </w:rPr>
        <w:t>施工过程数据资料应包括</w:t>
      </w:r>
      <w:r>
        <w:rPr>
          <w:rFonts w:hint="eastAsia" w:ascii="宋体" w:hAnsi="宋体"/>
        </w:rPr>
        <w:t>分部工程B</w:t>
      </w:r>
      <w:r>
        <w:rPr>
          <w:rFonts w:ascii="宋体" w:hAnsi="宋体"/>
        </w:rPr>
        <w:t>IM</w:t>
      </w:r>
      <w:r>
        <w:rPr>
          <w:rFonts w:hint="eastAsia" w:ascii="宋体" w:hAnsi="宋体"/>
        </w:rPr>
        <w:t>数据</w:t>
      </w:r>
      <w:r>
        <w:rPr>
          <w:rFonts w:hint="eastAsia"/>
        </w:rPr>
        <w:t>资料、单位工程合约信息与生产信息验收资料、单项工程合约信息与生产信息验收资料。</w:t>
      </w:r>
    </w:p>
    <w:p>
      <w:pPr>
        <w:pStyle w:val="171"/>
        <w:rPr>
          <w:rFonts w:hint="eastAsia"/>
        </w:rPr>
      </w:pPr>
      <w:r>
        <w:rPr>
          <w:rFonts w:hint="eastAsia"/>
        </w:rPr>
        <w:t>8</w:t>
      </w:r>
      <w:r>
        <w:t xml:space="preserve">.9.4 </w:t>
      </w:r>
      <w:r>
        <w:rPr>
          <w:rFonts w:hint="eastAsia"/>
        </w:rPr>
        <w:t>竣工验收数据资料应包括决策立项文件、建设用地文件、工程开工文件、工程竣工验收及备案文件。</w:t>
      </w:r>
    </w:p>
    <w:p>
      <w:pPr>
        <w:pStyle w:val="171"/>
        <w:rPr>
          <w:rFonts w:hint="eastAsia"/>
        </w:rPr>
      </w:pPr>
      <w:r>
        <w:rPr>
          <w:rFonts w:hint="eastAsia"/>
        </w:rPr>
        <w:t>8</w:t>
      </w:r>
      <w:r>
        <w:t xml:space="preserve">.9.5 </w:t>
      </w:r>
      <w:r>
        <w:rPr>
          <w:rFonts w:hint="eastAsia"/>
        </w:rPr>
        <w:t>竣工交付物应包含以下内容：</w:t>
      </w:r>
    </w:p>
    <w:p>
      <w:pPr>
        <w:pStyle w:val="180"/>
        <w:numPr>
          <w:ilvl w:val="0"/>
          <w:numId w:val="54"/>
        </w:numPr>
        <w:tabs>
          <w:tab w:val="left" w:pos="851"/>
        </w:tabs>
        <w:ind w:left="840" w:leftChars="200" w:hanging="420" w:hangingChars="200"/>
        <w:rPr>
          <w:rFonts w:hint="eastAsia" w:hAnsi="宋体"/>
        </w:rPr>
      </w:pPr>
      <w:r>
        <w:rPr>
          <w:rFonts w:hint="eastAsia" w:hAnsi="宋体"/>
        </w:rPr>
        <w:t>建筑工程项目已完成施工图B</w:t>
      </w:r>
      <w:r>
        <w:rPr>
          <w:rFonts w:hAnsi="宋体"/>
        </w:rPr>
        <w:t>IM</w:t>
      </w:r>
      <w:r>
        <w:rPr>
          <w:rFonts w:hint="eastAsia" w:hAnsi="宋体"/>
        </w:rPr>
        <w:t>智能审查；</w:t>
      </w:r>
    </w:p>
    <w:p>
      <w:pPr>
        <w:pStyle w:val="180"/>
        <w:numPr>
          <w:ilvl w:val="0"/>
          <w:numId w:val="54"/>
        </w:numPr>
        <w:tabs>
          <w:tab w:val="left" w:pos="851"/>
        </w:tabs>
        <w:ind w:left="840" w:leftChars="200" w:hanging="420" w:hangingChars="200"/>
        <w:rPr>
          <w:rFonts w:hint="eastAsia" w:hAnsi="宋体"/>
        </w:rPr>
      </w:pPr>
      <w:r>
        <w:rPr>
          <w:rFonts w:hint="eastAsia" w:hAnsi="宋体"/>
        </w:rPr>
        <w:t>建筑工程项目已完成竣工验收备案；</w:t>
      </w:r>
    </w:p>
    <w:p>
      <w:pPr>
        <w:pStyle w:val="180"/>
        <w:numPr>
          <w:ilvl w:val="0"/>
          <w:numId w:val="54"/>
        </w:numPr>
        <w:tabs>
          <w:tab w:val="left" w:pos="851"/>
        </w:tabs>
        <w:ind w:left="840" w:leftChars="200" w:hanging="420" w:hangingChars="200"/>
        <w:rPr>
          <w:rFonts w:hint="eastAsia" w:hAnsi="宋体"/>
        </w:rPr>
      </w:pPr>
      <w:r>
        <w:rPr>
          <w:rFonts w:hint="eastAsia" w:hAnsi="宋体"/>
        </w:rPr>
        <w:t>竣工交付物已完成自检。</w:t>
      </w:r>
    </w:p>
    <w:p>
      <w:pPr>
        <w:pStyle w:val="171"/>
        <w:rPr>
          <w:rFonts w:hint="eastAsia"/>
        </w:rPr>
      </w:pPr>
      <w:r>
        <w:rPr>
          <w:rFonts w:hint="eastAsia"/>
        </w:rPr>
        <w:t>8</w:t>
      </w:r>
      <w:r>
        <w:t xml:space="preserve">.9.6 </w:t>
      </w:r>
      <w:r>
        <w:rPr>
          <w:rFonts w:hint="eastAsia"/>
        </w:rPr>
        <w:t>竣工验收模型自检应包括：模型属性数据完整性和正确性检查，模型几何精度检查，模型可用性评估，图形和属性数据一致性检查等内容。</w:t>
      </w:r>
    </w:p>
    <w:p>
      <w:pPr>
        <w:pStyle w:val="171"/>
        <w:rPr>
          <w:rFonts w:hint="eastAsia"/>
        </w:rPr>
      </w:pPr>
      <w:r>
        <w:rPr>
          <w:rFonts w:hint="eastAsia"/>
        </w:rPr>
        <w:t>8</w:t>
      </w:r>
      <w:r>
        <w:t xml:space="preserve">.9.7 </w:t>
      </w:r>
      <w:r>
        <w:rPr>
          <w:rFonts w:hint="eastAsia"/>
        </w:rPr>
        <w:t>在分部工程验收时应同步进行分</w:t>
      </w:r>
      <w:r>
        <w:rPr>
          <w:rFonts w:hint="eastAsia" w:ascii="宋体" w:hAnsi="宋体"/>
        </w:rPr>
        <w:t>部工程B</w:t>
      </w:r>
      <w:r>
        <w:rPr>
          <w:rFonts w:ascii="宋体" w:hAnsi="宋体"/>
        </w:rPr>
        <w:t>IM</w:t>
      </w:r>
      <w:r>
        <w:rPr>
          <w:rFonts w:hint="eastAsia" w:ascii="宋体" w:hAnsi="宋体"/>
        </w:rPr>
        <w:t>专项验收，B</w:t>
      </w:r>
      <w:r>
        <w:rPr>
          <w:rFonts w:ascii="宋体" w:hAnsi="宋体"/>
        </w:rPr>
        <w:t>IM</w:t>
      </w:r>
      <w:r>
        <w:rPr>
          <w:rFonts w:hint="eastAsia" w:ascii="宋体" w:hAnsi="宋体"/>
        </w:rPr>
        <w:t>专项验收内容应包括竣工验收模型与现场实物一致性对比、该分部工程应关联的施工过程</w:t>
      </w:r>
      <w:r>
        <w:rPr>
          <w:rFonts w:hint="eastAsia"/>
        </w:rPr>
        <w:t>数据资料完整性检查。</w:t>
      </w:r>
    </w:p>
    <w:p>
      <w:pPr>
        <w:tabs>
          <w:tab w:val="left" w:pos="4345"/>
          <w:tab w:val="left" w:pos="4783"/>
        </w:tabs>
        <w:spacing w:line="500" w:lineRule="exact"/>
        <w:rPr>
          <w:rFonts w:ascii="Times New Roman" w:hAnsi="Times New Roman"/>
        </w:rPr>
      </w:pPr>
      <w:r>
        <w:rPr>
          <w:rFonts w:ascii="Times New Roman" w:hAnsi="Times New Roman"/>
        </w:rPr>
        <w:br w:type="page"/>
      </w:r>
    </w:p>
    <w:p>
      <w:pPr>
        <w:pStyle w:val="110"/>
        <w:spacing w:before="312" w:after="312"/>
        <w:rPr>
          <w:szCs w:val="21"/>
        </w:rPr>
      </w:pPr>
      <w:bookmarkStart w:id="177" w:name="_Toc167201572"/>
      <w:bookmarkStart w:id="178" w:name="_Toc168008305"/>
      <w:r>
        <w:rPr>
          <w:rFonts w:hint="eastAsia"/>
          <w:szCs w:val="21"/>
        </w:rPr>
        <w:t>9</w:t>
      </w:r>
      <w:r>
        <w:rPr>
          <w:szCs w:val="21"/>
        </w:rPr>
        <w:t xml:space="preserve"> 运维阶段应用</w:t>
      </w:r>
      <w:bookmarkEnd w:id="177"/>
      <w:bookmarkEnd w:id="178"/>
    </w:p>
    <w:p>
      <w:pPr>
        <w:pStyle w:val="111"/>
        <w:spacing w:before="156" w:after="156"/>
        <w:rPr>
          <w:rFonts w:hint="eastAsia" w:hAnsi="黑体" w:cs="黑体"/>
        </w:rPr>
      </w:pPr>
      <w:bookmarkStart w:id="179" w:name="_Toc167201573"/>
      <w:bookmarkStart w:id="180" w:name="_Toc168008306"/>
      <w:r>
        <w:rPr>
          <w:rFonts w:hint="eastAsia" w:hAnsi="黑体" w:cs="黑体"/>
        </w:rPr>
        <w:t>9</w:t>
      </w:r>
      <w:r>
        <w:rPr>
          <w:rFonts w:hAnsi="黑体" w:cs="黑体"/>
        </w:rPr>
        <w:t>.1 一般规定</w:t>
      </w:r>
      <w:bookmarkEnd w:id="179"/>
      <w:bookmarkEnd w:id="180"/>
    </w:p>
    <w:p>
      <w:pPr>
        <w:pStyle w:val="171"/>
        <w:rPr>
          <w:rFonts w:hint="eastAsia"/>
        </w:rPr>
      </w:pPr>
      <w:r>
        <w:rPr>
          <w:rFonts w:hint="eastAsia"/>
        </w:rPr>
        <w:t>9</w:t>
      </w:r>
      <w:r>
        <w:t>.1.1</w:t>
      </w:r>
      <w:r>
        <w:rPr>
          <w:rFonts w:hint="eastAsia"/>
        </w:rPr>
        <w:t xml:space="preserve"> 运维</w:t>
      </w:r>
      <w:r>
        <w:rPr>
          <w:rFonts w:ascii="宋体" w:hAnsi="宋体"/>
        </w:rPr>
        <w:t>阶段</w:t>
      </w:r>
      <w:r>
        <w:rPr>
          <w:rFonts w:hint="eastAsia" w:ascii="宋体" w:hAnsi="宋体"/>
        </w:rPr>
        <w:t>BIM模型</w:t>
      </w:r>
      <w:r>
        <w:rPr>
          <w:rFonts w:ascii="宋体" w:hAnsi="宋体"/>
        </w:rPr>
        <w:t>应</w:t>
      </w:r>
      <w:r>
        <w:rPr>
          <w:rFonts w:hint="eastAsia"/>
        </w:rPr>
        <w:t>满足数据信息的传递、交互、展示要求，应基于竣工验收模型开展运维模型核查、模型轻量化、数据关联工作，确保模型的准确性、易用性、完整性。</w:t>
      </w:r>
    </w:p>
    <w:p>
      <w:pPr>
        <w:pStyle w:val="171"/>
        <w:rPr>
          <w:rFonts w:hint="eastAsia"/>
        </w:rPr>
      </w:pPr>
      <w:r>
        <w:rPr>
          <w:rFonts w:hint="eastAsia"/>
        </w:rPr>
        <w:t>9.</w:t>
      </w:r>
      <w:r>
        <w:t xml:space="preserve">1.2 </w:t>
      </w:r>
      <w:r>
        <w:rPr>
          <w:rFonts w:hint="eastAsia"/>
        </w:rPr>
        <w:t>运维</w:t>
      </w:r>
      <w:r>
        <w:rPr>
          <w:rFonts w:hint="eastAsia" w:ascii="宋体" w:hAnsi="宋体"/>
        </w:rPr>
        <w:t>阶段BIM技术应</w:t>
      </w:r>
      <w:r>
        <w:rPr>
          <w:rFonts w:hint="eastAsia"/>
        </w:rPr>
        <w:t>用应包含能源与碳排放管理、安防与消防管理、空间与资产管理、设备设施管理功能，可根据建设方需求增加其他应用功能。</w:t>
      </w:r>
    </w:p>
    <w:p>
      <w:pPr>
        <w:pStyle w:val="171"/>
        <w:rPr>
          <w:rFonts w:hint="eastAsia"/>
        </w:rPr>
      </w:pPr>
      <w:r>
        <w:rPr>
          <w:rFonts w:hint="eastAsia"/>
        </w:rPr>
        <w:t>9.</w:t>
      </w:r>
      <w:r>
        <w:t xml:space="preserve">1.3 </w:t>
      </w:r>
      <w:r>
        <w:rPr>
          <w:rFonts w:hint="eastAsia"/>
        </w:rPr>
        <w:t>运维阶</w:t>
      </w:r>
      <w:r>
        <w:rPr>
          <w:rFonts w:hint="eastAsia" w:ascii="宋体" w:hAnsi="宋体"/>
        </w:rPr>
        <w:t>段BIM模型</w:t>
      </w:r>
      <w:r>
        <w:t>应采用统一的编码体系，实现模型及信息在资产全生命周期的有效传递及交换。</w:t>
      </w:r>
    </w:p>
    <w:p>
      <w:pPr>
        <w:pStyle w:val="171"/>
        <w:rPr>
          <w:rFonts w:hint="eastAsia"/>
        </w:rPr>
      </w:pPr>
      <w:r>
        <w:rPr>
          <w:rFonts w:hint="eastAsia"/>
        </w:rPr>
        <w:t>9.</w:t>
      </w:r>
      <w:r>
        <w:t xml:space="preserve">1.4 </w:t>
      </w:r>
      <w:r>
        <w:rPr>
          <w:rFonts w:hint="eastAsia"/>
        </w:rPr>
        <w:t>运维阶</w:t>
      </w:r>
      <w:r>
        <w:rPr>
          <w:rFonts w:hint="eastAsia" w:ascii="宋体" w:hAnsi="宋体"/>
        </w:rPr>
        <w:t>段BIM模型应</w:t>
      </w:r>
      <w:r>
        <w:rPr>
          <w:rFonts w:hint="eastAsia"/>
        </w:rPr>
        <w:t>建立完备的信息安全与数据安全体系，以及</w:t>
      </w:r>
      <w:r>
        <w:t>数据信息共享</w:t>
      </w:r>
      <w:r>
        <w:rPr>
          <w:rFonts w:hint="eastAsia"/>
        </w:rPr>
        <w:t>体系，按照应用场景进行数据分类分级管理，宜运用数据安全技术，加强数据共享利用。</w:t>
      </w:r>
    </w:p>
    <w:p>
      <w:pPr>
        <w:pStyle w:val="171"/>
        <w:rPr>
          <w:rFonts w:hint="eastAsia"/>
        </w:rPr>
      </w:pPr>
      <w:r>
        <w:rPr>
          <w:rFonts w:hint="eastAsia"/>
        </w:rPr>
        <w:t>9</w:t>
      </w:r>
      <w:r>
        <w:t>.1.5</w:t>
      </w:r>
      <w:r>
        <w:rPr>
          <w:rFonts w:hint="eastAsia"/>
        </w:rPr>
        <w:t xml:space="preserve"> 在运维阶段进行建筑及设备的改造或拆除时，应及时进行模型数据更新和模型完善，模型数据更新应做好历史数据的备份工作。</w:t>
      </w:r>
    </w:p>
    <w:p>
      <w:pPr>
        <w:pStyle w:val="111"/>
        <w:spacing w:before="156" w:after="156"/>
        <w:rPr>
          <w:rFonts w:ascii="Times New Roman"/>
          <w:szCs w:val="21"/>
        </w:rPr>
      </w:pPr>
      <w:bookmarkStart w:id="181" w:name="_Toc167201574"/>
      <w:bookmarkStart w:id="182" w:name="_Toc168008307"/>
      <w:r>
        <w:rPr>
          <w:rFonts w:hint="eastAsia" w:hAnsi="黑体" w:cs="黑体"/>
        </w:rPr>
        <w:t>9</w:t>
      </w:r>
      <w:r>
        <w:rPr>
          <w:rFonts w:hAnsi="黑体" w:cs="黑体"/>
        </w:rPr>
        <w:t xml:space="preserve">.2 </w:t>
      </w:r>
      <w:r>
        <w:rPr>
          <w:rFonts w:hint="eastAsia" w:hAnsi="黑体" w:cs="黑体"/>
        </w:rPr>
        <w:t>能源与碳排放管理模型应用</w:t>
      </w:r>
      <w:bookmarkEnd w:id="181"/>
      <w:bookmarkEnd w:id="182"/>
    </w:p>
    <w:p>
      <w:pPr>
        <w:pStyle w:val="171"/>
        <w:rPr>
          <w:rFonts w:hint="eastAsia"/>
        </w:rPr>
      </w:pPr>
      <w:r>
        <w:rPr>
          <w:rFonts w:hint="eastAsia"/>
        </w:rPr>
        <w:t>9</w:t>
      </w:r>
      <w:r>
        <w:t xml:space="preserve">.2.1 </w:t>
      </w:r>
      <w:r>
        <w:rPr>
          <w:rFonts w:hint="eastAsia"/>
        </w:rPr>
        <w:t>能源与碳排放管理模型的设备构件应包含能源独立计量的用电设备、用气设备、用水设备、用油设备、新能源设备、储能设备、建筑空间，构件几何尺寸与空间位置应准确。</w:t>
      </w:r>
    </w:p>
    <w:p>
      <w:pPr>
        <w:pStyle w:val="171"/>
        <w:rPr>
          <w:rFonts w:hint="eastAsia"/>
        </w:rPr>
      </w:pPr>
      <w:r>
        <w:rPr>
          <w:rFonts w:hint="eastAsia"/>
        </w:rPr>
        <w:t>9.</w:t>
      </w:r>
      <w:r>
        <w:t>2.2</w:t>
      </w:r>
      <w:r>
        <w:rPr>
          <w:rFonts w:hint="eastAsia"/>
        </w:rPr>
        <w:t xml:space="preserve"> 能源与碳排放管理模型的仪表构件宜包含建筑水表、电表、燃气表、能量表，构件几何尺寸宜准确，空间位置应准确。</w:t>
      </w:r>
    </w:p>
    <w:p>
      <w:pPr>
        <w:pStyle w:val="171"/>
        <w:rPr>
          <w:rFonts w:hint="eastAsia"/>
        </w:rPr>
      </w:pPr>
      <w:r>
        <w:rPr>
          <w:rFonts w:hint="eastAsia"/>
        </w:rPr>
        <w:t>9.</w:t>
      </w:r>
      <w:r>
        <w:t>2.3</w:t>
      </w:r>
      <w:r>
        <w:rPr>
          <w:rFonts w:hint="eastAsia"/>
        </w:rPr>
        <w:t xml:space="preserve"> 根据能源与碳排放管理的不同对象，应选择适合的设备模型或空间模型作为基础，附加相应的能源与碳排放数据与信息。能源与碳排放管理的附加数据与模型对象的对应关系</w:t>
      </w:r>
      <w:r>
        <w:rPr>
          <w:rFonts w:hint="eastAsia" w:ascii="宋体" w:hAnsi="宋体"/>
        </w:rPr>
        <w:t>宜符合表18的</w:t>
      </w:r>
      <w:r>
        <w:rPr>
          <w:rFonts w:hint="eastAsia"/>
        </w:rPr>
        <w:t>规定。</w:t>
      </w:r>
    </w:p>
    <w:p>
      <w:pPr>
        <w:pStyle w:val="13"/>
        <w:spacing w:before="156" w:beforeLines="50" w:after="156" w:afterLines="50"/>
        <w:jc w:val="center"/>
        <w:rPr>
          <w:rFonts w:hint="eastAsia" w:ascii="黑体" w:hAnsi="黑体"/>
          <w:kern w:val="0"/>
        </w:rPr>
      </w:pPr>
      <w:bookmarkStart w:id="183" w:name="_Toc174544041"/>
      <w:bookmarkStart w:id="184" w:name="_Toc174544098"/>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18</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能源与碳排放管理的附加数据与模型对象的对应关系</w:t>
      </w:r>
      <w:bookmarkEnd w:id="183"/>
      <w:bookmarkEnd w:id="184"/>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361"/>
        <w:gridCol w:w="416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4361"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附加数据</w:t>
            </w:r>
          </w:p>
        </w:tc>
        <w:tc>
          <w:tcPr>
            <w:tcW w:w="4161"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模型对象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4361"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设备设施单独计量的能源数据</w:t>
            </w:r>
          </w:p>
        </w:tc>
        <w:tc>
          <w:tcPr>
            <w:tcW w:w="4161"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设备设施的模型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436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房间/室内区域单独计量的能源数据</w:t>
            </w:r>
          </w:p>
        </w:tc>
        <w:tc>
          <w:tcPr>
            <w:tcW w:w="416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房间/室内区域的模型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436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楼层单独计量的能源数据</w:t>
            </w:r>
          </w:p>
        </w:tc>
        <w:tc>
          <w:tcPr>
            <w:tcW w:w="416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楼层的模型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436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建筑单独计量的能源数据</w:t>
            </w:r>
          </w:p>
        </w:tc>
        <w:tc>
          <w:tcPr>
            <w:tcW w:w="4161"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建筑的模型</w:t>
            </w:r>
          </w:p>
        </w:tc>
      </w:tr>
    </w:tbl>
    <w:p>
      <w:pPr>
        <w:pStyle w:val="171"/>
        <w:rPr>
          <w:rFonts w:hint="eastAsia"/>
        </w:rPr>
      </w:pPr>
    </w:p>
    <w:p>
      <w:pPr>
        <w:pStyle w:val="171"/>
        <w:rPr>
          <w:rFonts w:ascii="Times New Roman" w:hAnsi="Times New Roman"/>
          <w:szCs w:val="21"/>
        </w:rPr>
      </w:pPr>
      <w:r>
        <w:rPr>
          <w:rFonts w:hint="eastAsia"/>
        </w:rPr>
        <w:t>9.</w:t>
      </w:r>
      <w:r>
        <w:t>2.</w:t>
      </w:r>
      <w:bookmarkStart w:id="185" w:name="_Hlk146564373"/>
      <w:r>
        <w:t>4</w:t>
      </w:r>
      <w:r>
        <w:rPr>
          <w:rFonts w:hint="eastAsia"/>
        </w:rPr>
        <w:t xml:space="preserve"> 能源与碳排放管理</w:t>
      </w:r>
      <w:bookmarkEnd w:id="185"/>
      <w:r>
        <w:t>模型元素及</w:t>
      </w:r>
      <w:r>
        <w:rPr>
          <w:rFonts w:ascii="宋体" w:hAnsi="宋体"/>
        </w:rPr>
        <w:t>信息</w:t>
      </w:r>
      <w:r>
        <w:rPr>
          <w:rFonts w:hint="eastAsia" w:ascii="宋体" w:hAnsi="宋体"/>
        </w:rPr>
        <w:t>宜</w:t>
      </w:r>
      <w:r>
        <w:rPr>
          <w:rFonts w:ascii="宋体" w:hAnsi="宋体"/>
        </w:rPr>
        <w:t>符合表</w:t>
      </w:r>
      <w:r>
        <w:rPr>
          <w:rFonts w:hint="eastAsia" w:ascii="宋体" w:hAnsi="宋体"/>
        </w:rPr>
        <w:t>19</w:t>
      </w:r>
      <w:r>
        <w:rPr>
          <w:rFonts w:ascii="宋体" w:hAnsi="宋体"/>
        </w:rPr>
        <w:t>的</w:t>
      </w:r>
      <w:r>
        <w:t>规定</w:t>
      </w:r>
      <w:r>
        <w:rPr>
          <w:rFonts w:hint="eastAsia"/>
        </w:rPr>
        <w:t>。</w:t>
      </w:r>
    </w:p>
    <w:p>
      <w:pPr>
        <w:pStyle w:val="13"/>
        <w:spacing w:before="156" w:beforeLines="50" w:after="156" w:afterLines="50"/>
        <w:jc w:val="center"/>
        <w:rPr>
          <w:rFonts w:hint="eastAsia" w:ascii="黑体" w:hAnsi="黑体"/>
          <w:kern w:val="0"/>
        </w:rPr>
      </w:pPr>
      <w:bookmarkStart w:id="186" w:name="_Toc174544042"/>
      <w:bookmarkStart w:id="187" w:name="_Toc174544099"/>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19</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能源与碳排放管理</w:t>
      </w:r>
      <w:r>
        <w:rPr>
          <w:rFonts w:ascii="黑体" w:hAnsi="黑体"/>
          <w:kern w:val="0"/>
          <w:sz w:val="21"/>
          <w:szCs w:val="21"/>
        </w:rPr>
        <w:t>模型元素及信息</w:t>
      </w:r>
      <w:bookmarkEnd w:id="186"/>
      <w:bookmarkEnd w:id="187"/>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049"/>
        <w:gridCol w:w="64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w:t>
            </w:r>
            <w:r>
              <w:rPr>
                <w:rFonts w:hint="eastAsia" w:ascii="宋体" w:hAnsi="宋体"/>
                <w:bCs/>
                <w:sz w:val="18"/>
                <w:szCs w:val="18"/>
                <w:lang w:bidi="ar"/>
              </w:rPr>
              <w:t>类别</w:t>
            </w:r>
          </w:p>
        </w:tc>
        <w:tc>
          <w:tcPr>
            <w:tcW w:w="6473"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6473" w:type="dxa"/>
            <w:tcBorders>
              <w:top w:val="single" w:color="auto" w:sz="8" w:space="0"/>
            </w:tcBorders>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深化</w:t>
            </w:r>
            <w:r>
              <w:rPr>
                <w:rFonts w:hint="eastAsia" w:ascii="宋体" w:hAnsi="宋体"/>
                <w:bCs/>
                <w:sz w:val="18"/>
                <w:szCs w:val="18"/>
                <w:lang w:bidi="ar"/>
              </w:rPr>
              <w:t>竣工验收</w:t>
            </w: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能源与碳排放计量仪表模型</w:t>
            </w:r>
            <w:r>
              <w:rPr>
                <w:rFonts w:ascii="宋体" w:hAnsi="宋体"/>
                <w:bCs/>
                <w:sz w:val="18"/>
                <w:szCs w:val="18"/>
                <w:lang w:bidi="ar"/>
              </w:rPr>
              <w:t>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几何信息包括：</w:t>
            </w:r>
            <w:r>
              <w:rPr>
                <w:rFonts w:hint="eastAsia" w:ascii="宋体" w:hAnsi="宋体"/>
                <w:bCs/>
                <w:sz w:val="18"/>
                <w:szCs w:val="18"/>
                <w:lang w:bidi="ar"/>
              </w:rPr>
              <w:t>设备尺寸、空间</w:t>
            </w:r>
            <w:r>
              <w:rPr>
                <w:rFonts w:ascii="宋体" w:hAnsi="宋体"/>
                <w:bCs/>
                <w:sz w:val="18"/>
                <w:szCs w:val="18"/>
                <w:lang w:bidi="ar"/>
              </w:rPr>
              <w:t>位置等</w:t>
            </w:r>
          </w:p>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非几何信息包括：</w:t>
            </w:r>
            <w:r>
              <w:rPr>
                <w:rFonts w:hint="eastAsia" w:ascii="宋体" w:hAnsi="宋体"/>
                <w:bCs/>
                <w:sz w:val="18"/>
                <w:szCs w:val="18"/>
                <w:lang w:bidi="ar"/>
              </w:rPr>
              <w:t>设备名称、设备编号、设备技术参数、设备位置、供应商信息、采购日期、维保期信息等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能源与碳排放设备设施模型信息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几何信息包括：</w:t>
            </w:r>
            <w:r>
              <w:rPr>
                <w:rFonts w:hint="eastAsia" w:ascii="宋体" w:hAnsi="宋体"/>
                <w:bCs/>
                <w:sz w:val="18"/>
                <w:szCs w:val="18"/>
                <w:lang w:bidi="ar"/>
              </w:rPr>
              <w:t>设备尺寸、空间</w:t>
            </w:r>
            <w:r>
              <w:rPr>
                <w:rFonts w:ascii="宋体" w:hAnsi="宋体"/>
                <w:bCs/>
                <w:sz w:val="18"/>
                <w:szCs w:val="18"/>
                <w:lang w:bidi="ar"/>
              </w:rPr>
              <w:t>位置等</w:t>
            </w:r>
          </w:p>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非几何信息包括：</w:t>
            </w:r>
            <w:r>
              <w:rPr>
                <w:rFonts w:hint="eastAsia" w:ascii="宋体" w:hAnsi="宋体"/>
                <w:bCs/>
                <w:sz w:val="18"/>
                <w:szCs w:val="18"/>
                <w:lang w:bidi="ar"/>
              </w:rPr>
              <w:t>设备名称、设备编号、设备技术参数、设备位置、供应商信息、采购日期、维保期信息、碳排因子等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bottom w:val="single" w:color="auto" w:sz="4"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物联采集信息</w:t>
            </w:r>
          </w:p>
        </w:tc>
        <w:tc>
          <w:tcPr>
            <w:tcW w:w="6473" w:type="dxa"/>
            <w:tcBorders>
              <w:bottom w:val="single" w:color="auto" w:sz="4" w:space="0"/>
            </w:tcBorders>
            <w:vAlign w:val="center"/>
          </w:tcPr>
          <w:p>
            <w:pPr>
              <w:widowControl/>
              <w:spacing w:line="240" w:lineRule="auto"/>
              <w:ind w:firstLine="180" w:firstLineChars="100"/>
              <w:jc w:val="left"/>
              <w:rPr>
                <w:rFonts w:hint="eastAsia" w:ascii="宋体" w:hAnsi="宋体"/>
                <w:bCs/>
                <w:sz w:val="18"/>
                <w:szCs w:val="18"/>
                <w:lang w:bidi="ar"/>
              </w:rPr>
            </w:pPr>
            <w:r>
              <w:rPr>
                <w:rFonts w:hint="eastAsia" w:ascii="宋体" w:hAnsi="宋体"/>
                <w:bCs/>
                <w:sz w:val="18"/>
                <w:szCs w:val="18"/>
                <w:lang w:bidi="ar"/>
              </w:rPr>
              <w:t>仪表的实时数据、碳排放数据、仪表状态、仪表告警信息等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049" w:type="dxa"/>
            <w:tcBorders>
              <w:top w:val="single" w:color="auto" w:sz="4"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运维管理</w:t>
            </w:r>
            <w:r>
              <w:rPr>
                <w:rFonts w:ascii="宋体" w:hAnsi="宋体"/>
                <w:bCs/>
                <w:sz w:val="18"/>
                <w:szCs w:val="18"/>
                <w:lang w:bidi="ar"/>
              </w:rPr>
              <w:t>信息</w:t>
            </w:r>
          </w:p>
        </w:tc>
        <w:tc>
          <w:tcPr>
            <w:tcW w:w="6473" w:type="dxa"/>
            <w:tcBorders>
              <w:top w:val="single" w:color="auto" w:sz="4" w:space="0"/>
              <w:bottom w:val="single" w:color="auto" w:sz="8" w:space="0"/>
            </w:tcBorders>
            <w:vAlign w:val="center"/>
          </w:tcPr>
          <w:p>
            <w:pPr>
              <w:widowControl/>
              <w:spacing w:line="240" w:lineRule="auto"/>
              <w:ind w:firstLine="180" w:firstLineChars="100"/>
              <w:jc w:val="left"/>
              <w:rPr>
                <w:rFonts w:hint="eastAsia" w:ascii="宋体" w:hAnsi="宋体"/>
                <w:bCs/>
                <w:sz w:val="18"/>
                <w:szCs w:val="18"/>
                <w:lang w:bidi="ar"/>
              </w:rPr>
            </w:pPr>
            <w:r>
              <w:rPr>
                <w:rFonts w:hint="eastAsia" w:ascii="宋体" w:hAnsi="宋体"/>
                <w:bCs/>
                <w:sz w:val="18"/>
                <w:szCs w:val="18"/>
                <w:lang w:bidi="ar"/>
              </w:rPr>
              <w:t>能源历史数据、能源异常告警、能源统计分析、巡检记录、检修记录、能耗异常处理记录、环境异常处理记录等</w:t>
            </w:r>
          </w:p>
        </w:tc>
      </w:tr>
    </w:tbl>
    <w:p>
      <w:pPr>
        <w:pStyle w:val="171"/>
        <w:rPr>
          <w:rFonts w:hint="eastAsia"/>
        </w:rPr>
      </w:pPr>
    </w:p>
    <w:p>
      <w:pPr>
        <w:pStyle w:val="171"/>
        <w:rPr>
          <w:rFonts w:hint="eastAsia"/>
        </w:rPr>
      </w:pPr>
      <w:r>
        <w:rPr>
          <w:rFonts w:hint="eastAsia"/>
        </w:rPr>
        <w:t>9</w:t>
      </w:r>
      <w:r>
        <w:t>.2.5</w:t>
      </w:r>
      <w:r>
        <w:rPr>
          <w:rFonts w:hint="eastAsia"/>
        </w:rPr>
        <w:t xml:space="preserve"> 能源与碳排放的模型应满足对模型信息、物联采集信息、运维管理信息的快速定位和可视化查看的要求。</w:t>
      </w:r>
    </w:p>
    <w:p>
      <w:pPr>
        <w:pStyle w:val="111"/>
        <w:spacing w:before="156" w:after="156"/>
        <w:rPr>
          <w:rFonts w:hint="eastAsia" w:hAnsi="黑体" w:cs="黑体"/>
        </w:rPr>
      </w:pPr>
      <w:bookmarkStart w:id="188" w:name="_Toc167201575"/>
      <w:bookmarkStart w:id="189" w:name="_Toc168008308"/>
      <w:r>
        <w:rPr>
          <w:rFonts w:hint="eastAsia" w:hAnsi="黑体" w:cs="黑体"/>
        </w:rPr>
        <w:t>9.</w:t>
      </w:r>
      <w:r>
        <w:rPr>
          <w:rFonts w:hAnsi="黑体" w:cs="黑体"/>
        </w:rPr>
        <w:t xml:space="preserve">3 </w:t>
      </w:r>
      <w:r>
        <w:rPr>
          <w:rFonts w:hint="eastAsia" w:hAnsi="黑体" w:cs="黑体"/>
        </w:rPr>
        <w:t>安防与消防管理模型应用</w:t>
      </w:r>
      <w:bookmarkEnd w:id="188"/>
      <w:bookmarkEnd w:id="189"/>
    </w:p>
    <w:p>
      <w:pPr>
        <w:pStyle w:val="171"/>
        <w:rPr>
          <w:rFonts w:hint="eastAsia"/>
        </w:rPr>
      </w:pPr>
      <w:r>
        <w:rPr>
          <w:rFonts w:hint="eastAsia"/>
        </w:rPr>
        <w:t>9</w:t>
      </w:r>
      <w:r>
        <w:t xml:space="preserve">.3.1 </w:t>
      </w:r>
      <w:r>
        <w:rPr>
          <w:rFonts w:hint="eastAsia"/>
        </w:rPr>
        <w:t>安防与消防管理模型的设备构件应包含监控摄像头、门禁、入侵报警设备、周界报警设备、人员通道、车辆道闸、停车位监测设备、出入口升降柱、电梯、火灾报警传感器等，构件尺寸宜准确，空间位置应准确。</w:t>
      </w:r>
    </w:p>
    <w:p>
      <w:pPr>
        <w:pStyle w:val="171"/>
        <w:rPr>
          <w:rFonts w:hint="eastAsia"/>
        </w:rPr>
      </w:pPr>
      <w:r>
        <w:rPr>
          <w:rFonts w:hint="eastAsia"/>
        </w:rPr>
        <w:t>9.</w:t>
      </w:r>
      <w:r>
        <w:t>3.2</w:t>
      </w:r>
      <w:r>
        <w:rPr>
          <w:rFonts w:hint="eastAsia"/>
        </w:rPr>
        <w:t xml:space="preserve"> 根据安防与消防管理的不同对象，应选择适合的设备模型或空间模型作为基础，附加相应的安防与消防数据与信息。</w:t>
      </w:r>
      <w:bookmarkStart w:id="190" w:name="_Hlk174484676"/>
      <w:r>
        <w:rPr>
          <w:rFonts w:hint="eastAsia"/>
        </w:rPr>
        <w:t>安防与消防管理的附加数据与模型对象的对应关系</w:t>
      </w:r>
      <w:bookmarkEnd w:id="190"/>
      <w:r>
        <w:rPr>
          <w:rFonts w:hint="eastAsia"/>
        </w:rPr>
        <w:t>宜</w:t>
      </w:r>
      <w:r>
        <w:rPr>
          <w:rFonts w:hint="eastAsia" w:ascii="宋体" w:hAnsi="宋体"/>
        </w:rPr>
        <w:t>符合表20的</w:t>
      </w:r>
      <w:r>
        <w:rPr>
          <w:rFonts w:hint="eastAsia"/>
        </w:rPr>
        <w:t>规定。</w:t>
      </w:r>
    </w:p>
    <w:p>
      <w:pPr>
        <w:pStyle w:val="13"/>
        <w:spacing w:before="156" w:beforeLines="50" w:after="156" w:afterLines="50"/>
        <w:jc w:val="center"/>
        <w:rPr>
          <w:rFonts w:hint="eastAsia" w:ascii="黑体" w:hAnsi="黑体"/>
          <w:kern w:val="0"/>
        </w:rPr>
      </w:pPr>
      <w:bookmarkStart w:id="191" w:name="_Toc174544043"/>
      <w:bookmarkStart w:id="192" w:name="_Toc174544100"/>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20</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安防与消防管理的附加数据与模型对象的对应关系</w:t>
      </w:r>
      <w:bookmarkEnd w:id="191"/>
      <w:bookmarkEnd w:id="192"/>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794"/>
        <w:gridCol w:w="472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附加数据</w:t>
            </w:r>
          </w:p>
        </w:tc>
        <w:tc>
          <w:tcPr>
            <w:tcW w:w="4728"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模型对象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视频监控数据</w:t>
            </w:r>
          </w:p>
        </w:tc>
        <w:tc>
          <w:tcPr>
            <w:tcW w:w="4728" w:type="dxa"/>
            <w:tcBorders>
              <w:top w:val="single" w:color="auto" w:sz="8" w:space="0"/>
            </w:tcBorders>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摄像头/被监控区域的空间的模型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门禁数据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门禁刷卡器/门的模型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入侵报警数据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入侵报警传感器/门/窗的模型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周界报警数据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围墙的模型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人员通道数据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人员通道的模型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车辆道闸数据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车辆道闸的模型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停车位监测数据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停车位空间模型/汽车的模型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出入口升降柱数据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出入口升降柱的模型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电梯数据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电梯的模型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火灾报警数据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火灾报警传感器/报警分区空间的模型</w:t>
            </w:r>
          </w:p>
        </w:tc>
      </w:tr>
    </w:tbl>
    <w:p>
      <w:pPr>
        <w:pStyle w:val="171"/>
        <w:rPr>
          <w:rFonts w:hint="eastAsia"/>
        </w:rPr>
      </w:pPr>
    </w:p>
    <w:p>
      <w:pPr>
        <w:pStyle w:val="171"/>
        <w:rPr>
          <w:rFonts w:hint="eastAsia"/>
        </w:rPr>
      </w:pPr>
      <w:r>
        <w:rPr>
          <w:rFonts w:hint="eastAsia"/>
        </w:rPr>
        <w:t>9.</w:t>
      </w:r>
      <w:r>
        <w:t>3.3</w:t>
      </w:r>
      <w:r>
        <w:rPr>
          <w:rFonts w:hint="eastAsia"/>
        </w:rPr>
        <w:t xml:space="preserve"> 安防与消防管理</w:t>
      </w:r>
      <w:r>
        <w:t>模型元素及信息</w:t>
      </w:r>
      <w:r>
        <w:rPr>
          <w:rFonts w:hint="eastAsia"/>
        </w:rPr>
        <w:t>应</w:t>
      </w:r>
      <w:r>
        <w:rPr>
          <w:rFonts w:ascii="宋体" w:hAnsi="宋体"/>
        </w:rPr>
        <w:t>符合表</w:t>
      </w:r>
      <w:r>
        <w:rPr>
          <w:rFonts w:hint="eastAsia" w:ascii="宋体" w:hAnsi="宋体"/>
        </w:rPr>
        <w:t>21</w:t>
      </w:r>
      <w:r>
        <w:rPr>
          <w:rFonts w:ascii="宋体" w:hAnsi="宋体"/>
        </w:rPr>
        <w:t>的</w:t>
      </w:r>
      <w:r>
        <w:t>规定</w:t>
      </w:r>
      <w:r>
        <w:rPr>
          <w:rFonts w:hint="eastAsia"/>
        </w:rPr>
        <w:t>。</w:t>
      </w:r>
    </w:p>
    <w:p>
      <w:pPr>
        <w:pStyle w:val="13"/>
        <w:spacing w:before="156" w:beforeLines="50" w:after="156" w:afterLines="50"/>
        <w:jc w:val="center"/>
        <w:rPr>
          <w:rFonts w:hint="eastAsia" w:ascii="黑体" w:hAnsi="黑体"/>
          <w:kern w:val="0"/>
        </w:rPr>
      </w:pPr>
      <w:bookmarkStart w:id="193" w:name="_Toc174544044"/>
      <w:bookmarkStart w:id="194" w:name="_Toc174544101"/>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21</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安防与消防管理</w:t>
      </w:r>
      <w:r>
        <w:rPr>
          <w:rFonts w:ascii="黑体" w:hAnsi="黑体"/>
          <w:kern w:val="0"/>
          <w:sz w:val="21"/>
          <w:szCs w:val="21"/>
        </w:rPr>
        <w:t>模型元素及信息</w:t>
      </w:r>
      <w:bookmarkEnd w:id="193"/>
      <w:bookmarkEnd w:id="194"/>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049"/>
        <w:gridCol w:w="64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2049"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模型元素类别</w:t>
            </w:r>
          </w:p>
        </w:tc>
        <w:tc>
          <w:tcPr>
            <w:tcW w:w="6473" w:type="dxa"/>
            <w:tcBorders>
              <w:top w:val="single" w:color="auto" w:sz="8" w:space="0"/>
              <w:bottom w:val="single" w:color="auto" w:sz="8" w:space="0"/>
            </w:tcBorders>
            <w:vAlign w:val="center"/>
          </w:tcPr>
          <w:p>
            <w:pPr>
              <w:widowControl/>
              <w:spacing w:line="240" w:lineRule="auto"/>
              <w:ind w:firstLine="180" w:firstLineChars="100"/>
              <w:jc w:val="center"/>
              <w:textAlignment w:val="center"/>
              <w:rPr>
                <w:rFonts w:hint="eastAsia" w:ascii="宋体" w:hAnsi="宋体"/>
                <w:bCs/>
                <w:sz w:val="18"/>
                <w:szCs w:val="18"/>
                <w:lang w:bidi="ar"/>
              </w:rPr>
            </w:pP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2049"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6473" w:type="dxa"/>
            <w:tcBorders>
              <w:top w:val="single" w:color="auto" w:sz="8" w:space="0"/>
            </w:tcBorders>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深化</w:t>
            </w:r>
            <w:r>
              <w:rPr>
                <w:rFonts w:hint="eastAsia" w:ascii="宋体" w:hAnsi="宋体"/>
                <w:bCs/>
                <w:sz w:val="18"/>
                <w:szCs w:val="18"/>
                <w:lang w:bidi="ar"/>
              </w:rPr>
              <w:t>竣工验收</w:t>
            </w: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17" w:hRule="atLeast"/>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安防与消防设备设施模型</w:t>
            </w:r>
            <w:r>
              <w:rPr>
                <w:rFonts w:ascii="宋体" w:hAnsi="宋体"/>
                <w:bCs/>
                <w:sz w:val="18"/>
                <w:szCs w:val="18"/>
                <w:lang w:bidi="ar"/>
              </w:rPr>
              <w:t>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几何信息包括：</w:t>
            </w:r>
            <w:r>
              <w:rPr>
                <w:rFonts w:hint="eastAsia" w:ascii="宋体" w:hAnsi="宋体"/>
                <w:bCs/>
                <w:sz w:val="18"/>
                <w:szCs w:val="18"/>
                <w:lang w:bidi="ar"/>
              </w:rPr>
              <w:t>设备尺寸、空间</w:t>
            </w:r>
            <w:r>
              <w:rPr>
                <w:rFonts w:ascii="宋体" w:hAnsi="宋体"/>
                <w:bCs/>
                <w:sz w:val="18"/>
                <w:szCs w:val="18"/>
                <w:lang w:bidi="ar"/>
              </w:rPr>
              <w:t>位置等</w:t>
            </w:r>
          </w:p>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非几何信息包括：</w:t>
            </w:r>
            <w:r>
              <w:rPr>
                <w:rFonts w:hint="eastAsia" w:ascii="宋体" w:hAnsi="宋体"/>
                <w:bCs/>
                <w:sz w:val="18"/>
                <w:szCs w:val="18"/>
                <w:lang w:bidi="ar"/>
              </w:rPr>
              <w:t>设备名称、设备编号、设备技术参数、设备位置、供应商信息、采购日期、维保期信息等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物联采集信息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hint="eastAsia" w:ascii="宋体" w:hAnsi="宋体"/>
                <w:bCs/>
                <w:sz w:val="18"/>
                <w:szCs w:val="18"/>
                <w:lang w:bidi="ar"/>
              </w:rPr>
              <w:t>监控视频、实时监测数据、实时告警、设备运行状态，远程控制等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运维管理</w:t>
            </w:r>
            <w:r>
              <w:rPr>
                <w:rFonts w:ascii="宋体" w:hAnsi="宋体"/>
                <w:bCs/>
                <w:sz w:val="18"/>
                <w:szCs w:val="18"/>
                <w:lang w:bidi="ar"/>
              </w:rPr>
              <w:t>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hint="eastAsia" w:ascii="宋体" w:hAnsi="宋体"/>
                <w:bCs/>
                <w:sz w:val="18"/>
                <w:szCs w:val="18"/>
                <w:lang w:bidi="ar"/>
              </w:rPr>
              <w:t>监控录像、历史监测数据、历史告警记录、告警统计分析、值班记录、巡更记录、检修记录、事件处理记录、设备履历、维保记录等</w:t>
            </w:r>
          </w:p>
        </w:tc>
      </w:tr>
    </w:tbl>
    <w:p>
      <w:pPr>
        <w:pStyle w:val="171"/>
        <w:rPr>
          <w:rFonts w:hint="eastAsia"/>
        </w:rPr>
      </w:pPr>
    </w:p>
    <w:p>
      <w:pPr>
        <w:pStyle w:val="171"/>
        <w:rPr>
          <w:rFonts w:hint="eastAsia"/>
        </w:rPr>
      </w:pPr>
      <w:r>
        <w:rPr>
          <w:rFonts w:hint="eastAsia"/>
        </w:rPr>
        <w:t>9</w:t>
      </w:r>
      <w:r>
        <w:t>.3.4</w:t>
      </w:r>
      <w:r>
        <w:rPr>
          <w:rFonts w:hint="eastAsia"/>
        </w:rPr>
        <w:t xml:space="preserve"> 安防与消防管理模型应满足对模型信息、物联采集信息、运维管理信息的可视化查看和快速定位的要求。宜满足摄像头云台控制、摄像头焦距控制、门禁或道闸打开控制、升降柱控制的要求。</w:t>
      </w:r>
    </w:p>
    <w:p>
      <w:pPr>
        <w:pStyle w:val="111"/>
        <w:spacing w:before="156" w:after="156"/>
        <w:rPr>
          <w:rFonts w:hint="eastAsia" w:hAnsi="黑体" w:cs="黑体"/>
        </w:rPr>
      </w:pPr>
      <w:bookmarkStart w:id="195" w:name="_Toc167201576"/>
      <w:bookmarkStart w:id="196" w:name="_Toc168008309"/>
      <w:r>
        <w:rPr>
          <w:rFonts w:hint="eastAsia" w:hAnsi="黑体" w:cs="黑体"/>
        </w:rPr>
        <w:t>9</w:t>
      </w:r>
      <w:r>
        <w:rPr>
          <w:rFonts w:hAnsi="黑体" w:cs="黑体"/>
        </w:rPr>
        <w:t xml:space="preserve">.4 </w:t>
      </w:r>
      <w:r>
        <w:rPr>
          <w:rFonts w:hint="eastAsia" w:hAnsi="黑体" w:cs="黑体"/>
        </w:rPr>
        <w:t>空间与资产管理模型应用</w:t>
      </w:r>
      <w:bookmarkEnd w:id="195"/>
      <w:bookmarkEnd w:id="196"/>
    </w:p>
    <w:p>
      <w:pPr>
        <w:pStyle w:val="171"/>
        <w:rPr>
          <w:rFonts w:hint="eastAsia"/>
        </w:rPr>
      </w:pPr>
      <w:r>
        <w:rPr>
          <w:rFonts w:hint="eastAsia"/>
        </w:rPr>
        <w:t>9</w:t>
      </w:r>
      <w:r>
        <w:t xml:space="preserve">.4.1 </w:t>
      </w:r>
      <w:r>
        <w:rPr>
          <w:rFonts w:hint="eastAsia"/>
        </w:rPr>
        <w:t>空间与资产管理模型的设备设施构件应包含建筑、房间、内装家具、桥架管网。构件尺寸和空间位置应准确。</w:t>
      </w:r>
    </w:p>
    <w:p>
      <w:pPr>
        <w:pStyle w:val="171"/>
        <w:rPr>
          <w:rFonts w:hint="eastAsia"/>
        </w:rPr>
      </w:pPr>
      <w:r>
        <w:rPr>
          <w:rFonts w:hint="eastAsia"/>
        </w:rPr>
        <w:t>9.</w:t>
      </w:r>
      <w:r>
        <w:t>4.2</w:t>
      </w:r>
      <w:r>
        <w:rPr>
          <w:rFonts w:hint="eastAsia"/>
        </w:rPr>
        <w:t xml:space="preserve"> 根据空间与资产管理的不同对象，应选择适合</w:t>
      </w:r>
      <w:r>
        <w:rPr>
          <w:rFonts w:hint="eastAsia" w:ascii="宋体" w:hAnsi="宋体"/>
        </w:rPr>
        <w:t>的设备模型或空间模型作为基础，附加相应的空间与资产数据与信息。空间与资产管理的附加数据与模型对象的对应关系宜符合表22的</w:t>
      </w:r>
      <w:r>
        <w:rPr>
          <w:rFonts w:hint="eastAsia"/>
        </w:rPr>
        <w:t>规定。</w:t>
      </w:r>
    </w:p>
    <w:p>
      <w:pPr>
        <w:pStyle w:val="13"/>
        <w:spacing w:before="156" w:beforeLines="50" w:after="156" w:afterLines="50"/>
        <w:jc w:val="center"/>
        <w:rPr>
          <w:rFonts w:hint="eastAsia" w:ascii="黑体" w:hAnsi="黑体"/>
          <w:kern w:val="0"/>
        </w:rPr>
      </w:pPr>
      <w:bookmarkStart w:id="197" w:name="_Toc174544045"/>
      <w:bookmarkStart w:id="198" w:name="_Toc174544102"/>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22</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空间与资产管理的附加数据与模型对象的对应关系</w:t>
      </w:r>
      <w:bookmarkEnd w:id="197"/>
      <w:bookmarkEnd w:id="198"/>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794"/>
        <w:gridCol w:w="472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附加数据</w:t>
            </w:r>
          </w:p>
        </w:tc>
        <w:tc>
          <w:tcPr>
            <w:tcW w:w="4728"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模型对象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房间的数据</w:t>
            </w:r>
          </w:p>
        </w:tc>
        <w:tc>
          <w:tcPr>
            <w:tcW w:w="4728" w:type="dxa"/>
            <w:tcBorders>
              <w:top w:val="single" w:color="auto" w:sz="8" w:space="0"/>
            </w:tcBorders>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房间的模型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室内区域的数据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室内区域的模型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楼层的数据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楼层的模型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建筑的数据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建筑的模型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家具的数据</w:t>
            </w:r>
          </w:p>
        </w:tc>
        <w:tc>
          <w:tcPr>
            <w:tcW w:w="4728"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家具的模型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tcBorders>
              <w:bottom w:val="single" w:color="auto" w:sz="4"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桥架的数据</w:t>
            </w:r>
          </w:p>
        </w:tc>
        <w:tc>
          <w:tcPr>
            <w:tcW w:w="4728" w:type="dxa"/>
            <w:tcBorders>
              <w:bottom w:val="single" w:color="auto" w:sz="4" w:space="0"/>
            </w:tcBorders>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桥架的模型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94" w:type="dxa"/>
            <w:tcBorders>
              <w:top w:val="single" w:color="auto" w:sz="4"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管网的数据</w:t>
            </w:r>
          </w:p>
        </w:tc>
        <w:tc>
          <w:tcPr>
            <w:tcW w:w="4728" w:type="dxa"/>
            <w:tcBorders>
              <w:top w:val="single" w:color="auto" w:sz="4" w:space="0"/>
              <w:bottom w:val="single" w:color="auto" w:sz="8" w:space="0"/>
            </w:tcBorders>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管网的模型</w:t>
            </w:r>
          </w:p>
        </w:tc>
      </w:tr>
    </w:tbl>
    <w:p>
      <w:pPr>
        <w:pStyle w:val="171"/>
        <w:rPr>
          <w:rFonts w:hint="eastAsia"/>
        </w:rPr>
      </w:pPr>
    </w:p>
    <w:p>
      <w:pPr>
        <w:pStyle w:val="171"/>
        <w:rPr>
          <w:rFonts w:ascii="Times New Roman" w:hAnsi="Times New Roman"/>
          <w:szCs w:val="21"/>
        </w:rPr>
      </w:pPr>
      <w:r>
        <w:rPr>
          <w:rFonts w:hint="eastAsia"/>
        </w:rPr>
        <w:t>9.</w:t>
      </w:r>
      <w:r>
        <w:t>4.3</w:t>
      </w:r>
      <w:r>
        <w:rPr>
          <w:rFonts w:hint="eastAsia"/>
        </w:rPr>
        <w:t xml:space="preserve"> 空间与资产管理</w:t>
      </w:r>
      <w:r>
        <w:t>模型元素及信息宜</w:t>
      </w:r>
      <w:r>
        <w:rPr>
          <w:rFonts w:ascii="宋体" w:hAnsi="宋体"/>
        </w:rPr>
        <w:t>符合表</w:t>
      </w:r>
      <w:r>
        <w:rPr>
          <w:rFonts w:hint="eastAsia" w:ascii="宋体" w:hAnsi="宋体"/>
        </w:rPr>
        <w:t>23</w:t>
      </w:r>
      <w:r>
        <w:rPr>
          <w:rFonts w:ascii="宋体" w:hAnsi="宋体"/>
        </w:rPr>
        <w:t>的</w:t>
      </w:r>
      <w:r>
        <w:t>规定</w:t>
      </w:r>
      <w:r>
        <w:rPr>
          <w:rFonts w:hint="eastAsia"/>
        </w:rPr>
        <w:t>。</w:t>
      </w:r>
    </w:p>
    <w:p>
      <w:pPr>
        <w:pStyle w:val="13"/>
        <w:spacing w:before="156" w:beforeLines="50" w:after="156" w:afterLines="50"/>
        <w:jc w:val="center"/>
        <w:rPr>
          <w:rFonts w:hint="eastAsia" w:ascii="黑体" w:hAnsi="黑体"/>
          <w:kern w:val="0"/>
        </w:rPr>
      </w:pPr>
      <w:bookmarkStart w:id="199" w:name="_Toc174544046"/>
      <w:bookmarkStart w:id="200" w:name="_Toc174544103"/>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23</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空间与资产管理</w:t>
      </w:r>
      <w:r>
        <w:rPr>
          <w:rFonts w:ascii="黑体" w:hAnsi="黑体"/>
          <w:kern w:val="0"/>
          <w:sz w:val="21"/>
          <w:szCs w:val="21"/>
        </w:rPr>
        <w:t>模型元素及信息</w:t>
      </w:r>
      <w:bookmarkEnd w:id="199"/>
      <w:bookmarkEnd w:id="200"/>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049"/>
        <w:gridCol w:w="64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049"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模型元素类别</w:t>
            </w:r>
          </w:p>
        </w:tc>
        <w:tc>
          <w:tcPr>
            <w:tcW w:w="6473"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049"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6473" w:type="dxa"/>
            <w:tcBorders>
              <w:top w:val="single" w:color="auto" w:sz="8" w:space="0"/>
            </w:tcBorders>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深化</w:t>
            </w:r>
            <w:r>
              <w:rPr>
                <w:rFonts w:hint="eastAsia" w:ascii="宋体" w:hAnsi="宋体"/>
                <w:bCs/>
                <w:sz w:val="18"/>
                <w:szCs w:val="18"/>
                <w:lang w:bidi="ar"/>
              </w:rPr>
              <w:t>竣工验收</w:t>
            </w:r>
            <w:r>
              <w:rPr>
                <w:rFonts w:ascii="宋体" w:hAnsi="宋体"/>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17" w:hRule="atLeast"/>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空间与资产模型</w:t>
            </w:r>
            <w:r>
              <w:rPr>
                <w:rFonts w:ascii="宋体" w:hAnsi="宋体"/>
                <w:bCs/>
                <w:sz w:val="18"/>
                <w:szCs w:val="18"/>
                <w:lang w:bidi="ar"/>
              </w:rPr>
              <w:t>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几何信息包括：</w:t>
            </w:r>
            <w:r>
              <w:rPr>
                <w:rFonts w:hint="eastAsia" w:ascii="宋体" w:hAnsi="宋体"/>
                <w:bCs/>
                <w:sz w:val="18"/>
                <w:szCs w:val="18"/>
                <w:lang w:bidi="ar"/>
              </w:rPr>
              <w:t>空间定位、空间占位和几何表达精度</w:t>
            </w:r>
          </w:p>
          <w:p>
            <w:pPr>
              <w:widowControl/>
              <w:spacing w:line="240" w:lineRule="auto"/>
              <w:ind w:firstLine="180" w:firstLineChars="100"/>
              <w:jc w:val="left"/>
              <w:rPr>
                <w:rFonts w:hint="eastAsia" w:ascii="宋体" w:hAnsi="宋体"/>
                <w:bCs/>
                <w:sz w:val="18"/>
                <w:szCs w:val="18"/>
                <w:lang w:bidi="ar"/>
              </w:rPr>
            </w:pPr>
            <w:r>
              <w:rPr>
                <w:rFonts w:ascii="宋体" w:hAnsi="宋体"/>
                <w:bCs/>
                <w:sz w:val="18"/>
                <w:szCs w:val="18"/>
                <w:lang w:bidi="ar"/>
              </w:rPr>
              <w:t>非几何信息包括：</w:t>
            </w:r>
            <w:r>
              <w:rPr>
                <w:rFonts w:hint="eastAsia" w:ascii="宋体" w:hAnsi="宋体"/>
                <w:bCs/>
                <w:sz w:val="18"/>
                <w:szCs w:val="18"/>
                <w:lang w:bidi="ar"/>
              </w:rPr>
              <w:t>空间名称、空间编号、空间参数、空间位置、资产名称、资产编号、资产参数、资产位置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运维管理</w:t>
            </w:r>
            <w:r>
              <w:rPr>
                <w:rFonts w:ascii="宋体" w:hAnsi="宋体"/>
                <w:bCs/>
                <w:sz w:val="18"/>
                <w:szCs w:val="18"/>
                <w:lang w:bidi="ar"/>
              </w:rPr>
              <w:t>信息</w:t>
            </w:r>
          </w:p>
        </w:tc>
        <w:tc>
          <w:tcPr>
            <w:tcW w:w="6473" w:type="dxa"/>
            <w:vAlign w:val="center"/>
          </w:tcPr>
          <w:p>
            <w:pPr>
              <w:widowControl/>
              <w:spacing w:line="240" w:lineRule="auto"/>
              <w:ind w:firstLine="180" w:firstLineChars="100"/>
              <w:jc w:val="left"/>
              <w:rPr>
                <w:rFonts w:hint="eastAsia" w:ascii="宋体" w:hAnsi="宋体"/>
                <w:bCs/>
                <w:sz w:val="18"/>
                <w:szCs w:val="18"/>
                <w:lang w:bidi="ar"/>
              </w:rPr>
            </w:pPr>
            <w:r>
              <w:rPr>
                <w:rFonts w:hint="eastAsia" w:ascii="宋体" w:hAnsi="宋体"/>
                <w:bCs/>
                <w:sz w:val="18"/>
                <w:szCs w:val="18"/>
                <w:lang w:bidi="ar"/>
              </w:rPr>
              <w:t>空间预约、空间</w:t>
            </w:r>
            <w:r>
              <w:rPr>
                <w:rFonts w:ascii="宋体" w:hAnsi="宋体"/>
                <w:bCs/>
                <w:sz w:val="18"/>
                <w:szCs w:val="18"/>
                <w:lang w:bidi="ar"/>
              </w:rPr>
              <w:t>分配、空间使用、空间经营、空间维护、可变空间</w:t>
            </w:r>
            <w:r>
              <w:rPr>
                <w:rFonts w:hint="eastAsia" w:ascii="宋体" w:hAnsi="宋体"/>
                <w:bCs/>
                <w:sz w:val="18"/>
                <w:szCs w:val="18"/>
                <w:lang w:bidi="ar"/>
              </w:rPr>
              <w:t>状态</w:t>
            </w:r>
            <w:r>
              <w:rPr>
                <w:rFonts w:ascii="宋体" w:hAnsi="宋体"/>
                <w:bCs/>
                <w:sz w:val="18"/>
                <w:szCs w:val="18"/>
                <w:lang w:bidi="ar"/>
              </w:rPr>
              <w:t>和空间改造</w:t>
            </w:r>
            <w:r>
              <w:rPr>
                <w:rFonts w:hint="eastAsia" w:ascii="宋体" w:hAnsi="宋体"/>
                <w:bCs/>
                <w:sz w:val="18"/>
                <w:szCs w:val="18"/>
                <w:lang w:bidi="ar"/>
              </w:rPr>
              <w:t>记录等</w:t>
            </w:r>
          </w:p>
        </w:tc>
      </w:tr>
    </w:tbl>
    <w:p>
      <w:pPr>
        <w:pStyle w:val="171"/>
        <w:rPr>
          <w:rFonts w:hint="eastAsia"/>
        </w:rPr>
      </w:pPr>
    </w:p>
    <w:p>
      <w:pPr>
        <w:pStyle w:val="171"/>
        <w:rPr>
          <w:rFonts w:hint="eastAsia"/>
        </w:rPr>
      </w:pPr>
      <w:r>
        <w:rPr>
          <w:rFonts w:hint="eastAsia"/>
        </w:rPr>
        <w:t>9</w:t>
      </w:r>
      <w:r>
        <w:t>.4.4</w:t>
      </w:r>
      <w:r>
        <w:rPr>
          <w:rFonts w:hint="eastAsia"/>
        </w:rPr>
        <w:t xml:space="preserve"> 空间与资产管理模型应满足对可见空间、隐蔽空间进行可视化管理，以及模型信息、运维管理信息的可视化查看和快速定位的要求</w:t>
      </w:r>
      <w:r>
        <w:t>。</w:t>
      </w:r>
    </w:p>
    <w:p>
      <w:pPr>
        <w:pStyle w:val="111"/>
        <w:spacing w:before="156" w:after="156"/>
        <w:rPr>
          <w:rFonts w:ascii="Times New Roman"/>
          <w:szCs w:val="21"/>
        </w:rPr>
      </w:pPr>
      <w:bookmarkStart w:id="201" w:name="_Toc167201577"/>
      <w:bookmarkStart w:id="202" w:name="_Toc168008310"/>
      <w:r>
        <w:rPr>
          <w:rFonts w:hint="eastAsia" w:hAnsi="黑体" w:cs="黑体"/>
        </w:rPr>
        <w:t>9</w:t>
      </w:r>
      <w:r>
        <w:rPr>
          <w:rFonts w:hAnsi="黑体" w:cs="黑体"/>
        </w:rPr>
        <w:t xml:space="preserve">.5 </w:t>
      </w:r>
      <w:r>
        <w:rPr>
          <w:rFonts w:hint="eastAsia" w:hAnsi="黑体" w:cs="黑体"/>
        </w:rPr>
        <w:t>设备设施管理模型应用</w:t>
      </w:r>
      <w:bookmarkEnd w:id="201"/>
      <w:bookmarkEnd w:id="202"/>
    </w:p>
    <w:p>
      <w:pPr>
        <w:pStyle w:val="171"/>
        <w:rPr>
          <w:rFonts w:hint="eastAsia"/>
        </w:rPr>
      </w:pPr>
      <w:r>
        <w:rPr>
          <w:rFonts w:hint="eastAsia"/>
        </w:rPr>
        <w:t>9</w:t>
      </w:r>
      <w:r>
        <w:t xml:space="preserve">.5.1 </w:t>
      </w:r>
      <w:r>
        <w:rPr>
          <w:rFonts w:hint="eastAsia"/>
        </w:rPr>
        <w:t>设备设施管理模型的构件应包含冷热源系统设备、空调系统设备、送排风系统设备、给排水系统设备、高低压配电系统设备、电梯</w:t>
      </w:r>
      <w:r>
        <w:rPr>
          <w:rFonts w:hint="eastAsia" w:ascii="宋体" w:hAnsi="宋体"/>
        </w:rPr>
        <w:t>设备、信息发布系统设备、公共广播系统设备、智能照明系统设备、机房IT设备，以及其他可远程监</w:t>
      </w:r>
      <w:r>
        <w:rPr>
          <w:rFonts w:hint="eastAsia"/>
        </w:rPr>
        <w:t>控的设备设施，构件尺寸应准确，空间位置应准确。</w:t>
      </w:r>
    </w:p>
    <w:p>
      <w:pPr>
        <w:pStyle w:val="171"/>
        <w:rPr>
          <w:rFonts w:hint="eastAsia"/>
        </w:rPr>
      </w:pPr>
      <w:r>
        <w:rPr>
          <w:rFonts w:hint="eastAsia"/>
        </w:rPr>
        <w:t>9.</w:t>
      </w:r>
      <w:r>
        <w:t>5.2</w:t>
      </w:r>
      <w:r>
        <w:rPr>
          <w:rFonts w:hint="eastAsia"/>
        </w:rPr>
        <w:t xml:space="preserve"> 根据设备设施管理的不同对象，应选择适合的设备模型或空间模型作为基础，附加相应的设备设施数据与信息。设备设施管理的附加数据与模型对象的对应关系</w:t>
      </w:r>
      <w:r>
        <w:rPr>
          <w:rFonts w:hint="eastAsia" w:ascii="宋体" w:hAnsi="宋体"/>
        </w:rPr>
        <w:t>宜符合表24的规定</w:t>
      </w:r>
      <w:r>
        <w:rPr>
          <w:rFonts w:hint="eastAsia"/>
        </w:rPr>
        <w:t>。</w:t>
      </w:r>
    </w:p>
    <w:p>
      <w:pPr>
        <w:pStyle w:val="13"/>
        <w:spacing w:before="156" w:beforeLines="50" w:after="156" w:afterLines="50"/>
        <w:jc w:val="center"/>
        <w:rPr>
          <w:rFonts w:hint="eastAsia" w:ascii="黑体" w:hAnsi="黑体"/>
          <w:kern w:val="0"/>
        </w:rPr>
      </w:pPr>
      <w:bookmarkStart w:id="203" w:name="_Toc174544047"/>
      <w:bookmarkStart w:id="204" w:name="_Toc174544104"/>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24</w:t>
      </w:r>
      <w:r>
        <w:rPr>
          <w:rFonts w:ascii="黑体" w:hAnsi="黑体"/>
          <w:sz w:val="21"/>
          <w:szCs w:val="21"/>
        </w:rPr>
        <w:fldChar w:fldCharType="end"/>
      </w:r>
      <w:r>
        <w:rPr>
          <w:rFonts w:ascii="黑体" w:hAnsi="黑体"/>
          <w:kern w:val="0"/>
          <w:sz w:val="21"/>
          <w:szCs w:val="21"/>
        </w:rPr>
        <w:t xml:space="preserve"> </w:t>
      </w:r>
      <w:r>
        <w:rPr>
          <w:rFonts w:hint="eastAsia" w:ascii="黑体" w:hAnsi="黑体"/>
          <w:kern w:val="0"/>
          <w:sz w:val="21"/>
          <w:szCs w:val="21"/>
        </w:rPr>
        <w:t>设备设施管理的附加数据与模型对象的对应关系</w:t>
      </w:r>
      <w:bookmarkEnd w:id="203"/>
      <w:bookmarkEnd w:id="204"/>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501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附加数据</w:t>
            </w:r>
          </w:p>
        </w:tc>
        <w:tc>
          <w:tcPr>
            <w:tcW w:w="5012"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模型对象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冷热源系统数据</w:t>
            </w:r>
          </w:p>
        </w:tc>
        <w:tc>
          <w:tcPr>
            <w:tcW w:w="5012" w:type="dxa"/>
            <w:tcBorders>
              <w:top w:val="single" w:color="auto" w:sz="8" w:space="0"/>
            </w:tcBorders>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冷热源主机、阀门的模型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空调系统数据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空调主机、空调末端、阀门的模型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送排风系统数据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风机、阀门的模型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给排水系统数据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水泵、阀门的模型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高低压配电系统数据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配电柜、配电箱的模型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电梯数据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电梯的模型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信息发布系统数据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终端信息发布屏的模型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公共广播系统数据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终端扬声器的模型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智能照明系统数据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照明灯具的设备模型/照明区域的空间模型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机房IT设备数据</w:t>
            </w:r>
          </w:p>
        </w:tc>
        <w:tc>
          <w:tcPr>
            <w:tcW w:w="5012" w:type="dxa"/>
            <w:vAlign w:val="center"/>
          </w:tcPr>
          <w:p>
            <w:pPr>
              <w:widowControl/>
              <w:spacing w:line="240" w:lineRule="auto"/>
              <w:jc w:val="center"/>
              <w:rPr>
                <w:rFonts w:hint="eastAsia" w:ascii="宋体" w:hAnsi="宋体"/>
                <w:bCs/>
                <w:sz w:val="18"/>
                <w:szCs w:val="18"/>
                <w:lang w:bidi="ar"/>
              </w:rPr>
            </w:pPr>
            <w:r>
              <w:rPr>
                <w:rFonts w:hint="eastAsia" w:ascii="宋体" w:hAnsi="宋体"/>
                <w:bCs/>
                <w:sz w:val="18"/>
                <w:szCs w:val="18"/>
                <w:lang w:bidi="ar"/>
              </w:rPr>
              <w:t>IT机柜的模型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510" w:type="dxa"/>
            <w:vAlign w:val="center"/>
          </w:tcPr>
          <w:p>
            <w:pPr>
              <w:widowControl/>
              <w:spacing w:line="240" w:lineRule="auto"/>
              <w:ind w:firstLine="180" w:firstLineChars="100"/>
              <w:jc w:val="center"/>
              <w:textAlignment w:val="center"/>
              <w:rPr>
                <w:rFonts w:hint="eastAsia" w:ascii="宋体" w:hAnsi="宋体"/>
                <w:bCs/>
                <w:sz w:val="18"/>
                <w:szCs w:val="18"/>
                <w:lang w:bidi="ar"/>
              </w:rPr>
            </w:pPr>
            <w:r>
              <w:rPr>
                <w:rFonts w:hint="eastAsia" w:ascii="宋体" w:hAnsi="宋体"/>
                <w:bCs/>
                <w:sz w:val="18"/>
                <w:szCs w:val="18"/>
                <w:lang w:bidi="ar"/>
              </w:rPr>
              <w:t>其他可远程监控的设备</w:t>
            </w:r>
          </w:p>
        </w:tc>
        <w:tc>
          <w:tcPr>
            <w:tcW w:w="5012" w:type="dxa"/>
            <w:vAlign w:val="center"/>
          </w:tcPr>
          <w:p>
            <w:pPr>
              <w:widowControl/>
              <w:spacing w:line="240" w:lineRule="auto"/>
              <w:ind w:firstLine="180" w:firstLineChars="100"/>
              <w:jc w:val="center"/>
              <w:rPr>
                <w:rFonts w:hint="eastAsia" w:ascii="宋体" w:hAnsi="宋体"/>
                <w:bCs/>
                <w:sz w:val="18"/>
                <w:szCs w:val="18"/>
                <w:lang w:bidi="ar"/>
              </w:rPr>
            </w:pPr>
            <w:r>
              <w:rPr>
                <w:rFonts w:hint="eastAsia" w:ascii="宋体" w:hAnsi="宋体"/>
                <w:bCs/>
                <w:sz w:val="18"/>
                <w:szCs w:val="18"/>
                <w:lang w:bidi="ar"/>
              </w:rPr>
              <w:t>设备主机的模型</w:t>
            </w:r>
          </w:p>
        </w:tc>
      </w:tr>
    </w:tbl>
    <w:p>
      <w:pPr>
        <w:pStyle w:val="171"/>
        <w:rPr>
          <w:rFonts w:hint="eastAsia"/>
        </w:rPr>
      </w:pPr>
    </w:p>
    <w:p>
      <w:pPr>
        <w:pStyle w:val="171"/>
        <w:rPr>
          <w:rFonts w:ascii="Times New Roman" w:hAnsi="Times New Roman"/>
          <w:szCs w:val="21"/>
        </w:rPr>
      </w:pPr>
      <w:r>
        <w:rPr>
          <w:rFonts w:hint="eastAsia"/>
        </w:rPr>
        <w:t>9.</w:t>
      </w:r>
      <w:r>
        <w:t>5.3</w:t>
      </w:r>
      <w:r>
        <w:rPr>
          <w:rFonts w:hint="eastAsia"/>
        </w:rPr>
        <w:t xml:space="preserve"> 设备设施管理</w:t>
      </w:r>
      <w:r>
        <w:t>模型元素及信息</w:t>
      </w:r>
      <w:r>
        <w:rPr>
          <w:rFonts w:hint="eastAsia"/>
        </w:rPr>
        <w:t>应</w:t>
      </w:r>
      <w:r>
        <w:t>符</w:t>
      </w:r>
      <w:r>
        <w:rPr>
          <w:rFonts w:ascii="宋体" w:hAnsi="宋体"/>
        </w:rPr>
        <w:t>合表</w:t>
      </w:r>
      <w:r>
        <w:rPr>
          <w:rFonts w:hint="eastAsia" w:ascii="宋体" w:hAnsi="宋体"/>
        </w:rPr>
        <w:t>25</w:t>
      </w:r>
      <w:r>
        <w:rPr>
          <w:rFonts w:ascii="宋体" w:hAnsi="宋体"/>
        </w:rPr>
        <w:t>的规定</w:t>
      </w:r>
      <w:r>
        <w:rPr>
          <w:rFonts w:hint="eastAsia"/>
        </w:rPr>
        <w:t>。</w:t>
      </w:r>
    </w:p>
    <w:p>
      <w:pPr>
        <w:pStyle w:val="13"/>
        <w:spacing w:before="156" w:beforeLines="50" w:after="156" w:afterLines="50"/>
        <w:jc w:val="center"/>
        <w:rPr>
          <w:rFonts w:hint="eastAsia" w:ascii="黑体" w:hAnsi="黑体"/>
        </w:rPr>
      </w:pPr>
      <w:bookmarkStart w:id="205" w:name="_Toc174544048"/>
      <w:bookmarkStart w:id="206" w:name="_Toc174544105"/>
      <w:r>
        <w:rPr>
          <w:rFonts w:hint="eastAsia" w:ascii="黑体" w:hAnsi="黑体"/>
          <w:sz w:val="21"/>
          <w:szCs w:val="21"/>
        </w:rPr>
        <w:t>表</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 \* ARABIC </w:instrText>
      </w:r>
      <w:r>
        <w:rPr>
          <w:rFonts w:ascii="黑体" w:hAnsi="黑体"/>
          <w:sz w:val="21"/>
          <w:szCs w:val="21"/>
        </w:rPr>
        <w:fldChar w:fldCharType="separate"/>
      </w:r>
      <w:r>
        <w:rPr>
          <w:rFonts w:ascii="黑体" w:hAnsi="黑体"/>
          <w:sz w:val="21"/>
          <w:szCs w:val="21"/>
        </w:rPr>
        <w:t>25</w:t>
      </w:r>
      <w:r>
        <w:rPr>
          <w:rFonts w:ascii="黑体" w:hAnsi="黑体"/>
          <w:sz w:val="21"/>
          <w:szCs w:val="21"/>
        </w:rPr>
        <w:fldChar w:fldCharType="end"/>
      </w:r>
      <w:r>
        <w:rPr>
          <w:rFonts w:ascii="黑体" w:hAnsi="黑体"/>
          <w:sz w:val="21"/>
          <w:szCs w:val="21"/>
        </w:rPr>
        <w:t xml:space="preserve"> </w:t>
      </w:r>
      <w:r>
        <w:rPr>
          <w:rFonts w:hint="eastAsia" w:ascii="黑体" w:hAnsi="黑体"/>
          <w:sz w:val="21"/>
          <w:szCs w:val="21"/>
        </w:rPr>
        <w:t>设备设施管理</w:t>
      </w:r>
      <w:r>
        <w:rPr>
          <w:rFonts w:ascii="黑体" w:hAnsi="黑体"/>
          <w:sz w:val="21"/>
          <w:szCs w:val="21"/>
        </w:rPr>
        <w:t>模型元素及信息</w:t>
      </w:r>
      <w:bookmarkEnd w:id="205"/>
      <w:bookmarkEnd w:id="206"/>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049"/>
        <w:gridCol w:w="64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2049" w:type="dxa"/>
            <w:tcBorders>
              <w:top w:val="single" w:color="auto" w:sz="8" w:space="0"/>
              <w:bottom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模型元素类别</w:t>
            </w:r>
          </w:p>
        </w:tc>
        <w:tc>
          <w:tcPr>
            <w:tcW w:w="6473" w:type="dxa"/>
            <w:tcBorders>
              <w:top w:val="single" w:color="auto" w:sz="8" w:space="0"/>
              <w:bottom w:val="single" w:color="auto" w:sz="8" w:space="0"/>
            </w:tcBorders>
            <w:vAlign w:val="center"/>
          </w:tcPr>
          <w:p>
            <w:pPr>
              <w:widowControl/>
              <w:spacing w:line="240" w:lineRule="auto"/>
              <w:jc w:val="center"/>
              <w:textAlignment w:val="center"/>
              <w:rPr>
                <w:rFonts w:ascii="Times New Roman" w:hAnsi="Times New Roman"/>
                <w:bCs/>
                <w:sz w:val="18"/>
                <w:szCs w:val="18"/>
              </w:rPr>
            </w:pPr>
            <w:r>
              <w:rPr>
                <w:rFonts w:ascii="Times New Roman" w:hAnsi="Times New Roman"/>
                <w:bCs/>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049" w:type="dxa"/>
            <w:tcBorders>
              <w:top w:val="single" w:color="auto" w:sz="8" w:space="0"/>
            </w:tcBorders>
            <w:vAlign w:val="center"/>
          </w:tcPr>
          <w:p>
            <w:pPr>
              <w:widowControl/>
              <w:spacing w:line="240" w:lineRule="auto"/>
              <w:jc w:val="center"/>
              <w:textAlignment w:val="center"/>
              <w:rPr>
                <w:rFonts w:hint="eastAsia" w:ascii="宋体" w:hAnsi="宋体"/>
                <w:bCs/>
                <w:sz w:val="18"/>
                <w:szCs w:val="18"/>
                <w:lang w:bidi="ar"/>
              </w:rPr>
            </w:pPr>
            <w:r>
              <w:rPr>
                <w:rFonts w:ascii="宋体" w:hAnsi="宋体"/>
                <w:bCs/>
                <w:sz w:val="18"/>
                <w:szCs w:val="18"/>
                <w:lang w:bidi="ar"/>
              </w:rPr>
              <w:t>上游模型</w:t>
            </w:r>
          </w:p>
        </w:tc>
        <w:tc>
          <w:tcPr>
            <w:tcW w:w="6473" w:type="dxa"/>
            <w:tcBorders>
              <w:top w:val="single" w:color="auto" w:sz="8" w:space="0"/>
            </w:tcBorders>
            <w:vAlign w:val="center"/>
          </w:tcPr>
          <w:p>
            <w:pPr>
              <w:widowControl/>
              <w:spacing w:line="240" w:lineRule="auto"/>
              <w:ind w:firstLine="180" w:firstLineChars="100"/>
              <w:jc w:val="left"/>
              <w:rPr>
                <w:rFonts w:ascii="Times New Roman" w:hAnsi="Times New Roman"/>
                <w:sz w:val="18"/>
                <w:szCs w:val="18"/>
                <w:lang w:bidi="ar"/>
              </w:rPr>
            </w:pPr>
            <w:r>
              <w:rPr>
                <w:rFonts w:ascii="Times New Roman" w:hAnsi="Times New Roman"/>
                <w:sz w:val="18"/>
                <w:szCs w:val="18"/>
                <w:lang w:bidi="ar"/>
              </w:rPr>
              <w:t>深化</w:t>
            </w:r>
            <w:r>
              <w:rPr>
                <w:rFonts w:hint="eastAsia" w:ascii="Times New Roman" w:hAnsi="Times New Roman"/>
                <w:sz w:val="18"/>
                <w:szCs w:val="18"/>
                <w:lang w:bidi="ar"/>
              </w:rPr>
              <w:t>竣工验收</w:t>
            </w:r>
            <w:r>
              <w:rPr>
                <w:rFonts w:ascii="Times New Roman" w:hAnsi="Times New Roman"/>
                <w:sz w:val="18"/>
                <w:szCs w:val="18"/>
                <w:lang w:bidi="ar"/>
              </w:rPr>
              <w:t>模型元素及信息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安防与消防设备设施模型</w:t>
            </w:r>
            <w:r>
              <w:rPr>
                <w:rFonts w:ascii="宋体" w:hAnsi="宋体"/>
                <w:bCs/>
                <w:sz w:val="18"/>
                <w:szCs w:val="18"/>
                <w:lang w:bidi="ar"/>
              </w:rPr>
              <w:t>信息</w:t>
            </w:r>
          </w:p>
        </w:tc>
        <w:tc>
          <w:tcPr>
            <w:tcW w:w="6473" w:type="dxa"/>
            <w:vAlign w:val="center"/>
          </w:tcPr>
          <w:p>
            <w:pPr>
              <w:widowControl/>
              <w:spacing w:line="240" w:lineRule="auto"/>
              <w:ind w:firstLine="180" w:firstLineChars="100"/>
              <w:jc w:val="left"/>
              <w:rPr>
                <w:rFonts w:ascii="Times New Roman" w:hAnsi="Times New Roman"/>
                <w:sz w:val="18"/>
                <w:szCs w:val="18"/>
                <w:lang w:bidi="ar"/>
              </w:rPr>
            </w:pPr>
            <w:r>
              <w:rPr>
                <w:rFonts w:ascii="Times New Roman" w:hAnsi="Times New Roman"/>
                <w:sz w:val="18"/>
                <w:szCs w:val="18"/>
                <w:lang w:bidi="ar"/>
              </w:rPr>
              <w:t>几何信息包括：</w:t>
            </w:r>
            <w:r>
              <w:rPr>
                <w:rFonts w:hint="eastAsia" w:ascii="Times New Roman" w:hAnsi="Times New Roman"/>
                <w:sz w:val="18"/>
                <w:szCs w:val="18"/>
                <w:lang w:bidi="ar"/>
              </w:rPr>
              <w:t>设备尺寸、空间</w:t>
            </w:r>
            <w:r>
              <w:rPr>
                <w:rFonts w:ascii="Times New Roman" w:hAnsi="Times New Roman"/>
                <w:sz w:val="18"/>
                <w:szCs w:val="18"/>
                <w:lang w:bidi="ar"/>
              </w:rPr>
              <w:t>位置等</w:t>
            </w:r>
          </w:p>
          <w:p>
            <w:pPr>
              <w:widowControl/>
              <w:spacing w:line="240" w:lineRule="auto"/>
              <w:ind w:firstLine="180" w:firstLineChars="100"/>
              <w:jc w:val="left"/>
              <w:rPr>
                <w:rFonts w:ascii="Times New Roman" w:hAnsi="Times New Roman"/>
                <w:sz w:val="18"/>
                <w:szCs w:val="18"/>
                <w:lang w:bidi="ar"/>
              </w:rPr>
            </w:pPr>
            <w:r>
              <w:rPr>
                <w:rFonts w:ascii="Times New Roman" w:hAnsi="Times New Roman"/>
                <w:sz w:val="18"/>
                <w:szCs w:val="18"/>
                <w:lang w:bidi="ar"/>
              </w:rPr>
              <w:t>非几何信息包括：</w:t>
            </w:r>
            <w:r>
              <w:rPr>
                <w:rFonts w:hint="eastAsia" w:ascii="Times New Roman" w:hAnsi="Times New Roman"/>
                <w:sz w:val="18"/>
                <w:szCs w:val="18"/>
              </w:rPr>
              <w:t>设备名称、设备编号、设备技术参数、设备位置、供应商信息、采购日期、维保期信息等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物联采集信息</w:t>
            </w:r>
          </w:p>
        </w:tc>
        <w:tc>
          <w:tcPr>
            <w:tcW w:w="6473" w:type="dxa"/>
            <w:vAlign w:val="center"/>
          </w:tcPr>
          <w:p>
            <w:pPr>
              <w:widowControl/>
              <w:spacing w:line="240" w:lineRule="auto"/>
              <w:ind w:firstLine="180" w:firstLineChars="100"/>
              <w:jc w:val="left"/>
              <w:rPr>
                <w:rFonts w:ascii="Times New Roman" w:hAnsi="Times New Roman"/>
                <w:sz w:val="18"/>
                <w:szCs w:val="18"/>
                <w:lang w:bidi="ar"/>
              </w:rPr>
            </w:pPr>
            <w:r>
              <w:rPr>
                <w:rFonts w:hint="eastAsia" w:ascii="Times New Roman" w:hAnsi="Times New Roman"/>
                <w:sz w:val="18"/>
                <w:szCs w:val="18"/>
                <w:lang w:bidi="ar"/>
              </w:rPr>
              <w:t>实时监测数据、</w:t>
            </w:r>
            <w:r>
              <w:rPr>
                <w:rFonts w:hint="eastAsia" w:ascii="宋体" w:cs="宋体"/>
                <w:sz w:val="18"/>
                <w:szCs w:val="18"/>
              </w:rPr>
              <w:t>报警信息、故障信息、运行状态</w:t>
            </w:r>
            <w:r>
              <w:rPr>
                <w:rFonts w:hint="eastAsia" w:ascii="Times New Roman" w:hAnsi="Times New Roman"/>
                <w:sz w:val="18"/>
                <w:szCs w:val="18"/>
                <w:lang w:bidi="ar"/>
              </w:rPr>
              <w:t>，以及远程控制等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7" w:hRule="atLeast"/>
          <w:jc w:val="center"/>
        </w:trPr>
        <w:tc>
          <w:tcPr>
            <w:tcW w:w="2049" w:type="dxa"/>
            <w:vAlign w:val="center"/>
          </w:tcPr>
          <w:p>
            <w:pPr>
              <w:widowControl/>
              <w:spacing w:line="240" w:lineRule="auto"/>
              <w:jc w:val="center"/>
              <w:textAlignment w:val="center"/>
              <w:rPr>
                <w:rFonts w:hint="eastAsia" w:ascii="宋体" w:hAnsi="宋体"/>
                <w:bCs/>
                <w:sz w:val="18"/>
                <w:szCs w:val="18"/>
                <w:lang w:bidi="ar"/>
              </w:rPr>
            </w:pPr>
            <w:r>
              <w:rPr>
                <w:rFonts w:hint="eastAsia" w:ascii="宋体" w:hAnsi="宋体"/>
                <w:bCs/>
                <w:sz w:val="18"/>
                <w:szCs w:val="18"/>
                <w:lang w:bidi="ar"/>
              </w:rPr>
              <w:t>运维管理</w:t>
            </w:r>
            <w:r>
              <w:rPr>
                <w:rFonts w:ascii="宋体" w:hAnsi="宋体"/>
                <w:bCs/>
                <w:sz w:val="18"/>
                <w:szCs w:val="18"/>
                <w:lang w:bidi="ar"/>
              </w:rPr>
              <w:t>信息</w:t>
            </w:r>
          </w:p>
        </w:tc>
        <w:tc>
          <w:tcPr>
            <w:tcW w:w="6473" w:type="dxa"/>
            <w:vAlign w:val="center"/>
          </w:tcPr>
          <w:p>
            <w:pPr>
              <w:widowControl/>
              <w:spacing w:line="240" w:lineRule="auto"/>
              <w:ind w:firstLine="180" w:firstLineChars="100"/>
              <w:jc w:val="left"/>
              <w:rPr>
                <w:rFonts w:ascii="Times New Roman" w:hAnsi="Times New Roman"/>
                <w:sz w:val="18"/>
                <w:szCs w:val="18"/>
                <w:lang w:bidi="ar"/>
              </w:rPr>
            </w:pPr>
            <w:r>
              <w:rPr>
                <w:rFonts w:hint="eastAsia" w:ascii="Times New Roman" w:hAnsi="Times New Roman"/>
                <w:sz w:val="18"/>
                <w:szCs w:val="18"/>
              </w:rPr>
              <w:t>历史监测数据、历史告警记录、统计分析、巡检记录、检修记录、事件处理记录、设备履历、维保记录等</w:t>
            </w:r>
          </w:p>
        </w:tc>
      </w:tr>
    </w:tbl>
    <w:p>
      <w:pPr>
        <w:pStyle w:val="171"/>
        <w:rPr>
          <w:rFonts w:hint="eastAsia"/>
        </w:rPr>
      </w:pPr>
    </w:p>
    <w:p>
      <w:pPr>
        <w:pStyle w:val="171"/>
        <w:rPr>
          <w:rFonts w:hint="eastAsia"/>
        </w:rPr>
      </w:pPr>
      <w:r>
        <w:rPr>
          <w:rFonts w:hint="eastAsia"/>
        </w:rPr>
        <w:t>9</w:t>
      </w:r>
      <w:r>
        <w:t>.5.4</w:t>
      </w:r>
      <w:r>
        <w:rPr>
          <w:rFonts w:hint="eastAsia"/>
        </w:rPr>
        <w:t xml:space="preserve"> 设备设施管理模型应满足</w:t>
      </w:r>
      <w:r>
        <w:rPr>
          <w:rFonts w:hint="eastAsia" w:ascii="宋体" w:hAnsi="宋体"/>
        </w:rPr>
        <w:t>对模型信息、物联采集信息、运维管理信息的可视化查看和快速定位的要求。宜满足设备设施远程控</w:t>
      </w:r>
      <w:r>
        <w:rPr>
          <w:rFonts w:hint="eastAsia"/>
        </w:rPr>
        <w:t>制的要求。</w:t>
      </w:r>
    </w:p>
    <w:p>
      <w:pPr>
        <w:pStyle w:val="62"/>
        <w:ind w:firstLine="0" w:firstLineChars="0"/>
      </w:pPr>
    </w:p>
    <w:p>
      <w:pPr>
        <w:pStyle w:val="62"/>
        <w:ind w:firstLine="420"/>
        <w:sectPr>
          <w:pgSz w:w="11906" w:h="16838"/>
          <w:pgMar w:top="1418" w:right="1134" w:bottom="1134" w:left="1418" w:header="1418" w:footer="1134" w:gutter="284"/>
          <w:pgNumType w:start="1"/>
          <w:cols w:space="425" w:num="1"/>
          <w:formProt w:val="0"/>
          <w:docGrid w:type="lines" w:linePitch="312" w:charSpace="0"/>
        </w:sectPr>
      </w:pPr>
    </w:p>
    <w:bookmarkEnd w:id="28"/>
    <w:p>
      <w:pPr>
        <w:pStyle w:val="204"/>
        <w:rPr>
          <w:rFonts w:hint="eastAsia"/>
        </w:rPr>
      </w:pPr>
      <w:bookmarkStart w:id="207" w:name="BookMark5"/>
    </w:p>
    <w:p>
      <w:pPr>
        <w:pStyle w:val="205"/>
      </w:pPr>
    </w:p>
    <w:p>
      <w:pPr>
        <w:pStyle w:val="82"/>
        <w:spacing w:before="78" w:after="156"/>
      </w:pPr>
      <w:r>
        <w:br w:type="textWrapping"/>
      </w:r>
      <w:bookmarkStart w:id="208" w:name="_Toc168008311"/>
      <w:r>
        <w:rPr>
          <w:rFonts w:hint="eastAsia"/>
        </w:rPr>
        <w:t>（规范性）</w:t>
      </w:r>
      <w:r>
        <w:br w:type="textWrapping"/>
      </w:r>
      <w:r>
        <w:t>结构基础（砼结构）模型精细度表达</w:t>
      </w:r>
      <w:bookmarkEnd w:id="208"/>
    </w:p>
    <w:p>
      <w:pPr>
        <w:pStyle w:val="171"/>
        <w:rPr>
          <w:rFonts w:hint="eastAsia" w:ascii="宋体" w:hAnsi="宋体"/>
        </w:rPr>
      </w:pPr>
      <w:r>
        <w:rPr>
          <w:rFonts w:hint="eastAsia" w:ascii="宋体" w:hAnsi="宋体"/>
        </w:rPr>
        <w:t>A</w:t>
      </w:r>
      <w:r>
        <w:rPr>
          <w:rFonts w:ascii="宋体" w:hAnsi="宋体"/>
        </w:rPr>
        <w:t xml:space="preserve">.0.1 </w:t>
      </w:r>
      <w:r>
        <w:rPr>
          <w:rFonts w:hint="eastAsia" w:ascii="宋体" w:hAnsi="宋体"/>
        </w:rPr>
        <w:t>结构基础（砼结构）L</w:t>
      </w:r>
      <w:r>
        <w:rPr>
          <w:rFonts w:ascii="宋体" w:hAnsi="宋体"/>
        </w:rPr>
        <w:t>OD 1.0</w:t>
      </w:r>
      <w:r>
        <w:rPr>
          <w:rFonts w:hint="eastAsia" w:ascii="宋体" w:hAnsi="宋体"/>
        </w:rPr>
        <w:t>模型精细度表达应符合表A</w:t>
      </w:r>
      <w:r>
        <w:rPr>
          <w:rFonts w:ascii="宋体" w:hAnsi="宋体"/>
        </w:rPr>
        <w:t>.1</w:t>
      </w:r>
      <w:r>
        <w:rPr>
          <w:rFonts w:hint="eastAsia" w:ascii="宋体" w:hAnsi="宋体"/>
        </w:rPr>
        <w:t>的规定。</w:t>
      </w:r>
    </w:p>
    <w:p>
      <w:pPr>
        <w:pStyle w:val="13"/>
        <w:spacing w:before="156" w:beforeLines="50" w:after="156" w:afterLines="50"/>
        <w:jc w:val="center"/>
        <w:rPr>
          <w:rFonts w:hint="eastAsia" w:ascii="黑体" w:hAnsi="黑体"/>
          <w:kern w:val="0"/>
        </w:rPr>
      </w:pPr>
      <w:bookmarkStart w:id="209" w:name="_Toc174544049"/>
      <w:bookmarkStart w:id="210" w:name="_Toc174544106"/>
      <w:r>
        <w:rPr>
          <w:rFonts w:hint="eastAsia" w:ascii="黑体" w:hAnsi="黑体"/>
          <w:sz w:val="21"/>
          <w:szCs w:val="21"/>
        </w:rPr>
        <w:t>表</w:t>
      </w:r>
      <w:r>
        <w:rPr>
          <w:rFonts w:ascii="黑体" w:hAnsi="黑体"/>
          <w:sz w:val="21"/>
          <w:szCs w:val="21"/>
        </w:rPr>
        <w:t>A.</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A. \* ARABIC </w:instrText>
      </w:r>
      <w:r>
        <w:rPr>
          <w:rFonts w:ascii="黑体" w:hAnsi="黑体"/>
          <w:sz w:val="21"/>
          <w:szCs w:val="21"/>
        </w:rPr>
        <w:fldChar w:fldCharType="separate"/>
      </w:r>
      <w:r>
        <w:rPr>
          <w:rFonts w:ascii="黑体" w:hAnsi="黑体"/>
          <w:sz w:val="21"/>
          <w:szCs w:val="21"/>
        </w:rPr>
        <w:t>1</w:t>
      </w:r>
      <w:r>
        <w:rPr>
          <w:rFonts w:ascii="黑体" w:hAnsi="黑体"/>
          <w:sz w:val="21"/>
          <w:szCs w:val="21"/>
        </w:rPr>
        <w:fldChar w:fldCharType="end"/>
      </w:r>
      <w:r>
        <w:rPr>
          <w:rFonts w:ascii="黑体" w:hAnsi="黑体"/>
          <w:kern w:val="0"/>
          <w:sz w:val="21"/>
          <w:szCs w:val="21"/>
        </w:rPr>
        <w:t xml:space="preserve"> 结构基础</w:t>
      </w:r>
      <w:r>
        <w:rPr>
          <w:rFonts w:hint="eastAsia" w:ascii="黑体" w:hAnsi="黑体"/>
          <w:kern w:val="0"/>
          <w:sz w:val="21"/>
          <w:szCs w:val="21"/>
        </w:rPr>
        <w:t>（砼结构）</w:t>
      </w:r>
      <w:r>
        <w:rPr>
          <w:rFonts w:ascii="黑体" w:hAnsi="黑体"/>
          <w:kern w:val="0"/>
          <w:sz w:val="21"/>
          <w:szCs w:val="21"/>
        </w:rPr>
        <w:t>LOD 1.0</w:t>
      </w:r>
      <w:r>
        <w:rPr>
          <w:rFonts w:hint="eastAsia" w:ascii="黑体" w:hAnsi="黑体"/>
          <w:kern w:val="0"/>
          <w:sz w:val="21"/>
          <w:szCs w:val="21"/>
        </w:rPr>
        <w:t>模型精细度表达</w:t>
      </w:r>
      <w:bookmarkEnd w:id="209"/>
      <w:bookmarkEnd w:id="210"/>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3"/>
        <w:gridCol w:w="88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6" w:hRule="atLeast"/>
        </w:trPr>
        <w:tc>
          <w:tcPr>
            <w:tcW w:w="424"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46" w:type="dxa"/>
          </w:tcPr>
          <w:p>
            <w:pPr>
              <w:pStyle w:val="62"/>
              <w:ind w:firstLine="0" w:firstLineChars="0"/>
            </w:pPr>
            <w:r>
              <w:drawing>
                <wp:anchor distT="0" distB="0" distL="114300" distR="114300" simplePos="0" relativeHeight="251660288" behindDoc="0" locked="0" layoutInCell="1" allowOverlap="1">
                  <wp:simplePos x="0" y="0"/>
                  <wp:positionH relativeFrom="column">
                    <wp:posOffset>1569720</wp:posOffset>
                  </wp:positionH>
                  <wp:positionV relativeFrom="paragraph">
                    <wp:posOffset>487045</wp:posOffset>
                  </wp:positionV>
                  <wp:extent cx="1668780" cy="1013460"/>
                  <wp:effectExtent l="0" t="0" r="7620" b="0"/>
                  <wp:wrapNone/>
                  <wp:docPr id="96509941"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09941" name="图片 9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668780" cy="1013460"/>
                          </a:xfrm>
                          <a:prstGeom prst="rect">
                            <a:avLst/>
                          </a:prstGeom>
                          <a:noFill/>
                        </pic:spPr>
                      </pic:pic>
                    </a:graphicData>
                  </a:graphic>
                </wp:anchor>
              </w:drawing>
            </w:r>
            <w:r>
              <w:drawing>
                <wp:anchor distT="0" distB="0" distL="114300" distR="114300" simplePos="0" relativeHeight="251659264" behindDoc="1" locked="0" layoutInCell="1" allowOverlap="1">
                  <wp:simplePos x="0" y="0"/>
                  <wp:positionH relativeFrom="column">
                    <wp:posOffset>-65405</wp:posOffset>
                  </wp:positionH>
                  <wp:positionV relativeFrom="paragraph">
                    <wp:posOffset>593090</wp:posOffset>
                  </wp:positionV>
                  <wp:extent cx="5520690" cy="3787775"/>
                  <wp:effectExtent l="0" t="0" r="3810" b="3175"/>
                  <wp:wrapTight wrapText="bothSides">
                    <wp:wrapPolygon>
                      <wp:start x="0" y="0"/>
                      <wp:lineTo x="0" y="21509"/>
                      <wp:lineTo x="21540" y="21509"/>
                      <wp:lineTo x="21540" y="0"/>
                      <wp:lineTo x="0" y="0"/>
                    </wp:wrapPolygon>
                  </wp:wrapTight>
                  <wp:docPr id="552671878" name="图片 98" descr="C:\Users\mashaoting\Documents\WeChat Files\Yameny\FileStorage\Temp\16820604019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71878" name="图片 98" descr="C:\Users\mashaoting\Documents\WeChat Files\Yameny\FileStorage\Temp\1682060401928.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520690" cy="3787775"/>
                          </a:xfrm>
                          <a:prstGeom prst="rect">
                            <a:avLst/>
                          </a:prstGeom>
                          <a:noFill/>
                          <a:ln>
                            <a:noFill/>
                          </a:ln>
                        </pic:spPr>
                      </pic:pic>
                    </a:graphicData>
                  </a:graphic>
                </wp:anchor>
              </w:drawing>
            </w:r>
            <w:r>
              <w:drawing>
                <wp:anchor distT="0" distB="0" distL="114300" distR="114300" simplePos="0" relativeHeight="251662336" behindDoc="0" locked="0" layoutInCell="1" allowOverlap="1">
                  <wp:simplePos x="0" y="0"/>
                  <wp:positionH relativeFrom="column">
                    <wp:posOffset>3681095</wp:posOffset>
                  </wp:positionH>
                  <wp:positionV relativeFrom="paragraph">
                    <wp:posOffset>2539365</wp:posOffset>
                  </wp:positionV>
                  <wp:extent cx="1760220" cy="1264920"/>
                  <wp:effectExtent l="0" t="0" r="0" b="0"/>
                  <wp:wrapNone/>
                  <wp:docPr id="165793414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934149" name="图片 10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60220" cy="1264920"/>
                          </a:xfrm>
                          <a:prstGeom prst="rect">
                            <a:avLst/>
                          </a:prstGeom>
                          <a:noFill/>
                        </pic:spPr>
                      </pic:pic>
                    </a:graphicData>
                  </a:graphic>
                </wp:anchor>
              </w:drawing>
            </w:r>
            <w:r>
              <w:drawing>
                <wp:anchor distT="0" distB="0" distL="114300" distR="114300" simplePos="0" relativeHeight="251661312" behindDoc="0" locked="0" layoutInCell="1" allowOverlap="1">
                  <wp:simplePos x="0" y="0"/>
                  <wp:positionH relativeFrom="column">
                    <wp:posOffset>12065</wp:posOffset>
                  </wp:positionH>
                  <wp:positionV relativeFrom="paragraph">
                    <wp:posOffset>1913255</wp:posOffset>
                  </wp:positionV>
                  <wp:extent cx="1798320" cy="1653540"/>
                  <wp:effectExtent l="0" t="0" r="0" b="0"/>
                  <wp:wrapNone/>
                  <wp:docPr id="46823874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38746" name="图片 10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98320" cy="1653540"/>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1" w:hRule="atLeast"/>
        </w:trPr>
        <w:tc>
          <w:tcPr>
            <w:tcW w:w="424" w:type="dxa"/>
            <w:vAlign w:val="center"/>
          </w:tcPr>
          <w:p>
            <w:pPr>
              <w:pStyle w:val="62"/>
              <w:ind w:firstLine="0" w:firstLineChars="0"/>
              <w:jc w:val="center"/>
              <w:rPr>
                <w:rFonts w:hint="eastAsia" w:hAnsi="宋体"/>
                <w:sz w:val="18"/>
                <w:szCs w:val="18"/>
              </w:rPr>
            </w:pPr>
            <w:r>
              <w:rPr>
                <w:rFonts w:hint="eastAsia" w:hAnsi="宋体"/>
                <w:sz w:val="18"/>
                <w:szCs w:val="18"/>
              </w:rPr>
              <w:t>说</w:t>
            </w:r>
          </w:p>
          <w:p>
            <w:pPr>
              <w:pStyle w:val="62"/>
              <w:ind w:firstLine="0" w:firstLineChars="0"/>
              <w:jc w:val="center"/>
            </w:pPr>
            <w:r>
              <w:rPr>
                <w:rFonts w:hint="eastAsia" w:hAnsi="宋体"/>
                <w:sz w:val="18"/>
                <w:szCs w:val="18"/>
              </w:rPr>
              <w:t>明</w:t>
            </w:r>
          </w:p>
        </w:tc>
        <w:tc>
          <w:tcPr>
            <w:tcW w:w="9146" w:type="dxa"/>
            <w:vAlign w:val="center"/>
          </w:tcPr>
          <w:p>
            <w:pPr>
              <w:pStyle w:val="62"/>
              <w:ind w:firstLine="180" w:firstLineChars="100"/>
              <w:rPr>
                <w:sz w:val="18"/>
                <w:szCs w:val="18"/>
              </w:rPr>
            </w:pPr>
            <w:r>
              <w:rPr>
                <w:rFonts w:hint="eastAsia"/>
                <w:sz w:val="18"/>
                <w:szCs w:val="18"/>
              </w:rPr>
              <w:t>相关构件由建筑专业建立</w:t>
            </w:r>
          </w:p>
          <w:p>
            <w:pPr>
              <w:pStyle w:val="62"/>
              <w:ind w:firstLine="180" w:firstLineChars="100"/>
              <w:rPr>
                <w:sz w:val="18"/>
                <w:szCs w:val="18"/>
              </w:rPr>
            </w:pPr>
            <w:r>
              <w:rPr>
                <w:rFonts w:hint="eastAsia"/>
                <w:sz w:val="18"/>
                <w:szCs w:val="18"/>
              </w:rPr>
              <w:t>该精细度示意几何数据</w:t>
            </w:r>
          </w:p>
          <w:p>
            <w:pPr>
              <w:pStyle w:val="62"/>
              <w:ind w:firstLine="180" w:firstLineChars="100"/>
            </w:pPr>
            <w:r>
              <w:rPr>
                <w:rFonts w:hint="eastAsia"/>
                <w:sz w:val="18"/>
                <w:szCs w:val="18"/>
              </w:rPr>
              <w:t>例如结构基础应示意长、宽、高等简单几何数据</w:t>
            </w:r>
          </w:p>
        </w:tc>
      </w:tr>
    </w:tbl>
    <w:p>
      <w:pPr>
        <w:tabs>
          <w:tab w:val="left" w:pos="1102"/>
          <w:tab w:val="left" w:pos="4345"/>
          <w:tab w:val="left" w:pos="4783"/>
        </w:tabs>
        <w:spacing w:line="500" w:lineRule="exact"/>
        <w:rPr>
          <w:rFonts w:hint="eastAsia" w:ascii="宋体" w:hAnsi="宋体"/>
        </w:rPr>
        <w:sectPr>
          <w:pgSz w:w="11906" w:h="16838"/>
          <w:pgMar w:top="1418" w:right="1134" w:bottom="1134" w:left="1418" w:header="1418" w:footer="1134" w:gutter="284"/>
          <w:cols w:space="425" w:num="1"/>
          <w:formProt w:val="0"/>
          <w:docGrid w:type="lines" w:linePitch="312" w:charSpace="0"/>
        </w:sectPr>
      </w:pPr>
    </w:p>
    <w:p>
      <w:pPr>
        <w:pStyle w:val="171"/>
        <w:rPr>
          <w:rFonts w:hint="eastAsia"/>
        </w:rPr>
      </w:pPr>
      <w:r>
        <w:rPr>
          <w:rFonts w:hint="eastAsia" w:ascii="宋体" w:hAnsi="宋体"/>
        </w:rPr>
        <w:t>A.0.2 结构基础（砼结构）LOD 2.0模型精细度表达应符合表A.2的规定。</w:t>
      </w:r>
    </w:p>
    <w:p>
      <w:pPr>
        <w:pStyle w:val="13"/>
        <w:spacing w:before="156" w:beforeLines="50" w:after="156" w:afterLines="50"/>
        <w:jc w:val="center"/>
        <w:rPr>
          <w:rFonts w:hint="eastAsia" w:ascii="黑体" w:hAnsi="黑体"/>
          <w:kern w:val="0"/>
        </w:rPr>
      </w:pPr>
      <w:bookmarkStart w:id="211" w:name="_Toc174544050"/>
      <w:bookmarkStart w:id="212" w:name="_Toc174544107"/>
      <w:r>
        <w:rPr>
          <w:rFonts w:hint="eastAsia" w:ascii="黑体" w:hAnsi="黑体"/>
          <w:sz w:val="21"/>
          <w:szCs w:val="21"/>
        </w:rPr>
        <w:t>表</w:t>
      </w:r>
      <w:r>
        <w:rPr>
          <w:rFonts w:ascii="黑体" w:hAnsi="黑体"/>
          <w:sz w:val="21"/>
          <w:szCs w:val="21"/>
        </w:rPr>
        <w:t>A.</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A. \* ARABIC </w:instrText>
      </w:r>
      <w:r>
        <w:rPr>
          <w:rFonts w:ascii="黑体" w:hAnsi="黑体"/>
          <w:sz w:val="21"/>
          <w:szCs w:val="21"/>
        </w:rPr>
        <w:fldChar w:fldCharType="separate"/>
      </w:r>
      <w:r>
        <w:rPr>
          <w:rFonts w:ascii="黑体" w:hAnsi="黑体"/>
          <w:sz w:val="21"/>
          <w:szCs w:val="21"/>
        </w:rPr>
        <w:t>2</w:t>
      </w:r>
      <w:r>
        <w:rPr>
          <w:rFonts w:ascii="黑体" w:hAnsi="黑体"/>
          <w:sz w:val="21"/>
          <w:szCs w:val="21"/>
        </w:rPr>
        <w:fldChar w:fldCharType="end"/>
      </w:r>
      <w:r>
        <w:rPr>
          <w:rFonts w:ascii="黑体" w:hAnsi="黑体"/>
          <w:sz w:val="21"/>
          <w:szCs w:val="21"/>
        </w:rPr>
        <w:t xml:space="preserve"> </w:t>
      </w:r>
      <w:r>
        <w:rPr>
          <w:rFonts w:hint="eastAsia" w:ascii="黑体" w:hAnsi="黑体"/>
          <w:kern w:val="0"/>
          <w:sz w:val="21"/>
          <w:szCs w:val="21"/>
        </w:rPr>
        <w:t>结构基础（砼结构）</w:t>
      </w:r>
      <w:r>
        <w:rPr>
          <w:rFonts w:ascii="黑体" w:hAnsi="黑体"/>
          <w:kern w:val="0"/>
          <w:sz w:val="21"/>
          <w:szCs w:val="21"/>
        </w:rPr>
        <w:t>LOD 2.0模型精细度表达</w:t>
      </w:r>
      <w:bookmarkEnd w:id="211"/>
      <w:bookmarkEnd w:id="212"/>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5"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666432" behindDoc="0" locked="0" layoutInCell="1" allowOverlap="1">
                  <wp:simplePos x="0" y="0"/>
                  <wp:positionH relativeFrom="column">
                    <wp:posOffset>4187825</wp:posOffset>
                  </wp:positionH>
                  <wp:positionV relativeFrom="paragraph">
                    <wp:posOffset>1837690</wp:posOffset>
                  </wp:positionV>
                  <wp:extent cx="1203960" cy="1021080"/>
                  <wp:effectExtent l="0" t="0" r="0" b="0"/>
                  <wp:wrapNone/>
                  <wp:docPr id="10701881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18812" name="图片 10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203960" cy="1021080"/>
                          </a:xfrm>
                          <a:prstGeom prst="rect">
                            <a:avLst/>
                          </a:prstGeom>
                          <a:noFill/>
                        </pic:spPr>
                      </pic:pic>
                    </a:graphicData>
                  </a:graphic>
                </wp:anchor>
              </w:drawing>
            </w:r>
            <w:r>
              <w:drawing>
                <wp:anchor distT="0" distB="0" distL="114300" distR="114300" simplePos="0" relativeHeight="251682816" behindDoc="0" locked="0" layoutInCell="1" allowOverlap="1">
                  <wp:simplePos x="0" y="0"/>
                  <wp:positionH relativeFrom="column">
                    <wp:posOffset>1439545</wp:posOffset>
                  </wp:positionH>
                  <wp:positionV relativeFrom="paragraph">
                    <wp:posOffset>510540</wp:posOffset>
                  </wp:positionV>
                  <wp:extent cx="1668780" cy="1013460"/>
                  <wp:effectExtent l="0" t="0" r="0" b="0"/>
                  <wp:wrapNone/>
                  <wp:docPr id="79681346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13468" name="图片 1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668780" cy="1013460"/>
                          </a:xfrm>
                          <a:prstGeom prst="rect">
                            <a:avLst/>
                          </a:prstGeom>
                          <a:noFill/>
                        </pic:spPr>
                      </pic:pic>
                    </a:graphicData>
                  </a:graphic>
                </wp:anchor>
              </w:drawing>
            </w:r>
            <w:r>
              <w:drawing>
                <wp:anchor distT="0" distB="0" distL="114300" distR="114300" simplePos="0" relativeHeight="251665408" behindDoc="0" locked="0" layoutInCell="1" allowOverlap="1">
                  <wp:simplePos x="0" y="0"/>
                  <wp:positionH relativeFrom="column">
                    <wp:posOffset>2183765</wp:posOffset>
                  </wp:positionH>
                  <wp:positionV relativeFrom="paragraph">
                    <wp:posOffset>2536190</wp:posOffset>
                  </wp:positionV>
                  <wp:extent cx="1104900" cy="1684020"/>
                  <wp:effectExtent l="0" t="0" r="0" b="0"/>
                  <wp:wrapNone/>
                  <wp:docPr id="11172778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27784" name="图片 1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104900" cy="1684020"/>
                          </a:xfrm>
                          <a:prstGeom prst="rect">
                            <a:avLst/>
                          </a:prstGeom>
                          <a:noFill/>
                        </pic:spPr>
                      </pic:pic>
                    </a:graphicData>
                  </a:graphic>
                </wp:anchor>
              </w:drawing>
            </w:r>
            <w:r>
              <w:drawing>
                <wp:anchor distT="0" distB="0" distL="114300" distR="114300" simplePos="0" relativeHeight="251664384" behindDoc="0" locked="0" layoutInCell="1" allowOverlap="1">
                  <wp:simplePos x="0" y="0"/>
                  <wp:positionH relativeFrom="column">
                    <wp:posOffset>60960</wp:posOffset>
                  </wp:positionH>
                  <wp:positionV relativeFrom="paragraph">
                    <wp:posOffset>1860550</wp:posOffset>
                  </wp:positionV>
                  <wp:extent cx="1798320" cy="1653540"/>
                  <wp:effectExtent l="0" t="0" r="0" b="0"/>
                  <wp:wrapNone/>
                  <wp:docPr id="199748558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485586" name="图片 1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98320" cy="1653540"/>
                          </a:xfrm>
                          <a:prstGeom prst="rect">
                            <a:avLst/>
                          </a:prstGeom>
                          <a:noFill/>
                        </pic:spPr>
                      </pic:pic>
                    </a:graphicData>
                  </a:graphic>
                </wp:anchor>
              </w:drawing>
            </w:r>
            <w:r>
              <w:drawing>
                <wp:anchor distT="0" distB="0" distL="114300" distR="114300" simplePos="0" relativeHeight="251663360" behindDoc="0" locked="0" layoutInCell="1" allowOverlap="1">
                  <wp:simplePos x="0" y="0"/>
                  <wp:positionH relativeFrom="column">
                    <wp:posOffset>69850</wp:posOffset>
                  </wp:positionH>
                  <wp:positionV relativeFrom="paragraph">
                    <wp:posOffset>540385</wp:posOffset>
                  </wp:positionV>
                  <wp:extent cx="5335270" cy="3723005"/>
                  <wp:effectExtent l="0" t="0" r="0" b="0"/>
                  <wp:wrapNone/>
                  <wp:docPr id="166807749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077497" name="图片 10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335430" cy="3722812"/>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7"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挡土墙、筏板由结构专业建立</w:t>
            </w:r>
          </w:p>
          <w:p>
            <w:pPr>
              <w:pStyle w:val="62"/>
              <w:ind w:firstLine="180" w:firstLineChars="100"/>
              <w:rPr>
                <w:sz w:val="18"/>
                <w:szCs w:val="18"/>
              </w:rPr>
            </w:pPr>
            <w:r>
              <w:rPr>
                <w:rFonts w:hint="eastAsia"/>
                <w:sz w:val="18"/>
                <w:szCs w:val="18"/>
              </w:rPr>
              <w:t>集水井、排水沟等相关基坑由建筑专业建立，可通过二维符号表达</w:t>
            </w:r>
          </w:p>
          <w:p>
            <w:pPr>
              <w:pStyle w:val="62"/>
              <w:ind w:firstLine="180" w:firstLineChars="100"/>
              <w:rPr>
                <w:sz w:val="18"/>
                <w:szCs w:val="18"/>
              </w:rPr>
            </w:pPr>
            <w:r>
              <w:rPr>
                <w:rFonts w:hint="eastAsia"/>
                <w:sz w:val="18"/>
                <w:szCs w:val="18"/>
              </w:rPr>
              <w:t>该精细度显示通用元素，包括最大尺寸和用途</w:t>
            </w:r>
          </w:p>
          <w:p>
            <w:pPr>
              <w:pStyle w:val="62"/>
              <w:ind w:firstLine="180" w:firstLineChars="100"/>
            </w:pPr>
            <w:r>
              <w:rPr>
                <w:rFonts w:hint="eastAsia"/>
                <w:sz w:val="18"/>
                <w:szCs w:val="18"/>
              </w:rPr>
              <w:t>例如结构基础应在LOD1.0的基础上增加显示轮廓、颜色等几何信息和材质等技术信息</w:t>
            </w:r>
          </w:p>
        </w:tc>
      </w:tr>
    </w:tbl>
    <w:p>
      <w:pPr>
        <w:snapToGrid w:val="0"/>
        <w:spacing w:before="156" w:beforeLines="50" w:after="156" w:afterLines="50" w:line="240" w:lineRule="auto"/>
        <w:jc w:val="center"/>
        <w:rPr>
          <w:rFonts w:hint="eastAsia" w:ascii="黑体" w:hAnsi="黑体" w:eastAsia="黑体"/>
          <w:kern w:val="0"/>
        </w:rPr>
        <w:sectPr>
          <w:pgSz w:w="11906" w:h="16838"/>
          <w:pgMar w:top="1418" w:right="1134" w:bottom="1134" w:left="1418" w:header="1418" w:footer="1134" w:gutter="284"/>
          <w:cols w:space="425" w:num="1"/>
          <w:formProt w:val="0"/>
          <w:docGrid w:type="lines" w:linePitch="312" w:charSpace="0"/>
        </w:sectPr>
      </w:pPr>
    </w:p>
    <w:p>
      <w:pPr>
        <w:pStyle w:val="171"/>
        <w:rPr>
          <w:rFonts w:hint="eastAsia"/>
        </w:rPr>
      </w:pPr>
      <w:r>
        <w:rPr>
          <w:rFonts w:hint="eastAsia" w:ascii="宋体" w:hAnsi="宋体"/>
        </w:rPr>
        <w:t>A</w:t>
      </w:r>
      <w:r>
        <w:rPr>
          <w:rFonts w:ascii="宋体" w:hAnsi="宋体"/>
        </w:rPr>
        <w:t xml:space="preserve">.0.3 </w:t>
      </w:r>
      <w:r>
        <w:rPr>
          <w:rFonts w:hint="eastAsia" w:ascii="宋体" w:hAnsi="宋体"/>
        </w:rPr>
        <w:t>结构基础（砼结构）L</w:t>
      </w:r>
      <w:r>
        <w:rPr>
          <w:rFonts w:ascii="宋体" w:hAnsi="宋体"/>
        </w:rPr>
        <w:t>OD 3.0</w:t>
      </w:r>
      <w:r>
        <w:rPr>
          <w:rFonts w:hint="eastAsia" w:ascii="宋体" w:hAnsi="宋体"/>
        </w:rPr>
        <w:t>模型精细度表达应符合表A</w:t>
      </w:r>
      <w:r>
        <w:rPr>
          <w:rFonts w:ascii="宋体" w:hAnsi="宋体"/>
        </w:rPr>
        <w:t>.3</w:t>
      </w:r>
      <w:r>
        <w:rPr>
          <w:rFonts w:hint="eastAsia" w:ascii="宋体" w:hAnsi="宋体"/>
        </w:rPr>
        <w:t>的规定。</w:t>
      </w:r>
    </w:p>
    <w:p>
      <w:pPr>
        <w:pStyle w:val="13"/>
        <w:spacing w:before="156" w:beforeLines="50" w:after="156" w:afterLines="50"/>
        <w:jc w:val="center"/>
        <w:rPr>
          <w:rFonts w:hint="eastAsia" w:ascii="黑体" w:hAnsi="黑体"/>
          <w:kern w:val="0"/>
        </w:rPr>
      </w:pPr>
      <w:bookmarkStart w:id="213" w:name="_Toc174544108"/>
      <w:bookmarkStart w:id="214" w:name="_Toc174544051"/>
      <w:r>
        <w:rPr>
          <w:rFonts w:hint="eastAsia" w:ascii="黑体" w:hAnsi="黑体"/>
          <w:sz w:val="21"/>
          <w:szCs w:val="21"/>
        </w:rPr>
        <w:t>表</w:t>
      </w:r>
      <w:r>
        <w:rPr>
          <w:rFonts w:ascii="黑体" w:hAnsi="黑体"/>
          <w:sz w:val="21"/>
          <w:szCs w:val="21"/>
        </w:rPr>
        <w:t>A.</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A. \* ARABIC </w:instrText>
      </w:r>
      <w:r>
        <w:rPr>
          <w:rFonts w:ascii="黑体" w:hAnsi="黑体"/>
          <w:sz w:val="21"/>
          <w:szCs w:val="21"/>
        </w:rPr>
        <w:fldChar w:fldCharType="separate"/>
      </w:r>
      <w:r>
        <w:rPr>
          <w:rFonts w:ascii="黑体" w:hAnsi="黑体"/>
          <w:sz w:val="21"/>
          <w:szCs w:val="21"/>
        </w:rPr>
        <w:t>3</w:t>
      </w:r>
      <w:r>
        <w:rPr>
          <w:rFonts w:ascii="黑体" w:hAnsi="黑体"/>
          <w:sz w:val="21"/>
          <w:szCs w:val="21"/>
        </w:rPr>
        <w:fldChar w:fldCharType="end"/>
      </w:r>
      <w:r>
        <w:rPr>
          <w:rFonts w:ascii="黑体" w:hAnsi="黑体"/>
          <w:kern w:val="0"/>
          <w:sz w:val="21"/>
          <w:szCs w:val="21"/>
        </w:rPr>
        <w:t xml:space="preserve"> 结构基础</w:t>
      </w:r>
      <w:r>
        <w:rPr>
          <w:rFonts w:hint="eastAsia" w:ascii="黑体" w:hAnsi="黑体"/>
          <w:kern w:val="0"/>
          <w:sz w:val="21"/>
          <w:szCs w:val="21"/>
        </w:rPr>
        <w:t>（砼结构）</w:t>
      </w:r>
      <w:r>
        <w:rPr>
          <w:rFonts w:ascii="黑体" w:hAnsi="黑体"/>
          <w:kern w:val="0"/>
          <w:sz w:val="21"/>
          <w:szCs w:val="21"/>
        </w:rPr>
        <w:t>LOD 3.0</w:t>
      </w:r>
      <w:r>
        <w:rPr>
          <w:rFonts w:hint="eastAsia" w:ascii="黑体" w:hAnsi="黑体"/>
          <w:kern w:val="0"/>
          <w:sz w:val="21"/>
          <w:szCs w:val="21"/>
        </w:rPr>
        <w:t>模型精细度表达</w:t>
      </w:r>
      <w:bookmarkEnd w:id="213"/>
      <w:bookmarkEnd w:id="214"/>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670528" behindDoc="0" locked="0" layoutInCell="1" allowOverlap="1">
                  <wp:simplePos x="0" y="0"/>
                  <wp:positionH relativeFrom="column">
                    <wp:posOffset>3678555</wp:posOffset>
                  </wp:positionH>
                  <wp:positionV relativeFrom="paragraph">
                    <wp:posOffset>2378075</wp:posOffset>
                  </wp:positionV>
                  <wp:extent cx="1752600" cy="1264920"/>
                  <wp:effectExtent l="0" t="0" r="0" b="0"/>
                  <wp:wrapNone/>
                  <wp:docPr id="121911876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18761" name="图片 1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752600" cy="1264920"/>
                          </a:xfrm>
                          <a:prstGeom prst="rect">
                            <a:avLst/>
                          </a:prstGeom>
                          <a:noFill/>
                        </pic:spPr>
                      </pic:pic>
                    </a:graphicData>
                  </a:graphic>
                </wp:anchor>
              </w:drawing>
            </w:r>
            <w:r>
              <w:drawing>
                <wp:anchor distT="0" distB="0" distL="114300" distR="114300" simplePos="0" relativeHeight="251669504" behindDoc="0" locked="0" layoutInCell="1" allowOverlap="1">
                  <wp:simplePos x="0" y="0"/>
                  <wp:positionH relativeFrom="column">
                    <wp:posOffset>4220210</wp:posOffset>
                  </wp:positionH>
                  <wp:positionV relativeFrom="paragraph">
                    <wp:posOffset>1734820</wp:posOffset>
                  </wp:positionV>
                  <wp:extent cx="1203960" cy="1021080"/>
                  <wp:effectExtent l="0" t="0" r="0" b="0"/>
                  <wp:wrapNone/>
                  <wp:docPr id="53872603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726037" name="图片 10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203960" cy="1021080"/>
                          </a:xfrm>
                          <a:prstGeom prst="rect">
                            <a:avLst/>
                          </a:prstGeom>
                          <a:noFill/>
                        </pic:spPr>
                      </pic:pic>
                    </a:graphicData>
                  </a:graphic>
                </wp:anchor>
              </w:drawing>
            </w:r>
            <w:r>
              <w:drawing>
                <wp:anchor distT="0" distB="0" distL="114300" distR="114300" simplePos="0" relativeHeight="251667456" behindDoc="0" locked="0" layoutInCell="1" allowOverlap="1">
                  <wp:simplePos x="0" y="0"/>
                  <wp:positionH relativeFrom="column">
                    <wp:posOffset>-33655</wp:posOffset>
                  </wp:positionH>
                  <wp:positionV relativeFrom="paragraph">
                    <wp:posOffset>495935</wp:posOffset>
                  </wp:positionV>
                  <wp:extent cx="5430520" cy="3926840"/>
                  <wp:effectExtent l="0" t="0" r="0" b="0"/>
                  <wp:wrapNone/>
                  <wp:docPr id="180097486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974869" name="图片 10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435166" cy="3929738"/>
                          </a:xfrm>
                          <a:prstGeom prst="rect">
                            <a:avLst/>
                          </a:prstGeom>
                          <a:noFill/>
                        </pic:spPr>
                      </pic:pic>
                    </a:graphicData>
                  </a:graphic>
                </wp:anchor>
              </w:drawing>
            </w:r>
            <w:r>
              <w:drawing>
                <wp:anchor distT="0" distB="0" distL="114300" distR="114300" simplePos="0" relativeHeight="251681792" behindDoc="0" locked="0" layoutInCell="1" allowOverlap="1">
                  <wp:simplePos x="0" y="0"/>
                  <wp:positionH relativeFrom="column">
                    <wp:posOffset>1350645</wp:posOffset>
                  </wp:positionH>
                  <wp:positionV relativeFrom="paragraph">
                    <wp:posOffset>402590</wp:posOffset>
                  </wp:positionV>
                  <wp:extent cx="1668780" cy="1013460"/>
                  <wp:effectExtent l="0" t="0" r="0" b="0"/>
                  <wp:wrapNone/>
                  <wp:docPr id="2023694624"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694624" name="图片 1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668780" cy="1013460"/>
                          </a:xfrm>
                          <a:prstGeom prst="rect">
                            <a:avLst/>
                          </a:prstGeom>
                          <a:noFill/>
                        </pic:spPr>
                      </pic:pic>
                    </a:graphicData>
                  </a:graphic>
                </wp:anchor>
              </w:drawing>
            </w:r>
            <w:r>
              <w:drawing>
                <wp:anchor distT="0" distB="0" distL="114300" distR="114300" simplePos="0" relativeHeight="251672576" behindDoc="0" locked="0" layoutInCell="1" allowOverlap="1">
                  <wp:simplePos x="0" y="0"/>
                  <wp:positionH relativeFrom="column">
                    <wp:posOffset>86360</wp:posOffset>
                  </wp:positionH>
                  <wp:positionV relativeFrom="paragraph">
                    <wp:posOffset>3957955</wp:posOffset>
                  </wp:positionV>
                  <wp:extent cx="1005840" cy="693420"/>
                  <wp:effectExtent l="0" t="0" r="0" b="0"/>
                  <wp:wrapNone/>
                  <wp:docPr id="141670812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08125" name="图片 1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005840" cy="693420"/>
                          </a:xfrm>
                          <a:prstGeom prst="rect">
                            <a:avLst/>
                          </a:prstGeom>
                          <a:noFill/>
                        </pic:spPr>
                      </pic:pic>
                    </a:graphicData>
                  </a:graphic>
                </wp:anchor>
              </w:drawing>
            </w:r>
            <w:r>
              <w:drawing>
                <wp:anchor distT="0" distB="0" distL="114300" distR="114300" simplePos="0" relativeHeight="251671552" behindDoc="0" locked="0" layoutInCell="1" allowOverlap="1">
                  <wp:simplePos x="0" y="0"/>
                  <wp:positionH relativeFrom="column">
                    <wp:posOffset>111760</wp:posOffset>
                  </wp:positionH>
                  <wp:positionV relativeFrom="paragraph">
                    <wp:posOffset>1735455</wp:posOffset>
                  </wp:positionV>
                  <wp:extent cx="1325880" cy="1463040"/>
                  <wp:effectExtent l="0" t="0" r="0" b="0"/>
                  <wp:wrapNone/>
                  <wp:docPr id="17737477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747711" name="图片 1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325880" cy="1463040"/>
                          </a:xfrm>
                          <a:prstGeom prst="rect">
                            <a:avLst/>
                          </a:prstGeom>
                          <a:noFill/>
                        </pic:spPr>
                      </pic:pic>
                    </a:graphicData>
                  </a:graphic>
                </wp:anchor>
              </w:drawing>
            </w:r>
            <w:r>
              <w:drawing>
                <wp:anchor distT="0" distB="0" distL="114300" distR="114300" simplePos="0" relativeHeight="251668480" behindDoc="0" locked="0" layoutInCell="1" allowOverlap="1">
                  <wp:simplePos x="0" y="0"/>
                  <wp:positionH relativeFrom="column">
                    <wp:posOffset>2296795</wp:posOffset>
                  </wp:positionH>
                  <wp:positionV relativeFrom="paragraph">
                    <wp:posOffset>2231390</wp:posOffset>
                  </wp:positionV>
                  <wp:extent cx="1104900" cy="1684020"/>
                  <wp:effectExtent l="0" t="0" r="0" b="0"/>
                  <wp:wrapNone/>
                  <wp:docPr id="1066893941"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93941" name="图片 1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104900" cy="1684020"/>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1"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rPr>
                <w:rFonts w:ascii="Times New Roman"/>
                <w:sz w:val="18"/>
                <w:szCs w:val="18"/>
              </w:rP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所有构件由结构专业建立，包括筏板、承台、桩、挡土墙、排水沟、集水井</w:t>
            </w:r>
          </w:p>
          <w:p>
            <w:pPr>
              <w:pStyle w:val="62"/>
              <w:ind w:firstLine="180" w:firstLineChars="100"/>
              <w:rPr>
                <w:sz w:val="18"/>
                <w:szCs w:val="18"/>
              </w:rPr>
            </w:pPr>
            <w:r>
              <w:rPr>
                <w:rFonts w:hint="eastAsia"/>
                <w:sz w:val="18"/>
                <w:szCs w:val="18"/>
              </w:rPr>
              <w:t>排水沟、集水井应开设洞口</w:t>
            </w:r>
          </w:p>
          <w:p>
            <w:pPr>
              <w:pStyle w:val="62"/>
              <w:ind w:firstLine="180" w:firstLineChars="100"/>
              <w:rPr>
                <w:sz w:val="18"/>
                <w:szCs w:val="18"/>
              </w:rPr>
            </w:pPr>
            <w:r>
              <w:rPr>
                <w:rFonts w:hint="eastAsia"/>
                <w:sz w:val="18"/>
                <w:szCs w:val="18"/>
              </w:rPr>
              <w:t>构件之间不考虑优先级</w:t>
            </w:r>
          </w:p>
          <w:p>
            <w:pPr>
              <w:pStyle w:val="62"/>
              <w:ind w:firstLine="180" w:firstLineChars="100"/>
              <w:rPr>
                <w:sz w:val="18"/>
                <w:szCs w:val="18"/>
              </w:rPr>
            </w:pPr>
            <w:r>
              <w:rPr>
                <w:rFonts w:hint="eastAsia"/>
                <w:sz w:val="18"/>
                <w:szCs w:val="18"/>
              </w:rPr>
              <w:t>该精细度表达特定元素，包括其尺寸、容量、连接关系等</w:t>
            </w:r>
          </w:p>
          <w:p>
            <w:pPr>
              <w:pStyle w:val="62"/>
              <w:ind w:firstLine="180" w:firstLineChars="100"/>
            </w:pPr>
            <w:r>
              <w:rPr>
                <w:rFonts w:hint="eastAsia"/>
                <w:sz w:val="18"/>
                <w:szCs w:val="18"/>
              </w:rPr>
              <w:t>例如结构基础应在LOD2.0的基础上增加表达大样详图、钢筋布置图等几何信息和材料信息等技术信息</w:t>
            </w:r>
          </w:p>
        </w:tc>
      </w:tr>
    </w:tbl>
    <w:p>
      <w:pPr>
        <w:snapToGrid w:val="0"/>
        <w:spacing w:before="156" w:beforeLines="50" w:after="156" w:afterLines="50" w:line="240" w:lineRule="auto"/>
        <w:jc w:val="center"/>
        <w:rPr>
          <w:rFonts w:hint="eastAsia" w:ascii="黑体" w:hAnsi="黑体" w:eastAsia="黑体"/>
          <w:kern w:val="0"/>
        </w:rPr>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hint="eastAsia" w:ascii="宋体" w:hAnsi="宋体"/>
        </w:rPr>
        <w:t>A</w:t>
      </w:r>
      <w:r>
        <w:rPr>
          <w:rFonts w:ascii="宋体" w:hAnsi="宋体"/>
        </w:rPr>
        <w:t xml:space="preserve">.0.4 </w:t>
      </w:r>
      <w:r>
        <w:rPr>
          <w:rFonts w:hint="eastAsia" w:ascii="宋体" w:hAnsi="宋体"/>
        </w:rPr>
        <w:t>结构基础（砼结构）L</w:t>
      </w:r>
      <w:r>
        <w:rPr>
          <w:rFonts w:ascii="宋体" w:hAnsi="宋体"/>
        </w:rPr>
        <w:t xml:space="preserve">OD </w:t>
      </w:r>
      <w:r>
        <w:rPr>
          <w:rFonts w:hint="eastAsia" w:ascii="宋体" w:hAnsi="宋体"/>
        </w:rPr>
        <w:t>3.5模型精细度表达应符合表A</w:t>
      </w:r>
      <w:r>
        <w:rPr>
          <w:rFonts w:ascii="宋体" w:hAnsi="宋体"/>
        </w:rPr>
        <w:t>.4</w:t>
      </w:r>
      <w:r>
        <w:rPr>
          <w:rFonts w:hint="eastAsia" w:ascii="宋体" w:hAnsi="宋体"/>
        </w:rPr>
        <w:t>的规定。</w:t>
      </w:r>
    </w:p>
    <w:p>
      <w:pPr>
        <w:pStyle w:val="13"/>
        <w:spacing w:before="156" w:beforeLines="50" w:after="156" w:afterLines="50"/>
        <w:jc w:val="center"/>
        <w:rPr>
          <w:rFonts w:hint="eastAsia" w:ascii="黑体" w:hAnsi="黑体"/>
          <w:kern w:val="0"/>
        </w:rPr>
      </w:pPr>
      <w:bookmarkStart w:id="215" w:name="_Toc174544052"/>
      <w:bookmarkStart w:id="216" w:name="_Toc174544109"/>
      <w:r>
        <w:rPr>
          <w:rFonts w:hint="eastAsia" w:ascii="黑体" w:hAnsi="黑体"/>
          <w:sz w:val="21"/>
          <w:szCs w:val="21"/>
        </w:rPr>
        <w:t>表</w:t>
      </w:r>
      <w:r>
        <w:rPr>
          <w:rFonts w:ascii="黑体" w:hAnsi="黑体"/>
          <w:sz w:val="21"/>
          <w:szCs w:val="21"/>
        </w:rPr>
        <w:t>A.</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A. \* ARABIC </w:instrText>
      </w:r>
      <w:r>
        <w:rPr>
          <w:rFonts w:ascii="黑体" w:hAnsi="黑体"/>
          <w:sz w:val="21"/>
          <w:szCs w:val="21"/>
        </w:rPr>
        <w:fldChar w:fldCharType="separate"/>
      </w:r>
      <w:r>
        <w:rPr>
          <w:rFonts w:ascii="黑体" w:hAnsi="黑体"/>
          <w:sz w:val="21"/>
          <w:szCs w:val="21"/>
        </w:rPr>
        <w:t>4</w:t>
      </w:r>
      <w:r>
        <w:rPr>
          <w:rFonts w:ascii="黑体" w:hAnsi="黑体"/>
          <w:sz w:val="21"/>
          <w:szCs w:val="21"/>
        </w:rPr>
        <w:fldChar w:fldCharType="end"/>
      </w:r>
      <w:r>
        <w:rPr>
          <w:rFonts w:ascii="黑体" w:hAnsi="黑体"/>
          <w:sz w:val="21"/>
          <w:szCs w:val="21"/>
        </w:rPr>
        <w:t xml:space="preserve"> </w:t>
      </w:r>
      <w:r>
        <w:rPr>
          <w:rFonts w:ascii="黑体" w:hAnsi="黑体"/>
          <w:kern w:val="0"/>
          <w:sz w:val="21"/>
          <w:szCs w:val="21"/>
        </w:rPr>
        <w:t>结构基础</w:t>
      </w:r>
      <w:r>
        <w:rPr>
          <w:rFonts w:hint="eastAsia" w:ascii="黑体" w:hAnsi="黑体"/>
          <w:kern w:val="0"/>
          <w:sz w:val="21"/>
          <w:szCs w:val="21"/>
        </w:rPr>
        <w:t>（砼结构）</w:t>
      </w:r>
      <w:r>
        <w:rPr>
          <w:rFonts w:ascii="黑体" w:hAnsi="黑体"/>
          <w:kern w:val="0"/>
          <w:sz w:val="21"/>
          <w:szCs w:val="21"/>
        </w:rPr>
        <w:t>LOD</w:t>
      </w:r>
      <w:r>
        <w:rPr>
          <w:rFonts w:hint="eastAsia" w:ascii="黑体" w:hAnsi="黑体"/>
          <w:kern w:val="0"/>
          <w:sz w:val="21"/>
          <w:szCs w:val="21"/>
        </w:rPr>
        <w:t xml:space="preserve"> </w:t>
      </w:r>
      <w:r>
        <w:rPr>
          <w:rFonts w:ascii="黑体" w:hAnsi="黑体"/>
          <w:kern w:val="0"/>
          <w:sz w:val="21"/>
          <w:szCs w:val="21"/>
        </w:rPr>
        <w:t>3.5模型精细度表达</w:t>
      </w:r>
      <w:bookmarkEnd w:id="215"/>
      <w:bookmarkEnd w:id="216"/>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678720" behindDoc="0" locked="0" layoutInCell="1" allowOverlap="1">
                  <wp:simplePos x="0" y="0"/>
                  <wp:positionH relativeFrom="column">
                    <wp:posOffset>131445</wp:posOffset>
                  </wp:positionH>
                  <wp:positionV relativeFrom="paragraph">
                    <wp:posOffset>4027805</wp:posOffset>
                  </wp:positionV>
                  <wp:extent cx="1005840" cy="693420"/>
                  <wp:effectExtent l="0" t="0" r="3810" b="0"/>
                  <wp:wrapNone/>
                  <wp:docPr id="51993361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33614" name="图片 1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005840" cy="693420"/>
                          </a:xfrm>
                          <a:prstGeom prst="rect">
                            <a:avLst/>
                          </a:prstGeom>
                          <a:noFill/>
                        </pic:spPr>
                      </pic:pic>
                    </a:graphicData>
                  </a:graphic>
                </wp:anchor>
              </w:drawing>
            </w:r>
            <w:r>
              <w:drawing>
                <wp:anchor distT="0" distB="0" distL="114300" distR="114300" simplePos="0" relativeHeight="251679744" behindDoc="0" locked="0" layoutInCell="1" allowOverlap="1">
                  <wp:simplePos x="0" y="0"/>
                  <wp:positionH relativeFrom="column">
                    <wp:posOffset>1439545</wp:posOffset>
                  </wp:positionH>
                  <wp:positionV relativeFrom="paragraph">
                    <wp:posOffset>3538855</wp:posOffset>
                  </wp:positionV>
                  <wp:extent cx="1554480" cy="548640"/>
                  <wp:effectExtent l="0" t="0" r="7620" b="3810"/>
                  <wp:wrapNone/>
                  <wp:docPr id="149411975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119756" name="图片 1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554480" cy="548640"/>
                          </a:xfrm>
                          <a:prstGeom prst="rect">
                            <a:avLst/>
                          </a:prstGeom>
                          <a:noFill/>
                        </pic:spPr>
                      </pic:pic>
                    </a:graphicData>
                  </a:graphic>
                </wp:anchor>
              </w:drawing>
            </w:r>
            <w:r>
              <w:drawing>
                <wp:anchor distT="0" distB="0" distL="114300" distR="114300" simplePos="0" relativeHeight="251677696" behindDoc="0" locked="0" layoutInCell="1" allowOverlap="1">
                  <wp:simplePos x="0" y="0"/>
                  <wp:positionH relativeFrom="column">
                    <wp:posOffset>208280</wp:posOffset>
                  </wp:positionH>
                  <wp:positionV relativeFrom="paragraph">
                    <wp:posOffset>1537335</wp:posOffset>
                  </wp:positionV>
                  <wp:extent cx="1325880" cy="1463040"/>
                  <wp:effectExtent l="0" t="0" r="7620" b="0"/>
                  <wp:wrapNone/>
                  <wp:docPr id="119681471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14716" name="图片 1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325880" cy="1463040"/>
                          </a:xfrm>
                          <a:prstGeom prst="rect">
                            <a:avLst/>
                          </a:prstGeom>
                          <a:noFill/>
                        </pic:spPr>
                      </pic:pic>
                    </a:graphicData>
                  </a:graphic>
                </wp:anchor>
              </w:drawing>
            </w:r>
            <w:r>
              <w:drawing>
                <wp:anchor distT="0" distB="0" distL="114300" distR="114300" simplePos="0" relativeHeight="251674624" behindDoc="0" locked="0" layoutInCell="1" allowOverlap="1">
                  <wp:simplePos x="0" y="0"/>
                  <wp:positionH relativeFrom="column">
                    <wp:posOffset>2272665</wp:posOffset>
                  </wp:positionH>
                  <wp:positionV relativeFrom="paragraph">
                    <wp:posOffset>1932940</wp:posOffset>
                  </wp:positionV>
                  <wp:extent cx="1104900" cy="1684020"/>
                  <wp:effectExtent l="0" t="0" r="0" b="0"/>
                  <wp:wrapNone/>
                  <wp:docPr id="165109217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092179" name="图片 1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104900" cy="1684020"/>
                          </a:xfrm>
                          <a:prstGeom prst="rect">
                            <a:avLst/>
                          </a:prstGeom>
                          <a:noFill/>
                        </pic:spPr>
                      </pic:pic>
                    </a:graphicData>
                  </a:graphic>
                </wp:anchor>
              </w:drawing>
            </w:r>
            <w:r>
              <w:drawing>
                <wp:anchor distT="0" distB="0" distL="114300" distR="114300" simplePos="0" relativeHeight="251676672" behindDoc="0" locked="0" layoutInCell="1" allowOverlap="1">
                  <wp:simplePos x="0" y="0"/>
                  <wp:positionH relativeFrom="column">
                    <wp:posOffset>3554095</wp:posOffset>
                  </wp:positionH>
                  <wp:positionV relativeFrom="paragraph">
                    <wp:posOffset>2287905</wp:posOffset>
                  </wp:positionV>
                  <wp:extent cx="1752600" cy="1264920"/>
                  <wp:effectExtent l="0" t="0" r="0" b="0"/>
                  <wp:wrapNone/>
                  <wp:docPr id="1764278772"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78772" name="图片 1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752600" cy="1264920"/>
                          </a:xfrm>
                          <a:prstGeom prst="rect">
                            <a:avLst/>
                          </a:prstGeom>
                          <a:noFill/>
                        </pic:spPr>
                      </pic:pic>
                    </a:graphicData>
                  </a:graphic>
                </wp:anchor>
              </w:drawing>
            </w:r>
            <w:r>
              <w:drawing>
                <wp:anchor distT="0" distB="0" distL="114300" distR="114300" simplePos="0" relativeHeight="251673600" behindDoc="0" locked="0" layoutInCell="1" allowOverlap="1">
                  <wp:simplePos x="0" y="0"/>
                  <wp:positionH relativeFrom="column">
                    <wp:posOffset>69215</wp:posOffset>
                  </wp:positionH>
                  <wp:positionV relativeFrom="paragraph">
                    <wp:posOffset>325755</wp:posOffset>
                  </wp:positionV>
                  <wp:extent cx="5314315" cy="3801745"/>
                  <wp:effectExtent l="0" t="0" r="635" b="8255"/>
                  <wp:wrapNone/>
                  <wp:docPr id="14650902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090212" name="图片 1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314315" cy="3801745"/>
                          </a:xfrm>
                          <a:prstGeom prst="rect">
                            <a:avLst/>
                          </a:prstGeom>
                          <a:noFill/>
                        </pic:spPr>
                      </pic:pic>
                    </a:graphicData>
                  </a:graphic>
                </wp:anchor>
              </w:drawing>
            </w:r>
            <w:r>
              <w:drawing>
                <wp:anchor distT="0" distB="0" distL="114300" distR="114300" simplePos="0" relativeHeight="251675648" behindDoc="0" locked="0" layoutInCell="1" allowOverlap="1">
                  <wp:simplePos x="0" y="0"/>
                  <wp:positionH relativeFrom="column">
                    <wp:posOffset>4145915</wp:posOffset>
                  </wp:positionH>
                  <wp:positionV relativeFrom="paragraph">
                    <wp:posOffset>1600200</wp:posOffset>
                  </wp:positionV>
                  <wp:extent cx="1203960" cy="1021080"/>
                  <wp:effectExtent l="0" t="0" r="0" b="0"/>
                  <wp:wrapNone/>
                  <wp:docPr id="80280772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807726" name="图片 10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203960" cy="1021080"/>
                          </a:xfrm>
                          <a:prstGeom prst="rect">
                            <a:avLst/>
                          </a:prstGeom>
                          <a:noFill/>
                        </pic:spPr>
                      </pic:pic>
                    </a:graphicData>
                  </a:graphic>
                </wp:anchor>
              </w:drawing>
            </w:r>
            <w:r>
              <w:drawing>
                <wp:anchor distT="0" distB="0" distL="114300" distR="114300" simplePos="0" relativeHeight="251680768" behindDoc="0" locked="0" layoutInCell="1" allowOverlap="1">
                  <wp:simplePos x="0" y="0"/>
                  <wp:positionH relativeFrom="column">
                    <wp:posOffset>1184910</wp:posOffset>
                  </wp:positionH>
                  <wp:positionV relativeFrom="paragraph">
                    <wp:posOffset>332105</wp:posOffset>
                  </wp:positionV>
                  <wp:extent cx="1668780" cy="1013460"/>
                  <wp:effectExtent l="0" t="0" r="0" b="0"/>
                  <wp:wrapNone/>
                  <wp:docPr id="21710617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06176" name="图片 1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668780" cy="1013460"/>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1"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所有构件由结构专业建立，包括筏板、承台、桩、挡土墙、排水沟、集水井</w:t>
            </w:r>
          </w:p>
          <w:p>
            <w:pPr>
              <w:pStyle w:val="62"/>
              <w:ind w:firstLine="180" w:firstLineChars="100"/>
              <w:rPr>
                <w:sz w:val="18"/>
                <w:szCs w:val="18"/>
              </w:rPr>
            </w:pPr>
            <w:r>
              <w:rPr>
                <w:rFonts w:hint="eastAsia"/>
                <w:sz w:val="18"/>
                <w:szCs w:val="18"/>
              </w:rPr>
              <w:t>排水沟、集水井应开设洞口，并增加相关底部构件</w:t>
            </w:r>
          </w:p>
          <w:p>
            <w:pPr>
              <w:pStyle w:val="62"/>
              <w:ind w:firstLine="180" w:firstLineChars="100"/>
              <w:rPr>
                <w:sz w:val="18"/>
                <w:szCs w:val="18"/>
              </w:rPr>
            </w:pPr>
            <w:r>
              <w:rPr>
                <w:rFonts w:hint="eastAsia"/>
                <w:sz w:val="18"/>
                <w:szCs w:val="18"/>
              </w:rPr>
              <w:t>承台、筏板、垫层、桩之间应该考虑模型优先级</w:t>
            </w:r>
          </w:p>
          <w:p>
            <w:pPr>
              <w:pStyle w:val="62"/>
              <w:ind w:firstLine="180" w:firstLineChars="100"/>
              <w:rPr>
                <w:sz w:val="18"/>
                <w:szCs w:val="18"/>
              </w:rPr>
            </w:pPr>
            <w:r>
              <w:rPr>
                <w:rFonts w:hint="eastAsia"/>
                <w:sz w:val="18"/>
                <w:szCs w:val="18"/>
              </w:rPr>
              <w:t>该精细度模型可用于采购、生产及安装</w:t>
            </w:r>
          </w:p>
          <w:p>
            <w:pPr>
              <w:pStyle w:val="62"/>
              <w:ind w:firstLine="180" w:firstLineChars="100"/>
            </w:pPr>
            <w:r>
              <w:rPr>
                <w:rFonts w:hint="eastAsia"/>
                <w:sz w:val="18"/>
                <w:szCs w:val="18"/>
              </w:rPr>
              <w:t>例如结构基础应在LOD3.0的基础上增加表达供应商、产品合格证、生产厂家、生产日期、价格等产品信息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hint="eastAsia" w:ascii="宋体" w:hAnsi="宋体"/>
        </w:rPr>
        <w:t>A</w:t>
      </w:r>
      <w:r>
        <w:rPr>
          <w:rFonts w:ascii="宋体" w:hAnsi="宋体"/>
        </w:rPr>
        <w:t xml:space="preserve">.0.5 </w:t>
      </w:r>
      <w:r>
        <w:rPr>
          <w:rFonts w:hint="eastAsia" w:ascii="宋体" w:hAnsi="宋体"/>
        </w:rPr>
        <w:t>结构基础（砼结构）L</w:t>
      </w:r>
      <w:r>
        <w:rPr>
          <w:rFonts w:ascii="宋体" w:hAnsi="宋体"/>
        </w:rPr>
        <w:t>OD 4.0</w:t>
      </w:r>
      <w:r>
        <w:rPr>
          <w:rFonts w:hint="eastAsia" w:ascii="宋体" w:hAnsi="宋体"/>
        </w:rPr>
        <w:t>模型精细度表达应符合表A</w:t>
      </w:r>
      <w:r>
        <w:rPr>
          <w:rFonts w:ascii="宋体" w:hAnsi="宋体"/>
        </w:rPr>
        <w:t>.5</w:t>
      </w:r>
      <w:r>
        <w:rPr>
          <w:rFonts w:hint="eastAsia" w:ascii="宋体" w:hAnsi="宋体"/>
        </w:rPr>
        <w:t>的规定。</w:t>
      </w:r>
    </w:p>
    <w:p>
      <w:pPr>
        <w:pStyle w:val="13"/>
        <w:spacing w:before="156" w:beforeLines="50" w:after="156" w:afterLines="50"/>
        <w:jc w:val="center"/>
        <w:rPr>
          <w:rFonts w:hint="eastAsia" w:ascii="黑体" w:hAnsi="黑体"/>
          <w:kern w:val="0"/>
        </w:rPr>
      </w:pPr>
      <w:bookmarkStart w:id="217" w:name="_Toc174544053"/>
      <w:bookmarkStart w:id="218" w:name="_Toc174544110"/>
      <w:r>
        <w:rPr>
          <w:rFonts w:hint="eastAsia" w:ascii="黑体" w:hAnsi="黑体"/>
          <w:sz w:val="21"/>
          <w:szCs w:val="21"/>
        </w:rPr>
        <w:t>表</w:t>
      </w:r>
      <w:r>
        <w:rPr>
          <w:rFonts w:ascii="黑体" w:hAnsi="黑体"/>
          <w:sz w:val="21"/>
          <w:szCs w:val="21"/>
        </w:rPr>
        <w:t>A.</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A. \* ARABIC </w:instrText>
      </w:r>
      <w:r>
        <w:rPr>
          <w:rFonts w:ascii="黑体" w:hAnsi="黑体"/>
          <w:sz w:val="21"/>
          <w:szCs w:val="21"/>
        </w:rPr>
        <w:fldChar w:fldCharType="separate"/>
      </w:r>
      <w:r>
        <w:rPr>
          <w:rFonts w:ascii="黑体" w:hAnsi="黑体"/>
          <w:sz w:val="21"/>
          <w:szCs w:val="21"/>
        </w:rPr>
        <w:t>5</w:t>
      </w:r>
      <w:r>
        <w:rPr>
          <w:rFonts w:ascii="黑体" w:hAnsi="黑体"/>
          <w:sz w:val="21"/>
          <w:szCs w:val="21"/>
        </w:rPr>
        <w:fldChar w:fldCharType="end"/>
      </w:r>
      <w:r>
        <w:rPr>
          <w:rFonts w:ascii="黑体" w:hAnsi="黑体"/>
          <w:kern w:val="0"/>
          <w:sz w:val="21"/>
          <w:szCs w:val="21"/>
        </w:rPr>
        <w:t xml:space="preserve"> 结构基础</w:t>
      </w:r>
      <w:r>
        <w:rPr>
          <w:rFonts w:hint="eastAsia" w:ascii="黑体" w:hAnsi="黑体"/>
          <w:kern w:val="0"/>
          <w:sz w:val="21"/>
          <w:szCs w:val="21"/>
        </w:rPr>
        <w:t>（砼结构）</w:t>
      </w:r>
      <w:r>
        <w:rPr>
          <w:rFonts w:ascii="黑体" w:hAnsi="黑体"/>
          <w:kern w:val="0"/>
          <w:sz w:val="21"/>
          <w:szCs w:val="21"/>
        </w:rPr>
        <w:t>LOD 4.0</w:t>
      </w:r>
      <w:r>
        <w:rPr>
          <w:rFonts w:hint="eastAsia" w:ascii="黑体" w:hAnsi="黑体"/>
          <w:kern w:val="0"/>
          <w:sz w:val="21"/>
          <w:szCs w:val="21"/>
        </w:rPr>
        <w:t>模型精细度表达</w:t>
      </w:r>
      <w:bookmarkEnd w:id="217"/>
      <w:bookmarkEnd w:id="218"/>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687936" behindDoc="0" locked="0" layoutInCell="1" allowOverlap="1">
                  <wp:simplePos x="0" y="0"/>
                  <wp:positionH relativeFrom="column">
                    <wp:posOffset>111760</wp:posOffset>
                  </wp:positionH>
                  <wp:positionV relativeFrom="paragraph">
                    <wp:posOffset>1244600</wp:posOffset>
                  </wp:positionV>
                  <wp:extent cx="1247140" cy="1376045"/>
                  <wp:effectExtent l="0" t="0" r="0" b="0"/>
                  <wp:wrapNone/>
                  <wp:docPr id="181847329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473290" name="图片 1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247140" cy="1376045"/>
                          </a:xfrm>
                          <a:prstGeom prst="rect">
                            <a:avLst/>
                          </a:prstGeom>
                          <a:noFill/>
                        </pic:spPr>
                      </pic:pic>
                    </a:graphicData>
                  </a:graphic>
                </wp:anchor>
              </w:drawing>
            </w:r>
            <w:r>
              <w:drawing>
                <wp:anchor distT="0" distB="0" distL="114300" distR="114300" simplePos="0" relativeHeight="251688960" behindDoc="0" locked="0" layoutInCell="1" allowOverlap="1">
                  <wp:simplePos x="0" y="0"/>
                  <wp:positionH relativeFrom="column">
                    <wp:posOffset>59690</wp:posOffset>
                  </wp:positionH>
                  <wp:positionV relativeFrom="paragraph">
                    <wp:posOffset>3647440</wp:posOffset>
                  </wp:positionV>
                  <wp:extent cx="946150" cy="652145"/>
                  <wp:effectExtent l="0" t="0" r="6350" b="0"/>
                  <wp:wrapNone/>
                  <wp:docPr id="742270248"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70248" name="图片 1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946150" cy="652145"/>
                          </a:xfrm>
                          <a:prstGeom prst="rect">
                            <a:avLst/>
                          </a:prstGeom>
                          <a:noFill/>
                        </pic:spPr>
                      </pic:pic>
                    </a:graphicData>
                  </a:graphic>
                </wp:anchor>
              </w:drawing>
            </w:r>
            <w:r>
              <w:drawing>
                <wp:anchor distT="0" distB="0" distL="114300" distR="114300" simplePos="0" relativeHeight="251689984" behindDoc="0" locked="0" layoutInCell="1" allowOverlap="1">
                  <wp:simplePos x="0" y="0"/>
                  <wp:positionH relativeFrom="column">
                    <wp:posOffset>1269365</wp:posOffset>
                  </wp:positionH>
                  <wp:positionV relativeFrom="paragraph">
                    <wp:posOffset>3221990</wp:posOffset>
                  </wp:positionV>
                  <wp:extent cx="1462405" cy="515620"/>
                  <wp:effectExtent l="0" t="0" r="4445" b="0"/>
                  <wp:wrapNone/>
                  <wp:docPr id="22973939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739395" name="图片 1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462405" cy="515620"/>
                          </a:xfrm>
                          <a:prstGeom prst="rect">
                            <a:avLst/>
                          </a:prstGeom>
                          <a:noFill/>
                        </pic:spPr>
                      </pic:pic>
                    </a:graphicData>
                  </a:graphic>
                </wp:anchor>
              </w:drawing>
            </w:r>
            <w:r>
              <w:drawing>
                <wp:anchor distT="0" distB="0" distL="114300" distR="114300" simplePos="0" relativeHeight="251684864" behindDoc="0" locked="0" layoutInCell="1" allowOverlap="1">
                  <wp:simplePos x="0" y="0"/>
                  <wp:positionH relativeFrom="column">
                    <wp:posOffset>2056765</wp:posOffset>
                  </wp:positionH>
                  <wp:positionV relativeFrom="paragraph">
                    <wp:posOffset>1691005</wp:posOffset>
                  </wp:positionV>
                  <wp:extent cx="1039495" cy="1584325"/>
                  <wp:effectExtent l="0" t="0" r="8255" b="0"/>
                  <wp:wrapNone/>
                  <wp:docPr id="69197737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977375" name="图片 1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039495" cy="1584325"/>
                          </a:xfrm>
                          <a:prstGeom prst="rect">
                            <a:avLst/>
                          </a:prstGeom>
                          <a:noFill/>
                        </pic:spPr>
                      </pic:pic>
                    </a:graphicData>
                  </a:graphic>
                </wp:anchor>
              </w:drawing>
            </w:r>
            <w:r>
              <w:drawing>
                <wp:anchor distT="0" distB="0" distL="114300" distR="114300" simplePos="0" relativeHeight="251686912" behindDoc="0" locked="0" layoutInCell="1" allowOverlap="1">
                  <wp:simplePos x="0" y="0"/>
                  <wp:positionH relativeFrom="column">
                    <wp:posOffset>3422650</wp:posOffset>
                  </wp:positionH>
                  <wp:positionV relativeFrom="paragraph">
                    <wp:posOffset>1918335</wp:posOffset>
                  </wp:positionV>
                  <wp:extent cx="1648460" cy="1189990"/>
                  <wp:effectExtent l="0" t="0" r="8890" b="0"/>
                  <wp:wrapNone/>
                  <wp:docPr id="136828755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87558" name="图片 1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648460" cy="1189990"/>
                          </a:xfrm>
                          <a:prstGeom prst="rect">
                            <a:avLst/>
                          </a:prstGeom>
                          <a:noFill/>
                        </pic:spPr>
                      </pic:pic>
                    </a:graphicData>
                  </a:graphic>
                </wp:anchor>
              </w:drawing>
            </w:r>
            <w:r>
              <w:drawing>
                <wp:anchor distT="0" distB="0" distL="114300" distR="114300" simplePos="0" relativeHeight="251685888" behindDoc="0" locked="0" layoutInCell="1" allowOverlap="1">
                  <wp:simplePos x="0" y="0"/>
                  <wp:positionH relativeFrom="column">
                    <wp:posOffset>4140200</wp:posOffset>
                  </wp:positionH>
                  <wp:positionV relativeFrom="paragraph">
                    <wp:posOffset>1264285</wp:posOffset>
                  </wp:positionV>
                  <wp:extent cx="1132205" cy="960120"/>
                  <wp:effectExtent l="0" t="0" r="0" b="0"/>
                  <wp:wrapNone/>
                  <wp:docPr id="75451495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514954" name="图片 10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132205" cy="960120"/>
                          </a:xfrm>
                          <a:prstGeom prst="rect">
                            <a:avLst/>
                          </a:prstGeom>
                          <a:noFill/>
                        </pic:spPr>
                      </pic:pic>
                    </a:graphicData>
                  </a:graphic>
                </wp:anchor>
              </w:drawing>
            </w:r>
            <w:r>
              <w:drawing>
                <wp:anchor distT="0" distB="0" distL="114300" distR="114300" simplePos="0" relativeHeight="251691008" behindDoc="0" locked="0" layoutInCell="1" allowOverlap="1">
                  <wp:simplePos x="0" y="0"/>
                  <wp:positionH relativeFrom="column">
                    <wp:posOffset>997585</wp:posOffset>
                  </wp:positionH>
                  <wp:positionV relativeFrom="paragraph">
                    <wp:posOffset>190500</wp:posOffset>
                  </wp:positionV>
                  <wp:extent cx="1570355" cy="953770"/>
                  <wp:effectExtent l="0" t="0" r="0" b="0"/>
                  <wp:wrapNone/>
                  <wp:docPr id="202869069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90695" name="图片 1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574653" cy="956296"/>
                          </a:xfrm>
                          <a:prstGeom prst="rect">
                            <a:avLst/>
                          </a:prstGeom>
                          <a:noFill/>
                        </pic:spPr>
                      </pic:pic>
                    </a:graphicData>
                  </a:graphic>
                </wp:anchor>
              </w:drawing>
            </w:r>
            <w:r>
              <w:drawing>
                <wp:anchor distT="0" distB="0" distL="114300" distR="114300" simplePos="0" relativeHeight="251683840" behindDoc="0" locked="0" layoutInCell="1" allowOverlap="1">
                  <wp:simplePos x="0" y="0"/>
                  <wp:positionH relativeFrom="column">
                    <wp:posOffset>-3175</wp:posOffset>
                  </wp:positionH>
                  <wp:positionV relativeFrom="paragraph">
                    <wp:posOffset>5080</wp:posOffset>
                  </wp:positionV>
                  <wp:extent cx="5209540" cy="3726815"/>
                  <wp:effectExtent l="0" t="0" r="0" b="6985"/>
                  <wp:wrapNone/>
                  <wp:docPr id="98491625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916257" name="图片 1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12693" cy="3729180"/>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2"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rPr>
                <w:rFonts w:ascii="Times New Roman"/>
                <w:sz w:val="18"/>
                <w:szCs w:val="18"/>
              </w:rP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所有构件由结构专业建立</w:t>
            </w:r>
          </w:p>
          <w:p>
            <w:pPr>
              <w:pStyle w:val="62"/>
              <w:ind w:firstLine="180" w:firstLineChars="100"/>
              <w:rPr>
                <w:sz w:val="18"/>
                <w:szCs w:val="18"/>
              </w:rPr>
            </w:pPr>
            <w:r>
              <w:rPr>
                <w:rFonts w:hint="eastAsia"/>
                <w:sz w:val="18"/>
                <w:szCs w:val="18"/>
              </w:rPr>
              <w:t>模型应该具备施工信息与造价信息</w:t>
            </w:r>
          </w:p>
          <w:p>
            <w:pPr>
              <w:pStyle w:val="62"/>
              <w:ind w:firstLine="180" w:firstLineChars="100"/>
              <w:rPr>
                <w:sz w:val="18"/>
                <w:szCs w:val="18"/>
              </w:rPr>
            </w:pPr>
            <w:r>
              <w:rPr>
                <w:rFonts w:hint="eastAsia"/>
                <w:sz w:val="18"/>
                <w:szCs w:val="18"/>
              </w:rPr>
              <w:t>在施工过程中的模型调整应在此阶段中表达</w:t>
            </w:r>
          </w:p>
          <w:p>
            <w:pPr>
              <w:pStyle w:val="62"/>
              <w:ind w:firstLine="180" w:firstLineChars="100"/>
              <w:rPr>
                <w:sz w:val="18"/>
                <w:szCs w:val="18"/>
              </w:rPr>
            </w:pPr>
            <w:r>
              <w:rPr>
                <w:rFonts w:hint="eastAsia"/>
                <w:sz w:val="18"/>
                <w:szCs w:val="18"/>
              </w:rPr>
              <w:t>结构基础重要节点，宜根据项目实际需求增加钢筋模型</w:t>
            </w:r>
          </w:p>
          <w:p>
            <w:pPr>
              <w:pStyle w:val="62"/>
              <w:ind w:firstLine="180" w:firstLineChars="100"/>
              <w:rPr>
                <w:sz w:val="18"/>
                <w:szCs w:val="18"/>
              </w:rPr>
            </w:pPr>
            <w:r>
              <w:rPr>
                <w:rFonts w:hint="eastAsia"/>
                <w:sz w:val="18"/>
                <w:szCs w:val="18"/>
              </w:rPr>
              <w:t>相关构件几何表达深度应与实物保持一致，模型反映实际成品的状态</w:t>
            </w:r>
          </w:p>
          <w:p>
            <w:pPr>
              <w:pStyle w:val="62"/>
              <w:ind w:firstLine="180" w:firstLineChars="100"/>
            </w:pPr>
            <w:r>
              <w:rPr>
                <w:rFonts w:hint="eastAsia"/>
                <w:sz w:val="18"/>
                <w:szCs w:val="18"/>
              </w:rPr>
              <w:t>例如管道应在LOD3.5的基础上增加表达使用年限、保修年限、维护频率、维保单位等维保信息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r>
        <w:rPr>
          <w:rFonts w:hint="eastAsia"/>
        </w:rPr>
        <w:t xml:space="preserve"> </w:t>
      </w:r>
    </w:p>
    <w:p>
      <w:pPr>
        <w:pStyle w:val="82"/>
        <w:spacing w:before="78" w:after="156"/>
      </w:pPr>
      <w:r>
        <w:br w:type="textWrapping"/>
      </w:r>
      <w:bookmarkStart w:id="219" w:name="_Toc168008312"/>
      <w:r>
        <w:rPr>
          <w:rFonts w:hint="eastAsia"/>
        </w:rPr>
        <w:t>（规范性）</w:t>
      </w:r>
      <w:r>
        <w:br w:type="textWrapping"/>
      </w:r>
      <w:r>
        <w:t>结构框架、空间划分、内部装饰、外部装饰（砼结构）主要构件模型精细度表达</w:t>
      </w:r>
      <w:bookmarkEnd w:id="219"/>
    </w:p>
    <w:p>
      <w:pPr>
        <w:pStyle w:val="171"/>
        <w:rPr>
          <w:rFonts w:hint="eastAsia" w:ascii="宋体" w:hAnsi="宋体"/>
        </w:rPr>
      </w:pPr>
      <w:r>
        <w:rPr>
          <w:rFonts w:ascii="宋体" w:hAnsi="宋体"/>
        </w:rPr>
        <w:t xml:space="preserve">B.0.1 </w:t>
      </w:r>
      <w:r>
        <w:rPr>
          <w:rFonts w:hint="eastAsia" w:ascii="宋体" w:hAnsi="宋体"/>
        </w:rPr>
        <w:t>结构框架、空间划分、内部装饰、外部装饰（砼结构）主要构件LOD 1.0模型精细度表达应符合表</w:t>
      </w:r>
      <w:r>
        <w:rPr>
          <w:rFonts w:ascii="宋体" w:hAnsi="宋体"/>
        </w:rPr>
        <w:t>B.1</w:t>
      </w:r>
      <w:r>
        <w:rPr>
          <w:rFonts w:hint="eastAsia" w:ascii="宋体" w:hAnsi="宋体"/>
        </w:rPr>
        <w:t>的规定。</w:t>
      </w:r>
    </w:p>
    <w:p>
      <w:pPr>
        <w:pStyle w:val="13"/>
        <w:jc w:val="center"/>
        <w:rPr>
          <w:rFonts w:hint="eastAsia" w:ascii="黑体" w:hAnsi="黑体"/>
          <w:kern w:val="0"/>
        </w:rPr>
      </w:pPr>
      <w:bookmarkStart w:id="220" w:name="_Toc174544054"/>
      <w:bookmarkStart w:id="221" w:name="_Toc174544111"/>
      <w:r>
        <w:rPr>
          <w:rFonts w:hint="eastAsia" w:ascii="黑体" w:hAnsi="黑体"/>
          <w:sz w:val="21"/>
          <w:szCs w:val="21"/>
        </w:rPr>
        <w:t>表</w:t>
      </w:r>
      <w:r>
        <w:rPr>
          <w:rFonts w:ascii="黑体" w:hAnsi="黑体"/>
          <w:sz w:val="21"/>
          <w:szCs w:val="21"/>
        </w:rPr>
        <w:t>B.</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B. \* ARABIC </w:instrText>
      </w:r>
      <w:r>
        <w:rPr>
          <w:rFonts w:ascii="黑体" w:hAnsi="黑体"/>
          <w:sz w:val="21"/>
          <w:szCs w:val="21"/>
        </w:rPr>
        <w:fldChar w:fldCharType="separate"/>
      </w:r>
      <w:r>
        <w:rPr>
          <w:rFonts w:ascii="黑体" w:hAnsi="黑体"/>
          <w:sz w:val="21"/>
          <w:szCs w:val="21"/>
        </w:rPr>
        <w:t>1</w:t>
      </w:r>
      <w:r>
        <w:rPr>
          <w:rFonts w:ascii="黑体" w:hAnsi="黑体"/>
          <w:sz w:val="21"/>
          <w:szCs w:val="21"/>
        </w:rPr>
        <w:fldChar w:fldCharType="end"/>
      </w:r>
      <w:r>
        <w:rPr>
          <w:rFonts w:hint="eastAsia" w:ascii="黑体" w:hAnsi="黑体"/>
          <w:sz w:val="21"/>
          <w:szCs w:val="21"/>
        </w:rPr>
        <w:t xml:space="preserve"> </w:t>
      </w:r>
      <w:r>
        <w:rPr>
          <w:rFonts w:hint="eastAsia" w:ascii="黑体" w:hAnsi="黑体"/>
          <w:kern w:val="0"/>
          <w:sz w:val="21"/>
          <w:szCs w:val="21"/>
        </w:rPr>
        <w:t>结构框架、空间划分、内部装饰、外部装饰（砼结构）主要构件</w:t>
      </w:r>
      <w:r>
        <w:rPr>
          <w:rFonts w:ascii="黑体" w:hAnsi="黑体"/>
          <w:kern w:val="0"/>
          <w:sz w:val="21"/>
          <w:szCs w:val="21"/>
        </w:rPr>
        <w:t>LOD 1.0</w:t>
      </w:r>
      <w:r>
        <w:rPr>
          <w:rFonts w:hint="eastAsia" w:ascii="黑体" w:hAnsi="黑体"/>
          <w:kern w:val="0"/>
          <w:sz w:val="21"/>
          <w:szCs w:val="21"/>
        </w:rPr>
        <w:t>模型精细度表达</w:t>
      </w:r>
      <w:bookmarkEnd w:id="220"/>
      <w:bookmarkEnd w:id="221"/>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1"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rPr>
                <w:sz w:val="18"/>
                <w:szCs w:val="18"/>
              </w:rP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698176" behindDoc="0" locked="0" layoutInCell="1" allowOverlap="1">
                  <wp:simplePos x="0" y="0"/>
                  <wp:positionH relativeFrom="column">
                    <wp:posOffset>4025900</wp:posOffset>
                  </wp:positionH>
                  <wp:positionV relativeFrom="paragraph">
                    <wp:posOffset>138430</wp:posOffset>
                  </wp:positionV>
                  <wp:extent cx="1424940" cy="792480"/>
                  <wp:effectExtent l="0" t="0" r="3810" b="0"/>
                  <wp:wrapNone/>
                  <wp:docPr id="174379740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97408" name="图片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424940" cy="792480"/>
                          </a:xfrm>
                          <a:prstGeom prst="rect">
                            <a:avLst/>
                          </a:prstGeom>
                          <a:noFill/>
                        </pic:spPr>
                      </pic:pic>
                    </a:graphicData>
                  </a:graphic>
                </wp:anchor>
              </w:drawing>
            </w:r>
            <w:r>
              <w:drawing>
                <wp:anchor distT="0" distB="0" distL="114300" distR="114300" simplePos="0" relativeHeight="251692032" behindDoc="0" locked="0" layoutInCell="1" allowOverlap="1">
                  <wp:simplePos x="0" y="0"/>
                  <wp:positionH relativeFrom="column">
                    <wp:posOffset>264160</wp:posOffset>
                  </wp:positionH>
                  <wp:positionV relativeFrom="paragraph">
                    <wp:posOffset>229235</wp:posOffset>
                  </wp:positionV>
                  <wp:extent cx="4952365" cy="4037965"/>
                  <wp:effectExtent l="0" t="0" r="635" b="635"/>
                  <wp:wrapNone/>
                  <wp:docPr id="120030308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303086" name="图片 1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952365" cy="4037965"/>
                          </a:xfrm>
                          <a:prstGeom prst="rect">
                            <a:avLst/>
                          </a:prstGeom>
                          <a:noFill/>
                        </pic:spPr>
                      </pic:pic>
                    </a:graphicData>
                  </a:graphic>
                </wp:anchor>
              </w:drawing>
            </w:r>
            <w:r>
              <w:drawing>
                <wp:anchor distT="0" distB="0" distL="114300" distR="114300" simplePos="0" relativeHeight="251693056" behindDoc="0" locked="0" layoutInCell="1" allowOverlap="1">
                  <wp:simplePos x="0" y="0"/>
                  <wp:positionH relativeFrom="column">
                    <wp:posOffset>-34290</wp:posOffset>
                  </wp:positionH>
                  <wp:positionV relativeFrom="paragraph">
                    <wp:posOffset>483235</wp:posOffset>
                  </wp:positionV>
                  <wp:extent cx="2392680" cy="876300"/>
                  <wp:effectExtent l="0" t="0" r="7620" b="0"/>
                  <wp:wrapNone/>
                  <wp:docPr id="125607412"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412" name="图片 1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392680" cy="876300"/>
                          </a:xfrm>
                          <a:prstGeom prst="rect">
                            <a:avLst/>
                          </a:prstGeom>
                          <a:noFill/>
                        </pic:spPr>
                      </pic:pic>
                    </a:graphicData>
                  </a:graphic>
                </wp:anchor>
              </w:drawing>
            </w:r>
            <w:r>
              <w:drawing>
                <wp:anchor distT="0" distB="0" distL="114300" distR="114300" simplePos="0" relativeHeight="251694080" behindDoc="0" locked="0" layoutInCell="1" allowOverlap="1">
                  <wp:simplePos x="0" y="0"/>
                  <wp:positionH relativeFrom="column">
                    <wp:posOffset>-40640</wp:posOffset>
                  </wp:positionH>
                  <wp:positionV relativeFrom="paragraph">
                    <wp:posOffset>1124585</wp:posOffset>
                  </wp:positionV>
                  <wp:extent cx="1958340" cy="1021080"/>
                  <wp:effectExtent l="0" t="0" r="3810" b="7620"/>
                  <wp:wrapNone/>
                  <wp:docPr id="533575881"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575881" name="图片 1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958340" cy="1021080"/>
                          </a:xfrm>
                          <a:prstGeom prst="rect">
                            <a:avLst/>
                          </a:prstGeom>
                          <a:noFill/>
                        </pic:spPr>
                      </pic:pic>
                    </a:graphicData>
                  </a:graphic>
                </wp:anchor>
              </w:drawing>
            </w:r>
            <w:r>
              <w:drawing>
                <wp:anchor distT="0" distB="0" distL="114300" distR="114300" simplePos="0" relativeHeight="251695104" behindDoc="0" locked="0" layoutInCell="1" allowOverlap="1">
                  <wp:simplePos x="0" y="0"/>
                  <wp:positionH relativeFrom="column">
                    <wp:posOffset>-59690</wp:posOffset>
                  </wp:positionH>
                  <wp:positionV relativeFrom="paragraph">
                    <wp:posOffset>3931285</wp:posOffset>
                  </wp:positionV>
                  <wp:extent cx="1264920" cy="419100"/>
                  <wp:effectExtent l="0" t="0" r="0" b="0"/>
                  <wp:wrapNone/>
                  <wp:docPr id="630514521"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14521" name="图片 1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264920" cy="419100"/>
                          </a:xfrm>
                          <a:prstGeom prst="rect">
                            <a:avLst/>
                          </a:prstGeom>
                          <a:noFill/>
                        </pic:spPr>
                      </pic:pic>
                    </a:graphicData>
                  </a:graphic>
                </wp:anchor>
              </w:drawing>
            </w:r>
            <w:r>
              <w:drawing>
                <wp:anchor distT="0" distB="0" distL="114300" distR="114300" simplePos="0" relativeHeight="251696128" behindDoc="0" locked="0" layoutInCell="1" allowOverlap="1">
                  <wp:simplePos x="0" y="0"/>
                  <wp:positionH relativeFrom="column">
                    <wp:posOffset>2327910</wp:posOffset>
                  </wp:positionH>
                  <wp:positionV relativeFrom="paragraph">
                    <wp:posOffset>2858135</wp:posOffset>
                  </wp:positionV>
                  <wp:extent cx="845820" cy="1097280"/>
                  <wp:effectExtent l="0" t="0" r="0" b="7620"/>
                  <wp:wrapNone/>
                  <wp:docPr id="116916545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165455" name="图片 1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845820" cy="1097280"/>
                          </a:xfrm>
                          <a:prstGeom prst="rect">
                            <a:avLst/>
                          </a:prstGeom>
                          <a:noFill/>
                        </pic:spPr>
                      </pic:pic>
                    </a:graphicData>
                  </a:graphic>
                </wp:anchor>
              </w:drawing>
            </w:r>
            <w:r>
              <w:drawing>
                <wp:anchor distT="0" distB="0" distL="114300" distR="114300" simplePos="0" relativeHeight="251697152" behindDoc="0" locked="0" layoutInCell="1" allowOverlap="1">
                  <wp:simplePos x="0" y="0"/>
                  <wp:positionH relativeFrom="column">
                    <wp:posOffset>3432810</wp:posOffset>
                  </wp:positionH>
                  <wp:positionV relativeFrom="paragraph">
                    <wp:posOffset>2470785</wp:posOffset>
                  </wp:positionV>
                  <wp:extent cx="845820" cy="1508760"/>
                  <wp:effectExtent l="0" t="0" r="0" b="0"/>
                  <wp:wrapNone/>
                  <wp:docPr id="56062872"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2872" name="图片 1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845820" cy="1508760"/>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0"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rPr>
                <w:rFonts w:ascii="Times New Roman"/>
                <w:sz w:val="18"/>
                <w:szCs w:val="18"/>
              </w:rP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相关构件均由建筑专业建立</w:t>
            </w:r>
          </w:p>
          <w:p>
            <w:pPr>
              <w:pStyle w:val="62"/>
              <w:ind w:firstLine="180" w:firstLineChars="100"/>
              <w:rPr>
                <w:sz w:val="18"/>
                <w:szCs w:val="18"/>
              </w:rPr>
            </w:pPr>
            <w:r>
              <w:rPr>
                <w:rFonts w:hint="eastAsia"/>
                <w:sz w:val="18"/>
                <w:szCs w:val="18"/>
              </w:rPr>
              <w:t>外部装饰应为独立构件，肌理通过填色、纹理填充表达</w:t>
            </w:r>
          </w:p>
          <w:p>
            <w:pPr>
              <w:pStyle w:val="62"/>
              <w:ind w:firstLine="180" w:firstLineChars="100"/>
              <w:rPr>
                <w:sz w:val="18"/>
                <w:szCs w:val="18"/>
              </w:rPr>
            </w:pPr>
            <w:r>
              <w:rPr>
                <w:rFonts w:hint="eastAsia"/>
                <w:sz w:val="18"/>
                <w:szCs w:val="18"/>
              </w:rPr>
              <w:t>该精细度示意几何数据</w:t>
            </w:r>
          </w:p>
          <w:p>
            <w:pPr>
              <w:pStyle w:val="62"/>
              <w:ind w:firstLine="180" w:firstLineChars="100"/>
            </w:pPr>
            <w:r>
              <w:rPr>
                <w:rFonts w:hint="eastAsia"/>
                <w:sz w:val="18"/>
                <w:szCs w:val="18"/>
              </w:rPr>
              <w:t>例如柱（混凝土结构）应示意柱长、柱宽、柱高、表面材质和颜色等几何信息</w:t>
            </w:r>
          </w:p>
        </w:tc>
      </w:tr>
    </w:tbl>
    <w:p>
      <w:pPr>
        <w:pStyle w:val="62"/>
        <w:ind w:firstLine="199" w:firstLineChars="95"/>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B.0.2 </w:t>
      </w:r>
      <w:r>
        <w:rPr>
          <w:rFonts w:hint="eastAsia" w:ascii="宋体" w:hAnsi="宋体"/>
        </w:rPr>
        <w:t xml:space="preserve">结构框架、空间划分、内部装饰、外部装饰（砼结构）主要构件LOD </w:t>
      </w:r>
      <w:r>
        <w:rPr>
          <w:rFonts w:ascii="宋体" w:hAnsi="宋体"/>
        </w:rPr>
        <w:t>2</w:t>
      </w:r>
      <w:r>
        <w:rPr>
          <w:rFonts w:hint="eastAsia" w:ascii="宋体" w:hAnsi="宋体"/>
        </w:rPr>
        <w:t>.0模型精细度表达应符合表</w:t>
      </w:r>
      <w:r>
        <w:rPr>
          <w:rFonts w:ascii="宋体" w:hAnsi="宋体"/>
        </w:rPr>
        <w:t>B.2</w:t>
      </w:r>
      <w:r>
        <w:rPr>
          <w:rFonts w:hint="eastAsia" w:ascii="宋体" w:hAnsi="宋体"/>
        </w:rPr>
        <w:t>的规定。</w:t>
      </w:r>
    </w:p>
    <w:p>
      <w:pPr>
        <w:pStyle w:val="13"/>
        <w:spacing w:before="156" w:beforeLines="50" w:after="156" w:afterLines="50"/>
        <w:jc w:val="center"/>
        <w:rPr>
          <w:rFonts w:hint="eastAsia" w:ascii="黑体" w:hAnsi="黑体"/>
          <w:kern w:val="0"/>
        </w:rPr>
      </w:pPr>
      <w:bookmarkStart w:id="222" w:name="_Toc174544055"/>
      <w:bookmarkStart w:id="223" w:name="_Toc174544112"/>
      <w:r>
        <w:rPr>
          <w:rFonts w:hint="eastAsia" w:ascii="黑体" w:hAnsi="黑体"/>
          <w:sz w:val="21"/>
          <w:szCs w:val="21"/>
        </w:rPr>
        <w:t>表</w:t>
      </w:r>
      <w:r>
        <w:rPr>
          <w:rFonts w:ascii="黑体" w:hAnsi="黑体"/>
          <w:sz w:val="21"/>
          <w:szCs w:val="21"/>
        </w:rPr>
        <w:t>B.</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B. \* ARABIC </w:instrText>
      </w:r>
      <w:r>
        <w:rPr>
          <w:rFonts w:ascii="黑体" w:hAnsi="黑体"/>
          <w:sz w:val="21"/>
          <w:szCs w:val="21"/>
        </w:rPr>
        <w:fldChar w:fldCharType="separate"/>
      </w:r>
      <w:r>
        <w:rPr>
          <w:rFonts w:ascii="黑体" w:hAnsi="黑体"/>
          <w:sz w:val="21"/>
          <w:szCs w:val="21"/>
        </w:rPr>
        <w:t>2</w:t>
      </w:r>
      <w:r>
        <w:rPr>
          <w:rFonts w:ascii="黑体" w:hAnsi="黑体"/>
          <w:sz w:val="21"/>
          <w:szCs w:val="21"/>
        </w:rPr>
        <w:fldChar w:fldCharType="end"/>
      </w:r>
      <w:r>
        <w:rPr>
          <w:rFonts w:ascii="黑体" w:hAnsi="黑体"/>
          <w:sz w:val="21"/>
          <w:szCs w:val="21"/>
        </w:rPr>
        <w:t xml:space="preserve"> </w:t>
      </w:r>
      <w:r>
        <w:rPr>
          <w:rFonts w:hint="eastAsia" w:ascii="黑体" w:hAnsi="黑体"/>
          <w:kern w:val="0"/>
          <w:sz w:val="21"/>
          <w:szCs w:val="21"/>
        </w:rPr>
        <w:t>结构框架、空间划分、内部装饰、外部装饰（砼结构）主要构件</w:t>
      </w:r>
      <w:r>
        <w:rPr>
          <w:rFonts w:ascii="黑体" w:hAnsi="黑体"/>
          <w:kern w:val="0"/>
          <w:sz w:val="21"/>
          <w:szCs w:val="21"/>
        </w:rPr>
        <w:t>LOD 2.0</w:t>
      </w:r>
      <w:r>
        <w:rPr>
          <w:rFonts w:hint="eastAsia" w:ascii="黑体" w:hAnsi="黑体"/>
          <w:kern w:val="0"/>
          <w:sz w:val="21"/>
          <w:szCs w:val="21"/>
        </w:rPr>
        <w:t>模型精细度表达</w:t>
      </w:r>
      <w:bookmarkEnd w:id="222"/>
      <w:bookmarkEnd w:id="223"/>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01248" behindDoc="0" locked="0" layoutInCell="1" allowOverlap="1">
                  <wp:simplePos x="0" y="0"/>
                  <wp:positionH relativeFrom="column">
                    <wp:posOffset>7620</wp:posOffset>
                  </wp:positionH>
                  <wp:positionV relativeFrom="paragraph">
                    <wp:posOffset>4223385</wp:posOffset>
                  </wp:positionV>
                  <wp:extent cx="1221740" cy="404495"/>
                  <wp:effectExtent l="0" t="0" r="0" b="0"/>
                  <wp:wrapNone/>
                  <wp:docPr id="106277215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72159" name="图片 1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221740" cy="404495"/>
                          </a:xfrm>
                          <a:prstGeom prst="rect">
                            <a:avLst/>
                          </a:prstGeom>
                          <a:noFill/>
                        </pic:spPr>
                      </pic:pic>
                    </a:graphicData>
                  </a:graphic>
                </wp:anchor>
              </w:drawing>
            </w:r>
            <w:r>
              <w:drawing>
                <wp:anchor distT="0" distB="0" distL="114300" distR="114300" simplePos="0" relativeHeight="251706368" behindDoc="0" locked="0" layoutInCell="1" allowOverlap="1">
                  <wp:simplePos x="0" y="0"/>
                  <wp:positionH relativeFrom="column">
                    <wp:posOffset>-38100</wp:posOffset>
                  </wp:positionH>
                  <wp:positionV relativeFrom="paragraph">
                    <wp:posOffset>2139315</wp:posOffset>
                  </wp:positionV>
                  <wp:extent cx="1891665" cy="963930"/>
                  <wp:effectExtent l="0" t="0" r="0" b="7620"/>
                  <wp:wrapNone/>
                  <wp:docPr id="12420065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00652" name="图片 1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891665" cy="963930"/>
                          </a:xfrm>
                          <a:prstGeom prst="rect">
                            <a:avLst/>
                          </a:prstGeom>
                          <a:noFill/>
                        </pic:spPr>
                      </pic:pic>
                    </a:graphicData>
                  </a:graphic>
                </wp:anchor>
              </w:drawing>
            </w:r>
            <w:r>
              <w:drawing>
                <wp:anchor distT="0" distB="0" distL="114300" distR="114300" simplePos="0" relativeHeight="251704320" behindDoc="0" locked="0" layoutInCell="1" allowOverlap="1">
                  <wp:simplePos x="0" y="0"/>
                  <wp:positionH relativeFrom="column">
                    <wp:posOffset>3798570</wp:posOffset>
                  </wp:positionH>
                  <wp:positionV relativeFrom="paragraph">
                    <wp:posOffset>478790</wp:posOffset>
                  </wp:positionV>
                  <wp:extent cx="1376045" cy="765175"/>
                  <wp:effectExtent l="0" t="0" r="0" b="0"/>
                  <wp:wrapNone/>
                  <wp:docPr id="1844462964"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62964" name="图片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376045" cy="765175"/>
                          </a:xfrm>
                          <a:prstGeom prst="rect">
                            <a:avLst/>
                          </a:prstGeom>
                          <a:noFill/>
                        </pic:spPr>
                      </pic:pic>
                    </a:graphicData>
                  </a:graphic>
                </wp:anchor>
              </w:drawing>
            </w:r>
            <w:r>
              <w:drawing>
                <wp:anchor distT="0" distB="0" distL="114300" distR="114300" simplePos="0" relativeHeight="251707392" behindDoc="0" locked="0" layoutInCell="1" allowOverlap="1">
                  <wp:simplePos x="0" y="0"/>
                  <wp:positionH relativeFrom="column">
                    <wp:posOffset>4601210</wp:posOffset>
                  </wp:positionH>
                  <wp:positionV relativeFrom="paragraph">
                    <wp:posOffset>2232660</wp:posOffset>
                  </wp:positionV>
                  <wp:extent cx="809625" cy="1155700"/>
                  <wp:effectExtent l="0" t="0" r="0" b="6985"/>
                  <wp:wrapNone/>
                  <wp:docPr id="1645268282"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268282" name="图片 1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809700" cy="1155663"/>
                          </a:xfrm>
                          <a:prstGeom prst="rect">
                            <a:avLst/>
                          </a:prstGeom>
                          <a:noFill/>
                        </pic:spPr>
                      </pic:pic>
                    </a:graphicData>
                  </a:graphic>
                </wp:anchor>
              </w:drawing>
            </w:r>
            <w:r>
              <w:drawing>
                <wp:anchor distT="0" distB="0" distL="114300" distR="114300" simplePos="0" relativeHeight="251705344" behindDoc="0" locked="0" layoutInCell="1" allowOverlap="1">
                  <wp:simplePos x="0" y="0"/>
                  <wp:positionH relativeFrom="column">
                    <wp:posOffset>-26035</wp:posOffset>
                  </wp:positionH>
                  <wp:positionV relativeFrom="paragraph">
                    <wp:posOffset>1370330</wp:posOffset>
                  </wp:positionV>
                  <wp:extent cx="1891665" cy="964565"/>
                  <wp:effectExtent l="0" t="0" r="0" b="7620"/>
                  <wp:wrapNone/>
                  <wp:docPr id="1312694387"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694387" name="图片 1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897240" cy="967076"/>
                          </a:xfrm>
                          <a:prstGeom prst="rect">
                            <a:avLst/>
                          </a:prstGeom>
                          <a:noFill/>
                        </pic:spPr>
                      </pic:pic>
                    </a:graphicData>
                  </a:graphic>
                </wp:anchor>
              </w:drawing>
            </w:r>
            <w:r>
              <w:drawing>
                <wp:anchor distT="0" distB="0" distL="114300" distR="114300" simplePos="0" relativeHeight="251703296" behindDoc="0" locked="0" layoutInCell="1" allowOverlap="1">
                  <wp:simplePos x="0" y="0"/>
                  <wp:positionH relativeFrom="column">
                    <wp:posOffset>3317875</wp:posOffset>
                  </wp:positionH>
                  <wp:positionV relativeFrom="paragraph">
                    <wp:posOffset>2550795</wp:posOffset>
                  </wp:positionV>
                  <wp:extent cx="817245" cy="1457325"/>
                  <wp:effectExtent l="0" t="0" r="2540" b="0"/>
                  <wp:wrapNone/>
                  <wp:docPr id="26915663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56630" name="图片 1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820257" cy="1463161"/>
                          </a:xfrm>
                          <a:prstGeom prst="rect">
                            <a:avLst/>
                          </a:prstGeom>
                          <a:noFill/>
                        </pic:spPr>
                      </pic:pic>
                    </a:graphicData>
                  </a:graphic>
                </wp:anchor>
              </w:drawing>
            </w:r>
            <w:r>
              <w:drawing>
                <wp:anchor distT="0" distB="0" distL="114300" distR="114300" simplePos="0" relativeHeight="251702272" behindDoc="0" locked="0" layoutInCell="1" allowOverlap="1">
                  <wp:simplePos x="0" y="0"/>
                  <wp:positionH relativeFrom="column">
                    <wp:posOffset>2449830</wp:posOffset>
                  </wp:positionH>
                  <wp:positionV relativeFrom="paragraph">
                    <wp:posOffset>2979420</wp:posOffset>
                  </wp:positionV>
                  <wp:extent cx="817245" cy="1059815"/>
                  <wp:effectExtent l="0" t="0" r="2540" b="6985"/>
                  <wp:wrapNone/>
                  <wp:docPr id="1317388290"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388290" name="图片 1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820580" cy="1064536"/>
                          </a:xfrm>
                          <a:prstGeom prst="rect">
                            <a:avLst/>
                          </a:prstGeom>
                          <a:noFill/>
                        </pic:spPr>
                      </pic:pic>
                    </a:graphicData>
                  </a:graphic>
                </wp:anchor>
              </w:drawing>
            </w:r>
            <w:r>
              <w:drawing>
                <wp:anchor distT="0" distB="0" distL="114300" distR="114300" simplePos="0" relativeHeight="251700224" behindDoc="0" locked="0" layoutInCell="1" allowOverlap="1">
                  <wp:simplePos x="0" y="0"/>
                  <wp:positionH relativeFrom="column">
                    <wp:posOffset>-14605</wp:posOffset>
                  </wp:positionH>
                  <wp:positionV relativeFrom="paragraph">
                    <wp:posOffset>883920</wp:posOffset>
                  </wp:positionV>
                  <wp:extent cx="2311400" cy="846455"/>
                  <wp:effectExtent l="0" t="0" r="0" b="0"/>
                  <wp:wrapNone/>
                  <wp:docPr id="1392250340"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250340" name="图片 1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320708" cy="849941"/>
                          </a:xfrm>
                          <a:prstGeom prst="rect">
                            <a:avLst/>
                          </a:prstGeom>
                          <a:noFill/>
                        </pic:spPr>
                      </pic:pic>
                    </a:graphicData>
                  </a:graphic>
                </wp:anchor>
              </w:drawing>
            </w:r>
            <w:r>
              <w:drawing>
                <wp:anchor distT="0" distB="0" distL="114300" distR="114300" simplePos="0" relativeHeight="251699200" behindDoc="0" locked="0" layoutInCell="1" allowOverlap="1">
                  <wp:simplePos x="0" y="0"/>
                  <wp:positionH relativeFrom="column">
                    <wp:posOffset>320040</wp:posOffset>
                  </wp:positionH>
                  <wp:positionV relativeFrom="paragraph">
                    <wp:posOffset>612140</wp:posOffset>
                  </wp:positionV>
                  <wp:extent cx="4728845" cy="3900805"/>
                  <wp:effectExtent l="0" t="0" r="0" b="5080"/>
                  <wp:wrapNone/>
                  <wp:docPr id="103326706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67064" name="图片 1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732674" cy="3903888"/>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9"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结构框架由结构专业建立。结构框架只表达柱、板、主梁</w:t>
            </w:r>
          </w:p>
          <w:p>
            <w:pPr>
              <w:pStyle w:val="62"/>
              <w:ind w:firstLine="180" w:firstLineChars="100"/>
              <w:rPr>
                <w:sz w:val="18"/>
                <w:szCs w:val="18"/>
              </w:rPr>
            </w:pPr>
            <w:r>
              <w:rPr>
                <w:rFonts w:hint="eastAsia"/>
                <w:sz w:val="18"/>
                <w:szCs w:val="18"/>
              </w:rPr>
              <w:t>空间划分由建筑专业建立</w:t>
            </w:r>
          </w:p>
          <w:p>
            <w:pPr>
              <w:pStyle w:val="62"/>
              <w:ind w:firstLine="180" w:firstLineChars="100"/>
              <w:rPr>
                <w:sz w:val="18"/>
                <w:szCs w:val="18"/>
              </w:rPr>
            </w:pPr>
            <w:r>
              <w:rPr>
                <w:rFonts w:hint="eastAsia"/>
                <w:sz w:val="18"/>
                <w:szCs w:val="18"/>
              </w:rPr>
              <w:t>楼梯由建筑专业建立</w:t>
            </w:r>
          </w:p>
          <w:p>
            <w:pPr>
              <w:pStyle w:val="62"/>
              <w:ind w:firstLine="180" w:firstLineChars="100"/>
              <w:rPr>
                <w:sz w:val="18"/>
                <w:szCs w:val="18"/>
              </w:rPr>
            </w:pPr>
            <w:r>
              <w:rPr>
                <w:rFonts w:hint="eastAsia"/>
                <w:sz w:val="18"/>
                <w:szCs w:val="18"/>
              </w:rPr>
              <w:t>相关构件不考虑优先级</w:t>
            </w:r>
          </w:p>
          <w:p>
            <w:pPr>
              <w:pStyle w:val="62"/>
              <w:ind w:firstLine="180" w:firstLineChars="100"/>
              <w:rPr>
                <w:sz w:val="18"/>
                <w:szCs w:val="18"/>
              </w:rPr>
            </w:pPr>
            <w:r>
              <w:rPr>
                <w:rFonts w:hint="eastAsia"/>
                <w:sz w:val="18"/>
                <w:szCs w:val="18"/>
              </w:rPr>
              <w:t>外部装饰应为独立构件，肌理通过填色、纹理填充表达</w:t>
            </w:r>
          </w:p>
          <w:p>
            <w:pPr>
              <w:pStyle w:val="62"/>
              <w:ind w:firstLine="180" w:firstLineChars="100"/>
              <w:rPr>
                <w:sz w:val="18"/>
                <w:szCs w:val="18"/>
              </w:rPr>
            </w:pPr>
            <w:r>
              <w:rPr>
                <w:rFonts w:hint="eastAsia"/>
                <w:sz w:val="18"/>
                <w:szCs w:val="18"/>
              </w:rPr>
              <w:t>吊顶应由建筑或者装饰专业建立</w:t>
            </w:r>
          </w:p>
          <w:p>
            <w:pPr>
              <w:pStyle w:val="62"/>
              <w:ind w:firstLine="180" w:firstLineChars="100"/>
              <w:rPr>
                <w:sz w:val="18"/>
                <w:szCs w:val="18"/>
              </w:rPr>
            </w:pPr>
            <w:r>
              <w:rPr>
                <w:rFonts w:hint="eastAsia"/>
                <w:sz w:val="18"/>
                <w:szCs w:val="18"/>
              </w:rPr>
              <w:t>非几何信息应包含各空间属性信息</w:t>
            </w:r>
          </w:p>
          <w:p>
            <w:pPr>
              <w:pStyle w:val="62"/>
              <w:ind w:firstLine="180" w:firstLineChars="100"/>
              <w:rPr>
                <w:sz w:val="18"/>
                <w:szCs w:val="18"/>
              </w:rPr>
            </w:pPr>
            <w:r>
              <w:rPr>
                <w:rFonts w:hint="eastAsia"/>
                <w:sz w:val="18"/>
                <w:szCs w:val="18"/>
              </w:rPr>
              <w:t>该精细度显示通用元素，包括最大尺寸和用途</w:t>
            </w:r>
          </w:p>
          <w:p>
            <w:pPr>
              <w:pStyle w:val="62"/>
              <w:ind w:firstLine="180" w:firstLineChars="100"/>
            </w:pPr>
            <w:r>
              <w:rPr>
                <w:rFonts w:hint="eastAsia"/>
                <w:sz w:val="18"/>
                <w:szCs w:val="18"/>
              </w:rPr>
              <w:t>例如柱（混凝土结构）应在LOD1.0的基础上增加显示材料和材质信息等技术信息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B.0.3 </w:t>
      </w:r>
      <w:r>
        <w:rPr>
          <w:rFonts w:hint="eastAsia" w:ascii="宋体" w:hAnsi="宋体"/>
        </w:rPr>
        <w:t xml:space="preserve">结构框架、空间划分、内部装饰、外部装饰（砼结构）主要构件LOD </w:t>
      </w:r>
      <w:r>
        <w:rPr>
          <w:rFonts w:ascii="宋体" w:hAnsi="宋体"/>
        </w:rPr>
        <w:t>3</w:t>
      </w:r>
      <w:r>
        <w:rPr>
          <w:rFonts w:hint="eastAsia" w:ascii="宋体" w:hAnsi="宋体"/>
        </w:rPr>
        <w:t>.0模型精细度表达应符合表</w:t>
      </w:r>
      <w:r>
        <w:rPr>
          <w:rFonts w:ascii="宋体" w:hAnsi="宋体"/>
        </w:rPr>
        <w:t>B.3</w:t>
      </w:r>
      <w:r>
        <w:rPr>
          <w:rFonts w:hint="eastAsia" w:ascii="宋体" w:hAnsi="宋体"/>
        </w:rPr>
        <w:t>的规定。</w:t>
      </w:r>
    </w:p>
    <w:p>
      <w:pPr>
        <w:pStyle w:val="13"/>
        <w:spacing w:before="156" w:beforeLines="50" w:after="156" w:afterLines="50"/>
        <w:jc w:val="center"/>
        <w:rPr>
          <w:rFonts w:hint="eastAsia" w:ascii="黑体" w:hAnsi="黑体"/>
          <w:kern w:val="0"/>
        </w:rPr>
      </w:pPr>
      <w:bookmarkStart w:id="224" w:name="_Toc174544113"/>
      <w:bookmarkStart w:id="225" w:name="_Toc174544056"/>
      <w:r>
        <w:rPr>
          <w:rFonts w:hint="eastAsia" w:ascii="黑体" w:hAnsi="黑体"/>
          <w:sz w:val="21"/>
          <w:szCs w:val="21"/>
        </w:rPr>
        <w:t>表</w:t>
      </w:r>
      <w:r>
        <w:rPr>
          <w:rFonts w:ascii="黑体" w:hAnsi="黑体"/>
          <w:sz w:val="21"/>
          <w:szCs w:val="21"/>
        </w:rPr>
        <w:t>B.</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B. \* ARABIC </w:instrText>
      </w:r>
      <w:r>
        <w:rPr>
          <w:rFonts w:ascii="黑体" w:hAnsi="黑体"/>
          <w:sz w:val="21"/>
          <w:szCs w:val="21"/>
        </w:rPr>
        <w:fldChar w:fldCharType="separate"/>
      </w:r>
      <w:r>
        <w:rPr>
          <w:rFonts w:ascii="黑体" w:hAnsi="黑体"/>
          <w:sz w:val="21"/>
          <w:szCs w:val="21"/>
        </w:rPr>
        <w:t>3</w:t>
      </w:r>
      <w:r>
        <w:rPr>
          <w:rFonts w:ascii="黑体" w:hAnsi="黑体"/>
          <w:sz w:val="21"/>
          <w:szCs w:val="21"/>
        </w:rPr>
        <w:fldChar w:fldCharType="end"/>
      </w:r>
      <w:r>
        <w:rPr>
          <w:rFonts w:hint="eastAsia" w:ascii="黑体" w:hAnsi="黑体"/>
          <w:sz w:val="21"/>
          <w:szCs w:val="21"/>
        </w:rPr>
        <w:t xml:space="preserve"> </w:t>
      </w:r>
      <w:r>
        <w:rPr>
          <w:rFonts w:hint="eastAsia" w:ascii="黑体" w:hAnsi="黑体"/>
          <w:kern w:val="0"/>
          <w:sz w:val="21"/>
          <w:szCs w:val="21"/>
        </w:rPr>
        <w:t>结构框架、空间划分、内部装饰、外部装饰（砼结构）主要构件</w:t>
      </w:r>
      <w:r>
        <w:rPr>
          <w:rFonts w:ascii="黑体" w:hAnsi="黑体"/>
          <w:kern w:val="0"/>
          <w:sz w:val="21"/>
          <w:szCs w:val="21"/>
        </w:rPr>
        <w:t>LOD 3.0</w:t>
      </w:r>
      <w:r>
        <w:rPr>
          <w:rFonts w:hint="eastAsia" w:ascii="黑体" w:hAnsi="黑体"/>
          <w:kern w:val="0"/>
          <w:sz w:val="21"/>
          <w:szCs w:val="21"/>
        </w:rPr>
        <w:t>模型精细度表达</w:t>
      </w:r>
      <w:bookmarkEnd w:id="224"/>
      <w:bookmarkEnd w:id="225"/>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10464" behindDoc="0" locked="0" layoutInCell="1" allowOverlap="1">
                  <wp:simplePos x="0" y="0"/>
                  <wp:positionH relativeFrom="column">
                    <wp:posOffset>-55245</wp:posOffset>
                  </wp:positionH>
                  <wp:positionV relativeFrom="paragraph">
                    <wp:posOffset>4231005</wp:posOffset>
                  </wp:positionV>
                  <wp:extent cx="1233805" cy="408305"/>
                  <wp:effectExtent l="0" t="0" r="4445" b="0"/>
                  <wp:wrapNone/>
                  <wp:docPr id="254411061"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11061" name="图片 1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233805" cy="408305"/>
                          </a:xfrm>
                          <a:prstGeom prst="rect">
                            <a:avLst/>
                          </a:prstGeom>
                          <a:noFill/>
                        </pic:spPr>
                      </pic:pic>
                    </a:graphicData>
                  </a:graphic>
                </wp:anchor>
              </w:drawing>
            </w:r>
            <w:r>
              <w:drawing>
                <wp:anchor distT="0" distB="0" distL="114300" distR="114300" simplePos="0" relativeHeight="251713536" behindDoc="0" locked="0" layoutInCell="1" allowOverlap="1">
                  <wp:simplePos x="0" y="0"/>
                  <wp:positionH relativeFrom="column">
                    <wp:posOffset>4000500</wp:posOffset>
                  </wp:positionH>
                  <wp:positionV relativeFrom="paragraph">
                    <wp:posOffset>455930</wp:posOffset>
                  </wp:positionV>
                  <wp:extent cx="1390015" cy="772795"/>
                  <wp:effectExtent l="0" t="0" r="635" b="8255"/>
                  <wp:wrapNone/>
                  <wp:docPr id="23781280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812806" name="图片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390015" cy="772795"/>
                          </a:xfrm>
                          <a:prstGeom prst="rect">
                            <a:avLst/>
                          </a:prstGeom>
                          <a:noFill/>
                        </pic:spPr>
                      </pic:pic>
                    </a:graphicData>
                  </a:graphic>
                </wp:anchor>
              </w:drawing>
            </w:r>
            <w:r>
              <w:rPr>
                <w:rFonts w:ascii="黑体" w:hAnsi="黑体" w:eastAsia="黑体"/>
              </w:rPr>
              <w:drawing>
                <wp:anchor distT="0" distB="0" distL="114300" distR="114300" simplePos="0" relativeHeight="251788288" behindDoc="0" locked="0" layoutInCell="1" allowOverlap="1">
                  <wp:simplePos x="0" y="0"/>
                  <wp:positionH relativeFrom="column">
                    <wp:posOffset>3730625</wp:posOffset>
                  </wp:positionH>
                  <wp:positionV relativeFrom="paragraph">
                    <wp:posOffset>1386840</wp:posOffset>
                  </wp:positionV>
                  <wp:extent cx="1546225" cy="408305"/>
                  <wp:effectExtent l="0" t="0" r="0" b="0"/>
                  <wp:wrapNone/>
                  <wp:docPr id="1045201945"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201945" name="图片 1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546225" cy="408305"/>
                          </a:xfrm>
                          <a:prstGeom prst="rect">
                            <a:avLst/>
                          </a:prstGeom>
                          <a:noFill/>
                        </pic:spPr>
                      </pic:pic>
                    </a:graphicData>
                  </a:graphic>
                </wp:anchor>
              </w:drawing>
            </w:r>
            <w:r>
              <w:drawing>
                <wp:anchor distT="0" distB="0" distL="114300" distR="114300" simplePos="0" relativeHeight="251717632" behindDoc="0" locked="0" layoutInCell="1" allowOverlap="1">
                  <wp:simplePos x="0" y="0"/>
                  <wp:positionH relativeFrom="column">
                    <wp:posOffset>4571365</wp:posOffset>
                  </wp:positionH>
                  <wp:positionV relativeFrom="paragraph">
                    <wp:posOffset>2345690</wp:posOffset>
                  </wp:positionV>
                  <wp:extent cx="817245" cy="1166495"/>
                  <wp:effectExtent l="0" t="0" r="1905" b="0"/>
                  <wp:wrapNone/>
                  <wp:docPr id="455983667"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83667" name="图片 1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817245" cy="1166495"/>
                          </a:xfrm>
                          <a:prstGeom prst="rect">
                            <a:avLst/>
                          </a:prstGeom>
                          <a:noFill/>
                        </pic:spPr>
                      </pic:pic>
                    </a:graphicData>
                  </a:graphic>
                </wp:anchor>
              </w:drawing>
            </w:r>
            <w:r>
              <w:drawing>
                <wp:anchor distT="0" distB="0" distL="114300" distR="114300" simplePos="0" relativeHeight="251709440" behindDoc="0" locked="0" layoutInCell="1" allowOverlap="1">
                  <wp:simplePos x="0" y="0"/>
                  <wp:positionH relativeFrom="column">
                    <wp:posOffset>36830</wp:posOffset>
                  </wp:positionH>
                  <wp:positionV relativeFrom="paragraph">
                    <wp:posOffset>855345</wp:posOffset>
                  </wp:positionV>
                  <wp:extent cx="2334260" cy="854710"/>
                  <wp:effectExtent l="0" t="0" r="9525" b="2540"/>
                  <wp:wrapNone/>
                  <wp:docPr id="241488170"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88170" name="图片 1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338037" cy="856288"/>
                          </a:xfrm>
                          <a:prstGeom prst="rect">
                            <a:avLst/>
                          </a:prstGeom>
                          <a:noFill/>
                        </pic:spPr>
                      </pic:pic>
                    </a:graphicData>
                  </a:graphic>
                </wp:anchor>
              </w:drawing>
            </w:r>
            <w:r>
              <w:drawing>
                <wp:anchor distT="0" distB="0" distL="114300" distR="114300" simplePos="0" relativeHeight="251716608" behindDoc="0" locked="0" layoutInCell="1" allowOverlap="1">
                  <wp:simplePos x="0" y="0"/>
                  <wp:positionH relativeFrom="column">
                    <wp:posOffset>31115</wp:posOffset>
                  </wp:positionH>
                  <wp:positionV relativeFrom="paragraph">
                    <wp:posOffset>1399540</wp:posOffset>
                  </wp:positionV>
                  <wp:extent cx="1910715" cy="974090"/>
                  <wp:effectExtent l="0" t="0" r="0" b="0"/>
                  <wp:wrapNone/>
                  <wp:docPr id="42665856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658562" name="图片 1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913557" cy="975394"/>
                          </a:xfrm>
                          <a:prstGeom prst="rect">
                            <a:avLst/>
                          </a:prstGeom>
                          <a:noFill/>
                        </pic:spPr>
                      </pic:pic>
                    </a:graphicData>
                  </a:graphic>
                </wp:anchor>
              </w:drawing>
            </w:r>
            <w:r>
              <w:drawing>
                <wp:anchor distT="0" distB="0" distL="114300" distR="114300" simplePos="0" relativeHeight="251711488" behindDoc="0" locked="0" layoutInCell="1" allowOverlap="1">
                  <wp:simplePos x="0" y="0"/>
                  <wp:positionH relativeFrom="column">
                    <wp:posOffset>2560320</wp:posOffset>
                  </wp:positionH>
                  <wp:positionV relativeFrom="paragraph">
                    <wp:posOffset>3094990</wp:posOffset>
                  </wp:positionV>
                  <wp:extent cx="824865" cy="1070610"/>
                  <wp:effectExtent l="0" t="0" r="0" b="0"/>
                  <wp:wrapNone/>
                  <wp:docPr id="98996922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969227" name="图片 1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826538" cy="1072265"/>
                          </a:xfrm>
                          <a:prstGeom prst="rect">
                            <a:avLst/>
                          </a:prstGeom>
                          <a:noFill/>
                        </pic:spPr>
                      </pic:pic>
                    </a:graphicData>
                  </a:graphic>
                </wp:anchor>
              </w:drawing>
            </w:r>
            <w:r>
              <w:drawing>
                <wp:anchor distT="0" distB="0" distL="114300" distR="114300" simplePos="0" relativeHeight="251712512" behindDoc="0" locked="0" layoutInCell="1" allowOverlap="1">
                  <wp:simplePos x="0" y="0"/>
                  <wp:positionH relativeFrom="column">
                    <wp:posOffset>3410585</wp:posOffset>
                  </wp:positionH>
                  <wp:positionV relativeFrom="paragraph">
                    <wp:posOffset>2672715</wp:posOffset>
                  </wp:positionV>
                  <wp:extent cx="824865" cy="1471930"/>
                  <wp:effectExtent l="0" t="0" r="0" b="0"/>
                  <wp:wrapNone/>
                  <wp:docPr id="1742525913"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25913" name="图片 1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826674" cy="1474608"/>
                          </a:xfrm>
                          <a:prstGeom prst="rect">
                            <a:avLst/>
                          </a:prstGeom>
                          <a:noFill/>
                        </pic:spPr>
                      </pic:pic>
                    </a:graphicData>
                  </a:graphic>
                </wp:anchor>
              </w:drawing>
            </w:r>
            <w:r>
              <w:drawing>
                <wp:anchor distT="0" distB="0" distL="114300" distR="114300" simplePos="0" relativeHeight="251718656" behindDoc="0" locked="0" layoutInCell="1" allowOverlap="1">
                  <wp:simplePos x="0" y="0"/>
                  <wp:positionH relativeFrom="column">
                    <wp:posOffset>1905</wp:posOffset>
                  </wp:positionH>
                  <wp:positionV relativeFrom="paragraph">
                    <wp:posOffset>2128520</wp:posOffset>
                  </wp:positionV>
                  <wp:extent cx="1769110" cy="1174750"/>
                  <wp:effectExtent l="0" t="0" r="2540" b="6985"/>
                  <wp:wrapNone/>
                  <wp:docPr id="1246995446"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95446" name="图片 1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772136" cy="1176460"/>
                          </a:xfrm>
                          <a:prstGeom prst="rect">
                            <a:avLst/>
                          </a:prstGeom>
                          <a:noFill/>
                        </pic:spPr>
                      </pic:pic>
                    </a:graphicData>
                  </a:graphic>
                </wp:anchor>
              </w:drawing>
            </w:r>
            <w:r>
              <w:drawing>
                <wp:anchor distT="0" distB="0" distL="114300" distR="114300" simplePos="0" relativeHeight="251708416" behindDoc="0" locked="0" layoutInCell="1" allowOverlap="1">
                  <wp:simplePos x="0" y="0"/>
                  <wp:positionH relativeFrom="column">
                    <wp:posOffset>256540</wp:posOffset>
                  </wp:positionH>
                  <wp:positionV relativeFrom="paragraph">
                    <wp:posOffset>693420</wp:posOffset>
                  </wp:positionV>
                  <wp:extent cx="4785995" cy="3887470"/>
                  <wp:effectExtent l="0" t="0" r="0" b="0"/>
                  <wp:wrapNone/>
                  <wp:docPr id="2074266461" name="图片 134" descr="C:\Users\mashaoting\Documents\WeChat Files\Yameny\FileStorage\Temp\1682048109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6461" name="图片 134" descr="C:\Users\mashaoting\Documents\WeChat Files\Yameny\FileStorage\Temp\1682048109890.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788816" cy="3889441"/>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9"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rPr>
                <w:rFonts w:ascii="Times New Roman"/>
                <w:sz w:val="18"/>
                <w:szCs w:val="18"/>
              </w:rP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结构框架由结构专业建立</w:t>
            </w:r>
          </w:p>
          <w:p>
            <w:pPr>
              <w:pStyle w:val="62"/>
              <w:ind w:firstLine="180" w:firstLineChars="100"/>
              <w:rPr>
                <w:sz w:val="18"/>
                <w:szCs w:val="18"/>
              </w:rPr>
            </w:pPr>
            <w:r>
              <w:rPr>
                <w:rFonts w:hint="eastAsia"/>
                <w:sz w:val="18"/>
                <w:szCs w:val="18"/>
              </w:rPr>
              <w:t>空间划分由建筑专业建立</w:t>
            </w:r>
          </w:p>
          <w:p>
            <w:pPr>
              <w:pStyle w:val="62"/>
              <w:ind w:firstLine="180" w:firstLineChars="100"/>
              <w:rPr>
                <w:sz w:val="18"/>
                <w:szCs w:val="18"/>
              </w:rPr>
            </w:pPr>
            <w:r>
              <w:rPr>
                <w:rFonts w:hint="eastAsia"/>
                <w:sz w:val="18"/>
                <w:szCs w:val="18"/>
              </w:rPr>
              <w:t>楼梯结构由结构专业建立</w:t>
            </w:r>
          </w:p>
          <w:p>
            <w:pPr>
              <w:pStyle w:val="62"/>
              <w:ind w:firstLine="180" w:firstLineChars="100"/>
              <w:rPr>
                <w:sz w:val="18"/>
                <w:szCs w:val="18"/>
              </w:rPr>
            </w:pPr>
            <w:r>
              <w:rPr>
                <w:rFonts w:hint="eastAsia"/>
                <w:sz w:val="18"/>
                <w:szCs w:val="18"/>
              </w:rPr>
              <w:t>楼梯饰面由建筑或装饰专业建立</w:t>
            </w:r>
          </w:p>
          <w:p>
            <w:pPr>
              <w:pStyle w:val="62"/>
              <w:ind w:firstLine="180" w:firstLineChars="100"/>
              <w:rPr>
                <w:sz w:val="18"/>
                <w:szCs w:val="18"/>
              </w:rPr>
            </w:pPr>
            <w:r>
              <w:rPr>
                <w:rFonts w:hint="eastAsia"/>
                <w:sz w:val="18"/>
                <w:szCs w:val="18"/>
              </w:rPr>
              <w:t>相关构件不考虑优先级</w:t>
            </w:r>
          </w:p>
          <w:p>
            <w:pPr>
              <w:pStyle w:val="62"/>
              <w:ind w:firstLine="180" w:firstLineChars="100"/>
              <w:rPr>
                <w:sz w:val="18"/>
                <w:szCs w:val="18"/>
              </w:rPr>
            </w:pPr>
            <w:r>
              <w:rPr>
                <w:rFonts w:hint="eastAsia"/>
                <w:sz w:val="18"/>
                <w:szCs w:val="18"/>
              </w:rPr>
              <w:t>外部装饰应为独立构件，肌理通过填色、纹理填充表达</w:t>
            </w:r>
          </w:p>
          <w:p>
            <w:pPr>
              <w:pStyle w:val="62"/>
              <w:ind w:firstLine="180" w:firstLineChars="100"/>
              <w:rPr>
                <w:sz w:val="18"/>
                <w:szCs w:val="18"/>
              </w:rPr>
            </w:pPr>
            <w:r>
              <w:rPr>
                <w:rFonts w:hint="eastAsia"/>
                <w:sz w:val="18"/>
                <w:szCs w:val="18"/>
              </w:rPr>
              <w:t>板、梁应根据项目具体情况开设洞口</w:t>
            </w:r>
          </w:p>
          <w:p>
            <w:pPr>
              <w:pStyle w:val="62"/>
              <w:ind w:firstLine="180" w:firstLineChars="100"/>
              <w:rPr>
                <w:sz w:val="18"/>
                <w:szCs w:val="18"/>
              </w:rPr>
            </w:pPr>
            <w:r>
              <w:rPr>
                <w:rFonts w:hint="eastAsia"/>
                <w:sz w:val="18"/>
                <w:szCs w:val="18"/>
              </w:rPr>
              <w:t>吊顶应由建筑或者装饰专业建立</w:t>
            </w:r>
          </w:p>
          <w:p>
            <w:pPr>
              <w:pStyle w:val="62"/>
              <w:ind w:firstLine="180" w:firstLineChars="100"/>
              <w:rPr>
                <w:sz w:val="18"/>
                <w:szCs w:val="18"/>
              </w:rPr>
            </w:pPr>
            <w:r>
              <w:rPr>
                <w:rFonts w:hint="eastAsia"/>
                <w:sz w:val="18"/>
                <w:szCs w:val="18"/>
              </w:rPr>
              <w:t>非几何信息应包含各空间属性信息</w:t>
            </w:r>
          </w:p>
          <w:p>
            <w:pPr>
              <w:pStyle w:val="62"/>
              <w:ind w:firstLine="180" w:firstLineChars="100"/>
              <w:rPr>
                <w:sz w:val="18"/>
                <w:szCs w:val="18"/>
              </w:rPr>
            </w:pPr>
            <w:r>
              <w:rPr>
                <w:rFonts w:hint="eastAsia"/>
                <w:sz w:val="18"/>
                <w:szCs w:val="18"/>
              </w:rPr>
              <w:t>该精细度表达特定元素，包括其尺寸、容量、连接关系等</w:t>
            </w:r>
          </w:p>
          <w:p>
            <w:pPr>
              <w:pStyle w:val="62"/>
              <w:ind w:firstLine="180" w:firstLineChars="100"/>
            </w:pPr>
            <w:r>
              <w:rPr>
                <w:rFonts w:hint="eastAsia"/>
                <w:sz w:val="18"/>
                <w:szCs w:val="18"/>
              </w:rPr>
              <w:t>例如柱（混凝土结构）应在LOD2.0的基础上增加表达柱标识、附带节点详图、钢筋布置图等几何信息和材料信息等技术信息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B.0.4</w:t>
      </w:r>
      <w:r>
        <w:rPr>
          <w:rFonts w:hint="eastAsia" w:ascii="宋体" w:hAnsi="宋体"/>
        </w:rPr>
        <w:t xml:space="preserve"> 结构框架、空间划分、内部装饰、外部装饰（砼结构）主要构件LOD 3.5模型精细度表达应符合表</w:t>
      </w:r>
      <w:r>
        <w:rPr>
          <w:rFonts w:ascii="宋体" w:hAnsi="宋体"/>
        </w:rPr>
        <w:t>B.4</w:t>
      </w:r>
      <w:r>
        <w:rPr>
          <w:rFonts w:hint="eastAsia" w:ascii="宋体" w:hAnsi="宋体"/>
        </w:rPr>
        <w:t>的规定。</w:t>
      </w:r>
    </w:p>
    <w:p>
      <w:pPr>
        <w:pStyle w:val="13"/>
        <w:spacing w:before="156" w:beforeLines="50" w:after="156" w:afterLines="50"/>
        <w:jc w:val="center"/>
        <w:rPr>
          <w:rFonts w:hint="eastAsia" w:ascii="黑体" w:hAnsi="黑体"/>
          <w:kern w:val="0"/>
        </w:rPr>
      </w:pPr>
      <w:bookmarkStart w:id="226" w:name="_Toc174544057"/>
      <w:bookmarkStart w:id="227" w:name="_Toc174544114"/>
      <w:r>
        <w:rPr>
          <w:rFonts w:hint="eastAsia" w:ascii="黑体" w:hAnsi="黑体"/>
          <w:sz w:val="21"/>
          <w:szCs w:val="21"/>
        </w:rPr>
        <w:t>表</w:t>
      </w:r>
      <w:r>
        <w:rPr>
          <w:rFonts w:ascii="黑体" w:hAnsi="黑体"/>
          <w:sz w:val="21"/>
          <w:szCs w:val="21"/>
        </w:rPr>
        <w:t>B.</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B. \* ARABIC </w:instrText>
      </w:r>
      <w:r>
        <w:rPr>
          <w:rFonts w:ascii="黑体" w:hAnsi="黑体"/>
          <w:sz w:val="21"/>
          <w:szCs w:val="21"/>
        </w:rPr>
        <w:fldChar w:fldCharType="separate"/>
      </w:r>
      <w:r>
        <w:rPr>
          <w:rFonts w:ascii="黑体" w:hAnsi="黑体"/>
          <w:sz w:val="21"/>
          <w:szCs w:val="21"/>
        </w:rPr>
        <w:t>4</w:t>
      </w:r>
      <w:r>
        <w:rPr>
          <w:rFonts w:ascii="黑体" w:hAnsi="黑体"/>
          <w:sz w:val="21"/>
          <w:szCs w:val="21"/>
        </w:rPr>
        <w:fldChar w:fldCharType="end"/>
      </w:r>
      <w:r>
        <w:rPr>
          <w:rFonts w:hint="eastAsia" w:ascii="黑体" w:hAnsi="黑体"/>
          <w:sz w:val="21"/>
          <w:szCs w:val="21"/>
        </w:rPr>
        <w:t xml:space="preserve"> </w:t>
      </w:r>
      <w:r>
        <w:rPr>
          <w:rFonts w:hint="eastAsia" w:ascii="黑体" w:hAnsi="黑体"/>
          <w:kern w:val="0"/>
          <w:sz w:val="21"/>
          <w:szCs w:val="21"/>
        </w:rPr>
        <w:t>结构框架、空间划分、内部装饰、外部装饰（砼结构）主要构件</w:t>
      </w:r>
      <w:r>
        <w:rPr>
          <w:rFonts w:ascii="黑体" w:hAnsi="黑体"/>
          <w:kern w:val="0"/>
          <w:sz w:val="21"/>
          <w:szCs w:val="21"/>
        </w:rPr>
        <w:t>LOD 3.5模型精细度表达</w:t>
      </w:r>
      <w:bookmarkEnd w:id="226"/>
      <w:bookmarkEnd w:id="227"/>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4"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26848" behindDoc="0" locked="0" layoutInCell="1" allowOverlap="1">
                  <wp:simplePos x="0" y="0"/>
                  <wp:positionH relativeFrom="column">
                    <wp:posOffset>77470</wp:posOffset>
                  </wp:positionH>
                  <wp:positionV relativeFrom="paragraph">
                    <wp:posOffset>1744980</wp:posOffset>
                  </wp:positionV>
                  <wp:extent cx="1743710" cy="1156970"/>
                  <wp:effectExtent l="0" t="0" r="8890" b="5080"/>
                  <wp:wrapNone/>
                  <wp:docPr id="49663765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7655" name="图片 1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743710" cy="1156970"/>
                          </a:xfrm>
                          <a:prstGeom prst="rect">
                            <a:avLst/>
                          </a:prstGeom>
                          <a:noFill/>
                        </pic:spPr>
                      </pic:pic>
                    </a:graphicData>
                  </a:graphic>
                </wp:anchor>
              </w:drawing>
            </w:r>
            <w:r>
              <w:drawing>
                <wp:anchor distT="0" distB="0" distL="114300" distR="114300" simplePos="0" relativeHeight="251721728" behindDoc="0" locked="0" layoutInCell="1" allowOverlap="1">
                  <wp:simplePos x="0" y="0"/>
                  <wp:positionH relativeFrom="column">
                    <wp:posOffset>-20320</wp:posOffset>
                  </wp:positionH>
                  <wp:positionV relativeFrom="paragraph">
                    <wp:posOffset>3910965</wp:posOffset>
                  </wp:positionV>
                  <wp:extent cx="1216025" cy="402590"/>
                  <wp:effectExtent l="0" t="0" r="3175" b="0"/>
                  <wp:wrapNone/>
                  <wp:docPr id="111525177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251775" name="图片 1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216025" cy="402590"/>
                          </a:xfrm>
                          <a:prstGeom prst="rect">
                            <a:avLst/>
                          </a:prstGeom>
                          <a:noFill/>
                        </pic:spPr>
                      </pic:pic>
                    </a:graphicData>
                  </a:graphic>
                </wp:anchor>
              </w:drawing>
            </w:r>
            <w:r>
              <w:drawing>
                <wp:anchor distT="0" distB="0" distL="114300" distR="114300" simplePos="0" relativeHeight="251728896" behindDoc="0" locked="0" layoutInCell="1" allowOverlap="1">
                  <wp:simplePos x="0" y="0"/>
                  <wp:positionH relativeFrom="column">
                    <wp:posOffset>1703705</wp:posOffset>
                  </wp:positionH>
                  <wp:positionV relativeFrom="paragraph">
                    <wp:posOffset>3707765</wp:posOffset>
                  </wp:positionV>
                  <wp:extent cx="1135380" cy="710565"/>
                  <wp:effectExtent l="0" t="0" r="7620" b="0"/>
                  <wp:wrapNone/>
                  <wp:docPr id="7267535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5359" name="图片 1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135380" cy="710565"/>
                          </a:xfrm>
                          <a:prstGeom prst="rect">
                            <a:avLst/>
                          </a:prstGeom>
                          <a:noFill/>
                        </pic:spPr>
                      </pic:pic>
                    </a:graphicData>
                  </a:graphic>
                </wp:anchor>
              </w:drawing>
            </w:r>
            <w:r>
              <w:drawing>
                <wp:anchor distT="0" distB="0" distL="114300" distR="114300" simplePos="0" relativeHeight="251722752" behindDoc="0" locked="0" layoutInCell="1" allowOverlap="1">
                  <wp:simplePos x="0" y="0"/>
                  <wp:positionH relativeFrom="column">
                    <wp:posOffset>2480310</wp:posOffset>
                  </wp:positionH>
                  <wp:positionV relativeFrom="paragraph">
                    <wp:posOffset>2893695</wp:posOffset>
                  </wp:positionV>
                  <wp:extent cx="812800" cy="1054735"/>
                  <wp:effectExtent l="0" t="0" r="6350" b="0"/>
                  <wp:wrapNone/>
                  <wp:docPr id="179105291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052915" name="图片 1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812800" cy="1054735"/>
                          </a:xfrm>
                          <a:prstGeom prst="rect">
                            <a:avLst/>
                          </a:prstGeom>
                          <a:noFill/>
                        </pic:spPr>
                      </pic:pic>
                    </a:graphicData>
                  </a:graphic>
                </wp:anchor>
              </w:drawing>
            </w:r>
            <w:r>
              <w:drawing>
                <wp:anchor distT="0" distB="0" distL="114300" distR="114300" simplePos="0" relativeHeight="251729920" behindDoc="0" locked="0" layoutInCell="1" allowOverlap="1">
                  <wp:simplePos x="0" y="0"/>
                  <wp:positionH relativeFrom="column">
                    <wp:posOffset>3168015</wp:posOffset>
                  </wp:positionH>
                  <wp:positionV relativeFrom="paragraph">
                    <wp:posOffset>2724150</wp:posOffset>
                  </wp:positionV>
                  <wp:extent cx="1487170" cy="1061720"/>
                  <wp:effectExtent l="0" t="0" r="0" b="5080"/>
                  <wp:wrapNone/>
                  <wp:docPr id="63080700"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700" name="图片 1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487170" cy="1061720"/>
                          </a:xfrm>
                          <a:prstGeom prst="rect">
                            <a:avLst/>
                          </a:prstGeom>
                          <a:noFill/>
                        </pic:spPr>
                      </pic:pic>
                    </a:graphicData>
                  </a:graphic>
                </wp:anchor>
              </w:drawing>
            </w:r>
            <w:r>
              <w:drawing>
                <wp:anchor distT="0" distB="0" distL="114300" distR="114300" simplePos="0" relativeHeight="251725824" behindDoc="0" locked="0" layoutInCell="1" allowOverlap="1">
                  <wp:simplePos x="0" y="0"/>
                  <wp:positionH relativeFrom="column">
                    <wp:posOffset>4512945</wp:posOffset>
                  </wp:positionH>
                  <wp:positionV relativeFrom="paragraph">
                    <wp:posOffset>2192655</wp:posOffset>
                  </wp:positionV>
                  <wp:extent cx="805815" cy="1149985"/>
                  <wp:effectExtent l="0" t="0" r="0" b="0"/>
                  <wp:wrapNone/>
                  <wp:docPr id="65284049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40494" name="图片 1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805815" cy="1149985"/>
                          </a:xfrm>
                          <a:prstGeom prst="rect">
                            <a:avLst/>
                          </a:prstGeom>
                          <a:noFill/>
                        </pic:spPr>
                      </pic:pic>
                    </a:graphicData>
                  </a:graphic>
                </wp:anchor>
              </w:drawing>
            </w:r>
            <w:r>
              <w:rPr>
                <w:rFonts w:ascii="黑体" w:hAnsi="黑体" w:eastAsia="黑体"/>
              </w:rPr>
              <w:drawing>
                <wp:anchor distT="0" distB="0" distL="114300" distR="114300" simplePos="0" relativeHeight="251727872" behindDoc="0" locked="0" layoutInCell="1" allowOverlap="1">
                  <wp:simplePos x="0" y="0"/>
                  <wp:positionH relativeFrom="column">
                    <wp:posOffset>3860165</wp:posOffset>
                  </wp:positionH>
                  <wp:positionV relativeFrom="paragraph">
                    <wp:posOffset>1380490</wp:posOffset>
                  </wp:positionV>
                  <wp:extent cx="1523365" cy="402590"/>
                  <wp:effectExtent l="0" t="0" r="635" b="0"/>
                  <wp:wrapNone/>
                  <wp:docPr id="1508698531"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698531" name="图片 1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523365" cy="402590"/>
                          </a:xfrm>
                          <a:prstGeom prst="rect">
                            <a:avLst/>
                          </a:prstGeom>
                          <a:noFill/>
                        </pic:spPr>
                      </pic:pic>
                    </a:graphicData>
                  </a:graphic>
                </wp:anchor>
              </w:drawing>
            </w:r>
            <w:r>
              <w:drawing>
                <wp:anchor distT="0" distB="0" distL="114300" distR="114300" simplePos="0" relativeHeight="251723776" behindDoc="0" locked="0" layoutInCell="1" allowOverlap="1">
                  <wp:simplePos x="0" y="0"/>
                  <wp:positionH relativeFrom="column">
                    <wp:posOffset>3987165</wp:posOffset>
                  </wp:positionH>
                  <wp:positionV relativeFrom="paragraph">
                    <wp:posOffset>444500</wp:posOffset>
                  </wp:positionV>
                  <wp:extent cx="1369695" cy="761365"/>
                  <wp:effectExtent l="0" t="0" r="1905" b="635"/>
                  <wp:wrapNone/>
                  <wp:docPr id="133075486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754868" name="图片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369695" cy="761365"/>
                          </a:xfrm>
                          <a:prstGeom prst="rect">
                            <a:avLst/>
                          </a:prstGeom>
                          <a:noFill/>
                        </pic:spPr>
                      </pic:pic>
                    </a:graphicData>
                  </a:graphic>
                </wp:anchor>
              </w:drawing>
            </w:r>
            <w:r>
              <w:drawing>
                <wp:anchor distT="0" distB="0" distL="114300" distR="114300" simplePos="0" relativeHeight="251724800" behindDoc="0" locked="0" layoutInCell="1" allowOverlap="1">
                  <wp:simplePos x="0" y="0"/>
                  <wp:positionH relativeFrom="column">
                    <wp:posOffset>77470</wp:posOffset>
                  </wp:positionH>
                  <wp:positionV relativeFrom="paragraph">
                    <wp:posOffset>1301115</wp:posOffset>
                  </wp:positionV>
                  <wp:extent cx="1882775" cy="959485"/>
                  <wp:effectExtent l="0" t="0" r="3175" b="0"/>
                  <wp:wrapNone/>
                  <wp:docPr id="613871003"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871003" name="图片 1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886707" cy="961707"/>
                          </a:xfrm>
                          <a:prstGeom prst="rect">
                            <a:avLst/>
                          </a:prstGeom>
                          <a:noFill/>
                        </pic:spPr>
                      </pic:pic>
                    </a:graphicData>
                  </a:graphic>
                </wp:anchor>
              </w:drawing>
            </w:r>
            <w:r>
              <w:drawing>
                <wp:anchor distT="0" distB="0" distL="114300" distR="114300" simplePos="0" relativeHeight="251720704" behindDoc="0" locked="0" layoutInCell="1" allowOverlap="1">
                  <wp:simplePos x="0" y="0"/>
                  <wp:positionH relativeFrom="column">
                    <wp:posOffset>71755</wp:posOffset>
                  </wp:positionH>
                  <wp:positionV relativeFrom="paragraph">
                    <wp:posOffset>831850</wp:posOffset>
                  </wp:positionV>
                  <wp:extent cx="2300605" cy="842645"/>
                  <wp:effectExtent l="0" t="0" r="5080" b="0"/>
                  <wp:wrapNone/>
                  <wp:docPr id="123988000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80001" name="图片 1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307995" cy="845285"/>
                          </a:xfrm>
                          <a:prstGeom prst="rect">
                            <a:avLst/>
                          </a:prstGeom>
                          <a:noFill/>
                        </pic:spPr>
                      </pic:pic>
                    </a:graphicData>
                  </a:graphic>
                </wp:anchor>
              </w:drawing>
            </w:r>
            <w:r>
              <w:drawing>
                <wp:anchor distT="0" distB="0" distL="114300" distR="114300" simplePos="0" relativeHeight="251719680" behindDoc="0" locked="0" layoutInCell="1" allowOverlap="1">
                  <wp:simplePos x="0" y="0"/>
                  <wp:positionH relativeFrom="column">
                    <wp:posOffset>494030</wp:posOffset>
                  </wp:positionH>
                  <wp:positionV relativeFrom="paragraph">
                    <wp:posOffset>652780</wp:posOffset>
                  </wp:positionV>
                  <wp:extent cx="4410075" cy="3596640"/>
                  <wp:effectExtent l="0" t="0" r="0" b="3810"/>
                  <wp:wrapNone/>
                  <wp:docPr id="1234923985" name="图片 139" descr="C:\Users\mashaoting\Documents\WeChat Files\Yameny\FileStorage\Temp\16820491408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23985" name="图片 139" descr="C:\Users\mashaoting\Documents\WeChat Files\Yameny\FileStorage\Temp\1682049140869.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413002" cy="3599196"/>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9"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rPr>
                <w:rFonts w:ascii="Times New Roman"/>
                <w:sz w:val="18"/>
                <w:szCs w:val="18"/>
              </w:rP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结构框架由结构专业建立</w:t>
            </w:r>
          </w:p>
          <w:p>
            <w:pPr>
              <w:pStyle w:val="62"/>
              <w:ind w:firstLine="180" w:firstLineChars="100"/>
              <w:rPr>
                <w:sz w:val="18"/>
                <w:szCs w:val="18"/>
              </w:rPr>
            </w:pPr>
            <w:r>
              <w:rPr>
                <w:rFonts w:hint="eastAsia"/>
                <w:sz w:val="18"/>
                <w:szCs w:val="18"/>
              </w:rPr>
              <w:t>空间划分由建筑专业建立</w:t>
            </w:r>
          </w:p>
          <w:p>
            <w:pPr>
              <w:pStyle w:val="62"/>
              <w:ind w:firstLine="180" w:firstLineChars="100"/>
              <w:rPr>
                <w:sz w:val="18"/>
                <w:szCs w:val="18"/>
              </w:rPr>
            </w:pPr>
            <w:r>
              <w:rPr>
                <w:rFonts w:hint="eastAsia"/>
                <w:sz w:val="18"/>
                <w:szCs w:val="18"/>
              </w:rPr>
              <w:t>楼梯结构由结构专业建立</w:t>
            </w:r>
          </w:p>
          <w:p>
            <w:pPr>
              <w:pStyle w:val="62"/>
              <w:ind w:firstLine="180" w:firstLineChars="100"/>
              <w:rPr>
                <w:sz w:val="18"/>
                <w:szCs w:val="18"/>
              </w:rPr>
            </w:pPr>
            <w:r>
              <w:rPr>
                <w:rFonts w:hint="eastAsia"/>
                <w:sz w:val="18"/>
                <w:szCs w:val="18"/>
              </w:rPr>
              <w:t>楼梯饰面由建筑或装饰专业建立</w:t>
            </w:r>
          </w:p>
          <w:p>
            <w:pPr>
              <w:pStyle w:val="62"/>
              <w:ind w:firstLine="180" w:firstLineChars="100"/>
              <w:rPr>
                <w:sz w:val="18"/>
                <w:szCs w:val="18"/>
              </w:rPr>
            </w:pPr>
            <w:r>
              <w:rPr>
                <w:rFonts w:hint="eastAsia"/>
                <w:sz w:val="18"/>
                <w:szCs w:val="18"/>
              </w:rPr>
              <w:t>吊顶应由建筑或者装饰专业建立</w:t>
            </w:r>
          </w:p>
          <w:p>
            <w:pPr>
              <w:pStyle w:val="62"/>
              <w:ind w:firstLine="180" w:firstLineChars="100"/>
              <w:rPr>
                <w:sz w:val="18"/>
                <w:szCs w:val="18"/>
              </w:rPr>
            </w:pPr>
            <w:r>
              <w:rPr>
                <w:rFonts w:hint="eastAsia"/>
                <w:sz w:val="18"/>
                <w:szCs w:val="18"/>
              </w:rPr>
              <w:t>外部装饰应为独立构件，预埋件、主要支撑构件、石材应分别表达</w:t>
            </w:r>
          </w:p>
          <w:p>
            <w:pPr>
              <w:pStyle w:val="62"/>
              <w:ind w:firstLine="180" w:firstLineChars="100"/>
              <w:rPr>
                <w:sz w:val="18"/>
                <w:szCs w:val="18"/>
              </w:rPr>
            </w:pPr>
            <w:r>
              <w:rPr>
                <w:rFonts w:hint="eastAsia"/>
                <w:sz w:val="18"/>
                <w:szCs w:val="18"/>
              </w:rPr>
              <w:t>各构件应该根据项目具体情况开设洞口</w:t>
            </w:r>
          </w:p>
          <w:p>
            <w:pPr>
              <w:pStyle w:val="62"/>
              <w:ind w:firstLine="180" w:firstLineChars="100"/>
              <w:rPr>
                <w:sz w:val="18"/>
                <w:szCs w:val="18"/>
              </w:rPr>
            </w:pPr>
            <w:r>
              <w:rPr>
                <w:rFonts w:hint="eastAsia"/>
                <w:sz w:val="18"/>
                <w:szCs w:val="18"/>
              </w:rPr>
              <w:t>构件之间应该体现优先级</w:t>
            </w:r>
          </w:p>
          <w:p>
            <w:pPr>
              <w:pStyle w:val="62"/>
              <w:ind w:firstLine="180" w:firstLineChars="100"/>
              <w:rPr>
                <w:sz w:val="18"/>
                <w:szCs w:val="18"/>
              </w:rPr>
            </w:pPr>
            <w:r>
              <w:rPr>
                <w:rFonts w:hint="eastAsia"/>
                <w:sz w:val="18"/>
                <w:szCs w:val="18"/>
              </w:rPr>
              <w:t>非几何信息应包含各空间属性信息，应包含运维应用中资产管理涉及的家具、家电等属性信息</w:t>
            </w:r>
          </w:p>
          <w:p>
            <w:pPr>
              <w:pStyle w:val="62"/>
              <w:ind w:firstLine="180" w:firstLineChars="100"/>
              <w:rPr>
                <w:sz w:val="18"/>
                <w:szCs w:val="18"/>
              </w:rPr>
            </w:pPr>
            <w:r>
              <w:rPr>
                <w:rFonts w:hint="eastAsia"/>
                <w:sz w:val="18"/>
                <w:szCs w:val="18"/>
              </w:rPr>
              <w:t>该精细度模型可用于采购、生产及安装</w:t>
            </w:r>
          </w:p>
          <w:p>
            <w:pPr>
              <w:pStyle w:val="62"/>
              <w:ind w:firstLine="180" w:firstLineChars="100"/>
            </w:pPr>
            <w:r>
              <w:rPr>
                <w:rFonts w:hint="eastAsia"/>
                <w:sz w:val="18"/>
                <w:szCs w:val="18"/>
              </w:rPr>
              <w:t>例如柱（混凝土结构）应在LOD3.0的基础上增加表达供应商、产品合格证、生产厂家、生产日期、价格等产品信息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B.0.5</w:t>
      </w:r>
      <w:r>
        <w:rPr>
          <w:rFonts w:hint="eastAsia" w:ascii="宋体" w:hAnsi="宋体"/>
        </w:rPr>
        <w:t xml:space="preserve"> 结构框架、空间划分、内部装饰、外部装饰（砼结构）主要构件LOD</w:t>
      </w:r>
      <w:r>
        <w:rPr>
          <w:rFonts w:ascii="宋体" w:hAnsi="宋体"/>
        </w:rPr>
        <w:t xml:space="preserve"> 4.0</w:t>
      </w:r>
      <w:r>
        <w:rPr>
          <w:rFonts w:hint="eastAsia" w:ascii="宋体" w:hAnsi="宋体"/>
        </w:rPr>
        <w:t>模型精细度表达应符合表</w:t>
      </w:r>
      <w:r>
        <w:rPr>
          <w:rFonts w:ascii="宋体" w:hAnsi="宋体"/>
        </w:rPr>
        <w:t>B.5</w:t>
      </w:r>
      <w:r>
        <w:rPr>
          <w:rFonts w:hint="eastAsia" w:ascii="宋体" w:hAnsi="宋体"/>
        </w:rPr>
        <w:t>的规定。</w:t>
      </w:r>
    </w:p>
    <w:p>
      <w:pPr>
        <w:pStyle w:val="13"/>
        <w:spacing w:before="156" w:beforeLines="50" w:after="156" w:afterLines="50"/>
        <w:jc w:val="center"/>
        <w:rPr>
          <w:rFonts w:hint="eastAsia" w:ascii="黑体" w:hAnsi="黑体"/>
          <w:kern w:val="0"/>
        </w:rPr>
      </w:pPr>
      <w:bookmarkStart w:id="228" w:name="_Toc174544058"/>
      <w:bookmarkStart w:id="229" w:name="_Toc174544115"/>
      <w:r>
        <w:rPr>
          <w:rFonts w:hint="eastAsia" w:ascii="黑体" w:hAnsi="黑体"/>
          <w:sz w:val="21"/>
          <w:szCs w:val="21"/>
        </w:rPr>
        <w:t>表</w:t>
      </w:r>
      <w:r>
        <w:rPr>
          <w:rFonts w:ascii="黑体" w:hAnsi="黑体"/>
          <w:sz w:val="21"/>
          <w:szCs w:val="21"/>
        </w:rPr>
        <w:t>B.</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B. \* ARABIC </w:instrText>
      </w:r>
      <w:r>
        <w:rPr>
          <w:rFonts w:ascii="黑体" w:hAnsi="黑体"/>
          <w:sz w:val="21"/>
          <w:szCs w:val="21"/>
        </w:rPr>
        <w:fldChar w:fldCharType="separate"/>
      </w:r>
      <w:r>
        <w:rPr>
          <w:rFonts w:ascii="黑体" w:hAnsi="黑体"/>
          <w:sz w:val="21"/>
          <w:szCs w:val="21"/>
        </w:rPr>
        <w:t>5</w:t>
      </w:r>
      <w:r>
        <w:rPr>
          <w:rFonts w:ascii="黑体" w:hAnsi="黑体"/>
          <w:sz w:val="21"/>
          <w:szCs w:val="21"/>
        </w:rPr>
        <w:fldChar w:fldCharType="end"/>
      </w:r>
      <w:r>
        <w:rPr>
          <w:rFonts w:ascii="黑体" w:hAnsi="黑体"/>
          <w:sz w:val="21"/>
          <w:szCs w:val="21"/>
        </w:rPr>
        <w:t xml:space="preserve"> </w:t>
      </w:r>
      <w:r>
        <w:rPr>
          <w:rFonts w:hint="eastAsia" w:ascii="黑体" w:hAnsi="黑体"/>
          <w:kern w:val="0"/>
          <w:sz w:val="21"/>
          <w:szCs w:val="21"/>
        </w:rPr>
        <w:t>结构框架、空间划分、内部装饰、外部装饰（砼结构）主要构件</w:t>
      </w:r>
      <w:r>
        <w:rPr>
          <w:rFonts w:ascii="黑体" w:hAnsi="黑体"/>
          <w:kern w:val="0"/>
          <w:sz w:val="21"/>
          <w:szCs w:val="21"/>
        </w:rPr>
        <w:t>LOD 4.0</w:t>
      </w:r>
      <w:r>
        <w:rPr>
          <w:rFonts w:hint="eastAsia" w:ascii="黑体" w:hAnsi="黑体"/>
          <w:kern w:val="0"/>
          <w:sz w:val="21"/>
          <w:szCs w:val="21"/>
        </w:rPr>
        <w:t>模型精细度表达</w:t>
      </w:r>
      <w:bookmarkEnd w:id="228"/>
      <w:bookmarkEnd w:id="229"/>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4"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32992" behindDoc="0" locked="0" layoutInCell="1" allowOverlap="1">
                  <wp:simplePos x="0" y="0"/>
                  <wp:positionH relativeFrom="column">
                    <wp:posOffset>-3175</wp:posOffset>
                  </wp:positionH>
                  <wp:positionV relativeFrom="paragraph">
                    <wp:posOffset>3441700</wp:posOffset>
                  </wp:positionV>
                  <wp:extent cx="1212850" cy="401955"/>
                  <wp:effectExtent l="0" t="0" r="6350" b="0"/>
                  <wp:wrapNone/>
                  <wp:docPr id="146013914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139140" name="图片 1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212850" cy="401955"/>
                          </a:xfrm>
                          <a:prstGeom prst="rect">
                            <a:avLst/>
                          </a:prstGeom>
                          <a:noFill/>
                        </pic:spPr>
                      </pic:pic>
                    </a:graphicData>
                  </a:graphic>
                </wp:anchor>
              </w:drawing>
            </w:r>
            <w:r>
              <w:drawing>
                <wp:anchor distT="0" distB="0" distL="114300" distR="114300" simplePos="0" relativeHeight="251740160" behindDoc="0" locked="0" layoutInCell="1" allowOverlap="1">
                  <wp:simplePos x="0" y="0"/>
                  <wp:positionH relativeFrom="column">
                    <wp:posOffset>1645285</wp:posOffset>
                  </wp:positionH>
                  <wp:positionV relativeFrom="paragraph">
                    <wp:posOffset>3281045</wp:posOffset>
                  </wp:positionV>
                  <wp:extent cx="1132840" cy="708660"/>
                  <wp:effectExtent l="0" t="0" r="0" b="0"/>
                  <wp:wrapNone/>
                  <wp:docPr id="263735817"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35817" name="图片 1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132840" cy="708660"/>
                          </a:xfrm>
                          <a:prstGeom prst="rect">
                            <a:avLst/>
                          </a:prstGeom>
                          <a:noFill/>
                        </pic:spPr>
                      </pic:pic>
                    </a:graphicData>
                  </a:graphic>
                </wp:anchor>
              </w:drawing>
            </w:r>
            <w:r>
              <w:drawing>
                <wp:anchor distT="0" distB="0" distL="114300" distR="114300" simplePos="0" relativeHeight="251734016" behindDoc="0" locked="0" layoutInCell="1" allowOverlap="1">
                  <wp:simplePos x="0" y="0"/>
                  <wp:positionH relativeFrom="column">
                    <wp:posOffset>2506345</wp:posOffset>
                  </wp:positionH>
                  <wp:positionV relativeFrom="paragraph">
                    <wp:posOffset>2533650</wp:posOffset>
                  </wp:positionV>
                  <wp:extent cx="810895" cy="1052195"/>
                  <wp:effectExtent l="0" t="0" r="8255" b="0"/>
                  <wp:wrapNone/>
                  <wp:docPr id="87394887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948875" name="图片 1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810895" cy="1052195"/>
                          </a:xfrm>
                          <a:prstGeom prst="rect">
                            <a:avLst/>
                          </a:prstGeom>
                          <a:noFill/>
                        </pic:spPr>
                      </pic:pic>
                    </a:graphicData>
                  </a:graphic>
                </wp:anchor>
              </w:drawing>
            </w:r>
            <w:r>
              <w:drawing>
                <wp:anchor distT="0" distB="0" distL="114300" distR="114300" simplePos="0" relativeHeight="251741184" behindDoc="0" locked="0" layoutInCell="1" allowOverlap="1">
                  <wp:simplePos x="0" y="0"/>
                  <wp:positionH relativeFrom="column">
                    <wp:posOffset>3188335</wp:posOffset>
                  </wp:positionH>
                  <wp:positionV relativeFrom="paragraph">
                    <wp:posOffset>2309495</wp:posOffset>
                  </wp:positionV>
                  <wp:extent cx="1483360" cy="1059815"/>
                  <wp:effectExtent l="0" t="0" r="2540" b="6985"/>
                  <wp:wrapNone/>
                  <wp:docPr id="260848727"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48727" name="图片 1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483360" cy="1059815"/>
                          </a:xfrm>
                          <a:prstGeom prst="rect">
                            <a:avLst/>
                          </a:prstGeom>
                          <a:noFill/>
                        </pic:spPr>
                      </pic:pic>
                    </a:graphicData>
                  </a:graphic>
                </wp:anchor>
              </w:drawing>
            </w:r>
            <w:r>
              <w:drawing>
                <wp:anchor distT="0" distB="0" distL="114300" distR="114300" simplePos="0" relativeHeight="251737088" behindDoc="0" locked="0" layoutInCell="1" allowOverlap="1">
                  <wp:simplePos x="0" y="0"/>
                  <wp:positionH relativeFrom="column">
                    <wp:posOffset>4516120</wp:posOffset>
                  </wp:positionH>
                  <wp:positionV relativeFrom="paragraph">
                    <wp:posOffset>1731010</wp:posOffset>
                  </wp:positionV>
                  <wp:extent cx="803910" cy="1147445"/>
                  <wp:effectExtent l="0" t="0" r="0" b="0"/>
                  <wp:wrapNone/>
                  <wp:docPr id="1484135602"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5602" name="图片 1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803910" cy="1147445"/>
                          </a:xfrm>
                          <a:prstGeom prst="rect">
                            <a:avLst/>
                          </a:prstGeom>
                          <a:noFill/>
                        </pic:spPr>
                      </pic:pic>
                    </a:graphicData>
                  </a:graphic>
                </wp:anchor>
              </w:drawing>
            </w:r>
            <w:r>
              <w:rPr>
                <w:rFonts w:ascii="黑体" w:hAnsi="黑体" w:eastAsia="黑体"/>
              </w:rPr>
              <w:drawing>
                <wp:anchor distT="0" distB="0" distL="114300" distR="114300" simplePos="0" relativeHeight="251739136" behindDoc="0" locked="0" layoutInCell="1" allowOverlap="1">
                  <wp:simplePos x="0" y="0"/>
                  <wp:positionH relativeFrom="column">
                    <wp:posOffset>3867785</wp:posOffset>
                  </wp:positionH>
                  <wp:positionV relativeFrom="paragraph">
                    <wp:posOffset>953770</wp:posOffset>
                  </wp:positionV>
                  <wp:extent cx="1520190" cy="401955"/>
                  <wp:effectExtent l="0" t="0" r="3810" b="0"/>
                  <wp:wrapNone/>
                  <wp:docPr id="590590832"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590832" name="图片 1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520190" cy="401955"/>
                          </a:xfrm>
                          <a:prstGeom prst="rect">
                            <a:avLst/>
                          </a:prstGeom>
                          <a:noFill/>
                        </pic:spPr>
                      </pic:pic>
                    </a:graphicData>
                  </a:graphic>
                </wp:anchor>
              </w:drawing>
            </w:r>
            <w:r>
              <w:drawing>
                <wp:anchor distT="0" distB="0" distL="114300" distR="114300" simplePos="0" relativeHeight="251735040" behindDoc="0" locked="0" layoutInCell="1" allowOverlap="1">
                  <wp:simplePos x="0" y="0"/>
                  <wp:positionH relativeFrom="column">
                    <wp:posOffset>3994785</wp:posOffset>
                  </wp:positionH>
                  <wp:positionV relativeFrom="paragraph">
                    <wp:posOffset>10160</wp:posOffset>
                  </wp:positionV>
                  <wp:extent cx="1366520" cy="760095"/>
                  <wp:effectExtent l="0" t="0" r="5080" b="1905"/>
                  <wp:wrapNone/>
                  <wp:docPr id="1368267977"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67977" name="图片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366520" cy="760095"/>
                          </a:xfrm>
                          <a:prstGeom prst="rect">
                            <a:avLst/>
                          </a:prstGeom>
                          <a:noFill/>
                        </pic:spPr>
                      </pic:pic>
                    </a:graphicData>
                  </a:graphic>
                </wp:anchor>
              </w:drawing>
            </w:r>
            <w:r>
              <w:drawing>
                <wp:anchor distT="0" distB="0" distL="114300" distR="114300" simplePos="0" relativeHeight="251730944" behindDoc="0" locked="0" layoutInCell="1" allowOverlap="1">
                  <wp:simplePos x="0" y="0"/>
                  <wp:positionH relativeFrom="column">
                    <wp:posOffset>511175</wp:posOffset>
                  </wp:positionH>
                  <wp:positionV relativeFrom="paragraph">
                    <wp:posOffset>212725</wp:posOffset>
                  </wp:positionV>
                  <wp:extent cx="4399280" cy="3588385"/>
                  <wp:effectExtent l="0" t="0" r="1270" b="0"/>
                  <wp:wrapNone/>
                  <wp:docPr id="497902191" name="图片 139" descr="C:\Users\mashaoting\Documents\WeChat Files\Yameny\FileStorage\Temp\16820491408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02191" name="图片 139" descr="C:\Users\mashaoting\Documents\WeChat Files\Yameny\FileStorage\Temp\1682049140869.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403544" cy="3591482"/>
                          </a:xfrm>
                          <a:prstGeom prst="rect">
                            <a:avLst/>
                          </a:prstGeom>
                          <a:noFill/>
                          <a:ln>
                            <a:noFill/>
                          </a:ln>
                        </pic:spPr>
                      </pic:pic>
                    </a:graphicData>
                  </a:graphic>
                </wp:anchor>
              </w:drawing>
            </w:r>
            <w:r>
              <w:drawing>
                <wp:anchor distT="0" distB="0" distL="114300" distR="114300" simplePos="0" relativeHeight="251731968" behindDoc="0" locked="0" layoutInCell="1" allowOverlap="1">
                  <wp:simplePos x="0" y="0"/>
                  <wp:positionH relativeFrom="column">
                    <wp:posOffset>88900</wp:posOffset>
                  </wp:positionH>
                  <wp:positionV relativeFrom="paragraph">
                    <wp:posOffset>392430</wp:posOffset>
                  </wp:positionV>
                  <wp:extent cx="2294890" cy="840740"/>
                  <wp:effectExtent l="0" t="0" r="0" b="0"/>
                  <wp:wrapNone/>
                  <wp:docPr id="247301259"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01259" name="图片 1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301899" cy="843052"/>
                          </a:xfrm>
                          <a:prstGeom prst="rect">
                            <a:avLst/>
                          </a:prstGeom>
                          <a:noFill/>
                        </pic:spPr>
                      </pic:pic>
                    </a:graphicData>
                  </a:graphic>
                </wp:anchor>
              </w:drawing>
            </w:r>
            <w:r>
              <w:drawing>
                <wp:anchor distT="0" distB="0" distL="114300" distR="114300" simplePos="0" relativeHeight="251736064" behindDoc="0" locked="0" layoutInCell="1" allowOverlap="1">
                  <wp:simplePos x="0" y="0"/>
                  <wp:positionH relativeFrom="column">
                    <wp:posOffset>94615</wp:posOffset>
                  </wp:positionH>
                  <wp:positionV relativeFrom="paragraph">
                    <wp:posOffset>855345</wp:posOffset>
                  </wp:positionV>
                  <wp:extent cx="1878330" cy="957580"/>
                  <wp:effectExtent l="0" t="0" r="7620" b="0"/>
                  <wp:wrapNone/>
                  <wp:docPr id="1486134000"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34000" name="图片 1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883321" cy="959980"/>
                          </a:xfrm>
                          <a:prstGeom prst="rect">
                            <a:avLst/>
                          </a:prstGeom>
                          <a:noFill/>
                        </pic:spPr>
                      </pic:pic>
                    </a:graphicData>
                  </a:graphic>
                </wp:anchor>
              </w:drawing>
            </w:r>
            <w:r>
              <w:drawing>
                <wp:anchor distT="0" distB="0" distL="114300" distR="114300" simplePos="0" relativeHeight="251738112" behindDoc="0" locked="0" layoutInCell="1" allowOverlap="1">
                  <wp:simplePos x="0" y="0"/>
                  <wp:positionH relativeFrom="column">
                    <wp:posOffset>93345</wp:posOffset>
                  </wp:positionH>
                  <wp:positionV relativeFrom="paragraph">
                    <wp:posOffset>1343025</wp:posOffset>
                  </wp:positionV>
                  <wp:extent cx="1739265" cy="1155065"/>
                  <wp:effectExtent l="0" t="0" r="0" b="7620"/>
                  <wp:wrapNone/>
                  <wp:docPr id="121347028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470288" name="图片 1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743386" cy="1157374"/>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8"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相关构件几何表达深度应与实物保持一致</w:t>
            </w:r>
          </w:p>
          <w:p>
            <w:pPr>
              <w:pStyle w:val="62"/>
              <w:ind w:firstLine="180" w:firstLineChars="100"/>
              <w:rPr>
                <w:sz w:val="18"/>
                <w:szCs w:val="18"/>
              </w:rPr>
            </w:pPr>
            <w:r>
              <w:rPr>
                <w:rFonts w:hint="eastAsia"/>
                <w:sz w:val="18"/>
                <w:szCs w:val="18"/>
              </w:rPr>
              <w:t>模型应该具备施工信息与造价信息</w:t>
            </w:r>
          </w:p>
          <w:p>
            <w:pPr>
              <w:pStyle w:val="62"/>
              <w:ind w:firstLine="180" w:firstLineChars="100"/>
              <w:rPr>
                <w:sz w:val="18"/>
                <w:szCs w:val="18"/>
              </w:rPr>
            </w:pPr>
            <w:r>
              <w:rPr>
                <w:rFonts w:hint="eastAsia"/>
                <w:sz w:val="18"/>
                <w:szCs w:val="18"/>
              </w:rPr>
              <w:t>在施工过程中的模型调整应在此阶段中表达</w:t>
            </w:r>
          </w:p>
          <w:p>
            <w:pPr>
              <w:pStyle w:val="62"/>
              <w:ind w:firstLine="180" w:firstLineChars="100"/>
              <w:rPr>
                <w:sz w:val="18"/>
                <w:szCs w:val="18"/>
              </w:rPr>
            </w:pPr>
            <w:r>
              <w:rPr>
                <w:rFonts w:hint="eastAsia"/>
                <w:sz w:val="18"/>
                <w:szCs w:val="18"/>
              </w:rPr>
              <w:t>结构框架重要节点，宜根据项目实际需求增加钢筋模型</w:t>
            </w:r>
          </w:p>
          <w:p>
            <w:pPr>
              <w:pStyle w:val="62"/>
              <w:ind w:firstLine="180" w:firstLineChars="100"/>
              <w:rPr>
                <w:sz w:val="18"/>
                <w:szCs w:val="18"/>
              </w:rPr>
            </w:pPr>
            <w:r>
              <w:rPr>
                <w:rFonts w:hint="eastAsia"/>
                <w:sz w:val="18"/>
                <w:szCs w:val="18"/>
              </w:rPr>
              <w:t>吊顶应该增加吊筋，并根据机电管线走向避让</w:t>
            </w:r>
          </w:p>
          <w:p>
            <w:pPr>
              <w:pStyle w:val="62"/>
              <w:ind w:firstLine="180" w:firstLineChars="100"/>
              <w:rPr>
                <w:sz w:val="18"/>
                <w:szCs w:val="18"/>
              </w:rPr>
            </w:pPr>
            <w:r>
              <w:rPr>
                <w:rFonts w:hint="eastAsia"/>
                <w:sz w:val="18"/>
                <w:szCs w:val="18"/>
              </w:rPr>
              <w:t>相关饰面做法（如楼板饰面、楼梯饰面等）应该根据材料做法分层建立</w:t>
            </w:r>
          </w:p>
          <w:p>
            <w:pPr>
              <w:pStyle w:val="62"/>
              <w:ind w:firstLine="180" w:firstLineChars="100"/>
              <w:rPr>
                <w:sz w:val="18"/>
                <w:szCs w:val="18"/>
              </w:rPr>
            </w:pPr>
            <w:r>
              <w:rPr>
                <w:rFonts w:hint="eastAsia"/>
                <w:sz w:val="18"/>
                <w:szCs w:val="18"/>
              </w:rPr>
              <w:t>相关构件几何表达深度应与实物保持一致，模型反映实际成品的状态</w:t>
            </w:r>
          </w:p>
          <w:p>
            <w:pPr>
              <w:pStyle w:val="62"/>
              <w:ind w:firstLine="180" w:firstLineChars="100"/>
            </w:pPr>
            <w:r>
              <w:rPr>
                <w:rFonts w:hint="eastAsia"/>
                <w:sz w:val="18"/>
                <w:szCs w:val="18"/>
              </w:rPr>
              <w:t>例如柱（混凝土结构）应在LOD3.5的基础上增加表达使用年限、保修年限、维护频率、维保单位等维保信息</w:t>
            </w:r>
          </w:p>
        </w:tc>
      </w:tr>
    </w:tbl>
    <w:p>
      <w:pPr>
        <w:pStyle w:val="62"/>
        <w:ind w:firstLine="420"/>
      </w:pPr>
    </w:p>
    <w:p>
      <w:pPr>
        <w:pStyle w:val="62"/>
        <w:ind w:firstLine="420"/>
        <w:sectPr>
          <w:pgSz w:w="11906" w:h="16838"/>
          <w:pgMar w:top="1418" w:right="1134" w:bottom="1134" w:left="1418" w:header="1418" w:footer="1134" w:gutter="284"/>
          <w:cols w:space="425" w:num="1"/>
          <w:formProt w:val="0"/>
          <w:docGrid w:type="lines" w:linePitch="312" w:charSpace="0"/>
        </w:sectPr>
      </w:pPr>
    </w:p>
    <w:p>
      <w:pPr>
        <w:pStyle w:val="62"/>
        <w:ind w:firstLine="420"/>
      </w:pPr>
    </w:p>
    <w:p>
      <w:pPr>
        <w:pStyle w:val="82"/>
        <w:spacing w:before="78" w:after="156"/>
      </w:pPr>
      <w:r>
        <w:br w:type="textWrapping"/>
      </w:r>
      <w:bookmarkStart w:id="230" w:name="_Toc168008313"/>
      <w:r>
        <w:rPr>
          <w:rFonts w:hint="eastAsia"/>
        </w:rPr>
        <w:t>（规范性）</w:t>
      </w:r>
      <w:r>
        <w:br w:type="textWrapping"/>
      </w:r>
      <w:r>
        <w:t>结构框架、空间划分、内部装饰、外部装饰（钢结构）主要构件模型精细度表达</w:t>
      </w:r>
      <w:bookmarkEnd w:id="230"/>
    </w:p>
    <w:p>
      <w:pPr>
        <w:pStyle w:val="171"/>
        <w:rPr>
          <w:rFonts w:hint="eastAsia" w:ascii="宋体" w:hAnsi="宋体"/>
        </w:rPr>
      </w:pPr>
      <w:r>
        <w:rPr>
          <w:rFonts w:hint="eastAsia" w:ascii="宋体" w:hAnsi="宋体"/>
        </w:rPr>
        <w:t>C.0.1 结构框架、空间划分、内部装饰、外部装饰（钢结构）主要构件LOD 1.0模型精细度表达应符合表C.1的规定。</w:t>
      </w:r>
    </w:p>
    <w:p>
      <w:pPr>
        <w:pStyle w:val="13"/>
        <w:spacing w:before="156" w:beforeLines="50" w:after="156" w:afterLines="50"/>
        <w:jc w:val="center"/>
        <w:rPr>
          <w:rFonts w:hint="eastAsia" w:ascii="黑体" w:hAnsi="黑体"/>
        </w:rPr>
      </w:pPr>
      <w:bookmarkStart w:id="231" w:name="_Toc174544059"/>
      <w:bookmarkStart w:id="232" w:name="_Toc174544116"/>
      <w:r>
        <w:rPr>
          <w:rFonts w:hint="eastAsia" w:ascii="黑体" w:hAnsi="黑体"/>
          <w:sz w:val="21"/>
          <w:szCs w:val="21"/>
        </w:rPr>
        <w:t>表</w:t>
      </w:r>
      <w:r>
        <w:rPr>
          <w:rFonts w:ascii="黑体" w:hAnsi="黑体"/>
          <w:sz w:val="21"/>
          <w:szCs w:val="21"/>
        </w:rPr>
        <w:t>C.</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C. \* ARABIC </w:instrText>
      </w:r>
      <w:r>
        <w:rPr>
          <w:rFonts w:ascii="黑体" w:hAnsi="黑体"/>
          <w:sz w:val="21"/>
          <w:szCs w:val="21"/>
        </w:rPr>
        <w:fldChar w:fldCharType="separate"/>
      </w:r>
      <w:r>
        <w:rPr>
          <w:rFonts w:ascii="黑体" w:hAnsi="黑体"/>
          <w:sz w:val="21"/>
          <w:szCs w:val="21"/>
        </w:rPr>
        <w:t>1</w:t>
      </w:r>
      <w:r>
        <w:rPr>
          <w:rFonts w:ascii="黑体" w:hAnsi="黑体"/>
          <w:sz w:val="21"/>
          <w:szCs w:val="21"/>
        </w:rPr>
        <w:fldChar w:fldCharType="end"/>
      </w:r>
      <w:r>
        <w:rPr>
          <w:rFonts w:ascii="黑体" w:hAnsi="黑体"/>
          <w:sz w:val="21"/>
          <w:szCs w:val="21"/>
        </w:rPr>
        <w:t xml:space="preserve"> </w:t>
      </w:r>
      <w:r>
        <w:rPr>
          <w:rFonts w:hint="eastAsia" w:ascii="黑体" w:hAnsi="黑体"/>
          <w:sz w:val="21"/>
          <w:szCs w:val="21"/>
        </w:rPr>
        <w:t>结构框架、空间划分、内部装饰、外部装饰（钢结构）主要构件</w:t>
      </w:r>
      <w:r>
        <w:rPr>
          <w:rFonts w:ascii="黑体" w:hAnsi="黑体"/>
          <w:sz w:val="21"/>
          <w:szCs w:val="21"/>
        </w:rPr>
        <w:t>LOD 1.0模型精细度表达</w:t>
      </w:r>
      <w:bookmarkEnd w:id="231"/>
      <w:bookmarkEnd w:id="232"/>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8"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56544" behindDoc="0" locked="0" layoutInCell="1" allowOverlap="1">
                  <wp:simplePos x="0" y="0"/>
                  <wp:positionH relativeFrom="column">
                    <wp:posOffset>4385310</wp:posOffset>
                  </wp:positionH>
                  <wp:positionV relativeFrom="paragraph">
                    <wp:posOffset>1289685</wp:posOffset>
                  </wp:positionV>
                  <wp:extent cx="1014730" cy="1200150"/>
                  <wp:effectExtent l="0" t="0" r="0" b="0"/>
                  <wp:wrapNone/>
                  <wp:docPr id="501835999"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35999" name="图片 1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014730" cy="1200150"/>
                          </a:xfrm>
                          <a:prstGeom prst="rect">
                            <a:avLst/>
                          </a:prstGeom>
                          <a:noFill/>
                        </pic:spPr>
                      </pic:pic>
                    </a:graphicData>
                  </a:graphic>
                </wp:anchor>
              </w:drawing>
            </w:r>
            <w:r>
              <w:drawing>
                <wp:anchor distT="0" distB="0" distL="114300" distR="114300" simplePos="0" relativeHeight="251742208" behindDoc="0" locked="0" layoutInCell="1" allowOverlap="1">
                  <wp:simplePos x="0" y="0"/>
                  <wp:positionH relativeFrom="column">
                    <wp:posOffset>-26035</wp:posOffset>
                  </wp:positionH>
                  <wp:positionV relativeFrom="paragraph">
                    <wp:posOffset>634365</wp:posOffset>
                  </wp:positionV>
                  <wp:extent cx="5428615" cy="3818890"/>
                  <wp:effectExtent l="0" t="0" r="635" b="0"/>
                  <wp:wrapNone/>
                  <wp:docPr id="81324450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4504" name="图片 1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428615" cy="3818890"/>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2"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相关构件均由建筑专业建立</w:t>
            </w:r>
          </w:p>
          <w:p>
            <w:pPr>
              <w:pStyle w:val="62"/>
              <w:ind w:firstLine="180" w:firstLineChars="100"/>
              <w:rPr>
                <w:sz w:val="18"/>
                <w:szCs w:val="18"/>
              </w:rPr>
            </w:pPr>
            <w:r>
              <w:rPr>
                <w:rFonts w:hint="eastAsia"/>
                <w:sz w:val="18"/>
                <w:szCs w:val="18"/>
              </w:rPr>
              <w:t>外部装饰应为独立构件，肌理通过填色、纹理填充表达</w:t>
            </w:r>
          </w:p>
          <w:p>
            <w:pPr>
              <w:pStyle w:val="62"/>
              <w:ind w:firstLine="180" w:firstLineChars="100"/>
              <w:rPr>
                <w:sz w:val="18"/>
                <w:szCs w:val="18"/>
              </w:rPr>
            </w:pPr>
            <w:r>
              <w:rPr>
                <w:rFonts w:hint="eastAsia"/>
                <w:sz w:val="18"/>
                <w:szCs w:val="18"/>
              </w:rPr>
              <w:t>该精细度示意几何数据</w:t>
            </w:r>
          </w:p>
          <w:p>
            <w:pPr>
              <w:pStyle w:val="62"/>
              <w:ind w:firstLine="180" w:firstLineChars="100"/>
            </w:pPr>
            <w:r>
              <w:rPr>
                <w:rFonts w:hint="eastAsia"/>
                <w:sz w:val="18"/>
                <w:szCs w:val="18"/>
              </w:rPr>
              <w:t>例如柱（钢结构）应示意钢柱长度、宽度、高度、表面材质和颜色等几何信息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C.0.2 </w:t>
      </w:r>
      <w:r>
        <w:rPr>
          <w:rFonts w:hint="eastAsia" w:ascii="宋体" w:hAnsi="宋体"/>
        </w:rPr>
        <w:t xml:space="preserve">结构框架、空间划分、内部装饰、外部装饰（钢结构）主要构件LOD </w:t>
      </w:r>
      <w:r>
        <w:rPr>
          <w:rFonts w:ascii="宋体" w:hAnsi="宋体"/>
        </w:rPr>
        <w:t>2</w:t>
      </w:r>
      <w:r>
        <w:rPr>
          <w:rFonts w:hint="eastAsia" w:ascii="宋体" w:hAnsi="宋体"/>
        </w:rPr>
        <w:t>.0模型精细度表达应符合表C</w:t>
      </w:r>
      <w:r>
        <w:rPr>
          <w:rFonts w:ascii="宋体" w:hAnsi="宋体"/>
        </w:rPr>
        <w:t>.2</w:t>
      </w:r>
      <w:r>
        <w:rPr>
          <w:rFonts w:hint="eastAsia" w:ascii="宋体" w:hAnsi="宋体"/>
        </w:rPr>
        <w:t>的规定。</w:t>
      </w:r>
    </w:p>
    <w:p>
      <w:pPr>
        <w:pStyle w:val="13"/>
        <w:spacing w:before="156" w:beforeLines="50" w:after="156" w:afterLines="50"/>
        <w:jc w:val="center"/>
        <w:rPr>
          <w:rFonts w:hint="eastAsia" w:ascii="黑体" w:hAnsi="黑体"/>
          <w:kern w:val="0"/>
        </w:rPr>
      </w:pPr>
      <w:bookmarkStart w:id="233" w:name="_Toc174544060"/>
      <w:bookmarkStart w:id="234" w:name="_Toc174544117"/>
      <w:r>
        <w:rPr>
          <w:rFonts w:hint="eastAsia" w:ascii="黑体" w:hAnsi="黑体"/>
          <w:sz w:val="21"/>
          <w:szCs w:val="21"/>
        </w:rPr>
        <w:t>表</w:t>
      </w:r>
      <w:r>
        <w:rPr>
          <w:rFonts w:ascii="黑体" w:hAnsi="黑体"/>
          <w:sz w:val="21"/>
          <w:szCs w:val="21"/>
        </w:rPr>
        <w:t>C.</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C. \* ARABIC </w:instrText>
      </w:r>
      <w:r>
        <w:rPr>
          <w:rFonts w:ascii="黑体" w:hAnsi="黑体"/>
          <w:sz w:val="21"/>
          <w:szCs w:val="21"/>
        </w:rPr>
        <w:fldChar w:fldCharType="separate"/>
      </w:r>
      <w:r>
        <w:rPr>
          <w:rFonts w:ascii="黑体" w:hAnsi="黑体"/>
          <w:sz w:val="21"/>
          <w:szCs w:val="21"/>
        </w:rPr>
        <w:t>2</w:t>
      </w:r>
      <w:r>
        <w:rPr>
          <w:rFonts w:ascii="黑体" w:hAnsi="黑体"/>
          <w:sz w:val="21"/>
          <w:szCs w:val="21"/>
        </w:rPr>
        <w:fldChar w:fldCharType="end"/>
      </w:r>
      <w:r>
        <w:rPr>
          <w:rFonts w:hint="eastAsia" w:ascii="黑体" w:hAnsi="黑体"/>
          <w:sz w:val="21"/>
          <w:szCs w:val="21"/>
        </w:rPr>
        <w:t xml:space="preserve"> 结构框架、空间划分、内部装饰、外部装饰（钢结构）主要构件</w:t>
      </w:r>
      <w:r>
        <w:rPr>
          <w:rFonts w:ascii="黑体" w:hAnsi="黑体"/>
          <w:sz w:val="21"/>
          <w:szCs w:val="21"/>
        </w:rPr>
        <w:t>LOD 2.0</w:t>
      </w:r>
      <w:r>
        <w:rPr>
          <w:rFonts w:hint="eastAsia" w:ascii="黑体" w:hAnsi="黑体"/>
          <w:sz w:val="21"/>
          <w:szCs w:val="21"/>
        </w:rPr>
        <w:t>模型精细度表达</w:t>
      </w:r>
      <w:bookmarkEnd w:id="233"/>
      <w:bookmarkEnd w:id="234"/>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55520" behindDoc="0" locked="0" layoutInCell="1" allowOverlap="1">
                  <wp:simplePos x="0" y="0"/>
                  <wp:positionH relativeFrom="column">
                    <wp:posOffset>4412615</wp:posOffset>
                  </wp:positionH>
                  <wp:positionV relativeFrom="paragraph">
                    <wp:posOffset>1374140</wp:posOffset>
                  </wp:positionV>
                  <wp:extent cx="1014730" cy="1200150"/>
                  <wp:effectExtent l="0" t="0" r="0" b="0"/>
                  <wp:wrapNone/>
                  <wp:docPr id="68338451"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38451" name="图片 1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014761" cy="1200150"/>
                          </a:xfrm>
                          <a:prstGeom prst="rect">
                            <a:avLst/>
                          </a:prstGeom>
                          <a:noFill/>
                        </pic:spPr>
                      </pic:pic>
                    </a:graphicData>
                  </a:graphic>
                </wp:anchor>
              </w:drawing>
            </w:r>
            <w:r>
              <w:drawing>
                <wp:anchor distT="0" distB="0" distL="114300" distR="114300" simplePos="0" relativeHeight="251748352" behindDoc="0" locked="0" layoutInCell="1" allowOverlap="1">
                  <wp:simplePos x="0" y="0"/>
                  <wp:positionH relativeFrom="column">
                    <wp:posOffset>73660</wp:posOffset>
                  </wp:positionH>
                  <wp:positionV relativeFrom="paragraph">
                    <wp:posOffset>1054735</wp:posOffset>
                  </wp:positionV>
                  <wp:extent cx="1695450" cy="428625"/>
                  <wp:effectExtent l="0" t="0" r="0" b="0"/>
                  <wp:wrapNone/>
                  <wp:docPr id="777260421"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60421" name="图片 1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695450" cy="428625"/>
                          </a:xfrm>
                          <a:prstGeom prst="rect">
                            <a:avLst/>
                          </a:prstGeom>
                          <a:noFill/>
                        </pic:spPr>
                      </pic:pic>
                    </a:graphicData>
                  </a:graphic>
                </wp:anchor>
              </w:drawing>
            </w:r>
            <w:r>
              <w:drawing>
                <wp:anchor distT="0" distB="0" distL="114300" distR="114300" simplePos="0" relativeHeight="251743232" behindDoc="0" locked="0" layoutInCell="1" allowOverlap="1">
                  <wp:simplePos x="0" y="0"/>
                  <wp:positionH relativeFrom="column">
                    <wp:posOffset>232410</wp:posOffset>
                  </wp:positionH>
                  <wp:positionV relativeFrom="paragraph">
                    <wp:posOffset>521335</wp:posOffset>
                  </wp:positionV>
                  <wp:extent cx="4933315" cy="4123690"/>
                  <wp:effectExtent l="0" t="0" r="0" b="0"/>
                  <wp:wrapNone/>
                  <wp:docPr id="133820115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01156" name="图片 1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933315" cy="4123690"/>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5"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rPr>
                <w:rFonts w:ascii="Times New Roman"/>
                <w:sz w:val="18"/>
                <w:szCs w:val="18"/>
              </w:rP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结构框架由结构专业建立</w:t>
            </w:r>
          </w:p>
          <w:p>
            <w:pPr>
              <w:pStyle w:val="62"/>
              <w:ind w:firstLine="180" w:firstLineChars="100"/>
              <w:rPr>
                <w:sz w:val="18"/>
                <w:szCs w:val="18"/>
              </w:rPr>
            </w:pPr>
            <w:r>
              <w:rPr>
                <w:rFonts w:hint="eastAsia"/>
                <w:sz w:val="18"/>
                <w:szCs w:val="18"/>
              </w:rPr>
              <w:t>空间划分由建筑专业建立</w:t>
            </w:r>
          </w:p>
          <w:p>
            <w:pPr>
              <w:pStyle w:val="62"/>
              <w:ind w:firstLine="180" w:firstLineChars="100"/>
              <w:rPr>
                <w:sz w:val="18"/>
                <w:szCs w:val="18"/>
              </w:rPr>
            </w:pPr>
            <w:r>
              <w:rPr>
                <w:rFonts w:hint="eastAsia"/>
                <w:sz w:val="18"/>
                <w:szCs w:val="18"/>
              </w:rPr>
              <w:t>结构框架只表达钢柱、钢主梁</w:t>
            </w:r>
          </w:p>
          <w:p>
            <w:pPr>
              <w:pStyle w:val="62"/>
              <w:ind w:firstLine="180" w:firstLineChars="100"/>
              <w:rPr>
                <w:sz w:val="18"/>
                <w:szCs w:val="18"/>
              </w:rPr>
            </w:pPr>
            <w:r>
              <w:rPr>
                <w:rFonts w:hint="eastAsia"/>
                <w:sz w:val="18"/>
                <w:szCs w:val="18"/>
              </w:rPr>
              <w:t>相关构件不考虑优先级</w:t>
            </w:r>
          </w:p>
          <w:p>
            <w:pPr>
              <w:pStyle w:val="62"/>
              <w:ind w:firstLine="180" w:firstLineChars="100"/>
              <w:rPr>
                <w:sz w:val="18"/>
                <w:szCs w:val="18"/>
              </w:rPr>
            </w:pPr>
            <w:r>
              <w:rPr>
                <w:rFonts w:hint="eastAsia"/>
                <w:sz w:val="18"/>
                <w:szCs w:val="18"/>
              </w:rPr>
              <w:t>外部装饰应为独立构件，肌理通过填色、纹理填充表达</w:t>
            </w:r>
          </w:p>
          <w:p>
            <w:pPr>
              <w:pStyle w:val="62"/>
              <w:ind w:firstLine="180" w:firstLineChars="100"/>
              <w:rPr>
                <w:sz w:val="18"/>
                <w:szCs w:val="18"/>
              </w:rPr>
            </w:pPr>
            <w:r>
              <w:rPr>
                <w:rFonts w:hint="eastAsia"/>
                <w:sz w:val="18"/>
                <w:szCs w:val="18"/>
              </w:rPr>
              <w:t>非几何信息应包含各空间属性信息</w:t>
            </w:r>
          </w:p>
          <w:p>
            <w:pPr>
              <w:pStyle w:val="62"/>
              <w:ind w:firstLine="180" w:firstLineChars="100"/>
              <w:rPr>
                <w:sz w:val="18"/>
                <w:szCs w:val="18"/>
              </w:rPr>
            </w:pPr>
            <w:r>
              <w:rPr>
                <w:rFonts w:hint="eastAsia"/>
                <w:sz w:val="18"/>
                <w:szCs w:val="18"/>
              </w:rPr>
              <w:t>该精细度显示通用元素，包括最大尺寸和用途</w:t>
            </w:r>
          </w:p>
          <w:p>
            <w:pPr>
              <w:pStyle w:val="62"/>
              <w:ind w:firstLine="180" w:firstLineChars="100"/>
            </w:pPr>
            <w:r>
              <w:rPr>
                <w:rFonts w:hint="eastAsia"/>
                <w:sz w:val="18"/>
                <w:szCs w:val="18"/>
              </w:rPr>
              <w:t>例如柱（钢结构）应在LOD1.0的基础上增加显示材料和材质信息，根据钢材型号表示详细轮廓等技术信息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C.0.3 </w:t>
      </w:r>
      <w:r>
        <w:rPr>
          <w:rFonts w:hint="eastAsia" w:ascii="宋体" w:hAnsi="宋体"/>
        </w:rPr>
        <w:t xml:space="preserve">结构框架、空间划分、内部装饰、外部装饰（钢结构）主要构件LOD </w:t>
      </w:r>
      <w:r>
        <w:rPr>
          <w:rFonts w:ascii="宋体" w:hAnsi="宋体"/>
        </w:rPr>
        <w:t>3</w:t>
      </w:r>
      <w:r>
        <w:rPr>
          <w:rFonts w:hint="eastAsia" w:ascii="宋体" w:hAnsi="宋体"/>
        </w:rPr>
        <w:t>.0模型精细度表达应符合表C</w:t>
      </w:r>
      <w:r>
        <w:rPr>
          <w:rFonts w:ascii="宋体" w:hAnsi="宋体"/>
        </w:rPr>
        <w:t>.3</w:t>
      </w:r>
      <w:r>
        <w:rPr>
          <w:rFonts w:hint="eastAsia" w:ascii="宋体" w:hAnsi="宋体"/>
        </w:rPr>
        <w:t>的规定。</w:t>
      </w:r>
    </w:p>
    <w:p>
      <w:pPr>
        <w:pStyle w:val="13"/>
        <w:spacing w:before="156" w:beforeLines="50" w:after="156" w:afterLines="50"/>
        <w:jc w:val="center"/>
        <w:rPr>
          <w:rFonts w:hint="eastAsia" w:ascii="黑体" w:hAnsi="黑体"/>
          <w:kern w:val="0"/>
        </w:rPr>
      </w:pPr>
      <w:bookmarkStart w:id="235" w:name="_Toc174544061"/>
      <w:bookmarkStart w:id="236" w:name="_Toc174544118"/>
      <w:r>
        <w:rPr>
          <w:rFonts w:hint="eastAsia" w:ascii="黑体" w:hAnsi="黑体"/>
          <w:sz w:val="21"/>
          <w:szCs w:val="21"/>
        </w:rPr>
        <w:t>表</w:t>
      </w:r>
      <w:r>
        <w:rPr>
          <w:rFonts w:ascii="黑体" w:hAnsi="黑体"/>
          <w:sz w:val="21"/>
          <w:szCs w:val="21"/>
        </w:rPr>
        <w:t>C.</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C. \* ARABIC </w:instrText>
      </w:r>
      <w:r>
        <w:rPr>
          <w:rFonts w:ascii="黑体" w:hAnsi="黑体"/>
          <w:sz w:val="21"/>
          <w:szCs w:val="21"/>
        </w:rPr>
        <w:fldChar w:fldCharType="separate"/>
      </w:r>
      <w:r>
        <w:rPr>
          <w:rFonts w:ascii="黑体" w:hAnsi="黑体"/>
          <w:sz w:val="21"/>
          <w:szCs w:val="21"/>
        </w:rPr>
        <w:t>3</w:t>
      </w:r>
      <w:r>
        <w:rPr>
          <w:rFonts w:ascii="黑体" w:hAnsi="黑体"/>
          <w:sz w:val="21"/>
          <w:szCs w:val="21"/>
        </w:rPr>
        <w:fldChar w:fldCharType="end"/>
      </w:r>
      <w:r>
        <w:rPr>
          <w:rFonts w:hint="eastAsia" w:ascii="黑体" w:hAnsi="黑体"/>
          <w:sz w:val="21"/>
          <w:szCs w:val="21"/>
        </w:rPr>
        <w:t xml:space="preserve"> 结构框架、空间划分、内部装饰、外部装饰（钢结构）主要构件</w:t>
      </w:r>
      <w:r>
        <w:rPr>
          <w:rFonts w:ascii="黑体" w:hAnsi="黑体"/>
          <w:sz w:val="21"/>
          <w:szCs w:val="21"/>
        </w:rPr>
        <w:t>LOD 3.0</w:t>
      </w:r>
      <w:r>
        <w:rPr>
          <w:rFonts w:hint="eastAsia" w:ascii="黑体" w:hAnsi="黑体"/>
          <w:sz w:val="21"/>
          <w:szCs w:val="21"/>
        </w:rPr>
        <w:t>模型精细度表达</w:t>
      </w:r>
      <w:bookmarkEnd w:id="235"/>
      <w:bookmarkEnd w:id="236"/>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54496" behindDoc="0" locked="0" layoutInCell="1" allowOverlap="1">
                  <wp:simplePos x="0" y="0"/>
                  <wp:positionH relativeFrom="column">
                    <wp:posOffset>4223385</wp:posOffset>
                  </wp:positionH>
                  <wp:positionV relativeFrom="paragraph">
                    <wp:posOffset>1399540</wp:posOffset>
                  </wp:positionV>
                  <wp:extent cx="1014730" cy="1200150"/>
                  <wp:effectExtent l="0" t="0" r="0" b="0"/>
                  <wp:wrapNone/>
                  <wp:docPr id="578315453"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15453" name="图片 1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014730" cy="1200150"/>
                          </a:xfrm>
                          <a:prstGeom prst="rect">
                            <a:avLst/>
                          </a:prstGeom>
                          <a:noFill/>
                        </pic:spPr>
                      </pic:pic>
                    </a:graphicData>
                  </a:graphic>
                </wp:anchor>
              </w:drawing>
            </w:r>
            <w:r>
              <w:drawing>
                <wp:anchor distT="0" distB="0" distL="114300" distR="114300" simplePos="0" relativeHeight="251749376" behindDoc="0" locked="0" layoutInCell="1" allowOverlap="1">
                  <wp:simplePos x="0" y="0"/>
                  <wp:positionH relativeFrom="column">
                    <wp:posOffset>-50165</wp:posOffset>
                  </wp:positionH>
                  <wp:positionV relativeFrom="paragraph">
                    <wp:posOffset>847090</wp:posOffset>
                  </wp:positionV>
                  <wp:extent cx="1695450" cy="428625"/>
                  <wp:effectExtent l="0" t="0" r="0" b="9525"/>
                  <wp:wrapNone/>
                  <wp:docPr id="174652392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523924" name="图片 1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695450" cy="428625"/>
                          </a:xfrm>
                          <a:prstGeom prst="rect">
                            <a:avLst/>
                          </a:prstGeom>
                          <a:noFill/>
                        </pic:spPr>
                      </pic:pic>
                    </a:graphicData>
                  </a:graphic>
                </wp:anchor>
              </w:drawing>
            </w:r>
            <w:r>
              <w:drawing>
                <wp:anchor distT="0" distB="0" distL="114300" distR="114300" simplePos="0" relativeHeight="251746304" behindDoc="0" locked="0" layoutInCell="1" allowOverlap="1">
                  <wp:simplePos x="0" y="0"/>
                  <wp:positionH relativeFrom="column">
                    <wp:posOffset>2260600</wp:posOffset>
                  </wp:positionH>
                  <wp:positionV relativeFrom="paragraph">
                    <wp:posOffset>305435</wp:posOffset>
                  </wp:positionV>
                  <wp:extent cx="1600200" cy="838200"/>
                  <wp:effectExtent l="0" t="0" r="0" b="0"/>
                  <wp:wrapNone/>
                  <wp:docPr id="1771031760"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31760" name="图片 1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1600200" cy="838200"/>
                          </a:xfrm>
                          <a:prstGeom prst="rect">
                            <a:avLst/>
                          </a:prstGeom>
                          <a:noFill/>
                        </pic:spPr>
                      </pic:pic>
                    </a:graphicData>
                  </a:graphic>
                </wp:anchor>
              </w:drawing>
            </w:r>
            <w:r>
              <w:drawing>
                <wp:anchor distT="0" distB="0" distL="114300" distR="114300" simplePos="0" relativeHeight="251745280" behindDoc="0" locked="0" layoutInCell="1" allowOverlap="1">
                  <wp:simplePos x="0" y="0"/>
                  <wp:positionH relativeFrom="column">
                    <wp:posOffset>3308350</wp:posOffset>
                  </wp:positionH>
                  <wp:positionV relativeFrom="paragraph">
                    <wp:posOffset>3016885</wp:posOffset>
                  </wp:positionV>
                  <wp:extent cx="2143125" cy="1524000"/>
                  <wp:effectExtent l="0" t="0" r="9525" b="0"/>
                  <wp:wrapNone/>
                  <wp:docPr id="1158292394"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292394" name="图片 1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143125" cy="1524000"/>
                          </a:xfrm>
                          <a:prstGeom prst="rect">
                            <a:avLst/>
                          </a:prstGeom>
                          <a:noFill/>
                        </pic:spPr>
                      </pic:pic>
                    </a:graphicData>
                  </a:graphic>
                </wp:anchor>
              </w:drawing>
            </w:r>
            <w:r>
              <w:drawing>
                <wp:anchor distT="0" distB="0" distL="114300" distR="114300" simplePos="0" relativeHeight="251744256" behindDoc="0" locked="0" layoutInCell="1" allowOverlap="1">
                  <wp:simplePos x="0" y="0"/>
                  <wp:positionH relativeFrom="column">
                    <wp:posOffset>156210</wp:posOffset>
                  </wp:positionH>
                  <wp:positionV relativeFrom="paragraph">
                    <wp:posOffset>450850</wp:posOffset>
                  </wp:positionV>
                  <wp:extent cx="5043805" cy="4024630"/>
                  <wp:effectExtent l="0" t="0" r="4445" b="0"/>
                  <wp:wrapNone/>
                  <wp:docPr id="55173100"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3100" name="图片 14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043805" cy="4024630"/>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9"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说</w:t>
            </w:r>
          </w:p>
          <w:p>
            <w:pPr>
              <w:pStyle w:val="62"/>
              <w:ind w:firstLine="0" w:firstLineChars="0"/>
              <w:jc w:val="center"/>
            </w:pPr>
            <w:r>
              <w:rPr>
                <w:rFonts w:hint="eastAsia" w:ascii="Times New Roman"/>
                <w:sz w:val="18"/>
                <w:szCs w:val="18"/>
              </w:rPr>
              <w:t>明</w:t>
            </w:r>
          </w:p>
        </w:tc>
        <w:tc>
          <w:tcPr>
            <w:tcW w:w="9178" w:type="dxa"/>
            <w:vAlign w:val="center"/>
          </w:tcPr>
          <w:p>
            <w:pPr>
              <w:pStyle w:val="62"/>
              <w:ind w:firstLine="180" w:firstLineChars="100"/>
              <w:rPr>
                <w:sz w:val="18"/>
                <w:szCs w:val="18"/>
              </w:rPr>
            </w:pPr>
            <w:r>
              <w:rPr>
                <w:rFonts w:hint="eastAsia"/>
                <w:sz w:val="18"/>
                <w:szCs w:val="18"/>
              </w:rPr>
              <w:t>结构框架由结构专业建立</w:t>
            </w:r>
          </w:p>
          <w:p>
            <w:pPr>
              <w:pStyle w:val="62"/>
              <w:ind w:firstLine="180" w:firstLineChars="100"/>
              <w:rPr>
                <w:sz w:val="18"/>
                <w:szCs w:val="18"/>
              </w:rPr>
            </w:pPr>
            <w:r>
              <w:rPr>
                <w:rFonts w:hint="eastAsia"/>
                <w:sz w:val="18"/>
                <w:szCs w:val="18"/>
              </w:rPr>
              <w:t>空间划分由建筑专业建立</w:t>
            </w:r>
          </w:p>
          <w:p>
            <w:pPr>
              <w:pStyle w:val="62"/>
              <w:ind w:firstLine="180" w:firstLineChars="100"/>
              <w:rPr>
                <w:sz w:val="18"/>
                <w:szCs w:val="18"/>
              </w:rPr>
            </w:pPr>
            <w:r>
              <w:rPr>
                <w:rFonts w:hint="eastAsia"/>
                <w:sz w:val="18"/>
                <w:szCs w:val="18"/>
              </w:rPr>
              <w:t>结构框架表达钢柱、钢主次梁、钢支撑</w:t>
            </w:r>
          </w:p>
          <w:p>
            <w:pPr>
              <w:pStyle w:val="62"/>
              <w:ind w:firstLine="180" w:firstLineChars="100"/>
              <w:rPr>
                <w:sz w:val="18"/>
                <w:szCs w:val="18"/>
              </w:rPr>
            </w:pPr>
            <w:r>
              <w:rPr>
                <w:rFonts w:hint="eastAsia"/>
                <w:sz w:val="18"/>
                <w:szCs w:val="18"/>
              </w:rPr>
              <w:t>相关构件不考虑优先级</w:t>
            </w:r>
          </w:p>
          <w:p>
            <w:pPr>
              <w:pStyle w:val="62"/>
              <w:ind w:firstLine="180" w:firstLineChars="100"/>
              <w:rPr>
                <w:sz w:val="18"/>
                <w:szCs w:val="18"/>
              </w:rPr>
            </w:pPr>
            <w:r>
              <w:rPr>
                <w:rFonts w:hint="eastAsia"/>
                <w:sz w:val="18"/>
                <w:szCs w:val="18"/>
              </w:rPr>
              <w:t>外部装饰应为独立构件，肌理通过填色、纹理填充表达</w:t>
            </w:r>
          </w:p>
          <w:p>
            <w:pPr>
              <w:pStyle w:val="62"/>
              <w:ind w:firstLine="180" w:firstLineChars="100"/>
              <w:rPr>
                <w:sz w:val="18"/>
                <w:szCs w:val="18"/>
              </w:rPr>
            </w:pPr>
            <w:r>
              <w:rPr>
                <w:rFonts w:hint="eastAsia"/>
                <w:sz w:val="18"/>
                <w:szCs w:val="18"/>
              </w:rPr>
              <w:t>板、梁应该根据项目具体情况开设洞口</w:t>
            </w:r>
          </w:p>
          <w:p>
            <w:pPr>
              <w:pStyle w:val="62"/>
              <w:ind w:firstLine="180" w:firstLineChars="100"/>
              <w:rPr>
                <w:sz w:val="18"/>
                <w:szCs w:val="18"/>
              </w:rPr>
            </w:pPr>
            <w:r>
              <w:rPr>
                <w:rFonts w:hint="eastAsia"/>
                <w:sz w:val="18"/>
                <w:szCs w:val="18"/>
              </w:rPr>
              <w:t>非几何信息应包含各空间属性信息</w:t>
            </w:r>
          </w:p>
          <w:p>
            <w:pPr>
              <w:pStyle w:val="62"/>
              <w:ind w:firstLine="180" w:firstLineChars="100"/>
              <w:rPr>
                <w:sz w:val="18"/>
                <w:szCs w:val="18"/>
              </w:rPr>
            </w:pPr>
            <w:r>
              <w:rPr>
                <w:rFonts w:hint="eastAsia"/>
                <w:sz w:val="18"/>
                <w:szCs w:val="18"/>
              </w:rPr>
              <w:t>该精细度表达特定元素，包括其尺寸、容量、连接关系等</w:t>
            </w:r>
          </w:p>
          <w:p>
            <w:pPr>
              <w:pStyle w:val="62"/>
              <w:ind w:firstLine="180" w:firstLineChars="100"/>
            </w:pPr>
            <w:r>
              <w:rPr>
                <w:rFonts w:hint="eastAsia"/>
                <w:sz w:val="18"/>
                <w:szCs w:val="18"/>
              </w:rPr>
              <w:t>例如柱（钢结构）应在LOD2.0的基础上增加表达钢柱标识，附带节点详图等几何信息</w:t>
            </w:r>
          </w:p>
        </w:tc>
      </w:tr>
    </w:tbl>
    <w:p>
      <w:pPr>
        <w:pStyle w:val="62"/>
        <w:ind w:firstLine="420"/>
      </w:pPr>
    </w:p>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C.0.4 </w:t>
      </w:r>
      <w:r>
        <w:rPr>
          <w:rFonts w:hint="eastAsia" w:ascii="宋体" w:hAnsi="宋体"/>
        </w:rPr>
        <w:t>结构框架、空间划分、内部装饰、外部装饰（钢结构）主要构件LOD</w:t>
      </w:r>
      <w:r>
        <w:rPr>
          <w:rFonts w:ascii="宋体" w:hAnsi="宋体"/>
        </w:rPr>
        <w:t xml:space="preserve"> </w:t>
      </w:r>
      <w:r>
        <w:rPr>
          <w:rFonts w:hint="eastAsia" w:ascii="宋体" w:hAnsi="宋体"/>
        </w:rPr>
        <w:t>3.5模型精细度表达应符合表C</w:t>
      </w:r>
      <w:r>
        <w:rPr>
          <w:rFonts w:ascii="宋体" w:hAnsi="宋体"/>
        </w:rPr>
        <w:t>.4</w:t>
      </w:r>
      <w:r>
        <w:rPr>
          <w:rFonts w:hint="eastAsia" w:ascii="宋体" w:hAnsi="宋体"/>
        </w:rPr>
        <w:t>的规定。</w:t>
      </w:r>
    </w:p>
    <w:p>
      <w:pPr>
        <w:pStyle w:val="13"/>
        <w:spacing w:before="156" w:beforeLines="50" w:after="156" w:afterLines="50"/>
        <w:jc w:val="center"/>
        <w:rPr>
          <w:rFonts w:hint="eastAsia" w:ascii="黑体" w:hAnsi="黑体"/>
        </w:rPr>
      </w:pPr>
      <w:bookmarkStart w:id="237" w:name="_Toc174544062"/>
      <w:bookmarkStart w:id="238" w:name="_Toc174544119"/>
      <w:r>
        <w:rPr>
          <w:rFonts w:hint="eastAsia" w:ascii="黑体" w:hAnsi="黑体"/>
          <w:sz w:val="21"/>
          <w:szCs w:val="21"/>
        </w:rPr>
        <w:t>表</w:t>
      </w:r>
      <w:r>
        <w:rPr>
          <w:rFonts w:ascii="黑体" w:hAnsi="黑体"/>
          <w:sz w:val="21"/>
          <w:szCs w:val="21"/>
        </w:rPr>
        <w:t>C.</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C. \* ARABIC </w:instrText>
      </w:r>
      <w:r>
        <w:rPr>
          <w:rFonts w:ascii="黑体" w:hAnsi="黑体"/>
          <w:sz w:val="21"/>
          <w:szCs w:val="21"/>
        </w:rPr>
        <w:fldChar w:fldCharType="separate"/>
      </w:r>
      <w:r>
        <w:rPr>
          <w:rFonts w:ascii="黑体" w:hAnsi="黑体"/>
          <w:sz w:val="21"/>
          <w:szCs w:val="21"/>
        </w:rPr>
        <w:t>4</w:t>
      </w:r>
      <w:r>
        <w:rPr>
          <w:rFonts w:ascii="黑体" w:hAnsi="黑体"/>
          <w:sz w:val="21"/>
          <w:szCs w:val="21"/>
        </w:rPr>
        <w:fldChar w:fldCharType="end"/>
      </w:r>
      <w:r>
        <w:rPr>
          <w:rFonts w:hint="eastAsia" w:ascii="黑体" w:hAnsi="黑体"/>
          <w:sz w:val="21"/>
          <w:szCs w:val="21"/>
        </w:rPr>
        <w:t xml:space="preserve"> 结构框架、空间划分、内部装饰、外部装饰（钢结构）主要构件</w:t>
      </w:r>
      <w:r>
        <w:rPr>
          <w:rFonts w:ascii="黑体" w:hAnsi="黑体"/>
          <w:sz w:val="21"/>
          <w:szCs w:val="21"/>
        </w:rPr>
        <w:t>LOD 3.5模型精细度表达</w:t>
      </w:r>
      <w:bookmarkEnd w:id="237"/>
      <w:bookmarkEnd w:id="238"/>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4"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57568" behindDoc="0" locked="0" layoutInCell="1" allowOverlap="1">
                  <wp:simplePos x="0" y="0"/>
                  <wp:positionH relativeFrom="column">
                    <wp:posOffset>88900</wp:posOffset>
                  </wp:positionH>
                  <wp:positionV relativeFrom="paragraph">
                    <wp:posOffset>2304415</wp:posOffset>
                  </wp:positionV>
                  <wp:extent cx="2169160" cy="415290"/>
                  <wp:effectExtent l="0" t="0" r="2540" b="3810"/>
                  <wp:wrapNone/>
                  <wp:docPr id="1818359863"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59863" name="图片 1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169160" cy="415290"/>
                          </a:xfrm>
                          <a:prstGeom prst="rect">
                            <a:avLst/>
                          </a:prstGeom>
                          <a:noFill/>
                        </pic:spPr>
                      </pic:pic>
                    </a:graphicData>
                  </a:graphic>
                </wp:anchor>
              </w:drawing>
            </w:r>
            <w:r>
              <w:drawing>
                <wp:anchor distT="0" distB="0" distL="114300" distR="114300" simplePos="0" relativeHeight="251752448" behindDoc="0" locked="0" layoutInCell="1" allowOverlap="1">
                  <wp:simplePos x="0" y="0"/>
                  <wp:positionH relativeFrom="column">
                    <wp:posOffset>2722245</wp:posOffset>
                  </wp:positionH>
                  <wp:positionV relativeFrom="paragraph">
                    <wp:posOffset>271780</wp:posOffset>
                  </wp:positionV>
                  <wp:extent cx="1550670" cy="812165"/>
                  <wp:effectExtent l="0" t="0" r="0" b="6985"/>
                  <wp:wrapNone/>
                  <wp:docPr id="515181167"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181167" name="图片 1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1550670" cy="812165"/>
                          </a:xfrm>
                          <a:prstGeom prst="rect">
                            <a:avLst/>
                          </a:prstGeom>
                          <a:noFill/>
                        </pic:spPr>
                      </pic:pic>
                    </a:graphicData>
                  </a:graphic>
                </wp:anchor>
              </w:drawing>
            </w:r>
            <w:r>
              <w:drawing>
                <wp:anchor distT="0" distB="0" distL="114300" distR="114300" simplePos="0" relativeHeight="251750400" behindDoc="0" locked="0" layoutInCell="1" allowOverlap="1">
                  <wp:simplePos x="0" y="0"/>
                  <wp:positionH relativeFrom="column">
                    <wp:posOffset>4418330</wp:posOffset>
                  </wp:positionH>
                  <wp:positionV relativeFrom="paragraph">
                    <wp:posOffset>1524635</wp:posOffset>
                  </wp:positionV>
                  <wp:extent cx="982980" cy="1162685"/>
                  <wp:effectExtent l="0" t="0" r="7620" b="0"/>
                  <wp:wrapNone/>
                  <wp:docPr id="1574025628"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025628" name="图片 1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982980" cy="1162685"/>
                          </a:xfrm>
                          <a:prstGeom prst="rect">
                            <a:avLst/>
                          </a:prstGeom>
                          <a:noFill/>
                        </pic:spPr>
                      </pic:pic>
                    </a:graphicData>
                  </a:graphic>
                </wp:anchor>
              </w:drawing>
            </w:r>
            <w:r>
              <w:drawing>
                <wp:anchor distT="0" distB="0" distL="114300" distR="114300" simplePos="0" relativeHeight="251751424" behindDoc="0" locked="0" layoutInCell="1" allowOverlap="1">
                  <wp:simplePos x="0" y="0"/>
                  <wp:positionH relativeFrom="column">
                    <wp:posOffset>3639185</wp:posOffset>
                  </wp:positionH>
                  <wp:positionV relativeFrom="paragraph">
                    <wp:posOffset>3044825</wp:posOffset>
                  </wp:positionV>
                  <wp:extent cx="1797050" cy="1477010"/>
                  <wp:effectExtent l="0" t="0" r="0" b="8890"/>
                  <wp:wrapNone/>
                  <wp:docPr id="740743246"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743246" name="图片 1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797050" cy="1477010"/>
                          </a:xfrm>
                          <a:prstGeom prst="rect">
                            <a:avLst/>
                          </a:prstGeom>
                          <a:noFill/>
                        </pic:spPr>
                      </pic:pic>
                    </a:graphicData>
                  </a:graphic>
                </wp:anchor>
              </w:drawing>
            </w:r>
            <w:r>
              <w:drawing>
                <wp:anchor distT="0" distB="0" distL="114300" distR="114300" simplePos="0" relativeHeight="251747328" behindDoc="0" locked="0" layoutInCell="1" allowOverlap="1">
                  <wp:simplePos x="0" y="0"/>
                  <wp:positionH relativeFrom="column">
                    <wp:posOffset>1270</wp:posOffset>
                  </wp:positionH>
                  <wp:positionV relativeFrom="paragraph">
                    <wp:posOffset>508000</wp:posOffset>
                  </wp:positionV>
                  <wp:extent cx="5179695" cy="3996690"/>
                  <wp:effectExtent l="0" t="0" r="2540" b="4445"/>
                  <wp:wrapNone/>
                  <wp:docPr id="1856562914"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62914" name="图片 1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179671" cy="3996634"/>
                          </a:xfrm>
                          <a:prstGeom prst="rect">
                            <a:avLst/>
                          </a:prstGeom>
                          <a:noFill/>
                        </pic:spPr>
                      </pic:pic>
                    </a:graphicData>
                  </a:graphic>
                </wp:anchor>
              </w:drawing>
            </w:r>
            <w:r>
              <w:drawing>
                <wp:anchor distT="0" distB="0" distL="114300" distR="114300" simplePos="0" relativeHeight="251753472" behindDoc="0" locked="0" layoutInCell="1" allowOverlap="1">
                  <wp:simplePos x="0" y="0"/>
                  <wp:positionH relativeFrom="column">
                    <wp:posOffset>-3175</wp:posOffset>
                  </wp:positionH>
                  <wp:positionV relativeFrom="paragraph">
                    <wp:posOffset>1086485</wp:posOffset>
                  </wp:positionV>
                  <wp:extent cx="1643380" cy="415290"/>
                  <wp:effectExtent l="0" t="0" r="0" b="3810"/>
                  <wp:wrapNone/>
                  <wp:docPr id="360755123"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755123" name="图片 1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643434" cy="415475"/>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9"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结构框架由结构专业建立</w:t>
            </w:r>
          </w:p>
          <w:p>
            <w:pPr>
              <w:pStyle w:val="62"/>
              <w:ind w:firstLine="180" w:firstLineChars="100"/>
              <w:rPr>
                <w:sz w:val="18"/>
                <w:szCs w:val="18"/>
              </w:rPr>
            </w:pPr>
            <w:r>
              <w:rPr>
                <w:rFonts w:hint="eastAsia"/>
                <w:sz w:val="18"/>
                <w:szCs w:val="18"/>
              </w:rPr>
              <w:t>结构框架表达钢柱、钢主次梁、钢支撑</w:t>
            </w:r>
          </w:p>
          <w:p>
            <w:pPr>
              <w:pStyle w:val="62"/>
              <w:ind w:firstLine="180" w:firstLineChars="100"/>
              <w:rPr>
                <w:sz w:val="18"/>
                <w:szCs w:val="18"/>
              </w:rPr>
            </w:pPr>
            <w:r>
              <w:rPr>
                <w:rFonts w:hint="eastAsia"/>
                <w:sz w:val="18"/>
                <w:szCs w:val="18"/>
              </w:rPr>
              <w:t>空间划分由建筑专业建立</w:t>
            </w:r>
          </w:p>
          <w:p>
            <w:pPr>
              <w:pStyle w:val="62"/>
              <w:ind w:firstLine="180" w:firstLineChars="100"/>
              <w:rPr>
                <w:sz w:val="18"/>
                <w:szCs w:val="18"/>
              </w:rPr>
            </w:pPr>
            <w:r>
              <w:rPr>
                <w:rFonts w:hint="eastAsia"/>
                <w:sz w:val="18"/>
                <w:szCs w:val="18"/>
              </w:rPr>
              <w:t>楼梯结构由结构专业建立</w:t>
            </w:r>
          </w:p>
          <w:p>
            <w:pPr>
              <w:pStyle w:val="62"/>
              <w:ind w:firstLine="180" w:firstLineChars="100"/>
              <w:rPr>
                <w:sz w:val="18"/>
                <w:szCs w:val="18"/>
              </w:rPr>
            </w:pPr>
            <w:r>
              <w:rPr>
                <w:rFonts w:hint="eastAsia"/>
                <w:sz w:val="18"/>
                <w:szCs w:val="18"/>
              </w:rPr>
              <w:t>楼梯饰面由建筑或装饰专业建立</w:t>
            </w:r>
          </w:p>
          <w:p>
            <w:pPr>
              <w:pStyle w:val="62"/>
              <w:ind w:firstLine="180" w:firstLineChars="100"/>
              <w:rPr>
                <w:sz w:val="18"/>
                <w:szCs w:val="18"/>
              </w:rPr>
            </w:pPr>
            <w:r>
              <w:rPr>
                <w:rFonts w:hint="eastAsia"/>
                <w:sz w:val="18"/>
                <w:szCs w:val="18"/>
              </w:rPr>
              <w:t>相关构件不考虑优先级</w:t>
            </w:r>
          </w:p>
          <w:p>
            <w:pPr>
              <w:pStyle w:val="62"/>
              <w:ind w:firstLine="180" w:firstLineChars="100"/>
              <w:rPr>
                <w:sz w:val="18"/>
                <w:szCs w:val="18"/>
              </w:rPr>
            </w:pPr>
            <w:r>
              <w:rPr>
                <w:rFonts w:hint="eastAsia"/>
                <w:sz w:val="18"/>
                <w:szCs w:val="18"/>
              </w:rPr>
              <w:t>外部装饰应为独立构件，预埋件、主要支撑构件、石材应分别表达</w:t>
            </w:r>
          </w:p>
          <w:p>
            <w:pPr>
              <w:pStyle w:val="62"/>
              <w:ind w:firstLine="180" w:firstLineChars="100"/>
              <w:rPr>
                <w:sz w:val="18"/>
                <w:szCs w:val="18"/>
              </w:rPr>
            </w:pPr>
            <w:r>
              <w:rPr>
                <w:rFonts w:hint="eastAsia"/>
                <w:sz w:val="18"/>
                <w:szCs w:val="18"/>
              </w:rPr>
              <w:t>各构件应该根据项目具体情况开设洞口</w:t>
            </w:r>
          </w:p>
          <w:p>
            <w:pPr>
              <w:pStyle w:val="62"/>
              <w:ind w:firstLine="180" w:firstLineChars="100"/>
              <w:rPr>
                <w:sz w:val="18"/>
                <w:szCs w:val="18"/>
              </w:rPr>
            </w:pPr>
            <w:r>
              <w:rPr>
                <w:rFonts w:hint="eastAsia"/>
                <w:sz w:val="18"/>
                <w:szCs w:val="18"/>
              </w:rPr>
              <w:t>构件之间应该体现优先级（模型之间的扣减）</w:t>
            </w:r>
          </w:p>
          <w:p>
            <w:pPr>
              <w:pStyle w:val="62"/>
              <w:ind w:firstLine="180" w:firstLineChars="100"/>
              <w:rPr>
                <w:sz w:val="18"/>
                <w:szCs w:val="18"/>
              </w:rPr>
            </w:pPr>
            <w:r>
              <w:rPr>
                <w:rFonts w:hint="eastAsia"/>
                <w:sz w:val="18"/>
                <w:szCs w:val="18"/>
              </w:rPr>
              <w:t>非几何信息应包含各空间属性信息，应包含运维应用中资产管理涉及的家具、家电等属性信息</w:t>
            </w:r>
          </w:p>
          <w:p>
            <w:pPr>
              <w:pStyle w:val="62"/>
              <w:ind w:firstLine="180" w:firstLineChars="100"/>
              <w:rPr>
                <w:sz w:val="18"/>
                <w:szCs w:val="18"/>
              </w:rPr>
            </w:pPr>
            <w:r>
              <w:rPr>
                <w:rFonts w:hint="eastAsia"/>
                <w:sz w:val="18"/>
                <w:szCs w:val="18"/>
              </w:rPr>
              <w:t>该精细度模型可用于采购、生产及安装</w:t>
            </w:r>
          </w:p>
          <w:p>
            <w:pPr>
              <w:pStyle w:val="62"/>
              <w:ind w:firstLine="180" w:firstLineChars="100"/>
            </w:pPr>
            <w:r>
              <w:rPr>
                <w:rFonts w:hint="eastAsia"/>
                <w:sz w:val="18"/>
                <w:szCs w:val="18"/>
              </w:rPr>
              <w:t>例如柱（钢结构）应在LOD3.0的基础上增加表达供应商、产品合格证、生产厂家、生产日期、价格等产品信息</w:t>
            </w:r>
          </w:p>
        </w:tc>
      </w:tr>
    </w:tbl>
    <w:p>
      <w:pPr>
        <w:pStyle w:val="62"/>
        <w:ind w:firstLine="420"/>
      </w:pPr>
    </w:p>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C.0.</w:t>
      </w:r>
      <w:r>
        <w:rPr>
          <w:rFonts w:hint="eastAsia" w:ascii="宋体" w:hAnsi="宋体"/>
        </w:rPr>
        <w:t>5</w:t>
      </w:r>
      <w:r>
        <w:rPr>
          <w:rFonts w:ascii="宋体" w:hAnsi="宋体"/>
        </w:rPr>
        <w:t xml:space="preserve"> </w:t>
      </w:r>
      <w:r>
        <w:rPr>
          <w:rFonts w:hint="eastAsia" w:ascii="宋体" w:hAnsi="宋体"/>
        </w:rPr>
        <w:t>结构框架、空间划分、内部装饰、外部装饰（钢结构）主要构件LOD</w:t>
      </w:r>
      <w:r>
        <w:rPr>
          <w:rFonts w:ascii="宋体" w:hAnsi="宋体"/>
        </w:rPr>
        <w:t xml:space="preserve"> 4</w:t>
      </w:r>
      <w:r>
        <w:rPr>
          <w:rFonts w:hint="eastAsia" w:ascii="宋体" w:hAnsi="宋体"/>
        </w:rPr>
        <w:t>.0模型精细度表达应符合表C</w:t>
      </w:r>
      <w:r>
        <w:rPr>
          <w:rFonts w:ascii="宋体" w:hAnsi="宋体"/>
        </w:rPr>
        <w:t>.</w:t>
      </w:r>
      <w:r>
        <w:rPr>
          <w:rFonts w:hint="eastAsia" w:ascii="宋体" w:hAnsi="宋体"/>
        </w:rPr>
        <w:t>5的规定。</w:t>
      </w:r>
    </w:p>
    <w:p>
      <w:pPr>
        <w:pStyle w:val="13"/>
        <w:spacing w:before="156" w:beforeLines="50" w:after="156" w:afterLines="50"/>
        <w:jc w:val="center"/>
        <w:rPr>
          <w:rFonts w:hint="eastAsia" w:ascii="黑体" w:hAnsi="黑体"/>
          <w:kern w:val="0"/>
        </w:rPr>
      </w:pPr>
      <w:bookmarkStart w:id="239" w:name="_Toc174544063"/>
      <w:bookmarkStart w:id="240" w:name="_Toc174544120"/>
      <w:r>
        <w:rPr>
          <w:rFonts w:hint="eastAsia" w:ascii="黑体" w:hAnsi="黑体"/>
          <w:sz w:val="21"/>
          <w:szCs w:val="21"/>
        </w:rPr>
        <w:t>表</w:t>
      </w:r>
      <w:r>
        <w:rPr>
          <w:rFonts w:ascii="黑体" w:hAnsi="黑体"/>
          <w:sz w:val="21"/>
          <w:szCs w:val="21"/>
        </w:rPr>
        <w:t>C.</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C. \* ARABIC </w:instrText>
      </w:r>
      <w:r>
        <w:rPr>
          <w:rFonts w:ascii="黑体" w:hAnsi="黑体"/>
          <w:sz w:val="21"/>
          <w:szCs w:val="21"/>
        </w:rPr>
        <w:fldChar w:fldCharType="separate"/>
      </w:r>
      <w:r>
        <w:rPr>
          <w:rFonts w:ascii="黑体" w:hAnsi="黑体"/>
          <w:sz w:val="21"/>
          <w:szCs w:val="21"/>
        </w:rPr>
        <w:t>5</w:t>
      </w:r>
      <w:r>
        <w:rPr>
          <w:rFonts w:ascii="黑体" w:hAnsi="黑体"/>
          <w:sz w:val="21"/>
          <w:szCs w:val="21"/>
        </w:rPr>
        <w:fldChar w:fldCharType="end"/>
      </w:r>
      <w:r>
        <w:rPr>
          <w:rFonts w:hint="eastAsia" w:ascii="黑体" w:hAnsi="黑体"/>
          <w:sz w:val="21"/>
          <w:szCs w:val="21"/>
        </w:rPr>
        <w:t xml:space="preserve"> 结构框架、空间划分、内部装饰、外部装饰（钢结构）主要构件</w:t>
      </w:r>
      <w:r>
        <w:rPr>
          <w:rFonts w:ascii="黑体" w:hAnsi="黑体"/>
          <w:sz w:val="21"/>
          <w:szCs w:val="21"/>
        </w:rPr>
        <w:t>LOD 4.0</w:t>
      </w:r>
      <w:r>
        <w:rPr>
          <w:rFonts w:hint="eastAsia" w:ascii="黑体" w:hAnsi="黑体"/>
          <w:sz w:val="21"/>
          <w:szCs w:val="21"/>
        </w:rPr>
        <w:t>模型精细度表达</w:t>
      </w:r>
      <w:bookmarkEnd w:id="239"/>
      <w:bookmarkEnd w:id="240"/>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4"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59616" behindDoc="0" locked="0" layoutInCell="1" allowOverlap="1">
                  <wp:simplePos x="0" y="0"/>
                  <wp:positionH relativeFrom="column">
                    <wp:posOffset>4447540</wp:posOffset>
                  </wp:positionH>
                  <wp:positionV relativeFrom="paragraph">
                    <wp:posOffset>1306830</wp:posOffset>
                  </wp:positionV>
                  <wp:extent cx="984250" cy="1163955"/>
                  <wp:effectExtent l="0" t="0" r="6350" b="0"/>
                  <wp:wrapNone/>
                  <wp:docPr id="61151609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16094" name="图片 1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984250" cy="1163955"/>
                          </a:xfrm>
                          <a:prstGeom prst="rect">
                            <a:avLst/>
                          </a:prstGeom>
                          <a:noFill/>
                        </pic:spPr>
                      </pic:pic>
                    </a:graphicData>
                  </a:graphic>
                </wp:anchor>
              </w:drawing>
            </w:r>
            <w:r>
              <w:drawing>
                <wp:anchor distT="0" distB="0" distL="114300" distR="114300" simplePos="0" relativeHeight="251760640" behindDoc="0" locked="0" layoutInCell="1" allowOverlap="1">
                  <wp:simplePos x="0" y="0"/>
                  <wp:positionH relativeFrom="column">
                    <wp:posOffset>3562985</wp:posOffset>
                  </wp:positionH>
                  <wp:positionV relativeFrom="paragraph">
                    <wp:posOffset>3007995</wp:posOffset>
                  </wp:positionV>
                  <wp:extent cx="1860550" cy="1478280"/>
                  <wp:effectExtent l="0" t="0" r="6350" b="7620"/>
                  <wp:wrapNone/>
                  <wp:docPr id="791740594"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40594" name="图片 1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860550" cy="1478280"/>
                          </a:xfrm>
                          <a:prstGeom prst="rect">
                            <a:avLst/>
                          </a:prstGeom>
                          <a:noFill/>
                        </pic:spPr>
                      </pic:pic>
                    </a:graphicData>
                  </a:graphic>
                </wp:anchor>
              </w:drawing>
            </w:r>
            <w:r>
              <w:drawing>
                <wp:anchor distT="0" distB="0" distL="114300" distR="114300" simplePos="0" relativeHeight="251763712" behindDoc="0" locked="0" layoutInCell="1" allowOverlap="1">
                  <wp:simplePos x="0" y="0"/>
                  <wp:positionH relativeFrom="column">
                    <wp:posOffset>36830</wp:posOffset>
                  </wp:positionH>
                  <wp:positionV relativeFrom="paragraph">
                    <wp:posOffset>2290445</wp:posOffset>
                  </wp:positionV>
                  <wp:extent cx="2171700" cy="415925"/>
                  <wp:effectExtent l="0" t="0" r="0" b="3175"/>
                  <wp:wrapNone/>
                  <wp:docPr id="203782098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820985" name="图片 1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171700" cy="415925"/>
                          </a:xfrm>
                          <a:prstGeom prst="rect">
                            <a:avLst/>
                          </a:prstGeom>
                          <a:noFill/>
                        </pic:spPr>
                      </pic:pic>
                    </a:graphicData>
                  </a:graphic>
                </wp:anchor>
              </w:drawing>
            </w:r>
            <w:r>
              <w:drawing>
                <wp:anchor distT="0" distB="0" distL="114300" distR="114300" simplePos="0" relativeHeight="251758592" behindDoc="0" locked="0" layoutInCell="1" allowOverlap="1">
                  <wp:simplePos x="0" y="0"/>
                  <wp:positionH relativeFrom="column">
                    <wp:posOffset>31115</wp:posOffset>
                  </wp:positionH>
                  <wp:positionV relativeFrom="paragraph">
                    <wp:posOffset>368935</wp:posOffset>
                  </wp:positionV>
                  <wp:extent cx="5341620" cy="4121785"/>
                  <wp:effectExtent l="0" t="0" r="0" b="0"/>
                  <wp:wrapNone/>
                  <wp:docPr id="2098460958"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460958" name="图片 1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345957" cy="4124940"/>
                          </a:xfrm>
                          <a:prstGeom prst="rect">
                            <a:avLst/>
                          </a:prstGeom>
                          <a:noFill/>
                        </pic:spPr>
                      </pic:pic>
                    </a:graphicData>
                  </a:graphic>
                </wp:anchor>
              </w:drawing>
            </w:r>
            <w:r>
              <w:drawing>
                <wp:anchor distT="0" distB="0" distL="114300" distR="114300" simplePos="0" relativeHeight="251761664" behindDoc="0" locked="0" layoutInCell="1" allowOverlap="1">
                  <wp:simplePos x="0" y="0"/>
                  <wp:positionH relativeFrom="column">
                    <wp:posOffset>2432685</wp:posOffset>
                  </wp:positionH>
                  <wp:positionV relativeFrom="paragraph">
                    <wp:posOffset>212725</wp:posOffset>
                  </wp:positionV>
                  <wp:extent cx="1552575" cy="813435"/>
                  <wp:effectExtent l="0" t="0" r="0" b="6350"/>
                  <wp:wrapNone/>
                  <wp:docPr id="386272196"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72196" name="图片 1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1558975" cy="816606"/>
                          </a:xfrm>
                          <a:prstGeom prst="rect">
                            <a:avLst/>
                          </a:prstGeom>
                          <a:noFill/>
                        </pic:spPr>
                      </pic:pic>
                    </a:graphicData>
                  </a:graphic>
                </wp:anchor>
              </w:drawing>
            </w:r>
            <w:r>
              <w:drawing>
                <wp:anchor distT="0" distB="0" distL="114300" distR="114300" simplePos="0" relativeHeight="251762688" behindDoc="0" locked="0" layoutInCell="1" allowOverlap="1">
                  <wp:simplePos x="0" y="0"/>
                  <wp:positionH relativeFrom="column">
                    <wp:posOffset>-1905</wp:posOffset>
                  </wp:positionH>
                  <wp:positionV relativeFrom="paragraph">
                    <wp:posOffset>1033145</wp:posOffset>
                  </wp:positionV>
                  <wp:extent cx="1695450" cy="428625"/>
                  <wp:effectExtent l="0" t="0" r="0" b="0"/>
                  <wp:wrapNone/>
                  <wp:docPr id="114093859"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93859" name="图片 1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695450" cy="428625"/>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9"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相关构件几何表达深度应与实物保持一致，模型反映实际成品的状态</w:t>
            </w:r>
          </w:p>
          <w:p>
            <w:pPr>
              <w:pStyle w:val="62"/>
              <w:ind w:firstLine="180" w:firstLineChars="100"/>
            </w:pPr>
            <w:r>
              <w:rPr>
                <w:rFonts w:hint="eastAsia"/>
                <w:sz w:val="18"/>
                <w:szCs w:val="18"/>
              </w:rPr>
              <w:t>例如柱（钢结构）应在LOD3.5的基础上增加表达使用年限、保修年限、维护频率、维保单位等维保信息</w:t>
            </w:r>
          </w:p>
        </w:tc>
      </w:tr>
    </w:tbl>
    <w:p>
      <w:pPr>
        <w:pStyle w:val="62"/>
        <w:ind w:firstLine="420"/>
      </w:pPr>
    </w:p>
    <w:p>
      <w:pPr>
        <w:pStyle w:val="6"/>
        <w:sectPr>
          <w:pgSz w:w="11906" w:h="16838"/>
          <w:pgMar w:top="1418" w:right="1134" w:bottom="1134" w:left="1418" w:header="1418" w:footer="1134" w:gutter="284"/>
          <w:cols w:space="425" w:num="1"/>
          <w:formProt w:val="0"/>
          <w:docGrid w:type="lines" w:linePitch="312" w:charSpace="0"/>
        </w:sectPr>
      </w:pPr>
    </w:p>
    <w:p>
      <w:pPr>
        <w:pStyle w:val="204"/>
        <w:rPr>
          <w:rFonts w:hint="eastAsia"/>
        </w:rPr>
      </w:pPr>
    </w:p>
    <w:p>
      <w:pPr>
        <w:pStyle w:val="205"/>
      </w:pPr>
    </w:p>
    <w:p>
      <w:pPr>
        <w:pStyle w:val="82"/>
        <w:spacing w:before="78" w:after="156"/>
      </w:pPr>
      <w:r>
        <w:br w:type="textWrapping"/>
      </w:r>
      <w:bookmarkStart w:id="241" w:name="_Toc168008314"/>
      <w:r>
        <w:rPr>
          <w:rFonts w:hint="eastAsia"/>
        </w:rPr>
        <w:t>（规范性）</w:t>
      </w:r>
      <w:r>
        <w:br w:type="textWrapping"/>
      </w:r>
      <w:r>
        <w:t>机电专业主要构件模型精细度表达</w:t>
      </w:r>
      <w:bookmarkEnd w:id="241"/>
    </w:p>
    <w:p>
      <w:pPr>
        <w:pStyle w:val="171"/>
        <w:rPr>
          <w:rFonts w:hint="eastAsia" w:ascii="宋体" w:hAnsi="宋体"/>
        </w:rPr>
      </w:pPr>
      <w:r>
        <w:rPr>
          <w:rFonts w:ascii="宋体" w:hAnsi="宋体"/>
        </w:rPr>
        <w:t xml:space="preserve">D.0.1 </w:t>
      </w:r>
      <w:r>
        <w:rPr>
          <w:rFonts w:hint="eastAsia" w:ascii="宋体" w:hAnsi="宋体"/>
        </w:rPr>
        <w:t>机电专业主要构件LOD 1.0模型精细度表达应符合表D</w:t>
      </w:r>
      <w:r>
        <w:rPr>
          <w:rFonts w:ascii="宋体" w:hAnsi="宋体"/>
        </w:rPr>
        <w:t>.1</w:t>
      </w:r>
      <w:r>
        <w:rPr>
          <w:rFonts w:hint="eastAsia" w:ascii="宋体" w:hAnsi="宋体"/>
        </w:rPr>
        <w:t>的规定。</w:t>
      </w:r>
    </w:p>
    <w:p>
      <w:pPr>
        <w:pStyle w:val="13"/>
        <w:spacing w:before="156" w:beforeLines="50" w:after="156" w:afterLines="50"/>
        <w:jc w:val="center"/>
        <w:rPr>
          <w:rFonts w:hint="eastAsia" w:ascii="黑体" w:hAnsi="黑体"/>
        </w:rPr>
      </w:pPr>
      <w:bookmarkStart w:id="242" w:name="_Toc174544064"/>
      <w:bookmarkStart w:id="243" w:name="_Toc174544121"/>
      <w:r>
        <w:rPr>
          <w:rFonts w:hint="eastAsia" w:ascii="黑体" w:hAnsi="黑体"/>
          <w:sz w:val="21"/>
          <w:szCs w:val="21"/>
        </w:rPr>
        <w:t>表</w:t>
      </w:r>
      <w:r>
        <w:rPr>
          <w:rFonts w:ascii="黑体" w:hAnsi="黑体"/>
          <w:sz w:val="21"/>
          <w:szCs w:val="21"/>
        </w:rPr>
        <w:t>D.</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D. \* ARABIC </w:instrText>
      </w:r>
      <w:r>
        <w:rPr>
          <w:rFonts w:ascii="黑体" w:hAnsi="黑体"/>
          <w:sz w:val="21"/>
          <w:szCs w:val="21"/>
        </w:rPr>
        <w:fldChar w:fldCharType="separate"/>
      </w:r>
      <w:r>
        <w:rPr>
          <w:rFonts w:ascii="黑体" w:hAnsi="黑体"/>
          <w:sz w:val="21"/>
          <w:szCs w:val="21"/>
        </w:rPr>
        <w:t>1</w:t>
      </w:r>
      <w:r>
        <w:rPr>
          <w:rFonts w:ascii="黑体" w:hAnsi="黑体"/>
          <w:sz w:val="21"/>
          <w:szCs w:val="21"/>
        </w:rPr>
        <w:fldChar w:fldCharType="end"/>
      </w:r>
      <w:r>
        <w:rPr>
          <w:rFonts w:hint="eastAsia" w:ascii="黑体" w:hAnsi="黑体"/>
          <w:sz w:val="21"/>
          <w:szCs w:val="21"/>
        </w:rPr>
        <w:t xml:space="preserve"> 机电专业主要构件</w:t>
      </w:r>
      <w:r>
        <w:rPr>
          <w:rFonts w:ascii="黑体" w:hAnsi="黑体"/>
          <w:sz w:val="21"/>
          <w:szCs w:val="21"/>
        </w:rPr>
        <w:t>LOD 1.0</w:t>
      </w:r>
      <w:r>
        <w:rPr>
          <w:rFonts w:hint="eastAsia" w:ascii="黑体" w:hAnsi="黑体"/>
          <w:sz w:val="21"/>
          <w:szCs w:val="21"/>
        </w:rPr>
        <w:t>模型精细度表达</w:t>
      </w:r>
      <w:bookmarkEnd w:id="242"/>
      <w:bookmarkEnd w:id="243"/>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7"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66784" behindDoc="0" locked="0" layoutInCell="1" allowOverlap="1">
                  <wp:simplePos x="0" y="0"/>
                  <wp:positionH relativeFrom="column">
                    <wp:posOffset>3412490</wp:posOffset>
                  </wp:positionH>
                  <wp:positionV relativeFrom="paragraph">
                    <wp:posOffset>915035</wp:posOffset>
                  </wp:positionV>
                  <wp:extent cx="1784350" cy="516255"/>
                  <wp:effectExtent l="0" t="0" r="6350" b="0"/>
                  <wp:wrapNone/>
                  <wp:docPr id="121722023"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2023" name="图片 16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784350" cy="516255"/>
                          </a:xfrm>
                          <a:prstGeom prst="rect">
                            <a:avLst/>
                          </a:prstGeom>
                          <a:noFill/>
                        </pic:spPr>
                      </pic:pic>
                    </a:graphicData>
                  </a:graphic>
                </wp:anchor>
              </w:drawing>
            </w:r>
            <w:r>
              <w:drawing>
                <wp:anchor distT="0" distB="0" distL="114300" distR="114300" simplePos="0" relativeHeight="251765760" behindDoc="0" locked="0" layoutInCell="1" allowOverlap="1">
                  <wp:simplePos x="0" y="0"/>
                  <wp:positionH relativeFrom="column">
                    <wp:posOffset>215900</wp:posOffset>
                  </wp:positionH>
                  <wp:positionV relativeFrom="paragraph">
                    <wp:posOffset>307340</wp:posOffset>
                  </wp:positionV>
                  <wp:extent cx="2134870" cy="1313815"/>
                  <wp:effectExtent l="0" t="0" r="0" b="0"/>
                  <wp:wrapNone/>
                  <wp:docPr id="1186725154"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25154" name="图片 15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139503" cy="1316714"/>
                          </a:xfrm>
                          <a:prstGeom prst="rect">
                            <a:avLst/>
                          </a:prstGeom>
                          <a:noFill/>
                        </pic:spPr>
                      </pic:pic>
                    </a:graphicData>
                  </a:graphic>
                </wp:anchor>
              </w:drawing>
            </w:r>
            <w:r>
              <w:drawing>
                <wp:anchor distT="0" distB="0" distL="114300" distR="114300" simplePos="0" relativeHeight="251764736" behindDoc="0" locked="0" layoutInCell="1" allowOverlap="1">
                  <wp:simplePos x="0" y="0"/>
                  <wp:positionH relativeFrom="column">
                    <wp:posOffset>-60960</wp:posOffset>
                  </wp:positionH>
                  <wp:positionV relativeFrom="paragraph">
                    <wp:posOffset>584835</wp:posOffset>
                  </wp:positionV>
                  <wp:extent cx="5461000" cy="3622675"/>
                  <wp:effectExtent l="0" t="0" r="6985" b="0"/>
                  <wp:wrapNone/>
                  <wp:docPr id="1753766379"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766379" name="图片 1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466973" cy="3626885"/>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9"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rPr>
                <w:sz w:val="18"/>
                <w:szCs w:val="18"/>
              </w:rP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水管由给排水专业建立</w:t>
            </w:r>
          </w:p>
          <w:p>
            <w:pPr>
              <w:pStyle w:val="62"/>
              <w:ind w:firstLine="180" w:firstLineChars="100"/>
              <w:rPr>
                <w:sz w:val="18"/>
                <w:szCs w:val="18"/>
              </w:rPr>
            </w:pPr>
            <w:r>
              <w:rPr>
                <w:rFonts w:hint="eastAsia"/>
                <w:sz w:val="18"/>
                <w:szCs w:val="18"/>
              </w:rPr>
              <w:t>风管由暖通专业建立</w:t>
            </w:r>
          </w:p>
          <w:p>
            <w:pPr>
              <w:pStyle w:val="62"/>
              <w:ind w:firstLine="180" w:firstLineChars="100"/>
              <w:rPr>
                <w:sz w:val="18"/>
                <w:szCs w:val="18"/>
              </w:rPr>
            </w:pPr>
            <w:r>
              <w:rPr>
                <w:rFonts w:hint="eastAsia"/>
                <w:sz w:val="18"/>
                <w:szCs w:val="18"/>
              </w:rPr>
              <w:t>只表达主管线</w:t>
            </w:r>
          </w:p>
          <w:p>
            <w:pPr>
              <w:pStyle w:val="62"/>
              <w:ind w:firstLine="180" w:firstLineChars="100"/>
              <w:rPr>
                <w:sz w:val="18"/>
                <w:szCs w:val="18"/>
              </w:rPr>
            </w:pPr>
            <w:r>
              <w:rPr>
                <w:rFonts w:hint="eastAsia"/>
                <w:sz w:val="18"/>
                <w:szCs w:val="18"/>
              </w:rPr>
              <w:t>该精细度示意几何数据</w:t>
            </w:r>
          </w:p>
          <w:p>
            <w:pPr>
              <w:pStyle w:val="62"/>
              <w:ind w:firstLine="180" w:firstLineChars="100"/>
            </w:pPr>
            <w:r>
              <w:rPr>
                <w:rFonts w:hint="eastAsia"/>
                <w:sz w:val="18"/>
                <w:szCs w:val="18"/>
              </w:rPr>
              <w:t>例如管道应示意管道类型、管径、主管线标高等几何信息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D.0.2 </w:t>
      </w:r>
      <w:r>
        <w:rPr>
          <w:rFonts w:hint="eastAsia" w:ascii="宋体" w:hAnsi="宋体"/>
        </w:rPr>
        <w:t xml:space="preserve">机电专业主要构件LOD </w:t>
      </w:r>
      <w:r>
        <w:rPr>
          <w:rFonts w:ascii="宋体" w:hAnsi="宋体"/>
        </w:rPr>
        <w:t>2</w:t>
      </w:r>
      <w:r>
        <w:rPr>
          <w:rFonts w:hint="eastAsia" w:ascii="宋体" w:hAnsi="宋体"/>
        </w:rPr>
        <w:t>.0模型精细度表达应符合表D</w:t>
      </w:r>
      <w:r>
        <w:rPr>
          <w:rFonts w:ascii="宋体" w:hAnsi="宋体"/>
        </w:rPr>
        <w:t>.2</w:t>
      </w:r>
      <w:r>
        <w:rPr>
          <w:rFonts w:hint="eastAsia" w:ascii="宋体" w:hAnsi="宋体"/>
        </w:rPr>
        <w:t>的规定。</w:t>
      </w:r>
    </w:p>
    <w:p>
      <w:pPr>
        <w:pStyle w:val="13"/>
        <w:spacing w:before="156" w:beforeLines="50" w:after="156" w:afterLines="50"/>
        <w:jc w:val="center"/>
        <w:rPr>
          <w:rFonts w:hint="eastAsia" w:ascii="黑体" w:hAnsi="黑体"/>
          <w:kern w:val="0"/>
        </w:rPr>
      </w:pPr>
      <w:bookmarkStart w:id="244" w:name="_Toc174544065"/>
      <w:bookmarkStart w:id="245" w:name="_Toc174544122"/>
      <w:r>
        <w:rPr>
          <w:rFonts w:hint="eastAsia" w:ascii="黑体" w:hAnsi="黑体"/>
          <w:sz w:val="21"/>
          <w:szCs w:val="21"/>
        </w:rPr>
        <w:t>表</w:t>
      </w:r>
      <w:r>
        <w:rPr>
          <w:rFonts w:ascii="黑体" w:hAnsi="黑体"/>
          <w:sz w:val="21"/>
          <w:szCs w:val="21"/>
        </w:rPr>
        <w:t>D.</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D. \* ARABIC </w:instrText>
      </w:r>
      <w:r>
        <w:rPr>
          <w:rFonts w:ascii="黑体" w:hAnsi="黑体"/>
          <w:sz w:val="21"/>
          <w:szCs w:val="21"/>
        </w:rPr>
        <w:fldChar w:fldCharType="separate"/>
      </w:r>
      <w:r>
        <w:rPr>
          <w:rFonts w:ascii="黑体" w:hAnsi="黑体"/>
          <w:sz w:val="21"/>
          <w:szCs w:val="21"/>
        </w:rPr>
        <w:t>2</w:t>
      </w:r>
      <w:r>
        <w:rPr>
          <w:rFonts w:ascii="黑体" w:hAnsi="黑体"/>
          <w:sz w:val="21"/>
          <w:szCs w:val="21"/>
        </w:rPr>
        <w:fldChar w:fldCharType="end"/>
      </w:r>
      <w:r>
        <w:rPr>
          <w:rFonts w:hint="eastAsia" w:ascii="黑体" w:hAnsi="黑体"/>
          <w:sz w:val="21"/>
          <w:szCs w:val="21"/>
        </w:rPr>
        <w:t xml:space="preserve"> 机电专业主要构件</w:t>
      </w:r>
      <w:r>
        <w:rPr>
          <w:rFonts w:ascii="黑体" w:hAnsi="黑体"/>
          <w:sz w:val="21"/>
          <w:szCs w:val="21"/>
        </w:rPr>
        <w:t>LOD 2.0</w:t>
      </w:r>
      <w:r>
        <w:rPr>
          <w:rFonts w:hint="eastAsia" w:ascii="黑体" w:hAnsi="黑体"/>
          <w:sz w:val="21"/>
          <w:szCs w:val="21"/>
        </w:rPr>
        <w:t>模型精细度表达</w:t>
      </w:r>
      <w:bookmarkEnd w:id="244"/>
      <w:bookmarkEnd w:id="245"/>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70880" behindDoc="0" locked="0" layoutInCell="1" allowOverlap="1">
                  <wp:simplePos x="0" y="0"/>
                  <wp:positionH relativeFrom="column">
                    <wp:posOffset>3590925</wp:posOffset>
                  </wp:positionH>
                  <wp:positionV relativeFrom="paragraph">
                    <wp:posOffset>423545</wp:posOffset>
                  </wp:positionV>
                  <wp:extent cx="1852930" cy="698500"/>
                  <wp:effectExtent l="0" t="0" r="0" b="6350"/>
                  <wp:wrapNone/>
                  <wp:docPr id="499119839"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119839" name="图片 16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852930" cy="698500"/>
                          </a:xfrm>
                          <a:prstGeom prst="rect">
                            <a:avLst/>
                          </a:prstGeom>
                          <a:noFill/>
                        </pic:spPr>
                      </pic:pic>
                    </a:graphicData>
                  </a:graphic>
                </wp:anchor>
              </w:drawing>
            </w:r>
            <w:r>
              <w:drawing>
                <wp:anchor distT="0" distB="0" distL="114300" distR="114300" simplePos="0" relativeHeight="251768832" behindDoc="0" locked="0" layoutInCell="1" allowOverlap="1">
                  <wp:simplePos x="0" y="0"/>
                  <wp:positionH relativeFrom="column">
                    <wp:posOffset>405130</wp:posOffset>
                  </wp:positionH>
                  <wp:positionV relativeFrom="paragraph">
                    <wp:posOffset>783590</wp:posOffset>
                  </wp:positionV>
                  <wp:extent cx="2164715" cy="1332230"/>
                  <wp:effectExtent l="0" t="0" r="6985" b="0"/>
                  <wp:wrapNone/>
                  <wp:docPr id="163445229"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45229" name="图片 15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164715" cy="1332230"/>
                          </a:xfrm>
                          <a:prstGeom prst="rect">
                            <a:avLst/>
                          </a:prstGeom>
                          <a:noFill/>
                        </pic:spPr>
                      </pic:pic>
                    </a:graphicData>
                  </a:graphic>
                </wp:anchor>
              </w:drawing>
            </w:r>
            <w:r>
              <w:drawing>
                <wp:anchor distT="0" distB="0" distL="114300" distR="114300" simplePos="0" relativeHeight="251769856" behindDoc="0" locked="0" layoutInCell="1" allowOverlap="1">
                  <wp:simplePos x="0" y="0"/>
                  <wp:positionH relativeFrom="column">
                    <wp:posOffset>-53340</wp:posOffset>
                  </wp:positionH>
                  <wp:positionV relativeFrom="paragraph">
                    <wp:posOffset>3418205</wp:posOffset>
                  </wp:positionV>
                  <wp:extent cx="2099945" cy="1187450"/>
                  <wp:effectExtent l="0" t="0" r="0" b="0"/>
                  <wp:wrapNone/>
                  <wp:docPr id="1003266598"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66598" name="图片 1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099945" cy="1187450"/>
                          </a:xfrm>
                          <a:prstGeom prst="rect">
                            <a:avLst/>
                          </a:prstGeom>
                          <a:noFill/>
                        </pic:spPr>
                      </pic:pic>
                    </a:graphicData>
                  </a:graphic>
                </wp:anchor>
              </w:drawing>
            </w:r>
            <w:r>
              <w:drawing>
                <wp:anchor distT="0" distB="0" distL="114300" distR="114300" simplePos="0" relativeHeight="251767808" behindDoc="0" locked="0" layoutInCell="1" allowOverlap="1">
                  <wp:simplePos x="0" y="0"/>
                  <wp:positionH relativeFrom="column">
                    <wp:posOffset>396240</wp:posOffset>
                  </wp:positionH>
                  <wp:positionV relativeFrom="paragraph">
                    <wp:posOffset>821055</wp:posOffset>
                  </wp:positionV>
                  <wp:extent cx="4809490" cy="3609340"/>
                  <wp:effectExtent l="0" t="0" r="0" b="0"/>
                  <wp:wrapNone/>
                  <wp:docPr id="1705865494"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65494" name="图片 16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809490" cy="3609340"/>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1"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rPr>
                <w:sz w:val="18"/>
                <w:szCs w:val="18"/>
              </w:rPr>
            </w:pPr>
            <w:r>
              <w:rPr>
                <w:rFonts w:hint="eastAsia"/>
                <w:sz w:val="18"/>
                <w:szCs w:val="18"/>
              </w:rPr>
              <w:t>明</w:t>
            </w:r>
          </w:p>
        </w:tc>
        <w:tc>
          <w:tcPr>
            <w:tcW w:w="9178" w:type="dxa"/>
            <w:vAlign w:val="center"/>
          </w:tcPr>
          <w:p>
            <w:pPr>
              <w:pStyle w:val="62"/>
              <w:ind w:firstLine="210" w:firstLineChars="100"/>
            </w:pPr>
            <w:r>
              <w:t>水管由给排水专业建立</w:t>
            </w:r>
          </w:p>
          <w:p>
            <w:pPr>
              <w:pStyle w:val="62"/>
              <w:ind w:firstLine="210" w:firstLineChars="100"/>
            </w:pPr>
            <w:r>
              <w:t>风管由暖通专业建立</w:t>
            </w:r>
          </w:p>
          <w:p>
            <w:pPr>
              <w:pStyle w:val="62"/>
              <w:ind w:firstLine="210" w:firstLineChars="100"/>
            </w:pPr>
            <w:r>
              <w:t>桥架由电气专业建立</w:t>
            </w:r>
          </w:p>
          <w:p>
            <w:pPr>
              <w:pStyle w:val="62"/>
              <w:ind w:firstLine="210" w:firstLineChars="100"/>
            </w:pPr>
            <w:r>
              <w:rPr>
                <w:rFonts w:hint="eastAsia"/>
              </w:rPr>
              <w:t>非几何信息应包含各管道模型的系统、尺寸、材质等属性信息</w:t>
            </w:r>
          </w:p>
          <w:p>
            <w:pPr>
              <w:pStyle w:val="62"/>
              <w:ind w:firstLine="210" w:firstLineChars="100"/>
            </w:pPr>
            <w:r>
              <w:rPr>
                <w:rFonts w:hint="eastAsia"/>
              </w:rPr>
              <w:t>该精细度显示通用元素，包括最大尺寸和用途</w:t>
            </w:r>
          </w:p>
          <w:p>
            <w:pPr>
              <w:pStyle w:val="62"/>
              <w:ind w:firstLine="210" w:firstLineChars="100"/>
            </w:pPr>
            <w:r>
              <w:rPr>
                <w:rFonts w:hint="eastAsia"/>
              </w:rPr>
              <w:t>例如管道应在LOD1.0的基础上增加显示支管线标高等几何信息</w:t>
            </w:r>
          </w:p>
        </w:tc>
      </w:tr>
    </w:tbl>
    <w:p>
      <w:pPr>
        <w:pStyle w:val="62"/>
        <w:ind w:firstLine="422"/>
        <w:rPr>
          <w:b/>
          <w:bCs/>
        </w:rPr>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D.0.3 </w:t>
      </w:r>
      <w:r>
        <w:rPr>
          <w:rFonts w:hint="eastAsia" w:ascii="宋体" w:hAnsi="宋体"/>
        </w:rPr>
        <w:t xml:space="preserve">机电专业主要构件LOD </w:t>
      </w:r>
      <w:r>
        <w:rPr>
          <w:rFonts w:ascii="宋体" w:hAnsi="宋体"/>
        </w:rPr>
        <w:t>3</w:t>
      </w:r>
      <w:r>
        <w:rPr>
          <w:rFonts w:hint="eastAsia" w:ascii="宋体" w:hAnsi="宋体"/>
        </w:rPr>
        <w:t>.0模型精细度表达应符合表D</w:t>
      </w:r>
      <w:r>
        <w:rPr>
          <w:rFonts w:ascii="宋体" w:hAnsi="宋体"/>
        </w:rPr>
        <w:t>.3</w:t>
      </w:r>
      <w:r>
        <w:rPr>
          <w:rFonts w:hint="eastAsia" w:ascii="宋体" w:hAnsi="宋体"/>
        </w:rPr>
        <w:t>的规定。</w:t>
      </w:r>
    </w:p>
    <w:p>
      <w:pPr>
        <w:pStyle w:val="13"/>
        <w:spacing w:before="156" w:beforeLines="50" w:after="156" w:afterLines="50"/>
        <w:jc w:val="center"/>
        <w:rPr>
          <w:rFonts w:hint="eastAsia" w:ascii="黑体" w:hAnsi="黑体"/>
          <w:kern w:val="0"/>
        </w:rPr>
      </w:pPr>
      <w:bookmarkStart w:id="246" w:name="_Toc174544066"/>
      <w:bookmarkStart w:id="247" w:name="_Toc174544123"/>
      <w:r>
        <w:rPr>
          <w:rFonts w:hint="eastAsia" w:ascii="黑体" w:hAnsi="黑体"/>
          <w:sz w:val="21"/>
          <w:szCs w:val="21"/>
        </w:rPr>
        <w:t>表</w:t>
      </w:r>
      <w:r>
        <w:rPr>
          <w:rFonts w:ascii="黑体" w:hAnsi="黑体"/>
          <w:sz w:val="21"/>
          <w:szCs w:val="21"/>
        </w:rPr>
        <w:t>D.</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D. \* ARABIC </w:instrText>
      </w:r>
      <w:r>
        <w:rPr>
          <w:rFonts w:ascii="黑体" w:hAnsi="黑体"/>
          <w:sz w:val="21"/>
          <w:szCs w:val="21"/>
        </w:rPr>
        <w:fldChar w:fldCharType="separate"/>
      </w:r>
      <w:r>
        <w:rPr>
          <w:rFonts w:ascii="黑体" w:hAnsi="黑体"/>
          <w:sz w:val="21"/>
          <w:szCs w:val="21"/>
        </w:rPr>
        <w:t>3</w:t>
      </w:r>
      <w:r>
        <w:rPr>
          <w:rFonts w:ascii="黑体" w:hAnsi="黑体"/>
          <w:sz w:val="21"/>
          <w:szCs w:val="21"/>
        </w:rPr>
        <w:fldChar w:fldCharType="end"/>
      </w:r>
      <w:r>
        <w:rPr>
          <w:rFonts w:hint="eastAsia" w:ascii="黑体" w:hAnsi="黑体"/>
          <w:sz w:val="21"/>
          <w:szCs w:val="21"/>
        </w:rPr>
        <w:t xml:space="preserve"> 机电专业主要构件</w:t>
      </w:r>
      <w:r>
        <w:rPr>
          <w:rFonts w:ascii="黑体" w:hAnsi="黑体"/>
          <w:sz w:val="21"/>
          <w:szCs w:val="21"/>
        </w:rPr>
        <w:t>LOD 3.0</w:t>
      </w:r>
      <w:r>
        <w:rPr>
          <w:rFonts w:hint="eastAsia" w:ascii="黑体" w:hAnsi="黑体"/>
          <w:sz w:val="21"/>
          <w:szCs w:val="21"/>
        </w:rPr>
        <w:t>模型精细度表达</w:t>
      </w:r>
      <w:bookmarkEnd w:id="246"/>
      <w:bookmarkEnd w:id="247"/>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71904" behindDoc="0" locked="0" layoutInCell="1" allowOverlap="1">
                  <wp:simplePos x="0" y="0"/>
                  <wp:positionH relativeFrom="column">
                    <wp:posOffset>-42545</wp:posOffset>
                  </wp:positionH>
                  <wp:positionV relativeFrom="paragraph">
                    <wp:posOffset>659130</wp:posOffset>
                  </wp:positionV>
                  <wp:extent cx="5457190" cy="3459480"/>
                  <wp:effectExtent l="0" t="0" r="0" b="7620"/>
                  <wp:wrapNone/>
                  <wp:docPr id="716052851"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052851" name="图片 17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457464" cy="3459728"/>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2"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水管、水管管件、给排水设备由给排水专业建立</w:t>
            </w:r>
          </w:p>
          <w:p>
            <w:pPr>
              <w:pStyle w:val="62"/>
              <w:ind w:firstLine="180" w:firstLineChars="100"/>
              <w:rPr>
                <w:sz w:val="18"/>
                <w:szCs w:val="18"/>
              </w:rPr>
            </w:pPr>
            <w:r>
              <w:rPr>
                <w:rFonts w:hint="eastAsia"/>
                <w:sz w:val="18"/>
                <w:szCs w:val="18"/>
              </w:rPr>
              <w:t>风管、风管管件、暖通设备由暖通专业建立</w:t>
            </w:r>
          </w:p>
          <w:p>
            <w:pPr>
              <w:pStyle w:val="62"/>
              <w:ind w:firstLine="180" w:firstLineChars="100"/>
              <w:rPr>
                <w:sz w:val="18"/>
                <w:szCs w:val="18"/>
              </w:rPr>
            </w:pPr>
            <w:r>
              <w:rPr>
                <w:rFonts w:hint="eastAsia"/>
                <w:sz w:val="18"/>
                <w:szCs w:val="18"/>
              </w:rPr>
              <w:t>桥架、桥架配件由电气专业建立</w:t>
            </w:r>
          </w:p>
          <w:p>
            <w:pPr>
              <w:pStyle w:val="62"/>
              <w:ind w:firstLine="180" w:firstLineChars="100"/>
              <w:rPr>
                <w:sz w:val="18"/>
                <w:szCs w:val="18"/>
              </w:rPr>
            </w:pPr>
            <w:r>
              <w:rPr>
                <w:rFonts w:hint="eastAsia"/>
                <w:sz w:val="18"/>
                <w:szCs w:val="18"/>
              </w:rPr>
              <w:t>需表达主管线以及支管（DN50以上）</w:t>
            </w:r>
          </w:p>
          <w:p>
            <w:pPr>
              <w:pStyle w:val="62"/>
              <w:ind w:firstLine="180" w:firstLineChars="100"/>
              <w:rPr>
                <w:sz w:val="18"/>
                <w:szCs w:val="18"/>
              </w:rPr>
            </w:pPr>
            <w:r>
              <w:rPr>
                <w:rFonts w:hint="eastAsia"/>
                <w:sz w:val="18"/>
                <w:szCs w:val="18"/>
              </w:rPr>
              <w:t>管线碰撞处需避让</w:t>
            </w:r>
          </w:p>
          <w:p>
            <w:pPr>
              <w:pStyle w:val="62"/>
              <w:ind w:firstLine="180" w:firstLineChars="100"/>
              <w:rPr>
                <w:sz w:val="18"/>
                <w:szCs w:val="18"/>
              </w:rPr>
            </w:pPr>
            <w:r>
              <w:rPr>
                <w:rFonts w:hint="eastAsia"/>
                <w:sz w:val="18"/>
                <w:szCs w:val="18"/>
              </w:rPr>
              <w:t>非几何信息应包含各管道、管件、设备等构件模型的系统、尺寸、材质等属性信息</w:t>
            </w:r>
          </w:p>
          <w:p>
            <w:pPr>
              <w:pStyle w:val="62"/>
              <w:ind w:firstLine="180" w:firstLineChars="100"/>
              <w:rPr>
                <w:sz w:val="18"/>
                <w:szCs w:val="18"/>
              </w:rPr>
            </w:pPr>
            <w:r>
              <w:rPr>
                <w:rFonts w:hint="eastAsia"/>
                <w:sz w:val="18"/>
                <w:szCs w:val="18"/>
              </w:rPr>
              <w:t>该精细度表达特定元素，包括其尺寸、容量、连接关系等</w:t>
            </w:r>
          </w:p>
          <w:p>
            <w:pPr>
              <w:pStyle w:val="62"/>
              <w:ind w:firstLine="180" w:firstLineChars="100"/>
            </w:pPr>
            <w:r>
              <w:rPr>
                <w:rFonts w:hint="eastAsia"/>
                <w:sz w:val="18"/>
                <w:szCs w:val="18"/>
              </w:rPr>
              <w:t>例如管道应在LOD2.0的基础上增加表达加保温层，管道进设备机房等几何信息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D.0.4 </w:t>
      </w:r>
      <w:r>
        <w:rPr>
          <w:rFonts w:hint="eastAsia" w:ascii="宋体" w:hAnsi="宋体"/>
        </w:rPr>
        <w:t>机电专业主要构件LOD 3.5模型精细度表达</w:t>
      </w:r>
      <w:r>
        <w:rPr>
          <w:rFonts w:ascii="宋体" w:hAnsi="宋体"/>
        </w:rPr>
        <w:t>应符合表</w:t>
      </w:r>
      <w:r>
        <w:rPr>
          <w:rFonts w:hint="eastAsia" w:ascii="宋体" w:hAnsi="宋体"/>
        </w:rPr>
        <w:t>D</w:t>
      </w:r>
      <w:r>
        <w:rPr>
          <w:rFonts w:ascii="宋体" w:hAnsi="宋体"/>
        </w:rPr>
        <w:t>.4的</w:t>
      </w:r>
      <w:r>
        <w:rPr>
          <w:rFonts w:hint="eastAsia" w:ascii="宋体" w:hAnsi="宋体"/>
        </w:rPr>
        <w:t>规定。</w:t>
      </w:r>
    </w:p>
    <w:p>
      <w:pPr>
        <w:pStyle w:val="13"/>
        <w:spacing w:before="156" w:beforeLines="50" w:after="156" w:afterLines="50"/>
        <w:jc w:val="center"/>
        <w:rPr>
          <w:rFonts w:hint="eastAsia"/>
        </w:rPr>
      </w:pPr>
      <w:bookmarkStart w:id="248" w:name="_Toc174544067"/>
      <w:bookmarkStart w:id="249" w:name="_Toc174544124"/>
      <w:r>
        <w:rPr>
          <w:rFonts w:hint="eastAsia" w:ascii="黑体" w:hAnsi="黑体"/>
          <w:sz w:val="21"/>
          <w:szCs w:val="21"/>
        </w:rPr>
        <w:t>表</w:t>
      </w:r>
      <w:r>
        <w:rPr>
          <w:rFonts w:ascii="黑体" w:hAnsi="黑体"/>
          <w:sz w:val="21"/>
          <w:szCs w:val="21"/>
        </w:rPr>
        <w:t>D.</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D. \* ARABIC </w:instrText>
      </w:r>
      <w:r>
        <w:rPr>
          <w:rFonts w:ascii="黑体" w:hAnsi="黑体"/>
          <w:sz w:val="21"/>
          <w:szCs w:val="21"/>
        </w:rPr>
        <w:fldChar w:fldCharType="separate"/>
      </w:r>
      <w:r>
        <w:rPr>
          <w:rFonts w:ascii="黑体" w:hAnsi="黑体"/>
          <w:sz w:val="21"/>
          <w:szCs w:val="21"/>
        </w:rPr>
        <w:t>4</w:t>
      </w:r>
      <w:r>
        <w:rPr>
          <w:rFonts w:ascii="黑体" w:hAnsi="黑体"/>
          <w:sz w:val="21"/>
          <w:szCs w:val="21"/>
        </w:rPr>
        <w:fldChar w:fldCharType="end"/>
      </w:r>
      <w:r>
        <w:rPr>
          <w:rFonts w:hint="eastAsia" w:ascii="黑体" w:hAnsi="黑体"/>
          <w:sz w:val="21"/>
          <w:szCs w:val="21"/>
        </w:rPr>
        <w:t xml:space="preserve"> 机电专业主要构件</w:t>
      </w:r>
      <w:r>
        <w:rPr>
          <w:rFonts w:ascii="黑体" w:hAnsi="黑体"/>
          <w:sz w:val="21"/>
          <w:szCs w:val="21"/>
        </w:rPr>
        <w:t>LOD</w:t>
      </w:r>
      <w:r>
        <w:rPr>
          <w:rFonts w:hint="eastAsia" w:ascii="黑体" w:hAnsi="黑体"/>
          <w:sz w:val="21"/>
          <w:szCs w:val="21"/>
        </w:rPr>
        <w:t xml:space="preserve"> </w:t>
      </w:r>
      <w:r>
        <w:rPr>
          <w:rFonts w:ascii="黑体" w:hAnsi="黑体"/>
          <w:sz w:val="21"/>
          <w:szCs w:val="21"/>
        </w:rPr>
        <w:t>3.5模型精细度表达</w:t>
      </w:r>
      <w:bookmarkEnd w:id="248"/>
      <w:bookmarkEnd w:id="249"/>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
        <w:gridCol w:w="88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7" w:hRule="atLeast"/>
        </w:trPr>
        <w:tc>
          <w:tcPr>
            <w:tcW w:w="426"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44" w:type="dxa"/>
          </w:tcPr>
          <w:p>
            <w:pPr>
              <w:pStyle w:val="62"/>
              <w:ind w:firstLine="0" w:firstLineChars="0"/>
            </w:pPr>
            <w:r>
              <w:drawing>
                <wp:anchor distT="0" distB="0" distL="114300" distR="114300" simplePos="0" relativeHeight="251772928" behindDoc="0" locked="0" layoutInCell="1" allowOverlap="1">
                  <wp:simplePos x="0" y="0"/>
                  <wp:positionH relativeFrom="column">
                    <wp:posOffset>-26670</wp:posOffset>
                  </wp:positionH>
                  <wp:positionV relativeFrom="paragraph">
                    <wp:posOffset>577850</wp:posOffset>
                  </wp:positionV>
                  <wp:extent cx="5445760" cy="3489960"/>
                  <wp:effectExtent l="0" t="0" r="2540" b="0"/>
                  <wp:wrapNone/>
                  <wp:docPr id="471783417"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83417" name="图片 17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463330" cy="3501181"/>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1" w:hRule="atLeast"/>
        </w:trPr>
        <w:tc>
          <w:tcPr>
            <w:tcW w:w="426"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44" w:type="dxa"/>
            <w:vAlign w:val="center"/>
          </w:tcPr>
          <w:p>
            <w:pPr>
              <w:pStyle w:val="62"/>
              <w:ind w:firstLine="180" w:firstLineChars="100"/>
              <w:rPr>
                <w:sz w:val="18"/>
                <w:szCs w:val="18"/>
              </w:rPr>
            </w:pPr>
            <w:r>
              <w:rPr>
                <w:rFonts w:hint="eastAsia"/>
                <w:sz w:val="18"/>
                <w:szCs w:val="18"/>
              </w:rPr>
              <w:t>水管、水管管件、给排水设备、管道附件、管道末端由给排水专业建立</w:t>
            </w:r>
          </w:p>
          <w:p>
            <w:pPr>
              <w:pStyle w:val="62"/>
              <w:ind w:firstLine="180" w:firstLineChars="100"/>
              <w:rPr>
                <w:sz w:val="18"/>
                <w:szCs w:val="18"/>
              </w:rPr>
            </w:pPr>
            <w:r>
              <w:rPr>
                <w:rFonts w:hint="eastAsia"/>
                <w:sz w:val="18"/>
                <w:szCs w:val="18"/>
              </w:rPr>
              <w:t>风管、风管管件、暖通设备、风管附件、风管末端由暖通专业建立</w:t>
            </w:r>
          </w:p>
          <w:p>
            <w:pPr>
              <w:pStyle w:val="62"/>
              <w:ind w:firstLine="180" w:firstLineChars="100"/>
              <w:rPr>
                <w:sz w:val="18"/>
                <w:szCs w:val="18"/>
              </w:rPr>
            </w:pPr>
            <w:r>
              <w:rPr>
                <w:rFonts w:hint="eastAsia"/>
                <w:sz w:val="18"/>
                <w:szCs w:val="18"/>
              </w:rPr>
              <w:t>桥架、桥架配件、电气设备由电气专业建立</w:t>
            </w:r>
          </w:p>
          <w:p>
            <w:pPr>
              <w:pStyle w:val="62"/>
              <w:ind w:firstLine="180" w:firstLineChars="100"/>
              <w:rPr>
                <w:sz w:val="18"/>
                <w:szCs w:val="18"/>
              </w:rPr>
            </w:pPr>
            <w:r>
              <w:rPr>
                <w:rFonts w:hint="eastAsia"/>
                <w:sz w:val="18"/>
                <w:szCs w:val="18"/>
              </w:rPr>
              <w:t>支吊架由机电专业建立、土建专业复核</w:t>
            </w:r>
          </w:p>
          <w:p>
            <w:pPr>
              <w:pStyle w:val="62"/>
              <w:ind w:firstLine="180" w:firstLineChars="100"/>
              <w:rPr>
                <w:sz w:val="18"/>
                <w:szCs w:val="18"/>
              </w:rPr>
            </w:pPr>
            <w:r>
              <w:rPr>
                <w:rFonts w:hint="eastAsia"/>
                <w:sz w:val="18"/>
                <w:szCs w:val="18"/>
              </w:rPr>
              <w:t>需表达主管线以及支管线</w:t>
            </w:r>
          </w:p>
          <w:p>
            <w:pPr>
              <w:pStyle w:val="62"/>
              <w:ind w:firstLine="180" w:firstLineChars="100"/>
              <w:rPr>
                <w:sz w:val="18"/>
                <w:szCs w:val="18"/>
              </w:rPr>
            </w:pPr>
            <w:r>
              <w:rPr>
                <w:rFonts w:hint="eastAsia"/>
                <w:sz w:val="18"/>
                <w:szCs w:val="18"/>
              </w:rPr>
              <w:t>需表达喷淋支管以及喷头</w:t>
            </w:r>
          </w:p>
          <w:p>
            <w:pPr>
              <w:pStyle w:val="62"/>
              <w:ind w:firstLine="180" w:firstLineChars="100"/>
              <w:rPr>
                <w:sz w:val="18"/>
                <w:szCs w:val="18"/>
              </w:rPr>
            </w:pPr>
            <w:r>
              <w:rPr>
                <w:rFonts w:hint="eastAsia"/>
                <w:sz w:val="18"/>
                <w:szCs w:val="18"/>
              </w:rPr>
              <w:t>管线碰撞处需避让</w:t>
            </w:r>
          </w:p>
          <w:p>
            <w:pPr>
              <w:pStyle w:val="62"/>
              <w:ind w:firstLine="180" w:firstLineChars="100"/>
              <w:rPr>
                <w:sz w:val="18"/>
                <w:szCs w:val="18"/>
              </w:rPr>
            </w:pPr>
            <w:r>
              <w:rPr>
                <w:rFonts w:hint="eastAsia"/>
                <w:sz w:val="18"/>
                <w:szCs w:val="18"/>
              </w:rPr>
              <w:t>非几何信息应包含各管道、管件、管件末端、设备等构件模型的系统、生产加工、尺寸、材质等属性信息</w:t>
            </w:r>
          </w:p>
          <w:p>
            <w:pPr>
              <w:pStyle w:val="62"/>
              <w:ind w:firstLine="180" w:firstLineChars="100"/>
              <w:rPr>
                <w:sz w:val="18"/>
                <w:szCs w:val="18"/>
              </w:rPr>
            </w:pPr>
            <w:r>
              <w:rPr>
                <w:rFonts w:hint="eastAsia"/>
                <w:sz w:val="18"/>
                <w:szCs w:val="18"/>
              </w:rPr>
              <w:t>该精细度模型可用于采购、生产及安装</w:t>
            </w:r>
          </w:p>
          <w:p>
            <w:pPr>
              <w:pStyle w:val="62"/>
              <w:ind w:firstLine="180" w:firstLineChars="100"/>
            </w:pPr>
            <w:r>
              <w:rPr>
                <w:rFonts w:hint="eastAsia"/>
                <w:sz w:val="18"/>
                <w:szCs w:val="18"/>
              </w:rPr>
              <w:t>例如管道应在LOD3.0的基础上增加表达材料和材质信息、技术参数等技术信息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D.0.5</w:t>
      </w:r>
      <w:r>
        <w:rPr>
          <w:rFonts w:hint="eastAsia" w:ascii="宋体" w:hAnsi="宋体"/>
        </w:rPr>
        <w:t xml:space="preserve"> 机电专业主要构件LOD</w:t>
      </w:r>
      <w:r>
        <w:rPr>
          <w:rFonts w:ascii="宋体" w:hAnsi="宋体"/>
        </w:rPr>
        <w:t xml:space="preserve"> 4.0</w:t>
      </w:r>
      <w:r>
        <w:rPr>
          <w:rFonts w:hint="eastAsia" w:ascii="宋体" w:hAnsi="宋体"/>
        </w:rPr>
        <w:t>模型精细度表达</w:t>
      </w:r>
      <w:r>
        <w:rPr>
          <w:rFonts w:ascii="宋体" w:hAnsi="宋体"/>
        </w:rPr>
        <w:t>应符合表</w:t>
      </w:r>
      <w:r>
        <w:rPr>
          <w:rFonts w:hint="eastAsia" w:ascii="宋体" w:hAnsi="宋体"/>
        </w:rPr>
        <w:t>D</w:t>
      </w:r>
      <w:r>
        <w:rPr>
          <w:rFonts w:ascii="宋体" w:hAnsi="宋体"/>
        </w:rPr>
        <w:t>.5的</w:t>
      </w:r>
      <w:r>
        <w:rPr>
          <w:rFonts w:hint="eastAsia" w:ascii="宋体" w:hAnsi="宋体"/>
        </w:rPr>
        <w:t>规定。</w:t>
      </w:r>
    </w:p>
    <w:p>
      <w:pPr>
        <w:pStyle w:val="13"/>
        <w:spacing w:before="156" w:beforeLines="50" w:after="156" w:afterLines="50"/>
        <w:jc w:val="center"/>
        <w:rPr>
          <w:rFonts w:hint="eastAsia"/>
        </w:rPr>
      </w:pPr>
      <w:bookmarkStart w:id="250" w:name="_Toc174544125"/>
      <w:bookmarkStart w:id="251" w:name="_Toc174544068"/>
      <w:r>
        <w:rPr>
          <w:rFonts w:hint="eastAsia" w:ascii="黑体" w:hAnsi="黑体"/>
          <w:sz w:val="21"/>
          <w:szCs w:val="21"/>
        </w:rPr>
        <w:t>表</w:t>
      </w:r>
      <w:r>
        <w:rPr>
          <w:rFonts w:ascii="黑体" w:hAnsi="黑体"/>
          <w:sz w:val="21"/>
          <w:szCs w:val="21"/>
        </w:rPr>
        <w:t>D.</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D. \* ARABIC </w:instrText>
      </w:r>
      <w:r>
        <w:rPr>
          <w:rFonts w:ascii="黑体" w:hAnsi="黑体"/>
          <w:sz w:val="21"/>
          <w:szCs w:val="21"/>
        </w:rPr>
        <w:fldChar w:fldCharType="separate"/>
      </w:r>
      <w:r>
        <w:rPr>
          <w:rFonts w:ascii="黑体" w:hAnsi="黑体"/>
          <w:sz w:val="21"/>
          <w:szCs w:val="21"/>
        </w:rPr>
        <w:t>5</w:t>
      </w:r>
      <w:r>
        <w:rPr>
          <w:rFonts w:ascii="黑体" w:hAnsi="黑体"/>
          <w:sz w:val="21"/>
          <w:szCs w:val="21"/>
        </w:rPr>
        <w:fldChar w:fldCharType="end"/>
      </w:r>
      <w:r>
        <w:rPr>
          <w:rFonts w:hint="eastAsia" w:ascii="黑体" w:hAnsi="黑体"/>
          <w:sz w:val="21"/>
          <w:szCs w:val="21"/>
        </w:rPr>
        <w:t xml:space="preserve"> 机电专业主要构件</w:t>
      </w:r>
      <w:r>
        <w:rPr>
          <w:rFonts w:ascii="黑体" w:hAnsi="黑体"/>
          <w:sz w:val="21"/>
          <w:szCs w:val="21"/>
        </w:rPr>
        <w:t>LOD 4.0</w:t>
      </w:r>
      <w:r>
        <w:rPr>
          <w:rFonts w:hint="eastAsia" w:ascii="黑体" w:hAnsi="黑体"/>
          <w:sz w:val="21"/>
          <w:szCs w:val="21"/>
        </w:rPr>
        <w:t>模型精细度表达</w:t>
      </w:r>
      <w:bookmarkEnd w:id="250"/>
      <w:bookmarkEnd w:id="251"/>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4"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73952" behindDoc="0" locked="0" layoutInCell="1" allowOverlap="1">
                  <wp:simplePos x="0" y="0"/>
                  <wp:positionH relativeFrom="column">
                    <wp:posOffset>-43815</wp:posOffset>
                  </wp:positionH>
                  <wp:positionV relativeFrom="paragraph">
                    <wp:posOffset>415925</wp:posOffset>
                  </wp:positionV>
                  <wp:extent cx="5480685" cy="3512185"/>
                  <wp:effectExtent l="0" t="0" r="6350" b="0"/>
                  <wp:wrapNone/>
                  <wp:docPr id="499050004"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050004" name="图片 17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490388" cy="3518521"/>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2"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相关构件几何表达深度应与实物保持一致，模型反映实际成品的状态</w:t>
            </w:r>
          </w:p>
          <w:p>
            <w:pPr>
              <w:pStyle w:val="62"/>
              <w:ind w:firstLine="180" w:firstLineChars="100"/>
              <w:rPr>
                <w:sz w:val="18"/>
                <w:szCs w:val="18"/>
              </w:rPr>
            </w:pPr>
            <w:r>
              <w:rPr>
                <w:rFonts w:hint="eastAsia"/>
                <w:sz w:val="18"/>
                <w:szCs w:val="18"/>
              </w:rPr>
              <w:t>机电管线的位置、尺寸、连接方式、材质与实物一致（包括风管、管道、桥架，以及相应的管件、配件和附件）</w:t>
            </w:r>
          </w:p>
          <w:p>
            <w:pPr>
              <w:pStyle w:val="62"/>
              <w:ind w:firstLine="180" w:firstLineChars="100"/>
              <w:rPr>
                <w:sz w:val="18"/>
                <w:szCs w:val="18"/>
              </w:rPr>
            </w:pPr>
            <w:r>
              <w:rPr>
                <w:rFonts w:hint="eastAsia"/>
                <w:sz w:val="18"/>
                <w:szCs w:val="18"/>
              </w:rPr>
              <w:t>设备的位置、尺寸、外型与实物一致</w:t>
            </w:r>
          </w:p>
          <w:p>
            <w:pPr>
              <w:pStyle w:val="62"/>
              <w:ind w:firstLine="180" w:firstLineChars="100"/>
              <w:rPr>
                <w:sz w:val="18"/>
                <w:szCs w:val="18"/>
              </w:rPr>
            </w:pPr>
            <w:r>
              <w:rPr>
                <w:rFonts w:hint="eastAsia"/>
                <w:sz w:val="18"/>
                <w:szCs w:val="18"/>
              </w:rPr>
              <w:t>支吊架的位置、尺寸、形式与实物一致</w:t>
            </w:r>
          </w:p>
          <w:p>
            <w:pPr>
              <w:pStyle w:val="62"/>
              <w:ind w:firstLine="180" w:firstLineChars="100"/>
              <w:rPr>
                <w:sz w:val="18"/>
                <w:szCs w:val="18"/>
              </w:rPr>
            </w:pPr>
            <w:r>
              <w:rPr>
                <w:rFonts w:hint="eastAsia"/>
                <w:sz w:val="18"/>
                <w:szCs w:val="18"/>
              </w:rPr>
              <w:t>图元需具备满足后期运行维护所需要的非几何信息</w:t>
            </w:r>
          </w:p>
          <w:p>
            <w:pPr>
              <w:pStyle w:val="62"/>
              <w:ind w:firstLine="180" w:firstLineChars="100"/>
            </w:pPr>
            <w:r>
              <w:rPr>
                <w:rFonts w:hint="eastAsia"/>
                <w:sz w:val="18"/>
                <w:szCs w:val="18"/>
              </w:rPr>
              <w:t>例如管道应在LOD3.5的基础上增加表达使用年限、保修年限、维护频率、维保单位等维保信息</w:t>
            </w:r>
          </w:p>
        </w:tc>
      </w:tr>
    </w:tbl>
    <w:p>
      <w:pPr>
        <w:pStyle w:val="62"/>
        <w:ind w:firstLine="420"/>
      </w:pPr>
    </w:p>
    <w:bookmarkEnd w:id="207"/>
    <w:p>
      <w:pPr>
        <w:pStyle w:val="62"/>
        <w:ind w:firstLine="199" w:firstLineChars="95"/>
        <w:sectPr>
          <w:pgSz w:w="11906" w:h="16838"/>
          <w:pgMar w:top="1418" w:right="1134" w:bottom="1134" w:left="1418" w:header="1418" w:footer="1134" w:gutter="284"/>
          <w:cols w:space="425" w:num="1"/>
          <w:formProt w:val="0"/>
          <w:docGrid w:type="lines" w:linePitch="312" w:charSpace="0"/>
        </w:sectPr>
      </w:pPr>
      <w:bookmarkStart w:id="252" w:name="BookMark6"/>
    </w:p>
    <w:p>
      <w:pPr>
        <w:pStyle w:val="82"/>
        <w:spacing w:before="78" w:after="156"/>
      </w:pPr>
      <w:r>
        <w:br w:type="textWrapping"/>
      </w:r>
      <w:bookmarkStart w:id="253" w:name="_Toc168008315"/>
      <w:r>
        <w:rPr>
          <w:rFonts w:hint="eastAsia"/>
        </w:rPr>
        <w:t>（规范性）</w:t>
      </w:r>
      <w:r>
        <w:br w:type="textWrapping"/>
      </w:r>
      <w:r>
        <w:t>场地主要构件模型</w:t>
      </w:r>
      <w:r>
        <w:rPr>
          <w:rFonts w:hint="eastAsia"/>
        </w:rPr>
        <w:t>精细度表达</w:t>
      </w:r>
      <w:bookmarkEnd w:id="253"/>
    </w:p>
    <w:p>
      <w:pPr>
        <w:pStyle w:val="171"/>
        <w:rPr>
          <w:rFonts w:hint="eastAsia" w:ascii="宋体" w:hAnsi="宋体"/>
        </w:rPr>
      </w:pPr>
      <w:bookmarkStart w:id="254" w:name="_Hlk142249285"/>
      <w:r>
        <w:rPr>
          <w:rFonts w:ascii="宋体" w:hAnsi="宋体"/>
        </w:rPr>
        <w:t xml:space="preserve">E.0.1 </w:t>
      </w:r>
      <w:r>
        <w:rPr>
          <w:rFonts w:hint="eastAsia" w:ascii="宋体" w:hAnsi="宋体"/>
        </w:rPr>
        <w:t>场地主要构件LOD 1.0模型精细度表达应符合表</w:t>
      </w:r>
      <w:r>
        <w:rPr>
          <w:rFonts w:ascii="宋体" w:hAnsi="宋体"/>
        </w:rPr>
        <w:t>E.1</w:t>
      </w:r>
      <w:r>
        <w:rPr>
          <w:rFonts w:hint="eastAsia" w:ascii="宋体" w:hAnsi="宋体"/>
        </w:rPr>
        <w:t>的规定。</w:t>
      </w:r>
    </w:p>
    <w:p>
      <w:pPr>
        <w:pStyle w:val="13"/>
        <w:spacing w:before="156" w:beforeLines="50" w:after="156" w:afterLines="50"/>
        <w:jc w:val="center"/>
        <w:rPr>
          <w:rFonts w:hint="eastAsia" w:ascii="黑体" w:hAnsi="黑体"/>
          <w:kern w:val="0"/>
        </w:rPr>
      </w:pPr>
      <w:bookmarkStart w:id="255" w:name="_Toc174544069"/>
      <w:bookmarkStart w:id="256" w:name="_Toc174544126"/>
      <w:r>
        <w:rPr>
          <w:rFonts w:hint="eastAsia" w:ascii="黑体" w:hAnsi="黑体"/>
          <w:sz w:val="21"/>
          <w:szCs w:val="21"/>
        </w:rPr>
        <w:t>表</w:t>
      </w:r>
      <w:r>
        <w:rPr>
          <w:rFonts w:ascii="黑体" w:hAnsi="黑体"/>
          <w:sz w:val="21"/>
          <w:szCs w:val="21"/>
        </w:rPr>
        <w:t>E.</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E. \* ARABIC </w:instrText>
      </w:r>
      <w:r>
        <w:rPr>
          <w:rFonts w:ascii="黑体" w:hAnsi="黑体"/>
          <w:sz w:val="21"/>
          <w:szCs w:val="21"/>
        </w:rPr>
        <w:fldChar w:fldCharType="separate"/>
      </w:r>
      <w:r>
        <w:rPr>
          <w:rFonts w:ascii="黑体" w:hAnsi="黑体"/>
          <w:sz w:val="21"/>
          <w:szCs w:val="21"/>
        </w:rPr>
        <w:t>1</w:t>
      </w:r>
      <w:r>
        <w:rPr>
          <w:rFonts w:ascii="黑体" w:hAnsi="黑体"/>
          <w:sz w:val="21"/>
          <w:szCs w:val="21"/>
        </w:rPr>
        <w:fldChar w:fldCharType="end"/>
      </w:r>
      <w:r>
        <w:rPr>
          <w:rFonts w:hint="eastAsia" w:ascii="黑体" w:hAnsi="黑体"/>
          <w:sz w:val="21"/>
          <w:szCs w:val="21"/>
        </w:rPr>
        <w:t xml:space="preserve"> 场地主要构件</w:t>
      </w:r>
      <w:r>
        <w:rPr>
          <w:rFonts w:ascii="黑体" w:hAnsi="黑体"/>
          <w:sz w:val="21"/>
          <w:szCs w:val="21"/>
        </w:rPr>
        <w:t>LOD 1.0</w:t>
      </w:r>
      <w:r>
        <w:rPr>
          <w:rFonts w:hint="eastAsia" w:ascii="黑体" w:hAnsi="黑体"/>
          <w:sz w:val="21"/>
          <w:szCs w:val="21"/>
        </w:rPr>
        <w:t>模型精细度表达</w:t>
      </w:r>
      <w:bookmarkEnd w:id="254"/>
      <w:bookmarkEnd w:id="255"/>
      <w:bookmarkEnd w:id="256"/>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76000" behindDoc="0" locked="0" layoutInCell="1" allowOverlap="1">
                  <wp:simplePos x="0" y="0"/>
                  <wp:positionH relativeFrom="column">
                    <wp:posOffset>-50800</wp:posOffset>
                  </wp:positionH>
                  <wp:positionV relativeFrom="paragraph">
                    <wp:posOffset>226695</wp:posOffset>
                  </wp:positionV>
                  <wp:extent cx="5463540" cy="3631565"/>
                  <wp:effectExtent l="0" t="0" r="4445" b="6985"/>
                  <wp:wrapNone/>
                  <wp:docPr id="1959639922"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639922" name="图片 17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463506" cy="3631633"/>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0"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相关构件由建筑专业建立</w:t>
            </w:r>
          </w:p>
          <w:p>
            <w:pPr>
              <w:pStyle w:val="62"/>
              <w:ind w:firstLine="180" w:firstLineChars="100"/>
              <w:rPr>
                <w:sz w:val="18"/>
                <w:szCs w:val="18"/>
              </w:rPr>
            </w:pPr>
            <w:r>
              <w:rPr>
                <w:rFonts w:hint="eastAsia"/>
                <w:sz w:val="18"/>
                <w:szCs w:val="18"/>
              </w:rPr>
              <w:t>该精细度示意几何数据</w:t>
            </w:r>
          </w:p>
          <w:p>
            <w:pPr>
              <w:pStyle w:val="62"/>
              <w:ind w:firstLine="180" w:firstLineChars="100"/>
            </w:pPr>
            <w:r>
              <w:rPr>
                <w:rFonts w:hint="eastAsia"/>
                <w:sz w:val="18"/>
                <w:szCs w:val="18"/>
              </w:rPr>
              <w:t>例如场地主要构件应示意模型实体尺寸、形状、位置和颜色等几何信息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E.0.2 </w:t>
      </w:r>
      <w:r>
        <w:rPr>
          <w:rFonts w:hint="eastAsia" w:ascii="宋体" w:hAnsi="宋体"/>
        </w:rPr>
        <w:t xml:space="preserve">场地主要构件LOD </w:t>
      </w:r>
      <w:r>
        <w:rPr>
          <w:rFonts w:ascii="宋体" w:hAnsi="宋体"/>
        </w:rPr>
        <w:t>2</w:t>
      </w:r>
      <w:r>
        <w:rPr>
          <w:rFonts w:hint="eastAsia" w:ascii="宋体" w:hAnsi="宋体"/>
        </w:rPr>
        <w:t>.0模型精细度表达应符合表</w:t>
      </w:r>
      <w:r>
        <w:rPr>
          <w:rFonts w:ascii="宋体" w:hAnsi="宋体"/>
        </w:rPr>
        <w:t>E.2</w:t>
      </w:r>
      <w:r>
        <w:rPr>
          <w:rFonts w:hint="eastAsia" w:ascii="宋体" w:hAnsi="宋体"/>
        </w:rPr>
        <w:t>的规定。</w:t>
      </w:r>
    </w:p>
    <w:p>
      <w:pPr>
        <w:pStyle w:val="13"/>
        <w:spacing w:before="156" w:beforeLines="50" w:after="156" w:afterLines="50"/>
        <w:jc w:val="center"/>
        <w:rPr>
          <w:rFonts w:hint="eastAsia"/>
        </w:rPr>
      </w:pPr>
      <w:bookmarkStart w:id="257" w:name="_Toc174544070"/>
      <w:bookmarkStart w:id="258" w:name="_Toc174544127"/>
      <w:r>
        <w:rPr>
          <w:rFonts w:hint="eastAsia" w:ascii="黑体" w:hAnsi="黑体"/>
          <w:sz w:val="21"/>
          <w:szCs w:val="21"/>
        </w:rPr>
        <w:t>表</w:t>
      </w:r>
      <w:r>
        <w:rPr>
          <w:rFonts w:ascii="黑体" w:hAnsi="黑体"/>
          <w:sz w:val="21"/>
          <w:szCs w:val="21"/>
        </w:rPr>
        <w:t>E.</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E. \* ARABIC </w:instrText>
      </w:r>
      <w:r>
        <w:rPr>
          <w:rFonts w:ascii="黑体" w:hAnsi="黑体"/>
          <w:sz w:val="21"/>
          <w:szCs w:val="21"/>
        </w:rPr>
        <w:fldChar w:fldCharType="separate"/>
      </w:r>
      <w:r>
        <w:rPr>
          <w:rFonts w:ascii="黑体" w:hAnsi="黑体"/>
          <w:sz w:val="21"/>
          <w:szCs w:val="21"/>
        </w:rPr>
        <w:t>2</w:t>
      </w:r>
      <w:r>
        <w:rPr>
          <w:rFonts w:ascii="黑体" w:hAnsi="黑体"/>
          <w:sz w:val="21"/>
          <w:szCs w:val="21"/>
        </w:rPr>
        <w:fldChar w:fldCharType="end"/>
      </w:r>
      <w:r>
        <w:rPr>
          <w:rFonts w:hint="eastAsia" w:ascii="黑体" w:hAnsi="黑体"/>
          <w:sz w:val="21"/>
          <w:szCs w:val="21"/>
        </w:rPr>
        <w:t xml:space="preserve"> 场地主要构件</w:t>
      </w:r>
      <w:r>
        <w:rPr>
          <w:rFonts w:ascii="黑体" w:hAnsi="黑体"/>
          <w:sz w:val="21"/>
          <w:szCs w:val="21"/>
        </w:rPr>
        <w:t>LOD 2.0</w:t>
      </w:r>
      <w:r>
        <w:rPr>
          <w:rFonts w:hint="eastAsia" w:ascii="黑体" w:hAnsi="黑体"/>
          <w:sz w:val="21"/>
          <w:szCs w:val="21"/>
        </w:rPr>
        <w:t>模型精细度表达</w:t>
      </w:r>
      <w:bookmarkEnd w:id="257"/>
      <w:bookmarkEnd w:id="258"/>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3"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77024" behindDoc="0" locked="0" layoutInCell="1" allowOverlap="1">
                  <wp:simplePos x="0" y="0"/>
                  <wp:positionH relativeFrom="column">
                    <wp:posOffset>-8890</wp:posOffset>
                  </wp:positionH>
                  <wp:positionV relativeFrom="paragraph">
                    <wp:posOffset>219075</wp:posOffset>
                  </wp:positionV>
                  <wp:extent cx="5390515" cy="3402965"/>
                  <wp:effectExtent l="0" t="0" r="1270" b="7620"/>
                  <wp:wrapNone/>
                  <wp:docPr id="1366215308"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215308" name="图片 17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397510" cy="3407562"/>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7"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相关构件均由建筑专业建立</w:t>
            </w:r>
          </w:p>
          <w:p>
            <w:pPr>
              <w:pStyle w:val="62"/>
              <w:ind w:firstLine="180" w:firstLineChars="100"/>
              <w:rPr>
                <w:sz w:val="18"/>
                <w:szCs w:val="18"/>
              </w:rPr>
            </w:pPr>
            <w:r>
              <w:rPr>
                <w:rFonts w:hint="eastAsia"/>
                <w:sz w:val="18"/>
                <w:szCs w:val="18"/>
              </w:rPr>
              <w:t>该精细度显示通用元素，包括最大尺寸和用途</w:t>
            </w:r>
          </w:p>
          <w:p>
            <w:pPr>
              <w:pStyle w:val="62"/>
              <w:ind w:firstLine="180" w:firstLineChars="100"/>
            </w:pPr>
            <w:r>
              <w:rPr>
                <w:rFonts w:hint="eastAsia"/>
                <w:sz w:val="18"/>
                <w:szCs w:val="18"/>
              </w:rPr>
              <w:t>例如场地主要构件应在LOD1.0的基础上增加显示材质信息，含粗略面划分等技术信息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E.0.3</w:t>
      </w:r>
      <w:r>
        <w:rPr>
          <w:rFonts w:hint="eastAsia" w:ascii="宋体" w:hAnsi="宋体"/>
        </w:rPr>
        <w:t xml:space="preserve"> 场地主要构件LOD </w:t>
      </w:r>
      <w:r>
        <w:rPr>
          <w:rFonts w:ascii="宋体" w:hAnsi="宋体"/>
        </w:rPr>
        <w:t>3</w:t>
      </w:r>
      <w:r>
        <w:rPr>
          <w:rFonts w:hint="eastAsia" w:ascii="宋体" w:hAnsi="宋体"/>
        </w:rPr>
        <w:t>.0模型精细度表达应符合表</w:t>
      </w:r>
      <w:r>
        <w:rPr>
          <w:rFonts w:ascii="宋体" w:hAnsi="宋体"/>
        </w:rPr>
        <w:t>E.3</w:t>
      </w:r>
      <w:r>
        <w:rPr>
          <w:rFonts w:hint="eastAsia" w:ascii="宋体" w:hAnsi="宋体"/>
        </w:rPr>
        <w:t>的规定。</w:t>
      </w:r>
    </w:p>
    <w:p>
      <w:pPr>
        <w:pStyle w:val="13"/>
        <w:spacing w:before="156" w:beforeLines="50" w:after="156" w:afterLines="50"/>
        <w:jc w:val="center"/>
        <w:rPr>
          <w:rFonts w:hint="eastAsia" w:ascii="黑体" w:hAnsi="黑体"/>
        </w:rPr>
      </w:pPr>
      <w:bookmarkStart w:id="259" w:name="_Toc174544071"/>
      <w:bookmarkStart w:id="260" w:name="_Toc174544128"/>
      <w:r>
        <w:rPr>
          <w:rFonts w:hint="eastAsia" w:ascii="黑体" w:hAnsi="黑体"/>
          <w:sz w:val="21"/>
          <w:szCs w:val="21"/>
        </w:rPr>
        <w:t>表</w:t>
      </w:r>
      <w:r>
        <w:rPr>
          <w:rFonts w:ascii="黑体" w:hAnsi="黑体"/>
          <w:sz w:val="21"/>
          <w:szCs w:val="21"/>
        </w:rPr>
        <w:t>E.</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E. \* ARABIC </w:instrText>
      </w:r>
      <w:r>
        <w:rPr>
          <w:rFonts w:ascii="黑体" w:hAnsi="黑体"/>
          <w:sz w:val="21"/>
          <w:szCs w:val="21"/>
        </w:rPr>
        <w:fldChar w:fldCharType="separate"/>
      </w:r>
      <w:r>
        <w:rPr>
          <w:rFonts w:ascii="黑体" w:hAnsi="黑体"/>
          <w:sz w:val="21"/>
          <w:szCs w:val="21"/>
        </w:rPr>
        <w:t>3</w:t>
      </w:r>
      <w:r>
        <w:rPr>
          <w:rFonts w:ascii="黑体" w:hAnsi="黑体"/>
          <w:sz w:val="21"/>
          <w:szCs w:val="21"/>
        </w:rPr>
        <w:fldChar w:fldCharType="end"/>
      </w:r>
      <w:r>
        <w:rPr>
          <w:rFonts w:hint="eastAsia" w:ascii="黑体" w:hAnsi="黑体"/>
          <w:sz w:val="21"/>
          <w:szCs w:val="21"/>
        </w:rPr>
        <w:t xml:space="preserve"> 场地主要构件</w:t>
      </w:r>
      <w:r>
        <w:rPr>
          <w:rFonts w:ascii="黑体" w:hAnsi="黑体"/>
          <w:sz w:val="21"/>
          <w:szCs w:val="21"/>
        </w:rPr>
        <w:t>LOD 3.0</w:t>
      </w:r>
      <w:r>
        <w:rPr>
          <w:rFonts w:hint="eastAsia" w:ascii="黑体" w:hAnsi="黑体"/>
          <w:sz w:val="21"/>
          <w:szCs w:val="21"/>
        </w:rPr>
        <w:t>模型精细度表达</w:t>
      </w:r>
      <w:bookmarkEnd w:id="259"/>
      <w:bookmarkEnd w:id="260"/>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7"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78048" behindDoc="0" locked="0" layoutInCell="1" allowOverlap="1">
                  <wp:simplePos x="0" y="0"/>
                  <wp:positionH relativeFrom="column">
                    <wp:posOffset>-3175</wp:posOffset>
                  </wp:positionH>
                  <wp:positionV relativeFrom="paragraph">
                    <wp:posOffset>196215</wp:posOffset>
                  </wp:positionV>
                  <wp:extent cx="5384800" cy="3536315"/>
                  <wp:effectExtent l="0" t="0" r="6350" b="7620"/>
                  <wp:wrapNone/>
                  <wp:docPr id="427162899"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62899" name="图片 17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408068" cy="3551275"/>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5"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相关构件均由建筑专业建立</w:t>
            </w:r>
          </w:p>
          <w:p>
            <w:pPr>
              <w:pStyle w:val="62"/>
              <w:ind w:firstLine="180" w:firstLineChars="100"/>
              <w:rPr>
                <w:sz w:val="18"/>
                <w:szCs w:val="18"/>
              </w:rPr>
            </w:pPr>
            <w:r>
              <w:rPr>
                <w:rFonts w:hint="eastAsia"/>
                <w:sz w:val="18"/>
                <w:szCs w:val="18"/>
              </w:rPr>
              <w:t>该精细度表达特定元素，包括其尺寸、容量、连接关系等</w:t>
            </w:r>
          </w:p>
          <w:p>
            <w:pPr>
              <w:pStyle w:val="62"/>
              <w:ind w:firstLine="180" w:firstLineChars="100"/>
              <w:rPr>
                <w:sz w:val="18"/>
                <w:szCs w:val="18"/>
              </w:rPr>
            </w:pPr>
            <w:r>
              <w:rPr>
                <w:rFonts w:hint="eastAsia"/>
                <w:sz w:val="18"/>
                <w:szCs w:val="18"/>
              </w:rPr>
              <w:t>例如场地主要构件应在LOD2.0的基础上增加表达详细面层信息，包含材质，附节点详图等技术信息</w:t>
            </w:r>
          </w:p>
          <w:p>
            <w:pPr>
              <w:pStyle w:val="62"/>
              <w:ind w:firstLine="0" w:firstLineChars="0"/>
            </w:pP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E.0.4 </w:t>
      </w:r>
      <w:r>
        <w:rPr>
          <w:rFonts w:hint="eastAsia" w:ascii="宋体" w:hAnsi="宋体"/>
        </w:rPr>
        <w:t>场地主要构件LOD 3.5模型精细度表达应符合表</w:t>
      </w:r>
      <w:r>
        <w:rPr>
          <w:rFonts w:ascii="宋体" w:hAnsi="宋体"/>
        </w:rPr>
        <w:t>E.4</w:t>
      </w:r>
      <w:r>
        <w:rPr>
          <w:rFonts w:hint="eastAsia" w:ascii="宋体" w:hAnsi="宋体"/>
        </w:rPr>
        <w:t>的规定。</w:t>
      </w:r>
    </w:p>
    <w:p>
      <w:pPr>
        <w:pStyle w:val="13"/>
        <w:spacing w:before="156" w:beforeLines="50" w:after="156" w:afterLines="50"/>
        <w:jc w:val="center"/>
        <w:rPr>
          <w:rFonts w:hint="eastAsia" w:ascii="黑体" w:hAnsi="黑体"/>
        </w:rPr>
      </w:pPr>
      <w:bookmarkStart w:id="261" w:name="_Toc174544072"/>
      <w:bookmarkStart w:id="262" w:name="_Toc174544129"/>
      <w:r>
        <w:rPr>
          <w:rFonts w:hint="eastAsia" w:ascii="黑体" w:hAnsi="黑体"/>
          <w:sz w:val="21"/>
          <w:szCs w:val="21"/>
        </w:rPr>
        <w:t>表</w:t>
      </w:r>
      <w:r>
        <w:rPr>
          <w:rFonts w:ascii="黑体" w:hAnsi="黑体"/>
          <w:sz w:val="21"/>
          <w:szCs w:val="21"/>
        </w:rPr>
        <w:t>E.</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E. \* ARABIC </w:instrText>
      </w:r>
      <w:r>
        <w:rPr>
          <w:rFonts w:ascii="黑体" w:hAnsi="黑体"/>
          <w:sz w:val="21"/>
          <w:szCs w:val="21"/>
        </w:rPr>
        <w:fldChar w:fldCharType="separate"/>
      </w:r>
      <w:r>
        <w:rPr>
          <w:rFonts w:ascii="黑体" w:hAnsi="黑体"/>
          <w:sz w:val="21"/>
          <w:szCs w:val="21"/>
        </w:rPr>
        <w:t>4</w:t>
      </w:r>
      <w:r>
        <w:rPr>
          <w:rFonts w:ascii="黑体" w:hAnsi="黑体"/>
          <w:sz w:val="21"/>
          <w:szCs w:val="21"/>
        </w:rPr>
        <w:fldChar w:fldCharType="end"/>
      </w:r>
      <w:r>
        <w:rPr>
          <w:rFonts w:hint="eastAsia" w:ascii="黑体" w:hAnsi="黑体"/>
          <w:sz w:val="21"/>
          <w:szCs w:val="21"/>
        </w:rPr>
        <w:t xml:space="preserve"> 场地主要构件</w:t>
      </w:r>
      <w:r>
        <w:rPr>
          <w:rFonts w:ascii="黑体" w:hAnsi="黑体"/>
          <w:sz w:val="21"/>
          <w:szCs w:val="21"/>
        </w:rPr>
        <w:t>LOD 3.5模型精细度表达</w:t>
      </w:r>
      <w:bookmarkEnd w:id="261"/>
      <w:bookmarkEnd w:id="262"/>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7"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rPr>
                <w:sz w:val="18"/>
                <w:szCs w:val="18"/>
              </w:rP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82144" behindDoc="0" locked="0" layoutInCell="1" allowOverlap="1">
                  <wp:simplePos x="0" y="0"/>
                  <wp:positionH relativeFrom="column">
                    <wp:posOffset>614045</wp:posOffset>
                  </wp:positionH>
                  <wp:positionV relativeFrom="paragraph">
                    <wp:posOffset>607060</wp:posOffset>
                  </wp:positionV>
                  <wp:extent cx="4564380" cy="2277745"/>
                  <wp:effectExtent l="0" t="0" r="7620" b="8255"/>
                  <wp:wrapNone/>
                  <wp:docPr id="1560066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066188" name="图片 1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564380" cy="2277745"/>
                          </a:xfrm>
                          <a:prstGeom prst="rect">
                            <a:avLst/>
                          </a:prstGeom>
                          <a:noFill/>
                        </pic:spPr>
                      </pic:pic>
                    </a:graphicData>
                  </a:graphic>
                </wp:anchor>
              </w:drawing>
            </w:r>
            <w:r>
              <w:drawing>
                <wp:anchor distT="0" distB="0" distL="114300" distR="114300" simplePos="0" relativeHeight="251781120" behindDoc="0" locked="0" layoutInCell="1" allowOverlap="1">
                  <wp:simplePos x="0" y="0"/>
                  <wp:positionH relativeFrom="column">
                    <wp:posOffset>-21590</wp:posOffset>
                  </wp:positionH>
                  <wp:positionV relativeFrom="paragraph">
                    <wp:posOffset>248285</wp:posOffset>
                  </wp:positionV>
                  <wp:extent cx="5410200" cy="3495040"/>
                  <wp:effectExtent l="0" t="0" r="0" b="0"/>
                  <wp:wrapNone/>
                  <wp:docPr id="790851610"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851610" name="图片 18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10200" cy="3495040"/>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9"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相关构件均由建筑专业建立</w:t>
            </w:r>
          </w:p>
          <w:p>
            <w:pPr>
              <w:pStyle w:val="62"/>
              <w:ind w:firstLine="180" w:firstLineChars="100"/>
              <w:rPr>
                <w:sz w:val="18"/>
                <w:szCs w:val="18"/>
              </w:rPr>
            </w:pPr>
            <w:r>
              <w:rPr>
                <w:rFonts w:hint="eastAsia"/>
                <w:sz w:val="18"/>
                <w:szCs w:val="18"/>
              </w:rPr>
              <w:t>该精细度模型可用于采购、生产及安装</w:t>
            </w:r>
          </w:p>
          <w:p>
            <w:pPr>
              <w:pStyle w:val="62"/>
              <w:ind w:firstLine="180" w:firstLineChars="100"/>
            </w:pPr>
            <w:r>
              <w:rPr>
                <w:rFonts w:hint="eastAsia"/>
                <w:sz w:val="18"/>
                <w:szCs w:val="18"/>
              </w:rPr>
              <w:t>例如场地主要构件应在LOD3.0的基础上增加表达供应商、产品合格证、生产厂家、生产日期、价格等产品信息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sz w:val="28"/>
          <w:szCs w:val="28"/>
        </w:rPr>
      </w:pPr>
      <w:bookmarkStart w:id="263" w:name="_Hlk167998835"/>
      <w:r>
        <w:rPr>
          <w:rFonts w:ascii="宋体" w:hAnsi="宋体"/>
        </w:rPr>
        <w:t>E.0.</w:t>
      </w:r>
      <w:r>
        <w:rPr>
          <w:rFonts w:hint="eastAsia" w:ascii="宋体" w:hAnsi="宋体"/>
        </w:rPr>
        <w:t>5</w:t>
      </w:r>
      <w:r>
        <w:rPr>
          <w:rFonts w:ascii="宋体" w:hAnsi="宋体"/>
        </w:rPr>
        <w:t xml:space="preserve"> </w:t>
      </w:r>
      <w:r>
        <w:rPr>
          <w:rFonts w:hint="eastAsia" w:ascii="宋体" w:hAnsi="宋体"/>
        </w:rPr>
        <w:t xml:space="preserve">场地主要构件LOD </w:t>
      </w:r>
      <w:r>
        <w:rPr>
          <w:rFonts w:ascii="宋体" w:hAnsi="宋体"/>
        </w:rPr>
        <w:t>4</w:t>
      </w:r>
      <w:r>
        <w:rPr>
          <w:rFonts w:hint="eastAsia" w:ascii="宋体" w:hAnsi="宋体"/>
        </w:rPr>
        <w:t>.0模型精细度表达应符合表</w:t>
      </w:r>
      <w:r>
        <w:rPr>
          <w:rFonts w:ascii="宋体" w:hAnsi="宋体"/>
        </w:rPr>
        <w:t>E.</w:t>
      </w:r>
      <w:r>
        <w:rPr>
          <w:rFonts w:hint="eastAsia" w:ascii="宋体" w:hAnsi="宋体"/>
        </w:rPr>
        <w:t>5的规定。</w:t>
      </w:r>
    </w:p>
    <w:p>
      <w:pPr>
        <w:pStyle w:val="13"/>
        <w:spacing w:before="156" w:beforeLines="50" w:after="156" w:afterLines="50"/>
        <w:jc w:val="center"/>
        <w:rPr>
          <w:rFonts w:hint="eastAsia"/>
        </w:rPr>
      </w:pPr>
      <w:bookmarkStart w:id="264" w:name="_Toc174544073"/>
      <w:bookmarkStart w:id="265" w:name="_Toc174544130"/>
      <w:r>
        <w:rPr>
          <w:rFonts w:hint="eastAsia" w:ascii="黑体" w:hAnsi="黑体"/>
          <w:sz w:val="21"/>
          <w:szCs w:val="21"/>
        </w:rPr>
        <w:t>表</w:t>
      </w:r>
      <w:r>
        <w:rPr>
          <w:rFonts w:ascii="黑体" w:hAnsi="黑体"/>
          <w:sz w:val="21"/>
          <w:szCs w:val="21"/>
        </w:rPr>
        <w:t>E.</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E. \* ARABIC </w:instrText>
      </w:r>
      <w:r>
        <w:rPr>
          <w:rFonts w:ascii="黑体" w:hAnsi="黑体"/>
          <w:sz w:val="21"/>
          <w:szCs w:val="21"/>
        </w:rPr>
        <w:fldChar w:fldCharType="separate"/>
      </w:r>
      <w:r>
        <w:rPr>
          <w:rFonts w:ascii="黑体" w:hAnsi="黑体"/>
          <w:sz w:val="21"/>
          <w:szCs w:val="21"/>
        </w:rPr>
        <w:t>5</w:t>
      </w:r>
      <w:r>
        <w:rPr>
          <w:rFonts w:ascii="黑体" w:hAnsi="黑体"/>
          <w:sz w:val="21"/>
          <w:szCs w:val="21"/>
        </w:rPr>
        <w:fldChar w:fldCharType="end"/>
      </w:r>
      <w:r>
        <w:rPr>
          <w:rFonts w:hint="eastAsia" w:ascii="黑体" w:hAnsi="黑体"/>
          <w:sz w:val="21"/>
          <w:szCs w:val="21"/>
        </w:rPr>
        <w:t xml:space="preserve"> 场地主要构件</w:t>
      </w:r>
      <w:r>
        <w:rPr>
          <w:rFonts w:ascii="黑体" w:hAnsi="黑体"/>
          <w:sz w:val="21"/>
          <w:szCs w:val="21"/>
        </w:rPr>
        <w:t>LOD 4.0</w:t>
      </w:r>
      <w:r>
        <w:rPr>
          <w:rFonts w:hint="eastAsia" w:ascii="黑体" w:hAnsi="黑体"/>
          <w:sz w:val="21"/>
          <w:szCs w:val="21"/>
        </w:rPr>
        <w:t>模型精细度表达</w:t>
      </w:r>
      <w:bookmarkEnd w:id="264"/>
      <w:bookmarkEnd w:id="265"/>
    </w:p>
    <w:bookmarkEnd w:id="263"/>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9"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80096" behindDoc="0" locked="0" layoutInCell="1" allowOverlap="1">
                  <wp:simplePos x="0" y="0"/>
                  <wp:positionH relativeFrom="column">
                    <wp:posOffset>615315</wp:posOffset>
                  </wp:positionH>
                  <wp:positionV relativeFrom="paragraph">
                    <wp:posOffset>589915</wp:posOffset>
                  </wp:positionV>
                  <wp:extent cx="4564380" cy="2277745"/>
                  <wp:effectExtent l="0" t="0" r="7620" b="8255"/>
                  <wp:wrapNone/>
                  <wp:docPr id="2109769581"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69581" name="图片 1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569367" cy="2280305"/>
                          </a:xfrm>
                          <a:prstGeom prst="rect">
                            <a:avLst/>
                          </a:prstGeom>
                          <a:noFill/>
                        </pic:spPr>
                      </pic:pic>
                    </a:graphicData>
                  </a:graphic>
                </wp:anchor>
              </w:drawing>
            </w:r>
            <w:r>
              <w:drawing>
                <wp:anchor distT="0" distB="0" distL="114300" distR="114300" simplePos="0" relativeHeight="251779072" behindDoc="0" locked="0" layoutInCell="1" allowOverlap="1">
                  <wp:simplePos x="0" y="0"/>
                  <wp:positionH relativeFrom="column">
                    <wp:posOffset>-20320</wp:posOffset>
                  </wp:positionH>
                  <wp:positionV relativeFrom="paragraph">
                    <wp:posOffset>224790</wp:posOffset>
                  </wp:positionV>
                  <wp:extent cx="5405120" cy="3492500"/>
                  <wp:effectExtent l="0" t="0" r="5080" b="0"/>
                  <wp:wrapNone/>
                  <wp:docPr id="1910095605"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95605" name="图片 18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09231" cy="3494868"/>
                          </a:xfrm>
                          <a:prstGeom prst="rect">
                            <a:avLst/>
                          </a:prstGeom>
                          <a:noFill/>
                          <a:ln>
                            <a:noFill/>
                          </a:ln>
                        </pic:spPr>
                      </pic:pic>
                    </a:graphicData>
                  </a:graphic>
                </wp:anchor>
              </w:drawing>
            </w: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1"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相关构件均由建筑专业建立</w:t>
            </w:r>
          </w:p>
          <w:p>
            <w:pPr>
              <w:pStyle w:val="62"/>
              <w:ind w:firstLine="180" w:firstLineChars="100"/>
              <w:rPr>
                <w:sz w:val="18"/>
                <w:szCs w:val="18"/>
              </w:rPr>
            </w:pPr>
            <w:r>
              <w:rPr>
                <w:rFonts w:hint="eastAsia"/>
                <w:sz w:val="18"/>
                <w:szCs w:val="18"/>
              </w:rPr>
              <w:t>相关构件几何表达深度应与实物保持一致，模型反映实际成品的状态</w:t>
            </w:r>
          </w:p>
          <w:p>
            <w:pPr>
              <w:pStyle w:val="62"/>
              <w:ind w:firstLine="180" w:firstLineChars="100"/>
            </w:pPr>
            <w:r>
              <w:rPr>
                <w:rFonts w:hint="eastAsia"/>
                <w:sz w:val="18"/>
                <w:szCs w:val="18"/>
              </w:rPr>
              <w:t>例如场地主要构件应在LOD3.5的基础上增加表达使用年限、保修年限、维护频率、维保单位等维保信息</w:t>
            </w:r>
          </w:p>
        </w:tc>
      </w:tr>
    </w:tbl>
    <w:p>
      <w:pPr>
        <w:pStyle w:val="62"/>
        <w:ind w:firstLine="420"/>
      </w:pPr>
    </w:p>
    <w:p>
      <w:pPr>
        <w:pStyle w:val="69"/>
        <w:spacing w:before="124" w:after="156"/>
        <w:jc w:val="both"/>
        <w:sectPr>
          <w:pgSz w:w="11906" w:h="16838"/>
          <w:pgMar w:top="1418" w:right="1134" w:bottom="1134" w:left="1418" w:header="1418" w:footer="1134" w:gutter="284"/>
          <w:cols w:space="425" w:num="1"/>
          <w:formProt w:val="0"/>
          <w:docGrid w:type="lines" w:linePitch="312" w:charSpace="0"/>
        </w:sectPr>
      </w:pPr>
    </w:p>
    <w:p>
      <w:pPr>
        <w:pStyle w:val="82"/>
        <w:spacing w:before="78" w:after="156"/>
      </w:pPr>
      <w:r>
        <w:br w:type="textWrapping"/>
      </w:r>
      <w:bookmarkStart w:id="266" w:name="_Toc168008316"/>
      <w:r>
        <w:rPr>
          <w:rFonts w:hint="eastAsia"/>
        </w:rPr>
        <w:t>（规范性）</w:t>
      </w:r>
      <w:r>
        <w:br w:type="textWrapping"/>
      </w:r>
      <w:r>
        <w:rPr>
          <w:rFonts w:hint="eastAsia"/>
        </w:rPr>
        <w:t>装修专业</w:t>
      </w:r>
      <w:r>
        <w:t>主要构件模型</w:t>
      </w:r>
      <w:r>
        <w:rPr>
          <w:rFonts w:hint="eastAsia"/>
        </w:rPr>
        <w:t>精细度表达</w:t>
      </w:r>
      <w:bookmarkEnd w:id="266"/>
    </w:p>
    <w:p>
      <w:pPr>
        <w:pStyle w:val="171"/>
        <w:rPr>
          <w:rFonts w:hint="eastAsia" w:ascii="宋体" w:hAnsi="宋体"/>
        </w:rPr>
      </w:pPr>
      <w:r>
        <w:rPr>
          <w:rFonts w:ascii="宋体" w:hAnsi="宋体"/>
        </w:rPr>
        <w:t xml:space="preserve">F.0.1 </w:t>
      </w:r>
      <w:r>
        <w:rPr>
          <w:rFonts w:hint="eastAsia" w:ascii="宋体" w:hAnsi="宋体"/>
        </w:rPr>
        <w:t xml:space="preserve">装修专业主要构件LOD </w:t>
      </w:r>
      <w:r>
        <w:rPr>
          <w:rFonts w:ascii="宋体" w:hAnsi="宋体"/>
        </w:rPr>
        <w:t>1</w:t>
      </w:r>
      <w:r>
        <w:rPr>
          <w:rFonts w:hint="eastAsia" w:ascii="宋体" w:hAnsi="宋体"/>
        </w:rPr>
        <w:t>.0模型精细度表达应符合表</w:t>
      </w:r>
      <w:r>
        <w:rPr>
          <w:rFonts w:ascii="宋体" w:hAnsi="宋体"/>
        </w:rPr>
        <w:t>F.1</w:t>
      </w:r>
      <w:r>
        <w:rPr>
          <w:rFonts w:hint="eastAsia" w:ascii="宋体" w:hAnsi="宋体"/>
        </w:rPr>
        <w:t>的规定。</w:t>
      </w:r>
    </w:p>
    <w:p>
      <w:pPr>
        <w:pStyle w:val="13"/>
        <w:spacing w:before="156" w:beforeLines="50" w:after="156" w:afterLines="50"/>
        <w:jc w:val="center"/>
        <w:rPr>
          <w:rFonts w:hint="eastAsia" w:ascii="黑体" w:hAnsi="黑体"/>
        </w:rPr>
      </w:pPr>
      <w:bookmarkStart w:id="267" w:name="_Toc174544074"/>
      <w:bookmarkStart w:id="268" w:name="_Toc174544131"/>
      <w:r>
        <w:rPr>
          <w:rFonts w:hint="eastAsia" w:ascii="黑体" w:hAnsi="黑体"/>
          <w:sz w:val="21"/>
          <w:szCs w:val="21"/>
        </w:rPr>
        <w:t>表</w:t>
      </w:r>
      <w:r>
        <w:rPr>
          <w:rFonts w:ascii="黑体" w:hAnsi="黑体"/>
          <w:sz w:val="21"/>
          <w:szCs w:val="21"/>
        </w:rPr>
        <w:t>F.</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F. \* ARABIC </w:instrText>
      </w:r>
      <w:r>
        <w:rPr>
          <w:rFonts w:ascii="黑体" w:hAnsi="黑体"/>
          <w:sz w:val="21"/>
          <w:szCs w:val="21"/>
        </w:rPr>
        <w:fldChar w:fldCharType="separate"/>
      </w:r>
      <w:r>
        <w:rPr>
          <w:rFonts w:ascii="黑体" w:hAnsi="黑体"/>
          <w:sz w:val="21"/>
          <w:szCs w:val="21"/>
        </w:rPr>
        <w:t>1</w:t>
      </w:r>
      <w:r>
        <w:rPr>
          <w:rFonts w:ascii="黑体" w:hAnsi="黑体"/>
          <w:sz w:val="21"/>
          <w:szCs w:val="21"/>
        </w:rPr>
        <w:fldChar w:fldCharType="end"/>
      </w:r>
      <w:r>
        <w:rPr>
          <w:rFonts w:hint="eastAsia" w:ascii="黑体" w:hAnsi="黑体"/>
          <w:sz w:val="21"/>
          <w:szCs w:val="21"/>
        </w:rPr>
        <w:t xml:space="preserve"> 装修专业主要构件</w:t>
      </w:r>
      <w:r>
        <w:rPr>
          <w:rFonts w:ascii="黑体" w:hAnsi="黑体"/>
          <w:sz w:val="21"/>
          <w:szCs w:val="21"/>
        </w:rPr>
        <w:t>LOD 1.0</w:t>
      </w:r>
      <w:r>
        <w:rPr>
          <w:rFonts w:hint="eastAsia" w:ascii="黑体" w:hAnsi="黑体"/>
          <w:sz w:val="21"/>
          <w:szCs w:val="21"/>
        </w:rPr>
        <w:t>模型精细度表达</w:t>
      </w:r>
      <w:bookmarkEnd w:id="267"/>
      <w:bookmarkEnd w:id="268"/>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4"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83168" behindDoc="0" locked="0" layoutInCell="1" allowOverlap="1">
                  <wp:simplePos x="0" y="0"/>
                  <wp:positionH relativeFrom="column">
                    <wp:posOffset>-53340</wp:posOffset>
                  </wp:positionH>
                  <wp:positionV relativeFrom="paragraph">
                    <wp:posOffset>411480</wp:posOffset>
                  </wp:positionV>
                  <wp:extent cx="5494020" cy="3528695"/>
                  <wp:effectExtent l="0" t="0" r="0" b="0"/>
                  <wp:wrapNone/>
                  <wp:docPr id="1818787446"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87446" name="图片 190"/>
                          <pic:cNvPicPr>
                            <a:picLocks noChangeAspect="1" noChangeArrowheads="1"/>
                          </pic:cNvPicPr>
                        </pic:nvPicPr>
                        <pic:blipFill>
                          <a:blip r:embed="rId67">
                            <a:extLst>
                              <a:ext uri="{28A0092B-C50C-407E-A947-70E740481C1C}">
                                <a14:useLocalDpi xmlns:a14="http://schemas.microsoft.com/office/drawing/2010/main" val="0"/>
                              </a:ext>
                            </a:extLst>
                          </a:blip>
                          <a:srcRect b="14485"/>
                          <a:stretch>
                            <a:fillRect/>
                          </a:stretch>
                        </pic:blipFill>
                        <pic:spPr>
                          <a:xfrm>
                            <a:off x="0" y="0"/>
                            <a:ext cx="5493805" cy="3528806"/>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2"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相关构件由建筑专业建立</w:t>
            </w:r>
          </w:p>
          <w:p>
            <w:pPr>
              <w:pStyle w:val="62"/>
              <w:ind w:firstLine="180" w:firstLineChars="100"/>
              <w:rPr>
                <w:sz w:val="18"/>
                <w:szCs w:val="18"/>
              </w:rPr>
            </w:pPr>
            <w:r>
              <w:rPr>
                <w:rFonts w:hint="eastAsia"/>
                <w:sz w:val="18"/>
                <w:szCs w:val="18"/>
              </w:rPr>
              <w:t>该精细度示意几何数据</w:t>
            </w:r>
          </w:p>
          <w:p>
            <w:pPr>
              <w:pStyle w:val="62"/>
              <w:ind w:firstLine="180" w:firstLineChars="100"/>
              <w:rPr>
                <w:sz w:val="18"/>
                <w:szCs w:val="18"/>
              </w:rPr>
            </w:pPr>
            <w:r>
              <w:rPr>
                <w:rFonts w:hint="eastAsia"/>
                <w:sz w:val="18"/>
                <w:szCs w:val="18"/>
              </w:rPr>
              <w:t>如无必要也可不表示</w:t>
            </w:r>
          </w:p>
          <w:p>
            <w:pPr>
              <w:pStyle w:val="62"/>
              <w:ind w:firstLine="180" w:firstLineChars="100"/>
            </w:pPr>
            <w:r>
              <w:rPr>
                <w:rFonts w:hint="eastAsia"/>
                <w:sz w:val="18"/>
                <w:szCs w:val="18"/>
              </w:rPr>
              <w:t>例如家具在该精细度下不表示</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F.0.2 </w:t>
      </w:r>
      <w:r>
        <w:rPr>
          <w:rFonts w:hint="eastAsia" w:ascii="宋体" w:hAnsi="宋体"/>
        </w:rPr>
        <w:t xml:space="preserve">装修专业主要构件LOD </w:t>
      </w:r>
      <w:r>
        <w:rPr>
          <w:rFonts w:ascii="宋体" w:hAnsi="宋体"/>
        </w:rPr>
        <w:t>2</w:t>
      </w:r>
      <w:r>
        <w:rPr>
          <w:rFonts w:hint="eastAsia" w:ascii="宋体" w:hAnsi="宋体"/>
        </w:rPr>
        <w:t>.0模型精细度表达应符合表</w:t>
      </w:r>
      <w:r>
        <w:rPr>
          <w:rFonts w:ascii="宋体" w:hAnsi="宋体"/>
        </w:rPr>
        <w:t>F.2</w:t>
      </w:r>
      <w:r>
        <w:rPr>
          <w:rFonts w:hint="eastAsia" w:ascii="宋体" w:hAnsi="宋体"/>
        </w:rPr>
        <w:t>的规定。</w:t>
      </w:r>
    </w:p>
    <w:p>
      <w:pPr>
        <w:pStyle w:val="13"/>
        <w:spacing w:before="156" w:beforeLines="50" w:after="156" w:afterLines="50"/>
        <w:jc w:val="center"/>
        <w:rPr>
          <w:rFonts w:hint="eastAsia" w:ascii="黑体" w:hAnsi="黑体"/>
          <w:kern w:val="0"/>
        </w:rPr>
      </w:pPr>
      <w:bookmarkStart w:id="269" w:name="_Toc174544075"/>
      <w:bookmarkStart w:id="270" w:name="_Toc174544132"/>
      <w:r>
        <w:rPr>
          <w:rFonts w:hint="eastAsia" w:ascii="黑体" w:hAnsi="黑体"/>
          <w:sz w:val="21"/>
          <w:szCs w:val="21"/>
        </w:rPr>
        <w:t>表</w:t>
      </w:r>
      <w:r>
        <w:rPr>
          <w:rFonts w:ascii="黑体" w:hAnsi="黑体"/>
          <w:sz w:val="21"/>
          <w:szCs w:val="21"/>
        </w:rPr>
        <w:t>F.</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F. \* ARABIC </w:instrText>
      </w:r>
      <w:r>
        <w:rPr>
          <w:rFonts w:ascii="黑体" w:hAnsi="黑体"/>
          <w:sz w:val="21"/>
          <w:szCs w:val="21"/>
        </w:rPr>
        <w:fldChar w:fldCharType="separate"/>
      </w:r>
      <w:r>
        <w:rPr>
          <w:rFonts w:ascii="黑体" w:hAnsi="黑体"/>
          <w:sz w:val="21"/>
          <w:szCs w:val="21"/>
        </w:rPr>
        <w:t>2</w:t>
      </w:r>
      <w:r>
        <w:rPr>
          <w:rFonts w:ascii="黑体" w:hAnsi="黑体"/>
          <w:sz w:val="21"/>
          <w:szCs w:val="21"/>
        </w:rPr>
        <w:fldChar w:fldCharType="end"/>
      </w:r>
      <w:r>
        <w:rPr>
          <w:rFonts w:hint="eastAsia" w:ascii="黑体" w:hAnsi="黑体"/>
          <w:sz w:val="21"/>
          <w:szCs w:val="21"/>
        </w:rPr>
        <w:t xml:space="preserve"> 装修专业主要构件</w:t>
      </w:r>
      <w:r>
        <w:rPr>
          <w:rFonts w:ascii="黑体" w:hAnsi="黑体"/>
          <w:sz w:val="21"/>
          <w:szCs w:val="21"/>
        </w:rPr>
        <w:t>LOD 2.0</w:t>
      </w:r>
      <w:r>
        <w:rPr>
          <w:rFonts w:hint="eastAsia" w:ascii="黑体" w:hAnsi="黑体"/>
          <w:sz w:val="21"/>
          <w:szCs w:val="21"/>
        </w:rPr>
        <w:t>模型精细度表达</w:t>
      </w:r>
      <w:bookmarkEnd w:id="269"/>
      <w:bookmarkEnd w:id="270"/>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1"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84192" behindDoc="0" locked="0" layoutInCell="1" allowOverlap="1">
                  <wp:simplePos x="0" y="0"/>
                  <wp:positionH relativeFrom="column">
                    <wp:posOffset>-31750</wp:posOffset>
                  </wp:positionH>
                  <wp:positionV relativeFrom="paragraph">
                    <wp:posOffset>254000</wp:posOffset>
                  </wp:positionV>
                  <wp:extent cx="5417185" cy="4066540"/>
                  <wp:effectExtent l="0" t="0" r="0" b="0"/>
                  <wp:wrapNone/>
                  <wp:docPr id="1941611315"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11315" name="图片 19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420621" cy="4069278"/>
                          </a:xfrm>
                          <a:prstGeom prst="rect">
                            <a:avLst/>
                          </a:prstGeom>
                          <a:noFill/>
                        </pic:spPr>
                      </pic:pic>
                    </a:graphicData>
                  </a:graphic>
                </wp:anchor>
              </w:drawing>
            </w:r>
            <w:r>
              <mc:AlternateContent>
                <mc:Choice Requires="wps">
                  <w:drawing>
                    <wp:anchor distT="0" distB="0" distL="114300" distR="114300" simplePos="0" relativeHeight="251774976" behindDoc="0" locked="0" layoutInCell="1" allowOverlap="1">
                      <wp:simplePos x="0" y="0"/>
                      <wp:positionH relativeFrom="column">
                        <wp:posOffset>1731010</wp:posOffset>
                      </wp:positionH>
                      <wp:positionV relativeFrom="paragraph">
                        <wp:posOffset>3482340</wp:posOffset>
                      </wp:positionV>
                      <wp:extent cx="525145" cy="0"/>
                      <wp:effectExtent l="15875" t="54610" r="11430" b="59690"/>
                      <wp:wrapNone/>
                      <wp:docPr id="1066394677" name="直线箭头连接符 23"/>
                      <wp:cNvGraphicFramePr/>
                      <a:graphic xmlns:a="http://schemas.openxmlformats.org/drawingml/2006/main">
                        <a:graphicData uri="http://schemas.microsoft.com/office/word/2010/wordprocessingShape">
                          <wps:wsp>
                            <wps:cNvCnPr>
                              <a:cxnSpLocks noChangeShapeType="1"/>
                            </wps:cNvCnPr>
                            <wps:spPr bwMode="auto">
                              <a:xfrm rot="10800000">
                                <a:off x="0" y="0"/>
                                <a:ext cx="525145" cy="0"/>
                              </a:xfrm>
                              <a:prstGeom prst="straightConnector1">
                                <a:avLst/>
                              </a:prstGeom>
                              <a:noFill/>
                              <a:ln w="6350" algn="ctr">
                                <a:solidFill>
                                  <a:srgbClr val="000000"/>
                                </a:solidFill>
                                <a:miter lim="800000"/>
                                <a:tailEnd type="triangle" w="med" len="med"/>
                              </a:ln>
                            </wps:spPr>
                            <wps:bodyPr/>
                          </wps:wsp>
                        </a:graphicData>
                      </a:graphic>
                    </wp:anchor>
                  </w:drawing>
                </mc:Choice>
                <mc:Fallback>
                  <w:pict>
                    <v:shape id="直线箭头连接符 23" o:spid="_x0000_s1026" o:spt="32" type="#_x0000_t32" style="position:absolute;left:0pt;margin-left:136.3pt;margin-top:274.2pt;height:0pt;width:41.35pt;rotation:11796480f;z-index:251774976;mso-width-relative:page;mso-height-relative:page;" filled="f" stroked="t" coordsize="21600,21600" o:gfxdata="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8TU0m2AAAAAsBAAAPAAAAAAAAAAEAIAAAACIAAABkcnMvZG93bnJldi54bWxQ&#10;SwECFAAUAAAACACHTuJA8OeWLDACAAAcBAAADgAAAAAAAAABACAAAAAnAQAAZHJzL2Uyb0RvYy54&#10;bWxQSwUGAAAAAAYABgBZAQAAyQUAAAAA&#10;">
                      <v:fill on="f" focussize="0,0"/>
                      <v:stroke weight="0.5pt" color="#000000" miterlimit="8" joinstyle="miter" endarrow="block"/>
                      <v:imagedata o:title=""/>
                      <o:lock v:ext="edit" aspectratio="f"/>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3"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相关构件均由建筑专业建立，包括顶棚、墙面、地面的装饰装修以及建筑设备（给水排水管道，电气线路等）</w:t>
            </w:r>
          </w:p>
          <w:p>
            <w:pPr>
              <w:pStyle w:val="62"/>
              <w:ind w:firstLine="180" w:firstLineChars="100"/>
              <w:rPr>
                <w:sz w:val="18"/>
                <w:szCs w:val="18"/>
              </w:rPr>
            </w:pPr>
            <w:r>
              <w:rPr>
                <w:rFonts w:hint="eastAsia"/>
                <w:sz w:val="18"/>
                <w:szCs w:val="18"/>
              </w:rPr>
              <w:t>相关构件不考虑优先级</w:t>
            </w:r>
          </w:p>
          <w:p>
            <w:pPr>
              <w:pStyle w:val="62"/>
              <w:ind w:firstLine="180" w:firstLineChars="100"/>
              <w:rPr>
                <w:sz w:val="18"/>
                <w:szCs w:val="18"/>
              </w:rPr>
            </w:pPr>
            <w:r>
              <w:rPr>
                <w:rFonts w:hint="eastAsia"/>
                <w:sz w:val="18"/>
                <w:szCs w:val="18"/>
              </w:rPr>
              <w:t>顶棚、墙面、地面等的装饰应为独立构件，肌理通过填色、纹理填充表达</w:t>
            </w:r>
          </w:p>
          <w:p>
            <w:pPr>
              <w:pStyle w:val="62"/>
              <w:ind w:firstLine="180" w:firstLineChars="100"/>
              <w:rPr>
                <w:sz w:val="18"/>
                <w:szCs w:val="18"/>
              </w:rPr>
            </w:pPr>
            <w:r>
              <w:rPr>
                <w:rFonts w:hint="eastAsia"/>
                <w:sz w:val="18"/>
                <w:szCs w:val="18"/>
              </w:rPr>
              <w:t>非几何信息应包含顶棚、墙面、地面的装饰装修的构造、材质、颜色等属性信息</w:t>
            </w:r>
          </w:p>
          <w:p>
            <w:pPr>
              <w:pStyle w:val="62"/>
              <w:ind w:firstLine="180" w:firstLineChars="100"/>
              <w:rPr>
                <w:sz w:val="18"/>
                <w:szCs w:val="18"/>
              </w:rPr>
            </w:pPr>
            <w:r>
              <w:rPr>
                <w:rFonts w:hint="eastAsia"/>
                <w:sz w:val="18"/>
                <w:szCs w:val="18"/>
              </w:rPr>
              <w:t>该精细度显示通用元素，包括最大尺寸和用途</w:t>
            </w:r>
          </w:p>
          <w:p>
            <w:pPr>
              <w:pStyle w:val="62"/>
              <w:ind w:firstLine="180" w:firstLineChars="100"/>
            </w:pPr>
            <w:r>
              <w:rPr>
                <w:rFonts w:hint="eastAsia"/>
                <w:sz w:val="18"/>
                <w:szCs w:val="18"/>
              </w:rPr>
              <w:t>例如家具应显示形状、位置和颜色等几何信息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F.0.3 </w:t>
      </w:r>
      <w:r>
        <w:rPr>
          <w:rFonts w:hint="eastAsia" w:ascii="宋体" w:hAnsi="宋体"/>
        </w:rPr>
        <w:t xml:space="preserve">装修专业主要构件LOD </w:t>
      </w:r>
      <w:r>
        <w:rPr>
          <w:rFonts w:ascii="宋体" w:hAnsi="宋体"/>
        </w:rPr>
        <w:t>3</w:t>
      </w:r>
      <w:r>
        <w:rPr>
          <w:rFonts w:hint="eastAsia" w:ascii="宋体" w:hAnsi="宋体"/>
        </w:rPr>
        <w:t>.0模型精细度表达应符合表</w:t>
      </w:r>
      <w:r>
        <w:rPr>
          <w:rFonts w:ascii="宋体" w:hAnsi="宋体"/>
        </w:rPr>
        <w:t>F.3</w:t>
      </w:r>
      <w:r>
        <w:rPr>
          <w:rFonts w:hint="eastAsia" w:ascii="宋体" w:hAnsi="宋体"/>
        </w:rPr>
        <w:t>的规定。</w:t>
      </w:r>
    </w:p>
    <w:p>
      <w:pPr>
        <w:pStyle w:val="13"/>
        <w:spacing w:before="156" w:beforeLines="50" w:after="156" w:afterLines="50"/>
        <w:jc w:val="center"/>
        <w:rPr>
          <w:rFonts w:hint="eastAsia" w:ascii="黑体" w:hAnsi="黑体"/>
          <w:kern w:val="0"/>
        </w:rPr>
      </w:pPr>
      <w:bookmarkStart w:id="271" w:name="_Toc174544076"/>
      <w:bookmarkStart w:id="272" w:name="_Toc174544133"/>
      <w:r>
        <w:rPr>
          <w:rFonts w:hint="eastAsia" w:ascii="黑体" w:hAnsi="黑体"/>
          <w:sz w:val="21"/>
          <w:szCs w:val="21"/>
        </w:rPr>
        <w:t>表</w:t>
      </w:r>
      <w:r>
        <w:rPr>
          <w:rFonts w:ascii="黑体" w:hAnsi="黑体"/>
          <w:sz w:val="21"/>
          <w:szCs w:val="21"/>
        </w:rPr>
        <w:t>F.</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F. \* ARABIC </w:instrText>
      </w:r>
      <w:r>
        <w:rPr>
          <w:rFonts w:ascii="黑体" w:hAnsi="黑体"/>
          <w:sz w:val="21"/>
          <w:szCs w:val="21"/>
        </w:rPr>
        <w:fldChar w:fldCharType="separate"/>
      </w:r>
      <w:r>
        <w:rPr>
          <w:rFonts w:ascii="黑体" w:hAnsi="黑体"/>
          <w:sz w:val="21"/>
          <w:szCs w:val="21"/>
        </w:rPr>
        <w:t>3</w:t>
      </w:r>
      <w:r>
        <w:rPr>
          <w:rFonts w:ascii="黑体" w:hAnsi="黑体"/>
          <w:sz w:val="21"/>
          <w:szCs w:val="21"/>
        </w:rPr>
        <w:fldChar w:fldCharType="end"/>
      </w:r>
      <w:r>
        <w:rPr>
          <w:rFonts w:hint="eastAsia" w:ascii="黑体" w:hAnsi="黑体"/>
          <w:sz w:val="21"/>
          <w:szCs w:val="21"/>
        </w:rPr>
        <w:t xml:space="preserve"> 装修专业主要构件</w:t>
      </w:r>
      <w:r>
        <w:rPr>
          <w:rFonts w:ascii="黑体" w:hAnsi="黑体"/>
          <w:sz w:val="21"/>
          <w:szCs w:val="21"/>
        </w:rPr>
        <w:t>LOD 3.0</w:t>
      </w:r>
      <w:r>
        <w:rPr>
          <w:rFonts w:hint="eastAsia" w:ascii="黑体" w:hAnsi="黑体"/>
          <w:sz w:val="21"/>
          <w:szCs w:val="21"/>
        </w:rPr>
        <w:t>模型精细度表达</w:t>
      </w:r>
      <w:bookmarkEnd w:id="271"/>
      <w:bookmarkEnd w:id="272"/>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4"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85216" behindDoc="0" locked="0" layoutInCell="1" allowOverlap="1">
                  <wp:simplePos x="0" y="0"/>
                  <wp:positionH relativeFrom="column">
                    <wp:posOffset>-20320</wp:posOffset>
                  </wp:positionH>
                  <wp:positionV relativeFrom="paragraph">
                    <wp:posOffset>184785</wp:posOffset>
                  </wp:positionV>
                  <wp:extent cx="5408295" cy="3952875"/>
                  <wp:effectExtent l="0" t="0" r="1905" b="0"/>
                  <wp:wrapNone/>
                  <wp:docPr id="1570580517"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80517" name="图片 19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417341" cy="3959334"/>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6"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顶棚、墙面、地面的装饰装修以及建筑设备（给水排水管道，电气线路等）由建筑专业建立</w:t>
            </w:r>
          </w:p>
          <w:p>
            <w:pPr>
              <w:pStyle w:val="62"/>
              <w:ind w:firstLine="180" w:firstLineChars="100"/>
              <w:rPr>
                <w:sz w:val="18"/>
                <w:szCs w:val="18"/>
              </w:rPr>
            </w:pPr>
            <w:r>
              <w:rPr>
                <w:rFonts w:hint="eastAsia"/>
                <w:sz w:val="18"/>
                <w:szCs w:val="18"/>
              </w:rPr>
              <w:t>灯具、陈设品等建筑部品由建筑专业或装饰专业建立</w:t>
            </w:r>
          </w:p>
          <w:p>
            <w:pPr>
              <w:pStyle w:val="62"/>
              <w:ind w:firstLine="180" w:firstLineChars="100"/>
              <w:rPr>
                <w:sz w:val="18"/>
                <w:szCs w:val="18"/>
              </w:rPr>
            </w:pPr>
            <w:r>
              <w:rPr>
                <w:rFonts w:hint="eastAsia"/>
                <w:sz w:val="18"/>
                <w:szCs w:val="18"/>
              </w:rPr>
              <w:t>相关构件不考虑优先级</w:t>
            </w:r>
          </w:p>
          <w:p>
            <w:pPr>
              <w:pStyle w:val="62"/>
              <w:ind w:firstLine="180" w:firstLineChars="100"/>
              <w:rPr>
                <w:sz w:val="18"/>
                <w:szCs w:val="18"/>
              </w:rPr>
            </w:pPr>
            <w:r>
              <w:rPr>
                <w:rFonts w:hint="eastAsia"/>
                <w:sz w:val="18"/>
                <w:szCs w:val="18"/>
              </w:rPr>
              <w:t>顶棚、墙面、地面等的装饰应为独立构件，肌理通过填色、纹理填充表达</w:t>
            </w:r>
          </w:p>
          <w:p>
            <w:pPr>
              <w:pStyle w:val="62"/>
              <w:ind w:firstLine="180" w:firstLineChars="100"/>
              <w:rPr>
                <w:sz w:val="18"/>
                <w:szCs w:val="18"/>
              </w:rPr>
            </w:pPr>
            <w:r>
              <w:rPr>
                <w:rFonts w:hint="eastAsia"/>
                <w:sz w:val="18"/>
                <w:szCs w:val="18"/>
              </w:rPr>
              <w:t>非几何信息应包含顶棚、墙面、地面的装饰装修的构造、材质、颜色等属性信息以及各建筑部品的属性信息及构件编码</w:t>
            </w:r>
          </w:p>
          <w:p>
            <w:pPr>
              <w:pStyle w:val="62"/>
              <w:ind w:firstLine="180" w:firstLineChars="100"/>
              <w:rPr>
                <w:sz w:val="18"/>
                <w:szCs w:val="18"/>
              </w:rPr>
            </w:pPr>
            <w:r>
              <w:rPr>
                <w:rFonts w:hint="eastAsia"/>
                <w:sz w:val="18"/>
                <w:szCs w:val="18"/>
              </w:rPr>
              <w:t>该精细度表达特定元素，包括其尺寸、容量、连接关系等</w:t>
            </w:r>
          </w:p>
          <w:p>
            <w:pPr>
              <w:pStyle w:val="62"/>
              <w:ind w:firstLine="180" w:firstLineChars="100"/>
            </w:pPr>
            <w:r>
              <w:rPr>
                <w:rFonts w:hint="eastAsia"/>
                <w:sz w:val="18"/>
                <w:szCs w:val="18"/>
              </w:rPr>
              <w:t>例如家具应在LOD2.0的基础上增加表达尺寸、位置和颜色等几何信息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 xml:space="preserve">F.0.4 </w:t>
      </w:r>
      <w:r>
        <w:rPr>
          <w:rFonts w:hint="eastAsia" w:ascii="宋体" w:hAnsi="宋体"/>
        </w:rPr>
        <w:t>装修专业主要构件LOD 3.5模型精细度表达应符合表</w:t>
      </w:r>
      <w:r>
        <w:rPr>
          <w:rFonts w:ascii="宋体" w:hAnsi="宋体"/>
        </w:rPr>
        <w:t>F.4</w:t>
      </w:r>
      <w:r>
        <w:rPr>
          <w:rFonts w:hint="eastAsia" w:ascii="宋体" w:hAnsi="宋体"/>
        </w:rPr>
        <w:t>的规定。</w:t>
      </w:r>
    </w:p>
    <w:p>
      <w:pPr>
        <w:pStyle w:val="13"/>
        <w:spacing w:before="156" w:beforeLines="50" w:after="156" w:afterLines="50"/>
        <w:jc w:val="center"/>
        <w:rPr>
          <w:rFonts w:hint="eastAsia" w:ascii="黑体" w:hAnsi="黑体"/>
        </w:rPr>
      </w:pPr>
      <w:bookmarkStart w:id="273" w:name="_Toc174544134"/>
      <w:bookmarkStart w:id="274" w:name="_Toc174544077"/>
      <w:r>
        <w:rPr>
          <w:rFonts w:hint="eastAsia" w:ascii="黑体" w:hAnsi="黑体"/>
          <w:sz w:val="21"/>
          <w:szCs w:val="21"/>
        </w:rPr>
        <w:t>表</w:t>
      </w:r>
      <w:r>
        <w:rPr>
          <w:rFonts w:ascii="黑体" w:hAnsi="黑体"/>
          <w:sz w:val="21"/>
          <w:szCs w:val="21"/>
        </w:rPr>
        <w:t>F.</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F. \* ARABIC </w:instrText>
      </w:r>
      <w:r>
        <w:rPr>
          <w:rFonts w:ascii="黑体" w:hAnsi="黑体"/>
          <w:sz w:val="21"/>
          <w:szCs w:val="21"/>
        </w:rPr>
        <w:fldChar w:fldCharType="separate"/>
      </w:r>
      <w:r>
        <w:rPr>
          <w:rFonts w:ascii="黑体" w:hAnsi="黑体"/>
          <w:sz w:val="21"/>
          <w:szCs w:val="21"/>
        </w:rPr>
        <w:t>4</w:t>
      </w:r>
      <w:r>
        <w:rPr>
          <w:rFonts w:ascii="黑体" w:hAnsi="黑体"/>
          <w:sz w:val="21"/>
          <w:szCs w:val="21"/>
        </w:rPr>
        <w:fldChar w:fldCharType="end"/>
      </w:r>
      <w:r>
        <w:rPr>
          <w:rFonts w:hint="eastAsia" w:ascii="黑体" w:hAnsi="黑体"/>
          <w:sz w:val="21"/>
          <w:szCs w:val="21"/>
        </w:rPr>
        <w:t xml:space="preserve"> 装修专业主要构件</w:t>
      </w:r>
      <w:r>
        <w:rPr>
          <w:rFonts w:ascii="黑体" w:hAnsi="黑体"/>
          <w:sz w:val="21"/>
          <w:szCs w:val="21"/>
        </w:rPr>
        <w:t>LOD 3.5模型精细度表达</w:t>
      </w:r>
      <w:bookmarkEnd w:id="273"/>
      <w:bookmarkEnd w:id="274"/>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6"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86240" behindDoc="0" locked="0" layoutInCell="1" allowOverlap="1">
                  <wp:simplePos x="0" y="0"/>
                  <wp:positionH relativeFrom="column">
                    <wp:posOffset>-46355</wp:posOffset>
                  </wp:positionH>
                  <wp:positionV relativeFrom="paragraph">
                    <wp:posOffset>194310</wp:posOffset>
                  </wp:positionV>
                  <wp:extent cx="5438775" cy="4083050"/>
                  <wp:effectExtent l="0" t="0" r="0" b="0"/>
                  <wp:wrapNone/>
                  <wp:docPr id="1665741635"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741635" name="图片 1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438692" cy="4083219"/>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6"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顶棚、墙面、地面的装饰装修以及建筑设备（给水排水管道，电气线路等）由建筑专业建立</w:t>
            </w:r>
          </w:p>
          <w:p>
            <w:pPr>
              <w:pStyle w:val="62"/>
              <w:ind w:firstLine="180" w:firstLineChars="100"/>
              <w:rPr>
                <w:sz w:val="18"/>
                <w:szCs w:val="18"/>
              </w:rPr>
            </w:pPr>
            <w:r>
              <w:rPr>
                <w:rFonts w:hint="eastAsia"/>
                <w:sz w:val="18"/>
                <w:szCs w:val="18"/>
              </w:rPr>
              <w:t>灯具、陈设品、建筑标识、监控摄像头等建筑部品由建筑专业或装饰专业建立</w:t>
            </w:r>
          </w:p>
          <w:p>
            <w:pPr>
              <w:pStyle w:val="62"/>
              <w:ind w:firstLine="180" w:firstLineChars="100"/>
              <w:rPr>
                <w:sz w:val="18"/>
                <w:szCs w:val="18"/>
              </w:rPr>
            </w:pPr>
            <w:r>
              <w:rPr>
                <w:rFonts w:hint="eastAsia"/>
                <w:sz w:val="18"/>
                <w:szCs w:val="18"/>
              </w:rPr>
              <w:t>顶棚、墙面、地面等的装饰应为独立构件，肌理通过填色、纹理填充表达</w:t>
            </w:r>
          </w:p>
          <w:p>
            <w:pPr>
              <w:pStyle w:val="62"/>
              <w:ind w:firstLine="180" w:firstLineChars="100"/>
              <w:rPr>
                <w:sz w:val="18"/>
                <w:szCs w:val="18"/>
              </w:rPr>
            </w:pPr>
            <w:r>
              <w:rPr>
                <w:rFonts w:hint="eastAsia"/>
                <w:sz w:val="18"/>
                <w:szCs w:val="18"/>
              </w:rPr>
              <w:t>非几何信息应包含顶棚、墙面、地面的装饰装修的构造、材质、颜色等属性信息以及各建筑部品的属性信息及构件编码</w:t>
            </w:r>
          </w:p>
          <w:p>
            <w:pPr>
              <w:pStyle w:val="62"/>
              <w:ind w:firstLine="180" w:firstLineChars="100"/>
              <w:rPr>
                <w:sz w:val="18"/>
                <w:szCs w:val="18"/>
              </w:rPr>
            </w:pPr>
            <w:r>
              <w:rPr>
                <w:rFonts w:hint="eastAsia"/>
                <w:sz w:val="18"/>
                <w:szCs w:val="18"/>
              </w:rPr>
              <w:t>该精细度模型可用于采购、生产及安装</w:t>
            </w:r>
          </w:p>
          <w:p>
            <w:pPr>
              <w:pStyle w:val="62"/>
              <w:ind w:firstLine="180" w:firstLineChars="100"/>
            </w:pPr>
            <w:r>
              <w:rPr>
                <w:rFonts w:hint="eastAsia"/>
                <w:sz w:val="18"/>
                <w:szCs w:val="18"/>
              </w:rPr>
              <w:t>例如家具应在LOD3.0的基础上增加表达供应商、产品合格证、生产厂家、生产日期、价格等产品信息</w:t>
            </w:r>
          </w:p>
        </w:tc>
      </w:tr>
    </w:tbl>
    <w:p>
      <w:pPr>
        <w:pStyle w:val="62"/>
        <w:ind w:firstLine="420"/>
        <w:sectPr>
          <w:pgSz w:w="11906" w:h="16838"/>
          <w:pgMar w:top="1418" w:right="1134" w:bottom="1134" w:left="1418" w:header="1418" w:footer="1134" w:gutter="284"/>
          <w:cols w:space="425" w:num="1"/>
          <w:formProt w:val="0"/>
          <w:docGrid w:type="lines" w:linePitch="312" w:charSpace="0"/>
        </w:sectPr>
      </w:pPr>
    </w:p>
    <w:p>
      <w:pPr>
        <w:pStyle w:val="171"/>
        <w:rPr>
          <w:rFonts w:hint="eastAsia" w:ascii="宋体" w:hAnsi="宋体"/>
        </w:rPr>
      </w:pPr>
      <w:r>
        <w:rPr>
          <w:rFonts w:ascii="宋体" w:hAnsi="宋体"/>
        </w:rPr>
        <w:t>F.0.</w:t>
      </w:r>
      <w:r>
        <w:rPr>
          <w:rFonts w:hint="eastAsia" w:ascii="宋体" w:hAnsi="宋体"/>
        </w:rPr>
        <w:t>5</w:t>
      </w:r>
      <w:r>
        <w:rPr>
          <w:rFonts w:ascii="宋体" w:hAnsi="宋体"/>
        </w:rPr>
        <w:t xml:space="preserve"> </w:t>
      </w:r>
      <w:r>
        <w:rPr>
          <w:rFonts w:hint="eastAsia" w:ascii="宋体" w:hAnsi="宋体"/>
        </w:rPr>
        <w:t xml:space="preserve">装修专业主要构件LOD </w:t>
      </w:r>
      <w:r>
        <w:rPr>
          <w:rFonts w:ascii="宋体" w:hAnsi="宋体"/>
        </w:rPr>
        <w:t>4</w:t>
      </w:r>
      <w:r>
        <w:rPr>
          <w:rFonts w:hint="eastAsia" w:ascii="宋体" w:hAnsi="宋体"/>
        </w:rPr>
        <w:t>.0模型精细度表达应符合表</w:t>
      </w:r>
      <w:r>
        <w:rPr>
          <w:rFonts w:ascii="宋体" w:hAnsi="宋体"/>
        </w:rPr>
        <w:t>F.</w:t>
      </w:r>
      <w:r>
        <w:rPr>
          <w:rFonts w:hint="eastAsia" w:ascii="宋体" w:hAnsi="宋体"/>
        </w:rPr>
        <w:t>5的规定。</w:t>
      </w:r>
    </w:p>
    <w:p>
      <w:pPr>
        <w:pStyle w:val="13"/>
        <w:spacing w:before="156" w:beforeLines="50" w:after="156" w:afterLines="50"/>
        <w:jc w:val="center"/>
        <w:rPr>
          <w:rFonts w:hint="eastAsia" w:ascii="黑体" w:hAnsi="黑体"/>
        </w:rPr>
      </w:pPr>
      <w:bookmarkStart w:id="275" w:name="_Toc174544078"/>
      <w:bookmarkStart w:id="276" w:name="_Toc174544135"/>
      <w:r>
        <w:rPr>
          <w:rFonts w:hint="eastAsia" w:ascii="黑体" w:hAnsi="黑体"/>
          <w:sz w:val="21"/>
          <w:szCs w:val="21"/>
        </w:rPr>
        <w:t>表</w:t>
      </w:r>
      <w:r>
        <w:rPr>
          <w:rFonts w:ascii="黑体" w:hAnsi="黑体"/>
          <w:sz w:val="21"/>
          <w:szCs w:val="21"/>
        </w:rPr>
        <w:t>F.</w:t>
      </w:r>
      <w:r>
        <w:rPr>
          <w:rFonts w:ascii="黑体" w:hAnsi="黑体"/>
          <w:sz w:val="21"/>
          <w:szCs w:val="21"/>
        </w:rPr>
        <w:fldChar w:fldCharType="begin"/>
      </w:r>
      <w:r>
        <w:rPr>
          <w:rFonts w:ascii="黑体" w:hAnsi="黑体"/>
          <w:sz w:val="21"/>
          <w:szCs w:val="21"/>
        </w:rPr>
        <w:instrText xml:space="preserve"> SEQ </w:instrText>
      </w:r>
      <w:r>
        <w:rPr>
          <w:rFonts w:hint="eastAsia" w:ascii="黑体" w:hAnsi="黑体"/>
          <w:sz w:val="21"/>
          <w:szCs w:val="21"/>
        </w:rPr>
        <w:instrText xml:space="preserve">表</w:instrText>
      </w:r>
      <w:r>
        <w:rPr>
          <w:rFonts w:ascii="黑体" w:hAnsi="黑体"/>
          <w:sz w:val="21"/>
          <w:szCs w:val="21"/>
        </w:rPr>
        <w:instrText xml:space="preserve">F. \* ARABIC </w:instrText>
      </w:r>
      <w:r>
        <w:rPr>
          <w:rFonts w:ascii="黑体" w:hAnsi="黑体"/>
          <w:sz w:val="21"/>
          <w:szCs w:val="21"/>
        </w:rPr>
        <w:fldChar w:fldCharType="separate"/>
      </w:r>
      <w:r>
        <w:rPr>
          <w:rFonts w:ascii="黑体" w:hAnsi="黑体"/>
          <w:sz w:val="21"/>
          <w:szCs w:val="21"/>
        </w:rPr>
        <w:t>5</w:t>
      </w:r>
      <w:r>
        <w:rPr>
          <w:rFonts w:ascii="黑体" w:hAnsi="黑体"/>
          <w:sz w:val="21"/>
          <w:szCs w:val="21"/>
        </w:rPr>
        <w:fldChar w:fldCharType="end"/>
      </w:r>
      <w:r>
        <w:rPr>
          <w:rFonts w:hint="eastAsia" w:ascii="黑体" w:hAnsi="黑体"/>
          <w:sz w:val="21"/>
          <w:szCs w:val="21"/>
        </w:rPr>
        <w:t xml:space="preserve"> 装修专业主要构件</w:t>
      </w:r>
      <w:r>
        <w:rPr>
          <w:rFonts w:ascii="黑体" w:hAnsi="黑体"/>
          <w:sz w:val="21"/>
          <w:szCs w:val="21"/>
        </w:rPr>
        <w:t>LOD 4.0</w:t>
      </w:r>
      <w:r>
        <w:rPr>
          <w:rFonts w:hint="eastAsia" w:ascii="黑体" w:hAnsi="黑体"/>
          <w:sz w:val="21"/>
          <w:szCs w:val="21"/>
        </w:rPr>
        <w:t>模型精细度表达</w:t>
      </w:r>
      <w:bookmarkEnd w:id="275"/>
      <w:bookmarkEnd w:id="276"/>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8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4" w:hRule="atLeast"/>
        </w:trPr>
        <w:tc>
          <w:tcPr>
            <w:tcW w:w="392" w:type="dxa"/>
            <w:vAlign w:val="center"/>
          </w:tcPr>
          <w:p>
            <w:pPr>
              <w:pStyle w:val="62"/>
              <w:ind w:firstLine="0" w:firstLineChars="0"/>
              <w:jc w:val="center"/>
              <w:rPr>
                <w:rFonts w:ascii="Times New Roman"/>
                <w:sz w:val="18"/>
                <w:szCs w:val="18"/>
              </w:rPr>
            </w:pPr>
            <w:r>
              <w:rPr>
                <w:rFonts w:hint="eastAsia" w:ascii="Times New Roman"/>
                <w:sz w:val="18"/>
                <w:szCs w:val="18"/>
              </w:rPr>
              <w:t>模</w:t>
            </w:r>
          </w:p>
          <w:p>
            <w:pPr>
              <w:pStyle w:val="62"/>
              <w:ind w:firstLine="0" w:firstLineChars="0"/>
              <w:jc w:val="center"/>
              <w:rPr>
                <w:rFonts w:ascii="Times New Roman"/>
                <w:sz w:val="18"/>
                <w:szCs w:val="18"/>
              </w:rPr>
            </w:pPr>
            <w:r>
              <w:rPr>
                <w:rFonts w:hint="eastAsia" w:ascii="Times New Roman"/>
                <w:sz w:val="18"/>
                <w:szCs w:val="18"/>
              </w:rPr>
              <w:t>型</w:t>
            </w:r>
          </w:p>
          <w:p>
            <w:pPr>
              <w:pStyle w:val="62"/>
              <w:ind w:firstLine="0" w:firstLineChars="0"/>
              <w:jc w:val="center"/>
              <w:rPr>
                <w:rFonts w:ascii="Times New Roman"/>
                <w:sz w:val="18"/>
                <w:szCs w:val="18"/>
              </w:rPr>
            </w:pPr>
            <w:r>
              <w:rPr>
                <w:rFonts w:hint="eastAsia" w:ascii="Times New Roman"/>
                <w:sz w:val="18"/>
                <w:szCs w:val="18"/>
              </w:rPr>
              <w:t>表</w:t>
            </w:r>
          </w:p>
          <w:p>
            <w:pPr>
              <w:pStyle w:val="62"/>
              <w:ind w:firstLine="0" w:firstLineChars="0"/>
              <w:jc w:val="center"/>
              <w:rPr>
                <w:sz w:val="18"/>
                <w:szCs w:val="18"/>
              </w:rPr>
            </w:pPr>
            <w:r>
              <w:rPr>
                <w:rFonts w:hint="eastAsia" w:ascii="Times New Roman"/>
                <w:sz w:val="18"/>
                <w:szCs w:val="18"/>
              </w:rPr>
              <w:t>达</w:t>
            </w:r>
          </w:p>
        </w:tc>
        <w:tc>
          <w:tcPr>
            <w:tcW w:w="9178" w:type="dxa"/>
          </w:tcPr>
          <w:p>
            <w:pPr>
              <w:pStyle w:val="62"/>
              <w:ind w:firstLine="0" w:firstLineChars="0"/>
            </w:pPr>
            <w:r>
              <w:drawing>
                <wp:anchor distT="0" distB="0" distL="114300" distR="114300" simplePos="0" relativeHeight="251787264" behindDoc="0" locked="0" layoutInCell="1" allowOverlap="1">
                  <wp:simplePos x="0" y="0"/>
                  <wp:positionH relativeFrom="column">
                    <wp:posOffset>-3175</wp:posOffset>
                  </wp:positionH>
                  <wp:positionV relativeFrom="paragraph">
                    <wp:posOffset>62865</wp:posOffset>
                  </wp:positionV>
                  <wp:extent cx="5393690" cy="4049395"/>
                  <wp:effectExtent l="0" t="0" r="0" b="8255"/>
                  <wp:wrapNone/>
                  <wp:docPr id="1119120932"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120932" name="图片 1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413193" cy="4064075"/>
                          </a:xfrm>
                          <a:prstGeom prst="rect">
                            <a:avLst/>
                          </a:prstGeom>
                          <a:noFill/>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6" w:hRule="atLeast"/>
        </w:trPr>
        <w:tc>
          <w:tcPr>
            <w:tcW w:w="392" w:type="dxa"/>
            <w:vAlign w:val="center"/>
          </w:tcPr>
          <w:p>
            <w:pPr>
              <w:pStyle w:val="62"/>
              <w:ind w:firstLine="0" w:firstLineChars="0"/>
              <w:jc w:val="center"/>
              <w:rPr>
                <w:sz w:val="18"/>
                <w:szCs w:val="18"/>
              </w:rPr>
            </w:pPr>
            <w:r>
              <w:rPr>
                <w:rFonts w:hint="eastAsia"/>
                <w:sz w:val="18"/>
                <w:szCs w:val="18"/>
              </w:rPr>
              <w:t>说</w:t>
            </w:r>
          </w:p>
          <w:p>
            <w:pPr>
              <w:pStyle w:val="62"/>
              <w:ind w:firstLine="0" w:firstLineChars="0"/>
              <w:jc w:val="center"/>
            </w:pPr>
            <w:r>
              <w:rPr>
                <w:rFonts w:hint="eastAsia"/>
                <w:sz w:val="18"/>
                <w:szCs w:val="18"/>
              </w:rPr>
              <w:t>明</w:t>
            </w:r>
          </w:p>
        </w:tc>
        <w:tc>
          <w:tcPr>
            <w:tcW w:w="9178" w:type="dxa"/>
            <w:vAlign w:val="center"/>
          </w:tcPr>
          <w:p>
            <w:pPr>
              <w:pStyle w:val="62"/>
              <w:ind w:firstLine="180" w:firstLineChars="100"/>
              <w:rPr>
                <w:sz w:val="18"/>
                <w:szCs w:val="18"/>
              </w:rPr>
            </w:pPr>
            <w:r>
              <w:rPr>
                <w:rFonts w:hint="eastAsia"/>
                <w:sz w:val="18"/>
                <w:szCs w:val="18"/>
              </w:rPr>
              <w:t>相关构件几何表达深度应与实物保持一致，模型反映实际成品的状态</w:t>
            </w:r>
          </w:p>
          <w:p>
            <w:pPr>
              <w:pStyle w:val="62"/>
              <w:ind w:firstLine="180" w:firstLineChars="100"/>
            </w:pPr>
            <w:r>
              <w:rPr>
                <w:rFonts w:hint="eastAsia"/>
                <w:sz w:val="18"/>
                <w:szCs w:val="18"/>
              </w:rPr>
              <w:t>例如家具应在LOD3.5的基础上增加表达使用年限、保修年限、维护频率、维保单位等维保信息</w:t>
            </w:r>
          </w:p>
        </w:tc>
      </w:tr>
      <w:bookmarkEnd w:id="25"/>
      <w:bookmarkEnd w:id="252"/>
    </w:tbl>
    <w:p>
      <w:pPr>
        <w:pStyle w:val="62"/>
        <w:ind w:firstLine="420"/>
      </w:pPr>
    </w:p>
    <w:sectPr>
      <w:pgSz w:w="11906" w:h="16838"/>
      <w:pgMar w:top="1418" w:right="1134" w:bottom="1134" w:left="1418"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 w:name="等线">
    <w:altName w:val="Arial Unicode MS"/>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Cambria">
    <w:panose1 w:val="02040503050406030204"/>
    <w:charset w:val="00"/>
    <w:family w:val="roman"/>
    <w:pitch w:val="default"/>
    <w:sig w:usb0="E00002FF" w:usb1="400004FF" w:usb2="00000000" w:usb3="00000000" w:csb0="2000019F"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7"/>
      <w:rPr>
        <w:rFonts w:hint="eastAsia"/>
      </w:rPr>
    </w:pPr>
    <w:r>
      <w:fldChar w:fldCharType="begin"/>
    </w:r>
    <w:r>
      <w:instrText xml:space="preserve"> STYLEREF  标准文件_文件编号  \* MERGEFORMAT </w:instrText>
    </w:r>
    <w:r>
      <w:fldChar w:fldCharType="separate"/>
    </w:r>
    <w:r>
      <w:t>DB32/TXXXX—XXXX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jc w:val="right"/>
      <w:rPr>
        <w:lang w:val="fr-FR"/>
      </w:rPr>
    </w:pPr>
    <w:r>
      <w:fldChar w:fldCharType="begin"/>
    </w:r>
    <w:r>
      <w:instrText xml:space="preserve"> STYLEREF  标准文件_文件编号  \* MERGEFORMAT </w:instrText>
    </w:r>
    <w:r>
      <w:fldChar w:fldCharType="separate"/>
    </w:r>
    <w:r>
      <w:t>DB32/TXXXX—XXXX</w:t>
    </w:r>
    <w:r>
      <w:rPr>
        <w:lang w:val="fr-FR"/>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6666B5"/>
    <w:multiLevelType w:val="multilevel"/>
    <w:tmpl w:val="006666B5"/>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
    <w:nsid w:val="02837933"/>
    <w:multiLevelType w:val="multilevel"/>
    <w:tmpl w:val="02837933"/>
    <w:lvl w:ilvl="0" w:tentative="0">
      <w:start w:val="1"/>
      <w:numFmt w:val="decimal"/>
      <w:pStyle w:val="70"/>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5"/>
      <w:suff w:val="nothing"/>
      <w:lvlText w:val="%1%2.%3　"/>
      <w:lvlJc w:val="left"/>
      <w:pPr>
        <w:ind w:left="0" w:firstLine="0"/>
      </w:pPr>
    </w:lvl>
    <w:lvl w:ilvl="3" w:tentative="0">
      <w:start w:val="1"/>
      <w:numFmt w:val="decimal"/>
      <w:pStyle w:val="124"/>
      <w:suff w:val="nothing"/>
      <w:lvlText w:val="%1%2.%3.%4　"/>
      <w:lvlJc w:val="left"/>
      <w:pPr>
        <w:ind w:left="0" w:firstLine="0"/>
      </w:pPr>
    </w:lvl>
    <w:lvl w:ilvl="4" w:tentative="0">
      <w:start w:val="1"/>
      <w:numFmt w:val="decimal"/>
      <w:pStyle w:val="159"/>
      <w:suff w:val="nothing"/>
      <w:lvlText w:val="%1%2.%3.%4.%5　"/>
      <w:lvlJc w:val="left"/>
      <w:pPr>
        <w:ind w:left="0" w:firstLine="0"/>
      </w:pPr>
    </w:lvl>
    <w:lvl w:ilvl="5" w:tentative="0">
      <w:start w:val="1"/>
      <w:numFmt w:val="decimal"/>
      <w:pStyle w:val="161"/>
      <w:suff w:val="nothing"/>
      <w:lvlText w:val="%1%2.%3.%4.%5.%6　"/>
      <w:lvlJc w:val="left"/>
      <w:pPr>
        <w:ind w:left="0" w:firstLine="0"/>
      </w:pPr>
    </w:lvl>
    <w:lvl w:ilvl="6" w:tentative="0">
      <w:start w:val="1"/>
      <w:numFmt w:val="decimal"/>
      <w:pStyle w:val="164"/>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305EA2"/>
    <w:multiLevelType w:val="multilevel"/>
    <w:tmpl w:val="07305EA2"/>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079102AD"/>
    <w:multiLevelType w:val="multilevel"/>
    <w:tmpl w:val="079102AD"/>
    <w:lvl w:ilvl="0" w:tentative="0">
      <w:start w:val="1"/>
      <w:numFmt w:val="decimal"/>
      <w:pStyle w:val="186"/>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5">
    <w:nsid w:val="07ED3FEA"/>
    <w:multiLevelType w:val="multilevel"/>
    <w:tmpl w:val="07ED3FEA"/>
    <w:lvl w:ilvl="0" w:tentative="0">
      <w:start w:val="1"/>
      <w:numFmt w:val="none"/>
      <w:pStyle w:val="95"/>
      <w:lvlText w:val="%1"/>
      <w:lvlJc w:val="left"/>
      <w:pPr>
        <w:ind w:left="425" w:hanging="425"/>
      </w:pPr>
      <w:rPr>
        <w:rFonts w:hint="eastAsia"/>
      </w:rPr>
    </w:lvl>
    <w:lvl w:ilvl="1" w:tentative="0">
      <w:start w:val="1"/>
      <w:numFmt w:val="decimal"/>
      <w:pStyle w:val="206"/>
      <w:suff w:val="nothing"/>
      <w:lvlText w:val="%10.%2 "/>
      <w:lvlJc w:val="left"/>
      <w:pPr>
        <w:ind w:left="0" w:firstLine="0"/>
      </w:pPr>
      <w:rPr>
        <w:rFonts w:hint="eastAsia" w:ascii="黑体" w:eastAsia="黑体" w:hAnsiTheme="minorHAnsi"/>
        <w:b w:val="0"/>
        <w:i w:val="0"/>
        <w:sz w:val="21"/>
      </w:rPr>
    </w:lvl>
    <w:lvl w:ilvl="2" w:tentative="0">
      <w:start w:val="1"/>
      <w:numFmt w:val="decimal"/>
      <w:pStyle w:val="207"/>
      <w:suff w:val="nothing"/>
      <w:lvlText w:val="%10.%2.%3 "/>
      <w:lvlJc w:val="left"/>
      <w:pPr>
        <w:ind w:left="0" w:firstLine="0"/>
      </w:pPr>
      <w:rPr>
        <w:rFonts w:hint="eastAsia" w:ascii="黑体" w:eastAsia="黑体" w:hAnsiTheme="minorHAnsi"/>
        <w:b w:val="0"/>
        <w:i w:val="0"/>
        <w:sz w:val="21"/>
      </w:rPr>
    </w:lvl>
    <w:lvl w:ilvl="3" w:tentative="0">
      <w:start w:val="1"/>
      <w:numFmt w:val="decimal"/>
      <w:pStyle w:val="208"/>
      <w:suff w:val="nothing"/>
      <w:lvlText w:val="%10.%2.%3.%4 "/>
      <w:lvlJc w:val="left"/>
      <w:pPr>
        <w:ind w:left="0" w:firstLine="0"/>
      </w:pPr>
      <w:rPr>
        <w:rFonts w:hint="eastAsia" w:ascii="黑体" w:eastAsia="黑体" w:hAnsiTheme="minorHAnsi"/>
        <w:b w:val="0"/>
        <w:i w:val="0"/>
        <w:sz w:val="21"/>
      </w:rPr>
    </w:lvl>
    <w:lvl w:ilvl="4" w:tentative="0">
      <w:start w:val="1"/>
      <w:numFmt w:val="decimal"/>
      <w:pStyle w:val="209"/>
      <w:suff w:val="nothing"/>
      <w:lvlText w:val="%10.%2.%3.%4.%5 "/>
      <w:lvlJc w:val="left"/>
      <w:pPr>
        <w:ind w:left="0" w:firstLine="0"/>
      </w:pPr>
      <w:rPr>
        <w:rFonts w:hint="eastAsia" w:ascii="黑体" w:eastAsia="黑体" w:hAnsiTheme="minorHAnsi"/>
        <w:b w:val="0"/>
        <w:i w:val="0"/>
        <w:sz w:val="21"/>
      </w:rPr>
    </w:lvl>
    <w:lvl w:ilvl="5" w:tentative="0">
      <w:start w:val="1"/>
      <w:numFmt w:val="decimal"/>
      <w:pStyle w:val="210"/>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6">
    <w:nsid w:val="07F9117E"/>
    <w:multiLevelType w:val="multilevel"/>
    <w:tmpl w:val="07F9117E"/>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0AE367E9"/>
    <w:multiLevelType w:val="multilevel"/>
    <w:tmpl w:val="0AE367E9"/>
    <w:lvl w:ilvl="0" w:tentative="0">
      <w:start w:val="1"/>
      <w:numFmt w:val="none"/>
      <w:pStyle w:val="187"/>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8">
    <w:nsid w:val="0BDC1670"/>
    <w:multiLevelType w:val="multilevel"/>
    <w:tmpl w:val="0BDC1670"/>
    <w:lvl w:ilvl="0" w:tentative="0">
      <w:start w:val="1"/>
      <w:numFmt w:val="decimal"/>
      <w:pStyle w:val="73"/>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0D051F45"/>
    <w:multiLevelType w:val="multilevel"/>
    <w:tmpl w:val="0D051F45"/>
    <w:lvl w:ilvl="0" w:tentative="0">
      <w:start w:val="1"/>
      <w:numFmt w:val="lowerRoman"/>
      <w:pStyle w:val="175"/>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10">
    <w:nsid w:val="1667169E"/>
    <w:multiLevelType w:val="multilevel"/>
    <w:tmpl w:val="1667169E"/>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1">
    <w:nsid w:val="1AD20F90"/>
    <w:multiLevelType w:val="multilevel"/>
    <w:tmpl w:val="1AD20F90"/>
    <w:lvl w:ilvl="0" w:tentative="0">
      <w:start w:val="1"/>
      <w:numFmt w:val="none"/>
      <w:pStyle w:val="116"/>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2">
    <w:nsid w:val="1AF15012"/>
    <w:multiLevelType w:val="multilevel"/>
    <w:tmpl w:val="1AF15012"/>
    <w:lvl w:ilvl="0" w:tentative="0">
      <w:start w:val="1"/>
      <w:numFmt w:val="upperLetter"/>
      <w:pStyle w:val="91"/>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3">
    <w:nsid w:val="1B8B5774"/>
    <w:multiLevelType w:val="multilevel"/>
    <w:tmpl w:val="1B8B5774"/>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4">
    <w:nsid w:val="1D433AA8"/>
    <w:multiLevelType w:val="multilevel"/>
    <w:tmpl w:val="1D433AA8"/>
    <w:lvl w:ilvl="0" w:tentative="0">
      <w:start w:val="1"/>
      <w:numFmt w:val="lowerLetter"/>
      <w:lvlText w:val="%1)"/>
      <w:lvlJc w:val="left"/>
      <w:pPr>
        <w:ind w:left="865" w:hanging="440"/>
      </w:pPr>
    </w:lvl>
    <w:lvl w:ilvl="1" w:tentative="0">
      <w:start w:val="1"/>
      <w:numFmt w:val="lowerLetter"/>
      <w:lvlText w:val="%2)"/>
      <w:lvlJc w:val="left"/>
      <w:pPr>
        <w:ind w:left="1305" w:hanging="440"/>
      </w:pPr>
    </w:lvl>
    <w:lvl w:ilvl="2" w:tentative="0">
      <w:start w:val="1"/>
      <w:numFmt w:val="lowerRoman"/>
      <w:lvlText w:val="%3."/>
      <w:lvlJc w:val="right"/>
      <w:pPr>
        <w:ind w:left="1745" w:hanging="440"/>
      </w:pPr>
    </w:lvl>
    <w:lvl w:ilvl="3" w:tentative="0">
      <w:start w:val="1"/>
      <w:numFmt w:val="decimal"/>
      <w:lvlText w:val="%4."/>
      <w:lvlJc w:val="left"/>
      <w:pPr>
        <w:ind w:left="2185" w:hanging="440"/>
      </w:pPr>
    </w:lvl>
    <w:lvl w:ilvl="4" w:tentative="0">
      <w:start w:val="1"/>
      <w:numFmt w:val="lowerLetter"/>
      <w:lvlText w:val="%5)"/>
      <w:lvlJc w:val="left"/>
      <w:pPr>
        <w:ind w:left="2625" w:hanging="440"/>
      </w:pPr>
    </w:lvl>
    <w:lvl w:ilvl="5" w:tentative="0">
      <w:start w:val="1"/>
      <w:numFmt w:val="lowerRoman"/>
      <w:lvlText w:val="%6."/>
      <w:lvlJc w:val="right"/>
      <w:pPr>
        <w:ind w:left="3065" w:hanging="440"/>
      </w:pPr>
    </w:lvl>
    <w:lvl w:ilvl="6" w:tentative="0">
      <w:start w:val="1"/>
      <w:numFmt w:val="decimal"/>
      <w:lvlText w:val="%7."/>
      <w:lvlJc w:val="left"/>
      <w:pPr>
        <w:ind w:left="3505" w:hanging="440"/>
      </w:pPr>
    </w:lvl>
    <w:lvl w:ilvl="7" w:tentative="0">
      <w:start w:val="1"/>
      <w:numFmt w:val="lowerLetter"/>
      <w:lvlText w:val="%8)"/>
      <w:lvlJc w:val="left"/>
      <w:pPr>
        <w:ind w:left="3945" w:hanging="440"/>
      </w:pPr>
    </w:lvl>
    <w:lvl w:ilvl="8" w:tentative="0">
      <w:start w:val="1"/>
      <w:numFmt w:val="lowerRoman"/>
      <w:lvlText w:val="%9."/>
      <w:lvlJc w:val="right"/>
      <w:pPr>
        <w:ind w:left="4385" w:hanging="440"/>
      </w:pPr>
    </w:lvl>
  </w:abstractNum>
  <w:abstractNum w:abstractNumId="15">
    <w:nsid w:val="1EAA1992"/>
    <w:multiLevelType w:val="multilevel"/>
    <w:tmpl w:val="1EAA1992"/>
    <w:lvl w:ilvl="0" w:tentative="0">
      <w:start w:val="1"/>
      <w:numFmt w:val="none"/>
      <w:pStyle w:val="98"/>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6">
    <w:nsid w:val="225A0D14"/>
    <w:multiLevelType w:val="multilevel"/>
    <w:tmpl w:val="225A0D14"/>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7">
    <w:nsid w:val="24200D72"/>
    <w:multiLevelType w:val="multilevel"/>
    <w:tmpl w:val="24200D72"/>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8">
    <w:nsid w:val="265D777D"/>
    <w:multiLevelType w:val="multilevel"/>
    <w:tmpl w:val="265D777D"/>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9">
    <w:nsid w:val="2A194801"/>
    <w:multiLevelType w:val="multilevel"/>
    <w:tmpl w:val="2A194801"/>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0">
    <w:nsid w:val="2C4939CE"/>
    <w:multiLevelType w:val="multilevel"/>
    <w:tmpl w:val="2C4939CE"/>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1">
    <w:nsid w:val="2C5917C3"/>
    <w:multiLevelType w:val="multilevel"/>
    <w:tmpl w:val="2C5917C3"/>
    <w:lvl w:ilvl="0" w:tentative="0">
      <w:start w:val="1"/>
      <w:numFmt w:val="none"/>
      <w:pStyle w:val="138"/>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3"/>
      <w:lvlText w:val=""/>
      <w:lvlJc w:val="left"/>
      <w:pPr>
        <w:ind w:left="851" w:hanging="431"/>
      </w:pPr>
      <w:rPr>
        <w:rFonts w:hint="default" w:ascii="Symbol" w:hAnsi="Symbol"/>
        <w:sz w:val="21"/>
      </w:rPr>
    </w:lvl>
    <w:lvl w:ilvl="2" w:tentative="0">
      <w:start w:val="1"/>
      <w:numFmt w:val="bullet"/>
      <w:pStyle w:val="178"/>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22">
    <w:nsid w:val="32F04FB2"/>
    <w:multiLevelType w:val="multilevel"/>
    <w:tmpl w:val="32F04FB2"/>
    <w:lvl w:ilvl="0" w:tentative="0">
      <w:start w:val="1"/>
      <w:numFmt w:val="lowerLetter"/>
      <w:pStyle w:val="107"/>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3">
    <w:nsid w:val="35B640DE"/>
    <w:multiLevelType w:val="multilevel"/>
    <w:tmpl w:val="35B640DE"/>
    <w:lvl w:ilvl="0" w:tentative="0">
      <w:start w:val="1"/>
      <w:numFmt w:val="lowerLetter"/>
      <w:lvlText w:val="%1)"/>
      <w:lvlJc w:val="left"/>
      <w:pPr>
        <w:ind w:left="865" w:hanging="440"/>
      </w:pPr>
    </w:lvl>
    <w:lvl w:ilvl="1" w:tentative="0">
      <w:start w:val="1"/>
      <w:numFmt w:val="lowerLetter"/>
      <w:lvlText w:val="%2)"/>
      <w:lvlJc w:val="left"/>
      <w:pPr>
        <w:ind w:left="1305" w:hanging="440"/>
      </w:pPr>
    </w:lvl>
    <w:lvl w:ilvl="2" w:tentative="0">
      <w:start w:val="1"/>
      <w:numFmt w:val="lowerRoman"/>
      <w:lvlText w:val="%3."/>
      <w:lvlJc w:val="right"/>
      <w:pPr>
        <w:ind w:left="1745" w:hanging="440"/>
      </w:pPr>
    </w:lvl>
    <w:lvl w:ilvl="3" w:tentative="0">
      <w:start w:val="1"/>
      <w:numFmt w:val="decimal"/>
      <w:lvlText w:val="%4."/>
      <w:lvlJc w:val="left"/>
      <w:pPr>
        <w:ind w:left="2185" w:hanging="440"/>
      </w:pPr>
    </w:lvl>
    <w:lvl w:ilvl="4" w:tentative="0">
      <w:start w:val="1"/>
      <w:numFmt w:val="lowerLetter"/>
      <w:lvlText w:val="%5)"/>
      <w:lvlJc w:val="left"/>
      <w:pPr>
        <w:ind w:left="2625" w:hanging="440"/>
      </w:pPr>
    </w:lvl>
    <w:lvl w:ilvl="5" w:tentative="0">
      <w:start w:val="1"/>
      <w:numFmt w:val="lowerRoman"/>
      <w:lvlText w:val="%6."/>
      <w:lvlJc w:val="right"/>
      <w:pPr>
        <w:ind w:left="3065" w:hanging="440"/>
      </w:pPr>
    </w:lvl>
    <w:lvl w:ilvl="6" w:tentative="0">
      <w:start w:val="1"/>
      <w:numFmt w:val="decimal"/>
      <w:lvlText w:val="%7."/>
      <w:lvlJc w:val="left"/>
      <w:pPr>
        <w:ind w:left="3505" w:hanging="440"/>
      </w:pPr>
    </w:lvl>
    <w:lvl w:ilvl="7" w:tentative="0">
      <w:start w:val="1"/>
      <w:numFmt w:val="lowerLetter"/>
      <w:lvlText w:val="%8)"/>
      <w:lvlJc w:val="left"/>
      <w:pPr>
        <w:ind w:left="3945" w:hanging="440"/>
      </w:pPr>
    </w:lvl>
    <w:lvl w:ilvl="8" w:tentative="0">
      <w:start w:val="1"/>
      <w:numFmt w:val="lowerRoman"/>
      <w:lvlText w:val="%9."/>
      <w:lvlJc w:val="right"/>
      <w:pPr>
        <w:ind w:left="4385" w:hanging="440"/>
      </w:pPr>
    </w:lvl>
  </w:abstractNum>
  <w:abstractNum w:abstractNumId="24">
    <w:nsid w:val="38177A9B"/>
    <w:multiLevelType w:val="multilevel"/>
    <w:tmpl w:val="38177A9B"/>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5">
    <w:nsid w:val="3D4A7FB2"/>
    <w:multiLevelType w:val="multilevel"/>
    <w:tmpl w:val="3D4A7FB2"/>
    <w:lvl w:ilvl="0" w:tentative="0">
      <w:start w:val="1"/>
      <w:numFmt w:val="lowerLetter"/>
      <w:lvlText w:val="%1)"/>
      <w:lvlJc w:val="left"/>
      <w:pPr>
        <w:ind w:left="865" w:hanging="440"/>
      </w:pPr>
    </w:lvl>
    <w:lvl w:ilvl="1" w:tentative="0">
      <w:start w:val="1"/>
      <w:numFmt w:val="lowerLetter"/>
      <w:lvlText w:val="%2)"/>
      <w:lvlJc w:val="left"/>
      <w:pPr>
        <w:ind w:left="1305" w:hanging="440"/>
      </w:pPr>
    </w:lvl>
    <w:lvl w:ilvl="2" w:tentative="0">
      <w:start w:val="1"/>
      <w:numFmt w:val="lowerRoman"/>
      <w:lvlText w:val="%3."/>
      <w:lvlJc w:val="right"/>
      <w:pPr>
        <w:ind w:left="1745" w:hanging="440"/>
      </w:pPr>
    </w:lvl>
    <w:lvl w:ilvl="3" w:tentative="0">
      <w:start w:val="1"/>
      <w:numFmt w:val="decimal"/>
      <w:lvlText w:val="%4."/>
      <w:lvlJc w:val="left"/>
      <w:pPr>
        <w:ind w:left="2185" w:hanging="440"/>
      </w:pPr>
    </w:lvl>
    <w:lvl w:ilvl="4" w:tentative="0">
      <w:start w:val="1"/>
      <w:numFmt w:val="lowerLetter"/>
      <w:lvlText w:val="%5)"/>
      <w:lvlJc w:val="left"/>
      <w:pPr>
        <w:ind w:left="2625" w:hanging="440"/>
      </w:pPr>
    </w:lvl>
    <w:lvl w:ilvl="5" w:tentative="0">
      <w:start w:val="1"/>
      <w:numFmt w:val="lowerRoman"/>
      <w:lvlText w:val="%6."/>
      <w:lvlJc w:val="right"/>
      <w:pPr>
        <w:ind w:left="3065" w:hanging="440"/>
      </w:pPr>
    </w:lvl>
    <w:lvl w:ilvl="6" w:tentative="0">
      <w:start w:val="1"/>
      <w:numFmt w:val="decimal"/>
      <w:lvlText w:val="%7."/>
      <w:lvlJc w:val="left"/>
      <w:pPr>
        <w:ind w:left="3505" w:hanging="440"/>
      </w:pPr>
    </w:lvl>
    <w:lvl w:ilvl="7" w:tentative="0">
      <w:start w:val="1"/>
      <w:numFmt w:val="lowerLetter"/>
      <w:lvlText w:val="%8)"/>
      <w:lvlJc w:val="left"/>
      <w:pPr>
        <w:ind w:left="3945" w:hanging="440"/>
      </w:pPr>
    </w:lvl>
    <w:lvl w:ilvl="8" w:tentative="0">
      <w:start w:val="1"/>
      <w:numFmt w:val="lowerRoman"/>
      <w:lvlText w:val="%9."/>
      <w:lvlJc w:val="right"/>
      <w:pPr>
        <w:ind w:left="4385" w:hanging="440"/>
      </w:pPr>
    </w:lvl>
  </w:abstractNum>
  <w:abstractNum w:abstractNumId="26">
    <w:nsid w:val="447F76AB"/>
    <w:multiLevelType w:val="multilevel"/>
    <w:tmpl w:val="447F76AB"/>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7">
    <w:nsid w:val="44C50F90"/>
    <w:multiLevelType w:val="multilevel"/>
    <w:tmpl w:val="44C50F90"/>
    <w:lvl w:ilvl="0" w:tentative="0">
      <w:start w:val="1"/>
      <w:numFmt w:val="lowerLetter"/>
      <w:lvlText w:val="%1)"/>
      <w:lvlJc w:val="left"/>
      <w:pPr>
        <w:tabs>
          <w:tab w:val="left" w:pos="851"/>
        </w:tabs>
        <w:ind w:left="851" w:hanging="426"/>
      </w:pPr>
      <w:rPr>
        <w:rFonts w:hint="eastAsia" w:ascii="宋体" w:hAnsi="Times New Roman" w:eastAsia="宋体"/>
        <w:sz w:val="21"/>
      </w:rPr>
    </w:lvl>
    <w:lvl w:ilvl="1" w:tentative="0">
      <w:start w:val="1"/>
      <w:numFmt w:val="decimal"/>
      <w:pStyle w:val="115"/>
      <w:lvlText w:val="%2)"/>
      <w:lvlJc w:val="left"/>
      <w:pPr>
        <w:tabs>
          <w:tab w:val="left" w:pos="1276"/>
        </w:tabs>
        <w:ind w:left="1276" w:hanging="425"/>
      </w:pPr>
      <w:rPr>
        <w:rFonts w:hint="eastAsia" w:ascii="宋体" w:hAnsi="Times New Roman" w:eastAsia="宋体"/>
        <w:sz w:val="21"/>
      </w:rPr>
    </w:lvl>
    <w:lvl w:ilvl="2" w:tentative="0">
      <w:start w:val="1"/>
      <w:numFmt w:val="decimal"/>
      <w:pStyle w:val="123"/>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28">
    <w:nsid w:val="48802D1C"/>
    <w:multiLevelType w:val="multilevel"/>
    <w:tmpl w:val="48802D1C"/>
    <w:lvl w:ilvl="0" w:tentative="0">
      <w:start w:val="1"/>
      <w:numFmt w:val="upperLetter"/>
      <w:pStyle w:val="204"/>
      <w:lvlText w:val="%1"/>
      <w:lvlJc w:val="left"/>
      <w:pPr>
        <w:ind w:left="420" w:hanging="420"/>
      </w:pPr>
      <w:rPr>
        <w:rFonts w:hint="eastAsia"/>
      </w:rPr>
    </w:lvl>
    <w:lvl w:ilvl="1" w:tentative="0">
      <w:start w:val="1"/>
      <w:numFmt w:val="decimal"/>
      <w:pStyle w:val="89"/>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9">
    <w:nsid w:val="4B733A5F"/>
    <w:multiLevelType w:val="multilevel"/>
    <w:tmpl w:val="4B733A5F"/>
    <w:lvl w:ilvl="0" w:tentative="0">
      <w:start w:val="1"/>
      <w:numFmt w:val="decimal"/>
      <w:pStyle w:val="189"/>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0">
    <w:nsid w:val="4CF65012"/>
    <w:multiLevelType w:val="multilevel"/>
    <w:tmpl w:val="4CF65012"/>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1">
    <w:nsid w:val="4E5D0534"/>
    <w:multiLevelType w:val="multilevel"/>
    <w:tmpl w:val="4E5D0534"/>
    <w:lvl w:ilvl="0" w:tentative="0">
      <w:start w:val="1"/>
      <w:numFmt w:val="decimal"/>
      <w:pStyle w:val="122"/>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2">
    <w:nsid w:val="54632751"/>
    <w:multiLevelType w:val="multilevel"/>
    <w:tmpl w:val="54632751"/>
    <w:lvl w:ilvl="0" w:tentative="0">
      <w:start w:val="1"/>
      <w:numFmt w:val="none"/>
      <w:pStyle w:val="99"/>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33">
    <w:nsid w:val="557C2AF5"/>
    <w:multiLevelType w:val="multilevel"/>
    <w:tmpl w:val="557C2AF5"/>
    <w:lvl w:ilvl="0" w:tentative="0">
      <w:start w:val="1"/>
      <w:numFmt w:val="decimal"/>
      <w:pStyle w:val="120"/>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4">
    <w:nsid w:val="5603797C"/>
    <w:multiLevelType w:val="multilevel"/>
    <w:tmpl w:val="5603797C"/>
    <w:lvl w:ilvl="0" w:tentative="0">
      <w:start w:val="1"/>
      <w:numFmt w:val="upperLetter"/>
      <w:pStyle w:val="205"/>
      <w:suff w:val="space"/>
      <w:lvlText w:val="%1"/>
      <w:lvlJc w:val="left"/>
      <w:pPr>
        <w:ind w:left="425" w:hanging="425"/>
      </w:pPr>
      <w:rPr>
        <w:rFonts w:hint="eastAsia"/>
      </w:rPr>
    </w:lvl>
    <w:lvl w:ilvl="1" w:tentative="0">
      <w:start w:val="1"/>
      <w:numFmt w:val="decimal"/>
      <w:pStyle w:val="83"/>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5">
    <w:nsid w:val="564D2089"/>
    <w:multiLevelType w:val="multilevel"/>
    <w:tmpl w:val="564D2089"/>
    <w:lvl w:ilvl="0" w:tentative="0">
      <w:start w:val="1"/>
      <w:numFmt w:val="none"/>
      <w:pStyle w:val="117"/>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6">
    <w:nsid w:val="58712D8A"/>
    <w:multiLevelType w:val="multilevel"/>
    <w:tmpl w:val="58712D8A"/>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7">
    <w:nsid w:val="644622F9"/>
    <w:multiLevelType w:val="multilevel"/>
    <w:tmpl w:val="644622F9"/>
    <w:lvl w:ilvl="0" w:tentative="0">
      <w:start w:val="1"/>
      <w:numFmt w:val="upperRoman"/>
      <w:pStyle w:val="174"/>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38">
    <w:nsid w:val="646260FA"/>
    <w:multiLevelType w:val="multilevel"/>
    <w:tmpl w:val="646260FA"/>
    <w:lvl w:ilvl="0" w:tentative="0">
      <w:start w:val="1"/>
      <w:numFmt w:val="decimal"/>
      <w:pStyle w:val="118"/>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9">
    <w:nsid w:val="654A26C9"/>
    <w:multiLevelType w:val="multilevel"/>
    <w:tmpl w:val="654A26C9"/>
    <w:lvl w:ilvl="0" w:tentative="0">
      <w:start w:val="1"/>
      <w:numFmt w:val="none"/>
      <w:pStyle w:val="195"/>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0">
    <w:nsid w:val="657D3FBC"/>
    <w:multiLevelType w:val="multilevel"/>
    <w:tmpl w:val="657D3FBC"/>
    <w:lvl w:ilvl="0" w:tentative="0">
      <w:start w:val="1"/>
      <w:numFmt w:val="upperLetter"/>
      <w:pStyle w:val="82"/>
      <w:suff w:val="nothing"/>
      <w:lvlText w:val="附录%1"/>
      <w:lvlJc w:val="left"/>
      <w:pPr>
        <w:ind w:left="0" w:firstLine="0"/>
      </w:pPr>
      <w:rPr>
        <w:rFonts w:hint="eastAsia"/>
        <w:spacing w:val="100"/>
      </w:rPr>
    </w:lvl>
    <w:lvl w:ilvl="1" w:tentative="0">
      <w:start w:val="1"/>
      <w:numFmt w:val="decimal"/>
      <w:pStyle w:val="84"/>
      <w:suff w:val="nothing"/>
      <w:lvlText w:val="%1.%2　"/>
      <w:lvlJc w:val="left"/>
      <w:pPr>
        <w:ind w:left="0" w:firstLine="0"/>
      </w:pPr>
      <w:rPr>
        <w:rFonts w:hint="eastAsia" w:ascii="黑体" w:eastAsia="黑体"/>
        <w:b w:val="0"/>
        <w:i w:val="0"/>
        <w:sz w:val="21"/>
      </w:rPr>
    </w:lvl>
    <w:lvl w:ilvl="2" w:tentative="0">
      <w:start w:val="1"/>
      <w:numFmt w:val="decimal"/>
      <w:pStyle w:val="85"/>
      <w:suff w:val="nothing"/>
      <w:lvlText w:val="%1.%2.%3　"/>
      <w:lvlJc w:val="left"/>
      <w:pPr>
        <w:ind w:left="0" w:firstLine="0"/>
      </w:pPr>
      <w:rPr>
        <w:rFonts w:hint="eastAsia" w:ascii="黑体" w:eastAsia="黑体"/>
        <w:b w:val="0"/>
        <w:i w:val="0"/>
        <w:sz w:val="21"/>
      </w:rPr>
    </w:lvl>
    <w:lvl w:ilvl="3" w:tentative="0">
      <w:start w:val="1"/>
      <w:numFmt w:val="decimal"/>
      <w:pStyle w:val="87"/>
      <w:suff w:val="nothing"/>
      <w:lvlText w:val="%1.%2.%3.%4　"/>
      <w:lvlJc w:val="left"/>
      <w:pPr>
        <w:ind w:left="0" w:firstLine="0"/>
      </w:pPr>
      <w:rPr>
        <w:rFonts w:hint="eastAsia" w:ascii="黑体" w:eastAsia="黑体"/>
        <w:b w:val="0"/>
        <w:i w:val="0"/>
        <w:sz w:val="21"/>
      </w:rPr>
    </w:lvl>
    <w:lvl w:ilvl="4" w:tentative="0">
      <w:start w:val="1"/>
      <w:numFmt w:val="decimal"/>
      <w:pStyle w:val="88"/>
      <w:suff w:val="nothing"/>
      <w:lvlText w:val="%1.%2.%3.%4.%5　"/>
      <w:lvlJc w:val="left"/>
      <w:pPr>
        <w:ind w:left="0" w:firstLine="0"/>
      </w:pPr>
      <w:rPr>
        <w:rFonts w:hint="eastAsia" w:ascii="黑体" w:eastAsia="黑体"/>
        <w:b w:val="0"/>
        <w:i w:val="0"/>
        <w:sz w:val="21"/>
      </w:rPr>
    </w:lvl>
    <w:lvl w:ilvl="5" w:tentative="0">
      <w:start w:val="1"/>
      <w:numFmt w:val="decimal"/>
      <w:pStyle w:val="90"/>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41">
    <w:nsid w:val="65925CD0"/>
    <w:multiLevelType w:val="multilevel"/>
    <w:tmpl w:val="65925CD0"/>
    <w:lvl w:ilvl="0" w:tentative="0">
      <w:start w:val="1"/>
      <w:numFmt w:val="none"/>
      <w:pStyle w:val="158"/>
      <w:suff w:val="nothing"/>
      <w:lvlText w:val="%1"/>
      <w:lvlJc w:val="left"/>
      <w:pPr>
        <w:ind w:left="0" w:firstLine="0"/>
      </w:pPr>
      <w:rPr>
        <w:rFonts w:hint="eastAsia"/>
      </w:rPr>
    </w:lvl>
    <w:lvl w:ilvl="1" w:tentative="0">
      <w:start w:val="4"/>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71"/>
      <w:suff w:val="nothing"/>
      <w:lvlText w:val="%1%2.%3.%4　"/>
      <w:lvlJc w:val="left"/>
      <w:pPr>
        <w:ind w:left="0" w:firstLine="0"/>
      </w:pPr>
      <w:rPr>
        <w:rFonts w:hint="eastAsia" w:ascii="黑体" w:eastAsia="黑体"/>
        <w:b w:val="0"/>
        <w:i w:val="0"/>
        <w:sz w:val="21"/>
      </w:rPr>
    </w:lvl>
    <w:lvl w:ilvl="4" w:tentative="0">
      <w:start w:val="1"/>
      <w:numFmt w:val="decimal"/>
      <w:pStyle w:val="100"/>
      <w:suff w:val="nothing"/>
      <w:lvlText w:val="%1%2.%3.%4.%5　"/>
      <w:lvlJc w:val="left"/>
      <w:pPr>
        <w:ind w:left="0" w:firstLine="0"/>
      </w:pPr>
      <w:rPr>
        <w:rFonts w:hint="eastAsia" w:ascii="黑体" w:eastAsia="黑体"/>
        <w:b w:val="0"/>
        <w:i w:val="0"/>
        <w:sz w:val="21"/>
      </w:rPr>
    </w:lvl>
    <w:lvl w:ilvl="5" w:tentative="0">
      <w:start w:val="1"/>
      <w:numFmt w:val="decimal"/>
      <w:pStyle w:val="104"/>
      <w:suff w:val="nothing"/>
      <w:lvlText w:val="%1%2.%3.%4.%5.%6　"/>
      <w:lvlJc w:val="left"/>
      <w:pPr>
        <w:ind w:left="0" w:firstLine="0"/>
      </w:pPr>
      <w:rPr>
        <w:rFonts w:hint="eastAsia" w:ascii="黑体" w:eastAsia="黑体"/>
        <w:b w:val="0"/>
        <w:i w:val="0"/>
        <w:sz w:val="21"/>
      </w:rPr>
    </w:lvl>
    <w:lvl w:ilvl="6" w:tentative="0">
      <w:start w:val="1"/>
      <w:numFmt w:val="decimal"/>
      <w:pStyle w:val="109"/>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2">
    <w:nsid w:val="66F224DD"/>
    <w:multiLevelType w:val="multilevel"/>
    <w:tmpl w:val="66F224DD"/>
    <w:lvl w:ilvl="0" w:tentative="0">
      <w:start w:val="1"/>
      <w:numFmt w:val="lowerLetter"/>
      <w:lvlText w:val="%1)"/>
      <w:lvlJc w:val="left"/>
      <w:pPr>
        <w:ind w:left="865" w:hanging="440"/>
      </w:pPr>
    </w:lvl>
    <w:lvl w:ilvl="1" w:tentative="0">
      <w:start w:val="1"/>
      <w:numFmt w:val="lowerLetter"/>
      <w:lvlText w:val="%2)"/>
      <w:lvlJc w:val="left"/>
      <w:pPr>
        <w:ind w:left="1305" w:hanging="440"/>
      </w:pPr>
    </w:lvl>
    <w:lvl w:ilvl="2" w:tentative="0">
      <w:start w:val="1"/>
      <w:numFmt w:val="lowerRoman"/>
      <w:lvlText w:val="%3."/>
      <w:lvlJc w:val="right"/>
      <w:pPr>
        <w:ind w:left="1745" w:hanging="440"/>
      </w:pPr>
    </w:lvl>
    <w:lvl w:ilvl="3" w:tentative="0">
      <w:start w:val="1"/>
      <w:numFmt w:val="decimal"/>
      <w:lvlText w:val="%4."/>
      <w:lvlJc w:val="left"/>
      <w:pPr>
        <w:ind w:left="2185" w:hanging="440"/>
      </w:pPr>
    </w:lvl>
    <w:lvl w:ilvl="4" w:tentative="0">
      <w:start w:val="1"/>
      <w:numFmt w:val="lowerLetter"/>
      <w:lvlText w:val="%5)"/>
      <w:lvlJc w:val="left"/>
      <w:pPr>
        <w:ind w:left="2625" w:hanging="440"/>
      </w:pPr>
    </w:lvl>
    <w:lvl w:ilvl="5" w:tentative="0">
      <w:start w:val="1"/>
      <w:numFmt w:val="lowerRoman"/>
      <w:lvlText w:val="%6."/>
      <w:lvlJc w:val="right"/>
      <w:pPr>
        <w:ind w:left="3065" w:hanging="440"/>
      </w:pPr>
    </w:lvl>
    <w:lvl w:ilvl="6" w:tentative="0">
      <w:start w:val="1"/>
      <w:numFmt w:val="decimal"/>
      <w:lvlText w:val="%7."/>
      <w:lvlJc w:val="left"/>
      <w:pPr>
        <w:ind w:left="3505" w:hanging="440"/>
      </w:pPr>
    </w:lvl>
    <w:lvl w:ilvl="7" w:tentative="0">
      <w:start w:val="1"/>
      <w:numFmt w:val="lowerLetter"/>
      <w:lvlText w:val="%8)"/>
      <w:lvlJc w:val="left"/>
      <w:pPr>
        <w:ind w:left="3945" w:hanging="440"/>
      </w:pPr>
    </w:lvl>
    <w:lvl w:ilvl="8" w:tentative="0">
      <w:start w:val="1"/>
      <w:numFmt w:val="lowerRoman"/>
      <w:lvlText w:val="%9."/>
      <w:lvlJc w:val="right"/>
      <w:pPr>
        <w:ind w:left="4385" w:hanging="440"/>
      </w:pPr>
    </w:lvl>
  </w:abstractNum>
  <w:abstractNum w:abstractNumId="43">
    <w:nsid w:val="67306F07"/>
    <w:multiLevelType w:val="multilevel"/>
    <w:tmpl w:val="67306F07"/>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4">
    <w:nsid w:val="69506ABF"/>
    <w:multiLevelType w:val="multilevel"/>
    <w:tmpl w:val="69506ABF"/>
    <w:lvl w:ilvl="0" w:tentative="0">
      <w:start w:val="1"/>
      <w:numFmt w:val="bullet"/>
      <w:pStyle w:val="194"/>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45">
    <w:nsid w:val="6CA41985"/>
    <w:multiLevelType w:val="multilevel"/>
    <w:tmpl w:val="6CA41985"/>
    <w:lvl w:ilvl="0" w:tentative="0">
      <w:start w:val="1"/>
      <w:numFmt w:val="decimal"/>
      <w:pStyle w:val="103"/>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6">
    <w:nsid w:val="6CE42AC1"/>
    <w:multiLevelType w:val="multilevel"/>
    <w:tmpl w:val="6CE42AC1"/>
    <w:lvl w:ilvl="0" w:tentative="0">
      <w:start w:val="1"/>
      <w:numFmt w:val="lowerLetter"/>
      <w:pStyle w:val="179"/>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6DBF04F4"/>
    <w:multiLevelType w:val="multilevel"/>
    <w:tmpl w:val="6DBF04F4"/>
    <w:lvl w:ilvl="0" w:tentative="0">
      <w:start w:val="1"/>
      <w:numFmt w:val="none"/>
      <w:pStyle w:val="185"/>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48">
    <w:nsid w:val="6DF35F19"/>
    <w:multiLevelType w:val="multilevel"/>
    <w:tmpl w:val="6DF35F19"/>
    <w:lvl w:ilvl="0" w:tentative="0">
      <w:start w:val="1"/>
      <w:numFmt w:val="decimal"/>
      <w:pStyle w:val="121"/>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49">
    <w:nsid w:val="762E0E12"/>
    <w:multiLevelType w:val="multilevel"/>
    <w:tmpl w:val="762E0E12"/>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0">
    <w:nsid w:val="76933334"/>
    <w:multiLevelType w:val="multilevel"/>
    <w:tmpl w:val="76933334"/>
    <w:lvl w:ilvl="0" w:tentative="0">
      <w:start w:val="1"/>
      <w:numFmt w:val="none"/>
      <w:pStyle w:val="145"/>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1">
    <w:nsid w:val="79E40104"/>
    <w:multiLevelType w:val="multilevel"/>
    <w:tmpl w:val="79E40104"/>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2">
    <w:nsid w:val="79E518CA"/>
    <w:multiLevelType w:val="multilevel"/>
    <w:tmpl w:val="79E518CA"/>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3">
    <w:nsid w:val="7AA3099F"/>
    <w:multiLevelType w:val="multilevel"/>
    <w:tmpl w:val="7AA3099F"/>
    <w:lvl w:ilvl="0" w:tentative="0">
      <w:start w:val="1"/>
      <w:numFmt w:val="lowerLetter"/>
      <w:lvlText w:val="%1)"/>
      <w:lvlJc w:val="left"/>
      <w:pPr>
        <w:ind w:left="865"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1"/>
  </w:num>
  <w:num w:numId="2">
    <w:abstractNumId w:val="41"/>
  </w:num>
  <w:num w:numId="3">
    <w:abstractNumId w:val="8"/>
  </w:num>
  <w:num w:numId="4">
    <w:abstractNumId w:val="40"/>
  </w:num>
  <w:num w:numId="5">
    <w:abstractNumId w:val="34"/>
  </w:num>
  <w:num w:numId="6">
    <w:abstractNumId w:val="28"/>
  </w:num>
  <w:num w:numId="7">
    <w:abstractNumId w:val="12"/>
  </w:num>
  <w:num w:numId="8">
    <w:abstractNumId w:val="5"/>
  </w:num>
  <w:num w:numId="9">
    <w:abstractNumId w:val="15"/>
  </w:num>
  <w:num w:numId="10">
    <w:abstractNumId w:val="32"/>
  </w:num>
  <w:num w:numId="11">
    <w:abstractNumId w:val="45"/>
  </w:num>
  <w:num w:numId="12">
    <w:abstractNumId w:val="22"/>
  </w:num>
  <w:num w:numId="13">
    <w:abstractNumId w:val="27"/>
  </w:num>
  <w:num w:numId="14">
    <w:abstractNumId w:val="11"/>
  </w:num>
  <w:num w:numId="15">
    <w:abstractNumId w:val="35"/>
  </w:num>
  <w:num w:numId="16">
    <w:abstractNumId w:val="38"/>
  </w:num>
  <w:num w:numId="17">
    <w:abstractNumId w:val="33"/>
  </w:num>
  <w:num w:numId="18">
    <w:abstractNumId w:val="48"/>
  </w:num>
  <w:num w:numId="19">
    <w:abstractNumId w:val="31"/>
  </w:num>
  <w:num w:numId="20">
    <w:abstractNumId w:val="2"/>
  </w:num>
  <w:num w:numId="21">
    <w:abstractNumId w:val="21"/>
  </w:num>
  <w:num w:numId="22">
    <w:abstractNumId w:val="50"/>
  </w:num>
  <w:num w:numId="23">
    <w:abstractNumId w:val="37"/>
  </w:num>
  <w:num w:numId="24">
    <w:abstractNumId w:val="9"/>
  </w:num>
  <w:num w:numId="25">
    <w:abstractNumId w:val="46"/>
  </w:num>
  <w:num w:numId="26">
    <w:abstractNumId w:val="47"/>
  </w:num>
  <w:num w:numId="27">
    <w:abstractNumId w:val="4"/>
  </w:num>
  <w:num w:numId="28">
    <w:abstractNumId w:val="7"/>
  </w:num>
  <w:num w:numId="29">
    <w:abstractNumId w:val="29"/>
  </w:num>
  <w:num w:numId="30">
    <w:abstractNumId w:val="44"/>
  </w:num>
  <w:num w:numId="31">
    <w:abstractNumId w:val="39"/>
  </w:num>
  <w:num w:numId="32">
    <w:abstractNumId w:val="42"/>
  </w:num>
  <w:num w:numId="33">
    <w:abstractNumId w:val="14"/>
  </w:num>
  <w:num w:numId="34">
    <w:abstractNumId w:val="23"/>
  </w:num>
  <w:num w:numId="35">
    <w:abstractNumId w:val="25"/>
  </w:num>
  <w:num w:numId="36">
    <w:abstractNumId w:val="49"/>
  </w:num>
  <w:num w:numId="37">
    <w:abstractNumId w:val="52"/>
  </w:num>
  <w:num w:numId="38">
    <w:abstractNumId w:val="3"/>
  </w:num>
  <w:num w:numId="39">
    <w:abstractNumId w:val="53"/>
  </w:num>
  <w:num w:numId="40">
    <w:abstractNumId w:val="30"/>
  </w:num>
  <w:num w:numId="41">
    <w:abstractNumId w:val="13"/>
  </w:num>
  <w:num w:numId="42">
    <w:abstractNumId w:val="24"/>
  </w:num>
  <w:num w:numId="43">
    <w:abstractNumId w:val="51"/>
  </w:num>
  <w:num w:numId="44">
    <w:abstractNumId w:val="26"/>
  </w:num>
  <w:num w:numId="45">
    <w:abstractNumId w:val="19"/>
  </w:num>
  <w:num w:numId="46">
    <w:abstractNumId w:val="18"/>
  </w:num>
  <w:num w:numId="47">
    <w:abstractNumId w:val="10"/>
  </w:num>
  <w:num w:numId="48">
    <w:abstractNumId w:val="6"/>
  </w:num>
  <w:num w:numId="49">
    <w:abstractNumId w:val="17"/>
  </w:num>
  <w:num w:numId="50">
    <w:abstractNumId w:val="16"/>
  </w:num>
  <w:num w:numId="51">
    <w:abstractNumId w:val="0"/>
  </w:num>
  <w:num w:numId="52">
    <w:abstractNumId w:val="20"/>
  </w:num>
  <w:num w:numId="53">
    <w:abstractNumId w:val="36"/>
  </w:num>
  <w:num w:numId="54">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attachedTemplate r:id="rId1"/>
  <w:documentProtection w:enforcement="0"/>
  <w:defaultTabStop w:val="420"/>
  <w:drawingGridHorizontalSpacing w:val="105"/>
  <w:drawingGridVerticalSpacing w:val="156"/>
  <w:displayHorizontalDrawingGridEvery w:val="2"/>
  <w:displayVerticalDrawingGridEvery w:val="2"/>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2A77"/>
    <w:rsid w:val="0000040A"/>
    <w:rsid w:val="00000A94"/>
    <w:rsid w:val="00001972"/>
    <w:rsid w:val="00001D9A"/>
    <w:rsid w:val="0000269C"/>
    <w:rsid w:val="000034B1"/>
    <w:rsid w:val="00007B3A"/>
    <w:rsid w:val="000107E0"/>
    <w:rsid w:val="00011FDE"/>
    <w:rsid w:val="00012FFD"/>
    <w:rsid w:val="00014162"/>
    <w:rsid w:val="00014340"/>
    <w:rsid w:val="00016A9C"/>
    <w:rsid w:val="00022184"/>
    <w:rsid w:val="00022762"/>
    <w:rsid w:val="000238E0"/>
    <w:rsid w:val="000249DB"/>
    <w:rsid w:val="0002595E"/>
    <w:rsid w:val="00026AB3"/>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4D44"/>
    <w:rsid w:val="000556ED"/>
    <w:rsid w:val="00055FE2"/>
    <w:rsid w:val="0005616F"/>
    <w:rsid w:val="00060C2E"/>
    <w:rsid w:val="00061033"/>
    <w:rsid w:val="000619E9"/>
    <w:rsid w:val="000622D4"/>
    <w:rsid w:val="0006357D"/>
    <w:rsid w:val="00067F1E"/>
    <w:rsid w:val="00071CC0"/>
    <w:rsid w:val="00073C8C"/>
    <w:rsid w:val="00077B64"/>
    <w:rsid w:val="00080A1C"/>
    <w:rsid w:val="00081674"/>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34CA"/>
    <w:rsid w:val="000C4B41"/>
    <w:rsid w:val="000C57D6"/>
    <w:rsid w:val="000C6362"/>
    <w:rsid w:val="000C7666"/>
    <w:rsid w:val="000D0A9C"/>
    <w:rsid w:val="000D1795"/>
    <w:rsid w:val="000D329A"/>
    <w:rsid w:val="000D4B9C"/>
    <w:rsid w:val="000D4EB6"/>
    <w:rsid w:val="000D6299"/>
    <w:rsid w:val="000D753B"/>
    <w:rsid w:val="000E183C"/>
    <w:rsid w:val="000E4C9E"/>
    <w:rsid w:val="000E6FD7"/>
    <w:rsid w:val="000F06E1"/>
    <w:rsid w:val="000F0E3C"/>
    <w:rsid w:val="000F19D5"/>
    <w:rsid w:val="000F4AEA"/>
    <w:rsid w:val="000F633F"/>
    <w:rsid w:val="000F67E9"/>
    <w:rsid w:val="00104926"/>
    <w:rsid w:val="001050DE"/>
    <w:rsid w:val="00106DA4"/>
    <w:rsid w:val="00112D0E"/>
    <w:rsid w:val="00113B1E"/>
    <w:rsid w:val="00116815"/>
    <w:rsid w:val="0011711C"/>
    <w:rsid w:val="0012059C"/>
    <w:rsid w:val="00124E4F"/>
    <w:rsid w:val="001260B7"/>
    <w:rsid w:val="001265CB"/>
    <w:rsid w:val="0012748B"/>
    <w:rsid w:val="001321C6"/>
    <w:rsid w:val="001325C4"/>
    <w:rsid w:val="00133010"/>
    <w:rsid w:val="001338EE"/>
    <w:rsid w:val="00133AAE"/>
    <w:rsid w:val="00135323"/>
    <w:rsid w:val="001356C4"/>
    <w:rsid w:val="00141114"/>
    <w:rsid w:val="00142969"/>
    <w:rsid w:val="001446C2"/>
    <w:rsid w:val="001457E7"/>
    <w:rsid w:val="00145D9D"/>
    <w:rsid w:val="00146388"/>
    <w:rsid w:val="00147C42"/>
    <w:rsid w:val="00152611"/>
    <w:rsid w:val="001529E5"/>
    <w:rsid w:val="00153C7E"/>
    <w:rsid w:val="00156B25"/>
    <w:rsid w:val="00156E1A"/>
    <w:rsid w:val="00157894"/>
    <w:rsid w:val="00157B55"/>
    <w:rsid w:val="00161B61"/>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196F"/>
    <w:rsid w:val="00184BF3"/>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682"/>
    <w:rsid w:val="001D0BBE"/>
    <w:rsid w:val="001D0ED4"/>
    <w:rsid w:val="001D212F"/>
    <w:rsid w:val="001D29D7"/>
    <w:rsid w:val="001D2DE7"/>
    <w:rsid w:val="001D3394"/>
    <w:rsid w:val="001D358A"/>
    <w:rsid w:val="001D3F4B"/>
    <w:rsid w:val="001D411C"/>
    <w:rsid w:val="001E1B6A"/>
    <w:rsid w:val="001E2484"/>
    <w:rsid w:val="001E3CC4"/>
    <w:rsid w:val="001E4882"/>
    <w:rsid w:val="001E73AB"/>
    <w:rsid w:val="001E7871"/>
    <w:rsid w:val="001F0116"/>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16285"/>
    <w:rsid w:val="002204BB"/>
    <w:rsid w:val="002207D7"/>
    <w:rsid w:val="00221B79"/>
    <w:rsid w:val="00221C6B"/>
    <w:rsid w:val="002253A1"/>
    <w:rsid w:val="00225CF8"/>
    <w:rsid w:val="0022794E"/>
    <w:rsid w:val="0023071E"/>
    <w:rsid w:val="00233D64"/>
    <w:rsid w:val="0023482A"/>
    <w:rsid w:val="002359CB"/>
    <w:rsid w:val="00243540"/>
    <w:rsid w:val="0024497B"/>
    <w:rsid w:val="0024515B"/>
    <w:rsid w:val="00246021"/>
    <w:rsid w:val="0024666E"/>
    <w:rsid w:val="00247F52"/>
    <w:rsid w:val="00250B25"/>
    <w:rsid w:val="00250BBE"/>
    <w:rsid w:val="002515C2"/>
    <w:rsid w:val="0025194F"/>
    <w:rsid w:val="002550F9"/>
    <w:rsid w:val="0026148A"/>
    <w:rsid w:val="002619E8"/>
    <w:rsid w:val="00262696"/>
    <w:rsid w:val="00263D25"/>
    <w:rsid w:val="002643C3"/>
    <w:rsid w:val="00264A0C"/>
    <w:rsid w:val="00266EEB"/>
    <w:rsid w:val="00267EF4"/>
    <w:rsid w:val="00270CB8"/>
    <w:rsid w:val="00270E63"/>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1E77"/>
    <w:rsid w:val="002B4508"/>
    <w:rsid w:val="002B4611"/>
    <w:rsid w:val="002B5779"/>
    <w:rsid w:val="002B71DD"/>
    <w:rsid w:val="002B7332"/>
    <w:rsid w:val="002B7F51"/>
    <w:rsid w:val="002C09E7"/>
    <w:rsid w:val="002C1E06"/>
    <w:rsid w:val="002C1E1C"/>
    <w:rsid w:val="002C3F07"/>
    <w:rsid w:val="002C5278"/>
    <w:rsid w:val="002C6346"/>
    <w:rsid w:val="002C7EBB"/>
    <w:rsid w:val="002D06C1"/>
    <w:rsid w:val="002D42B5"/>
    <w:rsid w:val="002D4F1A"/>
    <w:rsid w:val="002D6EC6"/>
    <w:rsid w:val="002D79AC"/>
    <w:rsid w:val="002E039D"/>
    <w:rsid w:val="002E4D5A"/>
    <w:rsid w:val="002E6326"/>
    <w:rsid w:val="002F30E0"/>
    <w:rsid w:val="002F35E4"/>
    <w:rsid w:val="002F3730"/>
    <w:rsid w:val="002F38E1"/>
    <w:rsid w:val="002F7AF6"/>
    <w:rsid w:val="002F7D39"/>
    <w:rsid w:val="00300E63"/>
    <w:rsid w:val="00302F5F"/>
    <w:rsid w:val="0030441D"/>
    <w:rsid w:val="00306063"/>
    <w:rsid w:val="00312C7E"/>
    <w:rsid w:val="00313B85"/>
    <w:rsid w:val="00317988"/>
    <w:rsid w:val="003221B4"/>
    <w:rsid w:val="0032258D"/>
    <w:rsid w:val="00322E62"/>
    <w:rsid w:val="00324640"/>
    <w:rsid w:val="00324D13"/>
    <w:rsid w:val="00324D2A"/>
    <w:rsid w:val="00324EDD"/>
    <w:rsid w:val="00330211"/>
    <w:rsid w:val="003331E4"/>
    <w:rsid w:val="00335134"/>
    <w:rsid w:val="00336C64"/>
    <w:rsid w:val="00337162"/>
    <w:rsid w:val="0034194F"/>
    <w:rsid w:val="00342692"/>
    <w:rsid w:val="00344605"/>
    <w:rsid w:val="003474AA"/>
    <w:rsid w:val="00350D1D"/>
    <w:rsid w:val="00352C83"/>
    <w:rsid w:val="00357522"/>
    <w:rsid w:val="00357B81"/>
    <w:rsid w:val="003615D2"/>
    <w:rsid w:val="003617C1"/>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42F"/>
    <w:rsid w:val="00384FFC"/>
    <w:rsid w:val="003872FC"/>
    <w:rsid w:val="00387ADC"/>
    <w:rsid w:val="00390020"/>
    <w:rsid w:val="003903D6"/>
    <w:rsid w:val="00390EE6"/>
    <w:rsid w:val="0039118F"/>
    <w:rsid w:val="00392AD7"/>
    <w:rsid w:val="003938D9"/>
    <w:rsid w:val="003941E1"/>
    <w:rsid w:val="00394376"/>
    <w:rsid w:val="003943FF"/>
    <w:rsid w:val="00395700"/>
    <w:rsid w:val="003974EB"/>
    <w:rsid w:val="00397CC5"/>
    <w:rsid w:val="003A1582"/>
    <w:rsid w:val="003A405B"/>
    <w:rsid w:val="003A4077"/>
    <w:rsid w:val="003B09AD"/>
    <w:rsid w:val="003B1F18"/>
    <w:rsid w:val="003B5BF0"/>
    <w:rsid w:val="003B60BF"/>
    <w:rsid w:val="003B6BE3"/>
    <w:rsid w:val="003C010C"/>
    <w:rsid w:val="003C0154"/>
    <w:rsid w:val="003C0A6C"/>
    <w:rsid w:val="003C14F8"/>
    <w:rsid w:val="003C5957"/>
    <w:rsid w:val="003C5A43"/>
    <w:rsid w:val="003D0519"/>
    <w:rsid w:val="003D0FF6"/>
    <w:rsid w:val="003D262C"/>
    <w:rsid w:val="003D6D61"/>
    <w:rsid w:val="003E091D"/>
    <w:rsid w:val="003E1C53"/>
    <w:rsid w:val="003E2A69"/>
    <w:rsid w:val="003E2D49"/>
    <w:rsid w:val="003E2FD4"/>
    <w:rsid w:val="003E49F6"/>
    <w:rsid w:val="003E660F"/>
    <w:rsid w:val="003F0841"/>
    <w:rsid w:val="003F12BB"/>
    <w:rsid w:val="003F23D3"/>
    <w:rsid w:val="003F3F08"/>
    <w:rsid w:val="003F49F1"/>
    <w:rsid w:val="003F6272"/>
    <w:rsid w:val="00400E72"/>
    <w:rsid w:val="00401400"/>
    <w:rsid w:val="00404869"/>
    <w:rsid w:val="00405884"/>
    <w:rsid w:val="00407B70"/>
    <w:rsid w:val="00407D39"/>
    <w:rsid w:val="0041477A"/>
    <w:rsid w:val="004167A3"/>
    <w:rsid w:val="004279DF"/>
    <w:rsid w:val="004308A3"/>
    <w:rsid w:val="00432DAA"/>
    <w:rsid w:val="00434305"/>
    <w:rsid w:val="00435DF7"/>
    <w:rsid w:val="0044083F"/>
    <w:rsid w:val="00441AE7"/>
    <w:rsid w:val="00445574"/>
    <w:rsid w:val="004467FB"/>
    <w:rsid w:val="00452D6B"/>
    <w:rsid w:val="00453287"/>
    <w:rsid w:val="00454484"/>
    <w:rsid w:val="00455027"/>
    <w:rsid w:val="0045517B"/>
    <w:rsid w:val="0045712D"/>
    <w:rsid w:val="00463B77"/>
    <w:rsid w:val="00463C7B"/>
    <w:rsid w:val="004644A6"/>
    <w:rsid w:val="004659BD"/>
    <w:rsid w:val="00467DFE"/>
    <w:rsid w:val="00470775"/>
    <w:rsid w:val="004746B1"/>
    <w:rsid w:val="0047583F"/>
    <w:rsid w:val="00475DE8"/>
    <w:rsid w:val="00481C44"/>
    <w:rsid w:val="00484936"/>
    <w:rsid w:val="00485C89"/>
    <w:rsid w:val="00486BE3"/>
    <w:rsid w:val="0048731B"/>
    <w:rsid w:val="004905E4"/>
    <w:rsid w:val="00490A89"/>
    <w:rsid w:val="00490AB4"/>
    <w:rsid w:val="00492F02"/>
    <w:rsid w:val="004939AE"/>
    <w:rsid w:val="004A12DF"/>
    <w:rsid w:val="004A17E6"/>
    <w:rsid w:val="004A1BA8"/>
    <w:rsid w:val="004A4656"/>
    <w:rsid w:val="004A4B57"/>
    <w:rsid w:val="004A556A"/>
    <w:rsid w:val="004A63FA"/>
    <w:rsid w:val="004A7F8B"/>
    <w:rsid w:val="004B0272"/>
    <w:rsid w:val="004B2701"/>
    <w:rsid w:val="004B2E1B"/>
    <w:rsid w:val="004B3AA8"/>
    <w:rsid w:val="004B3CC5"/>
    <w:rsid w:val="004B3E93"/>
    <w:rsid w:val="004C1FBC"/>
    <w:rsid w:val="004C3415"/>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1AEC"/>
    <w:rsid w:val="0050363E"/>
    <w:rsid w:val="005039BC"/>
    <w:rsid w:val="00504284"/>
    <w:rsid w:val="005043BB"/>
    <w:rsid w:val="00504A3D"/>
    <w:rsid w:val="00505767"/>
    <w:rsid w:val="005073F0"/>
    <w:rsid w:val="00510A7B"/>
    <w:rsid w:val="00512F6E"/>
    <w:rsid w:val="00513038"/>
    <w:rsid w:val="005133FB"/>
    <w:rsid w:val="00514174"/>
    <w:rsid w:val="00516088"/>
    <w:rsid w:val="00516B0B"/>
    <w:rsid w:val="005220EC"/>
    <w:rsid w:val="00523F95"/>
    <w:rsid w:val="00524D65"/>
    <w:rsid w:val="00525229"/>
    <w:rsid w:val="00525B16"/>
    <w:rsid w:val="00533D04"/>
    <w:rsid w:val="00534804"/>
    <w:rsid w:val="00534BDF"/>
    <w:rsid w:val="005352BD"/>
    <w:rsid w:val="005354EA"/>
    <w:rsid w:val="0053585F"/>
    <w:rsid w:val="00535EC4"/>
    <w:rsid w:val="00535ED9"/>
    <w:rsid w:val="0053692B"/>
    <w:rsid w:val="00541853"/>
    <w:rsid w:val="00543675"/>
    <w:rsid w:val="00543BDA"/>
    <w:rsid w:val="005441CC"/>
    <w:rsid w:val="005479DA"/>
    <w:rsid w:val="00547BCC"/>
    <w:rsid w:val="0055013B"/>
    <w:rsid w:val="00551F6F"/>
    <w:rsid w:val="00555044"/>
    <w:rsid w:val="00555A7C"/>
    <w:rsid w:val="00561475"/>
    <w:rsid w:val="0056487B"/>
    <w:rsid w:val="00564FB9"/>
    <w:rsid w:val="00567CC2"/>
    <w:rsid w:val="00573D9E"/>
    <w:rsid w:val="005801A3"/>
    <w:rsid w:val="005801E3"/>
    <w:rsid w:val="00581802"/>
    <w:rsid w:val="00583188"/>
    <w:rsid w:val="005836A8"/>
    <w:rsid w:val="0058399B"/>
    <w:rsid w:val="0058409C"/>
    <w:rsid w:val="00584262"/>
    <w:rsid w:val="00586630"/>
    <w:rsid w:val="00587ADD"/>
    <w:rsid w:val="00596160"/>
    <w:rsid w:val="005966E2"/>
    <w:rsid w:val="00596DEA"/>
    <w:rsid w:val="00597007"/>
    <w:rsid w:val="005A0966"/>
    <w:rsid w:val="005A0CC4"/>
    <w:rsid w:val="005A11B7"/>
    <w:rsid w:val="005A260B"/>
    <w:rsid w:val="005A4A1B"/>
    <w:rsid w:val="005A7830"/>
    <w:rsid w:val="005A7FCE"/>
    <w:rsid w:val="005B0F3F"/>
    <w:rsid w:val="005B4903"/>
    <w:rsid w:val="005B51CE"/>
    <w:rsid w:val="005B5885"/>
    <w:rsid w:val="005B5CD7"/>
    <w:rsid w:val="005B6CF6"/>
    <w:rsid w:val="005B7422"/>
    <w:rsid w:val="005C0696"/>
    <w:rsid w:val="005C29B8"/>
    <w:rsid w:val="005C5F21"/>
    <w:rsid w:val="005C7156"/>
    <w:rsid w:val="005D0C75"/>
    <w:rsid w:val="005D279A"/>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C42"/>
    <w:rsid w:val="00607D29"/>
    <w:rsid w:val="00612952"/>
    <w:rsid w:val="00614CC1"/>
    <w:rsid w:val="00615A9D"/>
    <w:rsid w:val="00617387"/>
    <w:rsid w:val="0062007E"/>
    <w:rsid w:val="006205D6"/>
    <w:rsid w:val="006252D8"/>
    <w:rsid w:val="0062591A"/>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65839"/>
    <w:rsid w:val="00672060"/>
    <w:rsid w:val="00672BFD"/>
    <w:rsid w:val="006770F4"/>
    <w:rsid w:val="00677A84"/>
    <w:rsid w:val="0068026D"/>
    <w:rsid w:val="00680A27"/>
    <w:rsid w:val="006816A4"/>
    <w:rsid w:val="006819B8"/>
    <w:rsid w:val="006840A6"/>
    <w:rsid w:val="006850CD"/>
    <w:rsid w:val="00685AAB"/>
    <w:rsid w:val="00695ABB"/>
    <w:rsid w:val="00696FA8"/>
    <w:rsid w:val="006A07AA"/>
    <w:rsid w:val="006A25E5"/>
    <w:rsid w:val="006A2B46"/>
    <w:rsid w:val="006A336D"/>
    <w:rsid w:val="006A37B9"/>
    <w:rsid w:val="006B2672"/>
    <w:rsid w:val="006B2D5A"/>
    <w:rsid w:val="006B54BF"/>
    <w:rsid w:val="006B5F44"/>
    <w:rsid w:val="006B5F90"/>
    <w:rsid w:val="006B62E4"/>
    <w:rsid w:val="006C1BBA"/>
    <w:rsid w:val="006C2079"/>
    <w:rsid w:val="006C5A62"/>
    <w:rsid w:val="006C5D68"/>
    <w:rsid w:val="006C6976"/>
    <w:rsid w:val="006C6DD0"/>
    <w:rsid w:val="006D023D"/>
    <w:rsid w:val="006D04EA"/>
    <w:rsid w:val="006D16C4"/>
    <w:rsid w:val="006D3E96"/>
    <w:rsid w:val="006D4515"/>
    <w:rsid w:val="006D4BB1"/>
    <w:rsid w:val="006D6593"/>
    <w:rsid w:val="006E047B"/>
    <w:rsid w:val="006E23EA"/>
    <w:rsid w:val="006F03A8"/>
    <w:rsid w:val="006F2ACA"/>
    <w:rsid w:val="006F2ADC"/>
    <w:rsid w:val="006F2BFE"/>
    <w:rsid w:val="006F31E9"/>
    <w:rsid w:val="006F6284"/>
    <w:rsid w:val="007002C5"/>
    <w:rsid w:val="00704387"/>
    <w:rsid w:val="00707669"/>
    <w:rsid w:val="0071059E"/>
    <w:rsid w:val="00711CBA"/>
    <w:rsid w:val="00711FB5"/>
    <w:rsid w:val="00712A01"/>
    <w:rsid w:val="00714F58"/>
    <w:rsid w:val="00722FBF"/>
    <w:rsid w:val="00722FC2"/>
    <w:rsid w:val="007235EB"/>
    <w:rsid w:val="00724879"/>
    <w:rsid w:val="00724E1B"/>
    <w:rsid w:val="00725949"/>
    <w:rsid w:val="00727FA2"/>
    <w:rsid w:val="007322D9"/>
    <w:rsid w:val="00732BC0"/>
    <w:rsid w:val="00734705"/>
    <w:rsid w:val="0073720F"/>
    <w:rsid w:val="00737796"/>
    <w:rsid w:val="0074165C"/>
    <w:rsid w:val="00742C35"/>
    <w:rsid w:val="0074327E"/>
    <w:rsid w:val="007432CA"/>
    <w:rsid w:val="007439EB"/>
    <w:rsid w:val="00743CB4"/>
    <w:rsid w:val="00743F0A"/>
    <w:rsid w:val="007444E8"/>
    <w:rsid w:val="0074548E"/>
    <w:rsid w:val="00745773"/>
    <w:rsid w:val="00746800"/>
    <w:rsid w:val="007501A8"/>
    <w:rsid w:val="00750D61"/>
    <w:rsid w:val="00750EE1"/>
    <w:rsid w:val="00752B4D"/>
    <w:rsid w:val="00754937"/>
    <w:rsid w:val="00755402"/>
    <w:rsid w:val="00756B26"/>
    <w:rsid w:val="00756EDF"/>
    <w:rsid w:val="007600E3"/>
    <w:rsid w:val="00765C43"/>
    <w:rsid w:val="00765EFB"/>
    <w:rsid w:val="007671CA"/>
    <w:rsid w:val="007679B3"/>
    <w:rsid w:val="00767C61"/>
    <w:rsid w:val="0077008A"/>
    <w:rsid w:val="00773C1F"/>
    <w:rsid w:val="00774DA4"/>
    <w:rsid w:val="007753A5"/>
    <w:rsid w:val="00776599"/>
    <w:rsid w:val="007769C7"/>
    <w:rsid w:val="0078114B"/>
    <w:rsid w:val="00781DD2"/>
    <w:rsid w:val="00783ECF"/>
    <w:rsid w:val="0078413A"/>
    <w:rsid w:val="007841C0"/>
    <w:rsid w:val="007930AA"/>
    <w:rsid w:val="00794A43"/>
    <w:rsid w:val="007959E8"/>
    <w:rsid w:val="00795E9C"/>
    <w:rsid w:val="007A0521"/>
    <w:rsid w:val="007A2E12"/>
    <w:rsid w:val="007A31D4"/>
    <w:rsid w:val="007A3475"/>
    <w:rsid w:val="007A41C8"/>
    <w:rsid w:val="007A54CE"/>
    <w:rsid w:val="007A6FD9"/>
    <w:rsid w:val="007A7FFA"/>
    <w:rsid w:val="007B04EB"/>
    <w:rsid w:val="007B0735"/>
    <w:rsid w:val="007B0D4F"/>
    <w:rsid w:val="007B5A3D"/>
    <w:rsid w:val="007B5B95"/>
    <w:rsid w:val="007B68EA"/>
    <w:rsid w:val="007B7453"/>
    <w:rsid w:val="007C1E8B"/>
    <w:rsid w:val="007C2D89"/>
    <w:rsid w:val="007C4593"/>
    <w:rsid w:val="007C5309"/>
    <w:rsid w:val="007C5A68"/>
    <w:rsid w:val="007C6069"/>
    <w:rsid w:val="007D06C4"/>
    <w:rsid w:val="007D1257"/>
    <w:rsid w:val="007D1352"/>
    <w:rsid w:val="007D2508"/>
    <w:rsid w:val="007D346A"/>
    <w:rsid w:val="007D4353"/>
    <w:rsid w:val="007D6518"/>
    <w:rsid w:val="007D76BD"/>
    <w:rsid w:val="007E0BF1"/>
    <w:rsid w:val="007F0ED8"/>
    <w:rsid w:val="007F0F63"/>
    <w:rsid w:val="007F75CE"/>
    <w:rsid w:val="007F7FC2"/>
    <w:rsid w:val="008013A4"/>
    <w:rsid w:val="008027CE"/>
    <w:rsid w:val="00802F42"/>
    <w:rsid w:val="00804383"/>
    <w:rsid w:val="00804BB7"/>
    <w:rsid w:val="00804D41"/>
    <w:rsid w:val="00810257"/>
    <w:rsid w:val="008104F5"/>
    <w:rsid w:val="00811072"/>
    <w:rsid w:val="00811369"/>
    <w:rsid w:val="00811594"/>
    <w:rsid w:val="00811A28"/>
    <w:rsid w:val="008153BF"/>
    <w:rsid w:val="00815419"/>
    <w:rsid w:val="008163C8"/>
    <w:rsid w:val="008164A1"/>
    <w:rsid w:val="00817325"/>
    <w:rsid w:val="00820751"/>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136A"/>
    <w:rsid w:val="008620FC"/>
    <w:rsid w:val="008627A5"/>
    <w:rsid w:val="00863E05"/>
    <w:rsid w:val="00865ACA"/>
    <w:rsid w:val="00865D28"/>
    <w:rsid w:val="00865F85"/>
    <w:rsid w:val="00867C10"/>
    <w:rsid w:val="00870439"/>
    <w:rsid w:val="00870DA1"/>
    <w:rsid w:val="00883F93"/>
    <w:rsid w:val="00884DB3"/>
    <w:rsid w:val="00885A9D"/>
    <w:rsid w:val="008864F6"/>
    <w:rsid w:val="008879A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3942"/>
    <w:rsid w:val="008C475E"/>
    <w:rsid w:val="008C619A"/>
    <w:rsid w:val="008C6FB6"/>
    <w:rsid w:val="008D0CE8"/>
    <w:rsid w:val="008D2D1D"/>
    <w:rsid w:val="008D453D"/>
    <w:rsid w:val="008D53AD"/>
    <w:rsid w:val="008D562B"/>
    <w:rsid w:val="008D5733"/>
    <w:rsid w:val="008D622B"/>
    <w:rsid w:val="008D666C"/>
    <w:rsid w:val="008D6851"/>
    <w:rsid w:val="008D7B54"/>
    <w:rsid w:val="008E0C9D"/>
    <w:rsid w:val="008E1648"/>
    <w:rsid w:val="008E1B3E"/>
    <w:rsid w:val="008E2319"/>
    <w:rsid w:val="008E4BB6"/>
    <w:rsid w:val="008E5518"/>
    <w:rsid w:val="008E6A84"/>
    <w:rsid w:val="008F0CDC"/>
    <w:rsid w:val="008F17A3"/>
    <w:rsid w:val="008F1ED3"/>
    <w:rsid w:val="008F23A5"/>
    <w:rsid w:val="008F2F6B"/>
    <w:rsid w:val="008F4C29"/>
    <w:rsid w:val="008F70BD"/>
    <w:rsid w:val="008F788F"/>
    <w:rsid w:val="008F7EA2"/>
    <w:rsid w:val="00902722"/>
    <w:rsid w:val="009027BC"/>
    <w:rsid w:val="009044C9"/>
    <w:rsid w:val="009062E6"/>
    <w:rsid w:val="00911BE5"/>
    <w:rsid w:val="00913CA9"/>
    <w:rsid w:val="009145AE"/>
    <w:rsid w:val="009146CE"/>
    <w:rsid w:val="00914CA7"/>
    <w:rsid w:val="00915C3E"/>
    <w:rsid w:val="009161A8"/>
    <w:rsid w:val="00922DD5"/>
    <w:rsid w:val="009235BE"/>
    <w:rsid w:val="009245F5"/>
    <w:rsid w:val="009249EC"/>
    <w:rsid w:val="009273B3"/>
    <w:rsid w:val="009305B5"/>
    <w:rsid w:val="00940856"/>
    <w:rsid w:val="009429D5"/>
    <w:rsid w:val="00942BF1"/>
    <w:rsid w:val="00945180"/>
    <w:rsid w:val="00945428"/>
    <w:rsid w:val="00945478"/>
    <w:rsid w:val="0094607B"/>
    <w:rsid w:val="009512A1"/>
    <w:rsid w:val="00953604"/>
    <w:rsid w:val="0095496B"/>
    <w:rsid w:val="009610DC"/>
    <w:rsid w:val="00961490"/>
    <w:rsid w:val="0096381A"/>
    <w:rsid w:val="009655E1"/>
    <w:rsid w:val="00965E04"/>
    <w:rsid w:val="009674AD"/>
    <w:rsid w:val="00970CDC"/>
    <w:rsid w:val="00972A77"/>
    <w:rsid w:val="00977010"/>
    <w:rsid w:val="00977D02"/>
    <w:rsid w:val="009809BB"/>
    <w:rsid w:val="00981ECC"/>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154A"/>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9F60ED"/>
    <w:rsid w:val="00A0096C"/>
    <w:rsid w:val="00A01757"/>
    <w:rsid w:val="00A028C0"/>
    <w:rsid w:val="00A02BAE"/>
    <w:rsid w:val="00A06A6B"/>
    <w:rsid w:val="00A07E47"/>
    <w:rsid w:val="00A129D0"/>
    <w:rsid w:val="00A12C33"/>
    <w:rsid w:val="00A138BA"/>
    <w:rsid w:val="00A1450C"/>
    <w:rsid w:val="00A14C8E"/>
    <w:rsid w:val="00A153D9"/>
    <w:rsid w:val="00A15F09"/>
    <w:rsid w:val="00A169B6"/>
    <w:rsid w:val="00A2271D"/>
    <w:rsid w:val="00A237D5"/>
    <w:rsid w:val="00A30EFC"/>
    <w:rsid w:val="00A317F1"/>
    <w:rsid w:val="00A31984"/>
    <w:rsid w:val="00A32D73"/>
    <w:rsid w:val="00A3367B"/>
    <w:rsid w:val="00A3597D"/>
    <w:rsid w:val="00A36CC0"/>
    <w:rsid w:val="00A36DD1"/>
    <w:rsid w:val="00A4006C"/>
    <w:rsid w:val="00A40091"/>
    <w:rsid w:val="00A4030F"/>
    <w:rsid w:val="00A41C79"/>
    <w:rsid w:val="00A41CB5"/>
    <w:rsid w:val="00A42CDF"/>
    <w:rsid w:val="00A4452E"/>
    <w:rsid w:val="00A4472C"/>
    <w:rsid w:val="00A44828"/>
    <w:rsid w:val="00A44E69"/>
    <w:rsid w:val="00A4661E"/>
    <w:rsid w:val="00A55BD6"/>
    <w:rsid w:val="00A55D50"/>
    <w:rsid w:val="00A57142"/>
    <w:rsid w:val="00A642A7"/>
    <w:rsid w:val="00A648CD"/>
    <w:rsid w:val="00A6537A"/>
    <w:rsid w:val="00A67866"/>
    <w:rsid w:val="00A70B07"/>
    <w:rsid w:val="00A723F8"/>
    <w:rsid w:val="00A77CCB"/>
    <w:rsid w:val="00A808AC"/>
    <w:rsid w:val="00A83D8D"/>
    <w:rsid w:val="00A8446B"/>
    <w:rsid w:val="00A8473F"/>
    <w:rsid w:val="00A862D6"/>
    <w:rsid w:val="00A8715E"/>
    <w:rsid w:val="00A91B65"/>
    <w:rsid w:val="00A926FF"/>
    <w:rsid w:val="00A9295B"/>
    <w:rsid w:val="00A93B09"/>
    <w:rsid w:val="00A94247"/>
    <w:rsid w:val="00A951D7"/>
    <w:rsid w:val="00A952D7"/>
    <w:rsid w:val="00A963F7"/>
    <w:rsid w:val="00A96AD8"/>
    <w:rsid w:val="00AA052C"/>
    <w:rsid w:val="00AA1E45"/>
    <w:rsid w:val="00AA4286"/>
    <w:rsid w:val="00AA456B"/>
    <w:rsid w:val="00AA57F5"/>
    <w:rsid w:val="00AA672E"/>
    <w:rsid w:val="00AA6EC9"/>
    <w:rsid w:val="00AB2615"/>
    <w:rsid w:val="00AB41D5"/>
    <w:rsid w:val="00AB6309"/>
    <w:rsid w:val="00AB6C5F"/>
    <w:rsid w:val="00AB7129"/>
    <w:rsid w:val="00AB75D5"/>
    <w:rsid w:val="00AC27A6"/>
    <w:rsid w:val="00AC30F7"/>
    <w:rsid w:val="00AC3A5A"/>
    <w:rsid w:val="00AC4D95"/>
    <w:rsid w:val="00AC5DF4"/>
    <w:rsid w:val="00AD0AEF"/>
    <w:rsid w:val="00AD0E2D"/>
    <w:rsid w:val="00AD11B7"/>
    <w:rsid w:val="00AD130B"/>
    <w:rsid w:val="00AD1A94"/>
    <w:rsid w:val="00AD1C05"/>
    <w:rsid w:val="00AD4126"/>
    <w:rsid w:val="00AD421C"/>
    <w:rsid w:val="00AD44FA"/>
    <w:rsid w:val="00AD6C41"/>
    <w:rsid w:val="00AE070A"/>
    <w:rsid w:val="00AE101C"/>
    <w:rsid w:val="00AE37E5"/>
    <w:rsid w:val="00AE59F5"/>
    <w:rsid w:val="00AE5EB4"/>
    <w:rsid w:val="00AF0C18"/>
    <w:rsid w:val="00AF47C5"/>
    <w:rsid w:val="00AF5398"/>
    <w:rsid w:val="00AF6BB9"/>
    <w:rsid w:val="00B049AF"/>
    <w:rsid w:val="00B07242"/>
    <w:rsid w:val="00B10534"/>
    <w:rsid w:val="00B113DB"/>
    <w:rsid w:val="00B11D8A"/>
    <w:rsid w:val="00B12981"/>
    <w:rsid w:val="00B147DD"/>
    <w:rsid w:val="00B156FD"/>
    <w:rsid w:val="00B21F61"/>
    <w:rsid w:val="00B240B0"/>
    <w:rsid w:val="00B25E8E"/>
    <w:rsid w:val="00B261F1"/>
    <w:rsid w:val="00B265BC"/>
    <w:rsid w:val="00B2702E"/>
    <w:rsid w:val="00B31FB1"/>
    <w:rsid w:val="00B33952"/>
    <w:rsid w:val="00B33C5E"/>
    <w:rsid w:val="00B342F4"/>
    <w:rsid w:val="00B34369"/>
    <w:rsid w:val="00B34DC2"/>
    <w:rsid w:val="00B36417"/>
    <w:rsid w:val="00B378E5"/>
    <w:rsid w:val="00B4346D"/>
    <w:rsid w:val="00B440F4"/>
    <w:rsid w:val="00B447A5"/>
    <w:rsid w:val="00B4654C"/>
    <w:rsid w:val="00B47293"/>
    <w:rsid w:val="00B50E50"/>
    <w:rsid w:val="00B52120"/>
    <w:rsid w:val="00B54ABC"/>
    <w:rsid w:val="00B54DDE"/>
    <w:rsid w:val="00B56FBE"/>
    <w:rsid w:val="00B60ACF"/>
    <w:rsid w:val="00B62B58"/>
    <w:rsid w:val="00B65149"/>
    <w:rsid w:val="00B66567"/>
    <w:rsid w:val="00B66F52"/>
    <w:rsid w:val="00B66FE5"/>
    <w:rsid w:val="00B70B5F"/>
    <w:rsid w:val="00B72880"/>
    <w:rsid w:val="00B758BF"/>
    <w:rsid w:val="00B77EC8"/>
    <w:rsid w:val="00B8109B"/>
    <w:rsid w:val="00B827A6"/>
    <w:rsid w:val="00B831CE"/>
    <w:rsid w:val="00B86677"/>
    <w:rsid w:val="00B87131"/>
    <w:rsid w:val="00B87150"/>
    <w:rsid w:val="00B939B1"/>
    <w:rsid w:val="00B955E0"/>
    <w:rsid w:val="00B96D40"/>
    <w:rsid w:val="00B97386"/>
    <w:rsid w:val="00BA263B"/>
    <w:rsid w:val="00BA42B2"/>
    <w:rsid w:val="00BA58D4"/>
    <w:rsid w:val="00BA5B9E"/>
    <w:rsid w:val="00BA7C9A"/>
    <w:rsid w:val="00BB5A4F"/>
    <w:rsid w:val="00BB5F8F"/>
    <w:rsid w:val="00BB657A"/>
    <w:rsid w:val="00BC1A4E"/>
    <w:rsid w:val="00BC3DF8"/>
    <w:rsid w:val="00BC5DC7"/>
    <w:rsid w:val="00BC6756"/>
    <w:rsid w:val="00BC6B8B"/>
    <w:rsid w:val="00BC73D8"/>
    <w:rsid w:val="00BD52D7"/>
    <w:rsid w:val="00BD5AD2"/>
    <w:rsid w:val="00BD6112"/>
    <w:rsid w:val="00BD765E"/>
    <w:rsid w:val="00BE069D"/>
    <w:rsid w:val="00BE22F3"/>
    <w:rsid w:val="00BE5B52"/>
    <w:rsid w:val="00BE7B8D"/>
    <w:rsid w:val="00BF0993"/>
    <w:rsid w:val="00BF10A9"/>
    <w:rsid w:val="00BF1703"/>
    <w:rsid w:val="00BF171A"/>
    <w:rsid w:val="00BF231C"/>
    <w:rsid w:val="00BF51E5"/>
    <w:rsid w:val="00BF74A6"/>
    <w:rsid w:val="00C013AD"/>
    <w:rsid w:val="00C04904"/>
    <w:rsid w:val="00C056B3"/>
    <w:rsid w:val="00C103E5"/>
    <w:rsid w:val="00C13319"/>
    <w:rsid w:val="00C13EE9"/>
    <w:rsid w:val="00C211E9"/>
    <w:rsid w:val="00C21540"/>
    <w:rsid w:val="00C21906"/>
    <w:rsid w:val="00C21BFA"/>
    <w:rsid w:val="00C22148"/>
    <w:rsid w:val="00C24C8D"/>
    <w:rsid w:val="00C25FE2"/>
    <w:rsid w:val="00C26B53"/>
    <w:rsid w:val="00C270FA"/>
    <w:rsid w:val="00C279B2"/>
    <w:rsid w:val="00C27BD9"/>
    <w:rsid w:val="00C31180"/>
    <w:rsid w:val="00C33E50"/>
    <w:rsid w:val="00C34C20"/>
    <w:rsid w:val="00C35A3E"/>
    <w:rsid w:val="00C42130"/>
    <w:rsid w:val="00C423A4"/>
    <w:rsid w:val="00C44100"/>
    <w:rsid w:val="00C441D3"/>
    <w:rsid w:val="00C44BF5"/>
    <w:rsid w:val="00C44C5B"/>
    <w:rsid w:val="00C45972"/>
    <w:rsid w:val="00C521D6"/>
    <w:rsid w:val="00C55232"/>
    <w:rsid w:val="00C553A4"/>
    <w:rsid w:val="00C55A06"/>
    <w:rsid w:val="00C55D03"/>
    <w:rsid w:val="00C601BC"/>
    <w:rsid w:val="00C6329F"/>
    <w:rsid w:val="00C63340"/>
    <w:rsid w:val="00C643F9"/>
    <w:rsid w:val="00C64E95"/>
    <w:rsid w:val="00C706AF"/>
    <w:rsid w:val="00C71372"/>
    <w:rsid w:val="00C72410"/>
    <w:rsid w:val="00C7287F"/>
    <w:rsid w:val="00C74729"/>
    <w:rsid w:val="00C80CB8"/>
    <w:rsid w:val="00C819F8"/>
    <w:rsid w:val="00C821CE"/>
    <w:rsid w:val="00C8248C"/>
    <w:rsid w:val="00C84E33"/>
    <w:rsid w:val="00C86D6F"/>
    <w:rsid w:val="00C905FC"/>
    <w:rsid w:val="00C92D03"/>
    <w:rsid w:val="00C9319C"/>
    <w:rsid w:val="00C9435D"/>
    <w:rsid w:val="00C94DF2"/>
    <w:rsid w:val="00C96741"/>
    <w:rsid w:val="00CA2D1B"/>
    <w:rsid w:val="00CA375D"/>
    <w:rsid w:val="00CA60DB"/>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0C32"/>
    <w:rsid w:val="00CD163B"/>
    <w:rsid w:val="00CD2808"/>
    <w:rsid w:val="00CD28BF"/>
    <w:rsid w:val="00CD4092"/>
    <w:rsid w:val="00CD4A20"/>
    <w:rsid w:val="00CD50A1"/>
    <w:rsid w:val="00CD519E"/>
    <w:rsid w:val="00CE0C4F"/>
    <w:rsid w:val="00CE30EA"/>
    <w:rsid w:val="00CE3DA1"/>
    <w:rsid w:val="00CE6444"/>
    <w:rsid w:val="00CF048A"/>
    <w:rsid w:val="00CF155A"/>
    <w:rsid w:val="00CF2947"/>
    <w:rsid w:val="00CF560B"/>
    <w:rsid w:val="00CF686F"/>
    <w:rsid w:val="00CF6E60"/>
    <w:rsid w:val="00CF7BCA"/>
    <w:rsid w:val="00D008FD"/>
    <w:rsid w:val="00D0321C"/>
    <w:rsid w:val="00D035EC"/>
    <w:rsid w:val="00D04D4B"/>
    <w:rsid w:val="00D06AB1"/>
    <w:rsid w:val="00D072ED"/>
    <w:rsid w:val="00D07A16"/>
    <w:rsid w:val="00D1067E"/>
    <w:rsid w:val="00D10F50"/>
    <w:rsid w:val="00D11254"/>
    <w:rsid w:val="00D11272"/>
    <w:rsid w:val="00D126F5"/>
    <w:rsid w:val="00D1489E"/>
    <w:rsid w:val="00D20737"/>
    <w:rsid w:val="00D21E81"/>
    <w:rsid w:val="00D223DE"/>
    <w:rsid w:val="00D22B23"/>
    <w:rsid w:val="00D24778"/>
    <w:rsid w:val="00D25E37"/>
    <w:rsid w:val="00D2661A"/>
    <w:rsid w:val="00D27582"/>
    <w:rsid w:val="00D27EC4"/>
    <w:rsid w:val="00D32719"/>
    <w:rsid w:val="00D33333"/>
    <w:rsid w:val="00D33457"/>
    <w:rsid w:val="00D352A2"/>
    <w:rsid w:val="00D35BC8"/>
    <w:rsid w:val="00D4162B"/>
    <w:rsid w:val="00D44F26"/>
    <w:rsid w:val="00D4514F"/>
    <w:rsid w:val="00D451E2"/>
    <w:rsid w:val="00D45E89"/>
    <w:rsid w:val="00D45E8D"/>
    <w:rsid w:val="00D466AE"/>
    <w:rsid w:val="00D4734F"/>
    <w:rsid w:val="00D47FBB"/>
    <w:rsid w:val="00D51BF3"/>
    <w:rsid w:val="00D564DF"/>
    <w:rsid w:val="00D64911"/>
    <w:rsid w:val="00D66846"/>
    <w:rsid w:val="00D675FB"/>
    <w:rsid w:val="00D71F25"/>
    <w:rsid w:val="00D72A9C"/>
    <w:rsid w:val="00D77031"/>
    <w:rsid w:val="00D81BFF"/>
    <w:rsid w:val="00D84941"/>
    <w:rsid w:val="00D84FA1"/>
    <w:rsid w:val="00D851F0"/>
    <w:rsid w:val="00D86DB7"/>
    <w:rsid w:val="00D86FE5"/>
    <w:rsid w:val="00D87902"/>
    <w:rsid w:val="00D908EA"/>
    <w:rsid w:val="00D91378"/>
    <w:rsid w:val="00D926D0"/>
    <w:rsid w:val="00D93030"/>
    <w:rsid w:val="00D950E1"/>
    <w:rsid w:val="00D952A6"/>
    <w:rsid w:val="00D96620"/>
    <w:rsid w:val="00D97F99"/>
    <w:rsid w:val="00DA1E08"/>
    <w:rsid w:val="00DA24F8"/>
    <w:rsid w:val="00DA28E8"/>
    <w:rsid w:val="00DA38D3"/>
    <w:rsid w:val="00DA3932"/>
    <w:rsid w:val="00DA3AFC"/>
    <w:rsid w:val="00DA64F8"/>
    <w:rsid w:val="00DA6C15"/>
    <w:rsid w:val="00DB0258"/>
    <w:rsid w:val="00DB0E9F"/>
    <w:rsid w:val="00DB38EE"/>
    <w:rsid w:val="00DB498B"/>
    <w:rsid w:val="00DB66CA"/>
    <w:rsid w:val="00DB6BCA"/>
    <w:rsid w:val="00DB73F7"/>
    <w:rsid w:val="00DC0321"/>
    <w:rsid w:val="00DC15CB"/>
    <w:rsid w:val="00DC2328"/>
    <w:rsid w:val="00DC3067"/>
    <w:rsid w:val="00DC370B"/>
    <w:rsid w:val="00DC4C76"/>
    <w:rsid w:val="00DC53A1"/>
    <w:rsid w:val="00DC5B90"/>
    <w:rsid w:val="00DD00FF"/>
    <w:rsid w:val="00DD0619"/>
    <w:rsid w:val="00DD07FB"/>
    <w:rsid w:val="00DD25C6"/>
    <w:rsid w:val="00DD4B3E"/>
    <w:rsid w:val="00DD4FE5"/>
    <w:rsid w:val="00DD54B0"/>
    <w:rsid w:val="00DD57EE"/>
    <w:rsid w:val="00DD6BCC"/>
    <w:rsid w:val="00DE0A4B"/>
    <w:rsid w:val="00DE2410"/>
    <w:rsid w:val="00DE2939"/>
    <w:rsid w:val="00DE5554"/>
    <w:rsid w:val="00DE6CE3"/>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3137A"/>
    <w:rsid w:val="00E32B44"/>
    <w:rsid w:val="00E32CCF"/>
    <w:rsid w:val="00E34A98"/>
    <w:rsid w:val="00E35D1E"/>
    <w:rsid w:val="00E364F9"/>
    <w:rsid w:val="00E365FA"/>
    <w:rsid w:val="00E36789"/>
    <w:rsid w:val="00E44A83"/>
    <w:rsid w:val="00E47190"/>
    <w:rsid w:val="00E502C1"/>
    <w:rsid w:val="00E502DD"/>
    <w:rsid w:val="00E50D3A"/>
    <w:rsid w:val="00E51387"/>
    <w:rsid w:val="00E51E68"/>
    <w:rsid w:val="00E52EFD"/>
    <w:rsid w:val="00E5408A"/>
    <w:rsid w:val="00E54473"/>
    <w:rsid w:val="00E56800"/>
    <w:rsid w:val="00E60C63"/>
    <w:rsid w:val="00E62FF9"/>
    <w:rsid w:val="00E635D6"/>
    <w:rsid w:val="00E639BC"/>
    <w:rsid w:val="00E664CC"/>
    <w:rsid w:val="00E70388"/>
    <w:rsid w:val="00E70F92"/>
    <w:rsid w:val="00E74C54"/>
    <w:rsid w:val="00E77A03"/>
    <w:rsid w:val="00E822E8"/>
    <w:rsid w:val="00E82554"/>
    <w:rsid w:val="00E82606"/>
    <w:rsid w:val="00E826CA"/>
    <w:rsid w:val="00E83382"/>
    <w:rsid w:val="00E846C8"/>
    <w:rsid w:val="00E84957"/>
    <w:rsid w:val="00E84A55"/>
    <w:rsid w:val="00E85BFF"/>
    <w:rsid w:val="00E87D7A"/>
    <w:rsid w:val="00E90391"/>
    <w:rsid w:val="00E906C2"/>
    <w:rsid w:val="00E9311F"/>
    <w:rsid w:val="00E934D1"/>
    <w:rsid w:val="00E94AF0"/>
    <w:rsid w:val="00E95D13"/>
    <w:rsid w:val="00E95DD3"/>
    <w:rsid w:val="00E969D5"/>
    <w:rsid w:val="00EA58D1"/>
    <w:rsid w:val="00EA6078"/>
    <w:rsid w:val="00EA61BC"/>
    <w:rsid w:val="00EA6217"/>
    <w:rsid w:val="00EA681A"/>
    <w:rsid w:val="00EA735B"/>
    <w:rsid w:val="00EB17DE"/>
    <w:rsid w:val="00EB1E69"/>
    <w:rsid w:val="00EB2086"/>
    <w:rsid w:val="00EB5EDF"/>
    <w:rsid w:val="00EB60FE"/>
    <w:rsid w:val="00EB74DB"/>
    <w:rsid w:val="00EC5359"/>
    <w:rsid w:val="00EC562A"/>
    <w:rsid w:val="00EC7093"/>
    <w:rsid w:val="00ED067A"/>
    <w:rsid w:val="00ED2B50"/>
    <w:rsid w:val="00EE0350"/>
    <w:rsid w:val="00EE0719"/>
    <w:rsid w:val="00EE0E80"/>
    <w:rsid w:val="00EE5384"/>
    <w:rsid w:val="00EE54A6"/>
    <w:rsid w:val="00EE613F"/>
    <w:rsid w:val="00EE7295"/>
    <w:rsid w:val="00EE7869"/>
    <w:rsid w:val="00EF054A"/>
    <w:rsid w:val="00EF3235"/>
    <w:rsid w:val="00EF7E72"/>
    <w:rsid w:val="00F0480C"/>
    <w:rsid w:val="00F06D37"/>
    <w:rsid w:val="00F07B9D"/>
    <w:rsid w:val="00F11586"/>
    <w:rsid w:val="00F1183B"/>
    <w:rsid w:val="00F11C9F"/>
    <w:rsid w:val="00F12263"/>
    <w:rsid w:val="00F1325A"/>
    <w:rsid w:val="00F1409D"/>
    <w:rsid w:val="00F14214"/>
    <w:rsid w:val="00F157A9"/>
    <w:rsid w:val="00F236A5"/>
    <w:rsid w:val="00F25BB6"/>
    <w:rsid w:val="00F26B7E"/>
    <w:rsid w:val="00F27A3B"/>
    <w:rsid w:val="00F33817"/>
    <w:rsid w:val="00F3398E"/>
    <w:rsid w:val="00F35CC9"/>
    <w:rsid w:val="00F420D5"/>
    <w:rsid w:val="00F451EA"/>
    <w:rsid w:val="00F45447"/>
    <w:rsid w:val="00F456C6"/>
    <w:rsid w:val="00F4577B"/>
    <w:rsid w:val="00F46496"/>
    <w:rsid w:val="00F474D0"/>
    <w:rsid w:val="00F50179"/>
    <w:rsid w:val="00F515EE"/>
    <w:rsid w:val="00F56511"/>
    <w:rsid w:val="00F6194E"/>
    <w:rsid w:val="00F623AC"/>
    <w:rsid w:val="00F6412A"/>
    <w:rsid w:val="00F650EE"/>
    <w:rsid w:val="00F65893"/>
    <w:rsid w:val="00F66A4A"/>
    <w:rsid w:val="00F71E22"/>
    <w:rsid w:val="00F72142"/>
    <w:rsid w:val="00F72744"/>
    <w:rsid w:val="00F72AE7"/>
    <w:rsid w:val="00F76DBA"/>
    <w:rsid w:val="00F81141"/>
    <w:rsid w:val="00F833BA"/>
    <w:rsid w:val="00F84FD0"/>
    <w:rsid w:val="00F859A8"/>
    <w:rsid w:val="00F86D87"/>
    <w:rsid w:val="00F87B03"/>
    <w:rsid w:val="00F9108B"/>
    <w:rsid w:val="00F91349"/>
    <w:rsid w:val="00F93A8A"/>
    <w:rsid w:val="00F95248"/>
    <w:rsid w:val="00F956A9"/>
    <w:rsid w:val="00F963ED"/>
    <w:rsid w:val="00F966CF"/>
    <w:rsid w:val="00F96CAE"/>
    <w:rsid w:val="00F97C99"/>
    <w:rsid w:val="00FA2C0F"/>
    <w:rsid w:val="00FA4DAC"/>
    <w:rsid w:val="00FA662D"/>
    <w:rsid w:val="00FA73B1"/>
    <w:rsid w:val="00FB0CB9"/>
    <w:rsid w:val="00FB231D"/>
    <w:rsid w:val="00FB45F1"/>
    <w:rsid w:val="00FB4A72"/>
    <w:rsid w:val="00FB54E8"/>
    <w:rsid w:val="00FB7054"/>
    <w:rsid w:val="00FC17B7"/>
    <w:rsid w:val="00FC2CB7"/>
    <w:rsid w:val="00FC35EE"/>
    <w:rsid w:val="00FC4090"/>
    <w:rsid w:val="00FC55B4"/>
    <w:rsid w:val="00FC7410"/>
    <w:rsid w:val="00FC7715"/>
    <w:rsid w:val="00FD00E6"/>
    <w:rsid w:val="00FD09A1"/>
    <w:rsid w:val="00FD2A7C"/>
    <w:rsid w:val="00FD59EB"/>
    <w:rsid w:val="00FD7299"/>
    <w:rsid w:val="00FE1FBE"/>
    <w:rsid w:val="00FE3901"/>
    <w:rsid w:val="00FE39D3"/>
    <w:rsid w:val="00FE4BCE"/>
    <w:rsid w:val="00FE54AE"/>
    <w:rsid w:val="00FE576A"/>
    <w:rsid w:val="00FE69BE"/>
    <w:rsid w:val="00FE7E79"/>
    <w:rsid w:val="00FF3E7D"/>
    <w:rsid w:val="00FF595A"/>
    <w:rsid w:val="00FF5B99"/>
    <w:rsid w:val="00FF730C"/>
    <w:rsid w:val="00FF73F4"/>
    <w:rsid w:val="00FF744B"/>
    <w:rsid w:val="00FF7CE4"/>
    <w:rsid w:val="00FF7E39"/>
    <w:rsid w:val="5D1E644D"/>
    <w:rsid w:val="7DE91A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semiHidden="0" w:name="toc 5"/>
    <w:lsdException w:uiPriority="39" w:semiHidden="0" w:name="toc 6"/>
    <w:lsdException w:uiPriority="39" w:semiHidden="0" w:name="toc 7"/>
    <w:lsdException w:uiPriority="0" w:name="toc 8"/>
    <w:lsdException w:uiPriority="0" w:name="toc 9"/>
    <w:lsdException w:unhideWhenUsed="0" w:uiPriority="0" w:semiHidden="0" w:name="Normal Indent"/>
    <w:lsdException w:unhideWhenUsed="0" w:uiPriority="0" w:name="footnote text"/>
    <w:lsdException w:uiPriority="99" w:semiHidden="0" w:name="annotation text"/>
    <w:lsdException w:unhideWhenUsed="0" w:uiPriority="99" w:semiHidden="0" w:name="header"/>
    <w:lsdException w:qFormat="1" w:unhideWhenUsed="0" w:uiPriority="99" w:semiHidden="0" w:name="footer"/>
    <w:lsdException w:uiPriority="99" w:name="index heading"/>
    <w:lsdException w:qFormat="1" w:uiPriority="35" w:semiHidden="0" w:name="caption"/>
    <w:lsdException w:unhideWhenUsed="0" w:uiPriority="0" w:name="table of figures"/>
    <w:lsdException w:uiPriority="99" w:name="envelope address"/>
    <w:lsdException w:uiPriority="99" w:name="envelope return"/>
    <w:lsdException w:unhideWhenUsed="0" w:uiPriority="0" w:name="footnote reference"/>
    <w:lsdException w:uiPriority="99" w:semiHidden="0"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4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1"/>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2"/>
    <w:qFormat/>
    <w:uiPriority w:val="0"/>
    <w:pPr>
      <w:keepNext/>
      <w:keepLines/>
      <w:spacing w:before="260" w:after="260" w:line="416" w:lineRule="auto"/>
      <w:outlineLvl w:val="2"/>
    </w:pPr>
    <w:rPr>
      <w:b/>
      <w:bCs/>
      <w:sz w:val="32"/>
      <w:szCs w:val="32"/>
    </w:rPr>
  </w:style>
  <w:style w:type="paragraph" w:styleId="5">
    <w:name w:val="heading 4"/>
    <w:basedOn w:val="1"/>
    <w:next w:val="1"/>
    <w:link w:val="43"/>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4"/>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5"/>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6"/>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7"/>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8"/>
    <w:qFormat/>
    <w:uiPriority w:val="0"/>
    <w:pPr>
      <w:keepNext/>
      <w:keepLines/>
      <w:adjustRightInd/>
      <w:spacing w:before="240" w:after="64" w:line="320" w:lineRule="auto"/>
      <w:outlineLvl w:val="8"/>
    </w:pPr>
    <w:rPr>
      <w:rFonts w:ascii="Arial" w:hAnsi="Arial" w:eastAsia="黑体"/>
    </w:rPr>
  </w:style>
  <w:style w:type="character" w:default="1" w:styleId="33">
    <w:name w:val="Default Paragraph Font"/>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uiPriority w:val="39"/>
    <w:pPr>
      <w:tabs>
        <w:tab w:val="right" w:leader="dot" w:pos="9344"/>
      </w:tabs>
      <w:spacing w:line="300" w:lineRule="exact"/>
      <w:ind w:left="1259"/>
    </w:pPr>
    <w:rPr>
      <w:rFonts w:ascii="宋体"/>
    </w:rPr>
  </w:style>
  <w:style w:type="paragraph" w:styleId="12">
    <w:name w:val="Normal Indent"/>
    <w:basedOn w:val="1"/>
    <w:uiPriority w:val="0"/>
    <w:pPr>
      <w:ind w:firstLine="420"/>
    </w:pPr>
  </w:style>
  <w:style w:type="paragraph" w:styleId="13">
    <w:name w:val="caption"/>
    <w:basedOn w:val="1"/>
    <w:next w:val="1"/>
    <w:unhideWhenUsed/>
    <w:qFormat/>
    <w:uiPriority w:val="35"/>
    <w:rPr>
      <w:rFonts w:eastAsia="黑体" w:asciiTheme="majorHAnsi" w:hAnsiTheme="majorHAnsi" w:cstheme="majorBidi"/>
      <w:sz w:val="20"/>
      <w:szCs w:val="20"/>
    </w:rPr>
  </w:style>
  <w:style w:type="paragraph" w:styleId="14">
    <w:name w:val="Document Map"/>
    <w:basedOn w:val="1"/>
    <w:link w:val="236"/>
    <w:semiHidden/>
    <w:unhideWhenUsed/>
    <w:uiPriority w:val="99"/>
    <w:rPr>
      <w:rFonts w:ascii="宋体"/>
      <w:sz w:val="18"/>
      <w:szCs w:val="18"/>
    </w:rPr>
  </w:style>
  <w:style w:type="paragraph" w:styleId="15">
    <w:name w:val="annotation text"/>
    <w:basedOn w:val="1"/>
    <w:link w:val="239"/>
    <w:unhideWhenUsed/>
    <w:uiPriority w:val="99"/>
    <w:pPr>
      <w:adjustRightInd/>
      <w:spacing w:line="240" w:lineRule="auto"/>
      <w:jc w:val="left"/>
    </w:pPr>
    <w:rPr>
      <w:szCs w:val="22"/>
    </w:rPr>
  </w:style>
  <w:style w:type="paragraph" w:styleId="16">
    <w:name w:val="Body Text"/>
    <w:basedOn w:val="1"/>
    <w:link w:val="92"/>
    <w:uiPriority w:val="0"/>
    <w:pPr>
      <w:spacing w:after="120"/>
    </w:pPr>
  </w:style>
  <w:style w:type="paragraph" w:styleId="17">
    <w:name w:val="toc 5"/>
    <w:basedOn w:val="1"/>
    <w:next w:val="1"/>
    <w:unhideWhenUsed/>
    <w:uiPriority w:val="39"/>
    <w:pPr>
      <w:ind w:left="839"/>
    </w:pPr>
    <w:rPr>
      <w:rFonts w:ascii="宋体"/>
    </w:rPr>
  </w:style>
  <w:style w:type="paragraph" w:styleId="18">
    <w:name w:val="toc 3"/>
    <w:basedOn w:val="1"/>
    <w:next w:val="1"/>
    <w:unhideWhenUsed/>
    <w:uiPriority w:val="39"/>
    <w:pPr>
      <w:spacing w:line="300" w:lineRule="exact"/>
      <w:ind w:left="420"/>
    </w:pPr>
    <w:rPr>
      <w:rFonts w:ascii="宋体"/>
    </w:rPr>
  </w:style>
  <w:style w:type="paragraph" w:styleId="19">
    <w:name w:val="Date"/>
    <w:basedOn w:val="1"/>
    <w:next w:val="1"/>
    <w:link w:val="240"/>
    <w:unhideWhenUsed/>
    <w:uiPriority w:val="99"/>
    <w:pPr>
      <w:adjustRightInd/>
      <w:spacing w:line="240" w:lineRule="auto"/>
      <w:ind w:left="100" w:leftChars="2500"/>
    </w:pPr>
    <w:rPr>
      <w:szCs w:val="22"/>
    </w:rPr>
  </w:style>
  <w:style w:type="paragraph" w:styleId="20">
    <w:name w:val="Balloon Text"/>
    <w:basedOn w:val="1"/>
    <w:link w:val="51"/>
    <w:semiHidden/>
    <w:unhideWhenUsed/>
    <w:qFormat/>
    <w:uiPriority w:val="99"/>
    <w:rPr>
      <w:sz w:val="18"/>
      <w:szCs w:val="18"/>
    </w:rPr>
  </w:style>
  <w:style w:type="paragraph" w:styleId="21">
    <w:name w:val="footer"/>
    <w:basedOn w:val="1"/>
    <w:link w:val="50"/>
    <w:qFormat/>
    <w:uiPriority w:val="99"/>
    <w:pPr>
      <w:tabs>
        <w:tab w:val="center" w:pos="4153"/>
        <w:tab w:val="right" w:pos="8306"/>
      </w:tabs>
      <w:adjustRightInd/>
      <w:snapToGrid w:val="0"/>
      <w:spacing w:line="240" w:lineRule="auto"/>
      <w:jc w:val="right"/>
    </w:pPr>
    <w:rPr>
      <w:rFonts w:ascii="宋体"/>
      <w:sz w:val="18"/>
      <w:szCs w:val="18"/>
    </w:rPr>
  </w:style>
  <w:style w:type="paragraph" w:styleId="22">
    <w:name w:val="header"/>
    <w:basedOn w:val="1"/>
    <w:link w:val="49"/>
    <w:uiPriority w:val="99"/>
    <w:pPr>
      <w:tabs>
        <w:tab w:val="center" w:pos="4153"/>
        <w:tab w:val="right" w:pos="8306"/>
      </w:tabs>
      <w:adjustRightInd/>
      <w:snapToGrid w:val="0"/>
      <w:jc w:val="center"/>
    </w:pPr>
    <w:rPr>
      <w:sz w:val="18"/>
      <w:szCs w:val="18"/>
    </w:rPr>
  </w:style>
  <w:style w:type="paragraph" w:styleId="23">
    <w:name w:val="toc 1"/>
    <w:basedOn w:val="1"/>
    <w:next w:val="1"/>
    <w:unhideWhenUsed/>
    <w:uiPriority w:val="39"/>
    <w:rPr>
      <w:rFonts w:ascii="宋体"/>
    </w:rPr>
  </w:style>
  <w:style w:type="paragraph" w:styleId="24">
    <w:name w:val="toc 4"/>
    <w:basedOn w:val="1"/>
    <w:next w:val="1"/>
    <w:unhideWhenUsed/>
    <w:uiPriority w:val="39"/>
    <w:pPr>
      <w:tabs>
        <w:tab w:val="right" w:leader="dot" w:pos="9344"/>
      </w:tabs>
      <w:spacing w:line="300" w:lineRule="exact"/>
      <w:ind w:left="629"/>
    </w:pPr>
    <w:rPr>
      <w:rFonts w:ascii="宋体"/>
    </w:rPr>
  </w:style>
  <w:style w:type="paragraph" w:styleId="25">
    <w:name w:val="footnote text"/>
    <w:basedOn w:val="1"/>
    <w:next w:val="1"/>
    <w:link w:val="105"/>
    <w:semiHidden/>
    <w:uiPriority w:val="0"/>
    <w:pPr>
      <w:adjustRightInd/>
      <w:snapToGrid w:val="0"/>
      <w:spacing w:line="300" w:lineRule="exact"/>
      <w:ind w:left="400" w:leftChars="200" w:hanging="200" w:hangingChars="200"/>
      <w:jc w:val="left"/>
    </w:pPr>
    <w:rPr>
      <w:rFonts w:ascii="宋体"/>
      <w:sz w:val="18"/>
      <w:szCs w:val="18"/>
    </w:rPr>
  </w:style>
  <w:style w:type="paragraph" w:styleId="26">
    <w:name w:val="toc 6"/>
    <w:basedOn w:val="1"/>
    <w:next w:val="1"/>
    <w:unhideWhenUsed/>
    <w:uiPriority w:val="39"/>
    <w:pPr>
      <w:spacing w:line="300" w:lineRule="exact"/>
      <w:ind w:left="1049"/>
    </w:pPr>
    <w:rPr>
      <w:rFonts w:ascii="宋体"/>
    </w:rPr>
  </w:style>
  <w:style w:type="paragraph" w:styleId="27">
    <w:name w:val="table of figures"/>
    <w:basedOn w:val="1"/>
    <w:next w:val="1"/>
    <w:semiHidden/>
    <w:uiPriority w:val="0"/>
    <w:pPr>
      <w:adjustRightInd/>
      <w:spacing w:line="240" w:lineRule="auto"/>
      <w:jc w:val="left"/>
    </w:pPr>
    <w:rPr>
      <w:szCs w:val="24"/>
    </w:rPr>
  </w:style>
  <w:style w:type="paragraph" w:styleId="28">
    <w:name w:val="toc 2"/>
    <w:basedOn w:val="1"/>
    <w:next w:val="1"/>
    <w:unhideWhenUsed/>
    <w:uiPriority w:val="39"/>
    <w:pPr>
      <w:tabs>
        <w:tab w:val="right" w:leader="dot" w:pos="9344"/>
      </w:tabs>
      <w:spacing w:line="300" w:lineRule="exact"/>
      <w:ind w:left="210"/>
    </w:pPr>
    <w:rPr>
      <w:rFonts w:ascii="宋体"/>
    </w:rPr>
  </w:style>
  <w:style w:type="paragraph" w:styleId="29">
    <w:name w:val="Title"/>
    <w:basedOn w:val="1"/>
    <w:link w:val="54"/>
    <w:qFormat/>
    <w:uiPriority w:val="0"/>
    <w:pPr>
      <w:spacing w:before="240" w:after="60"/>
      <w:jc w:val="center"/>
      <w:outlineLvl w:val="0"/>
    </w:pPr>
    <w:rPr>
      <w:rFonts w:ascii="Arial" w:hAnsi="Arial" w:cs="Arial"/>
      <w:b/>
      <w:bCs/>
      <w:sz w:val="32"/>
      <w:szCs w:val="32"/>
    </w:rPr>
  </w:style>
  <w:style w:type="paragraph" w:styleId="30">
    <w:name w:val="annotation subject"/>
    <w:basedOn w:val="15"/>
    <w:next w:val="15"/>
    <w:link w:val="241"/>
    <w:unhideWhenUsed/>
    <w:uiPriority w:val="99"/>
    <w:rPr>
      <w:b/>
      <w:bCs/>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qFormat/>
    <w:uiPriority w:val="22"/>
    <w:rPr>
      <w:b/>
      <w:bCs/>
    </w:rPr>
  </w:style>
  <w:style w:type="character" w:styleId="35">
    <w:name w:val="page number"/>
    <w:uiPriority w:val="0"/>
    <w:rPr>
      <w:rFonts w:ascii="宋体" w:hAnsi="Times New Roman" w:eastAsia="宋体"/>
      <w:sz w:val="18"/>
    </w:rPr>
  </w:style>
  <w:style w:type="character" w:styleId="36">
    <w:name w:val="Emphasis"/>
    <w:qFormat/>
    <w:uiPriority w:val="20"/>
    <w:rPr>
      <w:i/>
      <w:iCs/>
    </w:rPr>
  </w:style>
  <w:style w:type="character" w:styleId="37">
    <w:name w:val="Hyperlink"/>
    <w:uiPriority w:val="99"/>
    <w:rPr>
      <w:rFonts w:ascii="宋体" w:hAnsi="Times New Roman" w:eastAsia="宋体"/>
      <w:color w:val="auto"/>
      <w:spacing w:val="0"/>
      <w:w w:val="100"/>
      <w:position w:val="0"/>
      <w:sz w:val="21"/>
      <w:u w:val="none"/>
      <w:vertAlign w:val="baseline"/>
    </w:rPr>
  </w:style>
  <w:style w:type="character" w:styleId="38">
    <w:name w:val="annotation reference"/>
    <w:unhideWhenUsed/>
    <w:uiPriority w:val="99"/>
    <w:rPr>
      <w:sz w:val="21"/>
      <w:szCs w:val="21"/>
    </w:rPr>
  </w:style>
  <w:style w:type="character" w:styleId="39">
    <w:name w:val="footnote reference"/>
    <w:semiHidden/>
    <w:uiPriority w:val="0"/>
    <w:rPr>
      <w:rFonts w:ascii="宋体" w:hAnsi="宋体" w:eastAsia="宋体" w:cs="Times New Roman"/>
      <w:spacing w:val="0"/>
      <w:sz w:val="18"/>
      <w:vertAlign w:val="superscript"/>
    </w:rPr>
  </w:style>
  <w:style w:type="character" w:customStyle="1" w:styleId="40">
    <w:name w:val="标题 1 字符"/>
    <w:link w:val="2"/>
    <w:qFormat/>
    <w:uiPriority w:val="9"/>
    <w:rPr>
      <w:rFonts w:ascii="Times New Roman" w:hAnsi="Times New Roman" w:eastAsia="宋体" w:cs="Times New Roman"/>
      <w:b/>
      <w:bCs/>
      <w:kern w:val="44"/>
      <w:sz w:val="44"/>
      <w:szCs w:val="44"/>
    </w:rPr>
  </w:style>
  <w:style w:type="character" w:customStyle="1" w:styleId="41">
    <w:name w:val="标题 2 字符"/>
    <w:link w:val="3"/>
    <w:qFormat/>
    <w:uiPriority w:val="0"/>
    <w:rPr>
      <w:rFonts w:ascii="Arial" w:hAnsi="Arial" w:eastAsia="黑体" w:cs="Times New Roman"/>
      <w:b/>
      <w:bCs/>
      <w:sz w:val="32"/>
      <w:szCs w:val="32"/>
    </w:rPr>
  </w:style>
  <w:style w:type="character" w:customStyle="1" w:styleId="42">
    <w:name w:val="标题 3 字符"/>
    <w:link w:val="4"/>
    <w:qFormat/>
    <w:uiPriority w:val="0"/>
    <w:rPr>
      <w:rFonts w:ascii="Times New Roman" w:hAnsi="Times New Roman" w:eastAsia="宋体" w:cs="Times New Roman"/>
      <w:b/>
      <w:bCs/>
      <w:sz w:val="32"/>
      <w:szCs w:val="32"/>
    </w:rPr>
  </w:style>
  <w:style w:type="character" w:customStyle="1" w:styleId="43">
    <w:name w:val="标题 4 字符"/>
    <w:link w:val="5"/>
    <w:qFormat/>
    <w:uiPriority w:val="0"/>
    <w:rPr>
      <w:rFonts w:ascii="Arial" w:hAnsi="Arial" w:eastAsia="黑体" w:cs="Times New Roman"/>
      <w:b/>
      <w:bCs/>
      <w:sz w:val="28"/>
      <w:szCs w:val="28"/>
    </w:rPr>
  </w:style>
  <w:style w:type="character" w:customStyle="1" w:styleId="44">
    <w:name w:val="标题 5 字符"/>
    <w:link w:val="6"/>
    <w:qFormat/>
    <w:uiPriority w:val="0"/>
    <w:rPr>
      <w:rFonts w:ascii="Times New Roman" w:hAnsi="Times New Roman" w:eastAsia="宋体" w:cs="Times New Roman"/>
      <w:b/>
      <w:bCs/>
      <w:sz w:val="28"/>
      <w:szCs w:val="28"/>
    </w:rPr>
  </w:style>
  <w:style w:type="character" w:customStyle="1" w:styleId="45">
    <w:name w:val="标题 6 字符"/>
    <w:link w:val="7"/>
    <w:qFormat/>
    <w:uiPriority w:val="0"/>
    <w:rPr>
      <w:rFonts w:ascii="Arial" w:hAnsi="Arial" w:eastAsia="黑体" w:cs="Times New Roman"/>
      <w:b/>
      <w:bCs/>
      <w:sz w:val="24"/>
      <w:szCs w:val="24"/>
    </w:rPr>
  </w:style>
  <w:style w:type="character" w:customStyle="1" w:styleId="46">
    <w:name w:val="标题 7 字符"/>
    <w:link w:val="8"/>
    <w:qFormat/>
    <w:uiPriority w:val="0"/>
    <w:rPr>
      <w:rFonts w:ascii="Times New Roman" w:hAnsi="Times New Roman" w:eastAsia="宋体" w:cs="Times New Roman"/>
      <w:b/>
      <w:bCs/>
      <w:sz w:val="24"/>
      <w:szCs w:val="24"/>
    </w:rPr>
  </w:style>
  <w:style w:type="character" w:customStyle="1" w:styleId="47">
    <w:name w:val="标题 8 字符"/>
    <w:link w:val="9"/>
    <w:qFormat/>
    <w:uiPriority w:val="0"/>
    <w:rPr>
      <w:rFonts w:ascii="Arial" w:hAnsi="Arial" w:eastAsia="黑体" w:cs="Times New Roman"/>
      <w:sz w:val="24"/>
      <w:szCs w:val="24"/>
    </w:rPr>
  </w:style>
  <w:style w:type="character" w:customStyle="1" w:styleId="48">
    <w:name w:val="标题 9 字符"/>
    <w:link w:val="10"/>
    <w:uiPriority w:val="0"/>
    <w:rPr>
      <w:rFonts w:ascii="Arial" w:hAnsi="Arial" w:eastAsia="黑体" w:cs="Times New Roman"/>
      <w:szCs w:val="21"/>
    </w:rPr>
  </w:style>
  <w:style w:type="character" w:customStyle="1" w:styleId="49">
    <w:name w:val="页眉 字符"/>
    <w:link w:val="22"/>
    <w:qFormat/>
    <w:uiPriority w:val="99"/>
    <w:rPr>
      <w:rFonts w:ascii="Times New Roman" w:hAnsi="Times New Roman" w:eastAsia="宋体" w:cs="Times New Roman"/>
      <w:sz w:val="18"/>
      <w:szCs w:val="18"/>
    </w:rPr>
  </w:style>
  <w:style w:type="character" w:customStyle="1" w:styleId="50">
    <w:name w:val="页脚 字符"/>
    <w:link w:val="21"/>
    <w:uiPriority w:val="99"/>
    <w:rPr>
      <w:rFonts w:ascii="宋体" w:hAnsi="Times New Roman" w:eastAsia="宋体" w:cs="Times New Roman"/>
      <w:sz w:val="18"/>
      <w:szCs w:val="18"/>
    </w:rPr>
  </w:style>
  <w:style w:type="character" w:customStyle="1" w:styleId="51">
    <w:name w:val="批注框文本 字符"/>
    <w:link w:val="20"/>
    <w:semiHidden/>
    <w:qFormat/>
    <w:uiPriority w:val="99"/>
    <w:rPr>
      <w:sz w:val="18"/>
      <w:szCs w:val="18"/>
    </w:rPr>
  </w:style>
  <w:style w:type="paragraph" w:styleId="52">
    <w:name w:val="Quote"/>
    <w:basedOn w:val="1"/>
    <w:next w:val="1"/>
    <w:link w:val="53"/>
    <w:qFormat/>
    <w:uiPriority w:val="29"/>
    <w:rPr>
      <w:i/>
      <w:iCs/>
      <w:color w:val="000000"/>
    </w:rPr>
  </w:style>
  <w:style w:type="character" w:customStyle="1" w:styleId="53">
    <w:name w:val="引用 字符"/>
    <w:link w:val="52"/>
    <w:qFormat/>
    <w:uiPriority w:val="29"/>
    <w:rPr>
      <w:i/>
      <w:iCs/>
      <w:color w:val="000000"/>
    </w:rPr>
  </w:style>
  <w:style w:type="character" w:customStyle="1" w:styleId="54">
    <w:name w:val="标题 字符"/>
    <w:link w:val="29"/>
    <w:uiPriority w:val="0"/>
    <w:rPr>
      <w:rFonts w:ascii="Arial" w:hAnsi="Arial" w:eastAsia="宋体" w:cs="Arial"/>
      <w:b/>
      <w:bCs/>
      <w:sz w:val="32"/>
      <w:szCs w:val="32"/>
    </w:rPr>
  </w:style>
  <w:style w:type="paragraph" w:customStyle="1" w:styleId="55">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6">
    <w:name w:val="标准称谓"/>
    <w:next w:val="1"/>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7">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8">
    <w:name w:val="标准文件_页脚奇数页"/>
    <w:uiPriority w:val="0"/>
    <w:pPr>
      <w:ind w:right="227"/>
      <w:jc w:val="right"/>
    </w:pPr>
    <w:rPr>
      <w:rFonts w:ascii="宋体" w:hAnsi="Times New Roman" w:eastAsia="宋体" w:cs="Times New Roman"/>
      <w:sz w:val="18"/>
      <w:lang w:val="en-US" w:eastAsia="zh-CN" w:bidi="ar-SA"/>
    </w:rPr>
  </w:style>
  <w:style w:type="paragraph" w:customStyle="1" w:styleId="59">
    <w:name w:val="标准书眉一"/>
    <w:qFormat/>
    <w:uiPriority w:val="0"/>
    <w:pPr>
      <w:jc w:val="both"/>
    </w:pPr>
    <w:rPr>
      <w:rFonts w:ascii="Times New Roman" w:hAnsi="Times New Roman" w:eastAsia="宋体" w:cs="Times New Roman"/>
      <w:lang w:val="en-US" w:eastAsia="zh-CN" w:bidi="ar-SA"/>
    </w:rPr>
  </w:style>
  <w:style w:type="paragraph" w:customStyle="1" w:styleId="60">
    <w:name w:val="标准文件_ICS"/>
    <w:basedOn w:val="1"/>
    <w:qFormat/>
    <w:uiPriority w:val="0"/>
    <w:pPr>
      <w:spacing w:line="0" w:lineRule="atLeast"/>
    </w:pPr>
    <w:rPr>
      <w:rFonts w:ascii="黑体" w:hAnsi="宋体" w:eastAsia="黑体"/>
    </w:rPr>
  </w:style>
  <w:style w:type="paragraph" w:customStyle="1" w:styleId="61">
    <w:name w:val="标准文件_标准正文"/>
    <w:basedOn w:val="1"/>
    <w:next w:val="62"/>
    <w:uiPriority w:val="0"/>
    <w:pPr>
      <w:snapToGrid w:val="0"/>
      <w:ind w:firstLine="200" w:firstLineChars="200"/>
    </w:pPr>
    <w:rPr>
      <w:kern w:val="0"/>
    </w:rPr>
  </w:style>
  <w:style w:type="paragraph" w:customStyle="1" w:styleId="62">
    <w:name w:val="标准文件_段"/>
    <w:link w:val="190"/>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3">
    <w:name w:val="标准文件_版本"/>
    <w:basedOn w:val="61"/>
    <w:qFormat/>
    <w:uiPriority w:val="0"/>
    <w:pPr>
      <w:adjustRightInd/>
      <w:snapToGrid/>
      <w:ind w:firstLine="0" w:firstLineChars="0"/>
    </w:pPr>
    <w:rPr>
      <w:rFonts w:ascii="宋体" w:hAnsi="宋体"/>
      <w:kern w:val="2"/>
    </w:rPr>
  </w:style>
  <w:style w:type="paragraph" w:customStyle="1" w:styleId="64">
    <w:name w:val="标准文件_标准部门"/>
    <w:basedOn w:val="1"/>
    <w:qFormat/>
    <w:uiPriority w:val="0"/>
    <w:pPr>
      <w:jc w:val="center"/>
    </w:pPr>
    <w:rPr>
      <w:rFonts w:ascii="黑体" w:eastAsia="黑体"/>
      <w:kern w:val="0"/>
      <w:sz w:val="44"/>
    </w:rPr>
  </w:style>
  <w:style w:type="paragraph" w:customStyle="1" w:styleId="65">
    <w:name w:val="标准文件_标准代替"/>
    <w:basedOn w:val="1"/>
    <w:next w:val="1"/>
    <w:uiPriority w:val="0"/>
    <w:pPr>
      <w:spacing w:line="310" w:lineRule="exact"/>
      <w:jc w:val="right"/>
    </w:pPr>
    <w:rPr>
      <w:rFonts w:ascii="宋体" w:hAnsi="宋体"/>
      <w:kern w:val="0"/>
    </w:rPr>
  </w:style>
  <w:style w:type="paragraph" w:customStyle="1" w:styleId="66">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7">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8">
    <w:name w:val="标准文件_页眉偶数页"/>
    <w:basedOn w:val="67"/>
    <w:next w:val="1"/>
    <w:uiPriority w:val="0"/>
    <w:pPr>
      <w:jc w:val="left"/>
    </w:pPr>
  </w:style>
  <w:style w:type="paragraph" w:customStyle="1" w:styleId="69">
    <w:name w:val="标准文件_参考文献标题"/>
    <w:basedOn w:val="1"/>
    <w:next w:val="1"/>
    <w:qFormat/>
    <w:uiPriority w:val="0"/>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70">
    <w:name w:val="标准文件_参考文献条目"/>
    <w:uiPriority w:val="0"/>
    <w:pPr>
      <w:numPr>
        <w:ilvl w:val="0"/>
        <w:numId w:val="1"/>
      </w:numPr>
    </w:pPr>
    <w:rPr>
      <w:rFonts w:ascii="宋体" w:hAnsi="Times New Roman" w:eastAsia="宋体" w:cs="Times New Roman"/>
      <w:lang w:val="en-US" w:eastAsia="zh-CN" w:bidi="ar-SA"/>
    </w:rPr>
  </w:style>
  <w:style w:type="paragraph" w:customStyle="1" w:styleId="71">
    <w:name w:val="标准文件_二级条标题"/>
    <w:next w:val="62"/>
    <w:uiPriority w:val="0"/>
    <w:pPr>
      <w:widowControl w:val="0"/>
      <w:numPr>
        <w:ilvl w:val="3"/>
        <w:numId w:val="2"/>
      </w:numPr>
      <w:spacing w:beforeLines="50" w:afterLines="50"/>
      <w:jc w:val="both"/>
      <w:outlineLvl w:val="2"/>
    </w:pPr>
    <w:rPr>
      <w:rFonts w:ascii="黑体" w:hAnsi="Times New Roman" w:eastAsia="黑体" w:cs="Times New Roman"/>
      <w:sz w:val="21"/>
      <w:lang w:val="en-US" w:eastAsia="zh-CN" w:bidi="ar-SA"/>
    </w:rPr>
  </w:style>
  <w:style w:type="character" w:customStyle="1" w:styleId="72">
    <w:name w:val="标准文件_发布"/>
    <w:qFormat/>
    <w:uiPriority w:val="0"/>
    <w:rPr>
      <w:rFonts w:ascii="黑体" w:eastAsia="黑体"/>
      <w:spacing w:val="0"/>
      <w:w w:val="100"/>
      <w:position w:val="3"/>
      <w:sz w:val="28"/>
    </w:rPr>
  </w:style>
  <w:style w:type="paragraph" w:customStyle="1" w:styleId="73">
    <w:name w:val="标准文件_方框数字列项"/>
    <w:basedOn w:val="62"/>
    <w:uiPriority w:val="0"/>
    <w:pPr>
      <w:numPr>
        <w:ilvl w:val="0"/>
        <w:numId w:val="3"/>
      </w:numPr>
      <w:ind w:firstLine="0" w:firstLineChars="0"/>
    </w:pPr>
  </w:style>
  <w:style w:type="paragraph" w:customStyle="1" w:styleId="74">
    <w:name w:val="标准文件_封面标准编号"/>
    <w:basedOn w:val="1"/>
    <w:next w:val="65"/>
    <w:qFormat/>
    <w:uiPriority w:val="0"/>
    <w:pPr>
      <w:spacing w:line="310" w:lineRule="exact"/>
      <w:jc w:val="right"/>
    </w:pPr>
    <w:rPr>
      <w:rFonts w:ascii="黑体" w:eastAsia="黑体"/>
      <w:kern w:val="0"/>
      <w:sz w:val="28"/>
    </w:rPr>
  </w:style>
  <w:style w:type="paragraph" w:customStyle="1" w:styleId="75">
    <w:name w:val="标准文件_封面标准分类号"/>
    <w:basedOn w:val="1"/>
    <w:qFormat/>
    <w:uiPriority w:val="0"/>
    <w:rPr>
      <w:rFonts w:ascii="黑体" w:eastAsia="黑体"/>
      <w:b/>
      <w:kern w:val="0"/>
      <w:sz w:val="28"/>
    </w:rPr>
  </w:style>
  <w:style w:type="paragraph" w:customStyle="1" w:styleId="76">
    <w:name w:val="标准文件_封面标准名称"/>
    <w:basedOn w:val="1"/>
    <w:uiPriority w:val="0"/>
    <w:pPr>
      <w:spacing w:line="240" w:lineRule="auto"/>
      <w:jc w:val="center"/>
    </w:pPr>
    <w:rPr>
      <w:rFonts w:ascii="黑体" w:eastAsia="黑体"/>
      <w:kern w:val="0"/>
      <w:sz w:val="52"/>
    </w:rPr>
  </w:style>
  <w:style w:type="paragraph" w:customStyle="1" w:styleId="77">
    <w:name w:val="标准文件_封面标准英文名称"/>
    <w:basedOn w:val="1"/>
    <w:qFormat/>
    <w:uiPriority w:val="0"/>
    <w:pPr>
      <w:spacing w:line="240" w:lineRule="auto"/>
      <w:jc w:val="center"/>
    </w:pPr>
    <w:rPr>
      <w:rFonts w:ascii="黑体" w:eastAsia="黑体"/>
      <w:b/>
      <w:sz w:val="28"/>
    </w:rPr>
  </w:style>
  <w:style w:type="paragraph" w:customStyle="1" w:styleId="78">
    <w:name w:val="标准文件_封面发布日期"/>
    <w:basedOn w:val="1"/>
    <w:qFormat/>
    <w:uiPriority w:val="0"/>
    <w:pPr>
      <w:spacing w:line="310" w:lineRule="exact"/>
    </w:pPr>
    <w:rPr>
      <w:rFonts w:ascii="黑体" w:eastAsia="黑体"/>
      <w:kern w:val="0"/>
      <w:sz w:val="28"/>
    </w:rPr>
  </w:style>
  <w:style w:type="paragraph" w:customStyle="1" w:styleId="79">
    <w:name w:val="标准文件_封面密级"/>
    <w:basedOn w:val="1"/>
    <w:uiPriority w:val="0"/>
    <w:rPr>
      <w:rFonts w:eastAsia="黑体"/>
      <w:sz w:val="32"/>
    </w:rPr>
  </w:style>
  <w:style w:type="paragraph" w:customStyle="1" w:styleId="80">
    <w:name w:val="标准文件_封面实施日期"/>
    <w:basedOn w:val="1"/>
    <w:qFormat/>
    <w:uiPriority w:val="0"/>
    <w:pPr>
      <w:spacing w:line="310" w:lineRule="exact"/>
      <w:jc w:val="right"/>
    </w:pPr>
    <w:rPr>
      <w:rFonts w:ascii="黑体" w:eastAsia="黑体"/>
      <w:sz w:val="28"/>
    </w:rPr>
  </w:style>
  <w:style w:type="paragraph" w:customStyle="1" w:styleId="81">
    <w:name w:val="标准文件_封面抬头"/>
    <w:basedOn w:val="62"/>
    <w:qFormat/>
    <w:uiPriority w:val="0"/>
    <w:pPr>
      <w:adjustRightInd w:val="0"/>
      <w:spacing w:line="800" w:lineRule="exact"/>
      <w:ind w:firstLine="0" w:firstLineChars="0"/>
      <w:jc w:val="distribute"/>
    </w:pPr>
    <w:rPr>
      <w:rFonts w:ascii="黑体" w:eastAsia="黑体"/>
      <w:b/>
      <w:sz w:val="64"/>
    </w:rPr>
  </w:style>
  <w:style w:type="paragraph" w:customStyle="1" w:styleId="82">
    <w:name w:val="标准文件_附录标识"/>
    <w:next w:val="62"/>
    <w:uiPriority w:val="0"/>
    <w:pPr>
      <w:numPr>
        <w:ilvl w:val="0"/>
        <w:numId w:val="4"/>
      </w:numPr>
      <w:shd w:val="clear" w:color="FFFFFF" w:fill="FFFFFF"/>
      <w:tabs>
        <w:tab w:val="left" w:pos="6406"/>
      </w:tabs>
      <w:spacing w:beforeLines="25" w:afterLines="50"/>
      <w:jc w:val="center"/>
      <w:outlineLvl w:val="0"/>
    </w:pPr>
    <w:rPr>
      <w:rFonts w:ascii="黑体" w:hAnsi="Times New Roman" w:eastAsia="黑体" w:cs="Times New Roman"/>
      <w:sz w:val="21"/>
      <w:lang w:val="en-US" w:eastAsia="zh-CN" w:bidi="ar-SA"/>
    </w:rPr>
  </w:style>
  <w:style w:type="paragraph" w:customStyle="1" w:styleId="83">
    <w:name w:val="标准文件_附录表标题"/>
    <w:next w:val="62"/>
    <w:qFormat/>
    <w:uiPriority w:val="0"/>
    <w:pPr>
      <w:numPr>
        <w:ilvl w:val="1"/>
        <w:numId w:val="5"/>
      </w:numPr>
      <w:adjustRightInd w:val="0"/>
      <w:snapToGrid w:val="0"/>
      <w:spacing w:beforeLines="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84">
    <w:name w:val="标准文件_附录一级条标题"/>
    <w:next w:val="62"/>
    <w:uiPriority w:val="0"/>
    <w:pPr>
      <w:widowControl w:val="0"/>
      <w:numPr>
        <w:ilvl w:val="1"/>
        <w:numId w:val="4"/>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85">
    <w:name w:val="标准文件_附录二级条标题"/>
    <w:basedOn w:val="84"/>
    <w:next w:val="62"/>
    <w:qFormat/>
    <w:uiPriority w:val="0"/>
    <w:pPr>
      <w:widowControl/>
      <w:numPr>
        <w:ilvl w:val="2"/>
      </w:numPr>
      <w:wordWrap w:val="0"/>
      <w:overflowPunct w:val="0"/>
      <w:autoSpaceDE w:val="0"/>
      <w:autoSpaceDN w:val="0"/>
      <w:textAlignment w:val="baseline"/>
      <w:outlineLvl w:val="3"/>
    </w:pPr>
  </w:style>
  <w:style w:type="paragraph" w:customStyle="1" w:styleId="86">
    <w:name w:val="标准文件_附录公式"/>
    <w:basedOn w:val="61"/>
    <w:next w:val="61"/>
    <w:uiPriority w:val="0"/>
    <w:pPr>
      <w:tabs>
        <w:tab w:val="center" w:pos="4678"/>
        <w:tab w:val="right" w:leader="middleDot" w:pos="9356"/>
      </w:tabs>
      <w:spacing w:line="240" w:lineRule="auto"/>
      <w:ind w:right="-51" w:firstLine="0" w:firstLineChars="0"/>
    </w:pPr>
    <w:rPr>
      <w:rFonts w:ascii="宋体" w:hAnsi="宋体"/>
    </w:rPr>
  </w:style>
  <w:style w:type="paragraph" w:customStyle="1" w:styleId="87">
    <w:name w:val="标准文件_附录三级条标题"/>
    <w:next w:val="62"/>
    <w:qFormat/>
    <w:uiPriority w:val="0"/>
    <w:pPr>
      <w:widowControl w:val="0"/>
      <w:numPr>
        <w:ilvl w:val="3"/>
        <w:numId w:val="4"/>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88">
    <w:name w:val="标准文件_附录四级条标题"/>
    <w:next w:val="62"/>
    <w:qFormat/>
    <w:uiPriority w:val="0"/>
    <w:pPr>
      <w:widowControl w:val="0"/>
      <w:numPr>
        <w:ilvl w:val="4"/>
        <w:numId w:val="4"/>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89">
    <w:name w:val="标准文件_附录图标题"/>
    <w:next w:val="62"/>
    <w:uiPriority w:val="0"/>
    <w:pPr>
      <w:numPr>
        <w:ilvl w:val="1"/>
        <w:numId w:val="6"/>
      </w:numPr>
      <w:adjustRightInd w:val="0"/>
      <w:snapToGrid w:val="0"/>
      <w:spacing w:beforeLines="50" w:afterLines="50"/>
      <w:ind w:firstLine="420"/>
      <w:jc w:val="center"/>
    </w:pPr>
    <w:rPr>
      <w:rFonts w:ascii="黑体" w:hAnsi="Times New Roman" w:eastAsia="黑体" w:cs="Times New Roman"/>
      <w:sz w:val="21"/>
      <w:lang w:val="en-US" w:eastAsia="zh-CN" w:bidi="ar-SA"/>
    </w:rPr>
  </w:style>
  <w:style w:type="paragraph" w:customStyle="1" w:styleId="90">
    <w:name w:val="标准文件_附录五级条标题"/>
    <w:next w:val="62"/>
    <w:qFormat/>
    <w:uiPriority w:val="0"/>
    <w:pPr>
      <w:widowControl w:val="0"/>
      <w:numPr>
        <w:ilvl w:val="5"/>
        <w:numId w:val="4"/>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91">
    <w:name w:val="标准文件_附录英文标识"/>
    <w:next w:val="16"/>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92">
    <w:name w:val="正文文本 字符"/>
    <w:link w:val="16"/>
    <w:qFormat/>
    <w:uiPriority w:val="0"/>
    <w:rPr>
      <w:rFonts w:ascii="Times New Roman" w:hAnsi="Times New Roman" w:eastAsia="宋体" w:cs="Times New Roman"/>
      <w:szCs w:val="20"/>
    </w:rPr>
  </w:style>
  <w:style w:type="paragraph" w:customStyle="1" w:styleId="93">
    <w:name w:val="标准文件_附录章标题"/>
    <w:next w:val="62"/>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4">
    <w:name w:val="标准文件_公式后的破折号"/>
    <w:basedOn w:val="62"/>
    <w:next w:val="62"/>
    <w:uiPriority w:val="0"/>
    <w:pPr>
      <w:ind w:left="488" w:leftChars="200" w:hanging="289" w:hangingChars="290"/>
    </w:pPr>
  </w:style>
  <w:style w:type="paragraph" w:customStyle="1" w:styleId="95">
    <w:name w:val="标准文件_前言、引言标题"/>
    <w:next w:val="1"/>
    <w:qFormat/>
    <w:uiPriority w:val="0"/>
    <w:pPr>
      <w:numPr>
        <w:ilvl w:val="0"/>
        <w:numId w:val="8"/>
      </w:numPr>
      <w:shd w:val="clear" w:color="FFFFFF" w:fill="FFFFFF"/>
      <w:spacing w:afterLines="150"/>
      <w:ind w:left="0" w:firstLine="0"/>
      <w:jc w:val="center"/>
      <w:outlineLvl w:val="0"/>
    </w:pPr>
    <w:rPr>
      <w:rFonts w:ascii="黑体" w:hAnsi="Times New Roman" w:eastAsia="黑体" w:cs="Times New Roman"/>
      <w:sz w:val="32"/>
      <w:lang w:val="en-US" w:eastAsia="zh-CN" w:bidi="ar-SA"/>
    </w:rPr>
  </w:style>
  <w:style w:type="paragraph" w:customStyle="1" w:styleId="96">
    <w:name w:val="标准文件_目次、标准名称标题"/>
    <w:basedOn w:val="95"/>
    <w:next w:val="62"/>
    <w:qFormat/>
    <w:uiPriority w:val="0"/>
    <w:pPr>
      <w:spacing w:line="460" w:lineRule="exact"/>
    </w:pPr>
  </w:style>
  <w:style w:type="paragraph" w:customStyle="1" w:styleId="97">
    <w:name w:val="标准文件_目录标题"/>
    <w:basedOn w:val="1"/>
    <w:qFormat/>
    <w:uiPriority w:val="0"/>
    <w:pPr>
      <w:spacing w:afterLines="150" w:line="240" w:lineRule="auto"/>
      <w:jc w:val="center"/>
    </w:pPr>
    <w:rPr>
      <w:rFonts w:ascii="黑体" w:eastAsia="黑体"/>
      <w:sz w:val="32"/>
    </w:rPr>
  </w:style>
  <w:style w:type="paragraph" w:customStyle="1" w:styleId="98">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9">
    <w:name w:val="标准文件_破折号列项（二级）"/>
    <w:basedOn w:val="98"/>
    <w:qFormat/>
    <w:uiPriority w:val="0"/>
    <w:pPr>
      <w:numPr>
        <w:numId w:val="10"/>
      </w:numPr>
      <w:ind w:left="0" w:firstLine="200"/>
    </w:pPr>
  </w:style>
  <w:style w:type="paragraph" w:customStyle="1" w:styleId="100">
    <w:name w:val="标准文件_三级条标题"/>
    <w:basedOn w:val="71"/>
    <w:next w:val="62"/>
    <w:uiPriority w:val="0"/>
    <w:pPr>
      <w:widowControl/>
      <w:numPr>
        <w:ilvl w:val="4"/>
      </w:numPr>
      <w:outlineLvl w:val="3"/>
    </w:pPr>
  </w:style>
  <w:style w:type="character" w:customStyle="1" w:styleId="101">
    <w:name w:val="Subtle Reference"/>
    <w:qFormat/>
    <w:uiPriority w:val="31"/>
    <w:rPr>
      <w:smallCaps/>
      <w:color w:val="C0504D"/>
      <w:u w:val="single"/>
    </w:rPr>
  </w:style>
  <w:style w:type="paragraph" w:customStyle="1" w:styleId="102">
    <w:name w:val="标准文件_示例后续"/>
    <w:basedOn w:val="1"/>
    <w:uiPriority w:val="0"/>
    <w:pPr>
      <w:adjustRightInd/>
      <w:spacing w:line="240" w:lineRule="auto"/>
      <w:ind w:firstLine="200" w:firstLineChars="200"/>
    </w:pPr>
    <w:rPr>
      <w:sz w:val="18"/>
      <w:szCs w:val="24"/>
    </w:rPr>
  </w:style>
  <w:style w:type="paragraph" w:customStyle="1" w:styleId="103">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4">
    <w:name w:val="标准文件_四级条标题"/>
    <w:next w:val="62"/>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character" w:customStyle="1" w:styleId="105">
    <w:name w:val="脚注文本 字符"/>
    <w:link w:val="25"/>
    <w:semiHidden/>
    <w:qFormat/>
    <w:uiPriority w:val="0"/>
    <w:rPr>
      <w:rFonts w:ascii="宋体" w:hAnsi="Times New Roman" w:eastAsia="宋体" w:cs="Times New Roman"/>
      <w:sz w:val="18"/>
      <w:szCs w:val="18"/>
    </w:rPr>
  </w:style>
  <w:style w:type="paragraph" w:customStyle="1" w:styleId="106">
    <w:name w:val="标准文件_条文脚注"/>
    <w:basedOn w:val="25"/>
    <w:qFormat/>
    <w:uiPriority w:val="0"/>
    <w:pPr>
      <w:adjustRightInd w:val="0"/>
      <w:spacing w:line="240" w:lineRule="auto"/>
      <w:ind w:left="0" w:leftChars="0" w:firstLine="200" w:firstLineChars="200"/>
      <w:jc w:val="both"/>
    </w:pPr>
    <w:rPr>
      <w:rFonts w:hAnsi="宋体"/>
    </w:rPr>
  </w:style>
  <w:style w:type="paragraph" w:customStyle="1" w:styleId="107">
    <w:name w:val="标准文件_图表脚注"/>
    <w:basedOn w:val="1"/>
    <w:next w:val="62"/>
    <w:uiPriority w:val="0"/>
    <w:pPr>
      <w:numPr>
        <w:ilvl w:val="0"/>
        <w:numId w:val="12"/>
      </w:numPr>
      <w:spacing w:line="240" w:lineRule="auto"/>
      <w:jc w:val="left"/>
    </w:pPr>
    <w:rPr>
      <w:rFonts w:ascii="宋体" w:hAnsi="宋体"/>
      <w:sz w:val="18"/>
    </w:rPr>
  </w:style>
  <w:style w:type="character" w:customStyle="1" w:styleId="108">
    <w:name w:val="标准文件_图表脚注内容"/>
    <w:qFormat/>
    <w:uiPriority w:val="0"/>
    <w:rPr>
      <w:rFonts w:ascii="宋体" w:hAnsi="宋体" w:eastAsia="宋体" w:cs="Times New Roman"/>
      <w:spacing w:val="0"/>
      <w:sz w:val="18"/>
      <w:vertAlign w:val="superscript"/>
    </w:rPr>
  </w:style>
  <w:style w:type="paragraph" w:customStyle="1" w:styleId="109">
    <w:name w:val="标准文件_五级条标题"/>
    <w:next w:val="62"/>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110">
    <w:name w:val="标准文件_章标题"/>
    <w:next w:val="62"/>
    <w:qFormat/>
    <w:uiPriority w:val="0"/>
    <w:pPr>
      <w:spacing w:beforeLines="100" w:afterLines="100"/>
      <w:jc w:val="both"/>
      <w:outlineLvl w:val="0"/>
    </w:pPr>
    <w:rPr>
      <w:rFonts w:ascii="黑体" w:hAnsi="Times New Roman" w:eastAsia="黑体" w:cs="Times New Roman"/>
      <w:sz w:val="21"/>
      <w:lang w:val="en-US" w:eastAsia="zh-CN" w:bidi="ar-SA"/>
    </w:rPr>
  </w:style>
  <w:style w:type="paragraph" w:customStyle="1" w:styleId="111">
    <w:name w:val="标准文件_一级条标题"/>
    <w:basedOn w:val="110"/>
    <w:next w:val="62"/>
    <w:qFormat/>
    <w:uiPriority w:val="0"/>
    <w:pPr>
      <w:spacing w:beforeLines="50" w:afterLines="50"/>
      <w:outlineLvl w:val="1"/>
    </w:pPr>
  </w:style>
  <w:style w:type="paragraph" w:customStyle="1" w:styleId="112">
    <w:name w:val="标准文件_一致程度"/>
    <w:basedOn w:val="1"/>
    <w:qFormat/>
    <w:uiPriority w:val="0"/>
    <w:pPr>
      <w:spacing w:line="440" w:lineRule="exact"/>
      <w:jc w:val="center"/>
    </w:pPr>
    <w:rPr>
      <w:sz w:val="28"/>
    </w:rPr>
  </w:style>
  <w:style w:type="paragraph" w:customStyle="1" w:styleId="113">
    <w:name w:val="标准文件_引言标题"/>
    <w:next w:val="1"/>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4">
    <w:name w:val="标准文件_英文图表脚注"/>
    <w:basedOn w:val="61"/>
    <w:qFormat/>
    <w:uiPriority w:val="0"/>
    <w:pPr>
      <w:widowControl/>
      <w:adjustRightInd/>
      <w:snapToGrid/>
      <w:spacing w:line="240" w:lineRule="auto"/>
      <w:ind w:left="79" w:hanging="79" w:hangingChars="80"/>
    </w:pPr>
    <w:rPr>
      <w:rFonts w:ascii="宋体" w:hAnsi="宋体"/>
    </w:rPr>
  </w:style>
  <w:style w:type="paragraph" w:customStyle="1" w:styleId="115">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6">
    <w:name w:val="标准文件_英文注："/>
    <w:basedOn w:val="1"/>
    <w:next w:val="62"/>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7">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8">
    <w:name w:val="标准文件_正文表标题"/>
    <w:next w:val="62"/>
    <w:qFormat/>
    <w:uiPriority w:val="0"/>
    <w:pPr>
      <w:numPr>
        <w:ilvl w:val="0"/>
        <w:numId w:val="16"/>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119">
    <w:name w:val="标准文件_正文公式"/>
    <w:basedOn w:val="1"/>
    <w:next w:val="61"/>
    <w:uiPriority w:val="0"/>
    <w:pPr>
      <w:tabs>
        <w:tab w:val="center" w:pos="4678"/>
        <w:tab w:val="right" w:leader="middleDot" w:pos="9356"/>
      </w:tabs>
      <w:spacing w:line="240" w:lineRule="auto"/>
    </w:pPr>
    <w:rPr>
      <w:rFonts w:ascii="宋体" w:hAnsi="宋体"/>
    </w:rPr>
  </w:style>
  <w:style w:type="paragraph" w:customStyle="1" w:styleId="120">
    <w:name w:val="标准文件_正文图标题"/>
    <w:next w:val="62"/>
    <w:qFormat/>
    <w:uiPriority w:val="0"/>
    <w:pPr>
      <w:numPr>
        <w:ilvl w:val="0"/>
        <w:numId w:val="17"/>
      </w:numPr>
      <w:spacing w:beforeLines="50" w:afterLines="50"/>
      <w:jc w:val="center"/>
    </w:pPr>
    <w:rPr>
      <w:rFonts w:ascii="黑体" w:hAnsi="Times New Roman" w:eastAsia="黑体" w:cs="Times New Roman"/>
      <w:sz w:val="21"/>
      <w:lang w:val="en-US" w:eastAsia="zh-CN" w:bidi="ar-SA"/>
    </w:rPr>
  </w:style>
  <w:style w:type="paragraph" w:customStyle="1" w:styleId="121">
    <w:name w:val="标准文件_正文英文表标题"/>
    <w:next w:val="62"/>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22">
    <w:name w:val="标准文件_正文英文图标题"/>
    <w:next w:val="62"/>
    <w:uiPriority w:val="0"/>
    <w:pPr>
      <w:numPr>
        <w:ilvl w:val="0"/>
        <w:numId w:val="19"/>
      </w:numPr>
      <w:jc w:val="center"/>
    </w:pPr>
    <w:rPr>
      <w:rFonts w:ascii="黑体" w:hAnsi="Times New Roman" w:eastAsia="黑体" w:cs="Times New Roman"/>
      <w:sz w:val="21"/>
      <w:lang w:val="en-US" w:eastAsia="zh-CN" w:bidi="ar-SA"/>
    </w:rPr>
  </w:style>
  <w:style w:type="paragraph" w:customStyle="1" w:styleId="123">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4">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5">
    <w:name w:val="发布部门"/>
    <w:next w:val="62"/>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6">
    <w:name w:val="发布日期"/>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7">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8">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9">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130">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31">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32">
    <w:name w:val="封面一致性程度标识"/>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3">
    <w:name w:val="封面正文"/>
    <w:qFormat/>
    <w:uiPriority w:val="0"/>
    <w:pPr>
      <w:jc w:val="both"/>
    </w:pPr>
    <w:rPr>
      <w:rFonts w:ascii="Times New Roman" w:hAnsi="Times New Roman" w:eastAsia="宋体" w:cs="Times New Roman"/>
      <w:lang w:val="en-US" w:eastAsia="zh-CN" w:bidi="ar-SA"/>
    </w:rPr>
  </w:style>
  <w:style w:type="paragraph" w:customStyle="1" w:styleId="134">
    <w:name w:val="附录二级无标题条"/>
    <w:basedOn w:val="1"/>
    <w:next w:val="62"/>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5">
    <w:name w:val="附录三级无标题条"/>
    <w:basedOn w:val="134"/>
    <w:next w:val="62"/>
    <w:uiPriority w:val="0"/>
    <w:pPr>
      <w:outlineLvl w:val="4"/>
    </w:pPr>
  </w:style>
  <w:style w:type="paragraph" w:customStyle="1" w:styleId="136">
    <w:name w:val="附录四级无标题条"/>
    <w:basedOn w:val="135"/>
    <w:next w:val="62"/>
    <w:qFormat/>
    <w:uiPriority w:val="0"/>
    <w:pPr>
      <w:outlineLvl w:val="5"/>
    </w:pPr>
  </w:style>
  <w:style w:type="paragraph" w:customStyle="1" w:styleId="137">
    <w:name w:val="附录图"/>
    <w:next w:val="62"/>
    <w:qFormat/>
    <w:uiPriority w:val="0"/>
    <w:pPr>
      <w:wordWrap w:val="0"/>
      <w:overflowPunct w:val="0"/>
      <w:autoSpaceDE w:val="0"/>
      <w:spacing w:beforeLines="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8">
    <w:name w:val="标准文件_一级项"/>
    <w:uiPriority w:val="0"/>
    <w:pPr>
      <w:numPr>
        <w:ilvl w:val="0"/>
        <w:numId w:val="21"/>
      </w:numPr>
    </w:pPr>
    <w:rPr>
      <w:rFonts w:ascii="宋体" w:hAnsi="Times New Roman" w:eastAsia="宋体" w:cs="Times New Roman"/>
      <w:sz w:val="21"/>
      <w:lang w:val="en-US" w:eastAsia="zh-CN" w:bidi="ar-SA"/>
    </w:rPr>
  </w:style>
  <w:style w:type="paragraph" w:customStyle="1" w:styleId="139">
    <w:name w:val="附录五级无标题条"/>
    <w:basedOn w:val="136"/>
    <w:next w:val="62"/>
    <w:qFormat/>
    <w:uiPriority w:val="0"/>
    <w:pPr>
      <w:outlineLvl w:val="6"/>
    </w:pPr>
  </w:style>
  <w:style w:type="paragraph" w:customStyle="1" w:styleId="140">
    <w:name w:val="附录性质"/>
    <w:basedOn w:val="1"/>
    <w:qFormat/>
    <w:uiPriority w:val="0"/>
    <w:pPr>
      <w:widowControl/>
      <w:adjustRightInd/>
      <w:jc w:val="center"/>
    </w:pPr>
    <w:rPr>
      <w:rFonts w:ascii="黑体" w:eastAsia="黑体"/>
    </w:rPr>
  </w:style>
  <w:style w:type="paragraph" w:customStyle="1" w:styleId="141">
    <w:name w:val="附录一级无标题条"/>
    <w:basedOn w:val="93"/>
    <w:next w:val="62"/>
    <w:uiPriority w:val="0"/>
    <w:pPr>
      <w:autoSpaceDN w:val="0"/>
      <w:outlineLvl w:val="2"/>
    </w:pPr>
    <w:rPr>
      <w:rFonts w:ascii="宋体" w:hAnsi="宋体" w:eastAsia="宋体"/>
    </w:rPr>
  </w:style>
  <w:style w:type="character" w:customStyle="1" w:styleId="142">
    <w:name w:val="个人答复风格"/>
    <w:qFormat/>
    <w:uiPriority w:val="0"/>
    <w:rPr>
      <w:rFonts w:ascii="Arial" w:hAnsi="Arial" w:eastAsia="宋体" w:cs="Arial"/>
      <w:color w:val="auto"/>
      <w:spacing w:val="0"/>
      <w:sz w:val="20"/>
    </w:rPr>
  </w:style>
  <w:style w:type="character" w:customStyle="1" w:styleId="143">
    <w:name w:val="个人撰写风格"/>
    <w:qFormat/>
    <w:uiPriority w:val="0"/>
    <w:rPr>
      <w:rFonts w:ascii="Arial" w:hAnsi="Arial" w:eastAsia="宋体" w:cs="Arial"/>
      <w:color w:val="auto"/>
      <w:spacing w:val="0"/>
      <w:sz w:val="20"/>
    </w:rPr>
  </w:style>
  <w:style w:type="paragraph" w:customStyle="1" w:styleId="144">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45">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6">
    <w:name w:val="列项·"/>
    <w:basedOn w:val="62"/>
    <w:uiPriority w:val="0"/>
    <w:pPr>
      <w:tabs>
        <w:tab w:val="left" w:pos="840"/>
      </w:tabs>
    </w:pPr>
  </w:style>
  <w:style w:type="paragraph" w:customStyle="1" w:styleId="147">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8">
    <w:name w:val="目录 21"/>
    <w:basedOn w:val="1"/>
    <w:next w:val="1"/>
    <w:semiHidden/>
    <w:uiPriority w:val="0"/>
    <w:pPr>
      <w:adjustRightInd/>
      <w:spacing w:line="240" w:lineRule="auto"/>
      <w:jc w:val="left"/>
    </w:pPr>
    <w:rPr>
      <w:bCs/>
      <w:iCs/>
    </w:rPr>
  </w:style>
  <w:style w:type="paragraph" w:customStyle="1" w:styleId="149">
    <w:name w:val="目录 31"/>
    <w:basedOn w:val="1"/>
    <w:next w:val="1"/>
    <w:semiHidden/>
    <w:uiPriority w:val="0"/>
    <w:pPr>
      <w:spacing w:line="240" w:lineRule="auto"/>
    </w:pPr>
    <w:rPr>
      <w:rFonts w:ascii="宋体" w:hAnsi="宋体"/>
      <w:iCs/>
    </w:rPr>
  </w:style>
  <w:style w:type="paragraph" w:customStyle="1" w:styleId="150">
    <w:name w:val="目录 41"/>
    <w:basedOn w:val="1"/>
    <w:next w:val="1"/>
    <w:semiHidden/>
    <w:uiPriority w:val="0"/>
    <w:pPr>
      <w:adjustRightInd/>
      <w:spacing w:line="240" w:lineRule="auto"/>
      <w:jc w:val="left"/>
    </w:pPr>
  </w:style>
  <w:style w:type="paragraph" w:customStyle="1" w:styleId="151">
    <w:name w:val="目录 51"/>
    <w:basedOn w:val="1"/>
    <w:next w:val="1"/>
    <w:semiHidden/>
    <w:uiPriority w:val="0"/>
    <w:pPr>
      <w:spacing w:line="240" w:lineRule="auto"/>
    </w:pPr>
    <w:rPr>
      <w:rFonts w:ascii="宋体" w:hAnsi="宋体"/>
    </w:rPr>
  </w:style>
  <w:style w:type="paragraph" w:customStyle="1" w:styleId="152">
    <w:name w:val="目录 61"/>
    <w:basedOn w:val="1"/>
    <w:next w:val="1"/>
    <w:semiHidden/>
    <w:uiPriority w:val="0"/>
    <w:pPr>
      <w:adjustRightInd/>
      <w:spacing w:line="240" w:lineRule="auto"/>
      <w:jc w:val="left"/>
    </w:pPr>
  </w:style>
  <w:style w:type="paragraph" w:customStyle="1" w:styleId="153">
    <w:name w:val="目录 71"/>
    <w:basedOn w:val="152"/>
    <w:semiHidden/>
    <w:uiPriority w:val="0"/>
    <w:pPr>
      <w:ind w:left="1260"/>
    </w:pPr>
  </w:style>
  <w:style w:type="paragraph" w:customStyle="1" w:styleId="154">
    <w:name w:val="目录 81"/>
    <w:basedOn w:val="153"/>
    <w:semiHidden/>
    <w:uiPriority w:val="0"/>
    <w:pPr>
      <w:ind w:left="1470"/>
    </w:pPr>
  </w:style>
  <w:style w:type="paragraph" w:customStyle="1" w:styleId="155">
    <w:name w:val="目录 91"/>
    <w:basedOn w:val="154"/>
    <w:semiHidden/>
    <w:uiPriority w:val="0"/>
    <w:pPr>
      <w:ind w:left="1680"/>
    </w:pPr>
  </w:style>
  <w:style w:type="paragraph" w:customStyle="1" w:styleId="156">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157">
    <w:name w:val="其他发布部门"/>
    <w:basedOn w:val="125"/>
    <w:uiPriority w:val="0"/>
    <w:pPr>
      <w:framePr w:wrap="around"/>
      <w:spacing w:line="0" w:lineRule="atLeast"/>
    </w:pPr>
    <w:rPr>
      <w:rFonts w:ascii="黑体" w:eastAsia="黑体"/>
      <w:b w:val="0"/>
    </w:rPr>
  </w:style>
  <w:style w:type="paragraph" w:customStyle="1" w:styleId="158">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9">
    <w:name w:val="三级无标题条"/>
    <w:basedOn w:val="1"/>
    <w:uiPriority w:val="0"/>
    <w:pPr>
      <w:numPr>
        <w:ilvl w:val="4"/>
        <w:numId w:val="20"/>
      </w:numPr>
      <w:adjustRightInd/>
      <w:spacing w:line="240" w:lineRule="auto"/>
    </w:pPr>
    <w:rPr>
      <w:rFonts w:ascii="宋体" w:hAnsi="宋体"/>
      <w:szCs w:val="24"/>
    </w:rPr>
  </w:style>
  <w:style w:type="paragraph" w:customStyle="1" w:styleId="160">
    <w:name w:val="实施日期"/>
    <w:basedOn w:val="126"/>
    <w:uiPriority w:val="0"/>
    <w:pPr>
      <w:framePr w:hSpace="0" w:wrap="around" w:xAlign="right"/>
      <w:jc w:val="right"/>
    </w:pPr>
  </w:style>
  <w:style w:type="paragraph" w:customStyle="1" w:styleId="161">
    <w:name w:val="四级无标题条"/>
    <w:basedOn w:val="1"/>
    <w:uiPriority w:val="0"/>
    <w:pPr>
      <w:numPr>
        <w:ilvl w:val="5"/>
        <w:numId w:val="20"/>
      </w:numPr>
      <w:adjustRightInd/>
      <w:spacing w:line="240" w:lineRule="auto"/>
    </w:pPr>
    <w:rPr>
      <w:rFonts w:ascii="宋体" w:hAnsi="宋体"/>
      <w:szCs w:val="24"/>
    </w:rPr>
  </w:style>
  <w:style w:type="paragraph" w:customStyle="1" w:styleId="162">
    <w:name w:val="文献分类号"/>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3">
    <w:name w:val="无标题条"/>
    <w:next w:val="62"/>
    <w:uiPriority w:val="0"/>
    <w:pPr>
      <w:jc w:val="both"/>
    </w:pPr>
    <w:rPr>
      <w:rFonts w:ascii="宋体" w:hAnsi="宋体" w:eastAsia="宋体" w:cs="Times New Roman"/>
      <w:sz w:val="21"/>
      <w:lang w:val="en-US" w:eastAsia="zh-CN" w:bidi="ar-SA"/>
    </w:rPr>
  </w:style>
  <w:style w:type="paragraph" w:customStyle="1" w:styleId="164">
    <w:name w:val="五级无标题条"/>
    <w:basedOn w:val="1"/>
    <w:uiPriority w:val="0"/>
    <w:pPr>
      <w:numPr>
        <w:ilvl w:val="6"/>
        <w:numId w:val="20"/>
      </w:numPr>
      <w:adjustRightInd/>
    </w:pPr>
    <w:rPr>
      <w:szCs w:val="24"/>
    </w:rPr>
  </w:style>
  <w:style w:type="paragraph" w:customStyle="1" w:styleId="165">
    <w:name w:val="一级无标题条"/>
    <w:basedOn w:val="1"/>
    <w:uiPriority w:val="0"/>
    <w:pPr>
      <w:numPr>
        <w:ilvl w:val="2"/>
        <w:numId w:val="20"/>
      </w:numPr>
      <w:adjustRightInd/>
      <w:spacing w:before="10" w:after="10" w:line="240" w:lineRule="auto"/>
    </w:pPr>
    <w:rPr>
      <w:rFonts w:ascii="宋体" w:hAnsi="宋体"/>
      <w:szCs w:val="24"/>
    </w:rPr>
  </w:style>
  <w:style w:type="paragraph" w:customStyle="1" w:styleId="166">
    <w:name w:val="注:后续"/>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7">
    <w:name w:val="注×:后续"/>
    <w:basedOn w:val="166"/>
    <w:uiPriority w:val="0"/>
    <w:pPr>
      <w:ind w:left="1406" w:leftChars="0" w:hanging="499" w:firstLineChars="0"/>
    </w:pPr>
  </w:style>
  <w:style w:type="paragraph" w:customStyle="1" w:styleId="168">
    <w:name w:val="标准文件_一级无标题"/>
    <w:basedOn w:val="111"/>
    <w:qFormat/>
    <w:uiPriority w:val="0"/>
    <w:pPr>
      <w:spacing w:beforeLines="0" w:afterLines="0"/>
      <w:outlineLvl w:val="9"/>
    </w:pPr>
    <w:rPr>
      <w:rFonts w:ascii="宋体" w:eastAsia="宋体"/>
    </w:rPr>
  </w:style>
  <w:style w:type="paragraph" w:customStyle="1" w:styleId="169">
    <w:name w:val="标准文件_五级无标题"/>
    <w:basedOn w:val="109"/>
    <w:qFormat/>
    <w:uiPriority w:val="0"/>
    <w:pPr>
      <w:spacing w:beforeLines="0" w:afterLines="0"/>
      <w:outlineLvl w:val="9"/>
    </w:pPr>
    <w:rPr>
      <w:rFonts w:ascii="宋体" w:eastAsia="宋体"/>
    </w:rPr>
  </w:style>
  <w:style w:type="paragraph" w:customStyle="1" w:styleId="170">
    <w:name w:val="标准文件_三级无标题"/>
    <w:basedOn w:val="100"/>
    <w:qFormat/>
    <w:uiPriority w:val="0"/>
    <w:pPr>
      <w:spacing w:beforeLines="0" w:afterLines="0"/>
      <w:outlineLvl w:val="9"/>
    </w:pPr>
    <w:rPr>
      <w:rFonts w:ascii="宋体" w:eastAsia="宋体"/>
    </w:rPr>
  </w:style>
  <w:style w:type="paragraph" w:customStyle="1" w:styleId="171">
    <w:name w:val="标准文件_二级无标题"/>
    <w:basedOn w:val="71"/>
    <w:qFormat/>
    <w:uiPriority w:val="0"/>
    <w:pPr>
      <w:numPr>
        <w:ilvl w:val="0"/>
        <w:numId w:val="0"/>
      </w:numPr>
      <w:spacing w:beforeLines="0" w:afterLines="0"/>
      <w:jc w:val="left"/>
      <w:outlineLvl w:val="9"/>
    </w:pPr>
    <w:rPr>
      <w:rFonts w:hAnsi="黑体" w:eastAsia="宋体"/>
    </w:rPr>
  </w:style>
  <w:style w:type="paragraph" w:customStyle="1" w:styleId="172">
    <w:name w:val="标准_四级无标题"/>
    <w:basedOn w:val="104"/>
    <w:next w:val="62"/>
    <w:qFormat/>
    <w:uiPriority w:val="0"/>
    <w:rPr>
      <w:rFonts w:eastAsia="宋体"/>
    </w:rPr>
  </w:style>
  <w:style w:type="paragraph" w:customStyle="1" w:styleId="173">
    <w:name w:val="标准文件_四级无标题"/>
    <w:basedOn w:val="104"/>
    <w:qFormat/>
    <w:uiPriority w:val="0"/>
    <w:pPr>
      <w:spacing w:beforeLines="0" w:afterLines="0"/>
      <w:outlineLvl w:val="9"/>
    </w:pPr>
    <w:rPr>
      <w:rFonts w:ascii="宋体" w:hAnsi="黑体" w:eastAsia="宋体"/>
      <w:szCs w:val="52"/>
    </w:rPr>
  </w:style>
  <w:style w:type="paragraph" w:customStyle="1" w:styleId="174">
    <w:name w:val="标准文件_大写罗马数字编号列项"/>
    <w:basedOn w:val="62"/>
    <w:uiPriority w:val="0"/>
    <w:pPr>
      <w:numPr>
        <w:ilvl w:val="0"/>
        <w:numId w:val="23"/>
      </w:numPr>
      <w:ind w:firstLine="0" w:firstLineChars="0"/>
    </w:pPr>
    <w:rPr>
      <w:rFonts w:ascii="Times New Roman" w:cs="Arial"/>
      <w:szCs w:val="28"/>
    </w:rPr>
  </w:style>
  <w:style w:type="paragraph" w:customStyle="1" w:styleId="175">
    <w:name w:val="标准文件_小写罗马数字编号列项"/>
    <w:basedOn w:val="62"/>
    <w:uiPriority w:val="0"/>
    <w:pPr>
      <w:numPr>
        <w:ilvl w:val="0"/>
        <w:numId w:val="24"/>
      </w:numPr>
      <w:ind w:firstLine="0" w:firstLineChars="0"/>
    </w:pPr>
    <w:rPr>
      <w:rFonts w:cs="Arial"/>
      <w:szCs w:val="28"/>
    </w:rPr>
  </w:style>
  <w:style w:type="paragraph" w:customStyle="1" w:styleId="176">
    <w:name w:val="标准文件_附录标题"/>
    <w:basedOn w:val="82"/>
    <w:qFormat/>
    <w:uiPriority w:val="0"/>
    <w:pPr>
      <w:numPr>
        <w:numId w:val="0"/>
      </w:numPr>
      <w:spacing w:after="280"/>
      <w:outlineLvl w:val="9"/>
    </w:pPr>
  </w:style>
  <w:style w:type="paragraph" w:customStyle="1" w:styleId="177">
    <w:name w:val="标准文件_二级项"/>
    <w:uiPriority w:val="0"/>
    <w:rPr>
      <w:rFonts w:ascii="宋体" w:hAnsi="Times New Roman" w:eastAsia="宋体" w:cs="Times New Roman"/>
      <w:sz w:val="21"/>
      <w:lang w:val="en-US" w:eastAsia="zh-CN" w:bidi="ar-SA"/>
    </w:rPr>
  </w:style>
  <w:style w:type="paragraph" w:customStyle="1" w:styleId="178">
    <w:name w:val="标准文件_三级项"/>
    <w:basedOn w:val="1"/>
    <w:uiPriority w:val="0"/>
    <w:pPr>
      <w:numPr>
        <w:ilvl w:val="2"/>
        <w:numId w:val="21"/>
      </w:numPr>
      <w:spacing w:line="536870612" w:lineRule="auto"/>
    </w:pPr>
    <w:rPr>
      <w:rFonts w:ascii="Times New Roman" w:hAnsi="Times New Roman"/>
    </w:rPr>
  </w:style>
  <w:style w:type="paragraph" w:customStyle="1" w:styleId="179">
    <w:name w:val="图表脚注说明"/>
    <w:basedOn w:val="1"/>
    <w:next w:val="62"/>
    <w:uiPriority w:val="0"/>
    <w:pPr>
      <w:numPr>
        <w:ilvl w:val="0"/>
        <w:numId w:val="25"/>
      </w:numPr>
      <w:adjustRightInd/>
      <w:spacing w:line="240" w:lineRule="auto"/>
      <w:ind w:left="783"/>
    </w:pPr>
    <w:rPr>
      <w:rFonts w:ascii="宋体" w:hAnsi="Times New Roman"/>
      <w:sz w:val="18"/>
      <w:szCs w:val="18"/>
    </w:rPr>
  </w:style>
  <w:style w:type="paragraph" w:customStyle="1" w:styleId="180">
    <w:name w:val="标准文件_字母编号列项（一级）"/>
    <w:qFormat/>
    <w:uiPriority w:val="0"/>
    <w:pPr>
      <w:jc w:val="both"/>
    </w:pPr>
    <w:rPr>
      <w:rFonts w:ascii="宋体" w:hAnsi="Times New Roman" w:eastAsia="宋体" w:cs="Times New Roman"/>
      <w:sz w:val="21"/>
      <w:lang w:val="en-US" w:eastAsia="zh-CN" w:bidi="ar-SA"/>
    </w:rPr>
  </w:style>
  <w:style w:type="paragraph" w:customStyle="1" w:styleId="181">
    <w:name w:val="标准文件_索引字母"/>
    <w:next w:val="62"/>
    <w:qFormat/>
    <w:uiPriority w:val="0"/>
    <w:pPr>
      <w:jc w:val="center"/>
    </w:pPr>
    <w:rPr>
      <w:rFonts w:ascii="宋体" w:hAnsi="宋体" w:eastAsia="Times New Roman" w:cs="Times New Roman"/>
      <w:b/>
      <w:kern w:val="2"/>
      <w:sz w:val="21"/>
      <w:lang w:val="en-US" w:eastAsia="zh-CN" w:bidi="ar-SA"/>
    </w:rPr>
  </w:style>
  <w:style w:type="paragraph" w:customStyle="1" w:styleId="182">
    <w:name w:val="标准文件_附录前"/>
    <w:next w:val="62"/>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3">
    <w:name w:val="标准文件_正文标准名称"/>
    <w:qFormat/>
    <w:uiPriority w:val="0"/>
    <w:pPr>
      <w:spacing w:beforeLines="20" w:after="640" w:line="400" w:lineRule="exact"/>
      <w:jc w:val="center"/>
    </w:pPr>
    <w:rPr>
      <w:rFonts w:ascii="黑体" w:hAnsi="黑体" w:eastAsia="黑体" w:cs="Times New Roman"/>
      <w:kern w:val="2"/>
      <w:sz w:val="32"/>
      <w:szCs w:val="32"/>
      <w:lang w:val="en-US" w:eastAsia="zh-CN" w:bidi="ar-SA"/>
    </w:rPr>
  </w:style>
  <w:style w:type="paragraph" w:customStyle="1" w:styleId="184">
    <w:name w:val="标准文件_表格"/>
    <w:basedOn w:val="62"/>
    <w:qFormat/>
    <w:uiPriority w:val="0"/>
    <w:pPr>
      <w:ind w:firstLine="0" w:firstLineChars="0"/>
      <w:jc w:val="center"/>
    </w:pPr>
    <w:rPr>
      <w:sz w:val="18"/>
    </w:rPr>
  </w:style>
  <w:style w:type="paragraph" w:customStyle="1" w:styleId="185">
    <w:name w:val="标准文件_注："/>
    <w:next w:val="62"/>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6">
    <w:name w:val="标准文件_注×："/>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7">
    <w:name w:val="标准文件_示例："/>
    <w:next w:val="188"/>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8">
    <w:name w:val="标准文件_示例内容"/>
    <w:basedOn w:val="62"/>
    <w:qFormat/>
    <w:uiPriority w:val="0"/>
    <w:pPr>
      <w:ind w:firstLine="420"/>
    </w:pPr>
    <w:rPr>
      <w:sz w:val="18"/>
    </w:rPr>
  </w:style>
  <w:style w:type="paragraph" w:customStyle="1" w:styleId="189">
    <w:name w:val="标准文件_示例×："/>
    <w:basedOn w:val="1"/>
    <w:next w:val="188"/>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90">
    <w:name w:val="标准文件_段 Char"/>
    <w:link w:val="62"/>
    <w:qFormat/>
    <w:uiPriority w:val="0"/>
    <w:rPr>
      <w:rFonts w:ascii="宋体" w:hAnsi="Times New Roman"/>
      <w:sz w:val="21"/>
    </w:rPr>
  </w:style>
  <w:style w:type="paragraph" w:customStyle="1" w:styleId="191">
    <w:name w:val="标准文件_表格续"/>
    <w:basedOn w:val="62"/>
    <w:next w:val="62"/>
    <w:qFormat/>
    <w:uiPriority w:val="0"/>
    <w:pPr>
      <w:jc w:val="center"/>
    </w:pPr>
    <w:rPr>
      <w:rFonts w:ascii="黑体" w:hAnsi="黑体" w:eastAsia="黑体"/>
    </w:rPr>
  </w:style>
  <w:style w:type="character" w:styleId="192">
    <w:name w:val="Placeholder Text"/>
    <w:basedOn w:val="33"/>
    <w:semiHidden/>
    <w:uiPriority w:val="99"/>
    <w:rPr>
      <w:color w:val="808080"/>
    </w:rPr>
  </w:style>
  <w:style w:type="paragraph" w:customStyle="1" w:styleId="193">
    <w:name w:val="标准文件_二级项2"/>
    <w:basedOn w:val="62"/>
    <w:qFormat/>
    <w:uiPriority w:val="0"/>
    <w:pPr>
      <w:numPr>
        <w:ilvl w:val="1"/>
        <w:numId w:val="21"/>
      </w:numPr>
      <w:ind w:left="1271" w:hanging="420" w:firstLineChars="0"/>
    </w:pPr>
  </w:style>
  <w:style w:type="paragraph" w:customStyle="1" w:styleId="194">
    <w:name w:val="标准文件_三级项2"/>
    <w:basedOn w:val="62"/>
    <w:qFormat/>
    <w:uiPriority w:val="0"/>
    <w:pPr>
      <w:numPr>
        <w:ilvl w:val="0"/>
        <w:numId w:val="30"/>
      </w:numPr>
      <w:spacing w:line="300" w:lineRule="exact"/>
      <w:ind w:left="1276" w:hanging="425" w:firstLineChars="0"/>
    </w:pPr>
    <w:rPr>
      <w:rFonts w:ascii="Times New Roman"/>
    </w:rPr>
  </w:style>
  <w:style w:type="paragraph" w:customStyle="1" w:styleId="195">
    <w:name w:val="标准文件_一级项2"/>
    <w:basedOn w:val="62"/>
    <w:qFormat/>
    <w:uiPriority w:val="0"/>
    <w:pPr>
      <w:numPr>
        <w:ilvl w:val="0"/>
        <w:numId w:val="31"/>
      </w:numPr>
      <w:spacing w:line="300" w:lineRule="exact"/>
      <w:ind w:left="1271" w:hanging="420" w:firstLineChars="0"/>
    </w:pPr>
    <w:rPr>
      <w:rFonts w:ascii="Times New Roman"/>
    </w:rPr>
  </w:style>
  <w:style w:type="paragraph" w:customStyle="1" w:styleId="196">
    <w:name w:val="标准文件_提示"/>
    <w:basedOn w:val="62"/>
    <w:next w:val="62"/>
    <w:qFormat/>
    <w:uiPriority w:val="0"/>
    <w:pPr>
      <w:ind w:firstLine="420"/>
    </w:pPr>
    <w:rPr>
      <w:rFonts w:ascii="黑体" w:eastAsia="黑体"/>
    </w:rPr>
  </w:style>
  <w:style w:type="character" w:customStyle="1" w:styleId="197">
    <w:name w:val="标准文件_来源"/>
    <w:basedOn w:val="33"/>
    <w:qFormat/>
    <w:uiPriority w:val="1"/>
    <w:rPr>
      <w:rFonts w:eastAsia="宋体"/>
      <w:sz w:val="21"/>
    </w:rPr>
  </w:style>
  <w:style w:type="paragraph" w:customStyle="1" w:styleId="198">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9">
    <w:name w:val="其他发布日期"/>
    <w:basedOn w:val="126"/>
    <w:uiPriority w:val="0"/>
    <w:pPr>
      <w:framePr w:w="3997" w:h="471" w:hRule="exact" w:hSpace="0" w:vSpace="181" w:wrap="around" w:vAnchor="page" w:hAnchor="page" w:x="1419" w:y="14097"/>
    </w:pPr>
  </w:style>
  <w:style w:type="paragraph" w:customStyle="1" w:styleId="200">
    <w:name w:val="其他实施日期"/>
    <w:basedOn w:val="160"/>
    <w:uiPriority w:val="0"/>
    <w:pPr>
      <w:framePr w:w="3997" w:h="471" w:hRule="exact" w:vSpace="181" w:wrap="around" w:vAnchor="page" w:hAnchor="page" w:x="7089" w:y="14097"/>
    </w:pPr>
  </w:style>
  <w:style w:type="paragraph" w:customStyle="1" w:styleId="201">
    <w:name w:val="标准文件_文件编号"/>
    <w:basedOn w:val="62"/>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202">
    <w:name w:val="标准文件_替换文件编号"/>
    <w:basedOn w:val="201"/>
    <w:qFormat/>
    <w:uiPriority w:val="0"/>
    <w:pPr>
      <w:framePr/>
      <w:spacing w:before="57"/>
    </w:pPr>
    <w:rPr>
      <w:sz w:val="21"/>
    </w:rPr>
  </w:style>
  <w:style w:type="paragraph" w:customStyle="1" w:styleId="203">
    <w:name w:val="标准文件_文件名称"/>
    <w:basedOn w:val="62"/>
    <w:next w:val="62"/>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4">
    <w:name w:val="标准文件_附录图标号"/>
    <w:basedOn w:val="62"/>
    <w:next w:val="62"/>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5">
    <w:name w:val="标准文件_附录表标号"/>
    <w:basedOn w:val="62"/>
    <w:next w:val="62"/>
    <w:qFormat/>
    <w:uiPriority w:val="0"/>
    <w:pPr>
      <w:numPr>
        <w:ilvl w:val="0"/>
        <w:numId w:val="5"/>
      </w:numPr>
      <w:spacing w:line="14" w:lineRule="exact"/>
      <w:ind w:firstLine="0" w:firstLineChars="0"/>
      <w:jc w:val="center"/>
    </w:pPr>
    <w:rPr>
      <w:rFonts w:eastAsia="黑体"/>
      <w:vanish/>
      <w:sz w:val="2"/>
    </w:rPr>
  </w:style>
  <w:style w:type="paragraph" w:customStyle="1" w:styleId="206">
    <w:name w:val="标准文件_引言一级条标题"/>
    <w:basedOn w:val="62"/>
    <w:next w:val="62"/>
    <w:qFormat/>
    <w:uiPriority w:val="0"/>
    <w:pPr>
      <w:numPr>
        <w:ilvl w:val="1"/>
        <w:numId w:val="8"/>
      </w:numPr>
      <w:spacing w:beforeLines="50" w:afterLines="50"/>
      <w:ind w:firstLineChars="0"/>
    </w:pPr>
    <w:rPr>
      <w:rFonts w:ascii="黑体" w:eastAsia="黑体"/>
    </w:rPr>
  </w:style>
  <w:style w:type="paragraph" w:customStyle="1" w:styleId="207">
    <w:name w:val="标准文件_引言二级条标题"/>
    <w:basedOn w:val="62"/>
    <w:next w:val="62"/>
    <w:qFormat/>
    <w:uiPriority w:val="0"/>
    <w:pPr>
      <w:numPr>
        <w:ilvl w:val="2"/>
        <w:numId w:val="8"/>
      </w:numPr>
      <w:spacing w:beforeLines="50" w:afterLines="50"/>
      <w:ind w:firstLineChars="0"/>
    </w:pPr>
    <w:rPr>
      <w:rFonts w:ascii="黑体" w:eastAsia="黑体"/>
    </w:rPr>
  </w:style>
  <w:style w:type="paragraph" w:customStyle="1" w:styleId="208">
    <w:name w:val="标准文件_引言三级条标题"/>
    <w:basedOn w:val="62"/>
    <w:next w:val="62"/>
    <w:qFormat/>
    <w:uiPriority w:val="0"/>
    <w:pPr>
      <w:numPr>
        <w:ilvl w:val="3"/>
        <w:numId w:val="8"/>
      </w:numPr>
      <w:spacing w:beforeLines="50" w:afterLines="50"/>
      <w:ind w:firstLineChars="0"/>
    </w:pPr>
    <w:rPr>
      <w:rFonts w:ascii="黑体" w:eastAsia="黑体"/>
    </w:rPr>
  </w:style>
  <w:style w:type="paragraph" w:customStyle="1" w:styleId="209">
    <w:name w:val="标准文件_引言四级条标题"/>
    <w:basedOn w:val="62"/>
    <w:next w:val="62"/>
    <w:qFormat/>
    <w:uiPriority w:val="0"/>
    <w:pPr>
      <w:numPr>
        <w:ilvl w:val="4"/>
        <w:numId w:val="8"/>
      </w:numPr>
      <w:spacing w:beforeLines="50" w:afterLines="50"/>
      <w:ind w:firstLineChars="0"/>
    </w:pPr>
    <w:rPr>
      <w:rFonts w:ascii="黑体" w:eastAsia="黑体"/>
    </w:rPr>
  </w:style>
  <w:style w:type="paragraph" w:customStyle="1" w:styleId="210">
    <w:name w:val="标准文件_引言五级条标题"/>
    <w:basedOn w:val="62"/>
    <w:next w:val="62"/>
    <w:qFormat/>
    <w:uiPriority w:val="0"/>
    <w:pPr>
      <w:numPr>
        <w:ilvl w:val="5"/>
        <w:numId w:val="8"/>
      </w:numPr>
      <w:spacing w:beforeLines="50" w:afterLines="50"/>
      <w:ind w:firstLineChars="0"/>
    </w:pPr>
    <w:rPr>
      <w:rFonts w:ascii="黑体" w:eastAsia="黑体"/>
    </w:rPr>
  </w:style>
  <w:style w:type="paragraph" w:customStyle="1" w:styleId="211">
    <w:name w:val="标准文件_注后"/>
    <w:basedOn w:val="62"/>
    <w:qFormat/>
    <w:uiPriority w:val="0"/>
    <w:pPr>
      <w:ind w:left="811" w:firstLine="0" w:firstLineChars="0"/>
    </w:pPr>
    <w:rPr>
      <w:sz w:val="18"/>
    </w:rPr>
  </w:style>
  <w:style w:type="paragraph" w:customStyle="1" w:styleId="212">
    <w:name w:val="标准文件_注X后"/>
    <w:basedOn w:val="62"/>
    <w:qFormat/>
    <w:uiPriority w:val="0"/>
    <w:pPr>
      <w:ind w:left="811" w:firstLine="0" w:firstLineChars="0"/>
    </w:pPr>
    <w:rPr>
      <w:sz w:val="18"/>
    </w:rPr>
  </w:style>
  <w:style w:type="paragraph" w:customStyle="1" w:styleId="213">
    <w:name w:val="标准文件_示例后"/>
    <w:basedOn w:val="62"/>
    <w:qFormat/>
    <w:uiPriority w:val="0"/>
    <w:pPr>
      <w:ind w:left="964" w:firstLine="0" w:firstLineChars="0"/>
    </w:pPr>
    <w:rPr>
      <w:sz w:val="18"/>
    </w:rPr>
  </w:style>
  <w:style w:type="paragraph" w:customStyle="1" w:styleId="214">
    <w:name w:val="标准文件_示例X后"/>
    <w:basedOn w:val="62"/>
    <w:link w:val="215"/>
    <w:qFormat/>
    <w:uiPriority w:val="0"/>
    <w:pPr>
      <w:ind w:left="1049" w:firstLine="0" w:firstLineChars="0"/>
    </w:pPr>
    <w:rPr>
      <w:sz w:val="18"/>
    </w:rPr>
  </w:style>
  <w:style w:type="character" w:customStyle="1" w:styleId="215">
    <w:name w:val="标准文件_示例X后 字符"/>
    <w:basedOn w:val="190"/>
    <w:link w:val="214"/>
    <w:uiPriority w:val="0"/>
    <w:rPr>
      <w:rFonts w:ascii="宋体" w:hAnsi="Times New Roman"/>
      <w:sz w:val="18"/>
    </w:rPr>
  </w:style>
  <w:style w:type="paragraph" w:customStyle="1" w:styleId="216">
    <w:name w:val="标准文件_索引项"/>
    <w:basedOn w:val="62"/>
    <w:next w:val="62"/>
    <w:qFormat/>
    <w:uiPriority w:val="0"/>
    <w:pPr>
      <w:tabs>
        <w:tab w:val="right" w:leader="dot" w:pos="9356"/>
      </w:tabs>
      <w:ind w:left="210" w:hanging="210" w:firstLineChars="0"/>
      <w:jc w:val="left"/>
    </w:pPr>
  </w:style>
  <w:style w:type="paragraph" w:customStyle="1" w:styleId="217">
    <w:name w:val="标准文件_附录一级无标题"/>
    <w:basedOn w:val="84"/>
    <w:qFormat/>
    <w:uiPriority w:val="0"/>
    <w:pPr>
      <w:spacing w:beforeLines="0" w:afterLines="0" w:line="276" w:lineRule="auto"/>
      <w:outlineLvl w:val="9"/>
    </w:pPr>
    <w:rPr>
      <w:rFonts w:ascii="宋体" w:eastAsia="宋体"/>
    </w:rPr>
  </w:style>
  <w:style w:type="paragraph" w:customStyle="1" w:styleId="218">
    <w:name w:val="标准文件_附录二级无标题"/>
    <w:basedOn w:val="85"/>
    <w:uiPriority w:val="0"/>
    <w:pPr>
      <w:spacing w:beforeLines="0" w:afterLines="0" w:line="276" w:lineRule="auto"/>
      <w:outlineLvl w:val="9"/>
    </w:pPr>
    <w:rPr>
      <w:rFonts w:ascii="宋体" w:eastAsia="宋体"/>
    </w:rPr>
  </w:style>
  <w:style w:type="paragraph" w:customStyle="1" w:styleId="219">
    <w:name w:val="标准文件_附录三级无标题"/>
    <w:basedOn w:val="87"/>
    <w:qFormat/>
    <w:uiPriority w:val="0"/>
    <w:pPr>
      <w:spacing w:beforeLines="0" w:afterLines="0" w:line="276" w:lineRule="auto"/>
      <w:outlineLvl w:val="9"/>
    </w:pPr>
    <w:rPr>
      <w:rFonts w:ascii="宋体" w:eastAsia="宋体"/>
    </w:rPr>
  </w:style>
  <w:style w:type="paragraph" w:customStyle="1" w:styleId="220">
    <w:name w:val="标准文件_附录四级无标题"/>
    <w:basedOn w:val="88"/>
    <w:qFormat/>
    <w:uiPriority w:val="0"/>
    <w:pPr>
      <w:spacing w:beforeLines="0" w:afterLines="0" w:line="276" w:lineRule="auto"/>
      <w:outlineLvl w:val="9"/>
    </w:pPr>
    <w:rPr>
      <w:rFonts w:ascii="宋体" w:eastAsia="宋体"/>
    </w:rPr>
  </w:style>
  <w:style w:type="paragraph" w:customStyle="1" w:styleId="221">
    <w:name w:val="标准文件_附录五级无标题"/>
    <w:basedOn w:val="90"/>
    <w:qFormat/>
    <w:uiPriority w:val="0"/>
    <w:pPr>
      <w:spacing w:beforeLines="0" w:afterLines="0" w:line="276" w:lineRule="auto"/>
      <w:outlineLvl w:val="9"/>
    </w:pPr>
    <w:rPr>
      <w:rFonts w:ascii="宋体" w:eastAsia="宋体"/>
    </w:rPr>
  </w:style>
  <w:style w:type="paragraph" w:customStyle="1" w:styleId="222">
    <w:name w:val="标准文件_引言一级无标题"/>
    <w:basedOn w:val="206"/>
    <w:next w:val="62"/>
    <w:qFormat/>
    <w:uiPriority w:val="0"/>
    <w:pPr>
      <w:spacing w:beforeLines="0" w:afterLines="0" w:line="276" w:lineRule="auto"/>
    </w:pPr>
    <w:rPr>
      <w:rFonts w:ascii="宋体" w:eastAsia="宋体"/>
    </w:rPr>
  </w:style>
  <w:style w:type="paragraph" w:customStyle="1" w:styleId="223">
    <w:name w:val="标准文件_引言二级无标题"/>
    <w:basedOn w:val="207"/>
    <w:next w:val="62"/>
    <w:qFormat/>
    <w:uiPriority w:val="0"/>
    <w:pPr>
      <w:spacing w:beforeLines="0" w:afterLines="0" w:line="276" w:lineRule="auto"/>
    </w:pPr>
    <w:rPr>
      <w:rFonts w:ascii="宋体" w:eastAsia="宋体"/>
    </w:rPr>
  </w:style>
  <w:style w:type="paragraph" w:customStyle="1" w:styleId="224">
    <w:name w:val="标准文件_引言三级无标题"/>
    <w:basedOn w:val="208"/>
    <w:next w:val="62"/>
    <w:qFormat/>
    <w:uiPriority w:val="0"/>
    <w:pPr>
      <w:spacing w:beforeLines="0" w:afterLines="0" w:line="276" w:lineRule="auto"/>
    </w:pPr>
    <w:rPr>
      <w:rFonts w:ascii="宋体" w:eastAsia="宋体"/>
    </w:rPr>
  </w:style>
  <w:style w:type="paragraph" w:customStyle="1" w:styleId="225">
    <w:name w:val="标准文件_引言四级无标题"/>
    <w:basedOn w:val="209"/>
    <w:next w:val="62"/>
    <w:qFormat/>
    <w:uiPriority w:val="0"/>
    <w:pPr>
      <w:spacing w:beforeLines="0" w:afterLines="0" w:line="276" w:lineRule="auto"/>
    </w:pPr>
    <w:rPr>
      <w:rFonts w:ascii="宋体" w:eastAsia="宋体"/>
    </w:rPr>
  </w:style>
  <w:style w:type="paragraph" w:customStyle="1" w:styleId="226">
    <w:name w:val="标准文件_引言五级无标题"/>
    <w:basedOn w:val="210"/>
    <w:next w:val="62"/>
    <w:qFormat/>
    <w:uiPriority w:val="0"/>
    <w:pPr>
      <w:spacing w:beforeLines="0" w:afterLines="0" w:line="276" w:lineRule="auto"/>
    </w:pPr>
    <w:rPr>
      <w:rFonts w:ascii="宋体" w:eastAsia="宋体"/>
    </w:rPr>
  </w:style>
  <w:style w:type="paragraph" w:customStyle="1" w:styleId="227">
    <w:name w:val="标准文件_索引标题"/>
    <w:basedOn w:val="69"/>
    <w:next w:val="62"/>
    <w:qFormat/>
    <w:uiPriority w:val="0"/>
    <w:rPr>
      <w:rFonts w:hAnsi="黑体"/>
    </w:rPr>
  </w:style>
  <w:style w:type="paragraph" w:customStyle="1" w:styleId="228">
    <w:name w:val="标准文件_脚注内容"/>
    <w:basedOn w:val="62"/>
    <w:qFormat/>
    <w:uiPriority w:val="0"/>
    <w:pPr>
      <w:ind w:left="400" w:leftChars="200" w:hanging="200" w:hangingChars="200"/>
    </w:pPr>
    <w:rPr>
      <w:sz w:val="15"/>
    </w:rPr>
  </w:style>
  <w:style w:type="paragraph" w:customStyle="1" w:styleId="229">
    <w:name w:val="标准文件_术语条一"/>
    <w:basedOn w:val="168"/>
    <w:next w:val="62"/>
    <w:qFormat/>
    <w:uiPriority w:val="0"/>
  </w:style>
  <w:style w:type="paragraph" w:customStyle="1" w:styleId="230">
    <w:name w:val="标准文件_术语条二"/>
    <w:basedOn w:val="171"/>
    <w:next w:val="62"/>
    <w:qFormat/>
    <w:uiPriority w:val="0"/>
  </w:style>
  <w:style w:type="paragraph" w:customStyle="1" w:styleId="231">
    <w:name w:val="标准文件_术语条三"/>
    <w:basedOn w:val="170"/>
    <w:next w:val="62"/>
    <w:qFormat/>
    <w:uiPriority w:val="0"/>
  </w:style>
  <w:style w:type="paragraph" w:customStyle="1" w:styleId="232">
    <w:name w:val="标准文件_术语条四"/>
    <w:basedOn w:val="173"/>
    <w:next w:val="62"/>
    <w:qFormat/>
    <w:uiPriority w:val="0"/>
  </w:style>
  <w:style w:type="paragraph" w:customStyle="1" w:styleId="233">
    <w:name w:val="标准文件_术语条五"/>
    <w:basedOn w:val="169"/>
    <w:next w:val="62"/>
    <w:qFormat/>
    <w:uiPriority w:val="0"/>
  </w:style>
  <w:style w:type="paragraph" w:customStyle="1" w:styleId="234">
    <w:name w:val="Defaul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5">
    <w:name w:val="发布"/>
    <w:basedOn w:val="33"/>
    <w:uiPriority w:val="0"/>
    <w:rPr>
      <w:rFonts w:ascii="黑体" w:eastAsia="黑体"/>
      <w:spacing w:val="85"/>
      <w:w w:val="100"/>
      <w:position w:val="3"/>
      <w:sz w:val="28"/>
      <w:szCs w:val="28"/>
    </w:rPr>
  </w:style>
  <w:style w:type="character" w:customStyle="1" w:styleId="236">
    <w:name w:val="文档结构图 字符"/>
    <w:basedOn w:val="33"/>
    <w:link w:val="14"/>
    <w:semiHidden/>
    <w:uiPriority w:val="99"/>
    <w:rPr>
      <w:rFonts w:ascii="宋体"/>
      <w:kern w:val="2"/>
      <w:sz w:val="18"/>
      <w:szCs w:val="18"/>
    </w:rPr>
  </w:style>
  <w:style w:type="paragraph" w:customStyle="1" w:styleId="237">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table" w:customStyle="1" w:styleId="238">
    <w:name w:val="网格型14"/>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9">
    <w:name w:val="批注文字 字符"/>
    <w:basedOn w:val="33"/>
    <w:link w:val="15"/>
    <w:uiPriority w:val="99"/>
    <w:rPr>
      <w:kern w:val="2"/>
      <w:sz w:val="21"/>
      <w:szCs w:val="22"/>
    </w:rPr>
  </w:style>
  <w:style w:type="character" w:customStyle="1" w:styleId="240">
    <w:name w:val="日期 字符"/>
    <w:basedOn w:val="33"/>
    <w:link w:val="19"/>
    <w:uiPriority w:val="99"/>
    <w:rPr>
      <w:kern w:val="2"/>
      <w:sz w:val="21"/>
      <w:szCs w:val="22"/>
    </w:rPr>
  </w:style>
  <w:style w:type="character" w:customStyle="1" w:styleId="241">
    <w:name w:val="批注主题 字符"/>
    <w:basedOn w:val="239"/>
    <w:link w:val="30"/>
    <w:uiPriority w:val="99"/>
    <w:rPr>
      <w:b/>
      <w:bCs/>
      <w:kern w:val="2"/>
      <w:sz w:val="21"/>
      <w:szCs w:val="22"/>
    </w:rPr>
  </w:style>
  <w:style w:type="paragraph" w:customStyle="1" w:styleId="242">
    <w:name w:val="TOC 标题1"/>
    <w:basedOn w:val="2"/>
    <w:next w:val="1"/>
    <w:unhideWhenUsed/>
    <w:qFormat/>
    <w:uiPriority w:val="39"/>
    <w:pPr>
      <w:widowControl/>
      <w:adjustRightInd/>
      <w:spacing w:before="240" w:after="0" w:line="259" w:lineRule="auto"/>
      <w:jc w:val="left"/>
      <w:outlineLvl w:val="9"/>
    </w:pPr>
    <w:rPr>
      <w:rFonts w:ascii="Cambria" w:hAnsi="Cambria"/>
      <w:b w:val="0"/>
      <w:bCs w:val="0"/>
      <w:color w:val="365F91"/>
      <w:kern w:val="0"/>
      <w:sz w:val="32"/>
      <w:szCs w:val="32"/>
    </w:rPr>
  </w:style>
  <w:style w:type="table" w:customStyle="1" w:styleId="243">
    <w:name w:val="网格型1"/>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
    <w:name w:val="网格型2"/>
    <w:basedOn w:val="31"/>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
    <w:name w:val="网格型3"/>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
    <w:name w:val="网格型4"/>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
    <w:name w:val="网格型5"/>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
    <w:name w:val="网格型6"/>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
    <w:name w:val="网格型7"/>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
    <w:name w:val="网格型8"/>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
    <w:name w:val="网格型9"/>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
    <w:name w:val="网格型10"/>
    <w:basedOn w:val="31"/>
    <w:qFormat/>
    <w:uiPriority w:val="3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
    <w:name w:val="网格型41"/>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
    <w:name w:val="网格型51"/>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
    <w:name w:val="网格型61"/>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
    <w:name w:val="网格型71"/>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
    <w:name w:val="网格型81"/>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
    <w:name w:val="网格型11"/>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
    <w:name w:val="网格型12"/>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
    <w:name w:val="网格型13"/>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
    <w:name w:val="网格型15"/>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
    <w:name w:val="网格型16"/>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
    <w:name w:val="网格型17"/>
    <w:basedOn w:val="31"/>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4">
    <w:name w:val="Revision"/>
    <w:semiHidden/>
    <w:uiPriority w:val="99"/>
    <w:rPr>
      <w:rFonts w:ascii="Calibri" w:hAnsi="Calibri" w:eastAsia="宋体" w:cs="Times New Roman"/>
      <w:kern w:val="2"/>
      <w:sz w:val="21"/>
      <w:szCs w:val="22"/>
      <w:lang w:val="en-US" w:eastAsia="zh-CN" w:bidi="ar-SA"/>
    </w:rPr>
  </w:style>
  <w:style w:type="paragraph" w:customStyle="1" w:styleId="265">
    <w:name w:val="TOC Heading"/>
    <w:basedOn w:val="2"/>
    <w:next w:val="1"/>
    <w:qFormat/>
    <w:uiPriority w:val="39"/>
    <w:pPr>
      <w:widowControl/>
      <w:adjustRightInd/>
      <w:spacing w:before="240" w:after="0" w:line="259" w:lineRule="auto"/>
      <w:jc w:val="left"/>
      <w:outlineLvl w:val="9"/>
    </w:pPr>
    <w:rPr>
      <w:rFonts w:ascii="等线 Light" w:hAnsi="等线 Light" w:eastAsia="等线 Light"/>
      <w:b w:val="0"/>
      <w:bCs w:val="0"/>
      <w:color w:val="2F5496"/>
      <w:kern w:val="0"/>
      <w:sz w:val="32"/>
      <w:szCs w:val="32"/>
    </w:rPr>
  </w:style>
  <w:style w:type="character" w:customStyle="1" w:styleId="266">
    <w:name w:val="Unresolved Mention"/>
    <w:unhideWhenUsed/>
    <w:uiPriority w:val="99"/>
    <w:rPr>
      <w:color w:val="605E5C"/>
      <w:shd w:val="clear" w:color="auto" w:fill="E1DFDD"/>
    </w:rPr>
  </w:style>
  <w:style w:type="paragraph" w:styleId="267">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5" Type="http://schemas.openxmlformats.org/officeDocument/2006/relationships/glossaryDocument" Target="glossary/document.xml"/><Relationship Id="rId74" Type="http://schemas.openxmlformats.org/officeDocument/2006/relationships/fontTable" Target="fontTable.xml"/><Relationship Id="rId73" Type="http://schemas.openxmlformats.org/officeDocument/2006/relationships/customXml" Target="../customXml/item2.xml"/><Relationship Id="rId72" Type="http://schemas.openxmlformats.org/officeDocument/2006/relationships/numbering" Target="numbering.xml"/><Relationship Id="rId71" Type="http://schemas.openxmlformats.org/officeDocument/2006/relationships/customXml" Target="../customXml/item1.xml"/><Relationship Id="rId70" Type="http://schemas.openxmlformats.org/officeDocument/2006/relationships/image" Target="media/image57.png"/><Relationship Id="rId7" Type="http://schemas.openxmlformats.org/officeDocument/2006/relationships/footer" Target="footer1.xml"/><Relationship Id="rId69" Type="http://schemas.openxmlformats.org/officeDocument/2006/relationships/image" Target="media/image56.png"/><Relationship Id="rId68" Type="http://schemas.openxmlformats.org/officeDocument/2006/relationships/image" Target="media/image55.png"/><Relationship Id="rId67" Type="http://schemas.openxmlformats.org/officeDocument/2006/relationships/image" Target="media/image54.png"/><Relationship Id="rId66" Type="http://schemas.openxmlformats.org/officeDocument/2006/relationships/image" Target="media/image53.png"/><Relationship Id="rId65" Type="http://schemas.openxmlformats.org/officeDocument/2006/relationships/image" Target="media/image52.png"/><Relationship Id="rId64" Type="http://schemas.openxmlformats.org/officeDocument/2006/relationships/image" Target="media/image51.png"/><Relationship Id="rId63" Type="http://schemas.openxmlformats.org/officeDocument/2006/relationships/image" Target="media/image50.png"/><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header" Target="header2.xml"/><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header" Target="header1.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image" Target="media/image1.tiff"/><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9E3B628B95164B5A8436AB1B13CD098E"/>
        <w:style w:val=""/>
        <w:category>
          <w:name w:val="常规"/>
          <w:gallery w:val="placeholder"/>
        </w:category>
        <w:types>
          <w:type w:val="bbPlcHdr"/>
        </w:types>
        <w:behaviors>
          <w:behavior w:val="content"/>
        </w:behaviors>
        <w:description w:val=""/>
        <w:guid w:val="{BBC4CC37-0960-41FB-AA86-6A22141C61E7}"/>
      </w:docPartPr>
      <w:docPartBody>
        <w:p>
          <w:pPr>
            <w:pStyle w:val="5"/>
            <w:rPr>
              <w:rFonts w:hint="eastAsia"/>
            </w:rPr>
          </w:pPr>
          <w:r>
            <w:rPr>
              <w:rStyle w:val="4"/>
              <w:rFonts w:hint="eastAsia"/>
            </w:rPr>
            <w:t>单击或点击此处输入文字。</w:t>
          </w:r>
        </w:p>
      </w:docPartBody>
    </w:docPart>
    <w:docPart>
      <w:docPartPr>
        <w:name w:val="08B9AE389C7948AAA37C86BAA9EA2344"/>
        <w:style w:val=""/>
        <w:category>
          <w:name w:val="常规"/>
          <w:gallery w:val="placeholder"/>
        </w:category>
        <w:types>
          <w:type w:val="bbPlcHdr"/>
        </w:types>
        <w:behaviors>
          <w:behavior w:val="content"/>
        </w:behaviors>
        <w:description w:val=""/>
        <w:guid w:val="{26A7FA22-01BC-4EC2-B4E1-9F366E639647}"/>
      </w:docPartPr>
      <w:docPartBody>
        <w:p>
          <w:pPr>
            <w:pStyle w:val="6"/>
            <w:rPr>
              <w:rFonts w:hint="eastAsia"/>
            </w:rPr>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
  <w:rsids>
    <w:rsidRoot w:val="00D15362"/>
    <w:rsid w:val="00047A9A"/>
    <w:rsid w:val="00073975"/>
    <w:rsid w:val="00086FCC"/>
    <w:rsid w:val="00115666"/>
    <w:rsid w:val="001E4748"/>
    <w:rsid w:val="0026635C"/>
    <w:rsid w:val="002B534A"/>
    <w:rsid w:val="002D20DF"/>
    <w:rsid w:val="00332E5F"/>
    <w:rsid w:val="003370F4"/>
    <w:rsid w:val="00357B81"/>
    <w:rsid w:val="003662D4"/>
    <w:rsid w:val="003D30A1"/>
    <w:rsid w:val="00421B70"/>
    <w:rsid w:val="004279DF"/>
    <w:rsid w:val="004A4A23"/>
    <w:rsid w:val="005531E4"/>
    <w:rsid w:val="00695ABB"/>
    <w:rsid w:val="006E7AA1"/>
    <w:rsid w:val="0070370A"/>
    <w:rsid w:val="007312A5"/>
    <w:rsid w:val="008F2F6B"/>
    <w:rsid w:val="009313D6"/>
    <w:rsid w:val="00937B42"/>
    <w:rsid w:val="00940856"/>
    <w:rsid w:val="00A35002"/>
    <w:rsid w:val="00A97C5A"/>
    <w:rsid w:val="00C226B8"/>
    <w:rsid w:val="00C87A76"/>
    <w:rsid w:val="00CD7583"/>
    <w:rsid w:val="00D15362"/>
    <w:rsid w:val="00D313A5"/>
    <w:rsid w:val="00D85147"/>
    <w:rsid w:val="00D91378"/>
    <w:rsid w:val="00DE60F6"/>
    <w:rsid w:val="00E13EC1"/>
    <w:rsid w:val="00E554A9"/>
    <w:rsid w:val="00E65B83"/>
    <w:rsid w:val="00EA7F10"/>
    <w:rsid w:val="00F1325A"/>
    <w:rsid w:val="00FC6111"/>
    <w:rsid w:val="00FD2E0D"/>
    <w:rsid w:val="00FF59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9E3B628B95164B5A8436AB1B13CD098E"/>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08B9AE389C7948AAA37C86BAA9EA2344"/>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0B1D808-F1CA-4C12-B025-4D3AC3EA9E66}">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61</Pages>
  <Words>6071</Words>
  <Characters>34609</Characters>
  <Lines>288</Lines>
  <Paragraphs>81</Paragraphs>
  <TotalTime>1</TotalTime>
  <ScaleCrop>false</ScaleCrop>
  <LinksUpToDate>false</LinksUpToDate>
  <CharactersWithSpaces>40599</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2024-08-14T07:18:00Z</dcterms:created>
  <dc:creator>胥文婷</dc:creator>
  <cp:lastModifiedBy>吴晓春</cp:lastModifiedBy>
  <cp:lastPrinted>2020-08-30T10:00:00Z</cp:lastPrinted>
  <dcterms:modified xsi:type="dcterms:W3CDTF">2024-08-19T01:50:36Z</dcterms:modified>
  <dc:title>地方标准</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2052-11.8.2.10393</vt:lpwstr>
  </property>
</Properties>
</file>