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tiff" ContentType="image/tiff"/>
  <Default Extension="jpeg" ContentType="image/jpeg"/>
  <Default Extension="JPG" ContentType="image/.jpg"/>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notes.xml" ContentType="application/vnd.openxmlformats-officedocument.wordprocessingml.footnotes+xml"/>
  <Override PartName="/word/glossary/document.xml" ContentType="application/vnd.openxmlformats-officedocument.wordprocessingml.document.glossary+xml"/>
  <Override PartName="/word/glossary/fontTable.xml" ContentType="application/vnd.openxmlformats-officedocument.wordprocessingml.fontTable+xml"/>
  <Override PartName="/word/glossary/settings.xml" ContentType="application/vnd.openxmlformats-officedocument.wordprocessingml.settings+xml"/>
  <Override PartName="/word/glossary/styles.xml" ContentType="application/vnd.openxmlformats-officedocument.wordprocessingml.styl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28"/>
        <w:tblW w:w="9364"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0" w:type="dxa"/>
          <w:bottom w:w="0" w:type="dxa"/>
          <w:right w:w="0" w:type="dxa"/>
        </w:tblCellMar>
      </w:tblPr>
      <w:tblGrid>
        <w:gridCol w:w="509"/>
        <w:gridCol w:w="8855"/>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c>
          <w:tcPr>
            <w:tcW w:w="509" w:type="dxa"/>
          </w:tcPr>
          <w:p>
            <w:pPr>
              <w:pStyle w:val="19"/>
              <w:framePr w:wrap="notBeside" w:vAnchor="page" w:hAnchor="page" w:x="1372" w:y="568"/>
              <w:tabs>
                <w:tab w:val="clear" w:pos="4153"/>
                <w:tab w:val="clear" w:pos="8306"/>
              </w:tabs>
              <w:spacing w:line="240" w:lineRule="auto"/>
              <w:jc w:val="left"/>
              <w:rPr>
                <w:rFonts w:ascii="黑体" w:hAnsi="黑体" w:eastAsia="黑体"/>
                <w:sz w:val="21"/>
                <w:szCs w:val="21"/>
              </w:rPr>
            </w:pPr>
            <w:r>
              <w:rPr>
                <w:rFonts w:ascii="Times New Roman" w:hAnsi="Times New Roman" w:eastAsia="黑体"/>
                <w:sz w:val="21"/>
                <w:szCs w:val="21"/>
              </w:rPr>
              <w:t>ICS</w:t>
            </w:r>
          </w:p>
        </w:tc>
        <w:tc>
          <w:tcPr>
            <w:tcW w:w="8855" w:type="dxa"/>
          </w:tcPr>
          <w:p>
            <w:pPr>
              <w:pStyle w:val="19"/>
              <w:framePr w:wrap="notBeside" w:vAnchor="page" w:hAnchor="page" w:x="1372" w:y="568"/>
              <w:tabs>
                <w:tab w:val="clear" w:pos="4153"/>
                <w:tab w:val="clear" w:pos="8306"/>
              </w:tabs>
              <w:spacing w:line="240" w:lineRule="auto"/>
              <w:jc w:val="both"/>
              <w:rPr>
                <w:rFonts w:ascii="黑体" w:hAnsi="黑体" w:eastAsia="黑体"/>
                <w:sz w:val="21"/>
                <w:szCs w:val="21"/>
              </w:rPr>
            </w:pPr>
            <w:r>
              <w:rPr>
                <w:rFonts w:ascii="黑体" w:hAnsi="黑体" w:eastAsia="黑体"/>
                <w:sz w:val="21"/>
                <w:szCs w:val="21"/>
              </w:rPr>
              <w:fldChar w:fldCharType="begin">
                <w:ffData>
                  <w:name w:val="ICS"/>
                  <w:enabled/>
                  <w:calcOnExit w:val="0"/>
                  <w:textInput>
                    <w:default w:val="点击此处添加ICS号"/>
                  </w:textInput>
                </w:ffData>
              </w:fldChar>
            </w:r>
            <w:bookmarkStart w:id="0" w:name="ICS"/>
            <w:r>
              <w:rPr>
                <w:rFonts w:ascii="黑体" w:hAnsi="黑体" w:eastAsia="黑体"/>
                <w:sz w:val="21"/>
                <w:szCs w:val="21"/>
              </w:rPr>
              <w:instrText xml:space="preserve"> FORMTEXT </w:instrText>
            </w:r>
            <w:r>
              <w:rPr>
                <w:rFonts w:ascii="黑体" w:hAnsi="黑体" w:eastAsia="黑体"/>
                <w:sz w:val="21"/>
                <w:szCs w:val="21"/>
              </w:rPr>
              <w:fldChar w:fldCharType="separate"/>
            </w:r>
            <w:r>
              <w:rPr>
                <w:rFonts w:hint="eastAsia" w:ascii="黑体" w:hAnsi="黑体" w:eastAsia="黑体"/>
                <w:sz w:val="21"/>
                <w:szCs w:val="21"/>
                <w:lang w:val="en-US" w:eastAsia="zh-CN"/>
              </w:rPr>
              <w:t>83</w:t>
            </w:r>
            <w:r>
              <w:rPr>
                <w:rFonts w:hint="eastAsia" w:ascii="黑体" w:hAnsi="黑体" w:eastAsia="黑体"/>
                <w:sz w:val="21"/>
                <w:szCs w:val="21"/>
              </w:rPr>
              <w:t>.1</w:t>
            </w:r>
            <w:r>
              <w:rPr>
                <w:rFonts w:hint="eastAsia" w:ascii="黑体" w:hAnsi="黑体" w:eastAsia="黑体"/>
                <w:sz w:val="21"/>
                <w:szCs w:val="21"/>
                <w:lang w:val="en-US" w:eastAsia="zh-CN"/>
              </w:rPr>
              <w:t>4</w:t>
            </w:r>
            <w:r>
              <w:rPr>
                <w:rFonts w:hint="eastAsia" w:ascii="黑体" w:hAnsi="黑体" w:eastAsia="黑体"/>
                <w:sz w:val="21"/>
                <w:szCs w:val="21"/>
              </w:rPr>
              <w:t>0.</w:t>
            </w:r>
            <w:r>
              <w:rPr>
                <w:rFonts w:hint="eastAsia" w:ascii="黑体" w:hAnsi="黑体" w:eastAsia="黑体"/>
                <w:sz w:val="21"/>
                <w:szCs w:val="21"/>
                <w:lang w:val="en-US" w:eastAsia="zh-CN"/>
              </w:rPr>
              <w:t>3</w:t>
            </w:r>
            <w:r>
              <w:rPr>
                <w:rFonts w:hint="eastAsia" w:ascii="黑体" w:hAnsi="黑体" w:eastAsia="黑体"/>
                <w:sz w:val="21"/>
                <w:szCs w:val="21"/>
              </w:rPr>
              <w:t>0</w:t>
            </w:r>
            <w:r>
              <w:rPr>
                <w:rFonts w:ascii="黑体" w:hAnsi="黑体" w:eastAsia="黑体"/>
                <w:sz w:val="21"/>
                <w:szCs w:val="21"/>
              </w:rPr>
              <w:fldChar w:fldCharType="end"/>
            </w:r>
            <w:bookmarkEnd w:id="0"/>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c>
          <w:tcPr>
            <w:tcW w:w="509" w:type="dxa"/>
          </w:tcPr>
          <w:p>
            <w:pPr>
              <w:pStyle w:val="19"/>
              <w:framePr w:wrap="notBeside" w:vAnchor="page" w:hAnchor="page" w:x="1372" w:y="568"/>
              <w:tabs>
                <w:tab w:val="clear" w:pos="4153"/>
                <w:tab w:val="clear" w:pos="8306"/>
              </w:tabs>
              <w:spacing w:before="40" w:line="240" w:lineRule="auto"/>
              <w:jc w:val="left"/>
              <w:rPr>
                <w:rFonts w:ascii="黑体" w:hAnsi="黑体" w:eastAsia="黑体"/>
                <w:sz w:val="21"/>
                <w:szCs w:val="21"/>
              </w:rPr>
            </w:pPr>
            <w:r>
              <w:rPr>
                <w:rFonts w:ascii="Times New Roman" w:hAnsi="Times New Roman" w:eastAsia="黑体"/>
                <w:sz w:val="21"/>
                <w:szCs w:val="21"/>
              </w:rPr>
              <w:t>CCS</w:t>
            </w:r>
          </w:p>
        </w:tc>
        <w:tc>
          <w:tcPr>
            <w:tcW w:w="8855" w:type="dxa"/>
          </w:tcPr>
          <w:p>
            <w:pPr>
              <w:pStyle w:val="19"/>
              <w:framePr w:wrap="notBeside" w:vAnchor="page" w:hAnchor="page" w:x="1372" w:y="568"/>
              <w:tabs>
                <w:tab w:val="clear" w:pos="4153"/>
                <w:tab w:val="clear" w:pos="8306"/>
              </w:tabs>
              <w:spacing w:before="40" w:line="240" w:lineRule="auto"/>
              <w:jc w:val="left"/>
              <w:rPr>
                <w:rFonts w:ascii="黑体" w:hAnsi="黑体" w:eastAsia="黑体"/>
                <w:sz w:val="21"/>
                <w:szCs w:val="21"/>
              </w:rPr>
            </w:pPr>
            <w:r>
              <w:rPr>
                <w:rFonts w:ascii="黑体" w:hAnsi="黑体" w:eastAsia="黑体"/>
                <w:sz w:val="21"/>
                <w:szCs w:val="21"/>
              </w:rPr>
              <w:fldChar w:fldCharType="begin">
                <w:ffData>
                  <w:name w:val="CSDN"/>
                  <w:enabled/>
                  <w:calcOnExit w:val="0"/>
                  <w:textInput>
                    <w:default w:val="点击此处添加CCS号"/>
                  </w:textInput>
                </w:ffData>
              </w:fldChar>
            </w:r>
            <w:bookmarkStart w:id="1" w:name="CSDN"/>
            <w:r>
              <w:rPr>
                <w:rFonts w:ascii="黑体" w:hAnsi="黑体" w:eastAsia="黑体"/>
                <w:sz w:val="21"/>
                <w:szCs w:val="21"/>
              </w:rPr>
              <w:instrText xml:space="preserve"> FORMTEXT </w:instrText>
            </w:r>
            <w:r>
              <w:rPr>
                <w:rFonts w:ascii="黑体" w:hAnsi="黑体" w:eastAsia="黑体"/>
                <w:sz w:val="21"/>
                <w:szCs w:val="21"/>
              </w:rPr>
              <w:fldChar w:fldCharType="separate"/>
            </w:r>
            <w:r>
              <w:rPr>
                <w:rFonts w:hint="eastAsia" w:ascii="黑体" w:hAnsi="黑体" w:eastAsia="黑体"/>
                <w:sz w:val="21"/>
                <w:szCs w:val="21"/>
                <w:lang w:val="en-US" w:eastAsia="zh-CN"/>
              </w:rPr>
              <w:t>G  33</w:t>
            </w:r>
            <w:r>
              <w:rPr>
                <w:rFonts w:ascii="黑体" w:hAnsi="黑体" w:eastAsia="黑体"/>
                <w:sz w:val="21"/>
                <w:szCs w:val="21"/>
              </w:rPr>
              <w:fldChar w:fldCharType="end"/>
            </w:r>
            <w:bookmarkEnd w:id="1"/>
          </w:p>
        </w:tc>
      </w:tr>
    </w:tbl>
    <w:tbl>
      <w:tblPr>
        <w:tblStyle w:val="28"/>
        <w:tblpPr w:leftFromText="180" w:rightFromText="180" w:vertAnchor="text" w:horzAnchor="margin" w:tblpX="2683" w:tblpY="578"/>
        <w:tblW w:w="0" w:type="auto"/>
        <w:tblInd w:w="0" w:type="dxa"/>
        <w:tblBorders>
          <w:top w:val="none" w:color="auto" w:sz="0" w:space="0"/>
          <w:left w:val="none" w:color="auto" w:sz="0" w:space="0"/>
          <w:bottom w:val="none" w:color="auto" w:sz="0" w:space="0"/>
          <w:right w:val="none" w:color="auto" w:sz="0" w:space="0"/>
          <w:insideH w:val="single" w:color="auto" w:sz="4" w:space="0"/>
          <w:insideV w:val="single" w:color="auto" w:sz="4" w:space="0"/>
        </w:tblBorders>
        <w:tblLayout w:type="autofit"/>
        <w:tblCellMar>
          <w:top w:w="0" w:type="dxa"/>
          <w:left w:w="108" w:type="dxa"/>
          <w:bottom w:w="0" w:type="dxa"/>
          <w:right w:w="221" w:type="dxa"/>
        </w:tblCellMar>
      </w:tblPr>
      <w:tblGrid>
        <w:gridCol w:w="6407"/>
      </w:tblGrid>
      <w:tr>
        <w:tblPrEx>
          <w:tblBorders>
            <w:top w:val="none" w:color="auto" w:sz="0" w:space="0"/>
            <w:left w:val="none" w:color="auto" w:sz="0" w:space="0"/>
            <w:bottom w:val="none" w:color="auto" w:sz="0" w:space="0"/>
            <w:right w:val="none" w:color="auto" w:sz="0" w:space="0"/>
            <w:insideH w:val="single" w:color="auto" w:sz="4" w:space="0"/>
            <w:insideV w:val="single" w:color="auto" w:sz="4" w:space="0"/>
          </w:tblBorders>
          <w:tblCellMar>
            <w:top w:w="0" w:type="dxa"/>
            <w:left w:w="108" w:type="dxa"/>
            <w:bottom w:w="0" w:type="dxa"/>
            <w:right w:w="221" w:type="dxa"/>
          </w:tblCellMar>
        </w:tblPrEx>
        <w:tc>
          <w:tcPr>
            <w:tcW w:w="6407" w:type="dxa"/>
          </w:tcPr>
          <w:p>
            <w:pPr>
              <w:pStyle w:val="51"/>
              <w:framePr w:w="0" w:hRule="auto" w:wrap="auto" w:vAnchor="margin" w:hAnchor="text" w:xAlign="left" w:yAlign="inline"/>
              <w:rPr>
                <w:rFonts w:ascii="宋体" w:hAnsi="宋体"/>
                <w:sz w:val="28"/>
                <w:szCs w:val="28"/>
              </w:rPr>
            </w:pPr>
            <w:bookmarkStart w:id="2" w:name="_Hlk26473981"/>
            <w:r>
              <w:drawing>
                <wp:inline distT="0" distB="0" distL="0" distR="0">
                  <wp:extent cx="796290" cy="397510"/>
                  <wp:effectExtent l="0" t="0" r="3810" b="254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813958" cy="406373"/>
                          </a:xfrm>
                          <a:prstGeom prst="rect">
                            <a:avLst/>
                          </a:prstGeom>
                        </pic:spPr>
                      </pic:pic>
                    </a:graphicData>
                  </a:graphic>
                </wp:inline>
              </w:drawing>
            </w:r>
            <w:r>
              <w:fldChar w:fldCharType="begin">
                <w:ffData>
                  <w:name w:val="c1"/>
                  <w:enabled/>
                  <w:calcOnExit w:val="0"/>
                  <w:textInput>
                    <w:maxLength w:val="8"/>
                  </w:textInput>
                </w:ffData>
              </w:fldChar>
            </w:r>
            <w:bookmarkStart w:id="3" w:name="c1"/>
            <w:r>
              <w:instrText xml:space="preserve"> FORMTEXT </w:instrText>
            </w:r>
            <w:r>
              <w:fldChar w:fldCharType="separate"/>
            </w:r>
            <w:r>
              <w:rPr>
                <w:rFonts w:hint="eastAsia"/>
              </w:rPr>
              <w:t>32</w:t>
            </w:r>
            <w:r>
              <w:fldChar w:fldCharType="end"/>
            </w:r>
            <w:bookmarkEnd w:id="3"/>
          </w:p>
        </w:tc>
      </w:tr>
    </w:tbl>
    <w:p>
      <w:pPr>
        <w:pStyle w:val="52"/>
        <w:framePr w:w="9639" w:h="624" w:hRule="exact" w:hSpace="181" w:vSpace="181" w:wrap="around" w:hAnchor="page" w:x="1305" w:y="2269"/>
        <w:rPr>
          <w:rFonts w:ascii="黑体" w:hAnsi="黑体" w:eastAsia="黑体"/>
          <w:b w:val="0"/>
          <w:bCs w:val="0"/>
          <w:w w:val="100"/>
          <w:sz w:val="48"/>
          <w:szCs w:val="48"/>
        </w:rPr>
      </w:pPr>
      <w:r>
        <w:rPr>
          <w:rFonts w:ascii="黑体" w:eastAsia="黑体"/>
          <w:b w:val="0"/>
          <w:w w:val="100"/>
          <w:sz w:val="48"/>
        </w:rPr>
        <w:fldChar w:fldCharType="begin">
          <w:ffData>
            <w:name w:val="c2"/>
            <w:enabled/>
            <w:calcOnExit w:val="0"/>
            <w:textInput/>
          </w:ffData>
        </w:fldChar>
      </w:r>
      <w:bookmarkStart w:id="4" w:name="c2"/>
      <w:r>
        <w:rPr>
          <w:rFonts w:ascii="黑体" w:eastAsia="黑体"/>
          <w:b w:val="0"/>
          <w:w w:val="100"/>
          <w:sz w:val="48"/>
        </w:rPr>
        <w:instrText xml:space="preserve"> FORMTEXT </w:instrText>
      </w:r>
      <w:r>
        <w:rPr>
          <w:rFonts w:ascii="黑体" w:eastAsia="黑体"/>
          <w:b w:val="0"/>
          <w:w w:val="100"/>
          <w:sz w:val="48"/>
        </w:rPr>
        <w:fldChar w:fldCharType="separate"/>
      </w:r>
      <w:r>
        <w:rPr>
          <w:rFonts w:hint="eastAsia" w:ascii="黑体" w:eastAsia="黑体"/>
          <w:b w:val="0"/>
          <w:w w:val="100"/>
          <w:sz w:val="48"/>
        </w:rPr>
        <w:t>江苏省</w:t>
      </w:r>
      <w:r>
        <w:rPr>
          <w:rFonts w:ascii="黑体" w:eastAsia="黑体"/>
          <w:b w:val="0"/>
          <w:w w:val="100"/>
          <w:sz w:val="48"/>
        </w:rPr>
        <w:fldChar w:fldCharType="end"/>
      </w:r>
      <w:bookmarkEnd w:id="4"/>
      <w:r>
        <w:rPr>
          <w:rFonts w:hint="eastAsia" w:ascii="黑体" w:hAnsi="黑体" w:eastAsia="黑体"/>
          <w:b w:val="0"/>
          <w:bCs w:val="0"/>
          <w:w w:val="100"/>
          <w:sz w:val="48"/>
          <w:szCs w:val="48"/>
        </w:rPr>
        <w:t>地方标准</w:t>
      </w:r>
    </w:p>
    <w:bookmarkEnd w:id="2"/>
    <w:p>
      <w:pPr>
        <w:pStyle w:val="197"/>
        <w:rPr>
          <w:lang w:val="fr-FR"/>
        </w:rPr>
      </w:pPr>
      <w:r>
        <w:rPr>
          <w:lang w:val="fr-FR"/>
        </w:rPr>
        <w:t>DB</w:t>
      </w:r>
      <w:r>
        <w:fldChar w:fldCharType="begin">
          <w:ffData>
            <w:name w:val="文字1"/>
            <w:enabled/>
            <w:calcOnExit w:val="0"/>
            <w:textInput>
              <w:default w:val="XX/T"/>
            </w:textInput>
          </w:ffData>
        </w:fldChar>
      </w:r>
      <w:bookmarkStart w:id="5" w:name="文字1"/>
      <w:r>
        <w:rPr>
          <w:lang w:val="fr-FR"/>
        </w:rPr>
        <w:instrText xml:space="preserve"> FORMTEXT </w:instrText>
      </w:r>
      <w:r>
        <w:fldChar w:fldCharType="separate"/>
      </w:r>
      <w:r>
        <w:rPr>
          <w:rFonts w:hint="eastAsia"/>
          <w:lang w:val="fr-FR"/>
        </w:rPr>
        <w:t>32</w:t>
      </w:r>
      <w:r>
        <w:rPr>
          <w:lang w:val="fr-FR"/>
        </w:rPr>
        <w:t>/T</w:t>
      </w:r>
      <w:r>
        <w:fldChar w:fldCharType="end"/>
      </w:r>
      <w:bookmarkEnd w:id="5"/>
      <w:r>
        <w:fldChar w:fldCharType="begin">
          <w:ffData>
            <w:name w:val="NSTD_CODE_F"/>
            <w:enabled/>
            <w:calcOnExit w:val="0"/>
            <w:textInput>
              <w:default w:val="XXXX"/>
            </w:textInput>
          </w:ffData>
        </w:fldChar>
      </w:r>
      <w:bookmarkStart w:id="6" w:name="NSTD_CODE_F"/>
      <w:r>
        <w:rPr>
          <w:lang w:val="fr-FR"/>
        </w:rPr>
        <w:instrText xml:space="preserve"> FORMTEXT </w:instrText>
      </w:r>
      <w:r>
        <w:fldChar w:fldCharType="separate"/>
      </w:r>
      <w:r>
        <w:rPr>
          <w:lang w:val="fr-FR"/>
        </w:rPr>
        <w:t>XXXX</w:t>
      </w:r>
      <w:r>
        <w:fldChar w:fldCharType="end"/>
      </w:r>
      <w:bookmarkEnd w:id="6"/>
      <w:r>
        <w:rPr>
          <w:rFonts w:hAnsi="黑体"/>
          <w:lang w:val="fr-FR"/>
        </w:rPr>
        <w:t>—</w:t>
      </w:r>
      <w:r>
        <w:fldChar w:fldCharType="begin">
          <w:ffData>
            <w:name w:val="NSTD_CODE_B"/>
            <w:enabled/>
            <w:calcOnExit w:val="0"/>
            <w:textInput>
              <w:default w:val="XXXX"/>
            </w:textInput>
          </w:ffData>
        </w:fldChar>
      </w:r>
      <w:bookmarkStart w:id="7" w:name="NSTD_CODE_B"/>
      <w:r>
        <w:rPr>
          <w:lang w:val="fr-FR"/>
        </w:rPr>
        <w:instrText xml:space="preserve"> FORMTEXT </w:instrText>
      </w:r>
      <w:r>
        <w:fldChar w:fldCharType="separate"/>
      </w:r>
      <w:r>
        <w:rPr>
          <w:rFonts w:hint="eastAsia"/>
        </w:rPr>
        <w:t>202</w:t>
      </w:r>
      <w:r>
        <w:rPr>
          <w:rFonts w:hint="eastAsia"/>
          <w:lang w:val="en-US" w:eastAsia="zh-CN"/>
        </w:rPr>
        <w:t>4</w:t>
      </w:r>
      <w:r>
        <w:fldChar w:fldCharType="end"/>
      </w:r>
      <w:bookmarkEnd w:id="7"/>
    </w:p>
    <w:p>
      <w:pPr>
        <w:pStyle w:val="198"/>
        <w:rPr>
          <w:rFonts w:hAnsi="黑体"/>
        </w:rPr>
      </w:pPr>
      <w:r>
        <w:rPr>
          <w:rFonts w:hAnsi="黑体"/>
        </w:rPr>
        <w:fldChar w:fldCharType="begin">
          <w:ffData>
            <w:name w:val="OSTD_CODE"/>
            <w:enabled/>
            <w:calcOnExit w:val="0"/>
            <w:textInput/>
          </w:ffData>
        </w:fldChar>
      </w:r>
      <w:bookmarkStart w:id="8" w:name="OSTD_CODE"/>
      <w:r>
        <w:rPr>
          <w:rFonts w:hAnsi="黑体"/>
        </w:rPr>
        <w:instrText xml:space="preserve"> FORMTEXT </w:instrText>
      </w:r>
      <w:r>
        <w:rPr>
          <w:rFonts w:hAnsi="黑体"/>
        </w:rPr>
        <w:fldChar w:fldCharType="separate"/>
      </w:r>
      <w:r>
        <w:rPr>
          <w:rFonts w:hAnsi="黑体"/>
        </w:rPr>
        <w:t>     </w:t>
      </w:r>
      <w:r>
        <w:rPr>
          <w:rFonts w:hAnsi="黑体"/>
        </w:rPr>
        <w:fldChar w:fldCharType="end"/>
      </w:r>
      <w:bookmarkEnd w:id="8"/>
    </w:p>
    <w:p>
      <w:pPr>
        <w:spacing w:line="240" w:lineRule="auto"/>
        <w:rPr>
          <w:rFonts w:ascii="黑体" w:hAnsi="黑体" w:eastAsia="黑体"/>
          <w:kern w:val="0"/>
          <w:sz w:val="10"/>
          <w:szCs w:val="10"/>
        </w:rPr>
      </w:pPr>
      <w:r>
        <w:rPr>
          <w:rFonts w:ascii="黑体" w:hAnsi="黑体" w:eastAsia="黑体"/>
          <w:kern w:val="0"/>
          <w:sz w:val="10"/>
          <w:szCs w:val="10"/>
        </w:rPr>
        <w:pict>
          <v:line id="直接连接符 73" o:spid="_x0000_s1026" o:spt="20" style="position:absolute;left:0pt;margin-left:70.9pt;margin-top:212.65pt;height:0pt;width:481.9pt;mso-position-horizontal-relative:page;mso-position-vertical-relative:page;z-index:251660288;mso-width-relative:page;mso-height-relative:page;" coordsize="21600,21600" o:allowoverlap="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">
            <v:path arrowok="t"/>
            <v:fill focussize="0,0"/>
            <v:stroke/>
            <v:imagedata o:title=""/>
            <o:lock v:ext="edit"/>
          </v:line>
        </w:pict>
      </w:r>
    </w:p>
    <w:p>
      <w:pPr>
        <w:pStyle w:val="52"/>
        <w:framePr w:w="9639" w:h="6976" w:hRule="exact" w:hSpace="0" w:vSpace="0" w:wrap="around" w:hAnchor="page" w:y="6408"/>
        <w:jc w:val="center"/>
        <w:rPr>
          <w:rFonts w:ascii="黑体" w:hAnsi="黑体" w:eastAsia="黑体"/>
          <w:b w:val="0"/>
          <w:bCs w:val="0"/>
          <w:w w:val="100"/>
        </w:rPr>
      </w:pPr>
    </w:p>
    <w:p>
      <w:pPr>
        <w:pStyle w:val="199"/>
        <w:framePr w:h="6974" w:hRule="exact" w:wrap="around" w:x="1419" w:anchorLock="1"/>
      </w:pPr>
      <w:r>
        <w:fldChar w:fldCharType="begin">
          <w:ffData>
            <w:name w:val="CSTD_NAME"/>
            <w:enabled/>
            <w:calcOnExit w:val="0"/>
            <w:textInput>
              <w:default w:val="点击此处添加标准名称"/>
            </w:textInput>
          </w:ffData>
        </w:fldChar>
      </w:r>
      <w:bookmarkStart w:id="9" w:name="CSTD_NAME"/>
      <w:r>
        <w:instrText xml:space="preserve"> FORMTEXT </w:instrText>
      </w:r>
      <w:r>
        <w:fldChar w:fldCharType="separate"/>
      </w:r>
      <w:r>
        <w:rPr>
          <w:rFonts w:hint="eastAsia"/>
          <w:lang w:eastAsia="zh-CN"/>
        </w:rPr>
        <w:t>排水用塑料检查井应用技术规程</w:t>
      </w:r>
      <w:r>
        <w:fldChar w:fldCharType="end"/>
      </w:r>
      <w:bookmarkEnd w:id="9"/>
    </w:p>
    <w:p>
      <w:pPr>
        <w:framePr w:w="9639" w:h="6974" w:hRule="exact" w:wrap="around" w:vAnchor="page" w:hAnchor="page" w:x="1419" w:y="6408" w:anchorLock="1"/>
        <w:ind w:left="-1418"/>
      </w:pPr>
    </w:p>
    <w:p>
      <w:pPr>
        <w:pStyle w:val="127"/>
        <w:framePr w:w="9639" w:h="6974" w:hRule="exact" w:wrap="around" w:vAnchor="page" w:hAnchor="page" w:x="1419" w:y="6408" w:anchorLock="1"/>
        <w:textAlignment w:val="bottom"/>
        <w:rPr>
          <w:rFonts w:hint="eastAsia" w:eastAsia="黑体"/>
          <w:szCs w:val="28"/>
          <w:lang w:val="en-US" w:eastAsia="zh-CN"/>
        </w:rPr>
      </w:pPr>
      <w:r>
        <w:rPr>
          <w:rFonts w:eastAsia="黑体"/>
          <w:szCs w:val="28"/>
        </w:rPr>
        <w:fldChar w:fldCharType="begin">
          <w:ffData>
            <w:name w:val="ESTD_NAME"/>
            <w:enabled/>
            <w:calcOnExit w:val="0"/>
            <w:textInput>
              <w:default w:val="点击此处添加标准名称的英文译名"/>
            </w:textInput>
          </w:ffData>
        </w:fldChar>
      </w:r>
      <w:bookmarkStart w:id="10" w:name="ESTD_NAME"/>
      <w:r>
        <w:rPr>
          <w:rFonts w:eastAsia="黑体"/>
          <w:szCs w:val="28"/>
        </w:rPr>
        <w:instrText xml:space="preserve"> FORMTEXT </w:instrText>
      </w:r>
      <w:r>
        <w:rPr>
          <w:rFonts w:eastAsia="黑体"/>
          <w:szCs w:val="28"/>
        </w:rPr>
        <w:fldChar w:fldCharType="separate"/>
      </w:r>
      <w:r>
        <w:rPr>
          <w:rFonts w:hint="eastAsia" w:eastAsia="黑体"/>
          <w:szCs w:val="28"/>
        </w:rPr>
        <w:t xml:space="preserve">Technical </w:t>
      </w:r>
      <w:r>
        <w:rPr>
          <w:rFonts w:hint="eastAsia" w:eastAsia="黑体"/>
          <w:szCs w:val="28"/>
          <w:lang w:val="en-US" w:eastAsia="zh-CN"/>
        </w:rPr>
        <w:t>specification</w:t>
      </w:r>
      <w:r>
        <w:rPr>
          <w:rFonts w:hint="eastAsia" w:eastAsia="黑体"/>
          <w:szCs w:val="28"/>
        </w:rPr>
        <w:t xml:space="preserve"> for </w:t>
      </w:r>
      <w:r>
        <w:rPr>
          <w:rFonts w:hint="eastAsia" w:eastAsia="黑体"/>
          <w:szCs w:val="28"/>
          <w:lang w:val="en-US" w:eastAsia="zh-CN"/>
        </w:rPr>
        <w:t>application of plastic inspection</w:t>
      </w:r>
    </w:p>
    <w:p>
      <w:pPr>
        <w:pStyle w:val="127"/>
        <w:framePr w:w="9639" w:h="6974" w:hRule="exact" w:wrap="around" w:vAnchor="page" w:hAnchor="page" w:x="1419" w:y="6408" w:anchorLock="1"/>
        <w:textAlignment w:val="bottom"/>
        <w:rPr>
          <w:rFonts w:eastAsia="黑体"/>
          <w:szCs w:val="28"/>
        </w:rPr>
      </w:pPr>
      <w:r>
        <w:rPr>
          <w:rFonts w:hint="eastAsia" w:eastAsia="黑体"/>
          <w:szCs w:val="28"/>
          <w:lang w:val="en-US" w:eastAsia="zh-CN"/>
        </w:rPr>
        <w:t>chamber for drainage</w:t>
      </w:r>
      <w:r>
        <w:rPr>
          <w:rFonts w:eastAsia="黑体"/>
          <w:szCs w:val="28"/>
        </w:rPr>
        <w:fldChar w:fldCharType="end"/>
      </w:r>
      <w:bookmarkEnd w:id="10"/>
    </w:p>
    <w:p>
      <w:pPr>
        <w:framePr w:w="9639" w:h="6974" w:hRule="exact" w:wrap="around" w:vAnchor="page" w:hAnchor="page" w:x="1419" w:y="6408" w:anchorLock="1"/>
        <w:spacing w:line="760" w:lineRule="exact"/>
        <w:ind w:left="-1418"/>
      </w:pPr>
    </w:p>
    <w:p>
      <w:pPr>
        <w:pStyle w:val="127"/>
        <w:framePr w:w="9639" w:h="6974" w:hRule="exact" w:wrap="around" w:vAnchor="page" w:hAnchor="page" w:x="1419" w:y="6408" w:anchorLock="1"/>
        <w:textAlignment w:val="bottom"/>
        <w:rPr>
          <w:rFonts w:eastAsia="黑体"/>
          <w:szCs w:val="28"/>
        </w:rPr>
      </w:pPr>
    </w:p>
    <w:p>
      <w:pPr>
        <w:pStyle w:val="127"/>
        <w:framePr w:w="9639" w:h="6974" w:hRule="exact" w:wrap="around" w:vAnchor="page" w:hAnchor="page" w:x="1419" w:y="6408" w:anchorLock="1"/>
        <w:spacing w:before="440" w:after="160"/>
        <w:textAlignment w:val="bottom"/>
        <w:rPr>
          <w:sz w:val="24"/>
          <w:szCs w:val="28"/>
        </w:rPr>
      </w:pPr>
      <w:r>
        <w:rPr>
          <w:sz w:val="24"/>
          <w:szCs w:val="28"/>
        </w:rPr>
        <w:fldChar w:fldCharType="begin">
          <w:ffData>
            <w:name w:val="下拉1"/>
            <w:enabled/>
            <w:calcOnExit w:val="0"/>
            <w:ddList>
              <w:result w:val="6"/>
              <w:listEntry w:val=" "/>
              <w:listEntry w:val="草案版次选择"/>
              <w:listEntry w:val="（工作组讨论稿）"/>
              <w:listEntry w:val="（征求意见稿）"/>
              <w:listEntry w:val="（送审讨论稿）"/>
              <w:listEntry w:val="（送审稿）"/>
              <w:listEntry w:val="（报批稿）"/>
            </w:ddList>
          </w:ffData>
        </w:fldChar>
      </w:r>
      <w:bookmarkStart w:id="11" w:name="下拉1"/>
      <w:r>
        <w:rPr>
          <w:sz w:val="24"/>
          <w:szCs w:val="28"/>
        </w:rPr>
        <w:instrText xml:space="preserve"> FORMDROPDOWN </w:instrText>
      </w:r>
      <w:r>
        <w:rPr>
          <w:sz w:val="24"/>
          <w:szCs w:val="28"/>
        </w:rPr>
        <w:fldChar w:fldCharType="separate"/>
      </w:r>
      <w:r>
        <w:rPr>
          <w:sz w:val="24"/>
          <w:szCs w:val="28"/>
        </w:rPr>
        <w:fldChar w:fldCharType="end"/>
      </w:r>
      <w:bookmarkEnd w:id="11"/>
    </w:p>
    <w:p>
      <w:pPr>
        <w:pStyle w:val="127"/>
        <w:framePr w:w="9639" w:h="6974" w:hRule="exact" w:wrap="around" w:vAnchor="page" w:hAnchor="page" w:x="1419" w:y="6408" w:anchorLock="1"/>
        <w:spacing w:before="180" w:line="240" w:lineRule="atLeast"/>
        <w:textAlignment w:val="bottom"/>
        <w:rPr>
          <w:sz w:val="21"/>
          <w:szCs w:val="28"/>
        </w:rPr>
      </w:pPr>
      <w:r>
        <w:rPr>
          <w:sz w:val="21"/>
          <w:szCs w:val="28"/>
        </w:rPr>
        <w:fldChar w:fldCharType="begin">
          <w:ffData>
            <w:name w:val="CMPLSH_DATE"/>
            <w:enabled/>
            <w:calcOnExit w:val="0"/>
            <w:textInput/>
          </w:ffData>
        </w:fldChar>
      </w:r>
      <w:bookmarkStart w:id="12" w:name="CMPLSH_DATE"/>
      <w:r>
        <w:rPr>
          <w:sz w:val="21"/>
          <w:szCs w:val="28"/>
        </w:rPr>
        <w:instrText xml:space="preserve"> FORMTEXT </w:instrText>
      </w:r>
      <w:r>
        <w:rPr>
          <w:sz w:val="21"/>
          <w:szCs w:val="28"/>
        </w:rPr>
        <w:fldChar w:fldCharType="separate"/>
      </w:r>
      <w:r>
        <w:rPr>
          <w:sz w:val="21"/>
          <w:szCs w:val="28"/>
        </w:rPr>
        <w:t>    </w:t>
      </w:r>
      <w:r>
        <w:rPr>
          <w:sz w:val="21"/>
          <w:szCs w:val="28"/>
        </w:rPr>
        <w:fldChar w:fldCharType="end"/>
      </w:r>
      <w:bookmarkEnd w:id="12"/>
    </w:p>
    <w:p>
      <w:pPr>
        <w:pStyle w:val="127"/>
        <w:framePr w:w="9639" w:h="6974" w:hRule="exact" w:wrap="around" w:vAnchor="page" w:hAnchor="page" w:x="1419" w:y="6408" w:anchorLock="1"/>
        <w:spacing w:beforeLines="300" w:afterLines="30" w:line="240" w:lineRule="auto"/>
        <w:textAlignment w:val="bottom"/>
        <w:rPr>
          <w:b/>
          <w:sz w:val="21"/>
          <w:szCs w:val="28"/>
        </w:rPr>
      </w:pPr>
      <w:r>
        <w:rPr>
          <w:b/>
          <w:sz w:val="21"/>
          <w:szCs w:val="28"/>
        </w:rPr>
        <w:fldChar w:fldCharType="begin">
          <w:ffData>
            <w:name w:val="下拉2"/>
            <w:enabled/>
            <w:calcOnExit w:val="0"/>
            <w:ddList>
              <w:listEntry w:val=" "/>
              <w:listEntry w:val="在提交反馈意见时，请将您知道的相关专利连同支持性文件一并附上。"/>
            </w:ddList>
          </w:ffData>
        </w:fldChar>
      </w:r>
      <w:bookmarkStart w:id="13" w:name="下拉2"/>
      <w:r>
        <w:rPr>
          <w:b/>
          <w:sz w:val="21"/>
          <w:szCs w:val="28"/>
        </w:rPr>
        <w:instrText xml:space="preserve"> FORMDROPDOWN </w:instrText>
      </w:r>
      <w:r>
        <w:rPr>
          <w:b/>
          <w:sz w:val="21"/>
          <w:szCs w:val="28"/>
        </w:rPr>
        <w:fldChar w:fldCharType="separate"/>
      </w:r>
      <w:r>
        <w:rPr>
          <w:b/>
          <w:sz w:val="21"/>
          <w:szCs w:val="28"/>
        </w:rPr>
        <w:fldChar w:fldCharType="end"/>
      </w:r>
      <w:bookmarkEnd w:id="13"/>
    </w:p>
    <w:p>
      <w:pPr>
        <w:pStyle w:val="195"/>
        <w:framePr w:wrap="around" w:y="14176"/>
      </w:pPr>
      <w:r>
        <w:rPr>
          <w:rFonts w:ascii="黑体"/>
        </w:rPr>
        <w:fldChar w:fldCharType="begin">
          <w:ffData>
            <w:name w:val="PLSH_DATE_Y"/>
            <w:enabled/>
            <w:calcOnExit w:val="0"/>
            <w:textInput>
              <w:default w:val="XXXX"/>
              <w:maxLength w:val="4"/>
            </w:textInput>
          </w:ffData>
        </w:fldChar>
      </w:r>
      <w:bookmarkStart w:id="14" w:name="PLSH_DATE_Y"/>
      <w:r>
        <w:rPr>
          <w:rFonts w:ascii="黑体"/>
        </w:rPr>
        <w:instrText xml:space="preserve"> FORMTEXT </w:instrText>
      </w:r>
      <w:r>
        <w:rPr>
          <w:rFonts w:ascii="黑体"/>
        </w:rPr>
        <w:fldChar w:fldCharType="separate"/>
      </w:r>
      <w:r>
        <w:rPr>
          <w:rFonts w:hint="eastAsia" w:ascii="黑体"/>
        </w:rPr>
        <w:t>202</w:t>
      </w:r>
      <w:r>
        <w:rPr>
          <w:rFonts w:hint="eastAsia" w:ascii="黑体"/>
          <w:lang w:val="en-US" w:eastAsia="zh-CN"/>
        </w:rPr>
        <w:t>4</w:t>
      </w:r>
      <w:r>
        <w:rPr>
          <w:rFonts w:ascii="黑体"/>
        </w:rPr>
        <w:fldChar w:fldCharType="end"/>
      </w:r>
      <w:bookmarkEnd w:id="14"/>
      <w:r>
        <w:rPr>
          <w:rFonts w:ascii="黑体"/>
        </w:rPr>
        <w:t>-</w:t>
      </w:r>
      <w:r>
        <w:rPr>
          <w:rFonts w:ascii="黑体"/>
        </w:rPr>
        <w:fldChar w:fldCharType="begin">
          <w:ffData>
            <w:name w:val="PLSH_DATE_M"/>
            <w:enabled/>
            <w:calcOnExit w:val="0"/>
            <w:textInput>
              <w:default w:val="XX"/>
              <w:maxLength w:val="2"/>
            </w:textInput>
          </w:ffData>
        </w:fldChar>
      </w:r>
      <w:bookmarkStart w:id="15" w:name="PLSH_DATE_M"/>
      <w:r>
        <w:rPr>
          <w:rFonts w:ascii="黑体"/>
        </w:rPr>
        <w:instrText xml:space="preserve"> FORMTEXT </w:instrText>
      </w:r>
      <w:r>
        <w:rPr>
          <w:rFonts w:ascii="黑体"/>
        </w:rPr>
        <w:fldChar w:fldCharType="separate"/>
      </w:r>
      <w:r>
        <w:rPr>
          <w:rFonts w:ascii="黑体"/>
        </w:rPr>
        <w:t>XX</w:t>
      </w:r>
      <w:r>
        <w:rPr>
          <w:rFonts w:ascii="黑体"/>
        </w:rPr>
        <w:fldChar w:fldCharType="end"/>
      </w:r>
      <w:bookmarkEnd w:id="15"/>
      <w:r>
        <w:rPr>
          <w:rFonts w:ascii="黑体"/>
        </w:rPr>
        <w:t>-</w:t>
      </w:r>
      <w:r>
        <w:rPr>
          <w:rFonts w:ascii="黑体"/>
        </w:rPr>
        <w:fldChar w:fldCharType="begin">
          <w:ffData>
            <w:name w:val="PLSH_DATE_D"/>
            <w:enabled/>
            <w:calcOnExit w:val="0"/>
            <w:textInput>
              <w:default w:val="XX"/>
              <w:maxLength w:val="2"/>
            </w:textInput>
          </w:ffData>
        </w:fldChar>
      </w:r>
      <w:bookmarkStart w:id="16" w:name="PLSH_DATE_D"/>
      <w:r>
        <w:rPr>
          <w:rFonts w:ascii="黑体"/>
        </w:rPr>
        <w:instrText xml:space="preserve"> FORMTEXT </w:instrText>
      </w:r>
      <w:r>
        <w:rPr>
          <w:rFonts w:ascii="黑体"/>
        </w:rPr>
        <w:fldChar w:fldCharType="separate"/>
      </w:r>
      <w:r>
        <w:rPr>
          <w:rFonts w:ascii="黑体"/>
        </w:rPr>
        <w:t>XX</w:t>
      </w:r>
      <w:r>
        <w:rPr>
          <w:rFonts w:ascii="黑体"/>
        </w:rPr>
        <w:fldChar w:fldCharType="end"/>
      </w:r>
      <w:bookmarkEnd w:id="16"/>
      <w:r>
        <w:rPr>
          <w:rFonts w:hint="eastAsia"/>
        </w:rPr>
        <w:t>发布</w:t>
      </w:r>
    </w:p>
    <w:p>
      <w:pPr>
        <w:pStyle w:val="196"/>
        <w:framePr w:wrap="around" w:y="14176"/>
      </w:pPr>
      <w:r>
        <w:rPr>
          <w:rFonts w:ascii="黑体"/>
        </w:rPr>
        <w:fldChar w:fldCharType="begin">
          <w:ffData>
            <w:name w:val="CROT_DATE_Y"/>
            <w:enabled/>
            <w:calcOnExit w:val="0"/>
            <w:textInput>
              <w:default w:val="XXXX"/>
              <w:maxLength w:val="4"/>
            </w:textInput>
          </w:ffData>
        </w:fldChar>
      </w:r>
      <w:bookmarkStart w:id="17" w:name="CROT_DATE_Y"/>
      <w:r>
        <w:rPr>
          <w:rFonts w:ascii="黑体"/>
        </w:rPr>
        <w:instrText xml:space="preserve"> FORMTEXT </w:instrText>
      </w:r>
      <w:r>
        <w:rPr>
          <w:rFonts w:ascii="黑体"/>
        </w:rPr>
        <w:fldChar w:fldCharType="separate"/>
      </w:r>
      <w:r>
        <w:rPr>
          <w:rFonts w:hint="eastAsia" w:ascii="黑体"/>
        </w:rPr>
        <w:t>202</w:t>
      </w:r>
      <w:r>
        <w:rPr>
          <w:rFonts w:hint="eastAsia" w:ascii="黑体"/>
          <w:lang w:val="en-US" w:eastAsia="zh-CN"/>
        </w:rPr>
        <w:t>4</w:t>
      </w:r>
      <w:r>
        <w:rPr>
          <w:rFonts w:ascii="黑体"/>
        </w:rPr>
        <w:fldChar w:fldCharType="end"/>
      </w:r>
      <w:bookmarkEnd w:id="17"/>
      <w:r>
        <w:rPr>
          <w:rFonts w:ascii="黑体"/>
        </w:rPr>
        <w:t>-</w:t>
      </w:r>
      <w:r>
        <w:rPr>
          <w:rFonts w:ascii="黑体"/>
        </w:rPr>
        <w:fldChar w:fldCharType="begin">
          <w:ffData>
            <w:name w:val="CROT_DATE_M"/>
            <w:enabled/>
            <w:calcOnExit w:val="0"/>
            <w:textInput>
              <w:default w:val="XX"/>
              <w:maxLength w:val="2"/>
            </w:textInput>
          </w:ffData>
        </w:fldChar>
      </w:r>
      <w:bookmarkStart w:id="18" w:name="CROT_DATE_M"/>
      <w:r>
        <w:rPr>
          <w:rFonts w:ascii="黑体"/>
        </w:rPr>
        <w:instrText xml:space="preserve"> FORMTEXT </w:instrText>
      </w:r>
      <w:r>
        <w:rPr>
          <w:rFonts w:ascii="黑体"/>
        </w:rPr>
        <w:fldChar w:fldCharType="separate"/>
      </w:r>
      <w:r>
        <w:rPr>
          <w:rFonts w:ascii="黑体"/>
        </w:rPr>
        <w:t>XX</w:t>
      </w:r>
      <w:r>
        <w:rPr>
          <w:rFonts w:ascii="黑体"/>
        </w:rPr>
        <w:fldChar w:fldCharType="end"/>
      </w:r>
      <w:bookmarkEnd w:id="18"/>
      <w:r>
        <w:rPr>
          <w:rFonts w:ascii="黑体"/>
        </w:rPr>
        <w:t>-</w:t>
      </w:r>
      <w:r>
        <w:rPr>
          <w:rFonts w:ascii="黑体"/>
        </w:rPr>
        <w:fldChar w:fldCharType="begin">
          <w:ffData>
            <w:name w:val="CROT_DATE_D"/>
            <w:enabled/>
            <w:calcOnExit w:val="0"/>
            <w:textInput>
              <w:default w:val="XX"/>
              <w:maxLength w:val="2"/>
            </w:textInput>
          </w:ffData>
        </w:fldChar>
      </w:r>
      <w:bookmarkStart w:id="19" w:name="CROT_DATE_D"/>
      <w:r>
        <w:rPr>
          <w:rFonts w:ascii="黑体"/>
        </w:rPr>
        <w:instrText xml:space="preserve"> FORMTEXT </w:instrText>
      </w:r>
      <w:r>
        <w:rPr>
          <w:rFonts w:ascii="黑体"/>
        </w:rPr>
        <w:fldChar w:fldCharType="separate"/>
      </w:r>
      <w:r>
        <w:rPr>
          <w:rFonts w:ascii="黑体"/>
        </w:rPr>
        <w:t>XX</w:t>
      </w:r>
      <w:r>
        <w:rPr>
          <w:rFonts w:ascii="黑体"/>
        </w:rPr>
        <w:fldChar w:fldCharType="end"/>
      </w:r>
      <w:bookmarkEnd w:id="19"/>
      <w:r>
        <w:rPr>
          <w:rFonts w:hint="eastAsia"/>
        </w:rPr>
        <w:t>实施</w:t>
      </w:r>
    </w:p>
    <w:p>
      <w:pPr>
        <w:pStyle w:val="153"/>
        <w:framePr w:h="584" w:hRule="exact" w:hSpace="181" w:vSpace="181" w:wrap="around" w:y="15027"/>
        <w:rPr>
          <w:rFonts w:hAnsi="黑体"/>
        </w:rPr>
      </w:pPr>
      <w:r>
        <w:rPr>
          <w:rFonts w:hAnsi="黑体"/>
          <w:w w:val="100"/>
          <w:sz w:val="28"/>
        </w:rPr>
        <w:fldChar w:fldCharType="begin">
          <w:ffData>
            <w:name w:val="fm"/>
            <w:enabled/>
            <w:calcOnExit w:val="0"/>
            <w:textInput/>
          </w:ffData>
        </w:fldChar>
      </w:r>
      <w:bookmarkStart w:id="20" w:name="fm"/>
      <w:r>
        <w:rPr>
          <w:rFonts w:hAnsi="黑体"/>
          <w:w w:val="100"/>
          <w:sz w:val="28"/>
        </w:rPr>
        <w:instrText xml:space="preserve"> FORMTEXT </w:instrText>
      </w:r>
      <w:r>
        <w:rPr>
          <w:rFonts w:hAnsi="黑体"/>
          <w:w w:val="100"/>
          <w:sz w:val="28"/>
        </w:rPr>
        <w:fldChar w:fldCharType="separate"/>
      </w:r>
      <w:r>
        <w:rPr>
          <w:rFonts w:hint="eastAsia" w:hAnsi="黑体"/>
          <w:w w:val="100"/>
          <w:sz w:val="28"/>
        </w:rPr>
        <w:t>江苏省市场监督管理局 江苏省住房和城乡建设厅</w:t>
      </w:r>
      <w:r>
        <w:rPr>
          <w:rFonts w:hAnsi="黑体"/>
          <w:w w:val="100"/>
          <w:sz w:val="28"/>
        </w:rPr>
        <w:fldChar w:fldCharType="end"/>
      </w:r>
      <w:bookmarkEnd w:id="20"/>
      <w:r>
        <w:rPr>
          <w:rFonts w:ascii="Times New Roman"/>
          <w:w w:val="100"/>
          <w:sz w:val="28"/>
        </w:rPr>
        <w:t>  </w:t>
      </w:r>
      <w:r>
        <w:rPr>
          <w:rStyle w:val="231"/>
          <w:rFonts w:hint="eastAsia" w:hAnsi="黑体"/>
          <w:position w:val="0"/>
        </w:rPr>
        <w:t>发</w:t>
      </w:r>
      <w:r>
        <w:rPr>
          <w:rStyle w:val="231"/>
          <w:rFonts w:hint="eastAsia" w:hAnsi="黑体"/>
          <w:spacing w:val="0"/>
          <w:position w:val="0"/>
        </w:rPr>
        <w:t>布</w:t>
      </w:r>
    </w:p>
    <w:p>
      <w:pPr>
        <w:rPr>
          <w:rFonts w:ascii="宋体" w:hAnsi="宋体"/>
          <w:sz w:val="28"/>
          <w:szCs w:val="28"/>
        </w:rPr>
        <w:sectPr>
          <w:headerReference r:id="rId7" w:type="first"/>
          <w:footerReference r:id="rId10" w:type="first"/>
          <w:headerReference r:id="rId5" w:type="default"/>
          <w:footerReference r:id="rId8" w:type="default"/>
          <w:headerReference r:id="rId6" w:type="even"/>
          <w:footerReference r:id="rId9" w:type="even"/>
          <w:type w:val="continuous"/>
          <w:pgSz w:w="11906" w:h="16838"/>
          <w:pgMar w:top="-338" w:right="1134" w:bottom="1021" w:left="1134" w:header="0" w:footer="0" w:gutter="284"/>
          <w:cols w:space="425" w:num="1"/>
          <w:titlePg/>
          <w:docGrid w:linePitch="312" w:charSpace="0"/>
        </w:sectPr>
      </w:pPr>
      <w:r>
        <w:rPr>
          <w:rFonts w:ascii="宋体" w:hAnsi="宋体"/>
          <w:sz w:val="28"/>
          <w:szCs w:val="28"/>
        </w:rPr>
        <w:pict>
          <v:line id="直接连接符 5" o:spid="_x0000_s1027" o:spt="20" style="position:absolute;left:0pt;margin-left:70.85pt;margin-top:728.6pt;height:0pt;width:481.9pt;mso-position-horizontal-relative:page;mso-position-vertical-relative:page;z-index:251661312;mso-width-relative:page;mso-height-relative:page;" coordsize="21600,216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">
            <v:path arrowok="t"/>
            <v:fill focussize="0,0"/>
            <v:stroke/>
            <v:imagedata o:title=""/>
            <o:lock v:ext="edit"/>
            <w10:anchorlock/>
          </v:line>
        </w:pict>
      </w:r>
    </w:p>
    <w:p>
      <w:pPr>
        <w:pStyle w:val="93"/>
        <w:spacing w:after="468"/>
      </w:pPr>
      <w:bookmarkStart w:id="21" w:name="BookMark1"/>
      <w:r>
        <w:rPr>
          <w:rFonts w:hint="eastAsia"/>
          <w:spacing w:val="320"/>
        </w:rPr>
        <w:t>目</w:t>
      </w:r>
      <w:r>
        <w:rPr>
          <w:rFonts w:hint="eastAsia"/>
        </w:rPr>
        <w:t>次</w:t>
      </w:r>
    </w:p>
    <w:p>
      <w:pPr>
        <w:pStyle w:val="20"/>
        <w:tabs>
          <w:tab w:val="right" w:leader="dot" w:pos="9354"/>
        </w:tabs>
      </w:pPr>
      <w:r>
        <w:fldChar w:fldCharType="begin"/>
      </w:r>
      <w:r>
        <w:instrText xml:space="preserve"> </w:instrText>
      </w:r>
      <w:r>
        <w:rPr>
          <w:rFonts w:hint="eastAsia"/>
        </w:rPr>
        <w:instrText xml:space="preserve">TOC \o "1-1" \h \t "标准文件_一级条标题,2,标准文件_二级条标题,3,标准文件_附录一级条标题,2,标准文件_附录二级条标题,3,"</w:instrText>
      </w:r>
      <w:r>
        <w:instrText xml:space="preserve"> </w:instrText>
      </w:r>
      <w:r>
        <w:fldChar w:fldCharType="separate"/>
      </w:r>
      <w:r>
        <w:fldChar w:fldCharType="begin"/>
      </w:r>
      <w:r>
        <w:instrText xml:space="preserve"> HYPERLINK \l _Toc29052 </w:instrText>
      </w:r>
      <w:r>
        <w:fldChar w:fldCharType="separate"/>
      </w:r>
      <w:r>
        <w:rPr>
          <w:spacing w:val="320"/>
        </w:rPr>
        <w:t>前</w:t>
      </w:r>
      <w:r>
        <w:t>言</w:t>
      </w:r>
      <w:r>
        <w:tab/>
      </w:r>
      <w:r>
        <w:fldChar w:fldCharType="begin"/>
      </w:r>
      <w:r>
        <w:instrText xml:space="preserve"> PAGEREF _Toc29052 \h </w:instrText>
      </w:r>
      <w:r>
        <w:fldChar w:fldCharType="separate"/>
      </w:r>
      <w:r>
        <w:t>II</w:t>
      </w:r>
      <w:r>
        <w:fldChar w:fldCharType="end"/>
      </w:r>
      <w:r>
        <w:fldChar w:fldCharType="end"/>
      </w:r>
    </w:p>
    <w:p>
      <w:pPr>
        <w:pStyle w:val="20"/>
        <w:tabs>
          <w:tab w:val="right" w:leader="dot" w:pos="9354"/>
        </w:tabs>
      </w:pPr>
      <w:r>
        <w:fldChar w:fldCharType="begin"/>
      </w:r>
      <w:r>
        <w:instrText xml:space="preserve"> HYPERLINK \l _Toc7363 </w:instrText>
      </w:r>
      <w:r>
        <w:fldChar w:fldCharType="separate"/>
      </w:r>
      <w:r>
        <w:rPr>
          <w:rFonts w:hint="eastAsia" w:ascii="黑体" w:eastAsia="黑体"/>
          <w:i w:val="0"/>
        </w:rPr>
        <w:t xml:space="preserve">1 </w:t>
      </w:r>
      <w:r>
        <w:rPr>
          <w:rFonts w:hint="eastAsia"/>
        </w:rPr>
        <w:t>范围</w:t>
      </w:r>
      <w:r>
        <w:tab/>
      </w:r>
      <w:r>
        <w:fldChar w:fldCharType="begin"/>
      </w:r>
      <w:r>
        <w:instrText xml:space="preserve"> PAGEREF _Toc7363 \h </w:instrText>
      </w:r>
      <w:r>
        <w:fldChar w:fldCharType="separate"/>
      </w:r>
      <w:r>
        <w:t>1</w:t>
      </w:r>
      <w:r>
        <w:fldChar w:fldCharType="end"/>
      </w:r>
      <w:r>
        <w:fldChar w:fldCharType="end"/>
      </w:r>
    </w:p>
    <w:p>
      <w:pPr>
        <w:pStyle w:val="20"/>
        <w:tabs>
          <w:tab w:val="right" w:leader="dot" w:pos="9354"/>
        </w:tabs>
      </w:pPr>
      <w:r>
        <w:fldChar w:fldCharType="begin"/>
      </w:r>
      <w:r>
        <w:instrText xml:space="preserve"> HYPERLINK \l _Toc27003 </w:instrText>
      </w:r>
      <w:r>
        <w:fldChar w:fldCharType="separate"/>
      </w:r>
      <w:r>
        <w:rPr>
          <w:rFonts w:hint="eastAsia" w:ascii="黑体" w:eastAsia="黑体"/>
          <w:i w:val="0"/>
        </w:rPr>
        <w:t xml:space="preserve">2 </w:t>
      </w:r>
      <w:r>
        <w:rPr>
          <w:rFonts w:hint="eastAsia"/>
        </w:rPr>
        <w:t>规范性引用文件</w:t>
      </w:r>
      <w:r>
        <w:tab/>
      </w:r>
      <w:r>
        <w:fldChar w:fldCharType="begin"/>
      </w:r>
      <w:r>
        <w:instrText xml:space="preserve"> PAGEREF _Toc27003 \h </w:instrText>
      </w:r>
      <w:r>
        <w:fldChar w:fldCharType="separate"/>
      </w:r>
      <w:r>
        <w:t>1</w:t>
      </w:r>
      <w:r>
        <w:fldChar w:fldCharType="end"/>
      </w:r>
      <w:r>
        <w:fldChar w:fldCharType="end"/>
      </w:r>
    </w:p>
    <w:p>
      <w:pPr>
        <w:pStyle w:val="20"/>
        <w:tabs>
          <w:tab w:val="right" w:leader="dot" w:pos="9354"/>
        </w:tabs>
      </w:pPr>
      <w:r>
        <w:fldChar w:fldCharType="begin"/>
      </w:r>
      <w:r>
        <w:instrText xml:space="preserve"> HYPERLINK \l _Toc12377 </w:instrText>
      </w:r>
      <w:r>
        <w:fldChar w:fldCharType="separate"/>
      </w:r>
      <w:r>
        <w:rPr>
          <w:rFonts w:hint="eastAsia" w:ascii="黑体" w:eastAsia="黑体"/>
          <w:i w:val="0"/>
        </w:rPr>
        <w:t xml:space="preserve">3 </w:t>
      </w:r>
      <w:r>
        <w:rPr>
          <w:rFonts w:hint="eastAsia"/>
          <w:szCs w:val="21"/>
        </w:rPr>
        <w:t>术语和定义</w:t>
      </w:r>
      <w:r>
        <w:tab/>
      </w:r>
      <w:r>
        <w:fldChar w:fldCharType="begin"/>
      </w:r>
      <w:r>
        <w:instrText xml:space="preserve"> PAGEREF _Toc12377 \h </w:instrText>
      </w:r>
      <w:r>
        <w:fldChar w:fldCharType="separate"/>
      </w:r>
      <w:r>
        <w:t>1</w:t>
      </w:r>
      <w:r>
        <w:fldChar w:fldCharType="end"/>
      </w:r>
      <w:r>
        <w:fldChar w:fldCharType="end"/>
      </w:r>
    </w:p>
    <w:p>
      <w:pPr>
        <w:pStyle w:val="20"/>
        <w:tabs>
          <w:tab w:val="right" w:leader="dot" w:pos="9354"/>
        </w:tabs>
      </w:pPr>
      <w:r>
        <w:fldChar w:fldCharType="begin"/>
      </w:r>
      <w:r>
        <w:instrText xml:space="preserve"> HYPERLINK \l _Toc19105 </w:instrText>
      </w:r>
      <w:r>
        <w:fldChar w:fldCharType="separate"/>
      </w:r>
      <w:r>
        <w:rPr>
          <w:rFonts w:hint="eastAsia" w:ascii="黑体" w:eastAsia="黑体"/>
          <w:i w:val="0"/>
        </w:rPr>
        <w:t xml:space="preserve">4 </w:t>
      </w:r>
      <w:r>
        <w:rPr>
          <w:rFonts w:hint="eastAsia"/>
        </w:rPr>
        <w:t>材料</w:t>
      </w:r>
      <w:r>
        <w:tab/>
      </w:r>
      <w:r>
        <w:fldChar w:fldCharType="begin"/>
      </w:r>
      <w:r>
        <w:instrText xml:space="preserve"> PAGEREF _Toc19105 \h </w:instrText>
      </w:r>
      <w:r>
        <w:fldChar w:fldCharType="separate"/>
      </w:r>
      <w:r>
        <w:t>2</w:t>
      </w:r>
      <w:r>
        <w:fldChar w:fldCharType="end"/>
      </w:r>
      <w:r>
        <w:fldChar w:fldCharType="end"/>
      </w:r>
    </w:p>
    <w:p>
      <w:pPr>
        <w:pStyle w:val="25"/>
        <w:tabs>
          <w:tab w:val="right" w:leader="dot" w:pos="9354"/>
          <w:tab w:val="clear" w:pos="9344"/>
        </w:tabs>
      </w:pPr>
      <w:r>
        <w:fldChar w:fldCharType="begin"/>
      </w:r>
      <w:r>
        <w:instrText xml:space="preserve"> HYPERLINK \l _Toc3411 </w:instrText>
      </w:r>
      <w:r>
        <w:fldChar w:fldCharType="separate"/>
      </w:r>
      <w:r>
        <w:rPr>
          <w:rFonts w:hint="eastAsia" w:ascii="黑体" w:hAnsi="Times New Roman" w:eastAsia="黑体" w:cs="Times New Roman"/>
          <w:bCs w:val="0"/>
          <w:i w:val="0"/>
          <w:iCs w:val="0"/>
          <w:caps w:val="0"/>
          <w:smallCaps w:val="0"/>
          <w:strike w:val="0"/>
          <w:dstrike w:val="0"/>
          <w:vanish w:val="0"/>
          <w:spacing w:val="0"/>
          <w:kern w:val="0"/>
          <w:position w:val="0"/>
          <w:vertAlign w:val="baseline"/>
        </w:rPr>
        <w:t xml:space="preserve">4.1 </w:t>
      </w:r>
      <w:r>
        <w:rPr>
          <w:rFonts w:hint="eastAsia"/>
          <w:lang w:eastAsia="zh-CN"/>
        </w:rPr>
        <w:t>一般规定</w:t>
      </w:r>
      <w:r>
        <w:tab/>
      </w:r>
      <w:r>
        <w:fldChar w:fldCharType="begin"/>
      </w:r>
      <w:r>
        <w:instrText xml:space="preserve"> PAGEREF _Toc3411 \h </w:instrText>
      </w:r>
      <w:r>
        <w:fldChar w:fldCharType="separate"/>
      </w:r>
      <w:r>
        <w:t>2</w:t>
      </w:r>
      <w:r>
        <w:fldChar w:fldCharType="end"/>
      </w:r>
      <w:r>
        <w:fldChar w:fldCharType="end"/>
      </w:r>
    </w:p>
    <w:p>
      <w:pPr>
        <w:pStyle w:val="25"/>
        <w:tabs>
          <w:tab w:val="right" w:leader="dot" w:pos="9354"/>
          <w:tab w:val="clear" w:pos="9344"/>
        </w:tabs>
      </w:pPr>
      <w:r>
        <w:fldChar w:fldCharType="begin"/>
      </w:r>
      <w:r>
        <w:instrText xml:space="preserve"> HYPERLINK \l _Toc13838 </w:instrText>
      </w:r>
      <w:r>
        <w:fldChar w:fldCharType="separate"/>
      </w:r>
      <w:r>
        <w:rPr>
          <w:rFonts w:hint="eastAsia" w:ascii="黑体" w:hAnsi="Times New Roman" w:eastAsia="黑体" w:cs="Times New Roman"/>
          <w:bCs w:val="0"/>
          <w:i w:val="0"/>
          <w:iCs w:val="0"/>
          <w:caps w:val="0"/>
          <w:smallCaps w:val="0"/>
          <w:strike w:val="0"/>
          <w:dstrike w:val="0"/>
          <w:vanish w:val="0"/>
          <w:spacing w:val="0"/>
          <w:kern w:val="0"/>
          <w:position w:val="0"/>
          <w:vertAlign w:val="baseline"/>
        </w:rPr>
        <w:t xml:space="preserve">4.2 </w:t>
      </w:r>
      <w:r>
        <w:rPr>
          <w:rFonts w:hint="eastAsia"/>
          <w:lang w:eastAsia="zh-CN"/>
        </w:rPr>
        <w:t>性能要求</w:t>
      </w:r>
      <w:r>
        <w:tab/>
      </w:r>
      <w:r>
        <w:fldChar w:fldCharType="begin"/>
      </w:r>
      <w:r>
        <w:instrText xml:space="preserve"> PAGEREF _Toc13838 \h </w:instrText>
      </w:r>
      <w:r>
        <w:fldChar w:fldCharType="separate"/>
      </w:r>
      <w:r>
        <w:t>3</w:t>
      </w:r>
      <w:r>
        <w:fldChar w:fldCharType="end"/>
      </w:r>
      <w:r>
        <w:fldChar w:fldCharType="end"/>
      </w:r>
    </w:p>
    <w:p>
      <w:pPr>
        <w:pStyle w:val="20"/>
        <w:tabs>
          <w:tab w:val="right" w:leader="dot" w:pos="9354"/>
        </w:tabs>
      </w:pPr>
      <w:r>
        <w:fldChar w:fldCharType="begin"/>
      </w:r>
      <w:r>
        <w:instrText xml:space="preserve"> HYPERLINK \l _Toc14620 </w:instrText>
      </w:r>
      <w:r>
        <w:fldChar w:fldCharType="separate"/>
      </w:r>
      <w:r>
        <w:rPr>
          <w:rFonts w:hint="eastAsia" w:ascii="黑体" w:eastAsia="黑体"/>
          <w:i w:val="0"/>
        </w:rPr>
        <w:t xml:space="preserve">5 </w:t>
      </w:r>
      <w:r>
        <w:rPr>
          <w:rFonts w:hint="eastAsia"/>
        </w:rPr>
        <w:t>设计</w:t>
      </w:r>
      <w:r>
        <w:tab/>
      </w:r>
      <w:r>
        <w:fldChar w:fldCharType="begin"/>
      </w:r>
      <w:r>
        <w:instrText xml:space="preserve"> PAGEREF _Toc14620 \h </w:instrText>
      </w:r>
      <w:r>
        <w:fldChar w:fldCharType="separate"/>
      </w:r>
      <w:r>
        <w:t>4</w:t>
      </w:r>
      <w:r>
        <w:fldChar w:fldCharType="end"/>
      </w:r>
      <w:r>
        <w:fldChar w:fldCharType="end"/>
      </w:r>
    </w:p>
    <w:p>
      <w:pPr>
        <w:pStyle w:val="25"/>
        <w:tabs>
          <w:tab w:val="right" w:leader="dot" w:pos="9354"/>
          <w:tab w:val="clear" w:pos="9344"/>
        </w:tabs>
      </w:pPr>
      <w:r>
        <w:fldChar w:fldCharType="begin"/>
      </w:r>
      <w:r>
        <w:instrText xml:space="preserve"> HYPERLINK \l _Toc2338 </w:instrText>
      </w:r>
      <w:r>
        <w:fldChar w:fldCharType="separate"/>
      </w:r>
      <w:r>
        <w:rPr>
          <w:rFonts w:hint="eastAsia" w:ascii="黑体" w:hAnsi="Times New Roman" w:eastAsia="黑体" w:cs="Times New Roman"/>
          <w:bCs w:val="0"/>
          <w:i w:val="0"/>
          <w:iCs w:val="0"/>
          <w:caps w:val="0"/>
          <w:smallCaps w:val="0"/>
          <w:strike w:val="0"/>
          <w:dstrike w:val="0"/>
          <w:vanish w:val="0"/>
          <w:spacing w:val="0"/>
          <w:kern w:val="0"/>
          <w:position w:val="0"/>
          <w:vertAlign w:val="baseline"/>
        </w:rPr>
        <w:t xml:space="preserve">5.1 </w:t>
      </w:r>
      <w:r>
        <w:rPr>
          <w:rFonts w:hint="eastAsia"/>
        </w:rPr>
        <w:t>一般规定</w:t>
      </w:r>
      <w:r>
        <w:tab/>
      </w:r>
      <w:r>
        <w:fldChar w:fldCharType="begin"/>
      </w:r>
      <w:r>
        <w:instrText xml:space="preserve"> PAGEREF _Toc2338 \h </w:instrText>
      </w:r>
      <w:r>
        <w:fldChar w:fldCharType="separate"/>
      </w:r>
      <w:r>
        <w:t>4</w:t>
      </w:r>
      <w:r>
        <w:fldChar w:fldCharType="end"/>
      </w:r>
      <w:r>
        <w:fldChar w:fldCharType="end"/>
      </w:r>
    </w:p>
    <w:p>
      <w:pPr>
        <w:pStyle w:val="25"/>
        <w:tabs>
          <w:tab w:val="right" w:leader="dot" w:pos="9354"/>
          <w:tab w:val="clear" w:pos="9344"/>
        </w:tabs>
      </w:pPr>
      <w:r>
        <w:fldChar w:fldCharType="begin"/>
      </w:r>
      <w:r>
        <w:instrText xml:space="preserve"> HYPERLINK \l _Toc23213 </w:instrText>
      </w:r>
      <w:r>
        <w:fldChar w:fldCharType="separate"/>
      </w:r>
      <w:r>
        <w:rPr>
          <w:rFonts w:hint="eastAsia" w:ascii="黑体" w:hAnsi="Times New Roman" w:eastAsia="黑体" w:cs="Times New Roman"/>
          <w:bCs w:val="0"/>
          <w:i w:val="0"/>
          <w:iCs w:val="0"/>
          <w:caps w:val="0"/>
          <w:smallCaps w:val="0"/>
          <w:strike w:val="0"/>
          <w:dstrike w:val="0"/>
          <w:vanish w:val="0"/>
          <w:spacing w:val="0"/>
          <w:kern w:val="0"/>
          <w:position w:val="0"/>
          <w:vertAlign w:val="baseline"/>
        </w:rPr>
        <w:t xml:space="preserve">5.2 </w:t>
      </w:r>
      <w:r>
        <w:rPr>
          <w:rFonts w:hint="eastAsia"/>
          <w:lang w:eastAsia="zh-CN"/>
        </w:rPr>
        <w:t>检查井选用</w:t>
      </w:r>
      <w:r>
        <w:tab/>
      </w:r>
      <w:r>
        <w:fldChar w:fldCharType="begin"/>
      </w:r>
      <w:r>
        <w:instrText xml:space="preserve"> PAGEREF _Toc23213 \h </w:instrText>
      </w:r>
      <w:r>
        <w:fldChar w:fldCharType="separate"/>
      </w:r>
      <w:r>
        <w:t>5</w:t>
      </w:r>
      <w:r>
        <w:fldChar w:fldCharType="end"/>
      </w:r>
      <w:r>
        <w:fldChar w:fldCharType="end"/>
      </w:r>
    </w:p>
    <w:p>
      <w:pPr>
        <w:pStyle w:val="25"/>
        <w:tabs>
          <w:tab w:val="right" w:leader="dot" w:pos="9354"/>
          <w:tab w:val="clear" w:pos="9344"/>
        </w:tabs>
      </w:pPr>
      <w:r>
        <w:fldChar w:fldCharType="begin"/>
      </w:r>
      <w:r>
        <w:instrText xml:space="preserve"> HYPERLINK \l _Toc31147 </w:instrText>
      </w:r>
      <w:r>
        <w:fldChar w:fldCharType="separate"/>
      </w:r>
      <w:r>
        <w:rPr>
          <w:rFonts w:hint="eastAsia" w:ascii="黑体" w:hAnsi="Times New Roman" w:eastAsia="黑体" w:cs="Times New Roman"/>
          <w:bCs w:val="0"/>
          <w:i w:val="0"/>
          <w:iCs w:val="0"/>
          <w:caps w:val="0"/>
          <w:smallCaps w:val="0"/>
          <w:strike w:val="0"/>
          <w:dstrike w:val="0"/>
          <w:vanish w:val="0"/>
          <w:spacing w:val="0"/>
          <w:kern w:val="0"/>
          <w:position w:val="0"/>
          <w:vertAlign w:val="baseline"/>
        </w:rPr>
        <w:t xml:space="preserve">5.3 </w:t>
      </w:r>
      <w:r>
        <w:rPr>
          <w:rFonts w:hint="eastAsia"/>
          <w:lang w:eastAsia="zh-CN"/>
        </w:rPr>
        <w:t>检查井与管道连接</w:t>
      </w:r>
      <w:r>
        <w:tab/>
      </w:r>
      <w:r>
        <w:fldChar w:fldCharType="begin"/>
      </w:r>
      <w:r>
        <w:instrText xml:space="preserve"> PAGEREF _Toc31147 \h </w:instrText>
      </w:r>
      <w:r>
        <w:fldChar w:fldCharType="separate"/>
      </w:r>
      <w:r>
        <w:t>8</w:t>
      </w:r>
      <w:r>
        <w:fldChar w:fldCharType="end"/>
      </w:r>
      <w:r>
        <w:fldChar w:fldCharType="end"/>
      </w:r>
    </w:p>
    <w:p>
      <w:pPr>
        <w:pStyle w:val="25"/>
        <w:tabs>
          <w:tab w:val="right" w:leader="dot" w:pos="9354"/>
          <w:tab w:val="clear" w:pos="9344"/>
        </w:tabs>
      </w:pPr>
      <w:r>
        <w:fldChar w:fldCharType="begin"/>
      </w:r>
      <w:r>
        <w:instrText xml:space="preserve"> HYPERLINK \l _Toc6278 </w:instrText>
      </w:r>
      <w:r>
        <w:fldChar w:fldCharType="separate"/>
      </w:r>
      <w:r>
        <w:rPr>
          <w:rFonts w:hint="eastAsia" w:ascii="黑体" w:hAnsi="Times New Roman" w:eastAsia="黑体" w:cs="Times New Roman"/>
          <w:bCs w:val="0"/>
          <w:i w:val="0"/>
          <w:iCs w:val="0"/>
          <w:caps w:val="0"/>
          <w:smallCaps w:val="0"/>
          <w:strike w:val="0"/>
          <w:dstrike w:val="0"/>
          <w:vanish w:val="0"/>
          <w:spacing w:val="0"/>
          <w:kern w:val="0"/>
          <w:position w:val="0"/>
          <w:vertAlign w:val="baseline"/>
          <w:lang w:eastAsia="zh-CN"/>
        </w:rPr>
        <w:t xml:space="preserve">5.4 </w:t>
      </w:r>
      <w:r>
        <w:rPr>
          <w:rFonts w:hint="eastAsia"/>
          <w:lang w:eastAsia="zh-CN"/>
        </w:rPr>
        <w:t>回填</w:t>
      </w:r>
      <w:r>
        <w:tab/>
      </w:r>
      <w:r>
        <w:fldChar w:fldCharType="begin"/>
      </w:r>
      <w:r>
        <w:instrText xml:space="preserve"> PAGEREF _Toc6278 \h </w:instrText>
      </w:r>
      <w:r>
        <w:fldChar w:fldCharType="separate"/>
      </w:r>
      <w:r>
        <w:t>8</w:t>
      </w:r>
      <w:r>
        <w:fldChar w:fldCharType="end"/>
      </w:r>
      <w:r>
        <w:fldChar w:fldCharType="end"/>
      </w:r>
    </w:p>
    <w:p>
      <w:pPr>
        <w:pStyle w:val="25"/>
        <w:tabs>
          <w:tab w:val="right" w:leader="dot" w:pos="9354"/>
          <w:tab w:val="clear" w:pos="9344"/>
        </w:tabs>
      </w:pPr>
      <w:r>
        <w:fldChar w:fldCharType="begin"/>
      </w:r>
      <w:r>
        <w:instrText xml:space="preserve"> HYPERLINK \l _Toc25696 </w:instrText>
      </w:r>
      <w:r>
        <w:fldChar w:fldCharType="separate"/>
      </w:r>
      <w:r>
        <w:rPr>
          <w:rFonts w:hint="eastAsia" w:ascii="黑体" w:hAnsi="Times New Roman" w:eastAsia="黑体" w:cs="Times New Roman"/>
          <w:bCs w:val="0"/>
          <w:i w:val="0"/>
          <w:iCs w:val="0"/>
          <w:caps w:val="0"/>
          <w:smallCaps w:val="0"/>
          <w:strike w:val="0"/>
          <w:dstrike w:val="0"/>
          <w:vanish w:val="0"/>
          <w:spacing w:val="0"/>
          <w:kern w:val="0"/>
          <w:position w:val="0"/>
          <w:vertAlign w:val="baseline"/>
          <w:lang w:eastAsia="zh-CN"/>
        </w:rPr>
        <w:t xml:space="preserve">5.5 </w:t>
      </w:r>
      <w:r>
        <w:rPr>
          <w:rFonts w:hint="eastAsia"/>
          <w:lang w:eastAsia="zh-CN"/>
        </w:rPr>
        <w:t>结构设计</w:t>
      </w:r>
      <w:r>
        <w:tab/>
      </w:r>
      <w:r>
        <w:fldChar w:fldCharType="begin"/>
      </w:r>
      <w:r>
        <w:instrText xml:space="preserve"> PAGEREF _Toc25696 \h </w:instrText>
      </w:r>
      <w:r>
        <w:fldChar w:fldCharType="separate"/>
      </w:r>
      <w:r>
        <w:t>8</w:t>
      </w:r>
      <w:r>
        <w:fldChar w:fldCharType="end"/>
      </w:r>
      <w:r>
        <w:fldChar w:fldCharType="end"/>
      </w:r>
    </w:p>
    <w:p>
      <w:pPr>
        <w:pStyle w:val="20"/>
        <w:tabs>
          <w:tab w:val="right" w:leader="dot" w:pos="9354"/>
        </w:tabs>
      </w:pPr>
      <w:r>
        <w:fldChar w:fldCharType="begin"/>
      </w:r>
      <w:r>
        <w:instrText xml:space="preserve"> HYPERLINK \l _Toc29627 </w:instrText>
      </w:r>
      <w:r>
        <w:fldChar w:fldCharType="separate"/>
      </w:r>
      <w:r>
        <w:rPr>
          <w:rFonts w:hint="eastAsia" w:ascii="黑体" w:eastAsia="黑体"/>
          <w:i w:val="0"/>
        </w:rPr>
        <w:t xml:space="preserve">6 </w:t>
      </w:r>
      <w:r>
        <w:rPr>
          <w:rFonts w:hint="eastAsia"/>
        </w:rPr>
        <w:t>施工</w:t>
      </w:r>
      <w:r>
        <w:tab/>
      </w:r>
      <w:r>
        <w:fldChar w:fldCharType="begin"/>
      </w:r>
      <w:r>
        <w:instrText xml:space="preserve"> PAGEREF _Toc29627 \h </w:instrText>
      </w:r>
      <w:r>
        <w:fldChar w:fldCharType="separate"/>
      </w:r>
      <w:r>
        <w:t>9</w:t>
      </w:r>
      <w:r>
        <w:fldChar w:fldCharType="end"/>
      </w:r>
      <w:r>
        <w:fldChar w:fldCharType="end"/>
      </w:r>
    </w:p>
    <w:p>
      <w:pPr>
        <w:pStyle w:val="25"/>
        <w:tabs>
          <w:tab w:val="right" w:leader="dot" w:pos="9354"/>
          <w:tab w:val="clear" w:pos="9344"/>
        </w:tabs>
      </w:pPr>
      <w:r>
        <w:fldChar w:fldCharType="begin"/>
      </w:r>
      <w:r>
        <w:instrText xml:space="preserve"> HYPERLINK \l _Toc26724 </w:instrText>
      </w:r>
      <w:r>
        <w:fldChar w:fldCharType="separate"/>
      </w:r>
      <w:r>
        <w:rPr>
          <w:rFonts w:hint="eastAsia" w:ascii="黑体" w:hAnsi="Times New Roman" w:eastAsia="黑体" w:cs="Times New Roman"/>
          <w:bCs w:val="0"/>
          <w:i w:val="0"/>
          <w:iCs w:val="0"/>
          <w:caps w:val="0"/>
          <w:smallCaps w:val="0"/>
          <w:strike w:val="0"/>
          <w:dstrike w:val="0"/>
          <w:vanish w:val="0"/>
          <w:spacing w:val="0"/>
          <w:kern w:val="0"/>
          <w:position w:val="0"/>
          <w:vertAlign w:val="baseline"/>
        </w:rPr>
        <w:t xml:space="preserve">6.1 </w:t>
      </w:r>
      <w:r>
        <w:rPr>
          <w:rFonts w:hint="eastAsia"/>
          <w:lang w:eastAsia="zh-CN"/>
        </w:rPr>
        <w:t>一般规定</w:t>
      </w:r>
      <w:r>
        <w:tab/>
      </w:r>
      <w:r>
        <w:fldChar w:fldCharType="begin"/>
      </w:r>
      <w:r>
        <w:instrText xml:space="preserve"> PAGEREF _Toc26724 \h </w:instrText>
      </w:r>
      <w:r>
        <w:fldChar w:fldCharType="separate"/>
      </w:r>
      <w:r>
        <w:t>9</w:t>
      </w:r>
      <w:r>
        <w:fldChar w:fldCharType="end"/>
      </w:r>
      <w:r>
        <w:fldChar w:fldCharType="end"/>
      </w:r>
    </w:p>
    <w:p>
      <w:pPr>
        <w:pStyle w:val="25"/>
        <w:tabs>
          <w:tab w:val="right" w:leader="dot" w:pos="9354"/>
          <w:tab w:val="clear" w:pos="9344"/>
        </w:tabs>
      </w:pPr>
      <w:r>
        <w:fldChar w:fldCharType="begin"/>
      </w:r>
      <w:r>
        <w:instrText xml:space="preserve"> HYPERLINK \l _Toc28657 </w:instrText>
      </w:r>
      <w:r>
        <w:fldChar w:fldCharType="separate"/>
      </w:r>
      <w:r>
        <w:rPr>
          <w:rFonts w:hint="eastAsia" w:ascii="黑体" w:hAnsi="Times New Roman" w:eastAsia="黑体" w:cs="Times New Roman"/>
          <w:bCs w:val="0"/>
          <w:i w:val="0"/>
          <w:iCs w:val="0"/>
          <w:caps w:val="0"/>
          <w:smallCaps w:val="0"/>
          <w:strike w:val="0"/>
          <w:dstrike w:val="0"/>
          <w:vanish w:val="0"/>
          <w:spacing w:val="0"/>
          <w:kern w:val="0"/>
          <w:position w:val="0"/>
          <w:vertAlign w:val="baseline"/>
        </w:rPr>
        <w:t xml:space="preserve">6.2 </w:t>
      </w:r>
      <w:r>
        <w:rPr>
          <w:rFonts w:hint="eastAsia"/>
          <w:lang w:eastAsia="zh-CN"/>
        </w:rPr>
        <w:t>运输与储存</w:t>
      </w:r>
      <w:r>
        <w:tab/>
      </w:r>
      <w:r>
        <w:fldChar w:fldCharType="begin"/>
      </w:r>
      <w:r>
        <w:instrText xml:space="preserve"> PAGEREF _Toc28657 \h </w:instrText>
      </w:r>
      <w:r>
        <w:fldChar w:fldCharType="separate"/>
      </w:r>
      <w:r>
        <w:t>9</w:t>
      </w:r>
      <w:r>
        <w:fldChar w:fldCharType="end"/>
      </w:r>
      <w:r>
        <w:fldChar w:fldCharType="end"/>
      </w:r>
    </w:p>
    <w:p>
      <w:pPr>
        <w:pStyle w:val="25"/>
        <w:tabs>
          <w:tab w:val="right" w:leader="dot" w:pos="9354"/>
          <w:tab w:val="clear" w:pos="9344"/>
        </w:tabs>
      </w:pPr>
      <w:r>
        <w:fldChar w:fldCharType="begin"/>
      </w:r>
      <w:r>
        <w:instrText xml:space="preserve"> HYPERLINK \l _Toc32672 </w:instrText>
      </w:r>
      <w:r>
        <w:fldChar w:fldCharType="separate"/>
      </w:r>
      <w:r>
        <w:rPr>
          <w:rFonts w:hint="eastAsia" w:ascii="黑体" w:hAnsi="Times New Roman" w:eastAsia="黑体" w:cs="Times New Roman"/>
          <w:bCs w:val="0"/>
          <w:i w:val="0"/>
          <w:iCs w:val="0"/>
          <w:caps w:val="0"/>
          <w:smallCaps w:val="0"/>
          <w:strike w:val="0"/>
          <w:dstrike w:val="0"/>
          <w:vanish w:val="0"/>
          <w:spacing w:val="0"/>
          <w:kern w:val="0"/>
          <w:position w:val="0"/>
          <w:vertAlign w:val="baseline"/>
        </w:rPr>
        <w:t xml:space="preserve">6.3 </w:t>
      </w:r>
      <w:r>
        <w:rPr>
          <w:rFonts w:hint="eastAsia"/>
          <w:lang w:eastAsia="zh-CN"/>
        </w:rPr>
        <w:t>井坑与基础施工</w:t>
      </w:r>
      <w:r>
        <w:tab/>
      </w:r>
      <w:r>
        <w:fldChar w:fldCharType="begin"/>
      </w:r>
      <w:r>
        <w:instrText xml:space="preserve"> PAGEREF _Toc32672 \h </w:instrText>
      </w:r>
      <w:r>
        <w:fldChar w:fldCharType="separate"/>
      </w:r>
      <w:r>
        <w:t>10</w:t>
      </w:r>
      <w:r>
        <w:fldChar w:fldCharType="end"/>
      </w:r>
      <w:r>
        <w:fldChar w:fldCharType="end"/>
      </w:r>
    </w:p>
    <w:p>
      <w:pPr>
        <w:pStyle w:val="25"/>
        <w:tabs>
          <w:tab w:val="right" w:leader="dot" w:pos="9354"/>
          <w:tab w:val="clear" w:pos="9344"/>
        </w:tabs>
      </w:pPr>
      <w:r>
        <w:fldChar w:fldCharType="begin"/>
      </w:r>
      <w:r>
        <w:instrText xml:space="preserve"> HYPERLINK \l _Toc6339 </w:instrText>
      </w:r>
      <w:r>
        <w:fldChar w:fldCharType="separate"/>
      </w:r>
      <w:r>
        <w:rPr>
          <w:rFonts w:hint="eastAsia" w:ascii="黑体" w:hAnsi="Times New Roman" w:eastAsia="黑体" w:cs="Times New Roman"/>
          <w:bCs w:val="0"/>
          <w:i w:val="0"/>
          <w:iCs w:val="0"/>
          <w:caps w:val="0"/>
          <w:smallCaps w:val="0"/>
          <w:strike w:val="0"/>
          <w:dstrike w:val="0"/>
          <w:vanish w:val="0"/>
          <w:spacing w:val="0"/>
          <w:kern w:val="0"/>
          <w:position w:val="0"/>
          <w:vertAlign w:val="baseline"/>
          <w:lang w:eastAsia="zh-CN"/>
        </w:rPr>
        <w:t xml:space="preserve">6.4 </w:t>
      </w:r>
      <w:r>
        <w:rPr>
          <w:rFonts w:hint="eastAsia"/>
          <w:lang w:eastAsia="zh-CN"/>
        </w:rPr>
        <w:t>井座安装与接管</w:t>
      </w:r>
      <w:r>
        <w:tab/>
      </w:r>
      <w:r>
        <w:fldChar w:fldCharType="begin"/>
      </w:r>
      <w:r>
        <w:instrText xml:space="preserve"> PAGEREF _Toc6339 \h </w:instrText>
      </w:r>
      <w:r>
        <w:fldChar w:fldCharType="separate"/>
      </w:r>
      <w:r>
        <w:t>11</w:t>
      </w:r>
      <w:r>
        <w:fldChar w:fldCharType="end"/>
      </w:r>
      <w:r>
        <w:fldChar w:fldCharType="end"/>
      </w:r>
    </w:p>
    <w:p>
      <w:pPr>
        <w:pStyle w:val="25"/>
        <w:tabs>
          <w:tab w:val="right" w:leader="dot" w:pos="9354"/>
          <w:tab w:val="clear" w:pos="9344"/>
        </w:tabs>
      </w:pPr>
      <w:r>
        <w:fldChar w:fldCharType="begin"/>
      </w:r>
      <w:r>
        <w:instrText xml:space="preserve"> HYPERLINK \l _Toc823 </w:instrText>
      </w:r>
      <w:r>
        <w:fldChar w:fldCharType="separate"/>
      </w:r>
      <w:r>
        <w:rPr>
          <w:rFonts w:hint="eastAsia" w:ascii="黑体" w:hAnsi="Times New Roman" w:eastAsia="黑体" w:cs="Times New Roman"/>
          <w:bCs w:val="0"/>
          <w:i w:val="0"/>
          <w:iCs w:val="0"/>
          <w:caps w:val="0"/>
          <w:smallCaps w:val="0"/>
          <w:strike w:val="0"/>
          <w:dstrike w:val="0"/>
          <w:vanish w:val="0"/>
          <w:spacing w:val="0"/>
          <w:kern w:val="0"/>
          <w:position w:val="0"/>
          <w:vertAlign w:val="baseline"/>
          <w:lang w:eastAsia="zh-CN"/>
        </w:rPr>
        <w:t xml:space="preserve">6.5 </w:t>
      </w:r>
      <w:r>
        <w:rPr>
          <w:rFonts w:hint="eastAsia"/>
          <w:lang w:eastAsia="zh-CN"/>
        </w:rPr>
        <w:t>井筒安装与接管</w:t>
      </w:r>
      <w:r>
        <w:tab/>
      </w:r>
      <w:r>
        <w:fldChar w:fldCharType="begin"/>
      </w:r>
      <w:r>
        <w:instrText xml:space="preserve"> PAGEREF _Toc823 \h </w:instrText>
      </w:r>
      <w:r>
        <w:fldChar w:fldCharType="separate"/>
      </w:r>
      <w:r>
        <w:t>11</w:t>
      </w:r>
      <w:r>
        <w:fldChar w:fldCharType="end"/>
      </w:r>
      <w:r>
        <w:fldChar w:fldCharType="end"/>
      </w:r>
    </w:p>
    <w:p>
      <w:pPr>
        <w:pStyle w:val="25"/>
        <w:tabs>
          <w:tab w:val="right" w:leader="dot" w:pos="9354"/>
          <w:tab w:val="clear" w:pos="9344"/>
        </w:tabs>
      </w:pPr>
      <w:r>
        <w:fldChar w:fldCharType="begin"/>
      </w:r>
      <w:r>
        <w:instrText xml:space="preserve"> HYPERLINK \l _Toc14067 </w:instrText>
      </w:r>
      <w:r>
        <w:fldChar w:fldCharType="separate"/>
      </w:r>
      <w:r>
        <w:rPr>
          <w:rFonts w:hint="eastAsia" w:ascii="黑体" w:hAnsi="Times New Roman" w:eastAsia="黑体" w:cs="Times New Roman"/>
          <w:bCs w:val="0"/>
          <w:i w:val="0"/>
          <w:iCs w:val="0"/>
          <w:caps w:val="0"/>
          <w:smallCaps w:val="0"/>
          <w:strike w:val="0"/>
          <w:dstrike w:val="0"/>
          <w:vanish w:val="0"/>
          <w:spacing w:val="0"/>
          <w:kern w:val="0"/>
          <w:position w:val="0"/>
          <w:vertAlign w:val="baseline"/>
          <w:lang w:eastAsia="zh-CN"/>
        </w:rPr>
        <w:t xml:space="preserve">6.6 </w:t>
      </w:r>
      <w:r>
        <w:rPr>
          <w:rFonts w:hint="eastAsia"/>
          <w:lang w:eastAsia="zh-CN"/>
        </w:rPr>
        <w:t>闭水试验</w:t>
      </w:r>
      <w:r>
        <w:tab/>
      </w:r>
      <w:r>
        <w:fldChar w:fldCharType="begin"/>
      </w:r>
      <w:r>
        <w:instrText xml:space="preserve"> PAGEREF _Toc14067 \h </w:instrText>
      </w:r>
      <w:r>
        <w:fldChar w:fldCharType="separate"/>
      </w:r>
      <w:r>
        <w:t>12</w:t>
      </w:r>
      <w:r>
        <w:fldChar w:fldCharType="end"/>
      </w:r>
      <w:r>
        <w:fldChar w:fldCharType="end"/>
      </w:r>
    </w:p>
    <w:p>
      <w:pPr>
        <w:pStyle w:val="25"/>
        <w:tabs>
          <w:tab w:val="right" w:leader="dot" w:pos="9354"/>
          <w:tab w:val="clear" w:pos="9344"/>
        </w:tabs>
      </w:pPr>
      <w:r>
        <w:fldChar w:fldCharType="begin"/>
      </w:r>
      <w:r>
        <w:instrText xml:space="preserve"> HYPERLINK \l _Toc17513 </w:instrText>
      </w:r>
      <w:r>
        <w:fldChar w:fldCharType="separate"/>
      </w:r>
      <w:r>
        <w:rPr>
          <w:rFonts w:hint="eastAsia" w:ascii="黑体" w:hAnsi="Times New Roman" w:eastAsia="黑体" w:cs="Times New Roman"/>
          <w:bCs w:val="0"/>
          <w:i w:val="0"/>
          <w:iCs w:val="0"/>
          <w:caps w:val="0"/>
          <w:smallCaps w:val="0"/>
          <w:strike w:val="0"/>
          <w:dstrike w:val="0"/>
          <w:vanish w:val="0"/>
          <w:spacing w:val="0"/>
          <w:kern w:val="0"/>
          <w:position w:val="0"/>
          <w:vertAlign w:val="baseline"/>
        </w:rPr>
        <w:t xml:space="preserve">6.7 </w:t>
      </w:r>
      <w:r>
        <w:rPr>
          <w:rFonts w:hint="eastAsia"/>
          <w:lang w:eastAsia="zh-CN"/>
        </w:rPr>
        <w:t>回填</w:t>
      </w:r>
      <w:r>
        <w:tab/>
      </w:r>
      <w:r>
        <w:fldChar w:fldCharType="begin"/>
      </w:r>
      <w:r>
        <w:instrText xml:space="preserve"> PAGEREF _Toc17513 \h </w:instrText>
      </w:r>
      <w:r>
        <w:fldChar w:fldCharType="separate"/>
      </w:r>
      <w:r>
        <w:t>12</w:t>
      </w:r>
      <w:r>
        <w:fldChar w:fldCharType="end"/>
      </w:r>
      <w:r>
        <w:fldChar w:fldCharType="end"/>
      </w:r>
    </w:p>
    <w:p>
      <w:pPr>
        <w:pStyle w:val="25"/>
        <w:tabs>
          <w:tab w:val="right" w:leader="dot" w:pos="9354"/>
          <w:tab w:val="clear" w:pos="9344"/>
        </w:tabs>
      </w:pPr>
      <w:r>
        <w:fldChar w:fldCharType="begin"/>
      </w:r>
      <w:r>
        <w:instrText xml:space="preserve"> HYPERLINK \l _Toc23612 </w:instrText>
      </w:r>
      <w:r>
        <w:fldChar w:fldCharType="separate"/>
      </w:r>
      <w:r>
        <w:rPr>
          <w:rFonts w:hint="eastAsia" w:ascii="黑体" w:hAnsi="Times New Roman" w:eastAsia="黑体" w:cs="Times New Roman"/>
          <w:bCs w:val="0"/>
          <w:i w:val="0"/>
          <w:iCs w:val="0"/>
          <w:caps w:val="0"/>
          <w:smallCaps w:val="0"/>
          <w:strike w:val="0"/>
          <w:dstrike w:val="0"/>
          <w:vanish w:val="0"/>
          <w:spacing w:val="0"/>
          <w:kern w:val="0"/>
          <w:position w:val="0"/>
          <w:vertAlign w:val="baseline"/>
          <w:lang w:eastAsia="zh-CN"/>
        </w:rPr>
        <w:t xml:space="preserve">6.8 </w:t>
      </w:r>
      <w:r>
        <w:rPr>
          <w:rFonts w:hint="eastAsia"/>
          <w:lang w:eastAsia="zh-CN"/>
        </w:rPr>
        <w:t>承压圈与井盖安装</w:t>
      </w:r>
      <w:r>
        <w:tab/>
      </w:r>
      <w:r>
        <w:fldChar w:fldCharType="begin"/>
      </w:r>
      <w:r>
        <w:instrText xml:space="preserve"> PAGEREF _Toc23612 \h </w:instrText>
      </w:r>
      <w:r>
        <w:fldChar w:fldCharType="separate"/>
      </w:r>
      <w:r>
        <w:t>12</w:t>
      </w:r>
      <w:r>
        <w:fldChar w:fldCharType="end"/>
      </w:r>
      <w:r>
        <w:fldChar w:fldCharType="end"/>
      </w:r>
    </w:p>
    <w:p>
      <w:pPr>
        <w:pStyle w:val="20"/>
        <w:tabs>
          <w:tab w:val="right" w:leader="dot" w:pos="9354"/>
        </w:tabs>
      </w:pPr>
      <w:r>
        <w:fldChar w:fldCharType="begin"/>
      </w:r>
      <w:r>
        <w:instrText xml:space="preserve"> HYPERLINK \l _Toc26000 </w:instrText>
      </w:r>
      <w:r>
        <w:fldChar w:fldCharType="separate"/>
      </w:r>
      <w:r>
        <w:rPr>
          <w:rFonts w:hint="eastAsia" w:ascii="黑体" w:eastAsia="黑体"/>
          <w:i w:val="0"/>
        </w:rPr>
        <w:t xml:space="preserve">7 </w:t>
      </w:r>
      <w:r>
        <w:rPr>
          <w:rFonts w:hint="eastAsia"/>
        </w:rPr>
        <w:t>验收</w:t>
      </w:r>
      <w:r>
        <w:tab/>
      </w:r>
      <w:r>
        <w:fldChar w:fldCharType="begin"/>
      </w:r>
      <w:r>
        <w:instrText xml:space="preserve"> PAGEREF _Toc26000 \h </w:instrText>
      </w:r>
      <w:r>
        <w:fldChar w:fldCharType="separate"/>
      </w:r>
      <w:r>
        <w:t>12</w:t>
      </w:r>
      <w:r>
        <w:fldChar w:fldCharType="end"/>
      </w:r>
      <w:r>
        <w:fldChar w:fldCharType="end"/>
      </w:r>
    </w:p>
    <w:p>
      <w:pPr>
        <w:pStyle w:val="25"/>
        <w:tabs>
          <w:tab w:val="right" w:leader="dot" w:pos="9354"/>
          <w:tab w:val="clear" w:pos="9344"/>
        </w:tabs>
      </w:pPr>
      <w:r>
        <w:fldChar w:fldCharType="begin"/>
      </w:r>
      <w:r>
        <w:instrText xml:space="preserve"> HYPERLINK \l _Toc25303 </w:instrText>
      </w:r>
      <w:r>
        <w:fldChar w:fldCharType="separate"/>
      </w:r>
      <w:r>
        <w:rPr>
          <w:rFonts w:hint="eastAsia" w:ascii="黑体" w:hAnsi="Times New Roman" w:eastAsia="黑体" w:cs="Times New Roman"/>
          <w:bCs w:val="0"/>
          <w:i w:val="0"/>
          <w:iCs w:val="0"/>
          <w:caps w:val="0"/>
          <w:smallCaps w:val="0"/>
          <w:strike w:val="0"/>
          <w:dstrike w:val="0"/>
          <w:vanish w:val="0"/>
          <w:spacing w:val="0"/>
          <w:kern w:val="0"/>
          <w:position w:val="0"/>
          <w:vertAlign w:val="baseline"/>
        </w:rPr>
        <w:t xml:space="preserve">7.1 </w:t>
      </w:r>
      <w:r>
        <w:rPr>
          <w:rFonts w:hint="eastAsia"/>
          <w:lang w:eastAsia="zh-CN"/>
        </w:rPr>
        <w:t>一般规定</w:t>
      </w:r>
      <w:r>
        <w:tab/>
      </w:r>
      <w:r>
        <w:fldChar w:fldCharType="begin"/>
      </w:r>
      <w:r>
        <w:instrText xml:space="preserve"> PAGEREF _Toc25303 \h </w:instrText>
      </w:r>
      <w:r>
        <w:fldChar w:fldCharType="separate"/>
      </w:r>
      <w:r>
        <w:t>12</w:t>
      </w:r>
      <w:r>
        <w:fldChar w:fldCharType="end"/>
      </w:r>
      <w:r>
        <w:fldChar w:fldCharType="end"/>
      </w:r>
    </w:p>
    <w:p>
      <w:pPr>
        <w:pStyle w:val="25"/>
        <w:tabs>
          <w:tab w:val="right" w:leader="dot" w:pos="9354"/>
          <w:tab w:val="clear" w:pos="9344"/>
        </w:tabs>
      </w:pPr>
      <w:r>
        <w:fldChar w:fldCharType="begin"/>
      </w:r>
      <w:r>
        <w:instrText xml:space="preserve"> HYPERLINK \l _Toc15404 </w:instrText>
      </w:r>
      <w:r>
        <w:fldChar w:fldCharType="separate"/>
      </w:r>
      <w:r>
        <w:rPr>
          <w:rFonts w:hint="eastAsia" w:ascii="黑体" w:hAnsi="Times New Roman" w:eastAsia="黑体" w:cs="Times New Roman"/>
          <w:bCs w:val="0"/>
          <w:i w:val="0"/>
          <w:iCs w:val="0"/>
          <w:caps w:val="0"/>
          <w:smallCaps w:val="0"/>
          <w:strike w:val="0"/>
          <w:dstrike w:val="0"/>
          <w:vanish w:val="0"/>
          <w:spacing w:val="0"/>
          <w:kern w:val="0"/>
          <w:position w:val="0"/>
          <w:vertAlign w:val="baseline"/>
        </w:rPr>
        <w:t xml:space="preserve">7.2 </w:t>
      </w:r>
      <w:r>
        <w:rPr>
          <w:rFonts w:hint="eastAsia"/>
          <w:lang w:eastAsia="zh-CN"/>
        </w:rPr>
        <w:t>检查井</w:t>
      </w:r>
      <w:r>
        <w:rPr>
          <w:rFonts w:hint="eastAsia"/>
        </w:rPr>
        <w:t>质量验收</w:t>
      </w:r>
      <w:r>
        <w:tab/>
      </w:r>
      <w:r>
        <w:fldChar w:fldCharType="begin"/>
      </w:r>
      <w:r>
        <w:instrText xml:space="preserve"> PAGEREF _Toc15404 \h </w:instrText>
      </w:r>
      <w:r>
        <w:fldChar w:fldCharType="separate"/>
      </w:r>
      <w:r>
        <w:t>13</w:t>
      </w:r>
      <w:r>
        <w:fldChar w:fldCharType="end"/>
      </w:r>
      <w:r>
        <w:fldChar w:fldCharType="end"/>
      </w:r>
    </w:p>
    <w:p>
      <w:pPr>
        <w:pStyle w:val="25"/>
        <w:tabs>
          <w:tab w:val="right" w:leader="dot" w:pos="9354"/>
          <w:tab w:val="clear" w:pos="9344"/>
        </w:tabs>
      </w:pPr>
      <w:r>
        <w:fldChar w:fldCharType="begin"/>
      </w:r>
      <w:r>
        <w:instrText xml:space="preserve"> HYPERLINK \l _Toc9697 </w:instrText>
      </w:r>
      <w:r>
        <w:fldChar w:fldCharType="separate"/>
      </w:r>
      <w:r>
        <w:rPr>
          <w:rFonts w:hint="eastAsia" w:ascii="黑体" w:hAnsi="Times New Roman" w:eastAsia="黑体" w:cs="Times New Roman"/>
          <w:bCs w:val="0"/>
          <w:i w:val="0"/>
          <w:iCs w:val="0"/>
          <w:caps w:val="0"/>
          <w:smallCaps w:val="0"/>
          <w:strike w:val="0"/>
          <w:dstrike w:val="0"/>
          <w:vanish w:val="0"/>
          <w:spacing w:val="0"/>
          <w:kern w:val="0"/>
          <w:position w:val="0"/>
          <w:vertAlign w:val="baseline"/>
        </w:rPr>
        <w:t xml:space="preserve">7.3 </w:t>
      </w:r>
      <w:r>
        <w:rPr>
          <w:rFonts w:hint="eastAsia"/>
          <w:lang w:eastAsia="zh-CN"/>
        </w:rPr>
        <w:t>功能性</w:t>
      </w:r>
      <w:r>
        <w:rPr>
          <w:rFonts w:hint="eastAsia"/>
        </w:rPr>
        <w:t>验收</w:t>
      </w:r>
      <w:r>
        <w:tab/>
      </w:r>
      <w:r>
        <w:fldChar w:fldCharType="begin"/>
      </w:r>
      <w:r>
        <w:instrText xml:space="preserve"> PAGEREF _Toc9697 \h </w:instrText>
      </w:r>
      <w:r>
        <w:fldChar w:fldCharType="separate"/>
      </w:r>
      <w:r>
        <w:t>13</w:t>
      </w:r>
      <w:r>
        <w:fldChar w:fldCharType="end"/>
      </w:r>
      <w:r>
        <w:fldChar w:fldCharType="end"/>
      </w:r>
    </w:p>
    <w:p>
      <w:pPr>
        <w:pStyle w:val="25"/>
        <w:tabs>
          <w:tab w:val="right" w:leader="dot" w:pos="9354"/>
          <w:tab w:val="clear" w:pos="9344"/>
        </w:tabs>
      </w:pPr>
      <w:r>
        <w:fldChar w:fldCharType="begin"/>
      </w:r>
      <w:r>
        <w:instrText xml:space="preserve"> HYPERLINK \l _Toc3088 </w:instrText>
      </w:r>
      <w:r>
        <w:fldChar w:fldCharType="separate"/>
      </w:r>
      <w:r>
        <w:rPr>
          <w:rFonts w:hint="eastAsia" w:ascii="黑体" w:hAnsi="Times New Roman" w:eastAsia="黑体" w:cs="Times New Roman"/>
          <w:bCs w:val="0"/>
          <w:i w:val="0"/>
          <w:iCs w:val="0"/>
          <w:caps w:val="0"/>
          <w:smallCaps w:val="0"/>
          <w:strike w:val="0"/>
          <w:dstrike w:val="0"/>
          <w:vanish w:val="0"/>
          <w:spacing w:val="0"/>
          <w:kern w:val="0"/>
          <w:position w:val="0"/>
          <w:vertAlign w:val="baseline"/>
          <w:lang w:eastAsia="zh-CN"/>
        </w:rPr>
        <w:t xml:space="preserve">7.4 </w:t>
      </w:r>
      <w:r>
        <w:rPr>
          <w:rFonts w:hint="eastAsia" w:ascii="宋体" w:hAnsi="宋体" w:eastAsia="宋体" w:cs="宋体"/>
          <w:bCs w:val="0"/>
          <w:i w:val="0"/>
          <w:iCs w:val="0"/>
          <w:caps w:val="0"/>
          <w:smallCaps w:val="0"/>
          <w:strike w:val="0"/>
          <w:dstrike w:val="0"/>
          <w:vanish w:val="0"/>
          <w:spacing w:val="0"/>
          <w:kern w:val="0"/>
          <w:position w:val="0"/>
          <w:vertAlign w:val="baseline"/>
          <w:lang w:eastAsia="zh-CN"/>
        </w:rPr>
        <w:t>竣工</w:t>
      </w:r>
      <w:r>
        <w:rPr>
          <w:rFonts w:hint="eastAsia"/>
          <w:lang w:eastAsia="zh-CN"/>
        </w:rPr>
        <w:t>验收</w:t>
      </w:r>
      <w:r>
        <w:tab/>
      </w:r>
      <w:r>
        <w:fldChar w:fldCharType="begin"/>
      </w:r>
      <w:r>
        <w:instrText xml:space="preserve"> PAGEREF _Toc3088 \h </w:instrText>
      </w:r>
      <w:r>
        <w:fldChar w:fldCharType="separate"/>
      </w:r>
      <w:r>
        <w:t>13</w:t>
      </w:r>
      <w:r>
        <w:fldChar w:fldCharType="end"/>
      </w:r>
      <w:r>
        <w:fldChar w:fldCharType="end"/>
      </w:r>
    </w:p>
    <w:p>
      <w:pPr>
        <w:pStyle w:val="20"/>
        <w:tabs>
          <w:tab w:val="right" w:leader="dot" w:pos="9354"/>
        </w:tabs>
      </w:pPr>
      <w:r>
        <w:fldChar w:fldCharType="begin"/>
      </w:r>
      <w:r>
        <w:instrText xml:space="preserve"> HYPERLINK \l _Toc8781 </w:instrText>
      </w:r>
      <w:r>
        <w:fldChar w:fldCharType="separate"/>
      </w:r>
      <w:r>
        <w:rPr>
          <w:rFonts w:hint="eastAsia" w:ascii="黑体" w:eastAsia="黑体"/>
          <w:i w:val="0"/>
        </w:rPr>
        <w:t xml:space="preserve">8 </w:t>
      </w:r>
      <w:r>
        <w:rPr>
          <w:rFonts w:hint="eastAsia"/>
        </w:rPr>
        <w:t>维护</w:t>
      </w:r>
      <w:r>
        <w:rPr>
          <w:rFonts w:hint="eastAsia"/>
          <w:lang w:eastAsia="zh-CN"/>
        </w:rPr>
        <w:t>保养</w:t>
      </w:r>
      <w:r>
        <w:tab/>
      </w:r>
      <w:r>
        <w:fldChar w:fldCharType="begin"/>
      </w:r>
      <w:r>
        <w:instrText xml:space="preserve"> PAGEREF _Toc8781 \h </w:instrText>
      </w:r>
      <w:r>
        <w:fldChar w:fldCharType="separate"/>
      </w:r>
      <w:r>
        <w:t>14</w:t>
      </w:r>
      <w:r>
        <w:fldChar w:fldCharType="end"/>
      </w:r>
      <w:r>
        <w:fldChar w:fldCharType="end"/>
      </w:r>
    </w:p>
    <w:p>
      <w:pPr>
        <w:pStyle w:val="20"/>
        <w:tabs>
          <w:tab w:val="right" w:leader="dot" w:pos="9354"/>
        </w:tabs>
      </w:pPr>
      <w:r>
        <w:fldChar w:fldCharType="begin"/>
      </w:r>
      <w:r>
        <w:instrText xml:space="preserve"> HYPERLINK \l _Toc22362 </w:instrText>
      </w:r>
      <w:r>
        <w:fldChar w:fldCharType="separate"/>
      </w:r>
      <w:r>
        <w:rPr>
          <w:rFonts w:hint="eastAsia"/>
          <w:spacing w:val="100"/>
        </w:rPr>
        <w:t xml:space="preserve">附录A </w:t>
      </w:r>
      <w:r>
        <w:t xml:space="preserve"> </w:t>
      </w:r>
      <w:r>
        <w:rPr>
          <w:rFonts w:hint="eastAsia"/>
        </w:rPr>
        <w:t>（资料性）</w:t>
      </w:r>
      <w:r>
        <w:t xml:space="preserve"> </w:t>
      </w:r>
      <w:r>
        <w:rPr>
          <w:rFonts w:hint="eastAsia"/>
          <w:lang w:eastAsia="zh-CN"/>
        </w:rPr>
        <w:t>排水用塑料检查井及井座规格</w:t>
      </w:r>
      <w:r>
        <w:tab/>
      </w:r>
      <w:r>
        <w:fldChar w:fldCharType="begin"/>
      </w:r>
      <w:r>
        <w:instrText xml:space="preserve"> PAGEREF _Toc22362 \h </w:instrText>
      </w:r>
      <w:r>
        <w:fldChar w:fldCharType="separate"/>
      </w:r>
      <w:r>
        <w:t>15</w:t>
      </w:r>
      <w:r>
        <w:fldChar w:fldCharType="end"/>
      </w:r>
      <w:r>
        <w:fldChar w:fldCharType="end"/>
      </w:r>
    </w:p>
    <w:p>
      <w:pPr>
        <w:pStyle w:val="20"/>
        <w:tabs>
          <w:tab w:val="right" w:leader="dot" w:pos="9354"/>
        </w:tabs>
      </w:pPr>
      <w:r>
        <w:fldChar w:fldCharType="begin"/>
      </w:r>
      <w:r>
        <w:instrText xml:space="preserve"> HYPERLINK \l _Toc2473 </w:instrText>
      </w:r>
      <w:r>
        <w:fldChar w:fldCharType="separate"/>
      </w:r>
      <w:r>
        <w:rPr>
          <w:rFonts w:hint="eastAsia"/>
          <w:spacing w:val="100"/>
        </w:rPr>
        <w:t xml:space="preserve">附录B </w:t>
      </w:r>
      <w:r>
        <w:t xml:space="preserve"> </w:t>
      </w:r>
      <w:r>
        <w:rPr>
          <w:rFonts w:hint="eastAsia"/>
        </w:rPr>
        <w:t>（资料性）</w:t>
      </w:r>
      <w:r>
        <w:t xml:space="preserve"> </w:t>
      </w:r>
      <w:r>
        <w:rPr>
          <w:rFonts w:hint="eastAsia"/>
          <w:lang w:eastAsia="zh-CN"/>
        </w:rPr>
        <w:t>排水用塑料检查井井盖规格</w:t>
      </w:r>
      <w:r>
        <w:tab/>
      </w:r>
      <w:r>
        <w:fldChar w:fldCharType="begin"/>
      </w:r>
      <w:r>
        <w:instrText xml:space="preserve"> PAGEREF _Toc2473 \h </w:instrText>
      </w:r>
      <w:r>
        <w:fldChar w:fldCharType="separate"/>
      </w:r>
      <w:r>
        <w:t>20</w:t>
      </w:r>
      <w:r>
        <w:fldChar w:fldCharType="end"/>
      </w:r>
      <w:r>
        <w:fldChar w:fldCharType="end"/>
      </w:r>
    </w:p>
    <w:p>
      <w:pPr>
        <w:pStyle w:val="20"/>
        <w:tabs>
          <w:tab w:val="right" w:leader="dot" w:pos="9354"/>
        </w:tabs>
      </w:pPr>
      <w:r>
        <w:fldChar w:fldCharType="begin"/>
      </w:r>
      <w:r>
        <w:instrText xml:space="preserve"> HYPERLINK \l _Toc10219 </w:instrText>
      </w:r>
      <w:r>
        <w:fldChar w:fldCharType="separate"/>
      </w:r>
      <w:r>
        <w:rPr>
          <w:rFonts w:hint="eastAsia"/>
          <w:spacing w:val="100"/>
        </w:rPr>
        <w:t xml:space="preserve">附录C </w:t>
      </w:r>
      <w:r>
        <w:t xml:space="preserve"> </w:t>
      </w:r>
      <w:r>
        <w:rPr>
          <w:rFonts w:hint="eastAsia"/>
        </w:rPr>
        <w:t>（资料性）</w:t>
      </w:r>
      <w:r>
        <w:t xml:space="preserve"> </w:t>
      </w:r>
      <w:r>
        <w:rPr>
          <w:rFonts w:hint="eastAsia"/>
          <w:lang w:eastAsia="zh-CN"/>
        </w:rPr>
        <w:t>排水用塑料检查井配件种类规格</w:t>
      </w:r>
      <w:r>
        <w:tab/>
      </w:r>
      <w:r>
        <w:fldChar w:fldCharType="begin"/>
      </w:r>
      <w:r>
        <w:instrText xml:space="preserve"> PAGEREF _Toc10219 \h </w:instrText>
      </w:r>
      <w:r>
        <w:fldChar w:fldCharType="separate"/>
      </w:r>
      <w:r>
        <w:t>21</w:t>
      </w:r>
      <w:r>
        <w:fldChar w:fldCharType="end"/>
      </w:r>
      <w:r>
        <w:fldChar w:fldCharType="end"/>
      </w:r>
    </w:p>
    <w:p>
      <w:pPr>
        <w:pStyle w:val="20"/>
        <w:tabs>
          <w:tab w:val="right" w:leader="dot" w:pos="9354"/>
        </w:tabs>
      </w:pPr>
      <w:r>
        <w:fldChar w:fldCharType="begin"/>
      </w:r>
      <w:r>
        <w:instrText xml:space="preserve"> HYPERLINK \l _Toc17348 </w:instrText>
      </w:r>
      <w:r>
        <w:fldChar w:fldCharType="separate"/>
      </w:r>
      <w:r>
        <w:rPr>
          <w:rFonts w:hint="eastAsia"/>
          <w:spacing w:val="100"/>
        </w:rPr>
        <w:t xml:space="preserve">附录D </w:t>
      </w:r>
      <w:r>
        <w:t xml:space="preserve"> </w:t>
      </w:r>
      <w:r>
        <w:rPr>
          <w:rFonts w:hint="eastAsia"/>
        </w:rPr>
        <w:t>（资料性）</w:t>
      </w:r>
      <w:r>
        <w:t xml:space="preserve"> </w:t>
      </w:r>
      <w:r>
        <w:rPr>
          <w:rFonts w:hint="eastAsia"/>
          <w:lang w:eastAsia="zh-CN"/>
        </w:rPr>
        <w:t>承压圈构造</w:t>
      </w:r>
      <w:r>
        <w:tab/>
      </w:r>
      <w:r>
        <w:fldChar w:fldCharType="begin"/>
      </w:r>
      <w:r>
        <w:instrText xml:space="preserve"> PAGEREF _Toc17348 \h </w:instrText>
      </w:r>
      <w:r>
        <w:fldChar w:fldCharType="separate"/>
      </w:r>
      <w:r>
        <w:t>25</w:t>
      </w:r>
      <w:r>
        <w:fldChar w:fldCharType="end"/>
      </w:r>
      <w:r>
        <w:fldChar w:fldCharType="end"/>
      </w:r>
    </w:p>
    <w:p>
      <w:pPr>
        <w:pStyle w:val="20"/>
        <w:tabs>
          <w:tab w:val="right" w:leader="dot" w:pos="9354"/>
        </w:tabs>
      </w:pPr>
      <w:r>
        <w:fldChar w:fldCharType="begin"/>
      </w:r>
      <w:r>
        <w:instrText xml:space="preserve"> HYPERLINK \l _Toc2504 </w:instrText>
      </w:r>
      <w:r>
        <w:fldChar w:fldCharType="separate"/>
      </w:r>
      <w:r>
        <w:rPr>
          <w:rFonts w:hint="eastAsia"/>
          <w:spacing w:val="100"/>
        </w:rPr>
        <w:t xml:space="preserve">附录E </w:t>
      </w:r>
      <w:r>
        <w:t xml:space="preserve"> </w:t>
      </w:r>
      <w:r>
        <w:rPr>
          <w:rFonts w:hint="eastAsia"/>
        </w:rPr>
        <w:t>（资料性）</w:t>
      </w:r>
      <w:r>
        <w:t xml:space="preserve"> </w:t>
      </w:r>
      <w:r>
        <w:rPr>
          <w:rFonts w:hint="eastAsia"/>
          <w:lang w:eastAsia="zh-CN"/>
        </w:rPr>
        <w:t>排水用塑料检查井工程备料表</w:t>
      </w:r>
      <w:r>
        <w:tab/>
      </w:r>
      <w:r>
        <w:fldChar w:fldCharType="begin"/>
      </w:r>
      <w:r>
        <w:instrText xml:space="preserve"> PAGEREF _Toc2504 \h </w:instrText>
      </w:r>
      <w:r>
        <w:fldChar w:fldCharType="separate"/>
      </w:r>
      <w:r>
        <w:t>31</w:t>
      </w:r>
      <w:r>
        <w:fldChar w:fldCharType="end"/>
      </w:r>
      <w:r>
        <w:fldChar w:fldCharType="end"/>
      </w:r>
    </w:p>
    <w:p>
      <w:pPr>
        <w:pStyle w:val="20"/>
        <w:tabs>
          <w:tab w:val="right" w:leader="dot" w:pos="9354"/>
        </w:tabs>
      </w:pPr>
      <w:r>
        <w:fldChar w:fldCharType="begin"/>
      </w:r>
      <w:r>
        <w:instrText xml:space="preserve"> HYPERLINK \l _Toc12994 </w:instrText>
      </w:r>
      <w:r>
        <w:fldChar w:fldCharType="separate"/>
      </w:r>
      <w:r>
        <w:rPr>
          <w:rFonts w:hint="eastAsia"/>
          <w:spacing w:val="100"/>
        </w:rPr>
        <w:t xml:space="preserve">附录F </w:t>
      </w:r>
      <w:r>
        <w:t xml:space="preserve"> </w:t>
      </w:r>
      <w:r>
        <w:rPr>
          <w:rFonts w:hint="eastAsia"/>
        </w:rPr>
        <w:t>（资料性）</w:t>
      </w:r>
      <w:r>
        <w:t xml:space="preserve"> </w:t>
      </w:r>
      <w:r>
        <w:rPr>
          <w:rFonts w:hint="eastAsia"/>
          <w:lang w:eastAsia="zh-CN"/>
        </w:rPr>
        <w:t>排水用塑料检查井工程检验记录表</w:t>
      </w:r>
      <w:r>
        <w:tab/>
      </w:r>
      <w:r>
        <w:fldChar w:fldCharType="begin"/>
      </w:r>
      <w:r>
        <w:instrText xml:space="preserve"> PAGEREF _Toc12994 \h </w:instrText>
      </w:r>
      <w:r>
        <w:fldChar w:fldCharType="separate"/>
      </w:r>
      <w:r>
        <w:t>32</w:t>
      </w:r>
      <w:r>
        <w:fldChar w:fldCharType="end"/>
      </w:r>
      <w:r>
        <w:fldChar w:fldCharType="end"/>
      </w:r>
    </w:p>
    <w:p>
      <w:pPr>
        <w:pStyle w:val="93"/>
        <w:spacing w:after="468"/>
        <w:sectPr>
          <w:headerReference r:id="rId11" w:type="default"/>
          <w:footerReference r:id="rId13" w:type="default"/>
          <w:headerReference r:id="rId12" w:type="even"/>
          <w:footerReference r:id="rId14" w:type="even"/>
          <w:pgSz w:w="11906" w:h="16838"/>
          <w:pgMar w:top="567" w:right="1134" w:bottom="1134" w:left="1134" w:header="1418" w:footer="1134" w:gutter="284"/>
          <w:pgBorders>
            <w:top w:val="none" w:sz="0" w:space="0"/>
            <w:left w:val="none" w:sz="0" w:space="0"/>
            <w:bottom w:val="none" w:sz="0" w:space="0"/>
            <w:right w:val="none" w:sz="0" w:space="0"/>
          </w:pgBorders>
          <w:pgNumType w:fmt="upperRoman" w:start="1"/>
          <w:cols w:space="425" w:num="1"/>
          <w:formProt w:val="0"/>
          <w:docGrid w:type="lines" w:linePitch="312" w:charSpace="0"/>
        </w:sectPr>
      </w:pPr>
      <w:r>
        <w:fldChar w:fldCharType="end"/>
      </w:r>
    </w:p>
    <w:bookmarkEnd w:id="21"/>
    <w:p>
      <w:pPr>
        <w:pStyle w:val="91"/>
        <w:spacing w:after="468"/>
      </w:pPr>
      <w:bookmarkStart w:id="22" w:name="_Toc29052"/>
      <w:bookmarkStart w:id="23" w:name="BookMark2"/>
      <w:r>
        <w:rPr>
          <w:spacing w:val="320"/>
        </w:rPr>
        <w:t>前</w:t>
      </w:r>
      <w:r>
        <w:t>言</w:t>
      </w:r>
      <w:bookmarkEnd w:id="22"/>
    </w:p>
    <w:p>
      <w:pPr>
        <w:pStyle w:val="58"/>
        <w:ind w:firstLine="420"/>
      </w:pPr>
      <w:r>
        <w:rPr>
          <w:rFonts w:hint="eastAsia"/>
        </w:rPr>
        <w:t>本规程按照GB/T 1.1—2020《标准化工作导则  第1部分：标准化文件的结构和起草规则》的规定起草。</w:t>
      </w:r>
    </w:p>
    <w:p>
      <w:pPr>
        <w:pStyle w:val="233"/>
        <w:ind w:left="420" w:leftChars="200" w:firstLine="0" w:firstLineChars="0"/>
        <w:jc w:val="left"/>
        <w:rPr>
          <w:rFonts w:hint="eastAsia"/>
        </w:rPr>
      </w:pPr>
      <w:r>
        <w:rPr>
          <w:rFonts w:hint="eastAsia"/>
        </w:rPr>
        <w:t>请注意本文件的某些内容可能涉及专利。本文件的发布机构不承担识别专利的责任。</w:t>
      </w:r>
    </w:p>
    <w:p>
      <w:pPr>
        <w:pStyle w:val="233"/>
        <w:ind w:left="420" w:leftChars="200" w:firstLine="0" w:firstLineChars="0"/>
        <w:jc w:val="left"/>
        <w:rPr>
          <w:rFonts w:hint="eastAsia"/>
        </w:rPr>
      </w:pPr>
      <w:r>
        <w:rPr>
          <w:rFonts w:hint="eastAsia"/>
        </w:rPr>
        <w:t>本文件由江苏省住房和城乡建设厅提出、归口并组织实施。</w:t>
      </w:r>
    </w:p>
    <w:p>
      <w:pPr>
        <w:pStyle w:val="233"/>
        <w:ind w:left="420" w:leftChars="200" w:firstLine="0" w:firstLineChars="0"/>
        <w:jc w:val="left"/>
      </w:pPr>
      <w:bookmarkStart w:id="95" w:name="_GoBack"/>
      <w:bookmarkEnd w:id="95"/>
      <w:r>
        <w:rPr>
          <w:rFonts w:hint="eastAsia"/>
        </w:rPr>
        <w:t>本规程起草单位：江苏省建筑设计研究院股份</w:t>
      </w:r>
      <w:r>
        <w:rPr>
          <w:rFonts w:hint="eastAsia"/>
          <w:lang w:val="en-US" w:eastAsia="zh-CN"/>
        </w:rPr>
        <w:t>有限</w:t>
      </w:r>
      <w:r>
        <w:rPr>
          <w:rFonts w:hint="eastAsia"/>
        </w:rPr>
        <w:t>公司</w:t>
      </w:r>
      <w:r>
        <w:rPr>
          <w:rFonts w:hint="eastAsia"/>
          <w:lang w:eastAsia="zh-CN"/>
        </w:rPr>
        <w:t>、</w:t>
      </w:r>
      <w:r>
        <w:rPr>
          <w:rFonts w:hint="eastAsia"/>
        </w:rPr>
        <w:t>江苏河马井股份有限公司</w:t>
      </w:r>
      <w:r>
        <w:rPr>
          <w:rFonts w:hint="eastAsia"/>
          <w:lang w:eastAsia="zh-CN"/>
        </w:rPr>
        <w:t>、</w:t>
      </w:r>
      <w:r>
        <w:rPr>
          <w:rFonts w:hint="eastAsia"/>
        </w:rPr>
        <w:t>江苏筑森建筑设计有限公司</w:t>
      </w:r>
      <w:r>
        <w:rPr>
          <w:rFonts w:hint="eastAsia"/>
          <w:lang w:eastAsia="zh-CN"/>
        </w:rPr>
        <w:t>、</w:t>
      </w:r>
      <w:r>
        <w:rPr>
          <w:rFonts w:hint="eastAsia"/>
        </w:rPr>
        <w:t>南京城镇建筑设计咨询有限公司</w:t>
      </w:r>
      <w:r>
        <w:rPr>
          <w:rFonts w:hint="eastAsia"/>
          <w:lang w:eastAsia="zh-CN"/>
        </w:rPr>
        <w:t>、</w:t>
      </w:r>
      <w:r>
        <w:rPr>
          <w:rFonts w:hint="eastAsia"/>
        </w:rPr>
        <w:t>基准方中建筑设计股份有限公司</w:t>
      </w:r>
      <w:r>
        <w:rPr>
          <w:rFonts w:hint="eastAsia"/>
          <w:lang w:eastAsia="zh-CN"/>
        </w:rPr>
        <w:t>、常州市建设工程施工图设计审查中心</w:t>
      </w:r>
      <w:r>
        <w:rPr>
          <w:rFonts w:hint="eastAsia"/>
        </w:rPr>
        <w:t>。</w:t>
      </w:r>
    </w:p>
    <w:p>
      <w:pPr>
        <w:pStyle w:val="58"/>
        <w:ind w:firstLine="420"/>
      </w:pPr>
      <w:r>
        <w:rPr>
          <w:rFonts w:hint="eastAsia"/>
        </w:rPr>
        <w:t>本规程主要起草人：</w:t>
      </w:r>
      <w:r>
        <w:rPr>
          <w:rFonts w:hint="eastAsia"/>
          <w:lang w:eastAsia="zh-CN"/>
        </w:rPr>
        <w:t>方玉妹、周敏伟、</w:t>
      </w:r>
      <w:r>
        <w:rPr>
          <w:rFonts w:hint="eastAsia"/>
          <w:lang w:val="en-US" w:eastAsia="zh-CN"/>
        </w:rPr>
        <w:t>周敏宏、周纪润、周佰兴、</w:t>
      </w:r>
      <w:r>
        <w:rPr>
          <w:rFonts w:hint="eastAsia"/>
          <w:lang w:eastAsia="zh-CN"/>
        </w:rPr>
        <w:t>龚飞雪、关丹桔、华明、王键</w:t>
      </w:r>
      <w:r>
        <w:rPr>
          <w:rFonts w:hint="eastAsia"/>
          <w:lang w:val="en-US" w:eastAsia="zh-CN"/>
        </w:rPr>
        <w:t>、李进、肖伟、汤建峰、蒋育敏</w:t>
      </w:r>
      <w:r>
        <w:rPr>
          <w:rFonts w:hint="eastAsia"/>
          <w:szCs w:val="22"/>
        </w:rPr>
        <w:t>。</w:t>
      </w:r>
    </w:p>
    <w:p>
      <w:pPr>
        <w:pStyle w:val="58"/>
        <w:ind w:firstLine="420"/>
      </w:pPr>
    </w:p>
    <w:p>
      <w:pPr>
        <w:pStyle w:val="58"/>
        <w:ind w:firstLine="420"/>
        <w:sectPr>
          <w:pgSz w:w="11906" w:h="16838"/>
          <w:pgMar w:top="567" w:right="1134" w:bottom="1134" w:left="1134" w:header="1418" w:footer="1134" w:gutter="284"/>
          <w:pgBorders>
            <w:top w:val="none" w:sz="0" w:space="0"/>
            <w:left w:val="none" w:sz="0" w:space="0"/>
            <w:bottom w:val="none" w:sz="0" w:space="0"/>
            <w:right w:val="none" w:sz="0" w:space="0"/>
          </w:pgBorders>
          <w:pgNumType w:fmt="upperRoman"/>
          <w:cols w:space="425" w:num="1"/>
          <w:formProt w:val="0"/>
          <w:docGrid w:type="lines" w:linePitch="312" w:charSpace="0"/>
        </w:sectPr>
      </w:pPr>
    </w:p>
    <w:bookmarkEnd w:id="23"/>
    <w:p>
      <w:pPr>
        <w:spacing w:line="20" w:lineRule="exact"/>
        <w:jc w:val="center"/>
        <w:rPr>
          <w:rFonts w:ascii="黑体" w:hAnsi="黑体" w:eastAsia="黑体"/>
          <w:sz w:val="32"/>
          <w:szCs w:val="32"/>
        </w:rPr>
      </w:pPr>
      <w:bookmarkStart w:id="24" w:name="BookMark4"/>
    </w:p>
    <w:p>
      <w:pPr>
        <w:spacing w:line="20" w:lineRule="exact"/>
        <w:jc w:val="center"/>
        <w:rPr>
          <w:rFonts w:ascii="黑体" w:hAnsi="黑体" w:eastAsia="黑体"/>
          <w:sz w:val="32"/>
          <w:szCs w:val="32"/>
        </w:rPr>
      </w:pPr>
    </w:p>
    <w:sdt>
      <w:sdtPr>
        <w:tag w:val="NEW_STAND_NAME"/>
        <w:id w:val="595910757"/>
        <w:lock w:val="sdtLocked"/>
        <w:placeholder>
          <w:docPart w:val="0B9AC1DAF4D94C6BB6F8661462FD8D92"/>
        </w:placeholder>
      </w:sdtPr>
      <w:sdtContent>
        <w:p>
          <w:pPr>
            <w:pStyle w:val="179"/>
            <w:spacing w:beforeLines="182" w:afterLines="220"/>
          </w:pPr>
          <w:bookmarkStart w:id="25" w:name="NEW_STAND_NAME"/>
          <w:r>
            <w:rPr>
              <w:rFonts w:hint="eastAsia"/>
              <w:lang w:eastAsia="zh-CN"/>
            </w:rPr>
            <w:t>排水用塑料检查井应用技术规程</w:t>
          </w:r>
        </w:p>
      </w:sdtContent>
    </w:sdt>
    <w:bookmarkEnd w:id="25"/>
    <w:p>
      <w:pPr>
        <w:pStyle w:val="106"/>
        <w:spacing w:before="312" w:after="312"/>
      </w:pPr>
      <w:bookmarkStart w:id="26" w:name="_Toc26718930"/>
      <w:bookmarkStart w:id="27" w:name="_Toc26986771"/>
      <w:bookmarkStart w:id="28" w:name="_Toc17233325"/>
      <w:bookmarkStart w:id="29" w:name="_Toc17233333"/>
      <w:bookmarkStart w:id="30" w:name="_Toc24884211"/>
      <w:bookmarkStart w:id="31" w:name="_Toc7363"/>
      <w:bookmarkStart w:id="32" w:name="_Toc24884218"/>
      <w:bookmarkStart w:id="33" w:name="_Toc26648465"/>
      <w:bookmarkStart w:id="34" w:name="_Toc26986530"/>
      <w:r>
        <w:rPr>
          <w:rFonts w:hint="eastAsia"/>
        </w:rPr>
        <w:t>范围</w:t>
      </w:r>
      <w:bookmarkEnd w:id="26"/>
      <w:bookmarkEnd w:id="27"/>
      <w:bookmarkEnd w:id="28"/>
      <w:bookmarkEnd w:id="29"/>
      <w:bookmarkEnd w:id="30"/>
      <w:bookmarkEnd w:id="31"/>
      <w:bookmarkEnd w:id="32"/>
      <w:bookmarkEnd w:id="33"/>
      <w:bookmarkEnd w:id="34"/>
    </w:p>
    <w:p>
      <w:pPr>
        <w:pStyle w:val="58"/>
        <w:ind w:firstLine="420"/>
      </w:pPr>
      <w:bookmarkStart w:id="35" w:name="_Toc24884212"/>
      <w:bookmarkStart w:id="36" w:name="_Toc26648466"/>
      <w:bookmarkStart w:id="37" w:name="_Toc24884219"/>
      <w:bookmarkStart w:id="38" w:name="_Toc17233326"/>
      <w:bookmarkStart w:id="39" w:name="_Toc17233334"/>
      <w:r>
        <w:rPr>
          <w:rFonts w:hint="eastAsia"/>
        </w:rPr>
        <w:t>本</w:t>
      </w:r>
      <w:r>
        <w:rPr>
          <w:rFonts w:hint="eastAsia"/>
          <w:lang w:eastAsia="zh-CN"/>
        </w:rPr>
        <w:t>文件</w:t>
      </w:r>
      <w:r>
        <w:rPr>
          <w:rFonts w:hint="eastAsia"/>
        </w:rPr>
        <w:t>规定了“</w:t>
      </w:r>
      <w:r>
        <w:rPr>
          <w:rFonts w:hint="eastAsia"/>
          <w:lang w:eastAsia="zh-CN"/>
        </w:rPr>
        <w:t>排水用塑料检查井</w:t>
      </w:r>
      <w:r>
        <w:rPr>
          <w:rFonts w:hint="eastAsia"/>
        </w:rPr>
        <w:t>”</w:t>
      </w:r>
      <w:r>
        <w:rPr>
          <w:rFonts w:hint="eastAsia"/>
          <w:lang w:eastAsia="zh-CN"/>
        </w:rPr>
        <w:t>应用</w:t>
      </w:r>
      <w:r>
        <w:rPr>
          <w:rFonts w:hint="eastAsia"/>
        </w:rPr>
        <w:t>技术的材料、设计、施工、验收和维护</w:t>
      </w:r>
      <w:r>
        <w:rPr>
          <w:rFonts w:hint="eastAsia"/>
          <w:lang w:eastAsia="zh-CN"/>
        </w:rPr>
        <w:t>保养</w:t>
      </w:r>
      <w:r>
        <w:rPr>
          <w:rFonts w:hint="eastAsia"/>
        </w:rPr>
        <w:t>等内容。</w:t>
      </w:r>
    </w:p>
    <w:p>
      <w:pPr>
        <w:pStyle w:val="58"/>
        <w:ind w:firstLine="420"/>
      </w:pPr>
      <w:r>
        <w:rPr>
          <w:rFonts w:hint="eastAsia"/>
        </w:rPr>
        <w:t>本规程适用于江苏省行政区域内</w:t>
      </w:r>
      <w:r>
        <w:rPr>
          <w:rFonts w:hint="eastAsia"/>
          <w:lang w:eastAsia="zh-CN"/>
        </w:rPr>
        <w:t>建筑与市政工程的排水用塑料检查井</w:t>
      </w:r>
      <w:r>
        <w:rPr>
          <w:rFonts w:hint="eastAsia"/>
        </w:rPr>
        <w:t>的建设管理。</w:t>
      </w:r>
    </w:p>
    <w:p>
      <w:pPr>
        <w:pStyle w:val="106"/>
        <w:spacing w:before="312" w:after="312"/>
      </w:pPr>
      <w:bookmarkStart w:id="40" w:name="_Toc27003"/>
      <w:bookmarkStart w:id="41" w:name="_Toc26986531"/>
      <w:bookmarkStart w:id="42" w:name="_Toc26718931"/>
      <w:bookmarkStart w:id="43" w:name="_Toc26986772"/>
      <w:r>
        <w:rPr>
          <w:rFonts w:hint="eastAsia"/>
        </w:rPr>
        <w:t>规范性引用文件</w:t>
      </w:r>
      <w:bookmarkEnd w:id="35"/>
      <w:bookmarkEnd w:id="36"/>
      <w:bookmarkEnd w:id="37"/>
      <w:bookmarkEnd w:id="38"/>
      <w:bookmarkEnd w:id="39"/>
      <w:bookmarkEnd w:id="40"/>
      <w:bookmarkEnd w:id="41"/>
      <w:bookmarkEnd w:id="42"/>
      <w:bookmarkEnd w:id="43"/>
    </w:p>
    <w:sdt>
      <w:sdtPr>
        <w:rPr>
          <w:rFonts w:hint="eastAsia"/>
        </w:rPr>
        <w:id w:val="715848253"/>
        <w:placeholder>
          <w:docPart w:val="B61532C5FF6E4BFBA109D27D2165E622"/>
        </w:placeholder>
        <w:dropDownList>
          <w:listItem w:displayText="下列文件中的内容通过文中的规范性引用而构成本文件必不可少的条款。其中，注日期的引用文件，仅该日期对应的版本适用于本文件；不注日期的引用文件，其最新版本（包括所有的修改单）适用于本文件。" w:value="下列文件中的内容通过文中的规范性引用而构成本文件必不可少的条款。其中，注日期的引用文件，仅该日期对应的版本适用于本文件；不注日期的引用文件，其最新版本（包括所有的修改单）适用于本文件。"/>
          <w:listItem w:displayText="本文件没有规范性引用文件。" w:value="本文件没有规范性引用文件。"/>
        </w:dropDownList>
      </w:sdtPr>
      <w:sdtEndPr>
        <w:rPr>
          <w:rFonts w:hint="eastAsia"/>
        </w:rPr>
      </w:sdtEndPr>
      <w:sdtContent>
        <w:p>
          <w:pPr>
            <w:pStyle w:val="58"/>
            <w:ind w:firstLine="420"/>
          </w:pPr>
          <w:r>
            <w:rPr>
              <w:rFonts w:hint="eastAsia"/>
            </w:rPr>
            <w:t>下列文件中的内容通过文中的规范性引用而构成本文件必不可少的条款。其中，注日期的引用文件，仅该日期对应的版本适用于本文件；不注日期的引用文件，其最新版本（包括所有的修改单）适用于本文件。</w:t>
          </w:r>
        </w:p>
      </w:sdtContent>
    </w:sdt>
    <w:p>
      <w:pPr>
        <w:pStyle w:val="58"/>
        <w:ind w:firstLine="420"/>
        <w:rPr>
          <w:rFonts w:hint="eastAsia"/>
        </w:rPr>
      </w:pPr>
      <w:r>
        <w:rPr>
          <w:rFonts w:hint="eastAsia"/>
        </w:rPr>
        <w:t>GB 50014</w:t>
      </w:r>
      <w:r>
        <w:rPr>
          <w:rFonts w:hint="eastAsia"/>
          <w:lang w:val="en-US" w:eastAsia="zh-CN"/>
        </w:rPr>
        <w:t xml:space="preserve"> </w:t>
      </w:r>
      <w:r>
        <w:rPr>
          <w:rFonts w:hint="eastAsia"/>
        </w:rPr>
        <w:t>室外排水设计</w:t>
      </w:r>
      <w:r>
        <w:rPr>
          <w:rFonts w:hint="eastAsia"/>
          <w:lang w:val="en-US" w:eastAsia="zh-CN"/>
        </w:rPr>
        <w:t>标准</w:t>
      </w:r>
    </w:p>
    <w:p>
      <w:pPr>
        <w:pStyle w:val="58"/>
        <w:ind w:firstLine="420"/>
        <w:rPr>
          <w:rFonts w:hint="eastAsia"/>
        </w:rPr>
      </w:pPr>
      <w:r>
        <w:rPr>
          <w:rFonts w:hint="eastAsia"/>
        </w:rPr>
        <w:t>GB 50015</w:t>
      </w:r>
      <w:r>
        <w:rPr>
          <w:rFonts w:hint="eastAsia"/>
          <w:lang w:val="en-US" w:eastAsia="zh-CN"/>
        </w:rPr>
        <w:t xml:space="preserve"> </w:t>
      </w:r>
      <w:r>
        <w:rPr>
          <w:rFonts w:hint="eastAsia"/>
        </w:rPr>
        <w:t>建筑给水排水设计</w:t>
      </w:r>
      <w:r>
        <w:rPr>
          <w:rFonts w:hint="eastAsia"/>
          <w:lang w:val="en-US" w:eastAsia="zh-CN"/>
        </w:rPr>
        <w:t>标准</w:t>
      </w:r>
    </w:p>
    <w:p>
      <w:pPr>
        <w:pStyle w:val="58"/>
        <w:ind w:firstLine="420"/>
        <w:rPr>
          <w:rFonts w:hint="eastAsia"/>
        </w:rPr>
      </w:pPr>
      <w:r>
        <w:rPr>
          <w:rFonts w:hint="eastAsia"/>
        </w:rPr>
        <w:t>GB 50268</w:t>
      </w:r>
      <w:r>
        <w:rPr>
          <w:rFonts w:hint="eastAsia"/>
          <w:lang w:val="en-US" w:eastAsia="zh-CN"/>
        </w:rPr>
        <w:t xml:space="preserve"> </w:t>
      </w:r>
      <w:r>
        <w:rPr>
          <w:rFonts w:hint="eastAsia"/>
        </w:rPr>
        <w:t>给水排水管道工程施工及验收规范</w:t>
      </w:r>
    </w:p>
    <w:p>
      <w:pPr>
        <w:pStyle w:val="58"/>
        <w:ind w:firstLine="420"/>
        <w:rPr>
          <w:rFonts w:hint="eastAsia"/>
        </w:rPr>
      </w:pPr>
      <w:r>
        <w:rPr>
          <w:rFonts w:hint="eastAsia"/>
        </w:rPr>
        <w:t>GB/T</w:t>
      </w:r>
      <w:r>
        <w:rPr>
          <w:rFonts w:hint="eastAsia"/>
          <w:lang w:val="en-US" w:eastAsia="zh-CN"/>
        </w:rPr>
        <w:t xml:space="preserve"> </w:t>
      </w:r>
      <w:r>
        <w:rPr>
          <w:rFonts w:hint="eastAsia"/>
        </w:rPr>
        <w:t>18173.3</w:t>
      </w:r>
      <w:r>
        <w:rPr>
          <w:rFonts w:hint="eastAsia"/>
          <w:lang w:val="en-US" w:eastAsia="zh-CN"/>
        </w:rPr>
        <w:t xml:space="preserve"> </w:t>
      </w:r>
      <w:r>
        <w:rPr>
          <w:rFonts w:hint="eastAsia"/>
        </w:rPr>
        <w:t>高分子防水材料 第3部分：遇水膨胀橡胶</w:t>
      </w:r>
    </w:p>
    <w:p>
      <w:pPr>
        <w:pStyle w:val="58"/>
        <w:ind w:firstLine="420"/>
        <w:rPr>
          <w:rFonts w:hint="eastAsia"/>
          <w:lang w:val="zh-CN"/>
        </w:rPr>
      </w:pPr>
      <w:r>
        <w:rPr>
          <w:rFonts w:hint="eastAsia"/>
          <w:lang w:val="zh-CN"/>
        </w:rPr>
        <w:t>GB/T 18477.3</w:t>
      </w:r>
      <w:r>
        <w:rPr>
          <w:rFonts w:hint="eastAsia"/>
          <w:lang w:val="en-US" w:eastAsia="zh-CN"/>
        </w:rPr>
        <w:t xml:space="preserve"> </w:t>
      </w:r>
      <w:r>
        <w:rPr>
          <w:rFonts w:hint="eastAsia"/>
          <w:lang w:val="zh-CN"/>
        </w:rPr>
        <w:t>埋地排水用硬聚氯乙烯（PVC-U）结构壁管道系统 第3部分：双层轴向中空壁管材</w:t>
      </w:r>
    </w:p>
    <w:p>
      <w:pPr>
        <w:pStyle w:val="58"/>
        <w:ind w:firstLine="420"/>
        <w:rPr>
          <w:rFonts w:hint="eastAsia"/>
        </w:rPr>
      </w:pPr>
      <w:r>
        <w:rPr>
          <w:rFonts w:hint="eastAsia"/>
        </w:rPr>
        <w:t>GB/T 19472.2</w:t>
      </w:r>
      <w:r>
        <w:rPr>
          <w:rFonts w:hint="eastAsia"/>
          <w:lang w:val="en-US" w:eastAsia="zh-CN"/>
        </w:rPr>
        <w:t xml:space="preserve"> </w:t>
      </w:r>
      <w:r>
        <w:rPr>
          <w:rFonts w:hint="eastAsia"/>
        </w:rPr>
        <w:t>埋地用聚乙烯（PE）结构壁管道系统 第2部分：聚乙烯缠绕结构壁管材</w:t>
      </w:r>
    </w:p>
    <w:p>
      <w:pPr>
        <w:pStyle w:val="58"/>
        <w:ind w:firstLine="420"/>
        <w:rPr>
          <w:rFonts w:hint="eastAsia"/>
        </w:rPr>
      </w:pPr>
      <w:r>
        <w:rPr>
          <w:rFonts w:hint="eastAsia"/>
        </w:rPr>
        <w:t>GB/T 20221</w:t>
      </w:r>
      <w:r>
        <w:rPr>
          <w:rFonts w:hint="eastAsia"/>
          <w:lang w:val="en-US" w:eastAsia="zh-CN"/>
        </w:rPr>
        <w:t xml:space="preserve"> </w:t>
      </w:r>
      <w:r>
        <w:rPr>
          <w:rFonts w:hint="eastAsia"/>
        </w:rPr>
        <w:t>无压埋地排污、排水用硬聚氯乙烯（PVC-U）管材</w:t>
      </w:r>
    </w:p>
    <w:p>
      <w:pPr>
        <w:pStyle w:val="58"/>
        <w:ind w:firstLine="420"/>
        <w:rPr>
          <w:rFonts w:hint="eastAsia"/>
        </w:rPr>
      </w:pPr>
      <w:r>
        <w:rPr>
          <w:rFonts w:hint="eastAsia"/>
        </w:rPr>
        <w:t>GB/T</w:t>
      </w:r>
      <w:r>
        <w:rPr>
          <w:rFonts w:hint="eastAsia"/>
          <w:lang w:val="en-US" w:eastAsia="zh-CN"/>
        </w:rPr>
        <w:t xml:space="preserve"> </w:t>
      </w:r>
      <w:r>
        <w:rPr>
          <w:rFonts w:hint="eastAsia"/>
        </w:rPr>
        <w:t>21873</w:t>
      </w:r>
      <w:r>
        <w:rPr>
          <w:rFonts w:hint="eastAsia"/>
          <w:lang w:val="en-US" w:eastAsia="zh-CN"/>
        </w:rPr>
        <w:t xml:space="preserve"> </w:t>
      </w:r>
      <w:r>
        <w:rPr>
          <w:rFonts w:hint="eastAsia"/>
        </w:rPr>
        <w:t>橡胶密封件 给、排水管及污水管道用接口密封圈 材料规范</w:t>
      </w:r>
    </w:p>
    <w:p>
      <w:pPr>
        <w:pStyle w:val="58"/>
        <w:ind w:firstLine="420"/>
        <w:rPr>
          <w:rFonts w:hint="eastAsia"/>
        </w:rPr>
      </w:pPr>
      <w:r>
        <w:rPr>
          <w:rFonts w:hint="eastAsia"/>
        </w:rPr>
        <w:t>GB/T 23858</w:t>
      </w:r>
      <w:r>
        <w:rPr>
          <w:rFonts w:hint="eastAsia"/>
          <w:lang w:val="en-US" w:eastAsia="zh-CN"/>
        </w:rPr>
        <w:t xml:space="preserve"> </w:t>
      </w:r>
      <w:r>
        <w:rPr>
          <w:rFonts w:hint="eastAsia"/>
        </w:rPr>
        <w:t>检查井盖</w:t>
      </w:r>
    </w:p>
    <w:p>
      <w:pPr>
        <w:pStyle w:val="58"/>
        <w:ind w:firstLine="420"/>
        <w:rPr>
          <w:rFonts w:hint="eastAsia"/>
        </w:rPr>
      </w:pPr>
      <w:r>
        <w:rPr>
          <w:rFonts w:hint="eastAsia"/>
        </w:rPr>
        <w:t>GB/T 41048</w:t>
      </w:r>
      <w:r>
        <w:rPr>
          <w:rFonts w:hint="eastAsia"/>
          <w:lang w:val="en-US" w:eastAsia="zh-CN"/>
        </w:rPr>
        <w:t xml:space="preserve"> </w:t>
      </w:r>
      <w:r>
        <w:rPr>
          <w:rFonts w:hint="eastAsia"/>
        </w:rPr>
        <w:t>城镇排水用塑料检查井技术要求</w:t>
      </w:r>
    </w:p>
    <w:p>
      <w:pPr>
        <w:pStyle w:val="58"/>
        <w:ind w:firstLine="420"/>
        <w:rPr>
          <w:rFonts w:hint="eastAsia"/>
        </w:rPr>
      </w:pPr>
      <w:r>
        <w:rPr>
          <w:rFonts w:hint="eastAsia"/>
        </w:rPr>
        <w:t>CJJ 6</w:t>
      </w:r>
      <w:r>
        <w:rPr>
          <w:rFonts w:hint="eastAsia"/>
          <w:lang w:val="en-US" w:eastAsia="zh-CN"/>
        </w:rPr>
        <w:t xml:space="preserve"> </w:t>
      </w:r>
      <w:r>
        <w:rPr>
          <w:rFonts w:hint="eastAsia"/>
        </w:rPr>
        <w:t>城镇排水管道维护安全技术规程</w:t>
      </w:r>
    </w:p>
    <w:p>
      <w:pPr>
        <w:pStyle w:val="58"/>
        <w:ind w:firstLine="420"/>
        <w:rPr>
          <w:rFonts w:hint="eastAsia"/>
        </w:rPr>
      </w:pPr>
      <w:r>
        <w:rPr>
          <w:rFonts w:hint="eastAsia"/>
        </w:rPr>
        <w:t>CJJ</w:t>
      </w:r>
      <w:r>
        <w:rPr>
          <w:rFonts w:hint="eastAsia"/>
          <w:lang w:val="en-US" w:eastAsia="zh-CN"/>
        </w:rPr>
        <w:t xml:space="preserve"> </w:t>
      </w:r>
      <w:r>
        <w:rPr>
          <w:rFonts w:hint="eastAsia"/>
        </w:rPr>
        <w:t>143</w:t>
      </w:r>
      <w:r>
        <w:rPr>
          <w:rFonts w:hint="eastAsia"/>
          <w:lang w:val="en-US" w:eastAsia="zh-CN"/>
        </w:rPr>
        <w:t xml:space="preserve"> </w:t>
      </w:r>
      <w:r>
        <w:rPr>
          <w:rFonts w:hint="eastAsia"/>
        </w:rPr>
        <w:t>埋地塑料排水管道工程技术规程</w:t>
      </w:r>
    </w:p>
    <w:p>
      <w:pPr>
        <w:pStyle w:val="58"/>
        <w:ind w:firstLine="420"/>
        <w:rPr>
          <w:rFonts w:hint="eastAsia"/>
        </w:rPr>
      </w:pPr>
      <w:r>
        <w:rPr>
          <w:rFonts w:hint="eastAsia"/>
        </w:rPr>
        <w:t>CJJ/T 209</w:t>
      </w:r>
      <w:r>
        <w:rPr>
          <w:rFonts w:hint="eastAsia"/>
          <w:lang w:val="en-US" w:eastAsia="zh-CN"/>
        </w:rPr>
        <w:t xml:space="preserve"> </w:t>
      </w:r>
      <w:r>
        <w:rPr>
          <w:rFonts w:hint="eastAsia"/>
        </w:rPr>
        <w:t>塑料排水检查井应用技术规程</w:t>
      </w:r>
    </w:p>
    <w:p>
      <w:pPr>
        <w:pStyle w:val="58"/>
        <w:ind w:firstLine="420"/>
        <w:rPr>
          <w:rFonts w:hint="eastAsia"/>
        </w:rPr>
      </w:pPr>
      <w:r>
        <w:rPr>
          <w:rFonts w:hint="eastAsia"/>
        </w:rPr>
        <w:t xml:space="preserve">JGJ 79 </w:t>
      </w:r>
      <w:r>
        <w:rPr>
          <w:rFonts w:hint="eastAsia"/>
          <w:lang w:val="en-US" w:eastAsia="zh-CN"/>
        </w:rPr>
        <w:t xml:space="preserve"> </w:t>
      </w:r>
      <w:r>
        <w:rPr>
          <w:rFonts w:hint="eastAsia"/>
        </w:rPr>
        <w:t>建筑地基处理技术规范</w:t>
      </w:r>
    </w:p>
    <w:p>
      <w:pPr>
        <w:pStyle w:val="106"/>
        <w:spacing w:before="312" w:after="312"/>
      </w:pPr>
      <w:bookmarkStart w:id="44" w:name="_Toc12377"/>
      <w:r>
        <w:rPr>
          <w:rFonts w:hint="eastAsia"/>
          <w:szCs w:val="21"/>
        </w:rPr>
        <w:t>术语和定义</w:t>
      </w:r>
      <w:bookmarkEnd w:id="44"/>
    </w:p>
    <w:sdt>
      <w:sdtPr>
        <w:id w:val="-1909835108"/>
        <w:placeholder>
          <w:docPart w:val="CCC8D6C67D014AA0ADC4A6423145A28D"/>
        </w:placeholder>
        <w:comboBox>
          <w:listItem w:displayText="请选择适当的引导语" w:value="请选择适当的引导语"/>
          <w:listItem w:displayText="下列术语和定义适用于本文件。" w:value="下列术语和定义适用于本文件。"/>
          <w:listItem w:displayText="……界定的术语和定义适用于本文件。" w:value="……界定的术语和定义适用于本文件。"/>
          <w:listItem w:displayText="……界定的以及下列术语和定义适用于本文件。" w:value="……界定的以及下列术语和定义适用于本文件。"/>
          <w:listItem w:displayText="本文件没有需要界定的术语和定义。" w:value="本文件没有需要界定的术语和定义。"/>
        </w:comboBox>
      </w:sdtPr>
      <w:sdtContent>
        <w:p>
          <w:pPr>
            <w:pStyle w:val="58"/>
            <w:ind w:firstLine="420"/>
          </w:pPr>
          <w:bookmarkStart w:id="45" w:name="_Toc26986532"/>
          <w:bookmarkEnd w:id="45"/>
          <w:r>
            <w:t>下列术语和定义适用于本文件。</w:t>
          </w:r>
        </w:p>
      </w:sdtContent>
    </w:sdt>
    <w:p>
      <w:pPr>
        <w:pStyle w:val="225"/>
        <w:ind w:left="420" w:hanging="420" w:hangingChars="200"/>
        <w:rPr>
          <w:rFonts w:ascii="黑体" w:hAnsi="黑体" w:eastAsia="黑体"/>
        </w:rPr>
      </w:pPr>
      <w:r>
        <w:rPr>
          <w:rFonts w:ascii="黑体" w:hAnsi="黑体" w:eastAsia="黑体"/>
        </w:rPr>
        <w:br w:type="textWrapping"/>
      </w:r>
      <w:r>
        <w:rPr>
          <w:rFonts w:hint="eastAsia" w:ascii="黑体" w:hAnsi="黑体" w:eastAsia="黑体"/>
        </w:rPr>
        <w:t>排水用塑料检查井 plastic inspection chamber for drainage</w:t>
      </w:r>
    </w:p>
    <w:p>
      <w:pPr>
        <w:pStyle w:val="58"/>
        <w:ind w:firstLine="420"/>
      </w:pPr>
      <w:r>
        <w:rPr>
          <w:rFonts w:hint="eastAsia"/>
        </w:rPr>
        <w:t>由高分子聚合物为主要原材料加工而成，用于埋地排水管道的连接、清通、检查的圆形检查井，一般由井座、井筒、井盖及配件组装而成，简称为“检查井”。</w:t>
      </w:r>
    </w:p>
    <w:p>
      <w:pPr>
        <w:pStyle w:val="225"/>
        <w:ind w:left="420" w:hanging="420" w:hangingChars="200"/>
        <w:rPr>
          <w:rFonts w:ascii="黑体" w:hAnsi="黑体" w:eastAsia="黑体"/>
        </w:rPr>
      </w:pPr>
      <w:r>
        <w:rPr>
          <w:rFonts w:ascii="黑体" w:hAnsi="黑体" w:eastAsia="黑体"/>
        </w:rPr>
        <w:br w:type="textWrapping"/>
      </w:r>
      <w:r>
        <w:rPr>
          <w:rFonts w:hint="eastAsia" w:ascii="黑体" w:hAnsi="黑体" w:eastAsia="黑体"/>
          <w:lang w:eastAsia="zh-CN"/>
        </w:rPr>
        <w:t>偏置收口</w:t>
      </w:r>
      <w:r>
        <w:rPr>
          <w:rFonts w:hint="eastAsia" w:ascii="黑体" w:hAnsi="黑体" w:eastAsia="黑体"/>
          <w:lang w:val="en-US" w:eastAsia="zh-CN"/>
        </w:rPr>
        <w:t xml:space="preserve">  cone</w:t>
      </w:r>
    </w:p>
    <w:p>
      <w:pPr>
        <w:pStyle w:val="58"/>
        <w:ind w:firstLine="420"/>
      </w:pPr>
      <w:r>
        <w:rPr>
          <w:rFonts w:hint="eastAsia"/>
          <w:lang w:val="en-US" w:eastAsia="zh-CN"/>
        </w:rPr>
        <w:t>检查井井室与井筒之间变径处的过渡连接部件。</w:t>
      </w:r>
    </w:p>
    <w:p>
      <w:pPr>
        <w:pStyle w:val="225"/>
        <w:ind w:left="420" w:hanging="420" w:hangingChars="200"/>
        <w:rPr>
          <w:rFonts w:ascii="黑体" w:hAnsi="黑体" w:eastAsia="黑体"/>
        </w:rPr>
      </w:pPr>
      <w:r>
        <w:rPr>
          <w:rFonts w:ascii="黑体" w:hAnsi="黑体" w:eastAsia="黑体"/>
        </w:rPr>
        <w:br w:type="textWrapping"/>
      </w:r>
      <w:r>
        <w:rPr>
          <w:rFonts w:hint="eastAsia" w:ascii="黑体" w:hAnsi="黑体" w:eastAsia="黑体"/>
        </w:rPr>
        <w:t>井筒多头接  raiser pipe fitting</w:t>
      </w:r>
    </w:p>
    <w:p>
      <w:pPr>
        <w:pStyle w:val="58"/>
        <w:ind w:firstLine="420"/>
      </w:pPr>
      <w:r>
        <w:rPr>
          <w:rFonts w:hint="eastAsia"/>
        </w:rPr>
        <w:t>在井筒部位用于接入排水支管的部件，有单口、多口之分。</w:t>
      </w:r>
    </w:p>
    <w:p>
      <w:pPr>
        <w:pStyle w:val="225"/>
        <w:ind w:left="420" w:hanging="420" w:hangingChars="200"/>
        <w:rPr>
          <w:rFonts w:ascii="黑体" w:hAnsi="黑体" w:eastAsia="黑体"/>
        </w:rPr>
      </w:pPr>
      <w:r>
        <w:rPr>
          <w:rFonts w:ascii="黑体" w:hAnsi="黑体" w:eastAsia="黑体"/>
        </w:rPr>
        <w:br w:type="textWrapping"/>
      </w:r>
      <w:r>
        <w:rPr>
          <w:rFonts w:hint="eastAsia" w:ascii="黑体" w:hAnsi="黑体" w:eastAsia="黑体"/>
        </w:rPr>
        <w:t>承压</w:t>
      </w:r>
      <w:r>
        <w:rPr>
          <w:rFonts w:hint="eastAsia" w:ascii="黑体" w:hAnsi="黑体" w:eastAsia="黑体"/>
          <w:lang w:eastAsia="zh-CN"/>
        </w:rPr>
        <w:t>圈</w:t>
      </w:r>
      <w:r>
        <w:rPr>
          <w:rFonts w:hint="eastAsia" w:ascii="黑体" w:hAnsi="黑体" w:eastAsia="黑体"/>
        </w:rPr>
        <w:t xml:space="preserve">  bearing ring</w:t>
      </w:r>
    </w:p>
    <w:p>
      <w:pPr>
        <w:pStyle w:val="58"/>
        <w:ind w:firstLine="420"/>
      </w:pPr>
      <w:r>
        <w:rPr>
          <w:rFonts w:hint="eastAsia"/>
        </w:rPr>
        <w:t>用于支撑检查井井盖座，并将道路地面的活动荷载均匀地传递到井筒周围</w:t>
      </w:r>
      <w:r>
        <w:rPr>
          <w:rFonts w:hint="eastAsia"/>
          <w:lang w:eastAsia="zh-CN"/>
        </w:rPr>
        <w:t>基础上</w:t>
      </w:r>
      <w:r>
        <w:rPr>
          <w:rFonts w:hint="eastAsia"/>
        </w:rPr>
        <w:t>的预制钢筋混凝土板，或现场浇筑的钢筋混凝土板。</w:t>
      </w:r>
    </w:p>
    <w:p>
      <w:pPr>
        <w:pStyle w:val="225"/>
        <w:ind w:left="420" w:hanging="420" w:hangingChars="200"/>
        <w:rPr>
          <w:rFonts w:ascii="黑体" w:hAnsi="黑体" w:eastAsia="黑体"/>
        </w:rPr>
      </w:pPr>
      <w:r>
        <w:rPr>
          <w:rFonts w:ascii="黑体" w:hAnsi="黑体" w:eastAsia="黑体"/>
        </w:rPr>
        <w:br w:type="textWrapping"/>
      </w:r>
      <w:r>
        <w:rPr>
          <w:rFonts w:hint="eastAsia" w:ascii="黑体" w:hAnsi="黑体" w:eastAsia="黑体"/>
          <w:lang w:val="en-US" w:eastAsia="zh-CN"/>
        </w:rPr>
        <w:t>褥垫层  cushion</w:t>
      </w:r>
    </w:p>
    <w:p>
      <w:pPr>
        <w:pStyle w:val="58"/>
        <w:ind w:firstLine="420"/>
      </w:pPr>
      <w:r>
        <w:rPr>
          <w:rFonts w:hint="eastAsia"/>
          <w:lang w:val="en-US" w:eastAsia="zh-CN"/>
        </w:rPr>
        <w:t>用于支撑承压圈的垫层。</w:t>
      </w:r>
    </w:p>
    <w:p>
      <w:pPr>
        <w:pStyle w:val="225"/>
        <w:ind w:left="420" w:hanging="420" w:hangingChars="200"/>
        <w:rPr>
          <w:rFonts w:ascii="黑体" w:hAnsi="黑体" w:eastAsia="黑体"/>
        </w:rPr>
      </w:pPr>
      <w:r>
        <w:rPr>
          <w:rFonts w:ascii="黑体" w:hAnsi="黑体" w:eastAsia="黑体"/>
        </w:rPr>
        <w:br w:type="textWrapping"/>
      </w:r>
      <w:r>
        <w:rPr>
          <w:rFonts w:hint="eastAsia" w:ascii="黑体" w:hAnsi="黑体" w:eastAsia="黑体"/>
        </w:rPr>
        <w:t>挡圈  antiextrusion ring</w:t>
      </w:r>
    </w:p>
    <w:p>
      <w:pPr>
        <w:pStyle w:val="58"/>
        <w:ind w:firstLine="420"/>
      </w:pPr>
      <w:r>
        <w:rPr>
          <w:rFonts w:hint="eastAsia"/>
        </w:rPr>
        <w:t>设置在承压</w:t>
      </w:r>
      <w:r>
        <w:rPr>
          <w:rFonts w:hint="eastAsia"/>
          <w:lang w:eastAsia="zh-CN"/>
        </w:rPr>
        <w:t>圈</w:t>
      </w:r>
      <w:r>
        <w:rPr>
          <w:rFonts w:hint="eastAsia"/>
        </w:rPr>
        <w:t>垫层与井筒之间的预制钢筋混凝土圆环或塑料件，用以防止杂物落入检查井内；在挡圈与井筒之间填入防水材料时，可阻止地面的水进入承压</w:t>
      </w:r>
      <w:r>
        <w:rPr>
          <w:rFonts w:hint="eastAsia"/>
          <w:lang w:eastAsia="zh-CN"/>
        </w:rPr>
        <w:t>圈</w:t>
      </w:r>
      <w:r>
        <w:rPr>
          <w:rFonts w:hint="eastAsia"/>
        </w:rPr>
        <w:t>垫层中。</w:t>
      </w:r>
    </w:p>
    <w:p>
      <w:pPr>
        <w:pStyle w:val="225"/>
        <w:ind w:left="420" w:hanging="420" w:hangingChars="200"/>
        <w:rPr>
          <w:rFonts w:ascii="黑体" w:hAnsi="黑体" w:eastAsia="黑体"/>
        </w:rPr>
      </w:pPr>
      <w:r>
        <w:rPr>
          <w:rFonts w:ascii="黑体" w:hAnsi="黑体" w:eastAsia="黑体"/>
        </w:rPr>
        <w:br w:type="textWrapping"/>
      </w:r>
      <w:r>
        <w:rPr>
          <w:rFonts w:hint="eastAsia" w:ascii="黑体" w:hAnsi="黑体" w:eastAsia="黑体"/>
        </w:rPr>
        <w:t>过渡连接管件  connection  pipe  fitting</w:t>
      </w:r>
    </w:p>
    <w:p>
      <w:pPr>
        <w:pStyle w:val="58"/>
        <w:ind w:firstLine="420"/>
      </w:pPr>
      <w:r>
        <w:rPr>
          <w:rFonts w:hint="eastAsia"/>
        </w:rPr>
        <w:t>一端与井座承口连接，另一端与排水管相接的配件。包括渐变接头、马鞍接头、汇合接头、可变角接头及球形万向接</w:t>
      </w:r>
      <w:r>
        <w:rPr>
          <w:rFonts w:hint="eastAsia"/>
          <w:lang w:eastAsia="zh-CN"/>
        </w:rPr>
        <w:t>头等</w:t>
      </w:r>
      <w:r>
        <w:rPr>
          <w:rFonts w:hint="eastAsia"/>
        </w:rPr>
        <w:t>。</w:t>
      </w:r>
    </w:p>
    <w:p>
      <w:pPr>
        <w:pStyle w:val="225"/>
        <w:ind w:left="420" w:hanging="420" w:hangingChars="200"/>
        <w:rPr>
          <w:rFonts w:ascii="黑体" w:hAnsi="黑体" w:eastAsia="黑体"/>
        </w:rPr>
      </w:pPr>
      <w:r>
        <w:rPr>
          <w:rFonts w:ascii="黑体" w:hAnsi="黑体" w:eastAsia="黑体"/>
        </w:rPr>
        <w:br w:type="textWrapping"/>
      </w:r>
      <w:r>
        <w:rPr>
          <w:rFonts w:hint="eastAsia" w:ascii="黑体" w:hAnsi="黑体" w:eastAsia="黑体"/>
        </w:rPr>
        <w:t>下曳力  downdrag</w:t>
      </w:r>
    </w:p>
    <w:p>
      <w:pPr>
        <w:pStyle w:val="58"/>
        <w:ind w:firstLine="420"/>
      </w:pPr>
      <w:r>
        <w:rPr>
          <w:rFonts w:hint="eastAsia"/>
        </w:rPr>
        <w:t>由于回填土沉降而引起井筒外表的向下剪切力。</w:t>
      </w:r>
    </w:p>
    <w:p>
      <w:pPr>
        <w:pStyle w:val="106"/>
        <w:spacing w:before="312" w:after="312"/>
      </w:pPr>
      <w:bookmarkStart w:id="46" w:name="_Toc19105"/>
      <w:r>
        <w:rPr>
          <w:rFonts w:hint="eastAsia"/>
        </w:rPr>
        <w:t>材料</w:t>
      </w:r>
      <w:bookmarkEnd w:id="46"/>
    </w:p>
    <w:p>
      <w:pPr>
        <w:pStyle w:val="107"/>
        <w:spacing w:before="156" w:after="156"/>
      </w:pPr>
      <w:bookmarkStart w:id="47" w:name="_Toc3411"/>
      <w:r>
        <w:rPr>
          <w:rFonts w:hint="eastAsia"/>
          <w:lang w:eastAsia="zh-CN"/>
        </w:rPr>
        <w:t>一般规定</w:t>
      </w:r>
      <w:bookmarkEnd w:id="47"/>
    </w:p>
    <w:p>
      <w:pPr>
        <w:pStyle w:val="167"/>
      </w:pPr>
      <w:r>
        <w:rPr>
          <w:rFonts w:hint="eastAsia"/>
        </w:rPr>
        <w:t>检查井主要由井盖、井筒、偏置收口、井座以及相关配件组合而成。按井盖的安装形式分为分离式检查井和非分离式检查井</w:t>
      </w:r>
      <w:r>
        <w:rPr>
          <w:rFonts w:hint="eastAsia"/>
          <w:lang w:val="en-US" w:eastAsia="zh-CN"/>
        </w:rPr>
        <w:t>,</w:t>
      </w:r>
      <w:r>
        <w:rPr>
          <w:rFonts w:hint="eastAsia"/>
        </w:rPr>
        <w:t>示意图见图</w:t>
      </w:r>
      <w:r>
        <w:rPr>
          <w:rFonts w:hint="eastAsia"/>
          <w:lang w:val="en-US" w:eastAsia="zh-CN"/>
        </w:rPr>
        <w:t>1</w:t>
      </w:r>
      <w:r>
        <w:rPr>
          <w:rFonts w:hint="eastAsia"/>
        </w:rPr>
        <w:t>。</w:t>
      </w:r>
    </w:p>
    <w:p>
      <w:pPr>
        <w:pStyle w:val="167"/>
        <w:numPr>
          <w:ilvl w:val="3"/>
          <w:numId w:val="0"/>
        </w:numPr>
        <w:ind w:leftChars="0"/>
        <w:jc w:val="center"/>
      </w:pPr>
      <w:r>
        <w:drawing>
          <wp:inline distT="0" distB="0" distL="114300" distR="114300">
            <wp:extent cx="4649470" cy="2958465"/>
            <wp:effectExtent l="0" t="0" r="17780" b="13335"/>
            <wp:docPr id="52"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13"/>
                    <pic:cNvPicPr>
                      <a:picLocks noChangeAspect="1"/>
                    </pic:cNvPicPr>
                  </pic:nvPicPr>
                  <pic:blipFill>
                    <a:blip r:embed="rId21"/>
                    <a:stretch>
                      <a:fillRect/>
                    </a:stretch>
                  </pic:blipFill>
                  <pic:spPr>
                    <a:xfrm>
                      <a:off x="0" y="0"/>
                      <a:ext cx="4649470" cy="2958465"/>
                    </a:xfrm>
                    <a:prstGeom prst="rect">
                      <a:avLst/>
                    </a:prstGeom>
                    <a:noFill/>
                    <a:ln>
                      <a:noFill/>
                    </a:ln>
                  </pic:spPr>
                </pic:pic>
              </a:graphicData>
            </a:graphic>
          </wp:inline>
        </w:drawing>
      </w:r>
    </w:p>
    <w:p>
      <w:pPr>
        <w:pStyle w:val="167"/>
        <w:numPr>
          <w:ilvl w:val="3"/>
          <w:numId w:val="0"/>
        </w:numPr>
        <w:ind w:leftChars="0"/>
        <w:jc w:val="both"/>
        <w:rPr>
          <w:rFonts w:hint="eastAsia"/>
          <w:sz w:val="18"/>
          <w:szCs w:val="18"/>
          <w:lang w:eastAsia="zh-CN"/>
        </w:rPr>
      </w:pPr>
      <w:r>
        <w:rPr>
          <w:rFonts w:hint="eastAsia"/>
          <w:sz w:val="18"/>
          <w:szCs w:val="18"/>
          <w:lang w:eastAsia="zh-CN"/>
        </w:rPr>
        <w:t>标引序号说明：</w:t>
      </w:r>
    </w:p>
    <w:p>
      <w:pPr>
        <w:pStyle w:val="167"/>
        <w:numPr>
          <w:ilvl w:val="3"/>
          <w:numId w:val="0"/>
        </w:numPr>
        <w:ind w:leftChars="0"/>
        <w:jc w:val="both"/>
        <w:rPr>
          <w:rFonts w:hint="eastAsia"/>
          <w:sz w:val="18"/>
          <w:szCs w:val="18"/>
          <w:lang w:val="en-US" w:eastAsia="zh-CN"/>
        </w:rPr>
      </w:pPr>
      <w:r>
        <w:rPr>
          <w:rFonts w:hint="eastAsia"/>
          <w:sz w:val="18"/>
          <w:szCs w:val="18"/>
          <w:lang w:val="en-US" w:eastAsia="zh-CN"/>
        </w:rPr>
        <w:t>1——井座</w:t>
      </w:r>
    </w:p>
    <w:p>
      <w:pPr>
        <w:pStyle w:val="167"/>
        <w:numPr>
          <w:ilvl w:val="3"/>
          <w:numId w:val="0"/>
        </w:numPr>
        <w:ind w:leftChars="0"/>
        <w:jc w:val="both"/>
        <w:rPr>
          <w:rFonts w:hint="eastAsia"/>
          <w:sz w:val="18"/>
          <w:szCs w:val="18"/>
          <w:lang w:val="en-US" w:eastAsia="zh-CN"/>
        </w:rPr>
      </w:pPr>
      <w:r>
        <w:rPr>
          <w:rFonts w:hint="eastAsia"/>
          <w:sz w:val="18"/>
          <w:szCs w:val="18"/>
          <w:lang w:val="en-US" w:eastAsia="zh-CN"/>
        </w:rPr>
        <w:t>2——井筒</w:t>
      </w:r>
    </w:p>
    <w:p>
      <w:pPr>
        <w:pStyle w:val="167"/>
        <w:numPr>
          <w:ilvl w:val="3"/>
          <w:numId w:val="0"/>
        </w:numPr>
        <w:ind w:leftChars="0"/>
        <w:jc w:val="center"/>
        <w:rPr>
          <w:rFonts w:hint="eastAsia" w:ascii="黑体" w:hAnsi="黑体" w:eastAsia="黑体" w:cs="黑体"/>
          <w:lang w:val="en-US" w:eastAsia="zh-CN"/>
        </w:rPr>
      </w:pPr>
      <w:r>
        <w:rPr>
          <w:rFonts w:hint="eastAsia" w:ascii="黑体" w:hAnsi="黑体" w:eastAsia="黑体" w:cs="黑体"/>
          <w:lang w:val="en-US" w:eastAsia="zh-CN"/>
        </w:rPr>
        <w:t>图1  检查井构成示意图</w:t>
      </w:r>
    </w:p>
    <w:p>
      <w:pPr>
        <w:pStyle w:val="167"/>
        <w:numPr>
          <w:ilvl w:val="3"/>
          <w:numId w:val="0"/>
        </w:numPr>
        <w:ind w:leftChars="0"/>
        <w:jc w:val="both"/>
        <w:rPr>
          <w:rFonts w:hint="eastAsia" w:ascii="宋体" w:hAnsi="宋体" w:eastAsia="宋体" w:cs="宋体"/>
          <w:sz w:val="18"/>
          <w:szCs w:val="18"/>
          <w:lang w:val="en-US" w:eastAsia="zh-CN"/>
        </w:rPr>
      </w:pPr>
      <w:r>
        <w:rPr>
          <w:rFonts w:hint="eastAsia" w:ascii="宋体" w:hAnsi="宋体" w:eastAsia="宋体" w:cs="宋体"/>
          <w:sz w:val="18"/>
          <w:szCs w:val="18"/>
          <w:lang w:val="en-US" w:eastAsia="zh-CN"/>
        </w:rPr>
        <w:t>3——</w:t>
      </w:r>
      <w:r>
        <w:rPr>
          <w:rFonts w:hint="eastAsia" w:hAnsi="宋体" w:cs="宋体"/>
          <w:sz w:val="18"/>
          <w:szCs w:val="18"/>
          <w:lang w:val="en-US" w:eastAsia="zh-CN"/>
        </w:rPr>
        <w:t>排水管</w:t>
      </w:r>
    </w:p>
    <w:p>
      <w:pPr>
        <w:pStyle w:val="167"/>
        <w:numPr>
          <w:ilvl w:val="3"/>
          <w:numId w:val="0"/>
        </w:numPr>
        <w:ind w:leftChars="0"/>
        <w:jc w:val="both"/>
        <w:rPr>
          <w:rFonts w:hint="eastAsia" w:hAnsi="宋体" w:cs="宋体"/>
          <w:sz w:val="18"/>
          <w:szCs w:val="18"/>
          <w:lang w:val="en-US" w:eastAsia="zh-CN"/>
        </w:rPr>
      </w:pPr>
      <w:r>
        <w:rPr>
          <w:rFonts w:hint="eastAsia" w:hAnsi="宋体" w:cs="宋体"/>
          <w:sz w:val="18"/>
          <w:szCs w:val="18"/>
          <w:lang w:val="en-US" w:eastAsia="zh-CN"/>
        </w:rPr>
        <w:t>4——马鞍接头</w:t>
      </w:r>
    </w:p>
    <w:p>
      <w:pPr>
        <w:pStyle w:val="167"/>
        <w:numPr>
          <w:ilvl w:val="3"/>
          <w:numId w:val="0"/>
        </w:numPr>
        <w:ind w:leftChars="0"/>
        <w:jc w:val="both"/>
        <w:rPr>
          <w:rFonts w:hint="eastAsia" w:hAnsi="宋体" w:cs="宋体"/>
          <w:sz w:val="18"/>
          <w:szCs w:val="18"/>
          <w:lang w:val="en-US" w:eastAsia="zh-CN"/>
        </w:rPr>
      </w:pPr>
      <w:r>
        <w:rPr>
          <w:rFonts w:hint="eastAsia" w:hAnsi="宋体" w:cs="宋体"/>
          <w:sz w:val="18"/>
          <w:szCs w:val="18"/>
          <w:lang w:val="en-US" w:eastAsia="zh-CN"/>
        </w:rPr>
        <w:t>5——井盖</w:t>
      </w:r>
    </w:p>
    <w:p>
      <w:pPr>
        <w:pStyle w:val="167"/>
        <w:numPr>
          <w:ilvl w:val="3"/>
          <w:numId w:val="0"/>
        </w:numPr>
        <w:ind w:leftChars="0"/>
        <w:jc w:val="both"/>
        <w:rPr>
          <w:rFonts w:hint="eastAsia" w:hAnsi="宋体" w:cs="宋体"/>
          <w:sz w:val="18"/>
          <w:szCs w:val="18"/>
          <w:lang w:val="en-US" w:eastAsia="zh-CN"/>
        </w:rPr>
      </w:pPr>
      <w:r>
        <w:rPr>
          <w:rFonts w:hint="eastAsia" w:hAnsi="宋体" w:cs="宋体"/>
          <w:sz w:val="18"/>
          <w:szCs w:val="18"/>
          <w:lang w:val="en-US" w:eastAsia="zh-CN"/>
        </w:rPr>
        <w:t>6——防坠落装置</w:t>
      </w:r>
    </w:p>
    <w:p>
      <w:pPr>
        <w:pStyle w:val="167"/>
        <w:numPr>
          <w:ilvl w:val="3"/>
          <w:numId w:val="0"/>
        </w:numPr>
        <w:ind w:leftChars="0"/>
        <w:jc w:val="both"/>
        <w:rPr>
          <w:rFonts w:hint="eastAsia" w:hAnsi="宋体" w:cs="宋体"/>
          <w:sz w:val="18"/>
          <w:szCs w:val="18"/>
          <w:lang w:val="en-US" w:eastAsia="zh-CN"/>
        </w:rPr>
      </w:pPr>
      <w:r>
        <w:rPr>
          <w:rFonts w:hint="eastAsia" w:hAnsi="宋体" w:cs="宋体"/>
          <w:sz w:val="18"/>
          <w:szCs w:val="18"/>
          <w:lang w:val="en-US" w:eastAsia="zh-CN"/>
        </w:rPr>
        <w:t>7——疏通圆弧</w:t>
      </w:r>
    </w:p>
    <w:p>
      <w:pPr>
        <w:pStyle w:val="167"/>
        <w:numPr>
          <w:ilvl w:val="3"/>
          <w:numId w:val="0"/>
        </w:numPr>
        <w:ind w:leftChars="0"/>
        <w:jc w:val="both"/>
        <w:rPr>
          <w:rFonts w:hint="eastAsia" w:hAnsi="宋体" w:cs="宋体"/>
          <w:sz w:val="18"/>
          <w:szCs w:val="18"/>
          <w:lang w:val="en-US" w:eastAsia="zh-CN"/>
        </w:rPr>
      </w:pPr>
      <w:r>
        <w:rPr>
          <w:rFonts w:hint="eastAsia" w:hAnsi="宋体" w:cs="宋体"/>
          <w:sz w:val="18"/>
          <w:szCs w:val="18"/>
          <w:lang w:val="en-US" w:eastAsia="zh-CN"/>
        </w:rPr>
        <w:t>8——承压圈</w:t>
      </w:r>
    </w:p>
    <w:p>
      <w:pPr>
        <w:pStyle w:val="167"/>
        <w:numPr>
          <w:ilvl w:val="3"/>
          <w:numId w:val="0"/>
        </w:numPr>
        <w:ind w:leftChars="0"/>
        <w:jc w:val="both"/>
        <w:rPr>
          <w:rFonts w:hint="eastAsia" w:hAnsi="宋体" w:cs="宋体"/>
          <w:sz w:val="18"/>
          <w:szCs w:val="18"/>
          <w:lang w:val="en-US" w:eastAsia="zh-CN"/>
        </w:rPr>
      </w:pPr>
      <w:r>
        <w:rPr>
          <w:rFonts w:hint="eastAsia" w:hAnsi="宋体" w:cs="宋体"/>
          <w:sz w:val="18"/>
          <w:szCs w:val="18"/>
          <w:lang w:val="en-US" w:eastAsia="zh-CN"/>
        </w:rPr>
        <w:t>9——道路面层</w:t>
      </w:r>
    </w:p>
    <w:p>
      <w:pPr>
        <w:pStyle w:val="167"/>
        <w:numPr>
          <w:ilvl w:val="3"/>
          <w:numId w:val="0"/>
        </w:numPr>
        <w:ind w:leftChars="0"/>
        <w:jc w:val="both"/>
        <w:rPr>
          <w:rFonts w:hint="eastAsia" w:hAnsi="宋体" w:cs="宋体"/>
          <w:sz w:val="18"/>
          <w:szCs w:val="18"/>
          <w:lang w:val="en-US" w:eastAsia="zh-CN"/>
        </w:rPr>
      </w:pPr>
      <w:r>
        <w:rPr>
          <w:rFonts w:hint="eastAsia" w:hAnsi="宋体" w:cs="宋体"/>
          <w:sz w:val="18"/>
          <w:szCs w:val="18"/>
          <w:lang w:val="en-US" w:eastAsia="zh-CN"/>
        </w:rPr>
        <w:t>10——防护盖座</w:t>
      </w:r>
    </w:p>
    <w:p>
      <w:pPr>
        <w:pStyle w:val="167"/>
        <w:numPr>
          <w:ilvl w:val="3"/>
          <w:numId w:val="0"/>
        </w:numPr>
        <w:ind w:leftChars="0"/>
        <w:jc w:val="both"/>
        <w:rPr>
          <w:rFonts w:hint="eastAsia" w:hAnsi="宋体" w:cs="宋体"/>
          <w:sz w:val="18"/>
          <w:szCs w:val="18"/>
          <w:lang w:val="en-US" w:eastAsia="zh-CN"/>
        </w:rPr>
      </w:pPr>
      <w:r>
        <w:rPr>
          <w:rFonts w:hint="eastAsia" w:hAnsi="宋体" w:cs="宋体"/>
          <w:sz w:val="18"/>
          <w:szCs w:val="18"/>
          <w:lang w:val="en-US" w:eastAsia="zh-CN"/>
        </w:rPr>
        <w:t>11——井筒多头接</w:t>
      </w:r>
    </w:p>
    <w:p>
      <w:pPr>
        <w:pStyle w:val="167"/>
        <w:numPr>
          <w:ilvl w:val="3"/>
          <w:numId w:val="0"/>
        </w:numPr>
        <w:ind w:leftChars="0"/>
        <w:jc w:val="both"/>
        <w:rPr>
          <w:rFonts w:hint="eastAsia" w:hAnsi="宋体" w:cs="宋体"/>
          <w:sz w:val="18"/>
          <w:szCs w:val="18"/>
          <w:lang w:val="en-US" w:eastAsia="zh-CN"/>
        </w:rPr>
      </w:pPr>
      <w:r>
        <w:rPr>
          <w:rFonts w:hint="eastAsia" w:hAnsi="宋体" w:cs="宋体"/>
          <w:sz w:val="18"/>
          <w:szCs w:val="18"/>
          <w:lang w:val="en-US" w:eastAsia="zh-CN"/>
        </w:rPr>
        <w:t>12——偏置收口</w:t>
      </w:r>
    </w:p>
    <w:p>
      <w:pPr>
        <w:pStyle w:val="167"/>
        <w:numPr>
          <w:ilvl w:val="3"/>
          <w:numId w:val="0"/>
        </w:numPr>
        <w:ind w:leftChars="0"/>
        <w:jc w:val="both"/>
        <w:rPr>
          <w:rFonts w:hint="eastAsia" w:hAnsi="宋体" w:cs="宋体"/>
          <w:sz w:val="18"/>
          <w:szCs w:val="18"/>
          <w:lang w:val="en-US" w:eastAsia="zh-CN"/>
        </w:rPr>
      </w:pPr>
      <w:r>
        <w:rPr>
          <w:rFonts w:hint="eastAsia" w:hAnsi="宋体" w:cs="宋体"/>
          <w:sz w:val="18"/>
          <w:szCs w:val="18"/>
          <w:lang w:val="en-US" w:eastAsia="zh-CN"/>
        </w:rPr>
        <w:t>13——挡圈</w:t>
      </w:r>
    </w:p>
    <w:p>
      <w:pPr>
        <w:pStyle w:val="167"/>
        <w:numPr>
          <w:ilvl w:val="3"/>
          <w:numId w:val="0"/>
        </w:numPr>
        <w:ind w:leftChars="0"/>
        <w:jc w:val="both"/>
        <w:rPr>
          <w:rFonts w:hint="default" w:hAnsi="宋体" w:cs="宋体"/>
          <w:sz w:val="18"/>
          <w:szCs w:val="18"/>
          <w:lang w:val="en-US" w:eastAsia="zh-CN"/>
        </w:rPr>
      </w:pPr>
      <w:r>
        <w:rPr>
          <w:rFonts w:hint="eastAsia" w:hAnsi="宋体" w:cs="宋体"/>
          <w:sz w:val="18"/>
          <w:szCs w:val="18"/>
          <w:lang w:val="en-US" w:eastAsia="zh-CN"/>
        </w:rPr>
        <w:t>14——褥垫层</w:t>
      </w:r>
    </w:p>
    <w:p>
      <w:pPr>
        <w:pStyle w:val="167"/>
        <w:numPr>
          <w:ilvl w:val="3"/>
          <w:numId w:val="0"/>
        </w:numPr>
        <w:ind w:leftChars="0"/>
        <w:jc w:val="center"/>
        <w:rPr>
          <w:rFonts w:hint="default" w:ascii="黑体" w:hAnsi="黑体" w:eastAsia="黑体" w:cs="黑体"/>
          <w:lang w:val="en-US" w:eastAsia="zh-CN"/>
        </w:rPr>
      </w:pPr>
      <w:r>
        <w:rPr>
          <w:rFonts w:hint="eastAsia" w:ascii="黑体" w:hAnsi="黑体" w:eastAsia="黑体" w:cs="黑体"/>
          <w:lang w:val="en-US" w:eastAsia="zh-CN"/>
        </w:rPr>
        <w:t xml:space="preserve">图1  </w:t>
      </w:r>
      <w:r>
        <w:rPr>
          <w:rFonts w:hint="eastAsia" w:ascii="宋体" w:hAnsi="宋体" w:eastAsia="宋体" w:cs="宋体"/>
          <w:lang w:val="en-US" w:eastAsia="zh-CN"/>
        </w:rPr>
        <w:t>（续）</w:t>
      </w:r>
    </w:p>
    <w:p>
      <w:pPr>
        <w:pStyle w:val="167"/>
        <w:rPr>
          <w:rFonts w:hint="eastAsia" w:ascii="宋体" w:hAnsi="宋体" w:eastAsia="宋体" w:cs="宋体"/>
        </w:rPr>
      </w:pPr>
      <w:r>
        <w:rPr>
          <w:rFonts w:hint="eastAsia" w:ascii="宋体" w:hAnsi="宋体" w:eastAsia="宋体" w:cs="宋体"/>
        </w:rPr>
        <w:t>非下人检查井</w:t>
      </w:r>
      <w:r>
        <w:rPr>
          <w:rFonts w:hint="eastAsia" w:hAnsi="宋体" w:cs="宋体"/>
          <w:lang w:eastAsia="zh-CN"/>
        </w:rPr>
        <w:t>宜</w:t>
      </w:r>
      <w:r>
        <w:rPr>
          <w:rFonts w:hint="eastAsia" w:ascii="宋体" w:hAnsi="宋体" w:eastAsia="宋体" w:cs="宋体"/>
        </w:rPr>
        <w:t>采用公称外径为450、630；可下人检查井</w:t>
      </w:r>
      <w:r>
        <w:rPr>
          <w:rFonts w:hint="eastAsia" w:hAnsi="宋体" w:cs="宋体"/>
          <w:lang w:eastAsia="zh-CN"/>
        </w:rPr>
        <w:t>宜</w:t>
      </w:r>
      <w:r>
        <w:rPr>
          <w:rFonts w:hint="eastAsia" w:ascii="宋体" w:hAnsi="宋体" w:eastAsia="宋体" w:cs="宋体"/>
        </w:rPr>
        <w:t>采用公称内径为700、1000</w:t>
      </w:r>
      <w:r>
        <w:rPr>
          <w:rFonts w:hint="eastAsia" w:ascii="宋体" w:hAnsi="宋体" w:eastAsia="宋体" w:cs="宋体"/>
          <w:lang w:eastAsia="zh-CN"/>
        </w:rPr>
        <w:t>，</w:t>
      </w:r>
      <w:r>
        <w:rPr>
          <w:rFonts w:hint="eastAsia" w:ascii="宋体" w:hAnsi="宋体" w:eastAsia="宋体" w:cs="宋体"/>
        </w:rPr>
        <w:t>其分类、标记、规格尺寸</w:t>
      </w:r>
      <w:r>
        <w:rPr>
          <w:rFonts w:hint="eastAsia" w:hAnsi="宋体" w:cs="宋体"/>
          <w:lang w:eastAsia="zh-CN"/>
        </w:rPr>
        <w:t>应符合</w:t>
      </w:r>
      <w:r>
        <w:rPr>
          <w:rFonts w:hint="eastAsia" w:ascii="宋体" w:hAnsi="宋体" w:eastAsia="宋体" w:cs="宋体"/>
        </w:rPr>
        <w:t>附录A</w:t>
      </w:r>
      <w:r>
        <w:rPr>
          <w:rFonts w:hint="eastAsia" w:hAnsi="宋体" w:cs="宋体"/>
          <w:lang w:eastAsia="zh-CN"/>
        </w:rPr>
        <w:t>的规定</w:t>
      </w:r>
      <w:r>
        <w:rPr>
          <w:rFonts w:hint="eastAsia" w:ascii="宋体" w:hAnsi="宋体" w:eastAsia="宋体" w:cs="宋体"/>
        </w:rPr>
        <w:t>。</w:t>
      </w:r>
    </w:p>
    <w:p>
      <w:pPr>
        <w:pStyle w:val="167"/>
        <w:rPr>
          <w:rFonts w:hint="eastAsia" w:ascii="宋体" w:hAnsi="宋体" w:eastAsia="宋体" w:cs="宋体"/>
        </w:rPr>
      </w:pPr>
      <w:r>
        <w:rPr>
          <w:rFonts w:hint="eastAsia" w:ascii="宋体" w:hAnsi="宋体" w:eastAsia="宋体" w:cs="宋体"/>
        </w:rPr>
        <w:t>检查井除符合本规程要求外，还应符合现行国家标准《城镇排水用塑料检查井技术要求》</w:t>
      </w:r>
      <w:r>
        <w:rPr>
          <w:rFonts w:hint="eastAsia" w:ascii="宋体" w:hAnsi="宋体" w:eastAsia="宋体" w:cs="宋体"/>
          <w:lang w:val="en-US" w:eastAsia="zh-CN"/>
        </w:rPr>
        <w:t xml:space="preserve"> </w:t>
      </w:r>
      <w:r>
        <w:rPr>
          <w:rFonts w:hint="eastAsia" w:ascii="宋体" w:hAnsi="宋体" w:eastAsia="宋体" w:cs="宋体"/>
        </w:rPr>
        <w:t>GB/T 41048的要求。</w:t>
      </w:r>
    </w:p>
    <w:p>
      <w:pPr>
        <w:pStyle w:val="107"/>
        <w:spacing w:before="156" w:after="156"/>
      </w:pPr>
      <w:bookmarkStart w:id="48" w:name="_Toc13838"/>
      <w:r>
        <w:rPr>
          <w:rFonts w:hint="eastAsia"/>
          <w:lang w:eastAsia="zh-CN"/>
        </w:rPr>
        <w:t>性能要求</w:t>
      </w:r>
      <w:bookmarkEnd w:id="48"/>
    </w:p>
    <w:p>
      <w:pPr>
        <w:pStyle w:val="167"/>
      </w:pPr>
      <w:r>
        <w:rPr>
          <w:rFonts w:hint="eastAsia"/>
          <w:lang w:eastAsia="zh-CN"/>
        </w:rPr>
        <w:t>检查井井座</w:t>
      </w:r>
      <w:r>
        <w:t>可采用共聚丙烯（PPB）、硬聚氯乙烯（PVC</w:t>
      </w:r>
      <w:r>
        <w:rPr>
          <w:rFonts w:hint="eastAsia"/>
          <w:lang w:val="en-US" w:eastAsia="zh-CN"/>
        </w:rPr>
        <w:t>-U</w:t>
      </w:r>
      <w:r>
        <w:t>）、高密度聚乙烯</w:t>
      </w:r>
      <w:r>
        <w:rPr>
          <w:rFonts w:hint="eastAsia"/>
          <w:lang w:eastAsia="zh-CN"/>
        </w:rPr>
        <w:t>（</w:t>
      </w:r>
      <w:r>
        <w:t>HDPE</w:t>
      </w:r>
      <w:r>
        <w:rPr>
          <w:rFonts w:hint="eastAsia"/>
          <w:lang w:eastAsia="zh-CN"/>
        </w:rPr>
        <w:t>）</w:t>
      </w:r>
      <w:r>
        <w:t>等</w:t>
      </w:r>
      <w:r>
        <w:rPr>
          <w:rFonts w:hint="eastAsia"/>
          <w:lang w:eastAsia="zh-CN"/>
        </w:rPr>
        <w:t>材料</w:t>
      </w:r>
      <w:r>
        <w:t>一次注塑成型。</w:t>
      </w:r>
    </w:p>
    <w:p>
      <w:pPr>
        <w:pStyle w:val="167"/>
      </w:pPr>
      <w:r>
        <w:t>检查井井座的主要力学性能指标及尺寸应符合现行国家标准《城镇排水用塑料检查井技术要求》GB/T 41048的要求。</w:t>
      </w:r>
    </w:p>
    <w:p>
      <w:pPr>
        <w:pStyle w:val="167"/>
      </w:pPr>
      <w:r>
        <w:t>检查井井座构造应符合下列要求：</w:t>
      </w:r>
    </w:p>
    <w:p>
      <w:pPr>
        <w:pStyle w:val="176"/>
        <w:numPr>
          <w:ilvl w:val="0"/>
          <w:numId w:val="32"/>
        </w:numPr>
        <w:rPr>
          <w:rFonts w:hint="eastAsia"/>
          <w:lang w:val="en-US" w:eastAsia="zh-CN"/>
        </w:rPr>
      </w:pPr>
      <w:r>
        <w:rPr>
          <w:rFonts w:hint="eastAsia"/>
        </w:rPr>
        <w:t>井座直径应与连接的井筒直径相同；井座竖向承口以下部分内径不应小于井筒内径；井座竖向承口内径不应小于井筒外径</w:t>
      </w:r>
      <w:r>
        <w:rPr>
          <w:rFonts w:hint="eastAsia"/>
          <w:lang w:eastAsia="zh-CN"/>
        </w:rPr>
        <w:t>。检查井直径标记</w:t>
      </w:r>
      <w:r>
        <w:rPr>
          <w:rFonts w:hint="eastAsia"/>
          <w:lang w:val="en-US" w:eastAsia="zh-CN"/>
        </w:rPr>
        <w:t>见图2；</w:t>
      </w:r>
    </w:p>
    <w:p>
      <w:pPr>
        <w:pStyle w:val="176"/>
        <w:numPr>
          <w:ilvl w:val="0"/>
          <w:numId w:val="32"/>
        </w:numPr>
        <w:rPr>
          <w:rFonts w:hint="eastAsia"/>
          <w:lang w:eastAsia="zh-CN"/>
        </w:rPr>
      </w:pPr>
      <w:r>
        <w:rPr>
          <w:rFonts w:hint="eastAsia"/>
          <w:lang w:val="en-US" w:eastAsia="zh-CN"/>
        </w:rPr>
        <w:t>13</w:t>
      </w:r>
      <w:r>
        <w:rPr>
          <w:rFonts w:hint="eastAsia"/>
        </w:rPr>
        <w:t>5°、90°</w:t>
      </w:r>
      <w:r>
        <w:rPr>
          <w:rFonts w:hint="eastAsia"/>
          <w:lang w:eastAsia="zh-CN"/>
        </w:rPr>
        <w:t>弯头</w:t>
      </w:r>
      <w:r>
        <w:rPr>
          <w:rFonts w:hint="eastAsia"/>
        </w:rPr>
        <w:t>井座和左、右三通井座及汇合三通井座在水流通过的底部应设置顺水圆弧流槽。当2根及以上汇入管接入井座时，井座内应有能避免汇入水流发生对冲的顺流导向槽</w:t>
      </w:r>
      <w:r>
        <w:rPr>
          <w:rFonts w:hint="eastAsia"/>
          <w:lang w:eastAsia="zh-CN"/>
        </w:rPr>
        <w:t>；</w:t>
      </w:r>
    </w:p>
    <w:p>
      <w:pPr>
        <w:pStyle w:val="176"/>
        <w:numPr>
          <w:ilvl w:val="0"/>
          <w:numId w:val="32"/>
        </w:numPr>
        <w:rPr>
          <w:rFonts w:hint="eastAsia"/>
          <w:lang w:eastAsia="zh-CN"/>
        </w:rPr>
      </w:pPr>
      <w:r>
        <w:rPr>
          <w:rFonts w:hint="eastAsia"/>
        </w:rPr>
        <w:t>非下人检查井井座的竖向承口与横向承口的交汇处应有曲率半径不小于10mm的</w:t>
      </w:r>
      <w:r>
        <w:rPr>
          <w:rFonts w:hint="eastAsia"/>
          <w:lang w:eastAsia="zh-CN"/>
        </w:rPr>
        <w:t>疏通</w:t>
      </w:r>
      <w:r>
        <w:rPr>
          <w:rFonts w:hint="eastAsia"/>
        </w:rPr>
        <w:t>圆弧</w:t>
      </w:r>
      <w:r>
        <w:rPr>
          <w:rFonts w:hint="eastAsia"/>
          <w:lang w:eastAsia="zh-CN"/>
        </w:rPr>
        <w:t>；</w:t>
      </w:r>
    </w:p>
    <w:p>
      <w:pPr>
        <w:pStyle w:val="176"/>
        <w:numPr>
          <w:ilvl w:val="0"/>
          <w:numId w:val="32"/>
        </w:numPr>
        <w:rPr>
          <w:rFonts w:hint="eastAsia"/>
          <w:lang w:eastAsia="zh-CN"/>
        </w:rPr>
      </w:pPr>
      <w:r>
        <w:rPr>
          <w:rFonts w:hint="eastAsia"/>
        </w:rPr>
        <w:t>连接井筒的井座竖向承口底部应设置360°连续环形支撑面，井座底部应有稳定的支承构造，支承底应低于管道接口下边缘</w:t>
      </w:r>
      <w:r>
        <w:rPr>
          <w:rFonts w:hint="eastAsia"/>
          <w:lang w:eastAsia="zh-CN"/>
        </w:rPr>
        <w:t>；</w:t>
      </w:r>
    </w:p>
    <w:p>
      <w:pPr>
        <w:pStyle w:val="176"/>
        <w:numPr>
          <w:ilvl w:val="0"/>
          <w:numId w:val="32"/>
        </w:numPr>
        <w:rPr>
          <w:rFonts w:hint="eastAsia"/>
          <w:lang w:eastAsia="zh-CN"/>
        </w:rPr>
      </w:pPr>
      <w:r>
        <w:rPr>
          <w:rFonts w:hint="eastAsia"/>
        </w:rPr>
        <w:t>沉泥室深度</w:t>
      </w:r>
      <w:r>
        <w:rPr>
          <w:rFonts w:hint="eastAsia"/>
          <w:lang w:eastAsia="zh-CN"/>
        </w:rPr>
        <w:t>宜</w:t>
      </w:r>
      <w:r>
        <w:rPr>
          <w:rFonts w:hint="eastAsia"/>
        </w:rPr>
        <w:t>不小于300 mm。沉泥室直径与井座内径应相同</w:t>
      </w:r>
      <w:r>
        <w:rPr>
          <w:rFonts w:hint="eastAsia"/>
          <w:lang w:eastAsia="zh-CN"/>
        </w:rPr>
        <w:t>，</w:t>
      </w:r>
      <w:r>
        <w:rPr>
          <w:rFonts w:hint="eastAsia"/>
        </w:rPr>
        <w:t>允许脱模锥度≤1.5°</w:t>
      </w:r>
      <w:r>
        <w:rPr>
          <w:rFonts w:hint="eastAsia"/>
          <w:lang w:eastAsia="zh-CN"/>
        </w:rPr>
        <w:t>；</w:t>
      </w:r>
    </w:p>
    <w:p>
      <w:pPr>
        <w:pStyle w:val="176"/>
        <w:numPr>
          <w:ilvl w:val="0"/>
          <w:numId w:val="0"/>
        </w:numPr>
        <w:jc w:val="center"/>
      </w:pPr>
      <w:r>
        <w:drawing>
          <wp:inline distT="0" distB="0" distL="114300" distR="114300">
            <wp:extent cx="2472055" cy="1891665"/>
            <wp:effectExtent l="0" t="0" r="4445" b="1333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22"/>
                    <a:stretch>
                      <a:fillRect/>
                    </a:stretch>
                  </pic:blipFill>
                  <pic:spPr>
                    <a:xfrm>
                      <a:off x="0" y="0"/>
                      <a:ext cx="2472055" cy="1891665"/>
                    </a:xfrm>
                    <a:prstGeom prst="rect">
                      <a:avLst/>
                    </a:prstGeom>
                    <a:noFill/>
                    <a:ln>
                      <a:noFill/>
                    </a:ln>
                  </pic:spPr>
                </pic:pic>
              </a:graphicData>
            </a:graphic>
          </wp:inline>
        </w:drawing>
      </w:r>
    </w:p>
    <w:p>
      <w:pPr>
        <w:pStyle w:val="176"/>
        <w:numPr>
          <w:ilvl w:val="0"/>
          <w:numId w:val="0"/>
        </w:numPr>
        <w:jc w:val="center"/>
        <w:rPr>
          <w:rFonts w:hint="eastAsia" w:ascii="黑体" w:hAnsi="黑体" w:eastAsia="黑体" w:cs="黑体"/>
          <w:lang w:val="en-US" w:eastAsia="zh-CN"/>
        </w:rPr>
      </w:pPr>
      <w:r>
        <w:rPr>
          <w:rFonts w:hint="eastAsia" w:ascii="黑体" w:hAnsi="黑体" w:eastAsia="黑体" w:cs="黑体"/>
          <w:lang w:val="en-US" w:eastAsia="zh-CN"/>
        </w:rPr>
        <w:t>图2  检查井直径标记示意图</w:t>
      </w:r>
    </w:p>
    <w:p>
      <w:pPr>
        <w:pStyle w:val="176"/>
        <w:numPr>
          <w:ilvl w:val="0"/>
          <w:numId w:val="0"/>
        </w:numPr>
        <w:jc w:val="both"/>
        <w:rPr>
          <w:rFonts w:hint="eastAsia"/>
          <w:sz w:val="18"/>
          <w:szCs w:val="18"/>
          <w:lang w:eastAsia="zh-CN"/>
        </w:rPr>
      </w:pPr>
      <w:r>
        <w:rPr>
          <w:rFonts w:hint="eastAsia"/>
          <w:sz w:val="18"/>
          <w:szCs w:val="18"/>
          <w:lang w:eastAsia="zh-CN"/>
        </w:rPr>
        <w:t>标引序号说明：</w:t>
      </w:r>
    </w:p>
    <w:p>
      <w:pPr>
        <w:pStyle w:val="176"/>
        <w:numPr>
          <w:ilvl w:val="0"/>
          <w:numId w:val="0"/>
        </w:numPr>
        <w:jc w:val="both"/>
        <w:rPr>
          <w:rFonts w:hint="eastAsia"/>
          <w:sz w:val="18"/>
          <w:szCs w:val="18"/>
          <w:lang w:val="en-US" w:eastAsia="zh-CN"/>
        </w:rPr>
      </w:pPr>
      <w:r>
        <w:rPr>
          <w:rFonts w:hint="eastAsia"/>
          <w:sz w:val="18"/>
          <w:szCs w:val="18"/>
          <w:lang w:val="en-US" w:eastAsia="zh-CN"/>
        </w:rPr>
        <w:t>1——井座</w:t>
      </w:r>
    </w:p>
    <w:p>
      <w:pPr>
        <w:pStyle w:val="176"/>
        <w:numPr>
          <w:ilvl w:val="0"/>
          <w:numId w:val="0"/>
        </w:numPr>
        <w:jc w:val="both"/>
        <w:rPr>
          <w:rFonts w:hint="eastAsia"/>
          <w:sz w:val="18"/>
          <w:szCs w:val="18"/>
          <w:lang w:val="en-US" w:eastAsia="zh-CN"/>
        </w:rPr>
      </w:pPr>
      <w:r>
        <w:rPr>
          <w:rFonts w:hint="eastAsia"/>
          <w:sz w:val="18"/>
          <w:szCs w:val="18"/>
          <w:lang w:val="en-US" w:eastAsia="zh-CN"/>
        </w:rPr>
        <w:t>2——井筒</w:t>
      </w:r>
    </w:p>
    <w:p>
      <w:pPr>
        <w:pStyle w:val="176"/>
        <w:numPr>
          <w:ilvl w:val="0"/>
          <w:numId w:val="0"/>
        </w:numPr>
        <w:jc w:val="both"/>
        <w:rPr>
          <w:rFonts w:hint="eastAsia"/>
          <w:sz w:val="18"/>
          <w:szCs w:val="18"/>
          <w:lang w:val="en-US" w:eastAsia="zh-CN"/>
        </w:rPr>
      </w:pPr>
      <w:r>
        <w:rPr>
          <w:rFonts w:hint="eastAsia"/>
          <w:sz w:val="18"/>
          <w:szCs w:val="18"/>
          <w:lang w:val="en-US" w:eastAsia="zh-CN"/>
        </w:rPr>
        <w:t>3——排水管</w:t>
      </w:r>
    </w:p>
    <w:p>
      <w:pPr>
        <w:pStyle w:val="176"/>
        <w:numPr>
          <w:ilvl w:val="0"/>
          <w:numId w:val="0"/>
        </w:numPr>
        <w:jc w:val="both"/>
        <w:rPr>
          <w:rFonts w:hint="eastAsia"/>
          <w:sz w:val="18"/>
          <w:szCs w:val="18"/>
          <w:lang w:val="en-US" w:eastAsia="zh-CN"/>
        </w:rPr>
      </w:pPr>
      <w:r>
        <w:rPr>
          <w:rFonts w:hint="eastAsia"/>
          <w:sz w:val="18"/>
          <w:szCs w:val="18"/>
          <w:lang w:val="en-US" w:eastAsia="zh-CN"/>
        </w:rPr>
        <w:t>D1——井筒内径</w:t>
      </w:r>
    </w:p>
    <w:p>
      <w:pPr>
        <w:pStyle w:val="176"/>
        <w:numPr>
          <w:ilvl w:val="0"/>
          <w:numId w:val="0"/>
        </w:numPr>
        <w:jc w:val="both"/>
        <w:rPr>
          <w:rFonts w:hint="eastAsia" w:eastAsia="宋体"/>
          <w:sz w:val="18"/>
          <w:szCs w:val="18"/>
          <w:lang w:val="en-US" w:eastAsia="zh-CN"/>
        </w:rPr>
      </w:pPr>
      <w:r>
        <w:rPr>
          <w:rFonts w:hint="eastAsia"/>
          <w:sz w:val="18"/>
          <w:szCs w:val="18"/>
          <w:lang w:val="en-US" w:eastAsia="zh-CN"/>
        </w:rPr>
        <w:t>D2——井筒外径</w:t>
      </w:r>
    </w:p>
    <w:p>
      <w:pPr>
        <w:pStyle w:val="176"/>
        <w:numPr>
          <w:ilvl w:val="0"/>
          <w:numId w:val="0"/>
        </w:numPr>
        <w:jc w:val="both"/>
        <w:rPr>
          <w:rFonts w:hint="eastAsia" w:eastAsia="宋体"/>
          <w:sz w:val="18"/>
          <w:szCs w:val="18"/>
          <w:lang w:val="en-US" w:eastAsia="zh-CN"/>
        </w:rPr>
      </w:pPr>
      <w:r>
        <w:rPr>
          <w:rFonts w:hint="eastAsia"/>
          <w:sz w:val="18"/>
          <w:szCs w:val="18"/>
          <w:lang w:val="en-US" w:eastAsia="zh-CN"/>
        </w:rPr>
        <w:t>D3——井座竖向承口内径</w:t>
      </w:r>
    </w:p>
    <w:p>
      <w:pPr>
        <w:pStyle w:val="176"/>
        <w:numPr>
          <w:ilvl w:val="0"/>
          <w:numId w:val="0"/>
        </w:numPr>
        <w:jc w:val="both"/>
        <w:rPr>
          <w:rFonts w:hint="eastAsia" w:eastAsia="宋体"/>
          <w:sz w:val="18"/>
          <w:szCs w:val="18"/>
          <w:lang w:val="en-US" w:eastAsia="zh-CN"/>
        </w:rPr>
      </w:pPr>
      <w:r>
        <w:rPr>
          <w:rFonts w:hint="eastAsia"/>
          <w:sz w:val="18"/>
          <w:szCs w:val="18"/>
          <w:lang w:val="en-US" w:eastAsia="zh-CN"/>
        </w:rPr>
        <w:t>D4——井座竖向承口以下部分内径</w:t>
      </w:r>
    </w:p>
    <w:p>
      <w:pPr>
        <w:pStyle w:val="176"/>
        <w:numPr>
          <w:ilvl w:val="0"/>
          <w:numId w:val="0"/>
        </w:numPr>
        <w:jc w:val="center"/>
        <w:rPr>
          <w:rFonts w:hint="eastAsia" w:ascii="黑体" w:hAnsi="黑体" w:eastAsia="黑体" w:cs="黑体"/>
          <w:lang w:val="en-US" w:eastAsia="zh-CN"/>
        </w:rPr>
      </w:pPr>
      <w:r>
        <w:rPr>
          <w:rFonts w:hint="eastAsia" w:ascii="黑体" w:hAnsi="黑体" w:eastAsia="黑体" w:cs="黑体"/>
          <w:lang w:val="en-US" w:eastAsia="zh-CN"/>
        </w:rPr>
        <w:t xml:space="preserve">图2  </w:t>
      </w:r>
      <w:r>
        <w:rPr>
          <w:rFonts w:hint="eastAsia" w:ascii="宋体" w:hAnsi="宋体" w:eastAsia="宋体" w:cs="宋体"/>
          <w:lang w:val="en-US" w:eastAsia="zh-CN"/>
        </w:rPr>
        <w:t>（续）</w:t>
      </w:r>
    </w:p>
    <w:p>
      <w:pPr>
        <w:pStyle w:val="167"/>
      </w:pPr>
      <w:r>
        <w:rPr>
          <w:lang w:val="zh-CN"/>
        </w:rPr>
        <w:t>井筒采用</w:t>
      </w:r>
      <w:r>
        <w:rPr>
          <w:rFonts w:hint="eastAsia"/>
          <w:color w:val="000000"/>
          <w:lang w:val="zh-CN"/>
        </w:rPr>
        <w:t>硬聚氯乙烯（PVC-U）</w:t>
      </w:r>
      <w:r>
        <w:rPr>
          <w:lang w:val="zh-CN"/>
        </w:rPr>
        <w:t>、</w:t>
      </w:r>
      <w:r>
        <w:rPr>
          <w:rFonts w:hint="eastAsia"/>
          <w:color w:val="000000"/>
          <w:lang w:val="zh-CN"/>
        </w:rPr>
        <w:t>聚乙烯（PE）</w:t>
      </w:r>
      <w:r>
        <w:rPr>
          <w:lang w:val="zh-CN"/>
        </w:rPr>
        <w:t>等热塑性树脂的平壁塑料管材，并应符合下列要求：</w:t>
      </w:r>
    </w:p>
    <w:p>
      <w:pPr>
        <w:pStyle w:val="176"/>
        <w:numPr>
          <w:ilvl w:val="0"/>
          <w:numId w:val="33"/>
        </w:numPr>
        <w:rPr>
          <w:rFonts w:hint="eastAsia"/>
          <w:color w:val="000000"/>
          <w:lang w:val="zh-CN"/>
        </w:rPr>
      </w:pPr>
      <w:r>
        <w:rPr>
          <w:rFonts w:hint="eastAsia"/>
          <w:color w:val="000000"/>
          <w:lang w:val="zh-CN"/>
        </w:rPr>
        <w:t>双层轴向中空壁管管材物理力学性能应符合现行国家标准《埋地排水用硬聚氯乙烯（PVC-U）结构壁管道系统 第3部分：双层轴向中空壁管材》GB/T 18477.3的要求；</w:t>
      </w:r>
    </w:p>
    <w:p>
      <w:pPr>
        <w:pStyle w:val="176"/>
        <w:numPr>
          <w:ilvl w:val="0"/>
          <w:numId w:val="33"/>
        </w:numPr>
        <w:rPr>
          <w:rFonts w:hint="eastAsia"/>
          <w:color w:val="000000"/>
          <w:lang w:val="zh-CN"/>
        </w:rPr>
      </w:pPr>
      <w:r>
        <w:rPr>
          <w:rFonts w:hint="eastAsia"/>
          <w:color w:val="000000"/>
          <w:lang w:val="zh-CN"/>
        </w:rPr>
        <w:t>聚乙烯缠绕结构壁管管材物理力学性能应符合现行国家标准《埋地用聚乙烯（PE）结构壁管道系统 第2部分：聚乙烯缠绕结构壁管材》GB/T 19472.2的要求，同时满足井筒密封配套的要求；</w:t>
      </w:r>
    </w:p>
    <w:p>
      <w:pPr>
        <w:pStyle w:val="176"/>
        <w:numPr>
          <w:ilvl w:val="0"/>
          <w:numId w:val="33"/>
        </w:numPr>
        <w:rPr>
          <w:rFonts w:hint="eastAsia"/>
          <w:color w:val="000000"/>
          <w:lang w:val="zh-CN"/>
        </w:rPr>
      </w:pPr>
      <w:r>
        <w:rPr>
          <w:rFonts w:hint="eastAsia"/>
          <w:color w:val="000000"/>
          <w:lang w:val="zh-CN"/>
        </w:rPr>
        <w:t>硬聚氯乙烯（PVC-U）管管材物理力学性能应符合现行国家标准《无压埋地排污、排水用硬聚氯乙烯（PVC-U）管材》GB/T 20221的要求；</w:t>
      </w:r>
    </w:p>
    <w:p>
      <w:pPr>
        <w:pStyle w:val="176"/>
        <w:numPr>
          <w:ilvl w:val="0"/>
          <w:numId w:val="33"/>
        </w:numPr>
        <w:rPr>
          <w:rFonts w:hint="eastAsia"/>
          <w:color w:val="000000"/>
        </w:rPr>
      </w:pPr>
      <w:r>
        <w:rPr>
          <w:rFonts w:hint="eastAsia"/>
          <w:color w:val="000000"/>
        </w:rPr>
        <w:t>如选用其他具有平整内外表面的成品塑料管材作为井筒，则应符合相应管材标准的要求。</w:t>
      </w:r>
    </w:p>
    <w:p>
      <w:pPr>
        <w:pStyle w:val="167"/>
      </w:pPr>
      <w:r>
        <w:rPr>
          <w:rFonts w:hint="eastAsia"/>
        </w:rPr>
        <w:t>用于井筒的管道尺寸应与井座匹配。</w:t>
      </w:r>
    </w:p>
    <w:p>
      <w:pPr>
        <w:pStyle w:val="167"/>
      </w:pPr>
      <w:r>
        <w:t>偏置收口应为偏心收口锥体，应采用一次注塑成型，外壁宜有网格状加筋结构。</w:t>
      </w:r>
    </w:p>
    <w:p>
      <w:pPr>
        <w:pStyle w:val="167"/>
      </w:pPr>
      <w:r>
        <w:t>偏置收口的主要性能和最小收口高度应符合现行国家标准《城镇排水用塑料检查井技术要求》GB/T 41048的要求。</w:t>
      </w:r>
      <w:bookmarkStart w:id="49" w:name="_Toc8562"/>
      <w:bookmarkStart w:id="50" w:name="_Toc292469063"/>
      <w:bookmarkStart w:id="51" w:name="_Toc25172"/>
      <w:bookmarkStart w:id="52" w:name="_Toc16049"/>
      <w:bookmarkStart w:id="53" w:name="_Toc7223"/>
    </w:p>
    <w:bookmarkEnd w:id="49"/>
    <w:bookmarkEnd w:id="50"/>
    <w:bookmarkEnd w:id="51"/>
    <w:bookmarkEnd w:id="52"/>
    <w:bookmarkEnd w:id="53"/>
    <w:p>
      <w:pPr>
        <w:pStyle w:val="167"/>
      </w:pPr>
      <w:r>
        <w:t>井盖由盖板、盖座组成，其材料和性能应符合现行国家标准《检查井盖》GB/T 23858的要求</w:t>
      </w:r>
      <w:r>
        <w:rPr>
          <w:rFonts w:hint="eastAsia"/>
          <w:lang w:eastAsia="zh-CN"/>
        </w:rPr>
        <w:t>，并</w:t>
      </w:r>
      <w:r>
        <w:rPr>
          <w:rFonts w:hint="eastAsia"/>
          <w:lang w:val="en-US" w:eastAsia="zh-CN"/>
        </w:rPr>
        <w:t>应有防盗功能</w:t>
      </w:r>
      <w:r>
        <w:t>。井盖根据使用场所可分为污水检查井井盖、雨水检查井井盖等</w:t>
      </w:r>
      <w:r>
        <w:rPr>
          <w:rFonts w:hint="eastAsia"/>
          <w:lang w:eastAsia="zh-CN"/>
        </w:rPr>
        <w:t>，</w:t>
      </w:r>
      <w:r>
        <w:rPr>
          <w:rFonts w:hint="eastAsia"/>
          <w:lang w:val="en-US" w:eastAsia="zh-CN"/>
        </w:rPr>
        <w:t>并应有标识</w:t>
      </w:r>
      <w:r>
        <w:rPr>
          <w:rFonts w:hint="eastAsia"/>
          <w:lang w:eastAsia="zh-CN"/>
        </w:rPr>
        <w:t>，</w:t>
      </w:r>
      <w:r>
        <w:t>井盖规格</w:t>
      </w:r>
      <w:r>
        <w:rPr>
          <w:rFonts w:hint="eastAsia"/>
          <w:lang w:eastAsia="zh-CN"/>
        </w:rPr>
        <w:t>应符合</w:t>
      </w:r>
      <w:r>
        <w:t>附录B</w:t>
      </w:r>
      <w:r>
        <w:rPr>
          <w:rFonts w:hint="eastAsia"/>
          <w:lang w:eastAsia="zh-CN"/>
        </w:rPr>
        <w:t>的规定</w:t>
      </w:r>
      <w:r>
        <w:t>。</w:t>
      </w:r>
    </w:p>
    <w:p>
      <w:pPr>
        <w:pStyle w:val="167"/>
      </w:pPr>
      <w:r>
        <w:t>检查井的连接管件与配件包括：井筒单口接头、</w:t>
      </w:r>
      <w:r>
        <w:rPr>
          <w:rFonts w:hint="eastAsia"/>
          <w:lang w:eastAsia="zh-CN"/>
        </w:rPr>
        <w:t>井筒</w:t>
      </w:r>
      <w:r>
        <w:t>多口</w:t>
      </w:r>
      <w:r>
        <w:rPr>
          <w:rFonts w:hint="eastAsia"/>
          <w:lang w:eastAsia="zh-CN"/>
        </w:rPr>
        <w:t>接头</w:t>
      </w:r>
      <w:r>
        <w:t>、马鞍接头、渐变接头、过渡接头、汇合接头、可变角接头及球形万向接等部件。</w:t>
      </w:r>
    </w:p>
    <w:p>
      <w:pPr>
        <w:pStyle w:val="167"/>
      </w:pPr>
      <w:r>
        <w:t>检查井的连接管件与配件的材质应与检查井的材质相适应，其物理力学性能应满足塑料排水管管道工程的有关要求。</w:t>
      </w:r>
    </w:p>
    <w:p>
      <w:pPr>
        <w:pStyle w:val="167"/>
      </w:pPr>
      <w:r>
        <w:t>检查井的连接管件与配件的规格尺寸和标记，</w:t>
      </w:r>
      <w:r>
        <w:rPr>
          <w:rFonts w:hint="eastAsia"/>
          <w:lang w:eastAsia="zh-CN"/>
        </w:rPr>
        <w:t>应符合</w:t>
      </w:r>
      <w:r>
        <w:t>附录C</w:t>
      </w:r>
      <w:r>
        <w:rPr>
          <w:rFonts w:hint="eastAsia"/>
          <w:lang w:eastAsia="zh-CN"/>
        </w:rPr>
        <w:t>的规定</w:t>
      </w:r>
      <w:r>
        <w:t>。</w:t>
      </w:r>
    </w:p>
    <w:p>
      <w:pPr>
        <w:pStyle w:val="167"/>
      </w:pPr>
      <w:r>
        <w:t>弹性密封橡胶圈性能指标应符合现行国家标准《橡胶密封件 给、排水管及污水管道用接口密封圈 材料规范》GB/T</w:t>
      </w:r>
      <w:r>
        <w:rPr>
          <w:rFonts w:hint="eastAsia"/>
          <w:lang w:val="en-US" w:eastAsia="zh-CN"/>
        </w:rPr>
        <w:t xml:space="preserve"> </w:t>
      </w:r>
      <w:r>
        <w:t>21873和《高分子防水材料 第3部分：遇水膨胀橡胶》GB/T</w:t>
      </w:r>
      <w:r>
        <w:rPr>
          <w:rFonts w:hint="eastAsia"/>
          <w:lang w:val="en-US" w:eastAsia="zh-CN"/>
        </w:rPr>
        <w:t xml:space="preserve"> </w:t>
      </w:r>
      <w:r>
        <w:t>18173.3的要求。</w:t>
      </w:r>
    </w:p>
    <w:p>
      <w:pPr>
        <w:pStyle w:val="106"/>
        <w:spacing w:before="312" w:after="312"/>
      </w:pPr>
      <w:bookmarkStart w:id="54" w:name="_Toc14620"/>
      <w:r>
        <w:rPr>
          <w:rFonts w:hint="eastAsia"/>
        </w:rPr>
        <w:t>设计</w:t>
      </w:r>
      <w:bookmarkEnd w:id="54"/>
    </w:p>
    <w:p>
      <w:pPr>
        <w:pStyle w:val="107"/>
        <w:spacing w:before="156" w:after="156"/>
      </w:pPr>
      <w:bookmarkStart w:id="55" w:name="_Toc2338"/>
      <w:r>
        <w:rPr>
          <w:rFonts w:hint="eastAsia"/>
        </w:rPr>
        <w:t>一般规定</w:t>
      </w:r>
      <w:bookmarkEnd w:id="55"/>
    </w:p>
    <w:p>
      <w:pPr>
        <w:pStyle w:val="167"/>
        <w:rPr>
          <w:rFonts w:hint="eastAsia"/>
        </w:rPr>
      </w:pPr>
      <w:r>
        <w:rPr>
          <w:rFonts w:hint="eastAsia"/>
        </w:rPr>
        <w:t>埋设深度不大于6m、长期水温40℃及以下</w:t>
      </w:r>
      <w:r>
        <w:rPr>
          <w:rFonts w:hint="eastAsia"/>
          <w:lang w:eastAsia="zh-CN"/>
        </w:rPr>
        <w:t>的</w:t>
      </w:r>
      <w:r>
        <w:rPr>
          <w:rFonts w:hint="eastAsia"/>
        </w:rPr>
        <w:t>检查井设计应符合现行国家标准《室外排水设计</w:t>
      </w:r>
      <w:r>
        <w:rPr>
          <w:rFonts w:hint="eastAsia"/>
          <w:lang w:val="en-US" w:eastAsia="zh-CN"/>
        </w:rPr>
        <w:t>标准</w:t>
      </w:r>
      <w:r>
        <w:rPr>
          <w:rFonts w:hint="eastAsia"/>
        </w:rPr>
        <w:t>》GB 50014 和《建筑给水排水设计</w:t>
      </w:r>
      <w:r>
        <w:rPr>
          <w:rFonts w:hint="eastAsia"/>
          <w:lang w:val="en-US" w:eastAsia="zh-CN"/>
        </w:rPr>
        <w:t>标准</w:t>
      </w:r>
      <w:r>
        <w:rPr>
          <w:rFonts w:hint="eastAsia"/>
        </w:rPr>
        <w:t xml:space="preserve">》GB 50015 </w:t>
      </w:r>
      <w:r>
        <w:rPr>
          <w:rFonts w:hint="eastAsia"/>
          <w:lang w:eastAsia="zh-CN"/>
        </w:rPr>
        <w:t>等标准的</w:t>
      </w:r>
      <w:r>
        <w:rPr>
          <w:rFonts w:hint="eastAsia"/>
        </w:rPr>
        <w:t>有关规定。</w:t>
      </w:r>
    </w:p>
    <w:p>
      <w:pPr>
        <w:pStyle w:val="167"/>
        <w:rPr>
          <w:rFonts w:hint="eastAsia"/>
          <w:lang w:eastAsia="zh-CN"/>
        </w:rPr>
      </w:pPr>
      <w:r>
        <w:rPr>
          <w:rFonts w:hint="eastAsia"/>
          <w:lang w:eastAsia="zh-CN"/>
        </w:rPr>
        <w:t>排水工程应在出户管接入处、管道交汇处、转弯处、管径或坡度改变处、跌水处以及直线管段上每隔一定距离设置检查井。</w:t>
      </w:r>
    </w:p>
    <w:p>
      <w:pPr>
        <w:pStyle w:val="167"/>
        <w:rPr>
          <w:rFonts w:hint="eastAsia"/>
          <w:lang w:eastAsia="zh-CN"/>
        </w:rPr>
      </w:pPr>
      <w:r>
        <w:rPr>
          <w:rFonts w:hint="eastAsia"/>
          <w:lang w:eastAsia="zh-CN"/>
        </w:rPr>
        <w:t>检查井的规格应根据所连接管道的管径、数量、埋设深度和地质条件以及检查井的使用功能和维护保养需要等因素确定。</w:t>
      </w:r>
    </w:p>
    <w:p>
      <w:pPr>
        <w:pStyle w:val="167"/>
        <w:rPr>
          <w:rFonts w:hint="eastAsia"/>
        </w:rPr>
      </w:pPr>
      <w:r>
        <w:rPr>
          <w:rFonts w:hint="eastAsia"/>
        </w:rPr>
        <w:t>当接入检查井的接户管或连接管管径大于300mm 时，支管数不宜超过3根。</w:t>
      </w:r>
    </w:p>
    <w:p>
      <w:pPr>
        <w:pStyle w:val="167"/>
        <w:rPr>
          <w:rFonts w:hint="eastAsia"/>
          <w:lang w:eastAsia="zh-CN"/>
        </w:rPr>
      </w:pPr>
      <w:r>
        <w:rPr>
          <w:rFonts w:hint="eastAsia"/>
          <w:lang w:eastAsia="zh-CN"/>
        </w:rPr>
        <w:t>当地下水位超过检查井井底标高时应进行抗浮计算。</w:t>
      </w:r>
    </w:p>
    <w:p>
      <w:pPr>
        <w:pStyle w:val="167"/>
        <w:rPr>
          <w:rFonts w:hint="eastAsia"/>
          <w:lang w:val="en-US" w:eastAsia="zh-CN"/>
        </w:rPr>
      </w:pPr>
      <w:r>
        <w:rPr>
          <w:rFonts w:hint="eastAsia"/>
          <w:lang w:val="en-US" w:eastAsia="zh-CN"/>
        </w:rPr>
        <w:t>检查井井筒的直径和材质应根据检查井的直径、埋设深度、排水管道的管材、井筒承口的内径和型式等因素确定，且环刚度不应小于8kN/㎡。</w:t>
      </w:r>
    </w:p>
    <w:p>
      <w:pPr>
        <w:pStyle w:val="167"/>
        <w:rPr>
          <w:rFonts w:hint="eastAsia"/>
        </w:rPr>
      </w:pPr>
      <w:r>
        <w:rPr>
          <w:rFonts w:hint="eastAsia"/>
        </w:rPr>
        <w:t>检查井</w:t>
      </w:r>
      <w:r>
        <w:rPr>
          <w:rFonts w:hint="eastAsia"/>
          <w:lang w:eastAsia="zh-CN"/>
        </w:rPr>
        <w:t>类型</w:t>
      </w:r>
      <w:r>
        <w:rPr>
          <w:rFonts w:hint="eastAsia"/>
        </w:rPr>
        <w:t>应根据地面荷载情况选用</w:t>
      </w:r>
      <w:r>
        <w:rPr>
          <w:rFonts w:hint="eastAsia"/>
          <w:lang w:eastAsia="zh-CN"/>
        </w:rPr>
        <w:t>，地面荷载不大于</w:t>
      </w:r>
      <w:r>
        <w:rPr>
          <w:rFonts w:hint="eastAsia"/>
          <w:lang w:val="en-US" w:eastAsia="zh-CN"/>
        </w:rPr>
        <w:t>15kN的绿化带、人行道等禁止机动车驶入的区域选用</w:t>
      </w:r>
      <w:r>
        <w:rPr>
          <w:rFonts w:hint="eastAsia"/>
        </w:rPr>
        <w:t>非分离式检查井，</w:t>
      </w:r>
      <w:r>
        <w:rPr>
          <w:rFonts w:hint="eastAsia"/>
          <w:lang w:eastAsia="zh-CN"/>
        </w:rPr>
        <w:t>允许机动车驶入的区域选用分离式检查井。</w:t>
      </w:r>
    </w:p>
    <w:p>
      <w:pPr>
        <w:pStyle w:val="167"/>
        <w:rPr>
          <w:rFonts w:hint="eastAsia"/>
          <w:lang w:eastAsia="zh-CN"/>
        </w:rPr>
      </w:pPr>
      <w:r>
        <w:rPr>
          <w:rFonts w:hint="eastAsia"/>
          <w:lang w:eastAsia="zh-CN"/>
        </w:rPr>
        <w:t>井盖应根据地面荷载设置，并符合国家</w:t>
      </w:r>
      <w:r>
        <w:rPr>
          <w:rFonts w:hint="eastAsia"/>
          <w:lang w:val="en-US" w:eastAsia="zh-CN"/>
        </w:rPr>
        <w:t>现行</w:t>
      </w:r>
      <w:r>
        <w:rPr>
          <w:rFonts w:hint="eastAsia"/>
          <w:lang w:eastAsia="zh-CN"/>
        </w:rPr>
        <w:t>相关规定。</w:t>
      </w:r>
      <w:r>
        <w:rPr>
          <w:rFonts w:hint="eastAsia"/>
          <w:lang w:val="en-US" w:eastAsia="zh-CN"/>
        </w:rPr>
        <w:t>分离式检查井的</w:t>
      </w:r>
      <w:r>
        <w:rPr>
          <w:rFonts w:hint="eastAsia"/>
          <w:lang w:eastAsia="zh-CN"/>
        </w:rPr>
        <w:t>井盖应安装在承压圈上。</w:t>
      </w:r>
    </w:p>
    <w:p>
      <w:pPr>
        <w:pStyle w:val="107"/>
        <w:spacing w:before="156" w:after="156"/>
      </w:pPr>
      <w:bookmarkStart w:id="56" w:name="_Toc23213"/>
      <w:r>
        <w:rPr>
          <w:rFonts w:hint="eastAsia"/>
          <w:lang w:eastAsia="zh-CN"/>
        </w:rPr>
        <w:t>检查井选用</w:t>
      </w:r>
      <w:bookmarkEnd w:id="56"/>
    </w:p>
    <w:p>
      <w:pPr>
        <w:pStyle w:val="167"/>
      </w:pPr>
      <w:r>
        <w:t>检查井规格型号选择应根据连接排水管的数</w:t>
      </w:r>
      <w:r>
        <w:rPr>
          <w:spacing w:val="-40"/>
        </w:rPr>
        <w:t xml:space="preserve"> </w:t>
      </w:r>
      <w:r>
        <w:t>量</w:t>
      </w:r>
      <w:r>
        <w:rPr>
          <w:spacing w:val="-79"/>
        </w:rPr>
        <w:t xml:space="preserve"> </w:t>
      </w:r>
      <w:r>
        <w:rPr>
          <w:spacing w:val="-24"/>
        </w:rPr>
        <w:t>、</w:t>
      </w:r>
      <w:r>
        <w:t>管径、埋深以及检查井交汇角度等确定</w:t>
      </w:r>
      <w:r>
        <w:rPr>
          <w:rFonts w:hint="eastAsia"/>
          <w:spacing w:val="-42"/>
          <w:lang w:eastAsia="zh-CN"/>
        </w:rPr>
        <w:t>：</w:t>
      </w:r>
    </w:p>
    <w:p>
      <w:pPr>
        <w:pStyle w:val="176"/>
        <w:numPr>
          <w:ilvl w:val="0"/>
          <w:numId w:val="34"/>
        </w:numPr>
        <w:rPr>
          <w:rFonts w:hint="eastAsia"/>
        </w:rPr>
      </w:pPr>
      <w:r>
        <w:rPr>
          <w:rFonts w:hint="eastAsia"/>
        </w:rPr>
        <w:t>当水流在检查井处转向时，应根据水流偏转角度选择90°弯头、135°弯头的检查井；</w:t>
      </w:r>
    </w:p>
    <w:p>
      <w:pPr>
        <w:pStyle w:val="176"/>
        <w:numPr>
          <w:ilvl w:val="0"/>
          <w:numId w:val="34"/>
        </w:numPr>
        <w:rPr>
          <w:rFonts w:hint="eastAsia"/>
          <w:lang w:eastAsia="zh-CN"/>
        </w:rPr>
      </w:pPr>
      <w:r>
        <w:rPr>
          <w:rFonts w:hint="eastAsia"/>
        </w:rPr>
        <w:t>当直线排水管段上有汇入管接</w:t>
      </w:r>
      <w:r>
        <w:rPr>
          <w:rFonts w:hint="eastAsia"/>
          <w:lang w:eastAsia="zh-CN"/>
        </w:rPr>
        <w:t>入</w:t>
      </w:r>
      <w:r>
        <w:rPr>
          <w:rFonts w:hint="eastAsia"/>
        </w:rPr>
        <w:t>检查井时，可根据汇入管道接入的角度选择 90°三通、45°斜三通、90°汇合四通、 45°斜四通的检查井</w:t>
      </w:r>
      <w:r>
        <w:rPr>
          <w:rFonts w:hint="eastAsia"/>
          <w:lang w:eastAsia="zh-CN"/>
        </w:rPr>
        <w:t>；</w:t>
      </w:r>
    </w:p>
    <w:p>
      <w:pPr>
        <w:pStyle w:val="176"/>
        <w:numPr>
          <w:ilvl w:val="0"/>
          <w:numId w:val="34"/>
        </w:numPr>
        <w:rPr>
          <w:rFonts w:hint="eastAsia"/>
        </w:rPr>
      </w:pPr>
      <w:r>
        <w:rPr>
          <w:rFonts w:hint="eastAsia"/>
        </w:rPr>
        <w:t>检查井规格宜按表1选用</w:t>
      </w:r>
      <w:r>
        <w:rPr>
          <w:rFonts w:hint="eastAsia"/>
          <w:lang w:eastAsia="zh-CN"/>
        </w:rPr>
        <w:t>；</w:t>
      </w:r>
    </w:p>
    <w:p>
      <w:pPr>
        <w:pStyle w:val="176"/>
        <w:numPr>
          <w:ilvl w:val="0"/>
          <w:numId w:val="34"/>
        </w:numPr>
      </w:pPr>
      <w:r>
        <w:rPr>
          <w:rFonts w:hint="eastAsia"/>
          <w:highlight w:val="none"/>
          <w:lang w:val="en-US" w:eastAsia="zh-CN"/>
        </w:rPr>
        <w:t>当井内设置液位等传感器时，井径不宜小于1000mm。</w:t>
      </w:r>
    </w:p>
    <w:p>
      <w:pPr>
        <w:pStyle w:val="167"/>
        <w:numPr>
          <w:ilvl w:val="3"/>
          <w:numId w:val="0"/>
        </w:numPr>
        <w:ind w:leftChars="0"/>
        <w:jc w:val="center"/>
        <w:rPr>
          <w:rFonts w:hint="eastAsia" w:ascii="黑体" w:hAnsi="黑体" w:eastAsia="黑体" w:cs="黑体"/>
          <w:lang w:val="en-US" w:eastAsia="zh-CN"/>
        </w:rPr>
      </w:pPr>
      <w:r>
        <w:rPr>
          <w:rFonts w:hint="eastAsia" w:ascii="黑体" w:hAnsi="黑体" w:eastAsia="黑体" w:cs="黑体"/>
          <w:lang w:eastAsia="zh-CN"/>
        </w:rPr>
        <w:t>表</w:t>
      </w:r>
      <w:r>
        <w:rPr>
          <w:rFonts w:hint="eastAsia" w:ascii="黑体" w:hAnsi="黑体" w:eastAsia="黑体" w:cs="黑体"/>
          <w:lang w:val="en-US" w:eastAsia="zh-CN"/>
        </w:rPr>
        <w:t xml:space="preserve">1  </w:t>
      </w:r>
      <w:r>
        <w:rPr>
          <w:rFonts w:hint="eastAsia" w:ascii="黑体" w:hAnsi="Times New Roman" w:eastAsia="黑体" w:cs="Times New Roman"/>
          <w:kern w:val="21"/>
          <w:sz w:val="21"/>
          <w:lang w:val="en-US" w:eastAsia="zh-CN" w:bidi="ar-SA"/>
        </w:rPr>
        <w:t>检查井选用表</w:t>
      </w:r>
    </w:p>
    <w:tbl>
      <w:tblPr>
        <w:tblStyle w:val="28"/>
        <w:tblW w:w="9374"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0" w:type="dxa"/>
          <w:bottom w:w="0" w:type="dxa"/>
          <w:right w:w="0" w:type="dxa"/>
        </w:tblCellMar>
      </w:tblPr>
      <w:tblGrid>
        <w:gridCol w:w="2216"/>
        <w:gridCol w:w="2322"/>
        <w:gridCol w:w="2560"/>
        <w:gridCol w:w="2276"/>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367" w:hRule="atLeast"/>
          <w:tblHeader/>
          <w:jc w:val="center"/>
        </w:trPr>
        <w:tc>
          <w:tcPr>
            <w:tcW w:w="2216" w:type="dxa"/>
            <w:tcBorders>
              <w:top w:val="single" w:color="auto" w:sz="8" w:space="0"/>
              <w:bottom w:val="single" w:color="auto" w:sz="8" w:space="0"/>
            </w:tcBorders>
            <w:shd w:val="clear" w:color="auto" w:fill="auto"/>
            <w:vAlign w:val="center"/>
          </w:tcPr>
          <w:p>
            <w:pPr>
              <w:spacing w:line="240" w:lineRule="auto"/>
              <w:jc w:val="center"/>
              <w:rPr>
                <w:rFonts w:hint="eastAsia" w:ascii="宋体" w:hAnsi="宋体" w:eastAsia="宋体" w:cs="宋体"/>
                <w:b w:val="0"/>
                <w:bCs/>
                <w:sz w:val="18"/>
                <w:szCs w:val="18"/>
              </w:rPr>
            </w:pPr>
            <w:r>
              <w:rPr>
                <w:rFonts w:hint="eastAsia" w:ascii="宋体" w:hAnsi="宋体" w:cs="宋体"/>
                <w:sz w:val="18"/>
                <w:szCs w:val="18"/>
                <w:highlight w:val="none"/>
              </w:rPr>
              <w:t xml:space="preserve"> 排水管道公称尺寸DN</w:t>
            </w:r>
          </w:p>
        </w:tc>
        <w:tc>
          <w:tcPr>
            <w:tcW w:w="2322" w:type="dxa"/>
            <w:tcBorders>
              <w:top w:val="single" w:color="auto" w:sz="8" w:space="0"/>
              <w:bottom w:val="single" w:color="auto" w:sz="8" w:space="0"/>
            </w:tcBorders>
            <w:shd w:val="clear" w:color="auto" w:fill="auto"/>
            <w:vAlign w:val="center"/>
          </w:tcPr>
          <w:p>
            <w:pPr>
              <w:spacing w:line="240" w:lineRule="auto"/>
              <w:jc w:val="center"/>
              <w:rPr>
                <w:rFonts w:hint="eastAsia" w:ascii="宋体" w:hAnsi="宋体" w:eastAsia="宋体" w:cs="宋体"/>
                <w:b w:val="0"/>
                <w:bCs/>
                <w:sz w:val="18"/>
                <w:szCs w:val="18"/>
              </w:rPr>
            </w:pPr>
            <w:r>
              <w:rPr>
                <w:rFonts w:hint="eastAsia" w:ascii="宋体" w:hAnsi="宋体" w:cs="宋体"/>
                <w:sz w:val="18"/>
                <w:szCs w:val="18"/>
                <w:highlight w:val="none"/>
              </w:rPr>
              <w:t>井深（m）</w:t>
            </w:r>
          </w:p>
        </w:tc>
        <w:tc>
          <w:tcPr>
            <w:tcW w:w="2560" w:type="dxa"/>
            <w:tcBorders>
              <w:top w:val="single" w:color="auto" w:sz="8" w:space="0"/>
              <w:bottom w:val="single" w:color="auto" w:sz="8" w:space="0"/>
            </w:tcBorders>
            <w:shd w:val="clear" w:color="auto" w:fill="auto"/>
            <w:vAlign w:val="center"/>
          </w:tcPr>
          <w:p>
            <w:pPr>
              <w:spacing w:line="240" w:lineRule="auto"/>
              <w:jc w:val="center"/>
              <w:rPr>
                <w:rFonts w:hint="eastAsia" w:ascii="宋体" w:hAnsi="宋体" w:eastAsia="宋体" w:cs="宋体"/>
                <w:b w:val="0"/>
                <w:bCs/>
                <w:sz w:val="18"/>
                <w:szCs w:val="18"/>
              </w:rPr>
            </w:pPr>
            <w:r>
              <w:rPr>
                <w:rFonts w:hint="eastAsia" w:ascii="宋体" w:hAnsi="宋体" w:cs="宋体"/>
                <w:sz w:val="18"/>
                <w:szCs w:val="18"/>
                <w:highlight w:val="none"/>
              </w:rPr>
              <w:t>井径</w:t>
            </w:r>
            <w:r>
              <w:rPr>
                <w:rFonts w:hint="eastAsia" w:ascii="宋体" w:hAnsi="宋体" w:cs="宋体"/>
                <w:sz w:val="18"/>
                <w:szCs w:val="18"/>
                <w:highlight w:val="none"/>
                <w:lang w:val="en-US" w:eastAsia="zh-CN"/>
              </w:rPr>
              <w:t>DN</w:t>
            </w:r>
          </w:p>
        </w:tc>
        <w:tc>
          <w:tcPr>
            <w:tcW w:w="2276" w:type="dxa"/>
            <w:tcBorders>
              <w:top w:val="single" w:color="auto" w:sz="8" w:space="0"/>
              <w:bottom w:val="single" w:color="auto" w:sz="8" w:space="0"/>
            </w:tcBorders>
            <w:shd w:val="clear" w:color="auto" w:fill="auto"/>
            <w:vAlign w:val="center"/>
          </w:tcPr>
          <w:p>
            <w:pPr>
              <w:spacing w:line="240" w:lineRule="auto"/>
              <w:jc w:val="center"/>
              <w:rPr>
                <w:rFonts w:hint="eastAsia" w:ascii="宋体" w:hAnsi="宋体" w:eastAsia="宋体" w:cs="宋体"/>
                <w:b/>
                <w:sz w:val="18"/>
                <w:szCs w:val="18"/>
              </w:rPr>
            </w:pPr>
            <w:r>
              <w:rPr>
                <w:rFonts w:hint="eastAsia" w:ascii="宋体" w:hAnsi="宋体" w:cs="宋体"/>
                <w:sz w:val="18"/>
                <w:szCs w:val="18"/>
                <w:highlight w:val="none"/>
              </w:rPr>
              <w:t>检查井形式</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trHeight w:val="90" w:hRule="atLeast"/>
          <w:jc w:val="center"/>
        </w:trPr>
        <w:tc>
          <w:tcPr>
            <w:tcW w:w="2216" w:type="dxa"/>
            <w:tcBorders>
              <w:top w:val="single" w:color="auto" w:sz="8" w:space="0"/>
            </w:tcBorders>
            <w:shd w:val="clear" w:color="auto" w:fill="auto"/>
            <w:vAlign w:val="center"/>
          </w:tcPr>
          <w:p>
            <w:pPr>
              <w:spacing w:line="240" w:lineRule="auto"/>
              <w:jc w:val="center"/>
              <w:rPr>
                <w:rStyle w:val="238"/>
                <w:rFonts w:hint="eastAsia" w:ascii="宋体" w:hAnsi="宋体" w:eastAsia="宋体" w:cs="宋体"/>
                <w:sz w:val="18"/>
                <w:szCs w:val="18"/>
              </w:rPr>
            </w:pPr>
            <w:r>
              <w:rPr>
                <w:rFonts w:hint="eastAsia" w:ascii="宋体" w:hAnsi="宋体" w:eastAsia="宋体" w:cs="宋体"/>
                <w:sz w:val="18"/>
                <w:szCs w:val="18"/>
                <w:highlight w:val="none"/>
              </w:rPr>
              <w:t>≤300</w:t>
            </w:r>
          </w:p>
        </w:tc>
        <w:tc>
          <w:tcPr>
            <w:tcW w:w="2322" w:type="dxa"/>
            <w:tcBorders>
              <w:top w:val="single" w:color="auto" w:sz="8" w:space="0"/>
            </w:tcBorders>
            <w:shd w:val="clear" w:color="auto" w:fill="auto"/>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highlight w:val="none"/>
              </w:rPr>
              <w:t>≤1.2</w:t>
            </w:r>
          </w:p>
        </w:tc>
        <w:tc>
          <w:tcPr>
            <w:tcW w:w="2560" w:type="dxa"/>
            <w:tcBorders>
              <w:top w:val="single" w:color="auto" w:sz="8" w:space="0"/>
            </w:tcBorders>
            <w:shd w:val="clear" w:color="auto" w:fill="auto"/>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highlight w:val="none"/>
              </w:rPr>
              <w:t>450</w:t>
            </w:r>
          </w:p>
        </w:tc>
        <w:tc>
          <w:tcPr>
            <w:tcW w:w="2276" w:type="dxa"/>
            <w:tcBorders>
              <w:top w:val="single" w:color="auto" w:sz="8" w:space="0"/>
            </w:tcBorders>
            <w:shd w:val="clear" w:color="auto" w:fill="auto"/>
            <w:vAlign w:val="center"/>
          </w:tcPr>
          <w:p>
            <w:pPr>
              <w:spacing w:line="240" w:lineRule="auto"/>
              <w:jc w:val="center"/>
              <w:rPr>
                <w:rStyle w:val="238"/>
                <w:rFonts w:hint="eastAsia" w:ascii="宋体" w:hAnsi="宋体" w:eastAsia="宋体" w:cs="宋体"/>
                <w:sz w:val="18"/>
                <w:szCs w:val="18"/>
              </w:rPr>
            </w:pPr>
            <w:r>
              <w:rPr>
                <w:rFonts w:hint="eastAsia" w:ascii="宋体" w:hAnsi="宋体" w:eastAsia="宋体" w:cs="宋体"/>
                <w:sz w:val="18"/>
                <w:szCs w:val="18"/>
                <w:highlight w:val="none"/>
              </w:rPr>
              <w:t>直壁型</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2216" w:type="dxa"/>
            <w:shd w:val="clear" w:color="auto" w:fill="auto"/>
            <w:vAlign w:val="center"/>
          </w:tcPr>
          <w:p>
            <w:pPr>
              <w:spacing w:line="240" w:lineRule="auto"/>
              <w:jc w:val="center"/>
              <w:rPr>
                <w:rStyle w:val="238"/>
                <w:rFonts w:hint="eastAsia" w:ascii="宋体" w:hAnsi="宋体" w:eastAsia="宋体" w:cs="宋体"/>
                <w:sz w:val="18"/>
                <w:szCs w:val="18"/>
              </w:rPr>
            </w:pPr>
            <w:r>
              <w:rPr>
                <w:rFonts w:hint="eastAsia" w:ascii="宋体" w:hAnsi="宋体" w:eastAsia="宋体" w:cs="宋体"/>
                <w:sz w:val="18"/>
                <w:szCs w:val="18"/>
                <w:highlight w:val="none"/>
              </w:rPr>
              <w:t>300</w:t>
            </w:r>
            <w:r>
              <w:rPr>
                <w:rFonts w:hint="default" w:ascii="Times New Roman" w:hAnsi="Times New Roman" w:eastAsia="宋体" w:cs="Times New Roman"/>
                <w:sz w:val="18"/>
                <w:szCs w:val="18"/>
                <w:highlight w:val="none"/>
              </w:rPr>
              <w:t>~</w:t>
            </w:r>
            <w:r>
              <w:rPr>
                <w:rFonts w:hint="eastAsia" w:ascii="宋体" w:hAnsi="宋体" w:eastAsia="宋体" w:cs="宋体"/>
                <w:sz w:val="18"/>
                <w:szCs w:val="18"/>
                <w:highlight w:val="none"/>
              </w:rPr>
              <w:t>600</w:t>
            </w:r>
          </w:p>
        </w:tc>
        <w:tc>
          <w:tcPr>
            <w:tcW w:w="2322" w:type="dxa"/>
            <w:shd w:val="clear" w:color="auto" w:fill="auto"/>
            <w:vAlign w:val="center"/>
          </w:tcPr>
          <w:p>
            <w:pPr>
              <w:spacing w:line="240" w:lineRule="auto"/>
              <w:jc w:val="center"/>
              <w:rPr>
                <w:rStyle w:val="238"/>
                <w:rFonts w:hint="eastAsia" w:ascii="宋体" w:hAnsi="宋体" w:eastAsia="宋体" w:cs="宋体"/>
                <w:sz w:val="18"/>
                <w:szCs w:val="18"/>
              </w:rPr>
            </w:pPr>
            <w:r>
              <w:rPr>
                <w:rFonts w:hint="eastAsia" w:ascii="宋体" w:hAnsi="宋体" w:eastAsia="宋体" w:cs="宋体"/>
                <w:sz w:val="18"/>
                <w:szCs w:val="18"/>
                <w:highlight w:val="none"/>
              </w:rPr>
              <w:t>≤1.2</w:t>
            </w:r>
          </w:p>
        </w:tc>
        <w:tc>
          <w:tcPr>
            <w:tcW w:w="2560" w:type="dxa"/>
            <w:shd w:val="clear" w:color="auto" w:fill="auto"/>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highlight w:val="none"/>
              </w:rPr>
              <w:t>630、700</w:t>
            </w:r>
          </w:p>
        </w:tc>
        <w:tc>
          <w:tcPr>
            <w:tcW w:w="2276" w:type="dxa"/>
            <w:shd w:val="clear" w:color="auto" w:fill="auto"/>
            <w:vAlign w:val="center"/>
          </w:tcPr>
          <w:p>
            <w:pPr>
              <w:spacing w:line="240" w:lineRule="auto"/>
              <w:jc w:val="center"/>
              <w:rPr>
                <w:rStyle w:val="238"/>
                <w:rFonts w:hint="eastAsia" w:ascii="宋体" w:hAnsi="宋体" w:eastAsia="宋体" w:cs="宋体"/>
                <w:sz w:val="18"/>
                <w:szCs w:val="18"/>
              </w:rPr>
            </w:pPr>
            <w:r>
              <w:rPr>
                <w:rFonts w:hint="eastAsia" w:ascii="宋体" w:hAnsi="宋体" w:eastAsia="宋体" w:cs="宋体"/>
                <w:sz w:val="18"/>
                <w:szCs w:val="18"/>
                <w:highlight w:val="none"/>
              </w:rPr>
              <w:t>直壁型</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2216" w:type="dxa"/>
            <w:shd w:val="clear" w:color="auto" w:fill="auto"/>
            <w:vAlign w:val="center"/>
          </w:tcPr>
          <w:p>
            <w:pPr>
              <w:spacing w:line="240" w:lineRule="auto"/>
              <w:jc w:val="center"/>
              <w:rPr>
                <w:rStyle w:val="238"/>
                <w:rFonts w:hint="eastAsia" w:ascii="宋体" w:hAnsi="宋体" w:eastAsia="宋体" w:cs="宋体"/>
                <w:sz w:val="18"/>
                <w:szCs w:val="18"/>
              </w:rPr>
            </w:pPr>
            <w:r>
              <w:rPr>
                <w:rFonts w:hint="eastAsia" w:ascii="宋体" w:hAnsi="宋体" w:eastAsia="宋体" w:cs="宋体"/>
                <w:sz w:val="18"/>
                <w:szCs w:val="18"/>
                <w:highlight w:val="none"/>
              </w:rPr>
              <w:t>200</w:t>
            </w:r>
            <w:r>
              <w:rPr>
                <w:rFonts w:hint="default" w:ascii="Times New Roman" w:hAnsi="Times New Roman" w:eastAsia="宋体" w:cs="Times New Roman"/>
                <w:sz w:val="18"/>
                <w:szCs w:val="18"/>
                <w:highlight w:val="none"/>
              </w:rPr>
              <w:t>~</w:t>
            </w:r>
            <w:r>
              <w:rPr>
                <w:rFonts w:hint="eastAsia" w:ascii="宋体" w:hAnsi="宋体" w:eastAsia="宋体" w:cs="宋体"/>
                <w:sz w:val="18"/>
                <w:szCs w:val="18"/>
                <w:highlight w:val="none"/>
              </w:rPr>
              <w:t>600</w:t>
            </w:r>
          </w:p>
        </w:tc>
        <w:tc>
          <w:tcPr>
            <w:tcW w:w="2322" w:type="dxa"/>
            <w:shd w:val="clear" w:color="auto" w:fill="auto"/>
            <w:vAlign w:val="center"/>
          </w:tcPr>
          <w:p>
            <w:pPr>
              <w:spacing w:line="240" w:lineRule="auto"/>
              <w:jc w:val="center"/>
              <w:rPr>
                <w:rStyle w:val="238"/>
                <w:rFonts w:hint="eastAsia" w:ascii="宋体" w:hAnsi="宋体" w:eastAsia="宋体" w:cs="宋体"/>
                <w:sz w:val="18"/>
                <w:szCs w:val="18"/>
              </w:rPr>
            </w:pPr>
            <w:r>
              <w:rPr>
                <w:rFonts w:hint="eastAsia" w:ascii="宋体" w:hAnsi="宋体" w:eastAsia="宋体" w:cs="宋体"/>
                <w:sz w:val="18"/>
                <w:szCs w:val="18"/>
                <w:highlight w:val="none"/>
              </w:rPr>
              <w:t>＞1.2</w:t>
            </w:r>
          </w:p>
        </w:tc>
        <w:tc>
          <w:tcPr>
            <w:tcW w:w="2560" w:type="dxa"/>
            <w:shd w:val="clear" w:color="auto" w:fill="auto"/>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highlight w:val="none"/>
              </w:rPr>
              <w:t>630、700</w:t>
            </w:r>
          </w:p>
        </w:tc>
        <w:tc>
          <w:tcPr>
            <w:tcW w:w="2276" w:type="dxa"/>
            <w:shd w:val="clear" w:color="auto" w:fill="auto"/>
            <w:vAlign w:val="center"/>
          </w:tcPr>
          <w:p>
            <w:pPr>
              <w:spacing w:line="240" w:lineRule="auto"/>
              <w:jc w:val="center"/>
              <w:rPr>
                <w:rStyle w:val="238"/>
                <w:rFonts w:hint="eastAsia" w:ascii="宋体" w:hAnsi="宋体" w:eastAsia="宋体" w:cs="宋体"/>
                <w:sz w:val="18"/>
                <w:szCs w:val="18"/>
              </w:rPr>
            </w:pPr>
            <w:r>
              <w:rPr>
                <w:rFonts w:hint="eastAsia" w:ascii="宋体" w:hAnsi="宋体" w:eastAsia="宋体" w:cs="宋体"/>
                <w:sz w:val="18"/>
                <w:szCs w:val="18"/>
                <w:highlight w:val="none"/>
              </w:rPr>
              <w:t>直壁型</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2216" w:type="dxa"/>
            <w:shd w:val="clear" w:color="auto" w:fill="auto"/>
            <w:vAlign w:val="center"/>
          </w:tcPr>
          <w:p>
            <w:pPr>
              <w:spacing w:line="240" w:lineRule="auto"/>
              <w:jc w:val="center"/>
              <w:rPr>
                <w:rStyle w:val="238"/>
                <w:rFonts w:hint="eastAsia" w:ascii="宋体" w:hAnsi="宋体" w:eastAsia="宋体" w:cs="宋体"/>
                <w:sz w:val="18"/>
                <w:szCs w:val="18"/>
              </w:rPr>
            </w:pPr>
            <w:r>
              <w:rPr>
                <w:rFonts w:hint="eastAsia" w:ascii="宋体" w:hAnsi="宋体" w:eastAsia="宋体" w:cs="宋体"/>
                <w:sz w:val="18"/>
                <w:szCs w:val="18"/>
                <w:highlight w:val="none"/>
              </w:rPr>
              <w:t>300</w:t>
            </w:r>
            <w:r>
              <w:rPr>
                <w:rFonts w:hint="default" w:ascii="Times New Roman" w:hAnsi="Times New Roman" w:eastAsia="宋体" w:cs="Times New Roman"/>
                <w:sz w:val="18"/>
                <w:szCs w:val="18"/>
                <w:highlight w:val="none"/>
              </w:rPr>
              <w:t>~</w:t>
            </w:r>
            <w:r>
              <w:rPr>
                <w:rFonts w:hint="eastAsia" w:ascii="宋体" w:hAnsi="宋体" w:eastAsia="宋体" w:cs="宋体"/>
                <w:sz w:val="18"/>
                <w:szCs w:val="18"/>
                <w:highlight w:val="none"/>
              </w:rPr>
              <w:t>1000</w:t>
            </w:r>
          </w:p>
        </w:tc>
        <w:tc>
          <w:tcPr>
            <w:tcW w:w="2322" w:type="dxa"/>
            <w:shd w:val="clear" w:color="auto" w:fill="auto"/>
            <w:vAlign w:val="center"/>
          </w:tcPr>
          <w:p>
            <w:pPr>
              <w:spacing w:line="240" w:lineRule="auto"/>
              <w:jc w:val="center"/>
              <w:rPr>
                <w:rStyle w:val="238"/>
                <w:rFonts w:hint="eastAsia" w:ascii="宋体" w:hAnsi="宋体" w:eastAsia="宋体" w:cs="宋体"/>
                <w:sz w:val="18"/>
                <w:szCs w:val="18"/>
              </w:rPr>
            </w:pPr>
            <w:r>
              <w:rPr>
                <w:rFonts w:hint="eastAsia" w:ascii="宋体" w:hAnsi="宋体" w:eastAsia="宋体" w:cs="宋体"/>
                <w:sz w:val="18"/>
                <w:szCs w:val="18"/>
                <w:highlight w:val="none"/>
              </w:rPr>
              <w:t>≥1.5</w:t>
            </w:r>
          </w:p>
        </w:tc>
        <w:tc>
          <w:tcPr>
            <w:tcW w:w="2560" w:type="dxa"/>
            <w:shd w:val="clear" w:color="auto" w:fill="auto"/>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highlight w:val="none"/>
              </w:rPr>
              <w:t>1000</w:t>
            </w:r>
          </w:p>
        </w:tc>
        <w:tc>
          <w:tcPr>
            <w:tcW w:w="2276" w:type="dxa"/>
            <w:shd w:val="clear" w:color="auto" w:fill="auto"/>
            <w:vAlign w:val="center"/>
          </w:tcPr>
          <w:p>
            <w:pPr>
              <w:spacing w:line="240" w:lineRule="auto"/>
              <w:jc w:val="center"/>
              <w:rPr>
                <w:rStyle w:val="238"/>
                <w:rFonts w:hint="eastAsia" w:ascii="宋体" w:hAnsi="宋体" w:eastAsia="宋体" w:cs="宋体"/>
                <w:sz w:val="18"/>
                <w:szCs w:val="18"/>
              </w:rPr>
            </w:pPr>
            <w:r>
              <w:rPr>
                <w:rFonts w:hint="eastAsia" w:ascii="宋体" w:hAnsi="宋体" w:eastAsia="宋体" w:cs="宋体"/>
                <w:sz w:val="18"/>
                <w:szCs w:val="18"/>
                <w:highlight w:val="none"/>
              </w:rPr>
              <w:t>收口型</w:t>
            </w:r>
          </w:p>
        </w:tc>
      </w:tr>
    </w:tbl>
    <w:p>
      <w:pPr>
        <w:pStyle w:val="167"/>
        <w:numPr>
          <w:ilvl w:val="3"/>
          <w:numId w:val="0"/>
        </w:numPr>
        <w:ind w:leftChars="0"/>
        <w:jc w:val="center"/>
        <w:rPr>
          <w:rFonts w:hint="eastAsia" w:ascii="黑体" w:hAnsi="黑体" w:eastAsia="黑体" w:cs="黑体"/>
          <w:lang w:val="en-US" w:eastAsia="zh-CN"/>
        </w:rPr>
      </w:pPr>
    </w:p>
    <w:p>
      <w:pPr>
        <w:pStyle w:val="167"/>
      </w:pPr>
      <w:r>
        <w:t>多根管径小于等于</w:t>
      </w:r>
      <w:r>
        <w:rPr>
          <w:bCs/>
        </w:rPr>
        <w:t>160mm</w:t>
      </w:r>
      <w:r>
        <w:t>的排出管接入接户井时，应符合下列规定：</w:t>
      </w:r>
    </w:p>
    <w:p>
      <w:pPr>
        <w:pStyle w:val="176"/>
        <w:numPr>
          <w:ilvl w:val="0"/>
          <w:numId w:val="35"/>
        </w:numPr>
      </w:pPr>
      <w:r>
        <w:t>选用左</w:t>
      </w:r>
      <w:r>
        <w:rPr>
          <w:rFonts w:hint="eastAsia"/>
          <w:lang w:val="en-US" w:eastAsia="zh-CN"/>
        </w:rPr>
        <w:t>/</w:t>
      </w:r>
      <w:r>
        <w:t>右三通井座、左</w:t>
      </w:r>
      <w:r>
        <w:rPr>
          <w:rFonts w:hint="eastAsia"/>
          <w:lang w:val="en-US" w:eastAsia="zh-CN"/>
        </w:rPr>
        <w:t>/</w:t>
      </w:r>
      <w:r>
        <w:t>右斜四通井座、汇合三通井座、汇合四通井座等类型的井座加上汇合接头的组合方式与排出管连接</w:t>
      </w:r>
      <w:r>
        <w:rPr>
          <w:rFonts w:hint="eastAsia"/>
          <w:lang w:val="en-US" w:eastAsia="zh-CN"/>
        </w:rPr>
        <w:t>,</w:t>
      </w:r>
      <w:r>
        <w:t>如图</w:t>
      </w:r>
      <w:r>
        <w:rPr>
          <w:rFonts w:hint="eastAsia"/>
          <w:lang w:val="en-US" w:eastAsia="zh-CN"/>
        </w:rPr>
        <w:t>3</w:t>
      </w:r>
      <w:r>
        <w:rPr>
          <w:rFonts w:hint="eastAsia"/>
          <w:lang w:eastAsia="zh-CN"/>
        </w:rPr>
        <w:t>；</w:t>
      </w:r>
    </w:p>
    <w:p>
      <w:pPr>
        <w:pStyle w:val="176"/>
        <w:numPr>
          <w:ilvl w:val="0"/>
          <w:numId w:val="0"/>
        </w:numPr>
        <w:ind w:left="425" w:leftChars="0"/>
        <w:jc w:val="center"/>
        <w:rPr>
          <w:rFonts w:hint="eastAsia"/>
          <w:lang w:eastAsia="zh-CN"/>
        </w:rPr>
      </w:pPr>
      <w:r>
        <w:rPr>
          <w:rFonts w:ascii="Arial" w:hAnsi="Arial" w:cs="Arial"/>
        </w:rPr>
        <w:drawing>
          <wp:inline distT="0" distB="0" distL="114300" distR="114300">
            <wp:extent cx="3696335" cy="1764030"/>
            <wp:effectExtent l="0" t="0" r="18415" b="7620"/>
            <wp:docPr id="46" name="图片 7" descr="zuo-yousitongjing_2d-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7" descr="zuo-yousitongjing_2d-Model"/>
                    <pic:cNvPicPr>
                      <a:picLocks noChangeAspect="1"/>
                    </pic:cNvPicPr>
                  </pic:nvPicPr>
                  <pic:blipFill>
                    <a:blip r:embed="rId23"/>
                    <a:stretch>
                      <a:fillRect/>
                    </a:stretch>
                  </pic:blipFill>
                  <pic:spPr>
                    <a:xfrm>
                      <a:off x="0" y="0"/>
                      <a:ext cx="3696335" cy="1764030"/>
                    </a:xfrm>
                    <a:prstGeom prst="rect">
                      <a:avLst/>
                    </a:prstGeom>
                    <a:noFill/>
                    <a:ln>
                      <a:noFill/>
                    </a:ln>
                  </pic:spPr>
                </pic:pic>
              </a:graphicData>
            </a:graphic>
          </wp:inline>
        </w:drawing>
      </w:r>
    </w:p>
    <w:p>
      <w:pPr>
        <w:pStyle w:val="176"/>
        <w:numPr>
          <w:ilvl w:val="0"/>
          <w:numId w:val="0"/>
        </w:numPr>
        <w:ind w:left="425" w:leftChars="0"/>
        <w:jc w:val="center"/>
        <w:rPr>
          <w:rFonts w:hint="eastAsia" w:ascii="黑体" w:hAnsi="黑体" w:eastAsia="黑体" w:cs="黑体"/>
          <w:lang w:val="en-US" w:eastAsia="zh-CN"/>
        </w:rPr>
      </w:pPr>
      <w:r>
        <w:rPr>
          <w:rFonts w:hint="eastAsia" w:ascii="黑体" w:hAnsi="黑体" w:eastAsia="黑体" w:cs="黑体"/>
          <w:lang w:val="en-US" w:eastAsia="zh-CN"/>
        </w:rPr>
        <w:t>图3 多根排出管接入井座</w:t>
      </w:r>
    </w:p>
    <w:p>
      <w:pPr>
        <w:pStyle w:val="176"/>
      </w:pPr>
      <w:r>
        <w:rPr>
          <w:rFonts w:hint="eastAsia" w:ascii="Times New Roman"/>
        </w:rPr>
        <w:t>选用井筒多头接或马鞍接头与排出管相连接。汇入管在井筒上接入检查井时，宜根据下列要求选用：</w:t>
      </w:r>
    </w:p>
    <w:p>
      <w:pPr>
        <w:pStyle w:val="176"/>
        <w:numPr>
          <w:ilvl w:val="0"/>
          <w:numId w:val="0"/>
        </w:numPr>
        <w:ind w:left="840" w:leftChars="0" w:firstLine="0" w:firstLineChars="0"/>
      </w:pPr>
      <w:r>
        <w:rPr>
          <w:rFonts w:hint="eastAsia"/>
          <w:lang w:val="en-US" w:eastAsia="zh-CN"/>
        </w:rPr>
        <w:t>·</w:t>
      </w:r>
      <w:r>
        <w:t>当汇入管管径小于1/2井径或汇入管管径不大于160mm、且数量不超过3根时，宜采用马鞍接头连接，见图</w:t>
      </w:r>
      <w:r>
        <w:rPr>
          <w:rFonts w:hint="eastAsia"/>
          <w:lang w:val="en-US" w:eastAsia="zh-CN"/>
        </w:rPr>
        <w:t>4</w:t>
      </w:r>
      <w:r>
        <w:t>，汇入管管底与</w:t>
      </w:r>
      <w:r>
        <w:rPr>
          <w:rFonts w:hint="eastAsia"/>
          <w:lang w:eastAsia="zh-CN"/>
        </w:rPr>
        <w:t>流</w:t>
      </w:r>
      <w:r>
        <w:t>出管管底最小距离H见表</w:t>
      </w:r>
      <w:r>
        <w:rPr>
          <w:rFonts w:hint="eastAsia"/>
          <w:lang w:val="en-US" w:eastAsia="zh-CN"/>
        </w:rPr>
        <w:t>2</w:t>
      </w:r>
      <w:r>
        <w:t>；</w:t>
      </w:r>
    </w:p>
    <w:p>
      <w:pPr>
        <w:pStyle w:val="176"/>
        <w:numPr>
          <w:ilvl w:val="0"/>
          <w:numId w:val="0"/>
        </w:numPr>
        <w:ind w:left="840" w:leftChars="0" w:firstLine="0" w:firstLineChars="0"/>
      </w:pPr>
      <w:r>
        <w:rPr>
          <w:rFonts w:hint="eastAsia"/>
          <w:lang w:val="en-US" w:eastAsia="zh-CN"/>
        </w:rPr>
        <w:t>·</w:t>
      </w:r>
      <w:r>
        <w:t>当汇入管管径大于1/2井径或汇入管管径大于160mm、且数量超过3根时时，应采用井筒多头接连接，见图</w:t>
      </w:r>
      <w:r>
        <w:rPr>
          <w:rFonts w:hint="eastAsia"/>
          <w:lang w:val="en-US" w:eastAsia="zh-CN"/>
        </w:rPr>
        <w:t>5</w:t>
      </w:r>
      <w:r>
        <w:t>，汇入管管底与</w:t>
      </w:r>
      <w:r>
        <w:rPr>
          <w:rFonts w:hint="eastAsia"/>
          <w:lang w:eastAsia="zh-CN"/>
        </w:rPr>
        <w:t>流</w:t>
      </w:r>
      <w:r>
        <w:t>出管管底最小距离H见表</w:t>
      </w:r>
      <w:r>
        <w:rPr>
          <w:rFonts w:hint="eastAsia"/>
          <w:lang w:val="en-US" w:eastAsia="zh-CN"/>
        </w:rPr>
        <w:t>2</w:t>
      </w:r>
      <w:r>
        <w:t>。</w:t>
      </w:r>
    </w:p>
    <w:p>
      <w:pPr>
        <w:pStyle w:val="176"/>
        <w:numPr>
          <w:ilvl w:val="0"/>
          <w:numId w:val="0"/>
        </w:numPr>
        <w:jc w:val="center"/>
      </w:pPr>
      <w:r>
        <w:rPr>
          <w:rFonts w:hint="eastAsia" w:ascii="Arial" w:hAnsi="Arial" w:eastAsia="宋体" w:cs="Arial"/>
          <w:lang w:eastAsia="zh-CN"/>
        </w:rPr>
        <w:drawing>
          <wp:inline distT="0" distB="0" distL="114300" distR="114300">
            <wp:extent cx="5006340" cy="2089785"/>
            <wp:effectExtent l="0" t="0" r="3810" b="5715"/>
            <wp:docPr id="47" name="图片 8"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8" descr="图片1"/>
                    <pic:cNvPicPr>
                      <a:picLocks noChangeAspect="1"/>
                    </pic:cNvPicPr>
                  </pic:nvPicPr>
                  <pic:blipFill>
                    <a:blip r:embed="rId24"/>
                    <a:stretch>
                      <a:fillRect/>
                    </a:stretch>
                  </pic:blipFill>
                  <pic:spPr>
                    <a:xfrm>
                      <a:off x="0" y="0"/>
                      <a:ext cx="5006340" cy="2089785"/>
                    </a:xfrm>
                    <a:prstGeom prst="rect">
                      <a:avLst/>
                    </a:prstGeom>
                    <a:noFill/>
                    <a:ln>
                      <a:noFill/>
                    </a:ln>
                  </pic:spPr>
                </pic:pic>
              </a:graphicData>
            </a:graphic>
          </wp:inline>
        </w:drawing>
      </w:r>
    </w:p>
    <w:p>
      <w:pPr>
        <w:pStyle w:val="176"/>
        <w:numPr>
          <w:ilvl w:val="0"/>
          <w:numId w:val="0"/>
        </w:numPr>
        <w:jc w:val="center"/>
        <w:rPr>
          <w:rFonts w:hint="eastAsia" w:ascii="黑体" w:hAnsi="黑体" w:eastAsia="黑体" w:cs="黑体"/>
          <w:lang w:val="en-US" w:eastAsia="zh-CN"/>
        </w:rPr>
      </w:pPr>
      <w:r>
        <w:rPr>
          <w:rFonts w:hint="eastAsia" w:ascii="黑体" w:hAnsi="黑体" w:eastAsia="黑体" w:cs="黑体"/>
          <w:lang w:val="en-US" w:eastAsia="zh-CN"/>
        </w:rPr>
        <w:t>图4马鞍接头连接示意图</w:t>
      </w:r>
    </w:p>
    <w:p>
      <w:pPr>
        <w:pStyle w:val="176"/>
        <w:numPr>
          <w:ilvl w:val="0"/>
          <w:numId w:val="0"/>
        </w:numPr>
        <w:jc w:val="center"/>
        <w:rPr>
          <w:rFonts w:hint="eastAsia"/>
          <w:lang w:val="en-US" w:eastAsia="zh-CN"/>
        </w:rPr>
      </w:pPr>
      <w:r>
        <w:rPr>
          <w:rFonts w:hint="eastAsia" w:ascii="Arial" w:hAnsi="Arial" w:eastAsia="宋体" w:cs="Arial"/>
          <w:lang w:eastAsia="zh-CN"/>
        </w:rPr>
        <w:drawing>
          <wp:inline distT="0" distB="0" distL="114300" distR="114300">
            <wp:extent cx="5003165" cy="2113915"/>
            <wp:effectExtent l="0" t="0" r="6985" b="635"/>
            <wp:docPr id="48" name="图片 9" descr="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9" descr="图片2"/>
                    <pic:cNvPicPr>
                      <a:picLocks noChangeAspect="1"/>
                    </pic:cNvPicPr>
                  </pic:nvPicPr>
                  <pic:blipFill>
                    <a:blip r:embed="rId25"/>
                    <a:stretch>
                      <a:fillRect/>
                    </a:stretch>
                  </pic:blipFill>
                  <pic:spPr>
                    <a:xfrm>
                      <a:off x="0" y="0"/>
                      <a:ext cx="5003165" cy="2113915"/>
                    </a:xfrm>
                    <a:prstGeom prst="rect">
                      <a:avLst/>
                    </a:prstGeom>
                    <a:noFill/>
                    <a:ln>
                      <a:noFill/>
                    </a:ln>
                  </pic:spPr>
                </pic:pic>
              </a:graphicData>
            </a:graphic>
          </wp:inline>
        </w:drawing>
      </w:r>
    </w:p>
    <w:p>
      <w:pPr>
        <w:pStyle w:val="176"/>
        <w:numPr>
          <w:ilvl w:val="0"/>
          <w:numId w:val="0"/>
        </w:numPr>
        <w:jc w:val="center"/>
        <w:rPr>
          <w:rFonts w:hint="eastAsia" w:ascii="黑体" w:hAnsi="黑体" w:eastAsia="黑体" w:cs="黑体"/>
          <w:lang w:val="en-US" w:eastAsia="zh-CN"/>
        </w:rPr>
      </w:pPr>
      <w:r>
        <w:rPr>
          <w:rFonts w:hint="eastAsia" w:ascii="黑体" w:hAnsi="黑体" w:eastAsia="黑体" w:cs="黑体"/>
          <w:lang w:val="en-US" w:eastAsia="zh-CN"/>
        </w:rPr>
        <w:t xml:space="preserve">图5 </w:t>
      </w:r>
      <w:r>
        <w:rPr>
          <w:rFonts w:hint="eastAsia" w:ascii="黑体" w:hAnsi="黑体" w:eastAsia="黑体" w:cs="黑体"/>
        </w:rPr>
        <w:t>井筒接</w:t>
      </w:r>
      <w:r>
        <w:rPr>
          <w:rFonts w:hint="eastAsia" w:ascii="黑体" w:hAnsi="黑体" w:eastAsia="黑体" w:cs="黑体"/>
          <w:highlight w:val="none"/>
        </w:rPr>
        <w:t>头连接示意图</w:t>
      </w:r>
    </w:p>
    <w:p>
      <w:pPr>
        <w:pStyle w:val="176"/>
        <w:numPr>
          <w:ilvl w:val="0"/>
          <w:numId w:val="0"/>
        </w:numPr>
        <w:rPr>
          <w:rFonts w:hint="eastAsia"/>
          <w:lang w:val="en-US" w:eastAsia="zh-CN"/>
        </w:rPr>
      </w:pPr>
    </w:p>
    <w:p>
      <w:pPr>
        <w:pStyle w:val="176"/>
        <w:numPr>
          <w:ilvl w:val="0"/>
          <w:numId w:val="0"/>
        </w:numPr>
        <w:jc w:val="center"/>
        <w:rPr>
          <w:rFonts w:hint="eastAsia" w:ascii="黑体" w:hAnsi="黑体" w:eastAsia="黑体" w:cs="黑体"/>
          <w:lang w:val="en-US" w:eastAsia="zh-CN"/>
        </w:rPr>
      </w:pPr>
      <w:r>
        <w:rPr>
          <w:rFonts w:hint="eastAsia" w:ascii="黑体" w:hAnsi="黑体" w:eastAsia="黑体" w:cs="黑体"/>
          <w:lang w:val="en-US" w:eastAsia="zh-CN"/>
        </w:rPr>
        <w:t xml:space="preserve">表2 </w:t>
      </w:r>
      <w:r>
        <w:rPr>
          <w:rFonts w:hint="eastAsia" w:ascii="黑体" w:hAnsi="黑体" w:eastAsia="黑体" w:cs="黑体"/>
        </w:rPr>
        <w:t>汇入管管底与</w:t>
      </w:r>
      <w:r>
        <w:rPr>
          <w:rFonts w:hint="eastAsia" w:ascii="黑体" w:hAnsi="黑体" w:eastAsia="黑体" w:cs="黑体"/>
          <w:lang w:eastAsia="zh-CN"/>
        </w:rPr>
        <w:t>流出</w:t>
      </w:r>
      <w:r>
        <w:rPr>
          <w:rFonts w:hint="eastAsia" w:ascii="黑体" w:hAnsi="黑体" w:eastAsia="黑体" w:cs="黑体"/>
        </w:rPr>
        <w:t>管管底最小距离表</w:t>
      </w:r>
    </w:p>
    <w:tbl>
      <w:tblPr>
        <w:tblStyle w:val="27"/>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2156"/>
        <w:gridCol w:w="2114"/>
        <w:gridCol w:w="2638"/>
        <w:gridCol w:w="2444"/>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15" w:hRule="atLeast"/>
          <w:jc w:val="center"/>
        </w:trPr>
        <w:tc>
          <w:tcPr>
            <w:tcW w:w="2156" w:type="dxa"/>
            <w:vMerge w:val="restart"/>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井径DN</w:t>
            </w:r>
          </w:p>
        </w:tc>
        <w:tc>
          <w:tcPr>
            <w:tcW w:w="2114" w:type="dxa"/>
            <w:vMerge w:val="restart"/>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流出管管径</w:t>
            </w:r>
          </w:p>
        </w:tc>
        <w:tc>
          <w:tcPr>
            <w:tcW w:w="5082" w:type="dxa"/>
            <w:gridSpan w:val="2"/>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汇入管管底与</w:t>
            </w:r>
            <w:r>
              <w:rPr>
                <w:rFonts w:hint="eastAsia" w:ascii="宋体" w:hAnsi="宋体" w:eastAsia="宋体" w:cs="宋体"/>
                <w:sz w:val="18"/>
                <w:szCs w:val="18"/>
                <w:lang w:eastAsia="zh-CN"/>
              </w:rPr>
              <w:t>流</w:t>
            </w:r>
            <w:r>
              <w:rPr>
                <w:rFonts w:hint="eastAsia" w:ascii="宋体" w:hAnsi="宋体" w:eastAsia="宋体" w:cs="宋体"/>
                <w:sz w:val="18"/>
                <w:szCs w:val="18"/>
              </w:rPr>
              <w:t>出管管底最小距离H（mm）</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156" w:type="dxa"/>
            <w:vMerge w:val="continue"/>
            <w:tcBorders>
              <w:bottom w:val="single" w:color="auto" w:sz="8" w:space="0"/>
            </w:tcBorders>
            <w:noWrap w:val="0"/>
            <w:vAlign w:val="center"/>
          </w:tcPr>
          <w:p>
            <w:pPr>
              <w:spacing w:line="240" w:lineRule="auto"/>
              <w:jc w:val="center"/>
              <w:rPr>
                <w:rFonts w:hint="eastAsia" w:ascii="宋体" w:hAnsi="宋体" w:eastAsia="宋体" w:cs="宋体"/>
                <w:sz w:val="18"/>
                <w:szCs w:val="18"/>
              </w:rPr>
            </w:pPr>
          </w:p>
        </w:tc>
        <w:tc>
          <w:tcPr>
            <w:tcW w:w="2114" w:type="dxa"/>
            <w:vMerge w:val="continue"/>
            <w:tcBorders>
              <w:bottom w:val="single" w:color="auto" w:sz="8" w:space="0"/>
            </w:tcBorders>
            <w:noWrap w:val="0"/>
            <w:vAlign w:val="center"/>
          </w:tcPr>
          <w:p>
            <w:pPr>
              <w:spacing w:line="240" w:lineRule="auto"/>
              <w:jc w:val="center"/>
              <w:rPr>
                <w:rFonts w:hint="eastAsia" w:ascii="宋体" w:hAnsi="宋体" w:eastAsia="宋体" w:cs="宋体"/>
                <w:sz w:val="18"/>
                <w:szCs w:val="18"/>
              </w:rPr>
            </w:pPr>
          </w:p>
        </w:tc>
        <w:tc>
          <w:tcPr>
            <w:tcW w:w="2638" w:type="dxa"/>
            <w:tcBorders>
              <w:bottom w:val="single" w:color="auto" w:sz="8" w:space="0"/>
            </w:tcBorders>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马鞍接头连接</w:t>
            </w:r>
          </w:p>
        </w:tc>
        <w:tc>
          <w:tcPr>
            <w:tcW w:w="2444" w:type="dxa"/>
            <w:tcBorders>
              <w:bottom w:val="single" w:color="auto" w:sz="8" w:space="0"/>
            </w:tcBorders>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井筒多头接连接</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156" w:type="dxa"/>
            <w:vMerge w:val="restart"/>
            <w:tcBorders>
              <w:top w:val="single" w:color="auto" w:sz="8" w:space="0"/>
            </w:tcBorders>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450</w:t>
            </w:r>
          </w:p>
        </w:tc>
        <w:tc>
          <w:tcPr>
            <w:tcW w:w="2114" w:type="dxa"/>
            <w:tcBorders>
              <w:top w:val="single" w:color="auto" w:sz="8" w:space="0"/>
            </w:tcBorders>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OD250</w:t>
            </w:r>
          </w:p>
        </w:tc>
        <w:tc>
          <w:tcPr>
            <w:tcW w:w="2638" w:type="dxa"/>
            <w:tcBorders>
              <w:top w:val="single" w:color="auto" w:sz="8" w:space="0"/>
            </w:tcBorders>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420</w:t>
            </w:r>
          </w:p>
        </w:tc>
        <w:tc>
          <w:tcPr>
            <w:tcW w:w="2444" w:type="dxa"/>
            <w:tcBorders>
              <w:top w:val="single" w:color="auto" w:sz="8" w:space="0"/>
            </w:tcBorders>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156" w:type="dxa"/>
            <w:vMerge w:val="continue"/>
            <w:noWrap w:val="0"/>
            <w:vAlign w:val="center"/>
          </w:tcPr>
          <w:p>
            <w:pPr>
              <w:spacing w:line="240" w:lineRule="auto"/>
              <w:jc w:val="center"/>
              <w:rPr>
                <w:rFonts w:hint="eastAsia" w:ascii="宋体" w:hAnsi="宋体" w:eastAsia="宋体" w:cs="宋体"/>
                <w:sz w:val="18"/>
                <w:szCs w:val="18"/>
              </w:rPr>
            </w:pPr>
          </w:p>
        </w:tc>
        <w:tc>
          <w:tcPr>
            <w:tcW w:w="2114"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OD315</w:t>
            </w:r>
          </w:p>
        </w:tc>
        <w:tc>
          <w:tcPr>
            <w:tcW w:w="2638"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500</w:t>
            </w:r>
          </w:p>
        </w:tc>
        <w:tc>
          <w:tcPr>
            <w:tcW w:w="2444"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590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156" w:type="dxa"/>
            <w:vMerge w:val="continue"/>
            <w:noWrap w:val="0"/>
            <w:vAlign w:val="center"/>
          </w:tcPr>
          <w:p>
            <w:pPr>
              <w:spacing w:line="240" w:lineRule="auto"/>
              <w:jc w:val="center"/>
              <w:rPr>
                <w:rFonts w:hint="eastAsia" w:ascii="宋体" w:hAnsi="宋体" w:eastAsia="宋体" w:cs="宋体"/>
                <w:sz w:val="18"/>
                <w:szCs w:val="18"/>
              </w:rPr>
            </w:pPr>
          </w:p>
        </w:tc>
        <w:tc>
          <w:tcPr>
            <w:tcW w:w="2114"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OD400</w:t>
            </w:r>
          </w:p>
        </w:tc>
        <w:tc>
          <w:tcPr>
            <w:tcW w:w="2638"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580</w:t>
            </w:r>
          </w:p>
        </w:tc>
        <w:tc>
          <w:tcPr>
            <w:tcW w:w="2444"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680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156" w:type="dxa"/>
            <w:vMerge w:val="continue"/>
            <w:noWrap w:val="0"/>
            <w:vAlign w:val="center"/>
          </w:tcPr>
          <w:p>
            <w:pPr>
              <w:spacing w:line="240" w:lineRule="auto"/>
              <w:jc w:val="center"/>
              <w:rPr>
                <w:rFonts w:hint="eastAsia" w:ascii="宋体" w:hAnsi="宋体" w:eastAsia="宋体" w:cs="宋体"/>
                <w:sz w:val="18"/>
                <w:szCs w:val="18"/>
              </w:rPr>
            </w:pPr>
          </w:p>
        </w:tc>
        <w:tc>
          <w:tcPr>
            <w:tcW w:w="2114"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ID225</w:t>
            </w:r>
          </w:p>
        </w:tc>
        <w:tc>
          <w:tcPr>
            <w:tcW w:w="2638"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420</w:t>
            </w:r>
          </w:p>
        </w:tc>
        <w:tc>
          <w:tcPr>
            <w:tcW w:w="2444"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156" w:type="dxa"/>
            <w:vMerge w:val="continue"/>
            <w:noWrap w:val="0"/>
            <w:vAlign w:val="center"/>
          </w:tcPr>
          <w:p>
            <w:pPr>
              <w:spacing w:line="240" w:lineRule="auto"/>
              <w:jc w:val="center"/>
              <w:rPr>
                <w:rFonts w:hint="eastAsia" w:ascii="宋体" w:hAnsi="宋体" w:eastAsia="宋体" w:cs="宋体"/>
                <w:sz w:val="18"/>
                <w:szCs w:val="18"/>
              </w:rPr>
            </w:pPr>
          </w:p>
        </w:tc>
        <w:tc>
          <w:tcPr>
            <w:tcW w:w="2114"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ID300</w:t>
            </w:r>
          </w:p>
        </w:tc>
        <w:tc>
          <w:tcPr>
            <w:tcW w:w="2638"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500</w:t>
            </w:r>
          </w:p>
        </w:tc>
        <w:tc>
          <w:tcPr>
            <w:tcW w:w="2444"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590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156" w:type="dxa"/>
            <w:vMerge w:val="continue"/>
            <w:noWrap w:val="0"/>
            <w:vAlign w:val="center"/>
          </w:tcPr>
          <w:p>
            <w:pPr>
              <w:spacing w:line="240" w:lineRule="auto"/>
              <w:jc w:val="center"/>
              <w:rPr>
                <w:rFonts w:hint="eastAsia" w:ascii="宋体" w:hAnsi="宋体" w:eastAsia="宋体" w:cs="宋体"/>
                <w:sz w:val="18"/>
                <w:szCs w:val="18"/>
              </w:rPr>
            </w:pPr>
          </w:p>
        </w:tc>
        <w:tc>
          <w:tcPr>
            <w:tcW w:w="2114"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ID400</w:t>
            </w:r>
          </w:p>
        </w:tc>
        <w:tc>
          <w:tcPr>
            <w:tcW w:w="2638"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580</w:t>
            </w:r>
          </w:p>
        </w:tc>
        <w:tc>
          <w:tcPr>
            <w:tcW w:w="2444"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680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156" w:type="dxa"/>
            <w:vMerge w:val="restart"/>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630</w:t>
            </w:r>
          </w:p>
        </w:tc>
        <w:tc>
          <w:tcPr>
            <w:tcW w:w="2114"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OD250</w:t>
            </w:r>
          </w:p>
        </w:tc>
        <w:tc>
          <w:tcPr>
            <w:tcW w:w="2638"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450</w:t>
            </w:r>
          </w:p>
        </w:tc>
        <w:tc>
          <w:tcPr>
            <w:tcW w:w="2444"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156" w:type="dxa"/>
            <w:vMerge w:val="continue"/>
            <w:noWrap w:val="0"/>
            <w:vAlign w:val="center"/>
          </w:tcPr>
          <w:p>
            <w:pPr>
              <w:spacing w:line="240" w:lineRule="auto"/>
              <w:jc w:val="center"/>
              <w:rPr>
                <w:rFonts w:hint="eastAsia" w:ascii="宋体" w:hAnsi="宋体" w:eastAsia="宋体" w:cs="宋体"/>
                <w:sz w:val="18"/>
                <w:szCs w:val="18"/>
              </w:rPr>
            </w:pPr>
          </w:p>
        </w:tc>
        <w:tc>
          <w:tcPr>
            <w:tcW w:w="2114"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OD315</w:t>
            </w:r>
          </w:p>
        </w:tc>
        <w:tc>
          <w:tcPr>
            <w:tcW w:w="2638"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500</w:t>
            </w:r>
          </w:p>
        </w:tc>
        <w:tc>
          <w:tcPr>
            <w:tcW w:w="2444"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710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156" w:type="dxa"/>
            <w:vMerge w:val="continue"/>
            <w:noWrap w:val="0"/>
            <w:vAlign w:val="center"/>
          </w:tcPr>
          <w:p>
            <w:pPr>
              <w:spacing w:line="240" w:lineRule="auto"/>
              <w:jc w:val="center"/>
              <w:rPr>
                <w:rFonts w:hint="eastAsia" w:ascii="宋体" w:hAnsi="宋体" w:eastAsia="宋体" w:cs="宋体"/>
                <w:sz w:val="18"/>
                <w:szCs w:val="18"/>
              </w:rPr>
            </w:pPr>
          </w:p>
        </w:tc>
        <w:tc>
          <w:tcPr>
            <w:tcW w:w="2114"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OD400</w:t>
            </w:r>
          </w:p>
        </w:tc>
        <w:tc>
          <w:tcPr>
            <w:tcW w:w="2638"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590</w:t>
            </w:r>
          </w:p>
        </w:tc>
        <w:tc>
          <w:tcPr>
            <w:tcW w:w="2444"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810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156" w:type="dxa"/>
            <w:vMerge w:val="continue"/>
            <w:noWrap w:val="0"/>
            <w:vAlign w:val="center"/>
          </w:tcPr>
          <w:p>
            <w:pPr>
              <w:spacing w:line="240" w:lineRule="auto"/>
              <w:jc w:val="center"/>
              <w:rPr>
                <w:rFonts w:hint="eastAsia" w:ascii="宋体" w:hAnsi="宋体" w:eastAsia="宋体" w:cs="宋体"/>
                <w:sz w:val="18"/>
                <w:szCs w:val="18"/>
              </w:rPr>
            </w:pPr>
          </w:p>
        </w:tc>
        <w:tc>
          <w:tcPr>
            <w:tcW w:w="2114"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OD500</w:t>
            </w:r>
          </w:p>
        </w:tc>
        <w:tc>
          <w:tcPr>
            <w:tcW w:w="2638"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710</w:t>
            </w:r>
          </w:p>
        </w:tc>
        <w:tc>
          <w:tcPr>
            <w:tcW w:w="2444"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910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156" w:type="dxa"/>
            <w:vMerge w:val="continue"/>
            <w:noWrap w:val="0"/>
            <w:vAlign w:val="center"/>
          </w:tcPr>
          <w:p>
            <w:pPr>
              <w:spacing w:line="240" w:lineRule="auto"/>
              <w:jc w:val="center"/>
              <w:rPr>
                <w:rFonts w:hint="eastAsia" w:ascii="宋体" w:hAnsi="宋体" w:eastAsia="宋体" w:cs="宋体"/>
                <w:sz w:val="18"/>
                <w:szCs w:val="18"/>
              </w:rPr>
            </w:pPr>
          </w:p>
        </w:tc>
        <w:tc>
          <w:tcPr>
            <w:tcW w:w="2114"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ID225</w:t>
            </w:r>
          </w:p>
        </w:tc>
        <w:tc>
          <w:tcPr>
            <w:tcW w:w="2638"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450</w:t>
            </w:r>
          </w:p>
        </w:tc>
        <w:tc>
          <w:tcPr>
            <w:tcW w:w="2444"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156" w:type="dxa"/>
            <w:vMerge w:val="continue"/>
            <w:noWrap w:val="0"/>
            <w:vAlign w:val="center"/>
          </w:tcPr>
          <w:p>
            <w:pPr>
              <w:spacing w:line="240" w:lineRule="auto"/>
              <w:jc w:val="center"/>
              <w:rPr>
                <w:rFonts w:hint="eastAsia" w:ascii="宋体" w:hAnsi="宋体" w:eastAsia="宋体" w:cs="宋体"/>
                <w:sz w:val="18"/>
                <w:szCs w:val="18"/>
              </w:rPr>
            </w:pPr>
          </w:p>
        </w:tc>
        <w:tc>
          <w:tcPr>
            <w:tcW w:w="2114"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ID300</w:t>
            </w:r>
          </w:p>
        </w:tc>
        <w:tc>
          <w:tcPr>
            <w:tcW w:w="2638"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500</w:t>
            </w:r>
          </w:p>
        </w:tc>
        <w:tc>
          <w:tcPr>
            <w:tcW w:w="2444"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710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156" w:type="dxa"/>
            <w:vMerge w:val="continue"/>
            <w:noWrap w:val="0"/>
            <w:vAlign w:val="center"/>
          </w:tcPr>
          <w:p>
            <w:pPr>
              <w:spacing w:line="240" w:lineRule="auto"/>
              <w:jc w:val="center"/>
              <w:rPr>
                <w:rFonts w:hint="eastAsia" w:ascii="宋体" w:hAnsi="宋体" w:eastAsia="宋体" w:cs="宋体"/>
                <w:sz w:val="18"/>
                <w:szCs w:val="18"/>
              </w:rPr>
            </w:pPr>
          </w:p>
        </w:tc>
        <w:tc>
          <w:tcPr>
            <w:tcW w:w="2114"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ID400</w:t>
            </w:r>
          </w:p>
        </w:tc>
        <w:tc>
          <w:tcPr>
            <w:tcW w:w="2638"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590</w:t>
            </w:r>
          </w:p>
        </w:tc>
        <w:tc>
          <w:tcPr>
            <w:tcW w:w="2444"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810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156" w:type="dxa"/>
            <w:vMerge w:val="continue"/>
            <w:noWrap w:val="0"/>
            <w:vAlign w:val="center"/>
          </w:tcPr>
          <w:p>
            <w:pPr>
              <w:spacing w:line="240" w:lineRule="auto"/>
              <w:jc w:val="center"/>
              <w:rPr>
                <w:rFonts w:hint="eastAsia" w:ascii="宋体" w:hAnsi="宋体" w:eastAsia="宋体" w:cs="宋体"/>
                <w:sz w:val="18"/>
                <w:szCs w:val="18"/>
              </w:rPr>
            </w:pPr>
          </w:p>
        </w:tc>
        <w:tc>
          <w:tcPr>
            <w:tcW w:w="2114"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ID500</w:t>
            </w:r>
          </w:p>
        </w:tc>
        <w:tc>
          <w:tcPr>
            <w:tcW w:w="2638"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710</w:t>
            </w:r>
          </w:p>
        </w:tc>
        <w:tc>
          <w:tcPr>
            <w:tcW w:w="2444"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910</w:t>
            </w:r>
          </w:p>
        </w:tc>
      </w:tr>
    </w:tbl>
    <w:p>
      <w:pPr>
        <w:pStyle w:val="176"/>
        <w:numPr>
          <w:ilvl w:val="0"/>
          <w:numId w:val="0"/>
        </w:numPr>
        <w:rPr>
          <w:rFonts w:hint="eastAsia"/>
          <w:lang w:val="en-US" w:eastAsia="zh-CN"/>
        </w:rPr>
      </w:pPr>
    </w:p>
    <w:p>
      <w:pPr>
        <w:pStyle w:val="176"/>
        <w:numPr>
          <w:ilvl w:val="0"/>
          <w:numId w:val="0"/>
        </w:numPr>
        <w:jc w:val="center"/>
        <w:rPr>
          <w:rFonts w:hint="eastAsia" w:ascii="黑体" w:hAnsi="黑体" w:eastAsia="黑体" w:cs="黑体"/>
          <w:lang w:val="en-US" w:eastAsia="zh-CN"/>
        </w:rPr>
      </w:pPr>
      <w:r>
        <w:rPr>
          <w:rFonts w:hint="eastAsia" w:ascii="黑体" w:hAnsi="黑体" w:eastAsia="黑体" w:cs="黑体"/>
          <w:lang w:val="en-US" w:eastAsia="zh-CN"/>
        </w:rPr>
        <w:t xml:space="preserve">表2 </w:t>
      </w:r>
      <w:r>
        <w:rPr>
          <w:rFonts w:hint="eastAsia" w:ascii="宋体" w:hAnsi="宋体" w:eastAsia="宋体" w:cs="宋体"/>
          <w:lang w:eastAsia="zh-CN"/>
        </w:rPr>
        <w:t>（续）</w:t>
      </w:r>
    </w:p>
    <w:tbl>
      <w:tblPr>
        <w:tblStyle w:val="27"/>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2179"/>
        <w:gridCol w:w="2110"/>
        <w:gridCol w:w="2638"/>
        <w:gridCol w:w="2444"/>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36" w:hRule="atLeast"/>
          <w:jc w:val="center"/>
        </w:trPr>
        <w:tc>
          <w:tcPr>
            <w:tcW w:w="2179" w:type="dxa"/>
            <w:vMerge w:val="restart"/>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井径DN</w:t>
            </w:r>
          </w:p>
        </w:tc>
        <w:tc>
          <w:tcPr>
            <w:tcW w:w="2110" w:type="dxa"/>
            <w:vMerge w:val="restart"/>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流出管管径</w:t>
            </w:r>
          </w:p>
        </w:tc>
        <w:tc>
          <w:tcPr>
            <w:tcW w:w="5082" w:type="dxa"/>
            <w:gridSpan w:val="2"/>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汇入管管底与</w:t>
            </w:r>
            <w:r>
              <w:rPr>
                <w:rFonts w:hint="eastAsia" w:ascii="宋体" w:hAnsi="宋体" w:eastAsia="宋体" w:cs="宋体"/>
                <w:sz w:val="18"/>
                <w:szCs w:val="18"/>
                <w:lang w:eastAsia="zh-CN"/>
              </w:rPr>
              <w:t>流</w:t>
            </w:r>
            <w:r>
              <w:rPr>
                <w:rFonts w:hint="eastAsia" w:ascii="宋体" w:hAnsi="宋体" w:eastAsia="宋体" w:cs="宋体"/>
                <w:sz w:val="18"/>
                <w:szCs w:val="18"/>
              </w:rPr>
              <w:t>出管管底最小距离H（mm）</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179" w:type="dxa"/>
            <w:vMerge w:val="continue"/>
            <w:tcBorders>
              <w:bottom w:val="single" w:color="auto" w:sz="8" w:space="0"/>
            </w:tcBorders>
            <w:noWrap w:val="0"/>
            <w:vAlign w:val="center"/>
          </w:tcPr>
          <w:p>
            <w:pPr>
              <w:spacing w:line="240" w:lineRule="auto"/>
              <w:jc w:val="center"/>
              <w:rPr>
                <w:rFonts w:hint="eastAsia" w:ascii="宋体" w:hAnsi="宋体" w:eastAsia="宋体" w:cs="宋体"/>
                <w:sz w:val="18"/>
                <w:szCs w:val="18"/>
              </w:rPr>
            </w:pPr>
          </w:p>
        </w:tc>
        <w:tc>
          <w:tcPr>
            <w:tcW w:w="2110" w:type="dxa"/>
            <w:vMerge w:val="continue"/>
            <w:tcBorders>
              <w:bottom w:val="single" w:color="auto" w:sz="8" w:space="0"/>
            </w:tcBorders>
            <w:noWrap w:val="0"/>
            <w:vAlign w:val="center"/>
          </w:tcPr>
          <w:p>
            <w:pPr>
              <w:spacing w:line="240" w:lineRule="auto"/>
              <w:jc w:val="center"/>
              <w:rPr>
                <w:rFonts w:hint="eastAsia" w:ascii="宋体" w:hAnsi="宋体" w:eastAsia="宋体" w:cs="宋体"/>
                <w:sz w:val="18"/>
                <w:szCs w:val="18"/>
              </w:rPr>
            </w:pPr>
          </w:p>
        </w:tc>
        <w:tc>
          <w:tcPr>
            <w:tcW w:w="2638" w:type="dxa"/>
            <w:tcBorders>
              <w:bottom w:val="single" w:color="auto" w:sz="8" w:space="0"/>
            </w:tcBorders>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马鞍接头连接</w:t>
            </w:r>
          </w:p>
        </w:tc>
        <w:tc>
          <w:tcPr>
            <w:tcW w:w="2444" w:type="dxa"/>
            <w:tcBorders>
              <w:bottom w:val="single" w:color="auto" w:sz="8" w:space="0"/>
            </w:tcBorders>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井筒多头接连接</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179" w:type="dxa"/>
            <w:vMerge w:val="restart"/>
            <w:tcBorders>
              <w:top w:val="single" w:color="auto" w:sz="8" w:space="0"/>
            </w:tcBorders>
            <w:noWrap w:val="0"/>
            <w:vAlign w:val="center"/>
          </w:tcPr>
          <w:p>
            <w:pPr>
              <w:spacing w:line="240" w:lineRule="auto"/>
              <w:jc w:val="center"/>
              <w:rPr>
                <w:rFonts w:hint="default" w:ascii="宋体" w:hAnsi="宋体" w:eastAsia="宋体" w:cs="宋体"/>
                <w:sz w:val="18"/>
                <w:szCs w:val="18"/>
                <w:lang w:val="en-US" w:eastAsia="zh-CN"/>
              </w:rPr>
            </w:pPr>
            <w:r>
              <w:rPr>
                <w:rFonts w:hint="eastAsia" w:ascii="宋体" w:hAnsi="宋体" w:cs="宋体"/>
                <w:sz w:val="18"/>
                <w:szCs w:val="18"/>
                <w:lang w:val="en-US" w:eastAsia="zh-CN"/>
              </w:rPr>
              <w:t>700</w:t>
            </w:r>
          </w:p>
        </w:tc>
        <w:tc>
          <w:tcPr>
            <w:tcW w:w="2110" w:type="dxa"/>
            <w:tcBorders>
              <w:top w:val="single" w:color="auto" w:sz="8" w:space="0"/>
            </w:tcBorders>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OD315</w:t>
            </w:r>
          </w:p>
        </w:tc>
        <w:tc>
          <w:tcPr>
            <w:tcW w:w="2638" w:type="dxa"/>
            <w:tcBorders>
              <w:top w:val="single" w:color="auto" w:sz="8" w:space="0"/>
            </w:tcBorders>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540</w:t>
            </w:r>
          </w:p>
        </w:tc>
        <w:tc>
          <w:tcPr>
            <w:tcW w:w="2444" w:type="dxa"/>
            <w:tcBorders>
              <w:top w:val="single" w:color="auto" w:sz="8" w:space="0"/>
            </w:tcBorders>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740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179" w:type="dxa"/>
            <w:vMerge w:val="continue"/>
            <w:noWrap w:val="0"/>
            <w:vAlign w:val="center"/>
          </w:tcPr>
          <w:p>
            <w:pPr>
              <w:spacing w:line="240" w:lineRule="auto"/>
              <w:jc w:val="center"/>
              <w:rPr>
                <w:rFonts w:hint="eastAsia" w:ascii="宋体" w:hAnsi="宋体" w:eastAsia="宋体" w:cs="宋体"/>
                <w:sz w:val="18"/>
                <w:szCs w:val="18"/>
              </w:rPr>
            </w:pPr>
          </w:p>
        </w:tc>
        <w:tc>
          <w:tcPr>
            <w:tcW w:w="2110"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OD400</w:t>
            </w:r>
          </w:p>
        </w:tc>
        <w:tc>
          <w:tcPr>
            <w:tcW w:w="2638"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640</w:t>
            </w:r>
          </w:p>
        </w:tc>
        <w:tc>
          <w:tcPr>
            <w:tcW w:w="2444"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830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179" w:type="dxa"/>
            <w:vMerge w:val="continue"/>
            <w:noWrap w:val="0"/>
            <w:vAlign w:val="center"/>
          </w:tcPr>
          <w:p>
            <w:pPr>
              <w:spacing w:line="240" w:lineRule="auto"/>
              <w:jc w:val="center"/>
              <w:rPr>
                <w:rFonts w:hint="eastAsia" w:ascii="宋体" w:hAnsi="宋体" w:eastAsia="宋体" w:cs="宋体"/>
                <w:sz w:val="18"/>
                <w:szCs w:val="18"/>
              </w:rPr>
            </w:pPr>
          </w:p>
        </w:tc>
        <w:tc>
          <w:tcPr>
            <w:tcW w:w="2110"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OD500</w:t>
            </w:r>
          </w:p>
        </w:tc>
        <w:tc>
          <w:tcPr>
            <w:tcW w:w="2638"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740</w:t>
            </w:r>
          </w:p>
        </w:tc>
        <w:tc>
          <w:tcPr>
            <w:tcW w:w="2444"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930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179" w:type="dxa"/>
            <w:vMerge w:val="continue"/>
            <w:noWrap w:val="0"/>
            <w:vAlign w:val="center"/>
          </w:tcPr>
          <w:p>
            <w:pPr>
              <w:spacing w:line="240" w:lineRule="auto"/>
              <w:jc w:val="center"/>
              <w:rPr>
                <w:rFonts w:hint="eastAsia" w:ascii="宋体" w:hAnsi="宋体" w:eastAsia="宋体" w:cs="宋体"/>
                <w:sz w:val="18"/>
                <w:szCs w:val="18"/>
              </w:rPr>
            </w:pPr>
          </w:p>
        </w:tc>
        <w:tc>
          <w:tcPr>
            <w:tcW w:w="2110"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OD630</w:t>
            </w:r>
          </w:p>
        </w:tc>
        <w:tc>
          <w:tcPr>
            <w:tcW w:w="2638"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840</w:t>
            </w:r>
          </w:p>
        </w:tc>
        <w:tc>
          <w:tcPr>
            <w:tcW w:w="2444"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1040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179" w:type="dxa"/>
            <w:vMerge w:val="continue"/>
            <w:noWrap w:val="0"/>
            <w:vAlign w:val="center"/>
          </w:tcPr>
          <w:p>
            <w:pPr>
              <w:spacing w:line="240" w:lineRule="auto"/>
              <w:jc w:val="center"/>
              <w:rPr>
                <w:rFonts w:hint="eastAsia" w:ascii="宋体" w:hAnsi="宋体" w:eastAsia="宋体" w:cs="宋体"/>
                <w:sz w:val="18"/>
                <w:szCs w:val="18"/>
              </w:rPr>
            </w:pPr>
          </w:p>
        </w:tc>
        <w:tc>
          <w:tcPr>
            <w:tcW w:w="2110"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ID300</w:t>
            </w:r>
          </w:p>
        </w:tc>
        <w:tc>
          <w:tcPr>
            <w:tcW w:w="2638"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540</w:t>
            </w:r>
          </w:p>
        </w:tc>
        <w:tc>
          <w:tcPr>
            <w:tcW w:w="2444"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740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179" w:type="dxa"/>
            <w:vMerge w:val="continue"/>
            <w:noWrap w:val="0"/>
            <w:vAlign w:val="center"/>
          </w:tcPr>
          <w:p>
            <w:pPr>
              <w:spacing w:line="240" w:lineRule="auto"/>
              <w:jc w:val="center"/>
              <w:rPr>
                <w:rFonts w:hint="eastAsia" w:ascii="宋体" w:hAnsi="宋体" w:eastAsia="宋体" w:cs="宋体"/>
                <w:sz w:val="18"/>
                <w:szCs w:val="18"/>
              </w:rPr>
            </w:pPr>
          </w:p>
        </w:tc>
        <w:tc>
          <w:tcPr>
            <w:tcW w:w="2110"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ID400</w:t>
            </w:r>
          </w:p>
        </w:tc>
        <w:tc>
          <w:tcPr>
            <w:tcW w:w="2638"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640</w:t>
            </w:r>
          </w:p>
        </w:tc>
        <w:tc>
          <w:tcPr>
            <w:tcW w:w="2444"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830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179" w:type="dxa"/>
            <w:vMerge w:val="continue"/>
            <w:noWrap w:val="0"/>
            <w:vAlign w:val="center"/>
          </w:tcPr>
          <w:p>
            <w:pPr>
              <w:spacing w:line="240" w:lineRule="auto"/>
              <w:jc w:val="center"/>
              <w:rPr>
                <w:rFonts w:hint="eastAsia" w:ascii="宋体" w:hAnsi="宋体" w:eastAsia="宋体" w:cs="宋体"/>
                <w:sz w:val="18"/>
                <w:szCs w:val="18"/>
              </w:rPr>
            </w:pPr>
          </w:p>
        </w:tc>
        <w:tc>
          <w:tcPr>
            <w:tcW w:w="2110"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ID500</w:t>
            </w:r>
          </w:p>
        </w:tc>
        <w:tc>
          <w:tcPr>
            <w:tcW w:w="2638"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740</w:t>
            </w:r>
          </w:p>
        </w:tc>
        <w:tc>
          <w:tcPr>
            <w:tcW w:w="2444"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930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179" w:type="dxa"/>
            <w:vMerge w:val="continue"/>
            <w:noWrap w:val="0"/>
            <w:vAlign w:val="center"/>
          </w:tcPr>
          <w:p>
            <w:pPr>
              <w:spacing w:line="240" w:lineRule="auto"/>
              <w:jc w:val="center"/>
              <w:rPr>
                <w:rFonts w:hint="eastAsia" w:ascii="宋体" w:hAnsi="宋体" w:eastAsia="宋体" w:cs="宋体"/>
                <w:sz w:val="18"/>
                <w:szCs w:val="18"/>
              </w:rPr>
            </w:pPr>
          </w:p>
        </w:tc>
        <w:tc>
          <w:tcPr>
            <w:tcW w:w="2110"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ID600</w:t>
            </w:r>
          </w:p>
        </w:tc>
        <w:tc>
          <w:tcPr>
            <w:tcW w:w="2638"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840</w:t>
            </w:r>
          </w:p>
        </w:tc>
        <w:tc>
          <w:tcPr>
            <w:tcW w:w="2444"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1040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179" w:type="dxa"/>
            <w:vMerge w:val="restart"/>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1000</w:t>
            </w:r>
          </w:p>
        </w:tc>
        <w:tc>
          <w:tcPr>
            <w:tcW w:w="2110"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OD315</w:t>
            </w:r>
          </w:p>
        </w:tc>
        <w:tc>
          <w:tcPr>
            <w:tcW w:w="2638"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610</w:t>
            </w:r>
          </w:p>
        </w:tc>
        <w:tc>
          <w:tcPr>
            <w:tcW w:w="2444"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800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179" w:type="dxa"/>
            <w:vMerge w:val="continue"/>
            <w:noWrap w:val="0"/>
            <w:vAlign w:val="center"/>
          </w:tcPr>
          <w:p>
            <w:pPr>
              <w:spacing w:line="240" w:lineRule="auto"/>
              <w:jc w:val="center"/>
              <w:rPr>
                <w:rFonts w:hint="eastAsia" w:ascii="宋体" w:hAnsi="宋体" w:eastAsia="宋体" w:cs="宋体"/>
                <w:sz w:val="18"/>
                <w:szCs w:val="18"/>
              </w:rPr>
            </w:pPr>
          </w:p>
        </w:tc>
        <w:tc>
          <w:tcPr>
            <w:tcW w:w="2110"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OD400</w:t>
            </w:r>
          </w:p>
        </w:tc>
        <w:tc>
          <w:tcPr>
            <w:tcW w:w="2638"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740</w:t>
            </w:r>
          </w:p>
        </w:tc>
        <w:tc>
          <w:tcPr>
            <w:tcW w:w="2444"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930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179" w:type="dxa"/>
            <w:vMerge w:val="continue"/>
            <w:noWrap w:val="0"/>
            <w:vAlign w:val="center"/>
          </w:tcPr>
          <w:p>
            <w:pPr>
              <w:spacing w:line="240" w:lineRule="auto"/>
              <w:jc w:val="center"/>
              <w:rPr>
                <w:rFonts w:hint="eastAsia" w:ascii="宋体" w:hAnsi="宋体" w:eastAsia="宋体" w:cs="宋体"/>
                <w:sz w:val="18"/>
                <w:szCs w:val="18"/>
              </w:rPr>
            </w:pPr>
          </w:p>
        </w:tc>
        <w:tc>
          <w:tcPr>
            <w:tcW w:w="2110"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OD500</w:t>
            </w:r>
          </w:p>
        </w:tc>
        <w:tc>
          <w:tcPr>
            <w:tcW w:w="2638"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850</w:t>
            </w:r>
          </w:p>
        </w:tc>
        <w:tc>
          <w:tcPr>
            <w:tcW w:w="2444"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1040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179" w:type="dxa"/>
            <w:vMerge w:val="continue"/>
            <w:noWrap w:val="0"/>
            <w:vAlign w:val="center"/>
          </w:tcPr>
          <w:p>
            <w:pPr>
              <w:spacing w:line="240" w:lineRule="auto"/>
              <w:jc w:val="center"/>
              <w:rPr>
                <w:rFonts w:hint="eastAsia" w:ascii="宋体" w:hAnsi="宋体" w:eastAsia="宋体" w:cs="宋体"/>
                <w:sz w:val="18"/>
                <w:szCs w:val="18"/>
              </w:rPr>
            </w:pPr>
          </w:p>
        </w:tc>
        <w:tc>
          <w:tcPr>
            <w:tcW w:w="2110"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OD6</w:t>
            </w:r>
            <w:r>
              <w:rPr>
                <w:rFonts w:hint="eastAsia" w:ascii="宋体" w:hAnsi="宋体" w:eastAsia="宋体" w:cs="宋体"/>
                <w:sz w:val="18"/>
                <w:szCs w:val="18"/>
                <w:lang w:val="en-US" w:eastAsia="zh-CN"/>
              </w:rPr>
              <w:t>3</w:t>
            </w:r>
            <w:r>
              <w:rPr>
                <w:rFonts w:hint="eastAsia" w:ascii="宋体" w:hAnsi="宋体" w:eastAsia="宋体" w:cs="宋体"/>
                <w:sz w:val="18"/>
                <w:szCs w:val="18"/>
              </w:rPr>
              <w:t>0</w:t>
            </w:r>
          </w:p>
        </w:tc>
        <w:tc>
          <w:tcPr>
            <w:tcW w:w="2638"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970</w:t>
            </w:r>
          </w:p>
        </w:tc>
        <w:tc>
          <w:tcPr>
            <w:tcW w:w="2444"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1160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179" w:type="dxa"/>
            <w:vMerge w:val="continue"/>
            <w:noWrap w:val="0"/>
            <w:vAlign w:val="center"/>
          </w:tcPr>
          <w:p>
            <w:pPr>
              <w:spacing w:line="240" w:lineRule="auto"/>
              <w:jc w:val="center"/>
              <w:rPr>
                <w:rFonts w:hint="eastAsia" w:ascii="宋体" w:hAnsi="宋体" w:eastAsia="宋体" w:cs="宋体"/>
                <w:sz w:val="18"/>
                <w:szCs w:val="18"/>
              </w:rPr>
            </w:pPr>
          </w:p>
        </w:tc>
        <w:tc>
          <w:tcPr>
            <w:tcW w:w="2110"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OD710</w:t>
            </w:r>
          </w:p>
        </w:tc>
        <w:tc>
          <w:tcPr>
            <w:tcW w:w="2638"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1050</w:t>
            </w:r>
          </w:p>
        </w:tc>
        <w:tc>
          <w:tcPr>
            <w:tcW w:w="2444"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1240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179" w:type="dxa"/>
            <w:vMerge w:val="continue"/>
            <w:noWrap w:val="0"/>
            <w:vAlign w:val="center"/>
          </w:tcPr>
          <w:p>
            <w:pPr>
              <w:spacing w:line="240" w:lineRule="auto"/>
              <w:jc w:val="center"/>
              <w:rPr>
                <w:rFonts w:hint="eastAsia" w:ascii="宋体" w:hAnsi="宋体" w:eastAsia="宋体" w:cs="宋体"/>
                <w:sz w:val="18"/>
                <w:szCs w:val="18"/>
              </w:rPr>
            </w:pPr>
          </w:p>
        </w:tc>
        <w:tc>
          <w:tcPr>
            <w:tcW w:w="2110"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OD800</w:t>
            </w:r>
          </w:p>
        </w:tc>
        <w:tc>
          <w:tcPr>
            <w:tcW w:w="2638"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1140</w:t>
            </w:r>
          </w:p>
        </w:tc>
        <w:tc>
          <w:tcPr>
            <w:tcW w:w="2444"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1330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179" w:type="dxa"/>
            <w:vMerge w:val="continue"/>
            <w:noWrap w:val="0"/>
            <w:vAlign w:val="center"/>
          </w:tcPr>
          <w:p>
            <w:pPr>
              <w:spacing w:line="240" w:lineRule="auto"/>
              <w:jc w:val="center"/>
              <w:rPr>
                <w:rFonts w:hint="eastAsia" w:ascii="宋体" w:hAnsi="宋体" w:eastAsia="宋体" w:cs="宋体"/>
                <w:sz w:val="18"/>
                <w:szCs w:val="18"/>
              </w:rPr>
            </w:pPr>
          </w:p>
        </w:tc>
        <w:tc>
          <w:tcPr>
            <w:tcW w:w="2110"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ID300</w:t>
            </w:r>
          </w:p>
        </w:tc>
        <w:tc>
          <w:tcPr>
            <w:tcW w:w="2638"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610</w:t>
            </w:r>
          </w:p>
        </w:tc>
        <w:tc>
          <w:tcPr>
            <w:tcW w:w="2444"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800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179" w:type="dxa"/>
            <w:vMerge w:val="continue"/>
            <w:noWrap w:val="0"/>
            <w:vAlign w:val="center"/>
          </w:tcPr>
          <w:p>
            <w:pPr>
              <w:spacing w:line="240" w:lineRule="auto"/>
              <w:jc w:val="center"/>
              <w:rPr>
                <w:rFonts w:hint="eastAsia" w:ascii="宋体" w:hAnsi="宋体" w:eastAsia="宋体" w:cs="宋体"/>
                <w:sz w:val="18"/>
                <w:szCs w:val="18"/>
              </w:rPr>
            </w:pPr>
          </w:p>
        </w:tc>
        <w:tc>
          <w:tcPr>
            <w:tcW w:w="2110"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ID400</w:t>
            </w:r>
          </w:p>
        </w:tc>
        <w:tc>
          <w:tcPr>
            <w:tcW w:w="2638"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740</w:t>
            </w:r>
          </w:p>
        </w:tc>
        <w:tc>
          <w:tcPr>
            <w:tcW w:w="2444"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930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179" w:type="dxa"/>
            <w:vMerge w:val="continue"/>
            <w:noWrap w:val="0"/>
            <w:vAlign w:val="center"/>
          </w:tcPr>
          <w:p>
            <w:pPr>
              <w:spacing w:line="240" w:lineRule="auto"/>
              <w:jc w:val="center"/>
              <w:rPr>
                <w:rFonts w:hint="eastAsia" w:ascii="宋体" w:hAnsi="宋体" w:eastAsia="宋体" w:cs="宋体"/>
                <w:sz w:val="18"/>
                <w:szCs w:val="18"/>
              </w:rPr>
            </w:pPr>
          </w:p>
        </w:tc>
        <w:tc>
          <w:tcPr>
            <w:tcW w:w="2110"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ID500</w:t>
            </w:r>
          </w:p>
        </w:tc>
        <w:tc>
          <w:tcPr>
            <w:tcW w:w="2638"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850</w:t>
            </w:r>
          </w:p>
        </w:tc>
        <w:tc>
          <w:tcPr>
            <w:tcW w:w="2444"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1040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179" w:type="dxa"/>
            <w:vMerge w:val="continue"/>
            <w:noWrap w:val="0"/>
            <w:vAlign w:val="center"/>
          </w:tcPr>
          <w:p>
            <w:pPr>
              <w:spacing w:line="240" w:lineRule="auto"/>
              <w:jc w:val="center"/>
              <w:rPr>
                <w:rFonts w:hint="eastAsia" w:ascii="宋体" w:hAnsi="宋体" w:eastAsia="宋体" w:cs="宋体"/>
                <w:sz w:val="18"/>
                <w:szCs w:val="18"/>
              </w:rPr>
            </w:pPr>
          </w:p>
        </w:tc>
        <w:tc>
          <w:tcPr>
            <w:tcW w:w="2110"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ID600</w:t>
            </w:r>
          </w:p>
        </w:tc>
        <w:tc>
          <w:tcPr>
            <w:tcW w:w="2638"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970</w:t>
            </w:r>
          </w:p>
        </w:tc>
        <w:tc>
          <w:tcPr>
            <w:tcW w:w="2444"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1160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179" w:type="dxa"/>
            <w:vMerge w:val="continue"/>
            <w:noWrap w:val="0"/>
            <w:vAlign w:val="center"/>
          </w:tcPr>
          <w:p>
            <w:pPr>
              <w:spacing w:line="240" w:lineRule="auto"/>
              <w:jc w:val="center"/>
              <w:rPr>
                <w:rFonts w:hint="eastAsia" w:ascii="宋体" w:hAnsi="宋体" w:eastAsia="宋体" w:cs="宋体"/>
                <w:sz w:val="18"/>
                <w:szCs w:val="18"/>
              </w:rPr>
            </w:pPr>
          </w:p>
        </w:tc>
        <w:tc>
          <w:tcPr>
            <w:tcW w:w="2110"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ID700</w:t>
            </w:r>
          </w:p>
        </w:tc>
        <w:tc>
          <w:tcPr>
            <w:tcW w:w="2638"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1050</w:t>
            </w:r>
          </w:p>
        </w:tc>
        <w:tc>
          <w:tcPr>
            <w:tcW w:w="2444"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1240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179" w:type="dxa"/>
            <w:vMerge w:val="continue"/>
            <w:noWrap w:val="0"/>
            <w:vAlign w:val="center"/>
          </w:tcPr>
          <w:p>
            <w:pPr>
              <w:spacing w:line="240" w:lineRule="auto"/>
              <w:jc w:val="center"/>
              <w:rPr>
                <w:rFonts w:hint="eastAsia" w:ascii="宋体" w:hAnsi="宋体" w:eastAsia="宋体" w:cs="宋体"/>
                <w:sz w:val="18"/>
                <w:szCs w:val="18"/>
              </w:rPr>
            </w:pPr>
          </w:p>
        </w:tc>
        <w:tc>
          <w:tcPr>
            <w:tcW w:w="2110"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ID800</w:t>
            </w:r>
          </w:p>
        </w:tc>
        <w:tc>
          <w:tcPr>
            <w:tcW w:w="2638"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1140</w:t>
            </w:r>
          </w:p>
        </w:tc>
        <w:tc>
          <w:tcPr>
            <w:tcW w:w="2444"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1330</w:t>
            </w:r>
          </w:p>
        </w:tc>
      </w:tr>
    </w:tbl>
    <w:p>
      <w:pPr>
        <w:pStyle w:val="176"/>
        <w:numPr>
          <w:ilvl w:val="0"/>
          <w:numId w:val="0"/>
        </w:numPr>
        <w:rPr>
          <w:rFonts w:hint="eastAsia"/>
          <w:lang w:val="en-US" w:eastAsia="zh-CN"/>
        </w:rPr>
      </w:pPr>
    </w:p>
    <w:p>
      <w:pPr>
        <w:pStyle w:val="167"/>
      </w:pPr>
      <w:r>
        <w:rPr>
          <w:bCs/>
        </w:rPr>
        <w:t>建筑排出管起始检查井的设置应符合下列规定</w:t>
      </w:r>
      <w:r>
        <w:rPr>
          <w:rFonts w:hint="eastAsia"/>
          <w:bCs/>
          <w:lang w:eastAsia="zh-CN"/>
        </w:rPr>
        <w:t>：</w:t>
      </w:r>
    </w:p>
    <w:p>
      <w:pPr>
        <w:pStyle w:val="176"/>
        <w:numPr>
          <w:ilvl w:val="0"/>
          <w:numId w:val="36"/>
        </w:numPr>
        <w:rPr>
          <w:rFonts w:hint="eastAsia"/>
          <w:lang w:eastAsia="zh-CN"/>
        </w:rPr>
      </w:pPr>
      <w:r>
        <w:rPr>
          <w:rFonts w:hint="eastAsia"/>
        </w:rPr>
        <w:t>当排出管管径小于等于160mm、排出管管底与接户管管底最小距离小于H时，宜设置弯头井</w:t>
      </w:r>
      <w:r>
        <w:rPr>
          <w:rFonts w:hint="eastAsia"/>
          <w:lang w:eastAsia="zh-CN"/>
        </w:rPr>
        <w:t>；</w:t>
      </w:r>
    </w:p>
    <w:p>
      <w:pPr>
        <w:pStyle w:val="176"/>
        <w:numPr>
          <w:ilvl w:val="0"/>
          <w:numId w:val="36"/>
        </w:numPr>
        <w:rPr>
          <w:rFonts w:hint="eastAsia"/>
        </w:rPr>
      </w:pPr>
      <w:r>
        <w:rPr>
          <w:rFonts w:hint="eastAsia"/>
        </w:rPr>
        <w:t>当排出管管径小于等于160mm，排出管管底与接户管管底最小距离不小于H时，宜设置起始井。</w:t>
      </w:r>
    </w:p>
    <w:p>
      <w:pPr>
        <w:pStyle w:val="167"/>
        <w:rPr>
          <w:rFonts w:hint="eastAsia"/>
        </w:rPr>
      </w:pPr>
      <w:r>
        <w:rPr>
          <w:rFonts w:hint="eastAsia"/>
        </w:rPr>
        <w:t>当排水直线管道上有汇入管接入井座时，可根据汇入管连接的角度选择左/右三通、汇合三通、汇合四通、左/右斜四通的井座。</w:t>
      </w:r>
    </w:p>
    <w:p>
      <w:pPr>
        <w:pStyle w:val="167"/>
        <w:rPr>
          <w:rFonts w:hint="eastAsia"/>
        </w:rPr>
      </w:pPr>
      <w:r>
        <w:rPr>
          <w:rFonts w:hint="eastAsia"/>
        </w:rPr>
        <w:t>收口检查井的检修室高度不宜低于1.8m ，污水检查井检修室高度应由流槽顶起算，雨水</w:t>
      </w:r>
      <w:r>
        <w:rPr>
          <w:rFonts w:hint="eastAsia"/>
          <w:lang w:eastAsia="zh-CN"/>
        </w:rPr>
        <w:t>或</w:t>
      </w:r>
      <w:r>
        <w:rPr>
          <w:rFonts w:hint="eastAsia"/>
        </w:rPr>
        <w:t xml:space="preserve">合流检查井检修室高度应由管内底起算。 </w:t>
      </w:r>
    </w:p>
    <w:p>
      <w:pPr>
        <w:pStyle w:val="167"/>
        <w:rPr>
          <w:rFonts w:hint="eastAsia"/>
        </w:rPr>
      </w:pPr>
      <w:r>
        <w:rPr>
          <w:rFonts w:hint="eastAsia"/>
        </w:rPr>
        <w:t>污水排水系统应选用带流槽的</w:t>
      </w:r>
      <w:r>
        <w:rPr>
          <w:rFonts w:hint="eastAsia"/>
          <w:lang w:eastAsia="zh-CN"/>
        </w:rPr>
        <w:t>井座</w:t>
      </w:r>
      <w:r>
        <w:rPr>
          <w:rFonts w:hint="eastAsia"/>
        </w:rPr>
        <w:t>；雨水排水系统应</w:t>
      </w:r>
      <w:r>
        <w:rPr>
          <w:rFonts w:hint="eastAsia"/>
          <w:lang w:eastAsia="zh-CN"/>
        </w:rPr>
        <w:t>根据要求</w:t>
      </w:r>
      <w:r>
        <w:rPr>
          <w:rFonts w:hint="eastAsia"/>
        </w:rPr>
        <w:t>选用有沉泥室的</w:t>
      </w:r>
      <w:r>
        <w:rPr>
          <w:rFonts w:hint="eastAsia"/>
          <w:lang w:eastAsia="zh-CN"/>
        </w:rPr>
        <w:t>井座</w:t>
      </w:r>
      <w:r>
        <w:rPr>
          <w:rFonts w:hint="eastAsia"/>
        </w:rPr>
        <w:t>或带流槽的</w:t>
      </w:r>
      <w:r>
        <w:rPr>
          <w:rFonts w:hint="eastAsia"/>
          <w:lang w:eastAsia="zh-CN"/>
        </w:rPr>
        <w:t>井座</w:t>
      </w:r>
      <w:r>
        <w:rPr>
          <w:rFonts w:hint="eastAsia"/>
        </w:rPr>
        <w:t>。</w:t>
      </w:r>
    </w:p>
    <w:p>
      <w:pPr>
        <w:pStyle w:val="167"/>
        <w:rPr>
          <w:rFonts w:hint="eastAsia"/>
          <w:lang w:eastAsia="zh-CN"/>
        </w:rPr>
      </w:pPr>
      <w:r>
        <w:rPr>
          <w:rFonts w:hint="eastAsia"/>
        </w:rPr>
        <w:t>沉泥井的设置应符合下列规定</w:t>
      </w:r>
      <w:r>
        <w:rPr>
          <w:rFonts w:hint="eastAsia"/>
          <w:lang w:eastAsia="zh-CN"/>
        </w:rPr>
        <w:t>：</w:t>
      </w:r>
    </w:p>
    <w:p>
      <w:pPr>
        <w:pStyle w:val="176"/>
        <w:numPr>
          <w:ilvl w:val="0"/>
          <w:numId w:val="37"/>
        </w:numPr>
        <w:rPr>
          <w:rFonts w:hint="eastAsia"/>
          <w:lang w:eastAsia="zh-CN"/>
        </w:rPr>
      </w:pPr>
      <w:r>
        <w:rPr>
          <w:rFonts w:hint="eastAsia"/>
        </w:rPr>
        <w:t>排水支管接</w:t>
      </w:r>
      <w:r>
        <w:rPr>
          <w:rFonts w:hint="eastAsia"/>
          <w:lang w:eastAsia="zh-CN"/>
        </w:rPr>
        <w:t>入</w:t>
      </w:r>
      <w:r>
        <w:rPr>
          <w:rFonts w:hint="eastAsia"/>
        </w:rPr>
        <w:t>排水主管道的前一</w:t>
      </w:r>
      <w:r>
        <w:rPr>
          <w:rFonts w:hint="eastAsia"/>
          <w:lang w:eastAsia="zh-CN"/>
        </w:rPr>
        <w:t>座</w:t>
      </w:r>
      <w:r>
        <w:rPr>
          <w:rFonts w:hint="eastAsia"/>
        </w:rPr>
        <w:t>检查井，应设</w:t>
      </w:r>
      <w:r>
        <w:rPr>
          <w:rFonts w:hint="eastAsia"/>
          <w:lang w:eastAsia="zh-CN"/>
        </w:rPr>
        <w:t>置</w:t>
      </w:r>
      <w:r>
        <w:rPr>
          <w:rFonts w:hint="eastAsia"/>
        </w:rPr>
        <w:t>沉泥井</w:t>
      </w:r>
      <w:r>
        <w:rPr>
          <w:rFonts w:hint="eastAsia"/>
          <w:lang w:eastAsia="zh-CN"/>
        </w:rPr>
        <w:t>；</w:t>
      </w:r>
    </w:p>
    <w:p>
      <w:pPr>
        <w:pStyle w:val="176"/>
        <w:numPr>
          <w:ilvl w:val="0"/>
          <w:numId w:val="37"/>
        </w:numPr>
        <w:rPr>
          <w:rFonts w:hint="eastAsia"/>
          <w:lang w:eastAsia="zh-CN"/>
        </w:rPr>
      </w:pPr>
      <w:r>
        <w:rPr>
          <w:rFonts w:hint="eastAsia"/>
        </w:rPr>
        <w:t>进入泵站的前一</w:t>
      </w:r>
      <w:r>
        <w:rPr>
          <w:rFonts w:hint="eastAsia"/>
          <w:lang w:eastAsia="zh-CN"/>
        </w:rPr>
        <w:t>座</w:t>
      </w:r>
      <w:r>
        <w:rPr>
          <w:rFonts w:hint="eastAsia"/>
        </w:rPr>
        <w:t>检查井，宜设</w:t>
      </w:r>
      <w:r>
        <w:rPr>
          <w:rFonts w:hint="eastAsia"/>
          <w:lang w:eastAsia="zh-CN"/>
        </w:rPr>
        <w:t>置沉</w:t>
      </w:r>
      <w:r>
        <w:rPr>
          <w:rFonts w:hint="eastAsia"/>
        </w:rPr>
        <w:t>泥井</w:t>
      </w:r>
      <w:r>
        <w:rPr>
          <w:rFonts w:hint="eastAsia"/>
          <w:lang w:eastAsia="zh-CN"/>
        </w:rPr>
        <w:t>；</w:t>
      </w:r>
    </w:p>
    <w:p>
      <w:pPr>
        <w:pStyle w:val="176"/>
        <w:numPr>
          <w:ilvl w:val="0"/>
          <w:numId w:val="37"/>
        </w:numPr>
        <w:rPr>
          <w:rFonts w:hint="eastAsia"/>
          <w:lang w:eastAsia="zh-CN"/>
        </w:rPr>
      </w:pPr>
      <w:r>
        <w:rPr>
          <w:rFonts w:hint="eastAsia"/>
        </w:rPr>
        <w:t>倒虹管进水井的前一</w:t>
      </w:r>
      <w:r>
        <w:rPr>
          <w:rFonts w:hint="eastAsia"/>
          <w:lang w:eastAsia="zh-CN"/>
        </w:rPr>
        <w:t>座</w:t>
      </w:r>
      <w:r>
        <w:rPr>
          <w:rFonts w:hint="eastAsia"/>
        </w:rPr>
        <w:t>检查井，应设</w:t>
      </w:r>
      <w:r>
        <w:rPr>
          <w:rFonts w:hint="eastAsia"/>
          <w:lang w:eastAsia="zh-CN"/>
        </w:rPr>
        <w:t>置</w:t>
      </w:r>
      <w:r>
        <w:rPr>
          <w:rFonts w:hint="eastAsia"/>
        </w:rPr>
        <w:t>沉泥井</w:t>
      </w:r>
      <w:r>
        <w:rPr>
          <w:rFonts w:hint="eastAsia"/>
          <w:lang w:eastAsia="zh-CN"/>
        </w:rPr>
        <w:t>；</w:t>
      </w:r>
    </w:p>
    <w:p>
      <w:pPr>
        <w:pStyle w:val="176"/>
        <w:numPr>
          <w:ilvl w:val="0"/>
          <w:numId w:val="37"/>
        </w:numPr>
        <w:rPr>
          <w:rFonts w:hint="eastAsia"/>
        </w:rPr>
      </w:pPr>
      <w:r>
        <w:rPr>
          <w:rFonts w:hint="eastAsia"/>
        </w:rPr>
        <w:t>排水管道每隔适当距离的检查井，宜设</w:t>
      </w:r>
      <w:r>
        <w:rPr>
          <w:rFonts w:hint="eastAsia"/>
          <w:lang w:eastAsia="zh-CN"/>
        </w:rPr>
        <w:t>置</w:t>
      </w:r>
      <w:r>
        <w:rPr>
          <w:rFonts w:hint="eastAsia"/>
        </w:rPr>
        <w:t>沉泥井。</w:t>
      </w:r>
    </w:p>
    <w:p>
      <w:pPr>
        <w:pStyle w:val="167"/>
      </w:pPr>
      <w:r>
        <w:rPr>
          <w:rFonts w:hint="eastAsia"/>
        </w:rPr>
        <w:t>跌水井的设置应符合下列规定：</w:t>
      </w:r>
    </w:p>
    <w:p>
      <w:pPr>
        <w:pStyle w:val="176"/>
        <w:numPr>
          <w:ilvl w:val="0"/>
          <w:numId w:val="38"/>
        </w:numPr>
        <w:rPr>
          <w:rFonts w:hint="eastAsia"/>
          <w:lang w:eastAsia="zh-CN"/>
        </w:rPr>
      </w:pPr>
      <w:r>
        <w:rPr>
          <w:rFonts w:hint="eastAsia"/>
        </w:rPr>
        <w:t>当管道跌水水头为1.Om</w:t>
      </w:r>
      <w:r>
        <w:rPr>
          <w:rFonts w:hint="default" w:ascii="Times New Roman" w:hAnsi="Times New Roman" w:cs="Times New Roman"/>
        </w:rPr>
        <w:t xml:space="preserve"> ~</w:t>
      </w:r>
      <w:r>
        <w:rPr>
          <w:rFonts w:hint="eastAsia"/>
        </w:rPr>
        <w:t>2.Om 时，宜设</w:t>
      </w:r>
      <w:r>
        <w:rPr>
          <w:rFonts w:hint="eastAsia"/>
          <w:lang w:eastAsia="zh-CN"/>
        </w:rPr>
        <w:t>置</w:t>
      </w:r>
      <w:r>
        <w:rPr>
          <w:rFonts w:hint="eastAsia"/>
        </w:rPr>
        <w:t>跌水井</w:t>
      </w:r>
      <w:r>
        <w:rPr>
          <w:rFonts w:hint="eastAsia"/>
          <w:lang w:eastAsia="zh-CN"/>
        </w:rPr>
        <w:t>；</w:t>
      </w:r>
    </w:p>
    <w:p>
      <w:pPr>
        <w:pStyle w:val="176"/>
        <w:numPr>
          <w:ilvl w:val="0"/>
          <w:numId w:val="38"/>
        </w:numPr>
        <w:rPr>
          <w:rFonts w:hint="eastAsia"/>
        </w:rPr>
      </w:pPr>
      <w:r>
        <w:rPr>
          <w:rFonts w:hint="eastAsia"/>
        </w:rPr>
        <w:t>当跌水水头大于 2.0m时，应设跌水井；管道转弯处不宜设</w:t>
      </w:r>
      <w:r>
        <w:rPr>
          <w:rFonts w:hint="eastAsia"/>
          <w:lang w:eastAsia="zh-CN"/>
        </w:rPr>
        <w:t>置</w:t>
      </w:r>
      <w:r>
        <w:rPr>
          <w:rFonts w:hint="eastAsia"/>
        </w:rPr>
        <w:t>跌水井。</w:t>
      </w:r>
    </w:p>
    <w:p>
      <w:pPr>
        <w:pStyle w:val="167"/>
        <w:rPr>
          <w:rFonts w:hint="eastAsia"/>
        </w:rPr>
      </w:pPr>
      <w:r>
        <w:rPr>
          <w:rFonts w:hint="eastAsia"/>
        </w:rPr>
        <w:t>井筒与</w:t>
      </w:r>
      <w:r>
        <w:rPr>
          <w:rFonts w:hint="eastAsia"/>
          <w:lang w:eastAsia="zh-CN"/>
        </w:rPr>
        <w:t>井座</w:t>
      </w:r>
      <w:r>
        <w:rPr>
          <w:rFonts w:hint="eastAsia"/>
        </w:rPr>
        <w:t>、偏置收口等部件的连接应采用承插</w:t>
      </w:r>
      <w:r>
        <w:rPr>
          <w:rFonts w:hint="eastAsia"/>
          <w:lang w:eastAsia="zh-CN"/>
        </w:rPr>
        <w:t>柔性</w:t>
      </w:r>
      <w:r>
        <w:rPr>
          <w:rFonts w:hint="eastAsia"/>
        </w:rPr>
        <w:t>连接，必要时可采用热收缩带</w:t>
      </w:r>
      <w:r>
        <w:rPr>
          <w:rFonts w:hint="eastAsia"/>
          <w:lang w:eastAsia="zh-CN"/>
        </w:rPr>
        <w:t>或</w:t>
      </w:r>
      <w:r>
        <w:rPr>
          <w:rFonts w:hint="eastAsia"/>
        </w:rPr>
        <w:t>套补强。</w:t>
      </w:r>
    </w:p>
    <w:p>
      <w:pPr>
        <w:pStyle w:val="167"/>
        <w:rPr>
          <w:rFonts w:hint="eastAsia"/>
        </w:rPr>
      </w:pPr>
      <w:r>
        <w:rPr>
          <w:rFonts w:hint="eastAsia"/>
        </w:rPr>
        <w:t>偏置收口底部的覆土深度不应大于4.2m，车行道下检查井的偏置收口顶部距地面的高度不宜小于O.7m，非机动车道下检查井的偏置收口顶部覆土厚度不宜小于O.6m。</w:t>
      </w:r>
    </w:p>
    <w:p>
      <w:pPr>
        <w:pStyle w:val="167"/>
        <w:rPr>
          <w:rFonts w:hint="eastAsia"/>
        </w:rPr>
      </w:pPr>
      <w:r>
        <w:rPr>
          <w:rFonts w:hint="eastAsia"/>
        </w:rPr>
        <w:t>井筒顶部与挡圈之间应填充防水材料。</w:t>
      </w:r>
    </w:p>
    <w:p>
      <w:pPr>
        <w:pStyle w:val="167"/>
        <w:rPr>
          <w:rFonts w:hint="eastAsia"/>
        </w:rPr>
      </w:pPr>
      <w:r>
        <w:rPr>
          <w:rFonts w:hint="eastAsia"/>
        </w:rPr>
        <w:t>承压</w:t>
      </w:r>
      <w:r>
        <w:rPr>
          <w:rFonts w:hint="eastAsia"/>
          <w:lang w:eastAsia="zh-CN"/>
        </w:rPr>
        <w:t>圈</w:t>
      </w:r>
      <w:r>
        <w:rPr>
          <w:rFonts w:hint="eastAsia"/>
        </w:rPr>
        <w:t>宜为钢筋混凝土预制构件，</w:t>
      </w:r>
      <w:r>
        <w:rPr>
          <w:rFonts w:hint="eastAsia"/>
          <w:lang w:eastAsia="zh-CN"/>
        </w:rPr>
        <w:t>无特殊要求时</w:t>
      </w:r>
      <w:r>
        <w:rPr>
          <w:rFonts w:hint="eastAsia"/>
        </w:rPr>
        <w:t>应符合本规程附录D的</w:t>
      </w:r>
      <w:r>
        <w:rPr>
          <w:rFonts w:hint="eastAsia"/>
          <w:lang w:eastAsia="zh-CN"/>
        </w:rPr>
        <w:t>规定</w:t>
      </w:r>
      <w:r>
        <w:rPr>
          <w:rFonts w:hint="eastAsia"/>
        </w:rPr>
        <w:t>。</w:t>
      </w:r>
      <w:r>
        <w:rPr>
          <w:rFonts w:hint="eastAsia"/>
          <w:lang w:eastAsia="zh-CN"/>
        </w:rPr>
        <w:t>承压圈</w:t>
      </w:r>
      <w:r>
        <w:rPr>
          <w:rFonts w:hint="eastAsia"/>
        </w:rPr>
        <w:t>下垫层应符合</w:t>
      </w:r>
      <w:r>
        <w:rPr>
          <w:rFonts w:hint="eastAsia"/>
          <w:lang w:val="en-US" w:eastAsia="zh-CN"/>
        </w:rPr>
        <w:t>相应</w:t>
      </w:r>
      <w:r>
        <w:rPr>
          <w:rFonts w:hint="eastAsia"/>
        </w:rPr>
        <w:t>道路设计要求。</w:t>
      </w:r>
    </w:p>
    <w:p>
      <w:pPr>
        <w:pStyle w:val="107"/>
        <w:spacing w:before="156" w:after="156"/>
      </w:pPr>
      <w:bookmarkStart w:id="57" w:name="_Toc31147"/>
      <w:r>
        <w:rPr>
          <w:rFonts w:hint="eastAsia"/>
          <w:lang w:eastAsia="zh-CN"/>
        </w:rPr>
        <w:t>检查井与管道连接</w:t>
      </w:r>
      <w:bookmarkEnd w:id="57"/>
    </w:p>
    <w:p>
      <w:pPr>
        <w:pStyle w:val="167"/>
        <w:rPr>
          <w:rFonts w:hint="eastAsia"/>
        </w:rPr>
      </w:pPr>
      <w:r>
        <w:rPr>
          <w:rFonts w:hint="eastAsia"/>
        </w:rPr>
        <w:t>检查井与塑料排水管道连接应采用弹性橡胶密封圈承插连接、连接管件连接，</w:t>
      </w:r>
      <w:r>
        <w:rPr>
          <w:rFonts w:hint="eastAsia"/>
          <w:lang w:eastAsia="zh-CN"/>
        </w:rPr>
        <w:t>污水管道宜</w:t>
      </w:r>
      <w:r>
        <w:rPr>
          <w:rFonts w:hint="eastAsia"/>
        </w:rPr>
        <w:t>采用热收缩带</w:t>
      </w:r>
      <w:r>
        <w:rPr>
          <w:rFonts w:hint="eastAsia"/>
          <w:lang w:eastAsia="zh-CN"/>
        </w:rPr>
        <w:t>或</w:t>
      </w:r>
      <w:r>
        <w:rPr>
          <w:rFonts w:hint="eastAsia"/>
        </w:rPr>
        <w:t>套补强。</w:t>
      </w:r>
    </w:p>
    <w:p>
      <w:pPr>
        <w:pStyle w:val="167"/>
        <w:rPr>
          <w:rFonts w:hint="eastAsia"/>
        </w:rPr>
      </w:pPr>
      <w:r>
        <w:rPr>
          <w:rFonts w:hint="eastAsia"/>
        </w:rPr>
        <w:t>当检查井与金属管道、水泥管道、钢带增强螺旋管或其他材质管道相连接时，宜设置专用过渡接头，并采用弹性密封橡胶圈柔性连接，并宜采用热收缩带</w:t>
      </w:r>
      <w:r>
        <w:rPr>
          <w:rFonts w:hint="eastAsia"/>
          <w:lang w:eastAsia="zh-CN"/>
        </w:rPr>
        <w:t>或</w:t>
      </w:r>
      <w:r>
        <w:rPr>
          <w:rFonts w:hint="eastAsia"/>
        </w:rPr>
        <w:t>套进行补强 。</w:t>
      </w:r>
    </w:p>
    <w:p>
      <w:pPr>
        <w:pStyle w:val="167"/>
        <w:rPr>
          <w:rFonts w:hint="eastAsia"/>
        </w:rPr>
      </w:pPr>
      <w:r>
        <w:rPr>
          <w:rFonts w:hint="eastAsia"/>
        </w:rPr>
        <w:t>检查井与排水管道变径连接时，应采用渐变接头连接。</w:t>
      </w:r>
      <w:bookmarkStart w:id="58" w:name="OLE_LINK1"/>
      <w:bookmarkStart w:id="59" w:name="OLE_LINK2"/>
      <w:r>
        <w:rPr>
          <w:rFonts w:hint="eastAsia"/>
        </w:rPr>
        <w:t>排水进水管道与检查井承口应管顶平接</w:t>
      </w:r>
      <w:bookmarkEnd w:id="58"/>
      <w:bookmarkEnd w:id="59"/>
      <w:r>
        <w:rPr>
          <w:rFonts w:hint="eastAsia"/>
        </w:rPr>
        <w:t>。</w:t>
      </w:r>
    </w:p>
    <w:p>
      <w:pPr>
        <w:pStyle w:val="167"/>
        <w:rPr>
          <w:rFonts w:hint="eastAsia"/>
        </w:rPr>
      </w:pPr>
      <w:r>
        <w:rPr>
          <w:rFonts w:hint="eastAsia"/>
        </w:rPr>
        <w:t>排水管道与检查井承口连接时，管道与承口单边间隙不应大于承口内径的2.5%。</w:t>
      </w:r>
    </w:p>
    <w:p>
      <w:pPr>
        <w:pStyle w:val="167"/>
        <w:rPr>
          <w:rFonts w:hint="eastAsia"/>
        </w:rPr>
      </w:pPr>
      <w:r>
        <w:rPr>
          <w:rFonts w:hint="eastAsia"/>
        </w:rPr>
        <w:t>检查井与排水管道连接处，应采取防止不均匀沉降的措施，球形万向接头可作为</w:t>
      </w:r>
      <w:r>
        <w:rPr>
          <w:rFonts w:hint="eastAsia"/>
          <w:lang w:eastAsia="zh-CN"/>
        </w:rPr>
        <w:t>检查井与</w:t>
      </w:r>
      <w:r>
        <w:rPr>
          <w:rFonts w:hint="eastAsia"/>
        </w:rPr>
        <w:t>排水管</w:t>
      </w:r>
      <w:r>
        <w:rPr>
          <w:rFonts w:hint="eastAsia"/>
          <w:lang w:eastAsia="zh-CN"/>
        </w:rPr>
        <w:t>连接的</w:t>
      </w:r>
      <w:r>
        <w:rPr>
          <w:rFonts w:hint="eastAsia"/>
        </w:rPr>
        <w:t>防沉降措施。</w:t>
      </w:r>
    </w:p>
    <w:p>
      <w:pPr>
        <w:pStyle w:val="167"/>
        <w:rPr>
          <w:rFonts w:hint="eastAsia"/>
        </w:rPr>
      </w:pPr>
      <w:r>
        <w:rPr>
          <w:rFonts w:hint="eastAsia"/>
        </w:rPr>
        <w:t>当排水管与检查井的承口连接偏转角为0°～22.5°时，可采用可变角接头连接。</w:t>
      </w:r>
    </w:p>
    <w:p>
      <w:pPr>
        <w:pStyle w:val="167"/>
        <w:rPr>
          <w:rFonts w:hint="eastAsia"/>
        </w:rPr>
      </w:pPr>
      <w:r>
        <w:rPr>
          <w:rFonts w:hint="eastAsia"/>
        </w:rPr>
        <w:t>当排水管与检查井的承口连接偏转角小于15°时，可采用球形万向接头连接，采用球形万向接头调整坡度见图</w:t>
      </w:r>
      <w:r>
        <w:rPr>
          <w:rFonts w:hint="eastAsia"/>
          <w:lang w:val="en-US" w:eastAsia="zh-CN"/>
        </w:rPr>
        <w:t>6</w:t>
      </w:r>
      <w:r>
        <w:rPr>
          <w:rFonts w:hint="eastAsia"/>
        </w:rPr>
        <w:t>。</w:t>
      </w:r>
    </w:p>
    <w:p>
      <w:pPr>
        <w:pStyle w:val="167"/>
        <w:numPr>
          <w:ilvl w:val="3"/>
          <w:numId w:val="0"/>
        </w:numPr>
        <w:ind w:leftChars="0"/>
        <w:jc w:val="center"/>
        <w:rPr>
          <w:rFonts w:hint="eastAsia"/>
        </w:rPr>
      </w:pPr>
      <w:r>
        <w:rPr>
          <w:rFonts w:ascii="Arial" w:hAnsi="Arial" w:cs="Arial"/>
        </w:rPr>
        <w:drawing>
          <wp:inline distT="0" distB="0" distL="114300" distR="114300">
            <wp:extent cx="5300980" cy="1931670"/>
            <wp:effectExtent l="0" t="0" r="13970" b="11430"/>
            <wp:docPr id="49" name="图片 10"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10" descr="2"/>
                    <pic:cNvPicPr>
                      <a:picLocks noChangeAspect="1"/>
                    </pic:cNvPicPr>
                  </pic:nvPicPr>
                  <pic:blipFill>
                    <a:blip r:embed="rId26"/>
                    <a:stretch>
                      <a:fillRect/>
                    </a:stretch>
                  </pic:blipFill>
                  <pic:spPr>
                    <a:xfrm>
                      <a:off x="0" y="0"/>
                      <a:ext cx="5300980" cy="1931670"/>
                    </a:xfrm>
                    <a:prstGeom prst="rect">
                      <a:avLst/>
                    </a:prstGeom>
                    <a:noFill/>
                    <a:ln>
                      <a:noFill/>
                    </a:ln>
                  </pic:spPr>
                </pic:pic>
              </a:graphicData>
            </a:graphic>
          </wp:inline>
        </w:drawing>
      </w:r>
    </w:p>
    <w:p>
      <w:pPr>
        <w:pStyle w:val="167"/>
        <w:numPr>
          <w:ilvl w:val="3"/>
          <w:numId w:val="0"/>
        </w:numPr>
        <w:ind w:leftChars="0"/>
        <w:jc w:val="center"/>
        <w:rPr>
          <w:rFonts w:hint="eastAsia" w:ascii="黑体" w:hAnsi="黑体" w:eastAsia="黑体" w:cs="黑体"/>
          <w:lang w:val="en-US" w:eastAsia="zh-CN"/>
        </w:rPr>
      </w:pPr>
      <w:r>
        <w:rPr>
          <w:rFonts w:hint="eastAsia" w:ascii="黑体" w:hAnsi="黑体" w:eastAsia="黑体" w:cs="黑体"/>
          <w:lang w:eastAsia="zh-CN"/>
        </w:rPr>
        <w:t>图</w:t>
      </w:r>
      <w:r>
        <w:rPr>
          <w:rFonts w:hint="eastAsia" w:ascii="黑体" w:hAnsi="黑体" w:eastAsia="黑体" w:cs="黑体"/>
          <w:lang w:val="en-US" w:eastAsia="zh-CN"/>
        </w:rPr>
        <w:t xml:space="preserve">6 </w:t>
      </w:r>
      <w:r>
        <w:rPr>
          <w:rFonts w:hint="eastAsia" w:ascii="黑体" w:hAnsi="黑体" w:eastAsia="黑体" w:cs="黑体"/>
        </w:rPr>
        <w:t>采用球形万向接头调整坡度</w:t>
      </w:r>
    </w:p>
    <w:p>
      <w:pPr>
        <w:pStyle w:val="107"/>
        <w:spacing w:before="156" w:after="156"/>
        <w:rPr>
          <w:rFonts w:hint="eastAsia"/>
          <w:lang w:eastAsia="zh-CN"/>
        </w:rPr>
      </w:pPr>
      <w:bookmarkStart w:id="60" w:name="_Toc6278"/>
      <w:r>
        <w:rPr>
          <w:rFonts w:hint="eastAsia"/>
          <w:lang w:eastAsia="zh-CN"/>
        </w:rPr>
        <w:t>回填</w:t>
      </w:r>
      <w:bookmarkEnd w:id="60"/>
    </w:p>
    <w:p>
      <w:pPr>
        <w:pStyle w:val="167"/>
        <w:rPr>
          <w:rFonts w:hint="eastAsia"/>
        </w:rPr>
      </w:pPr>
      <w:r>
        <w:rPr>
          <w:rFonts w:hint="eastAsia"/>
        </w:rPr>
        <w:t>回填材料应根据当地的土壤条件进行设计，且不得采用淤泥、垃圾和冻土，并不得夹带石块、砖及其他带有棱角的硬块物体。</w:t>
      </w:r>
      <w:r>
        <w:rPr>
          <w:rFonts w:hint="eastAsia"/>
          <w:lang w:eastAsia="zh-CN"/>
        </w:rPr>
        <w:t>回填材料密实度应符合</w:t>
      </w:r>
      <w:r>
        <w:rPr>
          <w:rFonts w:hint="eastAsia"/>
        </w:rPr>
        <w:t>设计</w:t>
      </w:r>
      <w:r>
        <w:rPr>
          <w:rFonts w:hint="eastAsia"/>
          <w:lang w:eastAsia="zh-CN"/>
        </w:rPr>
        <w:t>要求</w:t>
      </w:r>
      <w:r>
        <w:rPr>
          <w:rFonts w:hint="eastAsia"/>
        </w:rPr>
        <w:t>。</w:t>
      </w:r>
    </w:p>
    <w:p>
      <w:pPr>
        <w:pStyle w:val="167"/>
        <w:rPr>
          <w:rFonts w:hint="eastAsia"/>
          <w:lang w:val="en-US" w:eastAsia="zh-CN"/>
        </w:rPr>
      </w:pPr>
      <w:r>
        <w:rPr>
          <w:rFonts w:hint="eastAsia"/>
          <w:lang w:val="en-US" w:eastAsia="zh-CN"/>
        </w:rPr>
        <w:t>在管道与检查井连接处底部的狭小空间处，可采用流态固化土进行回填，并符合流态固化土填筑相关应用技术规程的要求。</w:t>
      </w:r>
    </w:p>
    <w:p>
      <w:pPr>
        <w:pStyle w:val="167"/>
        <w:rPr>
          <w:rFonts w:hint="eastAsia"/>
          <w:lang w:val="en-US" w:eastAsia="zh-CN"/>
        </w:rPr>
      </w:pPr>
      <w:r>
        <w:rPr>
          <w:rFonts w:hint="eastAsia"/>
        </w:rPr>
        <w:t>检查井应在井筒周围不小于100mm范围内回填中粗砂。</w:t>
      </w:r>
    </w:p>
    <w:p>
      <w:pPr>
        <w:pStyle w:val="107"/>
        <w:spacing w:before="156" w:after="156"/>
        <w:rPr>
          <w:rFonts w:hint="eastAsia"/>
          <w:lang w:eastAsia="zh-CN"/>
        </w:rPr>
      </w:pPr>
      <w:bookmarkStart w:id="61" w:name="_Toc25696"/>
      <w:r>
        <w:rPr>
          <w:rFonts w:hint="eastAsia"/>
          <w:lang w:eastAsia="zh-CN"/>
        </w:rPr>
        <w:t>结构设计</w:t>
      </w:r>
      <w:bookmarkEnd w:id="61"/>
    </w:p>
    <w:p>
      <w:pPr>
        <w:pStyle w:val="167"/>
        <w:rPr>
          <w:rFonts w:hint="eastAsia"/>
        </w:rPr>
      </w:pPr>
      <w:r>
        <w:rPr>
          <w:rFonts w:hint="eastAsia"/>
        </w:rPr>
        <w:t>检查井的结构设计应采用以概率理论为基础的极限状态设计方法，以可靠指标度量结构构件的可靠度；当按承载能力极限状态计算时，除对结构稳定性验算外均采用含分项系数的设计表达式进行设计。</w:t>
      </w:r>
    </w:p>
    <w:p>
      <w:pPr>
        <w:pStyle w:val="167"/>
        <w:rPr>
          <w:rFonts w:hint="eastAsia"/>
        </w:rPr>
      </w:pPr>
      <w:r>
        <w:rPr>
          <w:rFonts w:hint="eastAsia"/>
        </w:rPr>
        <w:t>结构设计使用年限不得低于 50 年。</w:t>
      </w:r>
    </w:p>
    <w:p>
      <w:pPr>
        <w:pStyle w:val="167"/>
        <w:rPr>
          <w:rFonts w:hint="eastAsia"/>
          <w:lang w:eastAsia="zh-CN"/>
        </w:rPr>
      </w:pPr>
      <w:r>
        <w:rPr>
          <w:rFonts w:hint="eastAsia"/>
        </w:rPr>
        <w:t>结构设计应计算下列两种极限状态</w:t>
      </w:r>
      <w:r>
        <w:rPr>
          <w:rFonts w:hint="eastAsia"/>
          <w:lang w:eastAsia="zh-CN"/>
        </w:rPr>
        <w:t>：</w:t>
      </w:r>
    </w:p>
    <w:p>
      <w:pPr>
        <w:pStyle w:val="176"/>
        <w:numPr>
          <w:ilvl w:val="0"/>
          <w:numId w:val="39"/>
        </w:numPr>
        <w:rPr>
          <w:rFonts w:hint="eastAsia"/>
          <w:lang w:eastAsia="zh-CN"/>
        </w:rPr>
      </w:pPr>
      <w:r>
        <w:t>承载能力极限状态:包括结构构件的强度计算、压曲稳定计算、抗浮计算和抗拔计算</w:t>
      </w:r>
      <w:r>
        <w:rPr>
          <w:rFonts w:hint="eastAsia"/>
          <w:lang w:eastAsia="zh-CN"/>
        </w:rPr>
        <w:t>；</w:t>
      </w:r>
    </w:p>
    <w:p>
      <w:pPr>
        <w:pStyle w:val="176"/>
        <w:numPr>
          <w:ilvl w:val="0"/>
          <w:numId w:val="39"/>
        </w:numPr>
      </w:pPr>
      <w:r>
        <w:t>正常使用极限状态:包括井体结构的变形计算。</w:t>
      </w:r>
    </w:p>
    <w:p>
      <w:pPr>
        <w:pStyle w:val="167"/>
        <w:rPr>
          <w:rFonts w:hint="eastAsia"/>
        </w:rPr>
      </w:pPr>
      <w:r>
        <w:rPr>
          <w:rFonts w:hint="eastAsia"/>
        </w:rPr>
        <w:t>检查井的计算分析模型应符合下列原则：</w:t>
      </w:r>
    </w:p>
    <w:p>
      <w:pPr>
        <w:pStyle w:val="176"/>
        <w:numPr>
          <w:ilvl w:val="0"/>
          <w:numId w:val="40"/>
        </w:numPr>
        <w:ind w:left="795" w:leftChars="0" w:hanging="360" w:firstLineChars="0"/>
        <w:rPr>
          <w:rFonts w:hint="eastAsia"/>
          <w:lang w:eastAsia="zh-CN"/>
        </w:rPr>
      </w:pPr>
      <w:r>
        <w:t>按弹性体系计算，不应考虑分析由非弹性变形所产生的塑性内力重分布</w:t>
      </w:r>
      <w:r>
        <w:rPr>
          <w:rFonts w:hint="eastAsia"/>
          <w:lang w:eastAsia="zh-CN"/>
        </w:rPr>
        <w:t>；</w:t>
      </w:r>
    </w:p>
    <w:p>
      <w:pPr>
        <w:pStyle w:val="176"/>
        <w:numPr>
          <w:ilvl w:val="0"/>
          <w:numId w:val="40"/>
        </w:numPr>
        <w:ind w:left="795" w:leftChars="0" w:hanging="360" w:firstLineChars="0"/>
      </w:pPr>
      <w:r>
        <w:t>井筒应按上端自由，下端弹性固定的柱壳体计算。</w:t>
      </w:r>
    </w:p>
    <w:p>
      <w:pPr>
        <w:pStyle w:val="167"/>
        <w:rPr>
          <w:rFonts w:hint="eastAsia"/>
        </w:rPr>
      </w:pPr>
      <w:r>
        <w:rPr>
          <w:rFonts w:hint="eastAsia"/>
        </w:rPr>
        <w:t>检查井在准永久组合作用下的径向最大允许变形率应为5%。</w:t>
      </w:r>
    </w:p>
    <w:p>
      <w:pPr>
        <w:pStyle w:val="167"/>
        <w:rPr>
          <w:rFonts w:hint="eastAsia"/>
        </w:rPr>
      </w:pPr>
      <w:r>
        <w:rPr>
          <w:rFonts w:hint="eastAsia"/>
        </w:rPr>
        <w:t>检查井底板在准永久组合下的最大挠度不应超过底板直径的 2% 。</w:t>
      </w:r>
    </w:p>
    <w:p>
      <w:pPr>
        <w:pStyle w:val="167"/>
        <w:rPr>
          <w:rFonts w:hint="eastAsia"/>
        </w:rPr>
      </w:pPr>
      <w:r>
        <w:rPr>
          <w:rFonts w:hint="eastAsia"/>
        </w:rPr>
        <w:t>当井筒采用</w:t>
      </w:r>
      <w:r>
        <w:rPr>
          <w:rFonts w:hint="eastAsia"/>
          <w:lang w:eastAsia="zh-CN"/>
        </w:rPr>
        <w:t>符合国家标准《</w:t>
      </w:r>
      <w:r>
        <w:rPr>
          <w:rFonts w:hint="eastAsia"/>
          <w:lang w:val="zh-CN"/>
        </w:rPr>
        <w:t>埋地排水用硬聚氯乙烯（PVC-U）结构壁管道系统 第3部分：双层轴向中空壁管材</w:t>
      </w:r>
      <w:r>
        <w:rPr>
          <w:rFonts w:hint="eastAsia"/>
          <w:lang w:eastAsia="zh-CN"/>
        </w:rPr>
        <w:t>》</w:t>
      </w:r>
      <w:r>
        <w:rPr>
          <w:rFonts w:hint="eastAsia"/>
          <w:color w:val="000000"/>
          <w:lang w:val="zh-CN"/>
        </w:rPr>
        <w:t>GB/T 18477.3</w:t>
      </w:r>
      <w:r>
        <w:rPr>
          <w:rFonts w:hint="eastAsia"/>
          <w:lang w:val="zh-CN"/>
        </w:rPr>
        <w:t>或《无压埋地排污、排水用硬聚氯乙烯（PVC-U）管材》</w:t>
      </w:r>
      <w:r>
        <w:rPr>
          <w:rFonts w:hint="eastAsia"/>
          <w:color w:val="000000"/>
          <w:lang w:val="zh-CN"/>
        </w:rPr>
        <w:t>GB/T 20221要求的管材</w:t>
      </w:r>
      <w:r>
        <w:rPr>
          <w:rFonts w:hint="eastAsia"/>
          <w:lang w:eastAsia="zh-CN"/>
        </w:rPr>
        <w:t>时</w:t>
      </w:r>
      <w:r>
        <w:rPr>
          <w:rFonts w:hint="eastAsia"/>
        </w:rPr>
        <w:t>，可不进行检查井在外压荷载作用下的强度计算和检查井井筒压曲稳定计算。当井筒不符合上述要求时，应按现行行业标准《塑料排水检查井应用技术规程》CJJ/T 209的要求进行计算。</w:t>
      </w:r>
    </w:p>
    <w:p>
      <w:pPr>
        <w:pStyle w:val="167"/>
        <w:rPr>
          <w:rFonts w:hint="eastAsia"/>
        </w:rPr>
      </w:pPr>
      <w:r>
        <w:rPr>
          <w:rFonts w:hint="eastAsia"/>
        </w:rPr>
        <w:t>当对</w:t>
      </w:r>
      <w:r>
        <w:rPr>
          <w:rFonts w:hint="eastAsia"/>
          <w:lang w:eastAsia="zh-CN"/>
        </w:rPr>
        <w:t>井座</w:t>
      </w:r>
      <w:r>
        <w:rPr>
          <w:rFonts w:hint="eastAsia"/>
        </w:rPr>
        <w:t>和偏置收口进行强度计算时，应采用三维模型进行结构内力分析，当</w:t>
      </w:r>
      <w:r>
        <w:rPr>
          <w:rFonts w:hint="eastAsia"/>
          <w:lang w:eastAsia="zh-CN"/>
        </w:rPr>
        <w:t>井座</w:t>
      </w:r>
      <w:r>
        <w:rPr>
          <w:rFonts w:hint="eastAsia"/>
        </w:rPr>
        <w:t xml:space="preserve">和偏置收口符合本规程第 </w:t>
      </w:r>
      <w:r>
        <w:rPr>
          <w:rFonts w:hint="eastAsia"/>
          <w:lang w:val="en-US" w:eastAsia="zh-CN"/>
        </w:rPr>
        <w:t>4</w:t>
      </w:r>
      <w:r>
        <w:rPr>
          <w:rFonts w:hint="eastAsia"/>
        </w:rPr>
        <w:t>.2.</w:t>
      </w:r>
      <w:r>
        <w:rPr>
          <w:rFonts w:hint="eastAsia"/>
          <w:lang w:val="en-US" w:eastAsia="zh-CN"/>
        </w:rPr>
        <w:t>2</w:t>
      </w:r>
      <w:r>
        <w:rPr>
          <w:rFonts w:hint="eastAsia"/>
        </w:rPr>
        <w:t xml:space="preserve"> 条</w:t>
      </w:r>
      <w:r>
        <w:rPr>
          <w:rFonts w:hint="eastAsia"/>
          <w:lang w:eastAsia="zh-CN"/>
        </w:rPr>
        <w:t>和第</w:t>
      </w:r>
      <w:r>
        <w:rPr>
          <w:rFonts w:hint="eastAsia"/>
          <w:lang w:val="en-US" w:eastAsia="zh-CN"/>
        </w:rPr>
        <w:t>4.2.7条</w:t>
      </w:r>
      <w:r>
        <w:rPr>
          <w:rFonts w:hint="eastAsia"/>
        </w:rPr>
        <w:t>的要求时，可不进行计算，当</w:t>
      </w:r>
      <w:r>
        <w:rPr>
          <w:rFonts w:hint="eastAsia"/>
          <w:lang w:eastAsia="zh-CN"/>
        </w:rPr>
        <w:t>井座</w:t>
      </w:r>
      <w:r>
        <w:rPr>
          <w:rFonts w:hint="eastAsia"/>
        </w:rPr>
        <w:t xml:space="preserve">和偏置收口不符合本规程第 </w:t>
      </w:r>
      <w:r>
        <w:rPr>
          <w:rFonts w:hint="eastAsia"/>
          <w:lang w:val="en-US" w:eastAsia="zh-CN"/>
        </w:rPr>
        <w:t>4</w:t>
      </w:r>
      <w:r>
        <w:rPr>
          <w:rFonts w:hint="eastAsia"/>
        </w:rPr>
        <w:t>.2.</w:t>
      </w:r>
      <w:r>
        <w:rPr>
          <w:rFonts w:hint="eastAsia"/>
          <w:lang w:val="en-US" w:eastAsia="zh-CN"/>
        </w:rPr>
        <w:t>2</w:t>
      </w:r>
      <w:r>
        <w:rPr>
          <w:rFonts w:hint="eastAsia"/>
        </w:rPr>
        <w:t xml:space="preserve"> 条</w:t>
      </w:r>
      <w:r>
        <w:rPr>
          <w:rFonts w:hint="eastAsia"/>
          <w:lang w:eastAsia="zh-CN"/>
        </w:rPr>
        <w:t>和第</w:t>
      </w:r>
      <w:r>
        <w:rPr>
          <w:rFonts w:hint="eastAsia"/>
          <w:lang w:val="en-US" w:eastAsia="zh-CN"/>
        </w:rPr>
        <w:t>4.2.7条</w:t>
      </w:r>
      <w:r>
        <w:rPr>
          <w:rFonts w:hint="eastAsia"/>
        </w:rPr>
        <w:t>的要求时，应按现行行业标准《塑料排水检查井应用技术规程》CJJ/T 209的要求进行强度计算。</w:t>
      </w:r>
    </w:p>
    <w:p>
      <w:pPr>
        <w:pStyle w:val="167"/>
        <w:rPr>
          <w:rFonts w:hint="eastAsia"/>
        </w:rPr>
      </w:pPr>
      <w:r>
        <w:rPr>
          <w:rFonts w:hint="eastAsia"/>
        </w:rPr>
        <w:t>检查井的地基处理应按现行行业标准《建筑地基处理技术规范</w:t>
      </w:r>
      <w:r>
        <w:rPr>
          <w:rFonts w:hint="eastAsia"/>
          <w:lang w:eastAsia="zh-CN"/>
        </w:rPr>
        <w:t>》</w:t>
      </w:r>
      <w:r>
        <w:rPr>
          <w:rFonts w:hint="eastAsia"/>
        </w:rPr>
        <w:t>JGJ 79 的有关规定执行，地基处理方案应与管道地基处理方案</w:t>
      </w:r>
      <w:r>
        <w:rPr>
          <w:rFonts w:hint="eastAsia"/>
          <w:lang w:eastAsia="zh-CN"/>
        </w:rPr>
        <w:t>相</w:t>
      </w:r>
      <w:r>
        <w:rPr>
          <w:rFonts w:hint="eastAsia"/>
        </w:rPr>
        <w:t>协调。</w:t>
      </w:r>
    </w:p>
    <w:p>
      <w:pPr>
        <w:pStyle w:val="167"/>
        <w:rPr>
          <w:rFonts w:hint="eastAsia"/>
        </w:rPr>
      </w:pPr>
      <w:r>
        <w:rPr>
          <w:rFonts w:hint="eastAsia"/>
        </w:rPr>
        <w:t>对按本规程适用范围选用及回填前采用砂土袋等措施对检查井进行临时固定</w:t>
      </w:r>
      <w:r>
        <w:rPr>
          <w:rFonts w:hint="eastAsia"/>
          <w:lang w:eastAsia="zh-CN"/>
        </w:rPr>
        <w:t>、且井坑内没有积水时，</w:t>
      </w:r>
      <w:r>
        <w:rPr>
          <w:rFonts w:hint="eastAsia"/>
        </w:rPr>
        <w:t>可不进行抗浮计算</w:t>
      </w:r>
      <w:r>
        <w:rPr>
          <w:rFonts w:hint="eastAsia"/>
          <w:lang w:eastAsia="zh-CN"/>
        </w:rPr>
        <w:t>；</w:t>
      </w:r>
      <w:r>
        <w:rPr>
          <w:rFonts w:hint="eastAsia"/>
        </w:rPr>
        <w:t>在地下水位较高、检查井埋设较深时，应按现行行业标准《塑料排水检查井应用技术规程》CJJ/T 209的要求进行抗浮计算。</w:t>
      </w:r>
    </w:p>
    <w:p>
      <w:pPr>
        <w:pStyle w:val="167"/>
        <w:rPr>
          <w:rFonts w:hint="eastAsia"/>
        </w:rPr>
      </w:pPr>
      <w:r>
        <w:rPr>
          <w:rFonts w:hint="eastAsia"/>
        </w:rPr>
        <w:t>检查井埋设于季节性冰冻线深度大于等于1.0m的地区，应按现行行业标准《塑料排水检查井应用技术规程》CJJ/T 209的要求进行抗拔计算。</w:t>
      </w:r>
    </w:p>
    <w:p>
      <w:pPr>
        <w:pStyle w:val="106"/>
        <w:spacing w:before="312" w:after="312"/>
      </w:pPr>
      <w:bookmarkStart w:id="62" w:name="_Toc29627"/>
      <w:r>
        <w:rPr>
          <w:rFonts w:hint="eastAsia"/>
        </w:rPr>
        <w:t>施工</w:t>
      </w:r>
      <w:bookmarkEnd w:id="62"/>
    </w:p>
    <w:p>
      <w:pPr>
        <w:pStyle w:val="107"/>
        <w:spacing w:before="156" w:after="156"/>
      </w:pPr>
      <w:bookmarkStart w:id="63" w:name="_Toc26724"/>
      <w:r>
        <w:rPr>
          <w:rFonts w:hint="eastAsia"/>
          <w:lang w:eastAsia="zh-CN"/>
        </w:rPr>
        <w:t>一般规定</w:t>
      </w:r>
      <w:bookmarkEnd w:id="63"/>
    </w:p>
    <w:p>
      <w:pPr>
        <w:pStyle w:val="167"/>
        <w:rPr>
          <w:rFonts w:hint="eastAsia" w:ascii="Times New Roman"/>
        </w:rPr>
      </w:pPr>
      <w:r>
        <w:rPr>
          <w:rFonts w:hint="eastAsia" w:ascii="Times New Roman"/>
        </w:rPr>
        <w:t>检查井的施工与安装应符合现行国家标准《给水排水管道工程施工及验收规范</w:t>
      </w:r>
      <w:r>
        <w:rPr>
          <w:rFonts w:hint="eastAsia" w:ascii="Times New Roman"/>
          <w:lang w:eastAsia="zh-CN"/>
        </w:rPr>
        <w:t>》</w:t>
      </w:r>
      <w:r>
        <w:rPr>
          <w:rFonts w:hint="eastAsia" w:ascii="Times New Roman"/>
        </w:rPr>
        <w:t>GB 50268 的有关规定。</w:t>
      </w:r>
    </w:p>
    <w:p>
      <w:pPr>
        <w:pStyle w:val="167"/>
        <w:rPr>
          <w:rFonts w:hint="eastAsia" w:ascii="Times New Roman"/>
        </w:rPr>
      </w:pPr>
      <w:r>
        <w:rPr>
          <w:rFonts w:hint="eastAsia" w:ascii="Times New Roman"/>
          <w:lang w:val="en-US" w:eastAsia="zh-CN"/>
        </w:rPr>
        <w:t>施工前</w:t>
      </w:r>
      <w:r>
        <w:rPr>
          <w:rFonts w:hint="eastAsia" w:ascii="Times New Roman"/>
        </w:rPr>
        <w:t>施工单位应编制施工方案，其主要内容应包括工程概况、主要机械设备配置、施工质量保证和安全措施等内容。检查井安装前应进行相应的技术交底工作。</w:t>
      </w:r>
    </w:p>
    <w:p>
      <w:pPr>
        <w:pStyle w:val="167"/>
        <w:rPr>
          <w:rFonts w:hint="eastAsia" w:ascii="Times New Roman"/>
        </w:rPr>
      </w:pPr>
      <w:r>
        <w:rPr>
          <w:rFonts w:hint="eastAsia" w:ascii="Times New Roman"/>
        </w:rPr>
        <w:t>井坑开挖前应先探明其他地下管线走向、标高，必要时</w:t>
      </w:r>
      <w:r>
        <w:rPr>
          <w:rFonts w:hint="eastAsia" w:ascii="Times New Roman"/>
          <w:lang w:eastAsia="zh-CN"/>
        </w:rPr>
        <w:t>编制</w:t>
      </w:r>
      <w:r>
        <w:rPr>
          <w:rFonts w:hint="eastAsia" w:ascii="Times New Roman"/>
        </w:rPr>
        <w:t>加固方案，</w:t>
      </w:r>
      <w:r>
        <w:rPr>
          <w:rFonts w:hint="eastAsia" w:ascii="Times New Roman"/>
          <w:lang w:eastAsia="zh-CN"/>
        </w:rPr>
        <w:t>经管线</w:t>
      </w:r>
      <w:r>
        <w:rPr>
          <w:rFonts w:hint="eastAsia" w:ascii="Times New Roman"/>
        </w:rPr>
        <w:t>产权单位</w:t>
      </w:r>
      <w:r>
        <w:rPr>
          <w:rFonts w:hint="eastAsia" w:ascii="Times New Roman"/>
          <w:lang w:eastAsia="zh-CN"/>
        </w:rPr>
        <w:t>同意</w:t>
      </w:r>
      <w:r>
        <w:rPr>
          <w:rFonts w:hint="eastAsia" w:ascii="Times New Roman"/>
        </w:rPr>
        <w:t>后再开挖。</w:t>
      </w:r>
    </w:p>
    <w:p>
      <w:pPr>
        <w:pStyle w:val="167"/>
        <w:rPr>
          <w:rFonts w:hint="eastAsia" w:ascii="Times New Roman"/>
        </w:rPr>
      </w:pPr>
      <w:r>
        <w:rPr>
          <w:rFonts w:hint="eastAsia" w:ascii="Times New Roman"/>
        </w:rPr>
        <w:t>检查井各部件的规格型号、位置尺寸应按设计要求进行选用，并按本规程附录E编制排水用塑料检查井工程备料表，与管道连接方式和尺寸应与连接管道匹配，且位置正确。</w:t>
      </w:r>
    </w:p>
    <w:p>
      <w:pPr>
        <w:pStyle w:val="167"/>
        <w:rPr>
          <w:rFonts w:hint="eastAsia" w:ascii="Times New Roman"/>
        </w:rPr>
      </w:pPr>
      <w:r>
        <w:rPr>
          <w:rFonts w:hint="eastAsia" w:ascii="Times New Roman"/>
        </w:rPr>
        <w:t>检查井</w:t>
      </w:r>
      <w:r>
        <w:rPr>
          <w:rFonts w:hint="eastAsia" w:ascii="Times New Roman"/>
          <w:lang w:eastAsia="zh-CN"/>
        </w:rPr>
        <w:t>井座</w:t>
      </w:r>
      <w:r>
        <w:rPr>
          <w:rFonts w:hint="eastAsia" w:ascii="Times New Roman"/>
        </w:rPr>
        <w:t>下沟前应对</w:t>
      </w:r>
      <w:r>
        <w:rPr>
          <w:rFonts w:hint="eastAsia" w:ascii="Times New Roman"/>
          <w:lang w:eastAsia="zh-CN"/>
        </w:rPr>
        <w:t>井座</w:t>
      </w:r>
      <w:r>
        <w:rPr>
          <w:rFonts w:hint="eastAsia" w:ascii="Times New Roman"/>
        </w:rPr>
        <w:t>基础进行验收。当地基被扰动、受水浸泡，或存在不良地基、土层时，应用砾石或级配砂石</w:t>
      </w:r>
      <w:r>
        <w:rPr>
          <w:rFonts w:hint="eastAsia" w:ascii="Times New Roman"/>
          <w:lang w:eastAsia="zh-CN"/>
        </w:rPr>
        <w:t>换</w:t>
      </w:r>
      <w:r>
        <w:rPr>
          <w:rFonts w:hint="eastAsia" w:ascii="Times New Roman"/>
        </w:rPr>
        <w:t>填</w:t>
      </w:r>
      <w:r>
        <w:rPr>
          <w:rFonts w:hint="eastAsia" w:ascii="Times New Roman"/>
          <w:lang w:eastAsia="zh-CN"/>
        </w:rPr>
        <w:t>夯实。超挖时，</w:t>
      </w:r>
      <w:r>
        <w:rPr>
          <w:rFonts w:hint="eastAsia" w:ascii="Times New Roman"/>
        </w:rPr>
        <w:t>应用砾石或级配砂石</w:t>
      </w:r>
      <w:r>
        <w:rPr>
          <w:rFonts w:hint="eastAsia" w:ascii="Times New Roman"/>
          <w:lang w:eastAsia="zh-CN"/>
        </w:rPr>
        <w:t>回填夯实，</w:t>
      </w:r>
      <w:r>
        <w:rPr>
          <w:rFonts w:hint="eastAsia" w:ascii="Times New Roman"/>
        </w:rPr>
        <w:t>达到设计要求后，方可继续施工。</w:t>
      </w:r>
    </w:p>
    <w:p>
      <w:pPr>
        <w:pStyle w:val="167"/>
        <w:rPr>
          <w:rFonts w:hint="eastAsia" w:ascii="Times New Roman"/>
        </w:rPr>
      </w:pPr>
      <w:r>
        <w:rPr>
          <w:rFonts w:hint="eastAsia" w:ascii="Times New Roman"/>
        </w:rPr>
        <w:t>检查井安装前应进行</w:t>
      </w:r>
      <w:r>
        <w:rPr>
          <w:rFonts w:hint="eastAsia" w:ascii="Times New Roman"/>
          <w:lang w:eastAsia="zh-CN"/>
        </w:rPr>
        <w:t>井座</w:t>
      </w:r>
      <w:r>
        <w:rPr>
          <w:rFonts w:hint="eastAsia" w:ascii="Times New Roman"/>
        </w:rPr>
        <w:t>、偏置收口等主要部件的预拼装，并应做好标记。</w:t>
      </w:r>
    </w:p>
    <w:p>
      <w:pPr>
        <w:pStyle w:val="167"/>
        <w:rPr>
          <w:rFonts w:hint="eastAsia" w:ascii="Times New Roman"/>
        </w:rPr>
      </w:pPr>
      <w:r>
        <w:rPr>
          <w:rFonts w:hint="eastAsia" w:ascii="Times New Roman"/>
        </w:rPr>
        <w:t>检查井各部件连接以及检查井与管道连接，应采取有效措施，保证其接口密封性能可靠，且检查井与管道之间的差异沉降不得影响管道接口的密封性能。</w:t>
      </w:r>
    </w:p>
    <w:p>
      <w:pPr>
        <w:pStyle w:val="167"/>
        <w:rPr>
          <w:rFonts w:hint="eastAsia" w:ascii="Times New Roman"/>
        </w:rPr>
      </w:pPr>
      <w:r>
        <w:rPr>
          <w:rFonts w:hint="eastAsia" w:ascii="Times New Roman"/>
        </w:rPr>
        <w:t>检查井在安装、回填过程中，井坑底部不得有积水</w:t>
      </w:r>
      <w:r>
        <w:rPr>
          <w:rFonts w:hint="eastAsia" w:ascii="Times New Roman"/>
          <w:lang w:eastAsia="zh-CN"/>
        </w:rPr>
        <w:t>、淤泥</w:t>
      </w:r>
      <w:r>
        <w:rPr>
          <w:rFonts w:hint="eastAsia" w:ascii="Times New Roman"/>
        </w:rPr>
        <w:t>或冰冻。</w:t>
      </w:r>
    </w:p>
    <w:p>
      <w:pPr>
        <w:pStyle w:val="167"/>
        <w:rPr>
          <w:rFonts w:hint="eastAsia" w:ascii="Times New Roman"/>
        </w:rPr>
      </w:pPr>
      <w:r>
        <w:rPr>
          <w:rFonts w:hint="eastAsia" w:ascii="Times New Roman"/>
        </w:rPr>
        <w:t>检查井井盖安装应与道路路面施工同时进行。</w:t>
      </w:r>
    </w:p>
    <w:p>
      <w:pPr>
        <w:pStyle w:val="107"/>
        <w:spacing w:before="156" w:after="156"/>
      </w:pPr>
      <w:bookmarkStart w:id="64" w:name="_Toc28657"/>
      <w:r>
        <w:rPr>
          <w:rFonts w:hint="eastAsia"/>
          <w:lang w:eastAsia="zh-CN"/>
        </w:rPr>
        <w:t>运输与储存</w:t>
      </w:r>
      <w:bookmarkEnd w:id="64"/>
    </w:p>
    <w:p>
      <w:pPr>
        <w:pStyle w:val="167"/>
        <w:rPr>
          <w:rFonts w:hint="eastAsia" w:ascii="Times New Roman"/>
        </w:rPr>
      </w:pPr>
      <w:r>
        <w:rPr>
          <w:rFonts w:hint="eastAsia" w:ascii="Times New Roman"/>
        </w:rPr>
        <w:t>检查井部件的运输应</w:t>
      </w:r>
      <w:r>
        <w:rPr>
          <w:rFonts w:hint="eastAsia" w:ascii="Times New Roman"/>
          <w:lang w:eastAsia="zh-CN"/>
        </w:rPr>
        <w:t>符合</w:t>
      </w:r>
      <w:r>
        <w:rPr>
          <w:rFonts w:hint="eastAsia" w:ascii="Times New Roman"/>
        </w:rPr>
        <w:t>下列规定：</w:t>
      </w:r>
    </w:p>
    <w:p>
      <w:pPr>
        <w:pStyle w:val="167"/>
        <w:numPr>
          <w:ilvl w:val="0"/>
          <w:numId w:val="41"/>
        </w:numPr>
        <w:ind w:left="795" w:leftChars="0" w:hanging="360" w:firstLineChars="0"/>
        <w:rPr>
          <w:rFonts w:hint="eastAsia" w:ascii="Times New Roman"/>
        </w:rPr>
      </w:pPr>
      <w:r>
        <w:rPr>
          <w:rFonts w:hint="eastAsia" w:ascii="Times New Roman"/>
        </w:rPr>
        <w:t>搬运时应轻拿轻放，不得滚、拖、抛；</w:t>
      </w:r>
    </w:p>
    <w:p>
      <w:pPr>
        <w:pStyle w:val="167"/>
        <w:numPr>
          <w:ilvl w:val="0"/>
          <w:numId w:val="41"/>
        </w:numPr>
        <w:ind w:left="795" w:leftChars="0" w:hanging="360" w:firstLineChars="0"/>
        <w:rPr>
          <w:rFonts w:hint="eastAsia" w:ascii="Times New Roman"/>
        </w:rPr>
      </w:pPr>
      <w:r>
        <w:rPr>
          <w:rFonts w:hint="eastAsia" w:ascii="Times New Roman"/>
        </w:rPr>
        <w:t>当采用机械设备吊装时，应采用非金属绳</w:t>
      </w:r>
      <w:r>
        <w:rPr>
          <w:rFonts w:hint="eastAsia" w:ascii="Times New Roman"/>
          <w:lang w:eastAsia="zh-CN"/>
        </w:rPr>
        <w:t>或</w:t>
      </w:r>
      <w:r>
        <w:rPr>
          <w:rFonts w:hint="eastAsia" w:ascii="Times New Roman"/>
        </w:rPr>
        <w:t>带吊装；</w:t>
      </w:r>
    </w:p>
    <w:p>
      <w:pPr>
        <w:pStyle w:val="167"/>
        <w:numPr>
          <w:ilvl w:val="0"/>
          <w:numId w:val="41"/>
        </w:numPr>
        <w:ind w:left="795" w:leftChars="0" w:hanging="360" w:firstLineChars="0"/>
        <w:rPr>
          <w:rFonts w:hint="eastAsia" w:ascii="Times New Roman"/>
        </w:rPr>
      </w:pPr>
      <w:r>
        <w:rPr>
          <w:rFonts w:hint="eastAsia" w:ascii="Times New Roman"/>
        </w:rPr>
        <w:t>运输时，应竖直放置，并采用非金属绳</w:t>
      </w:r>
      <w:r>
        <w:rPr>
          <w:rFonts w:hint="eastAsia" w:ascii="Times New Roman"/>
          <w:lang w:eastAsia="zh-CN"/>
        </w:rPr>
        <w:t>或</w:t>
      </w:r>
      <w:r>
        <w:rPr>
          <w:rFonts w:hint="eastAsia" w:ascii="Times New Roman"/>
        </w:rPr>
        <w:t>带捆绑、固定，且应采取防晒措施。</w:t>
      </w:r>
    </w:p>
    <w:p>
      <w:pPr>
        <w:pStyle w:val="167"/>
        <w:rPr>
          <w:rFonts w:hint="eastAsia" w:ascii="Times New Roman"/>
        </w:rPr>
      </w:pPr>
      <w:r>
        <w:rPr>
          <w:rFonts w:hint="eastAsia" w:ascii="Times New Roman"/>
        </w:rPr>
        <w:t>检查井</w:t>
      </w:r>
      <w:r>
        <w:rPr>
          <w:rFonts w:hint="eastAsia" w:ascii="Times New Roman"/>
          <w:lang w:eastAsia="zh-CN"/>
        </w:rPr>
        <w:t>部件</w:t>
      </w:r>
      <w:r>
        <w:rPr>
          <w:rFonts w:hint="eastAsia" w:ascii="Times New Roman"/>
        </w:rPr>
        <w:t>的储存应</w:t>
      </w:r>
      <w:r>
        <w:rPr>
          <w:rFonts w:hint="eastAsia" w:ascii="Times New Roman"/>
          <w:lang w:eastAsia="zh-CN"/>
        </w:rPr>
        <w:t>符合</w:t>
      </w:r>
      <w:r>
        <w:rPr>
          <w:rFonts w:hint="eastAsia" w:ascii="Times New Roman"/>
        </w:rPr>
        <w:t>下列规定：</w:t>
      </w:r>
    </w:p>
    <w:p>
      <w:pPr>
        <w:pStyle w:val="167"/>
        <w:numPr>
          <w:ilvl w:val="0"/>
          <w:numId w:val="42"/>
        </w:numPr>
        <w:ind w:left="795" w:leftChars="0" w:hanging="360" w:firstLineChars="0"/>
        <w:rPr>
          <w:rFonts w:hint="eastAsia" w:ascii="Times New Roman"/>
        </w:rPr>
      </w:pPr>
      <w:r>
        <w:rPr>
          <w:rFonts w:hint="eastAsia" w:ascii="Times New Roman"/>
        </w:rPr>
        <w:t>应放置在通风良好的棚内，并远离热源；</w:t>
      </w:r>
    </w:p>
    <w:p>
      <w:pPr>
        <w:pStyle w:val="167"/>
        <w:numPr>
          <w:ilvl w:val="0"/>
          <w:numId w:val="42"/>
        </w:numPr>
        <w:ind w:left="795" w:leftChars="0" w:hanging="360" w:firstLineChars="0"/>
        <w:rPr>
          <w:rFonts w:hint="eastAsia" w:ascii="Times New Roman"/>
        </w:rPr>
      </w:pPr>
      <w:r>
        <w:rPr>
          <w:rFonts w:hint="eastAsia" w:ascii="Times New Roman"/>
        </w:rPr>
        <w:t>露天临时存放时应有防晒措施；</w:t>
      </w:r>
    </w:p>
    <w:p>
      <w:pPr>
        <w:pStyle w:val="167"/>
        <w:numPr>
          <w:ilvl w:val="0"/>
          <w:numId w:val="42"/>
        </w:numPr>
        <w:ind w:left="795" w:leftChars="0" w:hanging="360" w:firstLineChars="0"/>
        <w:rPr>
          <w:rFonts w:hint="eastAsia" w:ascii="Times New Roman"/>
        </w:rPr>
      </w:pPr>
      <w:r>
        <w:rPr>
          <w:rFonts w:hint="eastAsia" w:ascii="Times New Roman"/>
        </w:rPr>
        <w:t>水平摆放时应有水平支撑物，并有防止承口变形的措施，不得叠压码放；</w:t>
      </w:r>
    </w:p>
    <w:p>
      <w:pPr>
        <w:pStyle w:val="167"/>
        <w:numPr>
          <w:ilvl w:val="0"/>
          <w:numId w:val="42"/>
        </w:numPr>
        <w:ind w:left="795" w:leftChars="0" w:hanging="360" w:firstLineChars="0"/>
        <w:rPr>
          <w:rFonts w:hint="eastAsia" w:ascii="Times New Roman"/>
        </w:rPr>
      </w:pPr>
      <w:bookmarkStart w:id="65" w:name="_Toc8876"/>
      <w:r>
        <w:rPr>
          <w:rFonts w:hint="eastAsia" w:ascii="Times New Roman"/>
        </w:rPr>
        <w:t>严禁与油类或化学品混合存放</w:t>
      </w:r>
      <w:bookmarkEnd w:id="65"/>
      <w:r>
        <w:rPr>
          <w:rFonts w:hint="eastAsia" w:ascii="Times New Roman"/>
        </w:rPr>
        <w:t>。</w:t>
      </w:r>
    </w:p>
    <w:p>
      <w:pPr>
        <w:pStyle w:val="107"/>
        <w:spacing w:before="156" w:after="156"/>
      </w:pPr>
      <w:bookmarkStart w:id="66" w:name="_Toc32672"/>
      <w:r>
        <w:rPr>
          <w:rFonts w:hint="eastAsia"/>
          <w:lang w:eastAsia="zh-CN"/>
        </w:rPr>
        <w:t>井坑与基础施工</w:t>
      </w:r>
      <w:bookmarkEnd w:id="66"/>
    </w:p>
    <w:p>
      <w:pPr>
        <w:pStyle w:val="167"/>
      </w:pPr>
      <w:r>
        <w:rPr>
          <w:rFonts w:hint="eastAsia" w:ascii="Times New Roman"/>
        </w:rPr>
        <w:t>井坑的开挖应与管沟同时进行，并应保持井座主管线与管沟中管道在同一轴线上。井坑开挖应符合下列要求：</w:t>
      </w:r>
    </w:p>
    <w:p>
      <w:pPr>
        <w:pStyle w:val="176"/>
        <w:numPr>
          <w:ilvl w:val="0"/>
          <w:numId w:val="43"/>
        </w:numPr>
        <w:rPr>
          <w:rFonts w:hint="eastAsia"/>
          <w:color w:val="000000"/>
        </w:rPr>
      </w:pPr>
      <w:r>
        <w:rPr>
          <w:rFonts w:hint="eastAsia"/>
          <w:color w:val="000000"/>
        </w:rPr>
        <w:t>井坑开挖应保证安全施工，应根据地质条件按现行国家标准《给水排水管道工程施工及验收规范》 GB 50268 的有关规定放坡开挖或采取支护措施</w:t>
      </w:r>
      <w:r>
        <w:rPr>
          <w:rFonts w:hint="eastAsia"/>
          <w:color w:val="000000"/>
          <w:lang w:eastAsia="zh-CN"/>
        </w:rPr>
        <w:t>；</w:t>
      </w:r>
    </w:p>
    <w:p>
      <w:pPr>
        <w:pStyle w:val="176"/>
        <w:numPr>
          <w:ilvl w:val="0"/>
          <w:numId w:val="43"/>
        </w:numPr>
        <w:rPr>
          <w:rFonts w:hint="eastAsia"/>
          <w:color w:val="000000"/>
        </w:rPr>
      </w:pPr>
      <w:r>
        <w:rPr>
          <w:rFonts w:hint="eastAsia"/>
          <w:color w:val="000000"/>
        </w:rPr>
        <w:t>开挖时，临时堆土或施加其他荷载不得影响井坑的稳定性，堆土高度及其距井坑边缘的距离应符合现行国家标准《给水排水管道工程施工及验收规范》GB 50268 的有关规定</w:t>
      </w:r>
      <w:r>
        <w:rPr>
          <w:rFonts w:hint="eastAsia"/>
          <w:color w:val="000000"/>
          <w:lang w:eastAsia="zh-CN"/>
        </w:rPr>
        <w:t>；</w:t>
      </w:r>
    </w:p>
    <w:p>
      <w:pPr>
        <w:pStyle w:val="176"/>
        <w:numPr>
          <w:ilvl w:val="0"/>
          <w:numId w:val="43"/>
        </w:numPr>
        <w:rPr>
          <w:rFonts w:hint="eastAsia"/>
          <w:color w:val="000000"/>
        </w:rPr>
      </w:pPr>
      <w:r>
        <w:rPr>
          <w:rFonts w:hint="eastAsia"/>
          <w:color w:val="000000"/>
        </w:rPr>
        <w:t>井坑无超挖，井坑底高允许偏差±10mm；局部天然地基超挖或扰动后应用砾石或级配砂石回填夯实，并符合设计要求</w:t>
      </w:r>
      <w:r>
        <w:rPr>
          <w:rFonts w:hint="eastAsia"/>
          <w:color w:val="000000"/>
          <w:lang w:eastAsia="zh-CN"/>
        </w:rPr>
        <w:t>；</w:t>
      </w:r>
    </w:p>
    <w:p>
      <w:pPr>
        <w:pStyle w:val="176"/>
        <w:numPr>
          <w:ilvl w:val="0"/>
          <w:numId w:val="43"/>
        </w:numPr>
      </w:pPr>
      <w:r>
        <w:rPr>
          <w:rFonts w:hint="eastAsia"/>
          <w:color w:val="000000"/>
        </w:rPr>
        <w:t>井坑边坡不得陡于管槽边坡，井坑底宽度不应小于设计规定，当无设计规定时，井坑底开挖尺寸不应小于表</w:t>
      </w:r>
      <w:r>
        <w:rPr>
          <w:rFonts w:hint="eastAsia"/>
          <w:color w:val="000000"/>
          <w:lang w:val="en-US" w:eastAsia="zh-CN"/>
        </w:rPr>
        <w:t>3</w:t>
      </w:r>
      <w:r>
        <w:rPr>
          <w:rFonts w:hint="eastAsia"/>
          <w:color w:val="000000"/>
        </w:rPr>
        <w:t>的规定；</w:t>
      </w:r>
    </w:p>
    <w:p>
      <w:pPr>
        <w:pStyle w:val="176"/>
        <w:numPr>
          <w:ilvl w:val="0"/>
          <w:numId w:val="0"/>
        </w:numPr>
        <w:ind w:left="425" w:leftChars="0"/>
        <w:jc w:val="center"/>
        <w:rPr>
          <w:rFonts w:hint="eastAsia" w:ascii="黑体" w:hAnsi="黑体" w:eastAsia="黑体" w:cs="黑体"/>
          <w:color w:val="000000"/>
          <w:lang w:val="en-US" w:eastAsia="zh-CN"/>
        </w:rPr>
      </w:pPr>
      <w:r>
        <w:rPr>
          <w:rFonts w:hint="eastAsia" w:ascii="黑体" w:hAnsi="黑体" w:eastAsia="黑体" w:cs="黑体"/>
          <w:color w:val="000000"/>
          <w:lang w:eastAsia="zh-CN"/>
        </w:rPr>
        <w:t>表</w:t>
      </w:r>
      <w:r>
        <w:rPr>
          <w:rFonts w:hint="eastAsia" w:ascii="黑体" w:hAnsi="黑体" w:eastAsia="黑体" w:cs="黑体"/>
          <w:color w:val="000000"/>
          <w:lang w:val="en-US" w:eastAsia="zh-CN"/>
        </w:rPr>
        <w:t xml:space="preserve">3 </w:t>
      </w:r>
      <w:r>
        <w:rPr>
          <w:rFonts w:hint="eastAsia" w:ascii="黑体" w:hAnsi="黑体" w:eastAsia="黑体" w:cs="黑体"/>
          <w:sz w:val="21"/>
          <w:szCs w:val="21"/>
        </w:rPr>
        <w:t>井坑底尺寸表</w:t>
      </w:r>
    </w:p>
    <w:tbl>
      <w:tblPr>
        <w:tblStyle w:val="27"/>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4940"/>
        <w:gridCol w:w="4389"/>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55" w:hRule="exact"/>
          <w:jc w:val="center"/>
        </w:trPr>
        <w:tc>
          <w:tcPr>
            <w:tcW w:w="4940" w:type="dxa"/>
            <w:tcBorders>
              <w:bottom w:val="single" w:color="auto" w:sz="8" w:space="0"/>
            </w:tcBorders>
            <w:noWrap w:val="0"/>
            <w:vAlign w:val="center"/>
          </w:tcPr>
          <w:p>
            <w:pPr>
              <w:spacing w:line="240" w:lineRule="auto"/>
              <w:jc w:val="center"/>
              <w:rPr>
                <w:rFonts w:hint="eastAsia" w:ascii="宋体" w:hAnsi="宋体" w:eastAsia="宋体" w:cs="宋体"/>
                <w:sz w:val="21"/>
                <w:szCs w:val="21"/>
              </w:rPr>
            </w:pPr>
            <w:r>
              <w:rPr>
                <w:rFonts w:hint="eastAsia" w:ascii="宋体" w:hAnsi="宋体" w:eastAsia="宋体" w:cs="宋体"/>
                <w:sz w:val="21"/>
                <w:szCs w:val="21"/>
              </w:rPr>
              <w:t>井径DN</w:t>
            </w:r>
          </w:p>
        </w:tc>
        <w:tc>
          <w:tcPr>
            <w:tcW w:w="4389" w:type="dxa"/>
            <w:tcBorders>
              <w:bottom w:val="single" w:color="auto" w:sz="8" w:space="0"/>
            </w:tcBorders>
            <w:noWrap w:val="0"/>
            <w:vAlign w:val="center"/>
          </w:tcPr>
          <w:p>
            <w:pPr>
              <w:spacing w:line="240" w:lineRule="auto"/>
              <w:jc w:val="center"/>
              <w:rPr>
                <w:rFonts w:hint="eastAsia" w:ascii="宋体" w:hAnsi="宋体" w:eastAsia="宋体" w:cs="宋体"/>
                <w:sz w:val="21"/>
                <w:szCs w:val="21"/>
              </w:rPr>
            </w:pPr>
            <w:r>
              <w:rPr>
                <w:rFonts w:hint="eastAsia" w:ascii="宋体" w:hAnsi="宋体" w:eastAsia="宋体" w:cs="宋体"/>
                <w:sz w:val="21"/>
                <w:szCs w:val="21"/>
              </w:rPr>
              <w:t>井坑底尺寸（mm）</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55" w:hRule="exact"/>
          <w:jc w:val="center"/>
        </w:trPr>
        <w:tc>
          <w:tcPr>
            <w:tcW w:w="4940" w:type="dxa"/>
            <w:tcBorders>
              <w:top w:val="single" w:color="auto" w:sz="8" w:space="0"/>
            </w:tcBorders>
            <w:noWrap w:val="0"/>
            <w:vAlign w:val="center"/>
          </w:tcPr>
          <w:p>
            <w:pPr>
              <w:spacing w:line="240" w:lineRule="auto"/>
              <w:jc w:val="center"/>
              <w:rPr>
                <w:rFonts w:hint="eastAsia" w:ascii="宋体" w:hAnsi="宋体" w:eastAsia="宋体" w:cs="宋体"/>
                <w:sz w:val="21"/>
                <w:szCs w:val="21"/>
              </w:rPr>
            </w:pPr>
            <w:r>
              <w:rPr>
                <w:rFonts w:hint="eastAsia" w:ascii="宋体" w:hAnsi="宋体" w:eastAsia="宋体" w:cs="宋体"/>
                <w:sz w:val="21"/>
                <w:szCs w:val="21"/>
              </w:rPr>
              <w:t>450</w:t>
            </w:r>
          </w:p>
        </w:tc>
        <w:tc>
          <w:tcPr>
            <w:tcW w:w="4389" w:type="dxa"/>
            <w:tcBorders>
              <w:top w:val="single" w:color="auto" w:sz="8" w:space="0"/>
            </w:tcBorders>
            <w:noWrap w:val="0"/>
            <w:vAlign w:val="center"/>
          </w:tcPr>
          <w:p>
            <w:pPr>
              <w:spacing w:line="240" w:lineRule="auto"/>
              <w:jc w:val="center"/>
              <w:rPr>
                <w:rFonts w:hint="eastAsia" w:ascii="宋体" w:hAnsi="宋体" w:eastAsia="宋体" w:cs="宋体"/>
                <w:sz w:val="21"/>
                <w:szCs w:val="21"/>
              </w:rPr>
            </w:pPr>
            <w:r>
              <w:rPr>
                <w:rFonts w:hint="eastAsia" w:ascii="宋体" w:hAnsi="宋体" w:eastAsia="宋体" w:cs="宋体"/>
                <w:sz w:val="21"/>
                <w:szCs w:val="21"/>
              </w:rPr>
              <w:t>1100×1100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55" w:hRule="exact"/>
          <w:jc w:val="center"/>
        </w:trPr>
        <w:tc>
          <w:tcPr>
            <w:tcW w:w="4940" w:type="dxa"/>
            <w:noWrap w:val="0"/>
            <w:vAlign w:val="center"/>
          </w:tcPr>
          <w:p>
            <w:pPr>
              <w:spacing w:line="240" w:lineRule="auto"/>
              <w:jc w:val="center"/>
              <w:rPr>
                <w:rFonts w:hint="eastAsia" w:ascii="宋体" w:hAnsi="宋体" w:eastAsia="宋体" w:cs="宋体"/>
                <w:sz w:val="21"/>
                <w:szCs w:val="21"/>
              </w:rPr>
            </w:pPr>
            <w:r>
              <w:rPr>
                <w:rFonts w:hint="eastAsia" w:ascii="宋体" w:hAnsi="宋体" w:eastAsia="宋体" w:cs="宋体"/>
                <w:sz w:val="21"/>
                <w:szCs w:val="21"/>
              </w:rPr>
              <w:t>630</w:t>
            </w:r>
          </w:p>
        </w:tc>
        <w:tc>
          <w:tcPr>
            <w:tcW w:w="4389" w:type="dxa"/>
            <w:noWrap w:val="0"/>
            <w:vAlign w:val="center"/>
          </w:tcPr>
          <w:p>
            <w:pPr>
              <w:spacing w:line="240" w:lineRule="auto"/>
              <w:jc w:val="center"/>
              <w:rPr>
                <w:rFonts w:hint="eastAsia" w:ascii="宋体" w:hAnsi="宋体" w:eastAsia="宋体" w:cs="宋体"/>
                <w:sz w:val="21"/>
                <w:szCs w:val="21"/>
              </w:rPr>
            </w:pPr>
            <w:r>
              <w:rPr>
                <w:rFonts w:hint="eastAsia" w:ascii="宋体" w:hAnsi="宋体" w:eastAsia="宋体" w:cs="宋体"/>
                <w:sz w:val="21"/>
                <w:szCs w:val="21"/>
              </w:rPr>
              <w:t>1300×1300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55" w:hRule="exact"/>
          <w:jc w:val="center"/>
        </w:trPr>
        <w:tc>
          <w:tcPr>
            <w:tcW w:w="4940" w:type="dxa"/>
            <w:noWrap w:val="0"/>
            <w:vAlign w:val="center"/>
          </w:tcPr>
          <w:p>
            <w:pPr>
              <w:spacing w:line="240" w:lineRule="auto"/>
              <w:jc w:val="center"/>
              <w:rPr>
                <w:rFonts w:hint="eastAsia" w:ascii="宋体" w:hAnsi="宋体" w:eastAsia="宋体" w:cs="宋体"/>
                <w:sz w:val="21"/>
                <w:szCs w:val="21"/>
              </w:rPr>
            </w:pPr>
            <w:r>
              <w:rPr>
                <w:rFonts w:hint="eastAsia" w:ascii="宋体" w:hAnsi="宋体" w:eastAsia="宋体" w:cs="宋体"/>
                <w:sz w:val="21"/>
                <w:szCs w:val="21"/>
              </w:rPr>
              <w:t>700</w:t>
            </w:r>
          </w:p>
        </w:tc>
        <w:tc>
          <w:tcPr>
            <w:tcW w:w="4389" w:type="dxa"/>
            <w:noWrap w:val="0"/>
            <w:vAlign w:val="center"/>
          </w:tcPr>
          <w:p>
            <w:pPr>
              <w:spacing w:line="240" w:lineRule="auto"/>
              <w:jc w:val="center"/>
              <w:rPr>
                <w:rFonts w:hint="eastAsia" w:ascii="宋体" w:hAnsi="宋体" w:eastAsia="宋体" w:cs="宋体"/>
                <w:sz w:val="21"/>
                <w:szCs w:val="21"/>
              </w:rPr>
            </w:pPr>
            <w:r>
              <w:rPr>
                <w:rFonts w:hint="eastAsia" w:ascii="宋体" w:hAnsi="宋体" w:eastAsia="宋体" w:cs="宋体"/>
                <w:sz w:val="21"/>
                <w:szCs w:val="21"/>
              </w:rPr>
              <w:t>1500×1500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73" w:hRule="exact"/>
          <w:jc w:val="center"/>
        </w:trPr>
        <w:tc>
          <w:tcPr>
            <w:tcW w:w="4940" w:type="dxa"/>
            <w:noWrap w:val="0"/>
            <w:vAlign w:val="center"/>
          </w:tcPr>
          <w:p>
            <w:pPr>
              <w:spacing w:line="240" w:lineRule="auto"/>
              <w:jc w:val="center"/>
              <w:rPr>
                <w:rFonts w:hint="eastAsia" w:ascii="宋体" w:hAnsi="宋体" w:eastAsia="宋体" w:cs="宋体"/>
                <w:sz w:val="21"/>
                <w:szCs w:val="21"/>
              </w:rPr>
            </w:pPr>
            <w:r>
              <w:rPr>
                <w:rFonts w:hint="eastAsia" w:ascii="宋体" w:hAnsi="宋体" w:eastAsia="宋体" w:cs="宋体"/>
                <w:sz w:val="21"/>
                <w:szCs w:val="21"/>
              </w:rPr>
              <w:t>1000</w:t>
            </w:r>
          </w:p>
        </w:tc>
        <w:tc>
          <w:tcPr>
            <w:tcW w:w="4389" w:type="dxa"/>
            <w:noWrap w:val="0"/>
            <w:vAlign w:val="center"/>
          </w:tcPr>
          <w:p>
            <w:pPr>
              <w:spacing w:line="240" w:lineRule="auto"/>
              <w:jc w:val="center"/>
              <w:rPr>
                <w:rFonts w:hint="eastAsia" w:ascii="宋体" w:hAnsi="宋体" w:eastAsia="宋体" w:cs="宋体"/>
                <w:sz w:val="21"/>
                <w:szCs w:val="21"/>
              </w:rPr>
            </w:pPr>
            <w:r>
              <w:rPr>
                <w:rFonts w:hint="eastAsia" w:ascii="宋体" w:hAnsi="宋体" w:eastAsia="宋体" w:cs="宋体"/>
                <w:sz w:val="21"/>
                <w:szCs w:val="21"/>
              </w:rPr>
              <w:t>2000×2000</w:t>
            </w:r>
          </w:p>
        </w:tc>
      </w:tr>
    </w:tbl>
    <w:p>
      <w:pPr>
        <w:pStyle w:val="176"/>
        <w:numPr>
          <w:ilvl w:val="0"/>
          <w:numId w:val="0"/>
        </w:numPr>
        <w:ind w:left="425" w:leftChars="0"/>
        <w:rPr>
          <w:rFonts w:hint="eastAsia"/>
          <w:color w:val="000000"/>
          <w:lang w:eastAsia="zh-CN"/>
        </w:rPr>
      </w:pPr>
    </w:p>
    <w:p>
      <w:pPr>
        <w:pStyle w:val="176"/>
        <w:rPr>
          <w:rFonts w:hint="eastAsia"/>
          <w:color w:val="000000"/>
        </w:rPr>
      </w:pPr>
      <w:r>
        <w:rPr>
          <w:rFonts w:hint="eastAsia"/>
          <w:color w:val="000000"/>
        </w:rPr>
        <w:t>沉泥检查井井坑可根据沉泥室的尺寸进行局部开挖</w:t>
      </w:r>
      <w:r>
        <w:rPr>
          <w:rFonts w:hint="eastAsia"/>
          <w:color w:val="000000"/>
          <w:lang w:eastAsia="zh-CN"/>
        </w:rPr>
        <w:t>；</w:t>
      </w:r>
    </w:p>
    <w:p>
      <w:pPr>
        <w:pStyle w:val="176"/>
        <w:rPr>
          <w:rFonts w:hint="eastAsia"/>
          <w:color w:val="000000"/>
        </w:rPr>
      </w:pPr>
      <w:r>
        <w:rPr>
          <w:rFonts w:hint="eastAsia"/>
          <w:color w:val="000000"/>
        </w:rPr>
        <w:t>井坑底部的砖、石等坚硬物体应清除</w:t>
      </w:r>
      <w:r>
        <w:rPr>
          <w:rFonts w:hint="eastAsia"/>
          <w:color w:val="000000"/>
          <w:lang w:eastAsia="zh-CN"/>
        </w:rPr>
        <w:t>；</w:t>
      </w:r>
    </w:p>
    <w:p>
      <w:pPr>
        <w:pStyle w:val="176"/>
        <w:rPr>
          <w:rFonts w:hint="eastAsia"/>
          <w:color w:val="000000"/>
        </w:rPr>
      </w:pPr>
      <w:r>
        <w:rPr>
          <w:rFonts w:hint="eastAsia"/>
          <w:color w:val="000000"/>
        </w:rPr>
        <w:t>当地下水位高于坑底时，</w:t>
      </w:r>
      <w:r>
        <w:rPr>
          <w:rFonts w:hint="eastAsia"/>
          <w:color w:val="000000"/>
          <w:lang w:eastAsia="zh-CN"/>
        </w:rPr>
        <w:t>将</w:t>
      </w:r>
      <w:r>
        <w:rPr>
          <w:rFonts w:hint="eastAsia"/>
          <w:color w:val="000000"/>
        </w:rPr>
        <w:t>把地下水降至井坑最低点500mm 以下。</w:t>
      </w:r>
    </w:p>
    <w:p>
      <w:pPr>
        <w:pStyle w:val="167"/>
      </w:pPr>
      <w:r>
        <w:rPr>
          <w:rFonts w:hint="eastAsia" w:ascii="Times New Roman"/>
        </w:rPr>
        <w:t>检查井基础做法应根据地质资料和回填土下曳力，经计算确定。无资料时，可按下列规定进行：</w:t>
      </w:r>
    </w:p>
    <w:p>
      <w:pPr>
        <w:pStyle w:val="176"/>
        <w:numPr>
          <w:ilvl w:val="0"/>
          <w:numId w:val="44"/>
        </w:numPr>
        <w:rPr>
          <w:rFonts w:hint="eastAsia"/>
          <w:color w:val="000000"/>
        </w:rPr>
      </w:pPr>
      <w:r>
        <w:rPr>
          <w:rFonts w:hint="eastAsia"/>
          <w:color w:val="000000"/>
        </w:rPr>
        <w:t>砂土、岩土、砂砾土土质的在井坑内铺设100mm中粗砂垫层</w:t>
      </w:r>
      <w:r>
        <w:rPr>
          <w:rFonts w:hint="eastAsia"/>
          <w:color w:val="000000"/>
          <w:lang w:eastAsia="zh-CN"/>
        </w:rPr>
        <w:t>，见图</w:t>
      </w:r>
      <w:r>
        <w:rPr>
          <w:rFonts w:hint="eastAsia"/>
          <w:color w:val="000000"/>
          <w:lang w:val="en-US" w:eastAsia="zh-CN"/>
        </w:rPr>
        <w:t>7a</w:t>
      </w:r>
      <w:r>
        <w:rPr>
          <w:rFonts w:hint="eastAsia"/>
          <w:color w:val="000000"/>
        </w:rPr>
        <w:t xml:space="preserve">；          </w:t>
      </w:r>
    </w:p>
    <w:p>
      <w:pPr>
        <w:pStyle w:val="176"/>
        <w:numPr>
          <w:ilvl w:val="0"/>
          <w:numId w:val="44"/>
        </w:numPr>
        <w:rPr>
          <w:rFonts w:hint="eastAsia"/>
          <w:color w:val="000000"/>
        </w:rPr>
      </w:pPr>
      <w:r>
        <w:rPr>
          <w:rFonts w:hint="eastAsia"/>
          <w:color w:val="000000"/>
        </w:rPr>
        <w:t>软土基础需铺设150mm厚碎石或粒径</w:t>
      </w:r>
      <w:r>
        <w:rPr>
          <w:rFonts w:hint="eastAsia"/>
          <w:color w:val="000000"/>
          <w:lang w:val="en-US" w:eastAsia="zh-CN"/>
        </w:rPr>
        <w:t>为</w:t>
      </w:r>
      <w:r>
        <w:rPr>
          <w:rFonts w:hint="eastAsia"/>
          <w:color w:val="000000"/>
        </w:rPr>
        <w:t>5</w:t>
      </w:r>
      <w:r>
        <w:rPr>
          <w:rFonts w:hint="eastAsia"/>
          <w:color w:val="000000"/>
          <w:lang w:val="en-US" w:eastAsia="zh-CN"/>
        </w:rPr>
        <w:t>mm</w:t>
      </w:r>
      <w:r>
        <w:rPr>
          <w:rFonts w:hint="eastAsia"/>
          <w:color w:val="000000"/>
        </w:rPr>
        <w:t>～40mm砾石，夯实后上层再铺50mm中粗砂垫层</w:t>
      </w:r>
      <w:r>
        <w:rPr>
          <w:rFonts w:hint="eastAsia"/>
          <w:color w:val="000000"/>
          <w:lang w:eastAsia="zh-CN"/>
        </w:rPr>
        <w:t>，见图</w:t>
      </w:r>
      <w:r>
        <w:rPr>
          <w:rFonts w:hint="eastAsia"/>
          <w:color w:val="000000"/>
          <w:lang w:val="en-US" w:eastAsia="zh-CN"/>
        </w:rPr>
        <w:t>7b</w:t>
      </w:r>
      <w:r>
        <w:rPr>
          <w:rFonts w:hint="eastAsia"/>
          <w:color w:val="000000"/>
        </w:rPr>
        <w:t>；</w:t>
      </w:r>
    </w:p>
    <w:p>
      <w:pPr>
        <w:pStyle w:val="176"/>
        <w:numPr>
          <w:ilvl w:val="0"/>
          <w:numId w:val="44"/>
        </w:numPr>
        <w:rPr>
          <w:rFonts w:hint="eastAsia"/>
          <w:color w:val="000000"/>
        </w:rPr>
      </w:pPr>
      <w:r>
        <w:rPr>
          <w:rFonts w:hint="eastAsia"/>
          <w:color w:val="000000"/>
        </w:rPr>
        <w:t>当检查井基础为垃圾填埋、淤泥等较差土质时，检查井基础应由设计单位根据实际土质情况进行</w:t>
      </w:r>
      <w:r>
        <w:rPr>
          <w:rFonts w:hint="eastAsia"/>
          <w:color w:val="000000"/>
          <w:lang w:val="en-US" w:eastAsia="zh-CN"/>
        </w:rPr>
        <w:t>专项设计</w:t>
      </w:r>
      <w:r>
        <w:rPr>
          <w:rFonts w:hint="eastAsia"/>
          <w:color w:val="000000"/>
          <w:lang w:eastAsia="zh-CN"/>
        </w:rPr>
        <w:t>。</w:t>
      </w:r>
    </w:p>
    <w:p>
      <w:pPr>
        <w:pStyle w:val="176"/>
        <w:numPr>
          <w:ilvl w:val="0"/>
          <w:numId w:val="0"/>
        </w:numPr>
        <w:ind w:left="425" w:leftChars="0"/>
        <w:jc w:val="right"/>
        <w:rPr>
          <w:rFonts w:hint="eastAsia" w:ascii="Arial" w:hAnsi="Arial" w:cs="Arial"/>
          <w:lang w:eastAsia="zh-CN"/>
        </w:rPr>
      </w:pPr>
    </w:p>
    <w:p>
      <w:pPr>
        <w:pStyle w:val="176"/>
        <w:numPr>
          <w:ilvl w:val="0"/>
          <w:numId w:val="0"/>
        </w:numPr>
        <w:ind w:left="425" w:leftChars="0"/>
        <w:jc w:val="right"/>
        <w:rPr>
          <w:rFonts w:hint="eastAsia" w:ascii="Arial" w:hAnsi="Arial" w:cs="Arial"/>
          <w:lang w:eastAsia="zh-CN"/>
        </w:rPr>
      </w:pPr>
    </w:p>
    <w:p>
      <w:pPr>
        <w:pStyle w:val="176"/>
        <w:numPr>
          <w:ilvl w:val="0"/>
          <w:numId w:val="0"/>
        </w:numPr>
        <w:ind w:left="425" w:leftChars="0"/>
        <w:jc w:val="right"/>
        <w:rPr>
          <w:rFonts w:hint="eastAsia" w:ascii="Arial" w:hAnsi="Arial" w:cs="Arial"/>
          <w:lang w:eastAsia="zh-CN"/>
        </w:rPr>
      </w:pPr>
    </w:p>
    <w:p>
      <w:pPr>
        <w:pStyle w:val="176"/>
        <w:numPr>
          <w:ilvl w:val="0"/>
          <w:numId w:val="0"/>
        </w:numPr>
        <w:ind w:left="425" w:leftChars="0"/>
        <w:jc w:val="right"/>
        <w:rPr>
          <w:rFonts w:hint="eastAsia" w:ascii="Arial" w:hAnsi="Arial" w:cs="Arial"/>
          <w:lang w:eastAsia="zh-CN"/>
        </w:rPr>
      </w:pPr>
    </w:p>
    <w:p>
      <w:pPr>
        <w:pStyle w:val="176"/>
        <w:numPr>
          <w:ilvl w:val="0"/>
          <w:numId w:val="0"/>
        </w:numPr>
        <w:ind w:left="425" w:leftChars="0"/>
        <w:jc w:val="right"/>
        <w:rPr>
          <w:rFonts w:hint="eastAsia" w:ascii="Arial" w:hAnsi="Arial" w:cs="Arial"/>
          <w:lang w:eastAsia="zh-CN"/>
        </w:rPr>
      </w:pPr>
    </w:p>
    <w:p>
      <w:pPr>
        <w:pStyle w:val="176"/>
        <w:numPr>
          <w:ilvl w:val="0"/>
          <w:numId w:val="0"/>
        </w:numPr>
        <w:ind w:left="425" w:leftChars="0"/>
        <w:jc w:val="right"/>
        <w:rPr>
          <w:rFonts w:hint="eastAsia" w:ascii="Arial" w:hAnsi="Arial" w:cs="Arial"/>
          <w:lang w:eastAsia="zh-CN"/>
        </w:rPr>
      </w:pPr>
    </w:p>
    <w:p>
      <w:pPr>
        <w:pStyle w:val="176"/>
        <w:numPr>
          <w:ilvl w:val="0"/>
          <w:numId w:val="0"/>
        </w:numPr>
        <w:ind w:left="425" w:leftChars="0"/>
        <w:jc w:val="right"/>
        <w:rPr>
          <w:rFonts w:hint="eastAsia" w:ascii="Arial" w:hAnsi="Arial" w:cs="Arial"/>
          <w:lang w:eastAsia="zh-CN"/>
        </w:rPr>
      </w:pPr>
      <w:r>
        <w:rPr>
          <w:rFonts w:hint="eastAsia" w:ascii="Arial" w:hAnsi="Arial" w:cs="Arial"/>
          <w:lang w:eastAsia="zh-CN"/>
        </w:rPr>
        <w:t>单位为毫米</w:t>
      </w:r>
    </w:p>
    <w:p>
      <w:pPr>
        <w:pStyle w:val="176"/>
        <w:numPr>
          <w:ilvl w:val="0"/>
          <w:numId w:val="0"/>
        </w:numPr>
        <w:ind w:left="425" w:leftChars="0"/>
        <w:jc w:val="center"/>
        <w:rPr>
          <w:rFonts w:hint="eastAsia"/>
          <w:color w:val="000000"/>
        </w:rPr>
      </w:pPr>
      <w:r>
        <w:rPr>
          <w:rFonts w:ascii="Arial" w:hAnsi="Arial" w:cs="Arial"/>
        </w:rPr>
        <w:drawing>
          <wp:inline distT="0" distB="0" distL="114300" distR="114300">
            <wp:extent cx="2396490" cy="1873250"/>
            <wp:effectExtent l="0" t="0" r="3810" b="12700"/>
            <wp:docPr id="50" name="图片 11" descr="1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11" descr="1111"/>
                    <pic:cNvPicPr>
                      <a:picLocks noChangeAspect="1"/>
                    </pic:cNvPicPr>
                  </pic:nvPicPr>
                  <pic:blipFill>
                    <a:blip r:embed="rId27"/>
                    <a:srcRect b="14772"/>
                    <a:stretch>
                      <a:fillRect/>
                    </a:stretch>
                  </pic:blipFill>
                  <pic:spPr>
                    <a:xfrm>
                      <a:off x="0" y="0"/>
                      <a:ext cx="2396490" cy="1873250"/>
                    </a:xfrm>
                    <a:prstGeom prst="rect">
                      <a:avLst/>
                    </a:prstGeom>
                    <a:noFill/>
                    <a:ln>
                      <a:noFill/>
                    </a:ln>
                  </pic:spPr>
                </pic:pic>
              </a:graphicData>
            </a:graphic>
          </wp:inline>
        </w:drawing>
      </w:r>
      <w:r>
        <w:rPr>
          <w:rFonts w:hint="eastAsia" w:ascii="Arial" w:hAnsi="Arial" w:cs="Arial"/>
          <w:lang w:val="en-US" w:eastAsia="zh-CN"/>
        </w:rPr>
        <w:t xml:space="preserve">       </w:t>
      </w:r>
      <w:r>
        <w:rPr>
          <w:rFonts w:hint="eastAsia" w:ascii="Arial" w:hAnsi="Arial" w:eastAsia="宋体" w:cs="Arial"/>
          <w:lang w:eastAsia="zh-CN"/>
        </w:rPr>
        <w:drawing>
          <wp:inline distT="0" distB="0" distL="114300" distR="114300">
            <wp:extent cx="2376805" cy="1882140"/>
            <wp:effectExtent l="0" t="0" r="0" b="0"/>
            <wp:docPr id="51" name="图片 12"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12" descr="图片1"/>
                    <pic:cNvPicPr>
                      <a:picLocks noChangeAspect="1"/>
                    </pic:cNvPicPr>
                  </pic:nvPicPr>
                  <pic:blipFill>
                    <a:blip r:embed="rId28"/>
                    <a:srcRect b="9936"/>
                    <a:stretch>
                      <a:fillRect/>
                    </a:stretch>
                  </pic:blipFill>
                  <pic:spPr>
                    <a:xfrm>
                      <a:off x="0" y="0"/>
                      <a:ext cx="2376805" cy="1882140"/>
                    </a:xfrm>
                    <a:prstGeom prst="rect">
                      <a:avLst/>
                    </a:prstGeom>
                    <a:noFill/>
                    <a:ln>
                      <a:noFill/>
                    </a:ln>
                  </pic:spPr>
                </pic:pic>
              </a:graphicData>
            </a:graphic>
          </wp:inline>
        </w:drawing>
      </w:r>
    </w:p>
    <w:p>
      <w:pPr>
        <w:pStyle w:val="176"/>
        <w:numPr>
          <w:ilvl w:val="0"/>
          <w:numId w:val="45"/>
        </w:numPr>
        <w:ind w:left="425" w:leftChars="0"/>
        <w:jc w:val="center"/>
        <w:rPr>
          <w:rFonts w:hint="eastAsia" w:ascii="黑体" w:hAnsi="黑体" w:eastAsia="黑体" w:cs="黑体"/>
          <w:lang w:val="en-US" w:eastAsia="zh-CN"/>
        </w:rPr>
      </w:pPr>
      <w:r>
        <w:rPr>
          <w:rFonts w:hint="eastAsia" w:ascii="黑体" w:hAnsi="黑体" w:eastAsia="黑体" w:cs="黑体"/>
          <w:sz w:val="18"/>
          <w:szCs w:val="18"/>
          <w:lang w:eastAsia="zh-CN"/>
        </w:rPr>
        <w:t>一般基础</w:t>
      </w:r>
      <w:r>
        <w:rPr>
          <w:rFonts w:hint="eastAsia" w:ascii="黑体" w:hAnsi="黑体" w:eastAsia="黑体" w:cs="黑体"/>
          <w:lang w:val="en-US" w:eastAsia="zh-CN"/>
        </w:rPr>
        <w:t xml:space="preserve">                                   </w:t>
      </w:r>
      <w:r>
        <w:rPr>
          <w:rFonts w:hint="eastAsia" w:ascii="黑体" w:hAnsi="黑体" w:eastAsia="黑体" w:cs="黑体"/>
          <w:sz w:val="18"/>
          <w:szCs w:val="18"/>
          <w:lang w:val="en-US" w:eastAsia="zh-CN"/>
        </w:rPr>
        <w:t>b)软土基础</w:t>
      </w:r>
    </w:p>
    <w:p>
      <w:pPr>
        <w:pStyle w:val="176"/>
        <w:numPr>
          <w:ilvl w:val="0"/>
          <w:numId w:val="0"/>
        </w:numPr>
        <w:ind w:left="-1" w:leftChars="0"/>
        <w:jc w:val="center"/>
        <w:rPr>
          <w:rFonts w:hint="eastAsia" w:ascii="黑体" w:hAnsi="黑体" w:eastAsia="黑体" w:cs="黑体"/>
          <w:lang w:val="en-US" w:eastAsia="zh-CN"/>
        </w:rPr>
      </w:pPr>
      <w:r>
        <w:rPr>
          <w:rFonts w:hint="eastAsia" w:ascii="黑体" w:hAnsi="黑体" w:eastAsia="黑体" w:cs="黑体"/>
          <w:lang w:eastAsia="zh-CN"/>
        </w:rPr>
        <w:t>图</w:t>
      </w:r>
      <w:r>
        <w:rPr>
          <w:rFonts w:hint="eastAsia" w:ascii="黑体" w:hAnsi="黑体" w:eastAsia="黑体" w:cs="黑体"/>
          <w:lang w:val="en-US" w:eastAsia="zh-CN"/>
        </w:rPr>
        <w:t>7  检查井基础</w:t>
      </w:r>
    </w:p>
    <w:p>
      <w:pPr>
        <w:pStyle w:val="167"/>
      </w:pPr>
      <w:r>
        <w:rPr>
          <w:rFonts w:hint="eastAsia" w:ascii="Times New Roman"/>
        </w:rPr>
        <w:t>检查井基础应符合下列要求：</w:t>
      </w:r>
    </w:p>
    <w:p>
      <w:pPr>
        <w:pStyle w:val="176"/>
        <w:numPr>
          <w:ilvl w:val="0"/>
          <w:numId w:val="46"/>
        </w:numPr>
        <w:rPr>
          <w:rFonts w:hint="eastAsia"/>
          <w:color w:val="000000"/>
        </w:rPr>
      </w:pPr>
      <w:r>
        <w:rPr>
          <w:rFonts w:hint="eastAsia"/>
          <w:color w:val="000000"/>
        </w:rPr>
        <w:t>基础标高允许偏差±15mm；</w:t>
      </w:r>
    </w:p>
    <w:p>
      <w:pPr>
        <w:pStyle w:val="176"/>
        <w:numPr>
          <w:ilvl w:val="0"/>
          <w:numId w:val="46"/>
        </w:numPr>
        <w:rPr>
          <w:rFonts w:hint="eastAsia"/>
          <w:color w:val="000000"/>
        </w:rPr>
      </w:pPr>
      <w:r>
        <w:rPr>
          <w:rFonts w:hint="eastAsia"/>
          <w:color w:val="000000"/>
        </w:rPr>
        <w:t>基础两侧宽度允许偏差±10mm；</w:t>
      </w:r>
    </w:p>
    <w:p>
      <w:pPr>
        <w:pStyle w:val="176"/>
        <w:numPr>
          <w:ilvl w:val="0"/>
          <w:numId w:val="46"/>
        </w:numPr>
        <w:rPr>
          <w:rFonts w:hint="eastAsia"/>
          <w:color w:val="000000"/>
        </w:rPr>
      </w:pPr>
      <w:r>
        <w:rPr>
          <w:rFonts w:hint="eastAsia"/>
          <w:color w:val="000000"/>
        </w:rPr>
        <w:t>基础厚度允许偏差±10mm</w:t>
      </w:r>
      <w:r>
        <w:rPr>
          <w:rFonts w:hint="eastAsia"/>
          <w:color w:val="000000"/>
          <w:lang w:eastAsia="zh-CN"/>
        </w:rPr>
        <w:t>；</w:t>
      </w:r>
    </w:p>
    <w:p>
      <w:pPr>
        <w:pStyle w:val="176"/>
        <w:numPr>
          <w:ilvl w:val="0"/>
          <w:numId w:val="46"/>
        </w:numPr>
        <w:rPr>
          <w:rFonts w:hint="eastAsia"/>
          <w:color w:val="000000"/>
        </w:rPr>
      </w:pPr>
      <w:r>
        <w:rPr>
          <w:rFonts w:hint="eastAsia"/>
          <w:color w:val="000000"/>
        </w:rPr>
        <w:t>基础密实度不应小于0.95或与排水管道基础一致。</w:t>
      </w:r>
    </w:p>
    <w:p>
      <w:pPr>
        <w:pStyle w:val="107"/>
        <w:spacing w:before="156" w:after="156"/>
        <w:rPr>
          <w:rFonts w:hint="eastAsia"/>
          <w:lang w:eastAsia="zh-CN"/>
        </w:rPr>
      </w:pPr>
      <w:bookmarkStart w:id="67" w:name="_Toc6339"/>
      <w:r>
        <w:rPr>
          <w:rFonts w:hint="eastAsia"/>
          <w:lang w:eastAsia="zh-CN"/>
        </w:rPr>
        <w:t>井座安装与接管</w:t>
      </w:r>
      <w:bookmarkEnd w:id="67"/>
    </w:p>
    <w:p>
      <w:pPr>
        <w:pStyle w:val="167"/>
        <w:rPr>
          <w:rFonts w:hint="eastAsia" w:ascii="Times New Roman"/>
        </w:rPr>
      </w:pPr>
      <w:r>
        <w:rPr>
          <w:rFonts w:hint="eastAsia" w:ascii="Times New Roman"/>
          <w:lang w:eastAsia="zh-CN"/>
        </w:rPr>
        <w:t>井座</w:t>
      </w:r>
      <w:r>
        <w:rPr>
          <w:rFonts w:hint="eastAsia" w:ascii="Times New Roman"/>
        </w:rPr>
        <w:t>安装前应复核</w:t>
      </w:r>
      <w:r>
        <w:rPr>
          <w:rFonts w:hint="eastAsia" w:ascii="Times New Roman"/>
          <w:lang w:eastAsia="zh-CN"/>
        </w:rPr>
        <w:t>井座</w:t>
      </w:r>
      <w:r>
        <w:rPr>
          <w:rFonts w:hint="eastAsia" w:ascii="Times New Roman"/>
        </w:rPr>
        <w:t>编号、规格、接管管径</w:t>
      </w:r>
      <w:r>
        <w:rPr>
          <w:rFonts w:hint="eastAsia" w:ascii="Times New Roman"/>
          <w:lang w:eastAsia="zh-CN"/>
        </w:rPr>
        <w:t>。</w:t>
      </w:r>
      <w:r>
        <w:rPr>
          <w:rFonts w:hint="eastAsia" w:ascii="Times New Roman"/>
        </w:rPr>
        <w:t>对</w:t>
      </w:r>
      <w:r>
        <w:rPr>
          <w:rFonts w:hint="eastAsia" w:ascii="Times New Roman"/>
          <w:lang w:eastAsia="zh-CN"/>
        </w:rPr>
        <w:t>底部有</w:t>
      </w:r>
      <w:r>
        <w:rPr>
          <w:rFonts w:hint="eastAsia" w:ascii="Times New Roman"/>
        </w:rPr>
        <w:t>空腔的</w:t>
      </w:r>
      <w:r>
        <w:rPr>
          <w:rFonts w:hint="eastAsia" w:ascii="Times New Roman"/>
          <w:lang w:eastAsia="zh-CN"/>
        </w:rPr>
        <w:t>井座</w:t>
      </w:r>
      <w:r>
        <w:rPr>
          <w:rFonts w:hint="eastAsia" w:ascii="Times New Roman"/>
        </w:rPr>
        <w:t>，宜采用泡沫混凝土或类似材料填充固化后方可下沟安装。</w:t>
      </w:r>
    </w:p>
    <w:p>
      <w:pPr>
        <w:pStyle w:val="167"/>
      </w:pPr>
      <w:r>
        <w:rPr>
          <w:rFonts w:hint="eastAsia" w:ascii="Times New Roman"/>
        </w:rPr>
        <w:t>检查井与管道的连接安装顺序为：</w:t>
      </w:r>
    </w:p>
    <w:p>
      <w:pPr>
        <w:pStyle w:val="176"/>
        <w:numPr>
          <w:ilvl w:val="0"/>
          <w:numId w:val="47"/>
        </w:numPr>
        <w:rPr>
          <w:rFonts w:hint="eastAsia"/>
          <w:color w:val="000000"/>
        </w:rPr>
      </w:pPr>
      <w:r>
        <w:rPr>
          <w:rFonts w:hint="eastAsia"/>
          <w:color w:val="000000"/>
        </w:rPr>
        <w:t>建筑小区应从管道的上游向下游延伸的顺序进行安装；</w:t>
      </w:r>
    </w:p>
    <w:p>
      <w:pPr>
        <w:pStyle w:val="176"/>
        <w:numPr>
          <w:ilvl w:val="0"/>
          <w:numId w:val="47"/>
        </w:numPr>
        <w:rPr>
          <w:rFonts w:hint="eastAsia"/>
          <w:color w:val="000000"/>
          <w:lang w:eastAsia="zh-CN"/>
        </w:rPr>
      </w:pPr>
      <w:r>
        <w:rPr>
          <w:rFonts w:hint="eastAsia"/>
          <w:color w:val="000000"/>
        </w:rPr>
        <w:t>市政管道应从管道的下游向上游延伸的顺序进行安装</w:t>
      </w:r>
      <w:r>
        <w:rPr>
          <w:rFonts w:hint="eastAsia"/>
          <w:color w:val="000000"/>
          <w:lang w:eastAsia="zh-CN"/>
        </w:rPr>
        <w:t>。</w:t>
      </w:r>
    </w:p>
    <w:p>
      <w:pPr>
        <w:pStyle w:val="167"/>
      </w:pPr>
      <w:r>
        <w:rPr>
          <w:rFonts w:hint="eastAsia" w:ascii="Times New Roman"/>
        </w:rPr>
        <w:t>检查井井座的安装，应遵守下列规定：</w:t>
      </w:r>
    </w:p>
    <w:p>
      <w:pPr>
        <w:pStyle w:val="176"/>
        <w:numPr>
          <w:ilvl w:val="0"/>
          <w:numId w:val="48"/>
        </w:numPr>
        <w:rPr>
          <w:rFonts w:hint="eastAsia"/>
          <w:color w:val="000000"/>
        </w:rPr>
      </w:pPr>
      <w:r>
        <w:rPr>
          <w:rFonts w:hint="eastAsia"/>
          <w:color w:val="000000"/>
        </w:rPr>
        <w:t>井座下</w:t>
      </w:r>
      <w:r>
        <w:rPr>
          <w:rFonts w:hint="eastAsia"/>
          <w:color w:val="000000"/>
          <w:lang w:eastAsia="zh-CN"/>
        </w:rPr>
        <w:t>井坑</w:t>
      </w:r>
      <w:r>
        <w:rPr>
          <w:rFonts w:hint="eastAsia"/>
          <w:color w:val="000000"/>
        </w:rPr>
        <w:t>前应对它的上承口的断面变形量进行测量；</w:t>
      </w:r>
    </w:p>
    <w:p>
      <w:pPr>
        <w:pStyle w:val="176"/>
        <w:numPr>
          <w:ilvl w:val="0"/>
          <w:numId w:val="48"/>
        </w:numPr>
        <w:rPr>
          <w:rFonts w:hint="eastAsia"/>
          <w:color w:val="000000"/>
        </w:rPr>
      </w:pPr>
      <w:r>
        <w:rPr>
          <w:rFonts w:hint="eastAsia"/>
          <w:color w:val="000000"/>
        </w:rPr>
        <w:t>井座下</w:t>
      </w:r>
      <w:r>
        <w:rPr>
          <w:rFonts w:hint="eastAsia"/>
          <w:color w:val="000000"/>
          <w:lang w:eastAsia="zh-CN"/>
        </w:rPr>
        <w:t>井坑</w:t>
      </w:r>
      <w:r>
        <w:rPr>
          <w:rFonts w:hint="eastAsia"/>
          <w:color w:val="000000"/>
        </w:rPr>
        <w:t>后，对井座中心、主轴线</w:t>
      </w:r>
      <w:r>
        <w:rPr>
          <w:rFonts w:hint="eastAsia"/>
          <w:color w:val="000000"/>
          <w:lang w:eastAsia="zh-CN"/>
        </w:rPr>
        <w:t>、</w:t>
      </w:r>
      <w:r>
        <w:rPr>
          <w:rFonts w:hint="eastAsia"/>
          <w:color w:val="000000"/>
        </w:rPr>
        <w:t>井底标高和井座水平进行</w:t>
      </w:r>
      <w:r>
        <w:rPr>
          <w:rFonts w:hint="eastAsia"/>
          <w:color w:val="000000"/>
          <w:lang w:eastAsia="zh-CN"/>
        </w:rPr>
        <w:t>校正；</w:t>
      </w:r>
    </w:p>
    <w:p>
      <w:pPr>
        <w:pStyle w:val="176"/>
        <w:numPr>
          <w:ilvl w:val="0"/>
          <w:numId w:val="48"/>
        </w:numPr>
      </w:pPr>
      <w:r>
        <w:rPr>
          <w:rFonts w:hint="eastAsia"/>
          <w:color w:val="000000"/>
        </w:rPr>
        <w:t>井座宜采用人工或机械设备吊装下沟。吊装时应采用非金属绳</w:t>
      </w:r>
      <w:r>
        <w:rPr>
          <w:rFonts w:hint="eastAsia"/>
          <w:color w:val="000000"/>
          <w:lang w:eastAsia="zh-CN"/>
        </w:rPr>
        <w:t>或</w:t>
      </w:r>
      <w:r>
        <w:rPr>
          <w:rFonts w:hint="eastAsia"/>
          <w:color w:val="000000"/>
        </w:rPr>
        <w:t>带吊装。；</w:t>
      </w:r>
    </w:p>
    <w:p>
      <w:pPr>
        <w:pStyle w:val="167"/>
      </w:pPr>
      <w:r>
        <w:rPr>
          <w:rFonts w:hint="eastAsia" w:ascii="Times New Roman"/>
        </w:rPr>
        <w:t>井座接口与管道的连接，应按下列要求进行：</w:t>
      </w:r>
    </w:p>
    <w:p>
      <w:pPr>
        <w:pStyle w:val="176"/>
        <w:numPr>
          <w:ilvl w:val="0"/>
          <w:numId w:val="49"/>
        </w:numPr>
        <w:rPr>
          <w:rFonts w:hint="eastAsia"/>
          <w:color w:val="000000"/>
        </w:rPr>
      </w:pPr>
      <w:r>
        <w:rPr>
          <w:rFonts w:hint="eastAsia"/>
          <w:color w:val="000000"/>
        </w:rPr>
        <w:t>接口的连接施工方法应与管道管材的连接施工方法相一致；</w:t>
      </w:r>
    </w:p>
    <w:p>
      <w:pPr>
        <w:pStyle w:val="176"/>
        <w:numPr>
          <w:ilvl w:val="0"/>
          <w:numId w:val="49"/>
        </w:numPr>
        <w:rPr>
          <w:rFonts w:hint="eastAsia"/>
          <w:color w:val="000000"/>
          <w:lang w:eastAsia="zh-CN"/>
        </w:rPr>
      </w:pPr>
      <w:r>
        <w:rPr>
          <w:rFonts w:hint="eastAsia"/>
          <w:color w:val="000000"/>
        </w:rPr>
        <w:t>检查井井座与管道连接时，应采用专用收紧机具进行连接，但应注意不得对已连接的管道造成不良影响</w:t>
      </w:r>
      <w:r>
        <w:rPr>
          <w:rFonts w:hint="eastAsia"/>
          <w:color w:val="000000"/>
          <w:lang w:eastAsia="zh-CN"/>
        </w:rPr>
        <w:t>；</w:t>
      </w:r>
    </w:p>
    <w:p>
      <w:pPr>
        <w:pStyle w:val="176"/>
        <w:numPr>
          <w:ilvl w:val="0"/>
          <w:numId w:val="49"/>
        </w:numPr>
        <w:rPr>
          <w:rFonts w:hint="eastAsia"/>
          <w:color w:val="000000"/>
        </w:rPr>
      </w:pPr>
      <w:r>
        <w:rPr>
          <w:rFonts w:hint="eastAsia"/>
          <w:color w:val="000000"/>
        </w:rPr>
        <w:t>井座接口与塑料材质的汇入管、排出管的连接需要变径时，宜采用变径接头。当汇入管管径小于井座接口口径时，应管顶平接；</w:t>
      </w:r>
    </w:p>
    <w:p>
      <w:pPr>
        <w:pStyle w:val="176"/>
      </w:pPr>
      <w:r>
        <w:rPr>
          <w:rFonts w:hint="eastAsia"/>
          <w:color w:val="000000"/>
        </w:rPr>
        <w:t>井座接口与钢带增强螺旋管或非塑料材质的管道相接时，应采用专用过渡接头与检查井进行连接</w:t>
      </w:r>
      <w:r>
        <w:rPr>
          <w:rFonts w:hint="eastAsia"/>
          <w:color w:val="000000"/>
          <w:lang w:eastAsia="zh-CN"/>
        </w:rPr>
        <w:t>。</w:t>
      </w:r>
    </w:p>
    <w:p>
      <w:pPr>
        <w:pStyle w:val="107"/>
        <w:spacing w:before="156" w:after="156"/>
        <w:rPr>
          <w:rFonts w:hint="eastAsia"/>
          <w:lang w:eastAsia="zh-CN"/>
        </w:rPr>
      </w:pPr>
      <w:bookmarkStart w:id="68" w:name="_Toc823"/>
      <w:r>
        <w:rPr>
          <w:rFonts w:hint="eastAsia"/>
          <w:lang w:eastAsia="zh-CN"/>
        </w:rPr>
        <w:t>井筒安装与接管</w:t>
      </w:r>
      <w:bookmarkEnd w:id="68"/>
    </w:p>
    <w:p>
      <w:pPr>
        <w:pStyle w:val="167"/>
        <w:rPr>
          <w:rFonts w:hint="eastAsia" w:ascii="Times New Roman"/>
        </w:rPr>
      </w:pPr>
      <w:r>
        <w:rPr>
          <w:rFonts w:hint="eastAsia" w:ascii="Times New Roman"/>
        </w:rPr>
        <w:t>井筒与井座的井筒承口的连接应采用橡胶密封圈承插连接。</w:t>
      </w:r>
    </w:p>
    <w:p>
      <w:pPr>
        <w:pStyle w:val="167"/>
        <w:rPr>
          <w:rFonts w:hint="eastAsia" w:ascii="Times New Roman"/>
          <w:lang w:eastAsia="zh-CN"/>
        </w:rPr>
      </w:pPr>
      <w:r>
        <w:rPr>
          <w:rFonts w:hint="eastAsia" w:ascii="Times New Roman"/>
        </w:rPr>
        <w:t>井筒安装应采用专用的收紧工具，调整井筒的垂直度</w:t>
      </w:r>
      <w:r>
        <w:rPr>
          <w:rFonts w:hint="eastAsia" w:ascii="Times New Roman"/>
          <w:lang w:val="en-US" w:eastAsia="zh-CN"/>
        </w:rPr>
        <w:t>时</w:t>
      </w:r>
      <w:r>
        <w:rPr>
          <w:rFonts w:hint="eastAsia" w:ascii="Times New Roman"/>
        </w:rPr>
        <w:t>不得使用重锤直接敲打；当井座井位中心和井筒垂直度调整好后，应进行及时固定，并封堵井筒上管口</w:t>
      </w:r>
      <w:r>
        <w:rPr>
          <w:rFonts w:hint="eastAsia" w:ascii="Times New Roman"/>
          <w:lang w:eastAsia="zh-CN"/>
        </w:rPr>
        <w:t>。</w:t>
      </w:r>
    </w:p>
    <w:p>
      <w:pPr>
        <w:pStyle w:val="167"/>
        <w:rPr>
          <w:rFonts w:hint="eastAsia" w:ascii="Times New Roman"/>
        </w:rPr>
      </w:pPr>
      <w:r>
        <w:rPr>
          <w:rFonts w:hint="eastAsia" w:ascii="Times New Roman"/>
        </w:rPr>
        <w:t>在井筒上开孔连接马鞍接头时，应采用专用工具垂直于井筒轴心现场开孔。当井筒连接两个及以上马鞍接头时，马鞍接头边缘净间距不应小于100mm。</w:t>
      </w:r>
    </w:p>
    <w:p>
      <w:pPr>
        <w:pStyle w:val="167"/>
        <w:rPr>
          <w:rFonts w:hint="eastAsia" w:ascii="Times New Roman"/>
        </w:rPr>
      </w:pPr>
      <w:r>
        <w:rPr>
          <w:rFonts w:hint="eastAsia" w:ascii="Times New Roman"/>
        </w:rPr>
        <w:t>井筒安装完毕回填前，沟槽内如有积水，应及时采取抗浮措施。</w:t>
      </w:r>
    </w:p>
    <w:p>
      <w:pPr>
        <w:pStyle w:val="107"/>
        <w:spacing w:before="156" w:after="156"/>
        <w:rPr>
          <w:rFonts w:hint="eastAsia"/>
          <w:lang w:eastAsia="zh-CN"/>
        </w:rPr>
      </w:pPr>
      <w:bookmarkStart w:id="69" w:name="_Toc14067"/>
      <w:r>
        <w:rPr>
          <w:rFonts w:hint="eastAsia"/>
          <w:lang w:eastAsia="zh-CN"/>
        </w:rPr>
        <w:t>闭水试验</w:t>
      </w:r>
      <w:bookmarkEnd w:id="69"/>
    </w:p>
    <w:p>
      <w:pPr>
        <w:pStyle w:val="167"/>
        <w:rPr>
          <w:rFonts w:hint="eastAsia" w:ascii="Times New Roman"/>
        </w:rPr>
      </w:pPr>
      <w:r>
        <w:rPr>
          <w:rFonts w:hint="eastAsia" w:ascii="Times New Roman"/>
        </w:rPr>
        <w:t>检查井的闭水试验应与管道系统的闭水试验一起进行。</w:t>
      </w:r>
    </w:p>
    <w:p>
      <w:pPr>
        <w:pStyle w:val="167"/>
        <w:rPr>
          <w:rFonts w:hint="eastAsia" w:ascii="Times New Roman"/>
        </w:rPr>
      </w:pPr>
      <w:r>
        <w:rPr>
          <w:rFonts w:hint="eastAsia" w:ascii="Times New Roman"/>
        </w:rPr>
        <w:t>闭水试验的方法与管道系统的试验方法相同,按现行行业标准《埋地塑料排水管道工程技术规程》CJJ</w:t>
      </w:r>
      <w:r>
        <w:rPr>
          <w:rFonts w:hint="eastAsia" w:ascii="Times New Roman"/>
          <w:lang w:val="en-US" w:eastAsia="zh-CN"/>
        </w:rPr>
        <w:t xml:space="preserve"> </w:t>
      </w:r>
      <w:r>
        <w:rPr>
          <w:rFonts w:hint="eastAsia" w:ascii="Times New Roman"/>
        </w:rPr>
        <w:t>143的相关规定执行。</w:t>
      </w:r>
    </w:p>
    <w:p>
      <w:pPr>
        <w:pStyle w:val="107"/>
        <w:spacing w:before="156" w:after="156"/>
      </w:pPr>
      <w:bookmarkStart w:id="70" w:name="_Toc17513"/>
      <w:r>
        <w:rPr>
          <w:rFonts w:hint="eastAsia"/>
          <w:lang w:eastAsia="zh-CN"/>
        </w:rPr>
        <w:t>回填</w:t>
      </w:r>
      <w:bookmarkEnd w:id="70"/>
    </w:p>
    <w:p>
      <w:pPr>
        <w:pStyle w:val="167"/>
        <w:rPr>
          <w:rFonts w:hint="eastAsia" w:ascii="Times New Roman"/>
        </w:rPr>
      </w:pPr>
      <w:r>
        <w:rPr>
          <w:rFonts w:hint="eastAsia" w:ascii="Times New Roman"/>
        </w:rPr>
        <w:t>回填应在排水管道和检查井闭水试验合格后进行。回填材料</w:t>
      </w:r>
      <w:r>
        <w:rPr>
          <w:rFonts w:hint="eastAsia" w:ascii="Times New Roman"/>
          <w:lang w:val="en-US" w:eastAsia="zh-CN"/>
        </w:rPr>
        <w:t>选用</w:t>
      </w:r>
      <w:r>
        <w:rPr>
          <w:rFonts w:hint="eastAsia" w:ascii="Times New Roman"/>
        </w:rPr>
        <w:t>和回填材料的密实度应符合本规程第</w:t>
      </w:r>
      <w:r>
        <w:rPr>
          <w:rFonts w:hint="eastAsia" w:ascii="Times New Roman"/>
          <w:lang w:val="en-US" w:eastAsia="zh-CN"/>
        </w:rPr>
        <w:t>5</w:t>
      </w:r>
      <w:r>
        <w:rPr>
          <w:rFonts w:hint="eastAsia" w:ascii="Times New Roman"/>
        </w:rPr>
        <w:t>.</w:t>
      </w:r>
      <w:r>
        <w:rPr>
          <w:rFonts w:hint="eastAsia" w:ascii="Times New Roman"/>
          <w:lang w:val="en-US" w:eastAsia="zh-CN"/>
        </w:rPr>
        <w:t>4</w:t>
      </w:r>
      <w:r>
        <w:rPr>
          <w:rFonts w:hint="eastAsia" w:ascii="Times New Roman"/>
        </w:rPr>
        <w:t>.1条的要求。</w:t>
      </w:r>
    </w:p>
    <w:p>
      <w:pPr>
        <w:pStyle w:val="167"/>
        <w:rPr>
          <w:rFonts w:hint="eastAsia" w:ascii="Times New Roman"/>
        </w:rPr>
      </w:pPr>
      <w:r>
        <w:rPr>
          <w:rFonts w:hint="eastAsia" w:ascii="Times New Roman"/>
        </w:rPr>
        <w:t>回填应按现行行业标准《埋地塑料排水管道工程技术规程》CJJ</w:t>
      </w:r>
      <w:r>
        <w:rPr>
          <w:rFonts w:hint="eastAsia" w:ascii="Times New Roman"/>
          <w:lang w:val="en-US" w:eastAsia="zh-CN"/>
        </w:rPr>
        <w:t xml:space="preserve"> </w:t>
      </w:r>
      <w:r>
        <w:rPr>
          <w:rFonts w:hint="eastAsia" w:ascii="Times New Roman"/>
        </w:rPr>
        <w:t>143的相关规定执行</w:t>
      </w:r>
      <w:r>
        <w:rPr>
          <w:rFonts w:hint="eastAsia" w:ascii="Times New Roman"/>
          <w:lang w:eastAsia="zh-CN"/>
        </w:rPr>
        <w:t>，</w:t>
      </w:r>
      <w:r>
        <w:rPr>
          <w:rFonts w:hint="eastAsia" w:ascii="Times New Roman"/>
        </w:rPr>
        <w:t>并应符合下列规定：</w:t>
      </w:r>
    </w:p>
    <w:p>
      <w:pPr>
        <w:pStyle w:val="176"/>
        <w:numPr>
          <w:ilvl w:val="0"/>
          <w:numId w:val="50"/>
        </w:numPr>
        <w:rPr>
          <w:rFonts w:hint="eastAsia"/>
          <w:color w:val="000000"/>
          <w:lang w:eastAsia="zh-CN"/>
        </w:rPr>
      </w:pPr>
      <w:r>
        <w:rPr>
          <w:rFonts w:hint="eastAsia"/>
          <w:color w:val="000000"/>
        </w:rPr>
        <w:t>回填前，可采用砂土袋等措施对检查井进行临时固定，且井坑内不得有积水。回填时应回填至满足检查井抗浮稳定的高度后方能停止降水。当检查井安装结束尚未回填遭水淹，发生位移、漂浮或拔口时，应返工处理</w:t>
      </w:r>
      <w:r>
        <w:rPr>
          <w:rFonts w:hint="eastAsia"/>
          <w:color w:val="000000"/>
          <w:lang w:eastAsia="zh-CN"/>
        </w:rPr>
        <w:t>；</w:t>
      </w:r>
    </w:p>
    <w:p>
      <w:pPr>
        <w:pStyle w:val="176"/>
        <w:numPr>
          <w:ilvl w:val="0"/>
          <w:numId w:val="50"/>
        </w:numPr>
        <w:rPr>
          <w:rFonts w:hint="eastAsia"/>
          <w:color w:val="000000"/>
          <w:lang w:eastAsia="zh-CN"/>
        </w:rPr>
      </w:pPr>
      <w:r>
        <w:rPr>
          <w:rFonts w:hint="eastAsia"/>
          <w:color w:val="000000"/>
        </w:rPr>
        <w:t>回填应与管道回填同步进行</w:t>
      </w:r>
      <w:r>
        <w:rPr>
          <w:rFonts w:hint="eastAsia"/>
          <w:color w:val="000000"/>
          <w:lang w:eastAsia="zh-CN"/>
        </w:rPr>
        <w:t>；</w:t>
      </w:r>
    </w:p>
    <w:p>
      <w:pPr>
        <w:pStyle w:val="176"/>
        <w:numPr>
          <w:ilvl w:val="0"/>
          <w:numId w:val="50"/>
        </w:numPr>
        <w:rPr>
          <w:rFonts w:hint="eastAsia"/>
          <w:color w:val="000000"/>
        </w:rPr>
      </w:pPr>
      <w:r>
        <w:rPr>
          <w:rFonts w:hint="eastAsia"/>
          <w:color w:val="000000"/>
        </w:rPr>
        <w:t>检查井周围的回填</w:t>
      </w:r>
      <w:r>
        <w:rPr>
          <w:rFonts w:hint="eastAsia"/>
          <w:color w:val="000000"/>
          <w:lang w:val="en-US" w:eastAsia="zh-CN"/>
        </w:rPr>
        <w:t>,</w:t>
      </w:r>
      <w:r>
        <w:rPr>
          <w:rFonts w:hint="eastAsia"/>
          <w:color w:val="000000"/>
        </w:rPr>
        <w:t>应采用人工分层均匀对称回填，不得使检查井产生位移和倾斜，并控制井筒的变形量，严禁机械回填。</w:t>
      </w:r>
    </w:p>
    <w:p>
      <w:pPr>
        <w:pStyle w:val="167"/>
        <w:rPr>
          <w:rFonts w:hint="eastAsia" w:ascii="Times New Roman"/>
        </w:rPr>
      </w:pPr>
      <w:r>
        <w:rPr>
          <w:rFonts w:hint="eastAsia" w:ascii="Times New Roman"/>
        </w:rPr>
        <w:t>土壤冰冻深度大于等于1.0m的地区，在冻土层中，井筒周围100mm的范围内，应采用中粗砂等回填材料进行回填。</w:t>
      </w:r>
    </w:p>
    <w:p>
      <w:pPr>
        <w:pStyle w:val="167"/>
        <w:rPr>
          <w:rFonts w:hint="eastAsia" w:ascii="Times New Roman"/>
        </w:rPr>
      </w:pPr>
      <w:r>
        <w:rPr>
          <w:rFonts w:hint="eastAsia" w:ascii="Times New Roman"/>
        </w:rPr>
        <w:t>进入道路结构层部分，应按道路结构层压实度执行。当回填到井筒顶部附近时，应按</w:t>
      </w:r>
      <w:r>
        <w:rPr>
          <w:rFonts w:hint="eastAsia" w:ascii="Times New Roman"/>
          <w:lang w:eastAsia="zh-CN"/>
        </w:rPr>
        <w:t>设计</w:t>
      </w:r>
      <w:r>
        <w:rPr>
          <w:rFonts w:hint="eastAsia" w:ascii="Times New Roman"/>
        </w:rPr>
        <w:t>要求留出井盖座基础的基坑尺寸。</w:t>
      </w:r>
    </w:p>
    <w:p>
      <w:pPr>
        <w:pStyle w:val="167"/>
        <w:rPr>
          <w:rFonts w:hint="eastAsia" w:ascii="Times New Roman"/>
        </w:rPr>
      </w:pPr>
      <w:r>
        <w:rPr>
          <w:rFonts w:hint="eastAsia" w:ascii="Times New Roman"/>
        </w:rPr>
        <w:t>地下水浮力对安装或回填有影响时，应采取临时沙袋、临时回填等抗浮措施；地下水位较高及井座埋深较深时，应进行井体抗浮计算和处理，抗浮计算及处理方式见本规程</w:t>
      </w:r>
      <w:r>
        <w:rPr>
          <w:rFonts w:hint="eastAsia" w:ascii="Times New Roman"/>
          <w:lang w:eastAsia="zh-CN"/>
        </w:rPr>
        <w:t>第</w:t>
      </w:r>
      <w:r>
        <w:rPr>
          <w:rFonts w:hint="eastAsia" w:ascii="Times New Roman"/>
          <w:lang w:val="en-US" w:eastAsia="zh-CN"/>
        </w:rPr>
        <w:t>5</w:t>
      </w:r>
      <w:r>
        <w:rPr>
          <w:rFonts w:hint="eastAsia" w:ascii="Times New Roman"/>
        </w:rPr>
        <w:t>.</w:t>
      </w:r>
      <w:r>
        <w:rPr>
          <w:rFonts w:hint="eastAsia" w:ascii="Times New Roman"/>
          <w:lang w:val="en-US" w:eastAsia="zh-CN"/>
        </w:rPr>
        <w:t>5.10</w:t>
      </w:r>
      <w:r>
        <w:rPr>
          <w:rFonts w:hint="eastAsia" w:ascii="Times New Roman"/>
        </w:rPr>
        <w:t>条。</w:t>
      </w:r>
    </w:p>
    <w:p>
      <w:pPr>
        <w:pStyle w:val="107"/>
        <w:spacing w:before="156" w:after="156"/>
        <w:rPr>
          <w:rFonts w:hint="eastAsia"/>
          <w:lang w:eastAsia="zh-CN"/>
        </w:rPr>
      </w:pPr>
      <w:bookmarkStart w:id="71" w:name="_Toc23612"/>
      <w:r>
        <w:rPr>
          <w:rFonts w:hint="eastAsia"/>
          <w:lang w:eastAsia="zh-CN"/>
        </w:rPr>
        <w:t>承压圈与井盖安装</w:t>
      </w:r>
      <w:bookmarkEnd w:id="71"/>
    </w:p>
    <w:p>
      <w:pPr>
        <w:pStyle w:val="167"/>
        <w:rPr>
          <w:rFonts w:hint="eastAsia" w:ascii="Times New Roman"/>
        </w:rPr>
      </w:pPr>
      <w:r>
        <w:rPr>
          <w:rFonts w:hint="eastAsia" w:ascii="Times New Roman"/>
          <w:lang w:eastAsia="zh-CN"/>
        </w:rPr>
        <w:t>承压圈</w:t>
      </w:r>
      <w:r>
        <w:rPr>
          <w:rFonts w:hint="eastAsia" w:ascii="Times New Roman"/>
        </w:rPr>
        <w:t>与井盖的承载能力应与道路路面</w:t>
      </w:r>
      <w:r>
        <w:rPr>
          <w:rFonts w:hint="eastAsia" w:ascii="Times New Roman"/>
          <w:lang w:eastAsia="zh-CN"/>
        </w:rPr>
        <w:t>荷载</w:t>
      </w:r>
      <w:r>
        <w:rPr>
          <w:rFonts w:hint="eastAsia" w:ascii="Times New Roman"/>
        </w:rPr>
        <w:t>等级相匹配。</w:t>
      </w:r>
    </w:p>
    <w:p>
      <w:pPr>
        <w:pStyle w:val="167"/>
        <w:rPr>
          <w:rFonts w:hint="eastAsia" w:ascii="Times New Roman"/>
        </w:rPr>
      </w:pPr>
      <w:r>
        <w:rPr>
          <w:rFonts w:hint="eastAsia" w:ascii="Times New Roman"/>
          <w:lang w:eastAsia="zh-CN"/>
        </w:rPr>
        <w:t>承压圈</w:t>
      </w:r>
      <w:r>
        <w:rPr>
          <w:rFonts w:hint="eastAsia" w:ascii="Times New Roman"/>
        </w:rPr>
        <w:t>与井盖的安装应与道路路面同时施工，宜采用预制钢筋混凝土</w:t>
      </w:r>
      <w:r>
        <w:rPr>
          <w:rFonts w:hint="eastAsia" w:ascii="Times New Roman"/>
          <w:lang w:eastAsia="zh-CN"/>
        </w:rPr>
        <w:t>承压圈</w:t>
      </w:r>
      <w:r>
        <w:rPr>
          <w:rFonts w:hint="eastAsia" w:ascii="Times New Roman"/>
        </w:rPr>
        <w:t>。</w:t>
      </w:r>
    </w:p>
    <w:p>
      <w:pPr>
        <w:pStyle w:val="167"/>
        <w:rPr>
          <w:rFonts w:hint="eastAsia" w:ascii="Times New Roman"/>
        </w:rPr>
      </w:pPr>
      <w:r>
        <w:rPr>
          <w:rFonts w:hint="eastAsia" w:ascii="Times New Roman"/>
          <w:lang w:eastAsia="zh-CN"/>
        </w:rPr>
        <w:t>承压圈</w:t>
      </w:r>
      <w:r>
        <w:rPr>
          <w:rFonts w:hint="eastAsia" w:ascii="Times New Roman"/>
        </w:rPr>
        <w:t>垫层铺设前，应在井筒外周放置挡圈，并在井筒与挡圈之间的缝隙中添加聚氨酯胶泥等防渗</w:t>
      </w:r>
      <w:r>
        <w:rPr>
          <w:rFonts w:hint="eastAsia" w:ascii="Times New Roman"/>
          <w:lang w:eastAsia="zh-CN"/>
        </w:rPr>
        <w:t>漏</w:t>
      </w:r>
      <w:r>
        <w:rPr>
          <w:rFonts w:hint="eastAsia" w:ascii="Times New Roman"/>
        </w:rPr>
        <w:t>材料。</w:t>
      </w:r>
    </w:p>
    <w:p>
      <w:pPr>
        <w:pStyle w:val="167"/>
        <w:rPr>
          <w:rFonts w:hint="eastAsia" w:ascii="Times New Roman"/>
        </w:rPr>
      </w:pPr>
      <w:r>
        <w:rPr>
          <w:rFonts w:hint="eastAsia" w:ascii="Times New Roman"/>
          <w:lang w:eastAsia="zh-CN"/>
        </w:rPr>
        <w:t>承压圈</w:t>
      </w:r>
      <w:r>
        <w:rPr>
          <w:rFonts w:hint="eastAsia" w:ascii="Times New Roman"/>
        </w:rPr>
        <w:t>应水平安装，并保证</w:t>
      </w:r>
      <w:r>
        <w:rPr>
          <w:rFonts w:hint="eastAsia" w:ascii="Times New Roman"/>
          <w:lang w:eastAsia="zh-CN"/>
        </w:rPr>
        <w:t>承压圈</w:t>
      </w:r>
      <w:r>
        <w:rPr>
          <w:rFonts w:hint="eastAsia" w:ascii="Times New Roman"/>
        </w:rPr>
        <w:t>孔口与井筒中心轴线同心。安装后承压圈底部与井筒顶部之间的间隙应</w:t>
      </w:r>
      <w:r>
        <w:rPr>
          <w:rFonts w:hint="eastAsia" w:ascii="Times New Roman"/>
          <w:lang w:val="en-US" w:eastAsia="zh-CN"/>
        </w:rPr>
        <w:t>大于等于</w:t>
      </w:r>
      <w:r>
        <w:rPr>
          <w:rFonts w:hint="eastAsia" w:ascii="Times New Roman"/>
        </w:rPr>
        <w:t>100mm。</w:t>
      </w:r>
    </w:p>
    <w:p>
      <w:pPr>
        <w:pStyle w:val="167"/>
        <w:rPr>
          <w:rFonts w:hint="eastAsia" w:ascii="Times New Roman"/>
        </w:rPr>
      </w:pPr>
      <w:r>
        <w:rPr>
          <w:rFonts w:hint="eastAsia" w:ascii="Times New Roman"/>
        </w:rPr>
        <w:t>施工期间应设置井口的保护措施。</w:t>
      </w:r>
    </w:p>
    <w:p>
      <w:pPr>
        <w:pStyle w:val="106"/>
        <w:spacing w:before="312" w:after="312"/>
      </w:pPr>
      <w:bookmarkStart w:id="72" w:name="_Toc26000"/>
      <w:r>
        <w:rPr>
          <w:rFonts w:hint="eastAsia"/>
        </w:rPr>
        <w:t>验收</w:t>
      </w:r>
      <w:bookmarkEnd w:id="72"/>
    </w:p>
    <w:p>
      <w:pPr>
        <w:pStyle w:val="107"/>
        <w:spacing w:before="156" w:after="156"/>
      </w:pPr>
      <w:bookmarkStart w:id="73" w:name="_Toc25303"/>
      <w:r>
        <w:rPr>
          <w:rFonts w:hint="eastAsia"/>
          <w:lang w:eastAsia="zh-CN"/>
        </w:rPr>
        <w:t>一般规定</w:t>
      </w:r>
      <w:bookmarkEnd w:id="73"/>
    </w:p>
    <w:p>
      <w:pPr>
        <w:pStyle w:val="167"/>
        <w:rPr>
          <w:rFonts w:hint="eastAsia" w:ascii="宋体" w:hAnsi="宋体" w:eastAsia="宋体" w:cs="宋体"/>
        </w:rPr>
      </w:pPr>
      <w:r>
        <w:rPr>
          <w:rFonts w:hint="eastAsia" w:ascii="Times New Roman"/>
        </w:rPr>
        <w:t>检查井工程质量除应符合现行国家标准《给水排水管道工程施工及验收</w:t>
      </w:r>
      <w:r>
        <w:rPr>
          <w:rFonts w:hint="eastAsia" w:ascii="宋体" w:hAnsi="宋体" w:eastAsia="宋体" w:cs="宋体"/>
        </w:rPr>
        <w:t>规范》GB</w:t>
      </w:r>
      <w:r>
        <w:rPr>
          <w:rFonts w:hint="eastAsia" w:ascii="宋体" w:hAnsi="宋体" w:eastAsia="宋体" w:cs="宋体"/>
          <w:lang w:val="en-US" w:eastAsia="zh-CN"/>
        </w:rPr>
        <w:t xml:space="preserve"> </w:t>
      </w:r>
      <w:r>
        <w:rPr>
          <w:rFonts w:hint="eastAsia" w:ascii="宋体" w:hAnsi="宋体" w:eastAsia="宋体" w:cs="宋体"/>
        </w:rPr>
        <w:t>50268的有关规定外，还应符合下列规定：</w:t>
      </w:r>
    </w:p>
    <w:p>
      <w:pPr>
        <w:pStyle w:val="167"/>
        <w:numPr>
          <w:ilvl w:val="0"/>
          <w:numId w:val="51"/>
        </w:numPr>
        <w:ind w:left="795" w:leftChars="0" w:hanging="360" w:firstLineChars="0"/>
        <w:rPr>
          <w:rFonts w:hint="eastAsia" w:ascii="宋体" w:hAnsi="宋体" w:eastAsia="宋体" w:cs="宋体"/>
          <w:lang w:eastAsia="zh-CN"/>
        </w:rPr>
      </w:pPr>
      <w:r>
        <w:rPr>
          <w:rFonts w:hint="eastAsia" w:ascii="宋体" w:hAnsi="宋体" w:eastAsia="宋体" w:cs="宋体"/>
        </w:rPr>
        <w:t>检查井各部件、连接管件与配件、主要原材料等进入施工现场应进行进场验收，进场验收不合格的不得使用</w:t>
      </w:r>
      <w:r>
        <w:rPr>
          <w:rFonts w:hint="eastAsia" w:ascii="宋体" w:hAnsi="宋体" w:eastAsia="宋体" w:cs="宋体"/>
          <w:lang w:eastAsia="zh-CN"/>
        </w:rPr>
        <w:t>；</w:t>
      </w:r>
    </w:p>
    <w:p>
      <w:pPr>
        <w:pStyle w:val="167"/>
        <w:numPr>
          <w:ilvl w:val="0"/>
          <w:numId w:val="51"/>
        </w:numPr>
        <w:ind w:left="795" w:leftChars="0" w:hanging="360" w:firstLineChars="0"/>
        <w:rPr>
          <w:rFonts w:hint="eastAsia" w:ascii="宋体" w:hAnsi="宋体" w:eastAsia="宋体" w:cs="宋体"/>
        </w:rPr>
      </w:pPr>
      <w:r>
        <w:rPr>
          <w:rFonts w:hint="eastAsia" w:ascii="宋体" w:hAnsi="宋体" w:eastAsia="宋体" w:cs="宋体"/>
        </w:rPr>
        <w:t>每道工序完成后应进行施工检验，上下道工序之间应进行交接检验，工程隐蔽前应进行隐蔽验收，检验、验收不合格的不得进行下道工序施工</w:t>
      </w:r>
      <w:r>
        <w:rPr>
          <w:rFonts w:hint="eastAsia" w:ascii="宋体" w:hAnsi="宋体" w:eastAsia="宋体" w:cs="宋体"/>
          <w:lang w:eastAsia="zh-CN"/>
        </w:rPr>
        <w:t>；</w:t>
      </w:r>
    </w:p>
    <w:p>
      <w:pPr>
        <w:pStyle w:val="167"/>
        <w:numPr>
          <w:ilvl w:val="0"/>
          <w:numId w:val="51"/>
        </w:numPr>
        <w:ind w:left="795" w:leftChars="0" w:hanging="360" w:firstLineChars="0"/>
        <w:rPr>
          <w:rFonts w:hint="eastAsia" w:ascii="宋体" w:hAnsi="宋体" w:eastAsia="宋体" w:cs="宋体"/>
        </w:rPr>
      </w:pPr>
      <w:r>
        <w:rPr>
          <w:rFonts w:hint="eastAsia" w:ascii="宋体" w:hAnsi="宋体" w:eastAsia="宋体" w:cs="宋体"/>
        </w:rPr>
        <w:t>检井安装施工与交接检验记录应</w:t>
      </w:r>
      <w:r>
        <w:rPr>
          <w:rFonts w:hint="eastAsia" w:hAnsi="宋体" w:cs="宋体"/>
          <w:lang w:eastAsia="zh-CN"/>
        </w:rPr>
        <w:t>符合</w:t>
      </w:r>
      <w:r>
        <w:rPr>
          <w:rFonts w:hint="eastAsia" w:ascii="宋体" w:hAnsi="宋体" w:eastAsia="宋体" w:cs="宋体"/>
        </w:rPr>
        <w:t>本规程附录 F的规定；各分项工程完成后应按本规程规定进行验收</w:t>
      </w:r>
      <w:r>
        <w:rPr>
          <w:rFonts w:hint="eastAsia" w:ascii="宋体" w:hAnsi="宋体" w:eastAsia="宋体" w:cs="宋体"/>
          <w:lang w:eastAsia="zh-CN"/>
        </w:rPr>
        <w:t>；</w:t>
      </w:r>
    </w:p>
    <w:p>
      <w:pPr>
        <w:pStyle w:val="167"/>
        <w:numPr>
          <w:ilvl w:val="0"/>
          <w:numId w:val="51"/>
        </w:numPr>
        <w:ind w:left="795" w:leftChars="0" w:hanging="360" w:firstLineChars="0"/>
        <w:rPr>
          <w:rFonts w:hint="eastAsia" w:ascii="宋体" w:hAnsi="宋体" w:eastAsia="宋体" w:cs="宋体"/>
        </w:rPr>
      </w:pPr>
      <w:r>
        <w:rPr>
          <w:rFonts w:hint="eastAsia" w:ascii="宋体" w:hAnsi="宋体" w:eastAsia="宋体" w:cs="宋体"/>
        </w:rPr>
        <w:t>所有施工检验、工程验收、隐蔽验收、测量复核等应有记录，并应进行检查确认。</w:t>
      </w:r>
    </w:p>
    <w:p>
      <w:pPr>
        <w:pStyle w:val="167"/>
        <w:rPr>
          <w:rFonts w:hint="eastAsia" w:ascii="Times New Roman"/>
        </w:rPr>
      </w:pPr>
      <w:r>
        <w:rPr>
          <w:rFonts w:hint="eastAsia" w:ascii="宋体" w:hAnsi="宋体" w:eastAsia="宋体" w:cs="宋体"/>
        </w:rPr>
        <w:t>检查井工程验收合格后，附属构筑物分部工程应与排水管道其他分部工程汇总进行单位工程质量验收。单位工程质量验收应按现行国家标准《给水排水管道工程施工及验收规范》GB</w:t>
      </w:r>
      <w:r>
        <w:rPr>
          <w:rFonts w:hint="eastAsia" w:ascii="宋体" w:hAnsi="宋体" w:eastAsia="宋体" w:cs="宋体"/>
          <w:lang w:val="en-US" w:eastAsia="zh-CN"/>
        </w:rPr>
        <w:t xml:space="preserve"> </w:t>
      </w:r>
      <w:r>
        <w:rPr>
          <w:rFonts w:hint="eastAsia" w:ascii="宋体" w:hAnsi="宋体" w:eastAsia="宋体" w:cs="宋体"/>
        </w:rPr>
        <w:t>50268</w:t>
      </w:r>
      <w:r>
        <w:rPr>
          <w:rFonts w:hint="eastAsia" w:ascii="宋体" w:hAnsi="宋体" w:eastAsia="宋体" w:cs="宋体"/>
          <w:lang w:eastAsia="zh-CN"/>
        </w:rPr>
        <w:t>等</w:t>
      </w:r>
      <w:r>
        <w:rPr>
          <w:rFonts w:hint="eastAsia" w:ascii="宋体" w:hAnsi="宋体" w:eastAsia="宋体" w:cs="宋体"/>
        </w:rPr>
        <w:t>的有</w:t>
      </w:r>
      <w:r>
        <w:rPr>
          <w:rFonts w:hint="eastAsia" w:ascii="Times New Roman"/>
        </w:rPr>
        <w:t>关规定执行。</w:t>
      </w:r>
    </w:p>
    <w:p>
      <w:pPr>
        <w:pStyle w:val="167"/>
        <w:rPr>
          <w:rFonts w:hint="eastAsia" w:ascii="Times New Roman"/>
        </w:rPr>
      </w:pPr>
      <w:r>
        <w:rPr>
          <w:rFonts w:hint="eastAsia" w:ascii="Times New Roman"/>
          <w:lang w:val="en-US" w:eastAsia="zh-CN"/>
        </w:rPr>
        <w:t>进入现场的检查井成品应有出厂检验报告，</w:t>
      </w:r>
      <w:r>
        <w:rPr>
          <w:rFonts w:hint="eastAsia" w:ascii="Times New Roman"/>
        </w:rPr>
        <w:t>对外观质量不符合要求的检查井，应返修处理，经返修处理后的产品应重新组织验收。</w:t>
      </w:r>
    </w:p>
    <w:p>
      <w:pPr>
        <w:pStyle w:val="107"/>
        <w:spacing w:before="156" w:after="156"/>
      </w:pPr>
      <w:bookmarkStart w:id="74" w:name="_Toc15404"/>
      <w:r>
        <w:rPr>
          <w:rFonts w:hint="eastAsia"/>
          <w:lang w:eastAsia="zh-CN"/>
        </w:rPr>
        <w:t>检查井</w:t>
      </w:r>
      <w:r>
        <w:rPr>
          <w:rFonts w:hint="eastAsia"/>
        </w:rPr>
        <w:t>质量验收</w:t>
      </w:r>
      <w:bookmarkEnd w:id="74"/>
    </w:p>
    <w:p>
      <w:pPr>
        <w:pStyle w:val="167"/>
        <w:rPr>
          <w:rFonts w:hint="eastAsia" w:ascii="Times New Roman"/>
          <w:lang w:val="en-US" w:eastAsia="zh-CN"/>
        </w:rPr>
      </w:pPr>
      <w:r>
        <w:rPr>
          <w:rFonts w:hint="eastAsia" w:ascii="Times New Roman"/>
          <w:lang w:val="en-US" w:eastAsia="zh-CN"/>
        </w:rPr>
        <w:t>检查井井坑与基础施工、检查井施工安装、井坑回填的质量检验应符合现行行业标准《塑料排水检查井应用技术规程》CJJ/T 209的规定。</w:t>
      </w:r>
    </w:p>
    <w:p>
      <w:pPr>
        <w:pStyle w:val="167"/>
        <w:rPr>
          <w:rFonts w:hint="default" w:ascii="Times New Roman"/>
          <w:lang w:val="en-US" w:eastAsia="zh-CN"/>
        </w:rPr>
      </w:pPr>
      <w:r>
        <w:rPr>
          <w:rFonts w:hint="eastAsia" w:ascii="Times New Roman"/>
          <w:lang w:val="en-US" w:eastAsia="zh-CN"/>
        </w:rPr>
        <w:t>检验检查井的防坠落设施、检查井井盖的类别标识及防盗功能应符合设计要求。</w:t>
      </w:r>
    </w:p>
    <w:p>
      <w:pPr>
        <w:pStyle w:val="107"/>
        <w:spacing w:before="156" w:after="156"/>
      </w:pPr>
      <w:bookmarkStart w:id="75" w:name="_Toc9697"/>
      <w:r>
        <w:rPr>
          <w:rFonts w:hint="eastAsia"/>
          <w:lang w:eastAsia="zh-CN"/>
        </w:rPr>
        <w:t>功能性</w:t>
      </w:r>
      <w:r>
        <w:rPr>
          <w:rFonts w:hint="eastAsia"/>
        </w:rPr>
        <w:t>验收</w:t>
      </w:r>
      <w:bookmarkEnd w:id="75"/>
    </w:p>
    <w:p>
      <w:pPr>
        <w:pStyle w:val="167"/>
      </w:pPr>
      <w:r>
        <w:rPr>
          <w:rFonts w:hint="eastAsia" w:ascii="Times New Roman"/>
        </w:rPr>
        <w:t>检查井施工完成后，应按下列要求进行检查井初始径向变形率检验：</w:t>
      </w:r>
    </w:p>
    <w:p>
      <w:pPr>
        <w:pStyle w:val="176"/>
        <w:numPr>
          <w:ilvl w:val="0"/>
          <w:numId w:val="52"/>
        </w:numPr>
        <w:rPr>
          <w:rFonts w:hint="eastAsia" w:ascii="Times New Roman"/>
        </w:rPr>
      </w:pPr>
      <w:r>
        <w:rPr>
          <w:rFonts w:hint="eastAsia" w:ascii="Times New Roman"/>
        </w:rPr>
        <w:t>井坑回填至设计标高后，在 12h~24h 内应测量检查井的</w:t>
      </w:r>
      <w:r>
        <w:rPr>
          <w:rFonts w:hint="eastAsia" w:ascii="Times New Roman"/>
          <w:lang w:eastAsia="zh-CN"/>
        </w:rPr>
        <w:t>井座</w:t>
      </w:r>
      <w:r>
        <w:rPr>
          <w:rFonts w:hint="eastAsia" w:ascii="Times New Roman"/>
        </w:rPr>
        <w:t>、偏置收口、井筒的径向变形，每个部件测量不应少于2个断面；</w:t>
      </w:r>
    </w:p>
    <w:p>
      <w:pPr>
        <w:pStyle w:val="176"/>
        <w:numPr>
          <w:ilvl w:val="0"/>
          <w:numId w:val="52"/>
        </w:numPr>
        <w:rPr>
          <w:rFonts w:hint="eastAsia" w:ascii="Times New Roman"/>
        </w:rPr>
      </w:pPr>
      <w:r>
        <w:rPr>
          <w:rFonts w:hint="eastAsia" w:ascii="Times New Roman"/>
        </w:rPr>
        <w:t>计算检查井初始变形率，其值均不得大于检查井最大径向允许变形率的 2/3。当不符合规定时，应查明原因，重新回填、更换或重新安装回填。</w:t>
      </w:r>
    </w:p>
    <w:p>
      <w:pPr>
        <w:pStyle w:val="167"/>
      </w:pPr>
      <w:r>
        <w:rPr>
          <w:rFonts w:hint="eastAsia" w:ascii="Times New Roman"/>
        </w:rPr>
        <w:t>检查井施工完成后，应进行检查井密闭性试验，其试验要求应符合下列规定：</w:t>
      </w:r>
    </w:p>
    <w:p>
      <w:pPr>
        <w:pStyle w:val="176"/>
        <w:numPr>
          <w:ilvl w:val="0"/>
          <w:numId w:val="53"/>
        </w:numPr>
        <w:rPr>
          <w:rFonts w:hint="eastAsia" w:ascii="Times New Roman"/>
        </w:rPr>
      </w:pPr>
      <w:r>
        <w:rPr>
          <w:rFonts w:hint="eastAsia" w:ascii="Times New Roman"/>
        </w:rPr>
        <w:t>检查井的密闭性试验应采用无压管道的闭水或闭气试验法进行。</w:t>
      </w:r>
    </w:p>
    <w:p>
      <w:pPr>
        <w:pStyle w:val="176"/>
        <w:numPr>
          <w:ilvl w:val="0"/>
          <w:numId w:val="53"/>
        </w:numPr>
        <w:rPr>
          <w:rFonts w:hint="eastAsia" w:ascii="Times New Roman"/>
        </w:rPr>
      </w:pPr>
      <w:r>
        <w:rPr>
          <w:rFonts w:hint="eastAsia" w:ascii="Times New Roman"/>
        </w:rPr>
        <w:t>密闭性试验应在管道、检查井安装检验合格后进行。</w:t>
      </w:r>
    </w:p>
    <w:p>
      <w:pPr>
        <w:pStyle w:val="176"/>
        <w:numPr>
          <w:ilvl w:val="0"/>
          <w:numId w:val="53"/>
        </w:numPr>
        <w:rPr>
          <w:rFonts w:hint="eastAsia" w:ascii="Times New Roman"/>
        </w:rPr>
      </w:pPr>
      <w:r>
        <w:rPr>
          <w:rFonts w:hint="eastAsia" w:ascii="Times New Roman"/>
        </w:rPr>
        <w:t>密闭性试验前，应对检查井预留接口进行封闭。</w:t>
      </w:r>
    </w:p>
    <w:p>
      <w:pPr>
        <w:pStyle w:val="176"/>
        <w:numPr>
          <w:ilvl w:val="0"/>
          <w:numId w:val="53"/>
        </w:numPr>
        <w:rPr>
          <w:rFonts w:hint="eastAsia" w:ascii="Times New Roman"/>
        </w:rPr>
      </w:pPr>
      <w:r>
        <w:rPr>
          <w:rFonts w:hint="eastAsia" w:ascii="Times New Roman"/>
        </w:rPr>
        <w:t>密闭性试验的检验方法、频率和允许渗水量应与管道要求相同。</w:t>
      </w:r>
    </w:p>
    <w:p>
      <w:pPr>
        <w:pStyle w:val="176"/>
        <w:numPr>
          <w:ilvl w:val="0"/>
          <w:numId w:val="53"/>
        </w:numPr>
        <w:rPr>
          <w:rFonts w:hint="eastAsia" w:ascii="Times New Roman"/>
        </w:rPr>
      </w:pPr>
      <w:r>
        <w:rPr>
          <w:rFonts w:hint="eastAsia" w:ascii="Times New Roman"/>
        </w:rPr>
        <w:t>闭水试验的试验水头应按现行行业标准《埋地塑料排水管道工程技术规程》CJJ 143 的有关规定执行。</w:t>
      </w:r>
    </w:p>
    <w:p>
      <w:pPr>
        <w:pStyle w:val="107"/>
        <w:spacing w:before="156" w:after="156"/>
        <w:rPr>
          <w:rFonts w:hint="eastAsia"/>
          <w:lang w:eastAsia="zh-CN"/>
        </w:rPr>
      </w:pPr>
      <w:bookmarkStart w:id="76" w:name="_Toc3088"/>
      <w:r>
        <w:rPr>
          <w:rFonts w:hint="eastAsia"/>
          <w:lang w:eastAsia="zh-CN"/>
        </w:rPr>
        <w:t>竣工验收</w:t>
      </w:r>
      <w:bookmarkEnd w:id="76"/>
    </w:p>
    <w:p>
      <w:pPr>
        <w:pStyle w:val="167"/>
        <w:rPr>
          <w:rFonts w:hint="eastAsia" w:ascii="Times New Roman"/>
        </w:rPr>
      </w:pPr>
      <w:r>
        <w:rPr>
          <w:rFonts w:hint="eastAsia" w:ascii="Times New Roman"/>
        </w:rPr>
        <w:t>检查井的竣工验收应与管道工程竣工验收一起进行。</w:t>
      </w:r>
    </w:p>
    <w:p>
      <w:pPr>
        <w:pStyle w:val="167"/>
        <w:rPr>
          <w:rFonts w:hint="eastAsia" w:ascii="Times New Roman"/>
        </w:rPr>
      </w:pPr>
      <w:r>
        <w:rPr>
          <w:rFonts w:hint="eastAsia" w:ascii="Times New Roman"/>
        </w:rPr>
        <w:t>检查井属隐蔽工程，应对检查井的安装偏差、高程、规格尺寸、变形率、连接处密封性能等指标的进行检验。检验结果应填写在隐蔽工程验收记录表中。检查井工程验收记录表</w:t>
      </w:r>
      <w:r>
        <w:rPr>
          <w:rFonts w:hint="eastAsia" w:ascii="Times New Roman"/>
          <w:lang w:eastAsia="zh-CN"/>
        </w:rPr>
        <w:t>应符合</w:t>
      </w:r>
      <w:r>
        <w:rPr>
          <w:rFonts w:hint="eastAsia" w:ascii="Times New Roman"/>
        </w:rPr>
        <w:t>附录F</w:t>
      </w:r>
      <w:r>
        <w:rPr>
          <w:rFonts w:hint="eastAsia" w:ascii="Times New Roman"/>
          <w:lang w:eastAsia="zh-CN"/>
        </w:rPr>
        <w:t>的规定</w:t>
      </w:r>
      <w:r>
        <w:rPr>
          <w:rFonts w:hint="eastAsia" w:ascii="Times New Roman"/>
        </w:rPr>
        <w:t>。</w:t>
      </w:r>
    </w:p>
    <w:p>
      <w:pPr>
        <w:pStyle w:val="167"/>
        <w:rPr>
          <w:rFonts w:hint="eastAsia" w:ascii="Times New Roman"/>
        </w:rPr>
      </w:pPr>
      <w:bookmarkStart w:id="77" w:name="_Toc292469096"/>
      <w:bookmarkStart w:id="78" w:name="_Toc4271"/>
      <w:bookmarkStart w:id="79" w:name="_Toc8156"/>
      <w:bookmarkStart w:id="80" w:name="_Toc6381"/>
      <w:r>
        <w:rPr>
          <w:rFonts w:hint="eastAsia" w:ascii="Times New Roman"/>
        </w:rPr>
        <w:t>竣工验收应提供下列文件</w:t>
      </w:r>
      <w:bookmarkEnd w:id="77"/>
      <w:bookmarkEnd w:id="78"/>
      <w:bookmarkEnd w:id="79"/>
      <w:r>
        <w:rPr>
          <w:rFonts w:hint="eastAsia" w:ascii="Times New Roman"/>
        </w:rPr>
        <w:t>：</w:t>
      </w:r>
      <w:bookmarkEnd w:id="80"/>
    </w:p>
    <w:p>
      <w:pPr>
        <w:pStyle w:val="176"/>
        <w:numPr>
          <w:ilvl w:val="0"/>
          <w:numId w:val="54"/>
        </w:numPr>
        <w:rPr>
          <w:rFonts w:hint="eastAsia" w:ascii="Times New Roman"/>
        </w:rPr>
      </w:pPr>
      <w:r>
        <w:rPr>
          <w:rFonts w:hint="eastAsia" w:ascii="Times New Roman"/>
        </w:rPr>
        <w:t>竣工图纸和设计变更文件；</w:t>
      </w:r>
    </w:p>
    <w:p>
      <w:pPr>
        <w:pStyle w:val="176"/>
        <w:numPr>
          <w:ilvl w:val="0"/>
          <w:numId w:val="54"/>
        </w:numPr>
        <w:rPr>
          <w:rFonts w:hint="eastAsia" w:ascii="Times New Roman"/>
        </w:rPr>
      </w:pPr>
      <w:r>
        <w:rPr>
          <w:rFonts w:hint="eastAsia" w:ascii="Times New Roman"/>
        </w:rPr>
        <w:t>检查井的井座、井筒、井筒接头、过渡连接件、密封材料，以及检查井井盖等各类部件的出厂合格证明。</w:t>
      </w:r>
    </w:p>
    <w:p>
      <w:pPr>
        <w:pStyle w:val="176"/>
        <w:numPr>
          <w:ilvl w:val="0"/>
          <w:numId w:val="54"/>
        </w:numPr>
        <w:rPr>
          <w:rFonts w:hint="eastAsia" w:ascii="Times New Roman"/>
        </w:rPr>
      </w:pPr>
      <w:r>
        <w:rPr>
          <w:rFonts w:hint="eastAsia" w:ascii="Times New Roman"/>
        </w:rPr>
        <w:t>检查井的井座、井筒、井筒接头、过渡连接件、密封材料，以及检查井井盖等各类部件进场的质量</w:t>
      </w:r>
      <w:r>
        <w:rPr>
          <w:rFonts w:hint="eastAsia" w:ascii="Times New Roman"/>
          <w:lang w:eastAsia="zh-CN"/>
        </w:rPr>
        <w:t>检查</w:t>
      </w:r>
      <w:r>
        <w:rPr>
          <w:rFonts w:hint="eastAsia" w:ascii="Times New Roman"/>
        </w:rPr>
        <w:t>记录。</w:t>
      </w:r>
    </w:p>
    <w:p>
      <w:pPr>
        <w:pStyle w:val="176"/>
        <w:numPr>
          <w:ilvl w:val="0"/>
          <w:numId w:val="54"/>
        </w:numPr>
        <w:rPr>
          <w:rFonts w:hint="eastAsia" w:ascii="Times New Roman"/>
        </w:rPr>
      </w:pPr>
      <w:r>
        <w:rPr>
          <w:rFonts w:hint="eastAsia" w:ascii="Times New Roman"/>
        </w:rPr>
        <w:t>检查井施工记录、隐蔽工程验收记录及相关资料。</w:t>
      </w:r>
    </w:p>
    <w:p>
      <w:pPr>
        <w:pStyle w:val="176"/>
        <w:numPr>
          <w:ilvl w:val="0"/>
          <w:numId w:val="54"/>
        </w:numPr>
        <w:rPr>
          <w:rFonts w:hint="eastAsia" w:ascii="Times New Roman"/>
        </w:rPr>
      </w:pPr>
      <w:r>
        <w:rPr>
          <w:rFonts w:hint="eastAsia" w:ascii="Times New Roman"/>
        </w:rPr>
        <w:t>检查井闭水试验记录。</w:t>
      </w:r>
    </w:p>
    <w:p>
      <w:pPr>
        <w:pStyle w:val="176"/>
        <w:numPr>
          <w:ilvl w:val="0"/>
          <w:numId w:val="54"/>
        </w:numPr>
        <w:rPr>
          <w:rFonts w:hint="eastAsia" w:ascii="Times New Roman"/>
        </w:rPr>
      </w:pPr>
      <w:r>
        <w:rPr>
          <w:rFonts w:hint="eastAsia" w:ascii="Times New Roman"/>
        </w:rPr>
        <w:t>检查井井筒的变形检验记录。</w:t>
      </w:r>
    </w:p>
    <w:p>
      <w:pPr>
        <w:pStyle w:val="176"/>
        <w:numPr>
          <w:ilvl w:val="0"/>
          <w:numId w:val="54"/>
        </w:numPr>
        <w:rPr>
          <w:rFonts w:hint="eastAsia" w:ascii="Times New Roman"/>
        </w:rPr>
      </w:pPr>
      <w:r>
        <w:rPr>
          <w:rFonts w:hint="eastAsia" w:ascii="Times New Roman"/>
        </w:rPr>
        <w:t>工程返工记录和工程质量事故处理记录。</w:t>
      </w:r>
    </w:p>
    <w:p>
      <w:pPr>
        <w:pStyle w:val="176"/>
        <w:numPr>
          <w:ilvl w:val="0"/>
          <w:numId w:val="54"/>
        </w:numPr>
        <w:rPr>
          <w:rFonts w:hint="eastAsia" w:ascii="Times New Roman"/>
        </w:rPr>
      </w:pPr>
      <w:r>
        <w:rPr>
          <w:rFonts w:hint="eastAsia" w:ascii="Times New Roman"/>
        </w:rPr>
        <w:t>其它的必要文件和记录等。</w:t>
      </w:r>
    </w:p>
    <w:p>
      <w:pPr>
        <w:pStyle w:val="167"/>
      </w:pPr>
      <w:r>
        <w:rPr>
          <w:rFonts w:hint="eastAsia" w:ascii="Times New Roman"/>
        </w:rPr>
        <w:t>检查井工程竣工验收后，应将相关文件和技术资料逐个立卷，并编号。竣工验收档案应与管道工程文件一起立卷归档。</w:t>
      </w:r>
    </w:p>
    <w:p>
      <w:pPr>
        <w:pStyle w:val="106"/>
        <w:spacing w:before="312" w:after="312"/>
      </w:pPr>
      <w:bookmarkStart w:id="81" w:name="_Toc8781"/>
      <w:r>
        <w:rPr>
          <w:rFonts w:hint="eastAsia"/>
        </w:rPr>
        <w:t>维护</w:t>
      </w:r>
      <w:r>
        <w:rPr>
          <w:rFonts w:hint="eastAsia"/>
          <w:lang w:eastAsia="zh-CN"/>
        </w:rPr>
        <w:t>保养</w:t>
      </w:r>
      <w:bookmarkEnd w:id="81"/>
    </w:p>
    <w:p>
      <w:pPr>
        <w:pStyle w:val="107"/>
        <w:keepNext w:val="0"/>
        <w:keepLines w:val="0"/>
        <w:pageBreakBefore w:val="0"/>
        <w:widowControl/>
        <w:kinsoku/>
        <w:wordWrap/>
        <w:overflowPunct/>
        <w:topLinePunct w:val="0"/>
        <w:autoSpaceDE/>
        <w:autoSpaceDN/>
        <w:bidi w:val="0"/>
        <w:adjustRightInd/>
        <w:snapToGrid/>
        <w:spacing w:beforeLines="0" w:afterLines="0" w:line="240" w:lineRule="auto"/>
        <w:textAlignment w:val="auto"/>
        <w:rPr>
          <w:rFonts w:hint="eastAsia" w:ascii="宋体" w:hAnsi="宋体" w:eastAsia="宋体" w:cs="宋体"/>
        </w:rPr>
      </w:pPr>
      <w:bookmarkStart w:id="82" w:name="_Toc11563"/>
      <w:r>
        <w:rPr>
          <w:rFonts w:hint="eastAsia" w:ascii="宋体" w:hAnsi="宋体" w:eastAsia="宋体" w:cs="宋体"/>
        </w:rPr>
        <w:t>根据检查井使用地区的环境情况，应定期对检查井进行检查、清</w:t>
      </w:r>
      <w:r>
        <w:rPr>
          <w:rFonts w:hint="eastAsia" w:ascii="宋体" w:hAnsi="宋体" w:eastAsia="宋体" w:cs="宋体"/>
          <w:lang w:eastAsia="zh-CN"/>
        </w:rPr>
        <w:t>疏</w:t>
      </w:r>
      <w:r>
        <w:rPr>
          <w:rFonts w:hint="eastAsia" w:ascii="宋体" w:hAnsi="宋体" w:eastAsia="宋体" w:cs="宋体"/>
        </w:rPr>
        <w:t>。</w:t>
      </w:r>
      <w:bookmarkEnd w:id="82"/>
    </w:p>
    <w:p>
      <w:pPr>
        <w:pStyle w:val="107"/>
        <w:keepNext w:val="0"/>
        <w:keepLines w:val="0"/>
        <w:pageBreakBefore w:val="0"/>
        <w:widowControl/>
        <w:kinsoku/>
        <w:wordWrap/>
        <w:overflowPunct/>
        <w:topLinePunct w:val="0"/>
        <w:autoSpaceDE/>
        <w:autoSpaceDN/>
        <w:bidi w:val="0"/>
        <w:adjustRightInd/>
        <w:snapToGrid/>
        <w:spacing w:beforeLines="0" w:afterLines="0" w:line="240" w:lineRule="auto"/>
        <w:textAlignment w:val="auto"/>
        <w:rPr>
          <w:rFonts w:hint="eastAsia" w:ascii="宋体" w:hAnsi="宋体" w:eastAsia="宋体" w:cs="宋体"/>
          <w:lang w:val="en-US" w:eastAsia="zh-CN"/>
        </w:rPr>
      </w:pPr>
      <w:bookmarkStart w:id="83" w:name="_Toc27653"/>
      <w:r>
        <w:rPr>
          <w:rFonts w:hint="eastAsia" w:ascii="宋体" w:hAnsi="宋体" w:eastAsia="宋体" w:cs="宋体"/>
          <w:lang w:val="en-US" w:eastAsia="zh-CN"/>
        </w:rPr>
        <w:t>检查井的维护保养</w:t>
      </w:r>
      <w:r>
        <w:rPr>
          <w:rFonts w:hint="eastAsia" w:ascii="宋体" w:hAnsi="宋体" w:eastAsia="宋体" w:cs="宋体"/>
        </w:rPr>
        <w:t>，应按现行行业标准《城镇排水管道维护安全技术规程》CJJ 6的有关规定进行。</w:t>
      </w:r>
      <w:r>
        <w:rPr>
          <w:rFonts w:hint="eastAsia" w:ascii="宋体" w:hAnsi="宋体" w:eastAsia="宋体" w:cs="宋体"/>
          <w:lang w:val="en-US" w:eastAsia="zh-CN"/>
        </w:rPr>
        <w:t>不得在无任何安全保护措施的条件下进行养护作业。</w:t>
      </w:r>
      <w:bookmarkEnd w:id="83"/>
    </w:p>
    <w:p>
      <w:pPr>
        <w:pStyle w:val="107"/>
        <w:keepNext w:val="0"/>
        <w:keepLines w:val="0"/>
        <w:pageBreakBefore w:val="0"/>
        <w:widowControl/>
        <w:kinsoku/>
        <w:wordWrap/>
        <w:overflowPunct/>
        <w:topLinePunct w:val="0"/>
        <w:autoSpaceDE/>
        <w:autoSpaceDN/>
        <w:bidi w:val="0"/>
        <w:adjustRightInd/>
        <w:snapToGrid/>
        <w:spacing w:beforeLines="0" w:afterLines="0" w:line="240" w:lineRule="auto"/>
        <w:textAlignment w:val="auto"/>
        <w:rPr>
          <w:rFonts w:hint="eastAsia" w:ascii="宋体" w:hAnsi="宋体" w:eastAsia="宋体" w:cs="宋体"/>
        </w:rPr>
      </w:pPr>
      <w:bookmarkStart w:id="84" w:name="_Toc30861"/>
      <w:r>
        <w:rPr>
          <w:rFonts w:hint="eastAsia" w:ascii="宋体" w:hAnsi="宋体" w:eastAsia="宋体" w:cs="宋体"/>
        </w:rPr>
        <w:t>在打开检查井井盖的同时，在井口应设立警示标志。作业完成后应盖好井盖。</w:t>
      </w:r>
      <w:bookmarkEnd w:id="84"/>
    </w:p>
    <w:p>
      <w:pPr>
        <w:pStyle w:val="107"/>
        <w:keepNext w:val="0"/>
        <w:keepLines w:val="0"/>
        <w:pageBreakBefore w:val="0"/>
        <w:widowControl/>
        <w:kinsoku/>
        <w:wordWrap/>
        <w:overflowPunct/>
        <w:topLinePunct w:val="0"/>
        <w:autoSpaceDE/>
        <w:autoSpaceDN/>
        <w:bidi w:val="0"/>
        <w:adjustRightInd/>
        <w:snapToGrid/>
        <w:spacing w:beforeLines="0" w:afterLines="0" w:line="240" w:lineRule="auto"/>
        <w:textAlignment w:val="auto"/>
        <w:rPr>
          <w:rFonts w:hint="eastAsia" w:ascii="宋体" w:hAnsi="宋体" w:eastAsia="宋体" w:cs="宋体"/>
        </w:rPr>
      </w:pPr>
      <w:bookmarkStart w:id="85" w:name="_Toc352"/>
      <w:r>
        <w:rPr>
          <w:rFonts w:hint="eastAsia" w:ascii="宋体" w:hAnsi="宋体" w:eastAsia="宋体" w:cs="宋体"/>
        </w:rPr>
        <w:t>检查井宜采用专业的水力疏通工具或机械，和管道系统一起清通。不得使用有损塑料检查井的清通工具。</w:t>
      </w:r>
      <w:bookmarkEnd w:id="85"/>
    </w:p>
    <w:p>
      <w:pPr>
        <w:pStyle w:val="107"/>
        <w:keepNext w:val="0"/>
        <w:keepLines w:val="0"/>
        <w:pageBreakBefore w:val="0"/>
        <w:widowControl/>
        <w:kinsoku/>
        <w:wordWrap/>
        <w:overflowPunct/>
        <w:topLinePunct w:val="0"/>
        <w:autoSpaceDE/>
        <w:autoSpaceDN/>
        <w:bidi w:val="0"/>
        <w:adjustRightInd/>
        <w:snapToGrid/>
        <w:spacing w:beforeLines="0" w:afterLines="0" w:line="240" w:lineRule="auto"/>
        <w:textAlignment w:val="auto"/>
        <w:rPr>
          <w:rFonts w:hint="eastAsia" w:ascii="宋体" w:hAnsi="宋体" w:eastAsia="宋体" w:cs="宋体"/>
        </w:rPr>
      </w:pPr>
      <w:bookmarkStart w:id="86" w:name="_Toc32403"/>
      <w:r>
        <w:rPr>
          <w:rFonts w:hint="eastAsia" w:ascii="宋体" w:hAnsi="宋体" w:eastAsia="宋体" w:cs="宋体"/>
        </w:rPr>
        <w:t>雨水检查井内的淤泥、沙粒，宜采用吸泥机具、高压水枪进行清理或清通。</w:t>
      </w:r>
      <w:bookmarkEnd w:id="86"/>
    </w:p>
    <w:p>
      <w:pPr>
        <w:pStyle w:val="107"/>
        <w:keepNext w:val="0"/>
        <w:keepLines w:val="0"/>
        <w:pageBreakBefore w:val="0"/>
        <w:widowControl/>
        <w:kinsoku/>
        <w:wordWrap/>
        <w:overflowPunct/>
        <w:topLinePunct w:val="0"/>
        <w:autoSpaceDE/>
        <w:autoSpaceDN/>
        <w:bidi w:val="0"/>
        <w:adjustRightInd/>
        <w:snapToGrid/>
        <w:spacing w:beforeLines="0" w:afterLines="0" w:line="240" w:lineRule="auto"/>
        <w:textAlignment w:val="auto"/>
        <w:rPr>
          <w:rFonts w:hint="eastAsia" w:ascii="宋体" w:hAnsi="宋体" w:eastAsia="宋体" w:cs="宋体"/>
        </w:rPr>
      </w:pPr>
      <w:bookmarkStart w:id="87" w:name="_Toc5926"/>
      <w:r>
        <w:rPr>
          <w:rFonts w:hint="eastAsia" w:ascii="宋体" w:hAnsi="宋体" w:eastAsia="宋体" w:cs="宋体"/>
        </w:rPr>
        <w:t>检查井井盖</w:t>
      </w:r>
      <w:r>
        <w:rPr>
          <w:rFonts w:hint="eastAsia" w:ascii="宋体" w:hAnsi="宋体" w:eastAsia="宋体" w:cs="宋体"/>
          <w:lang w:val="en-US" w:eastAsia="zh-CN"/>
        </w:rPr>
        <w:t>及防坠落装置</w:t>
      </w:r>
      <w:r>
        <w:rPr>
          <w:rFonts w:hint="eastAsia" w:ascii="宋体" w:hAnsi="宋体" w:eastAsia="宋体" w:cs="宋体"/>
        </w:rPr>
        <w:t>应定期检查，当发现破损时应及时更换。</w:t>
      </w:r>
      <w:bookmarkEnd w:id="87"/>
    </w:p>
    <w:p>
      <w:pPr>
        <w:pStyle w:val="58"/>
        <w:ind w:firstLine="420"/>
      </w:pPr>
    </w:p>
    <w:p>
      <w:pPr>
        <w:pStyle w:val="58"/>
        <w:ind w:firstLine="420"/>
      </w:pPr>
    </w:p>
    <w:p>
      <w:pPr>
        <w:pStyle w:val="58"/>
        <w:ind w:firstLine="420"/>
        <w:sectPr>
          <w:headerReference r:id="rId15" w:type="default"/>
          <w:footerReference r:id="rId17" w:type="default"/>
          <w:headerReference r:id="rId16" w:type="even"/>
          <w:footerReference r:id="rId18" w:type="even"/>
          <w:pgSz w:w="11906" w:h="16838"/>
          <w:pgMar w:top="567" w:right="1134" w:bottom="1134" w:left="1134" w:header="1418" w:footer="1134" w:gutter="284"/>
          <w:pgBorders>
            <w:top w:val="none" w:sz="0" w:space="0"/>
            <w:left w:val="none" w:sz="0" w:space="0"/>
            <w:bottom w:val="none" w:sz="0" w:space="0"/>
            <w:right w:val="none" w:sz="0" w:space="0"/>
          </w:pgBorders>
          <w:pgNumType w:start="1"/>
          <w:cols w:space="425" w:num="1"/>
          <w:formProt w:val="0"/>
          <w:docGrid w:type="lines" w:linePitch="312" w:charSpace="0"/>
        </w:sectPr>
      </w:pPr>
    </w:p>
    <w:bookmarkEnd w:id="24"/>
    <w:p>
      <w:pPr>
        <w:pStyle w:val="200"/>
      </w:pPr>
      <w:bookmarkStart w:id="88" w:name="BookMark5"/>
    </w:p>
    <w:p>
      <w:pPr>
        <w:pStyle w:val="201"/>
      </w:pPr>
    </w:p>
    <w:p>
      <w:pPr>
        <w:pStyle w:val="78"/>
        <w:spacing w:before="78" w:after="156"/>
      </w:pPr>
      <w:bookmarkStart w:id="89" w:name="_Toc22362"/>
      <w:r>
        <w:br w:type="textWrapping"/>
      </w:r>
      <w:r>
        <w:rPr>
          <w:rFonts w:hint="eastAsia"/>
        </w:rPr>
        <w:t>（资料性）</w:t>
      </w:r>
      <w:r>
        <w:br w:type="textWrapping"/>
      </w:r>
      <w:r>
        <w:rPr>
          <w:rFonts w:hint="eastAsia"/>
          <w:lang w:eastAsia="zh-CN"/>
        </w:rPr>
        <w:t>排水用塑料检查井及井座规格</w:t>
      </w:r>
      <w:bookmarkEnd w:id="89"/>
    </w:p>
    <w:p>
      <w:pPr>
        <w:pStyle w:val="213"/>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textAlignment w:val="auto"/>
        <w:rPr>
          <w:rFonts w:hint="eastAsia" w:ascii="黑体" w:hAnsi="黑体" w:eastAsia="黑体" w:cs="黑体"/>
        </w:rPr>
      </w:pPr>
      <w:r>
        <w:rPr>
          <w:rFonts w:hint="eastAsia" w:ascii="黑体" w:hAnsi="黑体" w:eastAsia="黑体" w:cs="黑体"/>
          <w:lang w:eastAsia="zh-CN"/>
        </w:rPr>
        <w:t>检查井分类</w:t>
      </w:r>
    </w:p>
    <w:p>
      <w:pPr>
        <w:pStyle w:val="214"/>
        <w:bidi w:val="0"/>
        <w:rPr>
          <w:rFonts w:hint="eastAsia"/>
        </w:rPr>
      </w:pPr>
      <w:r>
        <w:rPr>
          <w:rFonts w:hint="eastAsia"/>
        </w:rPr>
        <w:t>检查井按结构可分为流槽式检查井、沉泥室检查井和特殊功能检查井，详见图A.1、图A.</w:t>
      </w:r>
      <w:r>
        <w:rPr>
          <w:rFonts w:hint="eastAsia"/>
          <w:lang w:val="en-US" w:eastAsia="zh-CN"/>
        </w:rPr>
        <w:t>2</w:t>
      </w:r>
      <w:r>
        <w:rPr>
          <w:rFonts w:hint="eastAsia"/>
        </w:rPr>
        <w:t>；</w:t>
      </w:r>
    </w:p>
    <w:p>
      <w:pPr>
        <w:pStyle w:val="214"/>
        <w:bidi w:val="0"/>
        <w:rPr>
          <w:rFonts w:hint="eastAsia"/>
        </w:rPr>
      </w:pPr>
      <w:r>
        <w:rPr>
          <w:rFonts w:hint="eastAsia"/>
        </w:rPr>
        <w:t>检查井按形状可分为直壁检查井与收口检查井。详见图A.1、图A.2；</w:t>
      </w:r>
    </w:p>
    <w:p>
      <w:pPr>
        <w:pStyle w:val="214"/>
        <w:bidi w:val="0"/>
        <w:rPr>
          <w:rFonts w:hint="eastAsia" w:ascii="黑体" w:hAnsi="黑体" w:eastAsia="黑体" w:cs="黑体"/>
        </w:rPr>
      </w:pPr>
      <w:r>
        <w:rPr>
          <w:rFonts w:hint="eastAsia"/>
        </w:rPr>
        <w:t>检查井按设置位置可分为分离式检查井与非分离式检查井。一般用于机动车道路的为分离式，见图A.</w:t>
      </w:r>
      <w:r>
        <w:rPr>
          <w:rFonts w:hint="eastAsia"/>
          <w:lang w:val="en-US" w:eastAsia="zh-CN"/>
        </w:rPr>
        <w:t>2</w:t>
      </w:r>
      <w:r>
        <w:rPr>
          <w:rFonts w:hint="eastAsia"/>
        </w:rPr>
        <w:t>。用于绿化区、人行道的为非分离式，见图A.1；</w:t>
      </w:r>
    </w:p>
    <w:p>
      <w:pPr>
        <w:pStyle w:val="214"/>
        <w:numPr>
          <w:ilvl w:val="2"/>
          <w:numId w:val="0"/>
        </w:numPr>
        <w:bidi w:val="0"/>
        <w:ind w:leftChars="0"/>
        <w:rPr>
          <w:rFonts w:hint="eastAsia" w:ascii="黑体" w:hAnsi="黑体" w:eastAsia="黑体" w:cs="黑体"/>
        </w:rPr>
      </w:pPr>
    </w:p>
    <w:p>
      <w:pPr>
        <w:pStyle w:val="214"/>
        <w:numPr>
          <w:ilvl w:val="2"/>
          <w:numId w:val="0"/>
        </w:numPr>
        <w:bidi w:val="0"/>
        <w:ind w:leftChars="0"/>
        <w:jc w:val="center"/>
        <w:rPr>
          <w:rFonts w:ascii="Arial" w:hAnsi="Arial" w:cs="Arial"/>
        </w:rPr>
      </w:pPr>
      <w:r>
        <w:rPr>
          <w:rFonts w:ascii="Arial" w:hAnsi="Arial" w:cs="Arial"/>
        </w:rPr>
        <w:drawing>
          <wp:inline distT="0" distB="0" distL="114300" distR="114300">
            <wp:extent cx="4069715" cy="2472690"/>
            <wp:effectExtent l="0" t="0" r="6985" b="3810"/>
            <wp:docPr id="41" name="图片 5" descr="产品示意图数据-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5" descr="产品示意图数据-Model"/>
                    <pic:cNvPicPr>
                      <a:picLocks noChangeAspect="1"/>
                    </pic:cNvPicPr>
                  </pic:nvPicPr>
                  <pic:blipFill>
                    <a:blip r:embed="rId29"/>
                    <a:stretch>
                      <a:fillRect/>
                    </a:stretch>
                  </pic:blipFill>
                  <pic:spPr>
                    <a:xfrm>
                      <a:off x="0" y="0"/>
                      <a:ext cx="4069715" cy="2472690"/>
                    </a:xfrm>
                    <a:prstGeom prst="rect">
                      <a:avLst/>
                    </a:prstGeom>
                    <a:noFill/>
                    <a:ln>
                      <a:noFill/>
                    </a:ln>
                  </pic:spPr>
                </pic:pic>
              </a:graphicData>
            </a:graphic>
          </wp:inline>
        </w:drawing>
      </w:r>
    </w:p>
    <w:p>
      <w:pPr>
        <w:pStyle w:val="214"/>
        <w:numPr>
          <w:ilvl w:val="2"/>
          <w:numId w:val="0"/>
        </w:numPr>
        <w:bidi w:val="0"/>
        <w:ind w:leftChars="0"/>
        <w:jc w:val="center"/>
        <w:rPr>
          <w:rFonts w:hint="eastAsia" w:ascii="黑体" w:hAnsi="黑体" w:eastAsia="黑体" w:cs="黑体"/>
          <w:lang w:val="en-US" w:eastAsia="zh-CN"/>
        </w:rPr>
      </w:pPr>
      <w:r>
        <w:rPr>
          <w:rFonts w:hint="eastAsia" w:ascii="黑体" w:hAnsi="黑体" w:eastAsia="黑体" w:cs="黑体"/>
          <w:lang w:eastAsia="zh-CN"/>
        </w:rPr>
        <w:t>图</w:t>
      </w:r>
      <w:r>
        <w:rPr>
          <w:rFonts w:hint="eastAsia" w:ascii="黑体" w:hAnsi="黑体" w:eastAsia="黑体" w:cs="黑体"/>
          <w:lang w:val="en-US" w:eastAsia="zh-CN"/>
        </w:rPr>
        <w:t>A.1 分离式直壁流槽井和非分离式直壁沉泥井</w:t>
      </w:r>
    </w:p>
    <w:p>
      <w:pPr>
        <w:pStyle w:val="214"/>
        <w:numPr>
          <w:ilvl w:val="2"/>
          <w:numId w:val="0"/>
        </w:numPr>
        <w:bidi w:val="0"/>
        <w:ind w:leftChars="0"/>
        <w:jc w:val="center"/>
        <w:rPr>
          <w:rFonts w:hint="eastAsia" w:ascii="黑体" w:hAnsi="黑体" w:eastAsia="黑体" w:cs="黑体"/>
          <w:lang w:val="en-US" w:eastAsia="zh-CN"/>
        </w:rPr>
      </w:pPr>
    </w:p>
    <w:p>
      <w:pPr>
        <w:pStyle w:val="214"/>
        <w:numPr>
          <w:ilvl w:val="2"/>
          <w:numId w:val="0"/>
        </w:numPr>
        <w:bidi w:val="0"/>
        <w:ind w:leftChars="0"/>
        <w:jc w:val="center"/>
        <w:rPr>
          <w:rFonts w:hint="eastAsia" w:ascii="Arial" w:hAnsi="Arial" w:cs="Arial"/>
        </w:rPr>
      </w:pPr>
      <w:r>
        <w:rPr>
          <w:rFonts w:ascii="Arial" w:hAnsi="Arial" w:cs="Arial"/>
        </w:rPr>
        <w:drawing>
          <wp:inline distT="0" distB="0" distL="114300" distR="114300">
            <wp:extent cx="4070350" cy="3085465"/>
            <wp:effectExtent l="0" t="0" r="6350" b="635"/>
            <wp:docPr id="42" name="图片 6" descr="产品示意图数据-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6" descr="产品示意图数据-Model"/>
                    <pic:cNvPicPr>
                      <a:picLocks noChangeAspect="1"/>
                    </pic:cNvPicPr>
                  </pic:nvPicPr>
                  <pic:blipFill>
                    <a:blip r:embed="rId30"/>
                    <a:stretch>
                      <a:fillRect/>
                    </a:stretch>
                  </pic:blipFill>
                  <pic:spPr>
                    <a:xfrm>
                      <a:off x="0" y="0"/>
                      <a:ext cx="4070350" cy="3085465"/>
                    </a:xfrm>
                    <a:prstGeom prst="rect">
                      <a:avLst/>
                    </a:prstGeom>
                    <a:noFill/>
                    <a:ln>
                      <a:noFill/>
                    </a:ln>
                  </pic:spPr>
                </pic:pic>
              </a:graphicData>
            </a:graphic>
          </wp:inline>
        </w:drawing>
      </w:r>
    </w:p>
    <w:p>
      <w:pPr>
        <w:pStyle w:val="214"/>
        <w:numPr>
          <w:ilvl w:val="2"/>
          <w:numId w:val="0"/>
        </w:numPr>
        <w:bidi w:val="0"/>
        <w:ind w:leftChars="0"/>
        <w:jc w:val="center"/>
        <w:rPr>
          <w:rFonts w:hint="eastAsia" w:ascii="黑体" w:hAnsi="黑体" w:eastAsia="黑体" w:cs="黑体"/>
          <w:lang w:val="en-US" w:eastAsia="zh-CN"/>
        </w:rPr>
      </w:pPr>
      <w:r>
        <w:rPr>
          <w:rFonts w:hint="eastAsia" w:ascii="黑体" w:hAnsi="黑体" w:eastAsia="黑体" w:cs="黑体"/>
          <w:lang w:eastAsia="zh-CN"/>
        </w:rPr>
        <w:t>图</w:t>
      </w:r>
      <w:r>
        <w:rPr>
          <w:rFonts w:hint="eastAsia" w:ascii="黑体" w:hAnsi="黑体" w:eastAsia="黑体" w:cs="黑体"/>
          <w:lang w:val="en-US" w:eastAsia="zh-CN"/>
        </w:rPr>
        <w:t>A.2 分离式收口流槽井和分离式收口沉泥井</w:t>
      </w:r>
    </w:p>
    <w:p>
      <w:pPr>
        <w:pStyle w:val="214"/>
        <w:bidi w:val="0"/>
        <w:rPr>
          <w:rFonts w:hint="eastAsia"/>
          <w:lang w:eastAsia="zh-CN"/>
        </w:rPr>
      </w:pPr>
      <w:r>
        <w:rPr>
          <w:rFonts w:hint="eastAsia"/>
          <w:lang w:eastAsia="zh-CN"/>
        </w:rPr>
        <w:t>井座按流水性能不同，分为有流槽与有沉泥室两类检查井；按照形状不同，分为直通井、起始井、弯头井、三通井、四通井等；</w:t>
      </w:r>
    </w:p>
    <w:p>
      <w:pPr>
        <w:pStyle w:val="214"/>
        <w:bidi w:val="0"/>
        <w:rPr>
          <w:rFonts w:hint="eastAsia"/>
          <w:lang w:eastAsia="zh-CN"/>
        </w:rPr>
      </w:pPr>
      <w:r>
        <w:rPr>
          <w:rFonts w:hint="eastAsia"/>
          <w:lang w:eastAsia="zh-CN"/>
        </w:rPr>
        <w:t>按检查井功能不同，可分为普通井、水封井和跌水井；</w:t>
      </w:r>
    </w:p>
    <w:p>
      <w:pPr>
        <w:pStyle w:val="214"/>
        <w:bidi w:val="0"/>
        <w:rPr>
          <w:rFonts w:hint="eastAsia" w:eastAsia="黑体"/>
          <w:lang w:eastAsia="zh-CN"/>
        </w:rPr>
      </w:pPr>
      <w:r>
        <w:rPr>
          <w:rFonts w:hint="eastAsia"/>
          <w:lang w:eastAsia="zh-CN"/>
        </w:rPr>
        <w:t>按排水系统可分为污水检查井、雨水检查井。</w:t>
      </w:r>
    </w:p>
    <w:p>
      <w:pPr>
        <w:pStyle w:val="213"/>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textAlignment w:val="auto"/>
        <w:rPr>
          <w:rFonts w:hint="eastAsia" w:ascii="黑体" w:hAnsi="黑体" w:eastAsia="黑体" w:cs="黑体"/>
        </w:rPr>
      </w:pPr>
      <w:r>
        <w:rPr>
          <w:rFonts w:hint="eastAsia" w:ascii="黑体" w:hAnsi="黑体" w:eastAsia="黑体" w:cs="黑体"/>
          <w:lang w:eastAsia="zh-CN"/>
        </w:rPr>
        <w:t>标记</w:t>
      </w:r>
    </w:p>
    <w:p>
      <w:pPr>
        <w:pStyle w:val="214"/>
        <w:bidi w:val="0"/>
        <w:rPr>
          <w:rFonts w:hint="eastAsia"/>
          <w:lang w:eastAsia="zh-CN"/>
        </w:rPr>
      </w:pPr>
      <w:r>
        <w:rPr>
          <w:rFonts w:hint="eastAsia"/>
          <w:lang w:eastAsia="zh-CN"/>
        </w:rPr>
        <w:t>检查井标记由井座构造、井座形状、井座连接井筒直径和流出管管径组成，见图A</w:t>
      </w:r>
      <w:r>
        <w:rPr>
          <w:rFonts w:hint="eastAsia"/>
          <w:lang w:val="en-US" w:eastAsia="zh-CN"/>
        </w:rPr>
        <w:t>.3</w:t>
      </w:r>
      <w:r>
        <w:rPr>
          <w:rFonts w:hint="eastAsia"/>
          <w:lang w:eastAsia="zh-CN"/>
        </w:rPr>
        <w:t>。</w:t>
      </w:r>
    </w:p>
    <w:p>
      <w:pPr>
        <w:pStyle w:val="214"/>
        <w:numPr>
          <w:ilvl w:val="2"/>
          <w:numId w:val="0"/>
        </w:numPr>
        <w:bidi w:val="0"/>
        <w:ind w:leftChars="0"/>
        <w:rPr>
          <w:rFonts w:hint="eastAsia"/>
          <w:lang w:eastAsia="zh-CN"/>
        </w:rPr>
      </w:pPr>
    </w:p>
    <w:p>
      <w:pPr>
        <w:pStyle w:val="214"/>
        <w:numPr>
          <w:ilvl w:val="2"/>
          <w:numId w:val="0"/>
        </w:numPr>
        <w:bidi w:val="0"/>
        <w:ind w:leftChars="0"/>
        <w:jc w:val="center"/>
        <w:rPr>
          <w:rFonts w:hint="eastAsia"/>
          <w:lang w:eastAsia="zh-CN"/>
        </w:rPr>
      </w:pPr>
      <w:r>
        <w:drawing>
          <wp:inline distT="0" distB="0" distL="114300" distR="114300">
            <wp:extent cx="5403850" cy="1938020"/>
            <wp:effectExtent l="0" t="0" r="6350" b="5080"/>
            <wp:docPr id="1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3"/>
                    <pic:cNvPicPr>
                      <a:picLocks noChangeAspect="1"/>
                    </pic:cNvPicPr>
                  </pic:nvPicPr>
                  <pic:blipFill>
                    <a:blip r:embed="rId31"/>
                    <a:stretch>
                      <a:fillRect/>
                    </a:stretch>
                  </pic:blipFill>
                  <pic:spPr>
                    <a:xfrm>
                      <a:off x="0" y="0"/>
                      <a:ext cx="5403850" cy="1938020"/>
                    </a:xfrm>
                    <a:prstGeom prst="rect">
                      <a:avLst/>
                    </a:prstGeom>
                    <a:noFill/>
                    <a:ln>
                      <a:noFill/>
                    </a:ln>
                  </pic:spPr>
                </pic:pic>
              </a:graphicData>
            </a:graphic>
          </wp:inline>
        </w:drawing>
      </w:r>
    </w:p>
    <w:p>
      <w:pPr>
        <w:pStyle w:val="214"/>
        <w:numPr>
          <w:ilvl w:val="2"/>
          <w:numId w:val="0"/>
        </w:numPr>
        <w:bidi w:val="0"/>
        <w:ind w:leftChars="0"/>
        <w:jc w:val="center"/>
        <w:rPr>
          <w:rFonts w:hint="eastAsia" w:ascii="黑体" w:hAnsi="黑体" w:eastAsia="黑体" w:cs="黑体"/>
          <w:lang w:val="en-US" w:eastAsia="zh-CN"/>
        </w:rPr>
      </w:pPr>
      <w:r>
        <w:rPr>
          <w:rFonts w:hint="eastAsia" w:ascii="黑体" w:hAnsi="黑体" w:eastAsia="黑体" w:cs="黑体"/>
          <w:lang w:eastAsia="zh-CN"/>
        </w:rPr>
        <w:t>图</w:t>
      </w:r>
      <w:r>
        <w:rPr>
          <w:rFonts w:hint="eastAsia" w:ascii="黑体" w:hAnsi="黑体" w:eastAsia="黑体" w:cs="黑体"/>
          <w:lang w:val="en-US" w:eastAsia="zh-CN"/>
        </w:rPr>
        <w:t xml:space="preserve"> A.3 井座标记</w:t>
      </w:r>
    </w:p>
    <w:p>
      <w:pPr>
        <w:pStyle w:val="214"/>
        <w:bidi w:val="0"/>
        <w:rPr>
          <w:rFonts w:hint="eastAsia"/>
          <w:lang w:eastAsia="zh-CN"/>
        </w:rPr>
      </w:pPr>
      <w:r>
        <w:rPr>
          <w:rFonts w:hint="eastAsia"/>
          <w:lang w:eastAsia="zh-CN"/>
        </w:rPr>
        <w:t>有流槽检查井标记示例如下：</w:t>
      </w:r>
    </w:p>
    <w:p>
      <w:pPr>
        <w:numPr>
          <w:ilvl w:val="0"/>
          <w:numId w:val="55"/>
        </w:numPr>
        <w:spacing w:line="360" w:lineRule="auto"/>
        <w:ind w:left="795" w:leftChars="0" w:hanging="360" w:firstLineChars="0"/>
        <w:rPr>
          <w:rFonts w:hint="eastAsia" w:ascii="宋体" w:hAnsi="宋体" w:eastAsia="宋体" w:cs="宋体"/>
          <w:sz w:val="21"/>
          <w:szCs w:val="21"/>
          <w:lang w:eastAsia="zh-CN"/>
        </w:rPr>
      </w:pPr>
      <w:r>
        <w:rPr>
          <w:rFonts w:hint="eastAsia" w:ascii="宋体" w:hAnsi="宋体" w:cs="宋体"/>
          <w:sz w:val="21"/>
          <w:szCs w:val="21"/>
        </w:rPr>
        <w:t>外径系列：有流槽90°四通井，井座连接井筒外径OD630mm，流出管径为OD315mm</w:t>
      </w:r>
      <w:r>
        <w:rPr>
          <w:rFonts w:hint="eastAsia" w:ascii="宋体" w:hAnsi="宋体" w:cs="宋体"/>
          <w:sz w:val="21"/>
          <w:szCs w:val="21"/>
          <w:lang w:eastAsia="zh-CN"/>
        </w:rPr>
        <w:t>标记为：</w:t>
      </w:r>
      <w:r>
        <w:rPr>
          <w:rFonts w:hint="eastAsia" w:ascii="宋体" w:hAnsi="宋体" w:cs="宋体"/>
          <w:sz w:val="21"/>
          <w:szCs w:val="21"/>
        </w:rPr>
        <w:t>L-90X-630-315</w:t>
      </w:r>
      <w:r>
        <w:rPr>
          <w:rFonts w:hint="eastAsia" w:ascii="宋体" w:hAnsi="宋体" w:cs="宋体"/>
          <w:sz w:val="21"/>
          <w:szCs w:val="21"/>
          <w:lang w:eastAsia="zh-CN"/>
        </w:rPr>
        <w:t>。</w:t>
      </w:r>
    </w:p>
    <w:p>
      <w:pPr>
        <w:numPr>
          <w:ilvl w:val="0"/>
          <w:numId w:val="55"/>
        </w:numPr>
        <w:spacing w:line="360" w:lineRule="auto"/>
        <w:ind w:left="795" w:leftChars="0" w:hanging="360" w:firstLineChars="0"/>
        <w:rPr>
          <w:rFonts w:hint="eastAsia" w:ascii="宋体" w:hAnsi="宋体" w:eastAsia="宋体" w:cs="宋体"/>
          <w:sz w:val="21"/>
          <w:szCs w:val="21"/>
          <w:lang w:eastAsia="zh-CN"/>
        </w:rPr>
      </w:pPr>
      <w:r>
        <w:rPr>
          <w:rFonts w:hint="eastAsia" w:ascii="宋体" w:hAnsi="宋体" w:cs="宋体"/>
          <w:sz w:val="21"/>
          <w:szCs w:val="21"/>
        </w:rPr>
        <w:t>内径系列：有流槽90°四通井，井座连接井筒外径OD450mm，流出管径为ID300mm</w:t>
      </w:r>
      <w:r>
        <w:rPr>
          <w:rFonts w:hint="eastAsia" w:ascii="宋体" w:hAnsi="宋体" w:cs="宋体"/>
          <w:sz w:val="21"/>
          <w:szCs w:val="21"/>
          <w:lang w:eastAsia="zh-CN"/>
        </w:rPr>
        <w:t>标记为</w:t>
      </w:r>
      <w:r>
        <w:rPr>
          <w:rFonts w:hint="eastAsia" w:ascii="宋体" w:hAnsi="宋体" w:cs="宋体"/>
          <w:sz w:val="21"/>
          <w:szCs w:val="21"/>
        </w:rPr>
        <w:t>：L-90X-450-ID300</w:t>
      </w:r>
      <w:r>
        <w:rPr>
          <w:rFonts w:hint="eastAsia" w:ascii="宋体" w:hAnsi="宋体" w:cs="宋体"/>
          <w:sz w:val="21"/>
          <w:szCs w:val="21"/>
          <w:lang w:eastAsia="zh-CN"/>
        </w:rPr>
        <w:t>。</w:t>
      </w:r>
    </w:p>
    <w:p>
      <w:pPr>
        <w:pStyle w:val="214"/>
        <w:bidi w:val="0"/>
        <w:rPr>
          <w:rFonts w:hint="eastAsia"/>
          <w:lang w:eastAsia="zh-CN"/>
        </w:rPr>
      </w:pPr>
      <w:r>
        <w:rPr>
          <w:rFonts w:hint="eastAsia"/>
          <w:lang w:eastAsia="zh-CN"/>
        </w:rPr>
        <w:t>有沉泥室检查井标记示例如下：</w:t>
      </w:r>
    </w:p>
    <w:p>
      <w:pPr>
        <w:pStyle w:val="214"/>
        <w:numPr>
          <w:ilvl w:val="2"/>
          <w:numId w:val="0"/>
        </w:numPr>
        <w:bidi w:val="0"/>
        <w:ind w:leftChars="0" w:firstLine="840" w:firstLineChars="400"/>
        <w:rPr>
          <w:rFonts w:hint="eastAsia"/>
          <w:lang w:eastAsia="zh-CN"/>
        </w:rPr>
      </w:pPr>
      <w:r>
        <w:rPr>
          <w:rFonts w:hint="eastAsia"/>
          <w:lang w:eastAsia="zh-CN"/>
        </w:rPr>
        <w:t>有沉泥室90°四通井，井座连接井室或井筒ID1000mm，流出管管径为ID800mm标记为：</w:t>
      </w:r>
      <w:r>
        <w:rPr>
          <w:rFonts w:hint="eastAsia"/>
          <w:lang w:val="en-US" w:eastAsia="zh-CN"/>
        </w:rPr>
        <w:t>N</w:t>
      </w:r>
      <w:r>
        <w:rPr>
          <w:rFonts w:hint="eastAsia"/>
          <w:lang w:eastAsia="zh-CN"/>
        </w:rPr>
        <w:t>-90X-ID1000-ID800。</w:t>
      </w:r>
    </w:p>
    <w:p>
      <w:pPr>
        <w:pStyle w:val="213"/>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textAlignment w:val="auto"/>
        <w:rPr>
          <w:rFonts w:hint="eastAsia" w:ascii="黑体" w:hAnsi="黑体" w:eastAsia="黑体" w:cs="黑体"/>
        </w:rPr>
      </w:pPr>
      <w:r>
        <w:rPr>
          <w:rFonts w:hint="eastAsia" w:ascii="黑体" w:hAnsi="黑体" w:eastAsia="黑体" w:cs="黑体"/>
          <w:lang w:eastAsia="zh-CN"/>
        </w:rPr>
        <w:t>井座规格</w:t>
      </w:r>
    </w:p>
    <w:p>
      <w:pPr>
        <w:pStyle w:val="58"/>
        <w:bidi w:val="0"/>
        <w:rPr>
          <w:rFonts w:hint="eastAsia"/>
          <w:lang w:val="en-US" w:eastAsia="zh-CN"/>
        </w:rPr>
      </w:pPr>
      <w:r>
        <w:rPr>
          <w:rFonts w:hint="eastAsia"/>
          <w:lang w:eastAsia="zh-CN"/>
        </w:rPr>
        <w:t>井座规格见表</w:t>
      </w:r>
      <w:r>
        <w:rPr>
          <w:rFonts w:hint="eastAsia"/>
          <w:lang w:val="en-US" w:eastAsia="zh-CN"/>
        </w:rPr>
        <w:t xml:space="preserve"> A.1</w:t>
      </w:r>
      <w:r>
        <w:rPr>
          <w:rFonts w:hint="default" w:ascii="Times New Roman" w:hAnsi="Times New Roman" w:cs="Times New Roman"/>
          <w:lang w:val="en-US" w:eastAsia="zh-CN"/>
        </w:rPr>
        <w:t>~</w:t>
      </w:r>
      <w:r>
        <w:rPr>
          <w:rFonts w:hint="eastAsia"/>
          <w:lang w:val="en-US" w:eastAsia="zh-CN"/>
        </w:rPr>
        <w:t>A.3</w:t>
      </w:r>
    </w:p>
    <w:p>
      <w:pPr>
        <w:rPr>
          <w:rFonts w:hint="eastAsia"/>
          <w:lang w:val="en-US" w:eastAsia="zh-CN"/>
        </w:rPr>
      </w:pPr>
      <w:r>
        <w:rPr>
          <w:rFonts w:hint="eastAsia"/>
          <w:lang w:val="en-US" w:eastAsia="zh-CN"/>
        </w:rPr>
        <w:br w:type="page"/>
      </w:r>
    </w:p>
    <w:p>
      <w:pPr>
        <w:pStyle w:val="79"/>
        <w:spacing w:before="156" w:after="156"/>
      </w:pPr>
      <w:r>
        <w:rPr>
          <w:rFonts w:hint="eastAsia"/>
          <w:lang w:eastAsia="zh-CN"/>
        </w:rPr>
        <w:t>流槽式检查井井座规格</w:t>
      </w:r>
    </w:p>
    <w:p>
      <w:pPr>
        <w:pStyle w:val="58"/>
        <w:jc w:val="right"/>
        <w:rPr>
          <w:sz w:val="18"/>
          <w:szCs w:val="18"/>
        </w:rPr>
      </w:pPr>
      <w:r>
        <w:rPr>
          <w:rFonts w:hint="eastAsia"/>
          <w:sz w:val="18"/>
          <w:szCs w:val="18"/>
          <w:lang w:eastAsia="zh-CN"/>
        </w:rPr>
        <w:t>单位为毫米</w:t>
      </w:r>
    </w:p>
    <w:tbl>
      <w:tblPr>
        <w:tblStyle w:val="27"/>
        <w:tblW w:w="9361"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772"/>
        <w:gridCol w:w="912"/>
        <w:gridCol w:w="950"/>
        <w:gridCol w:w="400"/>
        <w:gridCol w:w="350"/>
        <w:gridCol w:w="638"/>
        <w:gridCol w:w="587"/>
        <w:gridCol w:w="525"/>
        <w:gridCol w:w="450"/>
        <w:gridCol w:w="613"/>
        <w:gridCol w:w="650"/>
        <w:gridCol w:w="625"/>
        <w:gridCol w:w="637"/>
        <w:gridCol w:w="588"/>
        <w:gridCol w:w="664"/>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1" w:hRule="atLeast"/>
          <w:jc w:val="center"/>
        </w:trPr>
        <w:tc>
          <w:tcPr>
            <w:tcW w:w="772" w:type="dxa"/>
            <w:vMerge w:val="restart"/>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井径</w:t>
            </w:r>
          </w:p>
        </w:tc>
        <w:tc>
          <w:tcPr>
            <w:tcW w:w="1862" w:type="dxa"/>
            <w:gridSpan w:val="2"/>
            <w:vMerge w:val="restart"/>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流出管径</w:t>
            </w:r>
          </w:p>
        </w:tc>
        <w:tc>
          <w:tcPr>
            <w:tcW w:w="400" w:type="dxa"/>
            <w:vMerge w:val="restart"/>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起始井</w:t>
            </w:r>
          </w:p>
        </w:tc>
        <w:tc>
          <w:tcPr>
            <w:tcW w:w="350" w:type="dxa"/>
            <w:vMerge w:val="restart"/>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直通井</w:t>
            </w:r>
          </w:p>
        </w:tc>
        <w:tc>
          <w:tcPr>
            <w:tcW w:w="1225" w:type="dxa"/>
            <w:gridSpan w:val="2"/>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弯头井</w:t>
            </w:r>
          </w:p>
        </w:tc>
        <w:tc>
          <w:tcPr>
            <w:tcW w:w="2863" w:type="dxa"/>
            <w:gridSpan w:val="5"/>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三通井</w:t>
            </w:r>
          </w:p>
        </w:tc>
        <w:tc>
          <w:tcPr>
            <w:tcW w:w="1889" w:type="dxa"/>
            <w:gridSpan w:val="3"/>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四通井</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31" w:hRule="atLeast"/>
          <w:jc w:val="center"/>
        </w:trPr>
        <w:tc>
          <w:tcPr>
            <w:tcW w:w="772" w:type="dxa"/>
            <w:vMerge w:val="continue"/>
            <w:tcBorders>
              <w:tl2br w:val="nil"/>
              <w:tr2bl w:val="nil"/>
            </w:tcBorders>
            <w:noWrap w:val="0"/>
            <w:vAlign w:val="center"/>
          </w:tcPr>
          <w:p>
            <w:pPr>
              <w:adjustRightInd/>
              <w:spacing w:line="240" w:lineRule="auto"/>
              <w:jc w:val="center"/>
              <w:rPr>
                <w:rFonts w:hint="eastAsia" w:ascii="宋体" w:hAnsi="宋体" w:eastAsia="宋体" w:cs="宋体"/>
                <w:sz w:val="18"/>
                <w:szCs w:val="18"/>
              </w:rPr>
            </w:pPr>
          </w:p>
        </w:tc>
        <w:tc>
          <w:tcPr>
            <w:tcW w:w="1862" w:type="dxa"/>
            <w:gridSpan w:val="2"/>
            <w:vMerge w:val="continue"/>
            <w:tcBorders>
              <w:tl2br w:val="nil"/>
              <w:tr2bl w:val="nil"/>
            </w:tcBorders>
            <w:noWrap w:val="0"/>
            <w:vAlign w:val="center"/>
          </w:tcPr>
          <w:p>
            <w:pPr>
              <w:adjustRightInd/>
              <w:spacing w:line="240" w:lineRule="auto"/>
              <w:jc w:val="center"/>
              <w:rPr>
                <w:rFonts w:hint="eastAsia" w:ascii="宋体" w:hAnsi="宋体" w:eastAsia="宋体" w:cs="宋体"/>
                <w:sz w:val="18"/>
                <w:szCs w:val="18"/>
              </w:rPr>
            </w:pPr>
          </w:p>
        </w:tc>
        <w:tc>
          <w:tcPr>
            <w:tcW w:w="400" w:type="dxa"/>
            <w:vMerge w:val="continue"/>
            <w:tcBorders>
              <w:tl2br w:val="nil"/>
              <w:tr2bl w:val="nil"/>
            </w:tcBorders>
            <w:noWrap w:val="0"/>
            <w:vAlign w:val="center"/>
          </w:tcPr>
          <w:p>
            <w:pPr>
              <w:adjustRightInd/>
              <w:spacing w:line="240" w:lineRule="auto"/>
              <w:jc w:val="center"/>
              <w:rPr>
                <w:rFonts w:hint="eastAsia" w:ascii="宋体" w:hAnsi="宋体" w:eastAsia="宋体" w:cs="宋体"/>
                <w:sz w:val="18"/>
                <w:szCs w:val="18"/>
              </w:rPr>
            </w:pPr>
          </w:p>
        </w:tc>
        <w:tc>
          <w:tcPr>
            <w:tcW w:w="350" w:type="dxa"/>
            <w:vMerge w:val="continue"/>
            <w:tcBorders>
              <w:tl2br w:val="nil"/>
              <w:tr2bl w:val="nil"/>
            </w:tcBorders>
            <w:noWrap w:val="0"/>
            <w:vAlign w:val="center"/>
          </w:tcPr>
          <w:p>
            <w:pPr>
              <w:adjustRightInd/>
              <w:spacing w:line="240" w:lineRule="auto"/>
              <w:jc w:val="center"/>
              <w:rPr>
                <w:rFonts w:hint="eastAsia" w:ascii="宋体" w:hAnsi="宋体" w:eastAsia="宋体" w:cs="宋体"/>
                <w:sz w:val="18"/>
                <w:szCs w:val="18"/>
              </w:rPr>
            </w:pPr>
          </w:p>
        </w:tc>
        <w:tc>
          <w:tcPr>
            <w:tcW w:w="638" w:type="dxa"/>
            <w:vMerge w:val="restart"/>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90°弯头</w:t>
            </w:r>
          </w:p>
        </w:tc>
        <w:tc>
          <w:tcPr>
            <w:tcW w:w="587" w:type="dxa"/>
            <w:vMerge w:val="restart"/>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45°弯头</w:t>
            </w:r>
          </w:p>
        </w:tc>
        <w:tc>
          <w:tcPr>
            <w:tcW w:w="525" w:type="dxa"/>
            <w:vMerge w:val="restart"/>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左</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三通</w:t>
            </w:r>
          </w:p>
        </w:tc>
        <w:tc>
          <w:tcPr>
            <w:tcW w:w="450" w:type="dxa"/>
            <w:vMerge w:val="restart"/>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右</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三通</w:t>
            </w:r>
          </w:p>
        </w:tc>
        <w:tc>
          <w:tcPr>
            <w:tcW w:w="613" w:type="dxa"/>
            <w:vMerge w:val="restart"/>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左斜三通</w:t>
            </w:r>
          </w:p>
        </w:tc>
        <w:tc>
          <w:tcPr>
            <w:tcW w:w="650" w:type="dxa"/>
            <w:vMerge w:val="restart"/>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右斜三通</w:t>
            </w:r>
          </w:p>
        </w:tc>
        <w:tc>
          <w:tcPr>
            <w:tcW w:w="625" w:type="dxa"/>
            <w:vMerge w:val="restart"/>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汇合三通</w:t>
            </w:r>
          </w:p>
        </w:tc>
        <w:tc>
          <w:tcPr>
            <w:tcW w:w="637" w:type="dxa"/>
            <w:vMerge w:val="restart"/>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左</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四通</w:t>
            </w:r>
          </w:p>
        </w:tc>
        <w:tc>
          <w:tcPr>
            <w:tcW w:w="588" w:type="dxa"/>
            <w:vMerge w:val="restart"/>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右</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四通</w:t>
            </w:r>
          </w:p>
        </w:tc>
        <w:tc>
          <w:tcPr>
            <w:tcW w:w="664" w:type="dxa"/>
            <w:vMerge w:val="restart"/>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汇合四通</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61" w:hRule="atLeast"/>
          <w:jc w:val="center"/>
        </w:trPr>
        <w:tc>
          <w:tcPr>
            <w:tcW w:w="772" w:type="dxa"/>
            <w:vMerge w:val="continue"/>
            <w:tcBorders>
              <w:bottom w:val="single" w:color="auto" w:sz="8" w:space="0"/>
              <w:tl2br w:val="nil"/>
              <w:tr2bl w:val="nil"/>
            </w:tcBorders>
            <w:noWrap w:val="0"/>
            <w:vAlign w:val="center"/>
          </w:tcPr>
          <w:p>
            <w:pPr>
              <w:adjustRightInd/>
              <w:spacing w:line="240" w:lineRule="auto"/>
              <w:jc w:val="center"/>
              <w:rPr>
                <w:rFonts w:hint="eastAsia" w:ascii="宋体" w:hAnsi="宋体" w:eastAsia="宋体" w:cs="宋体"/>
                <w:sz w:val="18"/>
                <w:szCs w:val="18"/>
              </w:rPr>
            </w:pPr>
          </w:p>
        </w:tc>
        <w:tc>
          <w:tcPr>
            <w:tcW w:w="912" w:type="dxa"/>
            <w:tcBorders>
              <w:bottom w:val="single" w:color="auto" w:sz="8" w:space="0"/>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外径</w:t>
            </w:r>
          </w:p>
        </w:tc>
        <w:tc>
          <w:tcPr>
            <w:tcW w:w="950" w:type="dxa"/>
            <w:tcBorders>
              <w:bottom w:val="single" w:color="auto" w:sz="8" w:space="0"/>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内径</w:t>
            </w:r>
          </w:p>
        </w:tc>
        <w:tc>
          <w:tcPr>
            <w:tcW w:w="400" w:type="dxa"/>
            <w:vMerge w:val="continue"/>
            <w:tcBorders>
              <w:bottom w:val="single" w:color="auto" w:sz="8" w:space="0"/>
              <w:tl2br w:val="nil"/>
              <w:tr2bl w:val="nil"/>
            </w:tcBorders>
            <w:noWrap w:val="0"/>
            <w:vAlign w:val="center"/>
          </w:tcPr>
          <w:p>
            <w:pPr>
              <w:adjustRightInd/>
              <w:spacing w:line="240" w:lineRule="auto"/>
              <w:jc w:val="center"/>
              <w:rPr>
                <w:rFonts w:hint="eastAsia" w:ascii="宋体" w:hAnsi="宋体" w:eastAsia="宋体" w:cs="宋体"/>
                <w:sz w:val="18"/>
                <w:szCs w:val="18"/>
              </w:rPr>
            </w:pPr>
          </w:p>
        </w:tc>
        <w:tc>
          <w:tcPr>
            <w:tcW w:w="350" w:type="dxa"/>
            <w:vMerge w:val="continue"/>
            <w:tcBorders>
              <w:bottom w:val="single" w:color="auto" w:sz="8" w:space="0"/>
              <w:tl2br w:val="nil"/>
              <w:tr2bl w:val="nil"/>
            </w:tcBorders>
            <w:noWrap w:val="0"/>
            <w:vAlign w:val="center"/>
          </w:tcPr>
          <w:p>
            <w:pPr>
              <w:adjustRightInd/>
              <w:spacing w:line="240" w:lineRule="auto"/>
              <w:jc w:val="center"/>
              <w:rPr>
                <w:rFonts w:hint="eastAsia" w:ascii="宋体" w:hAnsi="宋体" w:eastAsia="宋体" w:cs="宋体"/>
                <w:sz w:val="18"/>
                <w:szCs w:val="18"/>
              </w:rPr>
            </w:pPr>
          </w:p>
        </w:tc>
        <w:tc>
          <w:tcPr>
            <w:tcW w:w="638" w:type="dxa"/>
            <w:vMerge w:val="continue"/>
            <w:tcBorders>
              <w:bottom w:val="single" w:color="auto" w:sz="8" w:space="0"/>
              <w:tl2br w:val="nil"/>
              <w:tr2bl w:val="nil"/>
            </w:tcBorders>
            <w:noWrap w:val="0"/>
            <w:vAlign w:val="center"/>
          </w:tcPr>
          <w:p>
            <w:pPr>
              <w:adjustRightInd/>
              <w:spacing w:line="240" w:lineRule="auto"/>
              <w:jc w:val="center"/>
              <w:rPr>
                <w:rFonts w:hint="eastAsia" w:ascii="宋体" w:hAnsi="宋体" w:eastAsia="宋体" w:cs="宋体"/>
                <w:sz w:val="18"/>
                <w:szCs w:val="18"/>
              </w:rPr>
            </w:pPr>
          </w:p>
        </w:tc>
        <w:tc>
          <w:tcPr>
            <w:tcW w:w="587" w:type="dxa"/>
            <w:vMerge w:val="continue"/>
            <w:tcBorders>
              <w:bottom w:val="single" w:color="auto" w:sz="8" w:space="0"/>
              <w:tl2br w:val="nil"/>
              <w:tr2bl w:val="nil"/>
            </w:tcBorders>
            <w:noWrap w:val="0"/>
            <w:vAlign w:val="center"/>
          </w:tcPr>
          <w:p>
            <w:pPr>
              <w:adjustRightInd/>
              <w:spacing w:line="240" w:lineRule="auto"/>
              <w:jc w:val="center"/>
              <w:rPr>
                <w:rFonts w:hint="eastAsia" w:ascii="宋体" w:hAnsi="宋体" w:eastAsia="宋体" w:cs="宋体"/>
                <w:sz w:val="18"/>
                <w:szCs w:val="18"/>
              </w:rPr>
            </w:pPr>
          </w:p>
        </w:tc>
        <w:tc>
          <w:tcPr>
            <w:tcW w:w="525" w:type="dxa"/>
            <w:vMerge w:val="continue"/>
            <w:tcBorders>
              <w:bottom w:val="single" w:color="auto" w:sz="8" w:space="0"/>
              <w:tl2br w:val="nil"/>
              <w:tr2bl w:val="nil"/>
            </w:tcBorders>
            <w:noWrap w:val="0"/>
            <w:vAlign w:val="center"/>
          </w:tcPr>
          <w:p>
            <w:pPr>
              <w:adjustRightInd/>
              <w:spacing w:line="240" w:lineRule="auto"/>
              <w:jc w:val="center"/>
              <w:rPr>
                <w:rFonts w:hint="eastAsia" w:ascii="宋体" w:hAnsi="宋体" w:eastAsia="宋体" w:cs="宋体"/>
                <w:sz w:val="18"/>
                <w:szCs w:val="18"/>
              </w:rPr>
            </w:pPr>
          </w:p>
        </w:tc>
        <w:tc>
          <w:tcPr>
            <w:tcW w:w="450" w:type="dxa"/>
            <w:vMerge w:val="continue"/>
            <w:tcBorders>
              <w:bottom w:val="single" w:color="auto" w:sz="8" w:space="0"/>
              <w:tl2br w:val="nil"/>
              <w:tr2bl w:val="nil"/>
            </w:tcBorders>
            <w:noWrap w:val="0"/>
            <w:vAlign w:val="center"/>
          </w:tcPr>
          <w:p>
            <w:pPr>
              <w:adjustRightInd/>
              <w:spacing w:line="240" w:lineRule="auto"/>
              <w:jc w:val="center"/>
              <w:rPr>
                <w:rFonts w:hint="eastAsia" w:ascii="宋体" w:hAnsi="宋体" w:eastAsia="宋体" w:cs="宋体"/>
                <w:sz w:val="18"/>
                <w:szCs w:val="18"/>
              </w:rPr>
            </w:pPr>
          </w:p>
        </w:tc>
        <w:tc>
          <w:tcPr>
            <w:tcW w:w="613" w:type="dxa"/>
            <w:vMerge w:val="continue"/>
            <w:tcBorders>
              <w:bottom w:val="single" w:color="auto" w:sz="8" w:space="0"/>
              <w:tl2br w:val="nil"/>
              <w:tr2bl w:val="nil"/>
            </w:tcBorders>
            <w:noWrap w:val="0"/>
            <w:vAlign w:val="center"/>
          </w:tcPr>
          <w:p>
            <w:pPr>
              <w:adjustRightInd/>
              <w:spacing w:line="240" w:lineRule="auto"/>
              <w:jc w:val="center"/>
              <w:rPr>
                <w:rFonts w:hint="eastAsia" w:ascii="宋体" w:hAnsi="宋体" w:eastAsia="宋体" w:cs="宋体"/>
                <w:sz w:val="18"/>
                <w:szCs w:val="18"/>
              </w:rPr>
            </w:pPr>
          </w:p>
        </w:tc>
        <w:tc>
          <w:tcPr>
            <w:tcW w:w="650" w:type="dxa"/>
            <w:vMerge w:val="continue"/>
            <w:tcBorders>
              <w:bottom w:val="single" w:color="auto" w:sz="8" w:space="0"/>
              <w:tl2br w:val="nil"/>
              <w:tr2bl w:val="nil"/>
            </w:tcBorders>
            <w:noWrap w:val="0"/>
            <w:vAlign w:val="center"/>
          </w:tcPr>
          <w:p>
            <w:pPr>
              <w:adjustRightInd/>
              <w:spacing w:line="240" w:lineRule="auto"/>
              <w:jc w:val="center"/>
              <w:rPr>
                <w:rFonts w:hint="eastAsia" w:ascii="宋体" w:hAnsi="宋体" w:eastAsia="宋体" w:cs="宋体"/>
                <w:sz w:val="18"/>
                <w:szCs w:val="18"/>
              </w:rPr>
            </w:pPr>
          </w:p>
        </w:tc>
        <w:tc>
          <w:tcPr>
            <w:tcW w:w="625" w:type="dxa"/>
            <w:vMerge w:val="continue"/>
            <w:tcBorders>
              <w:bottom w:val="single" w:color="auto" w:sz="8" w:space="0"/>
              <w:tl2br w:val="nil"/>
              <w:tr2bl w:val="nil"/>
            </w:tcBorders>
            <w:noWrap w:val="0"/>
            <w:vAlign w:val="center"/>
          </w:tcPr>
          <w:p>
            <w:pPr>
              <w:adjustRightInd/>
              <w:spacing w:line="240" w:lineRule="auto"/>
              <w:jc w:val="center"/>
              <w:rPr>
                <w:rFonts w:hint="eastAsia" w:ascii="宋体" w:hAnsi="宋体" w:eastAsia="宋体" w:cs="宋体"/>
                <w:sz w:val="18"/>
                <w:szCs w:val="18"/>
              </w:rPr>
            </w:pPr>
          </w:p>
        </w:tc>
        <w:tc>
          <w:tcPr>
            <w:tcW w:w="637" w:type="dxa"/>
            <w:vMerge w:val="continue"/>
            <w:tcBorders>
              <w:bottom w:val="single" w:color="auto" w:sz="8" w:space="0"/>
              <w:tl2br w:val="nil"/>
              <w:tr2bl w:val="nil"/>
            </w:tcBorders>
            <w:noWrap w:val="0"/>
            <w:vAlign w:val="center"/>
          </w:tcPr>
          <w:p>
            <w:pPr>
              <w:adjustRightInd/>
              <w:spacing w:line="240" w:lineRule="auto"/>
              <w:jc w:val="center"/>
              <w:rPr>
                <w:rFonts w:hint="eastAsia" w:ascii="宋体" w:hAnsi="宋体" w:eastAsia="宋体" w:cs="宋体"/>
                <w:sz w:val="18"/>
                <w:szCs w:val="18"/>
              </w:rPr>
            </w:pPr>
          </w:p>
        </w:tc>
        <w:tc>
          <w:tcPr>
            <w:tcW w:w="588" w:type="dxa"/>
            <w:vMerge w:val="continue"/>
            <w:tcBorders>
              <w:bottom w:val="single" w:color="auto" w:sz="8" w:space="0"/>
              <w:tl2br w:val="nil"/>
              <w:tr2bl w:val="nil"/>
            </w:tcBorders>
            <w:noWrap w:val="0"/>
            <w:vAlign w:val="center"/>
          </w:tcPr>
          <w:p>
            <w:pPr>
              <w:adjustRightInd/>
              <w:spacing w:line="240" w:lineRule="auto"/>
              <w:jc w:val="center"/>
              <w:rPr>
                <w:rFonts w:hint="eastAsia" w:ascii="宋体" w:hAnsi="宋体" w:eastAsia="宋体" w:cs="宋体"/>
                <w:sz w:val="18"/>
                <w:szCs w:val="18"/>
              </w:rPr>
            </w:pPr>
          </w:p>
        </w:tc>
        <w:tc>
          <w:tcPr>
            <w:tcW w:w="664" w:type="dxa"/>
            <w:vMerge w:val="continue"/>
            <w:tcBorders>
              <w:bottom w:val="single" w:color="auto" w:sz="8" w:space="0"/>
              <w:tl2br w:val="nil"/>
              <w:tr2bl w:val="nil"/>
            </w:tcBorders>
            <w:noWrap w:val="0"/>
            <w:vAlign w:val="center"/>
          </w:tcPr>
          <w:p>
            <w:pPr>
              <w:adjustRightInd/>
              <w:spacing w:line="240" w:lineRule="auto"/>
              <w:jc w:val="center"/>
              <w:rPr>
                <w:rFonts w:hint="eastAsia" w:ascii="宋体" w:hAnsi="宋体" w:eastAsia="宋体" w:cs="宋体"/>
                <w:sz w:val="18"/>
                <w:szCs w:val="18"/>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1" w:hRule="atLeast"/>
          <w:jc w:val="center"/>
        </w:trPr>
        <w:tc>
          <w:tcPr>
            <w:tcW w:w="772" w:type="dxa"/>
            <w:tcBorders>
              <w:top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450</w:t>
            </w:r>
          </w:p>
        </w:tc>
        <w:tc>
          <w:tcPr>
            <w:tcW w:w="912" w:type="dxa"/>
            <w:tcBorders>
              <w:top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200-400</w:t>
            </w:r>
          </w:p>
        </w:tc>
        <w:tc>
          <w:tcPr>
            <w:tcW w:w="950" w:type="dxa"/>
            <w:tcBorders>
              <w:top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200-400</w:t>
            </w:r>
          </w:p>
        </w:tc>
        <w:tc>
          <w:tcPr>
            <w:tcW w:w="400" w:type="dxa"/>
            <w:tcBorders>
              <w:top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350" w:type="dxa"/>
            <w:tcBorders>
              <w:top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638" w:type="dxa"/>
            <w:tcBorders>
              <w:top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587" w:type="dxa"/>
            <w:tcBorders>
              <w:top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525" w:type="dxa"/>
            <w:tcBorders>
              <w:top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450" w:type="dxa"/>
            <w:tcBorders>
              <w:top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613" w:type="dxa"/>
            <w:tcBorders>
              <w:top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650" w:type="dxa"/>
            <w:tcBorders>
              <w:top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625" w:type="dxa"/>
            <w:tcBorders>
              <w:top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637" w:type="dxa"/>
            <w:tcBorders>
              <w:top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588" w:type="dxa"/>
            <w:tcBorders>
              <w:top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664" w:type="dxa"/>
            <w:tcBorders>
              <w:top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0" w:hRule="atLeast"/>
          <w:jc w:val="center"/>
        </w:trPr>
        <w:tc>
          <w:tcPr>
            <w:tcW w:w="772"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630</w:t>
            </w:r>
          </w:p>
        </w:tc>
        <w:tc>
          <w:tcPr>
            <w:tcW w:w="912"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200-630</w:t>
            </w:r>
          </w:p>
        </w:tc>
        <w:tc>
          <w:tcPr>
            <w:tcW w:w="950"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200-500</w:t>
            </w:r>
          </w:p>
        </w:tc>
        <w:tc>
          <w:tcPr>
            <w:tcW w:w="400"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350"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638"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587"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525"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450"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613"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650"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625"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637"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588"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664"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1" w:hRule="atLeast"/>
          <w:jc w:val="center"/>
        </w:trPr>
        <w:tc>
          <w:tcPr>
            <w:tcW w:w="772"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700</w:t>
            </w:r>
          </w:p>
        </w:tc>
        <w:tc>
          <w:tcPr>
            <w:tcW w:w="912"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315-500</w:t>
            </w:r>
          </w:p>
        </w:tc>
        <w:tc>
          <w:tcPr>
            <w:tcW w:w="950"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300-600</w:t>
            </w:r>
          </w:p>
        </w:tc>
        <w:tc>
          <w:tcPr>
            <w:tcW w:w="400"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350"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638"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587"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525"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450"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613"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650"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625"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637"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588"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664"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1" w:hRule="atLeast"/>
          <w:jc w:val="center"/>
        </w:trPr>
        <w:tc>
          <w:tcPr>
            <w:tcW w:w="772"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1000</w:t>
            </w:r>
          </w:p>
        </w:tc>
        <w:tc>
          <w:tcPr>
            <w:tcW w:w="912"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315-500</w:t>
            </w:r>
          </w:p>
        </w:tc>
        <w:tc>
          <w:tcPr>
            <w:tcW w:w="950"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300-1000</w:t>
            </w:r>
          </w:p>
        </w:tc>
        <w:tc>
          <w:tcPr>
            <w:tcW w:w="400"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350"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638"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587"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525"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450"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613"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650"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625"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637"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588"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664"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538" w:hRule="atLeast"/>
          <w:jc w:val="center"/>
        </w:trPr>
        <w:tc>
          <w:tcPr>
            <w:tcW w:w="9361" w:type="dxa"/>
            <w:gridSpan w:val="15"/>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drawing>
                <wp:inline distT="0" distB="0" distL="114300" distR="114300">
                  <wp:extent cx="5142230" cy="1840230"/>
                  <wp:effectExtent l="0" t="0" r="1270" b="7620"/>
                  <wp:docPr id="35" name="图片 13"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3" descr="1"/>
                          <pic:cNvPicPr>
                            <a:picLocks noChangeAspect="1"/>
                          </pic:cNvPicPr>
                        </pic:nvPicPr>
                        <pic:blipFill>
                          <a:blip r:embed="rId32"/>
                          <a:stretch>
                            <a:fillRect/>
                          </a:stretch>
                        </pic:blipFill>
                        <pic:spPr>
                          <a:xfrm>
                            <a:off x="0" y="0"/>
                            <a:ext cx="5142230" cy="1840230"/>
                          </a:xfrm>
                          <a:prstGeom prst="rect">
                            <a:avLst/>
                          </a:prstGeom>
                          <a:noFill/>
                          <a:ln>
                            <a:noFill/>
                          </a:ln>
                        </pic:spPr>
                      </pic:pic>
                    </a:graphicData>
                  </a:graphic>
                </wp:inline>
              </w:drawing>
            </w:r>
          </w:p>
          <w:p>
            <w:pPr>
              <w:adjustRightInd/>
              <w:spacing w:line="240" w:lineRule="auto"/>
              <w:ind w:firstLine="900" w:firstLineChars="500"/>
              <w:jc w:val="left"/>
              <w:rPr>
                <w:rFonts w:hint="eastAsia" w:ascii="宋体" w:hAnsi="宋体" w:eastAsia="宋体" w:cs="宋体"/>
                <w:sz w:val="18"/>
                <w:szCs w:val="18"/>
              </w:rPr>
            </w:pPr>
            <w:r>
              <w:rPr>
                <w:rFonts w:hint="eastAsia" w:ascii="宋体" w:hAnsi="宋体" w:eastAsia="宋体" w:cs="宋体"/>
                <w:sz w:val="18"/>
                <w:szCs w:val="18"/>
              </w:rPr>
              <w:t xml:space="preserve">起始井座          </w:t>
            </w:r>
            <w:r>
              <w:rPr>
                <w:rFonts w:hint="eastAsia" w:ascii="宋体" w:hAnsi="宋体" w:cs="宋体"/>
                <w:sz w:val="18"/>
                <w:szCs w:val="18"/>
                <w:lang w:val="en-US" w:eastAsia="zh-CN"/>
              </w:rPr>
              <w:t xml:space="preserve">    </w:t>
            </w:r>
            <w:r>
              <w:rPr>
                <w:rFonts w:hint="eastAsia" w:ascii="宋体" w:hAnsi="宋体" w:eastAsia="宋体" w:cs="宋体"/>
                <w:sz w:val="18"/>
                <w:szCs w:val="18"/>
              </w:rPr>
              <w:t xml:space="preserve">  直通井座         </w:t>
            </w:r>
            <w:r>
              <w:rPr>
                <w:rFonts w:hint="eastAsia" w:ascii="宋体" w:hAnsi="宋体" w:cs="宋体"/>
                <w:sz w:val="18"/>
                <w:szCs w:val="18"/>
                <w:lang w:val="en-US" w:eastAsia="zh-CN"/>
              </w:rPr>
              <w:t xml:space="preserve">    </w:t>
            </w:r>
            <w:r>
              <w:rPr>
                <w:rFonts w:hint="eastAsia" w:ascii="宋体" w:hAnsi="宋体" w:eastAsia="宋体" w:cs="宋体"/>
                <w:sz w:val="18"/>
                <w:szCs w:val="18"/>
              </w:rPr>
              <w:t xml:space="preserve"> 90°弯头井座            45°弯头井座</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drawing>
                <wp:inline distT="0" distB="0" distL="114300" distR="114300">
                  <wp:extent cx="5153660" cy="1856105"/>
                  <wp:effectExtent l="0" t="0" r="8890" b="10795"/>
                  <wp:docPr id="36" name="图片 14"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14" descr="1"/>
                          <pic:cNvPicPr>
                            <a:picLocks noChangeAspect="1"/>
                          </pic:cNvPicPr>
                        </pic:nvPicPr>
                        <pic:blipFill>
                          <a:blip r:embed="rId33"/>
                          <a:stretch>
                            <a:fillRect/>
                          </a:stretch>
                        </pic:blipFill>
                        <pic:spPr>
                          <a:xfrm>
                            <a:off x="0" y="0"/>
                            <a:ext cx="5153660" cy="1856105"/>
                          </a:xfrm>
                          <a:prstGeom prst="rect">
                            <a:avLst/>
                          </a:prstGeom>
                          <a:noFill/>
                          <a:ln>
                            <a:noFill/>
                          </a:ln>
                        </pic:spPr>
                      </pic:pic>
                    </a:graphicData>
                  </a:graphic>
                </wp:inline>
              </w:drawing>
            </w:r>
          </w:p>
          <w:p>
            <w:pPr>
              <w:adjustRightInd/>
              <w:spacing w:line="240" w:lineRule="auto"/>
              <w:ind w:firstLine="900" w:firstLineChars="500"/>
              <w:jc w:val="left"/>
              <w:rPr>
                <w:rFonts w:hint="eastAsia" w:ascii="宋体" w:hAnsi="宋体" w:eastAsia="宋体" w:cs="宋体"/>
                <w:sz w:val="18"/>
                <w:szCs w:val="18"/>
              </w:rPr>
            </w:pPr>
            <w:r>
              <w:rPr>
                <w:rFonts w:hint="eastAsia" w:ascii="宋体" w:hAnsi="宋体" w:eastAsia="宋体" w:cs="宋体"/>
                <w:sz w:val="18"/>
                <w:szCs w:val="18"/>
              </w:rPr>
              <w:t xml:space="preserve">左三通井座         </w:t>
            </w:r>
            <w:r>
              <w:rPr>
                <w:rFonts w:hint="eastAsia" w:ascii="宋体" w:hAnsi="宋体" w:cs="宋体"/>
                <w:sz w:val="18"/>
                <w:szCs w:val="18"/>
                <w:lang w:val="en-US" w:eastAsia="zh-CN"/>
              </w:rPr>
              <w:t xml:space="preserve"> </w:t>
            </w:r>
            <w:r>
              <w:rPr>
                <w:rFonts w:hint="eastAsia" w:ascii="宋体" w:hAnsi="宋体" w:eastAsia="宋体" w:cs="宋体"/>
                <w:sz w:val="18"/>
                <w:szCs w:val="18"/>
              </w:rPr>
              <w:t xml:space="preserve">   右三通井座        </w:t>
            </w:r>
            <w:r>
              <w:rPr>
                <w:rFonts w:hint="eastAsia" w:ascii="宋体" w:hAnsi="宋体" w:cs="宋体"/>
                <w:sz w:val="18"/>
                <w:szCs w:val="18"/>
                <w:lang w:val="en-US" w:eastAsia="zh-CN"/>
              </w:rPr>
              <w:t xml:space="preserve">     </w:t>
            </w:r>
            <w:r>
              <w:rPr>
                <w:rFonts w:hint="eastAsia" w:ascii="宋体" w:hAnsi="宋体" w:eastAsia="宋体" w:cs="宋体"/>
                <w:sz w:val="18"/>
                <w:szCs w:val="18"/>
              </w:rPr>
              <w:t xml:space="preserve">  左斜三通井座    </w:t>
            </w:r>
            <w:r>
              <w:rPr>
                <w:rFonts w:hint="eastAsia" w:ascii="宋体" w:hAnsi="宋体" w:cs="宋体"/>
                <w:sz w:val="18"/>
                <w:szCs w:val="18"/>
                <w:lang w:val="en-US" w:eastAsia="zh-CN"/>
              </w:rPr>
              <w:t xml:space="preserve">   </w:t>
            </w:r>
            <w:r>
              <w:rPr>
                <w:rFonts w:hint="eastAsia" w:ascii="宋体" w:hAnsi="宋体" w:eastAsia="宋体" w:cs="宋体"/>
                <w:sz w:val="18"/>
                <w:szCs w:val="18"/>
              </w:rPr>
              <w:t xml:space="preserve">    右斜三通井座</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drawing>
                <wp:inline distT="0" distB="0" distL="114300" distR="114300">
                  <wp:extent cx="5104765" cy="1880870"/>
                  <wp:effectExtent l="0" t="0" r="635" b="5080"/>
                  <wp:docPr id="43" name="图片 16"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16" descr="1"/>
                          <pic:cNvPicPr>
                            <a:picLocks noChangeAspect="1"/>
                          </pic:cNvPicPr>
                        </pic:nvPicPr>
                        <pic:blipFill>
                          <a:blip r:embed="rId34"/>
                          <a:stretch>
                            <a:fillRect/>
                          </a:stretch>
                        </pic:blipFill>
                        <pic:spPr>
                          <a:xfrm>
                            <a:off x="0" y="0"/>
                            <a:ext cx="5104765" cy="1880870"/>
                          </a:xfrm>
                          <a:prstGeom prst="rect">
                            <a:avLst/>
                          </a:prstGeom>
                          <a:noFill/>
                          <a:ln>
                            <a:noFill/>
                          </a:ln>
                        </pic:spPr>
                      </pic:pic>
                    </a:graphicData>
                  </a:graphic>
                </wp:inline>
              </w:drawing>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 xml:space="preserve">汇合三通井座    </w:t>
            </w:r>
            <w:r>
              <w:rPr>
                <w:rFonts w:hint="eastAsia" w:ascii="宋体" w:hAnsi="宋体" w:cs="宋体"/>
                <w:sz w:val="18"/>
                <w:szCs w:val="18"/>
                <w:lang w:val="en-US" w:eastAsia="zh-CN"/>
              </w:rPr>
              <w:t xml:space="preserve">  </w:t>
            </w:r>
            <w:r>
              <w:rPr>
                <w:rFonts w:hint="eastAsia" w:ascii="宋体" w:hAnsi="宋体" w:eastAsia="宋体" w:cs="宋体"/>
                <w:sz w:val="18"/>
                <w:szCs w:val="18"/>
              </w:rPr>
              <w:t xml:space="preserve"> </w:t>
            </w:r>
            <w:r>
              <w:rPr>
                <w:rFonts w:hint="eastAsia" w:ascii="宋体" w:hAnsi="宋体" w:cs="宋体"/>
                <w:sz w:val="18"/>
                <w:szCs w:val="18"/>
                <w:lang w:val="en-US" w:eastAsia="zh-CN"/>
              </w:rPr>
              <w:t xml:space="preserve"> </w:t>
            </w:r>
            <w:r>
              <w:rPr>
                <w:rFonts w:hint="eastAsia" w:ascii="宋体" w:hAnsi="宋体" w:eastAsia="宋体" w:cs="宋体"/>
                <w:sz w:val="18"/>
                <w:szCs w:val="18"/>
              </w:rPr>
              <w:t xml:space="preserve">    左四通井座   </w:t>
            </w:r>
            <w:r>
              <w:rPr>
                <w:rFonts w:hint="eastAsia" w:ascii="宋体" w:hAnsi="宋体" w:cs="宋体"/>
                <w:sz w:val="18"/>
                <w:szCs w:val="18"/>
                <w:lang w:val="en-US" w:eastAsia="zh-CN"/>
              </w:rPr>
              <w:t xml:space="preserve"> </w:t>
            </w:r>
            <w:r>
              <w:rPr>
                <w:rFonts w:hint="eastAsia" w:ascii="宋体" w:hAnsi="宋体" w:eastAsia="宋体" w:cs="宋体"/>
                <w:sz w:val="18"/>
                <w:szCs w:val="18"/>
              </w:rPr>
              <w:t xml:space="preserve">     </w:t>
            </w:r>
            <w:r>
              <w:rPr>
                <w:rFonts w:hint="eastAsia" w:ascii="宋体" w:hAnsi="宋体" w:cs="宋体"/>
                <w:sz w:val="18"/>
                <w:szCs w:val="18"/>
                <w:lang w:val="en-US" w:eastAsia="zh-CN"/>
              </w:rPr>
              <w:t xml:space="preserve">  </w:t>
            </w:r>
            <w:r>
              <w:rPr>
                <w:rFonts w:hint="eastAsia" w:ascii="宋体" w:hAnsi="宋体" w:eastAsia="宋体" w:cs="宋体"/>
                <w:sz w:val="18"/>
                <w:szCs w:val="18"/>
              </w:rPr>
              <w:t xml:space="preserve">    右四通井座    </w:t>
            </w:r>
            <w:r>
              <w:rPr>
                <w:rFonts w:hint="eastAsia" w:ascii="宋体" w:hAnsi="宋体" w:cs="宋体"/>
                <w:sz w:val="18"/>
                <w:szCs w:val="18"/>
                <w:lang w:val="en-US" w:eastAsia="zh-CN"/>
              </w:rPr>
              <w:t xml:space="preserve">    </w:t>
            </w:r>
            <w:r>
              <w:rPr>
                <w:rFonts w:hint="eastAsia" w:ascii="宋体" w:hAnsi="宋体" w:eastAsia="宋体" w:cs="宋体"/>
                <w:sz w:val="18"/>
                <w:szCs w:val="18"/>
              </w:rPr>
              <w:t xml:space="preserve">    汇合四通井座</w:t>
            </w:r>
          </w:p>
        </w:tc>
      </w:tr>
    </w:tbl>
    <w:p>
      <w:r>
        <w:br w:type="page"/>
      </w:r>
    </w:p>
    <w:p>
      <w:pPr>
        <w:pStyle w:val="79"/>
        <w:spacing w:before="156" w:after="156"/>
        <w:rPr>
          <w:rFonts w:hint="eastAsia"/>
          <w:lang w:eastAsia="zh-CN"/>
        </w:rPr>
      </w:pPr>
      <w:r>
        <w:rPr>
          <w:rFonts w:hint="eastAsia"/>
          <w:lang w:eastAsia="zh-CN"/>
        </w:rPr>
        <w:t>沉泥室检查井井座规格</w:t>
      </w:r>
    </w:p>
    <w:p>
      <w:pPr>
        <w:pStyle w:val="58"/>
        <w:jc w:val="right"/>
        <w:rPr>
          <w:rFonts w:hint="eastAsia"/>
          <w:sz w:val="18"/>
          <w:szCs w:val="18"/>
          <w:lang w:eastAsia="zh-CN"/>
        </w:rPr>
      </w:pPr>
      <w:r>
        <w:rPr>
          <w:rFonts w:hint="eastAsia"/>
          <w:sz w:val="18"/>
          <w:szCs w:val="18"/>
          <w:lang w:eastAsia="zh-CN"/>
        </w:rPr>
        <w:t>单位为毫米</w:t>
      </w:r>
    </w:p>
    <w:tbl>
      <w:tblPr>
        <w:tblStyle w:val="27"/>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857"/>
        <w:gridCol w:w="1025"/>
        <w:gridCol w:w="988"/>
        <w:gridCol w:w="863"/>
        <w:gridCol w:w="888"/>
        <w:gridCol w:w="1242"/>
        <w:gridCol w:w="1262"/>
        <w:gridCol w:w="1259"/>
        <w:gridCol w:w="974"/>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57" w:type="dxa"/>
            <w:vMerge w:val="restart"/>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井径</w:t>
            </w:r>
          </w:p>
        </w:tc>
        <w:tc>
          <w:tcPr>
            <w:tcW w:w="2013" w:type="dxa"/>
            <w:gridSpan w:val="2"/>
            <w:vMerge w:val="restart"/>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流出管径</w:t>
            </w:r>
          </w:p>
        </w:tc>
        <w:tc>
          <w:tcPr>
            <w:tcW w:w="863" w:type="dxa"/>
            <w:vMerge w:val="restart"/>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起始井</w:t>
            </w:r>
          </w:p>
        </w:tc>
        <w:tc>
          <w:tcPr>
            <w:tcW w:w="888" w:type="dxa"/>
            <w:vMerge w:val="restart"/>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直通井</w:t>
            </w:r>
          </w:p>
        </w:tc>
        <w:tc>
          <w:tcPr>
            <w:tcW w:w="2504" w:type="dxa"/>
            <w:gridSpan w:val="2"/>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弯头井</w:t>
            </w:r>
          </w:p>
        </w:tc>
        <w:tc>
          <w:tcPr>
            <w:tcW w:w="1259" w:type="dxa"/>
            <w:vMerge w:val="restart"/>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三通井</w:t>
            </w:r>
          </w:p>
        </w:tc>
        <w:tc>
          <w:tcPr>
            <w:tcW w:w="974" w:type="dxa"/>
            <w:vMerge w:val="restart"/>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四通井</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857" w:type="dxa"/>
            <w:vMerge w:val="continue"/>
            <w:tcBorders>
              <w:tl2br w:val="nil"/>
              <w:tr2bl w:val="nil"/>
            </w:tcBorders>
            <w:noWrap w:val="0"/>
            <w:vAlign w:val="center"/>
          </w:tcPr>
          <w:p>
            <w:pPr>
              <w:adjustRightInd/>
              <w:spacing w:line="240" w:lineRule="auto"/>
              <w:jc w:val="center"/>
              <w:rPr>
                <w:rFonts w:hint="eastAsia" w:ascii="宋体" w:hAnsi="宋体" w:eastAsia="宋体" w:cs="宋体"/>
                <w:sz w:val="18"/>
                <w:szCs w:val="18"/>
              </w:rPr>
            </w:pPr>
          </w:p>
        </w:tc>
        <w:tc>
          <w:tcPr>
            <w:tcW w:w="2013" w:type="dxa"/>
            <w:gridSpan w:val="2"/>
            <w:vMerge w:val="continue"/>
            <w:tcBorders>
              <w:tl2br w:val="nil"/>
              <w:tr2bl w:val="nil"/>
            </w:tcBorders>
            <w:noWrap w:val="0"/>
            <w:vAlign w:val="center"/>
          </w:tcPr>
          <w:p>
            <w:pPr>
              <w:adjustRightInd/>
              <w:spacing w:line="240" w:lineRule="auto"/>
              <w:jc w:val="center"/>
              <w:rPr>
                <w:rFonts w:hint="eastAsia" w:ascii="宋体" w:hAnsi="宋体" w:eastAsia="宋体" w:cs="宋体"/>
                <w:sz w:val="18"/>
                <w:szCs w:val="18"/>
              </w:rPr>
            </w:pPr>
          </w:p>
        </w:tc>
        <w:tc>
          <w:tcPr>
            <w:tcW w:w="863" w:type="dxa"/>
            <w:vMerge w:val="continue"/>
            <w:tcBorders>
              <w:tl2br w:val="nil"/>
              <w:tr2bl w:val="nil"/>
            </w:tcBorders>
            <w:noWrap w:val="0"/>
            <w:vAlign w:val="center"/>
          </w:tcPr>
          <w:p>
            <w:pPr>
              <w:adjustRightInd/>
              <w:spacing w:line="240" w:lineRule="auto"/>
              <w:jc w:val="center"/>
              <w:rPr>
                <w:rFonts w:hint="eastAsia" w:ascii="宋体" w:hAnsi="宋体" w:eastAsia="宋体" w:cs="宋体"/>
                <w:sz w:val="18"/>
                <w:szCs w:val="18"/>
              </w:rPr>
            </w:pPr>
          </w:p>
        </w:tc>
        <w:tc>
          <w:tcPr>
            <w:tcW w:w="888" w:type="dxa"/>
            <w:vMerge w:val="continue"/>
            <w:tcBorders>
              <w:tl2br w:val="nil"/>
              <w:tr2bl w:val="nil"/>
            </w:tcBorders>
            <w:noWrap w:val="0"/>
            <w:vAlign w:val="center"/>
          </w:tcPr>
          <w:p>
            <w:pPr>
              <w:adjustRightInd/>
              <w:spacing w:line="240" w:lineRule="auto"/>
              <w:jc w:val="center"/>
              <w:rPr>
                <w:rFonts w:hint="eastAsia" w:ascii="宋体" w:hAnsi="宋体" w:eastAsia="宋体" w:cs="宋体"/>
                <w:sz w:val="18"/>
                <w:szCs w:val="18"/>
              </w:rPr>
            </w:pPr>
          </w:p>
        </w:tc>
        <w:tc>
          <w:tcPr>
            <w:tcW w:w="1242" w:type="dxa"/>
            <w:vMerge w:val="restart"/>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90°弯头</w:t>
            </w:r>
          </w:p>
        </w:tc>
        <w:tc>
          <w:tcPr>
            <w:tcW w:w="1262" w:type="dxa"/>
            <w:vMerge w:val="restart"/>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45°弯头</w:t>
            </w:r>
          </w:p>
        </w:tc>
        <w:tc>
          <w:tcPr>
            <w:tcW w:w="1259" w:type="dxa"/>
            <w:vMerge w:val="continue"/>
            <w:tcBorders>
              <w:tl2br w:val="nil"/>
              <w:tr2bl w:val="nil"/>
            </w:tcBorders>
            <w:noWrap w:val="0"/>
            <w:vAlign w:val="center"/>
          </w:tcPr>
          <w:p>
            <w:pPr>
              <w:adjustRightInd/>
              <w:spacing w:line="240" w:lineRule="auto"/>
              <w:jc w:val="center"/>
              <w:rPr>
                <w:rFonts w:hint="eastAsia" w:ascii="宋体" w:hAnsi="宋体" w:eastAsia="宋体" w:cs="宋体"/>
                <w:sz w:val="18"/>
                <w:szCs w:val="18"/>
              </w:rPr>
            </w:pPr>
          </w:p>
        </w:tc>
        <w:tc>
          <w:tcPr>
            <w:tcW w:w="974" w:type="dxa"/>
            <w:vMerge w:val="continue"/>
            <w:tcBorders>
              <w:tl2br w:val="nil"/>
              <w:tr2bl w:val="nil"/>
            </w:tcBorders>
            <w:noWrap w:val="0"/>
            <w:vAlign w:val="center"/>
          </w:tcPr>
          <w:p>
            <w:pPr>
              <w:adjustRightInd/>
              <w:spacing w:line="240" w:lineRule="auto"/>
              <w:jc w:val="center"/>
              <w:rPr>
                <w:rFonts w:hint="eastAsia" w:ascii="宋体" w:hAnsi="宋体" w:eastAsia="宋体" w:cs="宋体"/>
                <w:sz w:val="18"/>
                <w:szCs w:val="18"/>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857" w:type="dxa"/>
            <w:vMerge w:val="continue"/>
            <w:tcBorders>
              <w:bottom w:val="single" w:color="auto" w:sz="8" w:space="0"/>
              <w:tl2br w:val="nil"/>
              <w:tr2bl w:val="nil"/>
            </w:tcBorders>
            <w:noWrap w:val="0"/>
            <w:vAlign w:val="center"/>
          </w:tcPr>
          <w:p>
            <w:pPr>
              <w:adjustRightInd/>
              <w:spacing w:line="240" w:lineRule="auto"/>
              <w:jc w:val="center"/>
              <w:rPr>
                <w:rFonts w:hint="eastAsia" w:ascii="宋体" w:hAnsi="宋体" w:eastAsia="宋体" w:cs="宋体"/>
                <w:sz w:val="18"/>
                <w:szCs w:val="18"/>
              </w:rPr>
            </w:pPr>
          </w:p>
        </w:tc>
        <w:tc>
          <w:tcPr>
            <w:tcW w:w="1025" w:type="dxa"/>
            <w:tcBorders>
              <w:bottom w:val="single" w:color="auto" w:sz="8" w:space="0"/>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外径</w:t>
            </w:r>
          </w:p>
        </w:tc>
        <w:tc>
          <w:tcPr>
            <w:tcW w:w="988" w:type="dxa"/>
            <w:tcBorders>
              <w:bottom w:val="single" w:color="auto" w:sz="8" w:space="0"/>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内径</w:t>
            </w:r>
          </w:p>
        </w:tc>
        <w:tc>
          <w:tcPr>
            <w:tcW w:w="863" w:type="dxa"/>
            <w:vMerge w:val="continue"/>
            <w:tcBorders>
              <w:bottom w:val="single" w:color="auto" w:sz="8" w:space="0"/>
              <w:tl2br w:val="nil"/>
              <w:tr2bl w:val="nil"/>
            </w:tcBorders>
            <w:noWrap w:val="0"/>
            <w:vAlign w:val="center"/>
          </w:tcPr>
          <w:p>
            <w:pPr>
              <w:adjustRightInd/>
              <w:spacing w:line="240" w:lineRule="auto"/>
              <w:jc w:val="center"/>
              <w:rPr>
                <w:rFonts w:hint="eastAsia" w:ascii="宋体" w:hAnsi="宋体" w:eastAsia="宋体" w:cs="宋体"/>
                <w:sz w:val="18"/>
                <w:szCs w:val="18"/>
              </w:rPr>
            </w:pPr>
          </w:p>
        </w:tc>
        <w:tc>
          <w:tcPr>
            <w:tcW w:w="888" w:type="dxa"/>
            <w:vMerge w:val="continue"/>
            <w:tcBorders>
              <w:bottom w:val="single" w:color="auto" w:sz="8" w:space="0"/>
              <w:tl2br w:val="nil"/>
              <w:tr2bl w:val="nil"/>
            </w:tcBorders>
            <w:noWrap w:val="0"/>
            <w:vAlign w:val="center"/>
          </w:tcPr>
          <w:p>
            <w:pPr>
              <w:adjustRightInd/>
              <w:spacing w:line="240" w:lineRule="auto"/>
              <w:jc w:val="center"/>
              <w:rPr>
                <w:rFonts w:hint="eastAsia" w:ascii="宋体" w:hAnsi="宋体" w:eastAsia="宋体" w:cs="宋体"/>
                <w:sz w:val="18"/>
                <w:szCs w:val="18"/>
              </w:rPr>
            </w:pPr>
          </w:p>
        </w:tc>
        <w:tc>
          <w:tcPr>
            <w:tcW w:w="1242" w:type="dxa"/>
            <w:vMerge w:val="continue"/>
            <w:tcBorders>
              <w:bottom w:val="single" w:color="auto" w:sz="8" w:space="0"/>
              <w:tl2br w:val="nil"/>
              <w:tr2bl w:val="nil"/>
            </w:tcBorders>
            <w:noWrap w:val="0"/>
            <w:vAlign w:val="center"/>
          </w:tcPr>
          <w:p>
            <w:pPr>
              <w:adjustRightInd/>
              <w:spacing w:line="240" w:lineRule="auto"/>
              <w:jc w:val="center"/>
              <w:rPr>
                <w:rFonts w:hint="eastAsia" w:ascii="宋体" w:hAnsi="宋体" w:eastAsia="宋体" w:cs="宋体"/>
                <w:sz w:val="18"/>
                <w:szCs w:val="18"/>
              </w:rPr>
            </w:pPr>
          </w:p>
        </w:tc>
        <w:tc>
          <w:tcPr>
            <w:tcW w:w="1262" w:type="dxa"/>
            <w:vMerge w:val="continue"/>
            <w:tcBorders>
              <w:bottom w:val="single" w:color="auto" w:sz="8" w:space="0"/>
              <w:tl2br w:val="nil"/>
              <w:tr2bl w:val="nil"/>
            </w:tcBorders>
            <w:noWrap w:val="0"/>
            <w:vAlign w:val="center"/>
          </w:tcPr>
          <w:p>
            <w:pPr>
              <w:adjustRightInd/>
              <w:spacing w:line="240" w:lineRule="auto"/>
              <w:jc w:val="center"/>
              <w:rPr>
                <w:rFonts w:hint="eastAsia" w:ascii="宋体" w:hAnsi="宋体" w:eastAsia="宋体" w:cs="宋体"/>
                <w:sz w:val="18"/>
                <w:szCs w:val="18"/>
              </w:rPr>
            </w:pPr>
          </w:p>
        </w:tc>
        <w:tc>
          <w:tcPr>
            <w:tcW w:w="1259" w:type="dxa"/>
            <w:vMerge w:val="continue"/>
            <w:tcBorders>
              <w:bottom w:val="single" w:color="auto" w:sz="8" w:space="0"/>
              <w:tl2br w:val="nil"/>
              <w:tr2bl w:val="nil"/>
            </w:tcBorders>
            <w:noWrap w:val="0"/>
            <w:vAlign w:val="center"/>
          </w:tcPr>
          <w:p>
            <w:pPr>
              <w:adjustRightInd/>
              <w:spacing w:line="240" w:lineRule="auto"/>
              <w:jc w:val="center"/>
              <w:rPr>
                <w:rFonts w:hint="eastAsia" w:ascii="宋体" w:hAnsi="宋体" w:eastAsia="宋体" w:cs="宋体"/>
                <w:sz w:val="18"/>
                <w:szCs w:val="18"/>
              </w:rPr>
            </w:pPr>
          </w:p>
        </w:tc>
        <w:tc>
          <w:tcPr>
            <w:tcW w:w="974" w:type="dxa"/>
            <w:vMerge w:val="continue"/>
            <w:tcBorders>
              <w:bottom w:val="single" w:color="auto" w:sz="8" w:space="0"/>
              <w:tl2br w:val="nil"/>
              <w:tr2bl w:val="nil"/>
            </w:tcBorders>
            <w:noWrap w:val="0"/>
            <w:vAlign w:val="center"/>
          </w:tcPr>
          <w:p>
            <w:pPr>
              <w:adjustRightInd/>
              <w:spacing w:line="240" w:lineRule="auto"/>
              <w:jc w:val="center"/>
              <w:rPr>
                <w:rFonts w:hint="eastAsia" w:ascii="宋体" w:hAnsi="宋体" w:eastAsia="宋体" w:cs="宋体"/>
                <w:sz w:val="18"/>
                <w:szCs w:val="18"/>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8" w:hRule="atLeast"/>
          <w:jc w:val="center"/>
        </w:trPr>
        <w:tc>
          <w:tcPr>
            <w:tcW w:w="857" w:type="dxa"/>
            <w:tcBorders>
              <w:top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450</w:t>
            </w:r>
          </w:p>
        </w:tc>
        <w:tc>
          <w:tcPr>
            <w:tcW w:w="1025" w:type="dxa"/>
            <w:tcBorders>
              <w:top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200-400</w:t>
            </w:r>
          </w:p>
        </w:tc>
        <w:tc>
          <w:tcPr>
            <w:tcW w:w="988" w:type="dxa"/>
            <w:tcBorders>
              <w:top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200-400</w:t>
            </w:r>
          </w:p>
        </w:tc>
        <w:tc>
          <w:tcPr>
            <w:tcW w:w="863" w:type="dxa"/>
            <w:tcBorders>
              <w:top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888" w:type="dxa"/>
            <w:tcBorders>
              <w:top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1242" w:type="dxa"/>
            <w:tcBorders>
              <w:top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1262" w:type="dxa"/>
            <w:tcBorders>
              <w:top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1259" w:type="dxa"/>
            <w:tcBorders>
              <w:top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974" w:type="dxa"/>
            <w:tcBorders>
              <w:top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7" w:hRule="atLeast"/>
          <w:jc w:val="center"/>
        </w:trPr>
        <w:tc>
          <w:tcPr>
            <w:tcW w:w="857"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630</w:t>
            </w:r>
          </w:p>
        </w:tc>
        <w:tc>
          <w:tcPr>
            <w:tcW w:w="1025"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200-630</w:t>
            </w:r>
          </w:p>
        </w:tc>
        <w:tc>
          <w:tcPr>
            <w:tcW w:w="988"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200-500</w:t>
            </w:r>
          </w:p>
        </w:tc>
        <w:tc>
          <w:tcPr>
            <w:tcW w:w="863"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888"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1242"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1262"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1259"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974"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8" w:hRule="atLeast"/>
          <w:jc w:val="center"/>
        </w:trPr>
        <w:tc>
          <w:tcPr>
            <w:tcW w:w="857"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700</w:t>
            </w:r>
          </w:p>
        </w:tc>
        <w:tc>
          <w:tcPr>
            <w:tcW w:w="1025"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315-500</w:t>
            </w:r>
          </w:p>
        </w:tc>
        <w:tc>
          <w:tcPr>
            <w:tcW w:w="988"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300-600</w:t>
            </w:r>
          </w:p>
        </w:tc>
        <w:tc>
          <w:tcPr>
            <w:tcW w:w="863"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888"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1242"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1262"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1259"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974"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8" w:hRule="atLeast"/>
          <w:jc w:val="center"/>
        </w:trPr>
        <w:tc>
          <w:tcPr>
            <w:tcW w:w="857"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1000</w:t>
            </w:r>
          </w:p>
        </w:tc>
        <w:tc>
          <w:tcPr>
            <w:tcW w:w="1025"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315-500</w:t>
            </w:r>
          </w:p>
        </w:tc>
        <w:tc>
          <w:tcPr>
            <w:tcW w:w="988"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300-1000</w:t>
            </w:r>
          </w:p>
        </w:tc>
        <w:tc>
          <w:tcPr>
            <w:tcW w:w="863"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888"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1242"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1262"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1259"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974"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8368" w:hRule="atLeast"/>
          <w:jc w:val="center"/>
        </w:trPr>
        <w:tc>
          <w:tcPr>
            <w:tcW w:w="9358" w:type="dxa"/>
            <w:gridSpan w:val="9"/>
            <w:tcBorders>
              <w:tl2br w:val="nil"/>
              <w:tr2bl w:val="nil"/>
            </w:tcBorders>
            <w:noWrap w:val="0"/>
            <w:vAlign w:val="top"/>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drawing>
                <wp:inline distT="0" distB="0" distL="114300" distR="114300">
                  <wp:extent cx="5272405" cy="2192655"/>
                  <wp:effectExtent l="0" t="0" r="4445" b="17145"/>
                  <wp:docPr id="40" name="图片 18"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18" descr="1"/>
                          <pic:cNvPicPr>
                            <a:picLocks noChangeAspect="1"/>
                          </pic:cNvPicPr>
                        </pic:nvPicPr>
                        <pic:blipFill>
                          <a:blip r:embed="rId35"/>
                          <a:stretch>
                            <a:fillRect/>
                          </a:stretch>
                        </pic:blipFill>
                        <pic:spPr>
                          <a:xfrm>
                            <a:off x="0" y="0"/>
                            <a:ext cx="5272405" cy="2192655"/>
                          </a:xfrm>
                          <a:prstGeom prst="rect">
                            <a:avLst/>
                          </a:prstGeom>
                          <a:noFill/>
                          <a:ln>
                            <a:noFill/>
                          </a:ln>
                        </pic:spPr>
                      </pic:pic>
                    </a:graphicData>
                  </a:graphic>
                </wp:inline>
              </w:drawing>
            </w:r>
          </w:p>
          <w:p>
            <w:pPr>
              <w:adjustRightInd/>
              <w:spacing w:line="240" w:lineRule="auto"/>
              <w:ind w:left="0" w:leftChars="0" w:firstLine="219" w:firstLineChars="122"/>
              <w:jc w:val="center"/>
              <w:rPr>
                <w:rFonts w:hint="eastAsia" w:ascii="宋体" w:hAnsi="宋体" w:eastAsia="宋体" w:cs="宋体"/>
                <w:sz w:val="18"/>
                <w:szCs w:val="18"/>
              </w:rPr>
            </w:pPr>
            <w:r>
              <w:rPr>
                <w:rFonts w:hint="eastAsia" w:ascii="宋体" w:hAnsi="宋体" w:eastAsia="宋体" w:cs="宋体"/>
                <w:sz w:val="18"/>
                <w:szCs w:val="18"/>
              </w:rPr>
              <w:t xml:space="preserve">起始井座                         </w:t>
            </w:r>
            <w:r>
              <w:rPr>
                <w:rFonts w:hint="eastAsia" w:ascii="宋体" w:hAnsi="宋体" w:cs="宋体"/>
                <w:sz w:val="18"/>
                <w:szCs w:val="18"/>
                <w:lang w:val="en-US" w:eastAsia="zh-CN"/>
              </w:rPr>
              <w:t xml:space="preserve">    </w:t>
            </w:r>
            <w:r>
              <w:rPr>
                <w:rFonts w:hint="eastAsia" w:ascii="宋体" w:hAnsi="宋体" w:eastAsia="宋体" w:cs="宋体"/>
                <w:sz w:val="18"/>
                <w:szCs w:val="18"/>
              </w:rPr>
              <w:t xml:space="preserve"> 直通井座                  </w:t>
            </w:r>
            <w:r>
              <w:rPr>
                <w:rFonts w:hint="eastAsia" w:ascii="宋体" w:hAnsi="宋体" w:cs="宋体"/>
                <w:sz w:val="18"/>
                <w:szCs w:val="18"/>
                <w:lang w:val="en-US" w:eastAsia="zh-CN"/>
              </w:rPr>
              <w:t xml:space="preserve">      </w:t>
            </w:r>
            <w:r>
              <w:rPr>
                <w:rFonts w:hint="eastAsia" w:ascii="宋体" w:hAnsi="宋体" w:eastAsia="宋体" w:cs="宋体"/>
                <w:sz w:val="18"/>
                <w:szCs w:val="18"/>
              </w:rPr>
              <w:t xml:space="preserve">   90°弯头井座</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drawing>
                <wp:inline distT="0" distB="0" distL="114300" distR="114300">
                  <wp:extent cx="5318760" cy="2115185"/>
                  <wp:effectExtent l="0" t="0" r="15240" b="18415"/>
                  <wp:docPr id="45" name="图片 2"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2" descr="1"/>
                          <pic:cNvPicPr>
                            <a:picLocks noChangeAspect="1"/>
                          </pic:cNvPicPr>
                        </pic:nvPicPr>
                        <pic:blipFill>
                          <a:blip r:embed="rId36"/>
                          <a:stretch>
                            <a:fillRect/>
                          </a:stretch>
                        </pic:blipFill>
                        <pic:spPr>
                          <a:xfrm>
                            <a:off x="0" y="0"/>
                            <a:ext cx="5318760" cy="2115185"/>
                          </a:xfrm>
                          <a:prstGeom prst="rect">
                            <a:avLst/>
                          </a:prstGeom>
                          <a:noFill/>
                          <a:ln>
                            <a:noFill/>
                          </a:ln>
                        </pic:spPr>
                      </pic:pic>
                    </a:graphicData>
                  </a:graphic>
                </wp:inline>
              </w:drawing>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 xml:space="preserve">45°弯头井                      </w:t>
            </w:r>
            <w:r>
              <w:rPr>
                <w:rFonts w:hint="eastAsia" w:ascii="宋体" w:hAnsi="宋体" w:cs="宋体"/>
                <w:sz w:val="18"/>
                <w:szCs w:val="18"/>
                <w:lang w:val="en-US" w:eastAsia="zh-CN"/>
              </w:rPr>
              <w:t xml:space="preserve">    </w:t>
            </w:r>
            <w:r>
              <w:rPr>
                <w:rFonts w:hint="eastAsia" w:ascii="宋体" w:hAnsi="宋体" w:eastAsia="宋体" w:cs="宋体"/>
                <w:sz w:val="18"/>
                <w:szCs w:val="18"/>
              </w:rPr>
              <w:t xml:space="preserve">  三通井                     </w:t>
            </w:r>
            <w:r>
              <w:rPr>
                <w:rFonts w:hint="eastAsia" w:ascii="宋体" w:hAnsi="宋体" w:cs="宋体"/>
                <w:sz w:val="18"/>
                <w:szCs w:val="18"/>
                <w:lang w:val="en-US" w:eastAsia="zh-CN"/>
              </w:rPr>
              <w:t xml:space="preserve">   </w:t>
            </w:r>
            <w:r>
              <w:rPr>
                <w:rFonts w:hint="eastAsia" w:ascii="宋体" w:hAnsi="宋体" w:eastAsia="宋体" w:cs="宋体"/>
                <w:sz w:val="18"/>
                <w:szCs w:val="18"/>
              </w:rPr>
              <w:t xml:space="preserve">  四通井</w:t>
            </w:r>
          </w:p>
        </w:tc>
      </w:tr>
    </w:tbl>
    <w:p>
      <w:pPr>
        <w:rPr>
          <w:rFonts w:hint="eastAsia" w:ascii="黑体" w:hAnsi="黑体" w:eastAsia="黑体" w:cs="黑体"/>
          <w:lang w:eastAsia="zh-CN"/>
        </w:rPr>
      </w:pPr>
      <w:r>
        <w:rPr>
          <w:rFonts w:hint="eastAsia" w:ascii="黑体" w:hAnsi="黑体" w:eastAsia="黑体" w:cs="黑体"/>
          <w:lang w:eastAsia="zh-CN"/>
        </w:rPr>
        <w:br w:type="page"/>
      </w:r>
    </w:p>
    <w:p>
      <w:pPr>
        <w:pStyle w:val="79"/>
        <w:spacing w:before="156" w:after="156"/>
        <w:rPr>
          <w:rFonts w:hint="eastAsia"/>
          <w:lang w:eastAsia="zh-CN"/>
        </w:rPr>
      </w:pPr>
      <w:r>
        <w:rPr>
          <w:rFonts w:hint="eastAsia"/>
          <w:lang w:eastAsia="zh-CN"/>
        </w:rPr>
        <w:t>跌水井、水封井、偏置收口</w:t>
      </w:r>
    </w:p>
    <w:p>
      <w:pPr>
        <w:pStyle w:val="58"/>
        <w:jc w:val="right"/>
        <w:rPr>
          <w:rFonts w:hint="eastAsia"/>
          <w:sz w:val="18"/>
          <w:szCs w:val="18"/>
          <w:lang w:eastAsia="zh-CN"/>
        </w:rPr>
      </w:pPr>
      <w:r>
        <w:rPr>
          <w:rFonts w:hint="eastAsia"/>
          <w:sz w:val="18"/>
          <w:szCs w:val="18"/>
          <w:lang w:eastAsia="zh-CN"/>
        </w:rPr>
        <w:t>单位为毫米</w:t>
      </w:r>
    </w:p>
    <w:tbl>
      <w:tblPr>
        <w:tblStyle w:val="27"/>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380"/>
        <w:gridCol w:w="1275"/>
        <w:gridCol w:w="1308"/>
        <w:gridCol w:w="1167"/>
        <w:gridCol w:w="1202"/>
        <w:gridCol w:w="1703"/>
        <w:gridCol w:w="1318"/>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44" w:hRule="atLeast"/>
          <w:jc w:val="center"/>
        </w:trPr>
        <w:tc>
          <w:tcPr>
            <w:tcW w:w="1380" w:type="dxa"/>
            <w:vMerge w:val="restart"/>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井径</w:t>
            </w:r>
          </w:p>
        </w:tc>
        <w:tc>
          <w:tcPr>
            <w:tcW w:w="2583" w:type="dxa"/>
            <w:gridSpan w:val="2"/>
            <w:vMerge w:val="restart"/>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流出管径</w:t>
            </w:r>
          </w:p>
        </w:tc>
        <w:tc>
          <w:tcPr>
            <w:tcW w:w="1167" w:type="dxa"/>
            <w:vMerge w:val="restart"/>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跌水井</w:t>
            </w:r>
          </w:p>
        </w:tc>
        <w:tc>
          <w:tcPr>
            <w:tcW w:w="1202" w:type="dxa"/>
            <w:vMerge w:val="restart"/>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水封井</w:t>
            </w:r>
          </w:p>
        </w:tc>
        <w:tc>
          <w:tcPr>
            <w:tcW w:w="3021" w:type="dxa"/>
            <w:gridSpan w:val="2"/>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偏置收口</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1380" w:type="dxa"/>
            <w:vMerge w:val="continue"/>
            <w:tcBorders>
              <w:tl2br w:val="nil"/>
              <w:tr2bl w:val="nil"/>
            </w:tcBorders>
            <w:noWrap w:val="0"/>
            <w:vAlign w:val="center"/>
          </w:tcPr>
          <w:p>
            <w:pPr>
              <w:adjustRightInd/>
              <w:spacing w:line="240" w:lineRule="auto"/>
              <w:jc w:val="center"/>
              <w:rPr>
                <w:rFonts w:hint="eastAsia" w:ascii="宋体" w:hAnsi="宋体" w:eastAsia="宋体" w:cs="宋体"/>
                <w:sz w:val="18"/>
                <w:szCs w:val="18"/>
              </w:rPr>
            </w:pPr>
          </w:p>
        </w:tc>
        <w:tc>
          <w:tcPr>
            <w:tcW w:w="2583" w:type="dxa"/>
            <w:gridSpan w:val="2"/>
            <w:vMerge w:val="continue"/>
            <w:tcBorders>
              <w:tl2br w:val="nil"/>
              <w:tr2bl w:val="nil"/>
            </w:tcBorders>
            <w:noWrap w:val="0"/>
            <w:vAlign w:val="center"/>
          </w:tcPr>
          <w:p>
            <w:pPr>
              <w:adjustRightInd/>
              <w:spacing w:line="240" w:lineRule="auto"/>
              <w:jc w:val="center"/>
              <w:rPr>
                <w:rFonts w:hint="eastAsia" w:ascii="宋体" w:hAnsi="宋体" w:eastAsia="宋体" w:cs="宋体"/>
                <w:sz w:val="18"/>
                <w:szCs w:val="18"/>
              </w:rPr>
            </w:pPr>
          </w:p>
        </w:tc>
        <w:tc>
          <w:tcPr>
            <w:tcW w:w="1167" w:type="dxa"/>
            <w:vMerge w:val="continue"/>
            <w:tcBorders>
              <w:tl2br w:val="nil"/>
              <w:tr2bl w:val="nil"/>
            </w:tcBorders>
            <w:noWrap w:val="0"/>
            <w:vAlign w:val="center"/>
          </w:tcPr>
          <w:p>
            <w:pPr>
              <w:adjustRightInd/>
              <w:spacing w:line="240" w:lineRule="auto"/>
              <w:jc w:val="center"/>
              <w:rPr>
                <w:rFonts w:hint="eastAsia" w:ascii="宋体" w:hAnsi="宋体" w:eastAsia="宋体" w:cs="宋体"/>
                <w:sz w:val="18"/>
                <w:szCs w:val="18"/>
              </w:rPr>
            </w:pPr>
          </w:p>
        </w:tc>
        <w:tc>
          <w:tcPr>
            <w:tcW w:w="1202" w:type="dxa"/>
            <w:vMerge w:val="continue"/>
            <w:tcBorders>
              <w:tl2br w:val="nil"/>
              <w:tr2bl w:val="nil"/>
            </w:tcBorders>
            <w:noWrap w:val="0"/>
            <w:vAlign w:val="center"/>
          </w:tcPr>
          <w:p>
            <w:pPr>
              <w:adjustRightInd/>
              <w:spacing w:line="240" w:lineRule="auto"/>
              <w:jc w:val="center"/>
              <w:rPr>
                <w:rFonts w:hint="eastAsia" w:ascii="宋体" w:hAnsi="宋体" w:eastAsia="宋体" w:cs="宋体"/>
                <w:sz w:val="18"/>
                <w:szCs w:val="18"/>
              </w:rPr>
            </w:pPr>
          </w:p>
        </w:tc>
        <w:tc>
          <w:tcPr>
            <w:tcW w:w="1703" w:type="dxa"/>
            <w:vMerge w:val="restart"/>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井筒直径</w:t>
            </w:r>
          </w:p>
        </w:tc>
        <w:tc>
          <w:tcPr>
            <w:tcW w:w="1318" w:type="dxa"/>
            <w:vMerge w:val="restart"/>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井室直径</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1380" w:type="dxa"/>
            <w:vMerge w:val="continue"/>
            <w:tcBorders>
              <w:bottom w:val="single" w:color="auto" w:sz="8" w:space="0"/>
              <w:tl2br w:val="nil"/>
              <w:tr2bl w:val="nil"/>
            </w:tcBorders>
            <w:noWrap w:val="0"/>
            <w:vAlign w:val="center"/>
          </w:tcPr>
          <w:p>
            <w:pPr>
              <w:adjustRightInd/>
              <w:spacing w:line="240" w:lineRule="auto"/>
              <w:jc w:val="center"/>
              <w:rPr>
                <w:rFonts w:hint="eastAsia" w:ascii="宋体" w:hAnsi="宋体" w:eastAsia="宋体" w:cs="宋体"/>
                <w:sz w:val="18"/>
                <w:szCs w:val="18"/>
              </w:rPr>
            </w:pPr>
          </w:p>
        </w:tc>
        <w:tc>
          <w:tcPr>
            <w:tcW w:w="1275" w:type="dxa"/>
            <w:tcBorders>
              <w:bottom w:val="single" w:color="auto" w:sz="8" w:space="0"/>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外径</w:t>
            </w:r>
          </w:p>
        </w:tc>
        <w:tc>
          <w:tcPr>
            <w:tcW w:w="1308" w:type="dxa"/>
            <w:tcBorders>
              <w:bottom w:val="single" w:color="auto" w:sz="8" w:space="0"/>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内径</w:t>
            </w:r>
          </w:p>
        </w:tc>
        <w:tc>
          <w:tcPr>
            <w:tcW w:w="1167" w:type="dxa"/>
            <w:vMerge w:val="continue"/>
            <w:tcBorders>
              <w:bottom w:val="single" w:color="auto" w:sz="8" w:space="0"/>
              <w:tl2br w:val="nil"/>
              <w:tr2bl w:val="nil"/>
            </w:tcBorders>
            <w:noWrap w:val="0"/>
            <w:vAlign w:val="center"/>
          </w:tcPr>
          <w:p>
            <w:pPr>
              <w:adjustRightInd/>
              <w:spacing w:line="240" w:lineRule="auto"/>
              <w:jc w:val="center"/>
              <w:rPr>
                <w:rFonts w:hint="eastAsia" w:ascii="宋体" w:hAnsi="宋体" w:eastAsia="宋体" w:cs="宋体"/>
                <w:sz w:val="18"/>
                <w:szCs w:val="18"/>
              </w:rPr>
            </w:pPr>
          </w:p>
        </w:tc>
        <w:tc>
          <w:tcPr>
            <w:tcW w:w="1202" w:type="dxa"/>
            <w:vMerge w:val="continue"/>
            <w:tcBorders>
              <w:bottom w:val="single" w:color="auto" w:sz="8" w:space="0"/>
              <w:tl2br w:val="nil"/>
              <w:tr2bl w:val="nil"/>
            </w:tcBorders>
            <w:noWrap w:val="0"/>
            <w:vAlign w:val="center"/>
          </w:tcPr>
          <w:p>
            <w:pPr>
              <w:adjustRightInd/>
              <w:spacing w:line="240" w:lineRule="auto"/>
              <w:jc w:val="center"/>
              <w:rPr>
                <w:rFonts w:hint="eastAsia" w:ascii="宋体" w:hAnsi="宋体" w:eastAsia="宋体" w:cs="宋体"/>
                <w:sz w:val="18"/>
                <w:szCs w:val="18"/>
              </w:rPr>
            </w:pPr>
          </w:p>
        </w:tc>
        <w:tc>
          <w:tcPr>
            <w:tcW w:w="1703" w:type="dxa"/>
            <w:vMerge w:val="continue"/>
            <w:tcBorders>
              <w:bottom w:val="single" w:color="auto" w:sz="8" w:space="0"/>
              <w:tl2br w:val="nil"/>
              <w:tr2bl w:val="nil"/>
            </w:tcBorders>
            <w:noWrap w:val="0"/>
            <w:vAlign w:val="center"/>
          </w:tcPr>
          <w:p>
            <w:pPr>
              <w:adjustRightInd/>
              <w:spacing w:line="240" w:lineRule="auto"/>
              <w:jc w:val="center"/>
              <w:rPr>
                <w:rFonts w:hint="eastAsia" w:ascii="宋体" w:hAnsi="宋体" w:eastAsia="宋体" w:cs="宋体"/>
                <w:sz w:val="18"/>
                <w:szCs w:val="18"/>
              </w:rPr>
            </w:pPr>
          </w:p>
        </w:tc>
        <w:tc>
          <w:tcPr>
            <w:tcW w:w="1318" w:type="dxa"/>
            <w:vMerge w:val="continue"/>
            <w:tcBorders>
              <w:bottom w:val="single" w:color="auto" w:sz="8" w:space="0"/>
              <w:tl2br w:val="nil"/>
              <w:tr2bl w:val="nil"/>
            </w:tcBorders>
            <w:noWrap w:val="0"/>
            <w:vAlign w:val="center"/>
          </w:tcPr>
          <w:p>
            <w:pPr>
              <w:adjustRightInd/>
              <w:spacing w:line="240" w:lineRule="auto"/>
              <w:jc w:val="center"/>
              <w:rPr>
                <w:rFonts w:hint="eastAsia" w:ascii="宋体" w:hAnsi="宋体" w:eastAsia="宋体" w:cs="宋体"/>
                <w:sz w:val="18"/>
                <w:szCs w:val="18"/>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1380" w:type="dxa"/>
            <w:tcBorders>
              <w:top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200</w:t>
            </w:r>
          </w:p>
        </w:tc>
        <w:tc>
          <w:tcPr>
            <w:tcW w:w="1275" w:type="dxa"/>
            <w:tcBorders>
              <w:top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160</w:t>
            </w:r>
          </w:p>
        </w:tc>
        <w:tc>
          <w:tcPr>
            <w:tcW w:w="1308" w:type="dxa"/>
            <w:tcBorders>
              <w:top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1167" w:type="dxa"/>
            <w:tcBorders>
              <w:top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1202" w:type="dxa"/>
            <w:tcBorders>
              <w:top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1703" w:type="dxa"/>
            <w:tcBorders>
              <w:top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700</w:t>
            </w:r>
          </w:p>
        </w:tc>
        <w:tc>
          <w:tcPr>
            <w:tcW w:w="1318" w:type="dxa"/>
            <w:tcBorders>
              <w:top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1000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1380"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315</w:t>
            </w:r>
          </w:p>
        </w:tc>
        <w:tc>
          <w:tcPr>
            <w:tcW w:w="1275"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160-200</w:t>
            </w:r>
          </w:p>
        </w:tc>
        <w:tc>
          <w:tcPr>
            <w:tcW w:w="1308"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1167"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1202"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1703"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c>
          <w:tcPr>
            <w:tcW w:w="1318" w:type="dxa"/>
            <w:tcBorders>
              <w:tl2br w:val="nil"/>
              <w:tr2bl w:val="nil"/>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3" w:hRule="atLeast"/>
          <w:jc w:val="center"/>
        </w:trPr>
        <w:tc>
          <w:tcPr>
            <w:tcW w:w="9353" w:type="dxa"/>
            <w:gridSpan w:val="7"/>
            <w:tcBorders>
              <w:tl2br w:val="nil"/>
              <w:tr2bl w:val="nil"/>
            </w:tcBorders>
            <w:noWrap w:val="0"/>
            <w:vAlign w:val="center"/>
          </w:tcPr>
          <w:p>
            <w:pPr>
              <w:adjustRightInd/>
              <w:spacing w:line="240" w:lineRule="auto"/>
              <w:jc w:val="center"/>
              <w:rPr>
                <w:rFonts w:hint="eastAsia" w:ascii="宋体" w:hAnsi="宋体" w:eastAsia="宋体" w:cs="宋体"/>
                <w:sz w:val="18"/>
                <w:szCs w:val="18"/>
              </w:rPr>
            </w:pP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drawing>
                <wp:inline distT="0" distB="0" distL="114300" distR="114300">
                  <wp:extent cx="5273675" cy="831215"/>
                  <wp:effectExtent l="0" t="0" r="3175" b="6985"/>
                  <wp:docPr id="39" name="图片 4"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4" descr="1"/>
                          <pic:cNvPicPr>
                            <a:picLocks noChangeAspect="1"/>
                          </pic:cNvPicPr>
                        </pic:nvPicPr>
                        <pic:blipFill>
                          <a:blip r:embed="rId37"/>
                          <a:stretch>
                            <a:fillRect/>
                          </a:stretch>
                        </pic:blipFill>
                        <pic:spPr>
                          <a:xfrm>
                            <a:off x="0" y="0"/>
                            <a:ext cx="5273675" cy="831215"/>
                          </a:xfrm>
                          <a:prstGeom prst="rect">
                            <a:avLst/>
                          </a:prstGeom>
                          <a:noFill/>
                          <a:ln>
                            <a:noFill/>
                          </a:ln>
                        </pic:spPr>
                      </pic:pic>
                    </a:graphicData>
                  </a:graphic>
                </wp:inline>
              </w:drawing>
            </w:r>
          </w:p>
          <w:p>
            <w:pPr>
              <w:adjustRightInd/>
              <w:spacing w:line="240" w:lineRule="auto"/>
              <w:jc w:val="left"/>
              <w:rPr>
                <w:rFonts w:hint="eastAsia" w:ascii="宋体" w:hAnsi="宋体" w:eastAsia="宋体" w:cs="宋体"/>
                <w:sz w:val="18"/>
                <w:szCs w:val="18"/>
              </w:rPr>
            </w:pPr>
            <w:r>
              <w:rPr>
                <w:rFonts w:hint="eastAsia" w:ascii="宋体" w:hAnsi="宋体" w:eastAsia="宋体" w:cs="宋体"/>
                <w:sz w:val="18"/>
                <w:szCs w:val="18"/>
              </w:rPr>
              <w:t xml:space="preserve">                 </w:t>
            </w:r>
            <w:r>
              <w:rPr>
                <w:rFonts w:hint="eastAsia" w:ascii="宋体" w:hAnsi="宋体" w:cs="宋体"/>
                <w:sz w:val="18"/>
                <w:szCs w:val="18"/>
                <w:lang w:val="en-US" w:eastAsia="zh-CN"/>
              </w:rPr>
              <w:t xml:space="preserve">    </w:t>
            </w:r>
            <w:r>
              <w:rPr>
                <w:rFonts w:hint="eastAsia" w:ascii="宋体" w:hAnsi="宋体" w:eastAsia="宋体" w:cs="宋体"/>
                <w:sz w:val="18"/>
                <w:szCs w:val="18"/>
              </w:rPr>
              <w:t xml:space="preserve">        跌水井          </w:t>
            </w:r>
            <w:r>
              <w:rPr>
                <w:rFonts w:hint="eastAsia" w:ascii="宋体" w:hAnsi="宋体" w:cs="宋体"/>
                <w:sz w:val="18"/>
                <w:szCs w:val="18"/>
                <w:lang w:val="en-US" w:eastAsia="zh-CN"/>
              </w:rPr>
              <w:t xml:space="preserve">          </w:t>
            </w:r>
            <w:r>
              <w:rPr>
                <w:rFonts w:hint="eastAsia" w:ascii="宋体" w:hAnsi="宋体" w:eastAsia="宋体" w:cs="宋体"/>
                <w:sz w:val="18"/>
                <w:szCs w:val="18"/>
              </w:rPr>
              <w:t xml:space="preserve">       </w:t>
            </w:r>
            <w:r>
              <w:rPr>
                <w:rFonts w:hint="eastAsia" w:ascii="宋体" w:hAnsi="宋体" w:cs="宋体"/>
                <w:sz w:val="18"/>
                <w:szCs w:val="18"/>
                <w:lang w:val="en-US" w:eastAsia="zh-CN"/>
              </w:rPr>
              <w:t xml:space="preserve"> </w:t>
            </w:r>
            <w:r>
              <w:rPr>
                <w:rFonts w:hint="eastAsia" w:ascii="宋体" w:hAnsi="宋体" w:eastAsia="宋体" w:cs="宋体"/>
                <w:sz w:val="18"/>
                <w:szCs w:val="18"/>
              </w:rPr>
              <w:t xml:space="preserve">   水封井      </w:t>
            </w:r>
            <w:r>
              <w:rPr>
                <w:rFonts w:hint="eastAsia" w:ascii="宋体" w:hAnsi="宋体" w:cs="宋体"/>
                <w:sz w:val="18"/>
                <w:szCs w:val="18"/>
                <w:lang w:val="en-US" w:eastAsia="zh-CN"/>
              </w:rPr>
              <w:t xml:space="preserve"> </w:t>
            </w:r>
            <w:r>
              <w:rPr>
                <w:rFonts w:hint="eastAsia" w:ascii="宋体" w:hAnsi="宋体" w:eastAsia="宋体" w:cs="宋体"/>
                <w:sz w:val="18"/>
                <w:szCs w:val="18"/>
              </w:rPr>
              <w:t xml:space="preserve">     偏置收口</w:t>
            </w:r>
          </w:p>
        </w:tc>
      </w:tr>
    </w:tbl>
    <w:p>
      <w:pPr>
        <w:pStyle w:val="58"/>
        <w:jc w:val="right"/>
        <w:rPr>
          <w:rFonts w:hint="eastAsia"/>
          <w:lang w:eastAsia="zh-CN"/>
        </w:rPr>
      </w:pPr>
    </w:p>
    <w:p>
      <w:pPr>
        <w:pStyle w:val="58"/>
        <w:jc w:val="right"/>
        <w:rPr>
          <w:rFonts w:hint="eastAsia"/>
          <w:lang w:eastAsia="zh-CN"/>
        </w:rPr>
        <w:sectPr>
          <w:pgSz w:w="11906" w:h="16838"/>
          <w:pgMar w:top="567" w:right="1134" w:bottom="1134" w:left="1134" w:header="1418" w:footer="1134" w:gutter="284"/>
          <w:pgBorders>
            <w:top w:val="none" w:sz="0" w:space="0"/>
            <w:left w:val="none" w:sz="0" w:space="0"/>
            <w:bottom w:val="none" w:sz="0" w:space="0"/>
            <w:right w:val="none" w:sz="0" w:space="0"/>
          </w:pgBorders>
          <w:cols w:space="425" w:num="1"/>
          <w:formProt w:val="0"/>
          <w:docGrid w:type="lines" w:linePitch="312" w:charSpace="0"/>
        </w:sectPr>
      </w:pPr>
    </w:p>
    <w:p>
      <w:pPr>
        <w:pStyle w:val="200"/>
      </w:pPr>
    </w:p>
    <w:p>
      <w:pPr>
        <w:pStyle w:val="201"/>
      </w:pPr>
    </w:p>
    <w:p>
      <w:pPr>
        <w:pStyle w:val="78"/>
        <w:spacing w:before="78" w:after="156"/>
      </w:pPr>
      <w:bookmarkStart w:id="90" w:name="_Toc2473"/>
      <w:r>
        <w:br w:type="textWrapping"/>
      </w:r>
      <w:r>
        <w:rPr>
          <w:rFonts w:hint="eastAsia"/>
        </w:rPr>
        <w:t>（资料性）</w:t>
      </w:r>
      <w:r>
        <w:br w:type="textWrapping"/>
      </w:r>
      <w:r>
        <w:rPr>
          <w:rFonts w:hint="eastAsia"/>
          <w:lang w:eastAsia="zh-CN"/>
        </w:rPr>
        <w:t>排水用塑料检查井井盖规格</w:t>
      </w:r>
      <w:bookmarkEnd w:id="90"/>
    </w:p>
    <w:p>
      <w:pPr>
        <w:pStyle w:val="213"/>
        <w:rPr>
          <w:rFonts w:hint="eastAsia"/>
          <w:color w:val="000000"/>
        </w:rPr>
      </w:pPr>
      <w:r>
        <w:rPr>
          <w:rFonts w:hint="eastAsia"/>
          <w:color w:val="000000"/>
        </w:rPr>
        <w:t>检查井井盖由井盖、盖座和密封圈组成</w:t>
      </w:r>
      <w:r>
        <w:rPr>
          <w:rFonts w:hint="eastAsia"/>
          <w:color w:val="000000"/>
          <w:lang w:eastAsia="zh-CN"/>
        </w:rPr>
        <w:t>，</w:t>
      </w:r>
      <w:r>
        <w:rPr>
          <w:rFonts w:hint="eastAsia"/>
          <w:color w:val="000000"/>
        </w:rPr>
        <w:t>雨水检查井和防护盖座的井盖可不用密封圈。</w:t>
      </w:r>
    </w:p>
    <w:p>
      <w:pPr>
        <w:pStyle w:val="213"/>
        <w:rPr>
          <w:rFonts w:hint="eastAsia"/>
          <w:color w:val="000000"/>
        </w:rPr>
      </w:pPr>
      <w:r>
        <w:rPr>
          <w:rFonts w:hint="eastAsia"/>
          <w:color w:val="000000"/>
        </w:rPr>
        <w:t>井盖可分成污水检查井井盖和雨水检查井井盖。内盖</w:t>
      </w:r>
      <w:r>
        <w:rPr>
          <w:rFonts w:hint="eastAsia"/>
          <w:color w:val="000000"/>
          <w:lang w:eastAsia="zh-CN"/>
        </w:rPr>
        <w:t>是</w:t>
      </w:r>
      <w:r>
        <w:rPr>
          <w:rFonts w:hint="eastAsia"/>
          <w:color w:val="000000"/>
        </w:rPr>
        <w:t>在防护盖座内</w:t>
      </w:r>
      <w:r>
        <w:rPr>
          <w:rFonts w:hint="eastAsia"/>
          <w:color w:val="000000"/>
          <w:lang w:eastAsia="zh-CN"/>
        </w:rPr>
        <w:t>，</w:t>
      </w:r>
      <w:r>
        <w:rPr>
          <w:rFonts w:hint="eastAsia"/>
          <w:color w:val="000000"/>
        </w:rPr>
        <w:t>安装在井筒顶部的封闭盖</w:t>
      </w:r>
      <w:r>
        <w:rPr>
          <w:rFonts w:hint="eastAsia"/>
          <w:color w:val="000000"/>
          <w:lang w:eastAsia="zh-CN"/>
        </w:rPr>
        <w:t>，内盖</w:t>
      </w:r>
      <w:r>
        <w:rPr>
          <w:rFonts w:hint="eastAsia"/>
          <w:color w:val="000000"/>
        </w:rPr>
        <w:t>只适用于污水检查井</w:t>
      </w:r>
      <w:r>
        <w:rPr>
          <w:rFonts w:hint="eastAsia"/>
          <w:color w:val="000000"/>
          <w:lang w:eastAsia="zh-CN"/>
        </w:rPr>
        <w:t>。</w:t>
      </w:r>
    </w:p>
    <w:p>
      <w:pPr>
        <w:pStyle w:val="213"/>
        <w:rPr>
          <w:rFonts w:hint="eastAsia"/>
          <w:color w:val="000000"/>
        </w:rPr>
      </w:pPr>
      <w:r>
        <w:rPr>
          <w:rFonts w:hint="eastAsia"/>
          <w:color w:val="000000"/>
        </w:rPr>
        <w:t>井盖标记由井盖材质、用途、设置场所和井盖尺寸组成</w:t>
      </w:r>
      <w:r>
        <w:rPr>
          <w:rFonts w:hint="eastAsia"/>
          <w:color w:val="000000"/>
          <w:lang w:eastAsia="zh-CN"/>
        </w:rPr>
        <w:t>，</w:t>
      </w:r>
      <w:r>
        <w:rPr>
          <w:rFonts w:hint="eastAsia"/>
          <w:color w:val="000000"/>
        </w:rPr>
        <w:t>见图B.</w:t>
      </w:r>
      <w:r>
        <w:rPr>
          <w:rFonts w:hint="eastAsia"/>
          <w:color w:val="000000"/>
          <w:lang w:val="en-US" w:eastAsia="zh-CN"/>
        </w:rPr>
        <w:t>1</w:t>
      </w:r>
      <w:r>
        <w:rPr>
          <w:rFonts w:hint="eastAsia"/>
          <w:color w:val="000000"/>
        </w:rPr>
        <w:t>。</w:t>
      </w:r>
    </w:p>
    <w:p>
      <w:pPr>
        <w:pStyle w:val="213"/>
        <w:numPr>
          <w:ilvl w:val="1"/>
          <w:numId w:val="0"/>
        </w:numPr>
        <w:ind w:leftChars="0"/>
        <w:rPr>
          <w:rFonts w:hint="eastAsia"/>
          <w:color w:val="000000"/>
        </w:rPr>
      </w:pPr>
    </w:p>
    <w:p>
      <w:pPr>
        <w:pStyle w:val="213"/>
        <w:numPr>
          <w:ilvl w:val="1"/>
          <w:numId w:val="0"/>
        </w:numPr>
        <w:ind w:leftChars="0"/>
        <w:rPr>
          <w:rFonts w:hint="eastAsia"/>
          <w:color w:val="000000"/>
        </w:rPr>
      </w:pPr>
      <w:r>
        <w:rPr>
          <w:rFonts w:hint="eastAsia"/>
          <w:color w:val="000000"/>
        </w:rPr>
        <w:pict>
          <v:line id="Line 2" o:spid="_x0000_s1043" o:spt="20" style="position:absolute;left:0pt;margin-left:105pt;margin-top:14pt;height:50.5pt;width:0.9pt;z-index:251670528;mso-width-relative:page;mso-height-relative:page;" filled="f" stroked="t" coordsize="21600,21600" o:allowincell="f">
            <v:path arrowok="t"/>
            <v:fill on="f" focussize="0,0"/>
            <v:stroke color="#000000"/>
            <v:imagedata o:title=""/>
            <o:lock v:ext="edit" aspectratio="f"/>
          </v:line>
        </w:pict>
      </w:r>
      <w:r>
        <w:rPr>
          <w:rFonts w:hint="eastAsia"/>
          <w:color w:val="000000"/>
        </w:rPr>
        <w:pict>
          <v:line id="Line 3" o:spid="_x0000_s1044" o:spt="20" style="position:absolute;left:0pt;margin-left:145.05pt;margin-top:14pt;height:11.85pt;width:0.1pt;z-index:251669504;mso-width-relative:page;mso-height-relative:page;" filled="f" stroked="t" coordsize="21600,21600" o:allowincell="f">
            <v:path arrowok="t"/>
            <v:fill on="f" focussize="0,0"/>
            <v:stroke color="#000000"/>
            <v:imagedata o:title=""/>
            <o:lock v:ext="edit" aspectratio="f"/>
          </v:line>
        </w:pict>
      </w:r>
      <w:r>
        <w:rPr>
          <w:rFonts w:hint="eastAsia"/>
          <w:color w:val="000000"/>
        </w:rPr>
        <w:pict>
          <v:line id="Line 4" o:spid="_x0000_s1045" o:spt="20" style="position:absolute;left:0pt;margin-left:18.4pt;margin-top:14pt;height:138pt;width:0.5pt;z-index:251676672;mso-width-relative:page;mso-height-relative:page;" filled="f" stroked="t" coordsize="21600,21600" o:allowincell="f">
            <v:path arrowok="t"/>
            <v:fill on="f" focussize="0,0"/>
            <v:stroke color="#000000"/>
            <v:imagedata o:title=""/>
            <o:lock v:ext="edit" aspectratio="f"/>
          </v:line>
        </w:pict>
      </w:r>
      <w:r>
        <w:rPr>
          <w:rFonts w:hint="eastAsia"/>
          <w:color w:val="000000"/>
        </w:rPr>
        <w:pict>
          <v:line id="Line 5" o:spid="_x0000_s1046" o:spt="20" style="position:absolute;left:0pt;margin-left:63pt;margin-top:14pt;height:86.35pt;width:0.45pt;z-index:251673600;mso-width-relative:page;mso-height-relative:page;" filled="f" stroked="t" coordsize="21600,21600" o:allowincell="f">
            <v:path arrowok="t"/>
            <v:fill on="f" focussize="0,0"/>
            <v:stroke color="#000000"/>
            <v:imagedata o:title=""/>
            <o:lock v:ext="edit" aspectratio="f"/>
          </v:line>
        </w:pict>
      </w:r>
      <w:r>
        <w:rPr>
          <w:rFonts w:hint="eastAsia"/>
          <w:color w:val="000000"/>
        </w:rPr>
        <w:pict>
          <v:rect id="Rectangle 6" o:spid="_x0000_s1047" o:spt="1" style="position:absolute;left:0pt;margin-left:135pt;margin-top:-1.5pt;height:15.6pt;width:21pt;z-index:251666432;mso-width-relative:page;mso-height-relative:page;" coordsize="21600,21600">
            <v:path/>
            <v:fill focussize="0,0"/>
            <v:stroke/>
            <v:imagedata o:title=""/>
            <o:lock v:ext="edit" grouping="f" rotation="f" text="f" aspectratio="f"/>
          </v:rect>
        </w:pict>
      </w:r>
      <w:r>
        <w:rPr>
          <w:rFonts w:hint="eastAsia"/>
          <w:color w:val="000000"/>
        </w:rPr>
        <w:pict>
          <v:rect id="Rectangle 7" o:spid="_x0000_s1048" o:spt="1" style="position:absolute;left:0pt;margin-left:94.45pt;margin-top:-1.5pt;height:15.6pt;width:21pt;z-index:251667456;mso-width-relative:page;mso-height-relative:page;" coordsize="21600,21600">
            <v:path/>
            <v:fill focussize="0,0"/>
            <v:stroke/>
            <v:imagedata o:title=""/>
            <o:lock v:ext="edit" grouping="f" rotation="f" text="f" aspectratio="f"/>
          </v:rect>
        </w:pict>
      </w:r>
      <w:r>
        <w:rPr>
          <w:rFonts w:hint="eastAsia"/>
          <w:color w:val="000000"/>
        </w:rPr>
        <w:pict>
          <v:rect id="Rectangle 8" o:spid="_x0000_s1049" o:spt="1" style="position:absolute;left:0pt;margin-left:52.05pt;margin-top:-1.5pt;height:15.6pt;width:21pt;z-index:251668480;mso-width-relative:page;mso-height-relative:page;" coordsize="21600,21600">
            <v:path/>
            <v:fill focussize="0,0"/>
            <v:stroke/>
            <v:imagedata o:title=""/>
            <o:lock v:ext="edit" grouping="f" rotation="f" text="f" aspectratio="f"/>
          </v:rect>
        </w:pict>
      </w:r>
      <w:r>
        <w:rPr>
          <w:rFonts w:hint="eastAsia"/>
          <w:color w:val="000000"/>
        </w:rPr>
        <w:pict>
          <v:rect id="Rectangle 9" o:spid="_x0000_s1050" o:spt="1" style="position:absolute;left:0pt;margin-left:9pt;margin-top:-1.5pt;height:15.6pt;width:21pt;z-index:251662336;mso-width-relative:page;mso-height-relative:page;" coordsize="21600,21600">
            <v:path/>
            <v:fill focussize="0,0"/>
            <v:stroke/>
            <v:imagedata o:title=""/>
            <o:lock v:ext="edit" grouping="f" rotation="f" text="f" aspectratio="f"/>
          </v:rect>
        </w:pict>
      </w:r>
      <w:r>
        <w:rPr>
          <w:rFonts w:hint="eastAsia"/>
          <w:color w:val="000000"/>
        </w:rPr>
        <w:pict>
          <v:line id="Line 10" o:spid="_x0000_s1051" o:spt="20" style="position:absolute;left:0pt;margin-left:115.05pt;margin-top:6.2pt;height:0pt;width:21pt;z-index:251665408;mso-width-relative:page;mso-height-relative:page;" filled="f" coordsize="21600,21600" o:allowincell="f">
            <v:path arrowok="t"/>
            <v:fill on="f" focussize="0,0"/>
            <v:stroke/>
            <v:imagedata o:title=""/>
            <o:lock v:ext="edit" grouping="f" rotation="f" text="f" aspectratio="f"/>
          </v:line>
        </w:pict>
      </w:r>
      <w:r>
        <w:rPr>
          <w:rFonts w:hint="eastAsia"/>
          <w:color w:val="000000"/>
        </w:rPr>
        <w:pict>
          <v:line id="Line 11" o:spid="_x0000_s1052" o:spt="20" style="position:absolute;left:0pt;margin-left:73.3pt;margin-top:6.2pt;height:0pt;width:21pt;z-index:251664384;mso-width-relative:page;mso-height-relative:page;" filled="f" coordsize="21600,21600" o:allowincell="f">
            <v:path arrowok="t"/>
            <v:fill on="f" focussize="0,0"/>
            <v:stroke/>
            <v:imagedata o:title=""/>
            <o:lock v:ext="edit" grouping="f" rotation="f" text="f" aspectratio="f"/>
          </v:line>
        </w:pict>
      </w:r>
      <w:r>
        <w:rPr>
          <w:rFonts w:hint="eastAsia"/>
          <w:color w:val="000000"/>
        </w:rPr>
        <w:pict>
          <v:line id="Line 12" o:spid="_x0000_s1053" o:spt="20" style="position:absolute;left:0pt;margin-left:30.25pt;margin-top:6.2pt;height:0pt;width:21pt;z-index:251663360;mso-width-relative:page;mso-height-relative:page;" filled="f" coordsize="21600,21600" o:allowincell="f">
            <v:path arrowok="t"/>
            <v:fill on="f" focussize="0,0"/>
            <v:stroke/>
            <v:imagedata o:title=""/>
            <o:lock v:ext="edit" grouping="f" rotation="f" text="f" aspectratio="f"/>
          </v:line>
        </w:pict>
      </w:r>
      <w:r>
        <w:rPr>
          <w:rFonts w:hint="eastAsia"/>
          <w:color w:val="000000"/>
        </w:rPr>
        <w:t xml:space="preserve">                                                                         </w:t>
      </w:r>
    </w:p>
    <w:p>
      <w:pPr>
        <w:pStyle w:val="213"/>
        <w:numPr>
          <w:ilvl w:val="1"/>
          <w:numId w:val="0"/>
        </w:numPr>
        <w:ind w:leftChars="0"/>
        <w:rPr>
          <w:rFonts w:hint="eastAsia"/>
          <w:color w:val="000000"/>
          <w:sz w:val="18"/>
          <w:szCs w:val="18"/>
        </w:rPr>
      </w:pPr>
      <w:r>
        <w:rPr>
          <w:rFonts w:hint="eastAsia"/>
          <w:color w:val="000000"/>
        </w:rPr>
        <w:pict>
          <v:line id="Line 13" o:spid="_x0000_s1054" o:spt="20" style="position:absolute;left:0pt;margin-left:145.15pt;margin-top:8.35pt;height:0pt;width:63pt;z-index:251671552;mso-width-relative:page;mso-height-relative:page;" filled="f" coordsize="21600,21600" o:allowincell="f">
            <v:path arrowok="t"/>
            <v:fill on="f" focussize="0,0"/>
            <v:stroke/>
            <v:imagedata o:title=""/>
            <o:lock v:ext="edit" grouping="f" rotation="f" text="f" aspectratio="f"/>
          </v:line>
        </w:pict>
      </w:r>
      <w:r>
        <w:rPr>
          <w:rFonts w:hint="eastAsia"/>
          <w:color w:val="000000"/>
        </w:rPr>
        <w:t xml:space="preserve">                                        </w:t>
      </w:r>
      <w:r>
        <w:rPr>
          <w:rFonts w:hint="eastAsia"/>
          <w:color w:val="000000"/>
          <w:sz w:val="18"/>
          <w:szCs w:val="18"/>
        </w:rPr>
        <w:t xml:space="preserve">井盖尺寸: 圆形按井筒外径，方形以盖的外形尺寸计                        </w:t>
      </w:r>
    </w:p>
    <w:p>
      <w:pPr>
        <w:pStyle w:val="213"/>
        <w:numPr>
          <w:ilvl w:val="1"/>
          <w:numId w:val="0"/>
        </w:numPr>
        <w:ind w:leftChars="0"/>
        <w:rPr>
          <w:rFonts w:hint="eastAsia"/>
          <w:color w:val="000000"/>
          <w:sz w:val="18"/>
          <w:szCs w:val="18"/>
        </w:rPr>
      </w:pPr>
      <w:r>
        <w:rPr>
          <w:rFonts w:hint="eastAsia"/>
          <w:color w:val="000000"/>
          <w:sz w:val="18"/>
          <w:szCs w:val="18"/>
        </w:rPr>
        <w:t xml:space="preserve">                                        </w:t>
      </w:r>
    </w:p>
    <w:p>
      <w:pPr>
        <w:pStyle w:val="213"/>
        <w:numPr>
          <w:ilvl w:val="1"/>
          <w:numId w:val="0"/>
        </w:numPr>
        <w:ind w:leftChars="0"/>
        <w:rPr>
          <w:rFonts w:hint="eastAsia"/>
          <w:color w:val="000000"/>
          <w:sz w:val="18"/>
          <w:szCs w:val="18"/>
        </w:rPr>
      </w:pPr>
      <w:r>
        <w:rPr>
          <w:rFonts w:hint="eastAsia"/>
          <w:color w:val="000000"/>
          <w:sz w:val="18"/>
          <w:szCs w:val="18"/>
        </w:rPr>
        <w:t xml:space="preserve"> </w:t>
      </w:r>
      <w:r>
        <w:rPr>
          <w:rFonts w:hint="eastAsia"/>
          <w:color w:val="000000"/>
          <w:sz w:val="18"/>
          <w:szCs w:val="18"/>
        </w:rPr>
        <w:pict>
          <v:line id="Line 14" o:spid="_x0000_s1055" o:spt="20" style="position:absolute;left:0pt;margin-left:105.5pt;margin-top:10.4pt;height:0.05pt;width:99.85pt;z-index:251672576;mso-width-relative:page;mso-height-relative:page;" filled="f" stroked="t" coordsize="21600,21600">
            <v:path arrowok="t"/>
            <v:fill on="f" focussize="0,0"/>
            <v:stroke color="#000000"/>
            <v:imagedata o:title=""/>
            <o:lock v:ext="edit" aspectratio="f"/>
          </v:line>
        </w:pict>
      </w:r>
      <w:r>
        <w:rPr>
          <w:rFonts w:hint="eastAsia"/>
          <w:color w:val="000000"/>
          <w:sz w:val="18"/>
          <w:szCs w:val="18"/>
        </w:rPr>
        <w:t xml:space="preserve">                                      </w:t>
      </w:r>
      <w:r>
        <w:rPr>
          <w:rFonts w:hint="eastAsia"/>
          <w:color w:val="000000"/>
          <w:sz w:val="18"/>
          <w:szCs w:val="18"/>
          <w:lang w:val="en-US" w:eastAsia="zh-CN"/>
        </w:rPr>
        <w:t xml:space="preserve">       </w:t>
      </w:r>
      <w:r>
        <w:rPr>
          <w:rFonts w:hint="eastAsia"/>
          <w:color w:val="000000"/>
          <w:sz w:val="18"/>
          <w:szCs w:val="18"/>
        </w:rPr>
        <w:t xml:space="preserve"> 设置场所：内盖为N，外盖为Wg,防护盖座的井盖为F</w:t>
      </w:r>
    </w:p>
    <w:p>
      <w:pPr>
        <w:pStyle w:val="213"/>
        <w:numPr>
          <w:ilvl w:val="1"/>
          <w:numId w:val="0"/>
        </w:numPr>
        <w:ind w:leftChars="0"/>
        <w:rPr>
          <w:rFonts w:hint="eastAsia"/>
          <w:color w:val="000000"/>
          <w:sz w:val="18"/>
          <w:szCs w:val="18"/>
        </w:rPr>
      </w:pPr>
      <w:r>
        <w:rPr>
          <w:rFonts w:hint="eastAsia"/>
          <w:color w:val="000000"/>
          <w:sz w:val="18"/>
          <w:szCs w:val="18"/>
        </w:rPr>
        <w:t xml:space="preserve">                                                                                </w:t>
      </w:r>
    </w:p>
    <w:p>
      <w:pPr>
        <w:pStyle w:val="213"/>
        <w:numPr>
          <w:ilvl w:val="1"/>
          <w:numId w:val="0"/>
        </w:numPr>
        <w:ind w:leftChars="0"/>
        <w:rPr>
          <w:rFonts w:hint="eastAsia" w:eastAsia="宋体"/>
          <w:color w:val="000000"/>
          <w:sz w:val="18"/>
          <w:szCs w:val="18"/>
          <w:lang w:val="en-US" w:eastAsia="zh-CN"/>
        </w:rPr>
      </w:pPr>
      <w:r>
        <w:rPr>
          <w:rFonts w:hint="eastAsia"/>
          <w:color w:val="000000"/>
          <w:sz w:val="18"/>
          <w:szCs w:val="18"/>
        </w:rPr>
        <w:pict>
          <v:line id="Line 15" o:spid="_x0000_s1056" o:spt="20" style="position:absolute;left:0pt;margin-left:63pt;margin-top:9.8pt;height:0pt;width:144pt;z-index:251674624;mso-width-relative:page;mso-height-relative:page;" filled="f" coordsize="21600,21600" o:allowincell="f">
            <v:path arrowok="t"/>
            <v:fill on="f" focussize="0,0"/>
            <v:stroke/>
            <v:imagedata o:title=""/>
            <o:lock v:ext="edit" grouping="f" rotation="f" text="f" aspectratio="f"/>
          </v:line>
        </w:pict>
      </w:r>
      <w:r>
        <w:rPr>
          <w:rFonts w:hint="eastAsia"/>
          <w:color w:val="000000"/>
          <w:sz w:val="18"/>
          <w:szCs w:val="18"/>
        </w:rPr>
        <w:t xml:space="preserve">                                      </w:t>
      </w:r>
      <w:r>
        <w:rPr>
          <w:rFonts w:hint="eastAsia"/>
          <w:color w:val="000000"/>
          <w:sz w:val="18"/>
          <w:szCs w:val="18"/>
          <w:lang w:val="en-US" w:eastAsia="zh-CN"/>
        </w:rPr>
        <w:t xml:space="preserve">       </w:t>
      </w:r>
      <w:r>
        <w:rPr>
          <w:rFonts w:hint="eastAsia"/>
          <w:color w:val="000000"/>
          <w:sz w:val="18"/>
          <w:szCs w:val="18"/>
        </w:rPr>
        <w:t xml:space="preserve">  用途：用于污水检查井为W，用于雨水检查井为Y,</w:t>
      </w:r>
      <w:r>
        <w:rPr>
          <w:rFonts w:hint="eastAsia"/>
          <w:color w:val="000000"/>
          <w:sz w:val="18"/>
          <w:szCs w:val="18"/>
          <w:lang w:eastAsia="zh-CN"/>
        </w:rPr>
        <w:t>用于</w:t>
      </w:r>
    </w:p>
    <w:p>
      <w:pPr>
        <w:pStyle w:val="213"/>
        <w:numPr>
          <w:ilvl w:val="1"/>
          <w:numId w:val="0"/>
        </w:numPr>
        <w:ind w:firstLine="4320" w:firstLineChars="2400"/>
        <w:rPr>
          <w:rFonts w:hint="eastAsia"/>
          <w:color w:val="000000"/>
          <w:sz w:val="18"/>
          <w:szCs w:val="18"/>
        </w:rPr>
      </w:pPr>
      <w:r>
        <w:rPr>
          <w:rFonts w:hint="eastAsia"/>
          <w:color w:val="000000"/>
          <w:sz w:val="18"/>
          <w:szCs w:val="18"/>
        </w:rPr>
        <w:t xml:space="preserve">雨水进水落水箅子为Yj    </w:t>
      </w:r>
    </w:p>
    <w:p>
      <w:pPr>
        <w:pStyle w:val="213"/>
        <w:numPr>
          <w:ilvl w:val="1"/>
          <w:numId w:val="0"/>
        </w:numPr>
        <w:ind w:leftChars="0"/>
        <w:rPr>
          <w:rFonts w:hint="eastAsia"/>
          <w:color w:val="000000"/>
          <w:sz w:val="18"/>
          <w:szCs w:val="18"/>
        </w:rPr>
      </w:pPr>
      <w:r>
        <w:rPr>
          <w:rFonts w:hint="eastAsia"/>
          <w:color w:val="000000"/>
          <w:sz w:val="18"/>
          <w:szCs w:val="18"/>
        </w:rPr>
        <w:t xml:space="preserve">                                        </w:t>
      </w:r>
    </w:p>
    <w:p>
      <w:pPr>
        <w:pStyle w:val="213"/>
        <w:numPr>
          <w:ilvl w:val="1"/>
          <w:numId w:val="0"/>
        </w:numPr>
        <w:ind w:leftChars="0"/>
        <w:rPr>
          <w:rFonts w:hint="eastAsia"/>
          <w:color w:val="000000"/>
          <w:sz w:val="18"/>
          <w:szCs w:val="18"/>
        </w:rPr>
      </w:pPr>
      <w:r>
        <w:rPr>
          <w:rFonts w:hint="eastAsia"/>
          <w:color w:val="000000"/>
          <w:sz w:val="18"/>
          <w:szCs w:val="18"/>
        </w:rPr>
        <w:pict>
          <v:line id="Line 16" o:spid="_x0000_s1057" o:spt="20" style="position:absolute;left:0pt;margin-left:17.5pt;margin-top:7.55pt;height:0pt;width:189pt;z-index:251675648;mso-width-relative:page;mso-height-relative:page;" filled="f" coordsize="21600,21600" o:allowincell="f">
            <v:path arrowok="t"/>
            <v:fill on="f" focussize="0,0"/>
            <v:stroke/>
            <v:imagedata o:title=""/>
            <o:lock v:ext="edit" grouping="f" rotation="f" text="f" aspectratio="f"/>
          </v:line>
        </w:pict>
      </w:r>
      <w:r>
        <w:rPr>
          <w:rFonts w:hint="eastAsia"/>
          <w:color w:val="000000"/>
          <w:sz w:val="18"/>
          <w:szCs w:val="18"/>
        </w:rPr>
        <w:t xml:space="preserve">                                        </w:t>
      </w:r>
      <w:r>
        <w:rPr>
          <w:rFonts w:hint="eastAsia"/>
          <w:color w:val="000000"/>
          <w:sz w:val="18"/>
          <w:szCs w:val="18"/>
          <w:lang w:val="en-US" w:eastAsia="zh-CN"/>
        </w:rPr>
        <w:t xml:space="preserve">       </w:t>
      </w:r>
      <w:r>
        <w:rPr>
          <w:rFonts w:hint="eastAsia"/>
          <w:color w:val="000000"/>
          <w:sz w:val="18"/>
          <w:szCs w:val="18"/>
        </w:rPr>
        <w:t>井盖材质：PVC-U材质为P；树脂复合材料(JJG)为M；</w:t>
      </w:r>
    </w:p>
    <w:p>
      <w:pPr>
        <w:pStyle w:val="213"/>
        <w:numPr>
          <w:ilvl w:val="1"/>
          <w:numId w:val="0"/>
        </w:numPr>
        <w:ind w:leftChars="0"/>
        <w:rPr>
          <w:rFonts w:hint="eastAsia"/>
          <w:color w:val="000000"/>
          <w:sz w:val="18"/>
          <w:szCs w:val="18"/>
        </w:rPr>
      </w:pPr>
      <w:r>
        <w:rPr>
          <w:rFonts w:hint="eastAsia"/>
          <w:color w:val="000000"/>
          <w:sz w:val="18"/>
          <w:szCs w:val="18"/>
        </w:rPr>
        <w:t xml:space="preserve">                                        </w:t>
      </w:r>
      <w:r>
        <w:rPr>
          <w:rFonts w:hint="eastAsia"/>
          <w:color w:val="000000"/>
          <w:sz w:val="18"/>
          <w:szCs w:val="18"/>
          <w:lang w:val="en-US" w:eastAsia="zh-CN"/>
        </w:rPr>
        <w:t xml:space="preserve">       </w:t>
      </w:r>
      <w:r>
        <w:rPr>
          <w:rFonts w:hint="eastAsia"/>
          <w:color w:val="000000"/>
          <w:sz w:val="18"/>
          <w:szCs w:val="18"/>
        </w:rPr>
        <w:t>铸铁为I；钢纤维混凝土为C</w:t>
      </w:r>
    </w:p>
    <w:p>
      <w:pPr>
        <w:pStyle w:val="213"/>
        <w:numPr>
          <w:ilvl w:val="1"/>
          <w:numId w:val="0"/>
        </w:numPr>
        <w:ind w:leftChars="0"/>
        <w:rPr>
          <w:sz w:val="18"/>
          <w:szCs w:val="18"/>
        </w:rPr>
      </w:pPr>
      <w:r>
        <w:rPr>
          <w:rFonts w:hint="eastAsia"/>
          <w:color w:val="000000"/>
          <w:sz w:val="18"/>
          <w:szCs w:val="18"/>
        </w:rPr>
        <w:t xml:space="preserve">                                       </w:t>
      </w:r>
      <w:r>
        <w:rPr>
          <w:rStyle w:val="244"/>
          <w:rFonts w:hint="eastAsia"/>
          <w:lang w:eastAsia="zh-CN"/>
        </w:rPr>
        <w:t xml:space="preserve"> 图</w:t>
      </w:r>
      <w:r>
        <w:rPr>
          <w:rStyle w:val="244"/>
          <w:rFonts w:hint="eastAsia"/>
          <w:lang w:val="en-US" w:eastAsia="zh-CN"/>
        </w:rPr>
        <w:t>B.1</w:t>
      </w:r>
      <w:r>
        <w:rPr>
          <w:rStyle w:val="244"/>
          <w:rFonts w:hint="eastAsia"/>
          <w:lang w:eastAsia="zh-CN"/>
        </w:rPr>
        <w:t>井盖标记</w:t>
      </w:r>
    </w:p>
    <w:p>
      <w:pPr>
        <w:pStyle w:val="200"/>
      </w:pPr>
      <w:r>
        <w:rPr>
          <w:rFonts w:hint="eastAsia"/>
        </w:rPr>
        <w:t>1、钢丝绳起吊料石</w:t>
      </w:r>
    </w:p>
    <w:p>
      <w:pPr>
        <w:pStyle w:val="200"/>
      </w:pPr>
      <w:r>
        <w:rPr>
          <w:rFonts w:hint="eastAsia"/>
        </w:rPr>
        <w:t>A、起吊装置</w:t>
      </w:r>
    </w:p>
    <w:bookmarkEnd w:id="88"/>
    <w:p>
      <w:pPr>
        <w:pStyle w:val="213"/>
        <w:rPr>
          <w:rFonts w:hint="eastAsia"/>
          <w:color w:val="000000"/>
        </w:rPr>
      </w:pPr>
      <w:r>
        <w:rPr>
          <w:rFonts w:hint="eastAsia"/>
          <w:color w:val="000000"/>
          <w:lang w:val="en-US" w:eastAsia="zh-CN"/>
        </w:rPr>
        <w:t>标记示例如下</w:t>
      </w:r>
      <w:r>
        <w:rPr>
          <w:rFonts w:hint="eastAsia"/>
          <w:color w:val="000000"/>
        </w:rPr>
        <w:t>：</w:t>
      </w:r>
    </w:p>
    <w:p>
      <w:pPr>
        <w:numPr>
          <w:ilvl w:val="0"/>
          <w:numId w:val="56"/>
        </w:numPr>
        <w:spacing w:line="360" w:lineRule="auto"/>
        <w:ind w:left="795" w:leftChars="0" w:hanging="360" w:firstLineChars="0"/>
        <w:rPr>
          <w:rFonts w:hint="eastAsia" w:ascii="宋体" w:hAnsi="宋体" w:cs="宋体"/>
          <w:sz w:val="21"/>
          <w:szCs w:val="21"/>
        </w:rPr>
      </w:pPr>
      <w:r>
        <w:rPr>
          <w:rFonts w:hint="eastAsia" w:ascii="宋体" w:hAnsi="宋体" w:cs="宋体"/>
          <w:sz w:val="21"/>
          <w:szCs w:val="21"/>
        </w:rPr>
        <w:t>用于污水检查井，外盖, 材质为</w:t>
      </w:r>
      <w:r>
        <w:rPr>
          <w:rFonts w:hint="eastAsia" w:ascii="宋体" w:hAnsi="宋体" w:cs="宋体"/>
          <w:sz w:val="21"/>
          <w:szCs w:val="21"/>
          <w:lang w:eastAsia="zh-CN"/>
        </w:rPr>
        <w:t>硬聚氯乙烯（</w:t>
      </w:r>
      <w:r>
        <w:rPr>
          <w:rFonts w:hint="eastAsia" w:ascii="宋体" w:hAnsi="宋体" w:cs="宋体"/>
          <w:sz w:val="21"/>
          <w:szCs w:val="21"/>
        </w:rPr>
        <w:t>PVC-U</w:t>
      </w:r>
      <w:r>
        <w:rPr>
          <w:rFonts w:hint="eastAsia" w:ascii="宋体" w:hAnsi="宋体" w:cs="宋体"/>
          <w:sz w:val="21"/>
          <w:szCs w:val="21"/>
          <w:lang w:eastAsia="zh-CN"/>
        </w:rPr>
        <w:t>）</w:t>
      </w:r>
      <w:r>
        <w:rPr>
          <w:rFonts w:hint="eastAsia" w:ascii="宋体" w:hAnsi="宋体" w:cs="宋体"/>
          <w:sz w:val="21"/>
          <w:szCs w:val="21"/>
        </w:rPr>
        <w:t>制造的450 mm井盖。标记示例：P—W—Wg—450。</w:t>
      </w:r>
    </w:p>
    <w:p>
      <w:pPr>
        <w:numPr>
          <w:ilvl w:val="0"/>
          <w:numId w:val="56"/>
        </w:numPr>
        <w:spacing w:line="360" w:lineRule="auto"/>
        <w:ind w:left="795" w:leftChars="0" w:hanging="360" w:firstLineChars="0"/>
        <w:rPr>
          <w:rFonts w:hint="eastAsia" w:ascii="宋体" w:hAnsi="宋体" w:cs="宋体"/>
          <w:sz w:val="21"/>
          <w:szCs w:val="21"/>
        </w:rPr>
      </w:pPr>
      <w:r>
        <w:rPr>
          <w:rFonts w:hint="eastAsia" w:ascii="宋体" w:hAnsi="宋体" w:cs="宋体"/>
          <w:sz w:val="21"/>
          <w:szCs w:val="21"/>
        </w:rPr>
        <w:t>用于雨水检查井防护盖座的井盖，采用复合材料，井筒规格为630 mm井盖。</w:t>
      </w:r>
    </w:p>
    <w:p>
      <w:pPr>
        <w:numPr>
          <w:ilvl w:val="0"/>
          <w:numId w:val="0"/>
        </w:numPr>
        <w:spacing w:line="360" w:lineRule="auto"/>
        <w:ind w:left="420" w:leftChars="0" w:firstLine="420" w:firstLineChars="200"/>
        <w:rPr>
          <w:rFonts w:hint="eastAsia" w:ascii="宋体" w:hAnsi="宋体" w:cs="宋体"/>
          <w:sz w:val="21"/>
          <w:szCs w:val="21"/>
        </w:rPr>
      </w:pPr>
      <w:r>
        <w:rPr>
          <w:rFonts w:hint="eastAsia" w:ascii="宋体" w:hAnsi="宋体" w:cs="宋体"/>
          <w:sz w:val="21"/>
          <w:szCs w:val="21"/>
        </w:rPr>
        <w:t>标记示例：M—Y—F—630。</w:t>
      </w:r>
    </w:p>
    <w:p>
      <w:pPr>
        <w:pStyle w:val="213"/>
        <w:rPr>
          <w:rFonts w:hint="default"/>
          <w:color w:val="000000"/>
          <w:lang w:val="en-US" w:eastAsia="zh-CN"/>
        </w:rPr>
      </w:pPr>
      <w:r>
        <w:rPr>
          <w:rFonts w:hint="eastAsia"/>
          <w:color w:val="000000"/>
          <w:lang w:val="en-US" w:eastAsia="zh-CN"/>
        </w:rPr>
        <w:t>井盖分类见表B.1</w:t>
      </w:r>
    </w:p>
    <w:p>
      <w:pPr>
        <w:pStyle w:val="79"/>
        <w:spacing w:before="156" w:after="156"/>
        <w:rPr>
          <w:rFonts w:hint="default"/>
          <w:lang w:val="en-US" w:eastAsia="zh-CN"/>
        </w:rPr>
      </w:pPr>
      <w:r>
        <w:rPr>
          <w:rFonts w:hint="eastAsia"/>
          <w:lang w:val="en-US" w:eastAsia="zh-CN"/>
        </w:rPr>
        <w:t>井盖种类规格</w:t>
      </w:r>
    </w:p>
    <w:tbl>
      <w:tblPr>
        <w:tblStyle w:val="27"/>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3148"/>
        <w:gridCol w:w="2150"/>
        <w:gridCol w:w="2041"/>
        <w:gridCol w:w="2041"/>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7" w:hRule="atLeast"/>
          <w:jc w:val="center"/>
        </w:trPr>
        <w:tc>
          <w:tcPr>
            <w:tcW w:w="3148" w:type="dxa"/>
            <w:tcBorders>
              <w:bottom w:val="single" w:color="auto" w:sz="8" w:space="0"/>
            </w:tcBorders>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井盖图示</w:t>
            </w:r>
          </w:p>
        </w:tc>
        <w:tc>
          <w:tcPr>
            <w:tcW w:w="2150" w:type="dxa"/>
            <w:tcBorders>
              <w:bottom w:val="single" w:color="auto" w:sz="8" w:space="0"/>
            </w:tcBorders>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形式</w:t>
            </w:r>
          </w:p>
        </w:tc>
        <w:tc>
          <w:tcPr>
            <w:tcW w:w="2041" w:type="dxa"/>
            <w:tcBorders>
              <w:bottom w:val="single" w:color="auto" w:sz="8" w:space="0"/>
            </w:tcBorders>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材质</w:t>
            </w:r>
          </w:p>
        </w:tc>
        <w:tc>
          <w:tcPr>
            <w:tcW w:w="2041" w:type="dxa"/>
            <w:tcBorders>
              <w:bottom w:val="single" w:color="auto" w:sz="8" w:space="0"/>
            </w:tcBorders>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适用于井筒</w:t>
            </w:r>
          </w:p>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管材直径</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26" w:hRule="atLeast"/>
          <w:jc w:val="center"/>
        </w:trPr>
        <w:tc>
          <w:tcPr>
            <w:tcW w:w="3148" w:type="dxa"/>
            <w:vMerge w:val="restart"/>
            <w:tcBorders>
              <w:top w:val="single" w:color="auto" w:sz="8" w:space="0"/>
            </w:tcBorders>
            <w:noWrap w:val="0"/>
            <w:vAlign w:val="top"/>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drawing>
                <wp:inline distT="0" distB="0" distL="114300" distR="114300">
                  <wp:extent cx="1449705" cy="516255"/>
                  <wp:effectExtent l="0" t="0" r="17145" b="17145"/>
                  <wp:docPr id="28" name="图片 8" descr="塑料检查井行业标准20060117a-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8" descr="塑料检查井行业标准20060117a-Model"/>
                          <pic:cNvPicPr>
                            <a:picLocks noChangeAspect="1"/>
                          </pic:cNvPicPr>
                        </pic:nvPicPr>
                        <pic:blipFill>
                          <a:blip r:embed="rId38"/>
                          <a:stretch>
                            <a:fillRect/>
                          </a:stretch>
                        </pic:blipFill>
                        <pic:spPr>
                          <a:xfrm>
                            <a:off x="0" y="0"/>
                            <a:ext cx="1449705" cy="516255"/>
                          </a:xfrm>
                          <a:prstGeom prst="rect">
                            <a:avLst/>
                          </a:prstGeom>
                          <a:noFill/>
                          <a:ln>
                            <a:noFill/>
                          </a:ln>
                        </pic:spPr>
                      </pic:pic>
                    </a:graphicData>
                  </a:graphic>
                </wp:inline>
              </w:drawing>
            </w:r>
          </w:p>
        </w:tc>
        <w:tc>
          <w:tcPr>
            <w:tcW w:w="2150" w:type="dxa"/>
            <w:vMerge w:val="restart"/>
            <w:tcBorders>
              <w:top w:val="single" w:color="auto" w:sz="8" w:space="0"/>
            </w:tcBorders>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外插式</w:t>
            </w:r>
          </w:p>
        </w:tc>
        <w:tc>
          <w:tcPr>
            <w:tcW w:w="2041" w:type="dxa"/>
            <w:vMerge w:val="restart"/>
            <w:tcBorders>
              <w:top w:val="single" w:color="auto" w:sz="8" w:space="0"/>
            </w:tcBorders>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PVC-U</w:t>
            </w:r>
          </w:p>
        </w:tc>
        <w:tc>
          <w:tcPr>
            <w:tcW w:w="2041" w:type="dxa"/>
            <w:tcBorders>
              <w:top w:val="single" w:color="auto" w:sz="8" w:space="0"/>
            </w:tcBorders>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450平壁管</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26" w:hRule="atLeast"/>
          <w:jc w:val="center"/>
        </w:trPr>
        <w:tc>
          <w:tcPr>
            <w:tcW w:w="3148" w:type="dxa"/>
            <w:vMerge w:val="continue"/>
            <w:noWrap w:val="0"/>
            <w:vAlign w:val="top"/>
          </w:tcPr>
          <w:p>
            <w:pPr>
              <w:spacing w:line="240" w:lineRule="auto"/>
              <w:jc w:val="center"/>
              <w:rPr>
                <w:rFonts w:hint="eastAsia" w:ascii="宋体" w:hAnsi="宋体" w:eastAsia="宋体" w:cs="宋体"/>
                <w:sz w:val="18"/>
                <w:szCs w:val="18"/>
              </w:rPr>
            </w:pPr>
          </w:p>
        </w:tc>
        <w:tc>
          <w:tcPr>
            <w:tcW w:w="2150" w:type="dxa"/>
            <w:vMerge w:val="continue"/>
            <w:noWrap w:val="0"/>
            <w:vAlign w:val="center"/>
          </w:tcPr>
          <w:p>
            <w:pPr>
              <w:spacing w:line="240" w:lineRule="auto"/>
              <w:jc w:val="center"/>
              <w:rPr>
                <w:rFonts w:hint="eastAsia" w:ascii="宋体" w:hAnsi="宋体" w:eastAsia="宋体" w:cs="宋体"/>
                <w:sz w:val="18"/>
                <w:szCs w:val="18"/>
              </w:rPr>
            </w:pPr>
          </w:p>
        </w:tc>
        <w:tc>
          <w:tcPr>
            <w:tcW w:w="2041" w:type="dxa"/>
            <w:vMerge w:val="continue"/>
            <w:noWrap w:val="0"/>
            <w:vAlign w:val="center"/>
          </w:tcPr>
          <w:p>
            <w:pPr>
              <w:spacing w:line="240" w:lineRule="auto"/>
              <w:jc w:val="center"/>
              <w:rPr>
                <w:rFonts w:hint="eastAsia" w:ascii="宋体" w:hAnsi="宋体" w:eastAsia="宋体" w:cs="宋体"/>
                <w:sz w:val="18"/>
                <w:szCs w:val="18"/>
              </w:rPr>
            </w:pPr>
          </w:p>
        </w:tc>
        <w:tc>
          <w:tcPr>
            <w:tcW w:w="2041"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630平壁管</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26" w:hRule="atLeast"/>
          <w:jc w:val="center"/>
        </w:trPr>
        <w:tc>
          <w:tcPr>
            <w:tcW w:w="3148" w:type="dxa"/>
            <w:vMerge w:val="restart"/>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drawing>
                <wp:inline distT="0" distB="0" distL="114300" distR="114300">
                  <wp:extent cx="1488440" cy="525780"/>
                  <wp:effectExtent l="0" t="0" r="16510" b="7620"/>
                  <wp:docPr id="26" name="图片 9" descr="塑料检查井行业标准20060117a-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9" descr="塑料检查井行业标准20060117a-Model"/>
                          <pic:cNvPicPr>
                            <a:picLocks noChangeAspect="1"/>
                          </pic:cNvPicPr>
                        </pic:nvPicPr>
                        <pic:blipFill>
                          <a:blip r:embed="rId39"/>
                          <a:stretch>
                            <a:fillRect/>
                          </a:stretch>
                        </pic:blipFill>
                        <pic:spPr>
                          <a:xfrm>
                            <a:off x="0" y="0"/>
                            <a:ext cx="1488440" cy="525780"/>
                          </a:xfrm>
                          <a:prstGeom prst="rect">
                            <a:avLst/>
                          </a:prstGeom>
                          <a:noFill/>
                          <a:ln>
                            <a:noFill/>
                          </a:ln>
                        </pic:spPr>
                      </pic:pic>
                    </a:graphicData>
                  </a:graphic>
                </wp:inline>
              </w:drawing>
            </w:r>
          </w:p>
        </w:tc>
        <w:tc>
          <w:tcPr>
            <w:tcW w:w="2150" w:type="dxa"/>
            <w:vMerge w:val="continue"/>
            <w:noWrap w:val="0"/>
            <w:vAlign w:val="center"/>
          </w:tcPr>
          <w:p>
            <w:pPr>
              <w:spacing w:line="240" w:lineRule="auto"/>
              <w:jc w:val="center"/>
              <w:rPr>
                <w:rFonts w:hint="eastAsia" w:ascii="宋体" w:hAnsi="宋体" w:eastAsia="宋体" w:cs="宋体"/>
                <w:sz w:val="18"/>
                <w:szCs w:val="18"/>
              </w:rPr>
            </w:pPr>
          </w:p>
        </w:tc>
        <w:tc>
          <w:tcPr>
            <w:tcW w:w="2041" w:type="dxa"/>
            <w:vMerge w:val="restart"/>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M</w:t>
            </w:r>
          </w:p>
        </w:tc>
        <w:tc>
          <w:tcPr>
            <w:tcW w:w="2041"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450平壁管</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26" w:hRule="atLeast"/>
          <w:jc w:val="center"/>
        </w:trPr>
        <w:tc>
          <w:tcPr>
            <w:tcW w:w="3148" w:type="dxa"/>
            <w:vMerge w:val="continue"/>
            <w:noWrap w:val="0"/>
            <w:vAlign w:val="top"/>
          </w:tcPr>
          <w:p>
            <w:pPr>
              <w:spacing w:line="240" w:lineRule="auto"/>
              <w:jc w:val="center"/>
              <w:rPr>
                <w:rFonts w:hint="eastAsia" w:ascii="宋体" w:hAnsi="宋体" w:eastAsia="宋体" w:cs="宋体"/>
                <w:sz w:val="18"/>
                <w:szCs w:val="18"/>
              </w:rPr>
            </w:pPr>
          </w:p>
        </w:tc>
        <w:tc>
          <w:tcPr>
            <w:tcW w:w="2150" w:type="dxa"/>
            <w:vMerge w:val="continue"/>
            <w:noWrap w:val="0"/>
            <w:vAlign w:val="center"/>
          </w:tcPr>
          <w:p>
            <w:pPr>
              <w:spacing w:line="240" w:lineRule="auto"/>
              <w:jc w:val="center"/>
              <w:rPr>
                <w:rFonts w:hint="eastAsia" w:ascii="宋体" w:hAnsi="宋体" w:eastAsia="宋体" w:cs="宋体"/>
                <w:sz w:val="18"/>
                <w:szCs w:val="18"/>
              </w:rPr>
            </w:pPr>
          </w:p>
        </w:tc>
        <w:tc>
          <w:tcPr>
            <w:tcW w:w="2041" w:type="dxa"/>
            <w:vMerge w:val="continue"/>
            <w:noWrap w:val="0"/>
            <w:vAlign w:val="center"/>
          </w:tcPr>
          <w:p>
            <w:pPr>
              <w:spacing w:line="240" w:lineRule="auto"/>
              <w:jc w:val="center"/>
              <w:rPr>
                <w:rFonts w:hint="eastAsia" w:ascii="宋体" w:hAnsi="宋体" w:eastAsia="宋体" w:cs="宋体"/>
                <w:sz w:val="18"/>
                <w:szCs w:val="18"/>
              </w:rPr>
            </w:pPr>
          </w:p>
        </w:tc>
        <w:tc>
          <w:tcPr>
            <w:tcW w:w="2041"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630平壁管</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26" w:hRule="atLeast"/>
          <w:jc w:val="center"/>
        </w:trPr>
        <w:tc>
          <w:tcPr>
            <w:tcW w:w="3148" w:type="dxa"/>
            <w:vMerge w:val="restart"/>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drawing>
                <wp:inline distT="0" distB="0" distL="114300" distR="114300">
                  <wp:extent cx="1488440" cy="288290"/>
                  <wp:effectExtent l="0" t="0" r="16510" b="16510"/>
                  <wp:docPr id="25" name="图片 10" descr="塑料检查井行业标准20060117a-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0" descr="塑料检查井行业标准20060117a-Model"/>
                          <pic:cNvPicPr>
                            <a:picLocks noChangeAspect="1"/>
                          </pic:cNvPicPr>
                        </pic:nvPicPr>
                        <pic:blipFill>
                          <a:blip r:embed="rId40"/>
                          <a:stretch>
                            <a:fillRect/>
                          </a:stretch>
                        </pic:blipFill>
                        <pic:spPr>
                          <a:xfrm>
                            <a:off x="0" y="0"/>
                            <a:ext cx="1488440" cy="288290"/>
                          </a:xfrm>
                          <a:prstGeom prst="rect">
                            <a:avLst/>
                          </a:prstGeom>
                          <a:noFill/>
                          <a:ln>
                            <a:noFill/>
                          </a:ln>
                        </pic:spPr>
                      </pic:pic>
                    </a:graphicData>
                  </a:graphic>
                </wp:inline>
              </w:drawing>
            </w:r>
          </w:p>
        </w:tc>
        <w:tc>
          <w:tcPr>
            <w:tcW w:w="2150"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450防护盖座</w:t>
            </w:r>
          </w:p>
        </w:tc>
        <w:tc>
          <w:tcPr>
            <w:tcW w:w="2041" w:type="dxa"/>
            <w:vMerge w:val="restart"/>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铸铁、聚合物基复合材料、钢纤维混凝土</w:t>
            </w:r>
          </w:p>
        </w:tc>
        <w:tc>
          <w:tcPr>
            <w:tcW w:w="2041"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450平壁管</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26" w:hRule="atLeast"/>
          <w:jc w:val="center"/>
        </w:trPr>
        <w:tc>
          <w:tcPr>
            <w:tcW w:w="3148" w:type="dxa"/>
            <w:vMerge w:val="continue"/>
            <w:noWrap w:val="0"/>
            <w:vAlign w:val="center"/>
          </w:tcPr>
          <w:p>
            <w:pPr>
              <w:spacing w:line="240" w:lineRule="auto"/>
              <w:rPr>
                <w:rFonts w:hint="eastAsia" w:ascii="宋体" w:hAnsi="宋体" w:eastAsia="宋体" w:cs="宋体"/>
                <w:sz w:val="18"/>
                <w:szCs w:val="18"/>
              </w:rPr>
            </w:pPr>
          </w:p>
        </w:tc>
        <w:tc>
          <w:tcPr>
            <w:tcW w:w="2150"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630防护盖座</w:t>
            </w:r>
          </w:p>
        </w:tc>
        <w:tc>
          <w:tcPr>
            <w:tcW w:w="2041" w:type="dxa"/>
            <w:vMerge w:val="continue"/>
            <w:noWrap w:val="0"/>
            <w:vAlign w:val="center"/>
          </w:tcPr>
          <w:p>
            <w:pPr>
              <w:spacing w:line="240" w:lineRule="auto"/>
              <w:jc w:val="center"/>
              <w:rPr>
                <w:rFonts w:hint="eastAsia" w:ascii="宋体" w:hAnsi="宋体" w:eastAsia="宋体" w:cs="宋体"/>
                <w:sz w:val="18"/>
                <w:szCs w:val="18"/>
              </w:rPr>
            </w:pPr>
          </w:p>
        </w:tc>
        <w:tc>
          <w:tcPr>
            <w:tcW w:w="2041"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630平壁管</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231" w:hRule="atLeast"/>
          <w:jc w:val="center"/>
        </w:trPr>
        <w:tc>
          <w:tcPr>
            <w:tcW w:w="3148" w:type="dxa"/>
            <w:vMerge w:val="continue"/>
            <w:noWrap w:val="0"/>
            <w:vAlign w:val="center"/>
          </w:tcPr>
          <w:p>
            <w:pPr>
              <w:spacing w:line="240" w:lineRule="auto"/>
              <w:rPr>
                <w:rFonts w:hint="eastAsia" w:ascii="宋体" w:hAnsi="宋体" w:eastAsia="宋体" w:cs="宋体"/>
                <w:sz w:val="18"/>
                <w:szCs w:val="18"/>
              </w:rPr>
            </w:pPr>
          </w:p>
        </w:tc>
        <w:tc>
          <w:tcPr>
            <w:tcW w:w="2150"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700防护盖座</w:t>
            </w:r>
          </w:p>
        </w:tc>
        <w:tc>
          <w:tcPr>
            <w:tcW w:w="2041" w:type="dxa"/>
            <w:vMerge w:val="continue"/>
            <w:noWrap w:val="0"/>
            <w:vAlign w:val="center"/>
          </w:tcPr>
          <w:p>
            <w:pPr>
              <w:spacing w:line="240" w:lineRule="auto"/>
              <w:jc w:val="center"/>
              <w:rPr>
                <w:rFonts w:hint="eastAsia" w:ascii="宋体" w:hAnsi="宋体" w:eastAsia="宋体" w:cs="宋体"/>
                <w:sz w:val="18"/>
                <w:szCs w:val="18"/>
              </w:rPr>
            </w:pPr>
          </w:p>
        </w:tc>
        <w:tc>
          <w:tcPr>
            <w:tcW w:w="2041"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700平壁管</w:t>
            </w:r>
          </w:p>
        </w:tc>
      </w:tr>
    </w:tbl>
    <w:p>
      <w:pPr>
        <w:pStyle w:val="78"/>
        <w:spacing w:before="78" w:after="156"/>
      </w:pPr>
      <w:bookmarkStart w:id="91" w:name="_Toc10219"/>
      <w:r>
        <w:br w:type="textWrapping"/>
      </w:r>
      <w:r>
        <w:rPr>
          <w:rFonts w:hint="eastAsia"/>
        </w:rPr>
        <w:t>（资料性）</w:t>
      </w:r>
      <w:r>
        <w:br w:type="textWrapping"/>
      </w:r>
      <w:r>
        <w:rPr>
          <w:rFonts w:hint="eastAsia"/>
          <w:lang w:eastAsia="zh-CN"/>
        </w:rPr>
        <w:t>排水用塑料检查井配件种类规格</w:t>
      </w:r>
      <w:bookmarkEnd w:id="91"/>
    </w:p>
    <w:p>
      <w:pPr>
        <w:pStyle w:val="213"/>
        <w:rPr>
          <w:rFonts w:hint="eastAsia"/>
          <w:color w:val="000000"/>
        </w:rPr>
      </w:pPr>
      <w:r>
        <w:rPr>
          <w:rFonts w:hint="eastAsia"/>
          <w:color w:val="000000"/>
        </w:rPr>
        <w:t>本附录适用于检查井与排水管道连接用配件。</w:t>
      </w:r>
    </w:p>
    <w:p>
      <w:pPr>
        <w:pStyle w:val="213"/>
        <w:numPr>
          <w:ilvl w:val="1"/>
          <w:numId w:val="4"/>
        </w:numPr>
        <w:rPr>
          <w:rFonts w:hint="eastAsia"/>
          <w:color w:val="000000"/>
        </w:rPr>
      </w:pPr>
      <w:r>
        <w:rPr>
          <w:rFonts w:hint="eastAsia"/>
          <w:color w:val="000000"/>
        </w:rPr>
        <w:t>配件种类规格见表C.</w:t>
      </w:r>
      <w:r>
        <w:rPr>
          <w:rFonts w:hint="eastAsia"/>
          <w:color w:val="000000"/>
          <w:lang w:val="en-US" w:eastAsia="zh-CN"/>
        </w:rPr>
        <w:t>1</w:t>
      </w:r>
      <w:r>
        <w:rPr>
          <w:rFonts w:hint="eastAsia"/>
          <w:color w:val="000000"/>
        </w:rPr>
        <w:t>。</w:t>
      </w:r>
    </w:p>
    <w:p>
      <w:pPr>
        <w:pStyle w:val="79"/>
        <w:numPr>
          <w:ilvl w:val="1"/>
          <w:numId w:val="0"/>
        </w:numPr>
        <w:spacing w:before="156" w:after="156"/>
        <w:ind w:leftChars="0"/>
        <w:jc w:val="center"/>
        <w:rPr>
          <w:rFonts w:hint="eastAsia"/>
          <w:lang w:val="en-US" w:eastAsia="zh-CN"/>
        </w:rPr>
      </w:pPr>
      <w:r>
        <w:rPr>
          <w:rFonts w:hint="eastAsia"/>
          <w:lang w:val="en-US" w:eastAsia="zh-CN"/>
        </w:rPr>
        <w:t>表C.1  配件种类规格表</w:t>
      </w:r>
    </w:p>
    <w:p>
      <w:pPr>
        <w:pStyle w:val="58"/>
        <w:jc w:val="right"/>
        <w:rPr>
          <w:rFonts w:hint="eastAsia"/>
          <w:sz w:val="18"/>
          <w:szCs w:val="18"/>
          <w:lang w:val="en-US" w:eastAsia="zh-CN"/>
        </w:rPr>
      </w:pPr>
      <w:r>
        <w:rPr>
          <w:rFonts w:hint="eastAsia"/>
          <w:sz w:val="18"/>
          <w:szCs w:val="18"/>
          <w:lang w:val="en-US" w:eastAsia="zh-CN"/>
        </w:rPr>
        <w:t>单位为毫米</w:t>
      </w:r>
    </w:p>
    <w:tbl>
      <w:tblPr>
        <w:tblStyle w:val="27"/>
        <w:tblW w:w="9282"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983"/>
        <w:gridCol w:w="930"/>
        <w:gridCol w:w="1785"/>
        <w:gridCol w:w="1710"/>
        <w:gridCol w:w="2874"/>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486" w:hRule="atLeast"/>
          <w:jc w:val="center"/>
        </w:trPr>
        <w:tc>
          <w:tcPr>
            <w:tcW w:w="1983" w:type="dxa"/>
            <w:tcBorders>
              <w:bottom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配件名称</w:t>
            </w:r>
          </w:p>
        </w:tc>
        <w:tc>
          <w:tcPr>
            <w:tcW w:w="930" w:type="dxa"/>
            <w:tcBorders>
              <w:bottom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代号</w:t>
            </w:r>
          </w:p>
        </w:tc>
        <w:tc>
          <w:tcPr>
            <w:tcW w:w="3495" w:type="dxa"/>
            <w:gridSpan w:val="2"/>
            <w:tcBorders>
              <w:bottom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规格</w:t>
            </w:r>
          </w:p>
        </w:tc>
        <w:tc>
          <w:tcPr>
            <w:tcW w:w="2874" w:type="dxa"/>
            <w:tcBorders>
              <w:bottom w:val="single" w:color="auto" w:sz="8" w:space="0"/>
            </w:tcBorders>
            <w:noWrap w:val="0"/>
            <w:vAlign w:val="center"/>
          </w:tcPr>
          <w:p>
            <w:pPr>
              <w:adjustRightInd/>
              <w:spacing w:line="240" w:lineRule="auto"/>
              <w:rPr>
                <w:rFonts w:hint="eastAsia" w:ascii="宋体" w:hAnsi="宋体" w:eastAsia="宋体" w:cs="宋体"/>
                <w:sz w:val="18"/>
                <w:szCs w:val="18"/>
              </w:rPr>
            </w:pPr>
            <w:r>
              <w:rPr>
                <w:rFonts w:hint="eastAsia" w:ascii="宋体" w:hAnsi="宋体" w:eastAsia="宋体" w:cs="宋体"/>
                <w:sz w:val="18"/>
                <w:szCs w:val="18"/>
              </w:rPr>
              <w:t>图示</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1043" w:hRule="atLeast"/>
          <w:jc w:val="center"/>
        </w:trPr>
        <w:tc>
          <w:tcPr>
            <w:tcW w:w="1983" w:type="dxa"/>
            <w:tcBorders>
              <w:top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球形接头</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lang w:eastAsia="zh-CN"/>
              </w:rPr>
              <w:t>（</w:t>
            </w:r>
            <w:r>
              <w:rPr>
                <w:rFonts w:hint="eastAsia" w:ascii="宋体" w:hAnsi="宋体" w:eastAsia="宋体" w:cs="宋体"/>
                <w:sz w:val="18"/>
                <w:szCs w:val="18"/>
              </w:rPr>
              <w:t>粘接与柔性</w:t>
            </w:r>
            <w:r>
              <w:rPr>
                <w:rFonts w:hint="eastAsia" w:ascii="宋体" w:hAnsi="宋体" w:eastAsia="宋体" w:cs="宋体"/>
                <w:sz w:val="18"/>
                <w:szCs w:val="18"/>
                <w:lang w:eastAsia="zh-CN"/>
              </w:rPr>
              <w:t>承插式）</w:t>
            </w:r>
          </w:p>
        </w:tc>
        <w:tc>
          <w:tcPr>
            <w:tcW w:w="930" w:type="dxa"/>
            <w:tcBorders>
              <w:top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Q</w:t>
            </w:r>
          </w:p>
        </w:tc>
        <w:tc>
          <w:tcPr>
            <w:tcW w:w="3495" w:type="dxa"/>
            <w:gridSpan w:val="2"/>
            <w:tcBorders>
              <w:top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75</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110</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160</w:t>
            </w:r>
          </w:p>
        </w:tc>
        <w:tc>
          <w:tcPr>
            <w:tcW w:w="2874" w:type="dxa"/>
            <w:tcBorders>
              <w:top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drawing>
                <wp:inline distT="0" distB="0" distL="114300" distR="114300">
                  <wp:extent cx="1287780" cy="723900"/>
                  <wp:effectExtent l="0" t="0" r="7620" b="0"/>
                  <wp:docPr id="4" name="图片 1" descr="塑料检查井行业标准20060117a-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descr="塑料检查井行业标准20060117a-Model"/>
                          <pic:cNvPicPr>
                            <a:picLocks noChangeAspect="1"/>
                          </pic:cNvPicPr>
                        </pic:nvPicPr>
                        <pic:blipFill>
                          <a:blip r:embed="rId41"/>
                          <a:stretch>
                            <a:fillRect/>
                          </a:stretch>
                        </pic:blipFill>
                        <pic:spPr>
                          <a:xfrm>
                            <a:off x="0" y="0"/>
                            <a:ext cx="1287780" cy="723900"/>
                          </a:xfrm>
                          <a:prstGeom prst="rect">
                            <a:avLst/>
                          </a:prstGeom>
                          <a:noFill/>
                          <a:ln>
                            <a:noFill/>
                          </a:ln>
                        </pic:spPr>
                      </pic:pic>
                    </a:graphicData>
                  </a:graphic>
                </wp:inline>
              </w:drawing>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380" w:hRule="atLeast"/>
          <w:jc w:val="center"/>
        </w:trPr>
        <w:tc>
          <w:tcPr>
            <w:tcW w:w="1983" w:type="dxa"/>
            <w:vMerge w:val="restart"/>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22.5°可变角接头</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lang w:eastAsia="zh-CN"/>
              </w:rPr>
              <w:t>（柔性承插式）</w:t>
            </w:r>
          </w:p>
        </w:tc>
        <w:tc>
          <w:tcPr>
            <w:tcW w:w="930" w:type="dxa"/>
            <w:vMerge w:val="restart"/>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22.5B</w:t>
            </w:r>
          </w:p>
        </w:tc>
        <w:tc>
          <w:tcPr>
            <w:tcW w:w="1785" w:type="dxa"/>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外径</w:t>
            </w:r>
          </w:p>
        </w:tc>
        <w:tc>
          <w:tcPr>
            <w:tcW w:w="1710" w:type="dxa"/>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内径</w:t>
            </w:r>
          </w:p>
        </w:tc>
        <w:tc>
          <w:tcPr>
            <w:tcW w:w="2874" w:type="dxa"/>
            <w:vMerge w:val="restart"/>
            <w:noWrap w:val="0"/>
            <w:vAlign w:val="top"/>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drawing>
                <wp:inline distT="0" distB="0" distL="114300" distR="114300">
                  <wp:extent cx="1419225" cy="922655"/>
                  <wp:effectExtent l="0" t="0" r="9525" b="10795"/>
                  <wp:docPr id="7" name="图片 2"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descr="1"/>
                          <pic:cNvPicPr>
                            <a:picLocks noChangeAspect="1"/>
                          </pic:cNvPicPr>
                        </pic:nvPicPr>
                        <pic:blipFill>
                          <a:blip r:embed="rId42"/>
                          <a:stretch>
                            <a:fillRect/>
                          </a:stretch>
                        </pic:blipFill>
                        <pic:spPr>
                          <a:xfrm>
                            <a:off x="0" y="0"/>
                            <a:ext cx="1419225" cy="922655"/>
                          </a:xfrm>
                          <a:prstGeom prst="rect">
                            <a:avLst/>
                          </a:prstGeom>
                          <a:noFill/>
                          <a:ln>
                            <a:noFill/>
                          </a:ln>
                        </pic:spPr>
                      </pic:pic>
                    </a:graphicData>
                  </a:graphic>
                </wp:inline>
              </w:drawing>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645" w:hRule="atLeast"/>
          <w:jc w:val="center"/>
        </w:trPr>
        <w:tc>
          <w:tcPr>
            <w:tcW w:w="1983" w:type="dxa"/>
            <w:vMerge w:val="continue"/>
            <w:noWrap w:val="0"/>
            <w:vAlign w:val="center"/>
          </w:tcPr>
          <w:p>
            <w:pPr>
              <w:adjustRightInd/>
              <w:spacing w:line="240" w:lineRule="auto"/>
              <w:jc w:val="center"/>
              <w:rPr>
                <w:rFonts w:hint="eastAsia" w:ascii="宋体" w:hAnsi="宋体" w:eastAsia="宋体" w:cs="宋体"/>
                <w:sz w:val="18"/>
                <w:szCs w:val="18"/>
              </w:rPr>
            </w:pPr>
          </w:p>
        </w:tc>
        <w:tc>
          <w:tcPr>
            <w:tcW w:w="930" w:type="dxa"/>
            <w:vMerge w:val="continue"/>
            <w:noWrap w:val="0"/>
            <w:vAlign w:val="center"/>
          </w:tcPr>
          <w:p>
            <w:pPr>
              <w:adjustRightInd/>
              <w:spacing w:line="240" w:lineRule="auto"/>
              <w:jc w:val="center"/>
              <w:rPr>
                <w:rFonts w:hint="eastAsia" w:ascii="宋体" w:hAnsi="宋体" w:eastAsia="宋体" w:cs="宋体"/>
                <w:sz w:val="18"/>
                <w:szCs w:val="18"/>
              </w:rPr>
            </w:pPr>
          </w:p>
        </w:tc>
        <w:tc>
          <w:tcPr>
            <w:tcW w:w="1785" w:type="dxa"/>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lang w:val="en-US" w:eastAsia="zh-CN"/>
              </w:rPr>
              <w:t>16</w:t>
            </w:r>
            <w:r>
              <w:rPr>
                <w:rFonts w:hint="eastAsia" w:ascii="宋体" w:hAnsi="宋体" w:eastAsia="宋体" w:cs="宋体"/>
                <w:sz w:val="18"/>
                <w:szCs w:val="18"/>
              </w:rPr>
              <w:t>0</w:t>
            </w:r>
            <w:r>
              <w:rPr>
                <w:rFonts w:hint="eastAsia" w:ascii="宋体" w:hAnsi="宋体" w:eastAsia="宋体" w:cs="宋体"/>
                <w:sz w:val="18"/>
                <w:szCs w:val="18"/>
                <w:lang w:eastAsia="zh-CN"/>
              </w:rPr>
              <w:t>—</w:t>
            </w:r>
            <w:r>
              <w:rPr>
                <w:rFonts w:hint="eastAsia" w:ascii="宋体" w:hAnsi="宋体" w:eastAsia="宋体" w:cs="宋体"/>
                <w:sz w:val="18"/>
                <w:szCs w:val="18"/>
                <w:lang w:val="en-US" w:eastAsia="zh-CN"/>
              </w:rPr>
              <w:t>6</w:t>
            </w:r>
            <w:r>
              <w:rPr>
                <w:rFonts w:hint="eastAsia" w:ascii="宋体" w:hAnsi="宋体" w:eastAsia="宋体" w:cs="宋体"/>
                <w:sz w:val="18"/>
                <w:szCs w:val="18"/>
              </w:rPr>
              <w:t>00</w:t>
            </w:r>
          </w:p>
        </w:tc>
        <w:tc>
          <w:tcPr>
            <w:tcW w:w="1710" w:type="dxa"/>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lang w:val="en-US" w:eastAsia="zh-CN"/>
              </w:rPr>
              <w:t>16</w:t>
            </w:r>
            <w:r>
              <w:rPr>
                <w:rFonts w:hint="eastAsia" w:ascii="宋体" w:hAnsi="宋体" w:eastAsia="宋体" w:cs="宋体"/>
                <w:sz w:val="18"/>
                <w:szCs w:val="18"/>
              </w:rPr>
              <w:t>0</w:t>
            </w:r>
            <w:r>
              <w:rPr>
                <w:rFonts w:hint="eastAsia" w:ascii="宋体" w:hAnsi="宋体" w:eastAsia="宋体" w:cs="宋体"/>
                <w:sz w:val="18"/>
                <w:szCs w:val="18"/>
                <w:lang w:eastAsia="zh-CN"/>
              </w:rPr>
              <w:t>—</w:t>
            </w:r>
            <w:r>
              <w:rPr>
                <w:rFonts w:hint="eastAsia" w:ascii="宋体" w:hAnsi="宋体" w:eastAsia="宋体" w:cs="宋体"/>
                <w:sz w:val="18"/>
                <w:szCs w:val="18"/>
                <w:lang w:val="en-US" w:eastAsia="zh-CN"/>
              </w:rPr>
              <w:t>6</w:t>
            </w:r>
            <w:r>
              <w:rPr>
                <w:rFonts w:hint="eastAsia" w:ascii="宋体" w:hAnsi="宋体" w:eastAsia="宋体" w:cs="宋体"/>
                <w:sz w:val="18"/>
                <w:szCs w:val="18"/>
              </w:rPr>
              <w:t>00</w:t>
            </w:r>
          </w:p>
        </w:tc>
        <w:tc>
          <w:tcPr>
            <w:tcW w:w="2874" w:type="dxa"/>
            <w:vMerge w:val="continue"/>
            <w:noWrap w:val="0"/>
            <w:vAlign w:val="top"/>
          </w:tcPr>
          <w:p>
            <w:pPr>
              <w:adjustRightInd/>
              <w:spacing w:line="240" w:lineRule="auto"/>
              <w:jc w:val="center"/>
              <w:rPr>
                <w:rFonts w:hint="eastAsia" w:ascii="宋体" w:hAnsi="宋体" w:eastAsia="宋体" w:cs="宋体"/>
                <w:sz w:val="18"/>
                <w:szCs w:val="18"/>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90" w:hRule="atLeast"/>
          <w:jc w:val="center"/>
        </w:trPr>
        <w:tc>
          <w:tcPr>
            <w:tcW w:w="1983" w:type="dxa"/>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渐变接头</w:t>
            </w:r>
          </w:p>
        </w:tc>
        <w:tc>
          <w:tcPr>
            <w:tcW w:w="930" w:type="dxa"/>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Ys</w:t>
            </w:r>
          </w:p>
        </w:tc>
        <w:tc>
          <w:tcPr>
            <w:tcW w:w="1785" w:type="dxa"/>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200×160</w:t>
            </w:r>
          </w:p>
          <w:p>
            <w:pPr>
              <w:adjustRightInd/>
              <w:spacing w:line="240" w:lineRule="auto"/>
              <w:jc w:val="center"/>
              <w:rPr>
                <w:rFonts w:hint="eastAsia" w:ascii="宋体" w:hAnsi="宋体" w:eastAsia="宋体" w:cs="宋体"/>
                <w:sz w:val="18"/>
                <w:szCs w:val="18"/>
                <w:lang w:val="en-US" w:eastAsia="zh-CN"/>
              </w:rPr>
            </w:pPr>
            <w:r>
              <w:rPr>
                <w:rFonts w:hint="eastAsia" w:ascii="宋体" w:hAnsi="宋体" w:eastAsia="宋体" w:cs="宋体"/>
                <w:sz w:val="18"/>
                <w:szCs w:val="18"/>
              </w:rPr>
              <w:t>250×160</w:t>
            </w:r>
          </w:p>
          <w:p>
            <w:pPr>
              <w:adjustRightInd/>
              <w:spacing w:line="240" w:lineRule="auto"/>
              <w:jc w:val="center"/>
              <w:rPr>
                <w:rFonts w:hint="eastAsia" w:ascii="宋体" w:hAnsi="宋体" w:eastAsia="宋体" w:cs="宋体"/>
                <w:sz w:val="18"/>
                <w:szCs w:val="18"/>
                <w:lang w:val="en-US" w:eastAsia="zh-CN"/>
              </w:rPr>
            </w:pPr>
            <w:r>
              <w:rPr>
                <w:rFonts w:hint="eastAsia" w:ascii="宋体" w:hAnsi="宋体" w:eastAsia="宋体" w:cs="宋体"/>
                <w:sz w:val="18"/>
                <w:szCs w:val="18"/>
              </w:rPr>
              <w:t>250×</w:t>
            </w:r>
            <w:r>
              <w:rPr>
                <w:rFonts w:hint="eastAsia" w:ascii="宋体" w:hAnsi="宋体" w:eastAsia="宋体" w:cs="宋体"/>
                <w:sz w:val="18"/>
                <w:szCs w:val="18"/>
                <w:lang w:val="en-US" w:eastAsia="zh-CN"/>
              </w:rPr>
              <w:t>200</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315×160</w:t>
            </w:r>
          </w:p>
          <w:p>
            <w:pPr>
              <w:adjustRightInd/>
              <w:spacing w:line="240" w:lineRule="auto"/>
              <w:jc w:val="center"/>
              <w:rPr>
                <w:rFonts w:hint="eastAsia" w:ascii="宋体" w:hAnsi="宋体" w:eastAsia="宋体" w:cs="宋体"/>
                <w:sz w:val="18"/>
                <w:szCs w:val="18"/>
                <w:lang w:val="en-US" w:eastAsia="zh-CN"/>
              </w:rPr>
            </w:pPr>
            <w:r>
              <w:rPr>
                <w:rFonts w:hint="eastAsia" w:ascii="宋体" w:hAnsi="宋体" w:eastAsia="宋体" w:cs="宋体"/>
                <w:sz w:val="18"/>
                <w:szCs w:val="18"/>
              </w:rPr>
              <w:t>315×</w:t>
            </w:r>
            <w:r>
              <w:rPr>
                <w:rFonts w:hint="eastAsia" w:ascii="宋体" w:hAnsi="宋体" w:eastAsia="宋体" w:cs="宋体"/>
                <w:sz w:val="18"/>
                <w:szCs w:val="18"/>
                <w:lang w:val="en-US" w:eastAsia="zh-CN"/>
              </w:rPr>
              <w:t>200</w:t>
            </w:r>
          </w:p>
          <w:p>
            <w:pPr>
              <w:adjustRightInd/>
              <w:spacing w:line="240" w:lineRule="auto"/>
              <w:jc w:val="center"/>
              <w:rPr>
                <w:rFonts w:hint="eastAsia" w:ascii="宋体" w:hAnsi="宋体" w:eastAsia="宋体" w:cs="宋体"/>
                <w:sz w:val="18"/>
                <w:szCs w:val="18"/>
                <w:lang w:val="en-US" w:eastAsia="zh-CN"/>
              </w:rPr>
            </w:pPr>
            <w:r>
              <w:rPr>
                <w:rFonts w:hint="eastAsia" w:ascii="宋体" w:hAnsi="宋体" w:eastAsia="宋体" w:cs="宋体"/>
                <w:sz w:val="18"/>
                <w:szCs w:val="18"/>
              </w:rPr>
              <w:t>315×</w:t>
            </w:r>
            <w:r>
              <w:rPr>
                <w:rFonts w:hint="eastAsia" w:ascii="宋体" w:hAnsi="宋体" w:eastAsia="宋体" w:cs="宋体"/>
                <w:sz w:val="18"/>
                <w:szCs w:val="18"/>
                <w:lang w:val="en-US" w:eastAsia="zh-CN"/>
              </w:rPr>
              <w:t>250</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400×315</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500×400</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630×500</w:t>
            </w:r>
          </w:p>
        </w:tc>
        <w:tc>
          <w:tcPr>
            <w:tcW w:w="1710" w:type="dxa"/>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200×150</w:t>
            </w:r>
          </w:p>
          <w:p>
            <w:pPr>
              <w:adjustRightInd/>
              <w:spacing w:line="240" w:lineRule="auto"/>
              <w:jc w:val="center"/>
              <w:rPr>
                <w:rFonts w:hint="eastAsia" w:ascii="宋体" w:hAnsi="宋体" w:eastAsia="宋体" w:cs="宋体"/>
                <w:sz w:val="18"/>
                <w:szCs w:val="18"/>
                <w:lang w:val="en-US" w:eastAsia="zh-CN"/>
              </w:rPr>
            </w:pPr>
            <w:r>
              <w:rPr>
                <w:rFonts w:hint="eastAsia" w:ascii="宋体" w:hAnsi="宋体" w:eastAsia="宋体" w:cs="宋体"/>
                <w:sz w:val="18"/>
                <w:szCs w:val="18"/>
              </w:rPr>
              <w:t>225×150</w:t>
            </w:r>
          </w:p>
          <w:p>
            <w:pPr>
              <w:adjustRightInd/>
              <w:spacing w:line="240" w:lineRule="auto"/>
              <w:jc w:val="center"/>
              <w:rPr>
                <w:rFonts w:hint="eastAsia" w:ascii="宋体" w:hAnsi="宋体" w:eastAsia="宋体" w:cs="宋体"/>
                <w:sz w:val="18"/>
                <w:szCs w:val="18"/>
                <w:lang w:val="en-US" w:eastAsia="zh-CN"/>
              </w:rPr>
            </w:pPr>
            <w:r>
              <w:rPr>
                <w:rFonts w:hint="eastAsia" w:ascii="宋体" w:hAnsi="宋体" w:eastAsia="宋体" w:cs="宋体"/>
                <w:sz w:val="18"/>
                <w:szCs w:val="18"/>
              </w:rPr>
              <w:t>225×</w:t>
            </w:r>
            <w:r>
              <w:rPr>
                <w:rFonts w:hint="eastAsia" w:ascii="宋体" w:hAnsi="宋体" w:eastAsia="宋体" w:cs="宋体"/>
                <w:sz w:val="18"/>
                <w:szCs w:val="18"/>
                <w:lang w:val="en-US" w:eastAsia="zh-CN"/>
              </w:rPr>
              <w:t>200</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300×150</w:t>
            </w:r>
          </w:p>
          <w:p>
            <w:pPr>
              <w:adjustRightInd/>
              <w:spacing w:line="240" w:lineRule="auto"/>
              <w:jc w:val="center"/>
              <w:rPr>
                <w:rFonts w:hint="eastAsia" w:ascii="宋体" w:hAnsi="宋体" w:eastAsia="宋体" w:cs="宋体"/>
                <w:sz w:val="18"/>
                <w:szCs w:val="18"/>
                <w:lang w:val="en-US" w:eastAsia="zh-CN"/>
              </w:rPr>
            </w:pPr>
            <w:r>
              <w:rPr>
                <w:rFonts w:hint="eastAsia" w:ascii="宋体" w:hAnsi="宋体" w:eastAsia="宋体" w:cs="宋体"/>
                <w:sz w:val="18"/>
                <w:szCs w:val="18"/>
              </w:rPr>
              <w:t>300×</w:t>
            </w:r>
            <w:r>
              <w:rPr>
                <w:rFonts w:hint="eastAsia" w:ascii="宋体" w:hAnsi="宋体" w:eastAsia="宋体" w:cs="宋体"/>
                <w:sz w:val="18"/>
                <w:szCs w:val="18"/>
                <w:lang w:val="en-US" w:eastAsia="zh-CN"/>
              </w:rPr>
              <w:t>200</w:t>
            </w:r>
          </w:p>
          <w:p>
            <w:pPr>
              <w:adjustRightInd/>
              <w:spacing w:line="240" w:lineRule="auto"/>
              <w:jc w:val="center"/>
              <w:rPr>
                <w:rFonts w:hint="eastAsia" w:ascii="宋体" w:hAnsi="宋体" w:eastAsia="宋体" w:cs="宋体"/>
                <w:sz w:val="18"/>
                <w:szCs w:val="18"/>
                <w:lang w:val="en-US" w:eastAsia="zh-CN"/>
              </w:rPr>
            </w:pPr>
            <w:r>
              <w:rPr>
                <w:rFonts w:hint="eastAsia" w:ascii="宋体" w:hAnsi="宋体" w:eastAsia="宋体" w:cs="宋体"/>
                <w:sz w:val="18"/>
                <w:szCs w:val="18"/>
              </w:rPr>
              <w:t>300×</w:t>
            </w:r>
            <w:r>
              <w:rPr>
                <w:rFonts w:hint="eastAsia" w:ascii="宋体" w:hAnsi="宋体" w:eastAsia="宋体" w:cs="宋体"/>
                <w:sz w:val="18"/>
                <w:szCs w:val="18"/>
                <w:lang w:val="en-US" w:eastAsia="zh-CN"/>
              </w:rPr>
              <w:t>225</w:t>
            </w:r>
          </w:p>
          <w:p>
            <w:pPr>
              <w:adjustRightInd/>
              <w:spacing w:line="240" w:lineRule="auto"/>
              <w:jc w:val="center"/>
              <w:rPr>
                <w:rFonts w:hint="eastAsia" w:ascii="宋体" w:hAnsi="宋体" w:eastAsia="宋体" w:cs="宋体"/>
                <w:sz w:val="18"/>
                <w:szCs w:val="18"/>
                <w:lang w:val="en-US" w:eastAsia="zh-CN"/>
              </w:rPr>
            </w:pPr>
            <w:r>
              <w:rPr>
                <w:rFonts w:hint="eastAsia" w:ascii="宋体" w:hAnsi="宋体" w:eastAsia="宋体" w:cs="宋体"/>
                <w:sz w:val="18"/>
                <w:szCs w:val="18"/>
              </w:rPr>
              <w:t>400×225</w:t>
            </w:r>
          </w:p>
          <w:p>
            <w:pPr>
              <w:adjustRightInd/>
              <w:spacing w:line="240" w:lineRule="auto"/>
              <w:jc w:val="center"/>
              <w:rPr>
                <w:rFonts w:hint="eastAsia" w:ascii="宋体" w:hAnsi="宋体" w:eastAsia="宋体" w:cs="宋体"/>
                <w:sz w:val="18"/>
                <w:szCs w:val="18"/>
                <w:lang w:val="en-US" w:eastAsia="zh-CN"/>
              </w:rPr>
            </w:pPr>
            <w:r>
              <w:rPr>
                <w:rFonts w:hint="eastAsia" w:ascii="宋体" w:hAnsi="宋体" w:eastAsia="宋体" w:cs="宋体"/>
                <w:sz w:val="18"/>
                <w:szCs w:val="18"/>
              </w:rPr>
              <w:t>400×</w:t>
            </w:r>
            <w:r>
              <w:rPr>
                <w:rFonts w:hint="eastAsia" w:ascii="宋体" w:hAnsi="宋体" w:eastAsia="宋体" w:cs="宋体"/>
                <w:sz w:val="18"/>
                <w:szCs w:val="18"/>
                <w:lang w:val="en-US" w:eastAsia="zh-CN"/>
              </w:rPr>
              <w:t>300</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500×400</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600×500</w:t>
            </w:r>
          </w:p>
        </w:tc>
        <w:tc>
          <w:tcPr>
            <w:tcW w:w="2874" w:type="dxa"/>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drawing>
                <wp:inline distT="0" distB="0" distL="114300" distR="114300">
                  <wp:extent cx="1229995" cy="1038225"/>
                  <wp:effectExtent l="0" t="0" r="8255" b="9525"/>
                  <wp:docPr id="9" name="图片 3"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3" descr="1"/>
                          <pic:cNvPicPr>
                            <a:picLocks noChangeAspect="1"/>
                          </pic:cNvPicPr>
                        </pic:nvPicPr>
                        <pic:blipFill>
                          <a:blip r:embed="rId43"/>
                          <a:stretch>
                            <a:fillRect/>
                          </a:stretch>
                        </pic:blipFill>
                        <pic:spPr>
                          <a:xfrm>
                            <a:off x="0" y="0"/>
                            <a:ext cx="1229995" cy="1038225"/>
                          </a:xfrm>
                          <a:prstGeom prst="rect">
                            <a:avLst/>
                          </a:prstGeom>
                          <a:noFill/>
                          <a:ln>
                            <a:noFill/>
                          </a:ln>
                        </pic:spPr>
                      </pic:pic>
                    </a:graphicData>
                  </a:graphic>
                </wp:inline>
              </w:drawing>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1122" w:hRule="atLeast"/>
          <w:jc w:val="center"/>
        </w:trPr>
        <w:tc>
          <w:tcPr>
            <w:tcW w:w="1983" w:type="dxa"/>
            <w:noWrap w:val="0"/>
            <w:vAlign w:val="center"/>
          </w:tcPr>
          <w:p>
            <w:pPr>
              <w:adjustRightInd/>
              <w:spacing w:line="36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马鞍接头</w:t>
            </w:r>
          </w:p>
        </w:tc>
        <w:tc>
          <w:tcPr>
            <w:tcW w:w="930" w:type="dxa"/>
            <w:noWrap w:val="0"/>
            <w:vAlign w:val="center"/>
          </w:tcPr>
          <w:p>
            <w:pPr>
              <w:adjustRightInd/>
              <w:spacing w:line="36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F</w:t>
            </w:r>
          </w:p>
        </w:tc>
        <w:tc>
          <w:tcPr>
            <w:tcW w:w="1785" w:type="dxa"/>
            <w:noWrap w:val="0"/>
            <w:vAlign w:val="center"/>
          </w:tcPr>
          <w:p>
            <w:pPr>
              <w:adjustRightInd/>
              <w:spacing w:line="240" w:lineRule="auto"/>
              <w:jc w:val="center"/>
              <w:rPr>
                <w:rFonts w:hint="eastAsia" w:ascii="宋体" w:hAnsi="宋体" w:eastAsia="宋体" w:cs="宋体"/>
                <w:sz w:val="18"/>
                <w:szCs w:val="18"/>
                <w:lang w:val="en-US" w:eastAsia="zh-CN"/>
              </w:rPr>
            </w:pPr>
            <w:r>
              <w:rPr>
                <w:rFonts w:hint="eastAsia" w:ascii="宋体" w:hAnsi="宋体" w:eastAsia="宋体" w:cs="宋体"/>
                <w:sz w:val="18"/>
                <w:szCs w:val="18"/>
              </w:rPr>
              <w:t>450×110</w:t>
            </w:r>
            <w:r>
              <w:rPr>
                <w:rFonts w:hint="eastAsia" w:ascii="宋体" w:hAnsi="宋体" w:eastAsia="宋体" w:cs="宋体"/>
                <w:sz w:val="18"/>
                <w:szCs w:val="18"/>
                <w:lang w:eastAsia="zh-CN"/>
              </w:rPr>
              <w:t>—</w:t>
            </w:r>
            <w:r>
              <w:rPr>
                <w:rFonts w:hint="eastAsia" w:ascii="宋体" w:hAnsi="宋体" w:eastAsia="宋体" w:cs="宋体"/>
                <w:sz w:val="18"/>
                <w:szCs w:val="18"/>
                <w:lang w:val="en-US" w:eastAsia="zh-CN"/>
              </w:rPr>
              <w:t>315</w:t>
            </w:r>
          </w:p>
          <w:p>
            <w:pPr>
              <w:adjustRightInd/>
              <w:spacing w:line="240" w:lineRule="auto"/>
              <w:jc w:val="center"/>
              <w:rPr>
                <w:rFonts w:hint="eastAsia" w:ascii="宋体" w:hAnsi="宋体" w:eastAsia="宋体" w:cs="宋体"/>
                <w:sz w:val="18"/>
                <w:szCs w:val="18"/>
                <w:lang w:val="en-US" w:eastAsia="zh-CN"/>
              </w:rPr>
            </w:pPr>
            <w:r>
              <w:rPr>
                <w:rFonts w:hint="eastAsia" w:ascii="宋体" w:hAnsi="宋体" w:eastAsia="宋体" w:cs="宋体"/>
                <w:sz w:val="18"/>
                <w:szCs w:val="18"/>
              </w:rPr>
              <w:t>630×110</w:t>
            </w:r>
            <w:r>
              <w:rPr>
                <w:rFonts w:hint="eastAsia" w:ascii="宋体" w:hAnsi="宋体" w:eastAsia="宋体" w:cs="宋体"/>
                <w:sz w:val="18"/>
                <w:szCs w:val="18"/>
                <w:lang w:eastAsia="zh-CN"/>
              </w:rPr>
              <w:t>—</w:t>
            </w:r>
            <w:r>
              <w:rPr>
                <w:rFonts w:hint="eastAsia" w:ascii="宋体" w:hAnsi="宋体" w:eastAsia="宋体" w:cs="宋体"/>
                <w:sz w:val="18"/>
                <w:szCs w:val="18"/>
                <w:lang w:val="en-US" w:eastAsia="zh-CN"/>
              </w:rPr>
              <w:t>400</w:t>
            </w:r>
          </w:p>
          <w:p>
            <w:pPr>
              <w:adjustRightInd/>
              <w:spacing w:line="240" w:lineRule="auto"/>
              <w:jc w:val="center"/>
              <w:rPr>
                <w:rFonts w:hint="eastAsia" w:ascii="宋体" w:hAnsi="宋体" w:eastAsia="宋体" w:cs="宋体"/>
                <w:sz w:val="18"/>
                <w:szCs w:val="18"/>
                <w:lang w:val="en-US" w:eastAsia="zh-CN"/>
              </w:rPr>
            </w:pPr>
            <w:r>
              <w:rPr>
                <w:rFonts w:hint="eastAsia" w:ascii="宋体" w:hAnsi="宋体" w:eastAsia="宋体" w:cs="宋体"/>
                <w:sz w:val="18"/>
                <w:szCs w:val="18"/>
              </w:rPr>
              <w:t>700×110</w:t>
            </w:r>
            <w:r>
              <w:rPr>
                <w:rFonts w:hint="eastAsia" w:ascii="宋体" w:hAnsi="宋体" w:eastAsia="宋体" w:cs="宋体"/>
                <w:sz w:val="18"/>
                <w:szCs w:val="18"/>
                <w:lang w:eastAsia="zh-CN"/>
              </w:rPr>
              <w:t>—</w:t>
            </w:r>
            <w:r>
              <w:rPr>
                <w:rFonts w:hint="eastAsia" w:ascii="宋体" w:hAnsi="宋体" w:eastAsia="宋体" w:cs="宋体"/>
                <w:sz w:val="18"/>
                <w:szCs w:val="18"/>
                <w:lang w:val="en-US" w:eastAsia="zh-CN"/>
              </w:rPr>
              <w:t>315</w:t>
            </w:r>
          </w:p>
          <w:p>
            <w:pPr>
              <w:adjustRightInd/>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1000×110</w:t>
            </w:r>
            <w:r>
              <w:rPr>
                <w:rFonts w:hint="eastAsia" w:ascii="宋体" w:hAnsi="宋体" w:eastAsia="宋体" w:cs="宋体"/>
                <w:sz w:val="18"/>
                <w:szCs w:val="18"/>
                <w:lang w:eastAsia="zh-CN"/>
              </w:rPr>
              <w:t>—</w:t>
            </w:r>
            <w:r>
              <w:rPr>
                <w:rFonts w:hint="eastAsia" w:ascii="宋体" w:hAnsi="宋体" w:eastAsia="宋体" w:cs="宋体"/>
                <w:sz w:val="18"/>
                <w:szCs w:val="18"/>
                <w:lang w:val="en-US" w:eastAsia="zh-CN"/>
              </w:rPr>
              <w:t>315</w:t>
            </w:r>
          </w:p>
        </w:tc>
        <w:tc>
          <w:tcPr>
            <w:tcW w:w="1710" w:type="dxa"/>
            <w:noWrap w:val="0"/>
            <w:vAlign w:val="center"/>
          </w:tcPr>
          <w:p>
            <w:pPr>
              <w:adjustRightInd/>
              <w:spacing w:line="240" w:lineRule="auto"/>
              <w:jc w:val="center"/>
              <w:rPr>
                <w:rFonts w:hint="eastAsia" w:ascii="宋体" w:hAnsi="宋体" w:eastAsia="宋体" w:cs="宋体"/>
                <w:sz w:val="18"/>
                <w:szCs w:val="18"/>
                <w:lang w:val="en-US" w:eastAsia="zh-CN"/>
              </w:rPr>
            </w:pPr>
            <w:r>
              <w:rPr>
                <w:rFonts w:hint="eastAsia" w:ascii="宋体" w:hAnsi="宋体" w:eastAsia="宋体" w:cs="宋体"/>
                <w:sz w:val="18"/>
                <w:szCs w:val="18"/>
              </w:rPr>
              <w:t>450×150</w:t>
            </w:r>
            <w:r>
              <w:rPr>
                <w:rFonts w:hint="eastAsia" w:ascii="宋体" w:hAnsi="宋体" w:eastAsia="宋体" w:cs="宋体"/>
                <w:sz w:val="18"/>
                <w:szCs w:val="18"/>
                <w:lang w:eastAsia="zh-CN"/>
              </w:rPr>
              <w:t>—</w:t>
            </w:r>
            <w:r>
              <w:rPr>
                <w:rFonts w:hint="eastAsia" w:ascii="宋体" w:hAnsi="宋体" w:eastAsia="宋体" w:cs="宋体"/>
                <w:sz w:val="18"/>
                <w:szCs w:val="18"/>
                <w:lang w:val="en-US" w:eastAsia="zh-CN"/>
              </w:rPr>
              <w:t>225</w:t>
            </w:r>
          </w:p>
          <w:p>
            <w:pPr>
              <w:adjustRightInd/>
              <w:spacing w:line="240" w:lineRule="auto"/>
              <w:jc w:val="center"/>
              <w:rPr>
                <w:rFonts w:hint="eastAsia" w:ascii="宋体" w:hAnsi="宋体" w:eastAsia="宋体" w:cs="宋体"/>
                <w:sz w:val="18"/>
                <w:szCs w:val="18"/>
                <w:lang w:val="en-US"/>
              </w:rPr>
            </w:pPr>
            <w:r>
              <w:rPr>
                <w:rFonts w:hint="eastAsia" w:ascii="宋体" w:hAnsi="宋体" w:eastAsia="宋体" w:cs="宋体"/>
                <w:sz w:val="18"/>
                <w:szCs w:val="18"/>
              </w:rPr>
              <w:t>630×150</w:t>
            </w:r>
            <w:r>
              <w:rPr>
                <w:rFonts w:hint="eastAsia" w:ascii="宋体" w:hAnsi="宋体" w:eastAsia="宋体" w:cs="宋体"/>
                <w:sz w:val="18"/>
                <w:szCs w:val="18"/>
                <w:lang w:eastAsia="zh-CN"/>
              </w:rPr>
              <w:t>—</w:t>
            </w:r>
            <w:r>
              <w:rPr>
                <w:rFonts w:hint="eastAsia" w:ascii="宋体" w:hAnsi="宋体" w:eastAsia="宋体" w:cs="宋体"/>
                <w:sz w:val="18"/>
                <w:szCs w:val="18"/>
                <w:lang w:val="en-US" w:eastAsia="zh-CN"/>
              </w:rPr>
              <w:t>300</w:t>
            </w:r>
          </w:p>
          <w:p>
            <w:pPr>
              <w:adjustRightInd/>
              <w:spacing w:line="240" w:lineRule="auto"/>
              <w:jc w:val="center"/>
              <w:rPr>
                <w:rFonts w:hint="eastAsia" w:ascii="宋体" w:hAnsi="宋体" w:eastAsia="宋体" w:cs="宋体"/>
                <w:sz w:val="18"/>
                <w:szCs w:val="18"/>
                <w:lang w:val="en-US"/>
              </w:rPr>
            </w:pPr>
            <w:r>
              <w:rPr>
                <w:rFonts w:hint="eastAsia" w:ascii="宋体" w:hAnsi="宋体" w:eastAsia="宋体" w:cs="宋体"/>
                <w:sz w:val="18"/>
                <w:szCs w:val="18"/>
              </w:rPr>
              <w:t>700×200</w:t>
            </w:r>
            <w:r>
              <w:rPr>
                <w:rFonts w:hint="eastAsia" w:ascii="宋体" w:hAnsi="宋体" w:eastAsia="宋体" w:cs="宋体"/>
                <w:sz w:val="18"/>
                <w:szCs w:val="18"/>
                <w:lang w:eastAsia="zh-CN"/>
              </w:rPr>
              <w:t>—</w:t>
            </w:r>
            <w:r>
              <w:rPr>
                <w:rFonts w:hint="eastAsia" w:ascii="宋体" w:hAnsi="宋体" w:eastAsia="宋体" w:cs="宋体"/>
                <w:sz w:val="18"/>
                <w:szCs w:val="18"/>
                <w:lang w:val="en-US" w:eastAsia="zh-CN"/>
              </w:rPr>
              <w:t>300</w:t>
            </w:r>
          </w:p>
          <w:p>
            <w:pPr>
              <w:adjustRightInd/>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1000×200</w:t>
            </w:r>
            <w:r>
              <w:rPr>
                <w:rFonts w:hint="eastAsia" w:ascii="宋体" w:hAnsi="宋体" w:eastAsia="宋体" w:cs="宋体"/>
                <w:sz w:val="18"/>
                <w:szCs w:val="18"/>
                <w:lang w:eastAsia="zh-CN"/>
              </w:rPr>
              <w:t>—</w:t>
            </w:r>
            <w:r>
              <w:rPr>
                <w:rFonts w:hint="eastAsia" w:ascii="宋体" w:hAnsi="宋体" w:eastAsia="宋体" w:cs="宋体"/>
                <w:sz w:val="18"/>
                <w:szCs w:val="18"/>
                <w:lang w:val="en-US" w:eastAsia="zh-CN"/>
              </w:rPr>
              <w:t>400</w:t>
            </w:r>
          </w:p>
        </w:tc>
        <w:tc>
          <w:tcPr>
            <w:tcW w:w="2874" w:type="dxa"/>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drawing>
                <wp:inline distT="0" distB="0" distL="114300" distR="114300">
                  <wp:extent cx="944880" cy="897890"/>
                  <wp:effectExtent l="0" t="0" r="7620" b="16510"/>
                  <wp:docPr id="8" name="图片 4" descr="产品示意图数据-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4" descr="产品示意图数据-Model"/>
                          <pic:cNvPicPr>
                            <a:picLocks noChangeAspect="1"/>
                          </pic:cNvPicPr>
                        </pic:nvPicPr>
                        <pic:blipFill>
                          <a:blip r:embed="rId44"/>
                          <a:stretch>
                            <a:fillRect/>
                          </a:stretch>
                        </pic:blipFill>
                        <pic:spPr>
                          <a:xfrm>
                            <a:off x="0" y="0"/>
                            <a:ext cx="944880" cy="897890"/>
                          </a:xfrm>
                          <a:prstGeom prst="rect">
                            <a:avLst/>
                          </a:prstGeom>
                          <a:noFill/>
                          <a:ln>
                            <a:noFill/>
                          </a:ln>
                        </pic:spPr>
                      </pic:pic>
                    </a:graphicData>
                  </a:graphic>
                </wp:inline>
              </w:drawing>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1122" w:hRule="atLeast"/>
          <w:jc w:val="center"/>
        </w:trPr>
        <w:tc>
          <w:tcPr>
            <w:tcW w:w="1983" w:type="dxa"/>
            <w:noWrap w:val="0"/>
            <w:vAlign w:val="center"/>
          </w:tcPr>
          <w:p>
            <w:pPr>
              <w:adjustRightInd/>
              <w:spacing w:line="36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堵头</w:t>
            </w:r>
          </w:p>
        </w:tc>
        <w:tc>
          <w:tcPr>
            <w:tcW w:w="930" w:type="dxa"/>
            <w:noWrap w:val="0"/>
            <w:vAlign w:val="center"/>
          </w:tcPr>
          <w:p>
            <w:pPr>
              <w:adjustRightInd/>
              <w:spacing w:line="36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D</w:t>
            </w:r>
          </w:p>
        </w:tc>
        <w:tc>
          <w:tcPr>
            <w:tcW w:w="1785" w:type="dxa"/>
            <w:noWrap w:val="0"/>
            <w:vAlign w:val="center"/>
          </w:tcPr>
          <w:p>
            <w:pPr>
              <w:adjustRightInd/>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160</w:t>
            </w:r>
            <w:r>
              <w:rPr>
                <w:rFonts w:hint="eastAsia" w:ascii="宋体" w:hAnsi="宋体" w:eastAsia="宋体" w:cs="宋体"/>
                <w:sz w:val="18"/>
                <w:szCs w:val="18"/>
                <w:lang w:eastAsia="zh-CN"/>
              </w:rPr>
              <w:t>—</w:t>
            </w:r>
            <w:r>
              <w:rPr>
                <w:rFonts w:hint="eastAsia" w:ascii="宋体" w:hAnsi="宋体" w:eastAsia="宋体" w:cs="宋体"/>
                <w:sz w:val="18"/>
                <w:szCs w:val="18"/>
                <w:lang w:val="en-US" w:eastAsia="zh-CN"/>
              </w:rPr>
              <w:t>315</w:t>
            </w:r>
          </w:p>
        </w:tc>
        <w:tc>
          <w:tcPr>
            <w:tcW w:w="1710" w:type="dxa"/>
            <w:noWrap w:val="0"/>
            <w:vAlign w:val="center"/>
          </w:tcPr>
          <w:p>
            <w:pPr>
              <w:adjustRightInd/>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150</w:t>
            </w:r>
            <w:r>
              <w:rPr>
                <w:rFonts w:hint="eastAsia" w:ascii="宋体" w:hAnsi="宋体" w:eastAsia="宋体" w:cs="宋体"/>
                <w:sz w:val="18"/>
                <w:szCs w:val="18"/>
                <w:lang w:eastAsia="zh-CN"/>
              </w:rPr>
              <w:t>—</w:t>
            </w:r>
            <w:r>
              <w:rPr>
                <w:rFonts w:hint="eastAsia" w:ascii="宋体" w:hAnsi="宋体" w:eastAsia="宋体" w:cs="宋体"/>
                <w:sz w:val="18"/>
                <w:szCs w:val="18"/>
                <w:lang w:val="en-US" w:eastAsia="zh-CN"/>
              </w:rPr>
              <w:t>300</w:t>
            </w:r>
          </w:p>
        </w:tc>
        <w:tc>
          <w:tcPr>
            <w:tcW w:w="2874" w:type="dxa"/>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drawing>
                <wp:inline distT="0" distB="0" distL="114300" distR="114300">
                  <wp:extent cx="1353185" cy="778510"/>
                  <wp:effectExtent l="0" t="0" r="18415" b="2540"/>
                  <wp:docPr id="6" name="图片 5" descr="塑料检查井行业标准20060117a-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descr="塑料检查井行业标准20060117a-Model"/>
                          <pic:cNvPicPr>
                            <a:picLocks noChangeAspect="1"/>
                          </pic:cNvPicPr>
                        </pic:nvPicPr>
                        <pic:blipFill>
                          <a:blip r:embed="rId45"/>
                          <a:stretch>
                            <a:fillRect/>
                          </a:stretch>
                        </pic:blipFill>
                        <pic:spPr>
                          <a:xfrm>
                            <a:off x="0" y="0"/>
                            <a:ext cx="1353185" cy="778510"/>
                          </a:xfrm>
                          <a:prstGeom prst="rect">
                            <a:avLst/>
                          </a:prstGeom>
                          <a:noFill/>
                          <a:ln>
                            <a:noFill/>
                          </a:ln>
                        </pic:spPr>
                      </pic:pic>
                    </a:graphicData>
                  </a:graphic>
                </wp:inline>
              </w:drawing>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1515" w:hRule="atLeast"/>
          <w:jc w:val="center"/>
        </w:trPr>
        <w:tc>
          <w:tcPr>
            <w:tcW w:w="1983" w:type="dxa"/>
            <w:noWrap w:val="0"/>
            <w:vAlign w:val="center"/>
          </w:tcPr>
          <w:p>
            <w:pPr>
              <w:adjustRightInd/>
              <w:spacing w:line="36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管接</w:t>
            </w:r>
          </w:p>
        </w:tc>
        <w:tc>
          <w:tcPr>
            <w:tcW w:w="930" w:type="dxa"/>
            <w:noWrap w:val="0"/>
            <w:vAlign w:val="center"/>
          </w:tcPr>
          <w:p>
            <w:pPr>
              <w:adjustRightInd/>
              <w:spacing w:line="36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J</w:t>
            </w:r>
          </w:p>
        </w:tc>
        <w:tc>
          <w:tcPr>
            <w:tcW w:w="1785" w:type="dxa"/>
            <w:noWrap w:val="0"/>
            <w:vAlign w:val="center"/>
          </w:tcPr>
          <w:p>
            <w:pPr>
              <w:adjustRightInd/>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200</w:t>
            </w:r>
            <w:r>
              <w:rPr>
                <w:rFonts w:hint="eastAsia" w:ascii="宋体" w:hAnsi="宋体" w:eastAsia="宋体" w:cs="宋体"/>
                <w:sz w:val="18"/>
                <w:szCs w:val="18"/>
                <w:lang w:eastAsia="zh-CN"/>
              </w:rPr>
              <w:t>—</w:t>
            </w:r>
            <w:r>
              <w:rPr>
                <w:rFonts w:hint="eastAsia" w:ascii="宋体" w:hAnsi="宋体" w:eastAsia="宋体" w:cs="宋体"/>
                <w:sz w:val="18"/>
                <w:szCs w:val="18"/>
                <w:lang w:val="en-US" w:eastAsia="zh-CN"/>
              </w:rPr>
              <w:t>800</w:t>
            </w:r>
          </w:p>
        </w:tc>
        <w:tc>
          <w:tcPr>
            <w:tcW w:w="1710" w:type="dxa"/>
            <w:noWrap w:val="0"/>
            <w:vAlign w:val="center"/>
          </w:tcPr>
          <w:p>
            <w:pPr>
              <w:adjustRightInd/>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200</w:t>
            </w:r>
            <w:r>
              <w:rPr>
                <w:rFonts w:hint="eastAsia" w:ascii="宋体" w:hAnsi="宋体" w:eastAsia="宋体" w:cs="宋体"/>
                <w:sz w:val="18"/>
                <w:szCs w:val="18"/>
                <w:lang w:eastAsia="zh-CN"/>
              </w:rPr>
              <w:t>—</w:t>
            </w:r>
            <w:r>
              <w:rPr>
                <w:rFonts w:hint="eastAsia" w:ascii="宋体" w:hAnsi="宋体" w:eastAsia="宋体" w:cs="宋体"/>
                <w:sz w:val="18"/>
                <w:szCs w:val="18"/>
                <w:lang w:val="en-US" w:eastAsia="zh-CN"/>
              </w:rPr>
              <w:t>800</w:t>
            </w:r>
          </w:p>
        </w:tc>
        <w:tc>
          <w:tcPr>
            <w:tcW w:w="2874" w:type="dxa"/>
            <w:noWrap w:val="0"/>
            <w:vAlign w:val="center"/>
          </w:tcPr>
          <w:p>
            <w:pPr>
              <w:adjustRightInd/>
              <w:spacing w:line="36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drawing>
                <wp:inline distT="0" distB="0" distL="114300" distR="114300">
                  <wp:extent cx="775970" cy="794385"/>
                  <wp:effectExtent l="0" t="0" r="5080" b="5715"/>
                  <wp:docPr id="5" name="图片 6" descr="塑料检查井行业标准20060117a-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6" descr="塑料检查井行业标准20060117a-Model"/>
                          <pic:cNvPicPr>
                            <a:picLocks noChangeAspect="1"/>
                          </pic:cNvPicPr>
                        </pic:nvPicPr>
                        <pic:blipFill>
                          <a:blip r:embed="rId46"/>
                          <a:stretch>
                            <a:fillRect/>
                          </a:stretch>
                        </pic:blipFill>
                        <pic:spPr>
                          <a:xfrm>
                            <a:off x="0" y="0"/>
                            <a:ext cx="775970" cy="794385"/>
                          </a:xfrm>
                          <a:prstGeom prst="rect">
                            <a:avLst/>
                          </a:prstGeom>
                          <a:noFill/>
                          <a:ln>
                            <a:noFill/>
                          </a:ln>
                        </pic:spPr>
                      </pic:pic>
                    </a:graphicData>
                  </a:graphic>
                </wp:inline>
              </w:drawing>
            </w:r>
          </w:p>
        </w:tc>
      </w:tr>
    </w:tbl>
    <w:p>
      <w:pPr>
        <w:pStyle w:val="79"/>
        <w:numPr>
          <w:ilvl w:val="1"/>
          <w:numId w:val="0"/>
        </w:numPr>
        <w:spacing w:before="156" w:after="156"/>
        <w:ind w:leftChars="0"/>
        <w:jc w:val="center"/>
        <w:rPr>
          <w:rFonts w:hint="eastAsia"/>
          <w:lang w:val="en-US" w:eastAsia="zh-CN"/>
        </w:rPr>
      </w:pPr>
      <w:r>
        <w:rPr>
          <w:rFonts w:hint="eastAsia"/>
          <w:lang w:val="en-US" w:eastAsia="zh-CN"/>
        </w:rPr>
        <w:t xml:space="preserve">表C.1  </w:t>
      </w:r>
      <w:r>
        <w:rPr>
          <w:rFonts w:hint="eastAsia" w:ascii="宋体" w:hAnsi="宋体" w:eastAsia="宋体" w:cs="宋体"/>
          <w:lang w:val="en-US" w:eastAsia="zh-CN"/>
        </w:rPr>
        <w:t>（续）</w:t>
      </w:r>
    </w:p>
    <w:p>
      <w:pPr>
        <w:pStyle w:val="58"/>
        <w:jc w:val="right"/>
        <w:rPr>
          <w:rFonts w:hint="eastAsia" w:ascii="宋体" w:hAnsi="宋体" w:eastAsia="宋体" w:cs="宋体"/>
          <w:sz w:val="18"/>
          <w:szCs w:val="18"/>
          <w:lang w:val="en-US" w:eastAsia="zh-CN"/>
        </w:rPr>
      </w:pPr>
      <w:r>
        <w:rPr>
          <w:rFonts w:hint="eastAsia" w:ascii="宋体" w:hAnsi="宋体" w:eastAsia="宋体" w:cs="宋体"/>
          <w:sz w:val="18"/>
          <w:szCs w:val="18"/>
          <w:lang w:val="en-US" w:eastAsia="zh-CN"/>
        </w:rPr>
        <w:t>单位为毫米</w:t>
      </w:r>
    </w:p>
    <w:tbl>
      <w:tblPr>
        <w:tblStyle w:val="27"/>
        <w:tblW w:w="9329"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680"/>
        <w:gridCol w:w="1080"/>
        <w:gridCol w:w="1679"/>
        <w:gridCol w:w="1728"/>
        <w:gridCol w:w="3162"/>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371" w:hRule="atLeast"/>
          <w:jc w:val="center"/>
        </w:trPr>
        <w:tc>
          <w:tcPr>
            <w:tcW w:w="1680" w:type="dxa"/>
            <w:tcBorders>
              <w:bottom w:val="single" w:color="auto" w:sz="8" w:space="0"/>
            </w:tcBorders>
            <w:noWrap w:val="0"/>
            <w:vAlign w:val="center"/>
          </w:tcPr>
          <w:p>
            <w:pPr>
              <w:adjustRightInd/>
              <w:spacing w:line="360" w:lineRule="auto"/>
              <w:jc w:val="center"/>
              <w:rPr>
                <w:rFonts w:hint="eastAsia" w:ascii="宋体" w:hAnsi="宋体" w:eastAsia="宋体" w:cs="宋体"/>
                <w:sz w:val="18"/>
                <w:szCs w:val="18"/>
              </w:rPr>
            </w:pPr>
            <w:r>
              <w:rPr>
                <w:rFonts w:hint="eastAsia" w:ascii="宋体" w:hAnsi="宋体" w:eastAsia="宋体" w:cs="宋体"/>
                <w:sz w:val="18"/>
                <w:szCs w:val="18"/>
              </w:rPr>
              <w:t>配件名称</w:t>
            </w:r>
          </w:p>
        </w:tc>
        <w:tc>
          <w:tcPr>
            <w:tcW w:w="1080" w:type="dxa"/>
            <w:tcBorders>
              <w:bottom w:val="single" w:color="auto" w:sz="8" w:space="0"/>
            </w:tcBorders>
            <w:noWrap w:val="0"/>
            <w:vAlign w:val="center"/>
          </w:tcPr>
          <w:p>
            <w:pPr>
              <w:adjustRightInd/>
              <w:spacing w:line="360" w:lineRule="auto"/>
              <w:jc w:val="center"/>
              <w:rPr>
                <w:rFonts w:hint="eastAsia" w:ascii="宋体" w:hAnsi="宋体" w:eastAsia="宋体" w:cs="宋体"/>
                <w:sz w:val="18"/>
                <w:szCs w:val="18"/>
              </w:rPr>
            </w:pPr>
            <w:r>
              <w:rPr>
                <w:rFonts w:hint="eastAsia" w:ascii="宋体" w:hAnsi="宋体" w:eastAsia="宋体" w:cs="宋体"/>
                <w:sz w:val="18"/>
                <w:szCs w:val="18"/>
              </w:rPr>
              <w:t>代号</w:t>
            </w:r>
          </w:p>
        </w:tc>
        <w:tc>
          <w:tcPr>
            <w:tcW w:w="3407" w:type="dxa"/>
            <w:gridSpan w:val="2"/>
            <w:tcBorders>
              <w:bottom w:val="single" w:color="auto" w:sz="8" w:space="0"/>
            </w:tcBorders>
            <w:noWrap w:val="0"/>
            <w:vAlign w:val="center"/>
          </w:tcPr>
          <w:p>
            <w:pPr>
              <w:adjustRightInd/>
              <w:spacing w:line="360" w:lineRule="auto"/>
              <w:jc w:val="center"/>
              <w:rPr>
                <w:rFonts w:hint="eastAsia" w:ascii="宋体" w:hAnsi="宋体" w:eastAsia="宋体" w:cs="宋体"/>
                <w:sz w:val="18"/>
                <w:szCs w:val="18"/>
              </w:rPr>
            </w:pPr>
            <w:r>
              <w:rPr>
                <w:rFonts w:hint="eastAsia" w:ascii="宋体" w:hAnsi="宋体" w:eastAsia="宋体" w:cs="宋体"/>
                <w:sz w:val="18"/>
                <w:szCs w:val="18"/>
              </w:rPr>
              <w:t>规格</w:t>
            </w:r>
          </w:p>
        </w:tc>
        <w:tc>
          <w:tcPr>
            <w:tcW w:w="3162" w:type="dxa"/>
            <w:tcBorders>
              <w:bottom w:val="single" w:color="auto" w:sz="8" w:space="0"/>
            </w:tcBorders>
            <w:noWrap w:val="0"/>
            <w:vAlign w:val="center"/>
          </w:tcPr>
          <w:p>
            <w:pPr>
              <w:adjustRightInd/>
              <w:spacing w:line="360" w:lineRule="auto"/>
              <w:jc w:val="center"/>
              <w:rPr>
                <w:rFonts w:hint="eastAsia" w:ascii="宋体" w:hAnsi="宋体" w:eastAsia="宋体" w:cs="宋体"/>
                <w:sz w:val="18"/>
                <w:szCs w:val="18"/>
              </w:rPr>
            </w:pPr>
            <w:r>
              <w:rPr>
                <w:rFonts w:hint="eastAsia" w:ascii="宋体" w:hAnsi="宋体" w:eastAsia="宋体" w:cs="宋体"/>
                <w:sz w:val="18"/>
                <w:szCs w:val="18"/>
              </w:rPr>
              <w:t>图示</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413" w:hRule="atLeast"/>
          <w:jc w:val="center"/>
        </w:trPr>
        <w:tc>
          <w:tcPr>
            <w:tcW w:w="1680" w:type="dxa"/>
            <w:vMerge w:val="restart"/>
            <w:tcBorders>
              <w:top w:val="single" w:color="auto" w:sz="8" w:space="0"/>
            </w:tcBorders>
            <w:noWrap w:val="0"/>
            <w:vAlign w:val="center"/>
          </w:tcPr>
          <w:p>
            <w:pPr>
              <w:adjustRightInd/>
              <w:spacing w:line="360" w:lineRule="auto"/>
              <w:jc w:val="center"/>
              <w:rPr>
                <w:rFonts w:hint="eastAsia" w:ascii="宋体" w:hAnsi="宋体" w:eastAsia="宋体" w:cs="宋体"/>
                <w:sz w:val="18"/>
                <w:szCs w:val="18"/>
              </w:rPr>
            </w:pPr>
            <w:r>
              <w:rPr>
                <w:rFonts w:hint="eastAsia" w:ascii="宋体" w:hAnsi="宋体" w:eastAsia="宋体" w:cs="宋体"/>
                <w:sz w:val="18"/>
                <w:szCs w:val="18"/>
              </w:rPr>
              <w:t>井筒多头接</w:t>
            </w:r>
          </w:p>
        </w:tc>
        <w:tc>
          <w:tcPr>
            <w:tcW w:w="1080" w:type="dxa"/>
            <w:vMerge w:val="restart"/>
            <w:tcBorders>
              <w:top w:val="single" w:color="auto" w:sz="8" w:space="0"/>
            </w:tcBorders>
            <w:noWrap w:val="0"/>
            <w:vAlign w:val="center"/>
          </w:tcPr>
          <w:p>
            <w:pPr>
              <w:adjustRightInd/>
              <w:spacing w:line="360" w:lineRule="auto"/>
              <w:jc w:val="center"/>
              <w:rPr>
                <w:rFonts w:hint="eastAsia" w:ascii="宋体" w:hAnsi="宋体" w:eastAsia="宋体" w:cs="宋体"/>
                <w:sz w:val="18"/>
                <w:szCs w:val="18"/>
              </w:rPr>
            </w:pPr>
            <w:r>
              <w:rPr>
                <w:rFonts w:hint="eastAsia" w:ascii="宋体" w:hAnsi="宋体" w:eastAsia="宋体" w:cs="宋体"/>
                <w:sz w:val="18"/>
                <w:szCs w:val="18"/>
              </w:rPr>
              <w:t>Dj</w:t>
            </w:r>
          </w:p>
        </w:tc>
        <w:tc>
          <w:tcPr>
            <w:tcW w:w="1679" w:type="dxa"/>
            <w:tcBorders>
              <w:top w:val="single" w:color="auto" w:sz="8" w:space="0"/>
            </w:tcBorders>
            <w:noWrap w:val="0"/>
            <w:vAlign w:val="center"/>
          </w:tcPr>
          <w:p>
            <w:pPr>
              <w:adjustRightInd/>
              <w:spacing w:line="360" w:lineRule="auto"/>
              <w:jc w:val="center"/>
              <w:rPr>
                <w:rFonts w:hint="eastAsia" w:ascii="宋体" w:hAnsi="宋体" w:eastAsia="宋体" w:cs="宋体"/>
                <w:sz w:val="18"/>
                <w:szCs w:val="18"/>
              </w:rPr>
            </w:pPr>
            <w:r>
              <w:rPr>
                <w:rFonts w:hint="eastAsia" w:ascii="宋体" w:hAnsi="宋体" w:eastAsia="宋体" w:cs="宋体"/>
                <w:sz w:val="18"/>
                <w:szCs w:val="18"/>
              </w:rPr>
              <w:t>外径</w:t>
            </w:r>
          </w:p>
        </w:tc>
        <w:tc>
          <w:tcPr>
            <w:tcW w:w="1728" w:type="dxa"/>
            <w:tcBorders>
              <w:top w:val="single" w:color="auto" w:sz="8" w:space="0"/>
            </w:tcBorders>
            <w:noWrap w:val="0"/>
            <w:vAlign w:val="center"/>
          </w:tcPr>
          <w:p>
            <w:pPr>
              <w:adjustRightInd/>
              <w:spacing w:line="360" w:lineRule="auto"/>
              <w:jc w:val="center"/>
              <w:rPr>
                <w:rFonts w:hint="eastAsia" w:ascii="宋体" w:hAnsi="宋体" w:eastAsia="宋体" w:cs="宋体"/>
                <w:sz w:val="18"/>
                <w:szCs w:val="18"/>
              </w:rPr>
            </w:pPr>
            <w:r>
              <w:rPr>
                <w:rFonts w:hint="eastAsia" w:ascii="宋体" w:hAnsi="宋体" w:eastAsia="宋体" w:cs="宋体"/>
                <w:sz w:val="18"/>
                <w:szCs w:val="18"/>
              </w:rPr>
              <w:t>内径</w:t>
            </w:r>
          </w:p>
        </w:tc>
        <w:tc>
          <w:tcPr>
            <w:tcW w:w="3162" w:type="dxa"/>
            <w:vMerge w:val="restart"/>
            <w:tcBorders>
              <w:top w:val="single" w:color="auto" w:sz="8" w:space="0"/>
            </w:tcBorders>
            <w:noWrap w:val="0"/>
            <w:vAlign w:val="center"/>
          </w:tcPr>
          <w:p>
            <w:pPr>
              <w:adjustRightInd/>
              <w:spacing w:line="360" w:lineRule="auto"/>
              <w:jc w:val="center"/>
              <w:rPr>
                <w:rFonts w:hint="eastAsia" w:ascii="宋体" w:hAnsi="宋体" w:eastAsia="宋体" w:cs="宋体"/>
                <w:sz w:val="18"/>
                <w:szCs w:val="18"/>
              </w:rPr>
            </w:pPr>
            <w:r>
              <w:rPr>
                <w:rFonts w:hint="eastAsia" w:ascii="宋体" w:hAnsi="宋体" w:eastAsia="宋体" w:cs="宋体"/>
                <w:sz w:val="18"/>
                <w:szCs w:val="18"/>
              </w:rPr>
              <w:drawing>
                <wp:inline distT="0" distB="0" distL="114300" distR="114300">
                  <wp:extent cx="772160" cy="844550"/>
                  <wp:effectExtent l="0" t="0" r="8890" b="12700"/>
                  <wp:docPr id="10" name="图片 7" descr="塑料检查井行业标准20060117a-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descr="塑料检查井行业标准20060117a-Model"/>
                          <pic:cNvPicPr>
                            <a:picLocks noChangeAspect="1"/>
                          </pic:cNvPicPr>
                        </pic:nvPicPr>
                        <pic:blipFill>
                          <a:blip r:embed="rId47"/>
                          <a:stretch>
                            <a:fillRect/>
                          </a:stretch>
                        </pic:blipFill>
                        <pic:spPr>
                          <a:xfrm>
                            <a:off x="0" y="0"/>
                            <a:ext cx="772160" cy="844550"/>
                          </a:xfrm>
                          <a:prstGeom prst="rect">
                            <a:avLst/>
                          </a:prstGeom>
                          <a:noFill/>
                          <a:ln>
                            <a:noFill/>
                          </a:ln>
                        </pic:spPr>
                      </pic:pic>
                    </a:graphicData>
                  </a:graphic>
                </wp:inline>
              </w:drawing>
            </w:r>
          </w:p>
          <w:p>
            <w:pPr>
              <w:adjustRightInd/>
              <w:spacing w:line="360" w:lineRule="auto"/>
              <w:jc w:val="center"/>
              <w:rPr>
                <w:rFonts w:hint="eastAsia" w:ascii="宋体" w:hAnsi="宋体" w:eastAsia="宋体" w:cs="宋体"/>
                <w:sz w:val="18"/>
                <w:szCs w:val="18"/>
              </w:rPr>
            </w:pPr>
            <w:r>
              <w:rPr>
                <w:rFonts w:hint="eastAsia" w:ascii="宋体" w:hAnsi="宋体" w:eastAsia="宋体" w:cs="宋体"/>
                <w:sz w:val="18"/>
                <w:szCs w:val="18"/>
              </w:rPr>
              <w:drawing>
                <wp:inline distT="0" distB="0" distL="114300" distR="114300">
                  <wp:extent cx="1781175" cy="989330"/>
                  <wp:effectExtent l="0" t="0" r="9525" b="1270"/>
                  <wp:docPr id="11" name="图片 8" descr="塑料检查井行业标准20060117a-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8" descr="塑料检查井行业标准20060117a-Model"/>
                          <pic:cNvPicPr>
                            <a:picLocks noChangeAspect="1"/>
                          </pic:cNvPicPr>
                        </pic:nvPicPr>
                        <pic:blipFill>
                          <a:blip r:embed="rId48"/>
                          <a:stretch>
                            <a:fillRect/>
                          </a:stretch>
                        </pic:blipFill>
                        <pic:spPr>
                          <a:xfrm>
                            <a:off x="0" y="0"/>
                            <a:ext cx="1781175" cy="989330"/>
                          </a:xfrm>
                          <a:prstGeom prst="rect">
                            <a:avLst/>
                          </a:prstGeom>
                          <a:noFill/>
                          <a:ln>
                            <a:noFill/>
                          </a:ln>
                        </pic:spPr>
                      </pic:pic>
                    </a:graphicData>
                  </a:graphic>
                </wp:inline>
              </w:drawing>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1950" w:hRule="atLeast"/>
          <w:jc w:val="center"/>
        </w:trPr>
        <w:tc>
          <w:tcPr>
            <w:tcW w:w="1680" w:type="dxa"/>
            <w:vMerge w:val="continue"/>
            <w:noWrap w:val="0"/>
            <w:vAlign w:val="center"/>
          </w:tcPr>
          <w:p>
            <w:pPr>
              <w:adjustRightInd/>
              <w:spacing w:line="360" w:lineRule="auto"/>
              <w:jc w:val="center"/>
              <w:rPr>
                <w:rFonts w:hint="eastAsia" w:ascii="宋体" w:hAnsi="宋体" w:eastAsia="宋体" w:cs="宋体"/>
                <w:sz w:val="18"/>
                <w:szCs w:val="18"/>
              </w:rPr>
            </w:pPr>
          </w:p>
        </w:tc>
        <w:tc>
          <w:tcPr>
            <w:tcW w:w="1080" w:type="dxa"/>
            <w:vMerge w:val="continue"/>
            <w:noWrap w:val="0"/>
            <w:vAlign w:val="center"/>
          </w:tcPr>
          <w:p>
            <w:pPr>
              <w:adjustRightInd/>
              <w:spacing w:line="360" w:lineRule="auto"/>
              <w:jc w:val="center"/>
              <w:rPr>
                <w:rFonts w:hint="eastAsia" w:ascii="宋体" w:hAnsi="宋体" w:eastAsia="宋体" w:cs="宋体"/>
                <w:sz w:val="18"/>
                <w:szCs w:val="18"/>
              </w:rPr>
            </w:pPr>
          </w:p>
        </w:tc>
        <w:tc>
          <w:tcPr>
            <w:tcW w:w="1679" w:type="dxa"/>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450×315</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450×400</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630×400</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630×500</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700×500</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700×630</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1000×710</w:t>
            </w:r>
          </w:p>
        </w:tc>
        <w:tc>
          <w:tcPr>
            <w:tcW w:w="1728" w:type="dxa"/>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450×300</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450×400</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630×400</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630×500</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700×500</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700×600</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1000×700</w:t>
            </w:r>
          </w:p>
        </w:tc>
        <w:tc>
          <w:tcPr>
            <w:tcW w:w="3162" w:type="dxa"/>
            <w:vMerge w:val="continue"/>
            <w:noWrap w:val="0"/>
            <w:vAlign w:val="center"/>
          </w:tcPr>
          <w:p>
            <w:pPr>
              <w:adjustRightInd/>
              <w:spacing w:line="360" w:lineRule="auto"/>
              <w:rPr>
                <w:rFonts w:hint="eastAsia" w:ascii="宋体" w:hAnsi="宋体" w:eastAsia="宋体" w:cs="宋体"/>
                <w:sz w:val="18"/>
                <w:szCs w:val="18"/>
              </w:rPr>
            </w:pP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2211" w:hRule="atLeast"/>
          <w:jc w:val="center"/>
        </w:trPr>
        <w:tc>
          <w:tcPr>
            <w:tcW w:w="1680" w:type="dxa"/>
            <w:vMerge w:val="restart"/>
            <w:noWrap w:val="0"/>
            <w:vAlign w:val="center"/>
          </w:tcPr>
          <w:p>
            <w:pPr>
              <w:adjustRightInd/>
              <w:spacing w:line="360" w:lineRule="auto"/>
              <w:jc w:val="center"/>
              <w:rPr>
                <w:rFonts w:hint="eastAsia" w:ascii="宋体" w:hAnsi="宋体" w:eastAsia="宋体" w:cs="宋体"/>
                <w:sz w:val="18"/>
                <w:szCs w:val="18"/>
              </w:rPr>
            </w:pPr>
            <w:r>
              <w:rPr>
                <w:rFonts w:hint="eastAsia" w:ascii="宋体" w:hAnsi="宋体" w:eastAsia="宋体" w:cs="宋体"/>
                <w:sz w:val="18"/>
                <w:szCs w:val="18"/>
              </w:rPr>
              <w:t>汇合接头</w:t>
            </w:r>
          </w:p>
        </w:tc>
        <w:tc>
          <w:tcPr>
            <w:tcW w:w="1080" w:type="dxa"/>
            <w:vMerge w:val="restart"/>
            <w:noWrap w:val="0"/>
            <w:vAlign w:val="center"/>
          </w:tcPr>
          <w:p>
            <w:pPr>
              <w:adjustRightInd/>
              <w:spacing w:line="360" w:lineRule="auto"/>
              <w:jc w:val="center"/>
              <w:rPr>
                <w:rFonts w:hint="eastAsia" w:ascii="宋体" w:hAnsi="宋体" w:eastAsia="宋体" w:cs="宋体"/>
                <w:sz w:val="18"/>
                <w:szCs w:val="18"/>
              </w:rPr>
            </w:pPr>
            <w:r>
              <w:rPr>
                <w:rFonts w:hint="eastAsia" w:ascii="宋体" w:hAnsi="宋体" w:eastAsia="宋体" w:cs="宋体"/>
                <w:sz w:val="18"/>
                <w:szCs w:val="18"/>
              </w:rPr>
              <w:t>H</w:t>
            </w:r>
          </w:p>
        </w:tc>
        <w:tc>
          <w:tcPr>
            <w:tcW w:w="1679" w:type="dxa"/>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160×110/110</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200×110/110</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200×160/110</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250×110/110</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250×160/110</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250×160/160</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315×160/160</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315×200/200</w:t>
            </w:r>
          </w:p>
        </w:tc>
        <w:tc>
          <w:tcPr>
            <w:tcW w:w="1728" w:type="dxa"/>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150×110/110</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200×110/110</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200×160/110</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225×110/110</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225×160/110</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225×160/160</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300×160/160</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300×200/200</w:t>
            </w:r>
          </w:p>
        </w:tc>
        <w:tc>
          <w:tcPr>
            <w:tcW w:w="3162" w:type="dxa"/>
            <w:noWrap w:val="0"/>
            <w:vAlign w:val="center"/>
          </w:tcPr>
          <w:p>
            <w:pPr>
              <w:adjustRightInd/>
              <w:spacing w:line="360" w:lineRule="auto"/>
              <w:jc w:val="center"/>
              <w:rPr>
                <w:rFonts w:hint="eastAsia" w:ascii="宋体" w:hAnsi="宋体" w:eastAsia="宋体" w:cs="宋体"/>
                <w:sz w:val="18"/>
                <w:szCs w:val="18"/>
              </w:rPr>
            </w:pPr>
            <w:r>
              <w:rPr>
                <w:rFonts w:hint="eastAsia" w:ascii="宋体" w:hAnsi="宋体" w:eastAsia="宋体" w:cs="宋体"/>
                <w:sz w:val="18"/>
                <w:szCs w:val="18"/>
              </w:rPr>
              <w:drawing>
                <wp:inline distT="0" distB="0" distL="114300" distR="114300">
                  <wp:extent cx="1294130" cy="1268730"/>
                  <wp:effectExtent l="0" t="0" r="1270" b="7620"/>
                  <wp:docPr id="12" name="图片 9" descr="产品示意图数据-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9" descr="产品示意图数据-Model"/>
                          <pic:cNvPicPr>
                            <a:picLocks noChangeAspect="1"/>
                          </pic:cNvPicPr>
                        </pic:nvPicPr>
                        <pic:blipFill>
                          <a:blip r:embed="rId49"/>
                          <a:stretch>
                            <a:fillRect/>
                          </a:stretch>
                        </pic:blipFill>
                        <pic:spPr>
                          <a:xfrm>
                            <a:off x="0" y="0"/>
                            <a:ext cx="1294130" cy="1268730"/>
                          </a:xfrm>
                          <a:prstGeom prst="rect">
                            <a:avLst/>
                          </a:prstGeom>
                          <a:noFill/>
                          <a:ln>
                            <a:noFill/>
                          </a:ln>
                        </pic:spPr>
                      </pic:pic>
                    </a:graphicData>
                  </a:graphic>
                </wp:inline>
              </w:drawing>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1400" w:hRule="atLeast"/>
          <w:jc w:val="center"/>
        </w:trPr>
        <w:tc>
          <w:tcPr>
            <w:tcW w:w="1680" w:type="dxa"/>
            <w:vMerge w:val="continue"/>
            <w:noWrap w:val="0"/>
            <w:vAlign w:val="center"/>
          </w:tcPr>
          <w:p>
            <w:pPr>
              <w:adjustRightInd/>
              <w:spacing w:line="360" w:lineRule="auto"/>
              <w:jc w:val="center"/>
              <w:rPr>
                <w:rFonts w:hint="eastAsia" w:ascii="宋体" w:hAnsi="宋体" w:eastAsia="宋体" w:cs="宋体"/>
                <w:sz w:val="18"/>
                <w:szCs w:val="18"/>
              </w:rPr>
            </w:pPr>
          </w:p>
        </w:tc>
        <w:tc>
          <w:tcPr>
            <w:tcW w:w="1080" w:type="dxa"/>
            <w:vMerge w:val="continue"/>
            <w:noWrap w:val="0"/>
            <w:vAlign w:val="center"/>
          </w:tcPr>
          <w:p>
            <w:pPr>
              <w:adjustRightInd/>
              <w:spacing w:line="360" w:lineRule="auto"/>
              <w:jc w:val="center"/>
              <w:rPr>
                <w:rFonts w:hint="eastAsia" w:ascii="宋体" w:hAnsi="宋体" w:eastAsia="宋体" w:cs="宋体"/>
                <w:sz w:val="18"/>
                <w:szCs w:val="18"/>
              </w:rPr>
            </w:pPr>
          </w:p>
        </w:tc>
        <w:tc>
          <w:tcPr>
            <w:tcW w:w="1679" w:type="dxa"/>
            <w:noWrap w:val="0"/>
            <w:vAlign w:val="center"/>
          </w:tcPr>
          <w:p>
            <w:pPr>
              <w:adjustRightInd/>
              <w:spacing w:line="360" w:lineRule="auto"/>
              <w:jc w:val="center"/>
              <w:rPr>
                <w:rFonts w:hint="eastAsia" w:ascii="宋体" w:hAnsi="宋体" w:eastAsia="宋体" w:cs="宋体"/>
                <w:sz w:val="18"/>
                <w:szCs w:val="18"/>
              </w:rPr>
            </w:pPr>
            <w:r>
              <w:rPr>
                <w:rFonts w:hint="eastAsia" w:ascii="宋体" w:hAnsi="宋体" w:eastAsia="宋体" w:cs="宋体"/>
                <w:sz w:val="18"/>
                <w:szCs w:val="18"/>
              </w:rPr>
              <w:t>315×160</w:t>
            </w:r>
            <w:r>
              <w:rPr>
                <w:rFonts w:hint="eastAsia" w:ascii="宋体" w:hAnsi="宋体" w:eastAsia="宋体" w:cs="宋体"/>
                <w:sz w:val="18"/>
                <w:szCs w:val="18"/>
                <w:lang w:val="en-US" w:eastAsia="zh-CN"/>
              </w:rPr>
              <w:t>/</w:t>
            </w:r>
            <w:r>
              <w:rPr>
                <w:rFonts w:hint="eastAsia" w:ascii="宋体" w:hAnsi="宋体" w:eastAsia="宋体" w:cs="宋体"/>
                <w:sz w:val="18"/>
                <w:szCs w:val="18"/>
              </w:rPr>
              <w:t>160/160</w:t>
            </w:r>
          </w:p>
        </w:tc>
        <w:tc>
          <w:tcPr>
            <w:tcW w:w="1728" w:type="dxa"/>
            <w:noWrap w:val="0"/>
            <w:vAlign w:val="center"/>
          </w:tcPr>
          <w:p>
            <w:pPr>
              <w:adjustRightInd/>
              <w:spacing w:line="360" w:lineRule="auto"/>
              <w:jc w:val="center"/>
              <w:rPr>
                <w:rFonts w:hint="eastAsia" w:ascii="宋体" w:hAnsi="宋体" w:eastAsia="宋体" w:cs="宋体"/>
                <w:sz w:val="18"/>
                <w:szCs w:val="18"/>
              </w:rPr>
            </w:pPr>
            <w:r>
              <w:rPr>
                <w:rFonts w:hint="eastAsia" w:ascii="宋体" w:hAnsi="宋体" w:eastAsia="宋体" w:cs="宋体"/>
                <w:sz w:val="18"/>
                <w:szCs w:val="18"/>
              </w:rPr>
              <w:t>300×160/160/160</w:t>
            </w:r>
          </w:p>
        </w:tc>
        <w:tc>
          <w:tcPr>
            <w:tcW w:w="3162" w:type="dxa"/>
            <w:noWrap w:val="0"/>
            <w:vAlign w:val="center"/>
          </w:tcPr>
          <w:p>
            <w:pPr>
              <w:adjustRightInd/>
              <w:spacing w:line="360" w:lineRule="auto"/>
              <w:jc w:val="center"/>
              <w:rPr>
                <w:rFonts w:hint="eastAsia" w:ascii="宋体" w:hAnsi="宋体" w:eastAsia="宋体" w:cs="宋体"/>
                <w:sz w:val="18"/>
                <w:szCs w:val="18"/>
              </w:rPr>
            </w:pPr>
            <w:r>
              <w:rPr>
                <w:rFonts w:hint="eastAsia" w:ascii="宋体" w:hAnsi="宋体" w:eastAsia="宋体" w:cs="宋体"/>
                <w:sz w:val="18"/>
                <w:szCs w:val="18"/>
              </w:rPr>
              <w:drawing>
                <wp:inline distT="0" distB="0" distL="114300" distR="114300">
                  <wp:extent cx="865505" cy="859155"/>
                  <wp:effectExtent l="0" t="0" r="10795" b="17145"/>
                  <wp:docPr id="13" name="图片 10" descr="产品示意图数据-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0" descr="产品示意图数据-Model"/>
                          <pic:cNvPicPr>
                            <a:picLocks noChangeAspect="1"/>
                          </pic:cNvPicPr>
                        </pic:nvPicPr>
                        <pic:blipFill>
                          <a:blip r:embed="rId50"/>
                          <a:stretch>
                            <a:fillRect/>
                          </a:stretch>
                        </pic:blipFill>
                        <pic:spPr>
                          <a:xfrm>
                            <a:off x="0" y="0"/>
                            <a:ext cx="865505" cy="859155"/>
                          </a:xfrm>
                          <a:prstGeom prst="rect">
                            <a:avLst/>
                          </a:prstGeom>
                          <a:noFill/>
                          <a:ln>
                            <a:noFill/>
                          </a:ln>
                        </pic:spPr>
                      </pic:pic>
                    </a:graphicData>
                  </a:graphic>
                </wp:inline>
              </w:drawing>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1950" w:hRule="atLeast"/>
          <w:jc w:val="center"/>
        </w:trPr>
        <w:tc>
          <w:tcPr>
            <w:tcW w:w="1680" w:type="dxa"/>
            <w:noWrap w:val="0"/>
            <w:vAlign w:val="center"/>
          </w:tcPr>
          <w:p>
            <w:pPr>
              <w:adjustRightInd/>
              <w:spacing w:line="36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过渡接头</w:t>
            </w:r>
          </w:p>
        </w:tc>
        <w:tc>
          <w:tcPr>
            <w:tcW w:w="1080" w:type="dxa"/>
            <w:noWrap w:val="0"/>
            <w:vAlign w:val="center"/>
          </w:tcPr>
          <w:p>
            <w:pPr>
              <w:adjustRightInd/>
              <w:spacing w:line="36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G</w:t>
            </w:r>
          </w:p>
        </w:tc>
        <w:tc>
          <w:tcPr>
            <w:tcW w:w="1679" w:type="dxa"/>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OD200×ID200</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OD250×ID225</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OD315×ID300</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OD400×ID400</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OD500×ID500</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OD630×ID600</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OD710×ID700</w:t>
            </w:r>
          </w:p>
          <w:p>
            <w:pPr>
              <w:adjustRightInd/>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OD800×ID800</w:t>
            </w:r>
          </w:p>
        </w:tc>
        <w:tc>
          <w:tcPr>
            <w:tcW w:w="1728" w:type="dxa"/>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ID200×OD200</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ID225×OD250</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ID300×OD315</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ID400×OD400</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ID500×OD500</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ID600×OD630</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ID600×OD710</w:t>
            </w:r>
          </w:p>
          <w:p>
            <w:pPr>
              <w:adjustRightInd/>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ID700×OD800</w:t>
            </w:r>
          </w:p>
        </w:tc>
        <w:tc>
          <w:tcPr>
            <w:tcW w:w="3162" w:type="dxa"/>
            <w:noWrap w:val="0"/>
            <w:vAlign w:val="center"/>
          </w:tcPr>
          <w:p>
            <w:pPr>
              <w:adjustRightInd/>
              <w:spacing w:line="36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drawing>
                <wp:inline distT="0" distB="0" distL="114300" distR="114300">
                  <wp:extent cx="858520" cy="1167765"/>
                  <wp:effectExtent l="0" t="0" r="17780" b="13335"/>
                  <wp:docPr id="14" name="图片 11" descr="产品示意图数据-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1" descr="产品示意图数据-Model"/>
                          <pic:cNvPicPr>
                            <a:picLocks noChangeAspect="1"/>
                          </pic:cNvPicPr>
                        </pic:nvPicPr>
                        <pic:blipFill>
                          <a:blip r:embed="rId51"/>
                          <a:stretch>
                            <a:fillRect/>
                          </a:stretch>
                        </pic:blipFill>
                        <pic:spPr>
                          <a:xfrm>
                            <a:off x="0" y="0"/>
                            <a:ext cx="858520" cy="1167765"/>
                          </a:xfrm>
                          <a:prstGeom prst="rect">
                            <a:avLst/>
                          </a:prstGeom>
                          <a:noFill/>
                          <a:ln>
                            <a:noFill/>
                          </a:ln>
                        </pic:spPr>
                      </pic:pic>
                    </a:graphicData>
                  </a:graphic>
                </wp:inline>
              </w:drawing>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2052" w:hRule="atLeast"/>
          <w:jc w:val="center"/>
        </w:trPr>
        <w:tc>
          <w:tcPr>
            <w:tcW w:w="1680" w:type="dxa"/>
            <w:noWrap w:val="0"/>
            <w:vAlign w:val="center"/>
          </w:tcPr>
          <w:p>
            <w:pPr>
              <w:adjustRightInd/>
              <w:spacing w:line="36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伸缩管接</w:t>
            </w:r>
          </w:p>
        </w:tc>
        <w:tc>
          <w:tcPr>
            <w:tcW w:w="1080" w:type="dxa"/>
            <w:noWrap w:val="0"/>
            <w:vAlign w:val="center"/>
          </w:tcPr>
          <w:p>
            <w:pPr>
              <w:adjustRightInd/>
              <w:spacing w:line="36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Sg</w:t>
            </w:r>
          </w:p>
        </w:tc>
        <w:tc>
          <w:tcPr>
            <w:tcW w:w="1679" w:type="dxa"/>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75</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110</w:t>
            </w:r>
          </w:p>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160</w:t>
            </w:r>
          </w:p>
          <w:p>
            <w:pPr>
              <w:adjustRightInd/>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200</w:t>
            </w:r>
          </w:p>
        </w:tc>
        <w:tc>
          <w:tcPr>
            <w:tcW w:w="1728" w:type="dxa"/>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150</w:t>
            </w:r>
          </w:p>
          <w:p>
            <w:pPr>
              <w:adjustRightInd/>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200</w:t>
            </w:r>
          </w:p>
        </w:tc>
        <w:tc>
          <w:tcPr>
            <w:tcW w:w="3162" w:type="dxa"/>
            <w:noWrap w:val="0"/>
            <w:vAlign w:val="center"/>
          </w:tcPr>
          <w:p>
            <w:pPr>
              <w:adjustRightInd/>
              <w:spacing w:line="36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drawing>
                <wp:inline distT="0" distB="0" distL="114300" distR="114300">
                  <wp:extent cx="1160145" cy="1358900"/>
                  <wp:effectExtent l="0" t="0" r="1905" b="12700"/>
                  <wp:docPr id="15" name="图片 12" descr="塑料检查井行业标准20060117a-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2" descr="塑料检查井行业标准20060117a-Model"/>
                          <pic:cNvPicPr>
                            <a:picLocks noChangeAspect="1"/>
                          </pic:cNvPicPr>
                        </pic:nvPicPr>
                        <pic:blipFill>
                          <a:blip r:embed="rId52"/>
                          <a:stretch>
                            <a:fillRect/>
                          </a:stretch>
                        </pic:blipFill>
                        <pic:spPr>
                          <a:xfrm>
                            <a:off x="0" y="0"/>
                            <a:ext cx="1160145" cy="1358900"/>
                          </a:xfrm>
                          <a:prstGeom prst="rect">
                            <a:avLst/>
                          </a:prstGeom>
                          <a:noFill/>
                          <a:ln>
                            <a:noFill/>
                          </a:ln>
                        </pic:spPr>
                      </pic:pic>
                    </a:graphicData>
                  </a:graphic>
                </wp:inline>
              </w:drawing>
            </w:r>
          </w:p>
        </w:tc>
      </w:tr>
    </w:tbl>
    <w:p>
      <w:pPr>
        <w:pStyle w:val="79"/>
        <w:numPr>
          <w:ilvl w:val="1"/>
          <w:numId w:val="0"/>
        </w:numPr>
        <w:spacing w:before="156" w:after="156"/>
        <w:ind w:leftChars="0"/>
        <w:jc w:val="center"/>
        <w:rPr>
          <w:rFonts w:hint="eastAsia"/>
          <w:lang w:val="en-US" w:eastAsia="zh-CN"/>
        </w:rPr>
      </w:pPr>
    </w:p>
    <w:p>
      <w:pPr>
        <w:pStyle w:val="79"/>
        <w:numPr>
          <w:ilvl w:val="1"/>
          <w:numId w:val="0"/>
        </w:numPr>
        <w:spacing w:before="156" w:after="156"/>
        <w:ind w:leftChars="0"/>
        <w:jc w:val="center"/>
        <w:rPr>
          <w:rFonts w:hint="eastAsia"/>
          <w:lang w:val="en-US" w:eastAsia="zh-CN"/>
        </w:rPr>
      </w:pPr>
      <w:r>
        <w:rPr>
          <w:rFonts w:hint="eastAsia"/>
          <w:lang w:val="en-US" w:eastAsia="zh-CN"/>
        </w:rPr>
        <w:t xml:space="preserve">表C.1  </w:t>
      </w:r>
      <w:r>
        <w:rPr>
          <w:rFonts w:hint="eastAsia" w:ascii="宋体" w:hAnsi="宋体" w:eastAsia="宋体" w:cs="宋体"/>
          <w:lang w:val="en-US" w:eastAsia="zh-CN"/>
        </w:rPr>
        <w:t>（续）</w:t>
      </w:r>
    </w:p>
    <w:p>
      <w:pPr>
        <w:pStyle w:val="58"/>
        <w:jc w:val="right"/>
        <w:rPr>
          <w:rFonts w:hint="eastAsia" w:ascii="宋体" w:hAnsi="宋体" w:eastAsia="宋体" w:cs="宋体"/>
          <w:sz w:val="18"/>
          <w:szCs w:val="18"/>
          <w:lang w:val="en-US" w:eastAsia="zh-CN"/>
        </w:rPr>
      </w:pPr>
      <w:r>
        <w:rPr>
          <w:rFonts w:hint="eastAsia" w:ascii="宋体" w:hAnsi="宋体" w:eastAsia="宋体" w:cs="宋体"/>
          <w:sz w:val="18"/>
          <w:szCs w:val="18"/>
          <w:lang w:val="en-US" w:eastAsia="zh-CN"/>
        </w:rPr>
        <w:t>单位为毫米</w:t>
      </w:r>
    </w:p>
    <w:tbl>
      <w:tblPr>
        <w:tblStyle w:val="27"/>
        <w:tblW w:w="9302"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320"/>
        <w:gridCol w:w="1199"/>
        <w:gridCol w:w="1140"/>
        <w:gridCol w:w="2220"/>
        <w:gridCol w:w="3423"/>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216" w:hRule="atLeast"/>
          <w:jc w:val="center"/>
        </w:trPr>
        <w:tc>
          <w:tcPr>
            <w:tcW w:w="2519" w:type="dxa"/>
            <w:gridSpan w:val="2"/>
            <w:tcBorders>
              <w:bottom w:val="single" w:color="auto" w:sz="8" w:space="0"/>
            </w:tcBorders>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配件名称</w:t>
            </w:r>
          </w:p>
        </w:tc>
        <w:tc>
          <w:tcPr>
            <w:tcW w:w="1140" w:type="dxa"/>
            <w:tcBorders>
              <w:bottom w:val="single" w:color="auto" w:sz="8" w:space="0"/>
            </w:tcBorders>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代号</w:t>
            </w:r>
          </w:p>
        </w:tc>
        <w:tc>
          <w:tcPr>
            <w:tcW w:w="2220" w:type="dxa"/>
            <w:tcBorders>
              <w:bottom w:val="single" w:color="auto" w:sz="8" w:space="0"/>
            </w:tcBorders>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规格</w:t>
            </w:r>
          </w:p>
        </w:tc>
        <w:tc>
          <w:tcPr>
            <w:tcW w:w="3423" w:type="dxa"/>
            <w:tcBorders>
              <w:bottom w:val="single" w:color="auto" w:sz="8" w:space="0"/>
            </w:tcBorders>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图示</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1305" w:hRule="atLeast"/>
          <w:jc w:val="center"/>
        </w:trPr>
        <w:tc>
          <w:tcPr>
            <w:tcW w:w="2519" w:type="dxa"/>
            <w:gridSpan w:val="2"/>
            <w:tcBorders>
              <w:top w:val="single" w:color="auto" w:sz="8" w:space="0"/>
            </w:tcBorders>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井筒直接</w:t>
            </w:r>
          </w:p>
        </w:tc>
        <w:tc>
          <w:tcPr>
            <w:tcW w:w="1140" w:type="dxa"/>
            <w:tcBorders>
              <w:top w:val="single" w:color="auto" w:sz="8" w:space="0"/>
            </w:tcBorders>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Z</w:t>
            </w:r>
          </w:p>
        </w:tc>
        <w:tc>
          <w:tcPr>
            <w:tcW w:w="2220" w:type="dxa"/>
            <w:tcBorders>
              <w:top w:val="single" w:color="auto" w:sz="8" w:space="0"/>
            </w:tcBorders>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450</w:t>
            </w:r>
          </w:p>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630</w:t>
            </w:r>
          </w:p>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700</w:t>
            </w:r>
          </w:p>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1000</w:t>
            </w:r>
          </w:p>
        </w:tc>
        <w:tc>
          <w:tcPr>
            <w:tcW w:w="3423" w:type="dxa"/>
            <w:tcBorders>
              <w:top w:val="single" w:color="auto" w:sz="8" w:space="0"/>
            </w:tcBorders>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drawing>
                <wp:inline distT="0" distB="0" distL="114300" distR="114300">
                  <wp:extent cx="681355" cy="681990"/>
                  <wp:effectExtent l="0" t="0" r="4445" b="3810"/>
                  <wp:docPr id="23" name="图片 1" descr="未标题-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 descr="未标题-1"/>
                          <pic:cNvPicPr>
                            <a:picLocks noChangeAspect="1"/>
                          </pic:cNvPicPr>
                        </pic:nvPicPr>
                        <pic:blipFill>
                          <a:blip r:embed="rId53"/>
                          <a:stretch>
                            <a:fillRect/>
                          </a:stretch>
                        </pic:blipFill>
                        <pic:spPr>
                          <a:xfrm>
                            <a:off x="0" y="0"/>
                            <a:ext cx="681355" cy="681990"/>
                          </a:xfrm>
                          <a:prstGeom prst="rect">
                            <a:avLst/>
                          </a:prstGeom>
                          <a:noFill/>
                          <a:ln>
                            <a:noFill/>
                          </a:ln>
                        </pic:spPr>
                      </pic:pic>
                    </a:graphicData>
                  </a:graphic>
                </wp:inline>
              </w:drawing>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1185" w:hRule="atLeast"/>
          <w:jc w:val="center"/>
        </w:trPr>
        <w:tc>
          <w:tcPr>
            <w:tcW w:w="2519" w:type="dxa"/>
            <w:gridSpan w:val="2"/>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护套管</w:t>
            </w:r>
          </w:p>
        </w:tc>
        <w:tc>
          <w:tcPr>
            <w:tcW w:w="1140"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Ht</w:t>
            </w:r>
          </w:p>
        </w:tc>
        <w:tc>
          <w:tcPr>
            <w:tcW w:w="2220"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450</w:t>
            </w:r>
          </w:p>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630</w:t>
            </w:r>
          </w:p>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700</w:t>
            </w:r>
          </w:p>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1000</w:t>
            </w:r>
          </w:p>
        </w:tc>
        <w:tc>
          <w:tcPr>
            <w:tcW w:w="3423" w:type="dxa"/>
            <w:noWrap w:val="0"/>
            <w:vAlign w:val="center"/>
          </w:tcPr>
          <w:p>
            <w:pPr>
              <w:spacing w:line="240" w:lineRule="auto"/>
              <w:rPr>
                <w:rFonts w:hint="eastAsia" w:ascii="宋体" w:hAnsi="宋体" w:eastAsia="宋体" w:cs="宋体"/>
                <w:sz w:val="18"/>
                <w:szCs w:val="18"/>
              </w:rPr>
            </w:pPr>
            <w:r>
              <w:rPr>
                <w:rFonts w:hint="eastAsia" w:ascii="宋体" w:hAnsi="宋体" w:eastAsia="宋体" w:cs="宋体"/>
                <w:sz w:val="18"/>
                <w:szCs w:val="18"/>
              </w:rPr>
              <w:pict>
                <v:shape id="Picture 17" o:spid="_x0000_s1114" o:spt="75" type="#_x0000_t75" style="position:absolute;left:0pt;margin-left:48.6pt;margin-top:3.45pt;height:62.4pt;width:57.75pt;z-index:251680768;mso-width-relative:page;mso-height-relative:page;" o:ole="t" filled="f" stroked="f" coordsize="21600,21600">
                  <v:path/>
                  <v:fill on="f" focussize="0,0"/>
                  <v:stroke on="f"/>
                  <v:imagedata r:id="rId55" cropleft="40287f" croptop="26487f" cropright="23340f" cropbottom="34828f" o:title=""/>
                  <o:lock v:ext="edit" grouping="f" rotation="f" text="f" aspectratio="t"/>
                </v:shape>
                <o:OLEObject Type="Embed" ProgID="" ShapeID="Picture 17" DrawAspect="Content" ObjectID="_1468075725" r:id="rId54">
                  <o:LockedField>false</o:LockedField>
                </o:OLEObject>
              </w:pic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1394" w:hRule="atLeast"/>
          <w:jc w:val="center"/>
        </w:trPr>
        <w:tc>
          <w:tcPr>
            <w:tcW w:w="2519" w:type="dxa"/>
            <w:gridSpan w:val="2"/>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明沟雨水口</w:t>
            </w:r>
          </w:p>
        </w:tc>
        <w:tc>
          <w:tcPr>
            <w:tcW w:w="1140"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My</w:t>
            </w:r>
          </w:p>
        </w:tc>
        <w:tc>
          <w:tcPr>
            <w:tcW w:w="2220"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160×110</w:t>
            </w:r>
          </w:p>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200×110</w:t>
            </w:r>
          </w:p>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200×160</w:t>
            </w:r>
          </w:p>
        </w:tc>
        <w:tc>
          <w:tcPr>
            <w:tcW w:w="3423" w:type="dxa"/>
            <w:noWrap w:val="0"/>
            <w:vAlign w:val="center"/>
          </w:tcPr>
          <w:p>
            <w:pPr>
              <w:tabs>
                <w:tab w:val="right" w:pos="2927"/>
              </w:tabs>
              <w:spacing w:line="240" w:lineRule="auto"/>
              <w:rPr>
                <w:rFonts w:hint="eastAsia" w:ascii="宋体" w:hAnsi="宋体" w:eastAsia="宋体" w:cs="宋体"/>
                <w:sz w:val="18"/>
                <w:szCs w:val="18"/>
              </w:rPr>
            </w:pPr>
            <w:r>
              <w:rPr>
                <w:rFonts w:hint="eastAsia" w:ascii="宋体" w:hAnsi="宋体" w:eastAsia="宋体" w:cs="宋体"/>
                <w:sz w:val="18"/>
                <w:szCs w:val="18"/>
              </w:rPr>
              <w:drawing>
                <wp:inline distT="0" distB="0" distL="114300" distR="114300">
                  <wp:extent cx="1857375" cy="1099820"/>
                  <wp:effectExtent l="0" t="0" r="9525" b="5080"/>
                  <wp:docPr id="22" name="图片 2" descr="塑料检查井行业标准20060117a-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 descr="塑料检查井行业标准20060117a-Model"/>
                          <pic:cNvPicPr>
                            <a:picLocks noChangeAspect="1"/>
                          </pic:cNvPicPr>
                        </pic:nvPicPr>
                        <pic:blipFill>
                          <a:blip r:embed="rId56"/>
                          <a:stretch>
                            <a:fillRect/>
                          </a:stretch>
                        </pic:blipFill>
                        <pic:spPr>
                          <a:xfrm>
                            <a:off x="0" y="0"/>
                            <a:ext cx="1857375" cy="1099820"/>
                          </a:xfrm>
                          <a:prstGeom prst="rect">
                            <a:avLst/>
                          </a:prstGeom>
                          <a:noFill/>
                          <a:ln>
                            <a:noFill/>
                          </a:ln>
                        </pic:spPr>
                      </pic:pic>
                    </a:graphicData>
                  </a:graphic>
                </wp:inline>
              </w:drawing>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1718" w:hRule="atLeast"/>
          <w:jc w:val="center"/>
        </w:trPr>
        <w:tc>
          <w:tcPr>
            <w:tcW w:w="1320"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路面进水</w:t>
            </w:r>
          </w:p>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过渡接头</w:t>
            </w:r>
          </w:p>
        </w:tc>
        <w:tc>
          <w:tcPr>
            <w:tcW w:w="1199"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正向</w:t>
            </w:r>
          </w:p>
        </w:tc>
        <w:tc>
          <w:tcPr>
            <w:tcW w:w="1140"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Ly1</w:t>
            </w:r>
          </w:p>
        </w:tc>
        <w:tc>
          <w:tcPr>
            <w:tcW w:w="2220"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430×300—315</w:t>
            </w:r>
          </w:p>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750×450—450</w:t>
            </w:r>
          </w:p>
        </w:tc>
        <w:tc>
          <w:tcPr>
            <w:tcW w:w="3423" w:type="dxa"/>
            <w:noWrap w:val="0"/>
            <w:vAlign w:val="center"/>
          </w:tcPr>
          <w:p>
            <w:pPr>
              <w:spacing w:line="240" w:lineRule="auto"/>
              <w:rPr>
                <w:rFonts w:hint="eastAsia" w:ascii="宋体" w:hAnsi="宋体" w:eastAsia="宋体" w:cs="宋体"/>
                <w:sz w:val="18"/>
                <w:szCs w:val="18"/>
              </w:rPr>
            </w:pPr>
            <w:r>
              <w:rPr>
                <w:rFonts w:hint="eastAsia" w:ascii="宋体" w:hAnsi="宋体" w:eastAsia="宋体" w:cs="宋体"/>
                <w:sz w:val="18"/>
                <w:szCs w:val="18"/>
              </w:rPr>
              <w:drawing>
                <wp:inline distT="0" distB="0" distL="114300" distR="114300">
                  <wp:extent cx="1856105" cy="1095375"/>
                  <wp:effectExtent l="0" t="0" r="10795" b="9525"/>
                  <wp:docPr id="21" name="图片 3" descr="塑料检查井行业标准20060117a-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3" descr="塑料检查井行业标准20060117a-Model"/>
                          <pic:cNvPicPr>
                            <a:picLocks noChangeAspect="1"/>
                          </pic:cNvPicPr>
                        </pic:nvPicPr>
                        <pic:blipFill>
                          <a:blip r:embed="rId57"/>
                          <a:stretch>
                            <a:fillRect/>
                          </a:stretch>
                        </pic:blipFill>
                        <pic:spPr>
                          <a:xfrm>
                            <a:off x="0" y="0"/>
                            <a:ext cx="1856105" cy="1095375"/>
                          </a:xfrm>
                          <a:prstGeom prst="rect">
                            <a:avLst/>
                          </a:prstGeom>
                          <a:noFill/>
                          <a:ln>
                            <a:noFill/>
                          </a:ln>
                        </pic:spPr>
                      </pic:pic>
                    </a:graphicData>
                  </a:graphic>
                </wp:inline>
              </w:drawing>
            </w:r>
          </w:p>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 xml:space="preserve"> 固定型       可调节型</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1525" w:hRule="atLeast"/>
          <w:jc w:val="center"/>
        </w:trPr>
        <w:tc>
          <w:tcPr>
            <w:tcW w:w="1320"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路面进水</w:t>
            </w:r>
          </w:p>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过渡接头</w:t>
            </w:r>
          </w:p>
        </w:tc>
        <w:tc>
          <w:tcPr>
            <w:tcW w:w="1199"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侧向</w:t>
            </w:r>
          </w:p>
        </w:tc>
        <w:tc>
          <w:tcPr>
            <w:tcW w:w="1140"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Ly2</w:t>
            </w:r>
          </w:p>
        </w:tc>
        <w:tc>
          <w:tcPr>
            <w:tcW w:w="2220" w:type="dxa"/>
            <w:noWrap w:val="0"/>
            <w:vAlign w:val="center"/>
          </w:tcPr>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430×300—315</w:t>
            </w:r>
          </w:p>
          <w:p>
            <w:pPr>
              <w:spacing w:line="240" w:lineRule="auto"/>
              <w:jc w:val="center"/>
              <w:rPr>
                <w:rFonts w:hint="eastAsia" w:ascii="宋体" w:hAnsi="宋体" w:eastAsia="宋体" w:cs="宋体"/>
                <w:sz w:val="18"/>
                <w:szCs w:val="18"/>
              </w:rPr>
            </w:pPr>
            <w:r>
              <w:rPr>
                <w:rFonts w:hint="eastAsia" w:ascii="宋体" w:hAnsi="宋体" w:eastAsia="宋体" w:cs="宋体"/>
                <w:sz w:val="18"/>
                <w:szCs w:val="18"/>
              </w:rPr>
              <w:t>750×450—450</w:t>
            </w:r>
          </w:p>
        </w:tc>
        <w:tc>
          <w:tcPr>
            <w:tcW w:w="3423" w:type="dxa"/>
            <w:noWrap w:val="0"/>
            <w:vAlign w:val="center"/>
          </w:tcPr>
          <w:p>
            <w:pPr>
              <w:spacing w:line="240" w:lineRule="auto"/>
              <w:rPr>
                <w:rFonts w:hint="eastAsia" w:ascii="宋体" w:hAnsi="宋体" w:eastAsia="宋体" w:cs="宋体"/>
                <w:sz w:val="18"/>
                <w:szCs w:val="18"/>
              </w:rPr>
            </w:pPr>
            <w:r>
              <w:rPr>
                <w:rFonts w:hint="eastAsia" w:ascii="宋体" w:hAnsi="宋体" w:eastAsia="宋体" w:cs="宋体"/>
                <w:sz w:val="18"/>
                <w:szCs w:val="18"/>
              </w:rPr>
              <w:drawing>
                <wp:inline distT="0" distB="0" distL="114300" distR="114300">
                  <wp:extent cx="1858010" cy="800100"/>
                  <wp:effectExtent l="0" t="0" r="8890" b="0"/>
                  <wp:docPr id="20" name="图片 4" descr="塑料检查井行业标准20060117a-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4" descr="塑料检查井行业标准20060117a-Model"/>
                          <pic:cNvPicPr>
                            <a:picLocks noChangeAspect="1"/>
                          </pic:cNvPicPr>
                        </pic:nvPicPr>
                        <pic:blipFill>
                          <a:blip r:embed="rId58"/>
                          <a:stretch>
                            <a:fillRect/>
                          </a:stretch>
                        </pic:blipFill>
                        <pic:spPr>
                          <a:xfrm>
                            <a:off x="0" y="0"/>
                            <a:ext cx="1858010" cy="800100"/>
                          </a:xfrm>
                          <a:prstGeom prst="rect">
                            <a:avLst/>
                          </a:prstGeom>
                          <a:noFill/>
                          <a:ln>
                            <a:noFill/>
                          </a:ln>
                        </pic:spPr>
                      </pic:pic>
                    </a:graphicData>
                  </a:graphic>
                </wp:inline>
              </w:drawing>
            </w:r>
          </w:p>
          <w:p>
            <w:pPr>
              <w:spacing w:line="240" w:lineRule="auto"/>
              <w:rPr>
                <w:rFonts w:hint="eastAsia" w:ascii="宋体" w:hAnsi="宋体" w:eastAsia="宋体" w:cs="宋体"/>
                <w:sz w:val="18"/>
                <w:szCs w:val="18"/>
              </w:rPr>
            </w:pPr>
            <w:r>
              <w:rPr>
                <w:rFonts w:hint="eastAsia" w:ascii="宋体" w:hAnsi="宋体" w:eastAsia="宋体" w:cs="宋体"/>
                <w:sz w:val="18"/>
                <w:szCs w:val="18"/>
              </w:rPr>
              <w:t xml:space="preserve">    固定型       可调节型</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PrEx>
        <w:trPr>
          <w:cantSplit/>
          <w:trHeight w:val="875" w:hRule="atLeast"/>
          <w:jc w:val="center"/>
        </w:trPr>
        <w:tc>
          <w:tcPr>
            <w:tcW w:w="1320" w:type="dxa"/>
            <w:vMerge w:val="restart"/>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弯头</w:t>
            </w:r>
          </w:p>
          <w:p>
            <w:pPr>
              <w:spacing w:line="240" w:lineRule="auto"/>
              <w:jc w:val="center"/>
              <w:rPr>
                <w:rFonts w:hint="eastAsia" w:ascii="宋体" w:hAnsi="宋体" w:eastAsia="宋体" w:cs="宋体"/>
                <w:sz w:val="18"/>
                <w:szCs w:val="18"/>
              </w:rPr>
            </w:pPr>
          </w:p>
        </w:tc>
        <w:tc>
          <w:tcPr>
            <w:tcW w:w="1199"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30W</w:t>
            </w:r>
          </w:p>
        </w:tc>
        <w:tc>
          <w:tcPr>
            <w:tcW w:w="1140"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30°</w:t>
            </w:r>
          </w:p>
        </w:tc>
        <w:tc>
          <w:tcPr>
            <w:tcW w:w="2220"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110</w:t>
            </w:r>
            <w:r>
              <w:rPr>
                <w:rFonts w:hint="eastAsia" w:ascii="宋体" w:hAnsi="宋体" w:eastAsia="宋体" w:cs="宋体"/>
                <w:sz w:val="18"/>
                <w:szCs w:val="18"/>
                <w:lang w:eastAsia="zh-CN"/>
              </w:rPr>
              <w:t>—</w:t>
            </w:r>
            <w:r>
              <w:rPr>
                <w:rFonts w:hint="eastAsia" w:ascii="宋体" w:hAnsi="宋体" w:eastAsia="宋体" w:cs="宋体"/>
                <w:sz w:val="18"/>
                <w:szCs w:val="18"/>
                <w:lang w:val="en-US" w:eastAsia="zh-CN"/>
              </w:rPr>
              <w:t>200</w:t>
            </w:r>
          </w:p>
        </w:tc>
        <w:tc>
          <w:tcPr>
            <w:tcW w:w="3423" w:type="dxa"/>
            <w:noWrap w:val="0"/>
            <w:vAlign w:val="center"/>
          </w:tcPr>
          <w:p>
            <w:pPr>
              <w:spacing w:line="240" w:lineRule="auto"/>
              <w:rPr>
                <w:rFonts w:hint="eastAsia" w:ascii="宋体" w:hAnsi="宋体" w:eastAsia="宋体" w:cs="宋体"/>
                <w:kern w:val="2"/>
                <w:sz w:val="18"/>
                <w:szCs w:val="18"/>
                <w:lang w:val="en-US" w:eastAsia="zh-CN" w:bidi="ar-SA"/>
              </w:rPr>
            </w:pPr>
            <w:r>
              <w:rPr>
                <w:rFonts w:hint="eastAsia" w:ascii="宋体" w:hAnsi="宋体" w:eastAsia="宋体" w:cs="宋体"/>
                <w:sz w:val="18"/>
                <w:szCs w:val="18"/>
              </w:rPr>
              <w:drawing>
                <wp:inline distT="0" distB="0" distL="114300" distR="114300">
                  <wp:extent cx="1781175" cy="706120"/>
                  <wp:effectExtent l="0" t="0" r="9525" b="17780"/>
                  <wp:docPr id="19" name="图片 5" descr="塑料检查井行业标准20060117a-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5" descr="塑料检查井行业标准20060117a-Model"/>
                          <pic:cNvPicPr>
                            <a:picLocks noChangeAspect="1"/>
                          </pic:cNvPicPr>
                        </pic:nvPicPr>
                        <pic:blipFill>
                          <a:blip r:embed="rId59"/>
                          <a:stretch>
                            <a:fillRect/>
                          </a:stretch>
                        </pic:blipFill>
                        <pic:spPr>
                          <a:xfrm>
                            <a:off x="0" y="0"/>
                            <a:ext cx="1781175" cy="706120"/>
                          </a:xfrm>
                          <a:prstGeom prst="rect">
                            <a:avLst/>
                          </a:prstGeom>
                          <a:noFill/>
                          <a:ln>
                            <a:noFill/>
                          </a:ln>
                        </pic:spPr>
                      </pic:pic>
                    </a:graphicData>
                  </a:graphic>
                </wp:inline>
              </w:drawing>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893" w:hRule="atLeast"/>
          <w:jc w:val="center"/>
        </w:trPr>
        <w:tc>
          <w:tcPr>
            <w:tcW w:w="1320" w:type="dxa"/>
            <w:vMerge w:val="continue"/>
            <w:noWrap w:val="0"/>
            <w:vAlign w:val="center"/>
          </w:tcPr>
          <w:p>
            <w:pPr>
              <w:spacing w:line="240" w:lineRule="auto"/>
              <w:jc w:val="center"/>
              <w:rPr>
                <w:rFonts w:hint="eastAsia" w:ascii="宋体" w:hAnsi="宋体" w:eastAsia="宋体" w:cs="宋体"/>
                <w:sz w:val="18"/>
                <w:szCs w:val="18"/>
              </w:rPr>
            </w:pPr>
          </w:p>
        </w:tc>
        <w:tc>
          <w:tcPr>
            <w:tcW w:w="1199"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45W</w:t>
            </w:r>
          </w:p>
        </w:tc>
        <w:tc>
          <w:tcPr>
            <w:tcW w:w="1140"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45°</w:t>
            </w:r>
          </w:p>
        </w:tc>
        <w:tc>
          <w:tcPr>
            <w:tcW w:w="2220"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110</w:t>
            </w:r>
            <w:r>
              <w:rPr>
                <w:rFonts w:hint="eastAsia" w:ascii="宋体" w:hAnsi="宋体" w:eastAsia="宋体" w:cs="宋体"/>
                <w:sz w:val="18"/>
                <w:szCs w:val="18"/>
                <w:lang w:eastAsia="zh-CN"/>
              </w:rPr>
              <w:t>—</w:t>
            </w:r>
            <w:r>
              <w:rPr>
                <w:rFonts w:hint="eastAsia" w:ascii="宋体" w:hAnsi="宋体" w:eastAsia="宋体" w:cs="宋体"/>
                <w:sz w:val="18"/>
                <w:szCs w:val="18"/>
                <w:lang w:val="en-US" w:eastAsia="zh-CN"/>
              </w:rPr>
              <w:t>315</w:t>
            </w:r>
          </w:p>
        </w:tc>
        <w:tc>
          <w:tcPr>
            <w:tcW w:w="3423" w:type="dxa"/>
            <w:noWrap w:val="0"/>
            <w:vAlign w:val="center"/>
          </w:tcPr>
          <w:p>
            <w:pPr>
              <w:spacing w:line="240" w:lineRule="auto"/>
              <w:rPr>
                <w:rFonts w:hint="eastAsia" w:ascii="宋体" w:hAnsi="宋体" w:eastAsia="宋体" w:cs="宋体"/>
                <w:kern w:val="2"/>
                <w:sz w:val="18"/>
                <w:szCs w:val="18"/>
                <w:lang w:val="en-US" w:eastAsia="zh-CN" w:bidi="ar-SA"/>
              </w:rPr>
            </w:pPr>
            <w:r>
              <w:rPr>
                <w:rFonts w:hint="eastAsia" w:ascii="宋体" w:hAnsi="宋体" w:eastAsia="宋体" w:cs="宋体"/>
                <w:sz w:val="18"/>
                <w:szCs w:val="18"/>
              </w:rPr>
              <w:drawing>
                <wp:inline distT="0" distB="0" distL="114300" distR="114300">
                  <wp:extent cx="1779905" cy="675640"/>
                  <wp:effectExtent l="0" t="0" r="10795" b="10160"/>
                  <wp:docPr id="18" name="图片 6" descr="塑料检查井行业标准20060117a-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6" descr="塑料检查井行业标准20060117a-Model"/>
                          <pic:cNvPicPr>
                            <a:picLocks noChangeAspect="1"/>
                          </pic:cNvPicPr>
                        </pic:nvPicPr>
                        <pic:blipFill>
                          <a:blip r:embed="rId60"/>
                          <a:stretch>
                            <a:fillRect/>
                          </a:stretch>
                        </pic:blipFill>
                        <pic:spPr>
                          <a:xfrm>
                            <a:off x="0" y="0"/>
                            <a:ext cx="1779905" cy="675640"/>
                          </a:xfrm>
                          <a:prstGeom prst="rect">
                            <a:avLst/>
                          </a:prstGeom>
                          <a:noFill/>
                          <a:ln>
                            <a:noFill/>
                          </a:ln>
                        </pic:spPr>
                      </pic:pic>
                    </a:graphicData>
                  </a:graphic>
                </wp:inline>
              </w:drawing>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cantSplit/>
          <w:trHeight w:val="1240" w:hRule="atLeast"/>
          <w:jc w:val="center"/>
        </w:trPr>
        <w:tc>
          <w:tcPr>
            <w:tcW w:w="1320" w:type="dxa"/>
            <w:vMerge w:val="continue"/>
            <w:noWrap w:val="0"/>
            <w:vAlign w:val="center"/>
          </w:tcPr>
          <w:p>
            <w:pPr>
              <w:spacing w:line="240" w:lineRule="auto"/>
              <w:jc w:val="center"/>
              <w:rPr>
                <w:rFonts w:hint="eastAsia" w:ascii="宋体" w:hAnsi="宋体" w:eastAsia="宋体" w:cs="宋体"/>
                <w:sz w:val="18"/>
                <w:szCs w:val="18"/>
              </w:rPr>
            </w:pPr>
          </w:p>
        </w:tc>
        <w:tc>
          <w:tcPr>
            <w:tcW w:w="1199"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90W</w:t>
            </w:r>
          </w:p>
        </w:tc>
        <w:tc>
          <w:tcPr>
            <w:tcW w:w="1140"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90°</w:t>
            </w:r>
          </w:p>
        </w:tc>
        <w:tc>
          <w:tcPr>
            <w:tcW w:w="2220" w:type="dxa"/>
            <w:noWrap w:val="0"/>
            <w:vAlign w:val="center"/>
          </w:tcPr>
          <w:p>
            <w:pPr>
              <w:spacing w:line="240" w:lineRule="auto"/>
              <w:jc w:val="center"/>
              <w:rPr>
                <w:rFonts w:hint="eastAsia" w:ascii="宋体" w:hAnsi="宋体" w:eastAsia="宋体" w:cs="宋体"/>
                <w:kern w:val="2"/>
                <w:sz w:val="18"/>
                <w:szCs w:val="18"/>
                <w:lang w:val="en-US" w:eastAsia="zh-CN" w:bidi="ar-SA"/>
              </w:rPr>
            </w:pPr>
            <w:r>
              <w:rPr>
                <w:rFonts w:hint="eastAsia" w:ascii="宋体" w:hAnsi="宋体" w:eastAsia="宋体" w:cs="宋体"/>
                <w:sz w:val="18"/>
                <w:szCs w:val="18"/>
              </w:rPr>
              <w:t>110</w:t>
            </w:r>
            <w:r>
              <w:rPr>
                <w:rFonts w:hint="eastAsia" w:ascii="宋体" w:hAnsi="宋体" w:eastAsia="宋体" w:cs="宋体"/>
                <w:sz w:val="18"/>
                <w:szCs w:val="18"/>
                <w:lang w:eastAsia="zh-CN"/>
              </w:rPr>
              <w:t>—</w:t>
            </w:r>
            <w:r>
              <w:rPr>
                <w:rFonts w:hint="eastAsia" w:ascii="宋体" w:hAnsi="宋体" w:eastAsia="宋体" w:cs="宋体"/>
                <w:sz w:val="18"/>
                <w:szCs w:val="18"/>
                <w:lang w:val="en-US" w:eastAsia="zh-CN"/>
              </w:rPr>
              <w:t>315</w:t>
            </w:r>
          </w:p>
        </w:tc>
        <w:tc>
          <w:tcPr>
            <w:tcW w:w="3423" w:type="dxa"/>
            <w:noWrap w:val="0"/>
            <w:vAlign w:val="center"/>
          </w:tcPr>
          <w:p>
            <w:pPr>
              <w:spacing w:line="240" w:lineRule="auto"/>
              <w:rPr>
                <w:rFonts w:hint="eastAsia" w:ascii="宋体" w:hAnsi="宋体" w:eastAsia="宋体" w:cs="宋体"/>
                <w:kern w:val="2"/>
                <w:sz w:val="18"/>
                <w:szCs w:val="18"/>
                <w:lang w:val="en-US" w:eastAsia="zh-CN" w:bidi="ar-SA"/>
              </w:rPr>
            </w:pPr>
            <w:r>
              <w:rPr>
                <w:rFonts w:hint="eastAsia" w:ascii="宋体" w:hAnsi="宋体" w:eastAsia="宋体" w:cs="宋体"/>
                <w:sz w:val="18"/>
                <w:szCs w:val="18"/>
              </w:rPr>
              <w:drawing>
                <wp:inline distT="0" distB="0" distL="114300" distR="114300">
                  <wp:extent cx="1780540" cy="774065"/>
                  <wp:effectExtent l="0" t="0" r="10160" b="6985"/>
                  <wp:docPr id="16" name="图片 7" descr="塑料检查井行业标准20060117a-Mod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7" descr="塑料检查井行业标准20060117a-Model"/>
                          <pic:cNvPicPr>
                            <a:picLocks noChangeAspect="1"/>
                          </pic:cNvPicPr>
                        </pic:nvPicPr>
                        <pic:blipFill>
                          <a:blip r:embed="rId61"/>
                          <a:stretch>
                            <a:fillRect/>
                          </a:stretch>
                        </pic:blipFill>
                        <pic:spPr>
                          <a:xfrm>
                            <a:off x="0" y="0"/>
                            <a:ext cx="1780540" cy="774065"/>
                          </a:xfrm>
                          <a:prstGeom prst="rect">
                            <a:avLst/>
                          </a:prstGeom>
                          <a:noFill/>
                          <a:ln>
                            <a:noFill/>
                          </a:ln>
                        </pic:spPr>
                      </pic:pic>
                    </a:graphicData>
                  </a:graphic>
                </wp:inline>
              </w:drawing>
            </w:r>
          </w:p>
        </w:tc>
      </w:tr>
    </w:tbl>
    <w:p>
      <w:pPr>
        <w:pStyle w:val="58"/>
        <w:jc w:val="right"/>
        <w:rPr>
          <w:rFonts w:hint="eastAsia" w:ascii="宋体" w:hAnsi="宋体" w:eastAsia="宋体" w:cs="宋体"/>
          <w:sz w:val="18"/>
          <w:szCs w:val="18"/>
          <w:lang w:val="en-US" w:eastAsia="zh-CN"/>
        </w:rPr>
      </w:pPr>
    </w:p>
    <w:p>
      <w:pPr>
        <w:pStyle w:val="58"/>
        <w:rPr>
          <w:rFonts w:hint="eastAsia"/>
          <w:lang w:val="en-US" w:eastAsia="zh-CN"/>
        </w:rPr>
      </w:pPr>
    </w:p>
    <w:p>
      <w:pPr>
        <w:pStyle w:val="213"/>
        <w:numPr>
          <w:ilvl w:val="1"/>
          <w:numId w:val="4"/>
        </w:numPr>
        <w:rPr>
          <w:rFonts w:hint="eastAsia"/>
          <w:color w:val="000000"/>
        </w:rPr>
      </w:pPr>
      <w:r>
        <w:rPr>
          <w:rFonts w:hint="eastAsia"/>
          <w:color w:val="000000"/>
        </w:rPr>
        <w:t>检查井配件标记由配件代号、规格组成</w:t>
      </w:r>
      <w:r>
        <w:rPr>
          <w:rFonts w:hint="eastAsia"/>
          <w:color w:val="000000"/>
          <w:lang w:eastAsia="zh-CN"/>
        </w:rPr>
        <w:t>，</w:t>
      </w:r>
      <w:r>
        <w:rPr>
          <w:rFonts w:hint="eastAsia"/>
          <w:color w:val="000000"/>
        </w:rPr>
        <w:t>标记示例：</w:t>
      </w:r>
    </w:p>
    <w:p>
      <w:pPr>
        <w:pStyle w:val="213"/>
        <w:numPr>
          <w:ilvl w:val="0"/>
          <w:numId w:val="57"/>
        </w:numPr>
        <w:ind w:left="795" w:leftChars="0" w:hanging="360" w:firstLineChars="0"/>
        <w:rPr>
          <w:rFonts w:hint="eastAsia"/>
          <w:color w:val="000000"/>
        </w:rPr>
      </w:pPr>
      <w:r>
        <w:rPr>
          <w:rFonts w:hint="eastAsia"/>
          <w:color w:val="000000"/>
        </w:rPr>
        <w:t>Ys315×160为渐变接头，由外径315mm变径至外径160mm。</w:t>
      </w:r>
    </w:p>
    <w:p>
      <w:pPr>
        <w:pStyle w:val="213"/>
        <w:numPr>
          <w:ilvl w:val="0"/>
          <w:numId w:val="57"/>
        </w:numPr>
        <w:ind w:left="795" w:leftChars="0" w:hanging="360" w:firstLineChars="0"/>
        <w:rPr>
          <w:rFonts w:hint="eastAsia"/>
          <w:color w:val="000000"/>
        </w:rPr>
      </w:pPr>
      <w:r>
        <w:rPr>
          <w:rFonts w:hint="eastAsia"/>
          <w:color w:val="000000"/>
        </w:rPr>
        <w:t>F630×160为在井筒外径630mm上附加一个外径为160mm的马鞍接头。</w:t>
      </w:r>
    </w:p>
    <w:p>
      <w:r>
        <w:br w:type="page"/>
      </w:r>
    </w:p>
    <w:p>
      <w:pPr>
        <w:pStyle w:val="78"/>
        <w:spacing w:before="78" w:after="156"/>
      </w:pPr>
      <w:bookmarkStart w:id="92" w:name="_Toc17348"/>
      <w:r>
        <w:br w:type="textWrapping"/>
      </w:r>
      <w:r>
        <w:rPr>
          <w:rFonts w:hint="eastAsia"/>
        </w:rPr>
        <w:t>（资料性）</w:t>
      </w:r>
      <w:r>
        <w:br w:type="textWrapping"/>
      </w:r>
      <w:r>
        <w:rPr>
          <w:rFonts w:hint="eastAsia"/>
          <w:lang w:eastAsia="zh-CN"/>
        </w:rPr>
        <w:t>承压圈构造</w:t>
      </w:r>
      <w:bookmarkEnd w:id="92"/>
    </w:p>
    <w:p>
      <w:pPr>
        <w:pStyle w:val="213"/>
        <w:rPr>
          <w:rFonts w:hint="eastAsia"/>
          <w:color w:val="000000"/>
        </w:rPr>
      </w:pPr>
      <w:r>
        <w:rPr>
          <w:rFonts w:hint="eastAsia"/>
          <w:color w:val="000000"/>
          <w:lang w:eastAsia="zh-CN"/>
        </w:rPr>
        <w:t>承压圈</w:t>
      </w:r>
      <w:r>
        <w:rPr>
          <w:rFonts w:hint="eastAsia"/>
          <w:color w:val="000000"/>
        </w:rPr>
        <w:t>应根据道路路面荷载，由结构进行计算确定。若无设计，可采用本附录加工。</w:t>
      </w:r>
    </w:p>
    <w:p>
      <w:pPr>
        <w:pStyle w:val="213"/>
        <w:rPr>
          <w:rFonts w:hint="eastAsia"/>
          <w:color w:val="000000"/>
        </w:rPr>
      </w:pPr>
      <w:r>
        <w:rPr>
          <w:rFonts w:hint="eastAsia"/>
          <w:color w:val="000000"/>
          <w:lang w:eastAsia="zh-CN"/>
        </w:rPr>
        <w:t>承压圈</w:t>
      </w:r>
      <w:r>
        <w:rPr>
          <w:rFonts w:hint="eastAsia"/>
          <w:color w:val="000000"/>
        </w:rPr>
        <w:t>配筋</w:t>
      </w:r>
      <w:r>
        <w:rPr>
          <w:rFonts w:hint="eastAsia"/>
          <w:color w:val="000000"/>
          <w:lang w:eastAsia="zh-CN"/>
        </w:rPr>
        <w:t>应符合下列规定</w:t>
      </w:r>
      <w:r>
        <w:rPr>
          <w:rFonts w:hint="eastAsia"/>
          <w:color w:val="000000"/>
        </w:rPr>
        <w:t>：</w:t>
      </w:r>
    </w:p>
    <w:p>
      <w:pPr>
        <w:numPr>
          <w:ilvl w:val="0"/>
          <w:numId w:val="58"/>
        </w:numPr>
        <w:spacing w:line="240" w:lineRule="auto"/>
        <w:ind w:left="795" w:leftChars="0" w:hanging="360" w:firstLineChars="0"/>
        <w:rPr>
          <w:rFonts w:hint="eastAsia" w:ascii="宋体" w:hAnsi="宋体" w:cs="宋体"/>
          <w:sz w:val="21"/>
          <w:szCs w:val="21"/>
        </w:rPr>
      </w:pPr>
      <w:r>
        <w:rPr>
          <w:rFonts w:hint="eastAsia" w:ascii="宋体" w:hAnsi="宋体" w:cs="宋体"/>
          <w:sz w:val="21"/>
          <w:szCs w:val="21"/>
        </w:rPr>
        <w:t>CYQ—a型承压圈适用于非机动车道，详见图D.1。</w:t>
      </w:r>
    </w:p>
    <w:p>
      <w:pPr>
        <w:numPr>
          <w:ilvl w:val="0"/>
          <w:numId w:val="58"/>
        </w:numPr>
        <w:spacing w:line="240" w:lineRule="auto"/>
        <w:ind w:left="795" w:leftChars="0" w:hanging="360" w:firstLineChars="0"/>
        <w:rPr>
          <w:rFonts w:hint="eastAsia" w:ascii="宋体" w:hAnsi="宋体" w:cs="宋体"/>
          <w:sz w:val="21"/>
          <w:szCs w:val="21"/>
        </w:rPr>
      </w:pPr>
      <w:r>
        <w:rPr>
          <w:rFonts w:hint="eastAsia" w:ascii="宋体" w:hAnsi="宋体" w:cs="宋体"/>
          <w:sz w:val="21"/>
          <w:szCs w:val="21"/>
        </w:rPr>
        <w:t>CYQ—b型承压圈适用于机动车道城—A级，详见图D.2。</w:t>
      </w:r>
    </w:p>
    <w:p>
      <w:pPr>
        <w:numPr>
          <w:ilvl w:val="0"/>
          <w:numId w:val="58"/>
        </w:numPr>
        <w:spacing w:line="240" w:lineRule="auto"/>
        <w:ind w:left="795" w:leftChars="0" w:hanging="360" w:firstLineChars="0"/>
        <w:rPr>
          <w:rFonts w:hint="eastAsia" w:ascii="宋体" w:hAnsi="宋体" w:cs="宋体"/>
          <w:sz w:val="21"/>
          <w:szCs w:val="21"/>
        </w:rPr>
      </w:pPr>
      <w:r>
        <w:rPr>
          <w:rFonts w:hint="eastAsia" w:ascii="宋体" w:hAnsi="宋体" w:cs="宋体"/>
          <w:sz w:val="21"/>
          <w:szCs w:val="21"/>
        </w:rPr>
        <w:t>CYQ—c型承压圈适用于机动车道城—B级，详见图D.3。</w:t>
      </w:r>
    </w:p>
    <w:p>
      <w:pPr>
        <w:numPr>
          <w:ilvl w:val="0"/>
          <w:numId w:val="0"/>
        </w:numPr>
        <w:spacing w:line="240" w:lineRule="auto"/>
        <w:jc w:val="center"/>
        <w:rPr>
          <w:rFonts w:ascii="Arial" w:hAnsi="Arial" w:cs="Arial"/>
        </w:rPr>
      </w:pPr>
      <w:r>
        <w:rPr>
          <w:rFonts w:ascii="Arial" w:hAnsi="Arial" w:cs="Arial"/>
        </w:rPr>
        <w:drawing>
          <wp:inline distT="0" distB="0" distL="114300" distR="114300">
            <wp:extent cx="5243830" cy="3931920"/>
            <wp:effectExtent l="0" t="0" r="13970" b="11430"/>
            <wp:docPr id="24" name="图片 9"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9" descr="9"/>
                    <pic:cNvPicPr>
                      <a:picLocks noChangeAspect="1"/>
                    </pic:cNvPicPr>
                  </pic:nvPicPr>
                  <pic:blipFill>
                    <a:blip r:embed="rId62"/>
                    <a:srcRect l="12602" r="14603" b="60732"/>
                    <a:stretch>
                      <a:fillRect/>
                    </a:stretch>
                  </pic:blipFill>
                  <pic:spPr>
                    <a:xfrm>
                      <a:off x="0" y="0"/>
                      <a:ext cx="5243830" cy="3931920"/>
                    </a:xfrm>
                    <a:prstGeom prst="rect">
                      <a:avLst/>
                    </a:prstGeom>
                    <a:noFill/>
                    <a:ln>
                      <a:noFill/>
                    </a:ln>
                  </pic:spPr>
                </pic:pic>
              </a:graphicData>
            </a:graphic>
          </wp:inline>
        </w:drawing>
      </w:r>
    </w:p>
    <w:p>
      <w:pPr>
        <w:numPr>
          <w:ilvl w:val="0"/>
          <w:numId w:val="0"/>
        </w:numPr>
        <w:spacing w:line="240" w:lineRule="auto"/>
        <w:rPr>
          <w:rFonts w:hint="eastAsia" w:ascii="Arial" w:hAnsi="Arial" w:cs="Arial"/>
          <w:lang w:eastAsia="zh-CN"/>
        </w:rPr>
      </w:pPr>
    </w:p>
    <w:p>
      <w:pPr>
        <w:numPr>
          <w:ilvl w:val="0"/>
          <w:numId w:val="0"/>
        </w:numPr>
        <w:spacing w:line="240" w:lineRule="auto"/>
        <w:jc w:val="center"/>
        <w:rPr>
          <w:rFonts w:ascii="Arial" w:hAnsi="Arial" w:cs="Arial"/>
        </w:rPr>
      </w:pPr>
      <w:r>
        <w:rPr>
          <w:rFonts w:ascii="Arial" w:hAnsi="Arial" w:cs="Arial"/>
        </w:rPr>
        <w:drawing>
          <wp:inline distT="0" distB="0" distL="114300" distR="114300">
            <wp:extent cx="5275580" cy="6501765"/>
            <wp:effectExtent l="0" t="0" r="1270" b="13335"/>
            <wp:docPr id="27" name="图片 11"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1" descr="9"/>
                    <pic:cNvPicPr>
                      <a:picLocks noChangeAspect="1"/>
                    </pic:cNvPicPr>
                  </pic:nvPicPr>
                  <pic:blipFill>
                    <a:blip r:embed="rId62"/>
                    <a:srcRect l="16002" t="39000" r="15202"/>
                    <a:stretch>
                      <a:fillRect/>
                    </a:stretch>
                  </pic:blipFill>
                  <pic:spPr>
                    <a:xfrm>
                      <a:off x="0" y="0"/>
                      <a:ext cx="5275580" cy="6501765"/>
                    </a:xfrm>
                    <a:prstGeom prst="rect">
                      <a:avLst/>
                    </a:prstGeom>
                    <a:noFill/>
                    <a:ln>
                      <a:noFill/>
                    </a:ln>
                  </pic:spPr>
                </pic:pic>
              </a:graphicData>
            </a:graphic>
          </wp:inline>
        </w:drawing>
      </w:r>
    </w:p>
    <w:p>
      <w:pPr>
        <w:numPr>
          <w:ilvl w:val="0"/>
          <w:numId w:val="0"/>
        </w:numPr>
        <w:spacing w:line="240" w:lineRule="auto"/>
        <w:jc w:val="center"/>
        <w:rPr>
          <w:rFonts w:hint="eastAsia" w:ascii="黑体" w:hAnsi="黑体" w:eastAsia="黑体" w:cs="黑体"/>
          <w:lang w:val="en-US" w:eastAsia="zh-CN"/>
        </w:rPr>
      </w:pPr>
      <w:r>
        <w:rPr>
          <w:rFonts w:hint="eastAsia" w:ascii="黑体" w:hAnsi="黑体" w:eastAsia="黑体" w:cs="黑体"/>
          <w:lang w:eastAsia="zh-CN"/>
        </w:rPr>
        <w:t>图</w:t>
      </w:r>
      <w:r>
        <w:rPr>
          <w:rFonts w:hint="eastAsia" w:ascii="黑体" w:hAnsi="黑体" w:eastAsia="黑体" w:cs="黑体"/>
          <w:lang w:val="en-US" w:eastAsia="zh-CN"/>
        </w:rPr>
        <w:t>D.1 CYQ—a 型承压圈</w:t>
      </w:r>
    </w:p>
    <w:p>
      <w:pPr>
        <w:numPr>
          <w:ilvl w:val="0"/>
          <w:numId w:val="0"/>
        </w:numPr>
        <w:spacing w:line="240" w:lineRule="auto"/>
        <w:jc w:val="center"/>
        <w:rPr>
          <w:rFonts w:ascii="Arial" w:hAnsi="Arial" w:cs="Arial"/>
        </w:rPr>
      </w:pPr>
      <w:r>
        <w:rPr>
          <w:rFonts w:ascii="Arial" w:hAnsi="Arial" w:cs="Arial"/>
        </w:rPr>
        <w:drawing>
          <wp:inline distT="0" distB="0" distL="114300" distR="114300">
            <wp:extent cx="4832985" cy="6515100"/>
            <wp:effectExtent l="0" t="0" r="5715" b="0"/>
            <wp:docPr id="29" name="图片 12"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2" descr="10"/>
                    <pic:cNvPicPr>
                      <a:picLocks noChangeAspect="1"/>
                    </pic:cNvPicPr>
                  </pic:nvPicPr>
                  <pic:blipFill>
                    <a:blip r:embed="rId63"/>
                    <a:srcRect l="23970" r="21994" b="48727"/>
                    <a:stretch>
                      <a:fillRect/>
                    </a:stretch>
                  </pic:blipFill>
                  <pic:spPr>
                    <a:xfrm>
                      <a:off x="0" y="0"/>
                      <a:ext cx="4832985" cy="6515100"/>
                    </a:xfrm>
                    <a:prstGeom prst="rect">
                      <a:avLst/>
                    </a:prstGeom>
                    <a:noFill/>
                    <a:ln>
                      <a:noFill/>
                    </a:ln>
                  </pic:spPr>
                </pic:pic>
              </a:graphicData>
            </a:graphic>
          </wp:inline>
        </w:drawing>
      </w:r>
      <w:r>
        <w:rPr>
          <w:rFonts w:ascii="Arial" w:hAnsi="Arial" w:cs="Arial"/>
        </w:rPr>
        <w:drawing>
          <wp:inline distT="0" distB="0" distL="114300" distR="114300">
            <wp:extent cx="4832985" cy="6040120"/>
            <wp:effectExtent l="0" t="0" r="5715" b="17780"/>
            <wp:docPr id="30" name="图片 13"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3" descr="10"/>
                    <pic:cNvPicPr>
                      <a:picLocks noChangeAspect="1"/>
                    </pic:cNvPicPr>
                  </pic:nvPicPr>
                  <pic:blipFill>
                    <a:blip r:embed="rId63"/>
                    <a:srcRect l="23970" t="50906" r="21994" b="1633"/>
                    <a:stretch>
                      <a:fillRect/>
                    </a:stretch>
                  </pic:blipFill>
                  <pic:spPr>
                    <a:xfrm>
                      <a:off x="0" y="0"/>
                      <a:ext cx="4832985" cy="6040120"/>
                    </a:xfrm>
                    <a:prstGeom prst="rect">
                      <a:avLst/>
                    </a:prstGeom>
                    <a:noFill/>
                    <a:ln>
                      <a:noFill/>
                    </a:ln>
                  </pic:spPr>
                </pic:pic>
              </a:graphicData>
            </a:graphic>
          </wp:inline>
        </w:drawing>
      </w:r>
    </w:p>
    <w:p>
      <w:pPr>
        <w:numPr>
          <w:ilvl w:val="0"/>
          <w:numId w:val="0"/>
        </w:numPr>
        <w:spacing w:line="240" w:lineRule="auto"/>
        <w:jc w:val="center"/>
        <w:rPr>
          <w:rFonts w:hint="eastAsia" w:ascii="黑体" w:hAnsi="黑体" w:eastAsia="黑体" w:cs="黑体"/>
          <w:lang w:val="en-US" w:eastAsia="zh-CN"/>
        </w:rPr>
      </w:pPr>
      <w:r>
        <w:rPr>
          <w:rFonts w:hint="eastAsia" w:ascii="黑体" w:hAnsi="黑体" w:eastAsia="黑体" w:cs="黑体"/>
          <w:lang w:eastAsia="zh-CN"/>
        </w:rPr>
        <w:t>图</w:t>
      </w:r>
      <w:r>
        <w:rPr>
          <w:rFonts w:hint="eastAsia" w:ascii="黑体" w:hAnsi="黑体" w:eastAsia="黑体" w:cs="黑体"/>
          <w:lang w:val="en-US" w:eastAsia="zh-CN"/>
        </w:rPr>
        <w:t>D.2 CYQ—b 型承压圈</w:t>
      </w:r>
    </w:p>
    <w:p>
      <w:pPr>
        <w:numPr>
          <w:ilvl w:val="0"/>
          <w:numId w:val="0"/>
        </w:numPr>
        <w:spacing w:line="240" w:lineRule="auto"/>
        <w:jc w:val="center"/>
        <w:rPr>
          <w:rFonts w:ascii="Arial" w:hAnsi="Arial" w:cs="Arial"/>
        </w:rPr>
      </w:pPr>
      <w:r>
        <w:rPr>
          <w:rFonts w:ascii="Arial" w:hAnsi="Arial" w:cs="Arial"/>
        </w:rPr>
        <w:drawing>
          <wp:inline distT="0" distB="0" distL="114300" distR="114300">
            <wp:extent cx="4848860" cy="6991985"/>
            <wp:effectExtent l="0" t="0" r="8890" b="18415"/>
            <wp:docPr id="31" name="图片 14" descr="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4" descr="11"/>
                    <pic:cNvPicPr>
                      <a:picLocks noChangeAspect="1"/>
                    </pic:cNvPicPr>
                  </pic:nvPicPr>
                  <pic:blipFill>
                    <a:blip r:embed="rId64"/>
                    <a:srcRect l="26195" r="22150" b="47241"/>
                    <a:stretch>
                      <a:fillRect/>
                    </a:stretch>
                  </pic:blipFill>
                  <pic:spPr>
                    <a:xfrm>
                      <a:off x="0" y="0"/>
                      <a:ext cx="4848860" cy="6991985"/>
                    </a:xfrm>
                    <a:prstGeom prst="rect">
                      <a:avLst/>
                    </a:prstGeom>
                    <a:noFill/>
                    <a:ln>
                      <a:noFill/>
                    </a:ln>
                  </pic:spPr>
                </pic:pic>
              </a:graphicData>
            </a:graphic>
          </wp:inline>
        </w:drawing>
      </w:r>
      <w:r>
        <w:rPr>
          <w:rFonts w:ascii="Arial" w:hAnsi="Arial" w:cs="Arial"/>
        </w:rPr>
        <w:drawing>
          <wp:inline distT="0" distB="0" distL="114300" distR="114300">
            <wp:extent cx="4848860" cy="6548755"/>
            <wp:effectExtent l="0" t="0" r="8890" b="4445"/>
            <wp:docPr id="32" name="图片 15" descr="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5" descr="11"/>
                    <pic:cNvPicPr>
                      <a:picLocks noChangeAspect="1"/>
                    </pic:cNvPicPr>
                  </pic:nvPicPr>
                  <pic:blipFill>
                    <a:blip r:embed="rId64"/>
                    <a:srcRect l="26195" t="52188" r="22150" b="2853"/>
                    <a:stretch>
                      <a:fillRect/>
                    </a:stretch>
                  </pic:blipFill>
                  <pic:spPr>
                    <a:xfrm>
                      <a:off x="0" y="0"/>
                      <a:ext cx="4848860" cy="6548755"/>
                    </a:xfrm>
                    <a:prstGeom prst="rect">
                      <a:avLst/>
                    </a:prstGeom>
                    <a:noFill/>
                    <a:ln>
                      <a:noFill/>
                    </a:ln>
                  </pic:spPr>
                </pic:pic>
              </a:graphicData>
            </a:graphic>
          </wp:inline>
        </w:drawing>
      </w:r>
    </w:p>
    <w:p>
      <w:pPr>
        <w:numPr>
          <w:ilvl w:val="0"/>
          <w:numId w:val="0"/>
        </w:numPr>
        <w:spacing w:line="240" w:lineRule="auto"/>
        <w:jc w:val="center"/>
        <w:rPr>
          <w:rFonts w:hint="eastAsia" w:ascii="黑体" w:hAnsi="黑体" w:eastAsia="黑体" w:cs="黑体"/>
          <w:lang w:val="en-US" w:eastAsia="zh-CN"/>
        </w:rPr>
      </w:pPr>
      <w:r>
        <w:rPr>
          <w:rFonts w:hint="eastAsia" w:ascii="黑体" w:hAnsi="黑体" w:eastAsia="黑体" w:cs="黑体"/>
          <w:lang w:eastAsia="zh-CN"/>
        </w:rPr>
        <w:t>图</w:t>
      </w:r>
      <w:r>
        <w:rPr>
          <w:rFonts w:hint="eastAsia" w:ascii="黑体" w:hAnsi="黑体" w:eastAsia="黑体" w:cs="黑体"/>
          <w:lang w:val="en-US" w:eastAsia="zh-CN"/>
        </w:rPr>
        <w:t>D.3 CYQ—c 型承压圈</w:t>
      </w:r>
    </w:p>
    <w:p>
      <w:pPr>
        <w:numPr>
          <w:ilvl w:val="0"/>
          <w:numId w:val="0"/>
        </w:numPr>
        <w:spacing w:line="240" w:lineRule="auto"/>
        <w:jc w:val="center"/>
        <w:rPr>
          <w:rFonts w:hint="eastAsia" w:ascii="Arial" w:hAnsi="Arial" w:cs="Arial"/>
          <w:lang w:eastAsia="zh-CN"/>
        </w:rPr>
      </w:pPr>
    </w:p>
    <w:p>
      <w:pPr>
        <w:numPr>
          <w:ilvl w:val="0"/>
          <w:numId w:val="0"/>
        </w:numPr>
      </w:pPr>
      <w:r>
        <w:br w:type="page"/>
      </w:r>
    </w:p>
    <w:p>
      <w:pPr>
        <w:pStyle w:val="78"/>
        <w:spacing w:before="78" w:after="156"/>
      </w:pPr>
      <w:bookmarkStart w:id="93" w:name="_Toc2504"/>
      <w:r>
        <w:br w:type="textWrapping"/>
      </w:r>
      <w:r>
        <w:rPr>
          <w:rFonts w:hint="eastAsia"/>
        </w:rPr>
        <w:t>（资料性）</w:t>
      </w:r>
      <w:r>
        <w:br w:type="textWrapping"/>
      </w:r>
      <w:r>
        <w:rPr>
          <w:rFonts w:hint="eastAsia"/>
          <w:lang w:eastAsia="zh-CN"/>
        </w:rPr>
        <w:t>排水用塑料检查井工程备料表</w:t>
      </w:r>
      <w:bookmarkEnd w:id="93"/>
    </w:p>
    <w:p>
      <w:pPr>
        <w:pStyle w:val="213"/>
        <w:numPr>
          <w:ilvl w:val="1"/>
          <w:numId w:val="0"/>
        </w:numPr>
        <w:ind w:leftChars="0" w:firstLine="420" w:firstLineChars="200"/>
        <w:rPr>
          <w:rFonts w:hint="eastAsia"/>
          <w:color w:val="000000"/>
        </w:rPr>
      </w:pPr>
      <w:r>
        <w:rPr>
          <w:rFonts w:hint="eastAsia"/>
          <w:color w:val="000000"/>
          <w:lang w:val="en-US" w:eastAsia="zh-CN"/>
        </w:rPr>
        <w:t>排水用塑料检查井工程备料表</w:t>
      </w:r>
      <w:r>
        <w:rPr>
          <w:rFonts w:hint="eastAsia"/>
          <w:color w:val="000000"/>
        </w:rPr>
        <w:t>见表</w:t>
      </w:r>
      <w:r>
        <w:rPr>
          <w:rFonts w:hint="eastAsia"/>
          <w:color w:val="000000"/>
          <w:lang w:val="en-US" w:eastAsia="zh-CN"/>
        </w:rPr>
        <w:t>E</w:t>
      </w:r>
      <w:r>
        <w:rPr>
          <w:rFonts w:hint="eastAsia"/>
          <w:color w:val="000000"/>
        </w:rPr>
        <w:t>.</w:t>
      </w:r>
      <w:r>
        <w:rPr>
          <w:rFonts w:hint="eastAsia"/>
          <w:color w:val="000000"/>
          <w:lang w:val="en-US" w:eastAsia="zh-CN"/>
        </w:rPr>
        <w:t>1</w:t>
      </w:r>
      <w:r>
        <w:rPr>
          <w:rFonts w:hint="eastAsia"/>
          <w:color w:val="000000"/>
        </w:rPr>
        <w:t>。</w:t>
      </w:r>
    </w:p>
    <w:p>
      <w:pPr>
        <w:pStyle w:val="213"/>
        <w:numPr>
          <w:ilvl w:val="1"/>
          <w:numId w:val="0"/>
        </w:numPr>
        <w:ind w:leftChars="0" w:firstLine="420" w:firstLineChars="200"/>
        <w:jc w:val="center"/>
        <w:rPr>
          <w:rFonts w:hint="eastAsia" w:ascii="黑体" w:hAnsi="黑体" w:eastAsia="黑体" w:cs="黑体"/>
          <w:color w:val="000000"/>
          <w:lang w:val="en-US" w:eastAsia="zh-CN"/>
        </w:rPr>
      </w:pPr>
      <w:r>
        <w:rPr>
          <w:rFonts w:hint="eastAsia" w:ascii="黑体" w:hAnsi="黑体" w:eastAsia="黑体" w:cs="黑体"/>
          <w:color w:val="000000"/>
          <w:lang w:eastAsia="zh-CN"/>
        </w:rPr>
        <w:t>表</w:t>
      </w:r>
      <w:r>
        <w:rPr>
          <w:rFonts w:hint="eastAsia" w:ascii="黑体" w:hAnsi="黑体" w:eastAsia="黑体" w:cs="黑体"/>
          <w:color w:val="000000"/>
          <w:lang w:val="en-US" w:eastAsia="zh-CN"/>
        </w:rPr>
        <w:t>E.1 排水用塑料检查井工程备料表</w:t>
      </w:r>
    </w:p>
    <w:tbl>
      <w:tblPr>
        <w:tblStyle w:val="27"/>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1372"/>
        <w:gridCol w:w="1438"/>
        <w:gridCol w:w="3091"/>
        <w:gridCol w:w="1515"/>
        <w:gridCol w:w="1977"/>
      </w:tblGrid>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27" w:hRule="atLeast"/>
          <w:jc w:val="center"/>
        </w:trPr>
        <w:tc>
          <w:tcPr>
            <w:tcW w:w="1372" w:type="dxa"/>
            <w:tcBorders>
              <w:bottom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井位号</w:t>
            </w:r>
          </w:p>
        </w:tc>
        <w:tc>
          <w:tcPr>
            <w:tcW w:w="1438" w:type="dxa"/>
            <w:tcBorders>
              <w:bottom w:val="single" w:color="auto" w:sz="8" w:space="0"/>
            </w:tcBorders>
            <w:noWrap w:val="0"/>
            <w:vAlign w:val="center"/>
          </w:tcPr>
          <w:p>
            <w:pPr>
              <w:adjustRightInd/>
              <w:spacing w:line="240" w:lineRule="auto"/>
              <w:rPr>
                <w:rFonts w:hint="eastAsia" w:ascii="宋体" w:hAnsi="宋体" w:eastAsia="宋体" w:cs="宋体"/>
                <w:sz w:val="18"/>
                <w:szCs w:val="18"/>
              </w:rPr>
            </w:pPr>
            <w:r>
              <w:rPr>
                <w:rFonts w:hint="eastAsia" w:ascii="宋体" w:hAnsi="宋体" w:eastAsia="宋体" w:cs="宋体"/>
                <w:sz w:val="18"/>
                <w:szCs w:val="18"/>
              </w:rPr>
              <w:t xml:space="preserve">  接管简图</w:t>
            </w:r>
          </w:p>
        </w:tc>
        <w:tc>
          <w:tcPr>
            <w:tcW w:w="3091" w:type="dxa"/>
            <w:tcBorders>
              <w:bottom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井座标记</w:t>
            </w:r>
          </w:p>
        </w:tc>
        <w:tc>
          <w:tcPr>
            <w:tcW w:w="1515" w:type="dxa"/>
            <w:tcBorders>
              <w:bottom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井盖规格</w:t>
            </w:r>
          </w:p>
        </w:tc>
        <w:tc>
          <w:tcPr>
            <w:tcW w:w="1977" w:type="dxa"/>
            <w:tcBorders>
              <w:bottom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配件</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00" w:hRule="atLeast"/>
          <w:jc w:val="center"/>
        </w:trPr>
        <w:tc>
          <w:tcPr>
            <w:tcW w:w="1372" w:type="dxa"/>
            <w:tcBorders>
              <w:top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W1</w:t>
            </w:r>
          </w:p>
        </w:tc>
        <w:tc>
          <w:tcPr>
            <w:tcW w:w="1438" w:type="dxa"/>
            <w:tcBorders>
              <w:top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pict>
                <v:line id="Line 18" o:spid="_x0000_s1086" o:spt="20" style="position:absolute;left:0pt;margin-left:34pt;margin-top:-0.2pt;height:11.55pt;width:0.05pt;z-index:251677696;mso-width-relative:page;mso-height-relative:page;" filled="f" stroked="t" coordsize="21600,21600">
                  <v:path arrowok="t"/>
                  <v:fill on="f" focussize="0,0"/>
                  <v:stroke endarrow="block"/>
                  <v:imagedata o:title=""/>
                  <o:lock v:ext="edit" aspectratio="f"/>
                </v:line>
              </w:pict>
            </w:r>
            <w:r>
              <w:rPr>
                <w:rFonts w:hint="eastAsia" w:ascii="宋体" w:hAnsi="宋体" w:eastAsia="宋体" w:cs="宋体"/>
                <w:sz w:val="18"/>
                <w:szCs w:val="18"/>
              </w:rPr>
              <w:pict>
                <v:group id="Group 19" o:spid="_x0000_s1087" o:spt="203" style="height:39pt;width:69.45pt;" coordsize="1080,780">
                  <o:lock v:ext="edit" grouping="f" rotation="t" aspectratio="f"/>
                  <v:shape id="Picture 20" o:spid="_x0000_s1088" o:spt="75" type="#_x0000_t75" style="position:absolute;left:0;top:0;height:780;width:1080;" filled="f" stroked="f" coordsize="21600,21600">
                    <v:path/>
                    <v:fill on="f" focussize="0,0"/>
                    <v:stroke on="f"/>
                    <v:imagedata o:title=""/>
                    <o:lock v:ext="edit" text="t" aspectratio="t"/>
                  </v:shape>
                  <v:shape id="Oval 21" o:spid="_x0000_s1089" o:spt="3" type="#_x0000_t3" style="position:absolute;left:360;top:156;flip:x;height:468;width:360;" fillcolor="#FFFFFF" filled="t" stroked="t" coordsize="21600,21600">
                    <v:path/>
                    <v:fill on="t" focussize="0,0"/>
                    <v:stroke/>
                    <v:imagedata o:title=""/>
                    <o:lock v:ext="edit" aspectratio="f"/>
                  </v:shape>
                  <v:line id="Line 22" o:spid="_x0000_s1090" o:spt="20" style="position:absolute;left:180;top:467;height:1;width:180;" filled="f" stroked="t" coordsize="21600,21600">
                    <v:path arrowok="t"/>
                    <v:fill on="f" focussize="0,0"/>
                    <v:stroke endarrow="block"/>
                    <v:imagedata o:title=""/>
                    <o:lock v:ext="edit" aspectratio="f"/>
                  </v:line>
                  <v:line id="Line 23" o:spid="_x0000_s1091" o:spt="20" style="position:absolute;left:720;top:467;height:1;width:180;" filled="f" stroked="t" coordsize="21600,21600">
                    <v:path arrowok="t"/>
                    <v:fill on="f" focussize="0,0"/>
                    <v:stroke endarrow="block"/>
                    <v:imagedata o:title=""/>
                    <o:lock v:ext="edit" aspectratio="f"/>
                  </v:line>
                  <w10:wrap type="none"/>
                  <w10:anchorlock/>
                </v:group>
              </w:pict>
            </w:r>
          </w:p>
        </w:tc>
        <w:tc>
          <w:tcPr>
            <w:tcW w:w="3091" w:type="dxa"/>
            <w:tcBorders>
              <w:top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L-90T-630-315S-315L-315</w:t>
            </w:r>
          </w:p>
        </w:tc>
        <w:tc>
          <w:tcPr>
            <w:tcW w:w="1515" w:type="dxa"/>
            <w:tcBorders>
              <w:top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M-W-F-630</w:t>
            </w:r>
          </w:p>
        </w:tc>
        <w:tc>
          <w:tcPr>
            <w:tcW w:w="1977" w:type="dxa"/>
            <w:tcBorders>
              <w:top w:val="single" w:color="auto" w:sz="8" w:space="0"/>
            </w:tcBorders>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YS315×200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047" w:hRule="atLeast"/>
          <w:jc w:val="center"/>
        </w:trPr>
        <w:tc>
          <w:tcPr>
            <w:tcW w:w="1372" w:type="dxa"/>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W2</w:t>
            </w:r>
          </w:p>
        </w:tc>
        <w:tc>
          <w:tcPr>
            <w:tcW w:w="1438" w:type="dxa"/>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pict>
                <v:line id="_x0000_s1092" o:spid="_x0000_s1092" o:spt="20" style="position:absolute;left:0pt;flip:x y;margin-left:34.1pt;margin-top:35.85pt;height:12.3pt;width:0.35pt;z-index:251678720;mso-width-relative:page;mso-height-relative:page;" filled="f" stroked="t" coordsize="21600,21600">
                  <v:path arrowok="t"/>
                  <v:fill on="f" focussize="0,0"/>
                  <v:stroke endarrow="block"/>
                  <v:imagedata o:title=""/>
                  <o:lock v:ext="edit" aspectratio="f"/>
                </v:line>
              </w:pict>
            </w:r>
            <w:r>
              <w:rPr>
                <w:rFonts w:hint="eastAsia" w:ascii="宋体" w:hAnsi="宋体" w:eastAsia="宋体" w:cs="宋体"/>
                <w:sz w:val="18"/>
                <w:szCs w:val="18"/>
              </w:rPr>
              <w:pict>
                <v:group id="_x0000_s1093" o:spid="_x0000_s1093" o:spt="203" style="height:39pt;width:69.45pt;" coordsize="1080,780">
                  <o:lock v:ext="edit" grouping="f" rotation="t" aspectratio="f"/>
                  <v:shape id="Picture 20" o:spid="_x0000_s1094" o:spt="75" type="#_x0000_t75" style="position:absolute;left:0;top:0;height:780;width:1080;" filled="f" stroked="f" coordsize="21600,21600">
                    <v:path/>
                    <v:fill on="f" focussize="0,0"/>
                    <v:stroke on="f"/>
                    <v:imagedata o:title=""/>
                    <o:lock v:ext="edit" text="t" aspectratio="t"/>
                  </v:shape>
                  <v:shape id="Oval 21" o:spid="_x0000_s1095" o:spt="3" type="#_x0000_t3" style="position:absolute;left:360;top:156;flip:x;height:468;width:360;" fillcolor="#FFFFFF" filled="t" stroked="t" coordsize="21600,21600">
                    <v:path/>
                    <v:fill on="t" focussize="0,0"/>
                    <v:stroke/>
                    <v:imagedata o:title=""/>
                    <o:lock v:ext="edit" aspectratio="f"/>
                  </v:shape>
                  <v:line id="Line 22" o:spid="_x0000_s1096" o:spt="20" style="position:absolute;left:180;top:467;height:1;width:180;" filled="f" stroked="t" coordsize="21600,21600">
                    <v:path arrowok="t"/>
                    <v:fill on="f" focussize="0,0"/>
                    <v:stroke endarrow="block"/>
                    <v:imagedata o:title=""/>
                    <o:lock v:ext="edit" aspectratio="f"/>
                  </v:line>
                  <v:line id="Line 23" o:spid="_x0000_s1097" o:spt="20" style="position:absolute;left:720;top:467;height:1;width:180;" filled="f" stroked="t" coordsize="21600,21600">
                    <v:path arrowok="t"/>
                    <v:fill on="f" focussize="0,0"/>
                    <v:stroke endarrow="block"/>
                    <v:imagedata o:title=""/>
                    <o:lock v:ext="edit" aspectratio="f"/>
                  </v:line>
                  <w10:wrap type="none"/>
                  <w10:anchorlock/>
                </v:group>
              </w:pict>
            </w:r>
          </w:p>
        </w:tc>
        <w:tc>
          <w:tcPr>
            <w:tcW w:w="3091" w:type="dxa"/>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L-90T-630-315S-315R-315</w:t>
            </w:r>
          </w:p>
        </w:tc>
        <w:tc>
          <w:tcPr>
            <w:tcW w:w="1515" w:type="dxa"/>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M-W-F-630</w:t>
            </w:r>
          </w:p>
        </w:tc>
        <w:tc>
          <w:tcPr>
            <w:tcW w:w="1977" w:type="dxa"/>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YS315×200</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38" w:hRule="atLeast"/>
          <w:jc w:val="center"/>
        </w:trPr>
        <w:tc>
          <w:tcPr>
            <w:tcW w:w="1372" w:type="dxa"/>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W3</w:t>
            </w:r>
          </w:p>
        </w:tc>
        <w:tc>
          <w:tcPr>
            <w:tcW w:w="1438" w:type="dxa"/>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pict>
                <v:group id="_x0000_s1098" o:spid="_x0000_s1098" o:spt="203" style="height:39pt;width:69.45pt;" coordsize="1080,780">
                  <o:lock v:ext="edit" grouping="f" rotation="t" aspectratio="f"/>
                  <v:shape id="Picture 20" o:spid="_x0000_s1099" o:spt="75" type="#_x0000_t75" style="position:absolute;left:0;top:0;height:780;width:1080;" filled="f" stroked="f" coordsize="21600,21600">
                    <v:path/>
                    <v:fill on="f" focussize="0,0"/>
                    <v:stroke on="f"/>
                    <v:imagedata o:title=""/>
                    <o:lock v:ext="edit" text="t" aspectratio="t"/>
                  </v:shape>
                  <v:shape id="Oval 21" o:spid="_x0000_s1100" o:spt="3" type="#_x0000_t3" style="position:absolute;left:360;top:156;flip:x;height:468;width:360;" fillcolor="#FFFFFF" filled="t" stroked="t" coordsize="21600,21600">
                    <v:path/>
                    <v:fill on="t" focussize="0,0"/>
                    <v:stroke/>
                    <v:imagedata o:title=""/>
                    <o:lock v:ext="edit" aspectratio="f"/>
                  </v:shape>
                  <v:line id="Line 22" o:spid="_x0000_s1101" o:spt="20" style="position:absolute;left:180;top:467;height:1;width:180;" filled="f" stroked="t" coordsize="21600,21600">
                    <v:path arrowok="t"/>
                    <v:fill on="f" focussize="0,0"/>
                    <v:stroke endarrow="block"/>
                    <v:imagedata o:title=""/>
                    <o:lock v:ext="edit" aspectratio="f"/>
                  </v:line>
                  <v:line id="Line 23" o:spid="_x0000_s1102" o:spt="20" style="position:absolute;left:720;top:467;height:1;width:180;" filled="f" stroked="t" coordsize="21600,21600">
                    <v:path arrowok="t"/>
                    <v:fill on="f" focussize="0,0"/>
                    <v:stroke endarrow="block"/>
                    <v:imagedata o:title=""/>
                    <o:lock v:ext="edit" aspectratio="f"/>
                  </v:line>
                  <w10:wrap type="none"/>
                  <w10:anchorlock/>
                </v:group>
              </w:pict>
            </w:r>
          </w:p>
        </w:tc>
        <w:tc>
          <w:tcPr>
            <w:tcW w:w="3091" w:type="dxa"/>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L-Z-630-315S-315</w:t>
            </w:r>
          </w:p>
        </w:tc>
        <w:tc>
          <w:tcPr>
            <w:tcW w:w="1515" w:type="dxa"/>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M-W-F-630</w:t>
            </w:r>
          </w:p>
        </w:tc>
        <w:tc>
          <w:tcPr>
            <w:tcW w:w="1977" w:type="dxa"/>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1076" w:hRule="atLeast"/>
          <w:jc w:val="center"/>
        </w:trPr>
        <w:tc>
          <w:tcPr>
            <w:tcW w:w="1372" w:type="dxa"/>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Y1</w:t>
            </w:r>
          </w:p>
        </w:tc>
        <w:tc>
          <w:tcPr>
            <w:tcW w:w="1438" w:type="dxa"/>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pict>
                <v:line id="_x0000_s1103" o:spid="_x0000_s1103" o:spt="20" style="position:absolute;left:0pt;flip:x y;margin-left:33.35pt;margin-top:35.25pt;height:12.3pt;width:0.35pt;z-index:251679744;mso-width-relative:page;mso-height-relative:page;" filled="f" stroked="t" coordsize="21600,21600">
                  <v:path arrowok="t"/>
                  <v:fill on="f" focussize="0,0"/>
                  <v:stroke endarrow="block"/>
                  <v:imagedata o:title=""/>
                  <o:lock v:ext="edit" aspectratio="f"/>
                </v:line>
              </w:pict>
            </w:r>
            <w:r>
              <w:rPr>
                <w:rFonts w:hint="eastAsia" w:ascii="宋体" w:hAnsi="宋体" w:eastAsia="宋体" w:cs="宋体"/>
                <w:sz w:val="18"/>
                <w:szCs w:val="18"/>
              </w:rPr>
              <w:pict>
                <v:group id="_x0000_s1104" o:spid="_x0000_s1104" o:spt="203" style="height:39pt;width:69.45pt;" coordsize="1080,780">
                  <o:lock v:ext="edit" grouping="f" rotation="t" aspectratio="f"/>
                  <v:shape id="Picture 20" o:spid="_x0000_s1105" o:spt="75" type="#_x0000_t75" style="position:absolute;left:0;top:0;height:780;width:1080;" filled="f" stroked="f" coordsize="21600,21600">
                    <v:path/>
                    <v:fill on="f" focussize="0,0"/>
                    <v:stroke on="f"/>
                    <v:imagedata o:title=""/>
                    <o:lock v:ext="edit" text="t" aspectratio="t"/>
                  </v:shape>
                  <v:shape id="Oval 21" o:spid="_x0000_s1106" o:spt="3" type="#_x0000_t3" style="position:absolute;left:360;top:156;flip:x;height:468;width:360;" fillcolor="#FFFFFF" filled="t" stroked="t" coordsize="21600,21600">
                    <v:path/>
                    <v:fill on="t" focussize="0,0"/>
                    <v:stroke/>
                    <v:imagedata o:title=""/>
                    <o:lock v:ext="edit" aspectratio="f"/>
                  </v:shape>
                  <v:line id="Line 22" o:spid="_x0000_s1107" o:spt="20" style="position:absolute;left:180;top:467;height:1;width:180;" filled="f" stroked="t" coordsize="21600,21600">
                    <v:path arrowok="t"/>
                    <v:fill on="f" focussize="0,0"/>
                    <v:stroke endarrow="block"/>
                    <v:imagedata o:title=""/>
                    <o:lock v:ext="edit" aspectratio="f"/>
                  </v:line>
                  <v:line id="Line 23" o:spid="_x0000_s1108" o:spt="20" style="position:absolute;left:720;top:467;height:1;width:180;" filled="f" stroked="t" coordsize="21600,21600">
                    <v:path arrowok="t"/>
                    <v:fill on="f" focussize="0,0"/>
                    <v:stroke endarrow="block"/>
                    <v:imagedata o:title=""/>
                    <o:lock v:ext="edit" aspectratio="f"/>
                  </v:line>
                  <w10:wrap type="none"/>
                  <w10:anchorlock/>
                </v:group>
              </w:pict>
            </w:r>
          </w:p>
        </w:tc>
        <w:tc>
          <w:tcPr>
            <w:tcW w:w="3091" w:type="dxa"/>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N-90T-630-315S-315R-315</w:t>
            </w:r>
          </w:p>
        </w:tc>
        <w:tc>
          <w:tcPr>
            <w:tcW w:w="1515" w:type="dxa"/>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M-Y-F-630</w:t>
            </w:r>
          </w:p>
        </w:tc>
        <w:tc>
          <w:tcPr>
            <w:tcW w:w="1977" w:type="dxa"/>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r>
      <w:tr>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962" w:hRule="atLeast"/>
          <w:jc w:val="center"/>
        </w:trPr>
        <w:tc>
          <w:tcPr>
            <w:tcW w:w="1372" w:type="dxa"/>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Y2</w:t>
            </w:r>
          </w:p>
        </w:tc>
        <w:tc>
          <w:tcPr>
            <w:tcW w:w="1438" w:type="dxa"/>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pict>
                <v:group id="_x0000_s1109" o:spid="_x0000_s1109" o:spt="203" style="height:39pt;width:69.45pt;" coordsize="1080,780">
                  <o:lock v:ext="edit" grouping="f" rotation="t" aspectratio="f"/>
                  <v:shape id="Picture 20" o:spid="_x0000_s1110" o:spt="75" type="#_x0000_t75" style="position:absolute;left:0;top:0;height:780;width:1080;" filled="f" stroked="f" coordsize="21600,21600">
                    <v:path/>
                    <v:fill on="f" focussize="0,0"/>
                    <v:stroke on="f"/>
                    <v:imagedata o:title=""/>
                    <o:lock v:ext="edit" text="t" aspectratio="t"/>
                  </v:shape>
                  <v:shape id="Oval 21" o:spid="_x0000_s1111" o:spt="3" type="#_x0000_t3" style="position:absolute;left:360;top:156;flip:x;height:468;width:360;" fillcolor="#FFFFFF" filled="t" stroked="t" coordsize="21600,21600">
                    <v:path/>
                    <v:fill on="t" focussize="0,0"/>
                    <v:stroke/>
                    <v:imagedata o:title=""/>
                    <o:lock v:ext="edit" aspectratio="f"/>
                  </v:shape>
                  <v:line id="Line 22" o:spid="_x0000_s1112" o:spt="20" style="position:absolute;left:180;top:467;height:1;width:180;" filled="f" stroked="t" coordsize="21600,21600">
                    <v:path arrowok="t"/>
                    <v:fill on="f" focussize="0,0"/>
                    <v:stroke endarrow="block"/>
                    <v:imagedata o:title=""/>
                    <o:lock v:ext="edit" aspectratio="f"/>
                  </v:line>
                  <v:line id="Line 23" o:spid="_x0000_s1113" o:spt="20" style="position:absolute;left:720;top:467;height:1;width:180;" filled="f" stroked="t" coordsize="21600,21600">
                    <v:path arrowok="t"/>
                    <v:fill on="f" focussize="0,0"/>
                    <v:stroke endarrow="block"/>
                    <v:imagedata o:title=""/>
                    <o:lock v:ext="edit" aspectratio="f"/>
                  </v:line>
                  <w10:wrap type="none"/>
                  <w10:anchorlock/>
                </v:group>
              </w:pict>
            </w:r>
          </w:p>
        </w:tc>
        <w:tc>
          <w:tcPr>
            <w:tcW w:w="3091" w:type="dxa"/>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N-Z-630-315S-315</w:t>
            </w:r>
          </w:p>
        </w:tc>
        <w:tc>
          <w:tcPr>
            <w:tcW w:w="1515" w:type="dxa"/>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M-Y-F-630</w:t>
            </w:r>
          </w:p>
        </w:tc>
        <w:tc>
          <w:tcPr>
            <w:tcW w:w="1977" w:type="dxa"/>
            <w:noWrap w:val="0"/>
            <w:vAlign w:val="center"/>
          </w:tcPr>
          <w:p>
            <w:pPr>
              <w:adjustRightInd/>
              <w:spacing w:line="240" w:lineRule="auto"/>
              <w:jc w:val="center"/>
              <w:rPr>
                <w:rFonts w:hint="eastAsia" w:ascii="宋体" w:hAnsi="宋体" w:eastAsia="宋体" w:cs="宋体"/>
                <w:sz w:val="18"/>
                <w:szCs w:val="18"/>
              </w:rPr>
            </w:pPr>
            <w:r>
              <w:rPr>
                <w:rFonts w:hint="eastAsia" w:ascii="宋体" w:hAnsi="宋体" w:eastAsia="宋体" w:cs="宋体"/>
                <w:sz w:val="18"/>
                <w:szCs w:val="18"/>
              </w:rPr>
              <w:t>—</w:t>
            </w:r>
          </w:p>
        </w:tc>
      </w:tr>
    </w:tbl>
    <w:p>
      <w:pPr>
        <w:pStyle w:val="213"/>
        <w:numPr>
          <w:ilvl w:val="1"/>
          <w:numId w:val="0"/>
        </w:numPr>
        <w:ind w:leftChars="0" w:firstLine="420" w:firstLineChars="200"/>
        <w:jc w:val="center"/>
        <w:rPr>
          <w:rFonts w:hint="eastAsia" w:ascii="黑体" w:hAnsi="黑体" w:eastAsia="黑体" w:cs="黑体"/>
          <w:color w:val="000000"/>
          <w:lang w:val="en-US" w:eastAsia="zh-CN"/>
        </w:rPr>
      </w:pPr>
    </w:p>
    <w:p>
      <w:r>
        <w:br w:type="page"/>
      </w:r>
    </w:p>
    <w:p>
      <w:pPr>
        <w:pStyle w:val="78"/>
        <w:spacing w:before="78" w:after="156"/>
      </w:pPr>
      <w:bookmarkStart w:id="94" w:name="_Toc12994"/>
      <w:r>
        <w:br w:type="textWrapping"/>
      </w:r>
      <w:r>
        <w:rPr>
          <w:rFonts w:hint="eastAsia"/>
        </w:rPr>
        <w:t>（资料性）</w:t>
      </w:r>
      <w:r>
        <w:br w:type="textWrapping"/>
      </w:r>
      <w:r>
        <w:rPr>
          <w:rFonts w:hint="eastAsia"/>
          <w:lang w:eastAsia="zh-CN"/>
        </w:rPr>
        <w:t>排水用塑料检查井工程检验记录表</w:t>
      </w:r>
      <w:bookmarkEnd w:id="94"/>
    </w:p>
    <w:p>
      <w:pPr>
        <w:pStyle w:val="213"/>
        <w:numPr>
          <w:ilvl w:val="1"/>
          <w:numId w:val="0"/>
        </w:numPr>
        <w:ind w:leftChars="0" w:firstLine="420" w:firstLineChars="200"/>
        <w:rPr>
          <w:rFonts w:hint="eastAsia"/>
          <w:color w:val="000000"/>
        </w:rPr>
      </w:pPr>
      <w:r>
        <w:rPr>
          <w:rFonts w:hint="eastAsia"/>
          <w:color w:val="000000"/>
        </w:rPr>
        <w:t>排水用塑料检查井工程检验记录表见表</w:t>
      </w:r>
      <w:r>
        <w:rPr>
          <w:rFonts w:hint="eastAsia"/>
          <w:color w:val="000000"/>
          <w:lang w:val="en-US" w:eastAsia="zh-CN"/>
        </w:rPr>
        <w:t>F</w:t>
      </w:r>
      <w:r>
        <w:rPr>
          <w:rFonts w:hint="eastAsia"/>
          <w:color w:val="000000"/>
        </w:rPr>
        <w:t>.</w:t>
      </w:r>
      <w:r>
        <w:rPr>
          <w:rFonts w:hint="eastAsia"/>
          <w:color w:val="000000"/>
          <w:lang w:val="en-US" w:eastAsia="zh-CN"/>
        </w:rPr>
        <w:t>1</w:t>
      </w:r>
      <w:r>
        <w:rPr>
          <w:rFonts w:hint="eastAsia"/>
          <w:color w:val="000000"/>
        </w:rPr>
        <w:t>。</w:t>
      </w:r>
    </w:p>
    <w:p>
      <w:pPr>
        <w:pStyle w:val="213"/>
        <w:numPr>
          <w:ilvl w:val="1"/>
          <w:numId w:val="0"/>
        </w:numPr>
        <w:ind w:leftChars="0" w:firstLine="420" w:firstLineChars="200"/>
        <w:jc w:val="center"/>
        <w:rPr>
          <w:rFonts w:hint="eastAsia" w:ascii="黑体" w:hAnsi="黑体" w:eastAsia="黑体" w:cs="黑体"/>
          <w:color w:val="000000"/>
        </w:rPr>
      </w:pPr>
      <w:r>
        <w:rPr>
          <w:rFonts w:hint="eastAsia" w:ascii="黑体" w:hAnsi="黑体" w:eastAsia="黑体" w:cs="黑体"/>
          <w:color w:val="000000"/>
        </w:rPr>
        <w:t>表</w:t>
      </w:r>
      <w:r>
        <w:rPr>
          <w:rFonts w:hint="eastAsia" w:ascii="黑体" w:hAnsi="黑体" w:eastAsia="黑体" w:cs="黑体"/>
          <w:color w:val="000000"/>
          <w:lang w:val="en-US" w:eastAsia="zh-CN"/>
        </w:rPr>
        <w:t>F</w:t>
      </w:r>
      <w:r>
        <w:rPr>
          <w:rFonts w:hint="eastAsia" w:ascii="黑体" w:hAnsi="黑体" w:eastAsia="黑体" w:cs="黑体"/>
          <w:color w:val="000000"/>
        </w:rPr>
        <w:t>.</w:t>
      </w:r>
      <w:r>
        <w:rPr>
          <w:rFonts w:hint="eastAsia" w:ascii="黑体" w:hAnsi="黑体" w:eastAsia="黑体" w:cs="黑体"/>
          <w:color w:val="000000"/>
          <w:lang w:val="en-US" w:eastAsia="zh-CN"/>
        </w:rPr>
        <w:t xml:space="preserve">1 </w:t>
      </w:r>
      <w:r>
        <w:rPr>
          <w:rFonts w:hint="eastAsia" w:ascii="黑体" w:hAnsi="黑体" w:eastAsia="黑体" w:cs="黑体"/>
          <w:color w:val="000000"/>
        </w:rPr>
        <w:t>排水用塑料检查井工程检验记录表</w:t>
      </w:r>
    </w:p>
    <w:tbl>
      <w:tblPr>
        <w:tblStyle w:val="27"/>
        <w:tblW w:w="9360" w:type="dxa"/>
        <w:tblInd w:w="91" w:type="dxa"/>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Layout w:type="fixed"/>
        <w:tblCellMar>
          <w:top w:w="0" w:type="dxa"/>
          <w:left w:w="108" w:type="dxa"/>
          <w:bottom w:w="0" w:type="dxa"/>
          <w:right w:w="108" w:type="dxa"/>
        </w:tblCellMar>
      </w:tblPr>
      <w:tblGrid>
        <w:gridCol w:w="1201"/>
        <w:gridCol w:w="1250"/>
        <w:gridCol w:w="805"/>
        <w:gridCol w:w="285"/>
        <w:gridCol w:w="885"/>
        <w:gridCol w:w="216"/>
        <w:gridCol w:w="759"/>
        <w:gridCol w:w="195"/>
        <w:gridCol w:w="231"/>
        <w:gridCol w:w="459"/>
        <w:gridCol w:w="387"/>
        <w:gridCol w:w="245"/>
        <w:gridCol w:w="358"/>
        <w:gridCol w:w="1007"/>
        <w:gridCol w:w="1077"/>
      </w:tblGrid>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23" w:hRule="atLeast"/>
        </w:trPr>
        <w:tc>
          <w:tcPr>
            <w:tcW w:w="2451" w:type="dxa"/>
            <w:gridSpan w:val="2"/>
            <w:noWrap w:val="0"/>
            <w:vAlign w:val="center"/>
          </w:tcPr>
          <w:p>
            <w:pPr>
              <w:widowControl/>
              <w:spacing w:line="240" w:lineRule="auto"/>
              <w:jc w:val="center"/>
              <w:textAlignment w:val="center"/>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工程名称</w:t>
            </w:r>
          </w:p>
        </w:tc>
        <w:tc>
          <w:tcPr>
            <w:tcW w:w="3145" w:type="dxa"/>
            <w:gridSpan w:val="6"/>
            <w:noWrap w:val="0"/>
            <w:vAlign w:val="center"/>
          </w:tcPr>
          <w:p>
            <w:pPr>
              <w:spacing w:line="240" w:lineRule="auto"/>
              <w:jc w:val="center"/>
              <w:rPr>
                <w:rFonts w:hint="eastAsia" w:ascii="宋体" w:hAnsi="宋体" w:eastAsia="宋体" w:cs="宋体"/>
                <w:color w:val="000000"/>
                <w:sz w:val="18"/>
                <w:szCs w:val="18"/>
              </w:rPr>
            </w:pPr>
          </w:p>
        </w:tc>
        <w:tc>
          <w:tcPr>
            <w:tcW w:w="1322" w:type="dxa"/>
            <w:gridSpan w:val="4"/>
            <w:noWrap w:val="0"/>
            <w:vAlign w:val="center"/>
          </w:tcPr>
          <w:p>
            <w:pPr>
              <w:widowControl/>
              <w:spacing w:line="240" w:lineRule="auto"/>
              <w:jc w:val="center"/>
              <w:textAlignment w:val="center"/>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检查井编号</w:t>
            </w:r>
          </w:p>
        </w:tc>
        <w:tc>
          <w:tcPr>
            <w:tcW w:w="2442" w:type="dxa"/>
            <w:gridSpan w:val="3"/>
            <w:noWrap w:val="0"/>
            <w:vAlign w:val="center"/>
          </w:tcPr>
          <w:p>
            <w:pPr>
              <w:spacing w:line="240" w:lineRule="auto"/>
              <w:jc w:val="center"/>
              <w:rPr>
                <w:rFonts w:hint="eastAsia" w:ascii="宋体" w:hAnsi="宋体" w:eastAsia="宋体" w:cs="宋体"/>
                <w:color w:val="000000"/>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23" w:hRule="atLeast"/>
        </w:trPr>
        <w:tc>
          <w:tcPr>
            <w:tcW w:w="2451" w:type="dxa"/>
            <w:gridSpan w:val="2"/>
            <w:noWrap w:val="0"/>
            <w:vAlign w:val="center"/>
          </w:tcPr>
          <w:p>
            <w:pPr>
              <w:widowControl/>
              <w:spacing w:line="240" w:lineRule="auto"/>
              <w:jc w:val="center"/>
              <w:textAlignment w:val="center"/>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施工单位</w:t>
            </w:r>
          </w:p>
        </w:tc>
        <w:tc>
          <w:tcPr>
            <w:tcW w:w="3145" w:type="dxa"/>
            <w:gridSpan w:val="6"/>
            <w:noWrap w:val="0"/>
            <w:vAlign w:val="center"/>
          </w:tcPr>
          <w:p>
            <w:pPr>
              <w:spacing w:line="240" w:lineRule="auto"/>
              <w:jc w:val="center"/>
              <w:rPr>
                <w:rFonts w:hint="eastAsia" w:ascii="宋体" w:hAnsi="宋体" w:eastAsia="宋体" w:cs="宋体"/>
                <w:color w:val="000000"/>
                <w:sz w:val="18"/>
                <w:szCs w:val="18"/>
              </w:rPr>
            </w:pPr>
          </w:p>
        </w:tc>
        <w:tc>
          <w:tcPr>
            <w:tcW w:w="1322" w:type="dxa"/>
            <w:gridSpan w:val="4"/>
            <w:noWrap w:val="0"/>
            <w:vAlign w:val="center"/>
          </w:tcPr>
          <w:p>
            <w:pPr>
              <w:widowControl/>
              <w:spacing w:line="240" w:lineRule="auto"/>
              <w:jc w:val="center"/>
              <w:textAlignment w:val="center"/>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监理单位</w:t>
            </w:r>
          </w:p>
        </w:tc>
        <w:tc>
          <w:tcPr>
            <w:tcW w:w="2442" w:type="dxa"/>
            <w:gridSpan w:val="3"/>
            <w:noWrap w:val="0"/>
            <w:vAlign w:val="center"/>
          </w:tcPr>
          <w:p>
            <w:pPr>
              <w:spacing w:line="240" w:lineRule="auto"/>
              <w:jc w:val="center"/>
              <w:rPr>
                <w:rFonts w:hint="eastAsia" w:ascii="宋体" w:hAnsi="宋体" w:eastAsia="宋体" w:cs="宋体"/>
                <w:color w:val="000000"/>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23" w:hRule="atLeast"/>
        </w:trPr>
        <w:tc>
          <w:tcPr>
            <w:tcW w:w="2451" w:type="dxa"/>
            <w:gridSpan w:val="2"/>
            <w:vMerge w:val="restart"/>
            <w:noWrap w:val="0"/>
            <w:vAlign w:val="center"/>
          </w:tcPr>
          <w:p>
            <w:pPr>
              <w:widowControl/>
              <w:spacing w:line="240" w:lineRule="auto"/>
              <w:jc w:val="center"/>
              <w:textAlignment w:val="center"/>
              <w:rPr>
                <w:rFonts w:hint="eastAsia" w:ascii="宋体" w:hAnsi="宋体" w:eastAsia="宋体" w:cs="宋体"/>
                <w:color w:val="000000"/>
                <w:kern w:val="0"/>
                <w:sz w:val="18"/>
                <w:szCs w:val="18"/>
                <w:lang w:bidi="ar"/>
              </w:rPr>
            </w:pPr>
            <w:r>
              <w:rPr>
                <w:rFonts w:hint="eastAsia" w:ascii="宋体" w:hAnsi="宋体" w:eastAsia="宋体" w:cs="宋体"/>
                <w:color w:val="000000"/>
                <w:kern w:val="0"/>
                <w:sz w:val="18"/>
                <w:szCs w:val="18"/>
                <w:lang w:bidi="ar"/>
              </w:rPr>
              <w:t>检查井</w:t>
            </w:r>
          </w:p>
          <w:p>
            <w:pPr>
              <w:widowControl/>
              <w:spacing w:line="240" w:lineRule="auto"/>
              <w:jc w:val="center"/>
              <w:textAlignment w:val="center"/>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规格尺寸</w:t>
            </w:r>
          </w:p>
        </w:tc>
        <w:tc>
          <w:tcPr>
            <w:tcW w:w="1090" w:type="dxa"/>
            <w:gridSpan w:val="2"/>
            <w:noWrap w:val="0"/>
            <w:vAlign w:val="center"/>
          </w:tcPr>
          <w:p>
            <w:pPr>
              <w:widowControl/>
              <w:spacing w:line="240" w:lineRule="auto"/>
              <w:jc w:val="center"/>
              <w:textAlignment w:val="center"/>
              <w:rPr>
                <w:rFonts w:hint="eastAsia" w:ascii="宋体" w:hAnsi="宋体" w:eastAsia="宋体" w:cs="宋体"/>
                <w:color w:val="000000"/>
                <w:sz w:val="18"/>
                <w:szCs w:val="18"/>
                <w:lang w:eastAsia="zh-CN"/>
              </w:rPr>
            </w:pPr>
            <w:r>
              <w:rPr>
                <w:rFonts w:hint="eastAsia" w:ascii="宋体" w:hAnsi="宋体" w:eastAsia="宋体" w:cs="宋体"/>
                <w:color w:val="000000"/>
                <w:kern w:val="0"/>
                <w:sz w:val="18"/>
                <w:szCs w:val="18"/>
                <w:lang w:eastAsia="zh-CN" w:bidi="ar"/>
              </w:rPr>
              <w:t>井座</w:t>
            </w:r>
          </w:p>
        </w:tc>
        <w:tc>
          <w:tcPr>
            <w:tcW w:w="885" w:type="dxa"/>
            <w:noWrap w:val="0"/>
            <w:vAlign w:val="center"/>
          </w:tcPr>
          <w:p>
            <w:pPr>
              <w:widowControl/>
              <w:spacing w:line="240" w:lineRule="auto"/>
              <w:jc w:val="center"/>
              <w:textAlignment w:val="center"/>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井筒</w:t>
            </w:r>
          </w:p>
        </w:tc>
        <w:tc>
          <w:tcPr>
            <w:tcW w:w="975" w:type="dxa"/>
            <w:gridSpan w:val="2"/>
            <w:noWrap w:val="0"/>
            <w:vAlign w:val="center"/>
          </w:tcPr>
          <w:p>
            <w:pPr>
              <w:widowControl/>
              <w:spacing w:line="240" w:lineRule="auto"/>
              <w:jc w:val="center"/>
              <w:textAlignment w:val="center"/>
              <w:rPr>
                <w:rFonts w:hint="eastAsia" w:ascii="宋体" w:hAnsi="宋体" w:eastAsia="宋体" w:cs="宋体"/>
                <w:color w:val="000000"/>
                <w:sz w:val="18"/>
                <w:szCs w:val="18"/>
              </w:rPr>
            </w:pPr>
            <w:r>
              <w:rPr>
                <w:rFonts w:hint="eastAsia" w:ascii="宋体" w:hAnsi="宋体" w:eastAsia="宋体" w:cs="宋体"/>
                <w:color w:val="000000"/>
                <w:sz w:val="18"/>
                <w:szCs w:val="18"/>
              </w:rPr>
              <w:t>偏置</w:t>
            </w:r>
          </w:p>
          <w:p>
            <w:pPr>
              <w:widowControl/>
              <w:spacing w:line="240" w:lineRule="auto"/>
              <w:jc w:val="center"/>
              <w:textAlignment w:val="center"/>
              <w:rPr>
                <w:rFonts w:hint="eastAsia" w:ascii="宋体" w:hAnsi="宋体" w:eastAsia="宋体" w:cs="宋体"/>
                <w:color w:val="000000"/>
                <w:sz w:val="18"/>
                <w:szCs w:val="18"/>
              </w:rPr>
            </w:pPr>
            <w:r>
              <w:rPr>
                <w:rFonts w:hint="eastAsia" w:ascii="宋体" w:hAnsi="宋体" w:eastAsia="宋体" w:cs="宋体"/>
                <w:color w:val="000000"/>
                <w:sz w:val="18"/>
                <w:szCs w:val="18"/>
              </w:rPr>
              <w:t>收口</w:t>
            </w:r>
          </w:p>
        </w:tc>
        <w:tc>
          <w:tcPr>
            <w:tcW w:w="885" w:type="dxa"/>
            <w:gridSpan w:val="3"/>
            <w:noWrap w:val="0"/>
            <w:vAlign w:val="center"/>
          </w:tcPr>
          <w:p>
            <w:pPr>
              <w:widowControl/>
              <w:spacing w:line="240" w:lineRule="auto"/>
              <w:jc w:val="center"/>
              <w:textAlignment w:val="center"/>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井盖</w:t>
            </w:r>
          </w:p>
        </w:tc>
        <w:tc>
          <w:tcPr>
            <w:tcW w:w="990" w:type="dxa"/>
            <w:gridSpan w:val="3"/>
            <w:noWrap w:val="0"/>
            <w:vAlign w:val="center"/>
          </w:tcPr>
          <w:p>
            <w:pPr>
              <w:widowControl/>
              <w:spacing w:line="240" w:lineRule="auto"/>
              <w:jc w:val="center"/>
              <w:textAlignment w:val="center"/>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井部件连接方式</w:t>
            </w:r>
          </w:p>
        </w:tc>
        <w:tc>
          <w:tcPr>
            <w:tcW w:w="1007" w:type="dxa"/>
            <w:noWrap w:val="0"/>
            <w:vAlign w:val="center"/>
          </w:tcPr>
          <w:p>
            <w:pPr>
              <w:widowControl/>
              <w:spacing w:line="240" w:lineRule="auto"/>
              <w:jc w:val="center"/>
              <w:textAlignment w:val="center"/>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管道承插口形式</w:t>
            </w:r>
          </w:p>
        </w:tc>
        <w:tc>
          <w:tcPr>
            <w:tcW w:w="1077" w:type="dxa"/>
            <w:noWrap w:val="0"/>
            <w:vAlign w:val="center"/>
          </w:tcPr>
          <w:p>
            <w:pPr>
              <w:widowControl/>
              <w:spacing w:line="240" w:lineRule="auto"/>
              <w:jc w:val="center"/>
              <w:textAlignment w:val="center"/>
              <w:rPr>
                <w:rFonts w:hint="eastAsia" w:ascii="宋体" w:hAnsi="宋体" w:eastAsia="宋体" w:cs="宋体"/>
                <w:color w:val="000000"/>
                <w:kern w:val="0"/>
                <w:sz w:val="18"/>
                <w:szCs w:val="18"/>
                <w:lang w:bidi="ar"/>
              </w:rPr>
            </w:pPr>
            <w:r>
              <w:rPr>
                <w:rFonts w:hint="eastAsia" w:ascii="宋体" w:hAnsi="宋体" w:eastAsia="宋体" w:cs="宋体"/>
                <w:color w:val="000000"/>
                <w:kern w:val="0"/>
                <w:sz w:val="18"/>
                <w:szCs w:val="18"/>
                <w:lang w:bidi="ar"/>
              </w:rPr>
              <w:t>连接</w:t>
            </w:r>
          </w:p>
          <w:p>
            <w:pPr>
              <w:widowControl/>
              <w:spacing w:line="240" w:lineRule="auto"/>
              <w:jc w:val="center"/>
              <w:textAlignment w:val="center"/>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管件</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23" w:hRule="atLeast"/>
        </w:trPr>
        <w:tc>
          <w:tcPr>
            <w:tcW w:w="2451" w:type="dxa"/>
            <w:gridSpan w:val="2"/>
            <w:vMerge w:val="continue"/>
            <w:noWrap w:val="0"/>
            <w:vAlign w:val="center"/>
          </w:tcPr>
          <w:p>
            <w:pPr>
              <w:spacing w:line="240" w:lineRule="auto"/>
              <w:jc w:val="center"/>
              <w:rPr>
                <w:rFonts w:hint="eastAsia" w:ascii="宋体" w:hAnsi="宋体" w:eastAsia="宋体" w:cs="宋体"/>
                <w:color w:val="000000"/>
                <w:sz w:val="18"/>
                <w:szCs w:val="18"/>
              </w:rPr>
            </w:pPr>
          </w:p>
        </w:tc>
        <w:tc>
          <w:tcPr>
            <w:tcW w:w="1090" w:type="dxa"/>
            <w:gridSpan w:val="2"/>
            <w:noWrap w:val="0"/>
            <w:vAlign w:val="center"/>
          </w:tcPr>
          <w:p>
            <w:pPr>
              <w:spacing w:line="240" w:lineRule="auto"/>
              <w:jc w:val="center"/>
              <w:rPr>
                <w:rFonts w:hint="eastAsia" w:ascii="宋体" w:hAnsi="宋体" w:eastAsia="宋体" w:cs="宋体"/>
                <w:color w:val="000000"/>
                <w:sz w:val="18"/>
                <w:szCs w:val="18"/>
              </w:rPr>
            </w:pPr>
          </w:p>
        </w:tc>
        <w:tc>
          <w:tcPr>
            <w:tcW w:w="885" w:type="dxa"/>
            <w:noWrap w:val="0"/>
            <w:vAlign w:val="center"/>
          </w:tcPr>
          <w:p>
            <w:pPr>
              <w:spacing w:line="240" w:lineRule="auto"/>
              <w:jc w:val="center"/>
              <w:rPr>
                <w:rFonts w:hint="eastAsia" w:ascii="宋体" w:hAnsi="宋体" w:eastAsia="宋体" w:cs="宋体"/>
                <w:color w:val="000000"/>
                <w:sz w:val="18"/>
                <w:szCs w:val="18"/>
              </w:rPr>
            </w:pPr>
          </w:p>
        </w:tc>
        <w:tc>
          <w:tcPr>
            <w:tcW w:w="975" w:type="dxa"/>
            <w:gridSpan w:val="2"/>
            <w:noWrap w:val="0"/>
            <w:vAlign w:val="center"/>
          </w:tcPr>
          <w:p>
            <w:pPr>
              <w:spacing w:line="240" w:lineRule="auto"/>
              <w:jc w:val="center"/>
              <w:rPr>
                <w:rFonts w:hint="eastAsia" w:ascii="宋体" w:hAnsi="宋体" w:eastAsia="宋体" w:cs="宋体"/>
                <w:color w:val="000000"/>
                <w:sz w:val="18"/>
                <w:szCs w:val="18"/>
              </w:rPr>
            </w:pPr>
          </w:p>
        </w:tc>
        <w:tc>
          <w:tcPr>
            <w:tcW w:w="885" w:type="dxa"/>
            <w:gridSpan w:val="3"/>
            <w:noWrap w:val="0"/>
            <w:vAlign w:val="center"/>
          </w:tcPr>
          <w:p>
            <w:pPr>
              <w:spacing w:line="240" w:lineRule="auto"/>
              <w:jc w:val="center"/>
              <w:rPr>
                <w:rFonts w:hint="eastAsia" w:ascii="宋体" w:hAnsi="宋体" w:eastAsia="宋体" w:cs="宋体"/>
                <w:color w:val="000000"/>
                <w:sz w:val="18"/>
                <w:szCs w:val="18"/>
              </w:rPr>
            </w:pPr>
          </w:p>
        </w:tc>
        <w:tc>
          <w:tcPr>
            <w:tcW w:w="990" w:type="dxa"/>
            <w:gridSpan w:val="3"/>
            <w:noWrap w:val="0"/>
            <w:vAlign w:val="center"/>
          </w:tcPr>
          <w:p>
            <w:pPr>
              <w:spacing w:line="240" w:lineRule="auto"/>
              <w:jc w:val="center"/>
              <w:rPr>
                <w:rFonts w:hint="eastAsia" w:ascii="宋体" w:hAnsi="宋体" w:eastAsia="宋体" w:cs="宋体"/>
                <w:color w:val="000000"/>
                <w:sz w:val="18"/>
                <w:szCs w:val="18"/>
              </w:rPr>
            </w:pPr>
          </w:p>
        </w:tc>
        <w:tc>
          <w:tcPr>
            <w:tcW w:w="1007" w:type="dxa"/>
            <w:noWrap w:val="0"/>
            <w:vAlign w:val="center"/>
          </w:tcPr>
          <w:p>
            <w:pPr>
              <w:spacing w:line="240" w:lineRule="auto"/>
              <w:jc w:val="center"/>
              <w:rPr>
                <w:rFonts w:hint="eastAsia" w:ascii="宋体" w:hAnsi="宋体" w:eastAsia="宋体" w:cs="宋体"/>
                <w:color w:val="000000"/>
                <w:sz w:val="18"/>
                <w:szCs w:val="18"/>
              </w:rPr>
            </w:pPr>
          </w:p>
        </w:tc>
        <w:tc>
          <w:tcPr>
            <w:tcW w:w="1077" w:type="dxa"/>
            <w:noWrap w:val="0"/>
            <w:vAlign w:val="center"/>
          </w:tcPr>
          <w:p>
            <w:pPr>
              <w:spacing w:line="240" w:lineRule="auto"/>
              <w:jc w:val="center"/>
              <w:rPr>
                <w:rFonts w:hint="eastAsia" w:ascii="宋体" w:hAnsi="宋体" w:eastAsia="宋体" w:cs="宋体"/>
                <w:color w:val="000000"/>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23" w:hRule="atLeast"/>
        </w:trPr>
        <w:tc>
          <w:tcPr>
            <w:tcW w:w="2451" w:type="dxa"/>
            <w:gridSpan w:val="2"/>
            <w:noWrap w:val="0"/>
            <w:vAlign w:val="center"/>
          </w:tcPr>
          <w:p>
            <w:pPr>
              <w:widowControl/>
              <w:spacing w:line="240" w:lineRule="auto"/>
              <w:jc w:val="center"/>
              <w:textAlignment w:val="center"/>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检验项目</w:t>
            </w:r>
          </w:p>
        </w:tc>
        <w:tc>
          <w:tcPr>
            <w:tcW w:w="2191" w:type="dxa"/>
            <w:gridSpan w:val="4"/>
            <w:noWrap w:val="0"/>
            <w:vAlign w:val="center"/>
          </w:tcPr>
          <w:p>
            <w:pPr>
              <w:widowControl/>
              <w:spacing w:line="240" w:lineRule="auto"/>
              <w:jc w:val="center"/>
              <w:textAlignment w:val="center"/>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允许偏差（mm）</w:t>
            </w:r>
          </w:p>
        </w:tc>
        <w:tc>
          <w:tcPr>
            <w:tcW w:w="2276" w:type="dxa"/>
            <w:gridSpan w:val="6"/>
            <w:noWrap w:val="0"/>
            <w:vAlign w:val="center"/>
          </w:tcPr>
          <w:p>
            <w:pPr>
              <w:widowControl/>
              <w:spacing w:line="240" w:lineRule="auto"/>
              <w:jc w:val="center"/>
              <w:textAlignment w:val="center"/>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施工单位检验评定记录</w:t>
            </w:r>
          </w:p>
        </w:tc>
        <w:tc>
          <w:tcPr>
            <w:tcW w:w="2442" w:type="dxa"/>
            <w:gridSpan w:val="3"/>
            <w:noWrap w:val="0"/>
            <w:vAlign w:val="center"/>
          </w:tcPr>
          <w:p>
            <w:pPr>
              <w:widowControl/>
              <w:spacing w:line="240" w:lineRule="auto"/>
              <w:jc w:val="center"/>
              <w:textAlignment w:val="center"/>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监理单位检验记录</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23" w:hRule="atLeast"/>
        </w:trPr>
        <w:tc>
          <w:tcPr>
            <w:tcW w:w="2451" w:type="dxa"/>
            <w:gridSpan w:val="2"/>
            <w:vMerge w:val="restart"/>
            <w:noWrap w:val="0"/>
            <w:vAlign w:val="center"/>
          </w:tcPr>
          <w:p>
            <w:pPr>
              <w:widowControl/>
              <w:spacing w:line="240" w:lineRule="auto"/>
              <w:jc w:val="center"/>
              <w:textAlignment w:val="center"/>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井底高程</w:t>
            </w:r>
          </w:p>
        </w:tc>
        <w:tc>
          <w:tcPr>
            <w:tcW w:w="2191" w:type="dxa"/>
            <w:gridSpan w:val="4"/>
            <w:noWrap w:val="0"/>
            <w:vAlign w:val="center"/>
          </w:tcPr>
          <w:p>
            <w:pPr>
              <w:widowControl/>
              <w:spacing w:line="240" w:lineRule="auto"/>
              <w:jc w:val="center"/>
              <w:textAlignment w:val="center"/>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安装后：±10</w:t>
            </w:r>
          </w:p>
        </w:tc>
        <w:tc>
          <w:tcPr>
            <w:tcW w:w="2276" w:type="dxa"/>
            <w:gridSpan w:val="6"/>
            <w:noWrap w:val="0"/>
            <w:vAlign w:val="center"/>
          </w:tcPr>
          <w:p>
            <w:pPr>
              <w:spacing w:line="240" w:lineRule="auto"/>
              <w:jc w:val="center"/>
              <w:rPr>
                <w:rFonts w:hint="eastAsia" w:ascii="宋体" w:hAnsi="宋体" w:eastAsia="宋体" w:cs="宋体"/>
                <w:color w:val="000000"/>
                <w:sz w:val="18"/>
                <w:szCs w:val="18"/>
              </w:rPr>
            </w:pPr>
          </w:p>
        </w:tc>
        <w:tc>
          <w:tcPr>
            <w:tcW w:w="2442" w:type="dxa"/>
            <w:gridSpan w:val="3"/>
            <w:noWrap w:val="0"/>
            <w:vAlign w:val="center"/>
          </w:tcPr>
          <w:p>
            <w:pPr>
              <w:spacing w:line="240" w:lineRule="auto"/>
              <w:jc w:val="center"/>
              <w:rPr>
                <w:rFonts w:hint="eastAsia" w:ascii="宋体" w:hAnsi="宋体" w:eastAsia="宋体" w:cs="宋体"/>
                <w:color w:val="000000"/>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23" w:hRule="atLeast"/>
        </w:trPr>
        <w:tc>
          <w:tcPr>
            <w:tcW w:w="2451" w:type="dxa"/>
            <w:gridSpan w:val="2"/>
            <w:vMerge w:val="continue"/>
            <w:noWrap w:val="0"/>
            <w:vAlign w:val="center"/>
          </w:tcPr>
          <w:p>
            <w:pPr>
              <w:spacing w:line="240" w:lineRule="auto"/>
              <w:jc w:val="center"/>
              <w:rPr>
                <w:rFonts w:hint="eastAsia" w:ascii="宋体" w:hAnsi="宋体" w:eastAsia="宋体" w:cs="宋体"/>
                <w:color w:val="000000"/>
                <w:sz w:val="18"/>
                <w:szCs w:val="18"/>
              </w:rPr>
            </w:pPr>
          </w:p>
        </w:tc>
        <w:tc>
          <w:tcPr>
            <w:tcW w:w="2191" w:type="dxa"/>
            <w:gridSpan w:val="4"/>
            <w:noWrap w:val="0"/>
            <w:vAlign w:val="center"/>
          </w:tcPr>
          <w:p>
            <w:pPr>
              <w:widowControl/>
              <w:spacing w:line="240" w:lineRule="auto"/>
              <w:jc w:val="center"/>
              <w:textAlignment w:val="center"/>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回填后：±15</w:t>
            </w:r>
          </w:p>
        </w:tc>
        <w:tc>
          <w:tcPr>
            <w:tcW w:w="2276" w:type="dxa"/>
            <w:gridSpan w:val="6"/>
            <w:noWrap w:val="0"/>
            <w:vAlign w:val="center"/>
          </w:tcPr>
          <w:p>
            <w:pPr>
              <w:spacing w:line="240" w:lineRule="auto"/>
              <w:jc w:val="center"/>
              <w:rPr>
                <w:rFonts w:hint="eastAsia" w:ascii="宋体" w:hAnsi="宋体" w:eastAsia="宋体" w:cs="宋体"/>
                <w:color w:val="000000"/>
                <w:sz w:val="18"/>
                <w:szCs w:val="18"/>
              </w:rPr>
            </w:pPr>
          </w:p>
        </w:tc>
        <w:tc>
          <w:tcPr>
            <w:tcW w:w="2442" w:type="dxa"/>
            <w:gridSpan w:val="3"/>
            <w:noWrap w:val="0"/>
            <w:vAlign w:val="center"/>
          </w:tcPr>
          <w:p>
            <w:pPr>
              <w:spacing w:line="240" w:lineRule="auto"/>
              <w:jc w:val="center"/>
              <w:rPr>
                <w:rFonts w:hint="eastAsia" w:ascii="宋体" w:hAnsi="宋体" w:eastAsia="宋体" w:cs="宋体"/>
                <w:color w:val="000000"/>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23" w:hRule="atLeast"/>
        </w:trPr>
        <w:tc>
          <w:tcPr>
            <w:tcW w:w="2451" w:type="dxa"/>
            <w:gridSpan w:val="2"/>
            <w:vMerge w:val="restart"/>
            <w:noWrap w:val="0"/>
            <w:vAlign w:val="center"/>
          </w:tcPr>
          <w:p>
            <w:pPr>
              <w:widowControl/>
              <w:spacing w:line="240" w:lineRule="auto"/>
              <w:jc w:val="center"/>
              <w:textAlignment w:val="center"/>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井中心位置</w:t>
            </w:r>
          </w:p>
        </w:tc>
        <w:tc>
          <w:tcPr>
            <w:tcW w:w="2191" w:type="dxa"/>
            <w:gridSpan w:val="4"/>
            <w:noWrap w:val="0"/>
            <w:vAlign w:val="center"/>
          </w:tcPr>
          <w:p>
            <w:pPr>
              <w:widowControl/>
              <w:spacing w:line="240" w:lineRule="auto"/>
              <w:jc w:val="center"/>
              <w:textAlignment w:val="center"/>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安装后：≤15</w:t>
            </w:r>
          </w:p>
        </w:tc>
        <w:tc>
          <w:tcPr>
            <w:tcW w:w="2276" w:type="dxa"/>
            <w:gridSpan w:val="6"/>
            <w:noWrap w:val="0"/>
            <w:vAlign w:val="center"/>
          </w:tcPr>
          <w:p>
            <w:pPr>
              <w:spacing w:line="240" w:lineRule="auto"/>
              <w:jc w:val="center"/>
              <w:rPr>
                <w:rFonts w:hint="eastAsia" w:ascii="宋体" w:hAnsi="宋体" w:eastAsia="宋体" w:cs="宋体"/>
                <w:color w:val="000000"/>
                <w:sz w:val="18"/>
                <w:szCs w:val="18"/>
              </w:rPr>
            </w:pPr>
          </w:p>
        </w:tc>
        <w:tc>
          <w:tcPr>
            <w:tcW w:w="2442" w:type="dxa"/>
            <w:gridSpan w:val="3"/>
            <w:noWrap w:val="0"/>
            <w:vAlign w:val="center"/>
          </w:tcPr>
          <w:p>
            <w:pPr>
              <w:spacing w:line="240" w:lineRule="auto"/>
              <w:jc w:val="center"/>
              <w:rPr>
                <w:rFonts w:hint="eastAsia" w:ascii="宋体" w:hAnsi="宋体" w:eastAsia="宋体" w:cs="宋体"/>
                <w:color w:val="000000"/>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23" w:hRule="atLeast"/>
        </w:trPr>
        <w:tc>
          <w:tcPr>
            <w:tcW w:w="2451" w:type="dxa"/>
            <w:gridSpan w:val="2"/>
            <w:vMerge w:val="continue"/>
            <w:noWrap w:val="0"/>
            <w:vAlign w:val="center"/>
          </w:tcPr>
          <w:p>
            <w:pPr>
              <w:spacing w:line="240" w:lineRule="auto"/>
              <w:jc w:val="center"/>
              <w:rPr>
                <w:rFonts w:hint="eastAsia" w:ascii="宋体" w:hAnsi="宋体" w:eastAsia="宋体" w:cs="宋体"/>
                <w:color w:val="000000"/>
                <w:sz w:val="18"/>
                <w:szCs w:val="18"/>
              </w:rPr>
            </w:pPr>
          </w:p>
        </w:tc>
        <w:tc>
          <w:tcPr>
            <w:tcW w:w="2191" w:type="dxa"/>
            <w:gridSpan w:val="4"/>
            <w:noWrap w:val="0"/>
            <w:vAlign w:val="center"/>
          </w:tcPr>
          <w:p>
            <w:pPr>
              <w:widowControl/>
              <w:spacing w:line="240" w:lineRule="auto"/>
              <w:jc w:val="center"/>
              <w:textAlignment w:val="center"/>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回填后：≤15</w:t>
            </w:r>
          </w:p>
        </w:tc>
        <w:tc>
          <w:tcPr>
            <w:tcW w:w="2276" w:type="dxa"/>
            <w:gridSpan w:val="6"/>
            <w:noWrap w:val="0"/>
            <w:vAlign w:val="center"/>
          </w:tcPr>
          <w:p>
            <w:pPr>
              <w:spacing w:line="240" w:lineRule="auto"/>
              <w:jc w:val="center"/>
              <w:rPr>
                <w:rFonts w:hint="eastAsia" w:ascii="宋体" w:hAnsi="宋体" w:eastAsia="宋体" w:cs="宋体"/>
                <w:color w:val="000000"/>
                <w:sz w:val="18"/>
                <w:szCs w:val="18"/>
              </w:rPr>
            </w:pPr>
          </w:p>
        </w:tc>
        <w:tc>
          <w:tcPr>
            <w:tcW w:w="2442" w:type="dxa"/>
            <w:gridSpan w:val="3"/>
            <w:noWrap w:val="0"/>
            <w:vAlign w:val="center"/>
          </w:tcPr>
          <w:p>
            <w:pPr>
              <w:spacing w:line="240" w:lineRule="auto"/>
              <w:jc w:val="center"/>
              <w:rPr>
                <w:rFonts w:hint="eastAsia" w:ascii="宋体" w:hAnsi="宋体" w:eastAsia="宋体" w:cs="宋体"/>
                <w:color w:val="000000"/>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23" w:hRule="atLeast"/>
        </w:trPr>
        <w:tc>
          <w:tcPr>
            <w:tcW w:w="2451" w:type="dxa"/>
            <w:gridSpan w:val="2"/>
            <w:vMerge w:val="restart"/>
            <w:noWrap w:val="0"/>
            <w:vAlign w:val="center"/>
          </w:tcPr>
          <w:p>
            <w:pPr>
              <w:widowControl/>
              <w:spacing w:line="240" w:lineRule="auto"/>
              <w:jc w:val="center"/>
              <w:textAlignment w:val="center"/>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井筒垂直度</w:t>
            </w:r>
          </w:p>
        </w:tc>
        <w:tc>
          <w:tcPr>
            <w:tcW w:w="2191" w:type="dxa"/>
            <w:gridSpan w:val="4"/>
            <w:noWrap w:val="0"/>
            <w:vAlign w:val="center"/>
          </w:tcPr>
          <w:p>
            <w:pPr>
              <w:widowControl/>
              <w:spacing w:line="240" w:lineRule="auto"/>
              <w:jc w:val="center"/>
              <w:textAlignment w:val="center"/>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安装后：≤0.3%</w:t>
            </w:r>
          </w:p>
        </w:tc>
        <w:tc>
          <w:tcPr>
            <w:tcW w:w="2276" w:type="dxa"/>
            <w:gridSpan w:val="6"/>
            <w:noWrap w:val="0"/>
            <w:vAlign w:val="center"/>
          </w:tcPr>
          <w:p>
            <w:pPr>
              <w:spacing w:line="240" w:lineRule="auto"/>
              <w:jc w:val="center"/>
              <w:rPr>
                <w:rFonts w:hint="eastAsia" w:ascii="宋体" w:hAnsi="宋体" w:eastAsia="宋体" w:cs="宋体"/>
                <w:color w:val="000000"/>
                <w:sz w:val="18"/>
                <w:szCs w:val="18"/>
              </w:rPr>
            </w:pPr>
          </w:p>
        </w:tc>
        <w:tc>
          <w:tcPr>
            <w:tcW w:w="2442" w:type="dxa"/>
            <w:gridSpan w:val="3"/>
            <w:noWrap w:val="0"/>
            <w:vAlign w:val="center"/>
          </w:tcPr>
          <w:p>
            <w:pPr>
              <w:spacing w:line="240" w:lineRule="auto"/>
              <w:jc w:val="center"/>
              <w:rPr>
                <w:rFonts w:hint="eastAsia" w:ascii="宋体" w:hAnsi="宋体" w:eastAsia="宋体" w:cs="宋体"/>
                <w:color w:val="000000"/>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23" w:hRule="atLeast"/>
        </w:trPr>
        <w:tc>
          <w:tcPr>
            <w:tcW w:w="2451" w:type="dxa"/>
            <w:gridSpan w:val="2"/>
            <w:vMerge w:val="continue"/>
            <w:noWrap w:val="0"/>
            <w:vAlign w:val="center"/>
          </w:tcPr>
          <w:p>
            <w:pPr>
              <w:spacing w:line="240" w:lineRule="auto"/>
              <w:jc w:val="center"/>
              <w:rPr>
                <w:rFonts w:hint="eastAsia" w:ascii="宋体" w:hAnsi="宋体" w:eastAsia="宋体" w:cs="宋体"/>
                <w:color w:val="000000"/>
                <w:sz w:val="18"/>
                <w:szCs w:val="18"/>
              </w:rPr>
            </w:pPr>
          </w:p>
        </w:tc>
        <w:tc>
          <w:tcPr>
            <w:tcW w:w="2191" w:type="dxa"/>
            <w:gridSpan w:val="4"/>
            <w:noWrap w:val="0"/>
            <w:vAlign w:val="center"/>
          </w:tcPr>
          <w:p>
            <w:pPr>
              <w:widowControl/>
              <w:spacing w:line="240" w:lineRule="auto"/>
              <w:jc w:val="center"/>
              <w:textAlignment w:val="center"/>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回填后：≤0.5%</w:t>
            </w:r>
          </w:p>
        </w:tc>
        <w:tc>
          <w:tcPr>
            <w:tcW w:w="2276" w:type="dxa"/>
            <w:gridSpan w:val="6"/>
            <w:noWrap w:val="0"/>
            <w:vAlign w:val="center"/>
          </w:tcPr>
          <w:p>
            <w:pPr>
              <w:spacing w:line="240" w:lineRule="auto"/>
              <w:jc w:val="center"/>
              <w:rPr>
                <w:rFonts w:hint="eastAsia" w:ascii="宋体" w:hAnsi="宋体" w:eastAsia="宋体" w:cs="宋体"/>
                <w:color w:val="000000"/>
                <w:sz w:val="18"/>
                <w:szCs w:val="18"/>
              </w:rPr>
            </w:pPr>
          </w:p>
        </w:tc>
        <w:tc>
          <w:tcPr>
            <w:tcW w:w="2442" w:type="dxa"/>
            <w:gridSpan w:val="3"/>
            <w:noWrap w:val="0"/>
            <w:vAlign w:val="center"/>
          </w:tcPr>
          <w:p>
            <w:pPr>
              <w:spacing w:line="240" w:lineRule="auto"/>
              <w:jc w:val="center"/>
              <w:rPr>
                <w:rFonts w:hint="eastAsia" w:ascii="宋体" w:hAnsi="宋体" w:eastAsia="宋体" w:cs="宋体"/>
                <w:color w:val="000000"/>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23" w:hRule="atLeast"/>
        </w:trPr>
        <w:tc>
          <w:tcPr>
            <w:tcW w:w="2451" w:type="dxa"/>
            <w:gridSpan w:val="2"/>
            <w:noWrap w:val="0"/>
            <w:vAlign w:val="center"/>
          </w:tcPr>
          <w:p>
            <w:pPr>
              <w:widowControl/>
              <w:spacing w:line="240" w:lineRule="auto"/>
              <w:jc w:val="center"/>
              <w:textAlignment w:val="center"/>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井盖顶面高程</w:t>
            </w:r>
          </w:p>
        </w:tc>
        <w:tc>
          <w:tcPr>
            <w:tcW w:w="2191" w:type="dxa"/>
            <w:gridSpan w:val="4"/>
            <w:noWrap w:val="0"/>
            <w:vAlign w:val="center"/>
          </w:tcPr>
          <w:p>
            <w:pPr>
              <w:widowControl/>
              <w:spacing w:line="240" w:lineRule="auto"/>
              <w:jc w:val="center"/>
              <w:textAlignment w:val="center"/>
              <w:rPr>
                <w:rFonts w:hint="eastAsia" w:ascii="宋体" w:hAnsi="宋体" w:eastAsia="宋体" w:cs="宋体"/>
                <w:color w:val="000000"/>
                <w:kern w:val="0"/>
                <w:sz w:val="18"/>
                <w:szCs w:val="18"/>
                <w:lang w:bidi="ar"/>
              </w:rPr>
            </w:pPr>
            <w:r>
              <w:rPr>
                <w:rFonts w:hint="eastAsia" w:ascii="宋体" w:hAnsi="宋体" w:eastAsia="宋体" w:cs="宋体"/>
                <w:color w:val="000000"/>
                <w:kern w:val="0"/>
                <w:sz w:val="18"/>
                <w:szCs w:val="18"/>
                <w:lang w:bidi="ar"/>
              </w:rPr>
              <w:t>车行道 -5，0</w:t>
            </w:r>
          </w:p>
          <w:p>
            <w:pPr>
              <w:widowControl/>
              <w:spacing w:line="240" w:lineRule="auto"/>
              <w:jc w:val="center"/>
              <w:textAlignment w:val="center"/>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非车行道 ±10</w:t>
            </w:r>
          </w:p>
        </w:tc>
        <w:tc>
          <w:tcPr>
            <w:tcW w:w="2276" w:type="dxa"/>
            <w:gridSpan w:val="6"/>
            <w:noWrap w:val="0"/>
            <w:vAlign w:val="center"/>
          </w:tcPr>
          <w:p>
            <w:pPr>
              <w:spacing w:line="240" w:lineRule="auto"/>
              <w:jc w:val="center"/>
              <w:rPr>
                <w:rFonts w:hint="eastAsia" w:ascii="宋体" w:hAnsi="宋体" w:eastAsia="宋体" w:cs="宋体"/>
                <w:color w:val="000000"/>
                <w:sz w:val="18"/>
                <w:szCs w:val="18"/>
              </w:rPr>
            </w:pPr>
          </w:p>
        </w:tc>
        <w:tc>
          <w:tcPr>
            <w:tcW w:w="2442" w:type="dxa"/>
            <w:gridSpan w:val="3"/>
            <w:noWrap w:val="0"/>
            <w:vAlign w:val="center"/>
          </w:tcPr>
          <w:p>
            <w:pPr>
              <w:spacing w:line="240" w:lineRule="auto"/>
              <w:jc w:val="center"/>
              <w:rPr>
                <w:rFonts w:hint="eastAsia" w:ascii="宋体" w:hAnsi="宋体" w:eastAsia="宋体" w:cs="宋体"/>
                <w:color w:val="000000"/>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23" w:hRule="atLeast"/>
        </w:trPr>
        <w:tc>
          <w:tcPr>
            <w:tcW w:w="2451" w:type="dxa"/>
            <w:gridSpan w:val="2"/>
            <w:noWrap w:val="0"/>
            <w:vAlign w:val="center"/>
          </w:tcPr>
          <w:p>
            <w:pPr>
              <w:widowControl/>
              <w:spacing w:line="240" w:lineRule="auto"/>
              <w:jc w:val="center"/>
              <w:textAlignment w:val="center"/>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接口密封性能</w:t>
            </w:r>
          </w:p>
        </w:tc>
        <w:tc>
          <w:tcPr>
            <w:tcW w:w="2191" w:type="dxa"/>
            <w:gridSpan w:val="4"/>
            <w:noWrap w:val="0"/>
            <w:vAlign w:val="center"/>
          </w:tcPr>
          <w:p>
            <w:pPr>
              <w:widowControl/>
              <w:spacing w:line="240" w:lineRule="auto"/>
              <w:jc w:val="center"/>
              <w:textAlignment w:val="center"/>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不渗漏</w:t>
            </w:r>
          </w:p>
        </w:tc>
        <w:tc>
          <w:tcPr>
            <w:tcW w:w="2276" w:type="dxa"/>
            <w:gridSpan w:val="6"/>
            <w:noWrap w:val="0"/>
            <w:vAlign w:val="center"/>
          </w:tcPr>
          <w:p>
            <w:pPr>
              <w:spacing w:line="240" w:lineRule="auto"/>
              <w:jc w:val="center"/>
              <w:rPr>
                <w:rFonts w:hint="eastAsia" w:ascii="宋体" w:hAnsi="宋体" w:eastAsia="宋体" w:cs="宋体"/>
                <w:color w:val="000000"/>
                <w:sz w:val="18"/>
                <w:szCs w:val="18"/>
              </w:rPr>
            </w:pPr>
          </w:p>
        </w:tc>
        <w:tc>
          <w:tcPr>
            <w:tcW w:w="2442" w:type="dxa"/>
            <w:gridSpan w:val="3"/>
            <w:noWrap w:val="0"/>
            <w:vAlign w:val="center"/>
          </w:tcPr>
          <w:p>
            <w:pPr>
              <w:spacing w:line="240" w:lineRule="auto"/>
              <w:jc w:val="center"/>
              <w:rPr>
                <w:rFonts w:hint="eastAsia" w:ascii="宋体" w:hAnsi="宋体" w:eastAsia="宋体" w:cs="宋体"/>
                <w:color w:val="000000"/>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225" w:hRule="atLeast"/>
        </w:trPr>
        <w:tc>
          <w:tcPr>
            <w:tcW w:w="1201" w:type="dxa"/>
            <w:vMerge w:val="restart"/>
            <w:noWrap w:val="0"/>
            <w:vAlign w:val="center"/>
          </w:tcPr>
          <w:p>
            <w:pPr>
              <w:widowControl/>
              <w:spacing w:line="240" w:lineRule="auto"/>
              <w:jc w:val="center"/>
              <w:textAlignment w:val="center"/>
              <w:rPr>
                <w:rFonts w:hint="eastAsia" w:ascii="宋体" w:hAnsi="宋体" w:eastAsia="宋体" w:cs="宋体"/>
                <w:color w:val="000000"/>
                <w:kern w:val="0"/>
                <w:sz w:val="18"/>
                <w:szCs w:val="18"/>
                <w:lang w:bidi="ar"/>
              </w:rPr>
            </w:pPr>
            <w:r>
              <w:rPr>
                <w:rFonts w:hint="eastAsia" w:ascii="宋体" w:hAnsi="宋体" w:eastAsia="宋体" w:cs="宋体"/>
                <w:color w:val="000000"/>
                <w:kern w:val="0"/>
                <w:sz w:val="18"/>
                <w:szCs w:val="18"/>
                <w:lang w:bidi="ar"/>
              </w:rPr>
              <w:t>合格率</w:t>
            </w:r>
          </w:p>
        </w:tc>
        <w:tc>
          <w:tcPr>
            <w:tcW w:w="1250" w:type="dxa"/>
            <w:noWrap w:val="0"/>
            <w:vAlign w:val="center"/>
          </w:tcPr>
          <w:p>
            <w:pPr>
              <w:widowControl/>
              <w:spacing w:line="240" w:lineRule="auto"/>
              <w:jc w:val="left"/>
              <w:textAlignment w:val="center"/>
              <w:rPr>
                <w:rFonts w:hint="eastAsia" w:ascii="宋体" w:hAnsi="宋体" w:eastAsia="宋体" w:cs="宋体"/>
                <w:color w:val="000000"/>
                <w:kern w:val="0"/>
                <w:sz w:val="18"/>
                <w:szCs w:val="18"/>
                <w:lang w:bidi="ar"/>
              </w:rPr>
            </w:pPr>
          </w:p>
        </w:tc>
        <w:tc>
          <w:tcPr>
            <w:tcW w:w="805" w:type="dxa"/>
            <w:noWrap w:val="0"/>
            <w:vAlign w:val="center"/>
          </w:tcPr>
          <w:p>
            <w:pPr>
              <w:widowControl/>
              <w:spacing w:line="240" w:lineRule="auto"/>
              <w:jc w:val="center"/>
              <w:textAlignment w:val="center"/>
              <w:rPr>
                <w:rFonts w:hint="eastAsia" w:ascii="宋体" w:hAnsi="宋体" w:eastAsia="宋体" w:cs="宋体"/>
                <w:color w:val="000000"/>
                <w:kern w:val="0"/>
                <w:sz w:val="18"/>
                <w:szCs w:val="18"/>
                <w:lang w:bidi="ar"/>
              </w:rPr>
            </w:pPr>
            <w:r>
              <w:rPr>
                <w:rFonts w:hint="eastAsia" w:ascii="宋体" w:hAnsi="宋体" w:eastAsia="宋体" w:cs="宋体"/>
                <w:color w:val="000000"/>
                <w:kern w:val="0"/>
                <w:sz w:val="18"/>
                <w:szCs w:val="18"/>
                <w:lang w:bidi="ar"/>
              </w:rPr>
              <w:t>施工单位结论</w:t>
            </w:r>
          </w:p>
        </w:tc>
        <w:tc>
          <w:tcPr>
            <w:tcW w:w="2571" w:type="dxa"/>
            <w:gridSpan w:val="6"/>
            <w:noWrap w:val="0"/>
            <w:vAlign w:val="center"/>
          </w:tcPr>
          <w:p>
            <w:pPr>
              <w:widowControl/>
              <w:spacing w:line="240" w:lineRule="auto"/>
              <w:jc w:val="center"/>
              <w:textAlignment w:val="center"/>
              <w:rPr>
                <w:rFonts w:hint="eastAsia" w:ascii="宋体" w:hAnsi="宋体" w:eastAsia="宋体" w:cs="宋体"/>
                <w:color w:val="000000"/>
                <w:kern w:val="0"/>
                <w:sz w:val="18"/>
                <w:szCs w:val="18"/>
                <w:lang w:bidi="ar"/>
              </w:rPr>
            </w:pPr>
          </w:p>
        </w:tc>
        <w:tc>
          <w:tcPr>
            <w:tcW w:w="846" w:type="dxa"/>
            <w:gridSpan w:val="2"/>
            <w:noWrap w:val="0"/>
            <w:vAlign w:val="center"/>
          </w:tcPr>
          <w:p>
            <w:pPr>
              <w:widowControl/>
              <w:spacing w:line="240" w:lineRule="auto"/>
              <w:jc w:val="center"/>
              <w:textAlignment w:val="center"/>
              <w:rPr>
                <w:rFonts w:hint="eastAsia" w:ascii="宋体" w:hAnsi="宋体" w:eastAsia="宋体" w:cs="宋体"/>
                <w:color w:val="000000"/>
                <w:kern w:val="0"/>
                <w:sz w:val="18"/>
                <w:szCs w:val="18"/>
                <w:lang w:bidi="ar"/>
              </w:rPr>
            </w:pPr>
            <w:r>
              <w:rPr>
                <w:rFonts w:hint="eastAsia" w:ascii="宋体" w:hAnsi="宋体" w:eastAsia="宋体" w:cs="宋体"/>
                <w:color w:val="000000"/>
                <w:kern w:val="0"/>
                <w:sz w:val="18"/>
                <w:szCs w:val="18"/>
                <w:lang w:bidi="ar"/>
              </w:rPr>
              <w:t>监理单位结论</w:t>
            </w:r>
          </w:p>
        </w:tc>
        <w:tc>
          <w:tcPr>
            <w:tcW w:w="2687" w:type="dxa"/>
            <w:gridSpan w:val="4"/>
            <w:noWrap w:val="0"/>
            <w:vAlign w:val="center"/>
          </w:tcPr>
          <w:p>
            <w:pPr>
              <w:spacing w:line="240" w:lineRule="auto"/>
              <w:jc w:val="center"/>
              <w:rPr>
                <w:rFonts w:hint="eastAsia" w:ascii="宋体" w:hAnsi="宋体" w:eastAsia="宋体" w:cs="宋体"/>
                <w:color w:val="000000"/>
                <w:sz w:val="18"/>
                <w:szCs w:val="18"/>
              </w:rPr>
            </w:pP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23" w:hRule="atLeast"/>
        </w:trPr>
        <w:tc>
          <w:tcPr>
            <w:tcW w:w="1201" w:type="dxa"/>
            <w:vMerge w:val="restart"/>
            <w:noWrap w:val="0"/>
            <w:vAlign w:val="center"/>
          </w:tcPr>
          <w:p>
            <w:pPr>
              <w:widowControl/>
              <w:spacing w:line="240" w:lineRule="auto"/>
              <w:jc w:val="center"/>
              <w:textAlignment w:val="center"/>
              <w:rPr>
                <w:rFonts w:hint="eastAsia" w:ascii="宋体" w:hAnsi="宋体" w:eastAsia="宋体" w:cs="宋体"/>
                <w:color w:val="000000"/>
                <w:kern w:val="0"/>
                <w:sz w:val="18"/>
                <w:szCs w:val="18"/>
                <w:lang w:bidi="ar"/>
              </w:rPr>
            </w:pPr>
            <w:r>
              <w:rPr>
                <w:rFonts w:hint="eastAsia" w:ascii="宋体" w:hAnsi="宋体" w:eastAsia="宋体" w:cs="宋体"/>
                <w:color w:val="000000"/>
                <w:kern w:val="0"/>
                <w:sz w:val="18"/>
                <w:szCs w:val="18"/>
                <w:lang w:bidi="ar"/>
              </w:rPr>
              <w:t>检验</w:t>
            </w:r>
          </w:p>
          <w:p>
            <w:pPr>
              <w:widowControl/>
              <w:spacing w:line="240" w:lineRule="auto"/>
              <w:jc w:val="center"/>
              <w:textAlignment w:val="center"/>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人员</w:t>
            </w:r>
          </w:p>
        </w:tc>
        <w:tc>
          <w:tcPr>
            <w:tcW w:w="1250" w:type="dxa"/>
            <w:noWrap w:val="0"/>
            <w:vAlign w:val="center"/>
          </w:tcPr>
          <w:p>
            <w:pPr>
              <w:widowControl/>
              <w:spacing w:line="240" w:lineRule="auto"/>
              <w:jc w:val="center"/>
              <w:textAlignment w:val="center"/>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施工单位</w:t>
            </w:r>
          </w:p>
        </w:tc>
        <w:tc>
          <w:tcPr>
            <w:tcW w:w="6909" w:type="dxa"/>
            <w:gridSpan w:val="13"/>
            <w:noWrap w:val="0"/>
            <w:vAlign w:val="top"/>
          </w:tcPr>
          <w:p>
            <w:pPr>
              <w:widowControl/>
              <w:spacing w:line="240" w:lineRule="auto"/>
              <w:textAlignment w:val="center"/>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相关工序施工班组长：           年    月    日</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施工员：                       年    月    日</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质量员：                       年    月    日</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质量（技术）负责人：           年    月    日</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23" w:hRule="atLeast"/>
        </w:trPr>
        <w:tc>
          <w:tcPr>
            <w:tcW w:w="1201" w:type="dxa"/>
            <w:vMerge w:val="continue"/>
            <w:noWrap w:val="0"/>
            <w:vAlign w:val="center"/>
          </w:tcPr>
          <w:p>
            <w:pPr>
              <w:spacing w:line="240" w:lineRule="auto"/>
              <w:jc w:val="center"/>
              <w:rPr>
                <w:rFonts w:hint="eastAsia" w:ascii="宋体" w:hAnsi="宋体" w:eastAsia="宋体" w:cs="宋体"/>
                <w:color w:val="000000"/>
                <w:sz w:val="18"/>
                <w:szCs w:val="18"/>
              </w:rPr>
            </w:pPr>
          </w:p>
        </w:tc>
        <w:tc>
          <w:tcPr>
            <w:tcW w:w="1250" w:type="dxa"/>
            <w:noWrap w:val="0"/>
            <w:vAlign w:val="center"/>
          </w:tcPr>
          <w:p>
            <w:pPr>
              <w:widowControl/>
              <w:spacing w:line="240" w:lineRule="auto"/>
              <w:jc w:val="center"/>
              <w:textAlignment w:val="center"/>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监理单位</w:t>
            </w:r>
          </w:p>
        </w:tc>
        <w:tc>
          <w:tcPr>
            <w:tcW w:w="6909" w:type="dxa"/>
            <w:gridSpan w:val="13"/>
            <w:noWrap w:val="0"/>
            <w:vAlign w:val="top"/>
          </w:tcPr>
          <w:p>
            <w:pPr>
              <w:widowControl/>
              <w:spacing w:line="240" w:lineRule="auto"/>
              <w:textAlignment w:val="center"/>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监理员：                       年    月    日</w:t>
            </w:r>
            <w:r>
              <w:rPr>
                <w:rFonts w:hint="eastAsia" w:ascii="宋体" w:hAnsi="宋体" w:eastAsia="宋体" w:cs="宋体"/>
                <w:color w:val="000000"/>
                <w:kern w:val="0"/>
                <w:sz w:val="18"/>
                <w:szCs w:val="18"/>
                <w:lang w:bidi="ar"/>
              </w:rPr>
              <w:br w:type="textWrapping"/>
            </w:r>
            <w:r>
              <w:rPr>
                <w:rFonts w:hint="eastAsia" w:ascii="宋体" w:hAnsi="宋体" w:eastAsia="宋体" w:cs="宋体"/>
                <w:color w:val="000000"/>
                <w:kern w:val="0"/>
                <w:sz w:val="18"/>
                <w:szCs w:val="18"/>
                <w:lang w:bidi="ar"/>
              </w:rPr>
              <w:t>专业监理工程师：               年    月    日</w:t>
            </w:r>
          </w:p>
        </w:tc>
      </w:tr>
      <w:tr>
        <w:tblPrEx>
          <w:tblBorders>
            <w:top w:val="single" w:color="000000" w:sz="8" w:space="0"/>
            <w:left w:val="single" w:color="000000" w:sz="8" w:space="0"/>
            <w:bottom w:val="single" w:color="000000" w:sz="8" w:space="0"/>
            <w:right w:val="single" w:color="000000" w:sz="8" w:space="0"/>
            <w:insideH w:val="single" w:color="000000" w:sz="4" w:space="0"/>
            <w:insideV w:val="single" w:color="000000" w:sz="4" w:space="0"/>
          </w:tblBorders>
          <w:tblCellMar>
            <w:top w:w="0" w:type="dxa"/>
            <w:left w:w="108" w:type="dxa"/>
            <w:bottom w:w="0" w:type="dxa"/>
            <w:right w:w="108" w:type="dxa"/>
          </w:tblCellMar>
        </w:tblPrEx>
        <w:trPr>
          <w:trHeight w:val="23" w:hRule="atLeast"/>
        </w:trPr>
        <w:tc>
          <w:tcPr>
            <w:tcW w:w="9360" w:type="dxa"/>
            <w:gridSpan w:val="15"/>
            <w:noWrap w:val="0"/>
            <w:vAlign w:val="center"/>
          </w:tcPr>
          <w:p>
            <w:pPr>
              <w:widowControl/>
              <w:spacing w:line="240" w:lineRule="auto"/>
              <w:jc w:val="left"/>
              <w:textAlignment w:val="center"/>
              <w:rPr>
                <w:rFonts w:hint="eastAsia" w:ascii="宋体" w:hAnsi="宋体" w:eastAsia="宋体" w:cs="宋体"/>
                <w:color w:val="000000"/>
                <w:sz w:val="18"/>
                <w:szCs w:val="18"/>
              </w:rPr>
            </w:pPr>
            <w:r>
              <w:rPr>
                <w:rFonts w:hint="eastAsia" w:ascii="宋体" w:hAnsi="宋体" w:eastAsia="宋体" w:cs="宋体"/>
                <w:color w:val="000000"/>
                <w:kern w:val="0"/>
                <w:sz w:val="18"/>
                <w:szCs w:val="18"/>
                <w:lang w:bidi="ar"/>
              </w:rPr>
              <w:t>注：本表用于工序施工检验、交接检验记录。</w:t>
            </w:r>
          </w:p>
        </w:tc>
      </w:tr>
    </w:tbl>
    <w:p>
      <w:pPr>
        <w:widowControl/>
        <w:tabs>
          <w:tab w:val="center" w:pos="4201"/>
          <w:tab w:val="right" w:leader="dot" w:pos="9298"/>
        </w:tabs>
        <w:autoSpaceDE w:val="0"/>
        <w:autoSpaceDN w:val="0"/>
        <w:adjustRightInd/>
        <w:spacing w:line="240" w:lineRule="auto"/>
        <w:ind w:firstLine="420" w:firstLineChars="200"/>
        <w:jc w:val="center"/>
        <w:rPr>
          <w:rFonts w:ascii="Times New Roman" w:hAnsi="Times New Roman"/>
          <w:szCs w:val="24"/>
        </w:rPr>
      </w:pPr>
    </w:p>
    <w:p>
      <w:pPr>
        <w:widowControl/>
        <w:tabs>
          <w:tab w:val="center" w:pos="4201"/>
          <w:tab w:val="right" w:leader="dot" w:pos="9298"/>
        </w:tabs>
        <w:autoSpaceDE w:val="0"/>
        <w:autoSpaceDN w:val="0"/>
        <w:adjustRightInd/>
        <w:spacing w:line="240" w:lineRule="auto"/>
        <w:ind w:firstLine="420" w:firstLineChars="200"/>
        <w:jc w:val="center"/>
        <w:rPr>
          <w:rFonts w:ascii="Times New Roman" w:hAnsi="Times New Roman"/>
          <w:szCs w:val="24"/>
        </w:rPr>
      </w:pPr>
    </w:p>
    <w:p>
      <w:pPr>
        <w:widowControl/>
        <w:tabs>
          <w:tab w:val="center" w:pos="4201"/>
          <w:tab w:val="right" w:leader="dot" w:pos="9298"/>
        </w:tabs>
        <w:autoSpaceDE w:val="0"/>
        <w:autoSpaceDN w:val="0"/>
        <w:adjustRightInd/>
        <w:spacing w:line="240" w:lineRule="auto"/>
        <w:ind w:firstLine="420" w:firstLineChars="200"/>
        <w:jc w:val="center"/>
        <w:rPr>
          <w:rFonts w:ascii="Times New Roman" w:hAnsi="Times New Roman"/>
          <w:szCs w:val="24"/>
        </w:rPr>
      </w:pPr>
    </w:p>
    <w:p>
      <w:pPr>
        <w:widowControl/>
        <w:tabs>
          <w:tab w:val="center" w:pos="4201"/>
          <w:tab w:val="right" w:leader="dot" w:pos="9298"/>
        </w:tabs>
        <w:autoSpaceDE w:val="0"/>
        <w:autoSpaceDN w:val="0"/>
        <w:adjustRightInd/>
        <w:spacing w:line="240" w:lineRule="auto"/>
        <w:ind w:firstLine="420" w:firstLineChars="200"/>
        <w:jc w:val="center"/>
      </w:pPr>
      <w:r>
        <w:rPr>
          <w:rFonts w:ascii="Times New Roman" w:hAnsi="Times New Roman"/>
          <w:szCs w:val="24"/>
        </w:rPr>
        <w:t>_________________________________</w:t>
      </w:r>
    </w:p>
    <w:sectPr>
      <w:pgSz w:w="11906" w:h="16838"/>
      <w:pgMar w:top="567" w:right="1134" w:bottom="1134" w:left="1134" w:header="1418" w:footer="1134" w:gutter="284"/>
      <w:pgBorders>
        <w:top w:val="none" w:sz="0" w:space="0"/>
        <w:left w:val="none" w:sz="0" w:space="0"/>
        <w:bottom w:val="none" w:sz="0" w:space="0"/>
        <w:right w:val="none" w:sz="0" w:space="0"/>
      </w:pgBorders>
      <w:cols w:space="425" w:num="1"/>
      <w:formProt w:val="0"/>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pPr>
    <w:r>
      <w:fldChar w:fldCharType="begin"/>
    </w:r>
    <w:r>
      <w:instrText xml:space="preserve">PAGE   \* MERGEFORMAT</w:instrText>
    </w:r>
    <w:r>
      <w:fldChar w:fldCharType="separate"/>
    </w:r>
    <w:r>
      <w:rPr>
        <w:lang w:val="zh-CN"/>
      </w:rPr>
      <w:t>2</w:t>
    </w:r>
    <w: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8"/>
      <w:ind w:right="720"/>
      <w:jc w:val="both"/>
      <w:rPr>
        <w:sz w:val="2"/>
        <w:szCs w:val="2"/>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4"/>
    </w:pPr>
    <w:r>
      <w:fldChar w:fldCharType="begin"/>
    </w:r>
    <w:r>
      <w:instrText xml:space="preserve">PAGE   \* MERGEFORMAT</w:instrText>
    </w:r>
    <w:r>
      <w:fldChar w:fldCharType="separate"/>
    </w:r>
    <w:r>
      <w:rPr>
        <w:lang w:val="zh-CN"/>
      </w:rPr>
      <w:t>I</w:t>
    </w:r>
    <w: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3"/>
    </w:pPr>
    <w:r>
      <w:fldChar w:fldCharType="begin"/>
    </w:r>
    <w:r>
      <w:instrText xml:space="preserve"> PAGE   \* MERGEFORMAT \* MERGEFORMAT </w:instrText>
    </w:r>
    <w:r>
      <w:fldChar w:fldCharType="separate"/>
    </w:r>
    <w:r>
      <w:t>I</w:t>
    </w:r>
    <w: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4"/>
    </w:pPr>
    <w:r>
      <w:fldChar w:fldCharType="begin"/>
    </w:r>
    <w:r>
      <w:instrText xml:space="preserve">PAGE   \* MERGEFORMAT</w:instrText>
    </w:r>
    <w:r>
      <w:fldChar w:fldCharType="separate"/>
    </w:r>
    <w:r>
      <w:rPr>
        <w:lang w:val="zh-CN"/>
      </w:rPr>
      <w:t>2</w:t>
    </w:r>
    <w: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3"/>
    </w:pPr>
    <w:r>
      <w:fldChar w:fldCharType="begin"/>
    </w:r>
    <w:r>
      <w:instrText xml:space="preserve"> PAGE   \* MERGEFORMAT \* MERGEFORMAT </w:instrText>
    </w:r>
    <w:r>
      <w:fldChar w:fldCharType="separate"/>
    </w:r>
    <w:r>
      <w:t>3</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wordWrap w:val="0"/>
      <w:jc w:val="right"/>
      <w:rPr>
        <w:rFonts w:ascii="黑体" w:hAnsi="黑体" w:eastAsia="黑体"/>
      </w:rPr>
    </w:pPr>
    <w:r>
      <w:rPr>
        <w:rFonts w:ascii="黑体" w:hAnsi="黑体" w:eastAsia="黑体"/>
      </w:rPr>
      <w:t>Q/LB.</w:t>
    </w:r>
    <w:r>
      <w:rPr>
        <w:rFonts w:hint="eastAsia" w:ascii="黑体" w:hAnsi="黑体" w:eastAsia="黑体"/>
      </w:rPr>
      <w:t>□</w:t>
    </w:r>
    <w:r>
      <w:rPr>
        <w:rFonts w:ascii="黑体" w:hAnsi="黑体" w:eastAsia="黑体"/>
      </w:rPr>
      <w:t>XXXXX-XXXX</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9"/>
      <w:jc w:val="both"/>
      <w:rPr>
        <w:sz w:val="2"/>
        <w:szCs w:val="2"/>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3"/>
    </w:pPr>
    <w:r>
      <w:fldChar w:fldCharType="begin"/>
    </w:r>
    <w:r>
      <w:instrText xml:space="preserve"> STYLEREF  标准文件_文件编号  \* MERGEFORMAT </w:instrText>
    </w:r>
    <w:r>
      <w:fldChar w:fldCharType="separate"/>
    </w:r>
    <w:r>
      <w:t>DB32/TXXXX—2024</w:t>
    </w:r>
    <w: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4"/>
    </w:pPr>
    <w:r>
      <w:fldChar w:fldCharType="begin"/>
    </w:r>
    <w:r>
      <w:instrText xml:space="preserve"> STYLEREF  标准文件_文件编号 \* MERGEFORMAT </w:instrText>
    </w:r>
    <w:r>
      <w:fldChar w:fldCharType="separate"/>
    </w:r>
    <w:r>
      <w:t>DB32/TXXXX—2024</w:t>
    </w:r>
    <w: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3"/>
    </w:pPr>
    <w:r>
      <w:fldChar w:fldCharType="begin"/>
    </w:r>
    <w:r>
      <w:instrText xml:space="preserve"> STYLEREF  标准文件_文件编号  \* MERGEFORMAT </w:instrText>
    </w:r>
    <w:r>
      <w:fldChar w:fldCharType="separate"/>
    </w:r>
    <w:r>
      <w:t>DB32/TXXXX—2024</w:t>
    </w:r>
    <w: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4"/>
    </w:pPr>
    <w:r>
      <w:fldChar w:fldCharType="begin"/>
    </w:r>
    <w:r>
      <w:instrText xml:space="preserve"> STYLEREF  标准文件_文件编号 \* MERGEFORMAT </w:instrText>
    </w:r>
    <w:r>
      <w:fldChar w:fldCharType="separate"/>
    </w:r>
    <w:r>
      <w:t>DB32/TXXXX—2024</w:t>
    </w:r>
    <w: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B9066DD"/>
    <w:multiLevelType w:val="singleLevel"/>
    <w:tmpl w:val="8B9066DD"/>
    <w:lvl w:ilvl="0" w:tentative="0">
      <w:start w:val="1"/>
      <w:numFmt w:val="lowerLetter"/>
      <w:suff w:val="nothing"/>
      <w:lvlText w:val="%1）"/>
      <w:lvlJc w:val="left"/>
    </w:lvl>
  </w:abstractNum>
  <w:abstractNum w:abstractNumId="1">
    <w:nsid w:val="8FC8EDE8"/>
    <w:multiLevelType w:val="multilevel"/>
    <w:tmpl w:val="8FC8EDE8"/>
    <w:lvl w:ilvl="0" w:tentative="0">
      <w:start w:val="1"/>
      <w:numFmt w:val="lowerLetter"/>
      <w:lvlText w:val="%1)"/>
      <w:lvlJc w:val="left"/>
      <w:pPr>
        <w:tabs>
          <w:tab w:val="left" w:pos="795"/>
        </w:tabs>
        <w:ind w:left="795" w:hanging="360"/>
      </w:pPr>
      <w:rPr>
        <w:rFonts w:hint="eastAsia"/>
      </w:rPr>
    </w:lvl>
    <w:lvl w:ilvl="1" w:tentative="0">
      <w:start w:val="1"/>
      <w:numFmt w:val="lowerLetter"/>
      <w:lvlText w:val="%2)"/>
      <w:lvlJc w:val="left"/>
      <w:pPr>
        <w:tabs>
          <w:tab w:val="left" w:pos="1275"/>
        </w:tabs>
        <w:ind w:left="1275" w:hanging="420"/>
      </w:pPr>
    </w:lvl>
    <w:lvl w:ilvl="2" w:tentative="0">
      <w:start w:val="1"/>
      <w:numFmt w:val="lowerRoman"/>
      <w:lvlText w:val="%3."/>
      <w:lvlJc w:val="right"/>
      <w:pPr>
        <w:tabs>
          <w:tab w:val="left" w:pos="1695"/>
        </w:tabs>
        <w:ind w:left="1695" w:hanging="420"/>
      </w:pPr>
    </w:lvl>
    <w:lvl w:ilvl="3" w:tentative="0">
      <w:start w:val="1"/>
      <w:numFmt w:val="decimal"/>
      <w:lvlText w:val="%4."/>
      <w:lvlJc w:val="left"/>
      <w:pPr>
        <w:tabs>
          <w:tab w:val="left" w:pos="2115"/>
        </w:tabs>
        <w:ind w:left="2115" w:hanging="420"/>
      </w:pPr>
    </w:lvl>
    <w:lvl w:ilvl="4" w:tentative="0">
      <w:start w:val="1"/>
      <w:numFmt w:val="lowerLetter"/>
      <w:lvlText w:val="%5)"/>
      <w:lvlJc w:val="left"/>
      <w:pPr>
        <w:tabs>
          <w:tab w:val="left" w:pos="2535"/>
        </w:tabs>
        <w:ind w:left="2535" w:hanging="420"/>
      </w:pPr>
    </w:lvl>
    <w:lvl w:ilvl="5" w:tentative="0">
      <w:start w:val="1"/>
      <w:numFmt w:val="lowerRoman"/>
      <w:lvlText w:val="%6."/>
      <w:lvlJc w:val="right"/>
      <w:pPr>
        <w:tabs>
          <w:tab w:val="left" w:pos="2955"/>
        </w:tabs>
        <w:ind w:left="2955" w:hanging="420"/>
      </w:pPr>
    </w:lvl>
    <w:lvl w:ilvl="6" w:tentative="0">
      <w:start w:val="1"/>
      <w:numFmt w:val="decimal"/>
      <w:lvlText w:val="%7."/>
      <w:lvlJc w:val="left"/>
      <w:pPr>
        <w:tabs>
          <w:tab w:val="left" w:pos="3375"/>
        </w:tabs>
        <w:ind w:left="3375" w:hanging="420"/>
      </w:pPr>
    </w:lvl>
    <w:lvl w:ilvl="7" w:tentative="0">
      <w:start w:val="1"/>
      <w:numFmt w:val="lowerLetter"/>
      <w:lvlText w:val="%8)"/>
      <w:lvlJc w:val="left"/>
      <w:pPr>
        <w:tabs>
          <w:tab w:val="left" w:pos="3795"/>
        </w:tabs>
        <w:ind w:left="3795" w:hanging="420"/>
      </w:pPr>
    </w:lvl>
    <w:lvl w:ilvl="8" w:tentative="0">
      <w:start w:val="1"/>
      <w:numFmt w:val="lowerRoman"/>
      <w:lvlText w:val="%9."/>
      <w:lvlJc w:val="right"/>
      <w:pPr>
        <w:tabs>
          <w:tab w:val="left" w:pos="4215"/>
        </w:tabs>
        <w:ind w:left="4215" w:hanging="420"/>
      </w:pPr>
    </w:lvl>
  </w:abstractNum>
  <w:abstractNum w:abstractNumId="2">
    <w:nsid w:val="CED95D79"/>
    <w:multiLevelType w:val="multilevel"/>
    <w:tmpl w:val="CED95D79"/>
    <w:lvl w:ilvl="0" w:tentative="0">
      <w:start w:val="1"/>
      <w:numFmt w:val="lowerLetter"/>
      <w:lvlText w:val="%1)"/>
      <w:lvlJc w:val="left"/>
      <w:pPr>
        <w:tabs>
          <w:tab w:val="left" w:pos="795"/>
        </w:tabs>
        <w:ind w:left="795" w:hanging="360"/>
      </w:pPr>
      <w:rPr>
        <w:rFonts w:hint="eastAsia"/>
      </w:rPr>
    </w:lvl>
    <w:lvl w:ilvl="1" w:tentative="0">
      <w:start w:val="1"/>
      <w:numFmt w:val="lowerLetter"/>
      <w:lvlText w:val="%2)"/>
      <w:lvlJc w:val="left"/>
      <w:pPr>
        <w:tabs>
          <w:tab w:val="left" w:pos="1275"/>
        </w:tabs>
        <w:ind w:left="1275" w:hanging="420"/>
      </w:pPr>
    </w:lvl>
    <w:lvl w:ilvl="2" w:tentative="0">
      <w:start w:val="1"/>
      <w:numFmt w:val="lowerRoman"/>
      <w:lvlText w:val="%3."/>
      <w:lvlJc w:val="right"/>
      <w:pPr>
        <w:tabs>
          <w:tab w:val="left" w:pos="1695"/>
        </w:tabs>
        <w:ind w:left="1695" w:hanging="420"/>
      </w:pPr>
    </w:lvl>
    <w:lvl w:ilvl="3" w:tentative="0">
      <w:start w:val="1"/>
      <w:numFmt w:val="decimal"/>
      <w:lvlText w:val="%4."/>
      <w:lvlJc w:val="left"/>
      <w:pPr>
        <w:tabs>
          <w:tab w:val="left" w:pos="2115"/>
        </w:tabs>
        <w:ind w:left="2115" w:hanging="420"/>
      </w:pPr>
    </w:lvl>
    <w:lvl w:ilvl="4" w:tentative="0">
      <w:start w:val="1"/>
      <w:numFmt w:val="lowerLetter"/>
      <w:lvlText w:val="%5)"/>
      <w:lvlJc w:val="left"/>
      <w:pPr>
        <w:tabs>
          <w:tab w:val="left" w:pos="2535"/>
        </w:tabs>
        <w:ind w:left="2535" w:hanging="420"/>
      </w:pPr>
    </w:lvl>
    <w:lvl w:ilvl="5" w:tentative="0">
      <w:start w:val="1"/>
      <w:numFmt w:val="lowerRoman"/>
      <w:lvlText w:val="%6."/>
      <w:lvlJc w:val="right"/>
      <w:pPr>
        <w:tabs>
          <w:tab w:val="left" w:pos="2955"/>
        </w:tabs>
        <w:ind w:left="2955" w:hanging="420"/>
      </w:pPr>
    </w:lvl>
    <w:lvl w:ilvl="6" w:tentative="0">
      <w:start w:val="1"/>
      <w:numFmt w:val="decimal"/>
      <w:lvlText w:val="%7."/>
      <w:lvlJc w:val="left"/>
      <w:pPr>
        <w:tabs>
          <w:tab w:val="left" w:pos="3375"/>
        </w:tabs>
        <w:ind w:left="3375" w:hanging="420"/>
      </w:pPr>
    </w:lvl>
    <w:lvl w:ilvl="7" w:tentative="0">
      <w:start w:val="1"/>
      <w:numFmt w:val="lowerLetter"/>
      <w:lvlText w:val="%8)"/>
      <w:lvlJc w:val="left"/>
      <w:pPr>
        <w:tabs>
          <w:tab w:val="left" w:pos="3795"/>
        </w:tabs>
        <w:ind w:left="3795" w:hanging="420"/>
      </w:pPr>
    </w:lvl>
    <w:lvl w:ilvl="8" w:tentative="0">
      <w:start w:val="1"/>
      <w:numFmt w:val="lowerRoman"/>
      <w:lvlText w:val="%9."/>
      <w:lvlJc w:val="right"/>
      <w:pPr>
        <w:tabs>
          <w:tab w:val="left" w:pos="4215"/>
        </w:tabs>
        <w:ind w:left="4215" w:hanging="420"/>
      </w:pPr>
    </w:lvl>
  </w:abstractNum>
  <w:abstractNum w:abstractNumId="3">
    <w:nsid w:val="EA70B1EA"/>
    <w:multiLevelType w:val="multilevel"/>
    <w:tmpl w:val="EA70B1EA"/>
    <w:lvl w:ilvl="0" w:tentative="0">
      <w:start w:val="1"/>
      <w:numFmt w:val="lowerLetter"/>
      <w:lvlText w:val="%1)"/>
      <w:lvlJc w:val="left"/>
      <w:pPr>
        <w:tabs>
          <w:tab w:val="left" w:pos="795"/>
        </w:tabs>
        <w:ind w:left="795" w:hanging="360"/>
      </w:pPr>
      <w:rPr>
        <w:rFonts w:hint="eastAsia"/>
      </w:rPr>
    </w:lvl>
    <w:lvl w:ilvl="1" w:tentative="0">
      <w:start w:val="1"/>
      <w:numFmt w:val="lowerLetter"/>
      <w:lvlText w:val="%2)"/>
      <w:lvlJc w:val="left"/>
      <w:pPr>
        <w:tabs>
          <w:tab w:val="left" w:pos="1275"/>
        </w:tabs>
        <w:ind w:left="1275" w:hanging="420"/>
      </w:pPr>
    </w:lvl>
    <w:lvl w:ilvl="2" w:tentative="0">
      <w:start w:val="1"/>
      <w:numFmt w:val="lowerRoman"/>
      <w:lvlText w:val="%3."/>
      <w:lvlJc w:val="right"/>
      <w:pPr>
        <w:tabs>
          <w:tab w:val="left" w:pos="1695"/>
        </w:tabs>
        <w:ind w:left="1695" w:hanging="420"/>
      </w:pPr>
    </w:lvl>
    <w:lvl w:ilvl="3" w:tentative="0">
      <w:start w:val="1"/>
      <w:numFmt w:val="decimal"/>
      <w:lvlText w:val="%4."/>
      <w:lvlJc w:val="left"/>
      <w:pPr>
        <w:tabs>
          <w:tab w:val="left" w:pos="2115"/>
        </w:tabs>
        <w:ind w:left="2115" w:hanging="420"/>
      </w:pPr>
    </w:lvl>
    <w:lvl w:ilvl="4" w:tentative="0">
      <w:start w:val="1"/>
      <w:numFmt w:val="lowerLetter"/>
      <w:lvlText w:val="%5)"/>
      <w:lvlJc w:val="left"/>
      <w:pPr>
        <w:tabs>
          <w:tab w:val="left" w:pos="2535"/>
        </w:tabs>
        <w:ind w:left="2535" w:hanging="420"/>
      </w:pPr>
    </w:lvl>
    <w:lvl w:ilvl="5" w:tentative="0">
      <w:start w:val="1"/>
      <w:numFmt w:val="lowerRoman"/>
      <w:lvlText w:val="%6."/>
      <w:lvlJc w:val="right"/>
      <w:pPr>
        <w:tabs>
          <w:tab w:val="left" w:pos="2955"/>
        </w:tabs>
        <w:ind w:left="2955" w:hanging="420"/>
      </w:pPr>
    </w:lvl>
    <w:lvl w:ilvl="6" w:tentative="0">
      <w:start w:val="1"/>
      <w:numFmt w:val="decimal"/>
      <w:lvlText w:val="%7."/>
      <w:lvlJc w:val="left"/>
      <w:pPr>
        <w:tabs>
          <w:tab w:val="left" w:pos="3375"/>
        </w:tabs>
        <w:ind w:left="3375" w:hanging="420"/>
      </w:pPr>
    </w:lvl>
    <w:lvl w:ilvl="7" w:tentative="0">
      <w:start w:val="1"/>
      <w:numFmt w:val="lowerLetter"/>
      <w:lvlText w:val="%8)"/>
      <w:lvlJc w:val="left"/>
      <w:pPr>
        <w:tabs>
          <w:tab w:val="left" w:pos="3795"/>
        </w:tabs>
        <w:ind w:left="3795" w:hanging="420"/>
      </w:pPr>
    </w:lvl>
    <w:lvl w:ilvl="8" w:tentative="0">
      <w:start w:val="1"/>
      <w:numFmt w:val="lowerRoman"/>
      <w:lvlText w:val="%9."/>
      <w:lvlJc w:val="right"/>
      <w:pPr>
        <w:tabs>
          <w:tab w:val="left" w:pos="4215"/>
        </w:tabs>
        <w:ind w:left="4215" w:hanging="420"/>
      </w:pPr>
    </w:lvl>
  </w:abstractNum>
  <w:abstractNum w:abstractNumId="4">
    <w:nsid w:val="EB7878CF"/>
    <w:multiLevelType w:val="multilevel"/>
    <w:tmpl w:val="EB7878CF"/>
    <w:lvl w:ilvl="0" w:tentative="0">
      <w:start w:val="1"/>
      <w:numFmt w:val="lowerLetter"/>
      <w:lvlText w:val="%1)"/>
      <w:lvlJc w:val="left"/>
      <w:pPr>
        <w:tabs>
          <w:tab w:val="left" w:pos="795"/>
        </w:tabs>
        <w:ind w:left="795" w:hanging="360"/>
      </w:pPr>
      <w:rPr>
        <w:rFonts w:hint="eastAsia"/>
      </w:rPr>
    </w:lvl>
    <w:lvl w:ilvl="1" w:tentative="0">
      <w:start w:val="1"/>
      <w:numFmt w:val="lowerLetter"/>
      <w:lvlText w:val="%2)"/>
      <w:lvlJc w:val="left"/>
      <w:pPr>
        <w:tabs>
          <w:tab w:val="left" w:pos="1275"/>
        </w:tabs>
        <w:ind w:left="1275" w:hanging="420"/>
      </w:pPr>
    </w:lvl>
    <w:lvl w:ilvl="2" w:tentative="0">
      <w:start w:val="1"/>
      <w:numFmt w:val="lowerRoman"/>
      <w:lvlText w:val="%3."/>
      <w:lvlJc w:val="right"/>
      <w:pPr>
        <w:tabs>
          <w:tab w:val="left" w:pos="1695"/>
        </w:tabs>
        <w:ind w:left="1695" w:hanging="420"/>
      </w:pPr>
    </w:lvl>
    <w:lvl w:ilvl="3" w:tentative="0">
      <w:start w:val="1"/>
      <w:numFmt w:val="decimal"/>
      <w:lvlText w:val="%4."/>
      <w:lvlJc w:val="left"/>
      <w:pPr>
        <w:tabs>
          <w:tab w:val="left" w:pos="2115"/>
        </w:tabs>
        <w:ind w:left="2115" w:hanging="420"/>
      </w:pPr>
    </w:lvl>
    <w:lvl w:ilvl="4" w:tentative="0">
      <w:start w:val="1"/>
      <w:numFmt w:val="lowerLetter"/>
      <w:lvlText w:val="%5)"/>
      <w:lvlJc w:val="left"/>
      <w:pPr>
        <w:tabs>
          <w:tab w:val="left" w:pos="2535"/>
        </w:tabs>
        <w:ind w:left="2535" w:hanging="420"/>
      </w:pPr>
    </w:lvl>
    <w:lvl w:ilvl="5" w:tentative="0">
      <w:start w:val="1"/>
      <w:numFmt w:val="lowerRoman"/>
      <w:lvlText w:val="%6."/>
      <w:lvlJc w:val="right"/>
      <w:pPr>
        <w:tabs>
          <w:tab w:val="left" w:pos="2955"/>
        </w:tabs>
        <w:ind w:left="2955" w:hanging="420"/>
      </w:pPr>
    </w:lvl>
    <w:lvl w:ilvl="6" w:tentative="0">
      <w:start w:val="1"/>
      <w:numFmt w:val="decimal"/>
      <w:lvlText w:val="%7."/>
      <w:lvlJc w:val="left"/>
      <w:pPr>
        <w:tabs>
          <w:tab w:val="left" w:pos="3375"/>
        </w:tabs>
        <w:ind w:left="3375" w:hanging="420"/>
      </w:pPr>
    </w:lvl>
    <w:lvl w:ilvl="7" w:tentative="0">
      <w:start w:val="1"/>
      <w:numFmt w:val="lowerLetter"/>
      <w:lvlText w:val="%8)"/>
      <w:lvlJc w:val="left"/>
      <w:pPr>
        <w:tabs>
          <w:tab w:val="left" w:pos="3795"/>
        </w:tabs>
        <w:ind w:left="3795" w:hanging="420"/>
      </w:pPr>
    </w:lvl>
    <w:lvl w:ilvl="8" w:tentative="0">
      <w:start w:val="1"/>
      <w:numFmt w:val="lowerRoman"/>
      <w:lvlText w:val="%9."/>
      <w:lvlJc w:val="right"/>
      <w:pPr>
        <w:tabs>
          <w:tab w:val="left" w:pos="4215"/>
        </w:tabs>
        <w:ind w:left="4215" w:hanging="420"/>
      </w:pPr>
    </w:lvl>
  </w:abstractNum>
  <w:abstractNum w:abstractNumId="5">
    <w:nsid w:val="02837933"/>
    <w:multiLevelType w:val="multilevel"/>
    <w:tmpl w:val="02837933"/>
    <w:lvl w:ilvl="0" w:tentative="0">
      <w:start w:val="1"/>
      <w:numFmt w:val="decimal"/>
      <w:pStyle w:val="66"/>
      <w:lvlText w:val="[%1]"/>
      <w:lvlJc w:val="left"/>
      <w:pPr>
        <w:tabs>
          <w:tab w:val="left" w:pos="1646"/>
        </w:tabs>
        <w:ind w:left="1646" w:hanging="648"/>
      </w:pPr>
    </w:lvl>
    <w:lvl w:ilvl="1" w:tentative="0">
      <w:start w:val="1"/>
      <w:numFmt w:val="lowerLetter"/>
      <w:lvlText w:val="%2)"/>
      <w:lvlJc w:val="left"/>
      <w:pPr>
        <w:tabs>
          <w:tab w:val="left" w:pos="1838"/>
        </w:tabs>
        <w:ind w:left="1838" w:hanging="420"/>
      </w:pPr>
    </w:lvl>
    <w:lvl w:ilvl="2" w:tentative="0">
      <w:start w:val="1"/>
      <w:numFmt w:val="lowerRoman"/>
      <w:lvlText w:val="%3."/>
      <w:lvlJc w:val="right"/>
      <w:pPr>
        <w:tabs>
          <w:tab w:val="left" w:pos="2258"/>
        </w:tabs>
        <w:ind w:left="2258" w:hanging="420"/>
      </w:pPr>
    </w:lvl>
    <w:lvl w:ilvl="3" w:tentative="0">
      <w:start w:val="1"/>
      <w:numFmt w:val="decimal"/>
      <w:lvlText w:val="%4."/>
      <w:lvlJc w:val="left"/>
      <w:pPr>
        <w:tabs>
          <w:tab w:val="left" w:pos="2678"/>
        </w:tabs>
        <w:ind w:left="2678" w:hanging="420"/>
      </w:pPr>
    </w:lvl>
    <w:lvl w:ilvl="4" w:tentative="0">
      <w:start w:val="1"/>
      <w:numFmt w:val="lowerLetter"/>
      <w:lvlText w:val="%5)"/>
      <w:lvlJc w:val="left"/>
      <w:pPr>
        <w:tabs>
          <w:tab w:val="left" w:pos="3098"/>
        </w:tabs>
        <w:ind w:left="3098" w:hanging="420"/>
      </w:pPr>
    </w:lvl>
    <w:lvl w:ilvl="5" w:tentative="0">
      <w:start w:val="1"/>
      <w:numFmt w:val="lowerRoman"/>
      <w:lvlText w:val="%6."/>
      <w:lvlJc w:val="right"/>
      <w:pPr>
        <w:tabs>
          <w:tab w:val="left" w:pos="3518"/>
        </w:tabs>
        <w:ind w:left="3518" w:hanging="420"/>
      </w:pPr>
    </w:lvl>
    <w:lvl w:ilvl="6" w:tentative="0">
      <w:start w:val="1"/>
      <w:numFmt w:val="decimal"/>
      <w:lvlText w:val="%7."/>
      <w:lvlJc w:val="left"/>
      <w:pPr>
        <w:tabs>
          <w:tab w:val="left" w:pos="3938"/>
        </w:tabs>
        <w:ind w:left="3938" w:hanging="420"/>
      </w:pPr>
    </w:lvl>
    <w:lvl w:ilvl="7" w:tentative="0">
      <w:start w:val="1"/>
      <w:numFmt w:val="lowerLetter"/>
      <w:lvlText w:val="%8)"/>
      <w:lvlJc w:val="left"/>
      <w:pPr>
        <w:tabs>
          <w:tab w:val="left" w:pos="4358"/>
        </w:tabs>
        <w:ind w:left="4358" w:hanging="420"/>
      </w:pPr>
    </w:lvl>
    <w:lvl w:ilvl="8" w:tentative="0">
      <w:start w:val="1"/>
      <w:numFmt w:val="lowerRoman"/>
      <w:lvlText w:val="%9."/>
      <w:lvlJc w:val="right"/>
      <w:pPr>
        <w:tabs>
          <w:tab w:val="left" w:pos="4778"/>
        </w:tabs>
        <w:ind w:left="4778" w:hanging="420"/>
      </w:pPr>
    </w:lvl>
  </w:abstractNum>
  <w:abstractNum w:abstractNumId="6">
    <w:nsid w:val="040A15CD"/>
    <w:multiLevelType w:val="multilevel"/>
    <w:tmpl w:val="040A15CD"/>
    <w:lvl w:ilvl="0" w:tentative="0">
      <w:start w:val="1"/>
      <w:numFmt w:val="none"/>
      <w:suff w:val="nothing"/>
      <w:lvlText w:val="　"/>
      <w:lvlJc w:val="left"/>
      <w:pPr>
        <w:ind w:left="0" w:firstLine="0"/>
      </w:pPr>
    </w:lvl>
    <w:lvl w:ilvl="1" w:tentative="0">
      <w:start w:val="1"/>
      <w:numFmt w:val="decimal"/>
      <w:isLgl/>
      <w:suff w:val="nothing"/>
      <w:lvlText w:val="%2　"/>
      <w:lvlJc w:val="left"/>
      <w:pPr>
        <w:ind w:left="0" w:firstLine="0"/>
      </w:pPr>
    </w:lvl>
    <w:lvl w:ilvl="2" w:tentative="0">
      <w:start w:val="1"/>
      <w:numFmt w:val="decimal"/>
      <w:pStyle w:val="161"/>
      <w:suff w:val="nothing"/>
      <w:lvlText w:val="%1%2.%3　"/>
      <w:lvlJc w:val="left"/>
      <w:pPr>
        <w:ind w:left="0" w:firstLine="0"/>
      </w:pPr>
    </w:lvl>
    <w:lvl w:ilvl="3" w:tentative="0">
      <w:start w:val="1"/>
      <w:numFmt w:val="decimal"/>
      <w:pStyle w:val="120"/>
      <w:suff w:val="nothing"/>
      <w:lvlText w:val="%1%2.%3.%4　"/>
      <w:lvlJc w:val="left"/>
      <w:pPr>
        <w:ind w:left="0" w:firstLine="0"/>
      </w:pPr>
    </w:lvl>
    <w:lvl w:ilvl="4" w:tentative="0">
      <w:start w:val="1"/>
      <w:numFmt w:val="decimal"/>
      <w:pStyle w:val="155"/>
      <w:suff w:val="nothing"/>
      <w:lvlText w:val="%1%2.%3.%4.%5　"/>
      <w:lvlJc w:val="left"/>
      <w:pPr>
        <w:ind w:left="0" w:firstLine="0"/>
      </w:pPr>
    </w:lvl>
    <w:lvl w:ilvl="5" w:tentative="0">
      <w:start w:val="1"/>
      <w:numFmt w:val="decimal"/>
      <w:pStyle w:val="157"/>
      <w:suff w:val="nothing"/>
      <w:lvlText w:val="%1%2.%3.%4.%5.%6　"/>
      <w:lvlJc w:val="left"/>
      <w:pPr>
        <w:ind w:left="0" w:firstLine="0"/>
      </w:pPr>
    </w:lvl>
    <w:lvl w:ilvl="6" w:tentative="0">
      <w:start w:val="1"/>
      <w:numFmt w:val="decimal"/>
      <w:pStyle w:val="160"/>
      <w:suff w:val="nothing"/>
      <w:lvlText w:val="%1%2.%3.%4.%5.%6.%7　"/>
      <w:lvlJc w:val="left"/>
      <w:pPr>
        <w:ind w:left="0" w:firstLine="0"/>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7">
    <w:nsid w:val="079102AD"/>
    <w:multiLevelType w:val="multilevel"/>
    <w:tmpl w:val="079102AD"/>
    <w:lvl w:ilvl="0" w:tentative="0">
      <w:start w:val="1"/>
      <w:numFmt w:val="decimal"/>
      <w:pStyle w:val="182"/>
      <w:suff w:val="nothing"/>
      <w:lvlText w:val="注%1："/>
      <w:lvlJc w:val="left"/>
      <w:pPr>
        <w:ind w:left="811" w:hanging="448"/>
      </w:pPr>
      <w:rPr>
        <w:rFonts w:hint="eastAsia" w:ascii="黑体" w:eastAsia="黑体"/>
        <w:b w:val="0"/>
        <w:i w:val="0"/>
        <w:sz w:val="18"/>
      </w:rPr>
    </w:lvl>
    <w:lvl w:ilvl="1" w:tentative="0">
      <w:start w:val="1"/>
      <w:numFmt w:val="lowerLetter"/>
      <w:lvlText w:val="%2)"/>
      <w:lvlJc w:val="left"/>
      <w:pPr>
        <w:tabs>
          <w:tab w:val="left" w:pos="0"/>
        </w:tabs>
        <w:ind w:left="992" w:hanging="629"/>
      </w:pPr>
      <w:rPr>
        <w:rFonts w:hint="eastAsia"/>
      </w:rPr>
    </w:lvl>
    <w:lvl w:ilvl="2" w:tentative="0">
      <w:start w:val="1"/>
      <w:numFmt w:val="lowerRoman"/>
      <w:lvlText w:val="%3."/>
      <w:lvlJc w:val="right"/>
      <w:pPr>
        <w:tabs>
          <w:tab w:val="left" w:pos="0"/>
        </w:tabs>
        <w:ind w:left="992" w:hanging="629"/>
      </w:pPr>
      <w:rPr>
        <w:rFonts w:hint="eastAsia"/>
      </w:rPr>
    </w:lvl>
    <w:lvl w:ilvl="3" w:tentative="0">
      <w:start w:val="1"/>
      <w:numFmt w:val="decimal"/>
      <w:lvlText w:val="%4."/>
      <w:lvlJc w:val="left"/>
      <w:pPr>
        <w:tabs>
          <w:tab w:val="left" w:pos="0"/>
        </w:tabs>
        <w:ind w:left="992" w:hanging="629"/>
      </w:pPr>
      <w:rPr>
        <w:rFonts w:hint="eastAsia"/>
      </w:rPr>
    </w:lvl>
    <w:lvl w:ilvl="4" w:tentative="0">
      <w:start w:val="1"/>
      <w:numFmt w:val="lowerLetter"/>
      <w:lvlText w:val="%5)"/>
      <w:lvlJc w:val="left"/>
      <w:pPr>
        <w:tabs>
          <w:tab w:val="left" w:pos="0"/>
        </w:tabs>
        <w:ind w:left="992" w:hanging="629"/>
      </w:pPr>
      <w:rPr>
        <w:rFonts w:hint="eastAsia"/>
      </w:rPr>
    </w:lvl>
    <w:lvl w:ilvl="5" w:tentative="0">
      <w:start w:val="1"/>
      <w:numFmt w:val="lowerRoman"/>
      <w:lvlText w:val="%6."/>
      <w:lvlJc w:val="right"/>
      <w:pPr>
        <w:tabs>
          <w:tab w:val="left" w:pos="0"/>
        </w:tabs>
        <w:ind w:left="992" w:hanging="629"/>
      </w:pPr>
      <w:rPr>
        <w:rFonts w:hint="eastAsia"/>
      </w:rPr>
    </w:lvl>
    <w:lvl w:ilvl="6" w:tentative="0">
      <w:start w:val="1"/>
      <w:numFmt w:val="decimal"/>
      <w:lvlText w:val="%7."/>
      <w:lvlJc w:val="left"/>
      <w:pPr>
        <w:tabs>
          <w:tab w:val="left" w:pos="0"/>
        </w:tabs>
        <w:ind w:left="992" w:hanging="629"/>
      </w:pPr>
      <w:rPr>
        <w:rFonts w:hint="eastAsia"/>
      </w:rPr>
    </w:lvl>
    <w:lvl w:ilvl="7" w:tentative="0">
      <w:start w:val="1"/>
      <w:numFmt w:val="lowerLetter"/>
      <w:lvlText w:val="%8)"/>
      <w:lvlJc w:val="left"/>
      <w:pPr>
        <w:tabs>
          <w:tab w:val="left" w:pos="0"/>
        </w:tabs>
        <w:ind w:left="992" w:hanging="629"/>
      </w:pPr>
      <w:rPr>
        <w:rFonts w:hint="eastAsia"/>
      </w:rPr>
    </w:lvl>
    <w:lvl w:ilvl="8" w:tentative="0">
      <w:start w:val="1"/>
      <w:numFmt w:val="lowerRoman"/>
      <w:lvlText w:val="%9."/>
      <w:lvlJc w:val="right"/>
      <w:pPr>
        <w:tabs>
          <w:tab w:val="left" w:pos="0"/>
        </w:tabs>
        <w:ind w:left="992" w:hanging="629"/>
      </w:pPr>
      <w:rPr>
        <w:rFonts w:hint="eastAsia"/>
      </w:rPr>
    </w:lvl>
  </w:abstractNum>
  <w:abstractNum w:abstractNumId="8">
    <w:nsid w:val="07ED3FEA"/>
    <w:multiLevelType w:val="multilevel"/>
    <w:tmpl w:val="07ED3FEA"/>
    <w:lvl w:ilvl="0" w:tentative="0">
      <w:start w:val="1"/>
      <w:numFmt w:val="none"/>
      <w:pStyle w:val="91"/>
      <w:lvlText w:val="%1"/>
      <w:lvlJc w:val="left"/>
      <w:pPr>
        <w:ind w:left="425" w:hanging="425"/>
      </w:pPr>
      <w:rPr>
        <w:rFonts w:hint="eastAsia"/>
      </w:rPr>
    </w:lvl>
    <w:lvl w:ilvl="1" w:tentative="0">
      <w:start w:val="1"/>
      <w:numFmt w:val="decimal"/>
      <w:pStyle w:val="202"/>
      <w:suff w:val="nothing"/>
      <w:lvlText w:val="%10.%2 "/>
      <w:lvlJc w:val="left"/>
      <w:pPr>
        <w:ind w:left="0" w:firstLine="0"/>
      </w:pPr>
      <w:rPr>
        <w:rFonts w:hint="eastAsia" w:ascii="黑体" w:eastAsia="黑体" w:hAnsiTheme="minorHAnsi"/>
        <w:b w:val="0"/>
        <w:i w:val="0"/>
        <w:sz w:val="21"/>
      </w:rPr>
    </w:lvl>
    <w:lvl w:ilvl="2" w:tentative="0">
      <w:start w:val="1"/>
      <w:numFmt w:val="decimal"/>
      <w:pStyle w:val="203"/>
      <w:suff w:val="nothing"/>
      <w:lvlText w:val="%10.%2.%3 "/>
      <w:lvlJc w:val="left"/>
      <w:pPr>
        <w:ind w:left="0" w:firstLine="0"/>
      </w:pPr>
      <w:rPr>
        <w:rFonts w:hint="eastAsia" w:ascii="黑体" w:eastAsia="黑体" w:hAnsiTheme="minorHAnsi"/>
        <w:b w:val="0"/>
        <w:i w:val="0"/>
        <w:sz w:val="21"/>
      </w:rPr>
    </w:lvl>
    <w:lvl w:ilvl="3" w:tentative="0">
      <w:start w:val="1"/>
      <w:numFmt w:val="decimal"/>
      <w:pStyle w:val="204"/>
      <w:suff w:val="nothing"/>
      <w:lvlText w:val="%10.%2.%3.%4 "/>
      <w:lvlJc w:val="left"/>
      <w:pPr>
        <w:ind w:left="0" w:firstLine="0"/>
      </w:pPr>
      <w:rPr>
        <w:rFonts w:hint="eastAsia" w:ascii="黑体" w:eastAsia="黑体" w:hAnsiTheme="minorHAnsi"/>
        <w:b w:val="0"/>
        <w:i w:val="0"/>
        <w:sz w:val="21"/>
      </w:rPr>
    </w:lvl>
    <w:lvl w:ilvl="4" w:tentative="0">
      <w:start w:val="1"/>
      <w:numFmt w:val="decimal"/>
      <w:pStyle w:val="205"/>
      <w:suff w:val="nothing"/>
      <w:lvlText w:val="%10.%2.%3.%4.%5 "/>
      <w:lvlJc w:val="left"/>
      <w:pPr>
        <w:ind w:left="0" w:firstLine="0"/>
      </w:pPr>
      <w:rPr>
        <w:rFonts w:hint="eastAsia" w:ascii="黑体" w:eastAsia="黑体" w:hAnsiTheme="minorHAnsi"/>
        <w:b w:val="0"/>
        <w:i w:val="0"/>
        <w:sz w:val="21"/>
      </w:rPr>
    </w:lvl>
    <w:lvl w:ilvl="5" w:tentative="0">
      <w:start w:val="1"/>
      <w:numFmt w:val="decimal"/>
      <w:pStyle w:val="206"/>
      <w:suff w:val="nothing"/>
      <w:lvlText w:val="%10.%2.%3.%4.%5.%6 "/>
      <w:lvlJc w:val="left"/>
      <w:pPr>
        <w:ind w:left="0" w:firstLine="0"/>
      </w:pPr>
      <w:rPr>
        <w:rFonts w:hint="eastAsia" w:ascii="黑体" w:eastAsia="黑体" w:hAnsiTheme="minorHAnsi"/>
        <w:b w:val="0"/>
        <w:i w:val="0"/>
        <w:sz w:val="21"/>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9">
    <w:nsid w:val="0AE367E9"/>
    <w:multiLevelType w:val="multilevel"/>
    <w:tmpl w:val="0AE367E9"/>
    <w:lvl w:ilvl="0" w:tentative="0">
      <w:start w:val="1"/>
      <w:numFmt w:val="none"/>
      <w:pStyle w:val="183"/>
      <w:suff w:val="nothing"/>
      <w:lvlText w:val="%1示例："/>
      <w:lvlJc w:val="left"/>
      <w:pPr>
        <w:ind w:left="0" w:firstLine="363"/>
      </w:pPr>
      <w:rPr>
        <w:rFonts w:hint="eastAsia" w:ascii="黑体" w:eastAsia="黑体"/>
        <w:b w:val="0"/>
        <w:i w:val="0"/>
        <w:sz w:val="18"/>
      </w:rPr>
    </w:lvl>
    <w:lvl w:ilvl="1" w:tentative="0">
      <w:start w:val="1"/>
      <w:numFmt w:val="lowerLetter"/>
      <w:lvlText w:val="%2)"/>
      <w:lvlJc w:val="left"/>
      <w:pPr>
        <w:tabs>
          <w:tab w:val="left" w:pos="363"/>
        </w:tabs>
        <w:ind w:left="0" w:firstLine="363"/>
      </w:pPr>
      <w:rPr>
        <w:rFonts w:hint="eastAsia"/>
      </w:rPr>
    </w:lvl>
    <w:lvl w:ilvl="2" w:tentative="0">
      <w:start w:val="1"/>
      <w:numFmt w:val="lowerRoman"/>
      <w:lvlText w:val="%3."/>
      <w:lvlJc w:val="right"/>
      <w:pPr>
        <w:tabs>
          <w:tab w:val="left" w:pos="363"/>
        </w:tabs>
        <w:ind w:left="0" w:firstLine="363"/>
      </w:pPr>
      <w:rPr>
        <w:rFonts w:hint="eastAsia"/>
      </w:rPr>
    </w:lvl>
    <w:lvl w:ilvl="3" w:tentative="0">
      <w:start w:val="1"/>
      <w:numFmt w:val="decimal"/>
      <w:lvlText w:val="%4."/>
      <w:lvlJc w:val="left"/>
      <w:pPr>
        <w:tabs>
          <w:tab w:val="left" w:pos="363"/>
        </w:tabs>
        <w:ind w:left="0" w:firstLine="363"/>
      </w:pPr>
      <w:rPr>
        <w:rFonts w:hint="eastAsia"/>
      </w:rPr>
    </w:lvl>
    <w:lvl w:ilvl="4" w:tentative="0">
      <w:start w:val="1"/>
      <w:numFmt w:val="lowerLetter"/>
      <w:lvlText w:val="%5)"/>
      <w:lvlJc w:val="left"/>
      <w:pPr>
        <w:tabs>
          <w:tab w:val="left" w:pos="363"/>
        </w:tabs>
        <w:ind w:left="0" w:firstLine="363"/>
      </w:pPr>
      <w:rPr>
        <w:rFonts w:hint="eastAsia"/>
      </w:rPr>
    </w:lvl>
    <w:lvl w:ilvl="5" w:tentative="0">
      <w:start w:val="1"/>
      <w:numFmt w:val="lowerRoman"/>
      <w:lvlText w:val="%6."/>
      <w:lvlJc w:val="right"/>
      <w:pPr>
        <w:tabs>
          <w:tab w:val="left" w:pos="363"/>
        </w:tabs>
        <w:ind w:left="0" w:firstLine="363"/>
      </w:pPr>
      <w:rPr>
        <w:rFonts w:hint="eastAsia"/>
      </w:rPr>
    </w:lvl>
    <w:lvl w:ilvl="6" w:tentative="0">
      <w:start w:val="1"/>
      <w:numFmt w:val="decimal"/>
      <w:lvlText w:val="%7."/>
      <w:lvlJc w:val="left"/>
      <w:pPr>
        <w:tabs>
          <w:tab w:val="left" w:pos="363"/>
        </w:tabs>
        <w:ind w:left="0" w:firstLine="363"/>
      </w:pPr>
      <w:rPr>
        <w:rFonts w:hint="eastAsia"/>
      </w:rPr>
    </w:lvl>
    <w:lvl w:ilvl="7" w:tentative="0">
      <w:start w:val="1"/>
      <w:numFmt w:val="lowerLetter"/>
      <w:lvlText w:val="%8)"/>
      <w:lvlJc w:val="left"/>
      <w:pPr>
        <w:tabs>
          <w:tab w:val="left" w:pos="363"/>
        </w:tabs>
        <w:ind w:left="0" w:firstLine="363"/>
      </w:pPr>
      <w:rPr>
        <w:rFonts w:hint="eastAsia"/>
      </w:rPr>
    </w:lvl>
    <w:lvl w:ilvl="8" w:tentative="0">
      <w:start w:val="1"/>
      <w:numFmt w:val="lowerRoman"/>
      <w:lvlText w:val="%9."/>
      <w:lvlJc w:val="right"/>
      <w:pPr>
        <w:tabs>
          <w:tab w:val="left" w:pos="363"/>
        </w:tabs>
        <w:ind w:left="0" w:firstLine="363"/>
      </w:pPr>
      <w:rPr>
        <w:rFonts w:hint="eastAsia"/>
      </w:rPr>
    </w:lvl>
  </w:abstractNum>
  <w:abstractNum w:abstractNumId="10">
    <w:nsid w:val="0BDC1670"/>
    <w:multiLevelType w:val="multilevel"/>
    <w:tmpl w:val="0BDC1670"/>
    <w:lvl w:ilvl="0" w:tentative="0">
      <w:start w:val="1"/>
      <w:numFmt w:val="decimal"/>
      <w:pStyle w:val="69"/>
      <w:lvlText w:val="[%1]"/>
      <w:lvlJc w:val="left"/>
      <w:pPr>
        <w:ind w:left="823"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1">
    <w:nsid w:val="0D051F45"/>
    <w:multiLevelType w:val="multilevel"/>
    <w:tmpl w:val="0D051F45"/>
    <w:lvl w:ilvl="0" w:tentative="0">
      <w:start w:val="1"/>
      <w:numFmt w:val="lowerRoman"/>
      <w:pStyle w:val="171"/>
      <w:lvlText w:val="%1)"/>
      <w:lvlJc w:val="left"/>
      <w:pPr>
        <w:tabs>
          <w:tab w:val="left" w:pos="851"/>
        </w:tabs>
        <w:ind w:left="851" w:hanging="426"/>
      </w:pPr>
      <w:rPr>
        <w:rFonts w:hint="eastAsia" w:ascii="宋体" w:hAnsi="Times New Roman" w:eastAsia="宋体"/>
        <w:sz w:val="21"/>
      </w:rPr>
    </w:lvl>
    <w:lvl w:ilvl="1" w:tentative="0">
      <w:start w:val="1"/>
      <w:numFmt w:val="lowerLetter"/>
      <w:lvlText w:val="%2)"/>
      <w:lvlJc w:val="left"/>
      <w:pPr>
        <w:tabs>
          <w:tab w:val="left" w:pos="1543"/>
        </w:tabs>
        <w:ind w:left="1543" w:hanging="420"/>
      </w:pPr>
      <w:rPr>
        <w:rFonts w:hint="eastAsia"/>
      </w:rPr>
    </w:lvl>
    <w:lvl w:ilvl="2" w:tentative="0">
      <w:start w:val="1"/>
      <w:numFmt w:val="lowerRoman"/>
      <w:lvlText w:val="%3."/>
      <w:lvlJc w:val="right"/>
      <w:pPr>
        <w:tabs>
          <w:tab w:val="left" w:pos="1963"/>
        </w:tabs>
        <w:ind w:left="1963" w:hanging="420"/>
      </w:pPr>
      <w:rPr>
        <w:rFonts w:hint="eastAsia"/>
      </w:rPr>
    </w:lvl>
    <w:lvl w:ilvl="3" w:tentative="0">
      <w:start w:val="1"/>
      <w:numFmt w:val="decimal"/>
      <w:lvlText w:val="%4."/>
      <w:lvlJc w:val="left"/>
      <w:pPr>
        <w:tabs>
          <w:tab w:val="left" w:pos="2383"/>
        </w:tabs>
        <w:ind w:left="2383" w:hanging="420"/>
      </w:pPr>
      <w:rPr>
        <w:rFonts w:hint="eastAsia"/>
      </w:rPr>
    </w:lvl>
    <w:lvl w:ilvl="4" w:tentative="0">
      <w:start w:val="1"/>
      <w:numFmt w:val="lowerLetter"/>
      <w:lvlText w:val="%5)"/>
      <w:lvlJc w:val="left"/>
      <w:pPr>
        <w:tabs>
          <w:tab w:val="left" w:pos="2803"/>
        </w:tabs>
        <w:ind w:left="2803" w:hanging="420"/>
      </w:pPr>
      <w:rPr>
        <w:rFonts w:hint="eastAsia"/>
      </w:rPr>
    </w:lvl>
    <w:lvl w:ilvl="5" w:tentative="0">
      <w:start w:val="1"/>
      <w:numFmt w:val="lowerRoman"/>
      <w:lvlText w:val="%6."/>
      <w:lvlJc w:val="right"/>
      <w:pPr>
        <w:tabs>
          <w:tab w:val="left" w:pos="3223"/>
        </w:tabs>
        <w:ind w:left="3223" w:hanging="420"/>
      </w:pPr>
      <w:rPr>
        <w:rFonts w:hint="eastAsia"/>
      </w:rPr>
    </w:lvl>
    <w:lvl w:ilvl="6" w:tentative="0">
      <w:start w:val="1"/>
      <w:numFmt w:val="decimal"/>
      <w:lvlText w:val="%7."/>
      <w:lvlJc w:val="left"/>
      <w:pPr>
        <w:tabs>
          <w:tab w:val="left" w:pos="3643"/>
        </w:tabs>
        <w:ind w:left="3643" w:hanging="420"/>
      </w:pPr>
      <w:rPr>
        <w:rFonts w:hint="eastAsia"/>
      </w:rPr>
    </w:lvl>
    <w:lvl w:ilvl="7" w:tentative="0">
      <w:start w:val="1"/>
      <w:numFmt w:val="lowerLetter"/>
      <w:lvlText w:val="%8)"/>
      <w:lvlJc w:val="left"/>
      <w:pPr>
        <w:tabs>
          <w:tab w:val="left" w:pos="4063"/>
        </w:tabs>
        <w:ind w:left="4063" w:hanging="420"/>
      </w:pPr>
      <w:rPr>
        <w:rFonts w:hint="eastAsia"/>
      </w:rPr>
    </w:lvl>
    <w:lvl w:ilvl="8" w:tentative="0">
      <w:start w:val="1"/>
      <w:numFmt w:val="lowerRoman"/>
      <w:lvlText w:val="%9."/>
      <w:lvlJc w:val="right"/>
      <w:pPr>
        <w:tabs>
          <w:tab w:val="left" w:pos="4483"/>
        </w:tabs>
        <w:ind w:left="4483" w:hanging="420"/>
      </w:pPr>
      <w:rPr>
        <w:rFonts w:hint="eastAsia"/>
      </w:rPr>
    </w:lvl>
  </w:abstractNum>
  <w:abstractNum w:abstractNumId="12">
    <w:nsid w:val="1AD20F90"/>
    <w:multiLevelType w:val="multilevel"/>
    <w:tmpl w:val="1AD20F90"/>
    <w:lvl w:ilvl="0" w:tentative="0">
      <w:start w:val="1"/>
      <w:numFmt w:val="none"/>
      <w:pStyle w:val="112"/>
      <w:lvlText w:val="%1注："/>
      <w:lvlJc w:val="left"/>
      <w:pPr>
        <w:tabs>
          <w:tab w:val="left" w:pos="845"/>
        </w:tabs>
        <w:ind w:left="-102" w:firstLine="419"/>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3">
    <w:nsid w:val="1AF15012"/>
    <w:multiLevelType w:val="multilevel"/>
    <w:tmpl w:val="1AF15012"/>
    <w:lvl w:ilvl="0" w:tentative="0">
      <w:start w:val="1"/>
      <w:numFmt w:val="upperLetter"/>
      <w:pStyle w:val="87"/>
      <w:suff w:val="nothing"/>
      <w:lvlText w:val="附 录(Annex) %1"/>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14">
    <w:nsid w:val="1EAA1992"/>
    <w:multiLevelType w:val="multilevel"/>
    <w:tmpl w:val="1EAA1992"/>
    <w:lvl w:ilvl="0" w:tentative="0">
      <w:start w:val="1"/>
      <w:numFmt w:val="none"/>
      <w:pStyle w:val="94"/>
      <w:suff w:val="nothing"/>
      <w:lvlText w:val="——"/>
      <w:lvlJc w:val="left"/>
      <w:pPr>
        <w:ind w:left="794" w:hanging="397"/>
      </w:pPr>
    </w:lvl>
    <w:lvl w:ilvl="1" w:tentative="0">
      <w:start w:val="1"/>
      <w:numFmt w:val="decimal"/>
      <w:suff w:val="nothing"/>
      <w:lvlText w:val="%1.%2　"/>
      <w:lvlJc w:val="left"/>
      <w:pPr>
        <w:ind w:left="397" w:firstLine="0"/>
      </w:pPr>
    </w:lvl>
    <w:lvl w:ilvl="2" w:tentative="0">
      <w:start w:val="1"/>
      <w:numFmt w:val="decimal"/>
      <w:suff w:val="nothing"/>
      <w:lvlText w:val="%1.%2.%3　"/>
      <w:lvlJc w:val="left"/>
      <w:pPr>
        <w:ind w:left="397" w:firstLine="0"/>
      </w:pPr>
    </w:lvl>
    <w:lvl w:ilvl="3" w:tentative="0">
      <w:start w:val="1"/>
      <w:numFmt w:val="decimal"/>
      <w:suff w:val="nothing"/>
      <w:lvlText w:val="%1.%2.%3.%4　"/>
      <w:lvlJc w:val="left"/>
      <w:pPr>
        <w:ind w:left="397" w:firstLine="0"/>
      </w:pPr>
    </w:lvl>
    <w:lvl w:ilvl="4" w:tentative="0">
      <w:start w:val="1"/>
      <w:numFmt w:val="decimal"/>
      <w:suff w:val="nothing"/>
      <w:lvlText w:val="%1.%2.%3.%4.%5　"/>
      <w:lvlJc w:val="left"/>
      <w:pPr>
        <w:ind w:left="397" w:firstLine="0"/>
      </w:pPr>
    </w:lvl>
    <w:lvl w:ilvl="5" w:tentative="0">
      <w:start w:val="1"/>
      <w:numFmt w:val="decimal"/>
      <w:suff w:val="nothing"/>
      <w:lvlText w:val="%1.%2.%3.%4.%5.%6　"/>
      <w:lvlJc w:val="left"/>
      <w:pPr>
        <w:ind w:left="397" w:firstLine="0"/>
      </w:pPr>
    </w:lvl>
    <w:lvl w:ilvl="6" w:tentative="0">
      <w:start w:val="1"/>
      <w:numFmt w:val="decimal"/>
      <w:suff w:val="nothing"/>
      <w:lvlText w:val="%1.%2.%3.%4.%5.%6.%7　"/>
      <w:lvlJc w:val="left"/>
      <w:pPr>
        <w:ind w:left="397" w:firstLine="0"/>
      </w:pPr>
    </w:lvl>
    <w:lvl w:ilvl="7" w:tentative="0">
      <w:start w:val="1"/>
      <w:numFmt w:val="decimal"/>
      <w:lvlText w:val="%1.%2.%3.%4.%5.%6.%7.%8"/>
      <w:lvlJc w:val="left"/>
      <w:pPr>
        <w:tabs>
          <w:tab w:val="left" w:pos="4791"/>
        </w:tabs>
        <w:ind w:left="4791" w:hanging="1418"/>
      </w:pPr>
    </w:lvl>
    <w:lvl w:ilvl="8" w:tentative="0">
      <w:start w:val="1"/>
      <w:numFmt w:val="decimal"/>
      <w:lvlText w:val="%1.%2.%3.%4.%5.%6.%7.%8.%9"/>
      <w:lvlJc w:val="left"/>
      <w:pPr>
        <w:tabs>
          <w:tab w:val="left" w:pos="5499"/>
        </w:tabs>
        <w:ind w:left="5499" w:hanging="1700"/>
      </w:pPr>
    </w:lvl>
  </w:abstractNum>
  <w:abstractNum w:abstractNumId="15">
    <w:nsid w:val="1FE7EDBC"/>
    <w:multiLevelType w:val="multilevel"/>
    <w:tmpl w:val="1FE7EDBC"/>
    <w:lvl w:ilvl="0" w:tentative="0">
      <w:start w:val="1"/>
      <w:numFmt w:val="lowerLetter"/>
      <w:lvlText w:val="%1)"/>
      <w:lvlJc w:val="left"/>
      <w:pPr>
        <w:tabs>
          <w:tab w:val="left" w:pos="795"/>
        </w:tabs>
        <w:ind w:left="795" w:hanging="360"/>
      </w:pPr>
      <w:rPr>
        <w:rFonts w:hint="eastAsia"/>
      </w:rPr>
    </w:lvl>
    <w:lvl w:ilvl="1" w:tentative="0">
      <w:start w:val="1"/>
      <w:numFmt w:val="lowerLetter"/>
      <w:lvlText w:val="%2)"/>
      <w:lvlJc w:val="left"/>
      <w:pPr>
        <w:tabs>
          <w:tab w:val="left" w:pos="1275"/>
        </w:tabs>
        <w:ind w:left="1275" w:hanging="420"/>
      </w:pPr>
    </w:lvl>
    <w:lvl w:ilvl="2" w:tentative="0">
      <w:start w:val="1"/>
      <w:numFmt w:val="lowerRoman"/>
      <w:lvlText w:val="%3."/>
      <w:lvlJc w:val="right"/>
      <w:pPr>
        <w:tabs>
          <w:tab w:val="left" w:pos="1695"/>
        </w:tabs>
        <w:ind w:left="1695" w:hanging="420"/>
      </w:pPr>
    </w:lvl>
    <w:lvl w:ilvl="3" w:tentative="0">
      <w:start w:val="1"/>
      <w:numFmt w:val="decimal"/>
      <w:lvlText w:val="%4."/>
      <w:lvlJc w:val="left"/>
      <w:pPr>
        <w:tabs>
          <w:tab w:val="left" w:pos="2115"/>
        </w:tabs>
        <w:ind w:left="2115" w:hanging="420"/>
      </w:pPr>
    </w:lvl>
    <w:lvl w:ilvl="4" w:tentative="0">
      <w:start w:val="1"/>
      <w:numFmt w:val="lowerLetter"/>
      <w:lvlText w:val="%5)"/>
      <w:lvlJc w:val="left"/>
      <w:pPr>
        <w:tabs>
          <w:tab w:val="left" w:pos="2535"/>
        </w:tabs>
        <w:ind w:left="2535" w:hanging="420"/>
      </w:pPr>
    </w:lvl>
    <w:lvl w:ilvl="5" w:tentative="0">
      <w:start w:val="1"/>
      <w:numFmt w:val="lowerRoman"/>
      <w:lvlText w:val="%6."/>
      <w:lvlJc w:val="right"/>
      <w:pPr>
        <w:tabs>
          <w:tab w:val="left" w:pos="2955"/>
        </w:tabs>
        <w:ind w:left="2955" w:hanging="420"/>
      </w:pPr>
    </w:lvl>
    <w:lvl w:ilvl="6" w:tentative="0">
      <w:start w:val="1"/>
      <w:numFmt w:val="decimal"/>
      <w:lvlText w:val="%7."/>
      <w:lvlJc w:val="left"/>
      <w:pPr>
        <w:tabs>
          <w:tab w:val="left" w:pos="3375"/>
        </w:tabs>
        <w:ind w:left="3375" w:hanging="420"/>
      </w:pPr>
    </w:lvl>
    <w:lvl w:ilvl="7" w:tentative="0">
      <w:start w:val="1"/>
      <w:numFmt w:val="lowerLetter"/>
      <w:lvlText w:val="%8)"/>
      <w:lvlJc w:val="left"/>
      <w:pPr>
        <w:tabs>
          <w:tab w:val="left" w:pos="3795"/>
        </w:tabs>
        <w:ind w:left="3795" w:hanging="420"/>
      </w:pPr>
    </w:lvl>
    <w:lvl w:ilvl="8" w:tentative="0">
      <w:start w:val="1"/>
      <w:numFmt w:val="lowerRoman"/>
      <w:lvlText w:val="%9."/>
      <w:lvlJc w:val="right"/>
      <w:pPr>
        <w:tabs>
          <w:tab w:val="left" w:pos="4215"/>
        </w:tabs>
        <w:ind w:left="4215" w:hanging="420"/>
      </w:pPr>
    </w:lvl>
  </w:abstractNum>
  <w:abstractNum w:abstractNumId="16">
    <w:nsid w:val="27E528E9"/>
    <w:multiLevelType w:val="multilevel"/>
    <w:tmpl w:val="27E528E9"/>
    <w:lvl w:ilvl="0" w:tentative="0">
      <w:start w:val="1"/>
      <w:numFmt w:val="lowerLetter"/>
      <w:lvlText w:val="%1)"/>
      <w:lvlJc w:val="left"/>
      <w:pPr>
        <w:tabs>
          <w:tab w:val="left" w:pos="795"/>
        </w:tabs>
        <w:ind w:left="795" w:hanging="360"/>
      </w:pPr>
      <w:rPr>
        <w:rFonts w:hint="eastAsia"/>
      </w:rPr>
    </w:lvl>
    <w:lvl w:ilvl="1" w:tentative="0">
      <w:start w:val="1"/>
      <w:numFmt w:val="lowerLetter"/>
      <w:lvlText w:val="%2)"/>
      <w:lvlJc w:val="left"/>
      <w:pPr>
        <w:tabs>
          <w:tab w:val="left" w:pos="1275"/>
        </w:tabs>
        <w:ind w:left="1275" w:hanging="420"/>
      </w:pPr>
    </w:lvl>
    <w:lvl w:ilvl="2" w:tentative="0">
      <w:start w:val="1"/>
      <w:numFmt w:val="lowerRoman"/>
      <w:lvlText w:val="%3."/>
      <w:lvlJc w:val="right"/>
      <w:pPr>
        <w:tabs>
          <w:tab w:val="left" w:pos="1695"/>
        </w:tabs>
        <w:ind w:left="1695" w:hanging="420"/>
      </w:pPr>
    </w:lvl>
    <w:lvl w:ilvl="3" w:tentative="0">
      <w:start w:val="1"/>
      <w:numFmt w:val="decimal"/>
      <w:lvlText w:val="%4."/>
      <w:lvlJc w:val="left"/>
      <w:pPr>
        <w:tabs>
          <w:tab w:val="left" w:pos="2115"/>
        </w:tabs>
        <w:ind w:left="2115" w:hanging="420"/>
      </w:pPr>
    </w:lvl>
    <w:lvl w:ilvl="4" w:tentative="0">
      <w:start w:val="1"/>
      <w:numFmt w:val="lowerLetter"/>
      <w:lvlText w:val="%5)"/>
      <w:lvlJc w:val="left"/>
      <w:pPr>
        <w:tabs>
          <w:tab w:val="left" w:pos="2535"/>
        </w:tabs>
        <w:ind w:left="2535" w:hanging="420"/>
      </w:pPr>
    </w:lvl>
    <w:lvl w:ilvl="5" w:tentative="0">
      <w:start w:val="1"/>
      <w:numFmt w:val="lowerRoman"/>
      <w:lvlText w:val="%6."/>
      <w:lvlJc w:val="right"/>
      <w:pPr>
        <w:tabs>
          <w:tab w:val="left" w:pos="2955"/>
        </w:tabs>
        <w:ind w:left="2955" w:hanging="420"/>
      </w:pPr>
    </w:lvl>
    <w:lvl w:ilvl="6" w:tentative="0">
      <w:start w:val="1"/>
      <w:numFmt w:val="decimal"/>
      <w:lvlText w:val="%7."/>
      <w:lvlJc w:val="left"/>
      <w:pPr>
        <w:tabs>
          <w:tab w:val="left" w:pos="3375"/>
        </w:tabs>
        <w:ind w:left="3375" w:hanging="420"/>
      </w:pPr>
    </w:lvl>
    <w:lvl w:ilvl="7" w:tentative="0">
      <w:start w:val="1"/>
      <w:numFmt w:val="lowerLetter"/>
      <w:lvlText w:val="%8)"/>
      <w:lvlJc w:val="left"/>
      <w:pPr>
        <w:tabs>
          <w:tab w:val="left" w:pos="3795"/>
        </w:tabs>
        <w:ind w:left="3795" w:hanging="420"/>
      </w:pPr>
    </w:lvl>
    <w:lvl w:ilvl="8" w:tentative="0">
      <w:start w:val="1"/>
      <w:numFmt w:val="lowerRoman"/>
      <w:lvlText w:val="%9."/>
      <w:lvlJc w:val="right"/>
      <w:pPr>
        <w:tabs>
          <w:tab w:val="left" w:pos="4215"/>
        </w:tabs>
        <w:ind w:left="4215" w:hanging="420"/>
      </w:pPr>
    </w:lvl>
  </w:abstractNum>
  <w:abstractNum w:abstractNumId="17">
    <w:nsid w:val="2C5917C3"/>
    <w:multiLevelType w:val="multilevel"/>
    <w:tmpl w:val="2C5917C3"/>
    <w:lvl w:ilvl="0" w:tentative="0">
      <w:start w:val="1"/>
      <w:numFmt w:val="none"/>
      <w:pStyle w:val="134"/>
      <w:lvlText w:val="%1——"/>
      <w:lvlJc w:val="left"/>
      <w:pPr>
        <w:tabs>
          <w:tab w:val="left" w:pos="851"/>
        </w:tabs>
        <w:ind w:left="851" w:hanging="426"/>
      </w:pPr>
      <w:rPr>
        <w:rFonts w:hint="eastAsia" w:ascii="宋体" w:hAnsi="Times New Roman" w:eastAsia="宋体"/>
        <w:b w:val="0"/>
        <w:i w:val="0"/>
        <w:sz w:val="21"/>
      </w:rPr>
    </w:lvl>
    <w:lvl w:ilvl="1" w:tentative="0">
      <w:start w:val="1"/>
      <w:numFmt w:val="none"/>
      <w:pStyle w:val="189"/>
      <w:lvlText w:val=""/>
      <w:lvlJc w:val="left"/>
      <w:pPr>
        <w:ind w:left="851" w:hanging="431"/>
      </w:pPr>
      <w:rPr>
        <w:rFonts w:hint="default" w:ascii="Symbol" w:hAnsi="Symbol"/>
        <w:sz w:val="21"/>
      </w:rPr>
    </w:lvl>
    <w:lvl w:ilvl="2" w:tentative="0">
      <w:start w:val="1"/>
      <w:numFmt w:val="bullet"/>
      <w:pStyle w:val="174"/>
      <w:lvlText w:val=""/>
      <w:lvlJc w:val="left"/>
      <w:pPr>
        <w:ind w:left="851" w:hanging="426"/>
      </w:pPr>
      <w:rPr>
        <w:rFonts w:hint="default" w:ascii="Wingdings" w:hAnsi="Wingdings"/>
        <w:sz w:val="21"/>
      </w:rPr>
    </w:lvl>
    <w:lvl w:ilvl="3" w:tentative="0">
      <w:start w:val="1"/>
      <w:numFmt w:val="decimal"/>
      <w:lvlText w:val="%4."/>
      <w:lvlJc w:val="left"/>
      <w:pPr>
        <w:tabs>
          <w:tab w:val="left" w:pos="2071"/>
        </w:tabs>
        <w:ind w:left="1884" w:hanging="528"/>
      </w:pPr>
      <w:rPr>
        <w:rFonts w:hint="eastAsia"/>
      </w:rPr>
    </w:lvl>
    <w:lvl w:ilvl="4" w:tentative="0">
      <w:start w:val="1"/>
      <w:numFmt w:val="lowerLetter"/>
      <w:lvlText w:val="%5)"/>
      <w:lvlJc w:val="left"/>
      <w:pPr>
        <w:tabs>
          <w:tab w:val="left" w:pos="2383"/>
        </w:tabs>
        <w:ind w:left="2196" w:hanging="528"/>
      </w:pPr>
      <w:rPr>
        <w:rFonts w:hint="eastAsia"/>
      </w:rPr>
    </w:lvl>
    <w:lvl w:ilvl="5" w:tentative="0">
      <w:start w:val="1"/>
      <w:numFmt w:val="lowerRoman"/>
      <w:lvlText w:val="%6."/>
      <w:lvlJc w:val="right"/>
      <w:pPr>
        <w:tabs>
          <w:tab w:val="left" w:pos="2695"/>
        </w:tabs>
        <w:ind w:left="2508" w:hanging="528"/>
      </w:pPr>
      <w:rPr>
        <w:rFonts w:hint="eastAsia"/>
      </w:rPr>
    </w:lvl>
    <w:lvl w:ilvl="6" w:tentative="0">
      <w:start w:val="1"/>
      <w:numFmt w:val="decimal"/>
      <w:lvlText w:val="%7."/>
      <w:lvlJc w:val="left"/>
      <w:pPr>
        <w:tabs>
          <w:tab w:val="left" w:pos="3007"/>
        </w:tabs>
        <w:ind w:left="2820" w:hanging="528"/>
      </w:pPr>
      <w:rPr>
        <w:rFonts w:hint="eastAsia"/>
      </w:rPr>
    </w:lvl>
    <w:lvl w:ilvl="7" w:tentative="0">
      <w:start w:val="1"/>
      <w:numFmt w:val="lowerLetter"/>
      <w:lvlText w:val="%8)"/>
      <w:lvlJc w:val="left"/>
      <w:pPr>
        <w:tabs>
          <w:tab w:val="left" w:pos="3319"/>
        </w:tabs>
        <w:ind w:left="3132" w:hanging="528"/>
      </w:pPr>
      <w:rPr>
        <w:rFonts w:hint="eastAsia"/>
      </w:rPr>
    </w:lvl>
    <w:lvl w:ilvl="8" w:tentative="0">
      <w:start w:val="1"/>
      <w:numFmt w:val="lowerRoman"/>
      <w:lvlText w:val="%9."/>
      <w:lvlJc w:val="right"/>
      <w:pPr>
        <w:tabs>
          <w:tab w:val="left" w:pos="3631"/>
        </w:tabs>
        <w:ind w:left="3444" w:hanging="528"/>
      </w:pPr>
      <w:rPr>
        <w:rFonts w:hint="eastAsia"/>
      </w:rPr>
    </w:lvl>
  </w:abstractNum>
  <w:abstractNum w:abstractNumId="18">
    <w:nsid w:val="32F04FB2"/>
    <w:multiLevelType w:val="multilevel"/>
    <w:tmpl w:val="32F04FB2"/>
    <w:lvl w:ilvl="0" w:tentative="0">
      <w:start w:val="1"/>
      <w:numFmt w:val="lowerLetter"/>
      <w:pStyle w:val="103"/>
      <w:lvlText w:val="%1"/>
      <w:lvlJc w:val="left"/>
      <w:pPr>
        <w:tabs>
          <w:tab w:val="left" w:pos="539"/>
        </w:tabs>
        <w:ind w:left="539" w:hanging="119"/>
      </w:pPr>
      <w:rPr>
        <w:rFonts w:hint="eastAsia"/>
        <w:caps w:val="0"/>
        <w:strike w:val="0"/>
        <w:dstrike w:val="0"/>
        <w:vanish w:val="0"/>
        <w:vertAlign w:val="superscript"/>
      </w:rPr>
    </w:lvl>
    <w:lvl w:ilvl="1" w:tentative="0">
      <w:start w:val="1"/>
      <w:numFmt w:val="lowerLetter"/>
      <w:lvlText w:val="%2)"/>
      <w:lvlJc w:val="left"/>
      <w:pPr>
        <w:ind w:left="1040" w:hanging="420"/>
      </w:pPr>
      <w:rPr>
        <w:rFonts w:hint="eastAsia"/>
      </w:rPr>
    </w:lvl>
    <w:lvl w:ilvl="2" w:tentative="0">
      <w:start w:val="1"/>
      <w:numFmt w:val="lowerRoman"/>
      <w:lvlText w:val="%3."/>
      <w:lvlJc w:val="right"/>
      <w:pPr>
        <w:ind w:left="1460" w:hanging="420"/>
      </w:pPr>
      <w:rPr>
        <w:rFonts w:hint="eastAsia"/>
      </w:rPr>
    </w:lvl>
    <w:lvl w:ilvl="3" w:tentative="0">
      <w:start w:val="1"/>
      <w:numFmt w:val="decimal"/>
      <w:lvlText w:val="%4."/>
      <w:lvlJc w:val="left"/>
      <w:pPr>
        <w:ind w:left="1880" w:hanging="420"/>
      </w:pPr>
      <w:rPr>
        <w:rFonts w:hint="eastAsia"/>
      </w:rPr>
    </w:lvl>
    <w:lvl w:ilvl="4" w:tentative="0">
      <w:start w:val="1"/>
      <w:numFmt w:val="lowerLetter"/>
      <w:lvlText w:val="%5)"/>
      <w:lvlJc w:val="left"/>
      <w:pPr>
        <w:ind w:left="2300" w:hanging="420"/>
      </w:pPr>
      <w:rPr>
        <w:rFonts w:hint="eastAsia"/>
      </w:rPr>
    </w:lvl>
    <w:lvl w:ilvl="5" w:tentative="0">
      <w:start w:val="1"/>
      <w:numFmt w:val="lowerRoman"/>
      <w:lvlText w:val="%6."/>
      <w:lvlJc w:val="right"/>
      <w:pPr>
        <w:ind w:left="2720" w:hanging="420"/>
      </w:pPr>
      <w:rPr>
        <w:rFonts w:hint="eastAsia"/>
      </w:rPr>
    </w:lvl>
    <w:lvl w:ilvl="6" w:tentative="0">
      <w:start w:val="1"/>
      <w:numFmt w:val="decimal"/>
      <w:lvlText w:val="%7."/>
      <w:lvlJc w:val="left"/>
      <w:pPr>
        <w:ind w:left="3140" w:hanging="420"/>
      </w:pPr>
      <w:rPr>
        <w:rFonts w:hint="eastAsia"/>
      </w:rPr>
    </w:lvl>
    <w:lvl w:ilvl="7" w:tentative="0">
      <w:start w:val="1"/>
      <w:numFmt w:val="lowerLetter"/>
      <w:lvlText w:val="%8)"/>
      <w:lvlJc w:val="left"/>
      <w:pPr>
        <w:ind w:left="3560" w:hanging="420"/>
      </w:pPr>
      <w:rPr>
        <w:rFonts w:hint="eastAsia"/>
      </w:rPr>
    </w:lvl>
    <w:lvl w:ilvl="8" w:tentative="0">
      <w:start w:val="1"/>
      <w:numFmt w:val="lowerRoman"/>
      <w:lvlText w:val="%9."/>
      <w:lvlJc w:val="right"/>
      <w:pPr>
        <w:ind w:left="3980" w:hanging="420"/>
      </w:pPr>
      <w:rPr>
        <w:rFonts w:hint="eastAsia"/>
      </w:rPr>
    </w:lvl>
  </w:abstractNum>
  <w:abstractNum w:abstractNumId="19">
    <w:nsid w:val="3F8BC92F"/>
    <w:multiLevelType w:val="multilevel"/>
    <w:tmpl w:val="3F8BC92F"/>
    <w:lvl w:ilvl="0" w:tentative="0">
      <w:start w:val="1"/>
      <w:numFmt w:val="lowerLetter"/>
      <w:lvlText w:val="%1)"/>
      <w:lvlJc w:val="left"/>
      <w:pPr>
        <w:tabs>
          <w:tab w:val="left" w:pos="795"/>
        </w:tabs>
        <w:ind w:left="795" w:hanging="360"/>
      </w:pPr>
      <w:rPr>
        <w:rFonts w:hint="eastAsia"/>
      </w:rPr>
    </w:lvl>
    <w:lvl w:ilvl="1" w:tentative="0">
      <w:start w:val="1"/>
      <w:numFmt w:val="lowerLetter"/>
      <w:lvlText w:val="%2)"/>
      <w:lvlJc w:val="left"/>
      <w:pPr>
        <w:tabs>
          <w:tab w:val="left" w:pos="1275"/>
        </w:tabs>
        <w:ind w:left="1275" w:hanging="420"/>
      </w:pPr>
    </w:lvl>
    <w:lvl w:ilvl="2" w:tentative="0">
      <w:start w:val="1"/>
      <w:numFmt w:val="lowerRoman"/>
      <w:lvlText w:val="%3."/>
      <w:lvlJc w:val="right"/>
      <w:pPr>
        <w:tabs>
          <w:tab w:val="left" w:pos="1695"/>
        </w:tabs>
        <w:ind w:left="1695" w:hanging="420"/>
      </w:pPr>
    </w:lvl>
    <w:lvl w:ilvl="3" w:tentative="0">
      <w:start w:val="1"/>
      <w:numFmt w:val="decimal"/>
      <w:lvlText w:val="%4."/>
      <w:lvlJc w:val="left"/>
      <w:pPr>
        <w:tabs>
          <w:tab w:val="left" w:pos="2115"/>
        </w:tabs>
        <w:ind w:left="2115" w:hanging="420"/>
      </w:pPr>
    </w:lvl>
    <w:lvl w:ilvl="4" w:tentative="0">
      <w:start w:val="1"/>
      <w:numFmt w:val="lowerLetter"/>
      <w:lvlText w:val="%5)"/>
      <w:lvlJc w:val="left"/>
      <w:pPr>
        <w:tabs>
          <w:tab w:val="left" w:pos="2535"/>
        </w:tabs>
        <w:ind w:left="2535" w:hanging="420"/>
      </w:pPr>
    </w:lvl>
    <w:lvl w:ilvl="5" w:tentative="0">
      <w:start w:val="1"/>
      <w:numFmt w:val="lowerRoman"/>
      <w:lvlText w:val="%6."/>
      <w:lvlJc w:val="right"/>
      <w:pPr>
        <w:tabs>
          <w:tab w:val="left" w:pos="2955"/>
        </w:tabs>
        <w:ind w:left="2955" w:hanging="420"/>
      </w:pPr>
    </w:lvl>
    <w:lvl w:ilvl="6" w:tentative="0">
      <w:start w:val="1"/>
      <w:numFmt w:val="decimal"/>
      <w:lvlText w:val="%7."/>
      <w:lvlJc w:val="left"/>
      <w:pPr>
        <w:tabs>
          <w:tab w:val="left" w:pos="3375"/>
        </w:tabs>
        <w:ind w:left="3375" w:hanging="420"/>
      </w:pPr>
    </w:lvl>
    <w:lvl w:ilvl="7" w:tentative="0">
      <w:start w:val="1"/>
      <w:numFmt w:val="lowerLetter"/>
      <w:lvlText w:val="%8)"/>
      <w:lvlJc w:val="left"/>
      <w:pPr>
        <w:tabs>
          <w:tab w:val="left" w:pos="3795"/>
        </w:tabs>
        <w:ind w:left="3795" w:hanging="420"/>
      </w:pPr>
    </w:lvl>
    <w:lvl w:ilvl="8" w:tentative="0">
      <w:start w:val="1"/>
      <w:numFmt w:val="lowerRoman"/>
      <w:lvlText w:val="%9."/>
      <w:lvlJc w:val="right"/>
      <w:pPr>
        <w:tabs>
          <w:tab w:val="left" w:pos="4215"/>
        </w:tabs>
        <w:ind w:left="4215" w:hanging="420"/>
      </w:pPr>
    </w:lvl>
  </w:abstractNum>
  <w:abstractNum w:abstractNumId="20">
    <w:nsid w:val="427A47F4"/>
    <w:multiLevelType w:val="multilevel"/>
    <w:tmpl w:val="427A47F4"/>
    <w:lvl w:ilvl="0" w:tentative="0">
      <w:start w:val="1"/>
      <w:numFmt w:val="lowerLetter"/>
      <w:lvlText w:val="%1)"/>
      <w:lvlJc w:val="left"/>
      <w:pPr>
        <w:tabs>
          <w:tab w:val="left" w:pos="795"/>
        </w:tabs>
        <w:ind w:left="795" w:hanging="360"/>
      </w:pPr>
      <w:rPr>
        <w:rFonts w:hint="eastAsia"/>
      </w:rPr>
    </w:lvl>
    <w:lvl w:ilvl="1" w:tentative="0">
      <w:start w:val="1"/>
      <w:numFmt w:val="lowerLetter"/>
      <w:lvlText w:val="%2)"/>
      <w:lvlJc w:val="left"/>
      <w:pPr>
        <w:tabs>
          <w:tab w:val="left" w:pos="1275"/>
        </w:tabs>
        <w:ind w:left="1275" w:hanging="420"/>
      </w:pPr>
    </w:lvl>
    <w:lvl w:ilvl="2" w:tentative="0">
      <w:start w:val="1"/>
      <w:numFmt w:val="lowerRoman"/>
      <w:lvlText w:val="%3."/>
      <w:lvlJc w:val="right"/>
      <w:pPr>
        <w:tabs>
          <w:tab w:val="left" w:pos="1695"/>
        </w:tabs>
        <w:ind w:left="1695" w:hanging="420"/>
      </w:pPr>
    </w:lvl>
    <w:lvl w:ilvl="3" w:tentative="0">
      <w:start w:val="1"/>
      <w:numFmt w:val="decimal"/>
      <w:lvlText w:val="%4."/>
      <w:lvlJc w:val="left"/>
      <w:pPr>
        <w:tabs>
          <w:tab w:val="left" w:pos="2115"/>
        </w:tabs>
        <w:ind w:left="2115" w:hanging="420"/>
      </w:pPr>
    </w:lvl>
    <w:lvl w:ilvl="4" w:tentative="0">
      <w:start w:val="1"/>
      <w:numFmt w:val="lowerLetter"/>
      <w:lvlText w:val="%5)"/>
      <w:lvlJc w:val="left"/>
      <w:pPr>
        <w:tabs>
          <w:tab w:val="left" w:pos="2535"/>
        </w:tabs>
        <w:ind w:left="2535" w:hanging="420"/>
      </w:pPr>
    </w:lvl>
    <w:lvl w:ilvl="5" w:tentative="0">
      <w:start w:val="1"/>
      <w:numFmt w:val="lowerRoman"/>
      <w:lvlText w:val="%6."/>
      <w:lvlJc w:val="right"/>
      <w:pPr>
        <w:tabs>
          <w:tab w:val="left" w:pos="2955"/>
        </w:tabs>
        <w:ind w:left="2955" w:hanging="420"/>
      </w:pPr>
    </w:lvl>
    <w:lvl w:ilvl="6" w:tentative="0">
      <w:start w:val="1"/>
      <w:numFmt w:val="decimal"/>
      <w:lvlText w:val="%7."/>
      <w:lvlJc w:val="left"/>
      <w:pPr>
        <w:tabs>
          <w:tab w:val="left" w:pos="3375"/>
        </w:tabs>
        <w:ind w:left="3375" w:hanging="420"/>
      </w:pPr>
    </w:lvl>
    <w:lvl w:ilvl="7" w:tentative="0">
      <w:start w:val="1"/>
      <w:numFmt w:val="lowerLetter"/>
      <w:lvlText w:val="%8)"/>
      <w:lvlJc w:val="left"/>
      <w:pPr>
        <w:tabs>
          <w:tab w:val="left" w:pos="3795"/>
        </w:tabs>
        <w:ind w:left="3795" w:hanging="420"/>
      </w:pPr>
    </w:lvl>
    <w:lvl w:ilvl="8" w:tentative="0">
      <w:start w:val="1"/>
      <w:numFmt w:val="lowerRoman"/>
      <w:lvlText w:val="%9."/>
      <w:lvlJc w:val="right"/>
      <w:pPr>
        <w:tabs>
          <w:tab w:val="left" w:pos="4215"/>
        </w:tabs>
        <w:ind w:left="4215" w:hanging="420"/>
      </w:pPr>
    </w:lvl>
  </w:abstractNum>
  <w:abstractNum w:abstractNumId="21">
    <w:nsid w:val="44C50F90"/>
    <w:multiLevelType w:val="multilevel"/>
    <w:tmpl w:val="44C50F90"/>
    <w:lvl w:ilvl="0" w:tentative="0">
      <w:start w:val="1"/>
      <w:numFmt w:val="lowerLetter"/>
      <w:pStyle w:val="176"/>
      <w:lvlText w:val="%1)"/>
      <w:lvlJc w:val="left"/>
      <w:pPr>
        <w:tabs>
          <w:tab w:val="left" w:pos="851"/>
        </w:tabs>
        <w:ind w:left="851" w:hanging="426"/>
      </w:pPr>
      <w:rPr>
        <w:rFonts w:hint="eastAsia" w:ascii="宋体" w:hAnsi="Times New Roman" w:eastAsia="宋体"/>
        <w:sz w:val="21"/>
      </w:rPr>
    </w:lvl>
    <w:lvl w:ilvl="1" w:tentative="0">
      <w:start w:val="1"/>
      <w:numFmt w:val="decimal"/>
      <w:pStyle w:val="111"/>
      <w:lvlText w:val="%2)"/>
      <w:lvlJc w:val="left"/>
      <w:pPr>
        <w:tabs>
          <w:tab w:val="left" w:pos="1276"/>
        </w:tabs>
        <w:ind w:left="1276" w:hanging="425"/>
      </w:pPr>
      <w:rPr>
        <w:rFonts w:hint="eastAsia" w:ascii="宋体" w:hAnsi="Times New Roman" w:eastAsia="宋体"/>
        <w:sz w:val="21"/>
      </w:rPr>
    </w:lvl>
    <w:lvl w:ilvl="2" w:tentative="0">
      <w:start w:val="1"/>
      <w:numFmt w:val="decimal"/>
      <w:pStyle w:val="119"/>
      <w:lvlText w:val="(%3)"/>
      <w:lvlJc w:val="left"/>
      <w:pPr>
        <w:ind w:left="1701" w:hanging="425"/>
      </w:pPr>
      <w:rPr>
        <w:rFonts w:hint="eastAsia" w:ascii="宋体" w:hAnsi="Times New Roman" w:eastAsia="宋体"/>
        <w:sz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22">
    <w:nsid w:val="48802D1C"/>
    <w:multiLevelType w:val="multilevel"/>
    <w:tmpl w:val="48802D1C"/>
    <w:lvl w:ilvl="0" w:tentative="0">
      <w:start w:val="1"/>
      <w:numFmt w:val="upperLetter"/>
      <w:pStyle w:val="200"/>
      <w:lvlText w:val="%1"/>
      <w:lvlJc w:val="left"/>
      <w:pPr>
        <w:ind w:left="420" w:hanging="420"/>
      </w:pPr>
      <w:rPr>
        <w:rFonts w:hint="eastAsia"/>
      </w:rPr>
    </w:lvl>
    <w:lvl w:ilvl="1" w:tentative="0">
      <w:start w:val="1"/>
      <w:numFmt w:val="decimal"/>
      <w:pStyle w:val="85"/>
      <w:suff w:val="space"/>
      <w:lvlText w:val="图%1.%2"/>
      <w:lvlJc w:val="center"/>
      <w:pPr>
        <w:ind w:left="0" w:firstLine="0"/>
      </w:pPr>
      <w:rPr>
        <w:rFonts w:hint="eastAsia"/>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23">
    <w:nsid w:val="4B733A5F"/>
    <w:multiLevelType w:val="multilevel"/>
    <w:tmpl w:val="4B733A5F"/>
    <w:lvl w:ilvl="0" w:tentative="0">
      <w:start w:val="1"/>
      <w:numFmt w:val="decimal"/>
      <w:pStyle w:val="185"/>
      <w:suff w:val="nothing"/>
      <w:lvlText w:val="示例%1："/>
      <w:lvlJc w:val="left"/>
      <w:pPr>
        <w:ind w:left="0" w:firstLine="363"/>
      </w:pPr>
      <w:rPr>
        <w:rFonts w:hint="eastAsia" w:ascii="黑体" w:eastAsia="黑体"/>
        <w:b w:val="0"/>
        <w:i w:val="0"/>
        <w:sz w:val="18"/>
      </w:rPr>
    </w:lvl>
    <w:lvl w:ilvl="1" w:tentative="0">
      <w:start w:val="1"/>
      <w:numFmt w:val="none"/>
      <w:suff w:val="space"/>
      <w:lvlText w:val=""/>
      <w:lvlJc w:val="left"/>
      <w:pPr>
        <w:ind w:left="0" w:firstLine="0"/>
      </w:pPr>
      <w:rPr>
        <w:rFonts w:hint="eastAsia"/>
      </w:rPr>
    </w:lvl>
    <w:lvl w:ilvl="2" w:tentative="0">
      <w:start w:val="1"/>
      <w:numFmt w:val="decimal"/>
      <w:suff w:val="space"/>
      <w:lvlText w:val="2.2.%3"/>
      <w:lvlJc w:val="left"/>
      <w:pPr>
        <w:ind w:left="0" w:firstLine="0"/>
      </w:pPr>
      <w:rPr>
        <w:rFonts w:hint="eastAsia"/>
      </w:rPr>
    </w:lvl>
    <w:lvl w:ilvl="3" w:tentative="0">
      <w:start w:val="1"/>
      <w:numFmt w:val="decimal"/>
      <w:lvlText w:val="%4."/>
      <w:lvlJc w:val="left"/>
      <w:pPr>
        <w:tabs>
          <w:tab w:val="left" w:pos="0"/>
        </w:tabs>
        <w:ind w:left="992" w:hanging="629"/>
      </w:pPr>
      <w:rPr>
        <w:rFonts w:hint="eastAsia"/>
      </w:rPr>
    </w:lvl>
    <w:lvl w:ilvl="4" w:tentative="0">
      <w:start w:val="1"/>
      <w:numFmt w:val="lowerLetter"/>
      <w:lvlText w:val="%5)"/>
      <w:lvlJc w:val="left"/>
      <w:pPr>
        <w:tabs>
          <w:tab w:val="left" w:pos="0"/>
        </w:tabs>
        <w:ind w:left="992" w:hanging="629"/>
      </w:pPr>
      <w:rPr>
        <w:rFonts w:hint="eastAsia"/>
      </w:rPr>
    </w:lvl>
    <w:lvl w:ilvl="5" w:tentative="0">
      <w:start w:val="1"/>
      <w:numFmt w:val="lowerRoman"/>
      <w:lvlText w:val="%6."/>
      <w:lvlJc w:val="right"/>
      <w:pPr>
        <w:tabs>
          <w:tab w:val="left" w:pos="0"/>
        </w:tabs>
        <w:ind w:left="992" w:hanging="629"/>
      </w:pPr>
      <w:rPr>
        <w:rFonts w:hint="eastAsia"/>
      </w:rPr>
    </w:lvl>
    <w:lvl w:ilvl="6" w:tentative="0">
      <w:start w:val="1"/>
      <w:numFmt w:val="decimal"/>
      <w:lvlText w:val="%7."/>
      <w:lvlJc w:val="left"/>
      <w:pPr>
        <w:tabs>
          <w:tab w:val="left" w:pos="0"/>
        </w:tabs>
        <w:ind w:left="992" w:hanging="629"/>
      </w:pPr>
      <w:rPr>
        <w:rFonts w:hint="eastAsia"/>
      </w:rPr>
    </w:lvl>
    <w:lvl w:ilvl="7" w:tentative="0">
      <w:start w:val="1"/>
      <w:numFmt w:val="lowerLetter"/>
      <w:lvlText w:val="%8)"/>
      <w:lvlJc w:val="left"/>
      <w:pPr>
        <w:tabs>
          <w:tab w:val="left" w:pos="0"/>
        </w:tabs>
        <w:ind w:left="992" w:hanging="629"/>
      </w:pPr>
      <w:rPr>
        <w:rFonts w:hint="eastAsia"/>
      </w:rPr>
    </w:lvl>
    <w:lvl w:ilvl="8" w:tentative="0">
      <w:start w:val="1"/>
      <w:numFmt w:val="lowerRoman"/>
      <w:lvlText w:val="%9."/>
      <w:lvlJc w:val="right"/>
      <w:pPr>
        <w:tabs>
          <w:tab w:val="left" w:pos="0"/>
        </w:tabs>
        <w:ind w:left="992" w:hanging="629"/>
      </w:pPr>
      <w:rPr>
        <w:rFonts w:hint="eastAsia"/>
      </w:rPr>
    </w:lvl>
  </w:abstractNum>
  <w:abstractNum w:abstractNumId="24">
    <w:nsid w:val="4E5D0534"/>
    <w:multiLevelType w:val="multilevel"/>
    <w:tmpl w:val="4E5D0534"/>
    <w:lvl w:ilvl="0" w:tentative="0">
      <w:start w:val="1"/>
      <w:numFmt w:val="decimal"/>
      <w:pStyle w:val="118"/>
      <w:suff w:val="nothing"/>
      <w:lvlText w:val="Figure %1　"/>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48"/>
        </w:tabs>
        <w:ind w:left="3969" w:hanging="1418"/>
      </w:pPr>
    </w:lvl>
    <w:lvl w:ilvl="8" w:tentative="0">
      <w:start w:val="1"/>
      <w:numFmt w:val="decimal"/>
      <w:lvlText w:val="%1.%2.%3.%4.%5.%6.%7.%8.%9"/>
      <w:lvlJc w:val="left"/>
      <w:pPr>
        <w:tabs>
          <w:tab w:val="left" w:pos="4774"/>
        </w:tabs>
        <w:ind w:left="4677" w:hanging="1701"/>
      </w:pPr>
    </w:lvl>
  </w:abstractNum>
  <w:abstractNum w:abstractNumId="25">
    <w:nsid w:val="54632751"/>
    <w:multiLevelType w:val="multilevel"/>
    <w:tmpl w:val="54632751"/>
    <w:lvl w:ilvl="0" w:tentative="0">
      <w:start w:val="1"/>
      <w:numFmt w:val="none"/>
      <w:pStyle w:val="95"/>
      <w:suff w:val="nothing"/>
      <w:lvlText w:val="——"/>
      <w:lvlJc w:val="left"/>
      <w:pPr>
        <w:ind w:left="1588" w:firstLine="0"/>
      </w:pPr>
    </w:lvl>
    <w:lvl w:ilvl="1" w:tentative="0">
      <w:start w:val="1"/>
      <w:numFmt w:val="decimal"/>
      <w:suff w:val="nothing"/>
      <w:lvlText w:val="%1.%2　"/>
      <w:lvlJc w:val="left"/>
      <w:pPr>
        <w:ind w:left="1588" w:firstLine="0"/>
      </w:pPr>
    </w:lvl>
    <w:lvl w:ilvl="2" w:tentative="0">
      <w:start w:val="1"/>
      <w:numFmt w:val="decimal"/>
      <w:suff w:val="nothing"/>
      <w:lvlText w:val="%1.%2.%3　"/>
      <w:lvlJc w:val="left"/>
      <w:pPr>
        <w:ind w:left="1588" w:firstLine="0"/>
      </w:pPr>
    </w:lvl>
    <w:lvl w:ilvl="3" w:tentative="0">
      <w:start w:val="1"/>
      <w:numFmt w:val="decimal"/>
      <w:suff w:val="nothing"/>
      <w:lvlText w:val="%1.%2.%3.%4　"/>
      <w:lvlJc w:val="left"/>
      <w:pPr>
        <w:ind w:left="1588" w:firstLine="0"/>
      </w:pPr>
    </w:lvl>
    <w:lvl w:ilvl="4" w:tentative="0">
      <w:start w:val="1"/>
      <w:numFmt w:val="decimal"/>
      <w:suff w:val="nothing"/>
      <w:lvlText w:val="%1.%2.%3.%4.%5　"/>
      <w:lvlJc w:val="left"/>
      <w:pPr>
        <w:ind w:left="1588" w:firstLine="0"/>
      </w:pPr>
    </w:lvl>
    <w:lvl w:ilvl="5" w:tentative="0">
      <w:start w:val="1"/>
      <w:numFmt w:val="decimal"/>
      <w:suff w:val="nothing"/>
      <w:lvlText w:val="%1.%2.%3.%4.%5.%6　"/>
      <w:lvlJc w:val="left"/>
      <w:pPr>
        <w:ind w:left="1588" w:firstLine="0"/>
      </w:pPr>
    </w:lvl>
    <w:lvl w:ilvl="6" w:tentative="0">
      <w:start w:val="1"/>
      <w:numFmt w:val="decimal"/>
      <w:suff w:val="nothing"/>
      <w:lvlText w:val="%1.%2.%3.%4.%5.%6.%7　"/>
      <w:lvlJc w:val="left"/>
      <w:pPr>
        <w:ind w:left="1588" w:firstLine="0"/>
      </w:pPr>
    </w:lvl>
    <w:lvl w:ilvl="7" w:tentative="0">
      <w:start w:val="1"/>
      <w:numFmt w:val="decimal"/>
      <w:lvlText w:val="%1.%2.%3.%4.%5.%6.%7.%8"/>
      <w:lvlJc w:val="left"/>
      <w:pPr>
        <w:tabs>
          <w:tab w:val="left" w:pos="5982"/>
        </w:tabs>
        <w:ind w:left="5982" w:hanging="1418"/>
      </w:pPr>
    </w:lvl>
    <w:lvl w:ilvl="8" w:tentative="0">
      <w:start w:val="1"/>
      <w:numFmt w:val="decimal"/>
      <w:lvlText w:val="%1.%2.%3.%4.%5.%6.%7.%8.%9"/>
      <w:lvlJc w:val="left"/>
      <w:pPr>
        <w:tabs>
          <w:tab w:val="left" w:pos="6690"/>
        </w:tabs>
        <w:ind w:left="6690" w:hanging="1700"/>
      </w:pPr>
    </w:lvl>
  </w:abstractNum>
  <w:abstractNum w:abstractNumId="26">
    <w:nsid w:val="557C2AF5"/>
    <w:multiLevelType w:val="multilevel"/>
    <w:tmpl w:val="557C2AF5"/>
    <w:lvl w:ilvl="0" w:tentative="0">
      <w:start w:val="1"/>
      <w:numFmt w:val="decimal"/>
      <w:pStyle w:val="116"/>
      <w:suff w:val="nothing"/>
      <w:lvlText w:val="图%1　"/>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48"/>
        </w:tabs>
        <w:ind w:left="3969" w:hanging="1418"/>
      </w:pPr>
    </w:lvl>
    <w:lvl w:ilvl="8" w:tentative="0">
      <w:start w:val="1"/>
      <w:numFmt w:val="decimal"/>
      <w:lvlText w:val="%1.%2.%3.%4.%5.%6.%7.%8.%9"/>
      <w:lvlJc w:val="left"/>
      <w:pPr>
        <w:tabs>
          <w:tab w:val="left" w:pos="4774"/>
        </w:tabs>
        <w:ind w:left="4677" w:hanging="1701"/>
      </w:pPr>
    </w:lvl>
  </w:abstractNum>
  <w:abstractNum w:abstractNumId="27">
    <w:nsid w:val="5603797C"/>
    <w:multiLevelType w:val="multilevel"/>
    <w:tmpl w:val="5603797C"/>
    <w:lvl w:ilvl="0" w:tentative="0">
      <w:start w:val="1"/>
      <w:numFmt w:val="upperLetter"/>
      <w:pStyle w:val="201"/>
      <w:suff w:val="space"/>
      <w:lvlText w:val="%1"/>
      <w:lvlJc w:val="left"/>
      <w:pPr>
        <w:ind w:left="425" w:hanging="425"/>
      </w:pPr>
      <w:rPr>
        <w:rFonts w:hint="eastAsia"/>
      </w:rPr>
    </w:lvl>
    <w:lvl w:ilvl="1" w:tentative="0">
      <w:start w:val="1"/>
      <w:numFmt w:val="decimal"/>
      <w:pStyle w:val="79"/>
      <w:suff w:val="space"/>
      <w:lvlText w:val="表%1.%2"/>
      <w:lvlJc w:val="center"/>
      <w:pPr>
        <w:ind w:left="0" w:firstLine="0"/>
      </w:pPr>
      <w:rPr>
        <w:rFonts w:hint="eastAsia" w:ascii="黑体" w:eastAsia="黑体"/>
        <w:sz w:val="21"/>
      </w:rPr>
    </w:lvl>
    <w:lvl w:ilvl="2" w:tentative="0">
      <w:start w:val="1"/>
      <w:numFmt w:val="decimal"/>
      <w:lvlText w:val="%1.%2.%3"/>
      <w:lvlJc w:val="left"/>
      <w:pPr>
        <w:ind w:left="1418" w:hanging="567"/>
      </w:pPr>
      <w:rPr>
        <w:rFonts w:hint="eastAsia"/>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28">
    <w:nsid w:val="564D2089"/>
    <w:multiLevelType w:val="multilevel"/>
    <w:tmpl w:val="564D2089"/>
    <w:lvl w:ilvl="0" w:tentative="0">
      <w:start w:val="1"/>
      <w:numFmt w:val="none"/>
      <w:pStyle w:val="113"/>
      <w:lvlText w:val="%1注"/>
      <w:lvlJc w:val="left"/>
      <w:pPr>
        <w:tabs>
          <w:tab w:val="left" w:pos="760"/>
        </w:tabs>
        <w:ind w:left="760" w:hanging="284"/>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9">
    <w:nsid w:val="644622F9"/>
    <w:multiLevelType w:val="multilevel"/>
    <w:tmpl w:val="644622F9"/>
    <w:lvl w:ilvl="0" w:tentative="0">
      <w:start w:val="1"/>
      <w:numFmt w:val="upperRoman"/>
      <w:pStyle w:val="170"/>
      <w:lvlText w:val="%1)"/>
      <w:lvlJc w:val="left"/>
      <w:pPr>
        <w:tabs>
          <w:tab w:val="left" w:pos="851"/>
        </w:tabs>
        <w:ind w:left="851" w:hanging="426"/>
      </w:pPr>
      <w:rPr>
        <w:rFonts w:hint="eastAsia" w:ascii="宋体" w:hAnsi="Times New Roman" w:eastAsia="宋体"/>
        <w:sz w:val="21"/>
      </w:rPr>
    </w:lvl>
    <w:lvl w:ilvl="1" w:tentative="0">
      <w:start w:val="1"/>
      <w:numFmt w:val="lowerLetter"/>
      <w:lvlText w:val="%2)"/>
      <w:lvlJc w:val="left"/>
      <w:pPr>
        <w:tabs>
          <w:tab w:val="left" w:pos="1310"/>
        </w:tabs>
        <w:ind w:left="1310" w:hanging="420"/>
      </w:pPr>
      <w:rPr>
        <w:rFonts w:hint="eastAsia"/>
      </w:rPr>
    </w:lvl>
    <w:lvl w:ilvl="2" w:tentative="0">
      <w:start w:val="1"/>
      <w:numFmt w:val="lowerRoman"/>
      <w:lvlText w:val="%3."/>
      <w:lvlJc w:val="right"/>
      <w:pPr>
        <w:tabs>
          <w:tab w:val="left" w:pos="1730"/>
        </w:tabs>
        <w:ind w:left="1730" w:hanging="420"/>
      </w:pPr>
      <w:rPr>
        <w:rFonts w:hint="eastAsia"/>
      </w:rPr>
    </w:lvl>
    <w:lvl w:ilvl="3" w:tentative="0">
      <w:start w:val="1"/>
      <w:numFmt w:val="decimal"/>
      <w:lvlText w:val="%4."/>
      <w:lvlJc w:val="left"/>
      <w:pPr>
        <w:tabs>
          <w:tab w:val="left" w:pos="2150"/>
        </w:tabs>
        <w:ind w:left="2150" w:hanging="420"/>
      </w:pPr>
      <w:rPr>
        <w:rFonts w:hint="eastAsia"/>
      </w:rPr>
    </w:lvl>
    <w:lvl w:ilvl="4" w:tentative="0">
      <w:start w:val="1"/>
      <w:numFmt w:val="lowerLetter"/>
      <w:lvlText w:val="%5)"/>
      <w:lvlJc w:val="left"/>
      <w:pPr>
        <w:tabs>
          <w:tab w:val="left" w:pos="2570"/>
        </w:tabs>
        <w:ind w:left="2570" w:hanging="420"/>
      </w:pPr>
      <w:rPr>
        <w:rFonts w:hint="eastAsia"/>
      </w:rPr>
    </w:lvl>
    <w:lvl w:ilvl="5" w:tentative="0">
      <w:start w:val="1"/>
      <w:numFmt w:val="lowerRoman"/>
      <w:lvlText w:val="%6."/>
      <w:lvlJc w:val="right"/>
      <w:pPr>
        <w:tabs>
          <w:tab w:val="left" w:pos="2990"/>
        </w:tabs>
        <w:ind w:left="2990" w:hanging="420"/>
      </w:pPr>
      <w:rPr>
        <w:rFonts w:hint="eastAsia"/>
      </w:rPr>
    </w:lvl>
    <w:lvl w:ilvl="6" w:tentative="0">
      <w:start w:val="1"/>
      <w:numFmt w:val="decimal"/>
      <w:lvlText w:val="%7."/>
      <w:lvlJc w:val="left"/>
      <w:pPr>
        <w:tabs>
          <w:tab w:val="left" w:pos="3410"/>
        </w:tabs>
        <w:ind w:left="3410" w:hanging="420"/>
      </w:pPr>
      <w:rPr>
        <w:rFonts w:hint="eastAsia"/>
      </w:rPr>
    </w:lvl>
    <w:lvl w:ilvl="7" w:tentative="0">
      <w:start w:val="1"/>
      <w:numFmt w:val="lowerLetter"/>
      <w:lvlText w:val="%8)"/>
      <w:lvlJc w:val="left"/>
      <w:pPr>
        <w:tabs>
          <w:tab w:val="left" w:pos="3830"/>
        </w:tabs>
        <w:ind w:left="3830" w:hanging="420"/>
      </w:pPr>
      <w:rPr>
        <w:rFonts w:hint="eastAsia"/>
      </w:rPr>
    </w:lvl>
    <w:lvl w:ilvl="8" w:tentative="0">
      <w:start w:val="1"/>
      <w:numFmt w:val="lowerRoman"/>
      <w:lvlText w:val="%9."/>
      <w:lvlJc w:val="right"/>
      <w:pPr>
        <w:tabs>
          <w:tab w:val="left" w:pos="4250"/>
        </w:tabs>
        <w:ind w:left="4250" w:hanging="420"/>
      </w:pPr>
      <w:rPr>
        <w:rFonts w:hint="eastAsia"/>
      </w:rPr>
    </w:lvl>
  </w:abstractNum>
  <w:abstractNum w:abstractNumId="30">
    <w:nsid w:val="646260FA"/>
    <w:multiLevelType w:val="multilevel"/>
    <w:tmpl w:val="646260FA"/>
    <w:lvl w:ilvl="0" w:tentative="0">
      <w:start w:val="1"/>
      <w:numFmt w:val="decimal"/>
      <w:pStyle w:val="114"/>
      <w:suff w:val="nothing"/>
      <w:lvlText w:val="表%1　"/>
      <w:lvlJc w:val="left"/>
      <w:pPr>
        <w:ind w:left="0" w:firstLine="0"/>
      </w:pPr>
    </w:lvl>
    <w:lvl w:ilvl="1" w:tentative="0">
      <w:start w:val="1"/>
      <w:numFmt w:val="decimal"/>
      <w:lvlText w:val="%1.%2"/>
      <w:lvlJc w:val="left"/>
      <w:pPr>
        <w:tabs>
          <w:tab w:val="left" w:pos="992"/>
        </w:tabs>
        <w:ind w:left="992" w:hanging="567"/>
      </w:pPr>
    </w:lvl>
    <w:lvl w:ilvl="2" w:tentative="0">
      <w:start w:val="1"/>
      <w:numFmt w:val="decimal"/>
      <w:lvlText w:val="%1.%2.%3"/>
      <w:lvlJc w:val="left"/>
      <w:pPr>
        <w:tabs>
          <w:tab w:val="left" w:pos="1417"/>
        </w:tabs>
        <w:ind w:left="1417" w:hanging="567"/>
      </w:pPr>
    </w:lvl>
    <w:lvl w:ilvl="3" w:tentative="0">
      <w:start w:val="1"/>
      <w:numFmt w:val="decimal"/>
      <w:lvlText w:val="%1.%2.%3.%4"/>
      <w:lvlJc w:val="left"/>
      <w:pPr>
        <w:tabs>
          <w:tab w:val="left" w:pos="1984"/>
        </w:tabs>
        <w:ind w:left="1984" w:hanging="708"/>
      </w:pPr>
    </w:lvl>
    <w:lvl w:ilvl="4" w:tentative="0">
      <w:start w:val="1"/>
      <w:numFmt w:val="decimal"/>
      <w:lvlText w:val="%1.%2.%3.%4.%5"/>
      <w:lvlJc w:val="left"/>
      <w:pPr>
        <w:tabs>
          <w:tab w:val="left" w:pos="2551"/>
        </w:tabs>
        <w:ind w:left="2551" w:hanging="850"/>
      </w:pPr>
    </w:lvl>
    <w:lvl w:ilvl="5" w:tentative="0">
      <w:start w:val="1"/>
      <w:numFmt w:val="decimal"/>
      <w:lvlText w:val="%1.%2.%3.%4.%5.%6"/>
      <w:lvlJc w:val="left"/>
      <w:pPr>
        <w:tabs>
          <w:tab w:val="left" w:pos="3260"/>
        </w:tabs>
        <w:ind w:left="3260" w:hanging="1134"/>
      </w:pPr>
    </w:lvl>
    <w:lvl w:ilvl="6" w:tentative="0">
      <w:start w:val="1"/>
      <w:numFmt w:val="decimal"/>
      <w:lvlText w:val="%1.%2.%3.%4.%5.%6.%7"/>
      <w:lvlJc w:val="left"/>
      <w:pPr>
        <w:tabs>
          <w:tab w:val="left" w:pos="3827"/>
        </w:tabs>
        <w:ind w:left="3827" w:hanging="1276"/>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31">
    <w:nsid w:val="654A26C9"/>
    <w:multiLevelType w:val="multilevel"/>
    <w:tmpl w:val="654A26C9"/>
    <w:lvl w:ilvl="0" w:tentative="0">
      <w:start w:val="1"/>
      <w:numFmt w:val="none"/>
      <w:pStyle w:val="191"/>
      <w:lvlText w:val="──"/>
      <w:lvlJc w:val="left"/>
      <w:pPr>
        <w:ind w:left="851" w:firstLine="0"/>
      </w:pPr>
      <w:rPr>
        <w:rFonts w:hint="eastAsia" w:ascii="宋体" w:eastAsia="宋体" w:hAnsiTheme="majorHAnsi"/>
        <w:b w:val="0"/>
        <w:i w:val="0"/>
        <w:sz w:val="21"/>
      </w:rPr>
    </w:lvl>
    <w:lvl w:ilvl="1" w:tentative="0">
      <w:start w:val="1"/>
      <w:numFmt w:val="bullet"/>
      <w:lvlText w:val=""/>
      <w:lvlJc w:val="left"/>
      <w:pPr>
        <w:ind w:left="1276" w:hanging="425"/>
      </w:pPr>
      <w:rPr>
        <w:rFonts w:hint="default" w:ascii="Wingdings" w:hAnsi="Wingdings"/>
      </w:rPr>
    </w:lvl>
    <w:lvl w:ilvl="2" w:tentative="0">
      <w:start w:val="1"/>
      <w:numFmt w:val="bullet"/>
      <w:lvlText w:val=""/>
      <w:lvlJc w:val="left"/>
      <w:pPr>
        <w:ind w:left="1276" w:hanging="236"/>
      </w:pPr>
      <w:rPr>
        <w:rFonts w:hint="default" w:ascii="Wingdings" w:hAnsi="Wingdings"/>
      </w:rPr>
    </w:lvl>
    <w:lvl w:ilvl="3" w:tentative="0">
      <w:start w:val="1"/>
      <w:numFmt w:val="bullet"/>
      <w:lvlText w:val=""/>
      <w:lvlJc w:val="left"/>
      <w:pPr>
        <w:ind w:left="1880" w:hanging="420"/>
      </w:pPr>
      <w:rPr>
        <w:rFonts w:hint="default" w:ascii="Wingdings" w:hAnsi="Wingdings"/>
      </w:rPr>
    </w:lvl>
    <w:lvl w:ilvl="4" w:tentative="0">
      <w:start w:val="1"/>
      <w:numFmt w:val="bullet"/>
      <w:lvlText w:val=""/>
      <w:lvlJc w:val="left"/>
      <w:pPr>
        <w:ind w:left="2300" w:hanging="420"/>
      </w:pPr>
      <w:rPr>
        <w:rFonts w:hint="default" w:ascii="Wingdings" w:hAnsi="Wingdings"/>
      </w:rPr>
    </w:lvl>
    <w:lvl w:ilvl="5" w:tentative="0">
      <w:start w:val="1"/>
      <w:numFmt w:val="bullet"/>
      <w:lvlText w:val=""/>
      <w:lvlJc w:val="left"/>
      <w:pPr>
        <w:ind w:left="2720" w:hanging="420"/>
      </w:pPr>
      <w:rPr>
        <w:rFonts w:hint="default" w:ascii="Wingdings" w:hAnsi="Wingdings"/>
      </w:rPr>
    </w:lvl>
    <w:lvl w:ilvl="6" w:tentative="0">
      <w:start w:val="1"/>
      <w:numFmt w:val="bullet"/>
      <w:lvlText w:val=""/>
      <w:lvlJc w:val="left"/>
      <w:pPr>
        <w:ind w:left="3140" w:hanging="420"/>
      </w:pPr>
      <w:rPr>
        <w:rFonts w:hint="default" w:ascii="Wingdings" w:hAnsi="Wingdings"/>
      </w:rPr>
    </w:lvl>
    <w:lvl w:ilvl="7" w:tentative="0">
      <w:start w:val="1"/>
      <w:numFmt w:val="bullet"/>
      <w:lvlText w:val=""/>
      <w:lvlJc w:val="left"/>
      <w:pPr>
        <w:ind w:left="3560" w:hanging="420"/>
      </w:pPr>
      <w:rPr>
        <w:rFonts w:hint="default" w:ascii="Wingdings" w:hAnsi="Wingdings"/>
      </w:rPr>
    </w:lvl>
    <w:lvl w:ilvl="8" w:tentative="0">
      <w:start w:val="1"/>
      <w:numFmt w:val="bullet"/>
      <w:lvlText w:val=""/>
      <w:lvlJc w:val="left"/>
      <w:pPr>
        <w:ind w:left="3980" w:hanging="420"/>
      </w:pPr>
      <w:rPr>
        <w:rFonts w:hint="default" w:ascii="Wingdings" w:hAnsi="Wingdings"/>
      </w:rPr>
    </w:lvl>
  </w:abstractNum>
  <w:abstractNum w:abstractNumId="32">
    <w:nsid w:val="657D3FBC"/>
    <w:multiLevelType w:val="multilevel"/>
    <w:tmpl w:val="657D3FBC"/>
    <w:lvl w:ilvl="0" w:tentative="0">
      <w:start w:val="1"/>
      <w:numFmt w:val="upperLetter"/>
      <w:pStyle w:val="78"/>
      <w:suff w:val="nothing"/>
      <w:lvlText w:val="附录%1"/>
      <w:lvlJc w:val="left"/>
      <w:pPr>
        <w:ind w:left="0" w:firstLine="0"/>
      </w:pPr>
      <w:rPr>
        <w:rFonts w:hint="eastAsia"/>
        <w:spacing w:val="100"/>
      </w:rPr>
    </w:lvl>
    <w:lvl w:ilvl="1" w:tentative="0">
      <w:start w:val="1"/>
      <w:numFmt w:val="decimal"/>
      <w:pStyle w:val="80"/>
      <w:suff w:val="nothing"/>
      <w:lvlText w:val="%1.%2　"/>
      <w:lvlJc w:val="left"/>
      <w:pPr>
        <w:ind w:left="0" w:firstLine="0"/>
      </w:pPr>
      <w:rPr>
        <w:rFonts w:hint="eastAsia" w:ascii="黑体" w:eastAsia="黑体"/>
        <w:b w:val="0"/>
        <w:i w:val="0"/>
        <w:sz w:val="21"/>
      </w:rPr>
    </w:lvl>
    <w:lvl w:ilvl="2" w:tentative="0">
      <w:start w:val="1"/>
      <w:numFmt w:val="decimal"/>
      <w:pStyle w:val="81"/>
      <w:suff w:val="nothing"/>
      <w:lvlText w:val="%1.%2.%3　"/>
      <w:lvlJc w:val="left"/>
      <w:pPr>
        <w:ind w:left="0" w:firstLine="0"/>
      </w:pPr>
      <w:rPr>
        <w:rFonts w:hint="eastAsia" w:ascii="黑体" w:eastAsia="黑体"/>
        <w:b w:val="0"/>
        <w:i w:val="0"/>
        <w:sz w:val="21"/>
      </w:rPr>
    </w:lvl>
    <w:lvl w:ilvl="3" w:tentative="0">
      <w:start w:val="1"/>
      <w:numFmt w:val="decimal"/>
      <w:pStyle w:val="83"/>
      <w:suff w:val="nothing"/>
      <w:lvlText w:val="%1.%2.%3.%4　"/>
      <w:lvlJc w:val="left"/>
      <w:pPr>
        <w:ind w:left="0" w:firstLine="0"/>
      </w:pPr>
      <w:rPr>
        <w:rFonts w:hint="eastAsia" w:ascii="黑体" w:eastAsia="黑体"/>
        <w:b w:val="0"/>
        <w:i w:val="0"/>
        <w:sz w:val="21"/>
      </w:rPr>
    </w:lvl>
    <w:lvl w:ilvl="4" w:tentative="0">
      <w:start w:val="1"/>
      <w:numFmt w:val="decimal"/>
      <w:pStyle w:val="84"/>
      <w:suff w:val="nothing"/>
      <w:lvlText w:val="%1.%2.%3.%4.%5　"/>
      <w:lvlJc w:val="left"/>
      <w:pPr>
        <w:ind w:left="0" w:firstLine="0"/>
      </w:pPr>
      <w:rPr>
        <w:rFonts w:hint="eastAsia" w:ascii="黑体" w:eastAsia="黑体"/>
        <w:b w:val="0"/>
        <w:i w:val="0"/>
        <w:sz w:val="21"/>
      </w:rPr>
    </w:lvl>
    <w:lvl w:ilvl="5" w:tentative="0">
      <w:start w:val="1"/>
      <w:numFmt w:val="decimal"/>
      <w:pStyle w:val="86"/>
      <w:suff w:val="nothing"/>
      <w:lvlText w:val="%1.%2.%3.%4.%5.%6　"/>
      <w:lvlJc w:val="left"/>
      <w:pPr>
        <w:ind w:left="0" w:firstLine="0"/>
      </w:pPr>
      <w:rPr>
        <w:rFonts w:hint="eastAsia" w:ascii="黑体" w:eastAsia="黑体"/>
        <w:b w:val="0"/>
        <w:i w:val="0"/>
        <w:sz w:val="21"/>
      </w:rPr>
    </w:lvl>
    <w:lvl w:ilvl="6" w:tentative="0">
      <w:start w:val="1"/>
      <w:numFmt w:val="decimal"/>
      <w:suff w:val="nothing"/>
      <w:lvlText w:val="%1.%2.%3.%4.%5.%6.%7　"/>
      <w:lvlJc w:val="left"/>
      <w:pPr>
        <w:ind w:left="0" w:firstLine="0"/>
      </w:pPr>
      <w:rPr>
        <w:rFonts w:hint="eastAsia"/>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abstractNum w:abstractNumId="33">
    <w:nsid w:val="69506ABF"/>
    <w:multiLevelType w:val="multilevel"/>
    <w:tmpl w:val="69506ABF"/>
    <w:lvl w:ilvl="0" w:tentative="0">
      <w:start w:val="1"/>
      <w:numFmt w:val="bullet"/>
      <w:pStyle w:val="190"/>
      <w:lvlText w:val=""/>
      <w:lvlJc w:val="left"/>
      <w:pPr>
        <w:ind w:left="851" w:firstLine="0"/>
      </w:pPr>
      <w:rPr>
        <w:rFonts w:hint="default" w:ascii="Wingdings" w:hAnsi="Wingdings"/>
        <w:color w:val="auto"/>
      </w:rPr>
    </w:lvl>
    <w:lvl w:ilvl="1" w:tentative="0">
      <w:start w:val="1"/>
      <w:numFmt w:val="lowerLetter"/>
      <w:lvlText w:val="%2)"/>
      <w:lvlJc w:val="left"/>
      <w:pPr>
        <w:ind w:left="1040" w:hanging="420"/>
      </w:pPr>
      <w:rPr>
        <w:rFonts w:hint="eastAsia"/>
      </w:rPr>
    </w:lvl>
    <w:lvl w:ilvl="2" w:tentative="0">
      <w:start w:val="1"/>
      <w:numFmt w:val="lowerRoman"/>
      <w:lvlText w:val="%3."/>
      <w:lvlJc w:val="right"/>
      <w:pPr>
        <w:ind w:left="1460" w:hanging="420"/>
      </w:pPr>
      <w:rPr>
        <w:rFonts w:hint="eastAsia"/>
      </w:rPr>
    </w:lvl>
    <w:lvl w:ilvl="3" w:tentative="0">
      <w:start w:val="1"/>
      <w:numFmt w:val="decimal"/>
      <w:lvlText w:val="%4."/>
      <w:lvlJc w:val="left"/>
      <w:pPr>
        <w:ind w:left="1880" w:hanging="420"/>
      </w:pPr>
      <w:rPr>
        <w:rFonts w:hint="eastAsia"/>
      </w:rPr>
    </w:lvl>
    <w:lvl w:ilvl="4" w:tentative="0">
      <w:start w:val="1"/>
      <w:numFmt w:val="lowerLetter"/>
      <w:lvlText w:val="%5)"/>
      <w:lvlJc w:val="left"/>
      <w:pPr>
        <w:ind w:left="2300" w:hanging="420"/>
      </w:pPr>
      <w:rPr>
        <w:rFonts w:hint="eastAsia"/>
      </w:rPr>
    </w:lvl>
    <w:lvl w:ilvl="5" w:tentative="0">
      <w:start w:val="1"/>
      <w:numFmt w:val="lowerRoman"/>
      <w:lvlText w:val="%6."/>
      <w:lvlJc w:val="right"/>
      <w:pPr>
        <w:ind w:left="2720" w:hanging="420"/>
      </w:pPr>
      <w:rPr>
        <w:rFonts w:hint="eastAsia"/>
      </w:rPr>
    </w:lvl>
    <w:lvl w:ilvl="6" w:tentative="0">
      <w:start w:val="1"/>
      <w:numFmt w:val="decimal"/>
      <w:lvlText w:val="%7."/>
      <w:lvlJc w:val="left"/>
      <w:pPr>
        <w:ind w:left="3140" w:hanging="420"/>
      </w:pPr>
      <w:rPr>
        <w:rFonts w:hint="eastAsia"/>
      </w:rPr>
    </w:lvl>
    <w:lvl w:ilvl="7" w:tentative="0">
      <w:start w:val="1"/>
      <w:numFmt w:val="lowerLetter"/>
      <w:lvlText w:val="%8)"/>
      <w:lvlJc w:val="left"/>
      <w:pPr>
        <w:ind w:left="3560" w:hanging="420"/>
      </w:pPr>
      <w:rPr>
        <w:rFonts w:hint="eastAsia"/>
      </w:rPr>
    </w:lvl>
    <w:lvl w:ilvl="8" w:tentative="0">
      <w:start w:val="1"/>
      <w:numFmt w:val="lowerRoman"/>
      <w:lvlText w:val="%9."/>
      <w:lvlJc w:val="right"/>
      <w:pPr>
        <w:ind w:left="3980" w:hanging="420"/>
      </w:pPr>
      <w:rPr>
        <w:rFonts w:hint="eastAsia"/>
      </w:rPr>
    </w:lvl>
  </w:abstractNum>
  <w:abstractNum w:abstractNumId="34">
    <w:nsid w:val="6CA41985"/>
    <w:multiLevelType w:val="multilevel"/>
    <w:tmpl w:val="6CA41985"/>
    <w:lvl w:ilvl="0" w:tentative="0">
      <w:start w:val="1"/>
      <w:numFmt w:val="decimal"/>
      <w:pStyle w:val="99"/>
      <w:lvlText w:val="%1)"/>
      <w:lvlJc w:val="left"/>
      <w:pPr>
        <w:tabs>
          <w:tab w:val="left" w:pos="823"/>
        </w:tabs>
        <w:ind w:left="823"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35">
    <w:nsid w:val="6CE42AC1"/>
    <w:multiLevelType w:val="multilevel"/>
    <w:tmpl w:val="6CE42AC1"/>
    <w:lvl w:ilvl="0" w:tentative="0">
      <w:start w:val="1"/>
      <w:numFmt w:val="lowerLetter"/>
      <w:pStyle w:val="175"/>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6">
    <w:nsid w:val="6CEA2025"/>
    <w:multiLevelType w:val="multilevel"/>
    <w:tmpl w:val="6CEA2025"/>
    <w:lvl w:ilvl="0" w:tentative="0">
      <w:start w:val="1"/>
      <w:numFmt w:val="none"/>
      <w:pStyle w:val="154"/>
      <w:suff w:val="nothing"/>
      <w:lvlText w:val="%1"/>
      <w:lvlJc w:val="left"/>
      <w:pPr>
        <w:ind w:left="0" w:firstLine="0"/>
      </w:pPr>
      <w:rPr>
        <w:rFonts w:hint="eastAsia"/>
      </w:rPr>
    </w:lvl>
    <w:lvl w:ilvl="1" w:tentative="0">
      <w:start w:val="1"/>
      <w:numFmt w:val="decimal"/>
      <w:pStyle w:val="106"/>
      <w:suff w:val="nothing"/>
      <w:lvlText w:val="%1%2　"/>
      <w:lvlJc w:val="left"/>
      <w:pPr>
        <w:ind w:left="0" w:firstLine="0"/>
      </w:pPr>
      <w:rPr>
        <w:rFonts w:hint="eastAsia" w:ascii="黑体" w:eastAsia="黑体"/>
        <w:b w:val="0"/>
        <w:i w:val="0"/>
        <w:sz w:val="21"/>
      </w:rPr>
    </w:lvl>
    <w:lvl w:ilvl="2" w:tentative="0">
      <w:start w:val="1"/>
      <w:numFmt w:val="decimal"/>
      <w:pStyle w:val="107"/>
      <w:suff w:val="nothing"/>
      <w:lvlText w:val="%1%2.%3　"/>
      <w:lvlJc w:val="left"/>
      <w:pPr>
        <w:ind w:left="0" w:firstLine="0"/>
      </w:pP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rPr>
    </w:lvl>
    <w:lvl w:ilvl="3" w:tentative="0">
      <w:start w:val="1"/>
      <w:numFmt w:val="decimal"/>
      <w:pStyle w:val="67"/>
      <w:suff w:val="nothing"/>
      <w:lvlText w:val="%1%2.%3.%4　"/>
      <w:lvlJc w:val="left"/>
      <w:pPr>
        <w:ind w:left="0" w:firstLine="0"/>
      </w:pPr>
      <w:rPr>
        <w:rFonts w:hint="eastAsia" w:ascii="黑体" w:eastAsia="黑体"/>
        <w:b w:val="0"/>
        <w:i w:val="0"/>
        <w:sz w:val="21"/>
      </w:rPr>
    </w:lvl>
    <w:lvl w:ilvl="4" w:tentative="0">
      <w:start w:val="1"/>
      <w:numFmt w:val="decimal"/>
      <w:pStyle w:val="96"/>
      <w:suff w:val="nothing"/>
      <w:lvlText w:val="%1%2.%3.%4.%5　"/>
      <w:lvlJc w:val="left"/>
      <w:pPr>
        <w:ind w:left="0" w:firstLine="0"/>
      </w:pPr>
      <w:rPr>
        <w:rFonts w:hint="eastAsia" w:ascii="黑体" w:eastAsia="黑体"/>
        <w:b w:val="0"/>
        <w:i w:val="0"/>
        <w:sz w:val="21"/>
      </w:rPr>
    </w:lvl>
    <w:lvl w:ilvl="5" w:tentative="0">
      <w:start w:val="1"/>
      <w:numFmt w:val="decimal"/>
      <w:pStyle w:val="100"/>
      <w:suff w:val="nothing"/>
      <w:lvlText w:val="%1%2.%3.%4.%5.%6　"/>
      <w:lvlJc w:val="left"/>
      <w:pPr>
        <w:ind w:left="0" w:firstLine="0"/>
      </w:pPr>
      <w:rPr>
        <w:rFonts w:hint="eastAsia" w:ascii="黑体" w:eastAsia="黑体"/>
        <w:b w:val="0"/>
        <w:i w:val="0"/>
        <w:sz w:val="21"/>
      </w:rPr>
    </w:lvl>
    <w:lvl w:ilvl="6" w:tentative="0">
      <w:start w:val="1"/>
      <w:numFmt w:val="decimal"/>
      <w:pStyle w:val="105"/>
      <w:suff w:val="nothing"/>
      <w:lvlText w:val="%1%2.%3.%4.%5.%6.%7　"/>
      <w:lvlJc w:val="left"/>
      <w:pPr>
        <w:ind w:left="0" w:firstLine="0"/>
      </w:pPr>
      <w:rPr>
        <w:rFonts w:hint="eastAsia" w:ascii="黑体"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37">
    <w:nsid w:val="6DBF04F4"/>
    <w:multiLevelType w:val="multilevel"/>
    <w:tmpl w:val="6DBF04F4"/>
    <w:lvl w:ilvl="0" w:tentative="0">
      <w:start w:val="1"/>
      <w:numFmt w:val="none"/>
      <w:pStyle w:val="181"/>
      <w:lvlText w:val="%1注："/>
      <w:lvlJc w:val="left"/>
      <w:pPr>
        <w:ind w:left="737" w:hanging="374"/>
      </w:pPr>
      <w:rPr>
        <w:rFonts w:hint="eastAsia" w:ascii="黑体" w:eastAsia="黑体"/>
        <w:b w:val="0"/>
        <w:i w:val="0"/>
        <w:sz w:val="18"/>
      </w:rPr>
    </w:lvl>
    <w:lvl w:ilvl="1" w:tentative="0">
      <w:start w:val="1"/>
      <w:numFmt w:val="lowerLetter"/>
      <w:lvlText w:val="%2)"/>
      <w:lvlJc w:val="left"/>
      <w:pPr>
        <w:tabs>
          <w:tab w:val="left" w:pos="1140"/>
        </w:tabs>
        <w:ind w:left="726" w:hanging="363"/>
      </w:pPr>
      <w:rPr>
        <w:rFonts w:hint="eastAsia"/>
      </w:rPr>
    </w:lvl>
    <w:lvl w:ilvl="2" w:tentative="0">
      <w:start w:val="1"/>
      <w:numFmt w:val="lowerRoman"/>
      <w:lvlText w:val="%3."/>
      <w:lvlJc w:val="right"/>
      <w:pPr>
        <w:tabs>
          <w:tab w:val="left" w:pos="1140"/>
        </w:tabs>
        <w:ind w:left="726" w:hanging="363"/>
      </w:pPr>
      <w:rPr>
        <w:rFonts w:hint="eastAsia"/>
      </w:rPr>
    </w:lvl>
    <w:lvl w:ilvl="3" w:tentative="0">
      <w:start w:val="1"/>
      <w:numFmt w:val="decimal"/>
      <w:lvlText w:val="%4."/>
      <w:lvlJc w:val="left"/>
      <w:pPr>
        <w:tabs>
          <w:tab w:val="left" w:pos="1140"/>
        </w:tabs>
        <w:ind w:left="726" w:hanging="363"/>
      </w:pPr>
      <w:rPr>
        <w:rFonts w:hint="eastAsia"/>
      </w:rPr>
    </w:lvl>
    <w:lvl w:ilvl="4" w:tentative="0">
      <w:start w:val="1"/>
      <w:numFmt w:val="lowerLetter"/>
      <w:lvlText w:val="%5)"/>
      <w:lvlJc w:val="left"/>
      <w:pPr>
        <w:tabs>
          <w:tab w:val="left" w:pos="1140"/>
        </w:tabs>
        <w:ind w:left="726" w:hanging="363"/>
      </w:pPr>
      <w:rPr>
        <w:rFonts w:hint="eastAsia"/>
      </w:rPr>
    </w:lvl>
    <w:lvl w:ilvl="5" w:tentative="0">
      <w:start w:val="1"/>
      <w:numFmt w:val="lowerRoman"/>
      <w:lvlText w:val="%6."/>
      <w:lvlJc w:val="right"/>
      <w:pPr>
        <w:tabs>
          <w:tab w:val="left" w:pos="1140"/>
        </w:tabs>
        <w:ind w:left="726" w:hanging="363"/>
      </w:pPr>
      <w:rPr>
        <w:rFonts w:hint="eastAsia"/>
      </w:rPr>
    </w:lvl>
    <w:lvl w:ilvl="6" w:tentative="0">
      <w:start w:val="1"/>
      <w:numFmt w:val="decimal"/>
      <w:lvlText w:val="%7."/>
      <w:lvlJc w:val="left"/>
      <w:pPr>
        <w:tabs>
          <w:tab w:val="left" w:pos="1140"/>
        </w:tabs>
        <w:ind w:left="726" w:hanging="363"/>
      </w:pPr>
      <w:rPr>
        <w:rFonts w:hint="eastAsia"/>
      </w:rPr>
    </w:lvl>
    <w:lvl w:ilvl="7" w:tentative="0">
      <w:start w:val="1"/>
      <w:numFmt w:val="lowerLetter"/>
      <w:lvlText w:val="%8)"/>
      <w:lvlJc w:val="left"/>
      <w:pPr>
        <w:tabs>
          <w:tab w:val="left" w:pos="1140"/>
        </w:tabs>
        <w:ind w:left="726" w:hanging="363"/>
      </w:pPr>
      <w:rPr>
        <w:rFonts w:hint="eastAsia"/>
      </w:rPr>
    </w:lvl>
    <w:lvl w:ilvl="8" w:tentative="0">
      <w:start w:val="1"/>
      <w:numFmt w:val="lowerRoman"/>
      <w:lvlText w:val="%9."/>
      <w:lvlJc w:val="right"/>
      <w:pPr>
        <w:tabs>
          <w:tab w:val="left" w:pos="1140"/>
        </w:tabs>
        <w:ind w:left="726" w:hanging="363"/>
      </w:pPr>
      <w:rPr>
        <w:rFonts w:hint="eastAsia"/>
      </w:rPr>
    </w:lvl>
  </w:abstractNum>
  <w:abstractNum w:abstractNumId="38">
    <w:nsid w:val="6DF35F19"/>
    <w:multiLevelType w:val="multilevel"/>
    <w:tmpl w:val="6DF35F19"/>
    <w:lvl w:ilvl="0" w:tentative="0">
      <w:start w:val="1"/>
      <w:numFmt w:val="decimal"/>
      <w:pStyle w:val="117"/>
      <w:suff w:val="nothing"/>
      <w:lvlText w:val="Table %1　"/>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48"/>
        </w:tabs>
        <w:ind w:left="3969" w:hanging="1418"/>
      </w:pPr>
    </w:lvl>
    <w:lvl w:ilvl="8" w:tentative="0">
      <w:start w:val="1"/>
      <w:numFmt w:val="decimal"/>
      <w:lvlText w:val="%1.%2.%3.%4.%5.%6.%7.%8.%9"/>
      <w:lvlJc w:val="left"/>
      <w:pPr>
        <w:tabs>
          <w:tab w:val="left" w:pos="4774"/>
        </w:tabs>
        <w:ind w:left="4677" w:hanging="1701"/>
      </w:pPr>
    </w:lvl>
  </w:abstractNum>
  <w:abstractNum w:abstractNumId="39">
    <w:nsid w:val="76933334"/>
    <w:multiLevelType w:val="multilevel"/>
    <w:tmpl w:val="76933334"/>
    <w:lvl w:ilvl="0" w:tentative="0">
      <w:start w:val="1"/>
      <w:numFmt w:val="none"/>
      <w:pStyle w:val="141"/>
      <w:lvlText w:val="%1——"/>
      <w:lvlJc w:val="left"/>
      <w:pPr>
        <w:tabs>
          <w:tab w:val="left" w:pos="330"/>
        </w:tabs>
        <w:ind w:left="948"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5"/>
  </w:num>
  <w:num w:numId="2">
    <w:abstractNumId w:val="36"/>
  </w:num>
  <w:num w:numId="3">
    <w:abstractNumId w:val="10"/>
  </w:num>
  <w:num w:numId="4">
    <w:abstractNumId w:val="32"/>
  </w:num>
  <w:num w:numId="5">
    <w:abstractNumId w:val="27"/>
  </w:num>
  <w:num w:numId="6">
    <w:abstractNumId w:val="22"/>
  </w:num>
  <w:num w:numId="7">
    <w:abstractNumId w:val="13"/>
  </w:num>
  <w:num w:numId="8">
    <w:abstractNumId w:val="8"/>
  </w:num>
  <w:num w:numId="9">
    <w:abstractNumId w:val="14"/>
  </w:num>
  <w:num w:numId="10">
    <w:abstractNumId w:val="25"/>
  </w:num>
  <w:num w:numId="11">
    <w:abstractNumId w:val="34"/>
  </w:num>
  <w:num w:numId="12">
    <w:abstractNumId w:val="18"/>
  </w:num>
  <w:num w:numId="13">
    <w:abstractNumId w:val="21"/>
  </w:num>
  <w:num w:numId="14">
    <w:abstractNumId w:val="12"/>
  </w:num>
  <w:num w:numId="15">
    <w:abstractNumId w:val="28"/>
  </w:num>
  <w:num w:numId="16">
    <w:abstractNumId w:val="30"/>
  </w:num>
  <w:num w:numId="17">
    <w:abstractNumId w:val="26"/>
  </w:num>
  <w:num w:numId="18">
    <w:abstractNumId w:val="38"/>
  </w:num>
  <w:num w:numId="19">
    <w:abstractNumId w:val="24"/>
  </w:num>
  <w:num w:numId="20">
    <w:abstractNumId w:val="6"/>
  </w:num>
  <w:num w:numId="21">
    <w:abstractNumId w:val="17"/>
  </w:num>
  <w:num w:numId="22">
    <w:abstractNumId w:val="39"/>
  </w:num>
  <w:num w:numId="23">
    <w:abstractNumId w:val="29"/>
  </w:num>
  <w:num w:numId="24">
    <w:abstractNumId w:val="11"/>
  </w:num>
  <w:num w:numId="25">
    <w:abstractNumId w:val="35"/>
  </w:num>
  <w:num w:numId="26">
    <w:abstractNumId w:val="37"/>
  </w:num>
  <w:num w:numId="27">
    <w:abstractNumId w:val="7"/>
  </w:num>
  <w:num w:numId="28">
    <w:abstractNumId w:val="9"/>
  </w:num>
  <w:num w:numId="29">
    <w:abstractNumId w:val="23"/>
  </w:num>
  <w:num w:numId="30">
    <w:abstractNumId w:val="33"/>
  </w:num>
  <w:num w:numId="31">
    <w:abstractNumId w:val="31"/>
  </w:num>
  <w:num w:numId="32">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
  </w:num>
  <w:num w:numId="41">
    <w:abstractNumId w:val="1"/>
  </w:num>
  <w:num w:numId="42">
    <w:abstractNumId w:val="3"/>
  </w:num>
  <w:num w:numId="43">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0"/>
  </w:num>
  <w:num w:numId="4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16"/>
  </w:num>
  <w:num w:numId="52">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15"/>
  </w:num>
  <w:num w:numId="56">
    <w:abstractNumId w:val="20"/>
  </w:num>
  <w:num w:numId="57">
    <w:abstractNumId w:val="19"/>
  </w:num>
  <w:num w:numId="5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bordersDoNotSurroundHeader w:val="1"/>
  <w:bordersDoNotSurroundFooter w:val="1"/>
  <w:attachedTemplate r:id="rId1"/>
  <w:documentProtection w:edit="forms" w:enforcement="1" w:cryptProviderType="rsaAES" w:cryptAlgorithmClass="hash" w:cryptAlgorithmType="typeAny" w:cryptAlgorithmSid="14" w:cryptSpinCount="100000" w:hash="+x1lBxwIjK3dsGX3P9OkSQ20/4SCWP0BZykAwASDWJIE2OYG0accPb05kxb8S5hWr/co+KddlS7S&#10;tmeY3N+hSg=====" w:salt="E9VBTr73K7tu5B6uq5s5fA=="/>
  <w:defaultTabStop w:val="420"/>
  <w:drawingGridHorizontalSpacing w:val="105"/>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YTMwMTU4MDAyN2UyZDkwMGZkOGNlMjVjMmYzY2RhYTAifQ=="/>
  </w:docVars>
  <w:rsids>
    <w:rsidRoot w:val="004702BC"/>
    <w:rsid w:val="0000040A"/>
    <w:rsid w:val="00000A94"/>
    <w:rsid w:val="00001972"/>
    <w:rsid w:val="00001D9A"/>
    <w:rsid w:val="00007B3A"/>
    <w:rsid w:val="000107E0"/>
    <w:rsid w:val="00011FDE"/>
    <w:rsid w:val="00012FFD"/>
    <w:rsid w:val="00014162"/>
    <w:rsid w:val="00014340"/>
    <w:rsid w:val="00016A9C"/>
    <w:rsid w:val="000172D0"/>
    <w:rsid w:val="00022184"/>
    <w:rsid w:val="00022762"/>
    <w:rsid w:val="000238E0"/>
    <w:rsid w:val="000249DB"/>
    <w:rsid w:val="0002595E"/>
    <w:rsid w:val="000303C3"/>
    <w:rsid w:val="000331D3"/>
    <w:rsid w:val="000346A5"/>
    <w:rsid w:val="000359C3"/>
    <w:rsid w:val="00035A7D"/>
    <w:rsid w:val="000365ED"/>
    <w:rsid w:val="0004249A"/>
    <w:rsid w:val="00043282"/>
    <w:rsid w:val="00043F32"/>
    <w:rsid w:val="00044286"/>
    <w:rsid w:val="00047F28"/>
    <w:rsid w:val="000503AA"/>
    <w:rsid w:val="000506A1"/>
    <w:rsid w:val="000515DD"/>
    <w:rsid w:val="0005265A"/>
    <w:rsid w:val="000539DD"/>
    <w:rsid w:val="00053BD3"/>
    <w:rsid w:val="000556ED"/>
    <w:rsid w:val="00055FE2"/>
    <w:rsid w:val="0005616F"/>
    <w:rsid w:val="00056C5C"/>
    <w:rsid w:val="00060C2E"/>
    <w:rsid w:val="00061033"/>
    <w:rsid w:val="000619E9"/>
    <w:rsid w:val="000622D4"/>
    <w:rsid w:val="0006357D"/>
    <w:rsid w:val="00067F1E"/>
    <w:rsid w:val="00071CC0"/>
    <w:rsid w:val="00073C8C"/>
    <w:rsid w:val="00077B64"/>
    <w:rsid w:val="00080A1C"/>
    <w:rsid w:val="00082317"/>
    <w:rsid w:val="00083D2C"/>
    <w:rsid w:val="00086AA1"/>
    <w:rsid w:val="00087A77"/>
    <w:rsid w:val="00090CA6"/>
    <w:rsid w:val="00092B8A"/>
    <w:rsid w:val="00092FB0"/>
    <w:rsid w:val="000934C5"/>
    <w:rsid w:val="00093D25"/>
    <w:rsid w:val="00093DAB"/>
    <w:rsid w:val="00094D73"/>
    <w:rsid w:val="00096D63"/>
    <w:rsid w:val="000A0B60"/>
    <w:rsid w:val="000A0EB8"/>
    <w:rsid w:val="000A19FC"/>
    <w:rsid w:val="000A296B"/>
    <w:rsid w:val="000A7311"/>
    <w:rsid w:val="000B060F"/>
    <w:rsid w:val="000B1592"/>
    <w:rsid w:val="000B1ECE"/>
    <w:rsid w:val="000B1FF2"/>
    <w:rsid w:val="000B3CDA"/>
    <w:rsid w:val="000B6A0B"/>
    <w:rsid w:val="000C0F6C"/>
    <w:rsid w:val="000C11DB"/>
    <w:rsid w:val="000C1492"/>
    <w:rsid w:val="000C2FBD"/>
    <w:rsid w:val="000C4B41"/>
    <w:rsid w:val="000C57D6"/>
    <w:rsid w:val="000C6362"/>
    <w:rsid w:val="000C7666"/>
    <w:rsid w:val="000D0A9C"/>
    <w:rsid w:val="000D1795"/>
    <w:rsid w:val="000D329A"/>
    <w:rsid w:val="000D4B9C"/>
    <w:rsid w:val="000D4EB6"/>
    <w:rsid w:val="000D753B"/>
    <w:rsid w:val="000E2F82"/>
    <w:rsid w:val="000E4C9E"/>
    <w:rsid w:val="000E5F82"/>
    <w:rsid w:val="000E6FD7"/>
    <w:rsid w:val="000F06E1"/>
    <w:rsid w:val="000F0E3C"/>
    <w:rsid w:val="000F19D5"/>
    <w:rsid w:val="000F4AD3"/>
    <w:rsid w:val="000F4AEA"/>
    <w:rsid w:val="000F633F"/>
    <w:rsid w:val="000F67E9"/>
    <w:rsid w:val="00104926"/>
    <w:rsid w:val="001053D9"/>
    <w:rsid w:val="00105D57"/>
    <w:rsid w:val="00107F7E"/>
    <w:rsid w:val="00113B1E"/>
    <w:rsid w:val="0011711C"/>
    <w:rsid w:val="0012059C"/>
    <w:rsid w:val="00124E4F"/>
    <w:rsid w:val="001260B7"/>
    <w:rsid w:val="001265CB"/>
    <w:rsid w:val="001321C6"/>
    <w:rsid w:val="001325C4"/>
    <w:rsid w:val="00133010"/>
    <w:rsid w:val="001338EE"/>
    <w:rsid w:val="00133AAE"/>
    <w:rsid w:val="00135323"/>
    <w:rsid w:val="001356C4"/>
    <w:rsid w:val="00141114"/>
    <w:rsid w:val="00142969"/>
    <w:rsid w:val="001446C2"/>
    <w:rsid w:val="001457E7"/>
    <w:rsid w:val="00145D9D"/>
    <w:rsid w:val="00146388"/>
    <w:rsid w:val="00150C59"/>
    <w:rsid w:val="001529E5"/>
    <w:rsid w:val="00153C7E"/>
    <w:rsid w:val="00156B25"/>
    <w:rsid w:val="00156E1A"/>
    <w:rsid w:val="00157894"/>
    <w:rsid w:val="00157B55"/>
    <w:rsid w:val="001642FA"/>
    <w:rsid w:val="001649EB"/>
    <w:rsid w:val="00164BAF"/>
    <w:rsid w:val="00164FA8"/>
    <w:rsid w:val="00165065"/>
    <w:rsid w:val="00165434"/>
    <w:rsid w:val="0016580B"/>
    <w:rsid w:val="00165F49"/>
    <w:rsid w:val="00166B88"/>
    <w:rsid w:val="0016770A"/>
    <w:rsid w:val="00170804"/>
    <w:rsid w:val="001708E9"/>
    <w:rsid w:val="0017340B"/>
    <w:rsid w:val="00173FB1"/>
    <w:rsid w:val="00176DFD"/>
    <w:rsid w:val="001852C9"/>
    <w:rsid w:val="00190087"/>
    <w:rsid w:val="001913C4"/>
    <w:rsid w:val="0019348F"/>
    <w:rsid w:val="00193A07"/>
    <w:rsid w:val="00194C95"/>
    <w:rsid w:val="0019559F"/>
    <w:rsid w:val="00195C34"/>
    <w:rsid w:val="001968A4"/>
    <w:rsid w:val="00196EF5"/>
    <w:rsid w:val="001A1A53"/>
    <w:rsid w:val="001A234A"/>
    <w:rsid w:val="001A3E18"/>
    <w:rsid w:val="001A4CF3"/>
    <w:rsid w:val="001B06E8"/>
    <w:rsid w:val="001B71D0"/>
    <w:rsid w:val="001B71EE"/>
    <w:rsid w:val="001C04A8"/>
    <w:rsid w:val="001C2C03"/>
    <w:rsid w:val="001C42F7"/>
    <w:rsid w:val="001C49E5"/>
    <w:rsid w:val="001C680C"/>
    <w:rsid w:val="001C7FEA"/>
    <w:rsid w:val="001D0499"/>
    <w:rsid w:val="001D0BBE"/>
    <w:rsid w:val="001D0ED4"/>
    <w:rsid w:val="001D212F"/>
    <w:rsid w:val="001D29D7"/>
    <w:rsid w:val="001D2DAC"/>
    <w:rsid w:val="001D2DE7"/>
    <w:rsid w:val="001D411C"/>
    <w:rsid w:val="001D4EB6"/>
    <w:rsid w:val="001E1B6A"/>
    <w:rsid w:val="001E2484"/>
    <w:rsid w:val="001E3CC4"/>
    <w:rsid w:val="001E4882"/>
    <w:rsid w:val="001E73AB"/>
    <w:rsid w:val="001F092D"/>
    <w:rsid w:val="001F143A"/>
    <w:rsid w:val="001F1605"/>
    <w:rsid w:val="001F2508"/>
    <w:rsid w:val="001F4816"/>
    <w:rsid w:val="001F4EE9"/>
    <w:rsid w:val="001F69B4"/>
    <w:rsid w:val="001F77C7"/>
    <w:rsid w:val="00200183"/>
    <w:rsid w:val="00200333"/>
    <w:rsid w:val="0020107D"/>
    <w:rsid w:val="00202AA4"/>
    <w:rsid w:val="002031F7"/>
    <w:rsid w:val="002040E6"/>
    <w:rsid w:val="0020527B"/>
    <w:rsid w:val="00205F2C"/>
    <w:rsid w:val="00210B15"/>
    <w:rsid w:val="002142EA"/>
    <w:rsid w:val="002204BB"/>
    <w:rsid w:val="00221B79"/>
    <w:rsid w:val="00221C6B"/>
    <w:rsid w:val="002253A1"/>
    <w:rsid w:val="00225CF8"/>
    <w:rsid w:val="0022794E"/>
    <w:rsid w:val="00233D64"/>
    <w:rsid w:val="0023482A"/>
    <w:rsid w:val="002359CB"/>
    <w:rsid w:val="00243540"/>
    <w:rsid w:val="0024497B"/>
    <w:rsid w:val="0024515B"/>
    <w:rsid w:val="00245CF0"/>
    <w:rsid w:val="00246021"/>
    <w:rsid w:val="0024666E"/>
    <w:rsid w:val="00247BB4"/>
    <w:rsid w:val="00247F52"/>
    <w:rsid w:val="00250B25"/>
    <w:rsid w:val="00250BBE"/>
    <w:rsid w:val="002515C2"/>
    <w:rsid w:val="0025194F"/>
    <w:rsid w:val="002525A2"/>
    <w:rsid w:val="0025470A"/>
    <w:rsid w:val="0026148A"/>
    <w:rsid w:val="00262696"/>
    <w:rsid w:val="00263D25"/>
    <w:rsid w:val="002643C3"/>
    <w:rsid w:val="00264A0C"/>
    <w:rsid w:val="00266EEB"/>
    <w:rsid w:val="00267EF4"/>
    <w:rsid w:val="00270CB8"/>
    <w:rsid w:val="00271FD7"/>
    <w:rsid w:val="00272B08"/>
    <w:rsid w:val="00273781"/>
    <w:rsid w:val="00281304"/>
    <w:rsid w:val="00281BB8"/>
    <w:rsid w:val="00281E9E"/>
    <w:rsid w:val="00282405"/>
    <w:rsid w:val="00285170"/>
    <w:rsid w:val="00285361"/>
    <w:rsid w:val="00292D60"/>
    <w:rsid w:val="00293B30"/>
    <w:rsid w:val="00294D34"/>
    <w:rsid w:val="00294E3B"/>
    <w:rsid w:val="00296193"/>
    <w:rsid w:val="00296C66"/>
    <w:rsid w:val="00296EBE"/>
    <w:rsid w:val="002974E3"/>
    <w:rsid w:val="00297A05"/>
    <w:rsid w:val="002A084B"/>
    <w:rsid w:val="002A1260"/>
    <w:rsid w:val="002A1589"/>
    <w:rsid w:val="002A1608"/>
    <w:rsid w:val="002A25DC"/>
    <w:rsid w:val="002A3AAB"/>
    <w:rsid w:val="002A4CEA"/>
    <w:rsid w:val="002A5977"/>
    <w:rsid w:val="002A5A13"/>
    <w:rsid w:val="002A757F"/>
    <w:rsid w:val="002A7F44"/>
    <w:rsid w:val="002B0C40"/>
    <w:rsid w:val="002B1966"/>
    <w:rsid w:val="002B4508"/>
    <w:rsid w:val="002B5779"/>
    <w:rsid w:val="002B7332"/>
    <w:rsid w:val="002B7F51"/>
    <w:rsid w:val="002C09E7"/>
    <w:rsid w:val="002C1E06"/>
    <w:rsid w:val="002C1E1C"/>
    <w:rsid w:val="002C3F07"/>
    <w:rsid w:val="002C5278"/>
    <w:rsid w:val="002C7EBB"/>
    <w:rsid w:val="002D06C1"/>
    <w:rsid w:val="002D1199"/>
    <w:rsid w:val="002D42B5"/>
    <w:rsid w:val="002D4F1A"/>
    <w:rsid w:val="002D6EC6"/>
    <w:rsid w:val="002D79AC"/>
    <w:rsid w:val="002E039D"/>
    <w:rsid w:val="002E4D5A"/>
    <w:rsid w:val="002E6326"/>
    <w:rsid w:val="002F30E0"/>
    <w:rsid w:val="002F35E4"/>
    <w:rsid w:val="002F3730"/>
    <w:rsid w:val="002F38E1"/>
    <w:rsid w:val="002F6F83"/>
    <w:rsid w:val="002F7AF6"/>
    <w:rsid w:val="00300E63"/>
    <w:rsid w:val="00302F5F"/>
    <w:rsid w:val="0030441D"/>
    <w:rsid w:val="00306063"/>
    <w:rsid w:val="00313B85"/>
    <w:rsid w:val="00316078"/>
    <w:rsid w:val="00317988"/>
    <w:rsid w:val="003221B4"/>
    <w:rsid w:val="0032258D"/>
    <w:rsid w:val="00322E62"/>
    <w:rsid w:val="00324D13"/>
    <w:rsid w:val="00324D2A"/>
    <w:rsid w:val="00324EDD"/>
    <w:rsid w:val="003331E4"/>
    <w:rsid w:val="00336C64"/>
    <w:rsid w:val="00337162"/>
    <w:rsid w:val="0034194F"/>
    <w:rsid w:val="00344605"/>
    <w:rsid w:val="003474AA"/>
    <w:rsid w:val="00350D1D"/>
    <w:rsid w:val="00352C83"/>
    <w:rsid w:val="003615D2"/>
    <w:rsid w:val="0036429C"/>
    <w:rsid w:val="00364A53"/>
    <w:rsid w:val="003654CB"/>
    <w:rsid w:val="00365AA9"/>
    <w:rsid w:val="00365F86"/>
    <w:rsid w:val="00365F87"/>
    <w:rsid w:val="00366E89"/>
    <w:rsid w:val="003705F4"/>
    <w:rsid w:val="00370D58"/>
    <w:rsid w:val="00371316"/>
    <w:rsid w:val="00376713"/>
    <w:rsid w:val="00381815"/>
    <w:rsid w:val="003819AF"/>
    <w:rsid w:val="003820E9"/>
    <w:rsid w:val="00382DE7"/>
    <w:rsid w:val="00384FFC"/>
    <w:rsid w:val="003872FC"/>
    <w:rsid w:val="00387ADC"/>
    <w:rsid w:val="00390020"/>
    <w:rsid w:val="003903D6"/>
    <w:rsid w:val="00390EE6"/>
    <w:rsid w:val="0039118F"/>
    <w:rsid w:val="00392AD7"/>
    <w:rsid w:val="003938D9"/>
    <w:rsid w:val="00394376"/>
    <w:rsid w:val="003943FF"/>
    <w:rsid w:val="00395700"/>
    <w:rsid w:val="003974EB"/>
    <w:rsid w:val="00397CC5"/>
    <w:rsid w:val="003A1582"/>
    <w:rsid w:val="003A4077"/>
    <w:rsid w:val="003B09AD"/>
    <w:rsid w:val="003B1F18"/>
    <w:rsid w:val="003B5BF0"/>
    <w:rsid w:val="003B60BF"/>
    <w:rsid w:val="003B6BE3"/>
    <w:rsid w:val="003C010C"/>
    <w:rsid w:val="003C0A6C"/>
    <w:rsid w:val="003C14F8"/>
    <w:rsid w:val="003C571C"/>
    <w:rsid w:val="003C5A43"/>
    <w:rsid w:val="003C70AA"/>
    <w:rsid w:val="003D0519"/>
    <w:rsid w:val="003D0FF6"/>
    <w:rsid w:val="003D262C"/>
    <w:rsid w:val="003D6D61"/>
    <w:rsid w:val="003E01E8"/>
    <w:rsid w:val="003E091D"/>
    <w:rsid w:val="003E0C33"/>
    <w:rsid w:val="003E1C53"/>
    <w:rsid w:val="003E2A69"/>
    <w:rsid w:val="003E2D49"/>
    <w:rsid w:val="003E2FD4"/>
    <w:rsid w:val="003E49F6"/>
    <w:rsid w:val="003E660F"/>
    <w:rsid w:val="003F0841"/>
    <w:rsid w:val="003F23D3"/>
    <w:rsid w:val="003F3F08"/>
    <w:rsid w:val="003F49F1"/>
    <w:rsid w:val="003F6272"/>
    <w:rsid w:val="00400E72"/>
    <w:rsid w:val="00401400"/>
    <w:rsid w:val="00404869"/>
    <w:rsid w:val="00405884"/>
    <w:rsid w:val="0040762A"/>
    <w:rsid w:val="00407D39"/>
    <w:rsid w:val="0041477A"/>
    <w:rsid w:val="004167A3"/>
    <w:rsid w:val="00432DAA"/>
    <w:rsid w:val="00434305"/>
    <w:rsid w:val="00435DF7"/>
    <w:rsid w:val="0044083F"/>
    <w:rsid w:val="00441AE7"/>
    <w:rsid w:val="00445574"/>
    <w:rsid w:val="004467FB"/>
    <w:rsid w:val="00452D6B"/>
    <w:rsid w:val="00454484"/>
    <w:rsid w:val="0045517B"/>
    <w:rsid w:val="00463B77"/>
    <w:rsid w:val="00463C7B"/>
    <w:rsid w:val="004644A6"/>
    <w:rsid w:val="004659BD"/>
    <w:rsid w:val="004702BC"/>
    <w:rsid w:val="00470775"/>
    <w:rsid w:val="004746B1"/>
    <w:rsid w:val="0047583F"/>
    <w:rsid w:val="00475DE8"/>
    <w:rsid w:val="00481C44"/>
    <w:rsid w:val="00484936"/>
    <w:rsid w:val="00485C89"/>
    <w:rsid w:val="00486BE3"/>
    <w:rsid w:val="004905E4"/>
    <w:rsid w:val="00490A89"/>
    <w:rsid w:val="00490AB4"/>
    <w:rsid w:val="00492F02"/>
    <w:rsid w:val="004939AE"/>
    <w:rsid w:val="0049649A"/>
    <w:rsid w:val="004A12DF"/>
    <w:rsid w:val="004A17E6"/>
    <w:rsid w:val="004A1BA8"/>
    <w:rsid w:val="004A4B57"/>
    <w:rsid w:val="004A63FA"/>
    <w:rsid w:val="004B0272"/>
    <w:rsid w:val="004B2701"/>
    <w:rsid w:val="004B2E1B"/>
    <w:rsid w:val="004B3AA8"/>
    <w:rsid w:val="004B3E93"/>
    <w:rsid w:val="004C1FBC"/>
    <w:rsid w:val="004C3F1D"/>
    <w:rsid w:val="004C458D"/>
    <w:rsid w:val="004C45D0"/>
    <w:rsid w:val="004C7556"/>
    <w:rsid w:val="004C7E8B"/>
    <w:rsid w:val="004C7E9D"/>
    <w:rsid w:val="004C7F67"/>
    <w:rsid w:val="004D076D"/>
    <w:rsid w:val="004D0EF1"/>
    <w:rsid w:val="004D2253"/>
    <w:rsid w:val="004D4406"/>
    <w:rsid w:val="004D6538"/>
    <w:rsid w:val="004D7C42"/>
    <w:rsid w:val="004E0465"/>
    <w:rsid w:val="004E127B"/>
    <w:rsid w:val="004E1C0A"/>
    <w:rsid w:val="004E2B06"/>
    <w:rsid w:val="004E30C5"/>
    <w:rsid w:val="004E4AA5"/>
    <w:rsid w:val="004E4AEE"/>
    <w:rsid w:val="004E59E3"/>
    <w:rsid w:val="004E67C0"/>
    <w:rsid w:val="004F391A"/>
    <w:rsid w:val="004F3CFB"/>
    <w:rsid w:val="004F6456"/>
    <w:rsid w:val="004F696E"/>
    <w:rsid w:val="004F6C71"/>
    <w:rsid w:val="00501139"/>
    <w:rsid w:val="0050363E"/>
    <w:rsid w:val="005039BC"/>
    <w:rsid w:val="005043BB"/>
    <w:rsid w:val="00504A3D"/>
    <w:rsid w:val="00505767"/>
    <w:rsid w:val="005073F0"/>
    <w:rsid w:val="00510A7B"/>
    <w:rsid w:val="00512F6E"/>
    <w:rsid w:val="00513038"/>
    <w:rsid w:val="00514174"/>
    <w:rsid w:val="00516088"/>
    <w:rsid w:val="00516B0B"/>
    <w:rsid w:val="005220EC"/>
    <w:rsid w:val="00523F95"/>
    <w:rsid w:val="00524D65"/>
    <w:rsid w:val="00525B16"/>
    <w:rsid w:val="00533D04"/>
    <w:rsid w:val="00534804"/>
    <w:rsid w:val="00534BDF"/>
    <w:rsid w:val="005354EA"/>
    <w:rsid w:val="0053585F"/>
    <w:rsid w:val="00535EC4"/>
    <w:rsid w:val="00535ED9"/>
    <w:rsid w:val="0053692B"/>
    <w:rsid w:val="00537076"/>
    <w:rsid w:val="00541853"/>
    <w:rsid w:val="00543BDA"/>
    <w:rsid w:val="005441CC"/>
    <w:rsid w:val="005479DA"/>
    <w:rsid w:val="00547BCC"/>
    <w:rsid w:val="0055013B"/>
    <w:rsid w:val="00551F6F"/>
    <w:rsid w:val="00555044"/>
    <w:rsid w:val="005577B4"/>
    <w:rsid w:val="00561475"/>
    <w:rsid w:val="00563986"/>
    <w:rsid w:val="0056487B"/>
    <w:rsid w:val="00564FB9"/>
    <w:rsid w:val="00573D9E"/>
    <w:rsid w:val="005801E3"/>
    <w:rsid w:val="00581802"/>
    <w:rsid w:val="005836A8"/>
    <w:rsid w:val="0058409C"/>
    <w:rsid w:val="00584262"/>
    <w:rsid w:val="00586630"/>
    <w:rsid w:val="00587ADD"/>
    <w:rsid w:val="00596160"/>
    <w:rsid w:val="005966E2"/>
    <w:rsid w:val="00597007"/>
    <w:rsid w:val="005A0966"/>
    <w:rsid w:val="005A11B7"/>
    <w:rsid w:val="005A260B"/>
    <w:rsid w:val="005A4A1B"/>
    <w:rsid w:val="005A7830"/>
    <w:rsid w:val="005A7FCE"/>
    <w:rsid w:val="005B0F3F"/>
    <w:rsid w:val="005B4903"/>
    <w:rsid w:val="005B51CE"/>
    <w:rsid w:val="005B5885"/>
    <w:rsid w:val="005B5CD7"/>
    <w:rsid w:val="005B6999"/>
    <w:rsid w:val="005B6CF6"/>
    <w:rsid w:val="005B7422"/>
    <w:rsid w:val="005C29B8"/>
    <w:rsid w:val="005C5F21"/>
    <w:rsid w:val="005C7156"/>
    <w:rsid w:val="005D0C75"/>
    <w:rsid w:val="005D4171"/>
    <w:rsid w:val="005D6A95"/>
    <w:rsid w:val="005D6B2C"/>
    <w:rsid w:val="005D6D9C"/>
    <w:rsid w:val="005E2335"/>
    <w:rsid w:val="005E34CA"/>
    <w:rsid w:val="005E3C18"/>
    <w:rsid w:val="005E6812"/>
    <w:rsid w:val="005E7881"/>
    <w:rsid w:val="005E78E0"/>
    <w:rsid w:val="005F0D9C"/>
    <w:rsid w:val="005F284E"/>
    <w:rsid w:val="005F4712"/>
    <w:rsid w:val="005F4F82"/>
    <w:rsid w:val="006015CE"/>
    <w:rsid w:val="00604784"/>
    <w:rsid w:val="00606419"/>
    <w:rsid w:val="00606C7E"/>
    <w:rsid w:val="00607D29"/>
    <w:rsid w:val="00612952"/>
    <w:rsid w:val="00614CC1"/>
    <w:rsid w:val="00615A9D"/>
    <w:rsid w:val="00617387"/>
    <w:rsid w:val="006205D6"/>
    <w:rsid w:val="00624187"/>
    <w:rsid w:val="006252D8"/>
    <w:rsid w:val="006259BC"/>
    <w:rsid w:val="0062636B"/>
    <w:rsid w:val="00627159"/>
    <w:rsid w:val="00632182"/>
    <w:rsid w:val="00632AE0"/>
    <w:rsid w:val="00633C17"/>
    <w:rsid w:val="00634D9E"/>
    <w:rsid w:val="00636E3E"/>
    <w:rsid w:val="006379F7"/>
    <w:rsid w:val="00637E4D"/>
    <w:rsid w:val="00640620"/>
    <w:rsid w:val="00640F8B"/>
    <w:rsid w:val="00641A1F"/>
    <w:rsid w:val="00645904"/>
    <w:rsid w:val="00651ACB"/>
    <w:rsid w:val="00651C47"/>
    <w:rsid w:val="00652AB2"/>
    <w:rsid w:val="00653FED"/>
    <w:rsid w:val="00654EC0"/>
    <w:rsid w:val="00654EFE"/>
    <w:rsid w:val="0065525B"/>
    <w:rsid w:val="00655D4F"/>
    <w:rsid w:val="00656D29"/>
    <w:rsid w:val="006640E5"/>
    <w:rsid w:val="006646F1"/>
    <w:rsid w:val="00664929"/>
    <w:rsid w:val="00664F62"/>
    <w:rsid w:val="006650DC"/>
    <w:rsid w:val="006655E1"/>
    <w:rsid w:val="00672060"/>
    <w:rsid w:val="00672BFD"/>
    <w:rsid w:val="006770F4"/>
    <w:rsid w:val="00677A84"/>
    <w:rsid w:val="0068026D"/>
    <w:rsid w:val="00680A27"/>
    <w:rsid w:val="006816A4"/>
    <w:rsid w:val="006819B8"/>
    <w:rsid w:val="006840A6"/>
    <w:rsid w:val="006850CD"/>
    <w:rsid w:val="00685AAB"/>
    <w:rsid w:val="00694F8A"/>
    <w:rsid w:val="006A07AA"/>
    <w:rsid w:val="006A25E5"/>
    <w:rsid w:val="006A2B46"/>
    <w:rsid w:val="006A336D"/>
    <w:rsid w:val="006A37B9"/>
    <w:rsid w:val="006B2672"/>
    <w:rsid w:val="006B54BF"/>
    <w:rsid w:val="006B5F44"/>
    <w:rsid w:val="006B5F90"/>
    <w:rsid w:val="006B62E4"/>
    <w:rsid w:val="006C1BBA"/>
    <w:rsid w:val="006C2079"/>
    <w:rsid w:val="006C5A62"/>
    <w:rsid w:val="006C5D68"/>
    <w:rsid w:val="006C6976"/>
    <w:rsid w:val="006C6DD0"/>
    <w:rsid w:val="006C74EE"/>
    <w:rsid w:val="006D04EA"/>
    <w:rsid w:val="006D16C4"/>
    <w:rsid w:val="006D3E96"/>
    <w:rsid w:val="006D4515"/>
    <w:rsid w:val="006D4785"/>
    <w:rsid w:val="006D4BB1"/>
    <w:rsid w:val="006D6593"/>
    <w:rsid w:val="006E23EA"/>
    <w:rsid w:val="006F03A8"/>
    <w:rsid w:val="006F2ACA"/>
    <w:rsid w:val="006F2ADC"/>
    <w:rsid w:val="006F2BFE"/>
    <w:rsid w:val="006F31E9"/>
    <w:rsid w:val="006F6284"/>
    <w:rsid w:val="007002C5"/>
    <w:rsid w:val="00704387"/>
    <w:rsid w:val="00707669"/>
    <w:rsid w:val="00711CBA"/>
    <w:rsid w:val="00711FB5"/>
    <w:rsid w:val="00712A01"/>
    <w:rsid w:val="00714F58"/>
    <w:rsid w:val="00722FBF"/>
    <w:rsid w:val="00722FC2"/>
    <w:rsid w:val="00724879"/>
    <w:rsid w:val="00724E1B"/>
    <w:rsid w:val="00725949"/>
    <w:rsid w:val="00727FA2"/>
    <w:rsid w:val="00731934"/>
    <w:rsid w:val="007322D9"/>
    <w:rsid w:val="00732BC0"/>
    <w:rsid w:val="0073720F"/>
    <w:rsid w:val="00737796"/>
    <w:rsid w:val="0074165C"/>
    <w:rsid w:val="00742C35"/>
    <w:rsid w:val="007432CA"/>
    <w:rsid w:val="007439EB"/>
    <w:rsid w:val="00743CB4"/>
    <w:rsid w:val="00743F0A"/>
    <w:rsid w:val="007444E8"/>
    <w:rsid w:val="0074548E"/>
    <w:rsid w:val="00745773"/>
    <w:rsid w:val="00746800"/>
    <w:rsid w:val="007501A8"/>
    <w:rsid w:val="00750D61"/>
    <w:rsid w:val="00750EE1"/>
    <w:rsid w:val="00752B4D"/>
    <w:rsid w:val="00755402"/>
    <w:rsid w:val="00756B26"/>
    <w:rsid w:val="00756EDF"/>
    <w:rsid w:val="007600E3"/>
    <w:rsid w:val="00761222"/>
    <w:rsid w:val="00765C43"/>
    <w:rsid w:val="00765EFB"/>
    <w:rsid w:val="007671CA"/>
    <w:rsid w:val="00767C61"/>
    <w:rsid w:val="0077008A"/>
    <w:rsid w:val="0077130C"/>
    <w:rsid w:val="00773841"/>
    <w:rsid w:val="00773C1F"/>
    <w:rsid w:val="00774DA4"/>
    <w:rsid w:val="00776599"/>
    <w:rsid w:val="0078114B"/>
    <w:rsid w:val="00781DD2"/>
    <w:rsid w:val="00783ECF"/>
    <w:rsid w:val="0078413A"/>
    <w:rsid w:val="00786C8B"/>
    <w:rsid w:val="00790A2D"/>
    <w:rsid w:val="007959E8"/>
    <w:rsid w:val="00795E9C"/>
    <w:rsid w:val="007A0521"/>
    <w:rsid w:val="007A2E12"/>
    <w:rsid w:val="007A3475"/>
    <w:rsid w:val="007A41C8"/>
    <w:rsid w:val="007A41D6"/>
    <w:rsid w:val="007A54CE"/>
    <w:rsid w:val="007A6FD9"/>
    <w:rsid w:val="007A7FFA"/>
    <w:rsid w:val="007B04EB"/>
    <w:rsid w:val="007B0D4F"/>
    <w:rsid w:val="007B5A3D"/>
    <w:rsid w:val="007B5B95"/>
    <w:rsid w:val="007B68EA"/>
    <w:rsid w:val="007B7453"/>
    <w:rsid w:val="007C1E8B"/>
    <w:rsid w:val="007C2D89"/>
    <w:rsid w:val="007C4593"/>
    <w:rsid w:val="007C5309"/>
    <w:rsid w:val="007C6069"/>
    <w:rsid w:val="007D06C4"/>
    <w:rsid w:val="007D1352"/>
    <w:rsid w:val="007D2508"/>
    <w:rsid w:val="007D346A"/>
    <w:rsid w:val="007D6518"/>
    <w:rsid w:val="007D76BD"/>
    <w:rsid w:val="007E0BF1"/>
    <w:rsid w:val="007F0ED8"/>
    <w:rsid w:val="007F0F63"/>
    <w:rsid w:val="007F75CE"/>
    <w:rsid w:val="008013A4"/>
    <w:rsid w:val="008027CE"/>
    <w:rsid w:val="00802F42"/>
    <w:rsid w:val="00804383"/>
    <w:rsid w:val="00804BB7"/>
    <w:rsid w:val="00804D41"/>
    <w:rsid w:val="00810257"/>
    <w:rsid w:val="008104F5"/>
    <w:rsid w:val="00811072"/>
    <w:rsid w:val="00811369"/>
    <w:rsid w:val="00815419"/>
    <w:rsid w:val="008163C8"/>
    <w:rsid w:val="008164A1"/>
    <w:rsid w:val="00817325"/>
    <w:rsid w:val="008209E6"/>
    <w:rsid w:val="008218F6"/>
    <w:rsid w:val="00823303"/>
    <w:rsid w:val="008233B2"/>
    <w:rsid w:val="00823A9F"/>
    <w:rsid w:val="00823C85"/>
    <w:rsid w:val="00823F88"/>
    <w:rsid w:val="008249F8"/>
    <w:rsid w:val="00825138"/>
    <w:rsid w:val="008269DD"/>
    <w:rsid w:val="00830621"/>
    <w:rsid w:val="0083348C"/>
    <w:rsid w:val="008373D3"/>
    <w:rsid w:val="00840617"/>
    <w:rsid w:val="00840F84"/>
    <w:rsid w:val="00842A47"/>
    <w:rsid w:val="00843C13"/>
    <w:rsid w:val="008454F8"/>
    <w:rsid w:val="0085173A"/>
    <w:rsid w:val="008529C6"/>
    <w:rsid w:val="00856316"/>
    <w:rsid w:val="008603CE"/>
    <w:rsid w:val="008620FC"/>
    <w:rsid w:val="008627A5"/>
    <w:rsid w:val="00863E05"/>
    <w:rsid w:val="00864301"/>
    <w:rsid w:val="00865ACA"/>
    <w:rsid w:val="00865D28"/>
    <w:rsid w:val="00865F85"/>
    <w:rsid w:val="00867C10"/>
    <w:rsid w:val="00870439"/>
    <w:rsid w:val="00870DA1"/>
    <w:rsid w:val="008736C9"/>
    <w:rsid w:val="00877595"/>
    <w:rsid w:val="00883F93"/>
    <w:rsid w:val="00884DB3"/>
    <w:rsid w:val="00885A9D"/>
    <w:rsid w:val="008864F6"/>
    <w:rsid w:val="0089049D"/>
    <w:rsid w:val="00890FE6"/>
    <w:rsid w:val="008928C9"/>
    <w:rsid w:val="008930CB"/>
    <w:rsid w:val="008938DC"/>
    <w:rsid w:val="00893FD1"/>
    <w:rsid w:val="00894836"/>
    <w:rsid w:val="00895172"/>
    <w:rsid w:val="00895680"/>
    <w:rsid w:val="00896DFF"/>
    <w:rsid w:val="0089762C"/>
    <w:rsid w:val="008A1893"/>
    <w:rsid w:val="008A3215"/>
    <w:rsid w:val="008A57E6"/>
    <w:rsid w:val="008A6F81"/>
    <w:rsid w:val="008A769A"/>
    <w:rsid w:val="008B0C9C"/>
    <w:rsid w:val="008B166D"/>
    <w:rsid w:val="008B17F4"/>
    <w:rsid w:val="008B3615"/>
    <w:rsid w:val="008B4AC4"/>
    <w:rsid w:val="008B50C8"/>
    <w:rsid w:val="008B5281"/>
    <w:rsid w:val="008B7E05"/>
    <w:rsid w:val="008C1797"/>
    <w:rsid w:val="008C219C"/>
    <w:rsid w:val="008C475E"/>
    <w:rsid w:val="008C619A"/>
    <w:rsid w:val="008D0CE8"/>
    <w:rsid w:val="008D15E9"/>
    <w:rsid w:val="008D2D1D"/>
    <w:rsid w:val="008D3A61"/>
    <w:rsid w:val="008D453D"/>
    <w:rsid w:val="008D53AD"/>
    <w:rsid w:val="008D562B"/>
    <w:rsid w:val="008D5733"/>
    <w:rsid w:val="008D622B"/>
    <w:rsid w:val="008D666C"/>
    <w:rsid w:val="008D7B54"/>
    <w:rsid w:val="008E0957"/>
    <w:rsid w:val="008E0C9D"/>
    <w:rsid w:val="008E1648"/>
    <w:rsid w:val="008E1B3E"/>
    <w:rsid w:val="008E2319"/>
    <w:rsid w:val="008E4BB6"/>
    <w:rsid w:val="008E5518"/>
    <w:rsid w:val="008E6A84"/>
    <w:rsid w:val="008F0CDC"/>
    <w:rsid w:val="008F17A3"/>
    <w:rsid w:val="008F1ED3"/>
    <w:rsid w:val="008F23A5"/>
    <w:rsid w:val="008F4C29"/>
    <w:rsid w:val="008F70BD"/>
    <w:rsid w:val="008F788F"/>
    <w:rsid w:val="008F7EA2"/>
    <w:rsid w:val="00902722"/>
    <w:rsid w:val="009027BC"/>
    <w:rsid w:val="00902A98"/>
    <w:rsid w:val="00905AC2"/>
    <w:rsid w:val="009062E6"/>
    <w:rsid w:val="00911BE5"/>
    <w:rsid w:val="00913CA9"/>
    <w:rsid w:val="009145AE"/>
    <w:rsid w:val="009146CE"/>
    <w:rsid w:val="00914CA7"/>
    <w:rsid w:val="00915C3E"/>
    <w:rsid w:val="009161A8"/>
    <w:rsid w:val="009245F5"/>
    <w:rsid w:val="009249EC"/>
    <w:rsid w:val="009273B3"/>
    <w:rsid w:val="009305B5"/>
    <w:rsid w:val="009429D5"/>
    <w:rsid w:val="00942BF1"/>
    <w:rsid w:val="00945180"/>
    <w:rsid w:val="00945428"/>
    <w:rsid w:val="0094607B"/>
    <w:rsid w:val="00952DCB"/>
    <w:rsid w:val="00953604"/>
    <w:rsid w:val="0095496B"/>
    <w:rsid w:val="00957263"/>
    <w:rsid w:val="009610DC"/>
    <w:rsid w:val="00961490"/>
    <w:rsid w:val="0096381A"/>
    <w:rsid w:val="00965E04"/>
    <w:rsid w:val="009674AD"/>
    <w:rsid w:val="00970CDC"/>
    <w:rsid w:val="00977010"/>
    <w:rsid w:val="00977D02"/>
    <w:rsid w:val="009809BB"/>
    <w:rsid w:val="0098364B"/>
    <w:rsid w:val="0098377D"/>
    <w:rsid w:val="009911AF"/>
    <w:rsid w:val="00991875"/>
    <w:rsid w:val="00991F92"/>
    <w:rsid w:val="00992985"/>
    <w:rsid w:val="00993889"/>
    <w:rsid w:val="0099551B"/>
    <w:rsid w:val="00997BF1"/>
    <w:rsid w:val="009A089C"/>
    <w:rsid w:val="009A09BD"/>
    <w:rsid w:val="009A118E"/>
    <w:rsid w:val="009A21CD"/>
    <w:rsid w:val="009A278C"/>
    <w:rsid w:val="009A2BC2"/>
    <w:rsid w:val="009A42C1"/>
    <w:rsid w:val="009A5429"/>
    <w:rsid w:val="009A72AD"/>
    <w:rsid w:val="009B09E0"/>
    <w:rsid w:val="009B0BC5"/>
    <w:rsid w:val="009B1247"/>
    <w:rsid w:val="009B6029"/>
    <w:rsid w:val="009B6971"/>
    <w:rsid w:val="009C27F1"/>
    <w:rsid w:val="009C3152"/>
    <w:rsid w:val="009C4CFA"/>
    <w:rsid w:val="009C5070"/>
    <w:rsid w:val="009D112C"/>
    <w:rsid w:val="009D47FA"/>
    <w:rsid w:val="009D4C5B"/>
    <w:rsid w:val="009D50D2"/>
    <w:rsid w:val="009D670F"/>
    <w:rsid w:val="009D6BCA"/>
    <w:rsid w:val="009E0F62"/>
    <w:rsid w:val="009E4A58"/>
    <w:rsid w:val="009E5A2D"/>
    <w:rsid w:val="009E5AB2"/>
    <w:rsid w:val="009E6219"/>
    <w:rsid w:val="009F03B3"/>
    <w:rsid w:val="00A0096C"/>
    <w:rsid w:val="00A01757"/>
    <w:rsid w:val="00A028C0"/>
    <w:rsid w:val="00A02BAE"/>
    <w:rsid w:val="00A06A6B"/>
    <w:rsid w:val="00A07E47"/>
    <w:rsid w:val="00A129D0"/>
    <w:rsid w:val="00A12C33"/>
    <w:rsid w:val="00A138BA"/>
    <w:rsid w:val="00A14C8E"/>
    <w:rsid w:val="00A153D9"/>
    <w:rsid w:val="00A15F09"/>
    <w:rsid w:val="00A169B6"/>
    <w:rsid w:val="00A2271D"/>
    <w:rsid w:val="00A237D5"/>
    <w:rsid w:val="00A30EFC"/>
    <w:rsid w:val="00A31984"/>
    <w:rsid w:val="00A32D73"/>
    <w:rsid w:val="00A3367B"/>
    <w:rsid w:val="00A3492A"/>
    <w:rsid w:val="00A3597D"/>
    <w:rsid w:val="00A36DD1"/>
    <w:rsid w:val="00A4006C"/>
    <w:rsid w:val="00A40091"/>
    <w:rsid w:val="00A4030F"/>
    <w:rsid w:val="00A41C79"/>
    <w:rsid w:val="00A41CB5"/>
    <w:rsid w:val="00A42CDF"/>
    <w:rsid w:val="00A4452E"/>
    <w:rsid w:val="00A4472C"/>
    <w:rsid w:val="00A44E69"/>
    <w:rsid w:val="00A4661E"/>
    <w:rsid w:val="00A55BD6"/>
    <w:rsid w:val="00A55D50"/>
    <w:rsid w:val="00A57142"/>
    <w:rsid w:val="00A629C3"/>
    <w:rsid w:val="00A632CB"/>
    <w:rsid w:val="00A648CD"/>
    <w:rsid w:val="00A6537A"/>
    <w:rsid w:val="00A67866"/>
    <w:rsid w:val="00A67E15"/>
    <w:rsid w:val="00A70B07"/>
    <w:rsid w:val="00A723F8"/>
    <w:rsid w:val="00A77CCB"/>
    <w:rsid w:val="00A83D8D"/>
    <w:rsid w:val="00A8446B"/>
    <w:rsid w:val="00A8473F"/>
    <w:rsid w:val="00A862D6"/>
    <w:rsid w:val="00A8715E"/>
    <w:rsid w:val="00A9295B"/>
    <w:rsid w:val="00A93B09"/>
    <w:rsid w:val="00A94247"/>
    <w:rsid w:val="00A952D7"/>
    <w:rsid w:val="00A963F7"/>
    <w:rsid w:val="00A96AD8"/>
    <w:rsid w:val="00AA052C"/>
    <w:rsid w:val="00AA1E45"/>
    <w:rsid w:val="00AA4286"/>
    <w:rsid w:val="00AA456B"/>
    <w:rsid w:val="00AA57F5"/>
    <w:rsid w:val="00AA672E"/>
    <w:rsid w:val="00AA6EC9"/>
    <w:rsid w:val="00AB41D5"/>
    <w:rsid w:val="00AB6309"/>
    <w:rsid w:val="00AB6C5F"/>
    <w:rsid w:val="00AB7129"/>
    <w:rsid w:val="00AC27A6"/>
    <w:rsid w:val="00AC30F7"/>
    <w:rsid w:val="00AC3A5A"/>
    <w:rsid w:val="00AC4D95"/>
    <w:rsid w:val="00AC5DF4"/>
    <w:rsid w:val="00AD0AEF"/>
    <w:rsid w:val="00AD11B7"/>
    <w:rsid w:val="00AD1A94"/>
    <w:rsid w:val="00AD1C05"/>
    <w:rsid w:val="00AD4126"/>
    <w:rsid w:val="00AD421C"/>
    <w:rsid w:val="00AD44FA"/>
    <w:rsid w:val="00AE070A"/>
    <w:rsid w:val="00AE101C"/>
    <w:rsid w:val="00AE37E5"/>
    <w:rsid w:val="00AE5EB4"/>
    <w:rsid w:val="00AF0C18"/>
    <w:rsid w:val="00AF47C5"/>
    <w:rsid w:val="00AF5398"/>
    <w:rsid w:val="00B049AF"/>
    <w:rsid w:val="00B07242"/>
    <w:rsid w:val="00B10534"/>
    <w:rsid w:val="00B113DB"/>
    <w:rsid w:val="00B11D8A"/>
    <w:rsid w:val="00B12981"/>
    <w:rsid w:val="00B147DD"/>
    <w:rsid w:val="00B156FD"/>
    <w:rsid w:val="00B21F61"/>
    <w:rsid w:val="00B261F1"/>
    <w:rsid w:val="00B265BC"/>
    <w:rsid w:val="00B31FB1"/>
    <w:rsid w:val="00B33952"/>
    <w:rsid w:val="00B33C5E"/>
    <w:rsid w:val="00B342F4"/>
    <w:rsid w:val="00B34369"/>
    <w:rsid w:val="00B34DC2"/>
    <w:rsid w:val="00B378E5"/>
    <w:rsid w:val="00B41C83"/>
    <w:rsid w:val="00B4346D"/>
    <w:rsid w:val="00B440F4"/>
    <w:rsid w:val="00B447A5"/>
    <w:rsid w:val="00B4654C"/>
    <w:rsid w:val="00B47293"/>
    <w:rsid w:val="00B4775B"/>
    <w:rsid w:val="00B50E50"/>
    <w:rsid w:val="00B52120"/>
    <w:rsid w:val="00B52CBE"/>
    <w:rsid w:val="00B54ABC"/>
    <w:rsid w:val="00B54DDE"/>
    <w:rsid w:val="00B56FBE"/>
    <w:rsid w:val="00B60ACF"/>
    <w:rsid w:val="00B62B58"/>
    <w:rsid w:val="00B65149"/>
    <w:rsid w:val="00B66567"/>
    <w:rsid w:val="00B66F52"/>
    <w:rsid w:val="00B66FE5"/>
    <w:rsid w:val="00B67A08"/>
    <w:rsid w:val="00B72833"/>
    <w:rsid w:val="00B72880"/>
    <w:rsid w:val="00B758BF"/>
    <w:rsid w:val="00B77EC8"/>
    <w:rsid w:val="00B827A6"/>
    <w:rsid w:val="00B831CE"/>
    <w:rsid w:val="00B86677"/>
    <w:rsid w:val="00B87131"/>
    <w:rsid w:val="00B939B1"/>
    <w:rsid w:val="00B96D40"/>
    <w:rsid w:val="00B97386"/>
    <w:rsid w:val="00BA263B"/>
    <w:rsid w:val="00BA42B2"/>
    <w:rsid w:val="00BA58D4"/>
    <w:rsid w:val="00BA5B9E"/>
    <w:rsid w:val="00BA7C9A"/>
    <w:rsid w:val="00BB5F8F"/>
    <w:rsid w:val="00BB657A"/>
    <w:rsid w:val="00BC1A4E"/>
    <w:rsid w:val="00BC5DC7"/>
    <w:rsid w:val="00BC6B8B"/>
    <w:rsid w:val="00BC73D8"/>
    <w:rsid w:val="00BD52D7"/>
    <w:rsid w:val="00BD5AD2"/>
    <w:rsid w:val="00BE22F3"/>
    <w:rsid w:val="00BE5B52"/>
    <w:rsid w:val="00BE7B8D"/>
    <w:rsid w:val="00BF0993"/>
    <w:rsid w:val="00BF10A9"/>
    <w:rsid w:val="00BF1703"/>
    <w:rsid w:val="00BF231C"/>
    <w:rsid w:val="00BF3400"/>
    <w:rsid w:val="00BF51E5"/>
    <w:rsid w:val="00BF74A6"/>
    <w:rsid w:val="00C013AD"/>
    <w:rsid w:val="00C040E4"/>
    <w:rsid w:val="00C04904"/>
    <w:rsid w:val="00C056B3"/>
    <w:rsid w:val="00C103E5"/>
    <w:rsid w:val="00C13319"/>
    <w:rsid w:val="00C13EE9"/>
    <w:rsid w:val="00C17157"/>
    <w:rsid w:val="00C21540"/>
    <w:rsid w:val="00C21906"/>
    <w:rsid w:val="00C21BFA"/>
    <w:rsid w:val="00C22148"/>
    <w:rsid w:val="00C24C8D"/>
    <w:rsid w:val="00C25FE2"/>
    <w:rsid w:val="00C26B53"/>
    <w:rsid w:val="00C279B2"/>
    <w:rsid w:val="00C33E50"/>
    <w:rsid w:val="00C34C20"/>
    <w:rsid w:val="00C35A3E"/>
    <w:rsid w:val="00C41A1B"/>
    <w:rsid w:val="00C42130"/>
    <w:rsid w:val="00C423A4"/>
    <w:rsid w:val="00C44BF5"/>
    <w:rsid w:val="00C45FF4"/>
    <w:rsid w:val="00C521D6"/>
    <w:rsid w:val="00C55232"/>
    <w:rsid w:val="00C553A4"/>
    <w:rsid w:val="00C55A06"/>
    <w:rsid w:val="00C55D03"/>
    <w:rsid w:val="00C601BC"/>
    <w:rsid w:val="00C6329F"/>
    <w:rsid w:val="00C63340"/>
    <w:rsid w:val="00C643F9"/>
    <w:rsid w:val="00C64E95"/>
    <w:rsid w:val="00C71372"/>
    <w:rsid w:val="00C72410"/>
    <w:rsid w:val="00C7287F"/>
    <w:rsid w:val="00C7322F"/>
    <w:rsid w:val="00C80CB8"/>
    <w:rsid w:val="00C819F8"/>
    <w:rsid w:val="00C8248C"/>
    <w:rsid w:val="00C84E33"/>
    <w:rsid w:val="00C86D6F"/>
    <w:rsid w:val="00C905FC"/>
    <w:rsid w:val="00C92D03"/>
    <w:rsid w:val="00C9319C"/>
    <w:rsid w:val="00C9435D"/>
    <w:rsid w:val="00C94DF2"/>
    <w:rsid w:val="00C96741"/>
    <w:rsid w:val="00CA2D1B"/>
    <w:rsid w:val="00CA375D"/>
    <w:rsid w:val="00CA662A"/>
    <w:rsid w:val="00CA6A5B"/>
    <w:rsid w:val="00CA6E53"/>
    <w:rsid w:val="00CA7AFD"/>
    <w:rsid w:val="00CA7C3C"/>
    <w:rsid w:val="00CB0189"/>
    <w:rsid w:val="00CB0BA2"/>
    <w:rsid w:val="00CB1A42"/>
    <w:rsid w:val="00CB1B0C"/>
    <w:rsid w:val="00CB2C0B"/>
    <w:rsid w:val="00CB517D"/>
    <w:rsid w:val="00CC038D"/>
    <w:rsid w:val="00CC08DB"/>
    <w:rsid w:val="00CC39FF"/>
    <w:rsid w:val="00CC3C2F"/>
    <w:rsid w:val="00CC4AC8"/>
    <w:rsid w:val="00CC5233"/>
    <w:rsid w:val="00CC5DE6"/>
    <w:rsid w:val="00CC68BF"/>
    <w:rsid w:val="00CC6E4E"/>
    <w:rsid w:val="00CC6FE8"/>
    <w:rsid w:val="00CC7202"/>
    <w:rsid w:val="00CD2808"/>
    <w:rsid w:val="00CD28BF"/>
    <w:rsid w:val="00CD4092"/>
    <w:rsid w:val="00CD4A20"/>
    <w:rsid w:val="00CD50A1"/>
    <w:rsid w:val="00CD519E"/>
    <w:rsid w:val="00CD7C9A"/>
    <w:rsid w:val="00CE0C4F"/>
    <w:rsid w:val="00CE30EA"/>
    <w:rsid w:val="00CF048A"/>
    <w:rsid w:val="00CF155A"/>
    <w:rsid w:val="00CF2947"/>
    <w:rsid w:val="00CF686F"/>
    <w:rsid w:val="00CF6E60"/>
    <w:rsid w:val="00CF7BCA"/>
    <w:rsid w:val="00D008FD"/>
    <w:rsid w:val="00D0321C"/>
    <w:rsid w:val="00D035EC"/>
    <w:rsid w:val="00D06AB1"/>
    <w:rsid w:val="00D072ED"/>
    <w:rsid w:val="00D07A16"/>
    <w:rsid w:val="00D1067E"/>
    <w:rsid w:val="00D10F50"/>
    <w:rsid w:val="00D11272"/>
    <w:rsid w:val="00D126F5"/>
    <w:rsid w:val="00D1489E"/>
    <w:rsid w:val="00D20737"/>
    <w:rsid w:val="00D21E81"/>
    <w:rsid w:val="00D223DE"/>
    <w:rsid w:val="00D25E37"/>
    <w:rsid w:val="00D2661A"/>
    <w:rsid w:val="00D27582"/>
    <w:rsid w:val="00D27EC4"/>
    <w:rsid w:val="00D32719"/>
    <w:rsid w:val="00D33333"/>
    <w:rsid w:val="00D33457"/>
    <w:rsid w:val="00D352A2"/>
    <w:rsid w:val="00D4162B"/>
    <w:rsid w:val="00D4514F"/>
    <w:rsid w:val="00D451E2"/>
    <w:rsid w:val="00D45E89"/>
    <w:rsid w:val="00D45E8D"/>
    <w:rsid w:val="00D466AE"/>
    <w:rsid w:val="00D4734F"/>
    <w:rsid w:val="00D51BF3"/>
    <w:rsid w:val="00D66846"/>
    <w:rsid w:val="00D66865"/>
    <w:rsid w:val="00D675FB"/>
    <w:rsid w:val="00D71F25"/>
    <w:rsid w:val="00D72A9C"/>
    <w:rsid w:val="00D77031"/>
    <w:rsid w:val="00D84941"/>
    <w:rsid w:val="00D84FA1"/>
    <w:rsid w:val="00D851F0"/>
    <w:rsid w:val="00D86DB7"/>
    <w:rsid w:val="00D926D0"/>
    <w:rsid w:val="00D93030"/>
    <w:rsid w:val="00D950E1"/>
    <w:rsid w:val="00D952A6"/>
    <w:rsid w:val="00D97F99"/>
    <w:rsid w:val="00DA1E08"/>
    <w:rsid w:val="00DA24F8"/>
    <w:rsid w:val="00DA28E8"/>
    <w:rsid w:val="00DA38D3"/>
    <w:rsid w:val="00DA3932"/>
    <w:rsid w:val="00DA3AFC"/>
    <w:rsid w:val="00DA64F8"/>
    <w:rsid w:val="00DA6C15"/>
    <w:rsid w:val="00DB0258"/>
    <w:rsid w:val="00DB16E1"/>
    <w:rsid w:val="00DB38EE"/>
    <w:rsid w:val="00DB498B"/>
    <w:rsid w:val="00DB66CA"/>
    <w:rsid w:val="00DB6BCA"/>
    <w:rsid w:val="00DB73F7"/>
    <w:rsid w:val="00DC0321"/>
    <w:rsid w:val="00DC23ED"/>
    <w:rsid w:val="00DC3067"/>
    <w:rsid w:val="00DC370B"/>
    <w:rsid w:val="00DC5B90"/>
    <w:rsid w:val="00DC5C19"/>
    <w:rsid w:val="00DD00FF"/>
    <w:rsid w:val="00DD0619"/>
    <w:rsid w:val="00DD07FB"/>
    <w:rsid w:val="00DD2114"/>
    <w:rsid w:val="00DD25C6"/>
    <w:rsid w:val="00DD4FE5"/>
    <w:rsid w:val="00DD54B0"/>
    <w:rsid w:val="00DD57EE"/>
    <w:rsid w:val="00DD6BCC"/>
    <w:rsid w:val="00DE0A4B"/>
    <w:rsid w:val="00DE2410"/>
    <w:rsid w:val="00DE2939"/>
    <w:rsid w:val="00DE6E81"/>
    <w:rsid w:val="00DE703F"/>
    <w:rsid w:val="00DE7595"/>
    <w:rsid w:val="00DF1961"/>
    <w:rsid w:val="00DF44DE"/>
    <w:rsid w:val="00DF5F11"/>
    <w:rsid w:val="00E01138"/>
    <w:rsid w:val="00E02DFB"/>
    <w:rsid w:val="00E030F9"/>
    <w:rsid w:val="00E0311A"/>
    <w:rsid w:val="00E03138"/>
    <w:rsid w:val="00E06404"/>
    <w:rsid w:val="00E11A85"/>
    <w:rsid w:val="00E12495"/>
    <w:rsid w:val="00E15CCD"/>
    <w:rsid w:val="00E202EF"/>
    <w:rsid w:val="00E210B5"/>
    <w:rsid w:val="00E23D99"/>
    <w:rsid w:val="00E2552F"/>
    <w:rsid w:val="00E27934"/>
    <w:rsid w:val="00E3137A"/>
    <w:rsid w:val="00E32CCF"/>
    <w:rsid w:val="00E34A98"/>
    <w:rsid w:val="00E35D1E"/>
    <w:rsid w:val="00E364F9"/>
    <w:rsid w:val="00E365FA"/>
    <w:rsid w:val="00E36789"/>
    <w:rsid w:val="00E44A83"/>
    <w:rsid w:val="00E502C1"/>
    <w:rsid w:val="00E502DD"/>
    <w:rsid w:val="00E50D3A"/>
    <w:rsid w:val="00E51387"/>
    <w:rsid w:val="00E51E68"/>
    <w:rsid w:val="00E52EFD"/>
    <w:rsid w:val="00E5408A"/>
    <w:rsid w:val="00E56800"/>
    <w:rsid w:val="00E60C63"/>
    <w:rsid w:val="00E62FF9"/>
    <w:rsid w:val="00E635D6"/>
    <w:rsid w:val="00E639BC"/>
    <w:rsid w:val="00E664CC"/>
    <w:rsid w:val="00E70388"/>
    <w:rsid w:val="00E70F92"/>
    <w:rsid w:val="00E74C54"/>
    <w:rsid w:val="00E77A03"/>
    <w:rsid w:val="00E822E8"/>
    <w:rsid w:val="00E82554"/>
    <w:rsid w:val="00E82606"/>
    <w:rsid w:val="00E846C8"/>
    <w:rsid w:val="00E84957"/>
    <w:rsid w:val="00E84A55"/>
    <w:rsid w:val="00E85BFF"/>
    <w:rsid w:val="00E90391"/>
    <w:rsid w:val="00E906C2"/>
    <w:rsid w:val="00E9311F"/>
    <w:rsid w:val="00E934D1"/>
    <w:rsid w:val="00E94AF0"/>
    <w:rsid w:val="00E95D13"/>
    <w:rsid w:val="00E95DD3"/>
    <w:rsid w:val="00E969D5"/>
    <w:rsid w:val="00EA58D1"/>
    <w:rsid w:val="00EA61BC"/>
    <w:rsid w:val="00EA664B"/>
    <w:rsid w:val="00EA681A"/>
    <w:rsid w:val="00EA735B"/>
    <w:rsid w:val="00EA77F0"/>
    <w:rsid w:val="00EB17DE"/>
    <w:rsid w:val="00EB1E69"/>
    <w:rsid w:val="00EB2086"/>
    <w:rsid w:val="00EB5EDF"/>
    <w:rsid w:val="00EB60FE"/>
    <w:rsid w:val="00EB74DB"/>
    <w:rsid w:val="00EC5359"/>
    <w:rsid w:val="00EC562A"/>
    <w:rsid w:val="00ED03BA"/>
    <w:rsid w:val="00ED067A"/>
    <w:rsid w:val="00ED2B50"/>
    <w:rsid w:val="00EE0350"/>
    <w:rsid w:val="00EE0719"/>
    <w:rsid w:val="00EE0E80"/>
    <w:rsid w:val="00EE54A6"/>
    <w:rsid w:val="00EE613F"/>
    <w:rsid w:val="00EE7295"/>
    <w:rsid w:val="00EE7869"/>
    <w:rsid w:val="00EF054A"/>
    <w:rsid w:val="00EF2D19"/>
    <w:rsid w:val="00EF3235"/>
    <w:rsid w:val="00EF7E72"/>
    <w:rsid w:val="00F02A97"/>
    <w:rsid w:val="00F04EED"/>
    <w:rsid w:val="00F06D37"/>
    <w:rsid w:val="00F07B9D"/>
    <w:rsid w:val="00F11586"/>
    <w:rsid w:val="00F1183B"/>
    <w:rsid w:val="00F11C9F"/>
    <w:rsid w:val="00F120DF"/>
    <w:rsid w:val="00F12263"/>
    <w:rsid w:val="00F1409D"/>
    <w:rsid w:val="00F14214"/>
    <w:rsid w:val="00F157A9"/>
    <w:rsid w:val="00F25BB6"/>
    <w:rsid w:val="00F26B7E"/>
    <w:rsid w:val="00F27A3B"/>
    <w:rsid w:val="00F33817"/>
    <w:rsid w:val="00F420D5"/>
    <w:rsid w:val="00F451EA"/>
    <w:rsid w:val="00F45447"/>
    <w:rsid w:val="00F456C6"/>
    <w:rsid w:val="00F4577B"/>
    <w:rsid w:val="00F46496"/>
    <w:rsid w:val="00F474D0"/>
    <w:rsid w:val="00F50179"/>
    <w:rsid w:val="00F515EE"/>
    <w:rsid w:val="00F56511"/>
    <w:rsid w:val="00F616B3"/>
    <w:rsid w:val="00F6194E"/>
    <w:rsid w:val="00F623AC"/>
    <w:rsid w:val="00F6412A"/>
    <w:rsid w:val="00F65893"/>
    <w:rsid w:val="00F659BC"/>
    <w:rsid w:val="00F66A4A"/>
    <w:rsid w:val="00F71E22"/>
    <w:rsid w:val="00F72142"/>
    <w:rsid w:val="00F72AE7"/>
    <w:rsid w:val="00F81141"/>
    <w:rsid w:val="00F833BA"/>
    <w:rsid w:val="00F84FD0"/>
    <w:rsid w:val="00F859A8"/>
    <w:rsid w:val="00F86D87"/>
    <w:rsid w:val="00F9108B"/>
    <w:rsid w:val="00F91349"/>
    <w:rsid w:val="00F93A8A"/>
    <w:rsid w:val="00F95248"/>
    <w:rsid w:val="00F956A9"/>
    <w:rsid w:val="00F963ED"/>
    <w:rsid w:val="00F966CF"/>
    <w:rsid w:val="00F96CAE"/>
    <w:rsid w:val="00F97C99"/>
    <w:rsid w:val="00FA4BCD"/>
    <w:rsid w:val="00FA4DAC"/>
    <w:rsid w:val="00FA662D"/>
    <w:rsid w:val="00FA73B1"/>
    <w:rsid w:val="00FB0CB9"/>
    <w:rsid w:val="00FB231D"/>
    <w:rsid w:val="00FB309C"/>
    <w:rsid w:val="00FB45F1"/>
    <w:rsid w:val="00FB4A72"/>
    <w:rsid w:val="00FB54E8"/>
    <w:rsid w:val="00FB7054"/>
    <w:rsid w:val="00FC17B7"/>
    <w:rsid w:val="00FC2CB7"/>
    <w:rsid w:val="00FC4090"/>
    <w:rsid w:val="00FC55B4"/>
    <w:rsid w:val="00FD00E6"/>
    <w:rsid w:val="00FD09A1"/>
    <w:rsid w:val="00FD2A7C"/>
    <w:rsid w:val="00FD59EB"/>
    <w:rsid w:val="00FD7299"/>
    <w:rsid w:val="00FE1FBE"/>
    <w:rsid w:val="00FE3901"/>
    <w:rsid w:val="00FE39D3"/>
    <w:rsid w:val="00FE4BCE"/>
    <w:rsid w:val="00FE54AE"/>
    <w:rsid w:val="00FE576A"/>
    <w:rsid w:val="00FE7E79"/>
    <w:rsid w:val="00FF3E7D"/>
    <w:rsid w:val="00FF5B99"/>
    <w:rsid w:val="00FF730C"/>
    <w:rsid w:val="00FF73F4"/>
    <w:rsid w:val="00FF7CE4"/>
    <w:rsid w:val="00FF7E39"/>
    <w:rsid w:val="028F1796"/>
    <w:rsid w:val="034D49E9"/>
    <w:rsid w:val="03D625F8"/>
    <w:rsid w:val="07C10963"/>
    <w:rsid w:val="0B2C7F13"/>
    <w:rsid w:val="0C827463"/>
    <w:rsid w:val="0E085575"/>
    <w:rsid w:val="0E737415"/>
    <w:rsid w:val="0E7B17A6"/>
    <w:rsid w:val="0F470607"/>
    <w:rsid w:val="0F56503F"/>
    <w:rsid w:val="0F6C5810"/>
    <w:rsid w:val="0F8802BC"/>
    <w:rsid w:val="100F3B6B"/>
    <w:rsid w:val="1020644D"/>
    <w:rsid w:val="112F78F5"/>
    <w:rsid w:val="130B0D61"/>
    <w:rsid w:val="199A05EC"/>
    <w:rsid w:val="1A0314E0"/>
    <w:rsid w:val="1DAF372F"/>
    <w:rsid w:val="1F6B68E4"/>
    <w:rsid w:val="2063350A"/>
    <w:rsid w:val="20D63A66"/>
    <w:rsid w:val="210D4159"/>
    <w:rsid w:val="221E6AC9"/>
    <w:rsid w:val="2268676A"/>
    <w:rsid w:val="22880EF6"/>
    <w:rsid w:val="22EB63D6"/>
    <w:rsid w:val="25F85253"/>
    <w:rsid w:val="29BA7293"/>
    <w:rsid w:val="2A2606C1"/>
    <w:rsid w:val="2A8B468A"/>
    <w:rsid w:val="2AB5795A"/>
    <w:rsid w:val="33D86889"/>
    <w:rsid w:val="35E02ECA"/>
    <w:rsid w:val="36522A4A"/>
    <w:rsid w:val="38CA6DC7"/>
    <w:rsid w:val="3AD10DE3"/>
    <w:rsid w:val="3C5B60FB"/>
    <w:rsid w:val="3CBE2405"/>
    <w:rsid w:val="3D1C760D"/>
    <w:rsid w:val="3ED80188"/>
    <w:rsid w:val="3EDA2A4D"/>
    <w:rsid w:val="400E2C48"/>
    <w:rsid w:val="412D2C8C"/>
    <w:rsid w:val="41E00614"/>
    <w:rsid w:val="424855C0"/>
    <w:rsid w:val="428216CB"/>
    <w:rsid w:val="43213118"/>
    <w:rsid w:val="4341452D"/>
    <w:rsid w:val="437857EB"/>
    <w:rsid w:val="45B44C98"/>
    <w:rsid w:val="485529FB"/>
    <w:rsid w:val="49F01366"/>
    <w:rsid w:val="4B4A6DC5"/>
    <w:rsid w:val="4BF96738"/>
    <w:rsid w:val="4C4443D4"/>
    <w:rsid w:val="4C9C55DE"/>
    <w:rsid w:val="503601DA"/>
    <w:rsid w:val="52163F05"/>
    <w:rsid w:val="52C43F74"/>
    <w:rsid w:val="52DB2E5E"/>
    <w:rsid w:val="5361780D"/>
    <w:rsid w:val="53BF4DC8"/>
    <w:rsid w:val="53E105B6"/>
    <w:rsid w:val="56050A3D"/>
    <w:rsid w:val="57365AEB"/>
    <w:rsid w:val="57DD16A8"/>
    <w:rsid w:val="5BAA50AB"/>
    <w:rsid w:val="5C870F60"/>
    <w:rsid w:val="5CE639D8"/>
    <w:rsid w:val="5F351069"/>
    <w:rsid w:val="5F9F60F6"/>
    <w:rsid w:val="5FB35137"/>
    <w:rsid w:val="61A003AA"/>
    <w:rsid w:val="62BD7A88"/>
    <w:rsid w:val="633C5E96"/>
    <w:rsid w:val="64051D92"/>
    <w:rsid w:val="64916774"/>
    <w:rsid w:val="64AD03D2"/>
    <w:rsid w:val="64DA7391"/>
    <w:rsid w:val="69155F5F"/>
    <w:rsid w:val="695F73D9"/>
    <w:rsid w:val="6A6A1CE5"/>
    <w:rsid w:val="6AF22096"/>
    <w:rsid w:val="6B2B700E"/>
    <w:rsid w:val="6C301294"/>
    <w:rsid w:val="6D711723"/>
    <w:rsid w:val="6FE10A02"/>
    <w:rsid w:val="70385584"/>
    <w:rsid w:val="705A4B5C"/>
    <w:rsid w:val="73264845"/>
    <w:rsid w:val="73292D6C"/>
    <w:rsid w:val="732E26DE"/>
    <w:rsid w:val="74ED7ACA"/>
    <w:rsid w:val="763C222E"/>
    <w:rsid w:val="767A69B3"/>
    <w:rsid w:val="771A463C"/>
    <w:rsid w:val="7D877A77"/>
    <w:rsid w:val="7DCA72EB"/>
    <w:rsid w:val="7EC22E2D"/>
    <w:rsid w:val="7F99427A"/>
    <w:rsid w:val="7FC14BA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uiPriority="0" w:name="toc 8"/>
    <w:lsdException w:uiPriority="0" w:name="toc 9"/>
    <w:lsdException w:qFormat="1" w:unhideWhenUsed="0" w:uiPriority="0" w:semiHidden="0" w:name="Normal Indent"/>
    <w:lsdException w:qFormat="1" w:unhideWhenUsed="0" w:uiPriority="0" w:name="footnote text"/>
    <w:lsdException w:uiPriority="99" w:name="annotation text"/>
    <w:lsdException w:qFormat="1" w:unhideWhenUsed="0" w:uiPriority="99" w:semiHidden="0" w:name="header"/>
    <w:lsdException w:qFormat="1" w:unhideWhenUsed="0" w:uiPriority="99" w:semiHidden="0" w:name="footer"/>
    <w:lsdException w:uiPriority="99" w:name="index heading"/>
    <w:lsdException w:qFormat="1" w:uiPriority="35" w:name="caption"/>
    <w:lsdException w:qFormat="1" w:unhideWhenUsed="0" w:uiPriority="0" w:name="table of figures"/>
    <w:lsdException w:uiPriority="99" w:name="envelope address"/>
    <w:lsdException w:uiPriority="99" w:name="envelope return"/>
    <w:lsdException w:qFormat="1" w:unhideWhenUsed="0" w:uiPriority="0" w:name="footnote reference"/>
    <w:lsdException w:qFormat="1" w:unhideWhenUsed="0" w:uiPriority="99" w:semiHidden="0"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22" w:semiHidden="0" w:name="Strong"/>
    <w:lsdException w:qFormat="1" w:unhideWhenUsed="0" w:uiPriority="20" w:semiHidden="0" w:name="Emphasis"/>
    <w:lsdException w:qFormat="1"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qFormat="1" w:unhideWhenUsed="0" w:uiPriority="99" w:name="Placeholder Text"/>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29" w:semiHidden="0" w:name="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adjustRightInd w:val="0"/>
      <w:spacing w:line="400" w:lineRule="exact"/>
      <w:jc w:val="both"/>
    </w:pPr>
    <w:rPr>
      <w:rFonts w:ascii="Calibri" w:hAnsi="Calibri" w:eastAsia="宋体" w:cs="Times New Roman"/>
      <w:kern w:val="2"/>
      <w:sz w:val="21"/>
      <w:szCs w:val="21"/>
      <w:lang w:val="en-US" w:eastAsia="zh-CN" w:bidi="ar-SA"/>
    </w:rPr>
  </w:style>
  <w:style w:type="paragraph" w:styleId="2">
    <w:name w:val="heading 1"/>
    <w:basedOn w:val="1"/>
    <w:next w:val="1"/>
    <w:link w:val="36"/>
    <w:qFormat/>
    <w:uiPriority w:val="0"/>
    <w:pPr>
      <w:keepNext/>
      <w:keepLines/>
      <w:spacing w:before="340" w:after="330" w:line="578" w:lineRule="auto"/>
      <w:outlineLvl w:val="0"/>
    </w:pPr>
    <w:rPr>
      <w:b/>
      <w:bCs/>
      <w:kern w:val="44"/>
      <w:sz w:val="44"/>
      <w:szCs w:val="44"/>
    </w:rPr>
  </w:style>
  <w:style w:type="paragraph" w:styleId="3">
    <w:name w:val="heading 2"/>
    <w:basedOn w:val="1"/>
    <w:next w:val="1"/>
    <w:link w:val="37"/>
    <w:qFormat/>
    <w:uiPriority w:val="0"/>
    <w:pPr>
      <w:keepNext/>
      <w:keepLines/>
      <w:spacing w:before="260" w:after="260" w:line="416" w:lineRule="auto"/>
      <w:outlineLvl w:val="1"/>
    </w:pPr>
    <w:rPr>
      <w:rFonts w:ascii="Arial" w:hAnsi="Arial" w:eastAsia="黑体"/>
      <w:b/>
      <w:bCs/>
      <w:sz w:val="32"/>
      <w:szCs w:val="32"/>
    </w:rPr>
  </w:style>
  <w:style w:type="paragraph" w:styleId="4">
    <w:name w:val="heading 3"/>
    <w:basedOn w:val="1"/>
    <w:next w:val="1"/>
    <w:link w:val="38"/>
    <w:qFormat/>
    <w:uiPriority w:val="0"/>
    <w:pPr>
      <w:keepNext/>
      <w:keepLines/>
      <w:spacing w:before="260" w:after="260" w:line="416" w:lineRule="auto"/>
      <w:outlineLvl w:val="2"/>
    </w:pPr>
    <w:rPr>
      <w:b/>
      <w:bCs/>
      <w:sz w:val="32"/>
      <w:szCs w:val="32"/>
    </w:rPr>
  </w:style>
  <w:style w:type="paragraph" w:styleId="5">
    <w:name w:val="heading 4"/>
    <w:basedOn w:val="1"/>
    <w:next w:val="1"/>
    <w:link w:val="39"/>
    <w:qFormat/>
    <w:uiPriority w:val="0"/>
    <w:pPr>
      <w:keepNext/>
      <w:keepLines/>
      <w:spacing w:before="280" w:after="290" w:line="376" w:lineRule="auto"/>
      <w:outlineLvl w:val="3"/>
    </w:pPr>
    <w:rPr>
      <w:rFonts w:ascii="Arial" w:hAnsi="Arial" w:eastAsia="黑体"/>
      <w:b/>
      <w:bCs/>
      <w:sz w:val="28"/>
      <w:szCs w:val="28"/>
    </w:rPr>
  </w:style>
  <w:style w:type="paragraph" w:styleId="6">
    <w:name w:val="heading 5"/>
    <w:basedOn w:val="1"/>
    <w:next w:val="1"/>
    <w:link w:val="40"/>
    <w:qFormat/>
    <w:uiPriority w:val="0"/>
    <w:pPr>
      <w:keepNext/>
      <w:keepLines/>
      <w:adjustRightInd/>
      <w:spacing w:before="280" w:after="290" w:line="376" w:lineRule="auto"/>
      <w:outlineLvl w:val="4"/>
    </w:pPr>
    <w:rPr>
      <w:b/>
      <w:bCs/>
      <w:sz w:val="28"/>
      <w:szCs w:val="28"/>
    </w:rPr>
  </w:style>
  <w:style w:type="paragraph" w:styleId="7">
    <w:name w:val="heading 6"/>
    <w:basedOn w:val="1"/>
    <w:next w:val="1"/>
    <w:link w:val="41"/>
    <w:qFormat/>
    <w:uiPriority w:val="0"/>
    <w:pPr>
      <w:keepNext/>
      <w:keepLines/>
      <w:adjustRightInd/>
      <w:spacing w:before="240" w:after="64" w:line="320" w:lineRule="auto"/>
      <w:outlineLvl w:val="5"/>
    </w:pPr>
    <w:rPr>
      <w:rFonts w:ascii="Arial" w:hAnsi="Arial" w:eastAsia="黑体"/>
      <w:b/>
      <w:bCs/>
      <w:sz w:val="24"/>
      <w:szCs w:val="24"/>
    </w:rPr>
  </w:style>
  <w:style w:type="paragraph" w:styleId="8">
    <w:name w:val="heading 7"/>
    <w:basedOn w:val="1"/>
    <w:next w:val="1"/>
    <w:link w:val="42"/>
    <w:qFormat/>
    <w:uiPriority w:val="0"/>
    <w:pPr>
      <w:keepNext/>
      <w:keepLines/>
      <w:adjustRightInd/>
      <w:spacing w:before="240" w:after="64" w:line="320" w:lineRule="auto"/>
      <w:outlineLvl w:val="6"/>
    </w:pPr>
    <w:rPr>
      <w:b/>
      <w:bCs/>
      <w:sz w:val="24"/>
      <w:szCs w:val="24"/>
    </w:rPr>
  </w:style>
  <w:style w:type="paragraph" w:styleId="9">
    <w:name w:val="heading 8"/>
    <w:basedOn w:val="1"/>
    <w:next w:val="1"/>
    <w:link w:val="43"/>
    <w:qFormat/>
    <w:uiPriority w:val="0"/>
    <w:pPr>
      <w:keepNext/>
      <w:keepLines/>
      <w:adjustRightInd/>
      <w:spacing w:before="240" w:after="64" w:line="320" w:lineRule="auto"/>
      <w:outlineLvl w:val="7"/>
    </w:pPr>
    <w:rPr>
      <w:rFonts w:ascii="Arial" w:hAnsi="Arial" w:eastAsia="黑体"/>
      <w:sz w:val="24"/>
      <w:szCs w:val="24"/>
    </w:rPr>
  </w:style>
  <w:style w:type="paragraph" w:styleId="10">
    <w:name w:val="heading 9"/>
    <w:basedOn w:val="1"/>
    <w:next w:val="1"/>
    <w:link w:val="44"/>
    <w:qFormat/>
    <w:uiPriority w:val="0"/>
    <w:pPr>
      <w:keepNext/>
      <w:keepLines/>
      <w:adjustRightInd/>
      <w:spacing w:before="240" w:after="64" w:line="320" w:lineRule="auto"/>
      <w:outlineLvl w:val="8"/>
    </w:pPr>
    <w:rPr>
      <w:rFonts w:ascii="Arial" w:hAnsi="Arial" w:eastAsia="黑体"/>
    </w:rPr>
  </w:style>
  <w:style w:type="character" w:default="1" w:styleId="29">
    <w:name w:val="Default Paragraph Font"/>
    <w:semiHidden/>
    <w:unhideWhenUsed/>
    <w:qFormat/>
    <w:uiPriority w:val="1"/>
  </w:style>
  <w:style w:type="table" w:default="1" w:styleId="27">
    <w:name w:val="Normal Table"/>
    <w:semiHidden/>
    <w:unhideWhenUsed/>
    <w:qFormat/>
    <w:uiPriority w:val="99"/>
    <w:tblPr>
      <w:tblCellMar>
        <w:top w:w="0" w:type="dxa"/>
        <w:left w:w="108" w:type="dxa"/>
        <w:bottom w:w="0" w:type="dxa"/>
        <w:right w:w="108" w:type="dxa"/>
      </w:tblCellMar>
    </w:tblPr>
  </w:style>
  <w:style w:type="paragraph" w:styleId="11">
    <w:name w:val="toc 7"/>
    <w:basedOn w:val="1"/>
    <w:next w:val="1"/>
    <w:unhideWhenUsed/>
    <w:qFormat/>
    <w:uiPriority w:val="39"/>
    <w:pPr>
      <w:tabs>
        <w:tab w:val="right" w:leader="dot" w:pos="9344"/>
      </w:tabs>
      <w:spacing w:line="300" w:lineRule="exact"/>
      <w:ind w:left="1259"/>
    </w:pPr>
    <w:rPr>
      <w:rFonts w:ascii="宋体"/>
    </w:rPr>
  </w:style>
  <w:style w:type="paragraph" w:styleId="12">
    <w:name w:val="Normal Indent"/>
    <w:basedOn w:val="1"/>
    <w:qFormat/>
    <w:uiPriority w:val="0"/>
    <w:pPr>
      <w:ind w:firstLine="420"/>
    </w:pPr>
  </w:style>
  <w:style w:type="paragraph" w:styleId="13">
    <w:name w:val="Document Map"/>
    <w:basedOn w:val="1"/>
    <w:link w:val="232"/>
    <w:semiHidden/>
    <w:unhideWhenUsed/>
    <w:qFormat/>
    <w:uiPriority w:val="99"/>
    <w:rPr>
      <w:rFonts w:ascii="宋体"/>
      <w:sz w:val="18"/>
      <w:szCs w:val="18"/>
    </w:rPr>
  </w:style>
  <w:style w:type="paragraph" w:styleId="14">
    <w:name w:val="Body Text"/>
    <w:basedOn w:val="1"/>
    <w:link w:val="88"/>
    <w:qFormat/>
    <w:uiPriority w:val="0"/>
    <w:pPr>
      <w:spacing w:after="120"/>
    </w:pPr>
  </w:style>
  <w:style w:type="paragraph" w:styleId="15">
    <w:name w:val="toc 5"/>
    <w:basedOn w:val="1"/>
    <w:next w:val="1"/>
    <w:unhideWhenUsed/>
    <w:qFormat/>
    <w:uiPriority w:val="39"/>
    <w:pPr>
      <w:ind w:left="839"/>
    </w:pPr>
    <w:rPr>
      <w:rFonts w:ascii="宋体"/>
    </w:rPr>
  </w:style>
  <w:style w:type="paragraph" w:styleId="16">
    <w:name w:val="toc 3"/>
    <w:basedOn w:val="1"/>
    <w:next w:val="1"/>
    <w:unhideWhenUsed/>
    <w:qFormat/>
    <w:uiPriority w:val="39"/>
    <w:pPr>
      <w:spacing w:line="300" w:lineRule="exact"/>
      <w:ind w:left="420"/>
    </w:pPr>
    <w:rPr>
      <w:rFonts w:ascii="宋体"/>
    </w:rPr>
  </w:style>
  <w:style w:type="paragraph" w:styleId="17">
    <w:name w:val="Balloon Text"/>
    <w:basedOn w:val="1"/>
    <w:link w:val="47"/>
    <w:semiHidden/>
    <w:unhideWhenUsed/>
    <w:qFormat/>
    <w:uiPriority w:val="99"/>
    <w:rPr>
      <w:sz w:val="18"/>
      <w:szCs w:val="18"/>
    </w:rPr>
  </w:style>
  <w:style w:type="paragraph" w:styleId="18">
    <w:name w:val="footer"/>
    <w:basedOn w:val="1"/>
    <w:link w:val="46"/>
    <w:qFormat/>
    <w:uiPriority w:val="99"/>
    <w:pPr>
      <w:tabs>
        <w:tab w:val="center" w:pos="4153"/>
        <w:tab w:val="right" w:pos="8306"/>
      </w:tabs>
      <w:adjustRightInd/>
      <w:snapToGrid w:val="0"/>
      <w:spacing w:line="240" w:lineRule="auto"/>
      <w:jc w:val="right"/>
    </w:pPr>
    <w:rPr>
      <w:rFonts w:ascii="宋体"/>
      <w:sz w:val="18"/>
      <w:szCs w:val="18"/>
    </w:rPr>
  </w:style>
  <w:style w:type="paragraph" w:styleId="19">
    <w:name w:val="header"/>
    <w:basedOn w:val="1"/>
    <w:link w:val="45"/>
    <w:qFormat/>
    <w:uiPriority w:val="99"/>
    <w:pPr>
      <w:tabs>
        <w:tab w:val="center" w:pos="4153"/>
        <w:tab w:val="right" w:pos="8306"/>
      </w:tabs>
      <w:adjustRightInd/>
      <w:snapToGrid w:val="0"/>
      <w:jc w:val="center"/>
    </w:pPr>
    <w:rPr>
      <w:sz w:val="18"/>
      <w:szCs w:val="18"/>
    </w:rPr>
  </w:style>
  <w:style w:type="paragraph" w:styleId="20">
    <w:name w:val="toc 1"/>
    <w:basedOn w:val="1"/>
    <w:next w:val="1"/>
    <w:unhideWhenUsed/>
    <w:qFormat/>
    <w:uiPriority w:val="39"/>
    <w:rPr>
      <w:rFonts w:ascii="宋体"/>
    </w:rPr>
  </w:style>
  <w:style w:type="paragraph" w:styleId="21">
    <w:name w:val="toc 4"/>
    <w:basedOn w:val="1"/>
    <w:next w:val="1"/>
    <w:unhideWhenUsed/>
    <w:qFormat/>
    <w:uiPriority w:val="39"/>
    <w:pPr>
      <w:tabs>
        <w:tab w:val="right" w:leader="dot" w:pos="9344"/>
      </w:tabs>
      <w:spacing w:line="300" w:lineRule="exact"/>
      <w:ind w:left="629"/>
    </w:pPr>
    <w:rPr>
      <w:rFonts w:ascii="宋体"/>
    </w:rPr>
  </w:style>
  <w:style w:type="paragraph" w:styleId="22">
    <w:name w:val="footnote text"/>
    <w:basedOn w:val="1"/>
    <w:next w:val="1"/>
    <w:link w:val="101"/>
    <w:semiHidden/>
    <w:qFormat/>
    <w:uiPriority w:val="0"/>
    <w:pPr>
      <w:adjustRightInd/>
      <w:snapToGrid w:val="0"/>
      <w:spacing w:line="300" w:lineRule="exact"/>
      <w:ind w:left="400" w:leftChars="200" w:hanging="200" w:hangingChars="200"/>
      <w:jc w:val="left"/>
    </w:pPr>
    <w:rPr>
      <w:rFonts w:ascii="宋体"/>
      <w:sz w:val="18"/>
      <w:szCs w:val="18"/>
    </w:rPr>
  </w:style>
  <w:style w:type="paragraph" w:styleId="23">
    <w:name w:val="toc 6"/>
    <w:basedOn w:val="1"/>
    <w:next w:val="1"/>
    <w:unhideWhenUsed/>
    <w:qFormat/>
    <w:uiPriority w:val="39"/>
    <w:pPr>
      <w:spacing w:line="300" w:lineRule="exact"/>
      <w:ind w:left="1049"/>
    </w:pPr>
    <w:rPr>
      <w:rFonts w:ascii="宋体"/>
    </w:rPr>
  </w:style>
  <w:style w:type="paragraph" w:styleId="24">
    <w:name w:val="table of figures"/>
    <w:basedOn w:val="1"/>
    <w:next w:val="1"/>
    <w:semiHidden/>
    <w:qFormat/>
    <w:uiPriority w:val="0"/>
    <w:pPr>
      <w:adjustRightInd/>
      <w:spacing w:line="240" w:lineRule="auto"/>
      <w:jc w:val="left"/>
    </w:pPr>
    <w:rPr>
      <w:szCs w:val="24"/>
    </w:rPr>
  </w:style>
  <w:style w:type="paragraph" w:styleId="25">
    <w:name w:val="toc 2"/>
    <w:basedOn w:val="1"/>
    <w:next w:val="1"/>
    <w:unhideWhenUsed/>
    <w:qFormat/>
    <w:uiPriority w:val="39"/>
    <w:pPr>
      <w:tabs>
        <w:tab w:val="right" w:leader="dot" w:pos="9344"/>
      </w:tabs>
      <w:spacing w:line="300" w:lineRule="exact"/>
      <w:ind w:left="210"/>
    </w:pPr>
    <w:rPr>
      <w:rFonts w:ascii="宋体"/>
    </w:rPr>
  </w:style>
  <w:style w:type="paragraph" w:styleId="26">
    <w:name w:val="Title"/>
    <w:basedOn w:val="1"/>
    <w:link w:val="50"/>
    <w:qFormat/>
    <w:uiPriority w:val="0"/>
    <w:pPr>
      <w:spacing w:before="240" w:after="60"/>
      <w:jc w:val="center"/>
      <w:outlineLvl w:val="0"/>
    </w:pPr>
    <w:rPr>
      <w:rFonts w:ascii="Arial" w:hAnsi="Arial" w:cs="Arial"/>
      <w:b/>
      <w:bCs/>
      <w:sz w:val="32"/>
      <w:szCs w:val="32"/>
    </w:rPr>
  </w:style>
  <w:style w:type="table" w:styleId="28">
    <w:name w:val="Table Grid"/>
    <w:basedOn w:val="27"/>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30">
    <w:name w:val="Strong"/>
    <w:qFormat/>
    <w:uiPriority w:val="22"/>
    <w:rPr>
      <w:b/>
      <w:bCs/>
    </w:rPr>
  </w:style>
  <w:style w:type="character" w:styleId="31">
    <w:name w:val="page number"/>
    <w:qFormat/>
    <w:uiPriority w:val="0"/>
    <w:rPr>
      <w:rFonts w:ascii="宋体" w:hAnsi="Times New Roman" w:eastAsia="宋体"/>
      <w:sz w:val="18"/>
    </w:rPr>
  </w:style>
  <w:style w:type="character" w:styleId="32">
    <w:name w:val="Emphasis"/>
    <w:qFormat/>
    <w:uiPriority w:val="20"/>
    <w:rPr>
      <w:i/>
      <w:iCs/>
    </w:rPr>
  </w:style>
  <w:style w:type="character" w:styleId="33">
    <w:name w:val="Hyperlink"/>
    <w:qFormat/>
    <w:uiPriority w:val="99"/>
    <w:rPr>
      <w:rFonts w:ascii="宋体" w:hAnsi="Times New Roman" w:eastAsia="宋体"/>
      <w:color w:val="auto"/>
      <w:spacing w:val="0"/>
      <w:w w:val="100"/>
      <w:position w:val="0"/>
      <w:sz w:val="21"/>
      <w:u w:val="none"/>
      <w:vertAlign w:val="baseline"/>
    </w:rPr>
  </w:style>
  <w:style w:type="character" w:styleId="34">
    <w:name w:val="annotation reference"/>
    <w:basedOn w:val="29"/>
    <w:qFormat/>
    <w:uiPriority w:val="99"/>
    <w:rPr>
      <w:rFonts w:cs="Times New Roman"/>
      <w:sz w:val="21"/>
    </w:rPr>
  </w:style>
  <w:style w:type="character" w:styleId="35">
    <w:name w:val="footnote reference"/>
    <w:semiHidden/>
    <w:qFormat/>
    <w:uiPriority w:val="0"/>
    <w:rPr>
      <w:rFonts w:ascii="宋体" w:hAnsi="宋体" w:eastAsia="宋体" w:cs="Times New Roman"/>
      <w:spacing w:val="0"/>
      <w:sz w:val="18"/>
      <w:vertAlign w:val="superscript"/>
    </w:rPr>
  </w:style>
  <w:style w:type="character" w:customStyle="1" w:styleId="36">
    <w:name w:val="标题 1 Char"/>
    <w:link w:val="2"/>
    <w:qFormat/>
    <w:uiPriority w:val="0"/>
    <w:rPr>
      <w:rFonts w:ascii="Times New Roman" w:hAnsi="Times New Roman" w:eastAsia="宋体" w:cs="Times New Roman"/>
      <w:b/>
      <w:bCs/>
      <w:kern w:val="44"/>
      <w:sz w:val="44"/>
      <w:szCs w:val="44"/>
    </w:rPr>
  </w:style>
  <w:style w:type="character" w:customStyle="1" w:styleId="37">
    <w:name w:val="标题 2 Char"/>
    <w:link w:val="3"/>
    <w:qFormat/>
    <w:uiPriority w:val="0"/>
    <w:rPr>
      <w:rFonts w:ascii="Arial" w:hAnsi="Arial" w:eastAsia="黑体" w:cs="Times New Roman"/>
      <w:b/>
      <w:bCs/>
      <w:sz w:val="32"/>
      <w:szCs w:val="32"/>
    </w:rPr>
  </w:style>
  <w:style w:type="character" w:customStyle="1" w:styleId="38">
    <w:name w:val="标题 3 Char"/>
    <w:link w:val="4"/>
    <w:qFormat/>
    <w:uiPriority w:val="0"/>
    <w:rPr>
      <w:rFonts w:ascii="Times New Roman" w:hAnsi="Times New Roman" w:eastAsia="宋体" w:cs="Times New Roman"/>
      <w:b/>
      <w:bCs/>
      <w:sz w:val="32"/>
      <w:szCs w:val="32"/>
    </w:rPr>
  </w:style>
  <w:style w:type="character" w:customStyle="1" w:styleId="39">
    <w:name w:val="标题 4 Char"/>
    <w:link w:val="5"/>
    <w:qFormat/>
    <w:uiPriority w:val="0"/>
    <w:rPr>
      <w:rFonts w:ascii="Arial" w:hAnsi="Arial" w:eastAsia="黑体" w:cs="Times New Roman"/>
      <w:b/>
      <w:bCs/>
      <w:sz w:val="28"/>
      <w:szCs w:val="28"/>
    </w:rPr>
  </w:style>
  <w:style w:type="character" w:customStyle="1" w:styleId="40">
    <w:name w:val="标题 5 Char"/>
    <w:link w:val="6"/>
    <w:qFormat/>
    <w:uiPriority w:val="0"/>
    <w:rPr>
      <w:rFonts w:ascii="Times New Roman" w:hAnsi="Times New Roman" w:eastAsia="宋体" w:cs="Times New Roman"/>
      <w:b/>
      <w:bCs/>
      <w:sz w:val="28"/>
      <w:szCs w:val="28"/>
    </w:rPr>
  </w:style>
  <w:style w:type="character" w:customStyle="1" w:styleId="41">
    <w:name w:val="标题 6 Char"/>
    <w:link w:val="7"/>
    <w:qFormat/>
    <w:uiPriority w:val="0"/>
    <w:rPr>
      <w:rFonts w:ascii="Arial" w:hAnsi="Arial" w:eastAsia="黑体" w:cs="Times New Roman"/>
      <w:b/>
      <w:bCs/>
      <w:sz w:val="24"/>
      <w:szCs w:val="24"/>
    </w:rPr>
  </w:style>
  <w:style w:type="character" w:customStyle="1" w:styleId="42">
    <w:name w:val="标题 7 Char"/>
    <w:link w:val="8"/>
    <w:qFormat/>
    <w:uiPriority w:val="0"/>
    <w:rPr>
      <w:rFonts w:ascii="Times New Roman" w:hAnsi="Times New Roman" w:eastAsia="宋体" w:cs="Times New Roman"/>
      <w:b/>
      <w:bCs/>
      <w:sz w:val="24"/>
      <w:szCs w:val="24"/>
    </w:rPr>
  </w:style>
  <w:style w:type="character" w:customStyle="1" w:styleId="43">
    <w:name w:val="标题 8 Char"/>
    <w:link w:val="9"/>
    <w:qFormat/>
    <w:uiPriority w:val="0"/>
    <w:rPr>
      <w:rFonts w:ascii="Arial" w:hAnsi="Arial" w:eastAsia="黑体" w:cs="Times New Roman"/>
      <w:sz w:val="24"/>
      <w:szCs w:val="24"/>
    </w:rPr>
  </w:style>
  <w:style w:type="character" w:customStyle="1" w:styleId="44">
    <w:name w:val="标题 9 Char"/>
    <w:link w:val="10"/>
    <w:qFormat/>
    <w:uiPriority w:val="0"/>
    <w:rPr>
      <w:rFonts w:ascii="Arial" w:hAnsi="Arial" w:eastAsia="黑体" w:cs="Times New Roman"/>
      <w:szCs w:val="21"/>
    </w:rPr>
  </w:style>
  <w:style w:type="character" w:customStyle="1" w:styleId="45">
    <w:name w:val="页眉 Char"/>
    <w:link w:val="19"/>
    <w:qFormat/>
    <w:uiPriority w:val="99"/>
    <w:rPr>
      <w:rFonts w:ascii="Times New Roman" w:hAnsi="Times New Roman" w:eastAsia="宋体" w:cs="Times New Roman"/>
      <w:sz w:val="18"/>
      <w:szCs w:val="18"/>
    </w:rPr>
  </w:style>
  <w:style w:type="character" w:customStyle="1" w:styleId="46">
    <w:name w:val="页脚 Char"/>
    <w:link w:val="18"/>
    <w:qFormat/>
    <w:uiPriority w:val="99"/>
    <w:rPr>
      <w:rFonts w:ascii="宋体" w:hAnsi="Times New Roman" w:eastAsia="宋体" w:cs="Times New Roman"/>
      <w:sz w:val="18"/>
      <w:szCs w:val="18"/>
    </w:rPr>
  </w:style>
  <w:style w:type="character" w:customStyle="1" w:styleId="47">
    <w:name w:val="批注框文本 Char"/>
    <w:link w:val="17"/>
    <w:semiHidden/>
    <w:qFormat/>
    <w:uiPriority w:val="99"/>
    <w:rPr>
      <w:sz w:val="18"/>
      <w:szCs w:val="18"/>
    </w:rPr>
  </w:style>
  <w:style w:type="paragraph" w:styleId="48">
    <w:name w:val="Quote"/>
    <w:basedOn w:val="1"/>
    <w:next w:val="1"/>
    <w:link w:val="49"/>
    <w:qFormat/>
    <w:uiPriority w:val="29"/>
    <w:rPr>
      <w:i/>
      <w:iCs/>
      <w:color w:val="000000"/>
    </w:rPr>
  </w:style>
  <w:style w:type="character" w:customStyle="1" w:styleId="49">
    <w:name w:val="引用 Char"/>
    <w:link w:val="48"/>
    <w:qFormat/>
    <w:uiPriority w:val="29"/>
    <w:rPr>
      <w:i/>
      <w:iCs/>
      <w:color w:val="000000"/>
    </w:rPr>
  </w:style>
  <w:style w:type="character" w:customStyle="1" w:styleId="50">
    <w:name w:val="标题 Char"/>
    <w:link w:val="26"/>
    <w:qFormat/>
    <w:uiPriority w:val="0"/>
    <w:rPr>
      <w:rFonts w:ascii="Arial" w:hAnsi="Arial" w:eastAsia="宋体" w:cs="Arial"/>
      <w:b/>
      <w:bCs/>
      <w:sz w:val="32"/>
      <w:szCs w:val="32"/>
    </w:rPr>
  </w:style>
  <w:style w:type="paragraph" w:customStyle="1" w:styleId="51">
    <w:name w:val="标准标志"/>
    <w:next w:val="1"/>
    <w:qFormat/>
    <w:uiPriority w:val="0"/>
    <w:pPr>
      <w:framePr w:w="2268" w:h="1392" w:hRule="exact" w:wrap="around" w:vAnchor="margin" w:hAnchor="margin" w:x="6748" w:y="171" w:anchorLock="1"/>
      <w:shd w:val="solid" w:color="FFFFFF" w:fill="FFFFFF"/>
      <w:spacing w:line="0" w:lineRule="atLeast"/>
      <w:jc w:val="right"/>
    </w:pPr>
    <w:rPr>
      <w:rFonts w:ascii="Times New Roman" w:hAnsi="Times New Roman" w:eastAsia="宋体" w:cs="Times New Roman"/>
      <w:b/>
      <w:w w:val="130"/>
      <w:sz w:val="96"/>
      <w:lang w:val="en-US" w:eastAsia="zh-CN" w:bidi="ar-SA"/>
    </w:rPr>
  </w:style>
  <w:style w:type="paragraph" w:customStyle="1" w:styleId="52">
    <w:name w:val="标准称谓"/>
    <w:next w:val="1"/>
    <w:qFormat/>
    <w:uiPriority w:val="0"/>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hAnsi="Times New Roman" w:eastAsia="宋体" w:cs="Times New Roman"/>
      <w:b/>
      <w:bCs/>
      <w:w w:val="148"/>
      <w:sz w:val="52"/>
      <w:lang w:val="en-US" w:eastAsia="zh-CN" w:bidi="ar-SA"/>
    </w:rPr>
  </w:style>
  <w:style w:type="paragraph" w:customStyle="1" w:styleId="53">
    <w:name w:val="标准文件_页脚偶数页"/>
    <w:qFormat/>
    <w:uiPriority w:val="0"/>
    <w:pPr>
      <w:ind w:left="198"/>
    </w:pPr>
    <w:rPr>
      <w:rFonts w:ascii="宋体" w:hAnsi="Times New Roman" w:eastAsia="宋体" w:cs="Times New Roman"/>
      <w:sz w:val="18"/>
      <w:lang w:val="en-US" w:eastAsia="zh-CN" w:bidi="ar-SA"/>
    </w:rPr>
  </w:style>
  <w:style w:type="paragraph" w:customStyle="1" w:styleId="54">
    <w:name w:val="标准文件_页脚奇数页"/>
    <w:qFormat/>
    <w:uiPriority w:val="0"/>
    <w:pPr>
      <w:ind w:right="227"/>
      <w:jc w:val="right"/>
    </w:pPr>
    <w:rPr>
      <w:rFonts w:ascii="宋体" w:hAnsi="Times New Roman" w:eastAsia="宋体" w:cs="Times New Roman"/>
      <w:sz w:val="18"/>
      <w:lang w:val="en-US" w:eastAsia="zh-CN" w:bidi="ar-SA"/>
    </w:rPr>
  </w:style>
  <w:style w:type="paragraph" w:customStyle="1" w:styleId="55">
    <w:name w:val="标准书眉一"/>
    <w:qFormat/>
    <w:uiPriority w:val="0"/>
    <w:pPr>
      <w:jc w:val="both"/>
    </w:pPr>
    <w:rPr>
      <w:rFonts w:ascii="Times New Roman" w:hAnsi="Times New Roman" w:eastAsia="宋体" w:cs="Times New Roman"/>
      <w:lang w:val="en-US" w:eastAsia="zh-CN" w:bidi="ar-SA"/>
    </w:rPr>
  </w:style>
  <w:style w:type="paragraph" w:customStyle="1" w:styleId="56">
    <w:name w:val="标准文件_ICS"/>
    <w:basedOn w:val="1"/>
    <w:qFormat/>
    <w:uiPriority w:val="0"/>
    <w:pPr>
      <w:spacing w:line="0" w:lineRule="atLeast"/>
    </w:pPr>
    <w:rPr>
      <w:rFonts w:ascii="黑体" w:hAnsi="宋体" w:eastAsia="黑体"/>
    </w:rPr>
  </w:style>
  <w:style w:type="paragraph" w:customStyle="1" w:styleId="57">
    <w:name w:val="标准文件_标准正文"/>
    <w:basedOn w:val="1"/>
    <w:next w:val="58"/>
    <w:qFormat/>
    <w:uiPriority w:val="0"/>
    <w:pPr>
      <w:snapToGrid w:val="0"/>
      <w:ind w:firstLine="200" w:firstLineChars="200"/>
    </w:pPr>
    <w:rPr>
      <w:kern w:val="0"/>
    </w:rPr>
  </w:style>
  <w:style w:type="paragraph" w:customStyle="1" w:styleId="58">
    <w:name w:val="标准文件_段"/>
    <w:link w:val="186"/>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59">
    <w:name w:val="标准文件_版本"/>
    <w:basedOn w:val="57"/>
    <w:qFormat/>
    <w:uiPriority w:val="0"/>
    <w:pPr>
      <w:adjustRightInd/>
      <w:snapToGrid/>
      <w:ind w:firstLine="0" w:firstLineChars="0"/>
    </w:pPr>
    <w:rPr>
      <w:rFonts w:ascii="宋体" w:hAnsi="宋体"/>
      <w:kern w:val="2"/>
    </w:rPr>
  </w:style>
  <w:style w:type="paragraph" w:customStyle="1" w:styleId="60">
    <w:name w:val="标准文件_标准部门"/>
    <w:basedOn w:val="1"/>
    <w:qFormat/>
    <w:uiPriority w:val="0"/>
    <w:pPr>
      <w:jc w:val="center"/>
    </w:pPr>
    <w:rPr>
      <w:rFonts w:ascii="黑体" w:eastAsia="黑体"/>
      <w:kern w:val="0"/>
      <w:sz w:val="44"/>
    </w:rPr>
  </w:style>
  <w:style w:type="paragraph" w:customStyle="1" w:styleId="61">
    <w:name w:val="标准文件_标准代替"/>
    <w:basedOn w:val="1"/>
    <w:next w:val="1"/>
    <w:qFormat/>
    <w:uiPriority w:val="0"/>
    <w:pPr>
      <w:spacing w:line="310" w:lineRule="exact"/>
      <w:jc w:val="right"/>
    </w:pPr>
    <w:rPr>
      <w:rFonts w:ascii="宋体" w:hAnsi="宋体"/>
      <w:kern w:val="0"/>
    </w:rPr>
  </w:style>
  <w:style w:type="paragraph" w:customStyle="1" w:styleId="62">
    <w:name w:val="标准文件_标准名称标题"/>
    <w:basedOn w:val="1"/>
    <w:next w:val="1"/>
    <w:qFormat/>
    <w:uiPriority w:val="0"/>
    <w:pPr>
      <w:widowControl/>
      <w:shd w:val="clear" w:color="FFFFFF" w:fill="FFFFFF"/>
      <w:adjustRightInd/>
      <w:spacing w:before="640" w:after="100"/>
      <w:jc w:val="center"/>
    </w:pPr>
    <w:rPr>
      <w:rFonts w:ascii="黑体" w:eastAsia="黑体"/>
      <w:kern w:val="0"/>
      <w:sz w:val="32"/>
    </w:rPr>
  </w:style>
  <w:style w:type="paragraph" w:customStyle="1" w:styleId="63">
    <w:name w:val="标准文件_页眉奇数页"/>
    <w:next w:val="1"/>
    <w:qFormat/>
    <w:uiPriority w:val="0"/>
    <w:pPr>
      <w:tabs>
        <w:tab w:val="center" w:pos="4154"/>
        <w:tab w:val="right" w:pos="8306"/>
      </w:tabs>
      <w:spacing w:after="120"/>
      <w:jc w:val="right"/>
    </w:pPr>
    <w:rPr>
      <w:rFonts w:ascii="黑体" w:hAnsi="宋体" w:eastAsia="黑体" w:cs="Times New Roman"/>
      <w:sz w:val="21"/>
      <w:lang w:val="en-US" w:eastAsia="zh-CN" w:bidi="ar-SA"/>
    </w:rPr>
  </w:style>
  <w:style w:type="paragraph" w:customStyle="1" w:styleId="64">
    <w:name w:val="标准文件_页眉偶数页"/>
    <w:basedOn w:val="63"/>
    <w:next w:val="1"/>
    <w:qFormat/>
    <w:uiPriority w:val="0"/>
    <w:pPr>
      <w:jc w:val="left"/>
    </w:pPr>
  </w:style>
  <w:style w:type="paragraph" w:customStyle="1" w:styleId="65">
    <w:name w:val="标准文件_参考文献标题"/>
    <w:basedOn w:val="1"/>
    <w:next w:val="1"/>
    <w:qFormat/>
    <w:uiPriority w:val="0"/>
    <w:pPr>
      <w:widowControl/>
      <w:shd w:val="clear" w:color="FFFFFF" w:fill="FFFFFF"/>
      <w:adjustRightInd/>
      <w:spacing w:beforeLines="40" w:afterLines="50" w:line="240" w:lineRule="auto"/>
      <w:jc w:val="center"/>
      <w:outlineLvl w:val="0"/>
    </w:pPr>
    <w:rPr>
      <w:rFonts w:ascii="黑体" w:eastAsia="黑体"/>
      <w:kern w:val="0"/>
    </w:rPr>
  </w:style>
  <w:style w:type="paragraph" w:customStyle="1" w:styleId="66">
    <w:name w:val="标准文件_参考文献条目"/>
    <w:qFormat/>
    <w:uiPriority w:val="0"/>
    <w:pPr>
      <w:numPr>
        <w:ilvl w:val="0"/>
        <w:numId w:val="1"/>
      </w:numPr>
    </w:pPr>
    <w:rPr>
      <w:rFonts w:ascii="宋体" w:hAnsi="Times New Roman" w:eastAsia="宋体" w:cs="Times New Roman"/>
      <w:lang w:val="en-US" w:eastAsia="zh-CN" w:bidi="ar-SA"/>
    </w:rPr>
  </w:style>
  <w:style w:type="paragraph" w:customStyle="1" w:styleId="67">
    <w:name w:val="标准文件_二级条标题"/>
    <w:next w:val="58"/>
    <w:qFormat/>
    <w:uiPriority w:val="0"/>
    <w:pPr>
      <w:widowControl w:val="0"/>
      <w:numPr>
        <w:ilvl w:val="3"/>
        <w:numId w:val="2"/>
      </w:numPr>
      <w:spacing w:beforeLines="50" w:afterLines="50"/>
      <w:jc w:val="both"/>
      <w:outlineLvl w:val="2"/>
    </w:pPr>
    <w:rPr>
      <w:rFonts w:ascii="黑体" w:hAnsi="Times New Roman" w:eastAsia="黑体" w:cs="Times New Roman"/>
      <w:sz w:val="21"/>
      <w:lang w:val="en-US" w:eastAsia="zh-CN" w:bidi="ar-SA"/>
    </w:rPr>
  </w:style>
  <w:style w:type="character" w:customStyle="1" w:styleId="68">
    <w:name w:val="标准文件_发布"/>
    <w:qFormat/>
    <w:uiPriority w:val="0"/>
    <w:rPr>
      <w:rFonts w:ascii="黑体" w:eastAsia="黑体"/>
      <w:spacing w:val="0"/>
      <w:w w:val="100"/>
      <w:position w:val="3"/>
      <w:sz w:val="28"/>
    </w:rPr>
  </w:style>
  <w:style w:type="paragraph" w:customStyle="1" w:styleId="69">
    <w:name w:val="标准文件_方框数字列项"/>
    <w:basedOn w:val="58"/>
    <w:qFormat/>
    <w:uiPriority w:val="0"/>
    <w:pPr>
      <w:numPr>
        <w:ilvl w:val="0"/>
        <w:numId w:val="3"/>
      </w:numPr>
      <w:ind w:firstLine="0" w:firstLineChars="0"/>
    </w:pPr>
  </w:style>
  <w:style w:type="paragraph" w:customStyle="1" w:styleId="70">
    <w:name w:val="标准文件_封面标准编号"/>
    <w:basedOn w:val="1"/>
    <w:next w:val="61"/>
    <w:qFormat/>
    <w:uiPriority w:val="0"/>
    <w:pPr>
      <w:spacing w:line="310" w:lineRule="exact"/>
      <w:jc w:val="right"/>
    </w:pPr>
    <w:rPr>
      <w:rFonts w:ascii="黑体" w:eastAsia="黑体"/>
      <w:kern w:val="0"/>
      <w:sz w:val="28"/>
    </w:rPr>
  </w:style>
  <w:style w:type="paragraph" w:customStyle="1" w:styleId="71">
    <w:name w:val="标准文件_封面标准分类号"/>
    <w:basedOn w:val="1"/>
    <w:qFormat/>
    <w:uiPriority w:val="0"/>
    <w:rPr>
      <w:rFonts w:ascii="黑体" w:eastAsia="黑体"/>
      <w:b/>
      <w:kern w:val="0"/>
      <w:sz w:val="28"/>
    </w:rPr>
  </w:style>
  <w:style w:type="paragraph" w:customStyle="1" w:styleId="72">
    <w:name w:val="标准文件_封面标准名称"/>
    <w:basedOn w:val="1"/>
    <w:qFormat/>
    <w:uiPriority w:val="0"/>
    <w:pPr>
      <w:spacing w:line="240" w:lineRule="auto"/>
      <w:jc w:val="center"/>
    </w:pPr>
    <w:rPr>
      <w:rFonts w:ascii="黑体" w:eastAsia="黑体"/>
      <w:kern w:val="0"/>
      <w:sz w:val="52"/>
    </w:rPr>
  </w:style>
  <w:style w:type="paragraph" w:customStyle="1" w:styleId="73">
    <w:name w:val="标准文件_封面标准英文名称"/>
    <w:basedOn w:val="1"/>
    <w:qFormat/>
    <w:uiPriority w:val="0"/>
    <w:pPr>
      <w:spacing w:line="240" w:lineRule="auto"/>
      <w:jc w:val="center"/>
    </w:pPr>
    <w:rPr>
      <w:rFonts w:ascii="黑体" w:eastAsia="黑体"/>
      <w:b/>
      <w:sz w:val="28"/>
    </w:rPr>
  </w:style>
  <w:style w:type="paragraph" w:customStyle="1" w:styleId="74">
    <w:name w:val="标准文件_封面发布日期"/>
    <w:basedOn w:val="1"/>
    <w:qFormat/>
    <w:uiPriority w:val="0"/>
    <w:pPr>
      <w:spacing w:line="310" w:lineRule="exact"/>
    </w:pPr>
    <w:rPr>
      <w:rFonts w:ascii="黑体" w:eastAsia="黑体"/>
      <w:kern w:val="0"/>
      <w:sz w:val="28"/>
    </w:rPr>
  </w:style>
  <w:style w:type="paragraph" w:customStyle="1" w:styleId="75">
    <w:name w:val="标准文件_封面密级"/>
    <w:basedOn w:val="1"/>
    <w:qFormat/>
    <w:uiPriority w:val="0"/>
    <w:rPr>
      <w:rFonts w:eastAsia="黑体"/>
      <w:sz w:val="32"/>
    </w:rPr>
  </w:style>
  <w:style w:type="paragraph" w:customStyle="1" w:styleId="76">
    <w:name w:val="标准文件_封面实施日期"/>
    <w:basedOn w:val="1"/>
    <w:qFormat/>
    <w:uiPriority w:val="0"/>
    <w:pPr>
      <w:spacing w:line="310" w:lineRule="exact"/>
      <w:jc w:val="right"/>
    </w:pPr>
    <w:rPr>
      <w:rFonts w:ascii="黑体" w:eastAsia="黑体"/>
      <w:sz w:val="28"/>
    </w:rPr>
  </w:style>
  <w:style w:type="paragraph" w:customStyle="1" w:styleId="77">
    <w:name w:val="标准文件_封面抬头"/>
    <w:basedOn w:val="58"/>
    <w:qFormat/>
    <w:uiPriority w:val="0"/>
    <w:pPr>
      <w:adjustRightInd w:val="0"/>
      <w:spacing w:line="800" w:lineRule="exact"/>
      <w:ind w:firstLine="0" w:firstLineChars="0"/>
      <w:jc w:val="distribute"/>
    </w:pPr>
    <w:rPr>
      <w:rFonts w:ascii="黑体" w:eastAsia="黑体"/>
      <w:b/>
      <w:sz w:val="64"/>
    </w:rPr>
  </w:style>
  <w:style w:type="paragraph" w:customStyle="1" w:styleId="78">
    <w:name w:val="标准文件_附录标识"/>
    <w:next w:val="58"/>
    <w:qFormat/>
    <w:uiPriority w:val="0"/>
    <w:pPr>
      <w:numPr>
        <w:ilvl w:val="0"/>
        <w:numId w:val="4"/>
      </w:numPr>
      <w:shd w:val="clear" w:color="FFFFFF" w:fill="FFFFFF"/>
      <w:tabs>
        <w:tab w:val="left" w:pos="6406"/>
      </w:tabs>
      <w:spacing w:beforeLines="25" w:afterLines="50"/>
      <w:jc w:val="center"/>
      <w:outlineLvl w:val="0"/>
    </w:pPr>
    <w:rPr>
      <w:rFonts w:ascii="黑体" w:hAnsi="Times New Roman" w:eastAsia="黑体" w:cs="Times New Roman"/>
      <w:sz w:val="21"/>
      <w:lang w:val="en-US" w:eastAsia="zh-CN" w:bidi="ar-SA"/>
    </w:rPr>
  </w:style>
  <w:style w:type="paragraph" w:customStyle="1" w:styleId="79">
    <w:name w:val="标准文件_附录表标题"/>
    <w:next w:val="58"/>
    <w:qFormat/>
    <w:uiPriority w:val="0"/>
    <w:pPr>
      <w:numPr>
        <w:ilvl w:val="1"/>
        <w:numId w:val="5"/>
      </w:numPr>
      <w:adjustRightInd w:val="0"/>
      <w:snapToGrid w:val="0"/>
      <w:spacing w:beforeLines="50" w:afterLines="50"/>
      <w:ind w:firstLine="420"/>
      <w:jc w:val="center"/>
      <w:textAlignment w:val="baseline"/>
    </w:pPr>
    <w:rPr>
      <w:rFonts w:ascii="黑体" w:hAnsi="Times New Roman" w:eastAsia="黑体" w:cs="Times New Roman"/>
      <w:kern w:val="21"/>
      <w:sz w:val="21"/>
      <w:lang w:val="en-US" w:eastAsia="zh-CN" w:bidi="ar-SA"/>
    </w:rPr>
  </w:style>
  <w:style w:type="paragraph" w:customStyle="1" w:styleId="80">
    <w:name w:val="标准文件_附录一级条标题"/>
    <w:next w:val="58"/>
    <w:qFormat/>
    <w:uiPriority w:val="0"/>
    <w:pPr>
      <w:widowControl w:val="0"/>
      <w:numPr>
        <w:ilvl w:val="1"/>
        <w:numId w:val="4"/>
      </w:numPr>
      <w:spacing w:beforeLines="50" w:afterLines="50"/>
      <w:jc w:val="both"/>
      <w:outlineLvl w:val="2"/>
    </w:pPr>
    <w:rPr>
      <w:rFonts w:ascii="黑体" w:hAnsi="Times New Roman" w:eastAsia="黑体" w:cs="Times New Roman"/>
      <w:kern w:val="21"/>
      <w:sz w:val="21"/>
      <w:lang w:val="en-US" w:eastAsia="zh-CN" w:bidi="ar-SA"/>
    </w:rPr>
  </w:style>
  <w:style w:type="paragraph" w:customStyle="1" w:styleId="81">
    <w:name w:val="标准文件_附录二级条标题"/>
    <w:basedOn w:val="80"/>
    <w:next w:val="58"/>
    <w:qFormat/>
    <w:uiPriority w:val="0"/>
    <w:pPr>
      <w:widowControl/>
      <w:numPr>
        <w:ilvl w:val="2"/>
      </w:numPr>
      <w:wordWrap w:val="0"/>
      <w:overflowPunct w:val="0"/>
      <w:autoSpaceDE w:val="0"/>
      <w:autoSpaceDN w:val="0"/>
      <w:textAlignment w:val="baseline"/>
      <w:outlineLvl w:val="3"/>
    </w:pPr>
  </w:style>
  <w:style w:type="paragraph" w:customStyle="1" w:styleId="82">
    <w:name w:val="标准文件_附录公式"/>
    <w:basedOn w:val="57"/>
    <w:next w:val="57"/>
    <w:qFormat/>
    <w:uiPriority w:val="0"/>
    <w:pPr>
      <w:tabs>
        <w:tab w:val="center" w:pos="4678"/>
        <w:tab w:val="right" w:leader="middleDot" w:pos="9356"/>
      </w:tabs>
      <w:spacing w:line="240" w:lineRule="auto"/>
      <w:ind w:right="-51" w:firstLine="0" w:firstLineChars="0"/>
    </w:pPr>
    <w:rPr>
      <w:rFonts w:ascii="宋体" w:hAnsi="宋体"/>
    </w:rPr>
  </w:style>
  <w:style w:type="paragraph" w:customStyle="1" w:styleId="83">
    <w:name w:val="标准文件_附录三级条标题"/>
    <w:next w:val="58"/>
    <w:qFormat/>
    <w:uiPriority w:val="0"/>
    <w:pPr>
      <w:widowControl w:val="0"/>
      <w:numPr>
        <w:ilvl w:val="3"/>
        <w:numId w:val="4"/>
      </w:numPr>
      <w:spacing w:beforeLines="50" w:afterLines="50"/>
      <w:jc w:val="both"/>
      <w:outlineLvl w:val="4"/>
    </w:pPr>
    <w:rPr>
      <w:rFonts w:ascii="黑体" w:hAnsi="Times New Roman" w:eastAsia="黑体" w:cs="Times New Roman"/>
      <w:kern w:val="21"/>
      <w:sz w:val="21"/>
      <w:lang w:val="en-US" w:eastAsia="zh-CN" w:bidi="ar-SA"/>
    </w:rPr>
  </w:style>
  <w:style w:type="paragraph" w:customStyle="1" w:styleId="84">
    <w:name w:val="标准文件_附录四级条标题"/>
    <w:next w:val="58"/>
    <w:qFormat/>
    <w:uiPriority w:val="0"/>
    <w:pPr>
      <w:widowControl w:val="0"/>
      <w:numPr>
        <w:ilvl w:val="4"/>
        <w:numId w:val="4"/>
      </w:numPr>
      <w:spacing w:beforeLines="50" w:afterLines="50"/>
      <w:jc w:val="both"/>
      <w:outlineLvl w:val="5"/>
    </w:pPr>
    <w:rPr>
      <w:rFonts w:ascii="黑体" w:hAnsi="Times New Roman" w:eastAsia="黑体" w:cs="Times New Roman"/>
      <w:kern w:val="21"/>
      <w:sz w:val="21"/>
      <w:lang w:val="en-US" w:eastAsia="zh-CN" w:bidi="ar-SA"/>
    </w:rPr>
  </w:style>
  <w:style w:type="paragraph" w:customStyle="1" w:styleId="85">
    <w:name w:val="标准文件_附录图标题"/>
    <w:next w:val="58"/>
    <w:link w:val="244"/>
    <w:qFormat/>
    <w:uiPriority w:val="0"/>
    <w:pPr>
      <w:numPr>
        <w:ilvl w:val="1"/>
        <w:numId w:val="6"/>
      </w:numPr>
      <w:adjustRightInd w:val="0"/>
      <w:snapToGrid w:val="0"/>
      <w:spacing w:beforeLines="50" w:afterLines="50"/>
      <w:ind w:firstLine="420"/>
      <w:jc w:val="center"/>
    </w:pPr>
    <w:rPr>
      <w:rFonts w:ascii="黑体" w:hAnsi="Times New Roman" w:eastAsia="黑体" w:cs="Times New Roman"/>
      <w:sz w:val="21"/>
      <w:lang w:val="en-US" w:eastAsia="zh-CN" w:bidi="ar-SA"/>
    </w:rPr>
  </w:style>
  <w:style w:type="paragraph" w:customStyle="1" w:styleId="86">
    <w:name w:val="标准文件_附录五级条标题"/>
    <w:next w:val="58"/>
    <w:qFormat/>
    <w:uiPriority w:val="0"/>
    <w:pPr>
      <w:widowControl w:val="0"/>
      <w:numPr>
        <w:ilvl w:val="5"/>
        <w:numId w:val="4"/>
      </w:numPr>
      <w:spacing w:beforeLines="50" w:afterLines="50"/>
      <w:jc w:val="both"/>
      <w:outlineLvl w:val="6"/>
    </w:pPr>
    <w:rPr>
      <w:rFonts w:ascii="黑体" w:hAnsi="Times New Roman" w:eastAsia="黑体" w:cs="Times New Roman"/>
      <w:kern w:val="21"/>
      <w:sz w:val="21"/>
      <w:lang w:val="en-US" w:eastAsia="zh-CN" w:bidi="ar-SA"/>
    </w:rPr>
  </w:style>
  <w:style w:type="paragraph" w:customStyle="1" w:styleId="87">
    <w:name w:val="标准文件_附录英文标识"/>
    <w:next w:val="14"/>
    <w:qFormat/>
    <w:uiPriority w:val="0"/>
    <w:pPr>
      <w:numPr>
        <w:ilvl w:val="0"/>
        <w:numId w:val="7"/>
      </w:numPr>
      <w:tabs>
        <w:tab w:val="left" w:pos="6406"/>
      </w:tabs>
      <w:spacing w:before="220" w:after="320"/>
      <w:jc w:val="center"/>
      <w:outlineLvl w:val="0"/>
    </w:pPr>
    <w:rPr>
      <w:rFonts w:ascii="黑体" w:hAnsi="Times New Roman" w:eastAsia="黑体" w:cs="Times New Roman"/>
      <w:sz w:val="21"/>
      <w:lang w:val="en-US" w:eastAsia="zh-CN" w:bidi="ar-SA"/>
    </w:rPr>
  </w:style>
  <w:style w:type="character" w:customStyle="1" w:styleId="88">
    <w:name w:val="正文文本 Char"/>
    <w:link w:val="14"/>
    <w:qFormat/>
    <w:uiPriority w:val="0"/>
    <w:rPr>
      <w:rFonts w:ascii="Times New Roman" w:hAnsi="Times New Roman" w:eastAsia="宋体" w:cs="Times New Roman"/>
      <w:szCs w:val="20"/>
    </w:rPr>
  </w:style>
  <w:style w:type="paragraph" w:customStyle="1" w:styleId="89">
    <w:name w:val="标准文件_附录章标题"/>
    <w:next w:val="58"/>
    <w:qFormat/>
    <w:uiPriority w:val="0"/>
    <w:pPr>
      <w:wordWrap w:val="0"/>
      <w:overflowPunct w:val="0"/>
      <w:autoSpaceDE w:val="0"/>
      <w:spacing w:beforeLines="50" w:afterLines="50"/>
      <w:jc w:val="both"/>
      <w:textAlignment w:val="baseline"/>
      <w:outlineLvl w:val="1"/>
    </w:pPr>
    <w:rPr>
      <w:rFonts w:ascii="黑体" w:hAnsi="Times New Roman" w:eastAsia="黑体" w:cs="Times New Roman"/>
      <w:kern w:val="21"/>
      <w:sz w:val="21"/>
      <w:lang w:val="en-US" w:eastAsia="zh-CN" w:bidi="ar-SA"/>
    </w:rPr>
  </w:style>
  <w:style w:type="paragraph" w:customStyle="1" w:styleId="90">
    <w:name w:val="标准文件_公式后的破折号"/>
    <w:basedOn w:val="58"/>
    <w:next w:val="58"/>
    <w:qFormat/>
    <w:uiPriority w:val="0"/>
    <w:pPr>
      <w:ind w:left="488" w:leftChars="200" w:hanging="289" w:hangingChars="290"/>
    </w:pPr>
  </w:style>
  <w:style w:type="paragraph" w:customStyle="1" w:styleId="91">
    <w:name w:val="标准文件_前言、引言标题"/>
    <w:next w:val="1"/>
    <w:qFormat/>
    <w:uiPriority w:val="0"/>
    <w:pPr>
      <w:numPr>
        <w:ilvl w:val="0"/>
        <w:numId w:val="8"/>
      </w:numPr>
      <w:shd w:val="clear" w:color="FFFFFF" w:fill="FFFFFF"/>
      <w:spacing w:afterLines="150"/>
      <w:ind w:left="0" w:firstLine="0"/>
      <w:jc w:val="center"/>
      <w:outlineLvl w:val="0"/>
    </w:pPr>
    <w:rPr>
      <w:rFonts w:ascii="黑体" w:hAnsi="Times New Roman" w:eastAsia="黑体" w:cs="Times New Roman"/>
      <w:sz w:val="32"/>
      <w:lang w:val="en-US" w:eastAsia="zh-CN" w:bidi="ar-SA"/>
    </w:rPr>
  </w:style>
  <w:style w:type="paragraph" w:customStyle="1" w:styleId="92">
    <w:name w:val="标准文件_目次、标准名称标题"/>
    <w:basedOn w:val="91"/>
    <w:next w:val="58"/>
    <w:qFormat/>
    <w:uiPriority w:val="0"/>
    <w:pPr>
      <w:spacing w:line="460" w:lineRule="exact"/>
    </w:pPr>
  </w:style>
  <w:style w:type="paragraph" w:customStyle="1" w:styleId="93">
    <w:name w:val="标准文件_目录标题"/>
    <w:basedOn w:val="1"/>
    <w:qFormat/>
    <w:uiPriority w:val="0"/>
    <w:pPr>
      <w:spacing w:afterLines="150" w:line="240" w:lineRule="auto"/>
      <w:jc w:val="center"/>
    </w:pPr>
    <w:rPr>
      <w:rFonts w:ascii="黑体" w:eastAsia="黑体"/>
      <w:sz w:val="32"/>
    </w:rPr>
  </w:style>
  <w:style w:type="paragraph" w:customStyle="1" w:styleId="94">
    <w:name w:val="标准文件_破折号列项"/>
    <w:qFormat/>
    <w:uiPriority w:val="0"/>
    <w:pPr>
      <w:numPr>
        <w:ilvl w:val="0"/>
        <w:numId w:val="9"/>
      </w:numPr>
      <w:adjustRightInd w:val="0"/>
      <w:snapToGrid w:val="0"/>
      <w:ind w:left="0" w:firstLine="200" w:firstLineChars="200"/>
    </w:pPr>
    <w:rPr>
      <w:rFonts w:ascii="Times New Roman" w:hAnsi="Times New Roman" w:eastAsia="宋体" w:cs="Times New Roman"/>
      <w:sz w:val="21"/>
      <w:lang w:val="en-US" w:eastAsia="zh-CN" w:bidi="ar-SA"/>
    </w:rPr>
  </w:style>
  <w:style w:type="paragraph" w:customStyle="1" w:styleId="95">
    <w:name w:val="标准文件_破折号列项（二级）"/>
    <w:basedOn w:val="94"/>
    <w:qFormat/>
    <w:uiPriority w:val="0"/>
    <w:pPr>
      <w:numPr>
        <w:numId w:val="10"/>
      </w:numPr>
      <w:ind w:left="0" w:firstLine="200"/>
    </w:pPr>
  </w:style>
  <w:style w:type="paragraph" w:customStyle="1" w:styleId="96">
    <w:name w:val="标准文件_三级条标题"/>
    <w:basedOn w:val="67"/>
    <w:next w:val="58"/>
    <w:qFormat/>
    <w:uiPriority w:val="0"/>
    <w:pPr>
      <w:widowControl/>
      <w:numPr>
        <w:ilvl w:val="4"/>
      </w:numPr>
      <w:outlineLvl w:val="3"/>
    </w:pPr>
  </w:style>
  <w:style w:type="character" w:customStyle="1" w:styleId="97">
    <w:name w:val="Subtle Reference"/>
    <w:qFormat/>
    <w:uiPriority w:val="31"/>
    <w:rPr>
      <w:smallCaps/>
      <w:color w:val="C0504D"/>
      <w:u w:val="single"/>
    </w:rPr>
  </w:style>
  <w:style w:type="paragraph" w:customStyle="1" w:styleId="98">
    <w:name w:val="标准文件_示例后续"/>
    <w:basedOn w:val="1"/>
    <w:qFormat/>
    <w:uiPriority w:val="0"/>
    <w:pPr>
      <w:adjustRightInd/>
      <w:spacing w:line="240" w:lineRule="auto"/>
      <w:ind w:firstLine="200" w:firstLineChars="200"/>
    </w:pPr>
    <w:rPr>
      <w:sz w:val="18"/>
      <w:szCs w:val="24"/>
    </w:rPr>
  </w:style>
  <w:style w:type="paragraph" w:customStyle="1" w:styleId="99">
    <w:name w:val="标准文件_数字编号列项"/>
    <w:qFormat/>
    <w:uiPriority w:val="0"/>
    <w:pPr>
      <w:numPr>
        <w:ilvl w:val="0"/>
        <w:numId w:val="11"/>
      </w:numPr>
      <w:jc w:val="both"/>
    </w:pPr>
    <w:rPr>
      <w:rFonts w:ascii="宋体" w:hAnsi="宋体" w:eastAsia="宋体" w:cs="Times New Roman"/>
      <w:sz w:val="21"/>
      <w:lang w:val="en-US" w:eastAsia="zh-CN" w:bidi="ar-SA"/>
    </w:rPr>
  </w:style>
  <w:style w:type="paragraph" w:customStyle="1" w:styleId="100">
    <w:name w:val="标准文件_四级条标题"/>
    <w:next w:val="58"/>
    <w:qFormat/>
    <w:uiPriority w:val="0"/>
    <w:pPr>
      <w:widowControl w:val="0"/>
      <w:numPr>
        <w:ilvl w:val="5"/>
        <w:numId w:val="2"/>
      </w:numPr>
      <w:spacing w:beforeLines="50" w:afterLines="50"/>
      <w:jc w:val="both"/>
      <w:outlineLvl w:val="4"/>
    </w:pPr>
    <w:rPr>
      <w:rFonts w:ascii="黑体" w:hAnsi="Times New Roman" w:eastAsia="黑体" w:cs="Times New Roman"/>
      <w:sz w:val="21"/>
      <w:lang w:val="en-US" w:eastAsia="zh-CN" w:bidi="ar-SA"/>
    </w:rPr>
  </w:style>
  <w:style w:type="character" w:customStyle="1" w:styleId="101">
    <w:name w:val="脚注文本 Char"/>
    <w:link w:val="22"/>
    <w:semiHidden/>
    <w:qFormat/>
    <w:uiPriority w:val="0"/>
    <w:rPr>
      <w:rFonts w:ascii="宋体" w:hAnsi="Times New Roman" w:eastAsia="宋体" w:cs="Times New Roman"/>
      <w:sz w:val="18"/>
      <w:szCs w:val="18"/>
    </w:rPr>
  </w:style>
  <w:style w:type="paragraph" w:customStyle="1" w:styleId="102">
    <w:name w:val="标准文件_条文脚注"/>
    <w:basedOn w:val="22"/>
    <w:qFormat/>
    <w:uiPriority w:val="0"/>
    <w:pPr>
      <w:adjustRightInd w:val="0"/>
      <w:spacing w:line="240" w:lineRule="auto"/>
      <w:ind w:left="0" w:leftChars="0" w:firstLine="200" w:firstLineChars="200"/>
      <w:jc w:val="both"/>
    </w:pPr>
    <w:rPr>
      <w:rFonts w:hAnsi="宋体"/>
    </w:rPr>
  </w:style>
  <w:style w:type="paragraph" w:customStyle="1" w:styleId="103">
    <w:name w:val="标准文件_图表脚注"/>
    <w:basedOn w:val="1"/>
    <w:next w:val="58"/>
    <w:qFormat/>
    <w:uiPriority w:val="0"/>
    <w:pPr>
      <w:numPr>
        <w:ilvl w:val="0"/>
        <w:numId w:val="12"/>
      </w:numPr>
      <w:spacing w:line="240" w:lineRule="auto"/>
      <w:jc w:val="left"/>
    </w:pPr>
    <w:rPr>
      <w:rFonts w:ascii="宋体" w:hAnsi="宋体"/>
      <w:sz w:val="18"/>
    </w:rPr>
  </w:style>
  <w:style w:type="character" w:customStyle="1" w:styleId="104">
    <w:name w:val="标准文件_图表脚注内容"/>
    <w:qFormat/>
    <w:uiPriority w:val="0"/>
    <w:rPr>
      <w:rFonts w:ascii="宋体" w:hAnsi="宋体" w:eastAsia="宋体" w:cs="Times New Roman"/>
      <w:spacing w:val="0"/>
      <w:sz w:val="18"/>
      <w:vertAlign w:val="superscript"/>
    </w:rPr>
  </w:style>
  <w:style w:type="paragraph" w:customStyle="1" w:styleId="105">
    <w:name w:val="标准文件_五级条标题"/>
    <w:next w:val="58"/>
    <w:qFormat/>
    <w:uiPriority w:val="0"/>
    <w:pPr>
      <w:widowControl w:val="0"/>
      <w:numPr>
        <w:ilvl w:val="6"/>
        <w:numId w:val="2"/>
      </w:numPr>
      <w:spacing w:beforeLines="50" w:afterLines="50"/>
      <w:jc w:val="both"/>
      <w:outlineLvl w:val="5"/>
    </w:pPr>
    <w:rPr>
      <w:rFonts w:ascii="黑体" w:hAnsi="Times New Roman" w:eastAsia="黑体" w:cs="Times New Roman"/>
      <w:sz w:val="21"/>
      <w:lang w:val="en-US" w:eastAsia="zh-CN" w:bidi="ar-SA"/>
    </w:rPr>
  </w:style>
  <w:style w:type="paragraph" w:customStyle="1" w:styleId="106">
    <w:name w:val="标准文件_章标题"/>
    <w:next w:val="58"/>
    <w:qFormat/>
    <w:uiPriority w:val="0"/>
    <w:pPr>
      <w:numPr>
        <w:ilvl w:val="1"/>
        <w:numId w:val="2"/>
      </w:numPr>
      <w:spacing w:beforeLines="100" w:afterLines="100"/>
      <w:jc w:val="both"/>
      <w:outlineLvl w:val="0"/>
    </w:pPr>
    <w:rPr>
      <w:rFonts w:ascii="黑体" w:hAnsi="Times New Roman" w:eastAsia="黑体" w:cs="Times New Roman"/>
      <w:sz w:val="21"/>
      <w:lang w:val="en-US" w:eastAsia="zh-CN" w:bidi="ar-SA"/>
    </w:rPr>
  </w:style>
  <w:style w:type="paragraph" w:customStyle="1" w:styleId="107">
    <w:name w:val="标准文件_一级条标题"/>
    <w:basedOn w:val="106"/>
    <w:next w:val="58"/>
    <w:qFormat/>
    <w:uiPriority w:val="0"/>
    <w:pPr>
      <w:numPr>
        <w:ilvl w:val="2"/>
      </w:numPr>
      <w:spacing w:beforeLines="50" w:afterLines="50"/>
      <w:outlineLvl w:val="1"/>
    </w:pPr>
  </w:style>
  <w:style w:type="paragraph" w:customStyle="1" w:styleId="108">
    <w:name w:val="标准文件_一致程度"/>
    <w:basedOn w:val="1"/>
    <w:qFormat/>
    <w:uiPriority w:val="0"/>
    <w:pPr>
      <w:spacing w:line="440" w:lineRule="exact"/>
      <w:jc w:val="center"/>
    </w:pPr>
    <w:rPr>
      <w:sz w:val="28"/>
    </w:rPr>
  </w:style>
  <w:style w:type="paragraph" w:customStyle="1" w:styleId="109">
    <w:name w:val="标准文件_引言标题"/>
    <w:next w:val="1"/>
    <w:qFormat/>
    <w:uiPriority w:val="0"/>
    <w:pPr>
      <w:shd w:val="clear" w:color="FFFFFF" w:fill="FFFFFF"/>
      <w:spacing w:before="540" w:after="600"/>
      <w:jc w:val="center"/>
      <w:outlineLvl w:val="0"/>
    </w:pPr>
    <w:rPr>
      <w:rFonts w:ascii="黑体" w:hAnsi="Times New Roman" w:eastAsia="黑体" w:cs="Times New Roman"/>
      <w:sz w:val="32"/>
      <w:lang w:val="en-US" w:eastAsia="zh-CN" w:bidi="ar-SA"/>
    </w:rPr>
  </w:style>
  <w:style w:type="paragraph" w:customStyle="1" w:styleId="110">
    <w:name w:val="标准文件_英文图表脚注"/>
    <w:basedOn w:val="57"/>
    <w:qFormat/>
    <w:uiPriority w:val="0"/>
    <w:pPr>
      <w:widowControl/>
      <w:adjustRightInd/>
      <w:snapToGrid/>
      <w:spacing w:line="240" w:lineRule="auto"/>
      <w:ind w:left="79" w:hanging="79" w:hangingChars="80"/>
    </w:pPr>
    <w:rPr>
      <w:rFonts w:ascii="宋体" w:hAnsi="宋体"/>
    </w:rPr>
  </w:style>
  <w:style w:type="paragraph" w:customStyle="1" w:styleId="111">
    <w:name w:val="标准文件_数字编号列项（二级）"/>
    <w:qFormat/>
    <w:uiPriority w:val="0"/>
    <w:pPr>
      <w:numPr>
        <w:ilvl w:val="1"/>
        <w:numId w:val="13"/>
      </w:numPr>
      <w:jc w:val="both"/>
    </w:pPr>
    <w:rPr>
      <w:rFonts w:ascii="宋体" w:hAnsi="Times New Roman" w:eastAsia="宋体" w:cs="Times New Roman"/>
      <w:sz w:val="21"/>
      <w:lang w:val="en-US" w:eastAsia="zh-CN" w:bidi="ar-SA"/>
    </w:rPr>
  </w:style>
  <w:style w:type="paragraph" w:customStyle="1" w:styleId="112">
    <w:name w:val="标准文件_英文注："/>
    <w:basedOn w:val="1"/>
    <w:next w:val="58"/>
    <w:qFormat/>
    <w:uiPriority w:val="0"/>
    <w:pPr>
      <w:numPr>
        <w:ilvl w:val="0"/>
        <w:numId w:val="14"/>
      </w:numPr>
      <w:tabs>
        <w:tab w:val="left" w:pos="420"/>
      </w:tabs>
      <w:autoSpaceDE w:val="0"/>
      <w:autoSpaceDN w:val="0"/>
      <w:spacing w:line="240" w:lineRule="auto"/>
    </w:pPr>
    <w:rPr>
      <w:rFonts w:ascii="宋体" w:hAnsi="宋体"/>
      <w:kern w:val="0"/>
      <w:sz w:val="18"/>
      <w:szCs w:val="20"/>
    </w:rPr>
  </w:style>
  <w:style w:type="paragraph" w:customStyle="1" w:styleId="113">
    <w:name w:val="标准文件_英文注×："/>
    <w:basedOn w:val="1"/>
    <w:qFormat/>
    <w:uiPriority w:val="0"/>
    <w:pPr>
      <w:numPr>
        <w:ilvl w:val="0"/>
        <w:numId w:val="15"/>
      </w:numPr>
      <w:tabs>
        <w:tab w:val="left" w:pos="210"/>
      </w:tabs>
      <w:autoSpaceDE w:val="0"/>
      <w:autoSpaceDN w:val="0"/>
      <w:spacing w:line="240" w:lineRule="auto"/>
    </w:pPr>
    <w:rPr>
      <w:rFonts w:ascii="宋体" w:hAnsi="宋体"/>
      <w:kern w:val="0"/>
      <w:szCs w:val="20"/>
    </w:rPr>
  </w:style>
  <w:style w:type="paragraph" w:customStyle="1" w:styleId="114">
    <w:name w:val="标准文件_正文表标题"/>
    <w:next w:val="58"/>
    <w:qFormat/>
    <w:uiPriority w:val="0"/>
    <w:pPr>
      <w:numPr>
        <w:ilvl w:val="0"/>
        <w:numId w:val="16"/>
      </w:numPr>
      <w:tabs>
        <w:tab w:val="left" w:pos="0"/>
      </w:tabs>
      <w:spacing w:beforeLines="50" w:afterLines="50"/>
      <w:jc w:val="center"/>
    </w:pPr>
    <w:rPr>
      <w:rFonts w:ascii="黑体" w:hAnsi="Times New Roman" w:eastAsia="黑体" w:cs="Times New Roman"/>
      <w:sz w:val="21"/>
      <w:lang w:val="en-US" w:eastAsia="zh-CN" w:bidi="ar-SA"/>
    </w:rPr>
  </w:style>
  <w:style w:type="paragraph" w:customStyle="1" w:styleId="115">
    <w:name w:val="标准文件_正文公式"/>
    <w:basedOn w:val="1"/>
    <w:next w:val="57"/>
    <w:qFormat/>
    <w:uiPriority w:val="0"/>
    <w:pPr>
      <w:tabs>
        <w:tab w:val="center" w:pos="4678"/>
        <w:tab w:val="right" w:leader="middleDot" w:pos="9356"/>
      </w:tabs>
      <w:spacing w:line="240" w:lineRule="auto"/>
    </w:pPr>
    <w:rPr>
      <w:rFonts w:ascii="宋体" w:hAnsi="宋体"/>
    </w:rPr>
  </w:style>
  <w:style w:type="paragraph" w:customStyle="1" w:styleId="116">
    <w:name w:val="标准文件_正文图标题"/>
    <w:next w:val="58"/>
    <w:qFormat/>
    <w:uiPriority w:val="0"/>
    <w:pPr>
      <w:numPr>
        <w:ilvl w:val="0"/>
        <w:numId w:val="17"/>
      </w:numPr>
      <w:spacing w:beforeLines="50" w:afterLines="50"/>
      <w:jc w:val="center"/>
    </w:pPr>
    <w:rPr>
      <w:rFonts w:ascii="黑体" w:hAnsi="Times New Roman" w:eastAsia="黑体" w:cs="Times New Roman"/>
      <w:sz w:val="21"/>
      <w:lang w:val="en-US" w:eastAsia="zh-CN" w:bidi="ar-SA"/>
    </w:rPr>
  </w:style>
  <w:style w:type="paragraph" w:customStyle="1" w:styleId="117">
    <w:name w:val="标准文件_正文英文表标题"/>
    <w:next w:val="58"/>
    <w:qFormat/>
    <w:uiPriority w:val="0"/>
    <w:pPr>
      <w:numPr>
        <w:ilvl w:val="0"/>
        <w:numId w:val="18"/>
      </w:numPr>
      <w:jc w:val="center"/>
    </w:pPr>
    <w:rPr>
      <w:rFonts w:ascii="黑体" w:hAnsi="Times New Roman" w:eastAsia="黑体" w:cs="Times New Roman"/>
      <w:sz w:val="21"/>
      <w:lang w:val="en-US" w:eastAsia="zh-CN" w:bidi="ar-SA"/>
    </w:rPr>
  </w:style>
  <w:style w:type="paragraph" w:customStyle="1" w:styleId="118">
    <w:name w:val="标准文件_正文英文图标题"/>
    <w:next w:val="58"/>
    <w:qFormat/>
    <w:uiPriority w:val="0"/>
    <w:pPr>
      <w:numPr>
        <w:ilvl w:val="0"/>
        <w:numId w:val="19"/>
      </w:numPr>
      <w:jc w:val="center"/>
    </w:pPr>
    <w:rPr>
      <w:rFonts w:ascii="黑体" w:hAnsi="Times New Roman" w:eastAsia="黑体" w:cs="Times New Roman"/>
      <w:sz w:val="21"/>
      <w:lang w:val="en-US" w:eastAsia="zh-CN" w:bidi="ar-SA"/>
    </w:rPr>
  </w:style>
  <w:style w:type="paragraph" w:customStyle="1" w:styleId="119">
    <w:name w:val="标准文件_编号列项（三级）"/>
    <w:qFormat/>
    <w:uiPriority w:val="0"/>
    <w:pPr>
      <w:numPr>
        <w:ilvl w:val="2"/>
        <w:numId w:val="13"/>
      </w:numPr>
    </w:pPr>
    <w:rPr>
      <w:rFonts w:ascii="宋体" w:hAnsi="Times New Roman" w:eastAsia="宋体" w:cs="Times New Roman"/>
      <w:sz w:val="21"/>
      <w:lang w:val="en-US" w:eastAsia="zh-CN" w:bidi="ar-SA"/>
    </w:rPr>
  </w:style>
  <w:style w:type="paragraph" w:customStyle="1" w:styleId="120">
    <w:name w:val="二级无标题条"/>
    <w:basedOn w:val="1"/>
    <w:qFormat/>
    <w:uiPriority w:val="0"/>
    <w:pPr>
      <w:numPr>
        <w:ilvl w:val="3"/>
        <w:numId w:val="20"/>
      </w:numPr>
      <w:adjustRightInd/>
      <w:spacing w:line="240" w:lineRule="auto"/>
    </w:pPr>
    <w:rPr>
      <w:rFonts w:ascii="宋体" w:hAnsi="宋体"/>
      <w:szCs w:val="24"/>
    </w:rPr>
  </w:style>
  <w:style w:type="paragraph" w:customStyle="1" w:styleId="121">
    <w:name w:val="发布部门"/>
    <w:next w:val="58"/>
    <w:qFormat/>
    <w:uiPriority w:val="0"/>
    <w:pPr>
      <w:framePr w:w="7433" w:h="585" w:hRule="exact" w:hSpace="180" w:vSpace="180" w:wrap="around" w:vAnchor="margin" w:hAnchor="margin" w:xAlign="center" w:y="14401" w:anchorLock="1"/>
      <w:jc w:val="center"/>
    </w:pPr>
    <w:rPr>
      <w:rFonts w:ascii="宋体" w:hAnsi="Times New Roman" w:eastAsia="宋体" w:cs="Times New Roman"/>
      <w:b/>
      <w:w w:val="135"/>
      <w:sz w:val="36"/>
      <w:lang w:val="en-US" w:eastAsia="zh-CN" w:bidi="ar-SA"/>
    </w:rPr>
  </w:style>
  <w:style w:type="paragraph" w:customStyle="1" w:styleId="122">
    <w:name w:val="发布日期"/>
    <w:qFormat/>
    <w:uiPriority w:val="0"/>
    <w:pPr>
      <w:framePr w:w="4000" w:h="473" w:hRule="exact" w:hSpace="180" w:vSpace="180" w:wrap="around" w:vAnchor="margin" w:hAnchor="margin" w:y="13511" w:anchorLock="1"/>
    </w:pPr>
    <w:rPr>
      <w:rFonts w:ascii="Times New Roman" w:hAnsi="Times New Roman" w:eastAsia="黑体" w:cs="Times New Roman"/>
      <w:sz w:val="28"/>
      <w:lang w:val="en-US" w:eastAsia="zh-CN" w:bidi="ar-SA"/>
    </w:rPr>
  </w:style>
  <w:style w:type="paragraph" w:customStyle="1" w:styleId="123">
    <w:name w:val="封面标准代替信息"/>
    <w:basedOn w:val="1"/>
    <w:qFormat/>
    <w:uiPriority w:val="0"/>
    <w:pPr>
      <w:framePr w:w="9138" w:h="1244" w:hRule="exact" w:wrap="auto"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124">
    <w:name w:val="封面标准名称"/>
    <w:qFormat/>
    <w:uiPriority w:val="0"/>
    <w:pPr>
      <w:framePr w:w="9638" w:h="6917" w:hRule="exact" w:wrap="around" w:vAnchor="margin" w:hAnchor="margin" w:xAlign="center" w:y="5955" w:anchorLock="1"/>
      <w:widowControl w:val="0"/>
      <w:spacing w:line="680" w:lineRule="exact"/>
      <w:jc w:val="center"/>
      <w:textAlignment w:val="center"/>
    </w:pPr>
    <w:rPr>
      <w:rFonts w:ascii="黑体" w:hAnsi="Times New Roman" w:eastAsia="黑体" w:cs="Times New Roman"/>
      <w:sz w:val="52"/>
      <w:lang w:val="en-US" w:eastAsia="zh-CN" w:bidi="ar-SA"/>
    </w:rPr>
  </w:style>
  <w:style w:type="paragraph" w:customStyle="1" w:styleId="125">
    <w:name w:val="封面标准文稿编辑信息"/>
    <w:qFormat/>
    <w:uiPriority w:val="0"/>
    <w:pPr>
      <w:spacing w:before="180" w:line="180" w:lineRule="exact"/>
      <w:jc w:val="center"/>
    </w:pPr>
    <w:rPr>
      <w:rFonts w:ascii="宋体" w:hAnsi="Times New Roman" w:eastAsia="宋体" w:cs="Times New Roman"/>
      <w:sz w:val="21"/>
      <w:lang w:val="en-US" w:eastAsia="zh-CN" w:bidi="ar-SA"/>
    </w:rPr>
  </w:style>
  <w:style w:type="paragraph" w:customStyle="1" w:styleId="126">
    <w:name w:val="封面标准文稿类别"/>
    <w:qFormat/>
    <w:uiPriority w:val="0"/>
    <w:pPr>
      <w:spacing w:before="440" w:line="400" w:lineRule="exact"/>
      <w:jc w:val="center"/>
    </w:pPr>
    <w:rPr>
      <w:rFonts w:ascii="宋体" w:hAnsi="Times New Roman" w:eastAsia="宋体" w:cs="Times New Roman"/>
      <w:sz w:val="24"/>
      <w:lang w:val="en-US" w:eastAsia="zh-CN" w:bidi="ar-SA"/>
    </w:rPr>
  </w:style>
  <w:style w:type="paragraph" w:customStyle="1" w:styleId="127">
    <w:name w:val="封面标准英文名称"/>
    <w:qFormat/>
    <w:uiPriority w:val="0"/>
    <w:pPr>
      <w:widowControl w:val="0"/>
      <w:spacing w:line="360" w:lineRule="exact"/>
      <w:jc w:val="center"/>
    </w:pPr>
    <w:rPr>
      <w:rFonts w:ascii="Times New Roman" w:hAnsi="Times New Roman" w:eastAsia="宋体" w:cs="Times New Roman"/>
      <w:sz w:val="28"/>
      <w:lang w:val="en-US" w:eastAsia="zh-CN" w:bidi="ar-SA"/>
    </w:rPr>
  </w:style>
  <w:style w:type="paragraph" w:customStyle="1" w:styleId="128">
    <w:name w:val="封面一致性程度标识"/>
    <w:qFormat/>
    <w:uiPriority w:val="0"/>
    <w:pPr>
      <w:spacing w:before="440" w:line="440" w:lineRule="exact"/>
      <w:jc w:val="center"/>
    </w:pPr>
    <w:rPr>
      <w:rFonts w:ascii="Times New Roman" w:hAnsi="Times New Roman" w:eastAsia="宋体" w:cs="Times New Roman"/>
      <w:sz w:val="28"/>
      <w:lang w:val="en-US" w:eastAsia="zh-CN" w:bidi="ar-SA"/>
    </w:rPr>
  </w:style>
  <w:style w:type="paragraph" w:customStyle="1" w:styleId="129">
    <w:name w:val="封面正文"/>
    <w:qFormat/>
    <w:uiPriority w:val="0"/>
    <w:pPr>
      <w:jc w:val="both"/>
    </w:pPr>
    <w:rPr>
      <w:rFonts w:ascii="Times New Roman" w:hAnsi="Times New Roman" w:eastAsia="宋体" w:cs="Times New Roman"/>
      <w:lang w:val="en-US" w:eastAsia="zh-CN" w:bidi="ar-SA"/>
    </w:rPr>
  </w:style>
  <w:style w:type="paragraph" w:customStyle="1" w:styleId="130">
    <w:name w:val="附录二级无标题条"/>
    <w:basedOn w:val="1"/>
    <w:next w:val="58"/>
    <w:qFormat/>
    <w:uiPriority w:val="0"/>
    <w:pPr>
      <w:widowControl/>
      <w:wordWrap w:val="0"/>
      <w:overflowPunct w:val="0"/>
      <w:autoSpaceDE w:val="0"/>
      <w:autoSpaceDN w:val="0"/>
      <w:adjustRightInd/>
      <w:spacing w:line="240" w:lineRule="auto"/>
      <w:textAlignment w:val="baseline"/>
      <w:outlineLvl w:val="3"/>
    </w:pPr>
    <w:rPr>
      <w:rFonts w:ascii="宋体" w:hAnsi="宋体"/>
      <w:kern w:val="21"/>
    </w:rPr>
  </w:style>
  <w:style w:type="paragraph" w:customStyle="1" w:styleId="131">
    <w:name w:val="附录三级无标题条"/>
    <w:basedOn w:val="130"/>
    <w:next w:val="58"/>
    <w:qFormat/>
    <w:uiPriority w:val="0"/>
    <w:pPr>
      <w:outlineLvl w:val="4"/>
    </w:pPr>
  </w:style>
  <w:style w:type="paragraph" w:customStyle="1" w:styleId="132">
    <w:name w:val="附录四级无标题条"/>
    <w:basedOn w:val="131"/>
    <w:next w:val="58"/>
    <w:qFormat/>
    <w:uiPriority w:val="0"/>
    <w:pPr>
      <w:outlineLvl w:val="5"/>
    </w:pPr>
  </w:style>
  <w:style w:type="paragraph" w:customStyle="1" w:styleId="133">
    <w:name w:val="附录图"/>
    <w:next w:val="58"/>
    <w:qFormat/>
    <w:uiPriority w:val="0"/>
    <w:pPr>
      <w:wordWrap w:val="0"/>
      <w:overflowPunct w:val="0"/>
      <w:autoSpaceDE w:val="0"/>
      <w:spacing w:beforeLines="50" w:afterLines="50"/>
      <w:jc w:val="center"/>
      <w:textAlignment w:val="baseline"/>
      <w:outlineLvl w:val="1"/>
    </w:pPr>
    <w:rPr>
      <w:rFonts w:ascii="黑体" w:hAnsi="Times New Roman" w:eastAsia="黑体" w:cs="Times New Roman"/>
      <w:kern w:val="21"/>
      <w:sz w:val="21"/>
      <w:lang w:val="en-US" w:eastAsia="zh-CN" w:bidi="ar-SA"/>
    </w:rPr>
  </w:style>
  <w:style w:type="paragraph" w:customStyle="1" w:styleId="134">
    <w:name w:val="标准文件_一级项"/>
    <w:qFormat/>
    <w:uiPriority w:val="0"/>
    <w:pPr>
      <w:numPr>
        <w:ilvl w:val="0"/>
        <w:numId w:val="21"/>
      </w:numPr>
    </w:pPr>
    <w:rPr>
      <w:rFonts w:ascii="宋体" w:hAnsi="Times New Roman" w:eastAsia="宋体" w:cs="Times New Roman"/>
      <w:sz w:val="21"/>
      <w:lang w:val="en-US" w:eastAsia="zh-CN" w:bidi="ar-SA"/>
    </w:rPr>
  </w:style>
  <w:style w:type="paragraph" w:customStyle="1" w:styleId="135">
    <w:name w:val="附录五级无标题条"/>
    <w:basedOn w:val="132"/>
    <w:next w:val="58"/>
    <w:qFormat/>
    <w:uiPriority w:val="0"/>
    <w:pPr>
      <w:outlineLvl w:val="6"/>
    </w:pPr>
  </w:style>
  <w:style w:type="paragraph" w:customStyle="1" w:styleId="136">
    <w:name w:val="附录性质"/>
    <w:basedOn w:val="1"/>
    <w:qFormat/>
    <w:uiPriority w:val="0"/>
    <w:pPr>
      <w:widowControl/>
      <w:adjustRightInd/>
      <w:jc w:val="center"/>
    </w:pPr>
    <w:rPr>
      <w:rFonts w:ascii="黑体" w:eastAsia="黑体"/>
    </w:rPr>
  </w:style>
  <w:style w:type="paragraph" w:customStyle="1" w:styleId="137">
    <w:name w:val="附录一级无标题条"/>
    <w:basedOn w:val="89"/>
    <w:next w:val="58"/>
    <w:qFormat/>
    <w:uiPriority w:val="0"/>
    <w:pPr>
      <w:autoSpaceDN w:val="0"/>
      <w:outlineLvl w:val="2"/>
    </w:pPr>
    <w:rPr>
      <w:rFonts w:ascii="宋体" w:hAnsi="宋体" w:eastAsia="宋体"/>
    </w:rPr>
  </w:style>
  <w:style w:type="character" w:customStyle="1" w:styleId="138">
    <w:name w:val="个人答复风格"/>
    <w:qFormat/>
    <w:uiPriority w:val="0"/>
    <w:rPr>
      <w:rFonts w:ascii="Arial" w:hAnsi="Arial" w:eastAsia="宋体" w:cs="Arial"/>
      <w:color w:val="auto"/>
      <w:spacing w:val="0"/>
      <w:sz w:val="20"/>
    </w:rPr>
  </w:style>
  <w:style w:type="character" w:customStyle="1" w:styleId="139">
    <w:name w:val="个人撰写风格"/>
    <w:qFormat/>
    <w:uiPriority w:val="0"/>
    <w:rPr>
      <w:rFonts w:ascii="Arial" w:hAnsi="Arial" w:eastAsia="宋体" w:cs="Arial"/>
      <w:color w:val="auto"/>
      <w:spacing w:val="0"/>
      <w:sz w:val="20"/>
    </w:rPr>
  </w:style>
  <w:style w:type="paragraph" w:customStyle="1" w:styleId="140">
    <w:name w:val="脚注后续"/>
    <w:qFormat/>
    <w:uiPriority w:val="0"/>
    <w:pPr>
      <w:ind w:left="350" w:leftChars="350"/>
      <w:jc w:val="both"/>
    </w:pPr>
    <w:rPr>
      <w:rFonts w:ascii="宋体" w:hAnsi="Times New Roman" w:eastAsia="宋体" w:cs="Times New Roman"/>
      <w:sz w:val="18"/>
      <w:lang w:val="en-US" w:eastAsia="zh-CN" w:bidi="ar-SA"/>
    </w:rPr>
  </w:style>
  <w:style w:type="paragraph" w:customStyle="1" w:styleId="141">
    <w:name w:val="列项——"/>
    <w:qFormat/>
    <w:uiPriority w:val="0"/>
    <w:pPr>
      <w:widowControl w:val="0"/>
      <w:numPr>
        <w:ilvl w:val="0"/>
        <w:numId w:val="22"/>
      </w:numPr>
      <w:jc w:val="both"/>
    </w:pPr>
    <w:rPr>
      <w:rFonts w:ascii="宋体" w:hAnsi="宋体" w:eastAsia="宋体" w:cs="Times New Roman"/>
      <w:sz w:val="21"/>
      <w:lang w:val="en-US" w:eastAsia="zh-CN" w:bidi="ar-SA"/>
    </w:rPr>
  </w:style>
  <w:style w:type="paragraph" w:customStyle="1" w:styleId="142">
    <w:name w:val="列项·"/>
    <w:basedOn w:val="58"/>
    <w:qFormat/>
    <w:uiPriority w:val="0"/>
    <w:pPr>
      <w:tabs>
        <w:tab w:val="left" w:pos="840"/>
      </w:tabs>
    </w:pPr>
  </w:style>
  <w:style w:type="paragraph" w:customStyle="1" w:styleId="143">
    <w:name w:val="目次、索引正文"/>
    <w:qFormat/>
    <w:uiPriority w:val="0"/>
    <w:pPr>
      <w:spacing w:line="320" w:lineRule="exact"/>
      <w:jc w:val="both"/>
    </w:pPr>
    <w:rPr>
      <w:rFonts w:ascii="宋体" w:hAnsi="Times New Roman" w:eastAsia="宋体" w:cs="Times New Roman"/>
      <w:sz w:val="21"/>
      <w:lang w:val="en-US" w:eastAsia="zh-CN" w:bidi="ar-SA"/>
    </w:rPr>
  </w:style>
  <w:style w:type="paragraph" w:customStyle="1" w:styleId="144">
    <w:name w:val="目录 21"/>
    <w:basedOn w:val="1"/>
    <w:next w:val="1"/>
    <w:semiHidden/>
    <w:qFormat/>
    <w:uiPriority w:val="0"/>
    <w:pPr>
      <w:adjustRightInd/>
      <w:spacing w:line="240" w:lineRule="auto"/>
      <w:jc w:val="left"/>
    </w:pPr>
    <w:rPr>
      <w:bCs/>
      <w:iCs/>
    </w:rPr>
  </w:style>
  <w:style w:type="paragraph" w:customStyle="1" w:styleId="145">
    <w:name w:val="目录 31"/>
    <w:basedOn w:val="1"/>
    <w:next w:val="1"/>
    <w:semiHidden/>
    <w:qFormat/>
    <w:uiPriority w:val="0"/>
    <w:pPr>
      <w:spacing w:line="240" w:lineRule="auto"/>
    </w:pPr>
    <w:rPr>
      <w:rFonts w:ascii="宋体" w:hAnsi="宋体"/>
      <w:iCs/>
    </w:rPr>
  </w:style>
  <w:style w:type="paragraph" w:customStyle="1" w:styleId="146">
    <w:name w:val="目录 41"/>
    <w:basedOn w:val="1"/>
    <w:next w:val="1"/>
    <w:semiHidden/>
    <w:qFormat/>
    <w:uiPriority w:val="0"/>
    <w:pPr>
      <w:adjustRightInd/>
      <w:spacing w:line="240" w:lineRule="auto"/>
      <w:jc w:val="left"/>
    </w:pPr>
  </w:style>
  <w:style w:type="paragraph" w:customStyle="1" w:styleId="147">
    <w:name w:val="目录 51"/>
    <w:basedOn w:val="1"/>
    <w:next w:val="1"/>
    <w:semiHidden/>
    <w:qFormat/>
    <w:uiPriority w:val="0"/>
    <w:pPr>
      <w:spacing w:line="240" w:lineRule="auto"/>
    </w:pPr>
    <w:rPr>
      <w:rFonts w:ascii="宋体" w:hAnsi="宋体"/>
    </w:rPr>
  </w:style>
  <w:style w:type="paragraph" w:customStyle="1" w:styleId="148">
    <w:name w:val="目录 61"/>
    <w:basedOn w:val="1"/>
    <w:next w:val="1"/>
    <w:semiHidden/>
    <w:qFormat/>
    <w:uiPriority w:val="0"/>
    <w:pPr>
      <w:adjustRightInd/>
      <w:spacing w:line="240" w:lineRule="auto"/>
      <w:jc w:val="left"/>
    </w:pPr>
  </w:style>
  <w:style w:type="paragraph" w:customStyle="1" w:styleId="149">
    <w:name w:val="目录 71"/>
    <w:basedOn w:val="148"/>
    <w:semiHidden/>
    <w:qFormat/>
    <w:uiPriority w:val="0"/>
    <w:pPr>
      <w:ind w:left="1260"/>
    </w:pPr>
  </w:style>
  <w:style w:type="paragraph" w:customStyle="1" w:styleId="150">
    <w:name w:val="目录 81"/>
    <w:basedOn w:val="149"/>
    <w:semiHidden/>
    <w:qFormat/>
    <w:uiPriority w:val="0"/>
    <w:pPr>
      <w:ind w:left="1470"/>
    </w:pPr>
  </w:style>
  <w:style w:type="paragraph" w:customStyle="1" w:styleId="151">
    <w:name w:val="目录 91"/>
    <w:basedOn w:val="150"/>
    <w:semiHidden/>
    <w:qFormat/>
    <w:uiPriority w:val="0"/>
    <w:pPr>
      <w:ind w:left="1680"/>
    </w:pPr>
  </w:style>
  <w:style w:type="paragraph" w:customStyle="1" w:styleId="152">
    <w:name w:val="其他标准称谓"/>
    <w:qFormat/>
    <w:uiPriority w:val="0"/>
    <w:pPr>
      <w:spacing w:line="0" w:lineRule="atLeast"/>
      <w:jc w:val="distribute"/>
    </w:pPr>
    <w:rPr>
      <w:rFonts w:ascii="黑体" w:hAnsi="宋体" w:eastAsia="黑体" w:cs="Times New Roman"/>
      <w:sz w:val="52"/>
      <w:lang w:val="en-US" w:eastAsia="zh-CN" w:bidi="ar-SA"/>
    </w:rPr>
  </w:style>
  <w:style w:type="paragraph" w:customStyle="1" w:styleId="153">
    <w:name w:val="其他发布部门"/>
    <w:basedOn w:val="121"/>
    <w:qFormat/>
    <w:uiPriority w:val="0"/>
    <w:pPr>
      <w:framePr w:wrap="around"/>
      <w:spacing w:line="0" w:lineRule="atLeast"/>
    </w:pPr>
    <w:rPr>
      <w:rFonts w:ascii="黑体" w:eastAsia="黑体"/>
      <w:b w:val="0"/>
    </w:rPr>
  </w:style>
  <w:style w:type="paragraph" w:customStyle="1" w:styleId="154">
    <w:name w:val="前言标题"/>
    <w:next w:val="1"/>
    <w:qFormat/>
    <w:uiPriority w:val="0"/>
    <w:pPr>
      <w:numPr>
        <w:ilvl w:val="0"/>
        <w:numId w:val="2"/>
      </w:numPr>
      <w:shd w:val="clear" w:color="FFFFFF" w:fill="FFFFFF"/>
      <w:spacing w:before="540" w:after="600"/>
      <w:jc w:val="center"/>
      <w:outlineLvl w:val="0"/>
    </w:pPr>
    <w:rPr>
      <w:rFonts w:ascii="黑体" w:hAnsi="Times New Roman" w:eastAsia="黑体" w:cs="Times New Roman"/>
      <w:sz w:val="32"/>
      <w:lang w:val="en-US" w:eastAsia="zh-CN" w:bidi="ar-SA"/>
    </w:rPr>
  </w:style>
  <w:style w:type="paragraph" w:customStyle="1" w:styleId="155">
    <w:name w:val="三级无标题条"/>
    <w:basedOn w:val="1"/>
    <w:qFormat/>
    <w:uiPriority w:val="0"/>
    <w:pPr>
      <w:numPr>
        <w:ilvl w:val="4"/>
        <w:numId w:val="20"/>
      </w:numPr>
      <w:adjustRightInd/>
      <w:spacing w:line="240" w:lineRule="auto"/>
    </w:pPr>
    <w:rPr>
      <w:rFonts w:ascii="宋体" w:hAnsi="宋体"/>
      <w:szCs w:val="24"/>
    </w:rPr>
  </w:style>
  <w:style w:type="paragraph" w:customStyle="1" w:styleId="156">
    <w:name w:val="实施日期"/>
    <w:basedOn w:val="122"/>
    <w:qFormat/>
    <w:uiPriority w:val="0"/>
    <w:pPr>
      <w:framePr w:hSpace="0" w:wrap="around" w:xAlign="right"/>
      <w:jc w:val="right"/>
    </w:pPr>
  </w:style>
  <w:style w:type="paragraph" w:customStyle="1" w:styleId="157">
    <w:name w:val="四级无标题条"/>
    <w:basedOn w:val="1"/>
    <w:qFormat/>
    <w:uiPriority w:val="0"/>
    <w:pPr>
      <w:numPr>
        <w:ilvl w:val="5"/>
        <w:numId w:val="20"/>
      </w:numPr>
      <w:adjustRightInd/>
      <w:spacing w:line="240" w:lineRule="auto"/>
    </w:pPr>
    <w:rPr>
      <w:rFonts w:ascii="宋体" w:hAnsi="宋体"/>
      <w:szCs w:val="24"/>
    </w:rPr>
  </w:style>
  <w:style w:type="paragraph" w:customStyle="1" w:styleId="158">
    <w:name w:val="文献分类号"/>
    <w:qFormat/>
    <w:uiPriority w:val="0"/>
    <w:pPr>
      <w:framePr w:hSpace="180" w:vSpace="180" w:wrap="around" w:vAnchor="margin" w:hAnchor="margin" w:y="1" w:anchorLock="1"/>
      <w:widowControl w:val="0"/>
      <w:textAlignment w:val="center"/>
    </w:pPr>
    <w:rPr>
      <w:rFonts w:ascii="Times New Roman" w:hAnsi="Times New Roman" w:eastAsia="黑体" w:cs="Times New Roman"/>
      <w:sz w:val="21"/>
      <w:lang w:val="en-US" w:eastAsia="zh-CN" w:bidi="ar-SA"/>
    </w:rPr>
  </w:style>
  <w:style w:type="paragraph" w:customStyle="1" w:styleId="159">
    <w:name w:val="无标题条"/>
    <w:next w:val="58"/>
    <w:qFormat/>
    <w:uiPriority w:val="0"/>
    <w:pPr>
      <w:jc w:val="both"/>
    </w:pPr>
    <w:rPr>
      <w:rFonts w:ascii="宋体" w:hAnsi="宋体" w:eastAsia="宋体" w:cs="Times New Roman"/>
      <w:sz w:val="21"/>
      <w:lang w:val="en-US" w:eastAsia="zh-CN" w:bidi="ar-SA"/>
    </w:rPr>
  </w:style>
  <w:style w:type="paragraph" w:customStyle="1" w:styleId="160">
    <w:name w:val="五级无标题条"/>
    <w:basedOn w:val="1"/>
    <w:qFormat/>
    <w:uiPriority w:val="0"/>
    <w:pPr>
      <w:numPr>
        <w:ilvl w:val="6"/>
        <w:numId w:val="20"/>
      </w:numPr>
      <w:adjustRightInd/>
    </w:pPr>
    <w:rPr>
      <w:szCs w:val="24"/>
    </w:rPr>
  </w:style>
  <w:style w:type="paragraph" w:customStyle="1" w:styleId="161">
    <w:name w:val="一级无标题条"/>
    <w:basedOn w:val="1"/>
    <w:qFormat/>
    <w:uiPriority w:val="0"/>
    <w:pPr>
      <w:numPr>
        <w:ilvl w:val="2"/>
        <w:numId w:val="20"/>
      </w:numPr>
      <w:adjustRightInd/>
      <w:spacing w:before="10" w:after="10" w:line="240" w:lineRule="auto"/>
    </w:pPr>
    <w:rPr>
      <w:rFonts w:ascii="宋体" w:hAnsi="宋体"/>
      <w:szCs w:val="24"/>
    </w:rPr>
  </w:style>
  <w:style w:type="paragraph" w:customStyle="1" w:styleId="162">
    <w:name w:val="注:后续"/>
    <w:qFormat/>
    <w:uiPriority w:val="0"/>
    <w:pPr>
      <w:spacing w:line="300" w:lineRule="exact"/>
      <w:ind w:left="600" w:leftChars="400" w:hanging="200" w:hangingChars="200"/>
      <w:jc w:val="both"/>
    </w:pPr>
    <w:rPr>
      <w:rFonts w:ascii="宋体" w:hAnsi="Times New Roman" w:eastAsia="宋体" w:cs="Times New Roman"/>
      <w:sz w:val="18"/>
      <w:lang w:val="en-US" w:eastAsia="zh-CN" w:bidi="ar-SA"/>
    </w:rPr>
  </w:style>
  <w:style w:type="paragraph" w:customStyle="1" w:styleId="163">
    <w:name w:val="注×:后续"/>
    <w:basedOn w:val="162"/>
    <w:qFormat/>
    <w:uiPriority w:val="0"/>
    <w:pPr>
      <w:ind w:left="1406" w:leftChars="0" w:hanging="499" w:firstLineChars="0"/>
    </w:pPr>
  </w:style>
  <w:style w:type="paragraph" w:customStyle="1" w:styleId="164">
    <w:name w:val="标准文件_一级无标题"/>
    <w:basedOn w:val="107"/>
    <w:qFormat/>
    <w:uiPriority w:val="0"/>
    <w:pPr>
      <w:spacing w:beforeLines="0" w:afterLines="0"/>
      <w:outlineLvl w:val="9"/>
    </w:pPr>
    <w:rPr>
      <w:rFonts w:ascii="宋体" w:eastAsia="宋体"/>
    </w:rPr>
  </w:style>
  <w:style w:type="paragraph" w:customStyle="1" w:styleId="165">
    <w:name w:val="标准文件_五级无标题"/>
    <w:basedOn w:val="105"/>
    <w:qFormat/>
    <w:uiPriority w:val="0"/>
    <w:pPr>
      <w:spacing w:beforeLines="0" w:afterLines="0"/>
      <w:outlineLvl w:val="9"/>
    </w:pPr>
    <w:rPr>
      <w:rFonts w:ascii="宋体" w:eastAsia="宋体"/>
    </w:rPr>
  </w:style>
  <w:style w:type="paragraph" w:customStyle="1" w:styleId="166">
    <w:name w:val="标准文件_三级无标题"/>
    <w:basedOn w:val="96"/>
    <w:qFormat/>
    <w:uiPriority w:val="0"/>
    <w:pPr>
      <w:spacing w:beforeLines="0" w:afterLines="0"/>
      <w:outlineLvl w:val="9"/>
    </w:pPr>
    <w:rPr>
      <w:rFonts w:ascii="宋体" w:eastAsia="宋体"/>
    </w:rPr>
  </w:style>
  <w:style w:type="paragraph" w:customStyle="1" w:styleId="167">
    <w:name w:val="标准文件_二级无标题"/>
    <w:basedOn w:val="67"/>
    <w:qFormat/>
    <w:uiPriority w:val="0"/>
    <w:pPr>
      <w:spacing w:beforeLines="0" w:afterLines="0"/>
      <w:outlineLvl w:val="9"/>
    </w:pPr>
    <w:rPr>
      <w:rFonts w:ascii="宋体" w:eastAsia="宋体"/>
    </w:rPr>
  </w:style>
  <w:style w:type="paragraph" w:customStyle="1" w:styleId="168">
    <w:name w:val="标准_四级无标题"/>
    <w:basedOn w:val="100"/>
    <w:next w:val="58"/>
    <w:qFormat/>
    <w:uiPriority w:val="0"/>
    <w:rPr>
      <w:rFonts w:eastAsia="宋体"/>
    </w:rPr>
  </w:style>
  <w:style w:type="paragraph" w:customStyle="1" w:styleId="169">
    <w:name w:val="标准文件_四级无标题"/>
    <w:basedOn w:val="100"/>
    <w:qFormat/>
    <w:uiPriority w:val="0"/>
    <w:pPr>
      <w:spacing w:beforeLines="0" w:afterLines="0"/>
      <w:outlineLvl w:val="9"/>
    </w:pPr>
    <w:rPr>
      <w:rFonts w:ascii="宋体" w:hAnsi="黑体" w:eastAsia="宋体"/>
      <w:szCs w:val="52"/>
    </w:rPr>
  </w:style>
  <w:style w:type="paragraph" w:customStyle="1" w:styleId="170">
    <w:name w:val="标准文件_大写罗马数字编号列项"/>
    <w:basedOn w:val="58"/>
    <w:qFormat/>
    <w:uiPriority w:val="0"/>
    <w:pPr>
      <w:numPr>
        <w:ilvl w:val="0"/>
        <w:numId w:val="23"/>
      </w:numPr>
      <w:ind w:firstLine="0" w:firstLineChars="0"/>
    </w:pPr>
    <w:rPr>
      <w:rFonts w:ascii="Times New Roman" w:cs="Arial"/>
      <w:szCs w:val="28"/>
    </w:rPr>
  </w:style>
  <w:style w:type="paragraph" w:customStyle="1" w:styleId="171">
    <w:name w:val="标准文件_小写罗马数字编号列项"/>
    <w:basedOn w:val="58"/>
    <w:qFormat/>
    <w:uiPriority w:val="0"/>
    <w:pPr>
      <w:numPr>
        <w:ilvl w:val="0"/>
        <w:numId w:val="24"/>
      </w:numPr>
      <w:ind w:firstLine="0" w:firstLineChars="0"/>
    </w:pPr>
    <w:rPr>
      <w:rFonts w:cs="Arial"/>
      <w:szCs w:val="28"/>
    </w:rPr>
  </w:style>
  <w:style w:type="paragraph" w:customStyle="1" w:styleId="172">
    <w:name w:val="标准文件_附录标题"/>
    <w:basedOn w:val="78"/>
    <w:qFormat/>
    <w:uiPriority w:val="0"/>
    <w:pPr>
      <w:numPr>
        <w:numId w:val="0"/>
      </w:numPr>
      <w:spacing w:after="280"/>
      <w:outlineLvl w:val="9"/>
    </w:pPr>
  </w:style>
  <w:style w:type="paragraph" w:customStyle="1" w:styleId="173">
    <w:name w:val="标准文件_二级项"/>
    <w:qFormat/>
    <w:uiPriority w:val="0"/>
    <w:rPr>
      <w:rFonts w:ascii="宋体" w:hAnsi="Times New Roman" w:eastAsia="宋体" w:cs="Times New Roman"/>
      <w:sz w:val="21"/>
      <w:lang w:val="en-US" w:eastAsia="zh-CN" w:bidi="ar-SA"/>
    </w:rPr>
  </w:style>
  <w:style w:type="paragraph" w:customStyle="1" w:styleId="174">
    <w:name w:val="标准文件_三级项"/>
    <w:basedOn w:val="1"/>
    <w:qFormat/>
    <w:uiPriority w:val="0"/>
    <w:pPr>
      <w:numPr>
        <w:ilvl w:val="2"/>
        <w:numId w:val="21"/>
      </w:numPr>
      <w:spacing w:line="536870612" w:lineRule="auto"/>
    </w:pPr>
    <w:rPr>
      <w:rFonts w:ascii="Times New Roman" w:hAnsi="Times New Roman"/>
    </w:rPr>
  </w:style>
  <w:style w:type="paragraph" w:customStyle="1" w:styleId="175">
    <w:name w:val="图表脚注说明"/>
    <w:basedOn w:val="1"/>
    <w:next w:val="58"/>
    <w:qFormat/>
    <w:uiPriority w:val="0"/>
    <w:pPr>
      <w:numPr>
        <w:ilvl w:val="0"/>
        <w:numId w:val="25"/>
      </w:numPr>
      <w:adjustRightInd/>
      <w:spacing w:line="240" w:lineRule="auto"/>
      <w:ind w:left="783"/>
    </w:pPr>
    <w:rPr>
      <w:rFonts w:ascii="宋体" w:hAnsi="Times New Roman"/>
      <w:sz w:val="18"/>
      <w:szCs w:val="18"/>
    </w:rPr>
  </w:style>
  <w:style w:type="paragraph" w:customStyle="1" w:styleId="176">
    <w:name w:val="标准文件_字母编号列项（一级）"/>
    <w:qFormat/>
    <w:uiPriority w:val="0"/>
    <w:pPr>
      <w:numPr>
        <w:ilvl w:val="0"/>
        <w:numId w:val="13"/>
      </w:numPr>
      <w:jc w:val="both"/>
    </w:pPr>
    <w:rPr>
      <w:rFonts w:ascii="宋体" w:hAnsi="Times New Roman" w:eastAsia="宋体" w:cs="Times New Roman"/>
      <w:sz w:val="21"/>
      <w:lang w:val="en-US" w:eastAsia="zh-CN" w:bidi="ar-SA"/>
    </w:rPr>
  </w:style>
  <w:style w:type="paragraph" w:customStyle="1" w:styleId="177">
    <w:name w:val="标准文件_索引字母"/>
    <w:next w:val="58"/>
    <w:qFormat/>
    <w:uiPriority w:val="0"/>
    <w:pPr>
      <w:jc w:val="center"/>
    </w:pPr>
    <w:rPr>
      <w:rFonts w:ascii="宋体" w:hAnsi="宋体" w:eastAsia="Times New Roman" w:cs="Times New Roman"/>
      <w:b/>
      <w:kern w:val="2"/>
      <w:sz w:val="21"/>
      <w:lang w:val="en-US" w:eastAsia="zh-CN" w:bidi="ar-SA"/>
    </w:rPr>
  </w:style>
  <w:style w:type="paragraph" w:customStyle="1" w:styleId="178">
    <w:name w:val="标准文件_附录前"/>
    <w:next w:val="58"/>
    <w:qFormat/>
    <w:uiPriority w:val="0"/>
    <w:pPr>
      <w:spacing w:line="20" w:lineRule="atLeast"/>
      <w:ind w:firstLine="200"/>
    </w:pPr>
    <w:rPr>
      <w:rFonts w:ascii="宋体" w:hAnsi="宋体" w:eastAsia="宋体" w:cs="Times New Roman"/>
      <w:kern w:val="2"/>
      <w:sz w:val="10"/>
      <w:lang w:val="en-US" w:eastAsia="zh-CN" w:bidi="ar-SA"/>
    </w:rPr>
  </w:style>
  <w:style w:type="paragraph" w:customStyle="1" w:styleId="179">
    <w:name w:val="标准文件_正文标准名称"/>
    <w:qFormat/>
    <w:uiPriority w:val="0"/>
    <w:pPr>
      <w:spacing w:beforeLines="20" w:after="640" w:line="400" w:lineRule="exact"/>
      <w:jc w:val="center"/>
    </w:pPr>
    <w:rPr>
      <w:rFonts w:ascii="黑体" w:hAnsi="黑体" w:eastAsia="黑体" w:cs="Times New Roman"/>
      <w:kern w:val="2"/>
      <w:sz w:val="32"/>
      <w:szCs w:val="32"/>
      <w:lang w:val="en-US" w:eastAsia="zh-CN" w:bidi="ar-SA"/>
    </w:rPr>
  </w:style>
  <w:style w:type="paragraph" w:customStyle="1" w:styleId="180">
    <w:name w:val="标准文件_表格"/>
    <w:basedOn w:val="58"/>
    <w:qFormat/>
    <w:uiPriority w:val="0"/>
    <w:pPr>
      <w:ind w:firstLine="0" w:firstLineChars="0"/>
      <w:jc w:val="center"/>
    </w:pPr>
    <w:rPr>
      <w:sz w:val="18"/>
    </w:rPr>
  </w:style>
  <w:style w:type="paragraph" w:customStyle="1" w:styleId="181">
    <w:name w:val="标准文件_注："/>
    <w:next w:val="58"/>
    <w:qFormat/>
    <w:uiPriority w:val="0"/>
    <w:pPr>
      <w:widowControl w:val="0"/>
      <w:numPr>
        <w:ilvl w:val="0"/>
        <w:numId w:val="26"/>
      </w:numPr>
      <w:autoSpaceDE w:val="0"/>
      <w:autoSpaceDN w:val="0"/>
      <w:jc w:val="both"/>
    </w:pPr>
    <w:rPr>
      <w:rFonts w:ascii="宋体" w:hAnsi="Times New Roman" w:eastAsia="宋体" w:cs="Times New Roman"/>
      <w:sz w:val="18"/>
      <w:szCs w:val="18"/>
      <w:lang w:val="en-US" w:eastAsia="zh-CN" w:bidi="ar-SA"/>
    </w:rPr>
  </w:style>
  <w:style w:type="paragraph" w:customStyle="1" w:styleId="182">
    <w:name w:val="标准文件_注×："/>
    <w:qFormat/>
    <w:uiPriority w:val="0"/>
    <w:pPr>
      <w:widowControl w:val="0"/>
      <w:numPr>
        <w:ilvl w:val="0"/>
        <w:numId w:val="27"/>
      </w:numPr>
      <w:autoSpaceDE w:val="0"/>
      <w:autoSpaceDN w:val="0"/>
      <w:jc w:val="both"/>
    </w:pPr>
    <w:rPr>
      <w:rFonts w:ascii="宋体" w:hAnsi="Times New Roman" w:eastAsia="宋体" w:cs="Times New Roman"/>
      <w:sz w:val="18"/>
      <w:szCs w:val="18"/>
      <w:lang w:val="en-US" w:eastAsia="zh-CN" w:bidi="ar-SA"/>
    </w:rPr>
  </w:style>
  <w:style w:type="paragraph" w:customStyle="1" w:styleId="183">
    <w:name w:val="标准文件_示例："/>
    <w:next w:val="184"/>
    <w:qFormat/>
    <w:uiPriority w:val="0"/>
    <w:pPr>
      <w:widowControl w:val="0"/>
      <w:numPr>
        <w:ilvl w:val="0"/>
        <w:numId w:val="28"/>
      </w:numPr>
      <w:jc w:val="both"/>
    </w:pPr>
    <w:rPr>
      <w:rFonts w:ascii="宋体" w:hAnsi="Times New Roman" w:eastAsia="宋体" w:cs="Times New Roman"/>
      <w:sz w:val="18"/>
      <w:szCs w:val="18"/>
      <w:lang w:val="en-US" w:eastAsia="zh-CN" w:bidi="ar-SA"/>
    </w:rPr>
  </w:style>
  <w:style w:type="paragraph" w:customStyle="1" w:styleId="184">
    <w:name w:val="标准文件_示例内容"/>
    <w:basedOn w:val="58"/>
    <w:qFormat/>
    <w:uiPriority w:val="0"/>
    <w:pPr>
      <w:ind w:firstLine="420"/>
    </w:pPr>
    <w:rPr>
      <w:sz w:val="18"/>
    </w:rPr>
  </w:style>
  <w:style w:type="paragraph" w:customStyle="1" w:styleId="185">
    <w:name w:val="标准文件_示例×："/>
    <w:basedOn w:val="1"/>
    <w:next w:val="184"/>
    <w:qFormat/>
    <w:uiPriority w:val="0"/>
    <w:pPr>
      <w:widowControl/>
      <w:numPr>
        <w:ilvl w:val="0"/>
        <w:numId w:val="29"/>
      </w:numPr>
      <w:adjustRightInd/>
      <w:spacing w:line="240" w:lineRule="auto"/>
    </w:pPr>
    <w:rPr>
      <w:rFonts w:ascii="宋体" w:hAnsi="Times New Roman"/>
      <w:kern w:val="0"/>
      <w:sz w:val="18"/>
      <w:szCs w:val="18"/>
    </w:rPr>
  </w:style>
  <w:style w:type="character" w:customStyle="1" w:styleId="186">
    <w:name w:val="标准文件_段 Char"/>
    <w:link w:val="58"/>
    <w:qFormat/>
    <w:uiPriority w:val="0"/>
    <w:rPr>
      <w:rFonts w:ascii="宋体" w:hAnsi="Times New Roman"/>
      <w:sz w:val="21"/>
    </w:rPr>
  </w:style>
  <w:style w:type="paragraph" w:customStyle="1" w:styleId="187">
    <w:name w:val="标准文件_表格续"/>
    <w:basedOn w:val="58"/>
    <w:next w:val="58"/>
    <w:qFormat/>
    <w:uiPriority w:val="0"/>
    <w:pPr>
      <w:jc w:val="center"/>
    </w:pPr>
    <w:rPr>
      <w:rFonts w:ascii="黑体" w:hAnsi="黑体" w:eastAsia="黑体"/>
    </w:rPr>
  </w:style>
  <w:style w:type="character" w:styleId="188">
    <w:name w:val="Placeholder Text"/>
    <w:basedOn w:val="29"/>
    <w:semiHidden/>
    <w:qFormat/>
    <w:uiPriority w:val="99"/>
    <w:rPr>
      <w:color w:val="808080"/>
    </w:rPr>
  </w:style>
  <w:style w:type="paragraph" w:customStyle="1" w:styleId="189">
    <w:name w:val="标准文件_二级项2"/>
    <w:basedOn w:val="58"/>
    <w:qFormat/>
    <w:uiPriority w:val="0"/>
    <w:pPr>
      <w:numPr>
        <w:ilvl w:val="1"/>
        <w:numId w:val="21"/>
      </w:numPr>
      <w:ind w:left="1271" w:hanging="420" w:firstLineChars="0"/>
    </w:pPr>
  </w:style>
  <w:style w:type="paragraph" w:customStyle="1" w:styleId="190">
    <w:name w:val="标准文件_三级项2"/>
    <w:basedOn w:val="58"/>
    <w:qFormat/>
    <w:uiPriority w:val="0"/>
    <w:pPr>
      <w:numPr>
        <w:ilvl w:val="0"/>
        <w:numId w:val="30"/>
      </w:numPr>
      <w:spacing w:line="300" w:lineRule="exact"/>
      <w:ind w:left="1276" w:hanging="425" w:firstLineChars="0"/>
    </w:pPr>
    <w:rPr>
      <w:rFonts w:ascii="Times New Roman"/>
    </w:rPr>
  </w:style>
  <w:style w:type="paragraph" w:customStyle="1" w:styleId="191">
    <w:name w:val="标准文件_一级项2"/>
    <w:basedOn w:val="58"/>
    <w:qFormat/>
    <w:uiPriority w:val="0"/>
    <w:pPr>
      <w:numPr>
        <w:ilvl w:val="0"/>
        <w:numId w:val="31"/>
      </w:numPr>
      <w:spacing w:line="300" w:lineRule="exact"/>
      <w:ind w:left="1271" w:hanging="420" w:firstLineChars="0"/>
    </w:pPr>
    <w:rPr>
      <w:rFonts w:ascii="Times New Roman"/>
    </w:rPr>
  </w:style>
  <w:style w:type="paragraph" w:customStyle="1" w:styleId="192">
    <w:name w:val="标准文件_提示"/>
    <w:basedOn w:val="58"/>
    <w:next w:val="58"/>
    <w:qFormat/>
    <w:uiPriority w:val="0"/>
    <w:pPr>
      <w:ind w:firstLine="420"/>
    </w:pPr>
    <w:rPr>
      <w:rFonts w:ascii="黑体" w:eastAsia="黑体"/>
    </w:rPr>
  </w:style>
  <w:style w:type="character" w:customStyle="1" w:styleId="193">
    <w:name w:val="标准文件_来源"/>
    <w:basedOn w:val="29"/>
    <w:qFormat/>
    <w:uiPriority w:val="1"/>
    <w:rPr>
      <w:rFonts w:eastAsia="宋体"/>
      <w:sz w:val="21"/>
    </w:rPr>
  </w:style>
  <w:style w:type="paragraph" w:customStyle="1" w:styleId="194">
    <w:name w:val="标准文件_图表说明"/>
    <w:qFormat/>
    <w:uiPriority w:val="0"/>
    <w:pPr>
      <w:spacing w:line="276" w:lineRule="auto"/>
      <w:ind w:firstLine="420"/>
    </w:pPr>
    <w:rPr>
      <w:rFonts w:ascii="宋体" w:hAnsi="宋体" w:eastAsia="宋体" w:cs="Times New Roman"/>
      <w:kern w:val="2"/>
      <w:sz w:val="18"/>
      <w:lang w:val="en-US" w:eastAsia="zh-CN" w:bidi="ar-SA"/>
    </w:rPr>
  </w:style>
  <w:style w:type="paragraph" w:customStyle="1" w:styleId="195">
    <w:name w:val="其他发布日期"/>
    <w:basedOn w:val="122"/>
    <w:qFormat/>
    <w:uiPriority w:val="0"/>
    <w:pPr>
      <w:framePr w:w="3997" w:h="471" w:hRule="exact" w:hSpace="0" w:vSpace="181" w:wrap="around" w:vAnchor="page" w:hAnchor="page" w:x="1419" w:y="14097"/>
    </w:pPr>
  </w:style>
  <w:style w:type="paragraph" w:customStyle="1" w:styleId="196">
    <w:name w:val="其他实施日期"/>
    <w:basedOn w:val="156"/>
    <w:qFormat/>
    <w:uiPriority w:val="0"/>
    <w:pPr>
      <w:framePr w:w="3997" w:h="471" w:hRule="exact" w:vSpace="181" w:wrap="around" w:vAnchor="page" w:hAnchor="page" w:x="7089" w:y="14097"/>
    </w:pPr>
  </w:style>
  <w:style w:type="paragraph" w:customStyle="1" w:styleId="197">
    <w:name w:val="标准文件_文件编号"/>
    <w:basedOn w:val="58"/>
    <w:qFormat/>
    <w:uiPriority w:val="0"/>
    <w:pPr>
      <w:framePr w:w="9356" w:h="624" w:hRule="exact" w:hSpace="181" w:vSpace="181" w:wrap="auto" w:vAnchor="page" w:hAnchor="page" w:x="1419" w:y="3284"/>
      <w:wordWrap w:val="0"/>
      <w:spacing w:line="280" w:lineRule="exact"/>
      <w:ind w:firstLine="0" w:firstLineChars="0"/>
      <w:jc w:val="right"/>
    </w:pPr>
    <w:rPr>
      <w:rFonts w:ascii="黑体" w:eastAsia="黑体"/>
      <w:bCs/>
      <w:sz w:val="28"/>
      <w:szCs w:val="28"/>
    </w:rPr>
  </w:style>
  <w:style w:type="paragraph" w:customStyle="1" w:styleId="198">
    <w:name w:val="标准文件_替换文件编号"/>
    <w:basedOn w:val="197"/>
    <w:qFormat/>
    <w:uiPriority w:val="0"/>
    <w:pPr>
      <w:spacing w:before="57"/>
    </w:pPr>
    <w:rPr>
      <w:sz w:val="21"/>
    </w:rPr>
  </w:style>
  <w:style w:type="paragraph" w:customStyle="1" w:styleId="199">
    <w:name w:val="标准文件_文件名称"/>
    <w:basedOn w:val="58"/>
    <w:next w:val="58"/>
    <w:qFormat/>
    <w:uiPriority w:val="0"/>
    <w:pPr>
      <w:framePr w:w="9639" w:h="6976" w:hRule="exact" w:wrap="auto" w:vAnchor="page" w:hAnchor="page" w:y="6408"/>
      <w:autoSpaceDE/>
      <w:autoSpaceDN/>
      <w:spacing w:line="700" w:lineRule="exact"/>
      <w:ind w:firstLine="0" w:firstLineChars="0"/>
      <w:jc w:val="center"/>
    </w:pPr>
    <w:rPr>
      <w:rFonts w:ascii="黑体" w:hAnsi="黑体" w:eastAsia="黑体"/>
      <w:bCs/>
      <w:sz w:val="52"/>
    </w:rPr>
  </w:style>
  <w:style w:type="paragraph" w:customStyle="1" w:styleId="200">
    <w:name w:val="标准文件_附录图标号"/>
    <w:basedOn w:val="58"/>
    <w:next w:val="58"/>
    <w:qFormat/>
    <w:uiPriority w:val="0"/>
    <w:pPr>
      <w:numPr>
        <w:ilvl w:val="0"/>
        <w:numId w:val="6"/>
      </w:numPr>
      <w:spacing w:line="14" w:lineRule="exact"/>
      <w:ind w:firstLine="0" w:firstLineChars="0"/>
      <w:jc w:val="center"/>
    </w:pPr>
    <w:rPr>
      <w:rFonts w:ascii="黑体" w:hAnsi="黑体" w:eastAsia="黑体"/>
      <w:vanish/>
      <w:sz w:val="2"/>
      <w:szCs w:val="21"/>
    </w:rPr>
  </w:style>
  <w:style w:type="paragraph" w:customStyle="1" w:styleId="201">
    <w:name w:val="标准文件_附录表标号"/>
    <w:basedOn w:val="58"/>
    <w:next w:val="58"/>
    <w:qFormat/>
    <w:uiPriority w:val="0"/>
    <w:pPr>
      <w:numPr>
        <w:ilvl w:val="0"/>
        <w:numId w:val="5"/>
      </w:numPr>
      <w:spacing w:line="14" w:lineRule="exact"/>
      <w:ind w:firstLine="0" w:firstLineChars="0"/>
      <w:jc w:val="center"/>
    </w:pPr>
    <w:rPr>
      <w:rFonts w:eastAsia="黑体"/>
      <w:vanish/>
      <w:sz w:val="2"/>
    </w:rPr>
  </w:style>
  <w:style w:type="paragraph" w:customStyle="1" w:styleId="202">
    <w:name w:val="标准文件_引言一级条标题"/>
    <w:basedOn w:val="58"/>
    <w:next w:val="58"/>
    <w:qFormat/>
    <w:uiPriority w:val="0"/>
    <w:pPr>
      <w:numPr>
        <w:ilvl w:val="1"/>
        <w:numId w:val="8"/>
      </w:numPr>
      <w:spacing w:beforeLines="50" w:afterLines="50"/>
      <w:ind w:firstLineChars="0"/>
    </w:pPr>
    <w:rPr>
      <w:rFonts w:ascii="黑体" w:eastAsia="黑体"/>
    </w:rPr>
  </w:style>
  <w:style w:type="paragraph" w:customStyle="1" w:styleId="203">
    <w:name w:val="标准文件_引言二级条标题"/>
    <w:basedOn w:val="58"/>
    <w:next w:val="58"/>
    <w:qFormat/>
    <w:uiPriority w:val="0"/>
    <w:pPr>
      <w:numPr>
        <w:ilvl w:val="2"/>
        <w:numId w:val="8"/>
      </w:numPr>
      <w:spacing w:beforeLines="50" w:afterLines="50"/>
      <w:ind w:firstLineChars="0"/>
    </w:pPr>
    <w:rPr>
      <w:rFonts w:ascii="黑体" w:eastAsia="黑体"/>
    </w:rPr>
  </w:style>
  <w:style w:type="paragraph" w:customStyle="1" w:styleId="204">
    <w:name w:val="标准文件_引言三级条标题"/>
    <w:basedOn w:val="58"/>
    <w:next w:val="58"/>
    <w:qFormat/>
    <w:uiPriority w:val="0"/>
    <w:pPr>
      <w:numPr>
        <w:ilvl w:val="3"/>
        <w:numId w:val="8"/>
      </w:numPr>
      <w:spacing w:beforeLines="50" w:afterLines="50"/>
      <w:ind w:firstLineChars="0"/>
    </w:pPr>
    <w:rPr>
      <w:rFonts w:ascii="黑体" w:eastAsia="黑体"/>
    </w:rPr>
  </w:style>
  <w:style w:type="paragraph" w:customStyle="1" w:styleId="205">
    <w:name w:val="标准文件_引言四级条标题"/>
    <w:basedOn w:val="58"/>
    <w:next w:val="58"/>
    <w:qFormat/>
    <w:uiPriority w:val="0"/>
    <w:pPr>
      <w:numPr>
        <w:ilvl w:val="4"/>
        <w:numId w:val="8"/>
      </w:numPr>
      <w:spacing w:beforeLines="50" w:afterLines="50"/>
      <w:ind w:firstLineChars="0"/>
    </w:pPr>
    <w:rPr>
      <w:rFonts w:ascii="黑体" w:eastAsia="黑体"/>
    </w:rPr>
  </w:style>
  <w:style w:type="paragraph" w:customStyle="1" w:styleId="206">
    <w:name w:val="标准文件_引言五级条标题"/>
    <w:basedOn w:val="58"/>
    <w:next w:val="58"/>
    <w:qFormat/>
    <w:uiPriority w:val="0"/>
    <w:pPr>
      <w:numPr>
        <w:ilvl w:val="5"/>
        <w:numId w:val="8"/>
      </w:numPr>
      <w:spacing w:beforeLines="50" w:afterLines="50"/>
      <w:ind w:firstLineChars="0"/>
    </w:pPr>
    <w:rPr>
      <w:rFonts w:ascii="黑体" w:eastAsia="黑体"/>
    </w:rPr>
  </w:style>
  <w:style w:type="paragraph" w:customStyle="1" w:styleId="207">
    <w:name w:val="标准文件_注后"/>
    <w:basedOn w:val="58"/>
    <w:qFormat/>
    <w:uiPriority w:val="0"/>
    <w:pPr>
      <w:ind w:left="811" w:firstLine="0" w:firstLineChars="0"/>
    </w:pPr>
    <w:rPr>
      <w:sz w:val="18"/>
    </w:rPr>
  </w:style>
  <w:style w:type="paragraph" w:customStyle="1" w:styleId="208">
    <w:name w:val="标准文件_注X后"/>
    <w:basedOn w:val="58"/>
    <w:qFormat/>
    <w:uiPriority w:val="0"/>
    <w:pPr>
      <w:ind w:left="811" w:firstLine="0" w:firstLineChars="0"/>
    </w:pPr>
    <w:rPr>
      <w:sz w:val="18"/>
    </w:rPr>
  </w:style>
  <w:style w:type="paragraph" w:customStyle="1" w:styleId="209">
    <w:name w:val="标准文件_示例后"/>
    <w:basedOn w:val="58"/>
    <w:qFormat/>
    <w:uiPriority w:val="0"/>
    <w:pPr>
      <w:ind w:left="964" w:firstLine="0" w:firstLineChars="0"/>
    </w:pPr>
    <w:rPr>
      <w:sz w:val="18"/>
    </w:rPr>
  </w:style>
  <w:style w:type="paragraph" w:customStyle="1" w:styleId="210">
    <w:name w:val="标准文件_示例X后"/>
    <w:basedOn w:val="58"/>
    <w:link w:val="211"/>
    <w:qFormat/>
    <w:uiPriority w:val="0"/>
    <w:pPr>
      <w:ind w:left="1049" w:firstLine="0" w:firstLineChars="0"/>
    </w:pPr>
    <w:rPr>
      <w:sz w:val="18"/>
    </w:rPr>
  </w:style>
  <w:style w:type="character" w:customStyle="1" w:styleId="211">
    <w:name w:val="标准文件_示例X后 字符"/>
    <w:basedOn w:val="186"/>
    <w:link w:val="210"/>
    <w:qFormat/>
    <w:uiPriority w:val="0"/>
    <w:rPr>
      <w:rFonts w:ascii="宋体" w:hAnsi="Times New Roman"/>
      <w:sz w:val="18"/>
    </w:rPr>
  </w:style>
  <w:style w:type="paragraph" w:customStyle="1" w:styleId="212">
    <w:name w:val="标准文件_索引项"/>
    <w:basedOn w:val="58"/>
    <w:next w:val="58"/>
    <w:qFormat/>
    <w:uiPriority w:val="0"/>
    <w:pPr>
      <w:tabs>
        <w:tab w:val="right" w:leader="dot" w:pos="9356"/>
      </w:tabs>
      <w:ind w:left="210" w:hanging="210" w:firstLineChars="0"/>
      <w:jc w:val="left"/>
    </w:pPr>
  </w:style>
  <w:style w:type="paragraph" w:customStyle="1" w:styleId="213">
    <w:name w:val="标准文件_附录一级无标题"/>
    <w:basedOn w:val="80"/>
    <w:qFormat/>
    <w:uiPriority w:val="0"/>
    <w:pPr>
      <w:spacing w:beforeLines="0" w:afterLines="0" w:line="276" w:lineRule="auto"/>
      <w:outlineLvl w:val="9"/>
    </w:pPr>
    <w:rPr>
      <w:rFonts w:ascii="宋体" w:eastAsia="宋体"/>
    </w:rPr>
  </w:style>
  <w:style w:type="paragraph" w:customStyle="1" w:styleId="214">
    <w:name w:val="标准文件_附录二级无标题"/>
    <w:basedOn w:val="81"/>
    <w:qFormat/>
    <w:uiPriority w:val="0"/>
    <w:pPr>
      <w:spacing w:beforeLines="0" w:afterLines="0" w:line="276" w:lineRule="auto"/>
      <w:outlineLvl w:val="9"/>
    </w:pPr>
    <w:rPr>
      <w:rFonts w:ascii="宋体" w:eastAsia="宋体"/>
    </w:rPr>
  </w:style>
  <w:style w:type="paragraph" w:customStyle="1" w:styleId="215">
    <w:name w:val="标准文件_附录三级无标题"/>
    <w:basedOn w:val="83"/>
    <w:qFormat/>
    <w:uiPriority w:val="0"/>
    <w:pPr>
      <w:spacing w:beforeLines="0" w:afterLines="0" w:line="276" w:lineRule="auto"/>
      <w:outlineLvl w:val="9"/>
    </w:pPr>
    <w:rPr>
      <w:rFonts w:ascii="宋体" w:eastAsia="宋体"/>
    </w:rPr>
  </w:style>
  <w:style w:type="paragraph" w:customStyle="1" w:styleId="216">
    <w:name w:val="标准文件_附录四级无标题"/>
    <w:basedOn w:val="84"/>
    <w:qFormat/>
    <w:uiPriority w:val="0"/>
    <w:pPr>
      <w:spacing w:beforeLines="0" w:afterLines="0" w:line="276" w:lineRule="auto"/>
      <w:outlineLvl w:val="9"/>
    </w:pPr>
    <w:rPr>
      <w:rFonts w:ascii="宋体" w:eastAsia="宋体"/>
    </w:rPr>
  </w:style>
  <w:style w:type="paragraph" w:customStyle="1" w:styleId="217">
    <w:name w:val="标准文件_附录五级无标题"/>
    <w:basedOn w:val="86"/>
    <w:qFormat/>
    <w:uiPriority w:val="0"/>
    <w:pPr>
      <w:spacing w:beforeLines="0" w:afterLines="0" w:line="276" w:lineRule="auto"/>
      <w:outlineLvl w:val="9"/>
    </w:pPr>
    <w:rPr>
      <w:rFonts w:ascii="宋体" w:eastAsia="宋体"/>
    </w:rPr>
  </w:style>
  <w:style w:type="paragraph" w:customStyle="1" w:styleId="218">
    <w:name w:val="标准文件_引言一级无标题"/>
    <w:basedOn w:val="202"/>
    <w:next w:val="58"/>
    <w:qFormat/>
    <w:uiPriority w:val="0"/>
    <w:pPr>
      <w:spacing w:beforeLines="0" w:afterLines="0" w:line="276" w:lineRule="auto"/>
    </w:pPr>
    <w:rPr>
      <w:rFonts w:ascii="宋体" w:eastAsia="宋体"/>
    </w:rPr>
  </w:style>
  <w:style w:type="paragraph" w:customStyle="1" w:styleId="219">
    <w:name w:val="标准文件_引言二级无标题"/>
    <w:basedOn w:val="203"/>
    <w:next w:val="58"/>
    <w:qFormat/>
    <w:uiPriority w:val="0"/>
    <w:pPr>
      <w:spacing w:beforeLines="0" w:afterLines="0" w:line="276" w:lineRule="auto"/>
    </w:pPr>
    <w:rPr>
      <w:rFonts w:ascii="宋体" w:eastAsia="宋体"/>
    </w:rPr>
  </w:style>
  <w:style w:type="paragraph" w:customStyle="1" w:styleId="220">
    <w:name w:val="标准文件_引言三级无标题"/>
    <w:basedOn w:val="204"/>
    <w:next w:val="58"/>
    <w:qFormat/>
    <w:uiPriority w:val="0"/>
    <w:pPr>
      <w:spacing w:beforeLines="0" w:afterLines="0" w:line="276" w:lineRule="auto"/>
    </w:pPr>
    <w:rPr>
      <w:rFonts w:ascii="宋体" w:eastAsia="宋体"/>
    </w:rPr>
  </w:style>
  <w:style w:type="paragraph" w:customStyle="1" w:styleId="221">
    <w:name w:val="标准文件_引言四级无标题"/>
    <w:basedOn w:val="205"/>
    <w:next w:val="58"/>
    <w:qFormat/>
    <w:uiPriority w:val="0"/>
    <w:pPr>
      <w:spacing w:beforeLines="0" w:afterLines="0" w:line="276" w:lineRule="auto"/>
    </w:pPr>
    <w:rPr>
      <w:rFonts w:ascii="宋体" w:eastAsia="宋体"/>
    </w:rPr>
  </w:style>
  <w:style w:type="paragraph" w:customStyle="1" w:styleId="222">
    <w:name w:val="标准文件_引言五级无标题"/>
    <w:basedOn w:val="206"/>
    <w:next w:val="58"/>
    <w:qFormat/>
    <w:uiPriority w:val="0"/>
    <w:pPr>
      <w:spacing w:beforeLines="0" w:afterLines="0" w:line="276" w:lineRule="auto"/>
    </w:pPr>
    <w:rPr>
      <w:rFonts w:ascii="宋体" w:eastAsia="宋体"/>
    </w:rPr>
  </w:style>
  <w:style w:type="paragraph" w:customStyle="1" w:styleId="223">
    <w:name w:val="标准文件_索引标题"/>
    <w:basedOn w:val="65"/>
    <w:next w:val="58"/>
    <w:qFormat/>
    <w:uiPriority w:val="0"/>
    <w:rPr>
      <w:rFonts w:hAnsi="黑体"/>
    </w:rPr>
  </w:style>
  <w:style w:type="paragraph" w:customStyle="1" w:styleId="224">
    <w:name w:val="标准文件_脚注内容"/>
    <w:basedOn w:val="58"/>
    <w:qFormat/>
    <w:uiPriority w:val="0"/>
    <w:pPr>
      <w:ind w:left="400" w:leftChars="200" w:hanging="200" w:hangingChars="200"/>
    </w:pPr>
    <w:rPr>
      <w:sz w:val="15"/>
    </w:rPr>
  </w:style>
  <w:style w:type="paragraph" w:customStyle="1" w:styleId="225">
    <w:name w:val="标准文件_术语条一"/>
    <w:basedOn w:val="164"/>
    <w:next w:val="58"/>
    <w:qFormat/>
    <w:uiPriority w:val="0"/>
  </w:style>
  <w:style w:type="paragraph" w:customStyle="1" w:styleId="226">
    <w:name w:val="标准文件_术语条二"/>
    <w:basedOn w:val="167"/>
    <w:next w:val="58"/>
    <w:qFormat/>
    <w:uiPriority w:val="0"/>
  </w:style>
  <w:style w:type="paragraph" w:customStyle="1" w:styleId="227">
    <w:name w:val="标准文件_术语条三"/>
    <w:basedOn w:val="166"/>
    <w:next w:val="58"/>
    <w:qFormat/>
    <w:uiPriority w:val="0"/>
  </w:style>
  <w:style w:type="paragraph" w:customStyle="1" w:styleId="228">
    <w:name w:val="标准文件_术语条四"/>
    <w:basedOn w:val="169"/>
    <w:next w:val="58"/>
    <w:qFormat/>
    <w:uiPriority w:val="0"/>
  </w:style>
  <w:style w:type="paragraph" w:customStyle="1" w:styleId="229">
    <w:name w:val="标准文件_术语条五"/>
    <w:basedOn w:val="165"/>
    <w:next w:val="58"/>
    <w:qFormat/>
    <w:uiPriority w:val="0"/>
  </w:style>
  <w:style w:type="paragraph" w:customStyle="1" w:styleId="230">
    <w:name w:val="Default"/>
    <w:qFormat/>
    <w:uiPriority w:val="0"/>
    <w:pPr>
      <w:widowControl w:val="0"/>
      <w:autoSpaceDE w:val="0"/>
      <w:autoSpaceDN w:val="0"/>
      <w:adjustRightInd w:val="0"/>
    </w:pPr>
    <w:rPr>
      <w:rFonts w:ascii="宋体" w:hAnsi="Calibri" w:eastAsia="宋体" w:cs="宋体"/>
      <w:color w:val="000000"/>
      <w:sz w:val="24"/>
      <w:szCs w:val="24"/>
      <w:lang w:val="en-US" w:eastAsia="zh-CN" w:bidi="ar-SA"/>
    </w:rPr>
  </w:style>
  <w:style w:type="character" w:customStyle="1" w:styleId="231">
    <w:name w:val="发布"/>
    <w:basedOn w:val="29"/>
    <w:qFormat/>
    <w:uiPriority w:val="0"/>
    <w:rPr>
      <w:rFonts w:ascii="黑体" w:eastAsia="黑体"/>
      <w:spacing w:val="85"/>
      <w:w w:val="100"/>
      <w:position w:val="3"/>
      <w:sz w:val="28"/>
      <w:szCs w:val="28"/>
    </w:rPr>
  </w:style>
  <w:style w:type="character" w:customStyle="1" w:styleId="232">
    <w:name w:val="文档结构图 Char"/>
    <w:basedOn w:val="29"/>
    <w:link w:val="13"/>
    <w:semiHidden/>
    <w:qFormat/>
    <w:uiPriority w:val="99"/>
    <w:rPr>
      <w:rFonts w:ascii="宋体"/>
      <w:kern w:val="2"/>
      <w:sz w:val="18"/>
      <w:szCs w:val="18"/>
    </w:rPr>
  </w:style>
  <w:style w:type="paragraph" w:customStyle="1" w:styleId="233">
    <w:name w:val="段"/>
    <w:link w:val="234"/>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lang w:val="en-US" w:eastAsia="zh-CN" w:bidi="ar-SA"/>
    </w:rPr>
  </w:style>
  <w:style w:type="character" w:customStyle="1" w:styleId="234">
    <w:name w:val="段 Char"/>
    <w:link w:val="233"/>
    <w:qFormat/>
    <w:locked/>
    <w:uiPriority w:val="0"/>
    <w:rPr>
      <w:rFonts w:ascii="宋体" w:hAnsi="Times New Roman"/>
      <w:sz w:val="21"/>
    </w:rPr>
  </w:style>
  <w:style w:type="paragraph" w:customStyle="1" w:styleId="235">
    <w:name w:val="数字编号列项（二级）"/>
    <w:qFormat/>
    <w:uiPriority w:val="99"/>
    <w:pPr>
      <w:tabs>
        <w:tab w:val="left" w:pos="1259"/>
      </w:tabs>
      <w:ind w:left="1259" w:hanging="420"/>
      <w:jc w:val="both"/>
    </w:pPr>
    <w:rPr>
      <w:rFonts w:ascii="宋体" w:hAnsi="Times New Roman" w:eastAsia="宋体" w:cs="Times New Roman"/>
      <w:sz w:val="21"/>
      <w:lang w:val="en-US" w:eastAsia="zh-CN" w:bidi="ar-SA"/>
    </w:rPr>
  </w:style>
  <w:style w:type="paragraph" w:customStyle="1" w:styleId="236">
    <w:name w:val="字母编号列项（一级）"/>
    <w:qFormat/>
    <w:uiPriority w:val="99"/>
    <w:pPr>
      <w:tabs>
        <w:tab w:val="left" w:pos="839"/>
      </w:tabs>
      <w:ind w:left="839" w:hanging="419"/>
      <w:jc w:val="both"/>
    </w:pPr>
    <w:rPr>
      <w:rFonts w:ascii="宋体" w:hAnsi="Times New Roman" w:eastAsia="宋体" w:cs="Times New Roman"/>
      <w:sz w:val="21"/>
      <w:lang w:val="en-US" w:eastAsia="zh-CN" w:bidi="ar-SA"/>
    </w:rPr>
  </w:style>
  <w:style w:type="paragraph" w:customStyle="1" w:styleId="237">
    <w:name w:val="编号列项（三级）"/>
    <w:qFormat/>
    <w:uiPriority w:val="99"/>
    <w:pPr>
      <w:tabs>
        <w:tab w:val="left" w:pos="0"/>
      </w:tabs>
      <w:ind w:left="1678" w:hanging="419"/>
    </w:pPr>
    <w:rPr>
      <w:rFonts w:ascii="宋体" w:hAnsi="Times New Roman" w:eastAsia="宋体" w:cs="Times New Roman"/>
      <w:sz w:val="21"/>
      <w:lang w:val="en-US" w:eastAsia="zh-CN" w:bidi="ar-SA"/>
    </w:rPr>
  </w:style>
  <w:style w:type="character" w:customStyle="1" w:styleId="238">
    <w:name w:val="font81"/>
    <w:qFormat/>
    <w:uiPriority w:val="0"/>
    <w:rPr>
      <w:rFonts w:hint="eastAsia" w:ascii="宋体" w:hAnsi="宋体" w:eastAsia="宋体" w:cs="宋体"/>
      <w:color w:val="000000"/>
      <w:sz w:val="22"/>
      <w:szCs w:val="22"/>
      <w:u w:val="none"/>
    </w:rPr>
  </w:style>
  <w:style w:type="character" w:customStyle="1" w:styleId="239">
    <w:name w:val="font71"/>
    <w:qFormat/>
    <w:uiPriority w:val="0"/>
    <w:rPr>
      <w:rFonts w:hint="eastAsia" w:ascii="宋体" w:hAnsi="宋体" w:eastAsia="宋体" w:cs="宋体"/>
      <w:color w:val="000000"/>
      <w:sz w:val="22"/>
      <w:szCs w:val="22"/>
      <w:u w:val="none"/>
    </w:rPr>
  </w:style>
  <w:style w:type="character" w:customStyle="1" w:styleId="240">
    <w:name w:val="样式1 Char Char"/>
    <w:link w:val="241"/>
    <w:qFormat/>
    <w:uiPriority w:val="0"/>
    <w:rPr>
      <w:kern w:val="0"/>
      <w:sz w:val="24"/>
    </w:rPr>
  </w:style>
  <w:style w:type="paragraph" w:customStyle="1" w:styleId="241">
    <w:name w:val="样式1"/>
    <w:basedOn w:val="2"/>
    <w:link w:val="240"/>
    <w:qFormat/>
    <w:uiPriority w:val="0"/>
    <w:rPr>
      <w:kern w:val="0"/>
      <w:sz w:val="24"/>
    </w:rPr>
  </w:style>
  <w:style w:type="paragraph" w:customStyle="1" w:styleId="242">
    <w:name w:val="1.1.1"/>
    <w:basedOn w:val="1"/>
    <w:qFormat/>
    <w:uiPriority w:val="0"/>
    <w:pPr>
      <w:spacing w:line="360" w:lineRule="auto"/>
    </w:pPr>
    <w:rPr>
      <w:rFonts w:hint="eastAsia" w:ascii="宋体" w:hAnsi="宋体" w:eastAsia="宋体" w:cs="宋体"/>
      <w:sz w:val="28"/>
      <w:szCs w:val="28"/>
    </w:rPr>
  </w:style>
  <w:style w:type="paragraph" w:customStyle="1" w:styleId="243">
    <w:name w:val="章"/>
    <w:basedOn w:val="1"/>
    <w:qFormat/>
    <w:uiPriority w:val="0"/>
    <w:pPr>
      <w:tabs>
        <w:tab w:val="left" w:pos="1102"/>
        <w:tab w:val="left" w:pos="4345"/>
        <w:tab w:val="left" w:pos="4783"/>
      </w:tabs>
      <w:spacing w:line="500" w:lineRule="exact"/>
      <w:jc w:val="center"/>
    </w:pPr>
    <w:rPr>
      <w:rFonts w:hint="eastAsia" w:ascii="黑体" w:hAnsi="黑体" w:eastAsia="黑体"/>
      <w:sz w:val="32"/>
      <w:szCs w:val="32"/>
    </w:rPr>
  </w:style>
  <w:style w:type="character" w:customStyle="1" w:styleId="244">
    <w:name w:val="标准文件_附录图标题 Char"/>
    <w:link w:val="85"/>
    <w:qFormat/>
    <w:uiPriority w:val="0"/>
    <w:rPr>
      <w:rFonts w:ascii="黑体" w:hAnsi="Times New Roman" w:eastAsia="黑体" w:cs="Times New Roman"/>
      <w:sz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9" Type="http://schemas.openxmlformats.org/officeDocument/2006/relationships/glossaryDocument" Target="glossary/document.xml"/><Relationship Id="rId68" Type="http://schemas.openxmlformats.org/officeDocument/2006/relationships/fontTable" Target="fontTable.xml"/><Relationship Id="rId67" Type="http://schemas.openxmlformats.org/officeDocument/2006/relationships/customXml" Target="../customXml/item2.xml"/><Relationship Id="rId66" Type="http://schemas.openxmlformats.org/officeDocument/2006/relationships/numbering" Target="numbering.xml"/><Relationship Id="rId65" Type="http://schemas.openxmlformats.org/officeDocument/2006/relationships/customXml" Target="../customXml/item1.xml"/><Relationship Id="rId64" Type="http://schemas.openxmlformats.org/officeDocument/2006/relationships/image" Target="media/image43.jpeg"/><Relationship Id="rId63" Type="http://schemas.openxmlformats.org/officeDocument/2006/relationships/image" Target="media/image42.jpeg"/><Relationship Id="rId62" Type="http://schemas.openxmlformats.org/officeDocument/2006/relationships/image" Target="media/image41.jpeg"/><Relationship Id="rId61" Type="http://schemas.openxmlformats.org/officeDocument/2006/relationships/image" Target="media/image40.jpeg"/><Relationship Id="rId60" Type="http://schemas.openxmlformats.org/officeDocument/2006/relationships/image" Target="media/image39.jpeg"/><Relationship Id="rId6" Type="http://schemas.openxmlformats.org/officeDocument/2006/relationships/header" Target="header2.xml"/><Relationship Id="rId59" Type="http://schemas.openxmlformats.org/officeDocument/2006/relationships/image" Target="media/image38.jpeg"/><Relationship Id="rId58" Type="http://schemas.openxmlformats.org/officeDocument/2006/relationships/image" Target="media/image37.jpeg"/><Relationship Id="rId57" Type="http://schemas.openxmlformats.org/officeDocument/2006/relationships/image" Target="media/image36.jpeg"/><Relationship Id="rId56" Type="http://schemas.openxmlformats.org/officeDocument/2006/relationships/image" Target="media/image35.jpeg"/><Relationship Id="rId55" Type="http://schemas.openxmlformats.org/officeDocument/2006/relationships/image" Target="media/image34.wmf"/><Relationship Id="rId54" Type="http://schemas.openxmlformats.org/officeDocument/2006/relationships/oleObject" Target="embeddings/oleObject1.bin"/><Relationship Id="rId53" Type="http://schemas.openxmlformats.org/officeDocument/2006/relationships/image" Target="media/image33.jpeg"/><Relationship Id="rId52" Type="http://schemas.openxmlformats.org/officeDocument/2006/relationships/image" Target="media/image32.jpeg"/><Relationship Id="rId51" Type="http://schemas.openxmlformats.org/officeDocument/2006/relationships/image" Target="media/image31.jpeg"/><Relationship Id="rId50" Type="http://schemas.openxmlformats.org/officeDocument/2006/relationships/image" Target="media/image30.jpeg"/><Relationship Id="rId5" Type="http://schemas.openxmlformats.org/officeDocument/2006/relationships/header" Target="header1.xml"/><Relationship Id="rId49" Type="http://schemas.openxmlformats.org/officeDocument/2006/relationships/image" Target="media/image29.jpeg"/><Relationship Id="rId48" Type="http://schemas.openxmlformats.org/officeDocument/2006/relationships/image" Target="media/image28.jpeg"/><Relationship Id="rId47" Type="http://schemas.openxmlformats.org/officeDocument/2006/relationships/image" Target="media/image27.jpeg"/><Relationship Id="rId46" Type="http://schemas.openxmlformats.org/officeDocument/2006/relationships/image" Target="media/image26.jpeg"/><Relationship Id="rId45" Type="http://schemas.openxmlformats.org/officeDocument/2006/relationships/image" Target="media/image25.jpeg"/><Relationship Id="rId44" Type="http://schemas.openxmlformats.org/officeDocument/2006/relationships/image" Target="media/image24.jpeg"/><Relationship Id="rId43" Type="http://schemas.openxmlformats.org/officeDocument/2006/relationships/image" Target="media/image23.jpeg"/><Relationship Id="rId42" Type="http://schemas.openxmlformats.org/officeDocument/2006/relationships/image" Target="media/image22.jpeg"/><Relationship Id="rId41" Type="http://schemas.openxmlformats.org/officeDocument/2006/relationships/image" Target="media/image21.jpeg"/><Relationship Id="rId40" Type="http://schemas.openxmlformats.org/officeDocument/2006/relationships/image" Target="media/image20.jpeg"/><Relationship Id="rId4" Type="http://schemas.openxmlformats.org/officeDocument/2006/relationships/endnotes" Target="endnotes.xml"/><Relationship Id="rId39" Type="http://schemas.openxmlformats.org/officeDocument/2006/relationships/image" Target="media/image19.jpeg"/><Relationship Id="rId38" Type="http://schemas.openxmlformats.org/officeDocument/2006/relationships/image" Target="media/image18.jpeg"/><Relationship Id="rId37" Type="http://schemas.openxmlformats.org/officeDocument/2006/relationships/image" Target="media/image17.jpeg"/><Relationship Id="rId36" Type="http://schemas.openxmlformats.org/officeDocument/2006/relationships/image" Target="media/image16.jpeg"/><Relationship Id="rId35" Type="http://schemas.openxmlformats.org/officeDocument/2006/relationships/image" Target="media/image15.jpeg"/><Relationship Id="rId34" Type="http://schemas.openxmlformats.org/officeDocument/2006/relationships/image" Target="media/image14.jpeg"/><Relationship Id="rId33" Type="http://schemas.openxmlformats.org/officeDocument/2006/relationships/image" Target="media/image13.jpeg"/><Relationship Id="rId32" Type="http://schemas.openxmlformats.org/officeDocument/2006/relationships/image" Target="media/image12.jpeg"/><Relationship Id="rId31" Type="http://schemas.openxmlformats.org/officeDocument/2006/relationships/image" Target="media/image11.png"/><Relationship Id="rId30" Type="http://schemas.openxmlformats.org/officeDocument/2006/relationships/image" Target="media/image10.jpeg"/><Relationship Id="rId3" Type="http://schemas.openxmlformats.org/officeDocument/2006/relationships/footnotes" Target="footnotes.xml"/><Relationship Id="rId29" Type="http://schemas.openxmlformats.org/officeDocument/2006/relationships/image" Target="media/image9.jpeg"/><Relationship Id="rId28" Type="http://schemas.openxmlformats.org/officeDocument/2006/relationships/image" Target="media/image8.jpeg"/><Relationship Id="rId27" Type="http://schemas.openxmlformats.org/officeDocument/2006/relationships/image" Target="media/image7.jpeg"/><Relationship Id="rId26" Type="http://schemas.openxmlformats.org/officeDocument/2006/relationships/image" Target="media/image6.jpeg"/><Relationship Id="rId25" Type="http://schemas.openxmlformats.org/officeDocument/2006/relationships/image" Target="media/image5.jpeg"/><Relationship Id="rId24" Type="http://schemas.openxmlformats.org/officeDocument/2006/relationships/image" Target="media/image4.jpeg"/><Relationship Id="rId23" Type="http://schemas.openxmlformats.org/officeDocument/2006/relationships/image" Target="media/image3.jpeg"/><Relationship Id="rId22" Type="http://schemas.openxmlformats.org/officeDocument/2006/relationships/image" Target="media/image2.png"/><Relationship Id="rId21" Type="http://schemas.openxmlformats.org/officeDocument/2006/relationships/image" Target="media/image1.png"/><Relationship Id="rId20" Type="http://schemas.openxmlformats.org/officeDocument/2006/relationships/image" Target="media/image1.tiff"/><Relationship Id="rId2" Type="http://schemas.openxmlformats.org/officeDocument/2006/relationships/settings" Target="settings.xml"/><Relationship Id="rId19" Type="http://schemas.openxmlformats.org/officeDocument/2006/relationships/theme" Target="theme/theme1.xml"/><Relationship Id="rId18" Type="http://schemas.openxmlformats.org/officeDocument/2006/relationships/footer" Target="footer7.xml"/><Relationship Id="rId17" Type="http://schemas.openxmlformats.org/officeDocument/2006/relationships/footer" Target="footer6.xml"/><Relationship Id="rId16" Type="http://schemas.openxmlformats.org/officeDocument/2006/relationships/header" Target="header7.xml"/><Relationship Id="rId15" Type="http://schemas.openxmlformats.org/officeDocument/2006/relationships/header" Target="header6.xml"/><Relationship Id="rId14" Type="http://schemas.openxmlformats.org/officeDocument/2006/relationships/footer" Target="footer5.xml"/><Relationship Id="rId13" Type="http://schemas.openxmlformats.org/officeDocument/2006/relationships/footer" Target="footer4.xml"/><Relationship Id="rId12" Type="http://schemas.openxmlformats.org/officeDocument/2006/relationships/header" Target="header5.xml"/><Relationship Id="rId11" Type="http://schemas.openxmlformats.org/officeDocument/2006/relationships/header" Target="header4.xml"/><Relationship Id="rId10" Type="http://schemas.openxmlformats.org/officeDocument/2006/relationships/footer" Target="footer3.xml"/><Relationship Id="rId1"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StandardEditor\template\&#22320;&#26041;&#26631;&#20934;.dotx" TargetMode="External"/></Relationships>
</file>

<file path=word/glossary/_rels/document.xml.rels><?xml version="1.0" encoding="UTF-8" standalone="yes"?>
<Relationships xmlns="http://schemas.openxmlformats.org/package/2006/relationships"><Relationship Id="rId3"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docParts>
    <w:docPart>
      <w:docPartPr>
        <w:name w:val="0B9AC1DAF4D94C6BB6F8661462FD8D92"/>
        <w:style w:val=""/>
        <w:category>
          <w:name w:val="常规"/>
          <w:gallery w:val="placeholder"/>
        </w:category>
        <w:types>
          <w:type w:val="bbPlcHdr"/>
        </w:types>
        <w:behaviors>
          <w:behavior w:val="content"/>
        </w:behaviors>
        <w:description w:val=""/>
        <w:guid w:val="{844E74E8-7FF2-4998-A554-7F6AD7D13ECE}"/>
      </w:docPartPr>
      <w:docPartBody>
        <w:p>
          <w:pPr>
            <w:pStyle w:val="5"/>
          </w:pPr>
          <w:r>
            <w:rPr>
              <w:rStyle w:val="4"/>
              <w:rFonts w:hint="eastAsia"/>
            </w:rPr>
            <w:t>单击或点击此处输入文字。</w:t>
          </w:r>
        </w:p>
      </w:docPartBody>
    </w:docPart>
    <w:docPart>
      <w:docPartPr>
        <w:name w:val="B61532C5FF6E4BFBA109D27D2165E622"/>
        <w:style w:val=""/>
        <w:category>
          <w:name w:val="常规"/>
          <w:gallery w:val="placeholder"/>
        </w:category>
        <w:types>
          <w:type w:val="bbPlcHdr"/>
        </w:types>
        <w:behaviors>
          <w:behavior w:val="content"/>
        </w:behaviors>
        <w:description w:val=""/>
        <w:guid w:val="{BAE927CE-8238-46B4-A7A5-287E33D469AA}"/>
      </w:docPartPr>
      <w:docPartBody>
        <w:p>
          <w:pPr>
            <w:pStyle w:val="6"/>
          </w:pPr>
          <w:r>
            <w:rPr>
              <w:rStyle w:val="4"/>
              <w:rFonts w:hint="eastAsia"/>
            </w:rPr>
            <w:t>选择一项。</w:t>
          </w:r>
        </w:p>
      </w:docPartBody>
    </w:docPart>
    <w:docPart>
      <w:docPartPr>
        <w:name w:val="CCC8D6C67D014AA0ADC4A6423145A28D"/>
        <w:style w:val=""/>
        <w:category>
          <w:name w:val="常规"/>
          <w:gallery w:val="placeholder"/>
        </w:category>
        <w:types>
          <w:type w:val="bbPlcHdr"/>
        </w:types>
        <w:behaviors>
          <w:behavior w:val="content"/>
        </w:behaviors>
        <w:description w:val=""/>
        <w:guid w:val="{446E6100-1F5A-4C30-9EC1-70D381F1263A}"/>
      </w:docPartPr>
      <w:docPartBody>
        <w:p>
          <w:pPr>
            <w:pStyle w:val="7"/>
          </w:pPr>
          <w:r>
            <w:rPr>
              <w:rStyle w:val="4"/>
              <w:rFonts w:hint="eastAsia"/>
            </w:rPr>
            <w:t>选择一项。</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bordersDoNotSurroundHeader w:val="1"/>
  <w:bordersDoNotSurroundFooter w:val="1"/>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F630C9"/>
    <w:rsid w:val="0039284D"/>
    <w:rsid w:val="007A36B5"/>
    <w:rsid w:val="008D1D9F"/>
    <w:rsid w:val="009A4CFE"/>
    <w:rsid w:val="009E6D14"/>
    <w:rsid w:val="00B31329"/>
    <w:rsid w:val="00F41A14"/>
    <w:rsid w:val="00F630C9"/>
    <w:rsid w:val="00FA570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glossary/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iPriority="1" w:name="Default Paragraph Font"/>
    <w:lsdException w:qFormat="1" w:uiPriority="99" w:name="Normal Table"/>
    <w:lsdException w:qFormat="1" w:unhideWhenUsed="0" w:uiPriority="99" w:name="Placeholder Text"/>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2">
    <w:name w:val="Default Paragraph Font"/>
    <w:semiHidden/>
    <w:unhideWhenUsed/>
    <w:qFormat/>
    <w:uiPriority w:val="1"/>
  </w:style>
  <w:style w:type="table" w:default="1" w:styleId="3">
    <w:name w:val="Normal Table"/>
    <w:semiHidden/>
    <w:unhideWhenUsed/>
    <w:qFormat/>
    <w:uiPriority w:val="99"/>
    <w:tblPr>
      <w:tblCellMar>
        <w:top w:w="0" w:type="dxa"/>
        <w:left w:w="108" w:type="dxa"/>
        <w:bottom w:w="0" w:type="dxa"/>
        <w:right w:w="108" w:type="dxa"/>
      </w:tblCellMar>
    </w:tblPr>
  </w:style>
  <w:style w:type="character" w:styleId="4">
    <w:name w:val="Placeholder Text"/>
    <w:basedOn w:val="2"/>
    <w:semiHidden/>
    <w:qFormat/>
    <w:uiPriority w:val="99"/>
    <w:rPr>
      <w:color w:val="808080"/>
    </w:rPr>
  </w:style>
  <w:style w:type="paragraph" w:customStyle="1" w:styleId="5">
    <w:name w:val="0B9AC1DAF4D94C6BB6F8661462FD8D92"/>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6">
    <w:name w:val="B61532C5FF6E4BFBA109D27D2165E622"/>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7">
    <w:name w:val="CCC8D6C67D014AA0ADC4A6423145A28D"/>
    <w:qFormat/>
    <w:uiPriority w:val="0"/>
    <w:pPr>
      <w:widowControl w:val="0"/>
      <w:jc w:val="both"/>
    </w:pPr>
    <w:rPr>
      <w:rFonts w:asciiTheme="minorHAnsi" w:hAnsiTheme="minorHAnsi" w:eastAsiaTheme="minorEastAsia" w:cstheme="minorBidi"/>
      <w:kern w:val="2"/>
      <w:sz w:val="21"/>
      <w:szCs w:val="22"/>
      <w:lang w:val="en-US" w:eastAsia="zh-CN" w:bidi="ar-SA"/>
    </w:rPr>
  </w:style>
</w:style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bwMode="auto">
        <a:noFill/>
        <a:ln w="9525">
          <a:solidFill>
            <a:srgbClr val="000000"/>
          </a:solidFill>
          <a:round/>
        </a:ln>
      </a:spPr>
      <a:bodyPr/>
      <a:lstStyle/>
    </a:ln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customShpInfo spid="_x0000_s1027"/>
    <customShpInfo spid="_x0000_s1043"/>
    <customShpInfo spid="_x0000_s1044"/>
    <customShpInfo spid="_x0000_s1045"/>
    <customShpInfo spid="_x0000_s1046"/>
    <customShpInfo spid="_x0000_s1047"/>
    <customShpInfo spid="_x0000_s1048"/>
    <customShpInfo spid="_x0000_s1049"/>
    <customShpInfo spid="_x0000_s1050"/>
    <customShpInfo spid="_x0000_s1051"/>
    <customShpInfo spid="_x0000_s1052"/>
    <customShpInfo spid="_x0000_s1053"/>
    <customShpInfo spid="_x0000_s1054"/>
    <customShpInfo spid="_x0000_s1055"/>
    <customShpInfo spid="_x0000_s1056"/>
    <customShpInfo spid="_x0000_s1057"/>
    <customShpInfo spid="_x0000_s1114"/>
    <customShpInfo spid="_x0000_s1086"/>
    <customShpInfo spid="_x0000_s1088"/>
    <customShpInfo spid="_x0000_s1089"/>
    <customShpInfo spid="_x0000_s1090"/>
    <customShpInfo spid="_x0000_s1091"/>
    <customShpInfo spid="_x0000_s1087"/>
    <customShpInfo spid="_x0000_s1092"/>
    <customShpInfo spid="_x0000_s1094"/>
    <customShpInfo spid="_x0000_s1095"/>
    <customShpInfo spid="_x0000_s1096"/>
    <customShpInfo spid="_x0000_s1097"/>
    <customShpInfo spid="_x0000_s1093"/>
    <customShpInfo spid="_x0000_s1099"/>
    <customShpInfo spid="_x0000_s1100"/>
    <customShpInfo spid="_x0000_s1101"/>
    <customShpInfo spid="_x0000_s1102"/>
    <customShpInfo spid="_x0000_s1098"/>
    <customShpInfo spid="_x0000_s1103"/>
    <customShpInfo spid="_x0000_s1105"/>
    <customShpInfo spid="_x0000_s1106"/>
    <customShpInfo spid="_x0000_s1107"/>
    <customShpInfo spid="_x0000_s1108"/>
    <customShpInfo spid="_x0000_s1104"/>
    <customShpInfo spid="_x0000_s1110"/>
    <customShpInfo spid="_x0000_s1111"/>
    <customShpInfo spid="_x0000_s1112"/>
    <customShpInfo spid="_x0000_s1113"/>
    <customShpInfo spid="_x0000_s1109"/>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70D927E-2DEB-404A-AB9B-68F91262A5FB}">
  <ds:schemaRefs/>
</ds:datastoreItem>
</file>

<file path=docProps/app.xml><?xml version="1.0" encoding="utf-8"?>
<Properties xmlns="http://schemas.openxmlformats.org/officeDocument/2006/extended-properties" xmlns:vt="http://schemas.openxmlformats.org/officeDocument/2006/docPropsVTypes">
  <Template>地方标准</Template>
  <Company>PCMI</Company>
  <Pages>35</Pages>
  <Words>12633</Words>
  <Characters>14961</Characters>
  <Lines>181</Lines>
  <Paragraphs>51</Paragraphs>
  <TotalTime>0</TotalTime>
  <ScaleCrop>false</ScaleCrop>
  <LinksUpToDate>false</LinksUpToDate>
  <CharactersWithSpaces>18125</CharactersWithSpaces>
  <Application>WPS Office_11.8.2.10393_F1E327BC-269C-435d-A152-05C5408002CA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2021-05-06T00:17:00Z</dcterms:created>
  <dc:creator>胥文婷</dc:creator>
  <dc:description>&lt;config cover="true" show_menu="true" version="1.0.0" doctype="SDKXY"&gt;_x000d_
&lt;/config&gt;</dc:description>
  <cp:lastModifiedBy>赵军</cp:lastModifiedBy>
  <cp:lastPrinted>2023-12-22T08:05:00Z</cp:lastPrinted>
  <dcterms:modified xsi:type="dcterms:W3CDTF">2024-09-09T03:10:38Z</dcterms:modified>
  <dc:title>地方标准</dc:title>
  <cp:revision>92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type">
    <vt:lpwstr>SDKXY</vt:lpwstr>
  </property>
  <property fmtid="{D5CDD505-2E9C-101B-9397-08002B2CF9AE}" pid="3" name="cover">
    <vt:lpwstr>true</vt:lpwstr>
  </property>
  <property fmtid="{D5CDD505-2E9C-101B-9397-08002B2CF9AE}" pid="4" name="show_menu">
    <vt:lpwstr>true</vt:lpwstr>
  </property>
  <property fmtid="{D5CDD505-2E9C-101B-9397-08002B2CF9AE}" pid="5" name="version">
    <vt:lpwstr>1.0.0</vt:lpwstr>
  </property>
  <property fmtid="{D5CDD505-2E9C-101B-9397-08002B2CF9AE}" pid="6" name="xmlname">
    <vt:lpwstr>地方标准</vt:lpwstr>
  </property>
  <property fmtid="{D5CDD505-2E9C-101B-9397-08002B2CF9AE}" pid="7" name="NSTD_CODE">
    <vt:lpwstr>GB/T-</vt:lpwstr>
  </property>
  <property fmtid="{D5CDD505-2E9C-101B-9397-08002B2CF9AE}" pid="8" name="OSTD_CODE">
    <vt:lpwstr>代替 GB/T-</vt:lpwstr>
  </property>
  <property fmtid="{D5CDD505-2E9C-101B-9397-08002B2CF9AE}" pid="9" name="flag_zhengwen">
    <vt:lpwstr>1</vt:lpwstr>
  </property>
  <property fmtid="{D5CDD505-2E9C-101B-9397-08002B2CF9AE}" pid="10" name="flag_fulu">
    <vt:lpwstr>0</vt:lpwstr>
  </property>
  <property fmtid="{D5CDD505-2E9C-101B-9397-08002B2CF9AE}" pid="11" name="flag_pic">
    <vt:lpwstr>False</vt:lpwstr>
  </property>
  <property fmtid="{D5CDD505-2E9C-101B-9397-08002B2CF9AE}" pid="12" name="flag_tab">
    <vt:lpwstr>false</vt:lpwstr>
  </property>
  <property fmtid="{D5CDD505-2E9C-101B-9397-08002B2CF9AE}" pid="13" name="NumList">
    <vt:lpwstr>false</vt:lpwstr>
  </property>
  <property fmtid="{D5CDD505-2E9C-101B-9397-08002B2CF9AE}" pid="14" name="DoublePage">
    <vt:lpwstr>false</vt:lpwstr>
  </property>
  <property fmtid="{D5CDD505-2E9C-101B-9397-08002B2CF9AE}" pid="15" name="KSOProductBuildVer">
    <vt:lpwstr>2052-11.8.2.10393</vt:lpwstr>
  </property>
  <property fmtid="{D5CDD505-2E9C-101B-9397-08002B2CF9AE}" pid="16" name="ICV">
    <vt:lpwstr>8E4E4B16CD28490B87FE8D82E4B62EE3_12</vt:lpwstr>
  </property>
</Properties>
</file>