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93.040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P20/29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桥梁栏杆水平抗推能力</w:t>
      </w:r>
    </w:p>
    <w:p>
      <w:pPr>
        <w:pStyle w:val="200"/>
        <w:framePr w:h="6974" w:hRule="exact" w:wrap="around" w:x="1419" w:anchorLock="1"/>
      </w:pPr>
      <w:r>
        <w:rPr>
          <w:rFonts w:hint="eastAsia"/>
        </w:rPr>
        <w:t>检测技术规程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horizontal thrust resistance detection of bridge railings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54"/>
        </w:tabs>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"_Toc11952" </w:instrText>
      </w:r>
      <w:r>
        <w:fldChar w:fldCharType="separate"/>
      </w:r>
      <w:r>
        <w:rPr>
          <w:spacing w:val="320"/>
        </w:rPr>
        <w:t>前</w:t>
      </w:r>
      <w:r>
        <w:t>言</w:t>
      </w:r>
      <w:r>
        <w:tab/>
      </w:r>
      <w:r>
        <w:fldChar w:fldCharType="begin"/>
      </w:r>
      <w:r>
        <w:instrText xml:space="preserve"> PAGEREF _Toc11952 \h </w:instrText>
      </w:r>
      <w:r>
        <w:fldChar w:fldCharType="separate"/>
      </w:r>
      <w:r>
        <w:t>II</w:t>
      </w:r>
      <w:r>
        <w:fldChar w:fldCharType="end"/>
      </w:r>
      <w:r>
        <w:fldChar w:fldCharType="end"/>
      </w:r>
    </w:p>
    <w:p>
      <w:pPr>
        <w:pStyle w:val="21"/>
        <w:tabs>
          <w:tab w:val="right" w:leader="dot" w:pos="9354"/>
        </w:tabs>
      </w:pPr>
      <w:r>
        <w:fldChar w:fldCharType="begin"/>
      </w:r>
      <w:r>
        <w:instrText xml:space="preserve"> HYPERLINK \l "_Toc31961" </w:instrText>
      </w:r>
      <w:r>
        <w:fldChar w:fldCharType="separate"/>
      </w:r>
      <w:r>
        <w:rPr>
          <w:rFonts w:hint="eastAsia"/>
        </w:rPr>
        <w:t>1 范围</w:t>
      </w:r>
      <w:r>
        <w:tab/>
      </w:r>
      <w:r>
        <w:fldChar w:fldCharType="begin"/>
      </w:r>
      <w:r>
        <w:instrText xml:space="preserve"> PAGEREF _Toc31961 \h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"_Toc25011" </w:instrText>
      </w:r>
      <w:r>
        <w:fldChar w:fldCharType="separate"/>
      </w:r>
      <w:r>
        <w:rPr>
          <w:rFonts w:hint="eastAsia"/>
        </w:rPr>
        <w:t>2 规范性引用文件</w:t>
      </w:r>
      <w:r>
        <w:tab/>
      </w:r>
      <w:r>
        <w:fldChar w:fldCharType="begin"/>
      </w:r>
      <w:r>
        <w:instrText xml:space="preserve"> PAGEREF _Toc25011 \h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"_Toc8089" </w:instrText>
      </w:r>
      <w:r>
        <w:fldChar w:fldCharType="separate"/>
      </w:r>
      <w:r>
        <w:rPr>
          <w:rFonts w:hint="eastAsia"/>
        </w:rPr>
        <w:t>3 术语和定义</w:t>
      </w:r>
      <w:r>
        <w:tab/>
      </w:r>
      <w:r>
        <w:fldChar w:fldCharType="begin"/>
      </w:r>
      <w:r>
        <w:instrText xml:space="preserve"> PAGEREF _Toc8089 \h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"_Toc22193" </w:instrText>
      </w:r>
      <w:r>
        <w:fldChar w:fldCharType="separate"/>
      </w:r>
      <w:r>
        <w:rPr>
          <w:rFonts w:hint="eastAsia"/>
        </w:rPr>
        <w:t>4 基本规定</w:t>
      </w:r>
      <w:r>
        <w:tab/>
      </w:r>
      <w:r>
        <w:fldChar w:fldCharType="begin"/>
      </w:r>
      <w:r>
        <w:instrText xml:space="preserve"> PAGEREF _Toc22193 \h </w:instrText>
      </w:r>
      <w:r>
        <w:fldChar w:fldCharType="separate"/>
      </w:r>
      <w:r>
        <w:t>1</w:t>
      </w:r>
      <w:r>
        <w:fldChar w:fldCharType="end"/>
      </w:r>
      <w:r>
        <w:fldChar w:fldCharType="end"/>
      </w:r>
    </w:p>
    <w:p>
      <w:pPr>
        <w:pStyle w:val="21"/>
        <w:tabs>
          <w:tab w:val="right" w:leader="dot" w:pos="9354"/>
        </w:tabs>
      </w:pPr>
      <w:r>
        <w:fldChar w:fldCharType="begin"/>
      </w:r>
      <w:r>
        <w:instrText xml:space="preserve"> HYPERLINK \l "_Toc10254" </w:instrText>
      </w:r>
      <w:r>
        <w:fldChar w:fldCharType="separate"/>
      </w:r>
      <w:r>
        <w:rPr>
          <w:rFonts w:hint="eastAsia"/>
        </w:rPr>
        <w:t>5 检测设备</w:t>
      </w:r>
      <w:r>
        <w:tab/>
      </w:r>
      <w:r>
        <w:fldChar w:fldCharType="begin"/>
      </w:r>
      <w:r>
        <w:instrText xml:space="preserve"> PAGEREF _Toc10254 \h </w:instrText>
      </w:r>
      <w:r>
        <w:fldChar w:fldCharType="separate"/>
      </w:r>
      <w:r>
        <w:t>2</w:t>
      </w:r>
      <w:r>
        <w:fldChar w:fldCharType="end"/>
      </w:r>
      <w:r>
        <w:fldChar w:fldCharType="end"/>
      </w:r>
    </w:p>
    <w:p>
      <w:pPr>
        <w:pStyle w:val="21"/>
        <w:tabs>
          <w:tab w:val="right" w:leader="dot" w:pos="9354"/>
        </w:tabs>
      </w:pPr>
      <w:r>
        <w:fldChar w:fldCharType="begin"/>
      </w:r>
      <w:r>
        <w:instrText xml:space="preserve"> HYPERLINK \l "_Toc5869" </w:instrText>
      </w:r>
      <w:r>
        <w:fldChar w:fldCharType="separate"/>
      </w:r>
      <w:r>
        <w:rPr>
          <w:rFonts w:hint="eastAsia"/>
        </w:rPr>
        <w:t>6 现场检测</w:t>
      </w:r>
      <w:r>
        <w:tab/>
      </w:r>
      <w:r>
        <w:fldChar w:fldCharType="begin"/>
      </w:r>
      <w:r>
        <w:instrText xml:space="preserve"> PAGEREF _Toc5869 \h </w:instrText>
      </w:r>
      <w:r>
        <w:fldChar w:fldCharType="separate"/>
      </w:r>
      <w:r>
        <w:t>3</w:t>
      </w:r>
      <w:r>
        <w:fldChar w:fldCharType="end"/>
      </w:r>
      <w:r>
        <w:fldChar w:fldCharType="end"/>
      </w:r>
    </w:p>
    <w:p>
      <w:pPr>
        <w:pStyle w:val="26"/>
        <w:tabs>
          <w:tab w:val="right" w:leader="dot" w:pos="9354"/>
          <w:tab w:val="clear" w:pos="9344"/>
        </w:tabs>
      </w:pPr>
      <w:r>
        <w:fldChar w:fldCharType="begin"/>
      </w:r>
      <w:r>
        <w:instrText xml:space="preserve"> HYPERLINK \l "_Toc25102" </w:instrText>
      </w:r>
      <w:r>
        <w:fldChar w:fldCharType="separate"/>
      </w:r>
      <w:r>
        <w:rPr>
          <w:rFonts w:hint="eastAsia"/>
        </w:rPr>
        <w:t>6.1 检测前收集信息</w:t>
      </w:r>
      <w:r>
        <w:tab/>
      </w:r>
      <w:r>
        <w:fldChar w:fldCharType="begin"/>
      </w:r>
      <w:r>
        <w:instrText xml:space="preserve"> PAGEREF _Toc25102 \h </w:instrText>
      </w:r>
      <w:r>
        <w:fldChar w:fldCharType="separate"/>
      </w:r>
      <w:r>
        <w:t>3</w:t>
      </w:r>
      <w:r>
        <w:fldChar w:fldCharType="end"/>
      </w:r>
      <w:r>
        <w:fldChar w:fldCharType="end"/>
      </w:r>
    </w:p>
    <w:p>
      <w:pPr>
        <w:pStyle w:val="26"/>
        <w:tabs>
          <w:tab w:val="right" w:leader="dot" w:pos="9354"/>
          <w:tab w:val="clear" w:pos="9344"/>
        </w:tabs>
      </w:pPr>
      <w:r>
        <w:fldChar w:fldCharType="begin"/>
      </w:r>
      <w:r>
        <w:instrText xml:space="preserve"> HYPERLINK \l "_Toc18174" </w:instrText>
      </w:r>
      <w:r>
        <w:fldChar w:fldCharType="separate"/>
      </w:r>
      <w:r>
        <w:rPr>
          <w:rFonts w:hint="eastAsia"/>
        </w:rPr>
        <w:t>6.2 编制检测方案</w:t>
      </w:r>
      <w:r>
        <w:tab/>
      </w:r>
      <w:r>
        <w:fldChar w:fldCharType="begin"/>
      </w:r>
      <w:r>
        <w:instrText xml:space="preserve"> PAGEREF _Toc18174 \h </w:instrText>
      </w:r>
      <w:r>
        <w:fldChar w:fldCharType="separate"/>
      </w:r>
      <w:r>
        <w:t>3</w:t>
      </w:r>
      <w:r>
        <w:fldChar w:fldCharType="end"/>
      </w:r>
      <w:r>
        <w:fldChar w:fldCharType="end"/>
      </w:r>
    </w:p>
    <w:p>
      <w:pPr>
        <w:pStyle w:val="26"/>
        <w:tabs>
          <w:tab w:val="right" w:leader="dot" w:pos="9354"/>
          <w:tab w:val="clear" w:pos="9344"/>
        </w:tabs>
      </w:pPr>
      <w:r>
        <w:fldChar w:fldCharType="begin"/>
      </w:r>
      <w:r>
        <w:instrText xml:space="preserve"> HYPERLINK \l "_Toc9441" </w:instrText>
      </w:r>
      <w:r>
        <w:fldChar w:fldCharType="separate"/>
      </w:r>
      <w:r>
        <w:rPr>
          <w:rFonts w:hint="eastAsia"/>
        </w:rPr>
        <w:t>6.3 设备准备</w:t>
      </w:r>
      <w:r>
        <w:tab/>
      </w:r>
      <w:r>
        <w:fldChar w:fldCharType="begin"/>
      </w:r>
      <w:r>
        <w:instrText xml:space="preserve"> PAGEREF _Toc9441 \h </w:instrText>
      </w:r>
      <w:r>
        <w:fldChar w:fldCharType="separate"/>
      </w:r>
      <w:r>
        <w:t>3</w:t>
      </w:r>
      <w:r>
        <w:fldChar w:fldCharType="end"/>
      </w:r>
      <w:r>
        <w:fldChar w:fldCharType="end"/>
      </w:r>
    </w:p>
    <w:p>
      <w:pPr>
        <w:pStyle w:val="26"/>
        <w:tabs>
          <w:tab w:val="right" w:leader="dot" w:pos="9354"/>
          <w:tab w:val="clear" w:pos="9344"/>
        </w:tabs>
      </w:pPr>
      <w:r>
        <w:fldChar w:fldCharType="begin"/>
      </w:r>
      <w:r>
        <w:instrText xml:space="preserve"> HYPERLINK \l "_Toc1550" </w:instrText>
      </w:r>
      <w:r>
        <w:fldChar w:fldCharType="separate"/>
      </w:r>
      <w:r>
        <w:rPr>
          <w:rFonts w:hint="eastAsia"/>
        </w:rPr>
        <w:t>6.4 抽样数量及测点布置</w:t>
      </w:r>
      <w:r>
        <w:tab/>
      </w:r>
      <w:r>
        <w:fldChar w:fldCharType="begin"/>
      </w:r>
      <w:r>
        <w:instrText xml:space="preserve"> PAGEREF _Toc1550 \h </w:instrText>
      </w:r>
      <w:r>
        <w:fldChar w:fldCharType="separate"/>
      </w:r>
      <w:r>
        <w:t>3</w:t>
      </w:r>
      <w:r>
        <w:fldChar w:fldCharType="end"/>
      </w:r>
      <w:r>
        <w:fldChar w:fldCharType="end"/>
      </w:r>
    </w:p>
    <w:p>
      <w:pPr>
        <w:pStyle w:val="26"/>
        <w:tabs>
          <w:tab w:val="right" w:leader="dot" w:pos="9354"/>
          <w:tab w:val="clear" w:pos="9344"/>
        </w:tabs>
      </w:pPr>
      <w:r>
        <w:fldChar w:fldCharType="begin"/>
      </w:r>
      <w:r>
        <w:instrText xml:space="preserve"> HYPERLINK \l "_Toc20278" </w:instrText>
      </w:r>
      <w:r>
        <w:fldChar w:fldCharType="separate"/>
      </w:r>
      <w:r>
        <w:rPr>
          <w:rFonts w:hint="eastAsia"/>
        </w:rPr>
        <w:t>6.5 试验荷载F确定</w:t>
      </w:r>
      <w:r>
        <w:tab/>
      </w:r>
      <w:r>
        <w:fldChar w:fldCharType="begin"/>
      </w:r>
      <w:r>
        <w:instrText xml:space="preserve"> PAGEREF _Toc20278 \h </w:instrText>
      </w:r>
      <w:r>
        <w:fldChar w:fldCharType="separate"/>
      </w:r>
      <w:r>
        <w:t>4</w:t>
      </w:r>
      <w:r>
        <w:fldChar w:fldCharType="end"/>
      </w:r>
      <w:r>
        <w:fldChar w:fldCharType="end"/>
      </w:r>
    </w:p>
    <w:p>
      <w:pPr>
        <w:pStyle w:val="26"/>
        <w:tabs>
          <w:tab w:val="right" w:leader="dot" w:pos="9354"/>
          <w:tab w:val="clear" w:pos="9344"/>
        </w:tabs>
      </w:pPr>
      <w:r>
        <w:fldChar w:fldCharType="begin"/>
      </w:r>
      <w:r>
        <w:instrText xml:space="preserve"> HYPERLINK \l "_Toc22049" </w:instrText>
      </w:r>
      <w:r>
        <w:fldChar w:fldCharType="separate"/>
      </w:r>
      <w:r>
        <w:rPr>
          <w:rFonts w:hint="eastAsia"/>
        </w:rPr>
        <w:t>6.6 钢质桥梁栏杆水平抗推能力检测过程</w:t>
      </w:r>
      <w:r>
        <w:tab/>
      </w:r>
      <w:r>
        <w:fldChar w:fldCharType="begin"/>
      </w:r>
      <w:r>
        <w:instrText xml:space="preserve"> PAGEREF _Toc22049 \h </w:instrText>
      </w:r>
      <w:r>
        <w:fldChar w:fldCharType="separate"/>
      </w:r>
      <w:r>
        <w:t>4</w:t>
      </w:r>
      <w:r>
        <w:fldChar w:fldCharType="end"/>
      </w:r>
      <w:r>
        <w:fldChar w:fldCharType="end"/>
      </w:r>
    </w:p>
    <w:p>
      <w:pPr>
        <w:pStyle w:val="26"/>
        <w:tabs>
          <w:tab w:val="right" w:leader="dot" w:pos="9354"/>
          <w:tab w:val="clear" w:pos="9344"/>
        </w:tabs>
      </w:pPr>
      <w:r>
        <w:fldChar w:fldCharType="begin"/>
      </w:r>
      <w:r>
        <w:instrText xml:space="preserve"> HYPERLINK \l "_Toc24809" </w:instrText>
      </w:r>
      <w:r>
        <w:fldChar w:fldCharType="separate"/>
      </w:r>
      <w:r>
        <w:rPr>
          <w:rFonts w:hint="eastAsia"/>
        </w:rPr>
        <w:t>6.7 石材、混凝土桥梁栏杆水平抗推能力检测过程</w:t>
      </w:r>
      <w:r>
        <w:tab/>
      </w:r>
      <w:r>
        <w:fldChar w:fldCharType="begin"/>
      </w:r>
      <w:r>
        <w:instrText xml:space="preserve"> PAGEREF _Toc24809 \h </w:instrText>
      </w:r>
      <w:r>
        <w:fldChar w:fldCharType="separate"/>
      </w:r>
      <w:r>
        <w:t>5</w:t>
      </w:r>
      <w:r>
        <w:fldChar w:fldCharType="end"/>
      </w:r>
      <w:r>
        <w:fldChar w:fldCharType="end"/>
      </w:r>
    </w:p>
    <w:p>
      <w:pPr>
        <w:pStyle w:val="21"/>
        <w:tabs>
          <w:tab w:val="right" w:leader="dot" w:pos="9354"/>
        </w:tabs>
      </w:pPr>
      <w:r>
        <w:fldChar w:fldCharType="begin"/>
      </w:r>
      <w:r>
        <w:instrText xml:space="preserve"> HYPERLINK \l "_Toc19939" </w:instrText>
      </w:r>
      <w:r>
        <w:fldChar w:fldCharType="separate"/>
      </w:r>
      <w:r>
        <w:rPr>
          <w:rFonts w:hint="eastAsia"/>
        </w:rPr>
        <w:t>7 数据处理与评定</w:t>
      </w:r>
      <w:r>
        <w:tab/>
      </w:r>
      <w:r>
        <w:fldChar w:fldCharType="begin"/>
      </w:r>
      <w:r>
        <w:instrText xml:space="preserve"> PAGEREF _Toc19939 \h </w:instrText>
      </w:r>
      <w:r>
        <w:fldChar w:fldCharType="separate"/>
      </w:r>
      <w:r>
        <w:t>6</w:t>
      </w:r>
      <w:r>
        <w:fldChar w:fldCharType="end"/>
      </w:r>
      <w:r>
        <w:fldChar w:fldCharType="end"/>
      </w:r>
    </w:p>
    <w:p>
      <w:pPr>
        <w:pStyle w:val="26"/>
        <w:tabs>
          <w:tab w:val="right" w:leader="dot" w:pos="9354"/>
          <w:tab w:val="clear" w:pos="9344"/>
        </w:tabs>
      </w:pPr>
      <w:r>
        <w:fldChar w:fldCharType="begin"/>
      </w:r>
      <w:r>
        <w:instrText xml:space="preserve"> HYPERLINK \l "_Toc23345" </w:instrText>
      </w:r>
      <w:r>
        <w:fldChar w:fldCharType="separate"/>
      </w:r>
      <w:r>
        <w:rPr>
          <w:rFonts w:hint="eastAsia"/>
        </w:rPr>
        <w:t>7.1 数据处理</w:t>
      </w:r>
      <w:r>
        <w:tab/>
      </w:r>
      <w:r>
        <w:fldChar w:fldCharType="begin"/>
      </w:r>
      <w:r>
        <w:instrText xml:space="preserve"> PAGEREF _Toc23345 \h </w:instrText>
      </w:r>
      <w:r>
        <w:fldChar w:fldCharType="separate"/>
      </w:r>
      <w:r>
        <w:t>6</w:t>
      </w:r>
      <w:r>
        <w:fldChar w:fldCharType="end"/>
      </w:r>
      <w:r>
        <w:fldChar w:fldCharType="end"/>
      </w:r>
    </w:p>
    <w:p>
      <w:pPr>
        <w:pStyle w:val="26"/>
        <w:tabs>
          <w:tab w:val="right" w:leader="dot" w:pos="9354"/>
          <w:tab w:val="clear" w:pos="9344"/>
        </w:tabs>
      </w:pPr>
      <w:r>
        <w:fldChar w:fldCharType="begin"/>
      </w:r>
      <w:r>
        <w:instrText xml:space="preserve"> HYPERLINK \l "_Toc517" </w:instrText>
      </w:r>
      <w:r>
        <w:fldChar w:fldCharType="separate"/>
      </w:r>
      <w:r>
        <w:rPr>
          <w:rFonts w:hint="eastAsia" w:hAnsi="黑体" w:cs="黑体"/>
        </w:rPr>
        <w:t>7.2</w:t>
      </w:r>
      <w:r>
        <w:rPr>
          <w:rFonts w:hint="eastAsia"/>
        </w:rPr>
        <w:t xml:space="preserve"> 评定</w:t>
      </w:r>
      <w:r>
        <w:tab/>
      </w:r>
      <w:r>
        <w:fldChar w:fldCharType="begin"/>
      </w:r>
      <w:r>
        <w:instrText xml:space="preserve"> PAGEREF _Toc517 \h </w:instrText>
      </w:r>
      <w:r>
        <w:fldChar w:fldCharType="separate"/>
      </w:r>
      <w:r>
        <w:t>7</w:t>
      </w:r>
      <w:r>
        <w:fldChar w:fldCharType="end"/>
      </w:r>
      <w:r>
        <w:fldChar w:fldCharType="end"/>
      </w:r>
    </w:p>
    <w:p>
      <w:pPr>
        <w:pStyle w:val="21"/>
        <w:tabs>
          <w:tab w:val="right" w:leader="dot" w:pos="9354"/>
        </w:tabs>
      </w:pPr>
      <w:r>
        <w:fldChar w:fldCharType="begin"/>
      </w:r>
      <w:r>
        <w:instrText xml:space="preserve"> HYPERLINK \l "_Toc32518" </w:instrText>
      </w:r>
      <w:r>
        <w:fldChar w:fldCharType="separate"/>
      </w:r>
      <w:r>
        <w:rPr>
          <w:rFonts w:hint="eastAsia"/>
        </w:rPr>
        <w:t>8 检测记录与报告</w:t>
      </w:r>
      <w:r>
        <w:tab/>
      </w:r>
      <w:r>
        <w:fldChar w:fldCharType="begin"/>
      </w:r>
      <w:r>
        <w:instrText xml:space="preserve"> PAGEREF _Toc32518 \h </w:instrText>
      </w:r>
      <w:r>
        <w:fldChar w:fldCharType="separate"/>
      </w:r>
      <w:r>
        <w:t>7</w:t>
      </w:r>
      <w:r>
        <w:fldChar w:fldCharType="end"/>
      </w:r>
      <w:r>
        <w:fldChar w:fldCharType="end"/>
      </w:r>
    </w:p>
    <w:p>
      <w:pPr>
        <w:pStyle w:val="26"/>
        <w:tabs>
          <w:tab w:val="right" w:leader="dot" w:pos="9354"/>
          <w:tab w:val="clear" w:pos="9344"/>
        </w:tabs>
      </w:pPr>
      <w:r>
        <w:fldChar w:fldCharType="begin"/>
      </w:r>
      <w:r>
        <w:instrText xml:space="preserve"> HYPERLINK \l "_Toc23163" </w:instrText>
      </w:r>
      <w:r>
        <w:fldChar w:fldCharType="separate"/>
      </w:r>
      <w:r>
        <w:rPr>
          <w:rFonts w:hint="eastAsia"/>
        </w:rPr>
        <w:t>8.1 检测记录</w:t>
      </w:r>
      <w:r>
        <w:tab/>
      </w:r>
      <w:r>
        <w:fldChar w:fldCharType="begin"/>
      </w:r>
      <w:r>
        <w:instrText xml:space="preserve"> PAGEREF _Toc23163 \h </w:instrText>
      </w:r>
      <w:r>
        <w:fldChar w:fldCharType="separate"/>
      </w:r>
      <w:r>
        <w:t>7</w:t>
      </w:r>
      <w:r>
        <w:fldChar w:fldCharType="end"/>
      </w:r>
      <w:r>
        <w:fldChar w:fldCharType="end"/>
      </w:r>
    </w:p>
    <w:p>
      <w:pPr>
        <w:pStyle w:val="26"/>
        <w:tabs>
          <w:tab w:val="right" w:leader="dot" w:pos="9354"/>
          <w:tab w:val="clear" w:pos="9344"/>
        </w:tabs>
      </w:pPr>
      <w:r>
        <w:fldChar w:fldCharType="begin"/>
      </w:r>
      <w:r>
        <w:instrText xml:space="preserve"> HYPERLINK \l "_Toc7137" </w:instrText>
      </w:r>
      <w:r>
        <w:fldChar w:fldCharType="separate"/>
      </w:r>
      <w:r>
        <w:rPr>
          <w:rFonts w:hint="eastAsia"/>
        </w:rPr>
        <w:t>8.2 检测报告</w:t>
      </w:r>
      <w:r>
        <w:tab/>
      </w:r>
      <w:r>
        <w:fldChar w:fldCharType="begin"/>
      </w:r>
      <w:r>
        <w:instrText xml:space="preserve"> PAGEREF _Toc7137 \h </w:instrText>
      </w:r>
      <w:r>
        <w:fldChar w:fldCharType="separate"/>
      </w:r>
      <w:r>
        <w:t>7</w:t>
      </w:r>
      <w:r>
        <w:fldChar w:fldCharType="end"/>
      </w:r>
      <w:r>
        <w:fldChar w:fldCharType="end"/>
      </w:r>
    </w:p>
    <w:p>
      <w:pPr>
        <w:pStyle w:val="21"/>
        <w:tabs>
          <w:tab w:val="right" w:leader="dot" w:pos="9354"/>
        </w:tabs>
      </w:pPr>
      <w:r>
        <w:fldChar w:fldCharType="begin"/>
      </w:r>
      <w:r>
        <w:instrText xml:space="preserve"> HYPERLINK \l "_Toc15057" </w:instrText>
      </w:r>
      <w:r>
        <w:fldChar w:fldCharType="separate"/>
      </w:r>
      <w:r>
        <w:rPr>
          <w:rFonts w:hint="eastAsia"/>
        </w:rPr>
        <w:t>附录A 桥梁栏杆抗水平推力检测原始数据记录表</w:t>
      </w:r>
      <w:r>
        <w:tab/>
      </w:r>
      <w:r>
        <w:fldChar w:fldCharType="begin"/>
      </w:r>
      <w:r>
        <w:instrText xml:space="preserve"> PAGEREF _Toc15057 \h </w:instrText>
      </w:r>
      <w:r>
        <w:fldChar w:fldCharType="separate"/>
      </w:r>
      <w:r>
        <w:t>8</w:t>
      </w:r>
      <w:r>
        <w:fldChar w:fldCharType="end"/>
      </w:r>
      <w:r>
        <w:fldChar w:fldCharType="end"/>
      </w:r>
    </w:p>
    <w:p>
      <w:pPr>
        <w:pStyle w:val="21"/>
        <w:tabs>
          <w:tab w:val="right" w:leader="dot" w:pos="9354"/>
        </w:tabs>
        <w:rPr>
          <w:rFonts w:hAnsi="宋体" w:cs="宋体"/>
        </w:rPr>
      </w:pPr>
    </w:p>
    <w:p>
      <w:pPr>
        <w:pStyle w:val="21"/>
        <w:tabs>
          <w:tab w:val="right" w:leader="dot" w:pos="9354"/>
        </w:tabs>
        <w:rPr>
          <w:rFonts w:hAnsi="宋体" w:cs="宋体"/>
        </w:rPr>
      </w:pPr>
      <w:r>
        <w:fldChar w:fldCharType="begin"/>
      </w:r>
      <w:r>
        <w:instrText xml:space="preserve"> HYPERLINK \l "_Toc25040" </w:instrText>
      </w:r>
      <w:r>
        <w:fldChar w:fldCharType="separate"/>
      </w:r>
      <w:r>
        <w:rPr>
          <w:rFonts w:hint="eastAsia" w:hAnsi="宋体" w:cs="宋体"/>
        </w:rPr>
        <w:t>图1  钢质桥梁栏杆测点布置示意图</w:t>
      </w:r>
      <w:r>
        <w:rPr>
          <w:rFonts w:hint="eastAsia" w:hAnsi="宋体" w:cs="宋体"/>
        </w:rPr>
        <w:tab/>
      </w:r>
      <w:r>
        <w:rPr>
          <w:rFonts w:hint="eastAsia" w:hAnsi="宋体" w:cs="宋体"/>
        </w:rPr>
        <w:t>5</w:t>
      </w:r>
      <w:r>
        <w:rPr>
          <w:rFonts w:hint="eastAsia" w:hAnsi="宋体" w:cs="宋体"/>
        </w:rPr>
        <w:fldChar w:fldCharType="end"/>
      </w:r>
    </w:p>
    <w:p>
      <w:pPr>
        <w:pStyle w:val="21"/>
        <w:tabs>
          <w:tab w:val="right" w:leader="dot" w:pos="9354"/>
        </w:tabs>
        <w:rPr>
          <w:rFonts w:hAnsi="宋体" w:cs="宋体"/>
        </w:rPr>
      </w:pPr>
      <w:r>
        <w:fldChar w:fldCharType="begin"/>
      </w:r>
      <w:r>
        <w:instrText xml:space="preserve"> HYPERLINK \l "_Toc25040" </w:instrText>
      </w:r>
      <w:r>
        <w:fldChar w:fldCharType="separate"/>
      </w:r>
      <w:r>
        <w:rPr>
          <w:rFonts w:hint="eastAsia" w:hAnsi="宋体" w:cs="宋体"/>
        </w:rPr>
        <w:t>图2  石材、混凝土桥梁栏杆测点布置示意图</w:t>
      </w:r>
      <w:r>
        <w:rPr>
          <w:rFonts w:hint="eastAsia" w:hAnsi="宋体" w:cs="宋体"/>
        </w:rPr>
        <w:tab/>
      </w:r>
      <w:r>
        <w:rPr>
          <w:rFonts w:hint="eastAsia" w:hAnsi="宋体" w:cs="宋体"/>
        </w:rPr>
        <w:t>6</w:t>
      </w:r>
      <w:r>
        <w:rPr>
          <w:rFonts w:hint="eastAsia" w:hAnsi="宋体" w:cs="宋体"/>
        </w:rPr>
        <w:fldChar w:fldCharType="end"/>
      </w:r>
    </w:p>
    <w:p>
      <w:pPr>
        <w:pStyle w:val="2"/>
      </w:pPr>
    </w:p>
    <w:p>
      <w:pPr>
        <w:pStyle w:val="21"/>
        <w:tabs>
          <w:tab w:val="right" w:leader="dot" w:pos="9354"/>
        </w:tabs>
      </w:pPr>
      <w:r>
        <w:fldChar w:fldCharType="begin"/>
      </w:r>
      <w:r>
        <w:instrText xml:space="preserve"> HYPERLINK \l "_Toc25040" </w:instrText>
      </w:r>
      <w:r>
        <w:fldChar w:fldCharType="separate"/>
      </w:r>
      <w:r>
        <w:rPr>
          <w:rFonts w:hint="eastAsia" w:hAnsi="宋体" w:cs="宋体"/>
        </w:rPr>
        <w:t>表1  桥梁栏杆水平抗推能力检测设备主要技术参数</w:t>
      </w:r>
      <w:r>
        <w:rPr>
          <w:rFonts w:hint="eastAsia" w:hAnsi="宋体" w:cs="宋体"/>
        </w:rPr>
        <w:tab/>
      </w:r>
      <w:r>
        <w:rPr>
          <w:rFonts w:hint="eastAsia" w:hAnsi="宋体" w:cs="宋体"/>
        </w:rPr>
        <w:t>2</w:t>
      </w:r>
      <w:r>
        <w:rPr>
          <w:rFonts w:hint="eastAsia" w:hAnsi="宋体" w:cs="宋体"/>
        </w:rPr>
        <w:fldChar w:fldCharType="end"/>
      </w:r>
    </w:p>
    <w:p>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2"/>
        <w:spacing w:after="468"/>
      </w:pPr>
      <w:bookmarkStart w:id="22" w:name="_Toc28744"/>
      <w:bookmarkStart w:id="23" w:name="_Toc11952"/>
      <w:bookmarkStart w:id="24" w:name="_Toc10994"/>
      <w:bookmarkStart w:id="25" w:name="BookMark2"/>
      <w:r>
        <w:rPr>
          <w:spacing w:val="320"/>
        </w:rPr>
        <w:t>前</w:t>
      </w:r>
      <w:r>
        <w:t>言</w:t>
      </w:r>
      <w:bookmarkEnd w:id="22"/>
      <w:bookmarkEnd w:id="23"/>
      <w:bookmarkEnd w:id="24"/>
    </w:p>
    <w:p>
      <w:pPr>
        <w:pStyle w:val="59"/>
        <w:ind w:firstLine="420"/>
      </w:pPr>
      <w:r>
        <w:rPr>
          <w:rFonts w:hint="eastAsia"/>
        </w:rPr>
        <w:t>本文件按照GB/T 1.1—2020《标准化工作导则  第1部分：标准化文件的结构和起草规则》的规定起草。</w:t>
      </w:r>
    </w:p>
    <w:p>
      <w:pPr>
        <w:pStyle w:val="59"/>
        <w:ind w:left="420" w:leftChars="200" w:firstLine="0" w:firstLineChars="0"/>
        <w:jc w:val="left"/>
        <w:rPr>
          <w:rFonts w:hint="eastAsia"/>
        </w:rPr>
      </w:pPr>
      <w:r>
        <w:rPr>
          <w:rFonts w:hint="eastAsia"/>
        </w:rPr>
        <w:t>请注意本文件的某些内容可能涉及专利。本文件的发布机构不承担识别专利的责任。</w:t>
      </w:r>
    </w:p>
    <w:p>
      <w:pPr>
        <w:pStyle w:val="59"/>
        <w:ind w:left="420" w:leftChars="200" w:firstLine="0" w:firstLineChars="0"/>
        <w:jc w:val="left"/>
      </w:pPr>
      <w:r>
        <w:rPr>
          <w:rFonts w:hint="eastAsia"/>
        </w:rPr>
        <w:t>本文件由</w:t>
      </w:r>
      <w:r>
        <w:rPr>
          <w:rFonts w:hint="eastAsia" w:hAnsi="宋体" w:cs="宋体"/>
          <w:bCs/>
          <w:szCs w:val="21"/>
        </w:rPr>
        <w:t>江苏省住房和城乡建设厅</w:t>
      </w:r>
      <w:r>
        <w:rPr>
          <w:rFonts w:hint="eastAsia"/>
        </w:rPr>
        <w:t>提出。</w:t>
      </w:r>
    </w:p>
    <w:p>
      <w:pPr>
        <w:pStyle w:val="59"/>
        <w:ind w:left="420" w:leftChars="200" w:firstLine="0" w:firstLineChars="0"/>
        <w:jc w:val="left"/>
      </w:pPr>
      <w:r>
        <w:rPr>
          <w:rFonts w:hint="eastAsia"/>
        </w:rPr>
        <w:t>本文件由</w:t>
      </w:r>
      <w:r>
        <w:rPr>
          <w:rFonts w:hint="eastAsia" w:hAnsi="宋体" w:cs="宋体"/>
          <w:bCs/>
          <w:szCs w:val="21"/>
        </w:rPr>
        <w:t>江苏省住房和城乡建设厅</w:t>
      </w:r>
      <w:r>
        <w:rPr>
          <w:rFonts w:hint="eastAsia"/>
        </w:rPr>
        <w:t>归口。</w:t>
      </w:r>
    </w:p>
    <w:p>
      <w:pPr>
        <w:pStyle w:val="59"/>
        <w:ind w:left="420" w:leftChars="200" w:firstLine="0" w:firstLineChars="0"/>
        <w:jc w:val="left"/>
      </w:pPr>
      <w:r>
        <w:rPr>
          <w:rFonts w:hint="eastAsia"/>
        </w:rPr>
        <w:t>本文件起草单位：南京市市政公用工程质量安全监督站、南京市政公用工程质量检测中心有限公司、南京市江北新区建设和交通工程质量安全监督站、南京市秦淮区建设工程质量监督站</w:t>
      </w:r>
      <w:r>
        <w:rPr>
          <w:rFonts w:hint="eastAsia"/>
          <w:lang w:eastAsia="zh-CN"/>
        </w:rPr>
        <w:t>、盐城市建设工程施工图设计技术审查中心</w:t>
      </w:r>
      <w:r>
        <w:rPr>
          <w:rFonts w:hint="eastAsia" w:hAnsi="宋体" w:cs="宋体"/>
          <w:bCs/>
          <w:szCs w:val="21"/>
        </w:rPr>
        <w:t>。</w:t>
      </w:r>
    </w:p>
    <w:p>
      <w:pPr>
        <w:pStyle w:val="59"/>
        <w:ind w:left="420" w:leftChars="200" w:firstLine="0" w:firstLineChars="0"/>
        <w:jc w:val="left"/>
        <w:rPr>
          <w:rFonts w:hint="eastAsia" w:eastAsia="宋体"/>
          <w:lang w:eastAsia="zh-CN"/>
        </w:rPr>
      </w:pPr>
      <w:r>
        <w:rPr>
          <w:rFonts w:hint="eastAsia"/>
        </w:rPr>
        <w:t>本文件主要起草人：徐向荣、史文娟、时贤龙、任强、周睿勐、姜俊、徐大伟、潘昊、都乐</w:t>
      </w:r>
      <w:r>
        <w:rPr>
          <w:rFonts w:hint="eastAsia"/>
          <w:lang w:eastAsia="zh-CN"/>
        </w:rPr>
        <w:t>、束长春</w:t>
      </w:r>
      <w:bookmarkStart w:id="325" w:name="_GoBack"/>
      <w:bookmarkEnd w:id="325"/>
    </w:p>
    <w:p>
      <w:pPr>
        <w:pStyle w:val="59"/>
        <w:ind w:firstLine="420"/>
      </w:pPr>
    </w:p>
    <w:p>
      <w:pPr>
        <w:pStyle w:val="59"/>
        <w:ind w:firstLine="199" w:firstLineChars="95"/>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spacing w:before="567" w:beforeLines="182"/>
            <w:jc w:val="center"/>
            <w:rPr>
              <w:rFonts w:ascii="黑体" w:hAnsi="黑体" w:eastAsia="黑体" w:cs="黑体"/>
              <w:sz w:val="32"/>
              <w:szCs w:val="32"/>
            </w:rPr>
          </w:pPr>
          <w:bookmarkStart w:id="27" w:name="_Toc9028"/>
          <w:bookmarkStart w:id="28" w:name="NEW_STAND_NAME"/>
          <w:r>
            <w:rPr>
              <w:rFonts w:hint="eastAsia" w:ascii="黑体" w:hAnsi="黑体" w:eastAsia="黑体" w:cs="黑体"/>
              <w:sz w:val="32"/>
              <w:szCs w:val="32"/>
            </w:rPr>
            <w:t>桥梁栏杆水平抗推能力</w:t>
          </w:r>
        </w:p>
        <w:p>
          <w:pPr>
            <w:spacing w:after="686" w:afterLines="220"/>
            <w:jc w:val="center"/>
          </w:pPr>
          <w:r>
            <w:rPr>
              <w:rFonts w:hint="eastAsia" w:ascii="黑体" w:hAnsi="黑体" w:eastAsia="黑体" w:cs="黑体"/>
              <w:sz w:val="32"/>
              <w:szCs w:val="32"/>
            </w:rPr>
            <w:t>检测技术规程</w:t>
          </w:r>
          <w:r>
            <w:rPr>
              <w:rFonts w:hint="eastAsia" w:ascii="黑体" w:hAnsi="黑体" w:eastAsia="黑体"/>
              <w:sz w:val="32"/>
              <w:szCs w:val="32"/>
            </w:rPr>
            <w:t xml:space="preserve">                 </w:t>
          </w:r>
        </w:p>
      </w:sdtContent>
    </w:sdt>
    <w:bookmarkEnd w:id="27"/>
    <w:bookmarkEnd w:id="28"/>
    <w:p>
      <w:pPr>
        <w:pStyle w:val="107"/>
        <w:numPr>
          <w:ilvl w:val="0"/>
          <w:numId w:val="0"/>
        </w:numPr>
        <w:spacing w:before="312" w:after="312"/>
      </w:pPr>
      <w:bookmarkStart w:id="29" w:name="_Toc31561"/>
      <w:bookmarkEnd w:id="29"/>
      <w:bookmarkStart w:id="30" w:name="_Toc9642"/>
      <w:bookmarkEnd w:id="30"/>
      <w:bookmarkStart w:id="31" w:name="_Toc27318"/>
      <w:bookmarkEnd w:id="31"/>
      <w:bookmarkStart w:id="32" w:name="_Toc29005"/>
      <w:bookmarkEnd w:id="32"/>
      <w:bookmarkStart w:id="33" w:name="_Toc20714"/>
      <w:bookmarkStart w:id="34" w:name="_Toc5836"/>
      <w:bookmarkStart w:id="35" w:name="_Toc31961"/>
      <w:r>
        <w:rPr>
          <w:rFonts w:hint="eastAsia"/>
        </w:rPr>
        <w:t xml:space="preserve">1 </w:t>
      </w:r>
      <w:bookmarkEnd w:id="33"/>
      <w:r>
        <w:rPr>
          <w:rFonts w:hint="eastAsia"/>
        </w:rPr>
        <w:t>范围</w:t>
      </w:r>
      <w:bookmarkEnd w:id="34"/>
      <w:bookmarkEnd w:id="35"/>
    </w:p>
    <w:p>
      <w:pPr>
        <w:pStyle w:val="59"/>
        <w:ind w:firstLine="420"/>
        <w:rPr>
          <w:rFonts w:hAnsi="宋体"/>
          <w:szCs w:val="21"/>
        </w:rPr>
      </w:pPr>
      <w:r>
        <w:rPr>
          <w:rFonts w:hint="eastAsia" w:hAnsi="宋体"/>
          <w:szCs w:val="21"/>
        </w:rPr>
        <w:t>本规程适用于各种结构形式的刚性材质桥梁栏杆在水平荷载作用下的抗水平推力的检测与评定。</w:t>
      </w:r>
    </w:p>
    <w:p>
      <w:pPr>
        <w:pStyle w:val="107"/>
        <w:numPr>
          <w:ilvl w:val="0"/>
          <w:numId w:val="0"/>
        </w:numPr>
        <w:spacing w:before="312" w:after="312"/>
      </w:pPr>
      <w:bookmarkStart w:id="36" w:name="_Toc13994"/>
      <w:bookmarkStart w:id="37" w:name="_Toc2269"/>
      <w:bookmarkStart w:id="38" w:name="_Toc25011"/>
      <w:r>
        <w:rPr>
          <w:rFonts w:hint="eastAsia"/>
        </w:rPr>
        <w:t>2 规范性引用文件</w:t>
      </w:r>
      <w:bookmarkEnd w:id="36"/>
      <w:bookmarkEnd w:id="37"/>
      <w:bookmarkEnd w:id="38"/>
    </w:p>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adjustRightInd/>
        <w:spacing w:line="240" w:lineRule="auto"/>
        <w:ind w:firstLine="420" w:firstLineChars="200"/>
        <w:rPr>
          <w:rFonts w:ascii="宋体" w:hAnsi="宋体"/>
          <w:bCs/>
        </w:rPr>
      </w:pPr>
      <w:r>
        <w:rPr>
          <w:rFonts w:hint="eastAsia" w:ascii="宋体" w:hAnsi="宋体"/>
          <w:bCs/>
        </w:rPr>
        <w:t>CJJ11-2011 城市桥梁设计规范</w:t>
      </w:r>
    </w:p>
    <w:p>
      <w:pPr>
        <w:widowControl/>
        <w:adjustRightInd/>
        <w:spacing w:line="240" w:lineRule="auto"/>
        <w:ind w:firstLine="420" w:firstLineChars="200"/>
        <w:rPr>
          <w:rFonts w:ascii="宋体" w:hAnsi="宋体"/>
          <w:bCs/>
        </w:rPr>
      </w:pPr>
      <w:r>
        <w:rPr>
          <w:rFonts w:hint="eastAsia" w:ascii="宋体" w:hAnsi="宋体"/>
          <w:bCs/>
        </w:rPr>
        <w:t>DGJ32/J21 建设工程质量检测技术管理规程</w:t>
      </w:r>
    </w:p>
    <w:p>
      <w:pPr>
        <w:pStyle w:val="107"/>
        <w:numPr>
          <w:ilvl w:val="1"/>
          <w:numId w:val="0"/>
        </w:numPr>
        <w:spacing w:before="312" w:after="312"/>
      </w:pPr>
      <w:bookmarkStart w:id="39" w:name="_Toc20798"/>
      <w:bookmarkStart w:id="40" w:name="_Toc26986772"/>
      <w:bookmarkStart w:id="41" w:name="_Toc26986531"/>
      <w:bookmarkStart w:id="42" w:name="_Toc26718931"/>
      <w:bookmarkStart w:id="43" w:name="_Toc18410"/>
      <w:bookmarkStart w:id="44" w:name="_Toc27171"/>
      <w:bookmarkStart w:id="45" w:name="_Toc8089"/>
      <w:bookmarkStart w:id="46" w:name="_Toc13936"/>
      <w:r>
        <w:rPr>
          <w:rFonts w:hint="eastAsia"/>
        </w:rPr>
        <w:t>3 术语</w:t>
      </w:r>
      <w:bookmarkEnd w:id="39"/>
      <w:bookmarkEnd w:id="40"/>
      <w:bookmarkEnd w:id="41"/>
      <w:bookmarkEnd w:id="42"/>
      <w:bookmarkEnd w:id="43"/>
      <w:r>
        <w:rPr>
          <w:rFonts w:hint="eastAsia"/>
        </w:rPr>
        <w:t>和定义</w:t>
      </w:r>
      <w:bookmarkEnd w:id="44"/>
      <w:bookmarkEnd w:id="45"/>
      <w:bookmarkEnd w:id="46"/>
    </w:p>
    <w:p>
      <w:pPr>
        <w:pStyle w:val="108"/>
        <w:numPr>
          <w:ilvl w:val="2"/>
          <w:numId w:val="0"/>
        </w:numPr>
        <w:spacing w:beforeLines="0" w:afterLines="0"/>
        <w:outlineLvl w:val="9"/>
      </w:pPr>
      <w:bookmarkStart w:id="47" w:name="_Toc31900"/>
      <w:bookmarkEnd w:id="47"/>
      <w:bookmarkStart w:id="48" w:name="_Toc16071"/>
      <w:bookmarkEnd w:id="48"/>
      <w:bookmarkStart w:id="49" w:name="_Toc17801"/>
      <w:bookmarkEnd w:id="49"/>
      <w:bookmarkStart w:id="50" w:name="_Toc29462"/>
      <w:bookmarkEnd w:id="50"/>
      <w:bookmarkStart w:id="51" w:name="_Toc7801"/>
      <w:bookmarkStart w:id="52" w:name="_Toc30425"/>
      <w:bookmarkStart w:id="53" w:name="_Toc22919"/>
      <w:bookmarkStart w:id="54" w:name="_Toc9618"/>
      <w:bookmarkStart w:id="55" w:name="_Toc9162"/>
      <w:bookmarkStart w:id="56" w:name="_Toc24607"/>
      <w:bookmarkStart w:id="57" w:name="_Toc1464"/>
      <w:bookmarkStart w:id="58" w:name="_Toc20792"/>
      <w:bookmarkStart w:id="59" w:name="_Toc678"/>
      <w:r>
        <w:rPr>
          <w:rFonts w:hint="eastAsia"/>
        </w:rPr>
        <w:t>3.1</w:t>
      </w:r>
      <w:bookmarkEnd w:id="51"/>
      <w:bookmarkEnd w:id="52"/>
      <w:bookmarkEnd w:id="53"/>
      <w:bookmarkEnd w:id="54"/>
      <w:bookmarkEnd w:id="55"/>
      <w:bookmarkEnd w:id="56"/>
      <w:bookmarkEnd w:id="57"/>
      <w:bookmarkEnd w:id="58"/>
      <w:bookmarkEnd w:id="59"/>
    </w:p>
    <w:p>
      <w:pPr>
        <w:pStyle w:val="108"/>
        <w:numPr>
          <w:ilvl w:val="2"/>
          <w:numId w:val="0"/>
        </w:numPr>
        <w:spacing w:beforeLines="0" w:afterLines="0"/>
        <w:ind w:firstLine="420" w:firstLineChars="200"/>
      </w:pPr>
      <w:bookmarkStart w:id="60" w:name="_Toc10325"/>
      <w:bookmarkStart w:id="61" w:name="_Toc28772"/>
      <w:bookmarkStart w:id="62" w:name="_Toc15944"/>
      <w:bookmarkStart w:id="63" w:name="_Toc27625"/>
      <w:bookmarkStart w:id="64" w:name="_Toc9997"/>
      <w:r>
        <w:rPr>
          <w:rFonts w:hint="eastAsia"/>
        </w:rPr>
        <w:t>桥梁栏杆 bridge railing</w:t>
      </w:r>
      <w:bookmarkEnd w:id="60"/>
      <w:bookmarkEnd w:id="61"/>
      <w:bookmarkEnd w:id="62"/>
      <w:bookmarkEnd w:id="63"/>
      <w:bookmarkEnd w:id="64"/>
    </w:p>
    <w:p>
      <w:pPr>
        <w:pStyle w:val="108"/>
        <w:numPr>
          <w:ilvl w:val="2"/>
          <w:numId w:val="0"/>
        </w:numPr>
        <w:spacing w:beforeLines="0" w:afterLines="0"/>
        <w:ind w:firstLine="420" w:firstLineChars="200"/>
        <w:rPr>
          <w:rFonts w:ascii="宋体" w:hAnsi="宋体" w:eastAsia="宋体"/>
          <w:szCs w:val="21"/>
        </w:rPr>
      </w:pPr>
      <w:bookmarkStart w:id="65" w:name="_Toc31995"/>
      <w:bookmarkEnd w:id="65"/>
      <w:bookmarkStart w:id="66" w:name="_Toc24048"/>
      <w:bookmarkEnd w:id="66"/>
      <w:bookmarkStart w:id="67" w:name="_Toc26059"/>
      <w:bookmarkEnd w:id="67"/>
      <w:bookmarkStart w:id="68" w:name="_Toc17054"/>
      <w:bookmarkEnd w:id="68"/>
      <w:bookmarkStart w:id="69" w:name="_Toc21165"/>
      <w:bookmarkStart w:id="70" w:name="_Toc4623"/>
      <w:bookmarkStart w:id="71" w:name="_Toc32570"/>
      <w:bookmarkStart w:id="72" w:name="_Toc5445"/>
      <w:bookmarkStart w:id="73" w:name="_Toc31987"/>
      <w:bookmarkStart w:id="74" w:name="_Toc9193"/>
      <w:bookmarkStart w:id="75" w:name="_Toc3879"/>
      <w:bookmarkStart w:id="76" w:name="_Toc27719"/>
      <w:bookmarkStart w:id="77" w:name="_Toc23236"/>
      <w:bookmarkStart w:id="78" w:name="_Toc4520"/>
      <w:bookmarkStart w:id="79" w:name="_Toc14125"/>
      <w:bookmarkStart w:id="80" w:name="_Toc22544"/>
      <w:bookmarkStart w:id="81" w:name="_Toc28741"/>
      <w:r>
        <w:rPr>
          <w:rFonts w:hint="eastAsia" w:ascii="宋体" w:hAnsi="宋体" w:eastAsia="宋体"/>
          <w:szCs w:val="21"/>
        </w:rPr>
        <w:t>由立柱和横梁组成的，起到安全防护等作用的构件。</w:t>
      </w:r>
      <w:bookmarkEnd w:id="69"/>
      <w:bookmarkEnd w:id="70"/>
      <w:bookmarkEnd w:id="71"/>
      <w:bookmarkEnd w:id="72"/>
      <w:bookmarkEnd w:id="73"/>
    </w:p>
    <w:p>
      <w:pPr>
        <w:pStyle w:val="108"/>
        <w:numPr>
          <w:ilvl w:val="2"/>
          <w:numId w:val="0"/>
        </w:numPr>
        <w:spacing w:beforeLines="0" w:afterLines="0"/>
        <w:outlineLvl w:val="9"/>
      </w:pPr>
      <w:bookmarkStart w:id="82" w:name="_Toc26428"/>
      <w:bookmarkStart w:id="83" w:name="_Toc29004"/>
      <w:bookmarkStart w:id="84" w:name="_Toc30707"/>
      <w:bookmarkStart w:id="85" w:name="_Toc10630"/>
      <w:bookmarkStart w:id="86" w:name="_Toc5386"/>
      <w:r>
        <w:rPr>
          <w:rFonts w:hint="eastAsia"/>
        </w:rPr>
        <w:t>3.2</w:t>
      </w:r>
      <w:bookmarkEnd w:id="74"/>
      <w:bookmarkEnd w:id="75"/>
      <w:bookmarkEnd w:id="76"/>
      <w:bookmarkEnd w:id="77"/>
      <w:bookmarkEnd w:id="82"/>
      <w:bookmarkEnd w:id="83"/>
      <w:bookmarkEnd w:id="84"/>
      <w:bookmarkEnd w:id="85"/>
      <w:bookmarkEnd w:id="86"/>
    </w:p>
    <w:bookmarkEnd w:id="78"/>
    <w:bookmarkEnd w:id="79"/>
    <w:bookmarkEnd w:id="80"/>
    <w:bookmarkEnd w:id="81"/>
    <w:p>
      <w:pPr>
        <w:pStyle w:val="108"/>
        <w:numPr>
          <w:ilvl w:val="2"/>
          <w:numId w:val="0"/>
        </w:numPr>
        <w:spacing w:beforeLines="0" w:afterLines="0"/>
        <w:ind w:firstLine="420" w:firstLineChars="200"/>
      </w:pPr>
      <w:bookmarkStart w:id="87" w:name="_Toc24054"/>
      <w:bookmarkStart w:id="88" w:name="_Toc10665"/>
      <w:bookmarkStart w:id="89" w:name="_Toc17910"/>
      <w:bookmarkStart w:id="90" w:name="_Toc11401"/>
      <w:bookmarkStart w:id="91" w:name="_Toc6652"/>
      <w:r>
        <w:rPr>
          <w:rFonts w:hint="eastAsia"/>
        </w:rPr>
        <w:t xml:space="preserve">立柱 </w:t>
      </w:r>
      <w:bookmarkEnd w:id="87"/>
      <w:bookmarkEnd w:id="88"/>
      <w:bookmarkEnd w:id="89"/>
      <w:bookmarkEnd w:id="90"/>
      <w:bookmarkEnd w:id="91"/>
      <w:r>
        <w:rPr>
          <w:rFonts w:hint="eastAsia"/>
        </w:rPr>
        <w:t>columns</w:t>
      </w:r>
    </w:p>
    <w:p>
      <w:pPr>
        <w:pStyle w:val="59"/>
        <w:ind w:firstLine="420"/>
        <w:rPr>
          <w:rFonts w:hAnsi="宋体"/>
          <w:szCs w:val="21"/>
        </w:rPr>
      </w:pPr>
      <w:r>
        <w:rPr>
          <w:rFonts w:hint="eastAsia" w:hAnsi="宋体"/>
          <w:szCs w:val="21"/>
        </w:rPr>
        <w:t>竖向固定于桥梁结构上，用于支撑横梁的构件。</w:t>
      </w:r>
    </w:p>
    <w:p>
      <w:pPr>
        <w:pStyle w:val="108"/>
        <w:numPr>
          <w:ilvl w:val="2"/>
          <w:numId w:val="0"/>
        </w:numPr>
        <w:spacing w:beforeLines="0" w:afterLines="0"/>
        <w:outlineLvl w:val="9"/>
      </w:pPr>
      <w:bookmarkStart w:id="92" w:name="_Toc7955"/>
      <w:bookmarkEnd w:id="92"/>
      <w:bookmarkStart w:id="93" w:name="_Toc23181"/>
      <w:bookmarkEnd w:id="93"/>
      <w:bookmarkStart w:id="94" w:name="_Toc32160"/>
      <w:bookmarkEnd w:id="94"/>
      <w:bookmarkStart w:id="95" w:name="_Toc3714"/>
      <w:bookmarkEnd w:id="95"/>
      <w:bookmarkStart w:id="96" w:name="_Toc28349"/>
      <w:bookmarkStart w:id="97" w:name="_Toc8972"/>
      <w:bookmarkStart w:id="98" w:name="_Toc18228"/>
      <w:bookmarkStart w:id="99" w:name="_Toc10698"/>
      <w:bookmarkStart w:id="100" w:name="_Toc14981"/>
      <w:bookmarkStart w:id="101" w:name="_Toc30401"/>
      <w:bookmarkStart w:id="102" w:name="_Toc13383"/>
      <w:bookmarkStart w:id="103" w:name="_Toc24508"/>
      <w:bookmarkStart w:id="104" w:name="_Toc14579"/>
      <w:bookmarkStart w:id="105" w:name="_Toc32550"/>
      <w:bookmarkStart w:id="106" w:name="_Toc14006"/>
      <w:bookmarkStart w:id="107" w:name="_Toc5300"/>
      <w:bookmarkStart w:id="108" w:name="_Toc13221"/>
      <w:r>
        <w:rPr>
          <w:rFonts w:hint="eastAsia"/>
        </w:rPr>
        <w:t>3.3</w:t>
      </w:r>
      <w:bookmarkEnd w:id="96"/>
      <w:bookmarkEnd w:id="97"/>
      <w:bookmarkEnd w:id="98"/>
      <w:bookmarkEnd w:id="99"/>
      <w:bookmarkEnd w:id="100"/>
      <w:bookmarkEnd w:id="101"/>
      <w:bookmarkEnd w:id="102"/>
      <w:bookmarkEnd w:id="103"/>
      <w:bookmarkEnd w:id="104"/>
    </w:p>
    <w:bookmarkEnd w:id="105"/>
    <w:bookmarkEnd w:id="106"/>
    <w:bookmarkEnd w:id="107"/>
    <w:bookmarkEnd w:id="108"/>
    <w:p>
      <w:pPr>
        <w:pStyle w:val="108"/>
        <w:numPr>
          <w:ilvl w:val="2"/>
          <w:numId w:val="0"/>
        </w:numPr>
        <w:spacing w:beforeLines="0" w:afterLines="0"/>
        <w:ind w:firstLine="420" w:firstLineChars="200"/>
      </w:pPr>
      <w:bookmarkStart w:id="109" w:name="_Toc19550"/>
      <w:bookmarkStart w:id="110" w:name="_Toc1149"/>
      <w:bookmarkStart w:id="111" w:name="_Toc3128"/>
      <w:bookmarkStart w:id="112" w:name="_Toc18639"/>
      <w:bookmarkStart w:id="113" w:name="_Toc15267"/>
      <w:bookmarkStart w:id="114" w:name="_Toc3597"/>
      <w:bookmarkStart w:id="115" w:name="_Toc3618"/>
      <w:bookmarkStart w:id="116" w:name="_Toc12677"/>
      <w:bookmarkStart w:id="117" w:name="_Toc21854"/>
      <w:r>
        <w:rPr>
          <w:rFonts w:hint="eastAsia"/>
        </w:rPr>
        <w:t>横梁 cross member</w:t>
      </w:r>
      <w:bookmarkEnd w:id="109"/>
      <w:bookmarkEnd w:id="110"/>
      <w:bookmarkEnd w:id="111"/>
      <w:bookmarkEnd w:id="112"/>
      <w:bookmarkEnd w:id="113"/>
    </w:p>
    <w:p>
      <w:pPr>
        <w:pStyle w:val="59"/>
        <w:ind w:firstLine="420"/>
        <w:rPr>
          <w:rFonts w:hAnsi="宋体"/>
          <w:szCs w:val="21"/>
        </w:rPr>
      </w:pPr>
      <w:r>
        <w:rPr>
          <w:rFonts w:hint="eastAsia" w:hAnsi="宋体"/>
          <w:szCs w:val="21"/>
        </w:rPr>
        <w:t>横向固定于立柱上，用于固定连接立柱的横向构件。</w:t>
      </w:r>
      <w:bookmarkEnd w:id="114"/>
      <w:bookmarkEnd w:id="115"/>
      <w:bookmarkEnd w:id="116"/>
      <w:bookmarkEnd w:id="117"/>
    </w:p>
    <w:p>
      <w:pPr>
        <w:pStyle w:val="108"/>
        <w:numPr>
          <w:ilvl w:val="2"/>
          <w:numId w:val="0"/>
        </w:numPr>
        <w:spacing w:beforeLines="0" w:afterLines="0"/>
        <w:outlineLvl w:val="9"/>
      </w:pPr>
      <w:bookmarkStart w:id="118" w:name="_Toc5384"/>
      <w:bookmarkEnd w:id="118"/>
      <w:bookmarkStart w:id="119" w:name="_Toc19269"/>
      <w:bookmarkEnd w:id="119"/>
      <w:bookmarkStart w:id="120" w:name="_Toc26928"/>
      <w:bookmarkEnd w:id="120"/>
      <w:bookmarkStart w:id="121" w:name="_Toc14596"/>
      <w:bookmarkEnd w:id="121"/>
      <w:bookmarkStart w:id="122" w:name="_Toc10103"/>
      <w:bookmarkStart w:id="123" w:name="_Toc21404"/>
      <w:bookmarkStart w:id="124" w:name="_Toc17455"/>
      <w:bookmarkStart w:id="125" w:name="_Toc14492"/>
      <w:bookmarkStart w:id="126" w:name="_Toc6511"/>
      <w:bookmarkStart w:id="127" w:name="_Toc532"/>
      <w:bookmarkStart w:id="128" w:name="_Toc12417"/>
      <w:bookmarkStart w:id="129" w:name="_Toc20566"/>
      <w:bookmarkStart w:id="130" w:name="_Toc18574"/>
      <w:r>
        <w:rPr>
          <w:rFonts w:hint="eastAsia"/>
        </w:rPr>
        <w:t>3.4</w:t>
      </w:r>
      <w:bookmarkEnd w:id="122"/>
      <w:bookmarkEnd w:id="123"/>
      <w:bookmarkEnd w:id="124"/>
      <w:bookmarkEnd w:id="125"/>
      <w:bookmarkEnd w:id="126"/>
      <w:bookmarkEnd w:id="127"/>
      <w:bookmarkEnd w:id="128"/>
      <w:bookmarkEnd w:id="129"/>
      <w:bookmarkEnd w:id="130"/>
    </w:p>
    <w:p>
      <w:pPr>
        <w:pStyle w:val="108"/>
        <w:numPr>
          <w:ilvl w:val="2"/>
          <w:numId w:val="0"/>
        </w:numPr>
        <w:spacing w:beforeLines="0" w:afterLines="0"/>
        <w:ind w:firstLine="420" w:firstLineChars="200"/>
      </w:pPr>
      <w:bookmarkStart w:id="131" w:name="_Toc12965"/>
      <w:bookmarkStart w:id="132" w:name="_Toc838"/>
      <w:bookmarkStart w:id="133" w:name="_Toc591"/>
      <w:bookmarkStart w:id="134" w:name="_Toc11943"/>
      <w:bookmarkStart w:id="135" w:name="_Toc23853"/>
      <w:r>
        <w:rPr>
          <w:rFonts w:hint="eastAsia"/>
        </w:rPr>
        <w:t>扶手 handrail</w:t>
      </w:r>
      <w:bookmarkEnd w:id="131"/>
      <w:bookmarkEnd w:id="132"/>
      <w:bookmarkEnd w:id="133"/>
      <w:bookmarkEnd w:id="134"/>
      <w:bookmarkEnd w:id="135"/>
    </w:p>
    <w:p>
      <w:pPr>
        <w:pStyle w:val="59"/>
        <w:ind w:firstLine="420"/>
        <w:rPr>
          <w:rFonts w:hAnsi="宋体"/>
          <w:szCs w:val="21"/>
        </w:rPr>
      </w:pPr>
      <w:r>
        <w:rPr>
          <w:rFonts w:hint="eastAsia" w:hAnsi="宋体"/>
          <w:szCs w:val="21"/>
        </w:rPr>
        <w:t>最上沿横梁，用手抓握作为引导或支撑的构件。</w:t>
      </w:r>
    </w:p>
    <w:p>
      <w:pPr>
        <w:pStyle w:val="108"/>
        <w:numPr>
          <w:ilvl w:val="2"/>
          <w:numId w:val="0"/>
        </w:numPr>
        <w:spacing w:beforeLines="0" w:afterLines="0"/>
        <w:outlineLvl w:val="9"/>
      </w:pPr>
      <w:bookmarkStart w:id="136" w:name="_Toc27807"/>
      <w:bookmarkStart w:id="137" w:name="_Toc23516"/>
      <w:bookmarkStart w:id="138" w:name="_Toc32331"/>
      <w:bookmarkStart w:id="139" w:name="_Toc15618"/>
      <w:bookmarkStart w:id="140" w:name="_Toc28383"/>
      <w:bookmarkStart w:id="141" w:name="_Toc18549"/>
      <w:bookmarkStart w:id="142" w:name="_Toc6213"/>
      <w:bookmarkStart w:id="143" w:name="_Toc736"/>
      <w:bookmarkStart w:id="144" w:name="_Toc17960"/>
      <w:r>
        <w:rPr>
          <w:rFonts w:hint="eastAsia"/>
        </w:rPr>
        <w:t>3.5</w:t>
      </w:r>
      <w:bookmarkEnd w:id="136"/>
      <w:bookmarkEnd w:id="137"/>
      <w:bookmarkEnd w:id="138"/>
      <w:bookmarkEnd w:id="139"/>
      <w:bookmarkEnd w:id="140"/>
      <w:bookmarkEnd w:id="141"/>
      <w:bookmarkEnd w:id="142"/>
      <w:bookmarkEnd w:id="143"/>
      <w:bookmarkEnd w:id="144"/>
    </w:p>
    <w:p>
      <w:pPr>
        <w:pStyle w:val="108"/>
        <w:numPr>
          <w:ilvl w:val="2"/>
          <w:numId w:val="0"/>
        </w:numPr>
        <w:spacing w:beforeLines="0" w:afterLines="0"/>
        <w:ind w:firstLine="420" w:firstLineChars="200"/>
      </w:pPr>
      <w:bookmarkStart w:id="145" w:name="_Toc1483"/>
      <w:bookmarkStart w:id="146" w:name="_Toc7091"/>
      <w:bookmarkStart w:id="147" w:name="_Toc4866"/>
      <w:bookmarkStart w:id="148" w:name="_Toc31725"/>
      <w:bookmarkStart w:id="149" w:name="_Toc12102"/>
      <w:r>
        <w:rPr>
          <w:rFonts w:hint="eastAsia"/>
        </w:rPr>
        <w:t>测点 measuring point</w:t>
      </w:r>
      <w:bookmarkEnd w:id="145"/>
      <w:bookmarkEnd w:id="146"/>
      <w:bookmarkEnd w:id="147"/>
      <w:bookmarkEnd w:id="148"/>
      <w:bookmarkEnd w:id="149"/>
    </w:p>
    <w:p>
      <w:pPr>
        <w:pStyle w:val="59"/>
        <w:ind w:firstLine="420"/>
        <w:rPr>
          <w:rFonts w:hAnsi="宋体"/>
          <w:szCs w:val="21"/>
        </w:rPr>
      </w:pPr>
      <w:r>
        <w:rPr>
          <w:rFonts w:hint="eastAsia" w:hAnsi="宋体"/>
          <w:szCs w:val="21"/>
        </w:rPr>
        <w:t>选取的施加作用（荷载）的点位。</w:t>
      </w:r>
    </w:p>
    <w:p>
      <w:pPr>
        <w:pStyle w:val="107"/>
        <w:numPr>
          <w:ilvl w:val="1"/>
          <w:numId w:val="0"/>
        </w:numPr>
        <w:spacing w:before="312" w:after="312"/>
        <w:rPr>
          <w:szCs w:val="21"/>
        </w:rPr>
      </w:pPr>
      <w:bookmarkStart w:id="150" w:name="_Toc23389"/>
      <w:bookmarkEnd w:id="150"/>
      <w:bookmarkStart w:id="151" w:name="_Toc5137"/>
      <w:bookmarkEnd w:id="151"/>
      <w:bookmarkStart w:id="152" w:name="_Toc5265"/>
      <w:bookmarkEnd w:id="152"/>
      <w:bookmarkStart w:id="153" w:name="_Toc3521"/>
      <w:bookmarkEnd w:id="153"/>
      <w:bookmarkStart w:id="154" w:name="_Toc22193"/>
      <w:bookmarkStart w:id="155" w:name="_Toc2802"/>
      <w:bookmarkStart w:id="156" w:name="_Toc27885"/>
      <w:bookmarkStart w:id="157" w:name="_Toc4043"/>
      <w:r>
        <w:rPr>
          <w:rFonts w:hint="eastAsia"/>
          <w:szCs w:val="21"/>
        </w:rPr>
        <w:t>4 基本规定</w:t>
      </w:r>
      <w:bookmarkEnd w:id="154"/>
      <w:bookmarkEnd w:id="155"/>
      <w:bookmarkEnd w:id="156"/>
    </w:p>
    <w:p>
      <w:pPr>
        <w:pStyle w:val="108"/>
        <w:numPr>
          <w:ilvl w:val="2"/>
          <w:numId w:val="0"/>
        </w:numPr>
        <w:spacing w:beforeLines="0" w:afterLines="0"/>
        <w:outlineLvl w:val="9"/>
      </w:pPr>
      <w:bookmarkStart w:id="158" w:name="_Toc21393"/>
      <w:bookmarkStart w:id="159" w:name="_Toc31098"/>
      <w:bookmarkStart w:id="160" w:name="_Toc17414"/>
      <w:bookmarkStart w:id="161" w:name="_Toc18845"/>
      <w:bookmarkStart w:id="162" w:name="_Toc13912"/>
      <w:bookmarkStart w:id="163" w:name="_Toc14996"/>
      <w:bookmarkStart w:id="164" w:name="_Toc29339"/>
      <w:bookmarkStart w:id="165" w:name="_Toc6684"/>
      <w:r>
        <w:rPr>
          <w:rFonts w:hint="eastAsia"/>
        </w:rPr>
        <w:t>4.1</w:t>
      </w:r>
      <w:bookmarkEnd w:id="158"/>
      <w:bookmarkEnd w:id="159"/>
      <w:bookmarkEnd w:id="160"/>
      <w:bookmarkEnd w:id="161"/>
      <w:bookmarkEnd w:id="162"/>
      <w:bookmarkEnd w:id="163"/>
      <w:bookmarkEnd w:id="164"/>
      <w:bookmarkEnd w:id="165"/>
    </w:p>
    <w:bookmarkEnd w:id="157"/>
    <w:p>
      <w:pPr>
        <w:widowControl/>
        <w:spacing w:line="240" w:lineRule="auto"/>
        <w:ind w:firstLine="420" w:firstLineChars="200"/>
        <w:rPr>
          <w:rFonts w:ascii="宋体" w:hAnsi="宋体"/>
          <w:bCs/>
        </w:rPr>
      </w:pPr>
      <w:r>
        <w:rPr>
          <w:rFonts w:hint="eastAsia" w:ascii="宋体" w:hAnsi="宋体"/>
          <w:bCs/>
        </w:rPr>
        <w:t>桥梁栏杆应清洁、无明显开裂、变形等破损现象，立柱基础连接应稳固</w:t>
      </w:r>
      <w:r>
        <w:rPr>
          <w:rFonts w:ascii="宋体" w:hAnsi="宋体"/>
          <w:bCs/>
        </w:rPr>
        <w:t>。</w:t>
      </w:r>
      <w:bookmarkStart w:id="166" w:name="_Toc5571"/>
      <w:bookmarkStart w:id="167" w:name="_Toc14911"/>
    </w:p>
    <w:p>
      <w:pPr>
        <w:pStyle w:val="108"/>
        <w:numPr>
          <w:ilvl w:val="2"/>
          <w:numId w:val="0"/>
        </w:numPr>
        <w:spacing w:beforeLines="0" w:afterLines="0"/>
        <w:outlineLvl w:val="9"/>
      </w:pPr>
      <w:bookmarkStart w:id="168" w:name="_Toc24679"/>
      <w:bookmarkStart w:id="169" w:name="_Toc732"/>
      <w:bookmarkStart w:id="170" w:name="_Toc30952"/>
      <w:bookmarkStart w:id="171" w:name="_Toc10419"/>
      <w:bookmarkStart w:id="172" w:name="_Toc8441"/>
      <w:bookmarkStart w:id="173" w:name="_Toc6726"/>
      <w:r>
        <w:rPr>
          <w:rFonts w:hint="eastAsia"/>
        </w:rPr>
        <w:t>4.2</w:t>
      </w:r>
      <w:bookmarkEnd w:id="166"/>
      <w:bookmarkEnd w:id="167"/>
      <w:bookmarkEnd w:id="168"/>
      <w:bookmarkEnd w:id="169"/>
      <w:bookmarkEnd w:id="170"/>
      <w:bookmarkEnd w:id="171"/>
      <w:bookmarkEnd w:id="172"/>
      <w:bookmarkEnd w:id="173"/>
    </w:p>
    <w:p>
      <w:pPr>
        <w:widowControl/>
        <w:spacing w:line="240" w:lineRule="auto"/>
        <w:ind w:firstLine="420" w:firstLineChars="200"/>
        <w:rPr>
          <w:rFonts w:ascii="宋体" w:hAnsi="宋体"/>
          <w:bCs/>
        </w:rPr>
      </w:pPr>
      <w:r>
        <w:rPr>
          <w:rFonts w:hint="eastAsia" w:ascii="宋体" w:hAnsi="宋体"/>
        </w:rPr>
        <w:t>检测时环境条件：温度</w:t>
      </w:r>
      <w:r>
        <w:rPr>
          <w:rFonts w:ascii="宋体" w:hAnsi="宋体"/>
        </w:rPr>
        <w:t>0℃～40℃，风力小于5级</w:t>
      </w:r>
      <w:r>
        <w:rPr>
          <w:rFonts w:ascii="宋体" w:hAnsi="宋体"/>
          <w:bCs/>
        </w:rPr>
        <w:t>。</w:t>
      </w:r>
    </w:p>
    <w:p>
      <w:pPr>
        <w:pStyle w:val="108"/>
        <w:numPr>
          <w:ilvl w:val="2"/>
          <w:numId w:val="0"/>
        </w:numPr>
        <w:spacing w:beforeLines="0" w:afterLines="0"/>
        <w:outlineLvl w:val="9"/>
      </w:pPr>
      <w:bookmarkStart w:id="174" w:name="_Toc11235"/>
      <w:bookmarkStart w:id="175" w:name="_Toc20080"/>
      <w:bookmarkStart w:id="176" w:name="_Toc27408"/>
      <w:bookmarkStart w:id="177" w:name="_Toc2672"/>
      <w:bookmarkStart w:id="178" w:name="_Toc3095"/>
      <w:r>
        <w:rPr>
          <w:rFonts w:hint="eastAsia"/>
        </w:rPr>
        <w:t>4.3</w:t>
      </w:r>
      <w:bookmarkEnd w:id="174"/>
      <w:bookmarkEnd w:id="175"/>
      <w:bookmarkEnd w:id="176"/>
      <w:bookmarkEnd w:id="177"/>
      <w:bookmarkEnd w:id="178"/>
    </w:p>
    <w:p>
      <w:pPr>
        <w:widowControl/>
        <w:spacing w:line="240" w:lineRule="auto"/>
        <w:ind w:firstLine="420" w:firstLineChars="200"/>
        <w:rPr>
          <w:rFonts w:ascii="宋体" w:hAnsi="宋体"/>
          <w:bCs/>
        </w:rPr>
      </w:pPr>
      <w:r>
        <w:rPr>
          <w:rFonts w:hint="eastAsia" w:ascii="宋体" w:hAnsi="宋体"/>
        </w:rPr>
        <w:t>检测人员需经专业培训合格，方可从事该项检测工作</w:t>
      </w:r>
      <w:r>
        <w:rPr>
          <w:rFonts w:ascii="宋体" w:hAnsi="宋体"/>
          <w:bCs/>
        </w:rPr>
        <w:t>。</w:t>
      </w:r>
    </w:p>
    <w:p>
      <w:pPr>
        <w:pStyle w:val="108"/>
        <w:numPr>
          <w:ilvl w:val="2"/>
          <w:numId w:val="0"/>
        </w:numPr>
        <w:spacing w:beforeLines="0" w:afterLines="0"/>
        <w:outlineLvl w:val="9"/>
      </w:pPr>
      <w:bookmarkStart w:id="179" w:name="_Toc27865"/>
      <w:bookmarkStart w:id="180" w:name="_Toc2827"/>
      <w:bookmarkStart w:id="181" w:name="_Toc27451"/>
      <w:bookmarkStart w:id="182" w:name="_Toc13194"/>
      <w:bookmarkStart w:id="183" w:name="_Toc3035"/>
      <w:r>
        <w:rPr>
          <w:rFonts w:hint="eastAsia"/>
        </w:rPr>
        <w:t>4.4</w:t>
      </w:r>
      <w:bookmarkEnd w:id="179"/>
      <w:bookmarkEnd w:id="180"/>
      <w:bookmarkEnd w:id="181"/>
      <w:bookmarkEnd w:id="182"/>
      <w:bookmarkEnd w:id="183"/>
    </w:p>
    <w:p>
      <w:pPr>
        <w:widowControl/>
        <w:spacing w:line="240" w:lineRule="auto"/>
        <w:ind w:firstLine="420" w:firstLineChars="200"/>
        <w:rPr>
          <w:rFonts w:ascii="宋体" w:hAnsi="宋体"/>
          <w:bCs/>
        </w:rPr>
      </w:pPr>
      <w:r>
        <w:rPr>
          <w:rFonts w:hint="eastAsia" w:ascii="宋体" w:hAnsi="宋体"/>
        </w:rPr>
        <w:t>检测设备应经过检定或校准，并定期进行维护</w:t>
      </w:r>
      <w:r>
        <w:rPr>
          <w:rFonts w:ascii="宋体" w:hAnsi="宋体"/>
          <w:bCs/>
        </w:rPr>
        <w:t>。</w:t>
      </w:r>
    </w:p>
    <w:p>
      <w:pPr>
        <w:pStyle w:val="108"/>
        <w:numPr>
          <w:ilvl w:val="2"/>
          <w:numId w:val="0"/>
        </w:numPr>
        <w:spacing w:beforeLines="0" w:afterLines="0"/>
        <w:outlineLvl w:val="9"/>
      </w:pPr>
      <w:bookmarkStart w:id="184" w:name="_Toc15188"/>
      <w:bookmarkStart w:id="185" w:name="_Toc31289"/>
      <w:bookmarkStart w:id="186" w:name="_Toc28769"/>
      <w:bookmarkStart w:id="187" w:name="_Toc500"/>
      <w:bookmarkStart w:id="188" w:name="_Toc20886"/>
      <w:r>
        <w:rPr>
          <w:rFonts w:hint="eastAsia"/>
        </w:rPr>
        <w:t>4.5</w:t>
      </w:r>
      <w:bookmarkEnd w:id="184"/>
      <w:bookmarkEnd w:id="185"/>
      <w:bookmarkEnd w:id="186"/>
      <w:bookmarkEnd w:id="187"/>
      <w:bookmarkEnd w:id="188"/>
    </w:p>
    <w:p>
      <w:pPr>
        <w:widowControl/>
        <w:spacing w:line="240" w:lineRule="auto"/>
        <w:ind w:firstLine="420" w:firstLineChars="200"/>
        <w:rPr>
          <w:rFonts w:ascii="宋体" w:hAnsi="宋体"/>
          <w:bCs/>
        </w:rPr>
      </w:pPr>
      <w:r>
        <w:rPr>
          <w:rFonts w:hint="eastAsia" w:ascii="宋体" w:hAnsi="宋体"/>
        </w:rPr>
        <w:t>现场检测时，应采取相应的安全防护措施</w:t>
      </w:r>
      <w:r>
        <w:rPr>
          <w:rFonts w:ascii="宋体" w:hAnsi="宋体"/>
          <w:bCs/>
        </w:rPr>
        <w:t>。</w:t>
      </w:r>
    </w:p>
    <w:p>
      <w:pPr>
        <w:pStyle w:val="107"/>
        <w:numPr>
          <w:ilvl w:val="1"/>
          <w:numId w:val="0"/>
        </w:numPr>
        <w:spacing w:before="312" w:after="312"/>
      </w:pPr>
      <w:bookmarkStart w:id="189" w:name="_Toc21522"/>
      <w:bookmarkStart w:id="190" w:name="_Toc10254"/>
      <w:r>
        <w:rPr>
          <w:rFonts w:hint="eastAsia"/>
          <w:szCs w:val="21"/>
        </w:rPr>
        <w:t>5 检测设备</w:t>
      </w:r>
      <w:bookmarkEnd w:id="189"/>
      <w:bookmarkEnd w:id="190"/>
    </w:p>
    <w:p>
      <w:pPr>
        <w:pStyle w:val="108"/>
        <w:numPr>
          <w:ilvl w:val="2"/>
          <w:numId w:val="0"/>
        </w:numPr>
        <w:spacing w:beforeLines="0" w:afterLines="0"/>
        <w:outlineLvl w:val="9"/>
      </w:pPr>
      <w:bookmarkStart w:id="191" w:name="_Toc25466"/>
      <w:bookmarkStart w:id="192" w:name="_Toc16924"/>
      <w:r>
        <w:rPr>
          <w:rFonts w:hint="eastAsia"/>
        </w:rPr>
        <w:t>5.1</w:t>
      </w:r>
      <w:bookmarkEnd w:id="191"/>
      <w:bookmarkEnd w:id="192"/>
      <w:r>
        <w:rPr>
          <w:rFonts w:hint="eastAsia"/>
        </w:rPr>
        <w:t xml:space="preserve"> </w:t>
      </w:r>
    </w:p>
    <w:p>
      <w:pPr>
        <w:pStyle w:val="168"/>
        <w:numPr>
          <w:ilvl w:val="3"/>
          <w:numId w:val="0"/>
        </w:numPr>
        <w:ind w:firstLine="420" w:firstLineChars="200"/>
        <w:rPr>
          <w:rFonts w:hAnsi="宋体"/>
          <w:bCs/>
          <w:kern w:val="2"/>
          <w:szCs w:val="21"/>
        </w:rPr>
      </w:pPr>
      <w:r>
        <w:rPr>
          <w:rFonts w:hint="eastAsia" w:hAnsi="宋体"/>
          <w:kern w:val="2"/>
          <w:szCs w:val="21"/>
        </w:rPr>
        <w:t>桥梁栏杆水平抗推能力检测设备由荷载测量装置、位移测量装置、反力装置等组成。应具备以下功能：</w:t>
      </w:r>
    </w:p>
    <w:p>
      <w:pPr>
        <w:pStyle w:val="177"/>
      </w:pPr>
      <w:r>
        <w:rPr>
          <w:rFonts w:hint="eastAsia" w:hAnsi="宋体"/>
          <w:szCs w:val="21"/>
        </w:rPr>
        <w:t>荷载测量</w:t>
      </w:r>
      <w:r>
        <w:rPr>
          <w:rFonts w:hint="eastAsia" w:hAnsi="宋体"/>
          <w:kern w:val="2"/>
          <w:szCs w:val="21"/>
        </w:rPr>
        <w:t>装置</w:t>
      </w:r>
      <w:r>
        <w:rPr>
          <w:rFonts w:hint="eastAsia" w:hAnsi="宋体"/>
          <w:szCs w:val="21"/>
        </w:rPr>
        <w:t>由加载设备和测量设备组成</w:t>
      </w:r>
    </w:p>
    <w:p>
      <w:pPr>
        <w:pStyle w:val="177"/>
      </w:pPr>
      <w:r>
        <w:rPr>
          <w:rFonts w:hint="eastAsia" w:hAnsi="宋体"/>
          <w:szCs w:val="21"/>
        </w:rPr>
        <w:t>加载设备应具有对桥梁栏杆施加向外的水平推力且连续加载功能，其量程应能满足桥梁栏杆推力检测所需荷载。</w:t>
      </w:r>
    </w:p>
    <w:p>
      <w:pPr>
        <w:pStyle w:val="177"/>
      </w:pPr>
      <w:r>
        <w:rPr>
          <w:rFonts w:hint="eastAsia" w:hAnsi="宋体"/>
          <w:szCs w:val="21"/>
        </w:rPr>
        <w:t>荷载测量</w:t>
      </w:r>
      <w:r>
        <w:rPr>
          <w:rFonts w:hint="eastAsia" w:hAnsi="宋体"/>
          <w:kern w:val="2"/>
          <w:szCs w:val="21"/>
        </w:rPr>
        <w:t>装置</w:t>
      </w:r>
      <w:r>
        <w:rPr>
          <w:rFonts w:hint="eastAsia" w:hAnsi="宋体"/>
          <w:szCs w:val="21"/>
        </w:rPr>
        <w:t>一般采用力值传感器，应具有显示量值、实时采集等功能。</w:t>
      </w:r>
    </w:p>
    <w:p>
      <w:pPr>
        <w:pStyle w:val="177"/>
      </w:pPr>
      <w:r>
        <w:rPr>
          <w:rFonts w:hint="eastAsia" w:hAnsi="宋体"/>
          <w:szCs w:val="21"/>
        </w:rPr>
        <w:t>位移测量</w:t>
      </w:r>
      <w:r>
        <w:rPr>
          <w:rFonts w:hint="eastAsia" w:hAnsi="宋体"/>
          <w:kern w:val="2"/>
          <w:szCs w:val="21"/>
        </w:rPr>
        <w:t>装置</w:t>
      </w:r>
      <w:r>
        <w:rPr>
          <w:rFonts w:hint="eastAsia" w:hAnsi="宋体"/>
          <w:szCs w:val="21"/>
        </w:rPr>
        <w:t>一般采用位移传感器或百分表，应具有显示量值、实时采集等功能。</w:t>
      </w:r>
    </w:p>
    <w:p>
      <w:pPr>
        <w:pStyle w:val="177"/>
      </w:pPr>
      <w:r>
        <w:rPr>
          <w:rFonts w:hint="eastAsia" w:hAnsi="宋体"/>
          <w:szCs w:val="21"/>
        </w:rPr>
        <w:t>位移、力值测量设备应具有充电提示、数字显示、自校准、报警等常规电子测量设备功能。</w:t>
      </w:r>
    </w:p>
    <w:p>
      <w:pPr>
        <w:pStyle w:val="177"/>
      </w:pPr>
      <w:r>
        <w:rPr>
          <w:rFonts w:hint="eastAsia" w:hAnsi="宋体"/>
          <w:szCs w:val="21"/>
        </w:rPr>
        <w:t>反力装置可根据现场条件，选择合适的方式。</w:t>
      </w:r>
    </w:p>
    <w:p>
      <w:pPr>
        <w:pStyle w:val="108"/>
        <w:numPr>
          <w:ilvl w:val="2"/>
          <w:numId w:val="0"/>
        </w:numPr>
        <w:spacing w:beforeLines="0" w:afterLines="0"/>
        <w:outlineLvl w:val="9"/>
      </w:pPr>
      <w:bookmarkStart w:id="193" w:name="_Toc16574"/>
      <w:bookmarkStart w:id="194" w:name="_Toc4941"/>
      <w:r>
        <w:rPr>
          <w:rFonts w:hint="eastAsia"/>
        </w:rPr>
        <w:t>5.2</w:t>
      </w:r>
      <w:bookmarkEnd w:id="193"/>
      <w:bookmarkEnd w:id="194"/>
      <w:r>
        <w:rPr>
          <w:rFonts w:hint="eastAsia"/>
        </w:rPr>
        <w:t xml:space="preserve"> </w:t>
      </w:r>
    </w:p>
    <w:p>
      <w:pPr>
        <w:pStyle w:val="168"/>
        <w:numPr>
          <w:ilvl w:val="3"/>
          <w:numId w:val="0"/>
        </w:numPr>
        <w:ind w:firstLine="420" w:firstLineChars="200"/>
        <w:rPr>
          <w:rFonts w:hAnsi="宋体"/>
          <w:kern w:val="2"/>
          <w:szCs w:val="21"/>
        </w:rPr>
      </w:pPr>
      <w:r>
        <w:rPr>
          <w:rFonts w:hint="eastAsia" w:hAnsi="宋体"/>
          <w:kern w:val="2"/>
          <w:szCs w:val="21"/>
        </w:rPr>
        <w:t>桥梁栏杆水平抗推能力检测设备应具有产品合格证、并应在检测设备的明显位置标注名称、型号、厂家、出厂编号等。</w:t>
      </w:r>
    </w:p>
    <w:p>
      <w:pPr>
        <w:pStyle w:val="108"/>
        <w:numPr>
          <w:ilvl w:val="2"/>
          <w:numId w:val="0"/>
        </w:numPr>
        <w:spacing w:beforeLines="0" w:afterLines="0"/>
        <w:outlineLvl w:val="9"/>
      </w:pPr>
      <w:bookmarkStart w:id="195" w:name="_Toc324"/>
      <w:bookmarkStart w:id="196" w:name="_Toc18628"/>
      <w:r>
        <w:rPr>
          <w:rFonts w:hint="eastAsia"/>
        </w:rPr>
        <w:t>5.3</w:t>
      </w:r>
      <w:bookmarkEnd w:id="195"/>
      <w:bookmarkEnd w:id="196"/>
    </w:p>
    <w:p>
      <w:pPr>
        <w:pStyle w:val="168"/>
        <w:numPr>
          <w:ilvl w:val="3"/>
          <w:numId w:val="0"/>
        </w:numPr>
        <w:ind w:firstLine="420" w:firstLineChars="200"/>
        <w:rPr>
          <w:rFonts w:hAnsi="宋体"/>
          <w:kern w:val="2"/>
          <w:szCs w:val="21"/>
        </w:rPr>
      </w:pPr>
      <w:r>
        <w:rPr>
          <w:rFonts w:hint="eastAsia" w:hAnsi="宋体"/>
          <w:kern w:val="2"/>
          <w:szCs w:val="21"/>
        </w:rPr>
        <w:t>桥梁栏杆水平抗推能力检测设备主要技术参数应符合表1的规定。</w:t>
      </w:r>
    </w:p>
    <w:p>
      <w:pPr>
        <w:pStyle w:val="243"/>
        <w:adjustRightInd/>
        <w:spacing w:before="156" w:beforeLines="50" w:after="156" w:afterLines="50"/>
        <w:ind w:left="0" w:leftChars="0"/>
        <w:jc w:val="center"/>
        <w:rPr>
          <w:rFonts w:ascii="黑体" w:hAnsi="黑体" w:eastAsia="黑体" w:cs="黑体"/>
          <w:bCs/>
        </w:rPr>
      </w:pPr>
      <w:r>
        <w:rPr>
          <w:rFonts w:hint="eastAsia" w:ascii="黑体" w:hAnsi="黑体" w:eastAsia="黑体" w:cs="黑体"/>
          <w:bCs/>
        </w:rPr>
        <w:t>表1  桥梁栏杆水平抗推能力检测设备主要技术参数</w:t>
      </w:r>
    </w:p>
    <w:tbl>
      <w:tblPr>
        <w:tblStyle w:val="28"/>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96"/>
        <w:gridCol w:w="2796"/>
        <w:gridCol w:w="39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技术参数</w:t>
            </w:r>
          </w:p>
        </w:tc>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量程</w:t>
            </w:r>
          </w:p>
        </w:tc>
        <w:tc>
          <w:tcPr>
            <w:tcW w:w="2077"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精度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水平推力</w:t>
            </w:r>
          </w:p>
        </w:tc>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0～30（</w:t>
            </w:r>
            <w:r>
              <w:rPr>
                <w:rFonts w:hint="eastAsia" w:ascii="宋体" w:hAnsi="宋体"/>
              </w:rPr>
              <w:t>kN</w:t>
            </w:r>
            <w:r>
              <w:rPr>
                <w:rFonts w:hint="eastAsia" w:ascii="宋体" w:hAnsi="宋体"/>
                <w:sz w:val="18"/>
                <w:szCs w:val="18"/>
              </w:rPr>
              <w:t>）</w:t>
            </w:r>
          </w:p>
        </w:tc>
        <w:tc>
          <w:tcPr>
            <w:tcW w:w="2077"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1N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位移</w:t>
            </w:r>
          </w:p>
        </w:tc>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0～50（mm）</w:t>
            </w:r>
          </w:p>
        </w:tc>
        <w:tc>
          <w:tcPr>
            <w:tcW w:w="2077"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0.01mm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挠度</w:t>
            </w:r>
          </w:p>
        </w:tc>
        <w:tc>
          <w:tcPr>
            <w:tcW w:w="1461"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0～50（mm）</w:t>
            </w:r>
          </w:p>
        </w:tc>
        <w:tc>
          <w:tcPr>
            <w:tcW w:w="2077" w:type="pct"/>
            <w:vAlign w:val="center"/>
          </w:tcPr>
          <w:p>
            <w:pPr>
              <w:tabs>
                <w:tab w:val="left" w:pos="0"/>
              </w:tabs>
              <w:adjustRightInd/>
              <w:jc w:val="center"/>
              <w:textAlignment w:val="center"/>
              <w:rPr>
                <w:rFonts w:ascii="宋体" w:hAnsi="宋体"/>
                <w:sz w:val="18"/>
                <w:szCs w:val="18"/>
              </w:rPr>
            </w:pPr>
            <w:r>
              <w:rPr>
                <w:rFonts w:hint="eastAsia" w:ascii="宋体" w:hAnsi="宋体"/>
                <w:sz w:val="18"/>
                <w:szCs w:val="18"/>
              </w:rPr>
              <w:t>0.01mm</w:t>
            </w:r>
          </w:p>
        </w:tc>
      </w:tr>
    </w:tbl>
    <w:p>
      <w:pPr>
        <w:pStyle w:val="108"/>
        <w:numPr>
          <w:ilvl w:val="2"/>
          <w:numId w:val="0"/>
        </w:numPr>
        <w:spacing w:beforeLines="0" w:afterLines="0"/>
        <w:outlineLvl w:val="9"/>
      </w:pPr>
      <w:bookmarkStart w:id="197" w:name="_Toc19041"/>
      <w:bookmarkStart w:id="198" w:name="_Toc5118"/>
      <w:bookmarkStart w:id="199" w:name="_Toc2574"/>
      <w:bookmarkStart w:id="200" w:name="_Toc11785"/>
      <w:r>
        <w:rPr>
          <w:rFonts w:hint="eastAsia"/>
        </w:rPr>
        <w:t>5.4</w:t>
      </w:r>
      <w:bookmarkEnd w:id="197"/>
      <w:bookmarkEnd w:id="198"/>
      <w:r>
        <w:rPr>
          <w:rFonts w:hint="eastAsia"/>
        </w:rPr>
        <w:t xml:space="preserve"> </w:t>
      </w:r>
    </w:p>
    <w:p>
      <w:pPr>
        <w:pStyle w:val="108"/>
        <w:numPr>
          <w:ilvl w:val="2"/>
          <w:numId w:val="0"/>
        </w:numPr>
        <w:spacing w:beforeLines="0" w:afterLines="0"/>
        <w:ind w:firstLine="420" w:firstLineChars="200"/>
        <w:rPr>
          <w:rFonts w:ascii="宋体" w:hAnsi="宋体" w:eastAsia="宋体"/>
          <w:kern w:val="2"/>
          <w:szCs w:val="21"/>
        </w:rPr>
      </w:pPr>
      <w:bookmarkStart w:id="201" w:name="_Toc18474"/>
      <w:bookmarkStart w:id="202" w:name="_Toc1826"/>
      <w:r>
        <w:rPr>
          <w:rFonts w:hint="eastAsia" w:ascii="宋体" w:hAnsi="宋体" w:eastAsia="宋体"/>
          <w:kern w:val="2"/>
          <w:szCs w:val="21"/>
        </w:rPr>
        <w:t>反力装置应符合下列规定：</w:t>
      </w:r>
      <w:bookmarkEnd w:id="199"/>
      <w:bookmarkEnd w:id="200"/>
      <w:bookmarkEnd w:id="201"/>
      <w:bookmarkEnd w:id="202"/>
    </w:p>
    <w:p>
      <w:pPr>
        <w:pStyle w:val="177"/>
        <w:numPr>
          <w:ilvl w:val="0"/>
          <w:numId w:val="32"/>
        </w:numPr>
      </w:pPr>
      <w:r>
        <w:rPr>
          <w:rFonts w:hint="eastAsia"/>
        </w:rPr>
        <w:t>反力装置提供的反力应大于最大加载值的1.2倍</w:t>
      </w:r>
      <w:r>
        <w:rPr>
          <w:rFonts w:hint="eastAsia" w:hAnsi="宋体"/>
          <w:szCs w:val="21"/>
        </w:rPr>
        <w:t>。</w:t>
      </w:r>
    </w:p>
    <w:p>
      <w:pPr>
        <w:pStyle w:val="177"/>
        <w:numPr>
          <w:ilvl w:val="0"/>
          <w:numId w:val="32"/>
        </w:numPr>
      </w:pPr>
      <w:r>
        <w:rPr>
          <w:rFonts w:hint="eastAsia"/>
        </w:rPr>
        <w:t>反力装置的构件应满足承载力和变形的要求</w:t>
      </w:r>
      <w:r>
        <w:rPr>
          <w:rFonts w:hint="eastAsia" w:hAnsi="宋体"/>
          <w:szCs w:val="21"/>
        </w:rPr>
        <w:t>。</w:t>
      </w:r>
    </w:p>
    <w:p>
      <w:pPr>
        <w:pStyle w:val="177"/>
        <w:numPr>
          <w:ilvl w:val="0"/>
          <w:numId w:val="32"/>
        </w:numPr>
      </w:pPr>
      <w:r>
        <w:rPr>
          <w:rFonts w:hint="eastAsia"/>
        </w:rPr>
        <w:t>反力装置的末端宜配置刚性垫片，其型式应能满足加载需求，且具有足够的刚度</w:t>
      </w:r>
      <w:r>
        <w:rPr>
          <w:rFonts w:hint="eastAsia" w:hAnsi="宋体"/>
          <w:szCs w:val="21"/>
        </w:rPr>
        <w:t>。</w:t>
      </w:r>
    </w:p>
    <w:p>
      <w:pPr>
        <w:pStyle w:val="108"/>
        <w:numPr>
          <w:ilvl w:val="2"/>
          <w:numId w:val="0"/>
        </w:numPr>
        <w:spacing w:beforeLines="0" w:afterLines="0"/>
        <w:outlineLvl w:val="9"/>
      </w:pPr>
      <w:bookmarkStart w:id="203" w:name="_Toc6112"/>
      <w:bookmarkStart w:id="204" w:name="_Toc10281"/>
      <w:bookmarkStart w:id="205" w:name="_Toc7740"/>
      <w:bookmarkStart w:id="206" w:name="_Toc7629"/>
      <w:r>
        <w:rPr>
          <w:rFonts w:hint="eastAsia"/>
        </w:rPr>
        <w:t>5.5</w:t>
      </w:r>
      <w:bookmarkEnd w:id="203"/>
      <w:bookmarkEnd w:id="204"/>
    </w:p>
    <w:p>
      <w:pPr>
        <w:pStyle w:val="108"/>
        <w:numPr>
          <w:ilvl w:val="2"/>
          <w:numId w:val="0"/>
        </w:numPr>
        <w:spacing w:beforeLines="0" w:afterLines="0"/>
        <w:ind w:firstLine="420" w:firstLineChars="200"/>
        <w:rPr>
          <w:rFonts w:ascii="宋体" w:hAnsi="宋体" w:eastAsia="宋体"/>
          <w:kern w:val="2"/>
          <w:szCs w:val="21"/>
        </w:rPr>
      </w:pPr>
      <w:bookmarkStart w:id="207" w:name="_Toc8302"/>
      <w:bookmarkStart w:id="208" w:name="_Toc6841"/>
      <w:r>
        <w:rPr>
          <w:rFonts w:hint="eastAsia" w:ascii="宋体" w:hAnsi="宋体" w:eastAsia="宋体"/>
          <w:kern w:val="2"/>
          <w:szCs w:val="21"/>
        </w:rPr>
        <w:t>荷载测量装置中试验用力值传感器、千斤顶在最大加载时的荷载宜在最大量程的20%~80%之间。</w:t>
      </w:r>
      <w:bookmarkEnd w:id="205"/>
      <w:bookmarkEnd w:id="206"/>
      <w:bookmarkEnd w:id="207"/>
      <w:bookmarkEnd w:id="208"/>
    </w:p>
    <w:p>
      <w:pPr>
        <w:pStyle w:val="108"/>
        <w:numPr>
          <w:ilvl w:val="2"/>
          <w:numId w:val="0"/>
        </w:numPr>
        <w:spacing w:beforeLines="0" w:afterLines="0"/>
        <w:outlineLvl w:val="9"/>
      </w:pPr>
      <w:bookmarkStart w:id="209" w:name="_Toc1417"/>
      <w:bookmarkStart w:id="210" w:name="_Toc5293"/>
      <w:bookmarkStart w:id="211" w:name="_Toc16652"/>
      <w:bookmarkStart w:id="212" w:name="_Toc15936"/>
      <w:r>
        <w:rPr>
          <w:rFonts w:hint="eastAsia"/>
        </w:rPr>
        <w:t>5.6</w:t>
      </w:r>
      <w:bookmarkEnd w:id="209"/>
      <w:bookmarkEnd w:id="210"/>
    </w:p>
    <w:p>
      <w:pPr>
        <w:pStyle w:val="108"/>
        <w:numPr>
          <w:ilvl w:val="2"/>
          <w:numId w:val="0"/>
        </w:numPr>
        <w:spacing w:beforeLines="0" w:afterLines="0"/>
        <w:ind w:firstLine="420" w:firstLineChars="200"/>
        <w:rPr>
          <w:rFonts w:ascii="宋体" w:hAnsi="宋体" w:eastAsia="宋体"/>
          <w:kern w:val="2"/>
          <w:szCs w:val="21"/>
        </w:rPr>
      </w:pPr>
      <w:bookmarkStart w:id="213" w:name="_Toc22024"/>
      <w:bookmarkStart w:id="214" w:name="_Toc3240"/>
      <w:r>
        <w:rPr>
          <w:rFonts w:hint="eastAsia" w:ascii="宋体" w:hAnsi="宋体" w:eastAsia="宋体"/>
          <w:kern w:val="2"/>
          <w:szCs w:val="21"/>
        </w:rPr>
        <w:t>位移测量装置宜采用足够量程的位移传感器或百分表，且应符合下列规定：</w:t>
      </w:r>
      <w:bookmarkEnd w:id="211"/>
      <w:bookmarkEnd w:id="212"/>
      <w:bookmarkEnd w:id="213"/>
      <w:bookmarkEnd w:id="214"/>
    </w:p>
    <w:p>
      <w:pPr>
        <w:pStyle w:val="177"/>
        <w:numPr>
          <w:ilvl w:val="0"/>
          <w:numId w:val="33"/>
        </w:numPr>
      </w:pPr>
      <w:r>
        <w:rPr>
          <w:rFonts w:hint="eastAsia"/>
        </w:rPr>
        <w:t>测量误差不得大于0.1%FS，分度值/分辨力应优于或等于0.1mm</w:t>
      </w:r>
      <w:r>
        <w:rPr>
          <w:rFonts w:hint="eastAsia" w:hAnsi="宋体"/>
          <w:szCs w:val="21"/>
        </w:rPr>
        <w:t>。</w:t>
      </w:r>
    </w:p>
    <w:p>
      <w:pPr>
        <w:pStyle w:val="177"/>
        <w:numPr>
          <w:ilvl w:val="0"/>
          <w:numId w:val="33"/>
        </w:numPr>
      </w:pPr>
      <w:r>
        <w:rPr>
          <w:rFonts w:hint="eastAsia"/>
        </w:rPr>
        <w:t>固定和支撑位移测量设备的结构应具有足够刚度，且不得受温度、湿度、振动及其他外界因素的影响。</w:t>
      </w:r>
    </w:p>
    <w:p>
      <w:pPr>
        <w:pStyle w:val="108"/>
        <w:numPr>
          <w:ilvl w:val="2"/>
          <w:numId w:val="0"/>
        </w:numPr>
        <w:spacing w:beforeLines="0" w:afterLines="0"/>
        <w:outlineLvl w:val="9"/>
      </w:pPr>
      <w:bookmarkStart w:id="215" w:name="_Toc13159"/>
      <w:bookmarkStart w:id="216" w:name="_Toc8259"/>
      <w:bookmarkStart w:id="217" w:name="_Toc7482"/>
      <w:bookmarkStart w:id="218" w:name="_Toc15681"/>
      <w:r>
        <w:rPr>
          <w:rFonts w:hint="eastAsia"/>
        </w:rPr>
        <w:t>5.7</w:t>
      </w:r>
      <w:bookmarkEnd w:id="215"/>
      <w:bookmarkEnd w:id="216"/>
    </w:p>
    <w:p>
      <w:pPr>
        <w:pStyle w:val="108"/>
        <w:numPr>
          <w:ilvl w:val="2"/>
          <w:numId w:val="0"/>
        </w:numPr>
        <w:spacing w:beforeLines="0" w:afterLines="0"/>
        <w:ind w:firstLine="420" w:firstLineChars="200"/>
        <w:rPr>
          <w:rFonts w:ascii="宋体" w:hAnsi="宋体" w:eastAsia="宋体"/>
          <w:kern w:val="2"/>
          <w:szCs w:val="21"/>
        </w:rPr>
      </w:pPr>
      <w:bookmarkStart w:id="219" w:name="_Toc4775"/>
      <w:bookmarkStart w:id="220" w:name="_Toc11396"/>
      <w:r>
        <w:rPr>
          <w:rFonts w:hint="eastAsia" w:ascii="宋体" w:hAnsi="宋体" w:eastAsia="宋体"/>
          <w:kern w:val="2"/>
          <w:szCs w:val="21"/>
        </w:rPr>
        <w:t>桥梁栏杆水平抗推能力检测设备不得提供人工输入检测数据和检测值的修改删除功能。</w:t>
      </w:r>
      <w:bookmarkEnd w:id="217"/>
      <w:bookmarkEnd w:id="218"/>
      <w:bookmarkEnd w:id="219"/>
      <w:bookmarkEnd w:id="220"/>
    </w:p>
    <w:p>
      <w:pPr>
        <w:pStyle w:val="108"/>
        <w:numPr>
          <w:ilvl w:val="2"/>
          <w:numId w:val="0"/>
        </w:numPr>
        <w:spacing w:beforeLines="0" w:afterLines="0"/>
        <w:outlineLvl w:val="9"/>
      </w:pPr>
      <w:bookmarkStart w:id="221" w:name="_Toc21521"/>
      <w:bookmarkStart w:id="222" w:name="_Toc2609"/>
      <w:bookmarkStart w:id="223" w:name="_Toc13960"/>
      <w:bookmarkStart w:id="224" w:name="_Toc27247"/>
      <w:r>
        <w:rPr>
          <w:rFonts w:hint="eastAsia"/>
        </w:rPr>
        <w:t>5.8</w:t>
      </w:r>
      <w:bookmarkEnd w:id="221"/>
      <w:bookmarkEnd w:id="222"/>
    </w:p>
    <w:p>
      <w:pPr>
        <w:pStyle w:val="108"/>
        <w:numPr>
          <w:ilvl w:val="2"/>
          <w:numId w:val="0"/>
        </w:numPr>
        <w:spacing w:beforeLines="0" w:afterLines="0"/>
        <w:ind w:firstLine="420" w:firstLineChars="200"/>
        <w:rPr>
          <w:rFonts w:ascii="宋体" w:hAnsi="宋体" w:eastAsia="宋体"/>
          <w:kern w:val="2"/>
          <w:szCs w:val="21"/>
        </w:rPr>
      </w:pPr>
      <w:bookmarkStart w:id="225" w:name="_Toc1480"/>
      <w:bookmarkStart w:id="226" w:name="_Toc21491"/>
      <w:r>
        <w:rPr>
          <w:rFonts w:hint="eastAsia" w:ascii="宋体" w:hAnsi="宋体" w:eastAsia="宋体"/>
          <w:kern w:val="2"/>
          <w:szCs w:val="21"/>
        </w:rPr>
        <w:t>桥梁栏杆水平抗推能力检测设备检定或校准周期为1年，当出现下列情况之一时，应检定或校准：</w:t>
      </w:r>
      <w:bookmarkEnd w:id="223"/>
      <w:bookmarkEnd w:id="224"/>
      <w:bookmarkEnd w:id="225"/>
      <w:bookmarkEnd w:id="226"/>
    </w:p>
    <w:p>
      <w:pPr>
        <w:pStyle w:val="177"/>
        <w:numPr>
          <w:ilvl w:val="0"/>
          <w:numId w:val="34"/>
        </w:numPr>
      </w:pPr>
      <w:r>
        <w:rPr>
          <w:rFonts w:hint="eastAsia"/>
        </w:rPr>
        <w:t>超过校准周期</w:t>
      </w:r>
      <w:r>
        <w:rPr>
          <w:rFonts w:hint="eastAsia" w:hAnsi="宋体"/>
          <w:szCs w:val="21"/>
        </w:rPr>
        <w:t>。</w:t>
      </w:r>
    </w:p>
    <w:p>
      <w:pPr>
        <w:pStyle w:val="177"/>
        <w:numPr>
          <w:ilvl w:val="0"/>
          <w:numId w:val="34"/>
        </w:numPr>
      </w:pPr>
      <w:r>
        <w:rPr>
          <w:rFonts w:hint="eastAsia"/>
        </w:rPr>
        <w:t>遭受严重撞击或损坏</w:t>
      </w:r>
      <w:r>
        <w:rPr>
          <w:rFonts w:hint="eastAsia" w:hAnsi="宋体"/>
          <w:szCs w:val="21"/>
        </w:rPr>
        <w:t>。</w:t>
      </w:r>
    </w:p>
    <w:p>
      <w:pPr>
        <w:pStyle w:val="177"/>
        <w:numPr>
          <w:ilvl w:val="0"/>
          <w:numId w:val="34"/>
        </w:numPr>
      </w:pPr>
      <w:r>
        <w:rPr>
          <w:rFonts w:hint="eastAsia"/>
        </w:rPr>
        <w:t>检测数据结果异常。</w:t>
      </w:r>
    </w:p>
    <w:p>
      <w:pPr>
        <w:pStyle w:val="108"/>
        <w:numPr>
          <w:ilvl w:val="2"/>
          <w:numId w:val="0"/>
        </w:numPr>
        <w:spacing w:beforeLines="0" w:afterLines="0"/>
        <w:outlineLvl w:val="9"/>
      </w:pPr>
      <w:bookmarkStart w:id="227" w:name="_Toc10132"/>
      <w:bookmarkStart w:id="228" w:name="_Toc8989"/>
      <w:bookmarkStart w:id="229" w:name="_Toc19946"/>
      <w:bookmarkStart w:id="230" w:name="_Toc15042"/>
      <w:r>
        <w:rPr>
          <w:rFonts w:hint="eastAsia"/>
        </w:rPr>
        <w:t>5.9</w:t>
      </w:r>
      <w:bookmarkEnd w:id="227"/>
      <w:bookmarkEnd w:id="228"/>
    </w:p>
    <w:p>
      <w:pPr>
        <w:pStyle w:val="108"/>
        <w:numPr>
          <w:ilvl w:val="2"/>
          <w:numId w:val="0"/>
        </w:numPr>
        <w:spacing w:beforeLines="0" w:afterLines="0"/>
        <w:ind w:firstLine="420" w:firstLineChars="200"/>
        <w:rPr>
          <w:rFonts w:ascii="宋体" w:hAnsi="宋体" w:eastAsia="宋体"/>
          <w:kern w:val="2"/>
          <w:szCs w:val="21"/>
        </w:rPr>
      </w:pPr>
      <w:bookmarkStart w:id="231" w:name="_Toc4844"/>
      <w:bookmarkStart w:id="232" w:name="_Toc29144"/>
      <w:r>
        <w:rPr>
          <w:rFonts w:hint="eastAsia" w:ascii="宋体" w:hAnsi="宋体" w:eastAsia="宋体"/>
          <w:kern w:val="2"/>
          <w:szCs w:val="21"/>
        </w:rPr>
        <w:t>桥梁栏杆水平抗推能力检测设备的保养应遵循以下原则：</w:t>
      </w:r>
      <w:bookmarkEnd w:id="229"/>
      <w:bookmarkEnd w:id="230"/>
      <w:bookmarkEnd w:id="231"/>
      <w:bookmarkEnd w:id="232"/>
    </w:p>
    <w:p>
      <w:pPr>
        <w:pStyle w:val="177"/>
        <w:numPr>
          <w:ilvl w:val="0"/>
          <w:numId w:val="35"/>
        </w:numPr>
      </w:pPr>
      <w:r>
        <w:rPr>
          <w:rFonts w:hint="eastAsia"/>
        </w:rPr>
        <w:t>设备超过3个月不使用，应进行保养维护</w:t>
      </w:r>
      <w:r>
        <w:rPr>
          <w:rFonts w:hint="eastAsia" w:hAnsi="宋体"/>
          <w:szCs w:val="21"/>
        </w:rPr>
        <w:t>。</w:t>
      </w:r>
    </w:p>
    <w:p>
      <w:pPr>
        <w:pStyle w:val="177"/>
        <w:numPr>
          <w:ilvl w:val="0"/>
          <w:numId w:val="35"/>
        </w:numPr>
      </w:pPr>
      <w:r>
        <w:rPr>
          <w:rFonts w:hint="eastAsia"/>
        </w:rPr>
        <w:t>设备使用次数超过100次以上时，应进行常规保养</w:t>
      </w:r>
      <w:r>
        <w:rPr>
          <w:rFonts w:hint="eastAsia" w:hAnsi="宋体"/>
          <w:szCs w:val="21"/>
        </w:rPr>
        <w:t>。</w:t>
      </w:r>
    </w:p>
    <w:p>
      <w:pPr>
        <w:pStyle w:val="177"/>
        <w:numPr>
          <w:ilvl w:val="0"/>
          <w:numId w:val="35"/>
        </w:numPr>
      </w:pPr>
      <w:r>
        <w:rPr>
          <w:rFonts w:hint="eastAsia"/>
        </w:rPr>
        <w:t>每次检测结束，应及时将检测设备存放专用工具箱。</w:t>
      </w:r>
    </w:p>
    <w:p>
      <w:pPr>
        <w:pStyle w:val="107"/>
        <w:numPr>
          <w:ilvl w:val="1"/>
          <w:numId w:val="0"/>
        </w:numPr>
        <w:spacing w:before="312" w:after="312"/>
      </w:pPr>
      <w:bookmarkStart w:id="233" w:name="_Toc29531"/>
      <w:bookmarkStart w:id="234" w:name="_Toc5869"/>
      <w:bookmarkStart w:id="235" w:name="_Toc65335638"/>
      <w:bookmarkStart w:id="236" w:name="_Toc22846"/>
      <w:bookmarkStart w:id="237" w:name="_Toc64934033"/>
      <w:bookmarkStart w:id="238" w:name="_Toc1699"/>
      <w:bookmarkStart w:id="239" w:name="_Toc48119478"/>
      <w:bookmarkStart w:id="240" w:name="_Toc4383"/>
      <w:bookmarkStart w:id="241" w:name="_Toc29396"/>
      <w:bookmarkStart w:id="242" w:name="_Toc25156"/>
      <w:r>
        <w:rPr>
          <w:rFonts w:hint="eastAsia"/>
          <w:szCs w:val="21"/>
        </w:rPr>
        <w:t>6 现场检测</w:t>
      </w:r>
      <w:bookmarkEnd w:id="233"/>
      <w:bookmarkEnd w:id="234"/>
    </w:p>
    <w:p>
      <w:pPr>
        <w:pStyle w:val="108"/>
        <w:numPr>
          <w:ilvl w:val="2"/>
          <w:numId w:val="0"/>
        </w:numPr>
        <w:spacing w:before="156" w:after="156"/>
      </w:pPr>
      <w:bookmarkStart w:id="243" w:name="_Toc27800"/>
      <w:bookmarkStart w:id="244" w:name="_Toc25102"/>
      <w:r>
        <w:rPr>
          <w:rFonts w:hint="eastAsia"/>
        </w:rPr>
        <w:t xml:space="preserve">6.1 </w:t>
      </w:r>
      <w:bookmarkEnd w:id="243"/>
      <w:bookmarkEnd w:id="244"/>
      <w:r>
        <w:rPr>
          <w:rFonts w:hint="eastAsia"/>
        </w:rPr>
        <w:t>现场检测前应收集所检工程的相关信息，应包含以下内容：</w:t>
      </w:r>
    </w:p>
    <w:bookmarkEnd w:id="235"/>
    <w:bookmarkEnd w:id="236"/>
    <w:bookmarkEnd w:id="237"/>
    <w:bookmarkEnd w:id="238"/>
    <w:bookmarkEnd w:id="239"/>
    <w:bookmarkEnd w:id="240"/>
    <w:bookmarkEnd w:id="241"/>
    <w:p>
      <w:pPr>
        <w:pStyle w:val="177"/>
        <w:numPr>
          <w:ilvl w:val="0"/>
          <w:numId w:val="36"/>
        </w:numPr>
      </w:pPr>
      <w:bookmarkStart w:id="245" w:name="_Toc21301"/>
      <w:bookmarkStart w:id="246" w:name="_Toc522140567"/>
      <w:r>
        <w:rPr>
          <w:rFonts w:hint="eastAsia"/>
        </w:rPr>
        <w:t>工程名称、完工日期</w:t>
      </w:r>
      <w:r>
        <w:rPr>
          <w:rFonts w:hint="eastAsia" w:hAnsi="宋体"/>
          <w:szCs w:val="21"/>
        </w:rPr>
        <w:t>。</w:t>
      </w:r>
    </w:p>
    <w:p>
      <w:pPr>
        <w:pStyle w:val="177"/>
        <w:numPr>
          <w:ilvl w:val="0"/>
          <w:numId w:val="36"/>
        </w:numPr>
      </w:pPr>
      <w:r>
        <w:rPr>
          <w:rFonts w:hint="eastAsia"/>
        </w:rPr>
        <w:t>建设、设计、施工及监理单位名称</w:t>
      </w:r>
      <w:r>
        <w:rPr>
          <w:rFonts w:hint="eastAsia" w:hAnsi="宋体"/>
          <w:szCs w:val="21"/>
        </w:rPr>
        <w:t>。</w:t>
      </w:r>
    </w:p>
    <w:p>
      <w:pPr>
        <w:pStyle w:val="177"/>
        <w:numPr>
          <w:ilvl w:val="0"/>
          <w:numId w:val="36"/>
        </w:numPr>
      </w:pPr>
      <w:r>
        <w:rPr>
          <w:rFonts w:hint="eastAsia"/>
        </w:rPr>
        <w:t>相应的设计图纸</w:t>
      </w:r>
      <w:r>
        <w:rPr>
          <w:rFonts w:hint="eastAsia" w:hAnsi="宋体"/>
          <w:szCs w:val="21"/>
        </w:rPr>
        <w:t>。</w:t>
      </w:r>
    </w:p>
    <w:p>
      <w:pPr>
        <w:pStyle w:val="177"/>
        <w:numPr>
          <w:ilvl w:val="0"/>
          <w:numId w:val="36"/>
        </w:numPr>
      </w:pPr>
      <w:r>
        <w:rPr>
          <w:rFonts w:hint="eastAsia"/>
        </w:rPr>
        <w:t>桥梁栏杆的材质、结构形式、立柱的基础形式及跨距等信息</w:t>
      </w:r>
      <w:r>
        <w:rPr>
          <w:rFonts w:hint="eastAsia" w:hAnsi="宋体"/>
          <w:szCs w:val="21"/>
        </w:rPr>
        <w:t>。</w:t>
      </w:r>
    </w:p>
    <w:p>
      <w:pPr>
        <w:pStyle w:val="177"/>
        <w:numPr>
          <w:ilvl w:val="0"/>
          <w:numId w:val="36"/>
        </w:numPr>
      </w:pPr>
      <w:r>
        <w:rPr>
          <w:rFonts w:hint="eastAsia"/>
        </w:rPr>
        <w:t>桥梁栏杆周边环境及现场交通状况等。</w:t>
      </w:r>
    </w:p>
    <w:bookmarkEnd w:id="245"/>
    <w:bookmarkEnd w:id="246"/>
    <w:p>
      <w:pPr>
        <w:pStyle w:val="108"/>
        <w:numPr>
          <w:ilvl w:val="2"/>
          <w:numId w:val="0"/>
        </w:numPr>
        <w:spacing w:before="156" w:after="156"/>
      </w:pPr>
      <w:bookmarkStart w:id="247" w:name="_Toc3912"/>
      <w:bookmarkStart w:id="248" w:name="_Toc18174"/>
      <w:bookmarkStart w:id="249" w:name="_Toc18113"/>
      <w:bookmarkStart w:id="250" w:name="_Toc27510"/>
      <w:r>
        <w:rPr>
          <w:rFonts w:hint="eastAsia"/>
        </w:rPr>
        <w:t xml:space="preserve">6.2 </w:t>
      </w:r>
      <w:bookmarkEnd w:id="247"/>
      <w:bookmarkEnd w:id="248"/>
      <w:bookmarkEnd w:id="249"/>
      <w:bookmarkEnd w:id="250"/>
      <w:r>
        <w:rPr>
          <w:rFonts w:hint="eastAsia"/>
        </w:rPr>
        <w:t>现场检测前应根据设计图纸和现场实际情况编制检测方案，应包含以下内容：</w:t>
      </w:r>
    </w:p>
    <w:p>
      <w:pPr>
        <w:pStyle w:val="177"/>
        <w:numPr>
          <w:ilvl w:val="0"/>
          <w:numId w:val="37"/>
        </w:numPr>
      </w:pPr>
      <w:r>
        <w:rPr>
          <w:rFonts w:hint="eastAsia"/>
        </w:rPr>
        <w:t>工程信息参照5.1</w:t>
      </w:r>
      <w:r>
        <w:rPr>
          <w:rFonts w:hint="eastAsia" w:hAnsi="宋体"/>
          <w:szCs w:val="21"/>
        </w:rPr>
        <w:t>。</w:t>
      </w:r>
    </w:p>
    <w:p>
      <w:pPr>
        <w:pStyle w:val="177"/>
        <w:numPr>
          <w:ilvl w:val="0"/>
          <w:numId w:val="37"/>
        </w:numPr>
      </w:pPr>
      <w:r>
        <w:rPr>
          <w:rFonts w:hint="eastAsia"/>
        </w:rPr>
        <w:t>根据桥梁栏杆跨距，按照2.5kN/m计算确定试验荷载F</w:t>
      </w:r>
      <w:r>
        <w:rPr>
          <w:rFonts w:hint="eastAsia" w:hAnsi="宋体"/>
          <w:szCs w:val="21"/>
        </w:rPr>
        <w:t>。</w:t>
      </w:r>
    </w:p>
    <w:p>
      <w:pPr>
        <w:pStyle w:val="177"/>
        <w:numPr>
          <w:ilvl w:val="0"/>
          <w:numId w:val="37"/>
        </w:numPr>
      </w:pPr>
      <w:r>
        <w:rPr>
          <w:rFonts w:hint="eastAsia"/>
        </w:rPr>
        <w:t>根据试验荷载及现场条件选择合适检测设备。</w:t>
      </w:r>
    </w:p>
    <w:p>
      <w:pPr>
        <w:pStyle w:val="177"/>
        <w:numPr>
          <w:ilvl w:val="0"/>
          <w:numId w:val="37"/>
        </w:numPr>
      </w:pPr>
      <w:r>
        <w:rPr>
          <w:rFonts w:hint="eastAsia"/>
        </w:rPr>
        <w:t>根据现场实际情况选择测点及检测数量</w:t>
      </w:r>
      <w:r>
        <w:rPr>
          <w:rFonts w:hint="eastAsia" w:hAnsi="宋体"/>
          <w:szCs w:val="21"/>
        </w:rPr>
        <w:t>。</w:t>
      </w:r>
    </w:p>
    <w:p>
      <w:pPr>
        <w:pStyle w:val="177"/>
        <w:numPr>
          <w:ilvl w:val="0"/>
          <w:numId w:val="37"/>
        </w:numPr>
      </w:pPr>
      <w:r>
        <w:rPr>
          <w:rFonts w:hint="eastAsia"/>
        </w:rPr>
        <w:t>结合桥梁周边环境及交通状况，设置相应的安全防护措施。</w:t>
      </w:r>
    </w:p>
    <w:p>
      <w:pPr>
        <w:pStyle w:val="108"/>
        <w:numPr>
          <w:ilvl w:val="2"/>
          <w:numId w:val="0"/>
        </w:numPr>
        <w:spacing w:before="156" w:after="156"/>
      </w:pPr>
      <w:bookmarkStart w:id="251" w:name="_Toc16522"/>
      <w:bookmarkStart w:id="252" w:name="_Toc9441"/>
      <w:bookmarkStart w:id="253" w:name="_Toc10916"/>
      <w:bookmarkStart w:id="254" w:name="_Toc5550"/>
      <w:r>
        <w:rPr>
          <w:rFonts w:hint="eastAsia"/>
        </w:rPr>
        <w:t xml:space="preserve">6.3 </w:t>
      </w:r>
      <w:bookmarkEnd w:id="251"/>
      <w:bookmarkEnd w:id="252"/>
      <w:bookmarkEnd w:id="253"/>
      <w:bookmarkEnd w:id="254"/>
      <w:r>
        <w:rPr>
          <w:rFonts w:hint="eastAsia"/>
        </w:rPr>
        <w:t>现场检测前应根据检测方案和现场实际情况准备检测设备，应满足以下条件：</w:t>
      </w:r>
    </w:p>
    <w:p>
      <w:pPr>
        <w:pStyle w:val="177"/>
        <w:numPr>
          <w:ilvl w:val="0"/>
          <w:numId w:val="38"/>
        </w:numPr>
      </w:pPr>
      <w:r>
        <w:rPr>
          <w:rFonts w:hint="eastAsia"/>
        </w:rPr>
        <w:t>根据现场桥梁栏杆的跨距选取合适力值的传感器</w:t>
      </w:r>
    </w:p>
    <w:p>
      <w:pPr>
        <w:pStyle w:val="177"/>
        <w:numPr>
          <w:ilvl w:val="0"/>
          <w:numId w:val="38"/>
        </w:numPr>
      </w:pPr>
      <w:r>
        <w:rPr>
          <w:rFonts w:hint="eastAsia"/>
        </w:rPr>
        <w:t>将反力装置、千斤顶、力值传感器及位移传感器等装置安装到位，并调整到合适位置，使施力端刚性垫板对准桥梁栏杆测点</w:t>
      </w:r>
    </w:p>
    <w:p>
      <w:pPr>
        <w:pStyle w:val="177"/>
        <w:numPr>
          <w:ilvl w:val="0"/>
          <w:numId w:val="38"/>
        </w:numPr>
      </w:pPr>
      <w:r>
        <w:rPr>
          <w:rFonts w:hint="eastAsia" w:hAnsi="宋体"/>
          <w:szCs w:val="21"/>
        </w:rPr>
        <w:t>测试荷载测量系统、位移测量系统等运行是否正常，并对各装置进行校准调零。</w:t>
      </w:r>
    </w:p>
    <w:p>
      <w:pPr>
        <w:pStyle w:val="108"/>
        <w:numPr>
          <w:ilvl w:val="2"/>
          <w:numId w:val="0"/>
        </w:numPr>
        <w:spacing w:before="156" w:after="156"/>
      </w:pPr>
      <w:bookmarkStart w:id="255" w:name="_Toc1550"/>
      <w:bookmarkStart w:id="256" w:name="_Toc22513"/>
      <w:bookmarkStart w:id="257" w:name="_Toc3509"/>
      <w:bookmarkStart w:id="258" w:name="_Toc12994"/>
      <w:r>
        <w:rPr>
          <w:rFonts w:hint="eastAsia"/>
        </w:rPr>
        <w:t xml:space="preserve">6.4 </w:t>
      </w:r>
      <w:bookmarkEnd w:id="255"/>
      <w:bookmarkEnd w:id="256"/>
      <w:bookmarkEnd w:id="257"/>
      <w:bookmarkEnd w:id="258"/>
      <w:r>
        <w:rPr>
          <w:rFonts w:hint="eastAsia"/>
        </w:rPr>
        <w:t>现场检测前应根据设计图纸和检测方案，确定抽样数量并布置测点，应遵循以下原则：</w:t>
      </w:r>
    </w:p>
    <w:p>
      <w:pPr>
        <w:pStyle w:val="177"/>
        <w:numPr>
          <w:ilvl w:val="0"/>
          <w:numId w:val="39"/>
        </w:numPr>
      </w:pPr>
      <w:r>
        <w:rPr>
          <w:rFonts w:hint="eastAsia"/>
        </w:rPr>
        <w:t>每侧桥梁栏杆每50m作为1个检测单元，每个单元随机选取3处测点，不足50m的按1个单元检测。检测单元中若存在伸缩缝等桥梁栏杆断开不连续的情况，应将两侧分别设置检测单元；但断开的桥梁栏杆少于3跨时，可不单独设置检测单元。</w:t>
      </w:r>
    </w:p>
    <w:p>
      <w:pPr>
        <w:pStyle w:val="177"/>
        <w:numPr>
          <w:ilvl w:val="0"/>
          <w:numId w:val="39"/>
        </w:numPr>
      </w:pPr>
      <w:r>
        <w:rPr>
          <w:rFonts w:hint="eastAsia"/>
        </w:rPr>
        <w:t>选取测点时，应随机选取有代表性的位置。</w:t>
      </w:r>
    </w:p>
    <w:p>
      <w:pPr>
        <w:pStyle w:val="177"/>
        <w:numPr>
          <w:ilvl w:val="0"/>
          <w:numId w:val="39"/>
        </w:numPr>
      </w:pPr>
      <w:r>
        <w:rPr>
          <w:rFonts w:hint="eastAsia"/>
        </w:rPr>
        <w:t>钢质桥梁栏杆测点宜布置于相邻两立柱栏杆扶手中点处。</w:t>
      </w:r>
    </w:p>
    <w:p>
      <w:pPr>
        <w:pStyle w:val="177"/>
        <w:numPr>
          <w:ilvl w:val="0"/>
          <w:numId w:val="39"/>
        </w:numPr>
      </w:pPr>
      <w:r>
        <w:rPr>
          <w:rFonts w:hint="eastAsia"/>
        </w:rPr>
        <w:t>石材、混凝土等材料栏杆测点宜布置于立柱上。</w:t>
      </w:r>
    </w:p>
    <w:p>
      <w:pPr>
        <w:pStyle w:val="108"/>
        <w:numPr>
          <w:ilvl w:val="2"/>
          <w:numId w:val="0"/>
        </w:numPr>
        <w:spacing w:before="156" w:after="156"/>
      </w:pPr>
      <w:bookmarkStart w:id="259" w:name="_Toc13634"/>
      <w:bookmarkStart w:id="260" w:name="_Toc30625"/>
      <w:bookmarkStart w:id="261" w:name="_Toc27333"/>
      <w:bookmarkStart w:id="262" w:name="_Toc20278"/>
      <w:r>
        <w:rPr>
          <w:rFonts w:hint="eastAsia"/>
        </w:rPr>
        <w:t>6.5 试验荷载</w:t>
      </w:r>
      <m:oMath>
        <m:r>
          <m:rPr/>
          <w:rPr>
            <w:rFonts w:hint="eastAsia" w:ascii="Cambria Math" w:hAnsi="Cambria Math"/>
          </w:rPr>
          <m:t>F</m:t>
        </m:r>
      </m:oMath>
      <w:r>
        <w:rPr>
          <w:rFonts w:hint="eastAsia"/>
        </w:rPr>
        <w:t>确定</w:t>
      </w:r>
      <w:bookmarkEnd w:id="259"/>
      <w:bookmarkEnd w:id="260"/>
      <w:bookmarkEnd w:id="261"/>
      <w:bookmarkEnd w:id="262"/>
      <w:r>
        <w:rPr>
          <w:rFonts w:hint="eastAsia"/>
        </w:rPr>
        <w:t>应符合以下规定：</w:t>
      </w:r>
    </w:p>
    <w:p>
      <w:pPr>
        <w:pStyle w:val="168"/>
        <w:numPr>
          <w:ilvl w:val="3"/>
          <w:numId w:val="0"/>
        </w:numPr>
      </w:pPr>
      <w:r>
        <w:rPr>
          <w:rFonts w:hint="eastAsia" w:ascii="黑体" w:hAnsi="黑体" w:eastAsia="黑体" w:cs="黑体"/>
        </w:rPr>
        <w:t>6.5.1</w:t>
      </w:r>
      <w:r>
        <w:rPr>
          <w:rFonts w:hint="eastAsia"/>
        </w:rPr>
        <w:t xml:space="preserve"> 测点位于栏杆扶手中点时，由设计规范要求的均布荷载转化为集中荷载作为试验荷载</w:t>
      </w:r>
      <m:oMath>
        <m:r>
          <m:rPr/>
          <w:rPr>
            <w:rFonts w:hint="eastAsia" w:ascii="Cambria Math" w:hAnsi="Cambria Math"/>
          </w:rPr>
          <m:t>F</m:t>
        </m:r>
      </m:oMath>
      <w:r>
        <w:rPr>
          <w:rFonts w:hint="eastAsia"/>
        </w:rPr>
        <w:t>，按下式计算：</w:t>
      </w:r>
    </w:p>
    <w:p>
      <w:pPr>
        <w:pStyle w:val="59"/>
        <w:ind w:firstLine="420"/>
      </w:pPr>
    </w:p>
    <w:p>
      <w:pPr>
        <w:adjustRightInd/>
        <w:spacing w:line="240" w:lineRule="auto"/>
        <w:jc w:val="right"/>
        <w:rPr>
          <w:rFonts w:ascii="宋体" w:hAnsi="Times New Roman"/>
          <w:szCs w:val="20"/>
        </w:rPr>
      </w:pPr>
      <m:oMath>
        <m:r>
          <m:rPr/>
          <w:rPr>
            <w:rFonts w:hint="eastAsia" w:ascii="Cambria Math" w:hAnsi="Cambria Math"/>
            <w:szCs w:val="20"/>
          </w:rPr>
          <m:t xml:space="preserve">F=qL </m:t>
        </m:r>
      </m:oMath>
      <w:r>
        <w:rPr>
          <w:rFonts w:hint="eastAsia" w:ascii="宋体"/>
          <w:szCs w:val="20"/>
        </w:rPr>
        <w:t xml:space="preserve"> </w:t>
      </w:r>
      <w:r>
        <w:rPr>
          <w:rFonts w:ascii="宋体"/>
          <w:szCs w:val="20"/>
        </w:rPr>
        <w:t xml:space="preserve">        </w:t>
      </w:r>
      <w:r>
        <w:rPr>
          <w:rFonts w:hint="eastAsia" w:ascii="宋体"/>
          <w:szCs w:val="20"/>
        </w:rPr>
        <w:t xml:space="preserve">  </w:t>
      </w:r>
      <w:r>
        <w:rPr>
          <w:rFonts w:ascii="宋体"/>
          <w:szCs w:val="20"/>
        </w:rPr>
        <w:t xml:space="preserve"> </w:t>
      </w:r>
      <w:r>
        <w:rPr>
          <w:rFonts w:hint="eastAsia" w:ascii="宋体"/>
          <w:szCs w:val="20"/>
        </w:rPr>
        <w:t xml:space="preserve">           </w:t>
      </w:r>
      <w:r>
        <w:rPr>
          <w:rFonts w:hint="eastAsia" w:ascii="宋体" w:hAnsi="Times New Roman"/>
          <w:sz w:val="15"/>
          <w:szCs w:val="13"/>
        </w:rPr>
        <w:t>····················</w:t>
      </w:r>
      <w:r>
        <w:rPr>
          <w:rFonts w:hint="eastAsia" w:ascii="宋体" w:hAnsi="Times New Roman"/>
          <w:szCs w:val="20"/>
        </w:rPr>
        <w:t>（1）</w:t>
      </w:r>
    </w:p>
    <w:p>
      <w:pPr>
        <w:pStyle w:val="2"/>
        <w:adjustRightInd/>
        <w:spacing w:line="240" w:lineRule="auto"/>
        <w:ind w:firstLine="420" w:firstLineChars="200"/>
        <w:rPr>
          <w:rFonts w:ascii="宋体" w:hAnsi="Times New Roman"/>
        </w:rPr>
      </w:pPr>
      <w:r>
        <w:rPr>
          <w:rFonts w:hint="eastAsia" w:ascii="宋体" w:hAnsi="Times New Roman"/>
        </w:rPr>
        <w:t>式中：</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F</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试验施加于测点位置的水平推力（N），精确至1N；</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q</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水平向外均布荷载取值为2500N/m；</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L</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相邻两跨栏杆立柱间的中心间距（m），精确至0.1m。</w:t>
      </w:r>
    </w:p>
    <w:p>
      <w:pPr>
        <w:pStyle w:val="168"/>
        <w:numPr>
          <w:ilvl w:val="3"/>
          <w:numId w:val="0"/>
        </w:numPr>
      </w:pPr>
      <w:r>
        <w:rPr>
          <w:rFonts w:hint="eastAsia" w:ascii="黑体" w:hAnsi="黑体" w:eastAsia="黑体" w:cs="黑体"/>
        </w:rPr>
        <w:t>6.5.2</w:t>
      </w:r>
      <w:r>
        <w:rPr>
          <w:rFonts w:hint="eastAsia"/>
        </w:rPr>
        <w:t xml:space="preserve"> 测点位于立柱处时，由设计规范要求的均布荷载转化为集中荷载作为试验荷载F，按下式计算：</w:t>
      </w:r>
    </w:p>
    <w:p>
      <w:pPr>
        <w:pStyle w:val="168"/>
        <w:numPr>
          <w:ilvl w:val="3"/>
          <w:numId w:val="0"/>
        </w:numPr>
      </w:pPr>
    </w:p>
    <w:p>
      <w:pPr>
        <w:adjustRightInd/>
        <w:spacing w:line="240" w:lineRule="auto"/>
        <w:jc w:val="right"/>
        <w:rPr>
          <w:rFonts w:ascii="宋体" w:hAnsi="Times New Roman"/>
          <w:szCs w:val="20"/>
        </w:rPr>
      </w:pPr>
      <m:oMath>
        <m:r>
          <m:rPr/>
          <w:rPr>
            <w:rFonts w:hint="eastAsia" w:ascii="Cambria Math" w:hAnsi="Cambria Math"/>
            <w:szCs w:val="20"/>
          </w:rPr>
          <m:t>F=qL/2</m:t>
        </m:r>
      </m:oMath>
      <w:r>
        <w:rPr>
          <w:rFonts w:hint="eastAsia" w:ascii="宋体"/>
          <w:szCs w:val="20"/>
        </w:rPr>
        <w:t xml:space="preserve">        </w:t>
      </w:r>
      <w:r>
        <w:rPr>
          <w:rFonts w:ascii="宋体"/>
          <w:szCs w:val="20"/>
        </w:rPr>
        <w:t xml:space="preserve">          </w:t>
      </w:r>
      <w:r>
        <w:rPr>
          <w:rFonts w:hint="eastAsia" w:ascii="宋体"/>
          <w:szCs w:val="20"/>
        </w:rPr>
        <w:t xml:space="preserve">    </w:t>
      </w:r>
      <w:r>
        <w:rPr>
          <w:rFonts w:hint="eastAsia" w:ascii="宋体" w:hAnsi="Times New Roman"/>
          <w:sz w:val="15"/>
          <w:szCs w:val="13"/>
        </w:rPr>
        <w:t>····················</w:t>
      </w:r>
      <w:r>
        <w:rPr>
          <w:rFonts w:hint="eastAsia" w:ascii="宋体" w:hAnsi="Times New Roman"/>
          <w:szCs w:val="20"/>
        </w:rPr>
        <w:t>（</w:t>
      </w:r>
      <w:r>
        <w:rPr>
          <w:rFonts w:hint="eastAsia" w:ascii="宋体"/>
          <w:szCs w:val="20"/>
        </w:rPr>
        <w:t>2</w:t>
      </w:r>
      <w:r>
        <w:rPr>
          <w:rFonts w:hint="eastAsia" w:ascii="宋体" w:hAnsi="Times New Roman"/>
          <w:szCs w:val="20"/>
        </w:rPr>
        <w:t>）</w:t>
      </w:r>
      <w:r>
        <w:rPr>
          <w:rFonts w:hint="eastAsia" w:ascii="宋体"/>
          <w:szCs w:val="20"/>
        </w:rPr>
        <w:t xml:space="preserve">  </w:t>
      </w:r>
    </w:p>
    <w:p>
      <w:pPr>
        <w:pStyle w:val="2"/>
        <w:adjustRightInd/>
        <w:spacing w:line="240" w:lineRule="auto"/>
        <w:ind w:firstLine="420" w:firstLineChars="200"/>
        <w:rPr>
          <w:rFonts w:ascii="宋体" w:hAnsi="Times New Roman"/>
        </w:rPr>
      </w:pPr>
      <w:r>
        <w:rPr>
          <w:rFonts w:hint="eastAsia" w:ascii="宋体" w:hAnsi="Times New Roman"/>
        </w:rPr>
        <w:t>式中：</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F</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试验施加于测点位置的水平推力（N），精确至1N；</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q</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水平向外均布荷载取值为2500N/m；</w:t>
      </w:r>
    </w:p>
    <w:p>
      <w:pPr>
        <w:pStyle w:val="2"/>
        <w:adjustRightInd/>
        <w:spacing w:after="0" w:line="240" w:lineRule="auto"/>
        <w:ind w:firstLine="420" w:firstLineChars="200"/>
        <w:rPr>
          <w:rFonts w:ascii="宋体" w:hAnsi="Times New Roman"/>
          <w:szCs w:val="20"/>
        </w:rPr>
      </w:pPr>
      <m:oMath>
        <m:r>
          <m:rPr/>
          <w:rPr>
            <w:rFonts w:hint="eastAsia" w:ascii="Cambria Math" w:hAnsi="Cambria Math"/>
            <w:szCs w:val="20"/>
          </w:rPr>
          <m:t>L</m:t>
        </m:r>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相邻两跨栏杆立柱间的中心间距（m），精确至0.1m。</w:t>
      </w:r>
    </w:p>
    <w:p>
      <w:pPr>
        <w:pStyle w:val="108"/>
        <w:numPr>
          <w:ilvl w:val="2"/>
          <w:numId w:val="0"/>
        </w:numPr>
        <w:spacing w:before="156" w:after="156"/>
      </w:pPr>
      <w:bookmarkStart w:id="263" w:name="_Toc22049"/>
      <w:bookmarkStart w:id="264" w:name="_Toc5514"/>
      <w:bookmarkStart w:id="265" w:name="_Toc3550"/>
      <w:bookmarkStart w:id="266" w:name="_Toc4190"/>
      <w:r>
        <w:rPr>
          <w:rFonts w:hint="eastAsia"/>
        </w:rPr>
        <w:t>6.6 钢质桥梁栏杆水平抗推能力检测过程</w:t>
      </w:r>
      <w:bookmarkEnd w:id="263"/>
      <w:bookmarkEnd w:id="264"/>
      <w:bookmarkEnd w:id="265"/>
      <w:bookmarkEnd w:id="266"/>
      <w:r>
        <w:rPr>
          <w:rFonts w:hint="eastAsia"/>
        </w:rPr>
        <w:t>应符合以下规定：</w:t>
      </w:r>
    </w:p>
    <w:p>
      <w:pPr>
        <w:pStyle w:val="177"/>
        <w:numPr>
          <w:ilvl w:val="0"/>
          <w:numId w:val="40"/>
        </w:numPr>
      </w:pPr>
      <w:r>
        <w:rPr>
          <w:rFonts w:hint="eastAsia"/>
        </w:rPr>
        <w:t>以相邻两立柱栏杆扶手上中点作为测点（图1）；</w:t>
      </w:r>
    </w:p>
    <w:p>
      <w:pPr>
        <w:pStyle w:val="177"/>
        <w:numPr>
          <w:ilvl w:val="0"/>
          <w:numId w:val="40"/>
        </w:numPr>
      </w:pPr>
      <w:r>
        <w:rPr>
          <w:rFonts w:hint="eastAsia"/>
        </w:rPr>
        <w:t>在测点的一边10～20mm处及两边立柱的扶手上共设置3个位移位移测量装置，其高度与栏杆横向扶手高度一致；</w:t>
      </w:r>
    </w:p>
    <w:p>
      <w:pPr>
        <w:pStyle w:val="177"/>
        <w:numPr>
          <w:ilvl w:val="0"/>
          <w:numId w:val="40"/>
        </w:numPr>
      </w:pPr>
      <w:r>
        <w:rPr>
          <w:rFonts w:hint="eastAsia"/>
        </w:rPr>
        <w:t>将反力装置布置于待测栏杆前，调节支撑台面高度，使其与栏杆横向扶手上缘高度一致；</w:t>
      </w:r>
    </w:p>
    <w:p>
      <w:pPr>
        <w:pStyle w:val="177"/>
        <w:numPr>
          <w:ilvl w:val="0"/>
          <w:numId w:val="40"/>
        </w:numPr>
      </w:pPr>
      <w:r>
        <w:rPr>
          <w:rFonts w:hint="eastAsia"/>
        </w:rPr>
        <w:t>将压力传感器固定于支撑台上，使刚性垫板与栏杆接触；</w:t>
      </w:r>
    </w:p>
    <w:p>
      <w:pPr>
        <w:pStyle w:val="177"/>
        <w:numPr>
          <w:ilvl w:val="0"/>
          <w:numId w:val="40"/>
        </w:numPr>
      </w:pPr>
      <w:r>
        <w:rPr>
          <w:rFonts w:hint="eastAsia"/>
        </w:rPr>
        <w:t>将千斤顶固定于支撑台上，与力值传感器接触，并可以在水平方向内加载；</w:t>
      </w:r>
    </w:p>
    <w:p>
      <w:pPr>
        <w:pStyle w:val="177"/>
        <w:numPr>
          <w:ilvl w:val="0"/>
          <w:numId w:val="40"/>
        </w:numPr>
      </w:pPr>
      <w:r>
        <w:rPr>
          <w:rFonts w:hint="eastAsia"/>
        </w:rPr>
        <w:t>将反力支撑台固定在地面，整个试验过程中，不得出现滑动，晃动等情况；</w:t>
      </w:r>
    </w:p>
    <w:p>
      <w:pPr>
        <w:pStyle w:val="177"/>
        <w:numPr>
          <w:ilvl w:val="0"/>
          <w:numId w:val="40"/>
        </w:numPr>
      </w:pPr>
      <w:r>
        <w:rPr>
          <w:rFonts w:hint="eastAsia"/>
        </w:rPr>
        <w:t>传感器力值清零，施加20%的试验荷载作为预加荷载，作用1min 后卸载，以该状态为基准状态；</w:t>
      </w:r>
    </w:p>
    <w:p>
      <w:pPr>
        <w:pStyle w:val="177"/>
        <w:numPr>
          <w:ilvl w:val="0"/>
          <w:numId w:val="40"/>
        </w:numPr>
      </w:pPr>
      <w:r>
        <w:rPr>
          <w:rFonts w:hint="eastAsia"/>
        </w:rPr>
        <w:t>稳定均匀的加载，保证在3min 到5min之内加载到试验荷载F；</w:t>
      </w:r>
    </w:p>
    <w:p>
      <w:pPr>
        <w:pStyle w:val="177"/>
        <w:numPr>
          <w:ilvl w:val="0"/>
          <w:numId w:val="40"/>
        </w:numPr>
        <w:ind w:left="850" w:hanging="425"/>
        <w:textAlignment w:val="center"/>
      </w:pPr>
      <w:r>
        <w:rPr>
          <w:rFonts w:hint="eastAsia"/>
        </w:rPr>
        <w:t>当达到试验荷载后,稳压3min，读取并记录各位移测量装置的数值</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A</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B</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C</m:t>
            </m:r>
            <m:ctrlPr>
              <w:rPr>
                <w:rFonts w:ascii="Cambria Math" w:hAnsi="Cambria Math"/>
                <w:i/>
              </w:rPr>
            </m:ctrlPr>
          </m:sub>
        </m:sSub>
      </m:oMath>
      <w:r>
        <w:rPr>
          <w:rFonts w:hint="eastAsia"/>
        </w:rPr>
        <w:t>；</w:t>
      </w:r>
    </w:p>
    <w:p>
      <w:pPr>
        <w:pStyle w:val="177"/>
        <w:numPr>
          <w:ilvl w:val="0"/>
          <w:numId w:val="40"/>
        </w:numPr>
        <w:ind w:left="850" w:hanging="425"/>
        <w:textAlignment w:val="center"/>
      </w:pPr>
      <w:r>
        <w:rPr>
          <w:rFonts w:hint="eastAsia"/>
        </w:rPr>
        <w:t>卸载后5min，再次读取并记录各位移测量装置的数值</w:t>
      </w:r>
      <m:oMath>
        <m:sSup>
          <m:sSupPr>
            <m:ctrlPr>
              <w:rPr>
                <w:rFonts w:ascii="Cambria Math" w:hAnsi="Cambria Math"/>
                <w:i/>
              </w:rPr>
            </m:ctrlPr>
          </m:sSupPr>
          <m:e>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A</m:t>
                </m:r>
                <m:ctrlPr>
                  <w:rPr>
                    <w:rFonts w:ascii="Cambria Math" w:hAnsi="Cambria Math"/>
                    <w:i/>
                  </w:rPr>
                </m:ctrlPr>
              </m:sub>
            </m:sSub>
            <m:ctrlPr>
              <w:rPr>
                <w:rFonts w:ascii="Cambria Math" w:hAnsi="Cambria Math"/>
                <w:i/>
              </w:rPr>
            </m:ctrlPr>
          </m:e>
          <m:sup>
            <m:r>
              <m:rPr/>
              <w:rPr>
                <w:rFonts w:ascii="Cambria Math"/>
              </w:rPr>
              <m:t>'</m:t>
            </m:r>
            <m:ctrlPr>
              <w:rPr>
                <w:rFonts w:ascii="Cambria Math" w:hAnsi="Cambria Math"/>
                <w:i/>
              </w:rPr>
            </m:ctrlPr>
          </m:sup>
        </m:sSup>
      </m:oMath>
      <w:r>
        <w:rPr>
          <w:rFonts w:hint="eastAsia"/>
        </w:rPr>
        <w:t>、</w:t>
      </w:r>
      <m:oMath>
        <m:sSup>
          <m:sSupPr>
            <m:ctrlPr>
              <w:rPr>
                <w:rFonts w:ascii="Cambria Math" w:hAnsi="Cambria Math"/>
                <w:i/>
              </w:rPr>
            </m:ctrlPr>
          </m:sSupPr>
          <m:e>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B</m:t>
                </m:r>
                <m:ctrlPr>
                  <w:rPr>
                    <w:rFonts w:ascii="Cambria Math" w:hAnsi="Cambria Math"/>
                    <w:i/>
                  </w:rPr>
                </m:ctrlPr>
              </m:sub>
            </m:sSub>
            <m:ctrlPr>
              <w:rPr>
                <w:rFonts w:ascii="Cambria Math" w:hAnsi="Cambria Math"/>
                <w:i/>
              </w:rPr>
            </m:ctrlPr>
          </m:e>
          <m:sup>
            <m:r>
              <m:rPr/>
              <w:rPr>
                <w:rFonts w:ascii="Cambria Math"/>
              </w:rPr>
              <m:t>'</m:t>
            </m:r>
            <m:ctrlPr>
              <w:rPr>
                <w:rFonts w:ascii="Cambria Math" w:hAnsi="Cambria Math"/>
                <w:i/>
              </w:rPr>
            </m:ctrlPr>
          </m:sup>
        </m:sSup>
      </m:oMath>
      <w:r>
        <w:rPr>
          <w:rFonts w:hint="eastAsia"/>
        </w:rPr>
        <w:t>、</w:t>
      </w:r>
      <m:oMath>
        <m:sSup>
          <m:sSupPr>
            <m:ctrlPr>
              <w:rPr>
                <w:rFonts w:ascii="Cambria Math" w:hAnsi="Cambria Math"/>
                <w:i/>
              </w:rPr>
            </m:ctrlPr>
          </m:sSupPr>
          <m:e>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C</m:t>
                </m:r>
                <m:ctrlPr>
                  <w:rPr>
                    <w:rFonts w:ascii="Cambria Math" w:hAnsi="Cambria Math"/>
                    <w:i/>
                  </w:rPr>
                </m:ctrlPr>
              </m:sub>
            </m:sSub>
            <m:ctrlPr>
              <w:rPr>
                <w:rFonts w:ascii="Cambria Math" w:hAnsi="Cambria Math"/>
                <w:i/>
              </w:rPr>
            </m:ctrlPr>
          </m:e>
          <m:sup>
            <m:r>
              <m:rPr/>
              <w:rPr>
                <w:rFonts w:ascii="Cambria Math"/>
              </w:rPr>
              <m:t>'</m:t>
            </m:r>
            <m:ctrlPr>
              <w:rPr>
                <w:rFonts w:ascii="Cambria Math" w:hAnsi="Cambria Math"/>
                <w:i/>
              </w:rPr>
            </m:ctrlPr>
          </m:sup>
        </m:sSup>
      </m:oMath>
      <w:r>
        <w:rPr>
          <w:rFonts w:hint="eastAsia"/>
        </w:rPr>
        <w:t>；</w:t>
      </w:r>
    </w:p>
    <w:p>
      <w:pPr>
        <w:pStyle w:val="177"/>
        <w:numPr>
          <w:ilvl w:val="0"/>
          <w:numId w:val="40"/>
        </w:numPr>
      </w:pPr>
      <w:r>
        <w:rPr>
          <w:rFonts w:hint="eastAsia"/>
        </w:rPr>
        <w:t>试验过程中及试验结束后，应观察桥梁栏杆的整体情况及立柱基础连接有无松动、脱空、开裂等现象；</w:t>
      </w:r>
    </w:p>
    <w:tbl>
      <w:tblPr>
        <w:tblStyle w:val="2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tcPr>
          <w:p>
            <w:pPr>
              <w:spacing w:line="360" w:lineRule="auto"/>
              <w:jc w:val="center"/>
              <w:rPr>
                <w:bCs/>
              </w:rPr>
            </w:pPr>
            <w:r>
              <w:drawing>
                <wp:inline distT="0" distB="0" distL="114300" distR="114300">
                  <wp:extent cx="2497455" cy="1800225"/>
                  <wp:effectExtent l="0" t="0" r="17145" b="9525"/>
                  <wp:docPr id="1"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3"/>
                          <pic:cNvPicPr>
                            <a:picLocks noChangeAspect="1"/>
                          </pic:cNvPicPr>
                        </pic:nvPicPr>
                        <pic:blipFill>
                          <a:blip r:embed="rId19"/>
                          <a:stretch>
                            <a:fillRect/>
                          </a:stretch>
                        </pic:blipFill>
                        <pic:spPr>
                          <a:xfrm>
                            <a:off x="0" y="0"/>
                            <a:ext cx="2497455" cy="180022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jc w:val="center"/>
              <w:rPr>
                <w:bCs/>
              </w:rPr>
            </w:pPr>
            <w:r>
              <w:rPr>
                <w:rFonts w:hint="eastAsia" w:ascii="黑体" w:hAnsi="黑体" w:eastAsia="黑体" w:cs="黑体"/>
                <w:bCs/>
                <w:sz w:val="18"/>
                <w:szCs w:val="18"/>
              </w:rPr>
              <w:t>a）立面图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jc w:val="center"/>
              <w:rPr>
                <w:rFonts w:ascii="宋体" w:hAnsi="宋体" w:cs="宋体"/>
                <w:bCs/>
                <w:sz w:val="15"/>
                <w:szCs w:val="15"/>
              </w:rPr>
            </w:pPr>
            <w:r>
              <w:drawing>
                <wp:inline distT="0" distB="0" distL="114300" distR="114300">
                  <wp:extent cx="2790825" cy="1285875"/>
                  <wp:effectExtent l="0" t="0" r="9525" b="9525"/>
                  <wp:docPr id="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4"/>
                          <pic:cNvPicPr>
                            <a:picLocks noChangeAspect="1"/>
                          </pic:cNvPicPr>
                        </pic:nvPicPr>
                        <pic:blipFill>
                          <a:blip r:embed="rId20"/>
                          <a:srcRect b="10714"/>
                          <a:stretch>
                            <a:fillRect/>
                          </a:stretch>
                        </pic:blipFill>
                        <pic:spPr>
                          <a:xfrm>
                            <a:off x="0" y="0"/>
                            <a:ext cx="2790825" cy="1285875"/>
                          </a:xfrm>
                          <a:prstGeom prst="rect">
                            <a:avLst/>
                          </a:prstGeom>
                          <a:noFill/>
                          <a:ln>
                            <a:noFill/>
                          </a:ln>
                        </pic:spPr>
                      </pic:pic>
                    </a:graphicData>
                  </a:graphic>
                </wp:inline>
              </w:drawing>
            </w:r>
            <w:r>
              <w:drawing>
                <wp:inline distT="0" distB="0" distL="114300" distR="114300">
                  <wp:extent cx="1022985" cy="1619885"/>
                  <wp:effectExtent l="0" t="0" r="5715" b="18415"/>
                  <wp:docPr id="2"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5"/>
                          <pic:cNvPicPr>
                            <a:picLocks noChangeAspect="1"/>
                          </pic:cNvPicPr>
                        </pic:nvPicPr>
                        <pic:blipFill>
                          <a:blip r:embed="rId21"/>
                          <a:stretch>
                            <a:fillRect/>
                          </a:stretch>
                        </pic:blipFill>
                        <pic:spPr>
                          <a:xfrm>
                            <a:off x="0" y="0"/>
                            <a:ext cx="1022985" cy="161988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ind w:firstLine="1260" w:firstLineChars="700"/>
              <w:rPr>
                <w:rFonts w:ascii="宋体" w:hAnsi="宋体" w:eastAsia="黑体" w:cs="宋体"/>
                <w:bCs/>
                <w:sz w:val="18"/>
                <w:szCs w:val="18"/>
              </w:rPr>
            </w:pPr>
            <w:r>
              <w:rPr>
                <w:rFonts w:hint="eastAsia" w:ascii="黑体" w:hAnsi="黑体" w:eastAsia="黑体" w:cs="黑体"/>
                <w:bCs/>
                <w:sz w:val="18"/>
                <w:szCs w:val="18"/>
              </w:rPr>
              <w:t xml:space="preserve">b）俯视图                              C）侧视图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rPr>
                <w:rFonts w:ascii="黑体" w:hAnsi="黑体" w:eastAsia="黑体" w:cs="黑体"/>
                <w:bCs/>
                <w:sz w:val="18"/>
                <w:szCs w:val="18"/>
              </w:rPr>
            </w:pPr>
          </w:p>
          <w:p>
            <w:pPr>
              <w:spacing w:line="360" w:lineRule="auto"/>
              <w:rPr>
                <w:rFonts w:ascii="黑体" w:hAnsi="黑体" w:eastAsia="黑体" w:cs="黑体"/>
                <w:bCs/>
                <w:sz w:val="18"/>
                <w:szCs w:val="18"/>
              </w:rPr>
            </w:pPr>
            <w:r>
              <w:rPr>
                <w:rFonts w:hint="eastAsia" w:ascii="黑体" w:hAnsi="黑体" w:eastAsia="黑体" w:cs="黑体"/>
                <w:bCs/>
                <w:sz w:val="18"/>
                <w:szCs w:val="18"/>
              </w:rPr>
              <w:t>1——位移计</w:t>
            </w:r>
          </w:p>
          <w:p>
            <w:pPr>
              <w:spacing w:line="360" w:lineRule="auto"/>
              <w:rPr>
                <w:rFonts w:ascii="黑体" w:hAnsi="黑体" w:eastAsia="黑体" w:cs="黑体"/>
                <w:bCs/>
                <w:sz w:val="18"/>
                <w:szCs w:val="18"/>
              </w:rPr>
            </w:pPr>
            <w:r>
              <w:rPr>
                <w:rFonts w:hint="eastAsia" w:ascii="黑体" w:hAnsi="黑体" w:eastAsia="黑体" w:cs="黑体"/>
                <w:bCs/>
                <w:sz w:val="18"/>
                <w:szCs w:val="18"/>
              </w:rPr>
              <w:t>2——挠度</w:t>
            </w:r>
          </w:p>
          <w:p>
            <w:pPr>
              <w:spacing w:line="360" w:lineRule="auto"/>
              <w:jc w:val="center"/>
              <w:rPr>
                <w:rFonts w:ascii="宋体" w:hAnsi="宋体" w:cs="宋体"/>
                <w:bCs/>
                <w:sz w:val="15"/>
                <w:szCs w:val="15"/>
              </w:rPr>
            </w:pPr>
            <w:r>
              <w:rPr>
                <w:rFonts w:hint="eastAsia" w:ascii="黑体" w:hAnsi="黑体" w:eastAsia="黑体" w:cs="黑体"/>
                <w:bCs/>
              </w:rPr>
              <w:t>图1 钢质桥梁栏杆测点布置示意图</w:t>
            </w:r>
          </w:p>
        </w:tc>
      </w:tr>
    </w:tbl>
    <w:p>
      <w:pPr>
        <w:pStyle w:val="108"/>
        <w:numPr>
          <w:ilvl w:val="2"/>
          <w:numId w:val="0"/>
        </w:numPr>
        <w:spacing w:before="156" w:after="156"/>
      </w:pPr>
      <w:bookmarkStart w:id="267" w:name="_Toc21591"/>
      <w:bookmarkStart w:id="268" w:name="_Toc12554"/>
      <w:bookmarkStart w:id="269" w:name="_Toc2496"/>
      <w:bookmarkStart w:id="270" w:name="_Toc24809"/>
      <w:r>
        <w:rPr>
          <w:rFonts w:hint="eastAsia"/>
        </w:rPr>
        <w:t>6.7 石材、混凝土桥梁栏杆水平抗推能力检测过程</w:t>
      </w:r>
      <w:bookmarkEnd w:id="267"/>
      <w:bookmarkEnd w:id="268"/>
      <w:bookmarkEnd w:id="269"/>
      <w:bookmarkEnd w:id="270"/>
      <w:r>
        <w:rPr>
          <w:rFonts w:hint="eastAsia"/>
        </w:rPr>
        <w:t>应符合以下规定：</w:t>
      </w:r>
    </w:p>
    <w:p>
      <w:pPr>
        <w:pStyle w:val="177"/>
        <w:numPr>
          <w:ilvl w:val="0"/>
          <w:numId w:val="41"/>
        </w:numPr>
      </w:pPr>
      <w:r>
        <w:rPr>
          <w:rFonts w:hint="eastAsia"/>
        </w:rPr>
        <w:t>在栏杆立柱上布置测点（图2）；</w:t>
      </w:r>
    </w:p>
    <w:p>
      <w:pPr>
        <w:pStyle w:val="177"/>
        <w:numPr>
          <w:ilvl w:val="0"/>
          <w:numId w:val="41"/>
        </w:numPr>
      </w:pPr>
      <w:r>
        <w:rPr>
          <w:rFonts w:hint="eastAsia"/>
        </w:rPr>
        <w:t>在待测立柱及其左右相邻的两根立柱上共设置3个位移测量装置，其高度与栏杆横向扶手高度一致；</w:t>
      </w:r>
    </w:p>
    <w:p>
      <w:pPr>
        <w:pStyle w:val="177"/>
        <w:numPr>
          <w:ilvl w:val="0"/>
          <w:numId w:val="41"/>
        </w:numPr>
      </w:pPr>
      <w:r>
        <w:rPr>
          <w:rFonts w:hint="eastAsia"/>
        </w:rPr>
        <w:t>将反力装置布置于待测立柱前，调节支撑台面至合适高度，使其高度与栏杆横向扶手高度一致；</w:t>
      </w:r>
    </w:p>
    <w:p>
      <w:pPr>
        <w:pStyle w:val="177"/>
        <w:numPr>
          <w:ilvl w:val="0"/>
          <w:numId w:val="41"/>
        </w:numPr>
      </w:pPr>
      <w:r>
        <w:rPr>
          <w:rFonts w:hint="eastAsia"/>
        </w:rPr>
        <w:t>将压力传感器固定于支撑台上，使刚性垫板与立柱接触；</w:t>
      </w:r>
    </w:p>
    <w:p>
      <w:pPr>
        <w:pStyle w:val="177"/>
        <w:numPr>
          <w:ilvl w:val="0"/>
          <w:numId w:val="41"/>
        </w:numPr>
      </w:pPr>
      <w:r>
        <w:rPr>
          <w:rFonts w:hint="eastAsia"/>
        </w:rPr>
        <w:t>将千斤顶固定于支撑台上，与力值传感器接触，并可以在水平方向内加载；</w:t>
      </w:r>
    </w:p>
    <w:p>
      <w:pPr>
        <w:pStyle w:val="177"/>
        <w:numPr>
          <w:ilvl w:val="0"/>
          <w:numId w:val="41"/>
        </w:numPr>
      </w:pPr>
      <w:r>
        <w:rPr>
          <w:rFonts w:hint="eastAsia"/>
        </w:rPr>
        <w:t>将反力支撑台固定在地面，整个试验过程中，不得出现滑动，晃动等情况；</w:t>
      </w:r>
    </w:p>
    <w:p>
      <w:pPr>
        <w:pStyle w:val="177"/>
        <w:numPr>
          <w:ilvl w:val="0"/>
          <w:numId w:val="41"/>
        </w:numPr>
      </w:pPr>
      <w:r>
        <w:rPr>
          <w:rFonts w:hint="eastAsia"/>
        </w:rPr>
        <w:t>传感器力值清零，施加20%的试验荷载作为预加荷载，作用1min 后卸载，以该状态为基准状态；</w:t>
      </w:r>
    </w:p>
    <w:p>
      <w:pPr>
        <w:pStyle w:val="177"/>
        <w:numPr>
          <w:ilvl w:val="0"/>
          <w:numId w:val="41"/>
        </w:numPr>
      </w:pPr>
      <w:r>
        <w:rPr>
          <w:rFonts w:hint="eastAsia"/>
        </w:rPr>
        <w:t>稳定均匀的加载，保证在3min 到5min之内加载到试验荷载；</w:t>
      </w:r>
    </w:p>
    <w:p>
      <w:pPr>
        <w:pStyle w:val="177"/>
        <w:numPr>
          <w:ilvl w:val="0"/>
          <w:numId w:val="41"/>
        </w:numPr>
        <w:ind w:left="850" w:hanging="425"/>
        <w:textAlignment w:val="center"/>
      </w:pPr>
      <w:r>
        <w:rPr>
          <w:rFonts w:hint="eastAsia"/>
        </w:rPr>
        <w:t>当达到试验荷载后,稳压3min，记录各位移测量装置的数值</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A</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B</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C</m:t>
            </m:r>
            <m:ctrlPr>
              <w:rPr>
                <w:rFonts w:ascii="Cambria Math" w:hAnsi="Cambria Math"/>
                <w:i/>
              </w:rPr>
            </m:ctrlPr>
          </m:sub>
        </m:sSub>
      </m:oMath>
      <w:r>
        <w:rPr>
          <w:rFonts w:hint="eastAsia"/>
        </w:rPr>
        <w:t>；</w:t>
      </w:r>
    </w:p>
    <w:p>
      <w:pPr>
        <w:pStyle w:val="177"/>
        <w:numPr>
          <w:ilvl w:val="0"/>
          <w:numId w:val="41"/>
        </w:numPr>
      </w:pPr>
      <w:r>
        <w:rPr>
          <w:rFonts w:hint="eastAsia"/>
        </w:rPr>
        <w:t>试验过程中及试验结束后，应观察桥梁栏杆的整体情况及立柱基础连接有无松动、脱空、开裂等现象；</w:t>
      </w:r>
    </w:p>
    <w:tbl>
      <w:tblPr>
        <w:tblStyle w:val="2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tcPr>
          <w:p>
            <w:pPr>
              <w:spacing w:line="360" w:lineRule="auto"/>
              <w:jc w:val="center"/>
              <w:rPr>
                <w:bCs/>
              </w:rPr>
            </w:pPr>
            <w:r>
              <w:drawing>
                <wp:inline distT="0" distB="0" distL="114300" distR="114300">
                  <wp:extent cx="2237740" cy="1297940"/>
                  <wp:effectExtent l="0" t="0" r="10160" b="16510"/>
                  <wp:docPr id="6"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1"/>
                          <pic:cNvPicPr>
                            <a:picLocks noChangeAspect="1"/>
                          </pic:cNvPicPr>
                        </pic:nvPicPr>
                        <pic:blipFill>
                          <a:blip r:embed="rId22"/>
                          <a:stretch>
                            <a:fillRect/>
                          </a:stretch>
                        </pic:blipFill>
                        <pic:spPr>
                          <a:xfrm>
                            <a:off x="0" y="0"/>
                            <a:ext cx="2237740" cy="129794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jc w:val="center"/>
              <w:rPr>
                <w:bCs/>
              </w:rPr>
            </w:pPr>
            <w:r>
              <w:rPr>
                <w:rFonts w:hint="eastAsia" w:ascii="黑体" w:hAnsi="黑体" w:eastAsia="黑体" w:cs="黑体"/>
                <w:bCs/>
                <w:sz w:val="18"/>
                <w:szCs w:val="18"/>
              </w:rPr>
              <w:t>a）立面图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jc w:val="center"/>
              <w:rPr>
                <w:rFonts w:ascii="宋体" w:hAnsi="宋体" w:cs="宋体"/>
                <w:bCs/>
                <w:sz w:val="15"/>
                <w:szCs w:val="15"/>
              </w:rPr>
            </w:pPr>
            <w:r>
              <w:drawing>
                <wp:inline distT="0" distB="0" distL="114300" distR="114300">
                  <wp:extent cx="2471420" cy="951230"/>
                  <wp:effectExtent l="0" t="0" r="5080" b="1270"/>
                  <wp:docPr id="7"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2"/>
                          <pic:cNvPicPr>
                            <a:picLocks noChangeAspect="1"/>
                          </pic:cNvPicPr>
                        </pic:nvPicPr>
                        <pic:blipFill>
                          <a:blip r:embed="rId23"/>
                          <a:srcRect t="14106"/>
                          <a:stretch>
                            <a:fillRect/>
                          </a:stretch>
                        </pic:blipFill>
                        <pic:spPr>
                          <a:xfrm>
                            <a:off x="0" y="0"/>
                            <a:ext cx="2471420" cy="95123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jc w:val="center"/>
              <w:rPr>
                <w:rFonts w:ascii="宋体" w:hAnsi="宋体" w:cs="宋体"/>
                <w:bCs/>
                <w:sz w:val="15"/>
                <w:szCs w:val="15"/>
              </w:rPr>
            </w:pPr>
            <w:r>
              <w:rPr>
                <w:rFonts w:hint="eastAsia" w:ascii="黑体" w:hAnsi="黑体" w:eastAsia="黑体" w:cs="黑体"/>
                <w:bCs/>
                <w:sz w:val="18"/>
                <w:szCs w:val="18"/>
              </w:rPr>
              <w:t>b）俯视图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83" w:type="dxa"/>
            <w:vAlign w:val="center"/>
          </w:tcPr>
          <w:p>
            <w:pPr>
              <w:spacing w:line="360" w:lineRule="auto"/>
              <w:rPr>
                <w:rFonts w:ascii="Times New Roman" w:hAnsi="Times New Roman"/>
                <w:bCs/>
                <w:sz w:val="18"/>
                <w:szCs w:val="18"/>
              </w:rPr>
            </w:pPr>
          </w:p>
          <w:p>
            <w:pPr>
              <w:spacing w:line="360" w:lineRule="auto"/>
              <w:rPr>
                <w:rFonts w:ascii="黑体" w:hAnsi="黑体" w:eastAsia="黑体" w:cs="黑体"/>
                <w:bCs/>
                <w:sz w:val="18"/>
                <w:szCs w:val="18"/>
              </w:rPr>
            </w:pPr>
            <w:r>
              <w:rPr>
                <w:rFonts w:hint="eastAsia" w:ascii="黑体" w:hAnsi="黑体" w:eastAsia="黑体" w:cs="黑体"/>
                <w:bCs/>
                <w:sz w:val="18"/>
                <w:szCs w:val="18"/>
              </w:rPr>
              <w:t>1——位移计</w:t>
            </w:r>
          </w:p>
          <w:p>
            <w:pPr>
              <w:spacing w:line="360" w:lineRule="auto"/>
              <w:jc w:val="center"/>
              <w:rPr>
                <w:rFonts w:ascii="宋体" w:hAnsi="宋体" w:cs="宋体"/>
                <w:bCs/>
                <w:sz w:val="15"/>
                <w:szCs w:val="15"/>
              </w:rPr>
            </w:pPr>
            <w:r>
              <w:rPr>
                <w:rFonts w:hint="eastAsia" w:ascii="黑体" w:hAnsi="黑体" w:eastAsia="黑体" w:cs="黑体"/>
                <w:bCs/>
              </w:rPr>
              <w:t>图2 石材、混凝土桥梁栏杆测点布置示意图</w:t>
            </w:r>
          </w:p>
        </w:tc>
      </w:tr>
    </w:tbl>
    <w:p>
      <w:pPr>
        <w:pStyle w:val="107"/>
        <w:numPr>
          <w:ilvl w:val="1"/>
          <w:numId w:val="0"/>
        </w:numPr>
        <w:spacing w:before="312" w:after="312"/>
      </w:pPr>
      <w:bookmarkStart w:id="271" w:name="_Toc19939"/>
      <w:bookmarkStart w:id="272" w:name="_Toc4547"/>
      <w:r>
        <w:rPr>
          <w:rFonts w:hint="eastAsia"/>
          <w:szCs w:val="21"/>
        </w:rPr>
        <w:t xml:space="preserve">7 </w:t>
      </w:r>
      <w:bookmarkEnd w:id="242"/>
      <w:bookmarkStart w:id="273" w:name="_Toc26986532"/>
      <w:bookmarkEnd w:id="273"/>
      <w:r>
        <w:rPr>
          <w:rFonts w:hint="eastAsia"/>
          <w:szCs w:val="21"/>
        </w:rPr>
        <w:t>数据处理与评定</w:t>
      </w:r>
      <w:bookmarkEnd w:id="271"/>
      <w:bookmarkEnd w:id="272"/>
    </w:p>
    <w:p>
      <w:pPr>
        <w:pStyle w:val="108"/>
        <w:numPr>
          <w:ilvl w:val="2"/>
          <w:numId w:val="0"/>
        </w:numPr>
        <w:spacing w:before="156" w:after="156"/>
      </w:pPr>
      <w:bookmarkStart w:id="274" w:name="_Toc15613"/>
      <w:bookmarkStart w:id="275" w:name="_Toc17711"/>
      <w:bookmarkStart w:id="276" w:name="_Toc23345"/>
      <w:r>
        <w:rPr>
          <w:rFonts w:hint="eastAsia"/>
        </w:rPr>
        <w:t xml:space="preserve">7.1 </w:t>
      </w:r>
      <w:bookmarkEnd w:id="274"/>
      <w:r>
        <w:rPr>
          <w:rFonts w:hint="eastAsia"/>
        </w:rPr>
        <w:t>数据处理</w:t>
      </w:r>
      <w:bookmarkEnd w:id="275"/>
      <w:bookmarkEnd w:id="276"/>
    </w:p>
    <w:p>
      <w:pPr>
        <w:pStyle w:val="168"/>
        <w:numPr>
          <w:ilvl w:val="3"/>
          <w:numId w:val="0"/>
        </w:numPr>
      </w:pPr>
      <w:r>
        <w:rPr>
          <w:rFonts w:hint="eastAsia" w:ascii="黑体" w:hAnsi="黑体" w:eastAsia="黑体" w:cs="黑体"/>
        </w:rPr>
        <w:t>7.1.1</w:t>
      </w:r>
      <w:r>
        <w:rPr>
          <w:rFonts w:hint="eastAsia"/>
        </w:rPr>
        <w:t xml:space="preserve"> </w:t>
      </w:r>
      <w:r>
        <w:rPr>
          <w:rFonts w:hint="eastAsia" w:ascii="黑体" w:hAnsi="黑体" w:eastAsia="黑体" w:cs="黑体"/>
        </w:rPr>
        <w:t>钢质桥梁栏杆应按以下规定执行：</w:t>
      </w:r>
    </w:p>
    <w:p>
      <w:pPr>
        <w:pStyle w:val="177"/>
        <w:numPr>
          <w:ilvl w:val="0"/>
          <w:numId w:val="42"/>
        </w:numPr>
        <w:spacing w:line="400" w:lineRule="exact"/>
        <w:ind w:left="850" w:hanging="425"/>
        <w:jc w:val="left"/>
        <w:textAlignment w:val="center"/>
      </w:pPr>
      <w:r>
        <w:rPr>
          <w:rFonts w:hint="eastAsia"/>
        </w:rPr>
        <w:t>相对位移值</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A</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B</m:t>
            </m:r>
            <m:ctrlPr>
              <w:rPr>
                <w:rFonts w:ascii="Cambria Math" w:hAnsi="Cambria Math"/>
                <w:i/>
              </w:rPr>
            </m:ctrlPr>
          </m:sub>
        </m:sSub>
      </m:oMath>
      <w:r>
        <w:rPr>
          <w:rFonts w:hint="eastAsia"/>
        </w:rPr>
        <w:t>、</w:t>
      </w:r>
      <m:oMath>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C</m:t>
            </m:r>
            <m:ctrlPr>
              <w:rPr>
                <w:rFonts w:ascii="Cambria Math" w:hAnsi="Cambria Math"/>
                <w:i/>
              </w:rPr>
            </m:ctrlPr>
          </m:sub>
        </m:sSub>
      </m:oMath>
      <w:r>
        <w:rPr>
          <w:rFonts w:hint="eastAsia"/>
        </w:rPr>
        <w:t>中最大值为桥梁栏杆水平位移值代表值</w:t>
      </w:r>
      <m:oMath>
        <m:sSub>
          <m:sSubPr>
            <m:ctrlPr>
              <w:rPr>
                <w:rFonts w:ascii="Cambria Math" w:hAnsi="Cambria Math"/>
                <w:i/>
              </w:rPr>
            </m:ctrlPr>
          </m:sSubPr>
          <m:e>
            <m:r>
              <m:rPr/>
              <w:rPr>
                <w:rFonts w:ascii="Cambria Math"/>
              </w:rPr>
              <m:t>S</m:t>
            </m:r>
            <m:ctrlPr>
              <w:rPr>
                <w:rFonts w:ascii="Cambria Math" w:hAnsi="Cambria Math"/>
                <w:i/>
              </w:rPr>
            </m:ctrlPr>
          </m:e>
          <m:sub>
            <m:ctrlPr>
              <w:rPr>
                <w:rFonts w:ascii="Cambria Math" w:hAnsi="Cambria Math"/>
                <w:i/>
              </w:rPr>
            </m:ctrlPr>
          </m:sub>
        </m:sSub>
      </m:oMath>
      <w:r>
        <w:rPr>
          <w:rFonts w:hint="eastAsia"/>
        </w:rPr>
        <w:t>；</w:t>
      </w:r>
    </w:p>
    <w:p>
      <w:pPr>
        <w:pStyle w:val="177"/>
        <w:numPr>
          <w:ilvl w:val="0"/>
          <w:numId w:val="42"/>
        </w:numPr>
        <w:spacing w:line="400" w:lineRule="exact"/>
        <w:ind w:left="850" w:hanging="425"/>
        <w:textAlignment w:val="center"/>
      </w:pPr>
      <w:r>
        <w:rPr>
          <w:rFonts w:hint="eastAsia"/>
        </w:rPr>
        <w:t>桥梁栏杆在试验荷载</w:t>
      </w:r>
      <w:r>
        <w:rPr>
          <w:rFonts w:hint="eastAsia"/>
        </w:rPr>
        <w:object>
          <v:shape id="_x0000_i1025" o:spt="75" type="#_x0000_t75" style="height:9pt;width:9pt;" o:ole="t" filled="f" o:preferrelative="t" stroked="f" coordsize="21600,21600">
            <v:path/>
            <v:fill on="f" focussize="0,0"/>
            <v:stroke on="f" joinstyle="miter"/>
            <v:imagedata r:id="rId25" o:title=""/>
            <o:lock v:ext="edit" aspectratio="t"/>
            <w10:wrap type="none"/>
            <w10:anchorlock/>
          </v:shape>
          <o:OLEObject Type="Embed" ProgID="Equation.3" ShapeID="_x0000_i1025" DrawAspect="Content" ObjectID="_1468075725" r:id="rId24">
            <o:LockedField>false</o:LockedField>
          </o:OLEObject>
        </w:object>
      </w:r>
      <w:r>
        <w:rPr>
          <w:rFonts w:hint="eastAsia"/>
        </w:rPr>
        <w:t>作用下产生的最大挠度值</w:t>
      </w:r>
      <w:r>
        <w:rPr>
          <w:rFonts w:hint="eastAsia"/>
        </w:rPr>
        <w:object>
          <v:shape id="_x0000_i1026" o:spt="75" type="#_x0000_t75" style="height:9pt;width:11.5pt;" o:ole="t" filled="f" o:preferrelative="t" stroked="f" coordsize="21600,21600">
            <v:path/>
            <v:fill on="f" focussize="0,0"/>
            <v:stroke on="f" joinstyle="miter"/>
            <v:imagedata r:id="rId27" o:title=""/>
            <o:lock v:ext="edit" aspectratio="t"/>
            <w10:wrap type="none"/>
            <w10:anchorlock/>
          </v:shape>
          <o:OLEObject Type="Embed" ProgID="Equation.3" ShapeID="_x0000_i1026" DrawAspect="Content" ObjectID="_1468075726" r:id="rId26">
            <o:LockedField>false</o:LockedField>
          </o:OLEObject>
        </w:object>
      </w:r>
      <w:r>
        <w:rPr>
          <w:rFonts w:hint="eastAsia"/>
        </w:rPr>
        <w:t>，按下式计算。</w:t>
      </w:r>
    </w:p>
    <w:p>
      <w:pPr>
        <w:adjustRightInd/>
        <w:jc w:val="right"/>
        <w:rPr>
          <w:rFonts w:ascii="宋体" w:hAnsi="Times New Roman"/>
          <w:szCs w:val="20"/>
        </w:rPr>
      </w:pPr>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m:nor/>
                <m:sty m:val="p"/>
              </m:rPr>
              <w:rPr>
                <w:rFonts w:ascii="Cambria Math" w:hAnsi="宋体" w:cs="宋体"/>
                <w:b w:val="0"/>
                <w:i w:val="0"/>
              </w:rPr>
              <m:t>max</m:t>
            </m:r>
            <m:ctrlPr>
              <w:rPr>
                <w:rFonts w:ascii="Cambria Math" w:hAnsi="宋体" w:cs="宋体"/>
              </w:rPr>
            </m:ctrlPr>
          </m:sub>
        </m:sSub>
        <m:r>
          <m:rPr/>
          <w:rPr>
            <w:rFonts w:ascii="Cambria Math" w:hAnsi="宋体" w:cs="宋体"/>
          </w:rPr>
          <m:t>=</m:t>
        </m:r>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r>
          <m:rPr/>
          <w:rPr>
            <w:rFonts w:hint="eastAsia" w:ascii="Cambria Math" w:hAnsi="Cambria Math" w:eastAsia="微软雅黑" w:cs="微软雅黑"/>
          </w:rPr>
          <m:t>−</m:t>
        </m:r>
        <m:f>
          <m:fPr>
            <m:type m:val="lin"/>
            <m:ctrlPr>
              <w:rPr>
                <w:rFonts w:ascii="Cambria Math" w:hAnsi="宋体" w:cs="宋体"/>
                <w:i/>
              </w:rPr>
            </m:ctrlPr>
          </m:fPr>
          <m:num>
            <m:d>
              <m:dPr>
                <m:ctrlPr>
                  <w:rPr>
                    <w:rFonts w:ascii="Cambria Math" w:hAnsi="宋体" w:cs="宋体"/>
                    <w:i/>
                  </w:rPr>
                </m:ctrlPr>
              </m:d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r>
                  <m:rPr/>
                  <w:rPr>
                    <w:rFonts w:ascii="Cambria Math" w:hAnsi="宋体" w:cs="宋体"/>
                  </w:rPr>
                  <m:t>+</m:t>
                </m:r>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ctrlPr>
                  <w:rPr>
                    <w:rFonts w:ascii="Cambria Math" w:hAnsi="Cambria Math" w:cs="宋体"/>
                    <w:i/>
                  </w:rPr>
                </m:ctrlPr>
              </m:e>
            </m:d>
            <m:ctrlPr>
              <w:rPr>
                <w:rFonts w:ascii="Cambria Math" w:hAnsi="宋体" w:cs="宋体"/>
                <w:i/>
              </w:rPr>
            </m:ctrlPr>
          </m:num>
          <m:den>
            <m:r>
              <m:rPr/>
              <w:rPr>
                <w:rFonts w:ascii="Cambria Math" w:hAnsi="宋体" w:cs="宋体"/>
              </w:rPr>
              <m:t>2</m:t>
            </m:r>
            <m:ctrlPr>
              <w:rPr>
                <w:rFonts w:ascii="Cambria Math" w:hAnsi="宋体" w:cs="宋体"/>
                <w:i/>
              </w:rPr>
            </m:ctrlPr>
          </m:den>
        </m:f>
      </m:oMath>
      <w:r>
        <w:rPr>
          <w:rFonts w:hint="eastAsia" w:ascii="宋体"/>
          <w:sz w:val="20"/>
          <w:szCs w:val="18"/>
        </w:rPr>
        <w:t xml:space="preserve"> </w:t>
      </w:r>
      <w:r>
        <w:rPr>
          <w:rFonts w:hint="eastAsia" w:ascii="宋体" w:hAnsi="Times New Roman"/>
          <w:sz w:val="15"/>
          <w:szCs w:val="13"/>
        </w:rPr>
        <w:t>········································</w:t>
      </w:r>
      <w:r>
        <w:rPr>
          <w:rFonts w:hint="eastAsia" w:ascii="宋体" w:hAnsi="Times New Roman"/>
          <w:szCs w:val="20"/>
        </w:rPr>
        <w:t>（</w:t>
      </w:r>
      <w:r>
        <w:rPr>
          <w:rFonts w:hint="eastAsia" w:ascii="宋体"/>
          <w:szCs w:val="20"/>
        </w:rPr>
        <w:t>3</w:t>
      </w:r>
      <w:r>
        <w:rPr>
          <w:rFonts w:hint="eastAsia" w:ascii="宋体" w:hAnsi="Times New Roman"/>
          <w:szCs w:val="20"/>
        </w:rPr>
        <w:t>）</w:t>
      </w:r>
      <w:r>
        <w:rPr>
          <w:rFonts w:hint="eastAsia" w:ascii="宋体"/>
          <w:szCs w:val="20"/>
        </w:rPr>
        <w:t xml:space="preserve">  </w:t>
      </w:r>
    </w:p>
    <w:p>
      <w:pPr>
        <w:pStyle w:val="2"/>
        <w:adjustRightInd/>
        <w:ind w:firstLine="420" w:firstLineChars="200"/>
        <w:rPr>
          <w:rFonts w:ascii="宋体" w:hAnsi="宋体" w:cs="宋体"/>
          <w:szCs w:val="20"/>
        </w:rPr>
      </w:pPr>
      <w:r>
        <w:rPr>
          <w:rFonts w:hint="eastAsia" w:ascii="宋体" w:hAnsi="宋体" w:cs="宋体"/>
          <w:szCs w:val="20"/>
        </w:rPr>
        <w:t>式中：</w:t>
      </w:r>
    </w:p>
    <w:p>
      <w:pPr>
        <w:pStyle w:val="2"/>
        <w:adjustRightInd/>
        <w:spacing w:after="0"/>
        <w:ind w:firstLine="420" w:firstLineChars="200"/>
        <w:textAlignment w:val="center"/>
        <w:rPr>
          <w:rFonts w:ascii="宋体" w:hAnsi="Times New Roman"/>
          <w:szCs w:val="20"/>
        </w:rPr>
      </w:pPr>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w:rPr>
                <w:rFonts w:ascii="Cambria Math" w:hAnsi="宋体" w:cs="宋体"/>
              </w:rPr>
              <m:t>max</m:t>
            </m:r>
            <m:ctrlPr>
              <w:rPr>
                <w:rFonts w:ascii="Cambria Math" w:hAnsi="宋体" w:cs="宋体"/>
                <w:i/>
              </w:rPr>
            </m:ctrlPr>
          </m:sub>
        </m:sSub>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桥梁栏杆在水平推力作用下产生的最大挠度值（mm），精确至0.01mm；</w:t>
      </w:r>
    </w:p>
    <w:p>
      <w:pPr>
        <w:adjustRightInd/>
        <w:ind w:firstLine="420" w:firstLineChars="200"/>
        <w:textAlignment w:val="center"/>
        <w:rPr>
          <w:rFonts w:ascii="宋体" w:hAnsi="Times New Roman"/>
          <w:szCs w:val="20"/>
        </w:rPr>
      </w:pPr>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ctrlPr>
              <w:rPr>
                <w:rFonts w:ascii="Cambria Math" w:hAnsi="Cambria Math" w:cs="宋体"/>
                <w:i/>
              </w:rPr>
            </m:ctrlPr>
          </m:e>
          <m:sup>
            <m:ctrlPr>
              <w:rPr>
                <w:rFonts w:ascii="Cambria Math" w:hAnsi="Cambria Math" w:cs="宋体"/>
                <w:i/>
              </w:rPr>
            </m:ctrlPr>
          </m:sup>
        </m:sSup>
      </m:oMath>
      <w:r>
        <w:rPr>
          <w:rFonts w:hint="eastAsia" w:ascii="宋体" w:hAnsi="宋体" w:cs="宋体"/>
          <w:sz w:val="28"/>
          <w:szCs w:val="28"/>
        </w:rPr>
        <w:t>、</w:t>
      </w:r>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ctrlPr>
              <w:rPr>
                <w:rFonts w:ascii="Cambria Math" w:hAnsi="Cambria Math" w:cs="宋体"/>
                <w:i/>
              </w:rPr>
            </m:ctrlPr>
          </m:e>
          <m:sup>
            <m:ctrlPr>
              <w:rPr>
                <w:rFonts w:ascii="Cambria Math" w:hAnsi="Cambria Math" w:cs="宋体"/>
                <w:i/>
              </w:rPr>
            </m:ctrlPr>
          </m:sup>
        </m:sSup>
      </m:oMath>
      <w:r>
        <w:rPr>
          <w:rFonts w:hint="eastAsia" w:ascii="宋体" w:hAnsi="宋体" w:cs="宋体"/>
          <w:sz w:val="28"/>
          <w:szCs w:val="28"/>
        </w:rPr>
        <w:t>、</w:t>
      </w:r>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ctrlPr>
              <w:rPr>
                <w:rFonts w:ascii="Cambria Math" w:hAnsi="Cambria Math" w:cs="宋体"/>
                <w:i/>
              </w:rPr>
            </m:ctrlPr>
          </m:e>
          <m:sup>
            <m:ctrlPr>
              <w:rPr>
                <w:rFonts w:ascii="Cambria Math" w:hAnsi="Cambria Math" w:cs="宋体"/>
                <w:i/>
              </w:rPr>
            </m:ctrlPr>
          </m:sup>
        </m:sSup>
      </m:oMath>
      <w:r>
        <w:rPr>
          <w:rFonts w:hint="eastAsia" w:ascii="黑体" w:hAnsi="黑体" w:eastAsia="黑体" w:cs="黑体"/>
          <w:szCs w:val="20"/>
        </w:rPr>
        <w:t>——</w:t>
      </w:r>
      <w:r>
        <w:rPr>
          <w:rFonts w:hint="eastAsia" w:ascii="宋体" w:hAnsi="Times New Roman"/>
          <w:szCs w:val="20"/>
        </w:rPr>
        <w:t>A、B、C测点在试验荷载作用下的位移值（mm），精确至0.01m。</w:t>
      </w:r>
    </w:p>
    <w:p>
      <w:pPr>
        <w:pStyle w:val="177"/>
        <w:numPr>
          <w:ilvl w:val="0"/>
          <w:numId w:val="42"/>
        </w:numPr>
        <w:spacing w:line="400" w:lineRule="exact"/>
        <w:ind w:left="850" w:hanging="425"/>
        <w:textAlignment w:val="center"/>
      </w:pPr>
      <w:r>
        <w:rPr>
          <w:rFonts w:hint="eastAsia"/>
        </w:rPr>
        <w:t>桥梁栏杆卸载后产生的残余挠度值</w:t>
      </w:r>
      <w:r>
        <w:rPr>
          <w:rFonts w:hint="eastAsia"/>
        </w:rPr>
        <w:object>
          <v:shape id="_x0000_i1027" o:spt="75" type="#_x0000_t75" style="height:11.5pt;width:9.5pt;" o:ole="t" filled="f" o:preferrelative="t" stroked="f" coordsize="21600,21600">
            <v:path/>
            <v:fill on="f" focussize="0,0"/>
            <v:stroke on="f" joinstyle="miter"/>
            <v:imagedata r:id="rId29" o:title=""/>
            <o:lock v:ext="edit" aspectratio="t"/>
            <w10:wrap type="none"/>
            <w10:anchorlock/>
          </v:shape>
          <o:OLEObject Type="Embed" ProgID="Equation.3" ShapeID="_x0000_i1027" DrawAspect="Content" ObjectID="_1468075727" r:id="rId28">
            <o:LockedField>false</o:LockedField>
          </o:OLEObject>
        </w:object>
      </w:r>
      <w:r>
        <w:rPr>
          <w:rFonts w:hint="eastAsia"/>
        </w:rPr>
        <w:t>，按下式计算；</w:t>
      </w:r>
    </w:p>
    <w:p>
      <w:pPr>
        <w:adjustRightInd/>
        <w:spacing w:line="240" w:lineRule="auto"/>
        <w:jc w:val="right"/>
        <w:rPr>
          <w:rFonts w:ascii="宋体" w:hAnsi="Times New Roman"/>
          <w:szCs w:val="20"/>
        </w:rPr>
      </w:pPr>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w:rPr>
                <w:rFonts w:ascii="Cambria Math" w:hAnsi="宋体" w:cs="宋体"/>
              </w:rPr>
              <m:t>0</m:t>
            </m:r>
            <m:ctrlPr>
              <w:rPr>
                <w:rFonts w:ascii="Cambria Math" w:hAnsi="宋体" w:cs="宋体"/>
                <w:i/>
              </w:rPr>
            </m:ctrlPr>
          </m:sub>
        </m:sSub>
        <m:r>
          <m:rPr/>
          <w:rPr>
            <w:rFonts w:ascii="Cambria Math" w:hAnsi="宋体" w:cs="宋体"/>
          </w:rPr>
          <m:t>=</m:t>
        </m:r>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r>
          <m:rPr/>
          <w:rPr>
            <w:rFonts w:hint="eastAsia" w:ascii="Cambria Math" w:hAnsi="Cambria Math" w:eastAsia="微软雅黑" w:cs="微软雅黑"/>
          </w:rPr>
          <m:t>−</m:t>
        </m:r>
        <m:f>
          <m:fPr>
            <m:type m:val="lin"/>
            <m:ctrlPr>
              <w:rPr>
                <w:rFonts w:ascii="Cambria Math" w:hAnsi="宋体" w:cs="宋体"/>
                <w:i/>
              </w:rPr>
            </m:ctrlPr>
          </m:fPr>
          <m:num>
            <m:d>
              <m:dPr>
                <m:ctrlPr>
                  <w:rPr>
                    <w:rFonts w:ascii="Cambria Math" w:hAnsi="宋体" w:cs="宋体"/>
                    <w:i/>
                  </w:rPr>
                </m:ctrlPr>
              </m:dPr>
              <m:e>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r>
                  <m:rPr/>
                  <w:rPr>
                    <w:rFonts w:ascii="Cambria Math" w:hAnsi="宋体" w:cs="宋体"/>
                  </w:rPr>
                  <m:t>+</m:t>
                </m:r>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ctrlPr>
                  <w:rPr>
                    <w:rFonts w:ascii="Cambria Math" w:hAnsi="Cambria Math" w:cs="宋体"/>
                    <w:i/>
                  </w:rPr>
                </m:ctrlPr>
              </m:e>
            </m:d>
            <m:ctrlPr>
              <w:rPr>
                <w:rFonts w:ascii="Cambria Math" w:hAnsi="宋体" w:cs="宋体"/>
                <w:i/>
              </w:rPr>
            </m:ctrlPr>
          </m:num>
          <m:den>
            <m:r>
              <m:rPr/>
              <w:rPr>
                <w:rFonts w:ascii="Cambria Math" w:hAnsi="宋体" w:cs="宋体"/>
              </w:rPr>
              <m:t>2</m:t>
            </m:r>
            <m:ctrlPr>
              <w:rPr>
                <w:rFonts w:ascii="Cambria Math" w:hAnsi="宋体" w:cs="宋体"/>
                <w:i/>
              </w:rPr>
            </m:ctrlPr>
          </m:den>
        </m:f>
      </m:oMath>
      <w:r>
        <w:rPr>
          <w:rFonts w:hint="eastAsia" w:ascii="宋体"/>
          <w:sz w:val="20"/>
          <w:szCs w:val="18"/>
        </w:rPr>
        <w:t xml:space="preserve"> </w:t>
      </w:r>
      <w:r>
        <w:rPr>
          <w:rFonts w:hint="eastAsia" w:ascii="宋体" w:hAnsi="Times New Roman"/>
          <w:sz w:val="15"/>
          <w:szCs w:val="13"/>
        </w:rPr>
        <w:t>········································</w:t>
      </w:r>
      <w:r>
        <w:rPr>
          <w:rFonts w:hint="eastAsia" w:ascii="宋体" w:hAnsi="Times New Roman"/>
          <w:szCs w:val="20"/>
        </w:rPr>
        <w:t>（</w:t>
      </w:r>
      <w:r>
        <w:rPr>
          <w:rFonts w:hint="eastAsia" w:ascii="宋体"/>
          <w:szCs w:val="20"/>
        </w:rPr>
        <w:t>4</w:t>
      </w:r>
      <w:r>
        <w:rPr>
          <w:rFonts w:hint="eastAsia" w:ascii="宋体" w:hAnsi="Times New Roman"/>
          <w:szCs w:val="20"/>
        </w:rPr>
        <w:t>）</w:t>
      </w:r>
      <w:r>
        <w:rPr>
          <w:rFonts w:hint="eastAsia" w:ascii="宋体"/>
          <w:szCs w:val="20"/>
        </w:rPr>
        <w:t xml:space="preserve">  </w:t>
      </w:r>
    </w:p>
    <w:p>
      <w:pPr>
        <w:pStyle w:val="2"/>
        <w:adjustRightInd/>
        <w:ind w:firstLine="420" w:firstLineChars="200"/>
        <w:rPr>
          <w:rFonts w:ascii="宋体" w:hAnsi="宋体" w:cs="宋体"/>
          <w:szCs w:val="20"/>
        </w:rPr>
      </w:pPr>
      <w:r>
        <w:rPr>
          <w:rFonts w:hint="eastAsia" w:ascii="宋体" w:hAnsi="宋体" w:cs="宋体"/>
          <w:szCs w:val="20"/>
        </w:rPr>
        <w:t>式中：</w:t>
      </w:r>
    </w:p>
    <w:p>
      <w:pPr>
        <w:pStyle w:val="2"/>
        <w:adjustRightInd/>
        <w:spacing w:after="0"/>
        <w:ind w:firstLine="420" w:firstLineChars="200"/>
        <w:rPr>
          <w:rFonts w:ascii="宋体" w:hAnsi="Times New Roman"/>
          <w:szCs w:val="20"/>
        </w:rPr>
      </w:pPr>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w:rPr>
                <w:rFonts w:ascii="Cambria Math" w:hAnsi="宋体" w:cs="宋体"/>
              </w:rPr>
              <m:t>0</m:t>
            </m:r>
            <m:ctrlPr>
              <w:rPr>
                <w:rFonts w:ascii="Cambria Math" w:hAnsi="宋体" w:cs="宋体"/>
                <w:i/>
              </w:rPr>
            </m:ctrlPr>
          </m:sub>
        </m:sSub>
      </m:oMath>
      <w:r>
        <w:rPr>
          <w:rFonts w:hint="eastAsia" w:ascii="宋体"/>
          <w:szCs w:val="20"/>
        </w:rPr>
        <w:t xml:space="preserve"> </w:t>
      </w:r>
      <w:r>
        <w:rPr>
          <w:rFonts w:hint="eastAsia" w:ascii="黑体" w:hAnsi="黑体" w:eastAsia="黑体" w:cs="黑体"/>
          <w:szCs w:val="20"/>
        </w:rPr>
        <w:t>——</w:t>
      </w:r>
      <w:r>
        <w:rPr>
          <w:rFonts w:hint="eastAsia" w:ascii="宋体" w:hAnsi="Times New Roman"/>
          <w:szCs w:val="20"/>
        </w:rPr>
        <w:t>桥梁栏杆在水平推力作用下产生的最大挠度值（mm），精确至0.01mm；</w:t>
      </w:r>
    </w:p>
    <w:p>
      <w:pPr>
        <w:pStyle w:val="168"/>
        <w:numPr>
          <w:ilvl w:val="3"/>
          <w:numId w:val="0"/>
        </w:numPr>
        <w:ind w:firstLine="420" w:firstLineChars="200"/>
      </w:pPr>
      <m:oMath>
        <m:sSup>
          <m:sSupPr>
            <m:ctrlPr>
              <w:rPr>
                <w:rFonts w:ascii="Cambria Math" w:hAnsi="宋体" w:cs="宋体"/>
                <w:i/>
                <w:szCs w:val="21"/>
              </w:rPr>
            </m:ctrlPr>
          </m:sSupPr>
          <m:e>
            <m:sSub>
              <m:sSubPr>
                <m:ctrlPr>
                  <w:rPr>
                    <w:rFonts w:ascii="Cambria Math" w:hAnsi="宋体" w:cs="宋体"/>
                    <w:i/>
                    <w:szCs w:val="21"/>
                  </w:rPr>
                </m:ctrlPr>
              </m:sSubPr>
              <m:e>
                <m:r>
                  <m:rPr/>
                  <w:rPr>
                    <w:rFonts w:ascii="Cambria Math" w:hAnsi="宋体" w:cs="宋体"/>
                    <w:szCs w:val="21"/>
                  </w:rPr>
                  <m:t>S</m:t>
                </m:r>
                <m:ctrlPr>
                  <w:rPr>
                    <w:rFonts w:ascii="Cambria Math" w:hAnsi="宋体" w:cs="宋体"/>
                    <w:i/>
                    <w:szCs w:val="21"/>
                  </w:rPr>
                </m:ctrlPr>
              </m:e>
              <m:sub>
                <m:r>
                  <m:rPr/>
                  <w:rPr>
                    <w:rFonts w:ascii="Cambria Math" w:hAnsi="宋体" w:cs="宋体"/>
                    <w:szCs w:val="21"/>
                  </w:rPr>
                  <m:t>A</m:t>
                </m:r>
                <m:ctrlPr>
                  <w:rPr>
                    <w:rFonts w:ascii="Cambria Math" w:hAnsi="宋体" w:cs="宋体"/>
                    <w:i/>
                    <w:szCs w:val="21"/>
                  </w:rPr>
                </m:ctrlPr>
              </m:sub>
            </m:sSub>
            <m:ctrlPr>
              <w:rPr>
                <w:rFonts w:ascii="Cambria Math" w:hAnsi="Cambria Math" w:cs="宋体"/>
                <w:i/>
                <w:szCs w:val="21"/>
              </w:rPr>
            </m:ctrlPr>
          </m:e>
          <m:sup>
            <m:r>
              <m:rPr/>
              <w:rPr>
                <w:rFonts w:ascii="Cambria Math" w:hAnsi="宋体" w:cs="宋体"/>
                <w:szCs w:val="21"/>
              </w:rPr>
              <m:t>'</m:t>
            </m:r>
            <m:ctrlPr>
              <w:rPr>
                <w:rFonts w:ascii="Cambria Math" w:hAnsi="Cambria Math" w:cs="宋体"/>
                <w:i/>
                <w:szCs w:val="21"/>
              </w:rPr>
            </m:ctrlPr>
          </m:sup>
        </m:sSup>
      </m:oMath>
      <w:r>
        <w:rPr>
          <w:rFonts w:hint="eastAsia" w:hAnsi="宋体" w:cs="宋体"/>
          <w:sz w:val="28"/>
          <w:szCs w:val="28"/>
        </w:rPr>
        <w:t>、</w:t>
      </w:r>
      <m:oMath>
        <m:sSup>
          <m:sSupPr>
            <m:ctrlPr>
              <w:rPr>
                <w:rFonts w:ascii="Cambria Math" w:hAnsi="宋体" w:cs="宋体"/>
                <w:i/>
                <w:szCs w:val="21"/>
              </w:rPr>
            </m:ctrlPr>
          </m:sSupPr>
          <m:e>
            <m:sSub>
              <m:sSubPr>
                <m:ctrlPr>
                  <w:rPr>
                    <w:rFonts w:ascii="Cambria Math" w:hAnsi="宋体" w:cs="宋体"/>
                    <w:i/>
                    <w:szCs w:val="21"/>
                  </w:rPr>
                </m:ctrlPr>
              </m:sSubPr>
              <m:e>
                <m:r>
                  <m:rPr/>
                  <w:rPr>
                    <w:rFonts w:ascii="Cambria Math" w:hAnsi="宋体" w:cs="宋体"/>
                    <w:szCs w:val="21"/>
                  </w:rPr>
                  <m:t>S</m:t>
                </m:r>
                <m:ctrlPr>
                  <w:rPr>
                    <w:rFonts w:ascii="Cambria Math" w:hAnsi="宋体" w:cs="宋体"/>
                    <w:i/>
                    <w:szCs w:val="21"/>
                  </w:rPr>
                </m:ctrlPr>
              </m:e>
              <m:sub>
                <m:r>
                  <m:rPr/>
                  <w:rPr>
                    <w:rFonts w:ascii="Cambria Math" w:hAnsi="宋体" w:cs="宋体"/>
                    <w:szCs w:val="21"/>
                  </w:rPr>
                  <m:t>B</m:t>
                </m:r>
                <m:ctrlPr>
                  <w:rPr>
                    <w:rFonts w:ascii="Cambria Math" w:hAnsi="宋体" w:cs="宋体"/>
                    <w:i/>
                    <w:szCs w:val="21"/>
                  </w:rPr>
                </m:ctrlPr>
              </m:sub>
            </m:sSub>
            <m:ctrlPr>
              <w:rPr>
                <w:rFonts w:ascii="Cambria Math" w:hAnsi="Cambria Math" w:cs="宋体"/>
                <w:i/>
                <w:szCs w:val="21"/>
              </w:rPr>
            </m:ctrlPr>
          </m:e>
          <m:sup>
            <m:r>
              <m:rPr/>
              <w:rPr>
                <w:rFonts w:ascii="Cambria Math" w:hAnsi="宋体" w:cs="宋体"/>
                <w:szCs w:val="21"/>
              </w:rPr>
              <m:t>'</m:t>
            </m:r>
            <m:ctrlPr>
              <w:rPr>
                <w:rFonts w:ascii="Cambria Math" w:hAnsi="Cambria Math" w:cs="宋体"/>
                <w:i/>
                <w:szCs w:val="21"/>
              </w:rPr>
            </m:ctrlPr>
          </m:sup>
        </m:sSup>
      </m:oMath>
      <w:r>
        <w:rPr>
          <w:rFonts w:hint="eastAsia" w:hAnsi="宋体" w:cs="宋体"/>
          <w:sz w:val="28"/>
          <w:szCs w:val="28"/>
        </w:rPr>
        <w:t>、</w:t>
      </w:r>
      <m:oMath>
        <m:sSup>
          <m:sSupPr>
            <m:ctrlPr>
              <w:rPr>
                <w:rFonts w:ascii="Cambria Math" w:hAnsi="宋体" w:cs="宋体"/>
                <w:i/>
                <w:szCs w:val="21"/>
              </w:rPr>
            </m:ctrlPr>
          </m:sSupPr>
          <m:e>
            <m:sSub>
              <m:sSubPr>
                <m:ctrlPr>
                  <w:rPr>
                    <w:rFonts w:ascii="Cambria Math" w:hAnsi="宋体" w:cs="宋体"/>
                    <w:i/>
                    <w:szCs w:val="21"/>
                  </w:rPr>
                </m:ctrlPr>
              </m:sSubPr>
              <m:e>
                <m:r>
                  <m:rPr/>
                  <w:rPr>
                    <w:rFonts w:ascii="Cambria Math" w:hAnsi="宋体" w:cs="宋体"/>
                    <w:szCs w:val="21"/>
                  </w:rPr>
                  <m:t>S</m:t>
                </m:r>
                <m:ctrlPr>
                  <w:rPr>
                    <w:rFonts w:ascii="Cambria Math" w:hAnsi="宋体" w:cs="宋体"/>
                    <w:i/>
                    <w:szCs w:val="21"/>
                  </w:rPr>
                </m:ctrlPr>
              </m:e>
              <m:sub>
                <m:r>
                  <m:rPr/>
                  <w:rPr>
                    <w:rFonts w:ascii="Cambria Math" w:hAnsi="宋体" w:cs="宋体"/>
                    <w:szCs w:val="21"/>
                  </w:rPr>
                  <m:t>C</m:t>
                </m:r>
                <m:ctrlPr>
                  <w:rPr>
                    <w:rFonts w:ascii="Cambria Math" w:hAnsi="宋体" w:cs="宋体"/>
                    <w:i/>
                    <w:szCs w:val="21"/>
                  </w:rPr>
                </m:ctrlPr>
              </m:sub>
            </m:sSub>
            <m:ctrlPr>
              <w:rPr>
                <w:rFonts w:ascii="Cambria Math" w:hAnsi="Cambria Math" w:cs="宋体"/>
                <w:i/>
                <w:szCs w:val="21"/>
              </w:rPr>
            </m:ctrlPr>
          </m:e>
          <m:sup>
            <m:r>
              <m:rPr/>
              <w:rPr>
                <w:rFonts w:ascii="Cambria Math" w:hAnsi="宋体" w:cs="宋体"/>
                <w:szCs w:val="21"/>
              </w:rPr>
              <m:t>'</m:t>
            </m:r>
            <m:ctrlPr>
              <w:rPr>
                <w:rFonts w:ascii="Cambria Math" w:hAnsi="Cambria Math" w:cs="宋体"/>
                <w:i/>
                <w:szCs w:val="21"/>
              </w:rPr>
            </m:ctrlPr>
          </m:sup>
        </m:sSup>
      </m:oMath>
      <w:r>
        <w:rPr>
          <w:rFonts w:hint="eastAsia" w:ascii="黑体" w:hAnsi="黑体" w:eastAsia="黑体" w:cs="黑体"/>
        </w:rPr>
        <w:t>——</w:t>
      </w:r>
      <w:r>
        <w:rPr>
          <w:rFonts w:hint="eastAsia"/>
        </w:rPr>
        <w:t>A、B、C测点卸载后的位移值（mm），精确至0.01m。</w:t>
      </w:r>
    </w:p>
    <w:p>
      <w:pPr>
        <w:pStyle w:val="168"/>
        <w:numPr>
          <w:ilvl w:val="3"/>
          <w:numId w:val="0"/>
        </w:numPr>
      </w:pPr>
      <w:r>
        <w:rPr>
          <w:rFonts w:hint="eastAsia" w:ascii="黑体" w:hAnsi="黑体" w:eastAsia="黑体" w:cs="黑体"/>
        </w:rPr>
        <w:t>7.1.2</w:t>
      </w:r>
      <w:r>
        <w:rPr>
          <w:rFonts w:hint="eastAsia"/>
        </w:rPr>
        <w:t xml:space="preserve"> </w:t>
      </w:r>
      <w:r>
        <w:rPr>
          <w:rFonts w:hint="eastAsia" w:ascii="黑体" w:hAnsi="黑体" w:eastAsia="黑体" w:cs="黑体"/>
        </w:rPr>
        <w:t>混凝土、石材桥梁栏杆按以下规定执行：</w:t>
      </w:r>
    </w:p>
    <w:p>
      <w:pPr>
        <w:pStyle w:val="177"/>
        <w:numPr>
          <w:ilvl w:val="0"/>
          <w:numId w:val="0"/>
        </w:numPr>
        <w:ind w:left="425"/>
        <w:textAlignment w:val="center"/>
      </w:pPr>
      <w:r>
        <w:rPr>
          <w:rFonts w:hint="eastAsia"/>
        </w:rPr>
        <w:t>相对位移值</w:t>
      </w:r>
      <m:oMath>
        <m:sSup>
          <m:sSupPr>
            <m:ctrlPr>
              <w:rPr>
                <w:rFonts w:ascii="Cambria Math" w:hAnsi="Cambria Math"/>
                <w:i/>
              </w:rPr>
            </m:ctrlPr>
          </m:sSupPr>
          <m:e>
            <m:sSub>
              <m:sSubPr>
                <m:ctrlPr>
                  <w:rPr>
                    <w:rFonts w:ascii="Cambria Math" w:hAnsi="Cambria Math"/>
                    <w:i/>
                  </w:rPr>
                </m:ctrlPr>
              </m:sSubPr>
              <m:e>
                <m:r>
                  <m:rPr/>
                  <w:rPr>
                    <w:rFonts w:ascii="Cambria Math"/>
                  </w:rPr>
                  <m:t>S</m:t>
                </m:r>
                <m:ctrlPr>
                  <w:rPr>
                    <w:rFonts w:ascii="Cambria Math" w:hAnsi="Cambria Math"/>
                    <w:i/>
                  </w:rPr>
                </m:ctrlPr>
              </m:e>
              <m:sub>
                <m:r>
                  <m:rPr/>
                  <w:rPr>
                    <w:rFonts w:ascii="Cambria Math"/>
                  </w:rPr>
                  <m:t>A</m:t>
                </m:r>
                <m:ctrlPr>
                  <w:rPr>
                    <w:rFonts w:ascii="Cambria Math" w:hAnsi="Cambria Math"/>
                    <w:i/>
                  </w:rPr>
                </m:ctrlPr>
              </m:sub>
            </m:sSub>
            <m:ctrlPr>
              <w:rPr>
                <w:rFonts w:ascii="Cambria Math" w:hAnsi="Cambria Math"/>
                <w:i/>
              </w:rPr>
            </m:ctrlPr>
          </m:e>
          <m:sup>
            <m:ctrlPr>
              <w:rPr>
                <w:rFonts w:ascii="Cambria Math" w:hAnsi="Cambria Math"/>
                <w:i/>
              </w:rPr>
            </m:ctrlPr>
          </m:sup>
        </m:sSup>
      </m:oMath>
      <w:r>
        <w:rPr>
          <w:rFonts w:hint="eastAsia" w:hAnsi="宋体" w:cs="宋体"/>
          <w:sz w:val="28"/>
          <w:szCs w:val="28"/>
        </w:rPr>
        <w:t>、</w:t>
      </w:r>
      <m:oMath>
        <m:sSup>
          <m:sSupPr>
            <m:ctrlPr>
              <w:rPr>
                <w:rFonts w:ascii="Cambria Math" w:hAnsi="宋体" w:cs="宋体"/>
                <w:i/>
                <w:szCs w:val="21"/>
              </w:rPr>
            </m:ctrlPr>
          </m:sSupPr>
          <m:e>
            <m:sSub>
              <m:sSubPr>
                <m:ctrlPr>
                  <w:rPr>
                    <w:rFonts w:ascii="Cambria Math" w:hAnsi="宋体" w:cs="宋体"/>
                    <w:i/>
                    <w:szCs w:val="21"/>
                  </w:rPr>
                </m:ctrlPr>
              </m:sSubPr>
              <m:e>
                <m:r>
                  <m:rPr/>
                  <w:rPr>
                    <w:rFonts w:ascii="Cambria Math" w:hAnsi="宋体" w:cs="宋体"/>
                    <w:szCs w:val="21"/>
                  </w:rPr>
                  <m:t>S</m:t>
                </m:r>
                <m:ctrlPr>
                  <w:rPr>
                    <w:rFonts w:ascii="Cambria Math" w:hAnsi="宋体" w:cs="宋体"/>
                    <w:i/>
                    <w:szCs w:val="21"/>
                  </w:rPr>
                </m:ctrlPr>
              </m:e>
              <m:sub>
                <m:r>
                  <m:rPr/>
                  <w:rPr>
                    <w:rFonts w:ascii="Cambria Math" w:hAnsi="宋体" w:cs="宋体"/>
                    <w:szCs w:val="21"/>
                  </w:rPr>
                  <m:t>B</m:t>
                </m:r>
                <m:ctrlPr>
                  <w:rPr>
                    <w:rFonts w:ascii="Cambria Math" w:hAnsi="宋体" w:cs="宋体"/>
                    <w:i/>
                    <w:szCs w:val="21"/>
                  </w:rPr>
                </m:ctrlPr>
              </m:sub>
            </m:sSub>
            <m:ctrlPr>
              <w:rPr>
                <w:rFonts w:ascii="Cambria Math" w:hAnsi="Cambria Math" w:cs="宋体"/>
                <w:i/>
                <w:szCs w:val="21"/>
              </w:rPr>
            </m:ctrlPr>
          </m:e>
          <m:sup>
            <m:ctrlPr>
              <w:rPr>
                <w:rFonts w:ascii="Cambria Math" w:hAnsi="Cambria Math" w:cs="宋体"/>
                <w:i/>
                <w:szCs w:val="21"/>
              </w:rPr>
            </m:ctrlPr>
          </m:sup>
        </m:sSup>
      </m:oMath>
      <w:r>
        <w:rPr>
          <w:rFonts w:hint="eastAsia" w:hAnsi="宋体" w:cs="宋体"/>
          <w:sz w:val="28"/>
          <w:szCs w:val="28"/>
        </w:rPr>
        <w:t>、</w:t>
      </w:r>
      <m:oMath>
        <m:sSup>
          <m:sSupPr>
            <m:ctrlPr>
              <w:rPr>
                <w:rFonts w:ascii="Cambria Math" w:hAnsi="宋体" w:cs="宋体"/>
                <w:i/>
                <w:szCs w:val="21"/>
              </w:rPr>
            </m:ctrlPr>
          </m:sSupPr>
          <m:e>
            <m:sSub>
              <m:sSubPr>
                <m:ctrlPr>
                  <w:rPr>
                    <w:rFonts w:ascii="Cambria Math" w:hAnsi="宋体" w:cs="宋体"/>
                    <w:i/>
                    <w:szCs w:val="21"/>
                  </w:rPr>
                </m:ctrlPr>
              </m:sSubPr>
              <m:e>
                <m:r>
                  <m:rPr/>
                  <w:rPr>
                    <w:rFonts w:ascii="Cambria Math" w:hAnsi="宋体" w:cs="宋体"/>
                    <w:szCs w:val="21"/>
                  </w:rPr>
                  <m:t>S</m:t>
                </m:r>
                <m:ctrlPr>
                  <w:rPr>
                    <w:rFonts w:ascii="Cambria Math" w:hAnsi="宋体" w:cs="宋体"/>
                    <w:i/>
                    <w:szCs w:val="21"/>
                  </w:rPr>
                </m:ctrlPr>
              </m:e>
              <m:sub>
                <m:r>
                  <m:rPr/>
                  <w:rPr>
                    <w:rFonts w:ascii="Cambria Math" w:hAnsi="宋体" w:cs="宋体"/>
                    <w:szCs w:val="21"/>
                  </w:rPr>
                  <m:t>C</m:t>
                </m:r>
                <m:ctrlPr>
                  <w:rPr>
                    <w:rFonts w:ascii="Cambria Math" w:hAnsi="宋体" w:cs="宋体"/>
                    <w:i/>
                    <w:szCs w:val="21"/>
                  </w:rPr>
                </m:ctrlPr>
              </m:sub>
            </m:sSub>
            <m:ctrlPr>
              <w:rPr>
                <w:rFonts w:ascii="Cambria Math" w:hAnsi="Cambria Math" w:cs="宋体"/>
                <w:i/>
                <w:szCs w:val="21"/>
              </w:rPr>
            </m:ctrlPr>
          </m:e>
          <m:sup>
            <m:ctrlPr>
              <w:rPr>
                <w:rFonts w:ascii="Cambria Math" w:hAnsi="Cambria Math" w:cs="宋体"/>
                <w:i/>
                <w:szCs w:val="21"/>
              </w:rPr>
            </m:ctrlPr>
          </m:sup>
        </m:sSup>
      </m:oMath>
      <w:r>
        <w:rPr>
          <w:rFonts w:hint="eastAsia"/>
        </w:rPr>
        <w:t>中最大值为桥梁栏杆水平位移值代表值</w:t>
      </w:r>
      <m:oMath>
        <m:sSub>
          <m:sSubPr>
            <m:ctrlPr>
              <w:rPr>
                <w:rFonts w:ascii="Cambria Math" w:hAnsi="Cambria Math"/>
                <w:i/>
              </w:rPr>
            </m:ctrlPr>
          </m:sSubPr>
          <m:e>
            <m:r>
              <m:rPr/>
              <w:rPr>
                <w:rFonts w:ascii="Cambria Math"/>
              </w:rPr>
              <m:t>S</m:t>
            </m:r>
            <m:ctrlPr>
              <w:rPr>
                <w:rFonts w:ascii="Cambria Math" w:hAnsi="Cambria Math"/>
                <w:i/>
              </w:rPr>
            </m:ctrlPr>
          </m:e>
          <m:sub>
            <m:ctrlPr>
              <w:rPr>
                <w:rFonts w:ascii="Cambria Math" w:hAnsi="Cambria Math"/>
                <w:i/>
              </w:rPr>
            </m:ctrlPr>
          </m:sub>
        </m:sSub>
      </m:oMath>
      <w:r>
        <w:rPr>
          <w:rFonts w:hint="eastAsia"/>
        </w:rPr>
        <w:t>。</w:t>
      </w:r>
    </w:p>
    <w:p>
      <w:pPr>
        <w:pStyle w:val="108"/>
        <w:numPr>
          <w:ilvl w:val="2"/>
          <w:numId w:val="0"/>
        </w:numPr>
        <w:spacing w:before="156" w:after="156"/>
      </w:pPr>
      <w:bookmarkStart w:id="277" w:name="_Toc16943"/>
      <w:bookmarkStart w:id="278" w:name="_Toc47433125"/>
      <w:bookmarkStart w:id="279" w:name="_Toc26662"/>
      <w:bookmarkStart w:id="280" w:name="_Toc47448232"/>
      <w:bookmarkStart w:id="281" w:name="_Toc47512600"/>
      <w:bookmarkStart w:id="282" w:name="_Toc47431466"/>
      <w:bookmarkStart w:id="283" w:name="_Toc16293"/>
      <w:bookmarkStart w:id="284" w:name="_Toc19539"/>
      <w:bookmarkStart w:id="285" w:name="_Toc79700431"/>
      <w:bookmarkStart w:id="286" w:name="_Toc31271"/>
      <w:bookmarkStart w:id="287" w:name="_Toc47510872"/>
      <w:bookmarkStart w:id="288" w:name="_Toc517"/>
      <w:bookmarkStart w:id="289" w:name="_Toc4287"/>
      <w:r>
        <w:rPr>
          <w:rFonts w:hint="eastAsia" w:hAnsi="黑体" w:cs="黑体"/>
        </w:rPr>
        <w:t>7.2</w:t>
      </w:r>
      <w:r>
        <w:rPr>
          <w:rFonts w:hint="eastAsia"/>
        </w:rPr>
        <w:t xml:space="preserve"> </w:t>
      </w:r>
      <w:bookmarkEnd w:id="277"/>
      <w:bookmarkEnd w:id="278"/>
      <w:bookmarkEnd w:id="279"/>
      <w:bookmarkEnd w:id="280"/>
      <w:bookmarkEnd w:id="281"/>
      <w:bookmarkEnd w:id="282"/>
      <w:bookmarkEnd w:id="283"/>
      <w:bookmarkEnd w:id="284"/>
      <w:bookmarkEnd w:id="285"/>
      <w:bookmarkEnd w:id="286"/>
      <w:bookmarkEnd w:id="287"/>
      <w:r>
        <w:rPr>
          <w:rFonts w:hint="eastAsia"/>
        </w:rPr>
        <w:t>评定</w:t>
      </w:r>
      <w:bookmarkEnd w:id="288"/>
      <w:bookmarkEnd w:id="289"/>
    </w:p>
    <w:p>
      <w:pPr>
        <w:pStyle w:val="168"/>
        <w:numPr>
          <w:ilvl w:val="3"/>
          <w:numId w:val="0"/>
        </w:numPr>
        <w:rPr>
          <w:rFonts w:hAnsi="宋体" w:cs="宋体"/>
        </w:rPr>
      </w:pPr>
      <w:r>
        <w:rPr>
          <w:rFonts w:hint="eastAsia" w:ascii="黑体" w:hAnsi="黑体" w:eastAsia="黑体" w:cs="黑体"/>
        </w:rPr>
        <w:t>7.2.1</w:t>
      </w:r>
      <w:r>
        <w:rPr>
          <w:rFonts w:hint="eastAsia" w:ascii="Times New Roman"/>
        </w:rPr>
        <w:t xml:space="preserve"> </w:t>
      </w:r>
      <w:r>
        <w:rPr>
          <w:rFonts w:hint="eastAsia" w:ascii="黑体" w:hAnsi="黑体" w:eastAsia="黑体" w:cs="黑体"/>
        </w:rPr>
        <w:t>钢质桥梁栏杆</w:t>
      </w:r>
    </w:p>
    <w:p>
      <w:pPr>
        <w:pStyle w:val="177"/>
        <w:numPr>
          <w:ilvl w:val="0"/>
          <w:numId w:val="43"/>
        </w:numPr>
      </w:pPr>
      <w:r>
        <w:rPr>
          <w:rFonts w:hint="eastAsia"/>
        </w:rPr>
        <w:t>栏杆水平位移值代表值</w:t>
      </w:r>
      <m:oMath>
        <m:r>
          <m:rPr/>
          <w:rPr>
            <w:rFonts w:ascii="Cambria Math"/>
          </w:rPr>
          <m:t>S</m:t>
        </m:r>
      </m:oMath>
      <w:r>
        <w:rPr>
          <w:rFonts w:hint="eastAsia"/>
        </w:rPr>
        <w:t>不应大于20mm，且立柱基础不应出现裂缝、脱落、松弛现象；</w:t>
      </w:r>
    </w:p>
    <w:p>
      <w:pPr>
        <w:pStyle w:val="177"/>
        <w:numPr>
          <w:ilvl w:val="0"/>
          <w:numId w:val="43"/>
        </w:numPr>
      </w:pPr>
      <w:r>
        <w:rPr>
          <w:rFonts w:hint="eastAsia"/>
        </w:rPr>
        <w:t>栏杆最大挠度值</w:t>
      </w:r>
      <m:oMath>
        <m:sSub>
          <m:sSubPr>
            <m:ctrlPr>
              <w:rPr>
                <w:rFonts w:ascii="Cambria Math" w:hAnsi="Cambria Math"/>
                <w:i/>
              </w:rPr>
            </m:ctrlPr>
          </m:sSubPr>
          <m:e>
            <m:r>
              <m:rPr/>
              <w:rPr>
                <w:rFonts w:ascii="Cambria Math"/>
              </w:rPr>
              <m:t>ω</m:t>
            </m:r>
            <m:ctrlPr>
              <w:rPr>
                <w:rFonts w:ascii="Cambria Math" w:hAnsi="Cambria Math"/>
                <w:i/>
              </w:rPr>
            </m:ctrlPr>
          </m:e>
          <m:sub>
            <m:r>
              <m:rPr>
                <m:nor/>
                <m:sty m:val="p"/>
              </m:rPr>
              <w:rPr>
                <w:rFonts w:ascii="Cambria Math"/>
                <w:b w:val="0"/>
                <w:i w:val="0"/>
              </w:rPr>
              <m:t>max</m:t>
            </m:r>
            <m:ctrlPr>
              <w:rPr>
                <w:rFonts w:ascii="Cambria Math" w:hAnsi="Cambria Math"/>
              </w:rPr>
            </m:ctrlPr>
          </m:sub>
        </m:sSub>
      </m:oMath>
      <w:r>
        <w:rPr>
          <w:rFonts w:hint="eastAsia"/>
        </w:rPr>
        <w:t>不应大于L/250，卸载5min后，钢结构栏杆的残余挠度</w:t>
      </w:r>
      <w:r>
        <w:rPr>
          <w:rFonts w:hint="eastAsia"/>
        </w:rPr>
        <w:object>
          <v:shape id="_x0000_i1028" o:spt="75" type="#_x0000_t75" style="height:9pt;width:6.5pt;" o:ole="t" filled="f" o:preferrelative="t" stroked="f" coordsize="21600,21600">
            <v:path/>
            <v:fill on="f" focussize="0,0"/>
            <v:stroke on="f" joinstyle="miter"/>
            <v:imagedata r:id="rId31" o:title=""/>
            <o:lock v:ext="edit" aspectratio="t"/>
            <w10:wrap type="none"/>
            <w10:anchorlock/>
          </v:shape>
          <o:OLEObject Type="Embed" ProgID="Equation.3" ShapeID="_x0000_i1028" DrawAspect="Content" ObjectID="_1468075728" r:id="rId30">
            <o:LockedField>false</o:LockedField>
          </o:OLEObject>
        </w:object>
      </w:r>
      <w:r>
        <w:rPr>
          <w:rFonts w:hint="eastAsia"/>
        </w:rPr>
        <w:t>不应大于L/1000,且立柱基础不应出现松弛、脱落现象。</w:t>
      </w:r>
    </w:p>
    <w:p>
      <w:pPr>
        <w:pStyle w:val="168"/>
        <w:numPr>
          <w:ilvl w:val="3"/>
          <w:numId w:val="0"/>
        </w:numPr>
        <w:rPr>
          <w:rFonts w:ascii="黑体" w:hAnsi="黑体" w:eastAsia="黑体" w:cs="黑体"/>
        </w:rPr>
      </w:pPr>
      <w:bookmarkStart w:id="290" w:name="_Toc10341"/>
      <w:bookmarkStart w:id="291" w:name="_Toc17834"/>
      <w:r>
        <w:rPr>
          <w:rFonts w:hint="eastAsia" w:ascii="黑体" w:hAnsi="黑体" w:eastAsia="黑体" w:cs="黑体"/>
        </w:rPr>
        <w:t>7.2.2 混凝土、石材桥梁栏杆</w:t>
      </w:r>
      <w:bookmarkEnd w:id="290"/>
      <w:bookmarkEnd w:id="291"/>
    </w:p>
    <w:p>
      <w:pPr>
        <w:adjustRightInd/>
        <w:spacing w:line="240" w:lineRule="auto"/>
        <w:ind w:firstLine="420" w:firstLineChars="200"/>
        <w:rPr>
          <w:rFonts w:ascii="宋体" w:hAnsi="宋体" w:cs="宋体"/>
          <w:bCs/>
          <w:sz w:val="28"/>
          <w:szCs w:val="28"/>
        </w:rPr>
      </w:pPr>
      <w:r>
        <w:rPr>
          <w:rFonts w:hint="eastAsia" w:ascii="宋体" w:hAnsi="Times New Roman"/>
          <w:szCs w:val="20"/>
        </w:rPr>
        <w:t>栏杆水平位移值代表值</w:t>
      </w:r>
      <m:oMath>
        <m:sSub>
          <m:sSubPr>
            <m:ctrlPr>
              <w:rPr>
                <w:rFonts w:ascii="Cambria Math" w:hAnsi="Times New Roman"/>
                <w:i/>
                <w:szCs w:val="20"/>
              </w:rPr>
            </m:ctrlPr>
          </m:sSubPr>
          <m:e>
            <m:r>
              <m:rPr/>
              <w:rPr>
                <w:rFonts w:ascii="Cambria Math" w:hAnsi="Times New Roman"/>
                <w:szCs w:val="20"/>
              </w:rPr>
              <m:t>S</m:t>
            </m:r>
            <m:ctrlPr>
              <w:rPr>
                <w:rFonts w:ascii="Cambria Math" w:hAnsi="Times New Roman"/>
                <w:i/>
                <w:szCs w:val="20"/>
              </w:rPr>
            </m:ctrlPr>
          </m:e>
          <m:sub>
            <m:ctrlPr>
              <w:rPr>
                <w:rFonts w:ascii="Cambria Math" w:hAnsi="Times New Roman"/>
                <w:i/>
                <w:szCs w:val="20"/>
              </w:rPr>
            </m:ctrlPr>
          </m:sub>
        </m:sSub>
      </m:oMath>
      <w:r>
        <w:rPr>
          <w:rFonts w:hint="eastAsia" w:ascii="宋体" w:hAnsi="Times New Roman"/>
          <w:szCs w:val="20"/>
        </w:rPr>
        <w:t>不应大于10mm，且立柱基础不应出现裂缝、脱落、松弛现象；</w:t>
      </w:r>
    </w:p>
    <w:p>
      <w:pPr>
        <w:pStyle w:val="168"/>
        <w:numPr>
          <w:ilvl w:val="3"/>
          <w:numId w:val="0"/>
        </w:numPr>
        <w:rPr>
          <w:rFonts w:ascii="黑体" w:hAnsi="黑体" w:eastAsia="黑体" w:cs="黑体"/>
        </w:rPr>
      </w:pPr>
      <w:bookmarkStart w:id="292" w:name="_Toc30240"/>
      <w:bookmarkStart w:id="293" w:name="_Toc29981"/>
      <w:r>
        <w:rPr>
          <w:rFonts w:hint="eastAsia" w:ascii="黑体" w:hAnsi="黑体" w:eastAsia="黑体" w:cs="黑体"/>
        </w:rPr>
        <w:t>7.2.3 出现下列情况之一，直接判定为不合格：</w:t>
      </w:r>
      <w:bookmarkEnd w:id="292"/>
      <w:bookmarkEnd w:id="293"/>
    </w:p>
    <w:p>
      <w:pPr>
        <w:pStyle w:val="177"/>
        <w:numPr>
          <w:ilvl w:val="0"/>
          <w:numId w:val="44"/>
        </w:numPr>
      </w:pPr>
      <w:r>
        <w:rPr>
          <w:rFonts w:hint="eastAsia"/>
        </w:rPr>
        <w:t>桥梁栏杆的水平位移值、挠度值超过性能要求值，且桥梁栏杆的各连接部位有松弛或脱落情况。</w:t>
      </w:r>
    </w:p>
    <w:p>
      <w:pPr>
        <w:pStyle w:val="177"/>
        <w:numPr>
          <w:ilvl w:val="0"/>
          <w:numId w:val="44"/>
        </w:numPr>
      </w:pPr>
      <w:r>
        <w:rPr>
          <w:rFonts w:hint="eastAsia"/>
        </w:rPr>
        <w:t>桥梁栏杆的立柱与基础连接处产生裂缝、脱落、松弛。</w:t>
      </w:r>
    </w:p>
    <w:p>
      <w:pPr>
        <w:pStyle w:val="168"/>
        <w:numPr>
          <w:ilvl w:val="3"/>
          <w:numId w:val="0"/>
        </w:numPr>
        <w:rPr>
          <w:rFonts w:ascii="黑体" w:hAnsi="黑体" w:eastAsia="黑体" w:cs="黑体"/>
        </w:rPr>
      </w:pPr>
      <w:bookmarkStart w:id="294" w:name="_Toc12403"/>
      <w:bookmarkStart w:id="295" w:name="_Toc15825"/>
      <w:r>
        <w:rPr>
          <w:rFonts w:hint="eastAsia" w:ascii="黑体" w:hAnsi="黑体" w:eastAsia="黑体" w:cs="黑体"/>
        </w:rPr>
        <w:t>7.2.4 现场检测不合格，应按以下规定复测：</w:t>
      </w:r>
      <w:bookmarkEnd w:id="294"/>
      <w:bookmarkEnd w:id="295"/>
    </w:p>
    <w:p>
      <w:pPr>
        <w:adjustRightInd/>
        <w:spacing w:line="240" w:lineRule="auto"/>
        <w:ind w:firstLine="420" w:firstLineChars="200"/>
        <w:rPr>
          <w:rFonts w:ascii="宋体" w:hAnsi="Times New Roman"/>
          <w:szCs w:val="20"/>
        </w:rPr>
      </w:pPr>
      <w:r>
        <w:rPr>
          <w:rFonts w:hint="eastAsia" w:ascii="宋体" w:hAnsi="Times New Roman"/>
          <w:szCs w:val="20"/>
        </w:rPr>
        <w:t>对不合格单元的桥梁栏杆进行相应处理过后，应抽取双倍单元进行复测。复测所抽取单元需包含经过处理的不合格单元。复测仍存在不合格的，应进行全数复测。</w:t>
      </w:r>
    </w:p>
    <w:p>
      <w:pPr>
        <w:pStyle w:val="107"/>
        <w:numPr>
          <w:ilvl w:val="1"/>
          <w:numId w:val="0"/>
        </w:numPr>
        <w:spacing w:before="312" w:after="312"/>
        <w:rPr>
          <w:szCs w:val="21"/>
        </w:rPr>
      </w:pPr>
      <w:bookmarkStart w:id="296" w:name="_Toc24144"/>
      <w:bookmarkStart w:id="297" w:name="_Toc25606"/>
      <w:bookmarkStart w:id="298" w:name="_Toc32518"/>
      <w:bookmarkStart w:id="299" w:name="_Toc47512602"/>
      <w:bookmarkStart w:id="300" w:name="_Toc47510874"/>
      <w:bookmarkStart w:id="301" w:name="_Toc47433127"/>
      <w:bookmarkStart w:id="302" w:name="_Toc17375"/>
      <w:bookmarkStart w:id="303" w:name="_Toc3796"/>
      <w:bookmarkStart w:id="304" w:name="_Toc15679"/>
      <w:bookmarkStart w:id="305" w:name="_Toc47431468"/>
      <w:bookmarkStart w:id="306" w:name="_Toc47448234"/>
      <w:bookmarkStart w:id="307" w:name="_Toc79700432"/>
      <w:bookmarkStart w:id="308" w:name="_Toc22718"/>
      <w:r>
        <w:rPr>
          <w:rFonts w:hint="eastAsia"/>
          <w:szCs w:val="21"/>
        </w:rPr>
        <w:t xml:space="preserve">8 </w:t>
      </w:r>
      <w:bookmarkEnd w:id="296"/>
      <w:r>
        <w:rPr>
          <w:rFonts w:hint="eastAsia"/>
          <w:szCs w:val="21"/>
        </w:rPr>
        <w:t>检测记录与报告</w:t>
      </w:r>
      <w:bookmarkEnd w:id="297"/>
      <w:bookmarkEnd w:id="298"/>
    </w:p>
    <w:p>
      <w:pPr>
        <w:pStyle w:val="108"/>
        <w:numPr>
          <w:ilvl w:val="2"/>
          <w:numId w:val="0"/>
        </w:numPr>
        <w:spacing w:before="156" w:after="156"/>
      </w:pPr>
      <w:bookmarkStart w:id="309" w:name="_Toc29560"/>
      <w:bookmarkStart w:id="310" w:name="_Toc20989"/>
      <w:bookmarkStart w:id="311" w:name="_Toc23163"/>
      <w:r>
        <w:rPr>
          <w:rFonts w:hint="eastAsia"/>
        </w:rPr>
        <w:t xml:space="preserve">8.1 </w:t>
      </w:r>
      <w:bookmarkEnd w:id="309"/>
      <w:r>
        <w:rPr>
          <w:rFonts w:hint="eastAsia"/>
        </w:rPr>
        <w:t>检测记录</w:t>
      </w:r>
      <w:bookmarkEnd w:id="310"/>
      <w:bookmarkEnd w:id="311"/>
    </w:p>
    <w:p>
      <w:pPr>
        <w:pStyle w:val="168"/>
        <w:numPr>
          <w:ilvl w:val="3"/>
          <w:numId w:val="0"/>
        </w:numPr>
        <w:rPr>
          <w:rFonts w:ascii="Times New Roman"/>
        </w:rPr>
      </w:pPr>
      <w:r>
        <w:rPr>
          <w:rFonts w:hint="eastAsia" w:ascii="黑体" w:hAnsi="黑体" w:eastAsia="黑体" w:cs="黑体"/>
        </w:rPr>
        <w:t>8.1.1</w:t>
      </w:r>
      <w:r>
        <w:rPr>
          <w:rFonts w:hint="eastAsia" w:ascii="Times New Roman"/>
        </w:rPr>
        <w:t xml:space="preserve"> 桥梁栏杆水平抗推能力检测原始记录应能再现检测过程，宜按本规程附录A中桥梁栏杆抗水平推力检测原始数据记录表的格式进行记录，并由试验、复核人员及时签字。</w:t>
      </w:r>
    </w:p>
    <w:p>
      <w:pPr>
        <w:pStyle w:val="168"/>
        <w:numPr>
          <w:ilvl w:val="3"/>
          <w:numId w:val="0"/>
        </w:numPr>
        <w:rPr>
          <w:rFonts w:ascii="Times New Roman"/>
        </w:rPr>
      </w:pPr>
      <w:r>
        <w:rPr>
          <w:rFonts w:hint="eastAsia" w:ascii="黑体" w:hAnsi="黑体" w:eastAsia="黑体" w:cs="黑体"/>
        </w:rPr>
        <w:t>8.1.2</w:t>
      </w:r>
      <w:r>
        <w:rPr>
          <w:rFonts w:hint="eastAsia" w:ascii="Times New Roman"/>
        </w:rPr>
        <w:t xml:space="preserve"> 检测原始记录不得随意修改。检测中发现检测数据异常时，现场检测人员应及时查明原因并进行复核。</w:t>
      </w:r>
    </w:p>
    <w:p>
      <w:pPr>
        <w:pStyle w:val="108"/>
        <w:numPr>
          <w:ilvl w:val="2"/>
          <w:numId w:val="0"/>
        </w:numPr>
        <w:spacing w:before="156" w:after="156"/>
      </w:pPr>
      <w:bookmarkStart w:id="312" w:name="_Toc7896"/>
      <w:bookmarkStart w:id="313" w:name="_Toc7137"/>
      <w:bookmarkStart w:id="314" w:name="_Toc29605"/>
      <w:r>
        <w:rPr>
          <w:rFonts w:hint="eastAsia"/>
        </w:rPr>
        <w:t xml:space="preserve">8.2 </w:t>
      </w:r>
      <w:bookmarkEnd w:id="312"/>
      <w:r>
        <w:rPr>
          <w:rFonts w:hint="eastAsia"/>
        </w:rPr>
        <w:t>检测报告</w:t>
      </w:r>
      <w:bookmarkEnd w:id="313"/>
      <w:bookmarkEnd w:id="314"/>
    </w:p>
    <w:p>
      <w:pPr>
        <w:pStyle w:val="168"/>
        <w:numPr>
          <w:ilvl w:val="3"/>
          <w:numId w:val="0"/>
        </w:numPr>
        <w:rPr>
          <w:rFonts w:ascii="Times New Roman"/>
        </w:rPr>
      </w:pPr>
      <w:r>
        <w:rPr>
          <w:rFonts w:hint="eastAsia" w:ascii="黑体" w:hAnsi="黑体" w:eastAsia="黑体" w:cs="黑体"/>
        </w:rPr>
        <w:t>8.2.1</w:t>
      </w:r>
      <w:r>
        <w:rPr>
          <w:rFonts w:hint="eastAsia" w:ascii="Times New Roman"/>
        </w:rPr>
        <w:t xml:space="preserve"> </w:t>
      </w:r>
      <w:r>
        <w:rPr>
          <w:rFonts w:hint="eastAsia" w:hAnsi="宋体" w:cs="宋体"/>
        </w:rPr>
        <w:t>检测报告应根据原始记录出具，结论准确。</w:t>
      </w:r>
    </w:p>
    <w:p>
      <w:pPr>
        <w:pStyle w:val="168"/>
        <w:numPr>
          <w:ilvl w:val="3"/>
          <w:numId w:val="0"/>
        </w:numPr>
        <w:rPr>
          <w:rFonts w:ascii="Times New Roman"/>
        </w:rPr>
      </w:pPr>
      <w:r>
        <w:rPr>
          <w:rFonts w:hint="eastAsia" w:ascii="黑体" w:hAnsi="黑体" w:eastAsia="黑体" w:cs="黑体"/>
        </w:rPr>
        <w:t>8.2.2</w:t>
      </w:r>
      <w:r>
        <w:rPr>
          <w:rFonts w:hint="eastAsia" w:ascii="Times New Roman"/>
        </w:rPr>
        <w:t xml:space="preserve"> 检测报告除应符合《建设工程质量检测规程》DGJ32/J 21的规定外，还应包含下列内容：</w:t>
      </w:r>
    </w:p>
    <w:p>
      <w:pPr>
        <w:pStyle w:val="177"/>
        <w:numPr>
          <w:ilvl w:val="0"/>
          <w:numId w:val="45"/>
        </w:numPr>
      </w:pPr>
      <w:r>
        <w:rPr>
          <w:rFonts w:hint="eastAsia"/>
        </w:rPr>
        <w:t>委托单位名称，工程名称、工程地点，建设、设计、施工及监理单位名称，完工日期，桥梁栏杆的材质、结构形式、立柱的基础形式及跨距，设计要求，检测依据，检测数量，检测日期等；</w:t>
      </w:r>
    </w:p>
    <w:p>
      <w:pPr>
        <w:pStyle w:val="177"/>
        <w:numPr>
          <w:ilvl w:val="0"/>
          <w:numId w:val="45"/>
        </w:numPr>
      </w:pPr>
      <w:r>
        <w:rPr>
          <w:rFonts w:hint="eastAsia"/>
        </w:rPr>
        <w:t>检测点的编号、位置和相关施工记录；</w:t>
      </w:r>
    </w:p>
    <w:p>
      <w:pPr>
        <w:pStyle w:val="177"/>
        <w:numPr>
          <w:ilvl w:val="0"/>
          <w:numId w:val="45"/>
        </w:numPr>
      </w:pPr>
      <w:r>
        <w:rPr>
          <w:rFonts w:hint="eastAsia"/>
        </w:rPr>
        <w:t>主要检测仪器设备；</w:t>
      </w:r>
    </w:p>
    <w:p>
      <w:pPr>
        <w:pStyle w:val="177"/>
        <w:numPr>
          <w:ilvl w:val="0"/>
          <w:numId w:val="45"/>
        </w:numPr>
      </w:pPr>
      <w:r>
        <w:rPr>
          <w:rFonts w:hint="eastAsia"/>
        </w:rPr>
        <w:t>检测方法；</w:t>
      </w:r>
    </w:p>
    <w:p>
      <w:pPr>
        <w:pStyle w:val="177"/>
        <w:numPr>
          <w:ilvl w:val="0"/>
          <w:numId w:val="45"/>
        </w:numPr>
      </w:pPr>
      <w:r>
        <w:rPr>
          <w:rFonts w:hint="eastAsia"/>
        </w:rPr>
        <w:t>试验荷载加载情况、各测点的位移实测值、试验过程中及结束后桥梁栏杆情况、桥梁栏杆水平位移值代表值、最大挠度值、残余挠度值；</w:t>
      </w:r>
    </w:p>
    <w:p>
      <w:pPr>
        <w:pStyle w:val="177"/>
        <w:numPr>
          <w:ilvl w:val="0"/>
          <w:numId w:val="45"/>
        </w:numPr>
      </w:pPr>
      <w:r>
        <w:rPr>
          <w:rFonts w:hint="eastAsia"/>
        </w:rPr>
        <w:t>桥梁栏杆水平推力试验结果；</w:t>
      </w:r>
    </w:p>
    <w:p>
      <w:pPr>
        <w:pStyle w:val="177"/>
        <w:numPr>
          <w:ilvl w:val="0"/>
          <w:numId w:val="45"/>
        </w:numPr>
      </w:pPr>
      <w:r>
        <w:rPr>
          <w:rFonts w:hint="eastAsia"/>
        </w:rPr>
        <w:t>检测过程中的异常情况描述；</w:t>
      </w:r>
    </w:p>
    <w:p>
      <w:pPr>
        <w:pStyle w:val="177"/>
        <w:numPr>
          <w:ilvl w:val="0"/>
          <w:numId w:val="45"/>
        </w:numPr>
      </w:pPr>
      <w:r>
        <w:rPr>
          <w:rFonts w:hint="eastAsia"/>
        </w:rPr>
        <w:t>检测结论。</w:t>
      </w:r>
    </w:p>
    <w:bookmarkEnd w:id="299"/>
    <w:bookmarkEnd w:id="300"/>
    <w:bookmarkEnd w:id="301"/>
    <w:bookmarkEnd w:id="302"/>
    <w:bookmarkEnd w:id="303"/>
    <w:bookmarkEnd w:id="304"/>
    <w:bookmarkEnd w:id="305"/>
    <w:bookmarkEnd w:id="306"/>
    <w:bookmarkEnd w:id="307"/>
    <w:bookmarkEnd w:id="308"/>
    <w:p>
      <w:pPr>
        <w:pStyle w:val="59"/>
        <w:ind w:firstLine="420"/>
      </w:pPr>
    </w:p>
    <w:p>
      <w:pPr>
        <w:pStyle w:val="59"/>
        <w:ind w:firstLine="420"/>
      </w:pPr>
      <w:r>
        <w:br w:type="page"/>
      </w:r>
    </w:p>
    <w:p>
      <w:pPr>
        <w:pStyle w:val="79"/>
        <w:numPr>
          <w:ilvl w:val="0"/>
          <w:numId w:val="0"/>
        </w:numPr>
        <w:spacing w:before="78" w:after="78" w:afterLines="25"/>
        <w:rPr>
          <w:rFonts w:hAnsi="黑体" w:cs="黑体"/>
        </w:rPr>
      </w:pPr>
      <w:bookmarkStart w:id="315" w:name="_Toc9015"/>
      <w:bookmarkStart w:id="316" w:name="_Toc15057"/>
      <w:bookmarkStart w:id="317" w:name="_Toc24012"/>
      <w:bookmarkStart w:id="318" w:name="_Toc5822"/>
      <w:bookmarkStart w:id="319" w:name="_Toc26330"/>
      <w:r>
        <w:rPr>
          <w:rStyle w:val="34"/>
          <w:rFonts w:hint="eastAsia" w:ascii="黑体" w:hAnsi="黑体" w:eastAsia="黑体" w:cs="黑体"/>
          <w:spacing w:val="100"/>
        </w:rPr>
        <w:t>附录</w:t>
      </w:r>
      <w:r>
        <w:rPr>
          <w:rFonts w:hint="eastAsia" w:hAnsi="黑体" w:cs="黑体"/>
        </w:rPr>
        <w:t>A</w:t>
      </w:r>
      <w:bookmarkEnd w:id="315"/>
      <w:bookmarkEnd w:id="316"/>
    </w:p>
    <w:bookmarkEnd w:id="317"/>
    <w:bookmarkEnd w:id="318"/>
    <w:bookmarkEnd w:id="319"/>
    <w:p>
      <w:pPr>
        <w:pStyle w:val="79"/>
        <w:numPr>
          <w:ilvl w:val="0"/>
          <w:numId w:val="0"/>
        </w:numPr>
        <w:spacing w:before="78" w:after="156"/>
      </w:pPr>
      <w:bookmarkStart w:id="320" w:name="_Toc28785"/>
      <w:bookmarkStart w:id="321" w:name="_Toc4429"/>
      <w:bookmarkStart w:id="322" w:name="_Toc22859"/>
      <w:r>
        <w:rPr>
          <w:rFonts w:hint="eastAsia"/>
        </w:rPr>
        <w:t>桥梁栏杆水平抗推能力检测原始数据记录表</w:t>
      </w:r>
      <w:bookmarkEnd w:id="320"/>
      <w:bookmarkEnd w:id="321"/>
      <w:bookmarkEnd w:id="322"/>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287"/>
        <w:gridCol w:w="973"/>
        <w:gridCol w:w="831"/>
        <w:gridCol w:w="195"/>
        <w:gridCol w:w="647"/>
        <w:gridCol w:w="641"/>
        <w:gridCol w:w="52"/>
        <w:gridCol w:w="589"/>
        <w:gridCol w:w="149"/>
        <w:gridCol w:w="472"/>
        <w:gridCol w:w="20"/>
        <w:gridCol w:w="643"/>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委托单位</w:t>
            </w:r>
          </w:p>
        </w:tc>
        <w:tc>
          <w:tcPr>
            <w:tcW w:w="4077" w:type="dxa"/>
            <w:gridSpan w:val="8"/>
            <w:vAlign w:val="center"/>
          </w:tcPr>
          <w:p>
            <w:pPr>
              <w:adjustRightInd/>
              <w:jc w:val="center"/>
              <w:rPr>
                <w:rFonts w:ascii="宋体" w:hAnsi="宋体" w:cs="宋体"/>
              </w:rPr>
            </w:pPr>
          </w:p>
        </w:tc>
        <w:tc>
          <w:tcPr>
            <w:tcW w:w="1135" w:type="dxa"/>
            <w:gridSpan w:val="3"/>
            <w:vAlign w:val="center"/>
          </w:tcPr>
          <w:p>
            <w:pPr>
              <w:adjustRightInd/>
              <w:jc w:val="center"/>
              <w:rPr>
                <w:rFonts w:ascii="宋体" w:hAnsi="宋体" w:cs="宋体"/>
              </w:rPr>
            </w:pPr>
            <w:r>
              <w:rPr>
                <w:rFonts w:hint="eastAsia" w:ascii="宋体" w:hAnsi="宋体" w:cs="宋体"/>
              </w:rPr>
              <w:t>任务单号</w:t>
            </w:r>
          </w:p>
        </w:tc>
        <w:tc>
          <w:tcPr>
            <w:tcW w:w="1663" w:type="dxa"/>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工程名称</w:t>
            </w:r>
          </w:p>
        </w:tc>
        <w:tc>
          <w:tcPr>
            <w:tcW w:w="4077" w:type="dxa"/>
            <w:gridSpan w:val="8"/>
            <w:vAlign w:val="center"/>
          </w:tcPr>
          <w:p>
            <w:pPr>
              <w:adjustRightInd/>
              <w:jc w:val="center"/>
              <w:rPr>
                <w:rFonts w:ascii="宋体" w:hAnsi="宋体" w:cs="宋体"/>
              </w:rPr>
            </w:pPr>
          </w:p>
        </w:tc>
        <w:tc>
          <w:tcPr>
            <w:tcW w:w="1135" w:type="dxa"/>
            <w:gridSpan w:val="3"/>
            <w:vAlign w:val="center"/>
          </w:tcPr>
          <w:p>
            <w:pPr>
              <w:adjustRightInd/>
              <w:jc w:val="center"/>
              <w:rPr>
                <w:rFonts w:ascii="宋体" w:hAnsi="宋体" w:cs="宋体"/>
              </w:rPr>
            </w:pPr>
            <w:r>
              <w:rPr>
                <w:rFonts w:hint="eastAsia" w:ascii="宋体" w:hAnsi="宋体" w:cs="宋体"/>
              </w:rPr>
              <w:t>委托日期</w:t>
            </w:r>
          </w:p>
        </w:tc>
        <w:tc>
          <w:tcPr>
            <w:tcW w:w="1663" w:type="dxa"/>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工程地址</w:t>
            </w:r>
          </w:p>
        </w:tc>
        <w:tc>
          <w:tcPr>
            <w:tcW w:w="4077" w:type="dxa"/>
            <w:gridSpan w:val="8"/>
            <w:vAlign w:val="center"/>
          </w:tcPr>
          <w:p>
            <w:pPr>
              <w:adjustRightInd/>
              <w:jc w:val="center"/>
              <w:rPr>
                <w:rFonts w:ascii="宋体" w:hAnsi="宋体" w:cs="宋体"/>
              </w:rPr>
            </w:pPr>
          </w:p>
        </w:tc>
        <w:tc>
          <w:tcPr>
            <w:tcW w:w="1135" w:type="dxa"/>
            <w:gridSpan w:val="3"/>
            <w:vAlign w:val="center"/>
          </w:tcPr>
          <w:p>
            <w:pPr>
              <w:adjustRightInd/>
              <w:jc w:val="center"/>
              <w:rPr>
                <w:rFonts w:ascii="宋体" w:hAnsi="宋体" w:cs="宋体"/>
              </w:rPr>
            </w:pPr>
            <w:r>
              <w:rPr>
                <w:rFonts w:hint="eastAsia" w:ascii="宋体" w:hAnsi="宋体" w:cs="宋体"/>
              </w:rPr>
              <w:t>检测日期</w:t>
            </w:r>
          </w:p>
        </w:tc>
        <w:tc>
          <w:tcPr>
            <w:tcW w:w="1663" w:type="dxa"/>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建设单位</w:t>
            </w:r>
          </w:p>
        </w:tc>
        <w:tc>
          <w:tcPr>
            <w:tcW w:w="4077" w:type="dxa"/>
            <w:gridSpan w:val="8"/>
            <w:vAlign w:val="center"/>
          </w:tcPr>
          <w:p>
            <w:pPr>
              <w:adjustRightInd/>
              <w:jc w:val="center"/>
              <w:rPr>
                <w:rFonts w:ascii="宋体" w:hAnsi="宋体" w:cs="宋体"/>
              </w:rPr>
            </w:pPr>
          </w:p>
        </w:tc>
        <w:tc>
          <w:tcPr>
            <w:tcW w:w="1135" w:type="dxa"/>
            <w:gridSpan w:val="3"/>
            <w:vAlign w:val="center"/>
          </w:tcPr>
          <w:p>
            <w:pPr>
              <w:adjustRightInd/>
              <w:jc w:val="center"/>
              <w:rPr>
                <w:rFonts w:ascii="宋体" w:hAnsi="宋体" w:cs="宋体"/>
              </w:rPr>
            </w:pPr>
            <w:r>
              <w:rPr>
                <w:rFonts w:hint="eastAsia" w:ascii="宋体" w:hAnsi="宋体" w:cs="宋体"/>
              </w:rPr>
              <w:t>施工日期</w:t>
            </w:r>
          </w:p>
        </w:tc>
        <w:tc>
          <w:tcPr>
            <w:tcW w:w="1663" w:type="dxa"/>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设计单位</w:t>
            </w:r>
          </w:p>
        </w:tc>
        <w:tc>
          <w:tcPr>
            <w:tcW w:w="6875" w:type="dxa"/>
            <w:gridSpan w:val="12"/>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施工单位</w:t>
            </w:r>
          </w:p>
        </w:tc>
        <w:tc>
          <w:tcPr>
            <w:tcW w:w="6875" w:type="dxa"/>
            <w:gridSpan w:val="12"/>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监理单位</w:t>
            </w:r>
          </w:p>
        </w:tc>
        <w:tc>
          <w:tcPr>
            <w:tcW w:w="6875" w:type="dxa"/>
            <w:gridSpan w:val="12"/>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委托人</w:t>
            </w:r>
          </w:p>
        </w:tc>
        <w:tc>
          <w:tcPr>
            <w:tcW w:w="1999" w:type="dxa"/>
            <w:gridSpan w:val="3"/>
            <w:vAlign w:val="center"/>
          </w:tcPr>
          <w:p>
            <w:pPr>
              <w:adjustRightInd/>
              <w:jc w:val="center"/>
              <w:rPr>
                <w:rFonts w:ascii="宋体" w:hAnsi="宋体" w:cs="宋体"/>
              </w:rPr>
            </w:pPr>
          </w:p>
        </w:tc>
        <w:tc>
          <w:tcPr>
            <w:tcW w:w="1340" w:type="dxa"/>
            <w:gridSpan w:val="3"/>
            <w:vAlign w:val="center"/>
          </w:tcPr>
          <w:p>
            <w:pPr>
              <w:adjustRightInd/>
              <w:jc w:val="center"/>
              <w:rPr>
                <w:rFonts w:ascii="宋体" w:hAnsi="宋体" w:cs="宋体"/>
              </w:rPr>
            </w:pPr>
            <w:r>
              <w:rPr>
                <w:rFonts w:hint="eastAsia" w:ascii="宋体" w:hAnsi="宋体" w:cs="宋体"/>
              </w:rPr>
              <w:t>栏杆材质</w:t>
            </w:r>
          </w:p>
          <w:p>
            <w:pPr>
              <w:adjustRightInd/>
              <w:jc w:val="center"/>
              <w:rPr>
                <w:rFonts w:ascii="宋体" w:hAnsi="宋体" w:cs="宋体"/>
              </w:rPr>
            </w:pPr>
            <w:r>
              <w:rPr>
                <w:rFonts w:hint="eastAsia" w:ascii="宋体" w:hAnsi="宋体" w:cs="宋体"/>
              </w:rPr>
              <w:t>结构形式</w:t>
            </w:r>
          </w:p>
        </w:tc>
        <w:tc>
          <w:tcPr>
            <w:tcW w:w="1210" w:type="dxa"/>
            <w:gridSpan w:val="3"/>
            <w:vAlign w:val="center"/>
          </w:tcPr>
          <w:p>
            <w:pPr>
              <w:adjustRightInd/>
              <w:jc w:val="center"/>
              <w:rPr>
                <w:rFonts w:ascii="宋体" w:hAnsi="宋体" w:cs="宋体"/>
              </w:rPr>
            </w:pPr>
          </w:p>
        </w:tc>
        <w:tc>
          <w:tcPr>
            <w:tcW w:w="663" w:type="dxa"/>
            <w:gridSpan w:val="2"/>
            <w:vAlign w:val="center"/>
          </w:tcPr>
          <w:p>
            <w:pPr>
              <w:adjustRightInd/>
              <w:jc w:val="center"/>
              <w:rPr>
                <w:rFonts w:ascii="宋体" w:hAnsi="宋体" w:cs="宋体"/>
              </w:rPr>
            </w:pPr>
            <w:r>
              <w:rPr>
                <w:rFonts w:hint="eastAsia" w:ascii="宋体" w:hAnsi="宋体" w:cs="宋体"/>
              </w:rPr>
              <w:t>检测环境</w:t>
            </w:r>
          </w:p>
        </w:tc>
        <w:tc>
          <w:tcPr>
            <w:tcW w:w="1663" w:type="dxa"/>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检测依据</w:t>
            </w:r>
          </w:p>
        </w:tc>
        <w:tc>
          <w:tcPr>
            <w:tcW w:w="6875" w:type="dxa"/>
            <w:gridSpan w:val="12"/>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检测仪器</w:t>
            </w:r>
          </w:p>
        </w:tc>
        <w:tc>
          <w:tcPr>
            <w:tcW w:w="6875" w:type="dxa"/>
            <w:gridSpan w:val="12"/>
            <w:vAlign w:val="center"/>
          </w:tcPr>
          <w:p>
            <w:pPr>
              <w:adjustRightInd/>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Align w:val="center"/>
          </w:tcPr>
          <w:p>
            <w:pPr>
              <w:adjustRightInd/>
              <w:jc w:val="center"/>
              <w:rPr>
                <w:rFonts w:ascii="宋体" w:hAnsi="宋体" w:cs="宋体"/>
              </w:rPr>
            </w:pPr>
            <w:r>
              <w:rPr>
                <w:rFonts w:hint="eastAsia" w:ascii="宋体" w:hAnsi="宋体" w:cs="宋体"/>
              </w:rPr>
              <w:t>序号</w:t>
            </w:r>
          </w:p>
        </w:tc>
        <w:tc>
          <w:tcPr>
            <w:tcW w:w="1287" w:type="dxa"/>
            <w:vAlign w:val="center"/>
          </w:tcPr>
          <w:p>
            <w:pPr>
              <w:adjustRightInd/>
              <w:jc w:val="center"/>
              <w:rPr>
                <w:rFonts w:ascii="宋体" w:hAnsi="宋体" w:cs="宋体"/>
              </w:rPr>
            </w:pPr>
            <w:r>
              <w:rPr>
                <w:rFonts w:hint="eastAsia" w:ascii="宋体" w:hAnsi="宋体" w:cs="宋体"/>
              </w:rPr>
              <w:t>测点位置</w:t>
            </w:r>
          </w:p>
        </w:tc>
        <w:tc>
          <w:tcPr>
            <w:tcW w:w="973" w:type="dxa"/>
            <w:vAlign w:val="center"/>
          </w:tcPr>
          <w:p>
            <w:pPr>
              <w:adjustRightInd/>
              <w:jc w:val="center"/>
              <w:rPr>
                <w:rFonts w:ascii="宋体" w:hAnsi="宋体" w:cs="宋体"/>
              </w:rPr>
            </w:pPr>
            <w:r>
              <w:rPr>
                <w:rFonts w:hint="eastAsia" w:ascii="宋体" w:hAnsi="宋体" w:cs="宋体"/>
              </w:rPr>
              <w:t>立柱间距（mm）</w:t>
            </w:r>
          </w:p>
        </w:tc>
        <w:tc>
          <w:tcPr>
            <w:tcW w:w="831" w:type="dxa"/>
            <w:vAlign w:val="center"/>
          </w:tcPr>
          <w:p>
            <w:pPr>
              <w:adjustRightInd/>
              <w:jc w:val="center"/>
              <w:rPr>
                <w:rFonts w:ascii="宋体" w:hAnsi="宋体" w:cs="宋体"/>
              </w:rPr>
            </w:pPr>
            <w:r>
              <w:rPr>
                <w:rFonts w:hint="eastAsia" w:ascii="宋体" w:hAnsi="宋体" w:cs="宋体"/>
              </w:rPr>
              <w:t>试验荷载（N）</w:t>
            </w:r>
          </w:p>
        </w:tc>
        <w:tc>
          <w:tcPr>
            <w:tcW w:w="842" w:type="dxa"/>
            <w:gridSpan w:val="2"/>
            <w:vAlign w:val="center"/>
          </w:tcPr>
          <w:p>
            <w:pPr>
              <w:adjustRightInd/>
              <w:jc w:val="center"/>
              <w:rPr>
                <w:rFonts w:ascii="宋体" w:hAnsi="宋体" w:cs="宋体"/>
              </w:rPr>
            </w:pPr>
            <w:r>
              <w:rPr>
                <w:rFonts w:hint="eastAsia" w:ascii="宋体" w:hAnsi="宋体" w:cs="宋体"/>
              </w:rPr>
              <w:t>实加荷载（N）</w:t>
            </w:r>
          </w:p>
        </w:tc>
        <w:tc>
          <w:tcPr>
            <w:tcW w:w="2566" w:type="dxa"/>
            <w:gridSpan w:val="7"/>
            <w:vAlign w:val="center"/>
          </w:tcPr>
          <w:p>
            <w:pPr>
              <w:adjustRightInd/>
              <w:jc w:val="center"/>
              <w:rPr>
                <w:rFonts w:ascii="宋体" w:hAnsi="宋体" w:cs="宋体"/>
              </w:rPr>
            </w:pPr>
            <w:r>
              <w:rPr>
                <w:rFonts w:hint="eastAsia" w:ascii="宋体" w:hAnsi="宋体" w:cs="宋体"/>
              </w:rPr>
              <w:t>检测结果（mm）</w:t>
            </w:r>
          </w:p>
        </w:tc>
        <w:tc>
          <w:tcPr>
            <w:tcW w:w="1663" w:type="dxa"/>
            <w:vAlign w:val="center"/>
          </w:tcPr>
          <w:p>
            <w:pPr>
              <w:adjustRightInd/>
              <w:jc w:val="center"/>
              <w:rPr>
                <w:rFonts w:ascii="宋体" w:hAnsi="宋体" w:cs="宋体"/>
              </w:rPr>
            </w:pPr>
            <w:r>
              <w:rPr>
                <w:rFonts w:hint="eastAsia" w:ascii="宋体" w:hAnsi="宋体" w:cs="宋体"/>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restart"/>
            <w:vAlign w:val="center"/>
          </w:tcPr>
          <w:p>
            <w:pPr>
              <w:adjustRightInd/>
              <w:jc w:val="center"/>
              <w:rPr>
                <w:rFonts w:ascii="宋体" w:hAnsi="宋体" w:cs="宋体"/>
              </w:rPr>
            </w:pPr>
          </w:p>
          <w:p>
            <w:pPr>
              <w:adjustRightInd/>
              <w:jc w:val="center"/>
              <w:rPr>
                <w:rFonts w:ascii="宋体" w:hAnsi="宋体" w:cs="宋体"/>
              </w:rPr>
            </w:pPr>
          </w:p>
        </w:tc>
        <w:tc>
          <w:tcPr>
            <w:tcW w:w="1287" w:type="dxa"/>
            <w:vMerge w:val="restart"/>
            <w:vAlign w:val="center"/>
          </w:tcPr>
          <w:p>
            <w:pPr>
              <w:adjustRightInd/>
              <w:jc w:val="center"/>
              <w:rPr>
                <w:rFonts w:ascii="宋体" w:hAnsi="宋体" w:cs="宋体"/>
              </w:rPr>
            </w:pPr>
          </w:p>
          <w:p>
            <w:pPr>
              <w:adjustRightInd/>
              <w:jc w:val="center"/>
              <w:rPr>
                <w:rFonts w:ascii="宋体" w:hAnsi="宋体" w:cs="宋体"/>
              </w:rPr>
            </w:pPr>
          </w:p>
        </w:tc>
        <w:tc>
          <w:tcPr>
            <w:tcW w:w="973" w:type="dxa"/>
            <w:vMerge w:val="restart"/>
            <w:vAlign w:val="center"/>
          </w:tcPr>
          <w:p>
            <w:pPr>
              <w:adjustRightInd/>
              <w:jc w:val="center"/>
              <w:rPr>
                <w:rFonts w:ascii="宋体" w:hAnsi="宋体" w:cs="宋体"/>
              </w:rPr>
            </w:pPr>
          </w:p>
          <w:p>
            <w:pPr>
              <w:adjustRightInd/>
              <w:jc w:val="center"/>
              <w:rPr>
                <w:rFonts w:ascii="宋体" w:hAnsi="宋体" w:cs="宋体"/>
              </w:rPr>
            </w:pPr>
          </w:p>
        </w:tc>
        <w:tc>
          <w:tcPr>
            <w:tcW w:w="831" w:type="dxa"/>
            <w:vMerge w:val="restart"/>
            <w:vAlign w:val="center"/>
          </w:tcPr>
          <w:p>
            <w:pPr>
              <w:adjustRightInd/>
              <w:jc w:val="center"/>
              <w:rPr>
                <w:rFonts w:ascii="宋体" w:hAnsi="宋体" w:cs="宋体"/>
              </w:rPr>
            </w:pPr>
          </w:p>
          <w:p>
            <w:pPr>
              <w:adjustRightInd/>
              <w:jc w:val="center"/>
              <w:rPr>
                <w:rFonts w:ascii="宋体" w:hAnsi="宋体" w:cs="宋体"/>
              </w:rPr>
            </w:pPr>
          </w:p>
        </w:tc>
        <w:tc>
          <w:tcPr>
            <w:tcW w:w="842" w:type="dxa"/>
            <w:gridSpan w:val="2"/>
            <w:vMerge w:val="restart"/>
            <w:vAlign w:val="center"/>
          </w:tcPr>
          <w:p>
            <w:pPr>
              <w:adjustRightInd/>
              <w:jc w:val="center"/>
              <w:rPr>
                <w:rFonts w:ascii="宋体" w:hAnsi="宋体" w:cs="宋体"/>
              </w:rPr>
            </w:pPr>
          </w:p>
          <w:p>
            <w:pPr>
              <w:adjustRightInd/>
              <w:jc w:val="center"/>
              <w:rPr>
                <w:rFonts w:ascii="宋体" w:hAnsi="宋体" w:cs="宋体"/>
              </w:rPr>
            </w:pPr>
          </w:p>
        </w:tc>
        <w:tc>
          <w:tcPr>
            <w:tcW w:w="4229" w:type="dxa"/>
            <w:gridSpan w:val="8"/>
            <w:vAlign w:val="center"/>
          </w:tcPr>
          <w:p>
            <w:pPr>
              <w:adjustRightInd/>
              <w:jc w:val="center"/>
              <w:rPr>
                <w:rFonts w:ascii="宋体" w:hAnsi="宋体" w:cs="宋体"/>
                <w:position w:val="-12"/>
                <w:highlight w:val="green"/>
              </w:rPr>
            </w:pPr>
            <w:r>
              <w:rPr>
                <w:rFonts w:hint="eastAsia" w:ascii="宋体" w:hAnsi="宋体" w:cs="宋体"/>
              </w:rPr>
              <w:t>达到试验荷载后,稳压3min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oMath>
            </m:oMathPara>
          </w:p>
        </w:tc>
        <w:tc>
          <w:tcPr>
            <w:tcW w:w="641" w:type="dxa"/>
            <w:gridSpan w:val="2"/>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oMath>
            </m:oMathPara>
          </w:p>
        </w:tc>
        <w:tc>
          <w:tcPr>
            <w:tcW w:w="641" w:type="dxa"/>
            <w:gridSpan w:val="3"/>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oMath>
            </m:oMathPara>
          </w:p>
        </w:tc>
        <w:tc>
          <w:tcPr>
            <w:tcW w:w="643" w:type="dxa"/>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m:nor/>
                        <m:sty m:val="p"/>
                      </m:rPr>
                      <w:rPr>
                        <w:rFonts w:ascii="Cambria Math" w:hAnsi="宋体" w:cs="宋体"/>
                        <w:b w:val="0"/>
                        <w:i w:val="0"/>
                      </w:rPr>
                      <m:t>max</m:t>
                    </m:r>
                    <m:ctrlPr>
                      <w:rPr>
                        <w:rFonts w:ascii="Cambria Math" w:hAnsi="宋体" w:cs="宋体"/>
                      </w:rPr>
                    </m:ctrlPr>
                  </m:sub>
                </m:sSub>
              </m:oMath>
            </m:oMathPara>
          </w:p>
        </w:tc>
        <w:tc>
          <w:tcPr>
            <w:tcW w:w="1663" w:type="dxa"/>
            <w:vAlign w:val="center"/>
          </w:tcPr>
          <w:p>
            <w:pPr>
              <w:adjustRightInd/>
              <w:jc w:val="center"/>
              <w:textAlignment w:val="center"/>
              <w:rPr>
                <w:rFonts w:ascii="宋体" w:hAnsi="宋体" w:cs="宋体"/>
                <w:position w:val="-12"/>
              </w:rPr>
            </w:pPr>
            <w:r>
              <w:rPr>
                <w:rFonts w:hint="eastAsia" w:ascii="宋体" w:hAnsi="宋体" w:cs="宋体"/>
              </w:rPr>
              <w:t>栏杆、立柱状态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position w:val="-10"/>
              </w:rPr>
            </w:pPr>
          </w:p>
        </w:tc>
        <w:tc>
          <w:tcPr>
            <w:tcW w:w="641" w:type="dxa"/>
            <w:gridSpan w:val="2"/>
            <w:vAlign w:val="center"/>
          </w:tcPr>
          <w:p>
            <w:pPr>
              <w:adjustRightInd/>
              <w:jc w:val="center"/>
              <w:textAlignment w:val="center"/>
              <w:rPr>
                <w:rFonts w:ascii="宋体" w:hAnsi="宋体" w:cs="宋体"/>
                <w:position w:val="-10"/>
              </w:rPr>
            </w:pPr>
          </w:p>
        </w:tc>
        <w:tc>
          <w:tcPr>
            <w:tcW w:w="641" w:type="dxa"/>
            <w:gridSpan w:val="3"/>
            <w:vAlign w:val="center"/>
          </w:tcPr>
          <w:p>
            <w:pPr>
              <w:adjustRightInd/>
              <w:jc w:val="center"/>
              <w:textAlignment w:val="center"/>
              <w:rPr>
                <w:rFonts w:ascii="宋体" w:hAnsi="宋体" w:cs="宋体"/>
                <w:position w:val="-10"/>
              </w:rPr>
            </w:pPr>
          </w:p>
        </w:tc>
        <w:tc>
          <w:tcPr>
            <w:tcW w:w="643" w:type="dxa"/>
            <w:vAlign w:val="center"/>
          </w:tcPr>
          <w:p>
            <w:pPr>
              <w:adjustRightInd/>
              <w:jc w:val="center"/>
              <w:textAlignment w:val="center"/>
              <w:rPr>
                <w:rFonts w:ascii="宋体" w:hAnsi="宋体" w:cs="宋体"/>
                <w:position w:val="-12"/>
              </w:rPr>
            </w:pPr>
          </w:p>
        </w:tc>
        <w:tc>
          <w:tcPr>
            <w:tcW w:w="1663" w:type="dxa"/>
            <w:vAlign w:val="center"/>
          </w:tcPr>
          <w:p>
            <w:pPr>
              <w:adjustRightInd/>
              <w:jc w:val="center"/>
              <w:textAlignment w:val="center"/>
              <w:rPr>
                <w:rFonts w:ascii="宋体" w:hAnsi="宋体" w:cs="宋体"/>
                <w:position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4229" w:type="dxa"/>
            <w:gridSpan w:val="8"/>
            <w:vAlign w:val="center"/>
          </w:tcPr>
          <w:p>
            <w:pPr>
              <w:adjustRightInd/>
              <w:jc w:val="center"/>
              <w:textAlignment w:val="center"/>
              <w:rPr>
                <w:rFonts w:ascii="宋体" w:hAnsi="宋体" w:cs="宋体"/>
              </w:rPr>
            </w:pPr>
            <w:r>
              <w:rPr>
                <w:rFonts w:hint="eastAsia" w:ascii="宋体" w:hAnsi="宋体" w:cs="宋体"/>
              </w:rPr>
              <w:t>卸载5min后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1" w:type="dxa"/>
            <w:gridSpan w:val="2"/>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1" w:type="dxa"/>
            <w:gridSpan w:val="3"/>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3" w:type="dxa"/>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w:rPr>
                        <w:rFonts w:ascii="Cambria Math" w:hAnsi="宋体" w:cs="宋体"/>
                      </w:rPr>
                      <m:t>0</m:t>
                    </m:r>
                    <m:ctrlPr>
                      <w:rPr>
                        <w:rFonts w:ascii="Cambria Math" w:hAnsi="宋体" w:cs="宋体"/>
                        <w:i/>
                      </w:rPr>
                    </m:ctrlPr>
                  </m:sub>
                </m:sSub>
              </m:oMath>
            </m:oMathPara>
          </w:p>
        </w:tc>
        <w:tc>
          <w:tcPr>
            <w:tcW w:w="1663" w:type="dxa"/>
            <w:vAlign w:val="center"/>
          </w:tcPr>
          <w:p>
            <w:pPr>
              <w:adjustRightInd/>
              <w:jc w:val="center"/>
              <w:textAlignment w:val="center"/>
              <w:rPr>
                <w:rFonts w:ascii="宋体" w:hAnsi="宋体" w:cs="宋体"/>
                <w:position w:val="-12"/>
              </w:rPr>
            </w:pPr>
            <w:r>
              <w:rPr>
                <w:rFonts w:hint="eastAsia" w:ascii="宋体" w:hAnsi="宋体" w:cs="宋体"/>
              </w:rPr>
              <w:t>栏杆、立柱状态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position w:val="-10"/>
              </w:rPr>
            </w:pPr>
          </w:p>
        </w:tc>
        <w:tc>
          <w:tcPr>
            <w:tcW w:w="641" w:type="dxa"/>
            <w:gridSpan w:val="2"/>
            <w:vAlign w:val="center"/>
          </w:tcPr>
          <w:p>
            <w:pPr>
              <w:adjustRightInd/>
              <w:jc w:val="center"/>
              <w:textAlignment w:val="center"/>
              <w:rPr>
                <w:rFonts w:ascii="宋体" w:hAnsi="宋体" w:cs="宋体"/>
                <w:position w:val="-10"/>
              </w:rPr>
            </w:pPr>
          </w:p>
        </w:tc>
        <w:tc>
          <w:tcPr>
            <w:tcW w:w="641" w:type="dxa"/>
            <w:gridSpan w:val="3"/>
            <w:vAlign w:val="center"/>
          </w:tcPr>
          <w:p>
            <w:pPr>
              <w:adjustRightInd/>
              <w:jc w:val="center"/>
              <w:textAlignment w:val="center"/>
              <w:rPr>
                <w:rFonts w:ascii="宋体" w:hAnsi="宋体" w:cs="宋体"/>
                <w:position w:val="-10"/>
              </w:rPr>
            </w:pPr>
          </w:p>
        </w:tc>
        <w:tc>
          <w:tcPr>
            <w:tcW w:w="643" w:type="dxa"/>
            <w:vAlign w:val="center"/>
          </w:tcPr>
          <w:p>
            <w:pPr>
              <w:adjustRightInd/>
              <w:jc w:val="center"/>
              <w:textAlignment w:val="center"/>
              <w:rPr>
                <w:rFonts w:ascii="宋体" w:hAnsi="宋体" w:cs="宋体"/>
                <w:position w:val="-12"/>
              </w:rPr>
            </w:pPr>
          </w:p>
        </w:tc>
        <w:tc>
          <w:tcPr>
            <w:tcW w:w="1663" w:type="dxa"/>
            <w:vAlign w:val="center"/>
          </w:tcPr>
          <w:p>
            <w:pPr>
              <w:adjustRightInd/>
              <w:jc w:val="center"/>
              <w:textAlignment w:val="center"/>
              <w:rPr>
                <w:rFonts w:ascii="宋体" w:hAnsi="宋体" w:cs="宋体"/>
                <w:position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4229" w:type="dxa"/>
            <w:gridSpan w:val="8"/>
            <w:vAlign w:val="center"/>
          </w:tcPr>
          <w:p>
            <w:pPr>
              <w:adjustRightInd/>
              <w:jc w:val="center"/>
              <w:textAlignment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restart"/>
            <w:vAlign w:val="center"/>
          </w:tcPr>
          <w:p>
            <w:pPr>
              <w:adjustRightInd/>
              <w:jc w:val="center"/>
              <w:rPr>
                <w:rFonts w:ascii="宋体" w:hAnsi="宋体" w:cs="宋体"/>
              </w:rPr>
            </w:pPr>
          </w:p>
        </w:tc>
        <w:tc>
          <w:tcPr>
            <w:tcW w:w="1287" w:type="dxa"/>
            <w:vMerge w:val="restart"/>
            <w:vAlign w:val="center"/>
          </w:tcPr>
          <w:p>
            <w:pPr>
              <w:adjustRightInd/>
              <w:jc w:val="center"/>
              <w:rPr>
                <w:rFonts w:ascii="宋体" w:hAnsi="宋体" w:cs="宋体"/>
              </w:rPr>
            </w:pPr>
          </w:p>
        </w:tc>
        <w:tc>
          <w:tcPr>
            <w:tcW w:w="973" w:type="dxa"/>
            <w:vMerge w:val="restart"/>
            <w:vAlign w:val="center"/>
          </w:tcPr>
          <w:p>
            <w:pPr>
              <w:adjustRightInd/>
              <w:jc w:val="center"/>
              <w:rPr>
                <w:rFonts w:ascii="宋体" w:hAnsi="宋体" w:cs="宋体"/>
              </w:rPr>
            </w:pPr>
          </w:p>
        </w:tc>
        <w:tc>
          <w:tcPr>
            <w:tcW w:w="831" w:type="dxa"/>
            <w:vMerge w:val="restart"/>
            <w:vAlign w:val="center"/>
          </w:tcPr>
          <w:p>
            <w:pPr>
              <w:adjustRightInd/>
              <w:jc w:val="center"/>
              <w:rPr>
                <w:rFonts w:ascii="宋体" w:hAnsi="宋体" w:cs="宋体"/>
              </w:rPr>
            </w:pPr>
          </w:p>
        </w:tc>
        <w:tc>
          <w:tcPr>
            <w:tcW w:w="842" w:type="dxa"/>
            <w:gridSpan w:val="2"/>
            <w:vMerge w:val="restart"/>
            <w:vAlign w:val="center"/>
          </w:tcPr>
          <w:p>
            <w:pPr>
              <w:adjustRightInd/>
              <w:jc w:val="center"/>
              <w:rPr>
                <w:rFonts w:ascii="宋体" w:hAnsi="宋体" w:cs="宋体"/>
              </w:rPr>
            </w:pPr>
          </w:p>
        </w:tc>
        <w:tc>
          <w:tcPr>
            <w:tcW w:w="4229" w:type="dxa"/>
            <w:gridSpan w:val="8"/>
            <w:vAlign w:val="center"/>
          </w:tcPr>
          <w:p>
            <w:pPr>
              <w:adjustRightInd/>
              <w:jc w:val="center"/>
              <w:textAlignment w:val="center"/>
              <w:rPr>
                <w:rFonts w:ascii="宋体" w:hAnsi="宋体" w:cs="宋体"/>
                <w:position w:val="-12"/>
                <w:highlight w:val="green"/>
              </w:rPr>
            </w:pPr>
            <w:r>
              <w:rPr>
                <w:rFonts w:hint="eastAsia" w:ascii="宋体" w:hAnsi="宋体" w:cs="宋体"/>
              </w:rPr>
              <w:t>达到试验荷载后,稳压3min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oMath>
            </m:oMathPara>
          </w:p>
        </w:tc>
        <w:tc>
          <w:tcPr>
            <w:tcW w:w="641" w:type="dxa"/>
            <w:gridSpan w:val="2"/>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oMath>
            </m:oMathPara>
          </w:p>
        </w:tc>
        <w:tc>
          <w:tcPr>
            <w:tcW w:w="641" w:type="dxa"/>
            <w:gridSpan w:val="3"/>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oMath>
            </m:oMathPara>
          </w:p>
        </w:tc>
        <w:tc>
          <w:tcPr>
            <w:tcW w:w="643" w:type="dxa"/>
            <w:vAlign w:val="center"/>
          </w:tcPr>
          <w:p>
            <w:pPr>
              <w:adjustRightInd/>
              <w:jc w:val="center"/>
              <w:textAlignment w:val="center"/>
              <w:rPr>
                <w:rFonts w:ascii="宋体" w:hAnsi="宋体" w:cs="宋体"/>
              </w:rPr>
            </w:pPr>
            <m:oMathPara>
              <m:oMath>
                <m:sSub>
                  <m:sSubPr>
                    <m:ctrlPr>
                      <w:rPr>
                        <w:rFonts w:ascii="Cambria Math" w:hAnsi="Cambria Math"/>
                        <w:i/>
                      </w:rPr>
                    </m:ctrlPr>
                  </m:sSubPr>
                  <m:e>
                    <m:r>
                      <m:rPr/>
                      <w:rPr>
                        <w:rFonts w:ascii="Cambria Math" w:hAnsi="Cambria Math"/>
                      </w:rPr>
                      <m:t>ω</m:t>
                    </m:r>
                    <m:ctrlPr>
                      <w:rPr>
                        <w:rFonts w:ascii="Cambria Math" w:hAnsi="Cambria Math"/>
                        <w:i/>
                      </w:rPr>
                    </m:ctrlPr>
                  </m:e>
                  <m:sub>
                    <m:r>
                      <m:rPr>
                        <m:nor/>
                        <m:sty m:val="p"/>
                      </m:rPr>
                      <w:rPr>
                        <w:rFonts w:ascii="Times New Roman" w:hAnsi="Times New Roman"/>
                        <w:b w:val="0"/>
                        <w:i w:val="0"/>
                      </w:rPr>
                      <m:t>max</m:t>
                    </m:r>
                    <m:ctrlPr>
                      <w:rPr>
                        <w:rFonts w:ascii="Cambria Math" w:hAnsi="Cambria Math"/>
                      </w:rPr>
                    </m:ctrlPr>
                  </m:sub>
                </m:sSub>
              </m:oMath>
            </m:oMathPara>
          </w:p>
        </w:tc>
        <w:tc>
          <w:tcPr>
            <w:tcW w:w="1663" w:type="dxa"/>
            <w:vAlign w:val="center"/>
          </w:tcPr>
          <w:p>
            <w:pPr>
              <w:adjustRightInd/>
              <w:jc w:val="center"/>
              <w:textAlignment w:val="center"/>
              <w:rPr>
                <w:rFonts w:ascii="宋体" w:hAnsi="宋体" w:cs="宋体"/>
                <w:position w:val="-12"/>
              </w:rPr>
            </w:pPr>
            <w:r>
              <w:rPr>
                <w:rFonts w:hint="eastAsia" w:ascii="宋体" w:hAnsi="宋体" w:cs="宋体"/>
              </w:rPr>
              <w:t>栏杆、立柱状态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position w:val="-10"/>
              </w:rPr>
            </w:pPr>
          </w:p>
        </w:tc>
        <w:tc>
          <w:tcPr>
            <w:tcW w:w="641" w:type="dxa"/>
            <w:gridSpan w:val="2"/>
            <w:vAlign w:val="center"/>
          </w:tcPr>
          <w:p>
            <w:pPr>
              <w:adjustRightInd/>
              <w:jc w:val="center"/>
              <w:textAlignment w:val="center"/>
              <w:rPr>
                <w:rFonts w:ascii="宋体" w:hAnsi="宋体" w:cs="宋体"/>
                <w:position w:val="-10"/>
              </w:rPr>
            </w:pPr>
          </w:p>
        </w:tc>
        <w:tc>
          <w:tcPr>
            <w:tcW w:w="641" w:type="dxa"/>
            <w:gridSpan w:val="3"/>
            <w:vAlign w:val="center"/>
          </w:tcPr>
          <w:p>
            <w:pPr>
              <w:adjustRightInd/>
              <w:jc w:val="center"/>
              <w:textAlignment w:val="center"/>
              <w:rPr>
                <w:rFonts w:ascii="宋体" w:hAnsi="宋体" w:cs="宋体"/>
                <w:position w:val="-10"/>
              </w:rPr>
            </w:pPr>
          </w:p>
        </w:tc>
        <w:tc>
          <w:tcPr>
            <w:tcW w:w="643" w:type="dxa"/>
            <w:vAlign w:val="center"/>
          </w:tcPr>
          <w:p>
            <w:pPr>
              <w:adjustRightInd/>
              <w:jc w:val="center"/>
              <w:textAlignment w:val="center"/>
              <w:rPr>
                <w:rFonts w:ascii="宋体" w:hAnsi="宋体" w:cs="宋体"/>
                <w:position w:val="-12"/>
              </w:rPr>
            </w:pPr>
          </w:p>
        </w:tc>
        <w:tc>
          <w:tcPr>
            <w:tcW w:w="1663" w:type="dxa"/>
            <w:vAlign w:val="center"/>
          </w:tcPr>
          <w:p>
            <w:pPr>
              <w:adjustRightInd/>
              <w:jc w:val="center"/>
              <w:textAlignment w:val="center"/>
              <w:rPr>
                <w:rFonts w:ascii="宋体" w:hAnsi="宋体" w:cs="宋体"/>
                <w:position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4229" w:type="dxa"/>
            <w:gridSpan w:val="8"/>
            <w:vAlign w:val="center"/>
          </w:tcPr>
          <w:p>
            <w:pPr>
              <w:adjustRightInd/>
              <w:jc w:val="center"/>
              <w:textAlignment w:val="center"/>
              <w:rPr>
                <w:rFonts w:ascii="宋体" w:hAnsi="宋体" w:cs="宋体"/>
              </w:rPr>
            </w:pPr>
            <w:r>
              <w:rPr>
                <w:rFonts w:hint="eastAsia" w:ascii="宋体" w:hAnsi="宋体" w:cs="宋体"/>
              </w:rPr>
              <w:t>卸载5min后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A</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1" w:type="dxa"/>
            <w:gridSpan w:val="2"/>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B</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1" w:type="dxa"/>
            <w:gridSpan w:val="3"/>
            <w:vAlign w:val="center"/>
          </w:tcPr>
          <w:p>
            <w:pPr>
              <w:adjustRightInd/>
              <w:jc w:val="center"/>
              <w:textAlignment w:val="center"/>
              <w:rPr>
                <w:rFonts w:ascii="宋体" w:hAnsi="宋体" w:cs="宋体"/>
              </w:rPr>
            </w:pPr>
            <m:oMathPara>
              <m:oMath>
                <m:sSup>
                  <m:sSupPr>
                    <m:ctrlPr>
                      <w:rPr>
                        <w:rFonts w:ascii="Cambria Math" w:hAnsi="宋体" w:cs="宋体"/>
                        <w:i/>
                      </w:rPr>
                    </m:ctrlPr>
                  </m:sSupPr>
                  <m:e>
                    <m:sSub>
                      <m:sSubPr>
                        <m:ctrlPr>
                          <w:rPr>
                            <w:rFonts w:ascii="Cambria Math" w:hAnsi="宋体" w:cs="宋体"/>
                            <w:i/>
                          </w:rPr>
                        </m:ctrlPr>
                      </m:sSubPr>
                      <m:e>
                        <m:r>
                          <m:rPr/>
                          <w:rPr>
                            <w:rFonts w:ascii="Cambria Math" w:hAnsi="宋体" w:cs="宋体"/>
                          </w:rPr>
                          <m:t>S</m:t>
                        </m:r>
                        <m:ctrlPr>
                          <w:rPr>
                            <w:rFonts w:ascii="Cambria Math" w:hAnsi="宋体" w:cs="宋体"/>
                            <w:i/>
                          </w:rPr>
                        </m:ctrlPr>
                      </m:e>
                      <m:sub>
                        <m:r>
                          <m:rPr/>
                          <w:rPr>
                            <w:rFonts w:ascii="Cambria Math" w:hAnsi="宋体" w:cs="宋体"/>
                          </w:rPr>
                          <m:t>C</m:t>
                        </m:r>
                        <m:ctrlPr>
                          <w:rPr>
                            <w:rFonts w:ascii="Cambria Math" w:hAnsi="宋体" w:cs="宋体"/>
                            <w:i/>
                          </w:rPr>
                        </m:ctrlPr>
                      </m:sub>
                    </m:sSub>
                    <m:ctrlPr>
                      <w:rPr>
                        <w:rFonts w:ascii="Cambria Math" w:hAnsi="Cambria Math" w:cs="宋体"/>
                        <w:i/>
                      </w:rPr>
                    </m:ctrlPr>
                  </m:e>
                  <m:sup>
                    <m:r>
                      <m:rPr/>
                      <w:rPr>
                        <w:rFonts w:ascii="Cambria Math" w:hAnsi="宋体" w:cs="宋体"/>
                      </w:rPr>
                      <m:t>'</m:t>
                    </m:r>
                    <m:ctrlPr>
                      <w:rPr>
                        <w:rFonts w:ascii="Cambria Math" w:hAnsi="Cambria Math" w:cs="宋体"/>
                        <w:i/>
                      </w:rPr>
                    </m:ctrlPr>
                  </m:sup>
                </m:sSup>
              </m:oMath>
            </m:oMathPara>
          </w:p>
        </w:tc>
        <w:tc>
          <w:tcPr>
            <w:tcW w:w="643" w:type="dxa"/>
            <w:vAlign w:val="center"/>
          </w:tcPr>
          <w:p>
            <w:pPr>
              <w:adjustRightInd/>
              <w:jc w:val="center"/>
              <w:textAlignment w:val="center"/>
              <w:rPr>
                <w:rFonts w:ascii="宋体" w:hAnsi="宋体" w:cs="宋体"/>
              </w:rPr>
            </w:pPr>
            <m:oMathPara>
              <m:oMath>
                <m:sSub>
                  <m:sSubPr>
                    <m:ctrlPr>
                      <w:rPr>
                        <w:rFonts w:ascii="Cambria Math" w:hAnsi="宋体" w:cs="宋体"/>
                        <w:i/>
                      </w:rPr>
                    </m:ctrlPr>
                  </m:sSubPr>
                  <m:e>
                    <m:r>
                      <m:rPr/>
                      <w:rPr>
                        <w:rFonts w:ascii="Cambria Math" w:hAnsi="宋体" w:cs="宋体"/>
                      </w:rPr>
                      <m:t>ω</m:t>
                    </m:r>
                    <m:ctrlPr>
                      <w:rPr>
                        <w:rFonts w:ascii="Cambria Math" w:hAnsi="宋体" w:cs="宋体"/>
                        <w:i/>
                      </w:rPr>
                    </m:ctrlPr>
                  </m:e>
                  <m:sub>
                    <m:r>
                      <m:rPr/>
                      <w:rPr>
                        <w:rFonts w:ascii="Cambria Math" w:hAnsi="宋体" w:cs="宋体"/>
                      </w:rPr>
                      <m:t>0</m:t>
                    </m:r>
                    <m:ctrlPr>
                      <w:rPr>
                        <w:rFonts w:ascii="Cambria Math" w:hAnsi="宋体" w:cs="宋体"/>
                        <w:i/>
                      </w:rPr>
                    </m:ctrlPr>
                  </m:sub>
                </m:sSub>
              </m:oMath>
            </m:oMathPara>
          </w:p>
        </w:tc>
        <w:tc>
          <w:tcPr>
            <w:tcW w:w="1663" w:type="dxa"/>
            <w:vAlign w:val="center"/>
          </w:tcPr>
          <w:p>
            <w:pPr>
              <w:adjustRightInd/>
              <w:jc w:val="center"/>
              <w:textAlignment w:val="center"/>
              <w:rPr>
                <w:rFonts w:ascii="宋体" w:hAnsi="宋体" w:cs="宋体"/>
                <w:position w:val="-12"/>
              </w:rPr>
            </w:pPr>
            <w:r>
              <w:rPr>
                <w:rFonts w:hint="eastAsia" w:ascii="宋体" w:hAnsi="宋体" w:cs="宋体"/>
              </w:rPr>
              <w:t>栏杆、立柱状态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641" w:type="dxa"/>
            <w:vAlign w:val="center"/>
          </w:tcPr>
          <w:p>
            <w:pPr>
              <w:adjustRightInd/>
              <w:jc w:val="center"/>
              <w:textAlignment w:val="center"/>
              <w:rPr>
                <w:rFonts w:ascii="宋体" w:hAnsi="宋体" w:cs="宋体"/>
                <w:position w:val="-10"/>
              </w:rPr>
            </w:pPr>
          </w:p>
        </w:tc>
        <w:tc>
          <w:tcPr>
            <w:tcW w:w="641" w:type="dxa"/>
            <w:gridSpan w:val="2"/>
            <w:vAlign w:val="center"/>
          </w:tcPr>
          <w:p>
            <w:pPr>
              <w:adjustRightInd/>
              <w:jc w:val="center"/>
              <w:textAlignment w:val="center"/>
              <w:rPr>
                <w:rFonts w:ascii="宋体" w:hAnsi="宋体" w:cs="宋体"/>
                <w:position w:val="-10"/>
              </w:rPr>
            </w:pPr>
          </w:p>
        </w:tc>
        <w:tc>
          <w:tcPr>
            <w:tcW w:w="641" w:type="dxa"/>
            <w:gridSpan w:val="3"/>
            <w:vAlign w:val="center"/>
          </w:tcPr>
          <w:p>
            <w:pPr>
              <w:adjustRightInd/>
              <w:jc w:val="center"/>
              <w:textAlignment w:val="center"/>
              <w:rPr>
                <w:rFonts w:ascii="宋体" w:hAnsi="宋体" w:cs="宋体"/>
                <w:position w:val="-10"/>
              </w:rPr>
            </w:pPr>
          </w:p>
        </w:tc>
        <w:tc>
          <w:tcPr>
            <w:tcW w:w="643" w:type="dxa"/>
            <w:vAlign w:val="center"/>
          </w:tcPr>
          <w:p>
            <w:pPr>
              <w:adjustRightInd/>
              <w:jc w:val="center"/>
              <w:textAlignment w:val="center"/>
              <w:rPr>
                <w:rFonts w:ascii="宋体" w:hAnsi="宋体" w:cs="宋体"/>
                <w:position w:val="-12"/>
              </w:rPr>
            </w:pPr>
          </w:p>
        </w:tc>
        <w:tc>
          <w:tcPr>
            <w:tcW w:w="1663" w:type="dxa"/>
            <w:vAlign w:val="center"/>
          </w:tcPr>
          <w:p>
            <w:pPr>
              <w:adjustRightInd/>
              <w:jc w:val="center"/>
              <w:textAlignment w:val="center"/>
              <w:rPr>
                <w:rFonts w:ascii="宋体" w:hAnsi="宋体" w:cs="宋体"/>
                <w:position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79" w:type="dxa"/>
            <w:vMerge w:val="continue"/>
            <w:vAlign w:val="center"/>
          </w:tcPr>
          <w:p>
            <w:pPr>
              <w:adjustRightInd/>
              <w:jc w:val="center"/>
              <w:rPr>
                <w:rFonts w:ascii="宋体" w:hAnsi="宋体" w:cs="宋体"/>
              </w:rPr>
            </w:pPr>
          </w:p>
        </w:tc>
        <w:tc>
          <w:tcPr>
            <w:tcW w:w="1287" w:type="dxa"/>
            <w:vMerge w:val="continue"/>
            <w:vAlign w:val="center"/>
          </w:tcPr>
          <w:p>
            <w:pPr>
              <w:adjustRightInd/>
              <w:jc w:val="center"/>
              <w:rPr>
                <w:rFonts w:ascii="宋体" w:hAnsi="宋体" w:cs="宋体"/>
              </w:rPr>
            </w:pPr>
          </w:p>
        </w:tc>
        <w:tc>
          <w:tcPr>
            <w:tcW w:w="973" w:type="dxa"/>
            <w:vMerge w:val="continue"/>
            <w:vAlign w:val="center"/>
          </w:tcPr>
          <w:p>
            <w:pPr>
              <w:adjustRightInd/>
              <w:jc w:val="center"/>
              <w:rPr>
                <w:rFonts w:ascii="宋体" w:hAnsi="宋体" w:cs="宋体"/>
              </w:rPr>
            </w:pPr>
          </w:p>
        </w:tc>
        <w:tc>
          <w:tcPr>
            <w:tcW w:w="831" w:type="dxa"/>
            <w:vMerge w:val="continue"/>
            <w:vAlign w:val="center"/>
          </w:tcPr>
          <w:p>
            <w:pPr>
              <w:adjustRightInd/>
              <w:jc w:val="center"/>
              <w:rPr>
                <w:rFonts w:ascii="宋体" w:hAnsi="宋体" w:cs="宋体"/>
              </w:rPr>
            </w:pPr>
          </w:p>
        </w:tc>
        <w:tc>
          <w:tcPr>
            <w:tcW w:w="842" w:type="dxa"/>
            <w:gridSpan w:val="2"/>
            <w:vMerge w:val="continue"/>
            <w:vAlign w:val="center"/>
          </w:tcPr>
          <w:p>
            <w:pPr>
              <w:adjustRightInd/>
              <w:jc w:val="center"/>
              <w:rPr>
                <w:rFonts w:ascii="宋体" w:hAnsi="宋体" w:cs="宋体"/>
              </w:rPr>
            </w:pPr>
          </w:p>
        </w:tc>
        <w:tc>
          <w:tcPr>
            <w:tcW w:w="4229" w:type="dxa"/>
            <w:gridSpan w:val="8"/>
            <w:vAlign w:val="center"/>
          </w:tcPr>
          <w:p>
            <w:pPr>
              <w:adjustRightInd/>
              <w:jc w:val="center"/>
              <w:textAlignment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6" w:type="dxa"/>
            <w:gridSpan w:val="2"/>
            <w:vAlign w:val="center"/>
          </w:tcPr>
          <w:p>
            <w:pPr>
              <w:adjustRightInd/>
              <w:jc w:val="center"/>
              <w:rPr>
                <w:rFonts w:ascii="宋体" w:hAnsi="宋体" w:cs="宋体"/>
              </w:rPr>
            </w:pPr>
            <w:r>
              <w:rPr>
                <w:rFonts w:hint="eastAsia" w:ascii="宋体" w:hAnsi="宋体" w:cs="宋体"/>
              </w:rPr>
              <w:t>备注</w:t>
            </w:r>
          </w:p>
        </w:tc>
        <w:tc>
          <w:tcPr>
            <w:tcW w:w="6875" w:type="dxa"/>
            <w:gridSpan w:val="12"/>
            <w:vAlign w:val="center"/>
          </w:tcPr>
          <w:p>
            <w:pPr>
              <w:adjustRightInd/>
              <w:jc w:val="center"/>
              <w:rPr>
                <w:rFonts w:ascii="宋体" w:hAnsi="宋体" w:cs="宋体"/>
              </w:rPr>
            </w:pPr>
          </w:p>
        </w:tc>
      </w:tr>
    </w:tbl>
    <w:p>
      <w:pPr>
        <w:pStyle w:val="201"/>
      </w:pPr>
    </w:p>
    <w:p>
      <w:pPr>
        <w:pStyle w:val="202"/>
      </w:pPr>
    </w:p>
    <w:p>
      <w:pPr>
        <w:pStyle w:val="79"/>
        <w:numPr>
          <w:ilvl w:val="0"/>
          <w:numId w:val="0"/>
        </w:numPr>
        <w:spacing w:before="78" w:after="156"/>
        <w:rPr>
          <w:rFonts w:ascii="宋体" w:hAnsi="宋体"/>
          <w:sz w:val="18"/>
          <w:szCs w:val="18"/>
        </w:rPr>
        <w:sectPr>
          <w:headerReference r:id="rId13" w:type="default"/>
          <w:footerReference r:id="rId15" w:type="default"/>
          <w:headerReference r:id="rId14" w:type="even"/>
          <w:footerReference r:id="rId16" w:type="even"/>
          <w:pgSz w:w="11906" w:h="16838"/>
          <w:pgMar w:top="567" w:right="1134" w:bottom="1134" w:left="1134" w:header="1418" w:footer="1134" w:gutter="284"/>
          <w:pgNumType w:start="1"/>
          <w:cols w:space="425" w:num="1"/>
          <w:formProt w:val="0"/>
          <w:docGrid w:type="lines" w:linePitch="312" w:charSpace="0"/>
        </w:sectPr>
      </w:pPr>
      <w:bookmarkStart w:id="323" w:name="_Toc14736"/>
      <w:bookmarkStart w:id="324" w:name="_Toc24042"/>
      <w:r>
        <w:rPr>
          <w:rFonts w:hint="eastAsia"/>
        </w:rPr>
        <w:br w:type="textWrapping"/>
      </w:r>
      <w:bookmarkEnd w:id="323"/>
      <w:bookmarkEnd w:id="324"/>
    </w:p>
    <w:bookmarkEnd w:id="26"/>
    <w:p>
      <w:pPr>
        <w:pStyle w:val="59"/>
        <w:ind w:firstLine="199" w:firstLineChars="95"/>
      </w:pPr>
    </w:p>
    <w:sectPr>
      <w:type w:val="continuous"/>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8"/>
  </w:num>
  <w:num w:numId="3">
    <w:abstractNumId w:val="6"/>
  </w:num>
  <w:num w:numId="4">
    <w:abstractNumId w:val="24"/>
  </w:num>
  <w:num w:numId="5">
    <w:abstractNumId w:val="19"/>
  </w:num>
  <w:num w:numId="6">
    <w:abstractNumId w:val="14"/>
  </w:num>
  <w:num w:numId="7">
    <w:abstractNumId w:val="10"/>
  </w:num>
  <w:num w:numId="8">
    <w:abstractNumId w:val="4"/>
  </w:num>
  <w:num w:numId="9">
    <w:abstractNumId w:val="11"/>
  </w:num>
  <w:num w:numId="10">
    <w:abstractNumId w:val="17"/>
  </w:num>
  <w:num w:numId="11">
    <w:abstractNumId w:val="26"/>
  </w:num>
  <w:num w:numId="12">
    <w:abstractNumId w:val="13"/>
  </w:num>
  <w:num w:numId="13">
    <w:abstractNumId w:val="0"/>
  </w:num>
  <w:num w:numId="14">
    <w:abstractNumId w:val="9"/>
  </w:num>
  <w:num w:numId="15">
    <w:abstractNumId w:val="20"/>
  </w:num>
  <w:num w:numId="16">
    <w:abstractNumId w:val="22"/>
  </w:num>
  <w:num w:numId="17">
    <w:abstractNumId w:val="18"/>
  </w:num>
  <w:num w:numId="18">
    <w:abstractNumId w:val="29"/>
  </w:num>
  <w:num w:numId="19">
    <w:abstractNumId w:val="16"/>
  </w:num>
  <w:num w:numId="20">
    <w:abstractNumId w:val="2"/>
  </w:num>
  <w:num w:numId="21">
    <w:abstractNumId w:val="12"/>
  </w:num>
  <w:num w:numId="22">
    <w:abstractNumId w:val="30"/>
  </w:num>
  <w:num w:numId="23">
    <w:abstractNumId w:val="21"/>
  </w:num>
  <w:num w:numId="24">
    <w:abstractNumId w:val="7"/>
  </w:num>
  <w:num w:numId="25">
    <w:abstractNumId w:val="27"/>
  </w:num>
  <w:num w:numId="26">
    <w:abstractNumId w:val="28"/>
  </w:num>
  <w:num w:numId="27">
    <w:abstractNumId w:val="3"/>
  </w:num>
  <w:num w:numId="28">
    <w:abstractNumId w:val="5"/>
  </w:num>
  <w:num w:numId="29">
    <w:abstractNumId w:val="15"/>
  </w:num>
  <w:num w:numId="30">
    <w:abstractNumId w:val="25"/>
  </w:num>
  <w:num w:numId="31">
    <w:abstractNumId w:val="2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OTVmY2QzNTZmZGE2MzBhMzEyZTFlNjNiMWY5YjMifQ=="/>
  </w:docVars>
  <w:rsids>
    <w:rsidRoot w:val="004702BC"/>
    <w:rsid w:val="0000040A"/>
    <w:rsid w:val="00000A94"/>
    <w:rsid w:val="00001972"/>
    <w:rsid w:val="00001D9A"/>
    <w:rsid w:val="00007B3A"/>
    <w:rsid w:val="000107E0"/>
    <w:rsid w:val="00011FDE"/>
    <w:rsid w:val="00012FFD"/>
    <w:rsid w:val="00013954"/>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1DE9"/>
    <w:rsid w:val="00104926"/>
    <w:rsid w:val="001053D9"/>
    <w:rsid w:val="00105D5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D60A9"/>
    <w:rsid w:val="001E1B6A"/>
    <w:rsid w:val="001E2484"/>
    <w:rsid w:val="001E3CC4"/>
    <w:rsid w:val="001E4882"/>
    <w:rsid w:val="001E73AB"/>
    <w:rsid w:val="001F092D"/>
    <w:rsid w:val="001F143A"/>
    <w:rsid w:val="001F1605"/>
    <w:rsid w:val="001F2508"/>
    <w:rsid w:val="001F4816"/>
    <w:rsid w:val="001F4EE9"/>
    <w:rsid w:val="001F69B4"/>
    <w:rsid w:val="001F7170"/>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73C2B"/>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21D3"/>
    <w:rsid w:val="003331E4"/>
    <w:rsid w:val="00333BE6"/>
    <w:rsid w:val="00336C64"/>
    <w:rsid w:val="00337162"/>
    <w:rsid w:val="0034194F"/>
    <w:rsid w:val="00344605"/>
    <w:rsid w:val="003474AA"/>
    <w:rsid w:val="00350D1D"/>
    <w:rsid w:val="00352C83"/>
    <w:rsid w:val="0036139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2A"/>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C2F"/>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5904"/>
    <w:rsid w:val="00651ACB"/>
    <w:rsid w:val="00651C47"/>
    <w:rsid w:val="00652AB2"/>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4B4"/>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C43"/>
    <w:rsid w:val="00765EFB"/>
    <w:rsid w:val="007671CA"/>
    <w:rsid w:val="00767C61"/>
    <w:rsid w:val="0077008A"/>
    <w:rsid w:val="0077130C"/>
    <w:rsid w:val="00773841"/>
    <w:rsid w:val="00773C1F"/>
    <w:rsid w:val="007748B9"/>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0AA1"/>
    <w:rsid w:val="007C1E8B"/>
    <w:rsid w:val="007C2D89"/>
    <w:rsid w:val="007C4593"/>
    <w:rsid w:val="007C5309"/>
    <w:rsid w:val="007C6069"/>
    <w:rsid w:val="007D06C4"/>
    <w:rsid w:val="007D1352"/>
    <w:rsid w:val="007D235B"/>
    <w:rsid w:val="007D2508"/>
    <w:rsid w:val="007D346A"/>
    <w:rsid w:val="007D6518"/>
    <w:rsid w:val="007D76BD"/>
    <w:rsid w:val="007E0BF1"/>
    <w:rsid w:val="007F0ED8"/>
    <w:rsid w:val="007F0F63"/>
    <w:rsid w:val="007F169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9DD"/>
    <w:rsid w:val="00830621"/>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5DBC"/>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496B"/>
    <w:rsid w:val="00957263"/>
    <w:rsid w:val="009610DC"/>
    <w:rsid w:val="00961490"/>
    <w:rsid w:val="0096381A"/>
    <w:rsid w:val="00965E04"/>
    <w:rsid w:val="009674AD"/>
    <w:rsid w:val="00970CDC"/>
    <w:rsid w:val="00970E83"/>
    <w:rsid w:val="00977010"/>
    <w:rsid w:val="00977D02"/>
    <w:rsid w:val="009809BB"/>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36F"/>
    <w:rsid w:val="00A55BD6"/>
    <w:rsid w:val="00A55D50"/>
    <w:rsid w:val="00A57142"/>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259A"/>
    <w:rsid w:val="00B939B1"/>
    <w:rsid w:val="00B96D40"/>
    <w:rsid w:val="00B97386"/>
    <w:rsid w:val="00B975AF"/>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7829"/>
    <w:rsid w:val="00D66846"/>
    <w:rsid w:val="00D66865"/>
    <w:rsid w:val="00D675FB"/>
    <w:rsid w:val="00D71F25"/>
    <w:rsid w:val="00D72A9C"/>
    <w:rsid w:val="00D77031"/>
    <w:rsid w:val="00D84941"/>
    <w:rsid w:val="00D84FA1"/>
    <w:rsid w:val="00D851F0"/>
    <w:rsid w:val="00D86DB7"/>
    <w:rsid w:val="00D8706E"/>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A2"/>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5EDF"/>
    <w:rsid w:val="00EB60FE"/>
    <w:rsid w:val="00EB74DB"/>
    <w:rsid w:val="00EC5259"/>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6CF1"/>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00CB"/>
    <w:rsid w:val="00F33817"/>
    <w:rsid w:val="00F420D5"/>
    <w:rsid w:val="00F451EA"/>
    <w:rsid w:val="00F45447"/>
    <w:rsid w:val="00F456C6"/>
    <w:rsid w:val="00F4577B"/>
    <w:rsid w:val="00F46496"/>
    <w:rsid w:val="00F474D0"/>
    <w:rsid w:val="00F50179"/>
    <w:rsid w:val="00F515EE"/>
    <w:rsid w:val="00F53244"/>
    <w:rsid w:val="00F56511"/>
    <w:rsid w:val="00F616B3"/>
    <w:rsid w:val="00F6194E"/>
    <w:rsid w:val="00F623AC"/>
    <w:rsid w:val="00F6412A"/>
    <w:rsid w:val="00F65893"/>
    <w:rsid w:val="00F659BC"/>
    <w:rsid w:val="00F66A4A"/>
    <w:rsid w:val="00F71E22"/>
    <w:rsid w:val="00F72142"/>
    <w:rsid w:val="00F72AE7"/>
    <w:rsid w:val="00F7748A"/>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1B1"/>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5D82F19"/>
    <w:rsid w:val="060D18C8"/>
    <w:rsid w:val="07017E6C"/>
    <w:rsid w:val="0ADF744E"/>
    <w:rsid w:val="0B93537C"/>
    <w:rsid w:val="0C8C344F"/>
    <w:rsid w:val="0CC577FF"/>
    <w:rsid w:val="0D833CC2"/>
    <w:rsid w:val="0F712210"/>
    <w:rsid w:val="11A40E31"/>
    <w:rsid w:val="14891A12"/>
    <w:rsid w:val="16A50DC5"/>
    <w:rsid w:val="18CA783A"/>
    <w:rsid w:val="18E22D8A"/>
    <w:rsid w:val="19156BFA"/>
    <w:rsid w:val="19785E13"/>
    <w:rsid w:val="1A6551D0"/>
    <w:rsid w:val="1D2C5147"/>
    <w:rsid w:val="1D525CA6"/>
    <w:rsid w:val="1EE171E7"/>
    <w:rsid w:val="22314170"/>
    <w:rsid w:val="225049AB"/>
    <w:rsid w:val="22664AA7"/>
    <w:rsid w:val="2290136A"/>
    <w:rsid w:val="231E7432"/>
    <w:rsid w:val="24BB79C6"/>
    <w:rsid w:val="2A6A7626"/>
    <w:rsid w:val="2E1A3284"/>
    <w:rsid w:val="2F6139DE"/>
    <w:rsid w:val="30EB0288"/>
    <w:rsid w:val="31524179"/>
    <w:rsid w:val="317533E5"/>
    <w:rsid w:val="369E7196"/>
    <w:rsid w:val="3A6450D7"/>
    <w:rsid w:val="3BFD6956"/>
    <w:rsid w:val="3F5B3E28"/>
    <w:rsid w:val="43794358"/>
    <w:rsid w:val="46BC7F69"/>
    <w:rsid w:val="47240F3D"/>
    <w:rsid w:val="47264D1B"/>
    <w:rsid w:val="475E06A6"/>
    <w:rsid w:val="49415E3C"/>
    <w:rsid w:val="494B13DF"/>
    <w:rsid w:val="4C6C1C95"/>
    <w:rsid w:val="4D1F46E6"/>
    <w:rsid w:val="4E8D742E"/>
    <w:rsid w:val="50337292"/>
    <w:rsid w:val="51072019"/>
    <w:rsid w:val="51D71344"/>
    <w:rsid w:val="56290384"/>
    <w:rsid w:val="58F07D77"/>
    <w:rsid w:val="594A0738"/>
    <w:rsid w:val="5B262E40"/>
    <w:rsid w:val="5C5777C0"/>
    <w:rsid w:val="5F6D12E1"/>
    <w:rsid w:val="63807067"/>
    <w:rsid w:val="66A9484E"/>
    <w:rsid w:val="6F9C0681"/>
    <w:rsid w:val="71125845"/>
    <w:rsid w:val="752F4CAC"/>
    <w:rsid w:val="77087B57"/>
    <w:rsid w:val="78E65A47"/>
    <w:rsid w:val="79763411"/>
    <w:rsid w:val="79B2057E"/>
    <w:rsid w:val="7D441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3"/>
    <w:qFormat/>
    <w:uiPriority w:val="0"/>
    <w:rPr>
      <w:rFonts w:ascii="Times New Roman" w:hAnsi="Times New Roman" w:eastAsia="宋体" w:cs="Times New Roman"/>
      <w:b/>
      <w:bCs/>
      <w:kern w:val="44"/>
      <w:sz w:val="44"/>
      <w:szCs w:val="44"/>
    </w:rPr>
  </w:style>
  <w:style w:type="character" w:customStyle="1" w:styleId="38">
    <w:name w:val="标题 2 Char"/>
    <w:link w:val="4"/>
    <w:qFormat/>
    <w:uiPriority w:val="0"/>
    <w:rPr>
      <w:rFonts w:ascii="Arial" w:hAnsi="Arial" w:eastAsia="黑体" w:cs="Times New Roman"/>
      <w:b/>
      <w:bCs/>
      <w:sz w:val="32"/>
      <w:szCs w:val="32"/>
    </w:rPr>
  </w:style>
  <w:style w:type="character" w:customStyle="1" w:styleId="39">
    <w:name w:val="标题 3 Char"/>
    <w:link w:val="5"/>
    <w:qFormat/>
    <w:uiPriority w:val="0"/>
    <w:rPr>
      <w:rFonts w:ascii="Times New Roman" w:hAnsi="Times New Roman" w:eastAsia="宋体" w:cs="Times New Roman"/>
      <w:b/>
      <w:bCs/>
      <w:sz w:val="32"/>
      <w:szCs w:val="32"/>
    </w:rPr>
  </w:style>
  <w:style w:type="character" w:customStyle="1" w:styleId="40">
    <w:name w:val="标题 4 Char"/>
    <w:link w:val="6"/>
    <w:qFormat/>
    <w:uiPriority w:val="0"/>
    <w:rPr>
      <w:rFonts w:ascii="Arial" w:hAnsi="Arial" w:eastAsia="黑体" w:cs="Times New Roman"/>
      <w:b/>
      <w:bCs/>
      <w:sz w:val="28"/>
      <w:szCs w:val="28"/>
    </w:rPr>
  </w:style>
  <w:style w:type="character" w:customStyle="1" w:styleId="41">
    <w:name w:val="标题 5 Char"/>
    <w:link w:val="7"/>
    <w:qFormat/>
    <w:uiPriority w:val="0"/>
    <w:rPr>
      <w:rFonts w:ascii="Times New Roman" w:hAnsi="Times New Roman" w:eastAsia="宋体" w:cs="Times New Roman"/>
      <w:b/>
      <w:bCs/>
      <w:sz w:val="28"/>
      <w:szCs w:val="28"/>
    </w:rPr>
  </w:style>
  <w:style w:type="character" w:customStyle="1" w:styleId="42">
    <w:name w:val="标题 6 Char"/>
    <w:link w:val="8"/>
    <w:qFormat/>
    <w:uiPriority w:val="0"/>
    <w:rPr>
      <w:rFonts w:ascii="Arial" w:hAnsi="Arial" w:eastAsia="黑体" w:cs="Times New Roman"/>
      <w:b/>
      <w:bCs/>
      <w:sz w:val="24"/>
      <w:szCs w:val="24"/>
    </w:rPr>
  </w:style>
  <w:style w:type="character" w:customStyle="1" w:styleId="43">
    <w:name w:val="标题 7 Char"/>
    <w:link w:val="9"/>
    <w:qFormat/>
    <w:uiPriority w:val="0"/>
    <w:rPr>
      <w:rFonts w:ascii="Times New Roman" w:hAnsi="Times New Roman" w:eastAsia="宋体" w:cs="Times New Roman"/>
      <w:b/>
      <w:bCs/>
      <w:sz w:val="24"/>
      <w:szCs w:val="24"/>
    </w:rPr>
  </w:style>
  <w:style w:type="character" w:customStyle="1" w:styleId="44">
    <w:name w:val="标题 8 Char"/>
    <w:link w:val="10"/>
    <w:qFormat/>
    <w:uiPriority w:val="0"/>
    <w:rPr>
      <w:rFonts w:ascii="Arial" w:hAnsi="Arial" w:eastAsia="黑体" w:cs="Times New Roman"/>
      <w:sz w:val="24"/>
      <w:szCs w:val="24"/>
    </w:rPr>
  </w:style>
  <w:style w:type="character" w:customStyle="1" w:styleId="45">
    <w:name w:val="标题 9 Char"/>
    <w:link w:val="11"/>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Char"/>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 w:type="paragraph" w:customStyle="1" w:styleId="243">
    <w:name w:val="！款格式"/>
    <w:basedOn w:val="1"/>
    <w:qFormat/>
    <w:uiPriority w:val="0"/>
    <w:pPr>
      <w:spacing w:line="360" w:lineRule="auto"/>
      <w:ind w:left="315" w:leftChars="15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9.wmf"/><Relationship Id="rId30" Type="http://schemas.openxmlformats.org/officeDocument/2006/relationships/oleObject" Target="embeddings/oleObject4.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3.bin"/><Relationship Id="rId27" Type="http://schemas.openxmlformats.org/officeDocument/2006/relationships/image" Target="media/image7.wmf"/><Relationship Id="rId26" Type="http://schemas.openxmlformats.org/officeDocument/2006/relationships/oleObject" Target="embeddings/oleObject2.bin"/><Relationship Id="rId25" Type="http://schemas.openxmlformats.org/officeDocument/2006/relationships/image" Target="media/image6.wmf"/><Relationship Id="rId24" Type="http://schemas.openxmlformats.org/officeDocument/2006/relationships/oleObject" Target="embeddings/oleObject1.bin"/><Relationship Id="rId23" Type="http://schemas.openxmlformats.org/officeDocument/2006/relationships/image" Target="media/image5.png"/><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F630C9"/>
    <w:rsid w:val="000475D6"/>
    <w:rsid w:val="00304CC6"/>
    <w:rsid w:val="0039284D"/>
    <w:rsid w:val="004F2777"/>
    <w:rsid w:val="0053193F"/>
    <w:rsid w:val="007A36B5"/>
    <w:rsid w:val="009A4CFE"/>
    <w:rsid w:val="009E6D14"/>
    <w:rsid w:val="00A37709"/>
    <w:rsid w:val="00AA5C1E"/>
    <w:rsid w:val="00B31329"/>
    <w:rsid w:val="00DA3A49"/>
    <w:rsid w:val="00DF3455"/>
    <w:rsid w:val="00F41A14"/>
    <w:rsid w:val="00F630C9"/>
    <w:rsid w:val="00FA570E"/>
    <w:rsid w:val="00FC2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231F5-8D3E-4FB7-97DD-428D4197E2C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Pages>
  <Words>1213</Words>
  <Characters>6915</Characters>
  <Lines>57</Lines>
  <Paragraphs>16</Paragraphs>
  <TotalTime>1</TotalTime>
  <ScaleCrop>false</ScaleCrop>
  <LinksUpToDate>false</LinksUpToDate>
  <CharactersWithSpaces>8112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2024-04-17T08:26:00Z</dcterms:created>
  <dc:creator>胥文婷</dc:creator>
  <dc:description>&lt;config cover="true" show_menu="true" version="1.0.0" doctype="SDKXY"&gt;_x000d_
&lt;/config&gt;</dc:description>
  <cp:lastModifiedBy>吴晓春</cp:lastModifiedBy>
  <cp:lastPrinted>2024-04-17T08:25:00Z</cp:lastPrinted>
  <dcterms:modified xsi:type="dcterms:W3CDTF">2024-09-12T00:56:14Z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A7018656D53C4685A89D0A9552A90699_13</vt:lpwstr>
  </property>
</Properties>
</file>