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7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1AFF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关于征集淮安市电动自行车以旧换新</w:t>
      </w:r>
    </w:p>
    <w:p w14:paraId="056A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补贴活动参与企业的公告</w:t>
      </w:r>
    </w:p>
    <w:p w14:paraId="3D67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F01EC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为贯彻党中央决策部署，落实国务院办公厅《电动自行车安全隐患全链条整治行动方案》《商务部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推动电动自行车以旧换新实施方案》《江苏省推动超长期特别国债资金支持消费品以旧换新的实施方案》《江苏省推进电动自行车以旧换新实施办法》文件精神，做好全市电动自行车以旧换新活动准备工作，现就组织本次电动自行车以旧换新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报名工作有关事项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如下：</w:t>
      </w:r>
    </w:p>
    <w:p w14:paraId="4B588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一、参与企业（单位）应当同时满足下列资格要求</w:t>
      </w:r>
    </w:p>
    <w:p w14:paraId="6D4C5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报名主体应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是在淮安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市登记注册的电动自行车生产企业或电动自行车销售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有独立承担民事责任的能力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18303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法人营业执照复印件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。</w:t>
      </w:r>
    </w:p>
    <w:p w14:paraId="3349E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营状况良好。具有良好的征信和健全的财务会计制度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B008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提供：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参加本次遴选活动前六个月内任意一月份财务状况报告（至少包括资产负债和利润表）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或参加本次遴选活动前六个月内银行出具的资信证明，或上一年度财务报告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。</w:t>
      </w:r>
    </w:p>
    <w:p w14:paraId="52EF6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依法缴纳税收的良好记录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1487E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提供：参加本次遴选活动前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六个月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内至少一个月缴纳税收的凭证。</w:t>
      </w:r>
    </w:p>
    <w:p w14:paraId="384471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无不良记录。未被“信用中国”网站列为失信被执行人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年以来经营活动中没有重大违法记录、重大安全事故，无严重失信行为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ADE56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信用中国信用报告。</w:t>
      </w:r>
    </w:p>
    <w:p w14:paraId="7535FE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市有正规销售门店，可统一归集、规范核算以旧换新销售收入，确保活动销售数据要素齐全、链条完整，满足政府部门审计要求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7B9D9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提供：店面照片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。</w:t>
      </w:r>
    </w:p>
    <w:p w14:paraId="6AF6E7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与有资质的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整车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铅酸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蓄电池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回收企业签订回收协议，并及时向回收企业移交旧电动自行车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合同终止时间不得早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于2024年12月31日。</w:t>
      </w:r>
    </w:p>
    <w:p w14:paraId="7CD6DF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提供：与有资质的整车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铅酸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</w:rPr>
        <w:t>蓄电池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回收企业签订回收协议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并附资质企业的资质证书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。</w:t>
      </w:r>
    </w:p>
    <w:p w14:paraId="6BB7E5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具备完善的售后服务能力、回收体系，满足消费者以旧换新、退换货等消费需求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EAF6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做好政策宣传推广，不为个人用户享受补贴政策增设任何附加条件，自觉抵制套利、套现、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骗补、套补等行为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F87C1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同意配合本次以旧换新活动配备专门团队，做好人员培训、门店服务、政策解答、投诉处理等相关工作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8E23F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活动门店设有符合环保、安全生产要求的暂存废旧车辆的区域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EBC52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提供：废旧电池临时存放场地照片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。</w:t>
      </w:r>
    </w:p>
    <w:p w14:paraId="236B3C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活动门店可按活动标准化流程提供一站式服务，门店近三年无产品质量违法记录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F69BD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完整清晰的活动台账，自愿接受政府相关部门及委派的第三方机构对本次活动进行监督、审计。活动台账应包括但不限于销售发票、消费者购买清单（含消费者姓名、身份证号、联系电话、旧车信息登记表、购买产品名称及编码、销售额及补贴额等）、旧电动自行车（包含电池在内的整车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回收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移交清单，并于活动结束后及时报主管部门备案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48BAB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仿宋_GB2312"/>
          <w:sz w:val="32"/>
          <w:szCs w:val="32"/>
        </w:rPr>
        <w:t>要求</w:t>
      </w:r>
    </w:p>
    <w:p w14:paraId="109A43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扩容参与企业数量。我局将按照边实施边扩容、成熟一家启动一家的原则，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在审核公示后，分批次授权开展以旧换新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实行动态管理。</w:t>
      </w:r>
    </w:p>
    <w:p w14:paraId="5A640A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严格把关企业报名。各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核对本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企业资质和商品池，不得出现弄虚作假、提供虚假材料的情况。后续凡出现违反活动要求的，企业承担全部责任。</w:t>
      </w:r>
    </w:p>
    <w:p w14:paraId="2FFD5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en-US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控补贴资金风险。严禁活动参与方提供虚假信息或者设置虚假交易骗取补贴资金，不得利用补贴政策倒买倒卖补贴产品。如存在违法违规行为，取消参与活动资格，并追回补贴资金，情节严重的依法追究相应责任。</w:t>
      </w:r>
    </w:p>
    <w:p w14:paraId="3A0C21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三、其他事项</w:t>
      </w:r>
    </w:p>
    <w:p w14:paraId="716F3F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各报名企业于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日前将相关申报材料和附件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1、2、3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的纸质版报市商务局（清江浦区淮海东路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号汇丰广场写字楼）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室。联系人：张倩倩，联系电话：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83900039、13852359897。</w:t>
      </w:r>
    </w:p>
    <w:p w14:paraId="5B0A18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C7A3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1B2C87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淮安市商务局</w:t>
      </w:r>
    </w:p>
    <w:p w14:paraId="385C5B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2024年9月29日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0A5BD2A8">
      <w:pPr>
        <w:widowControl/>
        <w:spacing w:line="600" w:lineRule="exact"/>
        <w:rPr>
          <w:rFonts w:hint="default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  <w:t>1</w:t>
      </w:r>
    </w:p>
    <w:p w14:paraId="0B26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 w14:paraId="34D167D7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 w14:paraId="3B7035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本单位自愿报名参与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电动自行车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以旧换新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做出承诺如下：</w:t>
      </w:r>
    </w:p>
    <w:p w14:paraId="5553D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提供的企业营业执照、征信和财务会计制度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凭据真实有效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4010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三年内在经营活动中无重大违法记录，未发生过有较大影响的安全责任事故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90B4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同意与公开遴选确定的支付结算平台签订协议，对接完成信息上传、交易收单和支付准备工作，能够实现支付时直接扣减补贴金额并在支付结果及记录中显示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A614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有规范的财务、销售、配送等管理制度和信息化系统，有完善的进销存管理机制，能提供活动相关、可溯、不可更改的电子台账，可进行数据查询、统计、导出、监管、清算及对账等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8983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完整清晰的本次活动台账，自愿接受政府相关部门及委派的第三方机构对本次活动进行监督、审计。活动台账应包括但不限于销售发票、消费者购买清单（含消费者姓名、身份证号、联系电话、旧车信息登记表、购买产品名称及编码、销售额及补贴额等）、旧电动自行车（包含电池在内的整车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回收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移交清单，并于活动结束后及时报送至主管部门备案。</w:t>
      </w:r>
    </w:p>
    <w:p w14:paraId="78344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具备完善的售后服务能力、回收体系，满足消费者以旧换新、退换货等消费需求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246E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力配合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做好政策宣传推广，配合本次以旧换新活动配备专门团队，做好人员培训、门店服务、政策解答、投诉处理等相关工作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不为个人用户享受补贴政策增设任何附加条件，自觉抵制套利、套现、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骗补、套补等行为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FF5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活动门店可按活动标准化流程提供一站式服务，门店近三年无产品质量违法记录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6CC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格遵守各项法律法规和参与本次活动需遵守的各项基本规则，接受社会各方监督，积极协调处理补贴相关诉求纠纷。</w:t>
      </w:r>
    </w:p>
    <w:p w14:paraId="583B60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本单位若有违反承诺内容的行为，愿意承担全部责任，并退回相应补贴资金。</w:t>
      </w:r>
    </w:p>
    <w:p w14:paraId="37103C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716D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7168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承诺人（加盖公章）：</w:t>
      </w:r>
    </w:p>
    <w:p w14:paraId="30585C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期：</w:t>
      </w:r>
    </w:p>
    <w:p w14:paraId="61CE7B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DF7C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4BAC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27DAA18">
      <w:pPr>
        <w:widowControl/>
        <w:spacing w:line="600" w:lineRule="exact"/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bidi="en-US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  <w:t>2</w:t>
      </w:r>
    </w:p>
    <w:p w14:paraId="3540FA99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淮安市电动自行车以旧换新活动</w:t>
      </w:r>
    </w:p>
    <w:p w14:paraId="1C1B8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参与企业报名表</w:t>
      </w:r>
    </w:p>
    <w:p w14:paraId="046A0877">
      <w:pPr>
        <w:widowControl/>
        <w:spacing w:line="600" w:lineRule="exact"/>
        <w:jc w:val="right"/>
        <w:rPr>
          <w:rFonts w:ascii="黑体" w:hAnsi="黑体" w:eastAsia="黑体" w:cs="黑体"/>
          <w:kern w:val="0"/>
          <w:sz w:val="32"/>
          <w:szCs w:val="32"/>
          <w:lang w:eastAsia="en-US" w:bidi="en-US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en-US" w:bidi="en-US"/>
        </w:rPr>
        <w:t>填报日期：2024年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en-US" w:bidi="en-US"/>
        </w:rPr>
        <w:t xml:space="preserve">  月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en-US" w:bidi="en-US"/>
        </w:rPr>
        <w:t xml:space="preserve"> 日</w:t>
      </w:r>
    </w:p>
    <w:tbl>
      <w:tblPr>
        <w:tblStyle w:val="5"/>
        <w:tblW w:w="8855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427"/>
      </w:tblGrid>
      <w:tr w14:paraId="76C5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83A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申请单位名称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0F917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3EEDE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E20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统一社会信用代码</w:t>
            </w:r>
          </w:p>
        </w:tc>
        <w:tc>
          <w:tcPr>
            <w:tcW w:w="64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4EE4C"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2E6A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A94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注册地址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47F78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70F27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D8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经营范围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BCFA4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3EB1D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E7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2023年销售额</w:t>
            </w:r>
          </w:p>
          <w:p w14:paraId="6305E7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8F52B"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6B5CB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D9C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69E7F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ECB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联系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电话</w:t>
            </w:r>
          </w:p>
        </w:tc>
        <w:tc>
          <w:tcPr>
            <w:tcW w:w="2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F0303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078A8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08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活动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76BC3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A74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联系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电话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8973F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14:paraId="241FF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7C3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结算账户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信息（名称、账号、开户行）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C571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</w:p>
        </w:tc>
      </w:tr>
      <w:tr w14:paraId="78F2D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38A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申请单位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  <w:t>承诺</w:t>
            </w:r>
          </w:p>
        </w:tc>
        <w:tc>
          <w:tcPr>
            <w:tcW w:w="6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E71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我单位自愿参加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en-US"/>
              </w:rPr>
              <w:t>淮安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市电动自行车以旧换新活动，承诺提供的所有申报数据、材料等信息真实有效，严格落实活动相关规定，接受有关部门的监督。如有不实之处，愿承担一切法律责任。</w:t>
            </w:r>
          </w:p>
          <w:p w14:paraId="15D65E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</w:p>
          <w:p w14:paraId="367C7C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</w:p>
          <w:p w14:paraId="603C16EC">
            <w:pPr>
              <w:widowControl/>
              <w:spacing w:line="40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法定代表人（负责人）签字：</w:t>
            </w:r>
          </w:p>
          <w:p w14:paraId="5D1F00CB">
            <w:pPr>
              <w:widowControl/>
              <w:spacing w:line="400" w:lineRule="exact"/>
              <w:ind w:left="2800" w:hanging="2800" w:hangingChars="100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</w:p>
          <w:p w14:paraId="5FF04F33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</w:p>
          <w:p w14:paraId="37106488">
            <w:pPr>
              <w:widowControl/>
              <w:spacing w:line="400" w:lineRule="exact"/>
              <w:ind w:left="2795" w:leftChars="1197" w:hanging="281" w:hangingChars="1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（申请单位公章）</w:t>
            </w:r>
          </w:p>
          <w:p w14:paraId="1E8B0768">
            <w:pPr>
              <w:widowControl/>
              <w:spacing w:line="400" w:lineRule="exact"/>
              <w:ind w:left="3073" w:leftChars="1330" w:hanging="280" w:hangingChars="10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 xml:space="preserve">2024年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日</w:t>
            </w:r>
          </w:p>
        </w:tc>
      </w:tr>
    </w:tbl>
    <w:p w14:paraId="02ECE629">
      <w:pPr>
        <w:ind w:firstLine="640" w:firstLineChars="200"/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 w14:paraId="673FCC66">
      <w:pPr>
        <w:widowControl/>
        <w:spacing w:line="600" w:lineRule="exact"/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bidi="en-US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en-US"/>
        </w:rPr>
        <w:t>3</w:t>
      </w:r>
    </w:p>
    <w:tbl>
      <w:tblPr>
        <w:tblStyle w:val="5"/>
        <w:tblW w:w="13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08"/>
        <w:gridCol w:w="1928"/>
        <w:gridCol w:w="1363"/>
        <w:gridCol w:w="4200"/>
        <w:gridCol w:w="1419"/>
        <w:gridCol w:w="1716"/>
      </w:tblGrid>
      <w:tr w14:paraId="285B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37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线下参与门店名单汇总表</w:t>
            </w:r>
          </w:p>
        </w:tc>
      </w:tr>
      <w:tr w14:paraId="28013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75B05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B0386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5A22D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门店名称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6ABB4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所属县（区）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F99F7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门店经营地址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1BC1E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3C43E"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14:paraId="6668A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D6529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006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41D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574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EF58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227B146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FD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DFB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DB9D3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6A7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899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B57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72530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EF74C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4B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563D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B92C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CDE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60D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25B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ECE53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AC05E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DF1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2A78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5842C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676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6B6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F5C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0A924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BD5F8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238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EA4A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4A1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6BF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122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7C1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8E1CC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6BAEE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EAB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0B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B19C6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820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E2E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3C1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76ED7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E85DC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A4D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B16A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93C86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1B3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357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618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49032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7C141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E27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57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8F72C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DD8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746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8E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14223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E702A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FBE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2923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59A0D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412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E21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26C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92191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39760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007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C1D9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2CC7B">
            <w:pPr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338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E41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9D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3E2EF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2B62D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00A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6CF0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37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E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注：1.“单位名称”请填写全称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2.门店经营地址具体到：XX区（县）XX路XXX门牌号。</w:t>
            </w:r>
          </w:p>
        </w:tc>
      </w:tr>
    </w:tbl>
    <w:p w14:paraId="2248DE56">
      <w:pPr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531" w:right="2098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zU4NzhiZGYwYjVmNmQxMjcyZTg5MjM5ZTRjZDQifQ=="/>
  </w:docVars>
  <w:rsids>
    <w:rsidRoot w:val="50DE246A"/>
    <w:rsid w:val="00356895"/>
    <w:rsid w:val="00541082"/>
    <w:rsid w:val="00563622"/>
    <w:rsid w:val="009813A5"/>
    <w:rsid w:val="00AA2D8D"/>
    <w:rsid w:val="00BF0158"/>
    <w:rsid w:val="00C948EB"/>
    <w:rsid w:val="00CC794A"/>
    <w:rsid w:val="00E23AB3"/>
    <w:rsid w:val="00EE5D57"/>
    <w:rsid w:val="00F04C8F"/>
    <w:rsid w:val="075030D7"/>
    <w:rsid w:val="0AE20526"/>
    <w:rsid w:val="0F96368D"/>
    <w:rsid w:val="11895257"/>
    <w:rsid w:val="132F0080"/>
    <w:rsid w:val="13C7650B"/>
    <w:rsid w:val="17940C1E"/>
    <w:rsid w:val="19E02EE1"/>
    <w:rsid w:val="1B3C272B"/>
    <w:rsid w:val="1DA93A37"/>
    <w:rsid w:val="20DA4B74"/>
    <w:rsid w:val="23DF51AB"/>
    <w:rsid w:val="26C438D8"/>
    <w:rsid w:val="26C54B2C"/>
    <w:rsid w:val="27355263"/>
    <w:rsid w:val="288F0997"/>
    <w:rsid w:val="2A20128C"/>
    <w:rsid w:val="322A6129"/>
    <w:rsid w:val="390D5EE6"/>
    <w:rsid w:val="3A160E3C"/>
    <w:rsid w:val="3ACF2A93"/>
    <w:rsid w:val="3E6D2F4A"/>
    <w:rsid w:val="40443A0A"/>
    <w:rsid w:val="46D30747"/>
    <w:rsid w:val="4FB53D38"/>
    <w:rsid w:val="4FE946B5"/>
    <w:rsid w:val="50DE246A"/>
    <w:rsid w:val="53DF7403"/>
    <w:rsid w:val="54AF28AB"/>
    <w:rsid w:val="59387211"/>
    <w:rsid w:val="59727A44"/>
    <w:rsid w:val="65387C9C"/>
    <w:rsid w:val="67760F4F"/>
    <w:rsid w:val="6E2D21D2"/>
    <w:rsid w:val="738B5A98"/>
    <w:rsid w:val="78BD4F08"/>
    <w:rsid w:val="796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Style 1"/>
    <w:basedOn w:val="1"/>
    <w:qFormat/>
    <w:uiPriority w:val="0"/>
    <w:pPr>
      <w:widowControl/>
      <w:ind w:firstLine="200" w:firstLineChars="200"/>
      <w:jc w:val="left"/>
    </w:pPr>
    <w:rPr>
      <w:rFonts w:ascii="宋体" w:hAnsi="宋体" w:eastAsia="仿宋_GB2312"/>
      <w:kern w:val="0"/>
      <w:sz w:val="32"/>
      <w:szCs w:val="32"/>
      <w:lang w:eastAsia="en-US" w:bidi="en-US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1A1A1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2358</Words>
  <Characters>2442</Characters>
  <Lines>18</Lines>
  <Paragraphs>5</Paragraphs>
  <TotalTime>29</TotalTime>
  <ScaleCrop>false</ScaleCrop>
  <LinksUpToDate>false</LinksUpToDate>
  <CharactersWithSpaces>2469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哈罗</cp:lastModifiedBy>
  <cp:lastPrinted>2024-09-19T09:21:00Z</cp:lastPrinted>
  <dcterms:modified xsi:type="dcterms:W3CDTF">2024-09-29T04:50:12Z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DCE4689FF3204AA6A47064A4B274E5DB_13</vt:lpwstr>
  </property>
</Properties>
</file>