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0EFB7">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0" w:firstLineChars="0"/>
        <w:jc w:val="left"/>
        <w:textAlignment w:val="auto"/>
        <w:rPr>
          <w:rFonts w:hint="eastAsia" w:ascii="仿宋" w:hAnsi="仿宋" w:eastAsia="仿宋" w:cs="仿宋"/>
          <w:spacing w:val="-10"/>
          <w:sz w:val="32"/>
          <w:szCs w:val="32"/>
          <w:lang w:val="en-US" w:eastAsia="zh-CN"/>
        </w:rPr>
      </w:pPr>
      <w:bookmarkStart w:id="0" w:name="_GoBack"/>
      <w:bookmarkEnd w:id="0"/>
      <w:r>
        <w:rPr>
          <w:rFonts w:hint="eastAsia" w:ascii="仿宋" w:hAnsi="仿宋" w:eastAsia="仿宋" w:cs="仿宋"/>
          <w:spacing w:val="-10"/>
          <w:sz w:val="32"/>
          <w:szCs w:val="32"/>
          <w:lang w:val="en-US" w:eastAsia="zh-CN"/>
        </w:rPr>
        <w:t>附件</w:t>
      </w:r>
    </w:p>
    <w:p w14:paraId="3DD49F70">
      <w:pPr>
        <w:pStyle w:val="2"/>
        <w:rPr>
          <w:rFonts w:hint="default"/>
          <w:lang w:val="en-US" w:eastAsia="zh-CN"/>
        </w:rPr>
      </w:pPr>
    </w:p>
    <w:p w14:paraId="155E64BC">
      <w:pPr>
        <w:ind w:left="0" w:leftChars="0" w:firstLine="0" w:firstLineChars="0"/>
        <w:jc w:val="center"/>
        <w:rPr>
          <w:rFonts w:hint="eastAsia" w:ascii="方正小标宋_GBK" w:hAnsi="方正小标宋_GBK" w:eastAsia="方正小标宋_GBK" w:cs="方正小标宋_GBK"/>
          <w:spacing w:val="-10"/>
          <w:sz w:val="44"/>
          <w:szCs w:val="44"/>
          <w:lang w:val="en-US" w:eastAsia="zh-CN"/>
        </w:rPr>
      </w:pPr>
      <w:r>
        <w:rPr>
          <w:rFonts w:hint="eastAsia" w:ascii="方正小标宋_GBK" w:hAnsi="方正小标宋_GBK" w:eastAsia="方正小标宋_GBK" w:cs="方正小标宋_GBK"/>
          <w:spacing w:val="-10"/>
          <w:sz w:val="44"/>
          <w:szCs w:val="44"/>
          <w:lang w:val="en-US" w:eastAsia="zh-CN"/>
        </w:rPr>
        <w:t>2024年泰州市科技支撑计划（工业）拟立项目清单</w:t>
      </w:r>
    </w:p>
    <w:p w14:paraId="3EAFA3C4">
      <w:pPr>
        <w:ind w:left="0" w:leftChars="0" w:firstLine="0" w:firstLineChars="0"/>
        <w:jc w:val="center"/>
        <w:rPr>
          <w:rFonts w:hint="eastAsia" w:ascii="方正小标宋_GBK" w:hAnsi="方正小标宋_GBK" w:eastAsia="方正小标宋_GBK" w:cs="方正小标宋_GBK"/>
          <w:spacing w:val="-10"/>
          <w:sz w:val="44"/>
          <w:szCs w:val="44"/>
          <w:lang w:val="en-US" w:eastAsia="zh-CN"/>
        </w:rPr>
      </w:pPr>
    </w:p>
    <w:tbl>
      <w:tblPr>
        <w:tblStyle w:val="5"/>
        <w:tblW w:w="12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5"/>
        <w:gridCol w:w="7349"/>
        <w:gridCol w:w="4650"/>
      </w:tblGrid>
      <w:tr w14:paraId="2401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Header/>
          <w:jc w:val="center"/>
        </w:trPr>
        <w:tc>
          <w:tcPr>
            <w:tcW w:w="715" w:type="dxa"/>
            <w:vMerge w:val="restart"/>
            <w:tcBorders>
              <w:top w:val="single" w:color="808080" w:sz="4" w:space="0"/>
              <w:left w:val="single" w:color="808080" w:sz="4" w:space="0"/>
              <w:right w:val="single" w:color="808080" w:sz="4" w:space="0"/>
            </w:tcBorders>
            <w:shd w:val="clear" w:color="auto" w:fill="auto"/>
            <w:vAlign w:val="center"/>
          </w:tcPr>
          <w:p w14:paraId="51C36E0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序号</w:t>
            </w:r>
          </w:p>
        </w:tc>
        <w:tc>
          <w:tcPr>
            <w:tcW w:w="7349" w:type="dxa"/>
            <w:vMerge w:val="restart"/>
            <w:tcBorders>
              <w:top w:val="single" w:color="808080" w:sz="4" w:space="0"/>
              <w:left w:val="single" w:color="808080" w:sz="4" w:space="0"/>
              <w:right w:val="single" w:color="808080" w:sz="4" w:space="0"/>
            </w:tcBorders>
            <w:shd w:val="clear" w:color="auto" w:fill="auto"/>
            <w:vAlign w:val="center"/>
          </w:tcPr>
          <w:p w14:paraId="2695DAC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项目名称</w:t>
            </w:r>
          </w:p>
        </w:tc>
        <w:tc>
          <w:tcPr>
            <w:tcW w:w="4650" w:type="dxa"/>
            <w:vMerge w:val="restart"/>
            <w:tcBorders>
              <w:top w:val="single" w:color="808080" w:sz="4" w:space="0"/>
              <w:left w:val="single" w:color="808080" w:sz="4" w:space="0"/>
              <w:right w:val="single" w:color="808080" w:sz="4" w:space="0"/>
            </w:tcBorders>
            <w:shd w:val="clear" w:color="auto" w:fill="auto"/>
            <w:vAlign w:val="center"/>
          </w:tcPr>
          <w:p w14:paraId="554D968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企业名称</w:t>
            </w:r>
          </w:p>
        </w:tc>
      </w:tr>
      <w:tr w14:paraId="6182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Header/>
          <w:jc w:val="center"/>
        </w:trPr>
        <w:tc>
          <w:tcPr>
            <w:tcW w:w="715" w:type="dxa"/>
            <w:vMerge w:val="continue"/>
            <w:tcBorders>
              <w:left w:val="single" w:color="808080" w:sz="4" w:space="0"/>
              <w:right w:val="single" w:color="808080" w:sz="4" w:space="0"/>
            </w:tcBorders>
            <w:shd w:val="clear" w:color="auto" w:fill="auto"/>
            <w:vAlign w:val="center"/>
          </w:tcPr>
          <w:p w14:paraId="62A41B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7349" w:type="dxa"/>
            <w:vMerge w:val="continue"/>
            <w:tcBorders>
              <w:left w:val="single" w:color="808080" w:sz="4" w:space="0"/>
              <w:right w:val="single" w:color="808080" w:sz="4" w:space="0"/>
            </w:tcBorders>
            <w:shd w:val="clear" w:color="auto" w:fill="auto"/>
            <w:vAlign w:val="center"/>
          </w:tcPr>
          <w:p w14:paraId="75C1F5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4650" w:type="dxa"/>
            <w:vMerge w:val="continue"/>
            <w:tcBorders>
              <w:left w:val="single" w:color="808080" w:sz="4" w:space="0"/>
              <w:right w:val="single" w:color="808080" w:sz="4" w:space="0"/>
            </w:tcBorders>
            <w:shd w:val="clear" w:color="auto" w:fill="auto"/>
            <w:vAlign w:val="center"/>
          </w:tcPr>
          <w:p w14:paraId="2DD5ED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14:paraId="4EA0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blHeader/>
          <w:jc w:val="center"/>
        </w:trPr>
        <w:tc>
          <w:tcPr>
            <w:tcW w:w="715" w:type="dxa"/>
            <w:vMerge w:val="continue"/>
            <w:tcBorders>
              <w:left w:val="single" w:color="808080" w:sz="4" w:space="0"/>
              <w:bottom w:val="single" w:color="808080" w:sz="4" w:space="0"/>
              <w:right w:val="single" w:color="808080" w:sz="4" w:space="0"/>
            </w:tcBorders>
            <w:shd w:val="clear" w:color="auto" w:fill="auto"/>
            <w:vAlign w:val="center"/>
          </w:tcPr>
          <w:p w14:paraId="0E4FE2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7349" w:type="dxa"/>
            <w:vMerge w:val="continue"/>
            <w:tcBorders>
              <w:left w:val="single" w:color="808080" w:sz="4" w:space="0"/>
              <w:bottom w:val="single" w:color="808080" w:sz="4" w:space="0"/>
              <w:right w:val="single" w:color="808080" w:sz="4" w:space="0"/>
            </w:tcBorders>
            <w:shd w:val="clear" w:color="auto" w:fill="auto"/>
            <w:vAlign w:val="center"/>
          </w:tcPr>
          <w:p w14:paraId="14107A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4650" w:type="dxa"/>
            <w:vMerge w:val="continue"/>
            <w:tcBorders>
              <w:left w:val="single" w:color="808080" w:sz="4" w:space="0"/>
              <w:bottom w:val="single" w:color="808080" w:sz="4" w:space="0"/>
              <w:right w:val="single" w:color="808080" w:sz="4" w:space="0"/>
            </w:tcBorders>
            <w:shd w:val="clear" w:color="auto" w:fill="auto"/>
            <w:vAlign w:val="center"/>
          </w:tcPr>
          <w:p w14:paraId="767CF9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14:paraId="558F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2CA2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BC6F41">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航空无人机曲轴高精度柔性智能制造关键技术研发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4A63453">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auto"/>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江苏罡阳股份有限公司</w:t>
            </w:r>
          </w:p>
        </w:tc>
      </w:tr>
      <w:tr w14:paraId="05F9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0AB62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0D7863">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新能源环保电缆智能制造质量精益管控技术研发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D79B7E">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auto"/>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双登电缆股份有限公司</w:t>
            </w:r>
          </w:p>
        </w:tc>
      </w:tr>
      <w:tr w14:paraId="1A2A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D915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EE8CAD">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海洋绿氢输运用高阻隔高承压特种纤维增强柔性复合管关键技术研发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188D07">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auto"/>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中裕软管科技股份有限公司</w:t>
            </w:r>
          </w:p>
        </w:tc>
      </w:tr>
      <w:tr w14:paraId="7F1D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0251B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C0419E">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超特高压GIS高导电精密异形铝合金关键技术的研发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D166C76">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泰州康乾机械制造有限公司</w:t>
            </w:r>
          </w:p>
        </w:tc>
      </w:tr>
      <w:tr w14:paraId="1275A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75CD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8AFD86">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液冷储能系统用抗水解玻纤增强长碳链尼龙管路的研发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2B6A6A">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泰州长力树脂管有限公司</w:t>
            </w:r>
          </w:p>
        </w:tc>
      </w:tr>
      <w:tr w14:paraId="5F8D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93297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5E5539">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基于大容量储能系统的智能高效复合温控关键技术的研发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EB9C82">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江苏日高温控技术有限公司</w:t>
            </w:r>
          </w:p>
        </w:tc>
      </w:tr>
      <w:tr w14:paraId="680B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C0D2A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D38F1F2">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高效稳定无机钙钛矿-晶硅复合光伏电池的关键技术研发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629ED9">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伏图拉新能源科技（江苏）有限公司</w:t>
            </w:r>
          </w:p>
        </w:tc>
      </w:tr>
      <w:tr w14:paraId="51EA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A2CF6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18725F1">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CVT 用大转矩宽传动比非圆齿轮的研发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C74B06">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江苏里华机械股份有限公司</w:t>
            </w:r>
          </w:p>
        </w:tc>
      </w:tr>
      <w:tr w14:paraId="4E6E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FA47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5F7A46">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发电机组用耐高温波纹补偿器高速视觉在线检测系统研发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1068CA">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江苏晨鑫波纹管有限公司</w:t>
            </w:r>
          </w:p>
        </w:tc>
      </w:tr>
      <w:tr w14:paraId="146D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206DC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C760F4">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增程式新能源汽车耐高温铁素体不锈钢精密铸件新型合金材料及精铸工艺关键技术研发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24622DA">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泰州鑫宇精工股份有限公司</w:t>
            </w:r>
          </w:p>
        </w:tc>
      </w:tr>
      <w:tr w14:paraId="33E3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00C47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C777C5">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增强C4钢自动焊接用纳米基高强韧耐酸蚀不锈钢药芯焊丝的研发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60C3973">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江苏九洲新材料科技有限公司</w:t>
            </w:r>
          </w:p>
        </w:tc>
      </w:tr>
      <w:tr w14:paraId="6DB8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ACAA9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9931D2">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海上救援用大流量高机动抗横倾泵关键技术研究</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80AD62">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江苏振华海科装备科技股份有限公司</w:t>
            </w:r>
          </w:p>
        </w:tc>
      </w:tr>
      <w:tr w14:paraId="07CE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6955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0F2A42">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飞行器电驱壳体制造工艺开发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9E09F4">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江苏太平洋精锻科技股份有限公司</w:t>
            </w:r>
          </w:p>
        </w:tc>
      </w:tr>
      <w:tr w14:paraId="4F94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5D2C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3D2E03">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24价肺炎多糖结合疫苗研发及产业化</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44B8D3C">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普大生物科技（泰州）有限公司</w:t>
            </w:r>
          </w:p>
        </w:tc>
      </w:tr>
      <w:tr w14:paraId="706A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79386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2C271F9">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高性能、定制化药物制剂用无水磷酸氢钙关键技术研发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ED575BB">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江苏西典药用辅料有限公司</w:t>
            </w:r>
          </w:p>
        </w:tc>
      </w:tr>
      <w:tr w14:paraId="3D89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7191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F49D14">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治疗糖尿病足溃疡的“货架型”脐带间充质干细胞药物工艺和质量研究</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233D9B">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江苏赛亿生物技术有限公司</w:t>
            </w:r>
          </w:p>
        </w:tc>
      </w:tr>
      <w:tr w14:paraId="75D6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B9EE0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AFA885">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创面组织修复抗菌含银胶原蛋白海绵敷料关键技术研究</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A5A74D2">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泰州市榕兴医疗用品股份有限公司</w:t>
            </w:r>
          </w:p>
        </w:tc>
      </w:tr>
      <w:tr w14:paraId="0210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F187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5E258A1">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高端原料药舒更葡糖钠的工艺开发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3F414D">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扬子江药业集团江苏海慈生物药业有限公司</w:t>
            </w:r>
          </w:p>
        </w:tc>
      </w:tr>
      <w:tr w14:paraId="73E2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875D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539FBA">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MOS车规级封装用DFN3.3×3.3高密度引线框架高速精密冲压关键技术研究</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605E38">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泰州东田电子有限公司</w:t>
            </w:r>
          </w:p>
        </w:tc>
      </w:tr>
      <w:tr w14:paraId="2C83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77BE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6C383E2">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高频电脉冲微波金属复合线路板关键技术研发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EA50AF">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泰州市博泰电子有限公司</w:t>
            </w:r>
          </w:p>
        </w:tc>
      </w:tr>
      <w:tr w14:paraId="1D9CE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0516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F95D21E">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高灵敏度硅酸镥（LSO）晶体关键技术研发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A46C11">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江苏晶特晶体科技有限公司</w:t>
            </w:r>
          </w:p>
        </w:tc>
      </w:tr>
      <w:tr w14:paraId="26C4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3D88C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24F65A">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高强韧稀土铝合金汽车轮毂挤锻复合成形工艺关键技术研究</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98581D5">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江苏张驰轮毂制造有限公司</w:t>
            </w:r>
          </w:p>
        </w:tc>
      </w:tr>
      <w:tr w14:paraId="1409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0CAC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99FBAB0">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高技术船舶用智能型耐低温高可靠性防爆电磁阀的研发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424D8A">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江苏弘门智能技术有限公司</w:t>
            </w:r>
          </w:p>
        </w:tc>
      </w:tr>
      <w:tr w14:paraId="497F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6020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snapToGrid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35C86DD">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固态电池正极用高活性纳米钴基添加剂的开发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53016D">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格林美（江苏）钴业股份有限公司</w:t>
            </w:r>
          </w:p>
        </w:tc>
      </w:tr>
      <w:tr w14:paraId="5C1F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2E43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8F1CBC3">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低成本高性能纳米气凝胶的制备工艺以及应用的研发</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26D706">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赢胜节能集团股份有限公司</w:t>
            </w:r>
          </w:p>
        </w:tc>
      </w:tr>
      <w:tr w14:paraId="2ACF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79FBE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DAE6071">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便携式风光气储互补能源发电系统关键技术研究</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D47F98A">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江苏星光发电设备有限公司</w:t>
            </w:r>
          </w:p>
        </w:tc>
      </w:tr>
      <w:tr w14:paraId="665C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C28B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877B38">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both"/>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高机动型履带式应急救援排水机器人研发及工程应用</w:t>
            </w:r>
          </w:p>
        </w:tc>
        <w:tc>
          <w:tcPr>
            <w:tcW w:w="4650"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8C48A9">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firstLine="0" w:firstLineChars="0"/>
              <w:jc w:val="center"/>
              <w:textAlignment w:val="cente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pPr>
            <w:r>
              <w:rPr>
                <w:rFonts w:hint="eastAsia" w:ascii="方正仿宋_GBK" w:hAnsi="方正仿宋_GBK" w:eastAsia="方正仿宋_GBK" w:cs="方正仿宋_GBK"/>
                <w:i w:val="0"/>
                <w:iCs w:val="0"/>
                <w:snapToGrid w:val="0"/>
                <w:color w:val="auto"/>
                <w:kern w:val="0"/>
                <w:sz w:val="24"/>
                <w:szCs w:val="24"/>
                <w:u w:val="none"/>
                <w:lang w:val="en-US" w:eastAsia="zh-CN" w:bidi="ar"/>
              </w:rPr>
              <w:t>亚太泵阀有限公司</w:t>
            </w:r>
          </w:p>
        </w:tc>
      </w:tr>
    </w:tbl>
    <w:p w14:paraId="231FEDEE">
      <w:pPr>
        <w:keepNext w:val="0"/>
        <w:keepLines w:val="0"/>
        <w:pageBreakBefore w:val="0"/>
        <w:widowControl w:val="0"/>
        <w:kinsoku/>
        <w:wordWrap/>
        <w:overflowPunct/>
        <w:topLinePunct w:val="0"/>
        <w:autoSpaceDE w:val="0"/>
        <w:autoSpaceDN w:val="0"/>
        <w:bidi w:val="0"/>
        <w:adjustRightInd/>
        <w:snapToGrid w:val="0"/>
        <w:spacing w:line="20" w:lineRule="exact"/>
        <w:ind w:left="0" w:leftChars="0" w:firstLine="0" w:firstLineChars="0"/>
        <w:jc w:val="left"/>
        <w:textAlignment w:val="auto"/>
        <w:rPr>
          <w:rFonts w:hint="eastAsia" w:ascii="仿宋_GB2312" w:hAnsi="仿宋_GB2312" w:eastAsia="仿宋_GB2312" w:cs="仿宋_GB2312"/>
          <w:spacing w:val="-10"/>
          <w:sz w:val="32"/>
          <w:szCs w:val="32"/>
          <w:lang w:val="en-US" w:eastAsia="zh-CN"/>
        </w:rPr>
      </w:pPr>
    </w:p>
    <w:p w14:paraId="19F0C977">
      <w:pPr>
        <w:keepNext w:val="0"/>
        <w:keepLines w:val="0"/>
        <w:pageBreakBefore w:val="0"/>
        <w:widowControl/>
        <w:suppressLineNumbers w:val="0"/>
        <w:kinsoku/>
        <w:wordWrap/>
        <w:overflowPunct/>
        <w:topLinePunct w:val="0"/>
        <w:autoSpaceDE w:val="0"/>
        <w:autoSpaceDN w:val="0"/>
        <w:bidi w:val="0"/>
        <w:adjustRightInd/>
        <w:snapToGrid w:val="0"/>
        <w:spacing w:line="20" w:lineRule="exact"/>
        <w:ind w:left="0" w:lef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p>
    <w:p w14:paraId="0873319C">
      <w:pPr>
        <w:keepNext w:val="0"/>
        <w:keepLines w:val="0"/>
        <w:pageBreakBefore w:val="0"/>
        <w:widowControl/>
        <w:suppressLineNumbers w:val="0"/>
        <w:kinsoku/>
        <w:wordWrap/>
        <w:overflowPunct/>
        <w:topLinePunct w:val="0"/>
        <w:autoSpaceDE w:val="0"/>
        <w:autoSpaceDN w:val="0"/>
        <w:bidi w:val="0"/>
        <w:adjustRightInd/>
        <w:snapToGrid w:val="0"/>
        <w:spacing w:line="20" w:lineRule="exact"/>
        <w:ind w:left="0" w:lef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p>
    <w:p w14:paraId="4977320A">
      <w:pPr>
        <w:keepNext w:val="0"/>
        <w:keepLines w:val="0"/>
        <w:pageBreakBefore w:val="0"/>
        <w:widowControl/>
        <w:suppressLineNumbers w:val="0"/>
        <w:kinsoku/>
        <w:wordWrap/>
        <w:overflowPunct/>
        <w:topLinePunct w:val="0"/>
        <w:autoSpaceDE w:val="0"/>
        <w:autoSpaceDN w:val="0"/>
        <w:bidi w:val="0"/>
        <w:adjustRightInd/>
        <w:snapToGrid w:val="0"/>
        <w:spacing w:line="20" w:lineRule="exact"/>
        <w:ind w:left="0" w:lef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p>
    <w:p w14:paraId="1BB64F4F">
      <w:pPr>
        <w:keepNext w:val="0"/>
        <w:keepLines w:val="0"/>
        <w:pageBreakBefore w:val="0"/>
        <w:widowControl/>
        <w:suppressLineNumbers w:val="0"/>
        <w:kinsoku/>
        <w:wordWrap/>
        <w:overflowPunct/>
        <w:topLinePunct w:val="0"/>
        <w:autoSpaceDE w:val="0"/>
        <w:autoSpaceDN w:val="0"/>
        <w:bidi w:val="0"/>
        <w:adjustRightInd/>
        <w:snapToGrid w:val="0"/>
        <w:spacing w:line="20" w:lineRule="exact"/>
        <w:ind w:left="0" w:lef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p>
    <w:sectPr>
      <w:footerReference r:id="rId5" w:type="default"/>
      <w:pgSz w:w="16838" w:h="11906" w:orient="landscape"/>
      <w:pgMar w:top="1587" w:right="2098" w:bottom="1474" w:left="1984" w:header="851" w:footer="992" w:gutter="0"/>
      <w:pgBorders>
        <w:top w:val="none" w:sz="0" w:space="0"/>
        <w:left w:val="none" w:sz="0" w:space="0"/>
        <w:bottom w:val="none" w:sz="0" w:space="0"/>
        <w:right w:val="none" w:sz="0" w:space="0"/>
      </w:pgBorders>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ADD1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F679B">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1F679B">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MGU0YmQ1ZGI3MTliMzU3NjFhZTI5MjNiZGJmMTYifQ=="/>
  </w:docVars>
  <w:rsids>
    <w:rsidRoot w:val="489D642B"/>
    <w:rsid w:val="00C61B7A"/>
    <w:rsid w:val="00CA5BF5"/>
    <w:rsid w:val="016F4E48"/>
    <w:rsid w:val="02B21F0C"/>
    <w:rsid w:val="04A347E5"/>
    <w:rsid w:val="059241D2"/>
    <w:rsid w:val="05B11D7D"/>
    <w:rsid w:val="06B01105"/>
    <w:rsid w:val="06D64AEB"/>
    <w:rsid w:val="07A8119E"/>
    <w:rsid w:val="087D1CE6"/>
    <w:rsid w:val="0993322F"/>
    <w:rsid w:val="09DF2802"/>
    <w:rsid w:val="0ABD3A11"/>
    <w:rsid w:val="0AC56284"/>
    <w:rsid w:val="0AF576A0"/>
    <w:rsid w:val="0D834885"/>
    <w:rsid w:val="0FF4317B"/>
    <w:rsid w:val="10AF0EAA"/>
    <w:rsid w:val="116157BF"/>
    <w:rsid w:val="12BF6B9B"/>
    <w:rsid w:val="13794EC4"/>
    <w:rsid w:val="13F166C8"/>
    <w:rsid w:val="14D83E57"/>
    <w:rsid w:val="15D03691"/>
    <w:rsid w:val="16D21B49"/>
    <w:rsid w:val="16F04DA4"/>
    <w:rsid w:val="175F4464"/>
    <w:rsid w:val="1797756C"/>
    <w:rsid w:val="183C72B9"/>
    <w:rsid w:val="18CB4FCC"/>
    <w:rsid w:val="18F9478E"/>
    <w:rsid w:val="1A8F687B"/>
    <w:rsid w:val="1B363752"/>
    <w:rsid w:val="1BA96610"/>
    <w:rsid w:val="1C05217D"/>
    <w:rsid w:val="1D956ED8"/>
    <w:rsid w:val="1E4728BD"/>
    <w:rsid w:val="1EE41070"/>
    <w:rsid w:val="1FBD75D4"/>
    <w:rsid w:val="218C5528"/>
    <w:rsid w:val="22A41BAA"/>
    <w:rsid w:val="22E845A7"/>
    <w:rsid w:val="234671DB"/>
    <w:rsid w:val="2418776B"/>
    <w:rsid w:val="24EB67F8"/>
    <w:rsid w:val="270554D6"/>
    <w:rsid w:val="27185883"/>
    <w:rsid w:val="280C5DBD"/>
    <w:rsid w:val="2815563F"/>
    <w:rsid w:val="29A3061D"/>
    <w:rsid w:val="2C2A0170"/>
    <w:rsid w:val="2F134918"/>
    <w:rsid w:val="2F8576CF"/>
    <w:rsid w:val="30096910"/>
    <w:rsid w:val="3080112C"/>
    <w:rsid w:val="310F480C"/>
    <w:rsid w:val="311210AD"/>
    <w:rsid w:val="3220530C"/>
    <w:rsid w:val="32384E98"/>
    <w:rsid w:val="32F13C30"/>
    <w:rsid w:val="33CE110A"/>
    <w:rsid w:val="34DB0B9B"/>
    <w:rsid w:val="35D315B2"/>
    <w:rsid w:val="36C0285C"/>
    <w:rsid w:val="37C32ABC"/>
    <w:rsid w:val="38313C8A"/>
    <w:rsid w:val="384260A8"/>
    <w:rsid w:val="386457A4"/>
    <w:rsid w:val="398072D3"/>
    <w:rsid w:val="39D30EB6"/>
    <w:rsid w:val="39EF3F42"/>
    <w:rsid w:val="3AE453A2"/>
    <w:rsid w:val="3BCE6C1F"/>
    <w:rsid w:val="3C2D3519"/>
    <w:rsid w:val="3C375A94"/>
    <w:rsid w:val="3C3A7D94"/>
    <w:rsid w:val="3D020F42"/>
    <w:rsid w:val="3D617264"/>
    <w:rsid w:val="3E7B0B84"/>
    <w:rsid w:val="3FBC6834"/>
    <w:rsid w:val="405668CF"/>
    <w:rsid w:val="419032EA"/>
    <w:rsid w:val="41B60867"/>
    <w:rsid w:val="443F7636"/>
    <w:rsid w:val="44B26ACD"/>
    <w:rsid w:val="459F450D"/>
    <w:rsid w:val="45D349FA"/>
    <w:rsid w:val="46217105"/>
    <w:rsid w:val="46882C3B"/>
    <w:rsid w:val="473535C7"/>
    <w:rsid w:val="473A5C28"/>
    <w:rsid w:val="48276F9D"/>
    <w:rsid w:val="489D642B"/>
    <w:rsid w:val="4A0E1946"/>
    <w:rsid w:val="4A9455FD"/>
    <w:rsid w:val="4AF97B35"/>
    <w:rsid w:val="4B3C7501"/>
    <w:rsid w:val="4B493100"/>
    <w:rsid w:val="4B58121B"/>
    <w:rsid w:val="4C2B7939"/>
    <w:rsid w:val="4DBE23B5"/>
    <w:rsid w:val="4E70560D"/>
    <w:rsid w:val="4EAC3D58"/>
    <w:rsid w:val="5026205B"/>
    <w:rsid w:val="506F7579"/>
    <w:rsid w:val="507A043A"/>
    <w:rsid w:val="50AA42C7"/>
    <w:rsid w:val="52FA2EB0"/>
    <w:rsid w:val="54E27BB7"/>
    <w:rsid w:val="5528534E"/>
    <w:rsid w:val="55561C77"/>
    <w:rsid w:val="57DD3ED9"/>
    <w:rsid w:val="58413E6E"/>
    <w:rsid w:val="59721393"/>
    <w:rsid w:val="597B4831"/>
    <w:rsid w:val="5AF229CB"/>
    <w:rsid w:val="5B917E58"/>
    <w:rsid w:val="5D6F2B20"/>
    <w:rsid w:val="5E8C4BAE"/>
    <w:rsid w:val="5EC46222"/>
    <w:rsid w:val="60B60F68"/>
    <w:rsid w:val="60BB1E03"/>
    <w:rsid w:val="624B2B6A"/>
    <w:rsid w:val="62C26C04"/>
    <w:rsid w:val="63C73C47"/>
    <w:rsid w:val="64DC20A1"/>
    <w:rsid w:val="64E676D4"/>
    <w:rsid w:val="66B81813"/>
    <w:rsid w:val="67F0485E"/>
    <w:rsid w:val="68E10760"/>
    <w:rsid w:val="694806C9"/>
    <w:rsid w:val="6C352D89"/>
    <w:rsid w:val="6D6A50B2"/>
    <w:rsid w:val="6E6778C2"/>
    <w:rsid w:val="6EB23847"/>
    <w:rsid w:val="6EBC7E4D"/>
    <w:rsid w:val="70833534"/>
    <w:rsid w:val="71B16366"/>
    <w:rsid w:val="72850B2B"/>
    <w:rsid w:val="72A92CB8"/>
    <w:rsid w:val="746B1FD9"/>
    <w:rsid w:val="75527071"/>
    <w:rsid w:val="76325DC4"/>
    <w:rsid w:val="76391CB9"/>
    <w:rsid w:val="76526D1D"/>
    <w:rsid w:val="7682501E"/>
    <w:rsid w:val="7861598E"/>
    <w:rsid w:val="79D51505"/>
    <w:rsid w:val="79E35C12"/>
    <w:rsid w:val="79EB5539"/>
    <w:rsid w:val="7A8401E1"/>
    <w:rsid w:val="7BAB4EAA"/>
    <w:rsid w:val="7BD55DED"/>
    <w:rsid w:val="7E29453C"/>
    <w:rsid w:val="7E7F0EDC"/>
    <w:rsid w:val="7F7F2763"/>
    <w:rsid w:val="7FCE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4"/>
    <w:basedOn w:val="1"/>
    <w:next w:val="1"/>
    <w:qFormat/>
    <w:uiPriority w:val="99"/>
    <w:pPr>
      <w:keepNext/>
      <w:keepLines/>
      <w:spacing w:line="376" w:lineRule="atLeast"/>
      <w:outlineLvl w:val="3"/>
    </w:pPr>
    <w:rPr>
      <w:rFonts w:ascii="Arial" w:hAnsi="Arial" w:eastAsia="黑体" w:cs="Arial"/>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方正仿宋_GBK" w:hAnsi="方正仿宋_GBK" w:eastAsia="方正仿宋_GBK" w:cs="方正仿宋_GBK"/>
      <w:color w:val="000000"/>
      <w:sz w:val="22"/>
      <w:szCs w:val="22"/>
      <w:u w:val="none"/>
    </w:rPr>
  </w:style>
  <w:style w:type="character" w:customStyle="1" w:styleId="9">
    <w:name w:val="font11"/>
    <w:basedOn w:val="7"/>
    <w:qFormat/>
    <w:uiPriority w:val="0"/>
    <w:rPr>
      <w:rFonts w:hint="eastAsia" w:ascii="方正仿宋_GBK" w:hAnsi="方正仿宋_GBK" w:eastAsia="方正仿宋_GBK" w:cs="方正仿宋_GBK"/>
      <w:color w:val="000000"/>
      <w:sz w:val="21"/>
      <w:szCs w:val="21"/>
      <w:u w:val="none"/>
    </w:rPr>
  </w:style>
  <w:style w:type="character" w:customStyle="1" w:styleId="10">
    <w:name w:val="font01"/>
    <w:basedOn w:val="7"/>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1319</Words>
  <Characters>1409</Characters>
  <Lines>0</Lines>
  <Paragraphs>0</Paragraphs>
  <TotalTime>5</TotalTime>
  <ScaleCrop>false</ScaleCrop>
  <LinksUpToDate>false</LinksUpToDate>
  <CharactersWithSpaces>1450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2020-11-16T01:27:00Z</dcterms:created>
  <dc:creator>Crystal</dc:creator>
  <cp:lastModifiedBy>沙漠鱼</cp:lastModifiedBy>
  <cp:lastPrinted>2023-10-24T06:21:00Z</cp:lastPrinted>
  <dcterms:modified xsi:type="dcterms:W3CDTF">2024-11-11T08:00:59Z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B72A0C198BBC4CE897213449F4DC5790_13</vt:lpwstr>
  </property>
</Properties>
</file>