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29" w:rsidRPr="00FC555D" w:rsidRDefault="00A85029" w:rsidP="00A85029">
      <w:pPr>
        <w:jc w:val="center"/>
        <w:rPr>
          <w:rFonts w:ascii="方正小标宋_GBK" w:eastAsia="方正小标宋_GBK"/>
          <w:sz w:val="44"/>
          <w:szCs w:val="32"/>
        </w:rPr>
      </w:pPr>
      <w:r w:rsidRPr="00FC555D">
        <w:rPr>
          <w:rFonts w:ascii="方正小标宋_GBK" w:eastAsia="方正小标宋_GBK" w:hint="eastAsia"/>
          <w:sz w:val="44"/>
          <w:szCs w:val="32"/>
        </w:rPr>
        <w:t>2024年专家服务基层项目拟入选名单</w:t>
      </w:r>
    </w:p>
    <w:tbl>
      <w:tblPr>
        <w:tblStyle w:val="a5"/>
        <w:tblW w:w="0" w:type="auto"/>
        <w:tblLook w:val="04A0"/>
      </w:tblPr>
      <w:tblGrid>
        <w:gridCol w:w="534"/>
        <w:gridCol w:w="4394"/>
        <w:gridCol w:w="7938"/>
        <w:gridCol w:w="1276"/>
      </w:tblGrid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CA4C68" w:rsidRDefault="00A85029" w:rsidP="00CE0794">
            <w:pPr>
              <w:spacing w:line="300" w:lineRule="exact"/>
              <w:jc w:val="center"/>
              <w:rPr>
                <w:rFonts w:ascii="方正黑体_GBK" w:eastAsia="方正黑体_GBK"/>
                <w:sz w:val="24"/>
                <w:szCs w:val="28"/>
              </w:rPr>
            </w:pPr>
            <w:r w:rsidRPr="00CA4C68">
              <w:rPr>
                <w:rFonts w:ascii="方正黑体_GBK" w:eastAsia="方正黑体_GBK" w:hint="eastAsia"/>
                <w:sz w:val="24"/>
                <w:szCs w:val="28"/>
              </w:rPr>
              <w:t>序号</w:t>
            </w:r>
          </w:p>
        </w:tc>
        <w:tc>
          <w:tcPr>
            <w:tcW w:w="4394" w:type="dxa"/>
            <w:vAlign w:val="center"/>
          </w:tcPr>
          <w:p w:rsidR="00A85029" w:rsidRPr="00CA4C68" w:rsidRDefault="00A85029" w:rsidP="00CE0794">
            <w:pPr>
              <w:spacing w:line="300" w:lineRule="exact"/>
              <w:jc w:val="center"/>
              <w:rPr>
                <w:rFonts w:ascii="方正黑体_GBK" w:eastAsia="方正黑体_GBK"/>
                <w:sz w:val="24"/>
                <w:szCs w:val="28"/>
              </w:rPr>
            </w:pPr>
            <w:r w:rsidRPr="00CA4C68">
              <w:rPr>
                <w:rFonts w:ascii="方正黑体_GBK" w:eastAsia="方正黑体_GBK" w:hint="eastAsia"/>
                <w:sz w:val="24"/>
                <w:szCs w:val="28"/>
              </w:rPr>
              <w:t>实施单位</w:t>
            </w:r>
          </w:p>
        </w:tc>
        <w:tc>
          <w:tcPr>
            <w:tcW w:w="7938" w:type="dxa"/>
            <w:vAlign w:val="center"/>
          </w:tcPr>
          <w:p w:rsidR="00A85029" w:rsidRPr="00CA4C68" w:rsidRDefault="00A85029" w:rsidP="00CE0794">
            <w:pPr>
              <w:spacing w:line="300" w:lineRule="exact"/>
              <w:jc w:val="center"/>
              <w:rPr>
                <w:rFonts w:ascii="方正黑体_GBK" w:eastAsia="方正黑体_GBK"/>
                <w:sz w:val="24"/>
                <w:szCs w:val="28"/>
              </w:rPr>
            </w:pPr>
            <w:r w:rsidRPr="00CA4C68">
              <w:rPr>
                <w:rFonts w:ascii="方正黑体_GBK" w:eastAsia="方正黑体_GBK" w:hint="eastAsia"/>
                <w:sz w:val="24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A85029" w:rsidRPr="00CA4C68" w:rsidRDefault="00A85029" w:rsidP="00CE0794">
            <w:pPr>
              <w:spacing w:line="300" w:lineRule="exact"/>
              <w:jc w:val="center"/>
              <w:rPr>
                <w:rFonts w:ascii="方正黑体_GBK" w:eastAsia="方正黑体_GBK"/>
                <w:sz w:val="24"/>
                <w:szCs w:val="28"/>
              </w:rPr>
            </w:pPr>
            <w:r w:rsidRPr="00CA4C68">
              <w:rPr>
                <w:rFonts w:ascii="方正黑体_GBK" w:eastAsia="方正黑体_GBK" w:hint="eastAsia"/>
                <w:sz w:val="24"/>
                <w:szCs w:val="28"/>
              </w:rPr>
              <w:t>备注</w:t>
            </w: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江苏美特林科特殊合金股份有限公司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涡轮叶片高温合金母合金的数字化制造技术与微结构调控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南京</w:t>
            </w:r>
            <w:proofErr w:type="gramStart"/>
            <w:r w:rsidRPr="00FC555D">
              <w:rPr>
                <w:rFonts w:eastAsia="方正仿宋_GBK"/>
                <w:sz w:val="24"/>
                <w:szCs w:val="28"/>
              </w:rPr>
              <w:t>羚</w:t>
            </w:r>
            <w:proofErr w:type="gramEnd"/>
            <w:r w:rsidRPr="00FC555D">
              <w:rPr>
                <w:rFonts w:eastAsia="方正仿宋_GBK"/>
                <w:sz w:val="24"/>
                <w:szCs w:val="28"/>
              </w:rPr>
              <w:t>诺生物医药技研究院有限公司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基于人工智能和优势结构匹配的药物研发及产业化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南京良庄农产品有限公司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农产品电</w:t>
            </w:r>
            <w:proofErr w:type="gramStart"/>
            <w:r w:rsidRPr="00FC555D">
              <w:rPr>
                <w:rFonts w:eastAsia="方正仿宋_GBK"/>
                <w:sz w:val="24"/>
                <w:szCs w:val="28"/>
              </w:rPr>
              <w:t>商创业</w:t>
            </w:r>
            <w:proofErr w:type="gramEnd"/>
            <w:r w:rsidRPr="00FC555D">
              <w:rPr>
                <w:rFonts w:eastAsia="方正仿宋_GBK"/>
                <w:sz w:val="24"/>
                <w:szCs w:val="28"/>
              </w:rPr>
              <w:t>服务中心建设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兆丰华生物科技（南京）有限公司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南京市兽用疫苗技术创新与产业化服务项目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南京鸿照科技有限公司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大</w:t>
            </w:r>
            <w:r w:rsidRPr="00FC555D">
              <w:rPr>
                <w:rFonts w:eastAsia="方正仿宋_GBK"/>
                <w:sz w:val="24"/>
                <w:szCs w:val="28"/>
              </w:rPr>
              <w:t>NA</w:t>
            </w:r>
            <w:r w:rsidRPr="00FC555D">
              <w:rPr>
                <w:rFonts w:eastAsia="方正仿宋_GBK"/>
                <w:sz w:val="24"/>
                <w:szCs w:val="28"/>
              </w:rPr>
              <w:t>低损耗特种光纤的研发及产业化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南京康之春生物科技有限公司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羊肚</w:t>
            </w:r>
            <w:proofErr w:type="gramStart"/>
            <w:r w:rsidRPr="00FC555D">
              <w:rPr>
                <w:rFonts w:eastAsia="方正仿宋_GBK"/>
                <w:sz w:val="24"/>
                <w:szCs w:val="28"/>
              </w:rPr>
              <w:t>菌</w:t>
            </w:r>
            <w:proofErr w:type="gramEnd"/>
            <w:r w:rsidRPr="00FC555D">
              <w:rPr>
                <w:rFonts w:eastAsia="方正仿宋_GBK"/>
                <w:sz w:val="24"/>
                <w:szCs w:val="28"/>
              </w:rPr>
              <w:t>新品种选育与应用示范项目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江苏先声医学诊断有限公司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基于无创多组学的多</w:t>
            </w:r>
            <w:proofErr w:type="gramStart"/>
            <w:r w:rsidRPr="00FC555D">
              <w:rPr>
                <w:rFonts w:eastAsia="方正仿宋_GBK"/>
                <w:sz w:val="24"/>
                <w:szCs w:val="28"/>
              </w:rPr>
              <w:t>癌联筛关键</w:t>
            </w:r>
            <w:proofErr w:type="gramEnd"/>
            <w:r w:rsidRPr="00FC555D">
              <w:rPr>
                <w:rFonts w:eastAsia="方正仿宋_GBK"/>
                <w:sz w:val="24"/>
                <w:szCs w:val="28"/>
              </w:rPr>
              <w:t>技术的研发和产业化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南京脆而</w:t>
            </w:r>
            <w:proofErr w:type="gramStart"/>
            <w:r w:rsidRPr="00FC555D">
              <w:rPr>
                <w:rFonts w:eastAsia="方正仿宋_GBK"/>
                <w:sz w:val="24"/>
                <w:szCs w:val="28"/>
              </w:rPr>
              <w:t>爽蔬菜</w:t>
            </w:r>
            <w:proofErr w:type="gramEnd"/>
            <w:r w:rsidRPr="00FC555D">
              <w:rPr>
                <w:rFonts w:eastAsia="方正仿宋_GBK"/>
                <w:sz w:val="24"/>
                <w:szCs w:val="28"/>
              </w:rPr>
              <w:t>食品有限公司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泡菜加工生产中品质控制关键技术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9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中建安装集团有限公司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不同工况反应精馏生产甲基丙烯甲酯和</w:t>
            </w:r>
            <w:proofErr w:type="gramStart"/>
            <w:r w:rsidRPr="00FC555D">
              <w:rPr>
                <w:rFonts w:eastAsia="方正仿宋_GBK"/>
                <w:sz w:val="24"/>
                <w:szCs w:val="28"/>
              </w:rPr>
              <w:t>丙酸</w:t>
            </w:r>
            <w:proofErr w:type="gramEnd"/>
            <w:r w:rsidRPr="00FC555D">
              <w:rPr>
                <w:rFonts w:eastAsia="方正仿宋_GBK"/>
                <w:sz w:val="24"/>
                <w:szCs w:val="28"/>
              </w:rPr>
              <w:t>丙酯成套工艺技术开发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中船绿洲环保（南京）有限公司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有机污染场地土壤催化热脱附修复关键技术研发及产业化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11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南京贝迪新材料科技股份有限公司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 xml:space="preserve">Mini/Micro LED </w:t>
            </w:r>
            <w:r w:rsidRPr="00FC555D">
              <w:rPr>
                <w:rFonts w:eastAsia="方正仿宋_GBK"/>
                <w:sz w:val="24"/>
                <w:szCs w:val="28"/>
              </w:rPr>
              <w:t>显示用新一代多功能量子点光学膜研发及产业化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12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南京北路智控科技股份有限公司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煤矿井下智能运载机器人及系统开发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13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proofErr w:type="gramStart"/>
            <w:r w:rsidRPr="00FC555D">
              <w:rPr>
                <w:rFonts w:eastAsia="方正仿宋_GBK"/>
                <w:sz w:val="24"/>
                <w:szCs w:val="28"/>
              </w:rPr>
              <w:t>江苏禹治流域管理</w:t>
            </w:r>
            <w:proofErr w:type="gramEnd"/>
            <w:r w:rsidRPr="00FC555D">
              <w:rPr>
                <w:rFonts w:eastAsia="方正仿宋_GBK"/>
                <w:sz w:val="24"/>
                <w:szCs w:val="28"/>
              </w:rPr>
              <w:t>技术研究院有限公司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智慧守护</w:t>
            </w:r>
            <w:r w:rsidRPr="00FC555D">
              <w:rPr>
                <w:rFonts w:eastAsia="方正仿宋_GBK"/>
                <w:sz w:val="24"/>
                <w:szCs w:val="28"/>
              </w:rPr>
              <w:t>·</w:t>
            </w:r>
            <w:r w:rsidRPr="00FC555D">
              <w:rPr>
                <w:rFonts w:eastAsia="方正仿宋_GBK"/>
                <w:sz w:val="24"/>
                <w:szCs w:val="28"/>
              </w:rPr>
              <w:t>防洪除涝数字孪生专家服务基层行动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14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徐工集团</w:t>
            </w:r>
            <w:proofErr w:type="gramStart"/>
            <w:r w:rsidRPr="00FC555D">
              <w:rPr>
                <w:rFonts w:eastAsia="方正仿宋_GBK"/>
                <w:sz w:val="24"/>
                <w:szCs w:val="28"/>
              </w:rPr>
              <w:t>凯</w:t>
            </w:r>
            <w:proofErr w:type="gramEnd"/>
            <w:r w:rsidRPr="00FC555D">
              <w:rPr>
                <w:rFonts w:eastAsia="方正仿宋_GBK"/>
                <w:sz w:val="24"/>
                <w:szCs w:val="28"/>
              </w:rPr>
              <w:t>宫重工南京股份有限公司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proofErr w:type="gramStart"/>
            <w:r w:rsidRPr="00FC555D">
              <w:rPr>
                <w:rFonts w:eastAsia="方正仿宋_GBK"/>
                <w:sz w:val="24"/>
                <w:szCs w:val="28"/>
              </w:rPr>
              <w:t>竖井嵌岩钻机</w:t>
            </w:r>
            <w:proofErr w:type="gramEnd"/>
            <w:r w:rsidRPr="00FC555D">
              <w:rPr>
                <w:rFonts w:eastAsia="方正仿宋_GBK"/>
                <w:sz w:val="24"/>
                <w:szCs w:val="28"/>
              </w:rPr>
              <w:t>在城市复杂场景中的智能掘进关键核心技术攻关及装备研发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15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南京沃天科技股份有限公司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感传</w:t>
            </w:r>
            <w:proofErr w:type="gramStart"/>
            <w:r w:rsidRPr="00FC555D">
              <w:rPr>
                <w:rFonts w:eastAsia="方正仿宋_GBK"/>
                <w:sz w:val="24"/>
                <w:szCs w:val="28"/>
              </w:rPr>
              <w:t>一</w:t>
            </w:r>
            <w:proofErr w:type="gramEnd"/>
            <w:r w:rsidRPr="00FC555D">
              <w:rPr>
                <w:rFonts w:eastAsia="方正仿宋_GBK"/>
                <w:sz w:val="24"/>
                <w:szCs w:val="28"/>
              </w:rPr>
              <w:t>体型光纤</w:t>
            </w:r>
            <w:r>
              <w:rPr>
                <w:rFonts w:eastAsia="方正仿宋_GBK"/>
                <w:sz w:val="24"/>
                <w:szCs w:val="28"/>
              </w:rPr>
              <w:t>-MEMS</w:t>
            </w:r>
            <w:r w:rsidRPr="00FC555D">
              <w:rPr>
                <w:rFonts w:eastAsia="方正仿宋_GBK"/>
                <w:sz w:val="24"/>
                <w:szCs w:val="28"/>
              </w:rPr>
              <w:t>多参量传感器项目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16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南京城市建设管理集团有限责任公司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智慧工地接入及运维数据标准研究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17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南京工大数控科技有限公司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回转支撑淬火软带打磨机床的研究与开发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江北新区</w:t>
            </w:r>
          </w:p>
        </w:tc>
      </w:tr>
      <w:tr w:rsidR="00A85029" w:rsidRPr="00FC555D" w:rsidTr="00CE0794">
        <w:trPr>
          <w:trHeight w:val="20"/>
        </w:trPr>
        <w:tc>
          <w:tcPr>
            <w:tcW w:w="53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18</w:t>
            </w:r>
          </w:p>
        </w:tc>
        <w:tc>
          <w:tcPr>
            <w:tcW w:w="4394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南京信大气象科学技术研究院有限公司</w:t>
            </w:r>
          </w:p>
        </w:tc>
        <w:tc>
          <w:tcPr>
            <w:tcW w:w="7938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proofErr w:type="gramStart"/>
            <w:r w:rsidRPr="00FC555D">
              <w:rPr>
                <w:rFonts w:eastAsia="方正仿宋_GBK"/>
                <w:sz w:val="24"/>
                <w:szCs w:val="28"/>
              </w:rPr>
              <w:t>低空经济</w:t>
            </w:r>
            <w:proofErr w:type="gramEnd"/>
            <w:r w:rsidRPr="00FC555D">
              <w:rPr>
                <w:rFonts w:eastAsia="方正仿宋_GBK"/>
                <w:sz w:val="24"/>
                <w:szCs w:val="28"/>
              </w:rPr>
              <w:t>高精度气象服务</w:t>
            </w:r>
          </w:p>
        </w:tc>
        <w:tc>
          <w:tcPr>
            <w:tcW w:w="1276" w:type="dxa"/>
            <w:vAlign w:val="center"/>
          </w:tcPr>
          <w:p w:rsidR="00A85029" w:rsidRPr="00FC555D" w:rsidRDefault="00A85029" w:rsidP="00CE0794">
            <w:pPr>
              <w:spacing w:line="300" w:lineRule="exact"/>
              <w:jc w:val="center"/>
              <w:rPr>
                <w:rFonts w:eastAsia="方正仿宋_GBK"/>
                <w:sz w:val="24"/>
                <w:szCs w:val="28"/>
              </w:rPr>
            </w:pPr>
            <w:r w:rsidRPr="00FC555D">
              <w:rPr>
                <w:rFonts w:eastAsia="方正仿宋_GBK"/>
                <w:sz w:val="24"/>
                <w:szCs w:val="28"/>
              </w:rPr>
              <w:t>江北新区</w:t>
            </w:r>
          </w:p>
        </w:tc>
      </w:tr>
    </w:tbl>
    <w:p w:rsidR="00A85029" w:rsidRDefault="00A85029" w:rsidP="00A85029">
      <w:pPr>
        <w:spacing w:line="300" w:lineRule="auto"/>
        <w:ind w:firstLineChars="1500" w:firstLine="4800"/>
        <w:rPr>
          <w:rFonts w:eastAsia="方正仿宋_GBK" w:cs="方正仿宋_GBK"/>
          <w:snapToGrid w:val="0"/>
          <w:kern w:val="0"/>
          <w:sz w:val="32"/>
          <w:szCs w:val="32"/>
        </w:rPr>
      </w:pPr>
    </w:p>
    <w:p w:rsidR="00A85029" w:rsidRDefault="00A85029" w:rsidP="00A85029"/>
    <w:p w:rsidR="00F177A5" w:rsidRDefault="00F177A5"/>
    <w:sectPr w:rsidR="00F177A5" w:rsidSect="00F818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29" w:rsidRDefault="00A85029" w:rsidP="00A85029">
      <w:r>
        <w:separator/>
      </w:r>
    </w:p>
  </w:endnote>
  <w:endnote w:type="continuationSeparator" w:id="0">
    <w:p w:rsidR="00A85029" w:rsidRDefault="00A85029" w:rsidP="00A85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29" w:rsidRDefault="00A85029" w:rsidP="00A85029">
      <w:r>
        <w:separator/>
      </w:r>
    </w:p>
  </w:footnote>
  <w:footnote w:type="continuationSeparator" w:id="0">
    <w:p w:rsidR="00A85029" w:rsidRDefault="00A85029" w:rsidP="00A85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029"/>
    <w:rsid w:val="003D0AE4"/>
    <w:rsid w:val="00A85029"/>
    <w:rsid w:val="00F1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029"/>
    <w:rPr>
      <w:sz w:val="18"/>
      <w:szCs w:val="18"/>
    </w:rPr>
  </w:style>
  <w:style w:type="table" w:styleId="a5">
    <w:name w:val="Table Grid"/>
    <w:basedOn w:val="a1"/>
    <w:uiPriority w:val="59"/>
    <w:rsid w:val="00A85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12333072</dc:creator>
  <cp:keywords/>
  <dc:description/>
  <cp:lastModifiedBy>12333072</cp:lastModifiedBy>
  <cp:revision>2</cp:revision>
  <dcterms:created xsi:type="dcterms:W3CDTF">2024-11-14T06:38:00Z</dcterms:created>
  <dcterms:modified xsi:type="dcterms:W3CDTF">2024-11-14T06:38:00Z</dcterms:modified>
</cp:coreProperties>
</file>