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D798CC">
      <w:pPr>
        <w:shd w:val="clear" w:color="auto" w:fill="FFFFFF"/>
        <w:snapToGrid w:val="0"/>
        <w:spacing w:before="205" w:beforeLines="50" w:line="600" w:lineRule="exact"/>
        <w:ind w:firstLine="0" w:firstLineChars="0"/>
        <w:jc w:val="center"/>
        <w:rPr>
          <w:rFonts w:eastAsia="方正小标宋_GBK" w:cs="方正小标宋_GBK"/>
          <w:sz w:val="44"/>
          <w:szCs w:val="44"/>
        </w:rPr>
      </w:pPr>
      <w:r>
        <w:rPr>
          <w:rFonts w:hint="eastAsia" w:eastAsia="方正小标宋_GBK" w:cs="方正小标宋_GBK"/>
          <w:sz w:val="44"/>
          <w:szCs w:val="44"/>
        </w:rPr>
        <w:t>江苏省地方标准</w:t>
      </w:r>
    </w:p>
    <w:p w14:paraId="0E0DC286">
      <w:pPr>
        <w:spacing w:line="580" w:lineRule="exact"/>
        <w:ind w:firstLine="880"/>
        <w:jc w:val="center"/>
        <w:rPr>
          <w:rFonts w:eastAsia="方正小标宋_GBK" w:cs="方正小标宋_GBK"/>
          <w:sz w:val="44"/>
          <w:szCs w:val="44"/>
        </w:rPr>
      </w:pPr>
      <w:r>
        <w:rPr>
          <w:rFonts w:hint="eastAsia" w:eastAsia="方正小标宋_GBK" w:cs="方正小标宋_GBK"/>
          <w:sz w:val="44"/>
          <w:szCs w:val="44"/>
        </w:rPr>
        <w:t>《特种设备双重预防数据归集技术规范》</w:t>
      </w:r>
    </w:p>
    <w:p w14:paraId="40EC3E42">
      <w:pPr>
        <w:spacing w:line="580" w:lineRule="exact"/>
        <w:ind w:firstLine="3520" w:firstLineChars="800"/>
        <w:rPr>
          <w:rFonts w:eastAsia="方正小标宋_GBK" w:cs="方正小标宋_GBK"/>
          <w:sz w:val="44"/>
          <w:szCs w:val="44"/>
        </w:rPr>
      </w:pPr>
      <w:r>
        <w:rPr>
          <w:rFonts w:hint="eastAsia" w:eastAsia="方正小标宋_GBK" w:cs="方正小标宋_GBK"/>
          <w:sz w:val="44"/>
          <w:szCs w:val="44"/>
        </w:rPr>
        <w:t>编制说明</w:t>
      </w:r>
    </w:p>
    <w:p w14:paraId="421D50EE">
      <w:pPr>
        <w:spacing w:line="580" w:lineRule="exact"/>
        <w:ind w:firstLine="640"/>
        <w:rPr>
          <w:rFonts w:ascii="黑体" w:hAnsi="黑体" w:eastAsia="黑体"/>
          <w:b/>
          <w:color w:val="000000" w:themeColor="text1"/>
          <w:szCs w:val="32"/>
          <w14:textFill>
            <w14:solidFill>
              <w14:schemeClr w14:val="tx1"/>
            </w14:solidFill>
          </w14:textFill>
        </w:rPr>
      </w:pPr>
      <w:r>
        <w:rPr>
          <w:rFonts w:hint="eastAsia" w:eastAsia="方正黑体_GBK" w:cs="方正黑体_GBK"/>
          <w:bCs/>
          <w:color w:val="000000" w:themeColor="text1"/>
          <w:kern w:val="0"/>
          <w:sz w:val="32"/>
          <w:szCs w:val="32"/>
          <w14:textFill>
            <w14:solidFill>
              <w14:schemeClr w14:val="tx1"/>
            </w14:solidFill>
          </w14:textFill>
        </w:rPr>
        <w:t>一、目的意义</w:t>
      </w:r>
    </w:p>
    <w:p w14:paraId="79B683F6">
      <w:pPr>
        <w:spacing w:line="590" w:lineRule="exact"/>
        <w:ind w:firstLine="640"/>
        <w:rPr>
          <w:rFonts w:ascii="仿宋" w:hAnsi="仿宋"/>
          <w:sz w:val="32"/>
          <w:szCs w:val="32"/>
        </w:rPr>
      </w:pPr>
      <w:r>
        <w:rPr>
          <w:rFonts w:hint="eastAsia" w:ascii="仿宋" w:hAnsi="仿宋"/>
          <w:sz w:val="32"/>
          <w:szCs w:val="32"/>
        </w:rPr>
        <w:t>近年来，江苏省市场监管局高度重视双重预防工作，将特种设备双重预防工作纳入全省市场监管“十四五”工作规划，制定了特种设备双重预防工作实施方案，积极推动制定颁布了5项特种设备双重预防机制地方标准，并委托江苏省特检院在全省特种设备使用单位试点推广双重预防机制建设，督促特种设备使用单位落实使用安全主体责任，有效遏制重特大事故发生。</w:t>
      </w:r>
    </w:p>
    <w:p w14:paraId="69F17BD6">
      <w:pPr>
        <w:spacing w:line="590" w:lineRule="exact"/>
        <w:ind w:firstLine="640"/>
        <w:rPr>
          <w:rFonts w:ascii="仿宋" w:hAnsi="仿宋"/>
          <w:sz w:val="32"/>
          <w:szCs w:val="32"/>
        </w:rPr>
      </w:pPr>
      <w:r>
        <w:rPr>
          <w:rFonts w:hint="eastAsia" w:ascii="仿宋" w:hAnsi="仿宋"/>
          <w:sz w:val="32"/>
          <w:szCs w:val="32"/>
        </w:rPr>
        <w:t>为了便于开展特种设备双重预防机制建设推广工作，江苏省特检院开发研制了特种设备双重预防机制信息化云平台，目前已在全省356家特种设备使用单位试点应用，指导帮助</w:t>
      </w:r>
      <w:r>
        <w:rPr>
          <w:rFonts w:hint="eastAsia" w:ascii="仿宋" w:hAnsi="仿宋"/>
          <w:sz w:val="32"/>
          <w:szCs w:val="32"/>
          <w:lang w:eastAsia="zh-CN"/>
        </w:rPr>
        <w:t>特种设备使用单位</w:t>
      </w:r>
      <w:r>
        <w:rPr>
          <w:rFonts w:hint="eastAsia" w:ascii="仿宋" w:hAnsi="仿宋"/>
          <w:sz w:val="32"/>
          <w:szCs w:val="32"/>
        </w:rPr>
        <w:t>打造标准化特种设备安全管理流程，提高双重预防机制建设成效，提升特种设备安全管理水平。在推广过程中，</w:t>
      </w:r>
      <w:r>
        <w:rPr>
          <w:rFonts w:hint="eastAsia" w:ascii="仿宋" w:hAnsi="仿宋"/>
          <w:sz w:val="32"/>
          <w:szCs w:val="32"/>
          <w:lang w:eastAsia="zh-CN"/>
        </w:rPr>
        <w:t>特种设备使用单位</w:t>
      </w:r>
      <w:r>
        <w:rPr>
          <w:rFonts w:hint="eastAsia" w:ascii="仿宋" w:hAnsi="仿宋"/>
          <w:sz w:val="32"/>
          <w:szCs w:val="32"/>
        </w:rPr>
        <w:t>在使用特种设备双重预防机制信息化云平台的同时，还使用应急、住建、文旅等多个部门的双重预防机制信息化平台，存在数据重复填报、信息不共享、形成多个“数据孤岛”的现象，大大增加了工作人员负担，耗费了大量人力物力。为了打破“数据孤岛”，实现数据共享，本标准提出制定特种设备双重预防数据归集技术规范，解决平台间数据共享问题，保证</w:t>
      </w:r>
      <w:r>
        <w:rPr>
          <w:rFonts w:hint="eastAsia" w:ascii="仿宋" w:hAnsi="仿宋"/>
          <w:sz w:val="32"/>
          <w:szCs w:val="32"/>
          <w:lang w:eastAsia="zh-CN"/>
        </w:rPr>
        <w:t>特种设备使用单位</w:t>
      </w:r>
      <w:r>
        <w:rPr>
          <w:rFonts w:hint="eastAsia" w:ascii="仿宋" w:hAnsi="仿宋"/>
          <w:sz w:val="32"/>
          <w:szCs w:val="32"/>
        </w:rPr>
        <w:t>员工只需在一个平台上填报数据，就可以实现多个平台间的信息共享，在减轻</w:t>
      </w:r>
      <w:r>
        <w:rPr>
          <w:rFonts w:hint="eastAsia" w:ascii="仿宋" w:hAnsi="仿宋"/>
          <w:sz w:val="32"/>
          <w:szCs w:val="32"/>
          <w:lang w:eastAsia="zh-CN"/>
        </w:rPr>
        <w:t>特种设备使用单位</w:t>
      </w:r>
      <w:r>
        <w:rPr>
          <w:rFonts w:hint="eastAsia" w:ascii="仿宋" w:hAnsi="仿宋"/>
          <w:sz w:val="32"/>
          <w:szCs w:val="32"/>
        </w:rPr>
        <w:t>负担的同时，畅通多部门信息流，让信息平台充分发挥科学监管、数字监管、信用监管、联合监管的综合效能，真正实现特种设备多元共治的格局。</w:t>
      </w:r>
    </w:p>
    <w:p w14:paraId="7028AA2A">
      <w:pPr>
        <w:spacing w:line="580" w:lineRule="exact"/>
        <w:ind w:firstLine="640"/>
        <w:rPr>
          <w:rFonts w:eastAsia="方正黑体_GBK" w:cs="方正黑体_GBK"/>
          <w:bCs/>
          <w:color w:val="000000" w:themeColor="text1"/>
          <w:kern w:val="0"/>
          <w:sz w:val="32"/>
          <w:szCs w:val="32"/>
          <w14:textFill>
            <w14:solidFill>
              <w14:schemeClr w14:val="tx1"/>
            </w14:solidFill>
          </w14:textFill>
        </w:rPr>
      </w:pPr>
      <w:r>
        <w:rPr>
          <w:rFonts w:hint="eastAsia" w:eastAsia="方正黑体_GBK" w:cs="方正黑体_GBK"/>
          <w:bCs/>
          <w:color w:val="000000" w:themeColor="text1"/>
          <w:kern w:val="0"/>
          <w:sz w:val="32"/>
          <w:szCs w:val="32"/>
          <w14:textFill>
            <w14:solidFill>
              <w14:schemeClr w14:val="tx1"/>
            </w14:solidFill>
          </w14:textFill>
        </w:rPr>
        <w:t>二、任务来源</w:t>
      </w:r>
    </w:p>
    <w:p w14:paraId="6314FCE6">
      <w:pPr>
        <w:spacing w:line="590" w:lineRule="exact"/>
        <w:ind w:firstLine="640"/>
        <w:rPr>
          <w:rFonts w:ascii="仿宋" w:hAnsi="仿宋"/>
          <w:sz w:val="32"/>
          <w:szCs w:val="32"/>
        </w:rPr>
      </w:pPr>
      <w:r>
        <w:rPr>
          <w:rFonts w:ascii="仿宋" w:hAnsi="仿宋"/>
          <w:sz w:val="32"/>
          <w:szCs w:val="32"/>
        </w:rPr>
        <w:t>根据《省市场监管局关于下达2023年度江苏省地方标准项目计划的通知》（苏市监标〔2023〕173号），</w:t>
      </w:r>
      <w:r>
        <w:rPr>
          <w:rFonts w:hint="eastAsia" w:ascii="仿宋" w:hAnsi="仿宋"/>
          <w:sz w:val="32"/>
          <w:szCs w:val="32"/>
        </w:rPr>
        <w:t>江苏省特检院</w:t>
      </w:r>
      <w:r>
        <w:rPr>
          <w:rFonts w:ascii="仿宋" w:hAnsi="仿宋"/>
          <w:sz w:val="32"/>
          <w:szCs w:val="32"/>
        </w:rPr>
        <w:t>牵头申报的《</w:t>
      </w:r>
      <w:r>
        <w:rPr>
          <w:rFonts w:hint="eastAsia" w:ascii="仿宋" w:hAnsi="仿宋"/>
          <w:sz w:val="32"/>
          <w:szCs w:val="32"/>
        </w:rPr>
        <w:t>特种设备双重预防数据归集技术规范</w:t>
      </w:r>
      <w:r>
        <w:rPr>
          <w:rFonts w:ascii="仿宋" w:hAnsi="仿宋"/>
          <w:sz w:val="32"/>
          <w:szCs w:val="32"/>
        </w:rPr>
        <w:t>》被纳入2023年度地方标准制定项目计划。</w:t>
      </w:r>
      <w:r>
        <w:rPr>
          <w:rFonts w:hint="eastAsia" w:ascii="仿宋" w:hAnsi="仿宋"/>
          <w:sz w:val="32"/>
          <w:szCs w:val="32"/>
        </w:rPr>
        <w:t>归</w:t>
      </w:r>
      <w:r>
        <w:rPr>
          <w:rFonts w:ascii="仿宋" w:hAnsi="仿宋"/>
          <w:sz w:val="32"/>
          <w:szCs w:val="32"/>
        </w:rPr>
        <w:t>口行政主管部门为江苏省</w:t>
      </w:r>
      <w:r>
        <w:rPr>
          <w:rFonts w:hint="eastAsia" w:ascii="仿宋" w:hAnsi="仿宋"/>
          <w:sz w:val="32"/>
          <w:szCs w:val="32"/>
        </w:rPr>
        <w:t>市场监督管理局</w:t>
      </w:r>
      <w:r>
        <w:rPr>
          <w:rFonts w:ascii="仿宋" w:hAnsi="仿宋"/>
          <w:sz w:val="32"/>
          <w:szCs w:val="32"/>
        </w:rPr>
        <w:t>。</w:t>
      </w:r>
    </w:p>
    <w:p w14:paraId="3736F645">
      <w:pPr>
        <w:spacing w:line="580" w:lineRule="exact"/>
        <w:ind w:firstLine="640"/>
        <w:rPr>
          <w:rFonts w:eastAsia="方正黑体_GBK" w:cs="方正黑体_GBK"/>
          <w:bCs/>
          <w:color w:val="000000" w:themeColor="text1"/>
          <w:kern w:val="0"/>
          <w:sz w:val="32"/>
          <w:szCs w:val="32"/>
          <w14:textFill>
            <w14:solidFill>
              <w14:schemeClr w14:val="tx1"/>
            </w14:solidFill>
          </w14:textFill>
        </w:rPr>
      </w:pPr>
      <w:r>
        <w:rPr>
          <w:rFonts w:hint="eastAsia" w:eastAsia="方正黑体_GBK" w:cs="方正黑体_GBK"/>
          <w:bCs/>
          <w:color w:val="000000" w:themeColor="text1"/>
          <w:kern w:val="0"/>
          <w:sz w:val="32"/>
          <w:szCs w:val="32"/>
          <w14:textFill>
            <w14:solidFill>
              <w14:schemeClr w14:val="tx1"/>
            </w14:solidFill>
          </w14:textFill>
        </w:rPr>
        <w:t>三、编制过程</w:t>
      </w:r>
    </w:p>
    <w:p w14:paraId="5292926D">
      <w:pPr>
        <w:spacing w:line="590" w:lineRule="exact"/>
        <w:ind w:firstLine="640"/>
        <w:rPr>
          <w:rFonts w:ascii="仿宋" w:hAnsi="仿宋"/>
          <w:sz w:val="32"/>
          <w:szCs w:val="32"/>
        </w:rPr>
      </w:pPr>
      <w:r>
        <w:rPr>
          <w:rFonts w:hint="eastAsia" w:ascii="仿宋" w:hAnsi="仿宋"/>
          <w:sz w:val="32"/>
          <w:szCs w:val="32"/>
        </w:rPr>
        <w:t>标准编制工作分六个阶段：</w:t>
      </w:r>
    </w:p>
    <w:p w14:paraId="5C0845E0">
      <w:pPr>
        <w:spacing w:line="590" w:lineRule="exact"/>
        <w:ind w:firstLine="640"/>
        <w:rPr>
          <w:rFonts w:ascii="仿宋" w:hAnsi="仿宋"/>
          <w:sz w:val="32"/>
          <w:szCs w:val="32"/>
        </w:rPr>
      </w:pPr>
      <w:r>
        <w:rPr>
          <w:rFonts w:hint="eastAsia" w:ascii="仿宋" w:hAnsi="仿宋"/>
          <w:sz w:val="32"/>
          <w:szCs w:val="32"/>
        </w:rPr>
        <w:t>第一阶段：前期预研</w:t>
      </w:r>
    </w:p>
    <w:p w14:paraId="446D79E4">
      <w:pPr>
        <w:spacing w:line="590" w:lineRule="exact"/>
        <w:ind w:firstLine="640"/>
        <w:rPr>
          <w:rFonts w:ascii="仿宋" w:hAnsi="仿宋"/>
          <w:sz w:val="32"/>
          <w:szCs w:val="32"/>
        </w:rPr>
      </w:pPr>
      <w:r>
        <w:rPr>
          <w:rFonts w:hint="eastAsia" w:ascii="仿宋" w:hAnsi="仿宋"/>
          <w:sz w:val="32"/>
          <w:szCs w:val="32"/>
        </w:rPr>
        <w:t>通过对特种设备使用单位、特种设备信息化建设单位进行调研，对双重预防和数据归集掌握了大量的一手资料，并结合实际特种设备双重预防推广工作中的经验，在此基础上确定标准化对象，分析标准化需求，建立标准基本框架、确定标准主要技术内容，编制了地方标准草案。</w:t>
      </w:r>
    </w:p>
    <w:p w14:paraId="36E9FFAA">
      <w:pPr>
        <w:spacing w:line="590" w:lineRule="exact"/>
        <w:ind w:firstLine="640"/>
        <w:rPr>
          <w:rFonts w:ascii="仿宋" w:hAnsi="仿宋"/>
          <w:sz w:val="32"/>
          <w:szCs w:val="32"/>
        </w:rPr>
      </w:pPr>
      <w:r>
        <w:rPr>
          <w:rFonts w:hint="eastAsia" w:ascii="仿宋" w:hAnsi="仿宋"/>
          <w:sz w:val="32"/>
          <w:szCs w:val="32"/>
        </w:rPr>
        <w:t>第二阶段：立项阶段</w:t>
      </w:r>
    </w:p>
    <w:p w14:paraId="4A01DC72">
      <w:pPr>
        <w:spacing w:line="590" w:lineRule="exact"/>
        <w:ind w:firstLine="640"/>
        <w:rPr>
          <w:rFonts w:ascii="仿宋" w:hAnsi="仿宋"/>
          <w:sz w:val="32"/>
          <w:szCs w:val="32"/>
        </w:rPr>
      </w:pPr>
      <w:r>
        <w:rPr>
          <w:rFonts w:hint="eastAsia" w:ascii="仿宋" w:hAnsi="仿宋"/>
          <w:sz w:val="32"/>
          <w:szCs w:val="32"/>
        </w:rPr>
        <w:t>2023年8月，本标准通过江苏省市场监督管理局立项。</w:t>
      </w:r>
    </w:p>
    <w:p w14:paraId="4472EA63">
      <w:pPr>
        <w:spacing w:line="590" w:lineRule="exact"/>
        <w:ind w:firstLine="640"/>
        <w:rPr>
          <w:rFonts w:ascii="仿宋" w:hAnsi="仿宋"/>
          <w:sz w:val="32"/>
          <w:szCs w:val="32"/>
        </w:rPr>
      </w:pPr>
      <w:r>
        <w:rPr>
          <w:rFonts w:hint="eastAsia" w:ascii="仿宋" w:hAnsi="仿宋"/>
          <w:sz w:val="32"/>
          <w:szCs w:val="32"/>
        </w:rPr>
        <w:t>第三阶段：标准起草</w:t>
      </w:r>
    </w:p>
    <w:p w14:paraId="0796C42A">
      <w:pPr>
        <w:spacing w:line="590" w:lineRule="exact"/>
        <w:ind w:firstLine="640"/>
        <w:rPr>
          <w:rFonts w:ascii="仿宋" w:hAnsi="仿宋"/>
          <w:sz w:val="32"/>
          <w:szCs w:val="32"/>
        </w:rPr>
      </w:pPr>
      <w:r>
        <w:rPr>
          <w:rFonts w:hint="eastAsia" w:ascii="仿宋" w:hAnsi="仿宋"/>
          <w:sz w:val="32"/>
          <w:szCs w:val="32"/>
        </w:rPr>
        <w:t>2023年8月，成立了以江苏省市场监督管理局，江苏省特种设备安全监督检验研究院，南京擎天科技有限公司，江苏省安全生产宣传教育中心，塞拉尼斯（南京）化工有限公司，方圆标志认证集团江苏有限公司，中博信息技术研究院有限公司为成员单位的标准起草组，组织相关资料的收集梳理工作。</w:t>
      </w:r>
    </w:p>
    <w:p w14:paraId="3DF03DD3">
      <w:pPr>
        <w:spacing w:line="590" w:lineRule="exact"/>
        <w:ind w:firstLine="640"/>
        <w:rPr>
          <w:rFonts w:ascii="仿宋" w:hAnsi="仿宋"/>
          <w:sz w:val="32"/>
          <w:szCs w:val="32"/>
        </w:rPr>
      </w:pPr>
      <w:r>
        <w:rPr>
          <w:rFonts w:hint="eastAsia" w:ascii="仿宋" w:hAnsi="仿宋"/>
          <w:sz w:val="32"/>
          <w:szCs w:val="32"/>
        </w:rPr>
        <w:t>2023年9月，起草组召开研讨会议，依据标准编制的目的及要求，制定了标准编制工作方案。</w:t>
      </w:r>
    </w:p>
    <w:p w14:paraId="448094D4">
      <w:pPr>
        <w:spacing w:line="590" w:lineRule="exact"/>
        <w:ind w:firstLine="640"/>
        <w:rPr>
          <w:rFonts w:ascii="仿宋" w:hAnsi="仿宋"/>
          <w:sz w:val="32"/>
          <w:szCs w:val="32"/>
        </w:rPr>
      </w:pPr>
      <w:r>
        <w:rPr>
          <w:rFonts w:hint="eastAsia" w:ascii="仿宋" w:hAnsi="仿宋"/>
          <w:sz w:val="32"/>
          <w:szCs w:val="32"/>
        </w:rPr>
        <w:t>2023年9月至2024年3月，在收集资料和调研资料的基础上，依据标准工作方案开展标准编制工作，起草组多次内部讨论并组织有关专家参与研讨，根据专家意见修改完善标准，多次修改完善标准，形成标准的征求意见稿。</w:t>
      </w:r>
    </w:p>
    <w:p w14:paraId="13DA664E">
      <w:pPr>
        <w:spacing w:line="590" w:lineRule="exact"/>
        <w:ind w:firstLine="640"/>
        <w:rPr>
          <w:rFonts w:ascii="仿宋" w:hAnsi="仿宋"/>
          <w:sz w:val="32"/>
          <w:szCs w:val="32"/>
        </w:rPr>
      </w:pPr>
      <w:r>
        <w:rPr>
          <w:rFonts w:hint="eastAsia" w:ascii="仿宋" w:hAnsi="仿宋"/>
          <w:sz w:val="32"/>
          <w:szCs w:val="32"/>
        </w:rPr>
        <w:t>第四阶段：公开征求意见阶段</w:t>
      </w:r>
    </w:p>
    <w:p w14:paraId="3C937748">
      <w:pPr>
        <w:spacing w:line="590" w:lineRule="exact"/>
        <w:ind w:firstLine="640"/>
        <w:rPr>
          <w:rFonts w:ascii="仿宋" w:hAnsi="仿宋"/>
          <w:sz w:val="32"/>
          <w:szCs w:val="32"/>
        </w:rPr>
      </w:pPr>
      <w:r>
        <w:rPr>
          <w:rFonts w:hint="eastAsia" w:ascii="仿宋" w:hAnsi="仿宋"/>
          <w:sz w:val="32"/>
          <w:szCs w:val="32"/>
        </w:rPr>
        <w:t>2024年4月至5月期间，在省特检院官网上第一次公开征求意见。本次征求意见共收集到1</w:t>
      </w:r>
      <w:r>
        <w:rPr>
          <w:rFonts w:ascii="仿宋" w:hAnsi="仿宋"/>
          <w:sz w:val="32"/>
          <w:szCs w:val="32"/>
        </w:rPr>
        <w:t>2</w:t>
      </w:r>
      <w:r>
        <w:rPr>
          <w:rFonts w:hint="eastAsia" w:ascii="仿宋" w:hAnsi="仿宋"/>
          <w:sz w:val="32"/>
          <w:szCs w:val="32"/>
        </w:rPr>
        <w:t>条修改意见，其中全部采纳8条、部分采纳1条，未采纳</w:t>
      </w:r>
      <w:r>
        <w:rPr>
          <w:rFonts w:ascii="仿宋" w:hAnsi="仿宋"/>
          <w:sz w:val="32"/>
          <w:szCs w:val="32"/>
        </w:rPr>
        <w:t>3</w:t>
      </w:r>
      <w:r>
        <w:rPr>
          <w:rFonts w:hint="eastAsia" w:ascii="仿宋" w:hAnsi="仿宋"/>
          <w:sz w:val="32"/>
          <w:szCs w:val="32"/>
        </w:rPr>
        <w:t>条，详见《征求意见汇总处理表》第1-12条。</w:t>
      </w:r>
    </w:p>
    <w:p w14:paraId="0053E0CC">
      <w:pPr>
        <w:spacing w:line="590" w:lineRule="exact"/>
        <w:ind w:firstLine="640"/>
        <w:rPr>
          <w:rFonts w:ascii="仿宋" w:hAnsi="仿宋"/>
          <w:sz w:val="32"/>
          <w:szCs w:val="32"/>
        </w:rPr>
      </w:pPr>
      <w:r>
        <w:rPr>
          <w:rFonts w:hint="eastAsia" w:ascii="仿宋" w:hAnsi="仿宋"/>
          <w:sz w:val="32"/>
          <w:szCs w:val="32"/>
        </w:rPr>
        <w:t>2024年6月至7月期间，起草组召开研讨会议，就修改后的征求意见稿进行逐条讨论、修订。</w:t>
      </w:r>
    </w:p>
    <w:p w14:paraId="2CE3AB35">
      <w:pPr>
        <w:spacing w:line="590" w:lineRule="exact"/>
        <w:ind w:firstLine="640"/>
        <w:rPr>
          <w:rFonts w:ascii="仿宋" w:hAnsi="仿宋"/>
          <w:sz w:val="32"/>
          <w:szCs w:val="32"/>
        </w:rPr>
      </w:pPr>
      <w:r>
        <w:rPr>
          <w:rFonts w:hint="eastAsia" w:ascii="仿宋" w:hAnsi="仿宋"/>
          <w:sz w:val="32"/>
          <w:szCs w:val="32"/>
        </w:rPr>
        <w:t>2024年8月至9月期间，形成第二次征求意见稿和编制说明，报省局标准化管理处在省局网站公开征求意见。同时向13家设区市市场监管局、江苏省安全生产科学研究院、南京市应急管理局、南京市文化和旅游局、南京工业大学、12家特种设备使用单位、3家特种设备相关信息化技术公司等单位及有关专家征求意见。其中，南京市应急管理局、13家设区市市场监管局、江苏梅兰化工有限公司、新浦化学（泰兴）有限公司、南京地铁运营有限责任公司、南通轨道交通集团有限公司运营分公司、南通中集太平洋海洋工程有限公司、中复神鹰碳纤维股份有限公司、江苏中能硅业科技发展有限公司、江苏瑞祥化工有限公司、索尔维（张家港）精细化工有限公司均反馈无意见。本次征求意见共收到15条修改意见，其中采纳14条，未采纳1条，详见《征求意见汇总处理表》第13-27条。2024年10月，起草组修改后形成了标准送审稿报江苏省市场监督管理局审查。</w:t>
      </w:r>
    </w:p>
    <w:p w14:paraId="352BD378">
      <w:pPr>
        <w:spacing w:line="590" w:lineRule="exact"/>
        <w:ind w:firstLine="640"/>
        <w:rPr>
          <w:rFonts w:ascii="仿宋" w:hAnsi="仿宋"/>
          <w:sz w:val="32"/>
          <w:szCs w:val="32"/>
        </w:rPr>
      </w:pPr>
      <w:r>
        <w:rPr>
          <w:rFonts w:hint="eastAsia" w:ascii="仿宋" w:hAnsi="仿宋"/>
          <w:sz w:val="32"/>
          <w:szCs w:val="32"/>
        </w:rPr>
        <w:t>第五阶段：标准审查阶段</w:t>
      </w:r>
    </w:p>
    <w:p w14:paraId="6D5C61D5">
      <w:pPr>
        <w:spacing w:line="590" w:lineRule="exact"/>
        <w:ind w:firstLine="640"/>
        <w:rPr>
          <w:rFonts w:ascii="仿宋" w:hAnsi="仿宋"/>
          <w:sz w:val="32"/>
          <w:szCs w:val="32"/>
        </w:rPr>
      </w:pPr>
      <w:r>
        <w:rPr>
          <w:rFonts w:hint="eastAsia" w:ascii="仿宋" w:hAnsi="仿宋"/>
          <w:sz w:val="32"/>
          <w:szCs w:val="32"/>
        </w:rPr>
        <w:t>2024年11月15日，省市场监督管理局在南京召开标准技术审查会。专家组由南京工业大学、南京市应急管理局、南京市文化和旅游局、江苏省质量技术监督信息中心、江苏省安全生产科学研究院、江苏省质量和标准化研究院、兖矿集团新世纪公司的7位专家组成。专家组听取起草组关于标准制定的说明，审阅了标准送审材料，逐条审查了标准内容后，一致同意该标准通过审查。</w:t>
      </w:r>
    </w:p>
    <w:p w14:paraId="0C220DE9">
      <w:pPr>
        <w:spacing w:line="590" w:lineRule="exact"/>
        <w:ind w:firstLine="640"/>
        <w:rPr>
          <w:rFonts w:ascii="仿宋" w:hAnsi="仿宋"/>
          <w:sz w:val="32"/>
          <w:szCs w:val="32"/>
        </w:rPr>
      </w:pPr>
      <w:r>
        <w:rPr>
          <w:rFonts w:hint="eastAsia" w:ascii="仿宋" w:hAnsi="仿宋"/>
          <w:sz w:val="32"/>
          <w:szCs w:val="32"/>
        </w:rPr>
        <w:t>第六阶段：报批阶段</w:t>
      </w:r>
    </w:p>
    <w:p w14:paraId="117C5BEB">
      <w:pPr>
        <w:spacing w:line="590" w:lineRule="exact"/>
        <w:ind w:firstLine="640"/>
        <w:rPr>
          <w:rFonts w:ascii="仿宋" w:hAnsi="仿宋"/>
        </w:rPr>
      </w:pPr>
      <w:r>
        <w:rPr>
          <w:rFonts w:hint="eastAsia" w:ascii="仿宋" w:hAnsi="仿宋"/>
          <w:sz w:val="32"/>
          <w:szCs w:val="32"/>
        </w:rPr>
        <w:t>2024年11月，标准起草组根据审查专家组的意见和建议，对标准送审稿进行修改完善，形成标准报批稿。</w:t>
      </w:r>
    </w:p>
    <w:p w14:paraId="6ADF09A8">
      <w:pPr>
        <w:spacing w:line="580" w:lineRule="exact"/>
        <w:ind w:firstLine="640"/>
        <w:rPr>
          <w:rFonts w:eastAsia="方正黑体_GBK" w:cs="方正黑体_GBK"/>
          <w:bCs/>
          <w:color w:val="000000" w:themeColor="text1"/>
          <w:kern w:val="0"/>
          <w:sz w:val="32"/>
          <w:szCs w:val="32"/>
          <w14:textFill>
            <w14:solidFill>
              <w14:schemeClr w14:val="tx1"/>
            </w14:solidFill>
          </w14:textFill>
        </w:rPr>
      </w:pPr>
      <w:r>
        <w:rPr>
          <w:rFonts w:hint="eastAsia" w:eastAsia="方正黑体_GBK" w:cs="方正黑体_GBK"/>
          <w:bCs/>
          <w:color w:val="000000" w:themeColor="text1"/>
          <w:kern w:val="0"/>
          <w:sz w:val="32"/>
          <w:szCs w:val="32"/>
          <w14:textFill>
            <w14:solidFill>
              <w14:schemeClr w14:val="tx1"/>
            </w14:solidFill>
          </w14:textFill>
        </w:rPr>
        <w:t>四、主要内容和技术指标确立的依据</w:t>
      </w:r>
    </w:p>
    <w:p w14:paraId="09825038">
      <w:pPr>
        <w:ind w:firstLine="640"/>
        <w:outlineLvl w:val="0"/>
        <w:rPr>
          <w:rFonts w:ascii="楷体" w:hAnsi="楷体" w:eastAsia="楷体" w:cs="楷体"/>
          <w:sz w:val="32"/>
          <w:szCs w:val="32"/>
        </w:rPr>
      </w:pPr>
      <w:r>
        <w:rPr>
          <w:rFonts w:hint="eastAsia" w:ascii="楷体" w:hAnsi="楷体" w:eastAsia="楷体" w:cs="楷体"/>
          <w:sz w:val="32"/>
          <w:szCs w:val="32"/>
        </w:rPr>
        <w:t>（一）标准编制原则</w:t>
      </w:r>
    </w:p>
    <w:p w14:paraId="674C3441">
      <w:pPr>
        <w:spacing w:line="590" w:lineRule="exact"/>
        <w:ind w:firstLine="640"/>
        <w:rPr>
          <w:rFonts w:ascii="仿宋" w:hAnsi="仿宋"/>
          <w:sz w:val="32"/>
          <w:szCs w:val="32"/>
        </w:rPr>
      </w:pPr>
      <w:r>
        <w:rPr>
          <w:rFonts w:hint="eastAsia" w:ascii="仿宋" w:hAnsi="仿宋"/>
          <w:sz w:val="32"/>
          <w:szCs w:val="32"/>
        </w:rPr>
        <w:t>本标准依据GB/T1.1—2020 《标准化工作导则第1部分：标准的结构和编写原则》的要求进行编制。在规范性要素的选择方面，遵循标准化对象原则、文件使用者原则和目的导向原则，对标准化对象分析，确保规范性要素的内容紧扣编制目的。在表述方面，遵循一致性、协调性、易用性的原则。</w:t>
      </w:r>
    </w:p>
    <w:p w14:paraId="717D9F7D">
      <w:pPr>
        <w:ind w:firstLine="640"/>
        <w:outlineLvl w:val="0"/>
        <w:rPr>
          <w:rFonts w:ascii="楷体" w:hAnsi="楷体" w:eastAsia="楷体" w:cs="楷体"/>
          <w:sz w:val="32"/>
          <w:szCs w:val="32"/>
        </w:rPr>
      </w:pPr>
      <w:r>
        <w:rPr>
          <w:rFonts w:hint="eastAsia" w:ascii="楷体" w:hAnsi="楷体" w:eastAsia="楷体" w:cs="楷体"/>
          <w:sz w:val="32"/>
          <w:szCs w:val="32"/>
        </w:rPr>
        <w:t>（二）依据的法律法规</w:t>
      </w:r>
    </w:p>
    <w:p w14:paraId="7B5C849A">
      <w:pPr>
        <w:spacing w:line="590" w:lineRule="exact"/>
        <w:ind w:firstLine="640"/>
        <w:rPr>
          <w:rFonts w:ascii="仿宋" w:hAnsi="仿宋"/>
          <w:sz w:val="32"/>
          <w:szCs w:val="32"/>
        </w:rPr>
      </w:pPr>
      <w:r>
        <w:rPr>
          <w:rFonts w:hint="eastAsia" w:ascii="仿宋" w:hAnsi="仿宋"/>
          <w:sz w:val="32"/>
          <w:szCs w:val="32"/>
        </w:rPr>
        <w:t>本标准依据技术指标确定的法律法规主要包括《中华人民共和国特种设备安全法》、《中华人民共和国安全生产法》、《特种设备安全监察条例》以及《特种设备使用单位落实使用安全主体责任监督管理规定》（市场监管总局令第74号）等。</w:t>
      </w:r>
    </w:p>
    <w:p w14:paraId="27581470">
      <w:pPr>
        <w:ind w:firstLine="640"/>
        <w:outlineLvl w:val="0"/>
        <w:rPr>
          <w:rFonts w:ascii="楷体" w:hAnsi="楷体" w:eastAsia="楷体" w:cs="楷体"/>
          <w:sz w:val="32"/>
          <w:szCs w:val="32"/>
        </w:rPr>
      </w:pPr>
      <w:r>
        <w:rPr>
          <w:rFonts w:hint="eastAsia" w:ascii="楷体" w:hAnsi="楷体" w:eastAsia="楷体" w:cs="楷体"/>
          <w:sz w:val="32"/>
          <w:szCs w:val="32"/>
        </w:rPr>
        <w:t>（三）主要内容确定的依据</w:t>
      </w:r>
    </w:p>
    <w:p w14:paraId="7914D657">
      <w:pPr>
        <w:spacing w:line="590" w:lineRule="exact"/>
        <w:ind w:firstLine="640"/>
        <w:rPr>
          <w:rFonts w:ascii="仿宋" w:hAnsi="仿宋"/>
          <w:sz w:val="32"/>
          <w:szCs w:val="32"/>
        </w:rPr>
      </w:pPr>
      <w:r>
        <w:rPr>
          <w:rFonts w:hint="eastAsia" w:ascii="仿宋" w:hAnsi="仿宋"/>
          <w:sz w:val="32"/>
          <w:szCs w:val="32"/>
        </w:rPr>
        <w:t>本标准共六章，其中主要技术内容包括特种设备双重预防数据归集总体要求、数据归集策略以及数据归集安全、附录A和附录B共五个方面内容。在编制过程中，重点参考了《应急管理部办公厅关于印发&lt;化工园区安全风险智能化管控平台数据交换规范（试行）&gt;和&lt;危险化学品</w:t>
      </w:r>
      <w:r>
        <w:rPr>
          <w:rFonts w:hint="eastAsia" w:ascii="仿宋" w:hAnsi="仿宋"/>
          <w:sz w:val="32"/>
          <w:szCs w:val="32"/>
          <w:lang w:eastAsia="zh-CN"/>
        </w:rPr>
        <w:t>特种设备使用单位</w:t>
      </w:r>
      <w:r>
        <w:rPr>
          <w:rFonts w:hint="eastAsia" w:ascii="仿宋" w:hAnsi="仿宋"/>
          <w:sz w:val="32"/>
          <w:szCs w:val="32"/>
        </w:rPr>
        <w:t>安全风险智能化管控平台建设指南（试行）&gt;的通知》（应急厅〔2022〕5号）、《应急管理部危化监管一司关于印发&lt;危险化学品生产经营</w:t>
      </w:r>
      <w:r>
        <w:rPr>
          <w:rFonts w:hint="eastAsia" w:ascii="仿宋" w:hAnsi="仿宋"/>
          <w:sz w:val="32"/>
          <w:szCs w:val="32"/>
          <w:lang w:eastAsia="zh-CN"/>
        </w:rPr>
        <w:t>特种设备使用单位</w:t>
      </w:r>
      <w:r>
        <w:rPr>
          <w:rFonts w:hint="eastAsia" w:ascii="仿宋" w:hAnsi="仿宋"/>
          <w:sz w:val="32"/>
          <w:szCs w:val="32"/>
        </w:rPr>
        <w:t>双重预防机制数字化建设数据交换规范（2024年修订版）&gt;的通知》以及《省应急管理厅关于印发&lt;江苏省化工</w:t>
      </w:r>
      <w:r>
        <w:rPr>
          <w:rFonts w:hint="eastAsia" w:ascii="仿宋" w:hAnsi="仿宋"/>
          <w:sz w:val="32"/>
          <w:szCs w:val="32"/>
          <w:lang w:eastAsia="zh-CN"/>
        </w:rPr>
        <w:t>特种设备使用单位</w:t>
      </w:r>
      <w:r>
        <w:rPr>
          <w:rFonts w:hint="eastAsia" w:ascii="仿宋" w:hAnsi="仿宋"/>
          <w:sz w:val="32"/>
          <w:szCs w:val="32"/>
        </w:rPr>
        <w:t>安全生产信息化管理平台数据对接标准&gt;的通知》等内容，确定了标准的主要技术内容。</w:t>
      </w:r>
    </w:p>
    <w:p w14:paraId="2F6FB6A7">
      <w:pPr>
        <w:spacing w:line="590" w:lineRule="exact"/>
        <w:ind w:firstLine="640"/>
        <w:rPr>
          <w:rFonts w:ascii="仿宋" w:hAnsi="仿宋"/>
          <w:sz w:val="32"/>
          <w:szCs w:val="32"/>
        </w:rPr>
      </w:pPr>
      <w:r>
        <w:rPr>
          <w:rFonts w:hint="eastAsia" w:ascii="仿宋" w:hAnsi="仿宋"/>
          <w:sz w:val="32"/>
          <w:szCs w:val="32"/>
        </w:rPr>
        <w:t>第四章规定了特种设备双重预防数据归集总体要求，即准确性、及时性、安全性三大要求。</w:t>
      </w:r>
    </w:p>
    <w:p w14:paraId="6BBEDFA2">
      <w:pPr>
        <w:spacing w:line="590" w:lineRule="exact"/>
        <w:ind w:firstLine="640"/>
        <w:rPr>
          <w:rFonts w:ascii="仿宋" w:hAnsi="仿宋"/>
          <w:sz w:val="32"/>
          <w:szCs w:val="32"/>
        </w:rPr>
      </w:pPr>
      <w:r>
        <w:rPr>
          <w:rFonts w:hint="eastAsia" w:ascii="仿宋" w:hAnsi="仿宋"/>
          <w:sz w:val="32"/>
          <w:szCs w:val="32"/>
        </w:rPr>
        <w:t>第五章规定了特种设备双重预防数据归集策略，主要对数据归集内容、数据归集方式、数据归集结果和数据更新进行了规范。在数据库归集、数据接口归集内容确认上，由于部分</w:t>
      </w:r>
      <w:r>
        <w:rPr>
          <w:rFonts w:hint="eastAsia" w:ascii="仿宋" w:hAnsi="仿宋"/>
          <w:sz w:val="32"/>
          <w:szCs w:val="32"/>
          <w:lang w:eastAsia="zh-CN"/>
        </w:rPr>
        <w:t>特种设备使用单位</w:t>
      </w:r>
      <w:r>
        <w:rPr>
          <w:rFonts w:hint="eastAsia" w:ascii="仿宋" w:hAnsi="仿宋"/>
          <w:sz w:val="32"/>
          <w:szCs w:val="32"/>
        </w:rPr>
        <w:t>已经在省应急管理厅开展了数据归集工作，所以，本部分内容参考省应急管理厅数据接入的相关规范，尽量保持全省</w:t>
      </w:r>
      <w:r>
        <w:rPr>
          <w:rFonts w:hint="eastAsia" w:ascii="仿宋" w:hAnsi="仿宋"/>
          <w:sz w:val="32"/>
          <w:szCs w:val="32"/>
          <w:lang w:eastAsia="zh-CN"/>
        </w:rPr>
        <w:t>特种设备使用单位</w:t>
      </w:r>
      <w:r>
        <w:rPr>
          <w:rFonts w:hint="eastAsia" w:ascii="仿宋" w:hAnsi="仿宋"/>
          <w:sz w:val="32"/>
          <w:szCs w:val="32"/>
        </w:rPr>
        <w:t>数据归集的一致性，方便</w:t>
      </w:r>
      <w:r>
        <w:rPr>
          <w:rFonts w:hint="eastAsia" w:ascii="仿宋" w:hAnsi="仿宋"/>
          <w:sz w:val="32"/>
          <w:szCs w:val="32"/>
          <w:lang w:eastAsia="zh-CN"/>
        </w:rPr>
        <w:t>特种设备使用单位</w:t>
      </w:r>
      <w:r>
        <w:rPr>
          <w:rFonts w:hint="eastAsia" w:ascii="仿宋" w:hAnsi="仿宋"/>
          <w:sz w:val="32"/>
          <w:szCs w:val="32"/>
        </w:rPr>
        <w:t>开展数据归集工作。</w:t>
      </w:r>
    </w:p>
    <w:p w14:paraId="1496482F">
      <w:pPr>
        <w:spacing w:line="590" w:lineRule="exact"/>
        <w:ind w:firstLine="640"/>
        <w:rPr>
          <w:rFonts w:ascii="仿宋" w:hAnsi="仿宋"/>
          <w:sz w:val="32"/>
          <w:szCs w:val="32"/>
        </w:rPr>
      </w:pPr>
      <w:r>
        <w:rPr>
          <w:rFonts w:hint="eastAsia" w:ascii="仿宋" w:hAnsi="仿宋"/>
          <w:sz w:val="32"/>
          <w:szCs w:val="32"/>
        </w:rPr>
        <w:t>同时，本章明确了数据更新要求，参考应急管理部、省应急管理厅数据归集的更新周期的相关规范，对附录A中归集内容的更新作出规定。</w:t>
      </w:r>
    </w:p>
    <w:p w14:paraId="645BF024">
      <w:pPr>
        <w:spacing w:line="590" w:lineRule="exact"/>
        <w:ind w:firstLine="640"/>
        <w:rPr>
          <w:rFonts w:ascii="仿宋" w:hAnsi="仿宋"/>
          <w:sz w:val="32"/>
          <w:szCs w:val="32"/>
        </w:rPr>
      </w:pPr>
      <w:r>
        <w:rPr>
          <w:rFonts w:hint="eastAsia" w:ascii="仿宋" w:hAnsi="仿宋"/>
          <w:sz w:val="32"/>
          <w:szCs w:val="32"/>
        </w:rPr>
        <w:t>第六章规定了特种设备双重预防数据归集安全。重点是依据《GB/T22239 信息安全技术网络安全等级保护基本要求》、《GB/T22240 信息安全技术网络安全等级保护定级指南》等标准规范，对</w:t>
      </w:r>
      <w:r>
        <w:rPr>
          <w:rFonts w:hint="eastAsia" w:ascii="仿宋" w:hAnsi="仿宋"/>
          <w:sz w:val="32"/>
          <w:szCs w:val="32"/>
          <w:lang w:val="en-US" w:eastAsia="zh-CN"/>
        </w:rPr>
        <w:t>特种设备使用单位</w:t>
      </w:r>
      <w:r>
        <w:rPr>
          <w:rFonts w:hint="eastAsia" w:ascii="仿宋" w:hAnsi="仿宋"/>
          <w:sz w:val="32"/>
          <w:szCs w:val="32"/>
        </w:rPr>
        <w:t>开展数据库归集、数据接口归集工作的数据安全、网络安全等方面提出要求。</w:t>
      </w:r>
    </w:p>
    <w:p w14:paraId="36187057">
      <w:pPr>
        <w:spacing w:line="590" w:lineRule="exact"/>
        <w:ind w:firstLine="640"/>
        <w:rPr>
          <w:rFonts w:ascii="仿宋" w:hAnsi="仿宋"/>
        </w:rPr>
      </w:pPr>
      <w:r>
        <w:rPr>
          <w:rFonts w:hint="eastAsia" w:ascii="仿宋" w:hAnsi="仿宋"/>
          <w:sz w:val="32"/>
          <w:szCs w:val="32"/>
        </w:rPr>
        <w:t>附录部分，主要对归集数据规范、数据接口归集步骤等进行规范。附录A，规定了数据归集详细的数据类型、数据格式、业务数据结构等内容；附录B，规定了数据接口归集步骤，按照分配账号密码验证方式、获取访问令牌、接口调用等步骤来开展归集工作。</w:t>
      </w:r>
    </w:p>
    <w:p w14:paraId="629A9C95">
      <w:pPr>
        <w:spacing w:line="580" w:lineRule="exact"/>
        <w:ind w:firstLine="640"/>
        <w:rPr>
          <w:rFonts w:eastAsia="方正黑体_GBK" w:cs="方正黑体_GBK"/>
          <w:bCs/>
          <w:color w:val="000000" w:themeColor="text1"/>
          <w:kern w:val="0"/>
          <w:sz w:val="32"/>
          <w:szCs w:val="32"/>
          <w14:textFill>
            <w14:solidFill>
              <w14:schemeClr w14:val="tx1"/>
            </w14:solidFill>
          </w14:textFill>
        </w:rPr>
      </w:pPr>
      <w:r>
        <w:rPr>
          <w:rFonts w:hint="eastAsia" w:eastAsia="方正黑体_GBK" w:cs="方正黑体_GBK"/>
          <w:bCs/>
          <w:color w:val="000000" w:themeColor="text1"/>
          <w:kern w:val="0"/>
          <w:sz w:val="32"/>
          <w:szCs w:val="32"/>
          <w14:textFill>
            <w14:solidFill>
              <w14:schemeClr w14:val="tx1"/>
            </w14:solidFill>
          </w14:textFill>
        </w:rPr>
        <w:t>五、重大分歧意见的处理过程和依据</w:t>
      </w:r>
    </w:p>
    <w:p w14:paraId="6075FE4E">
      <w:pPr>
        <w:spacing w:line="580" w:lineRule="exact"/>
        <w:ind w:firstLine="640"/>
        <w:rPr>
          <w:rFonts w:ascii="仿宋" w:hAnsi="仿宋"/>
          <w:sz w:val="32"/>
          <w:szCs w:val="32"/>
        </w:rPr>
      </w:pPr>
      <w:r>
        <w:rPr>
          <w:rFonts w:ascii="仿宋" w:hAnsi="仿宋"/>
          <w:sz w:val="32"/>
          <w:szCs w:val="32"/>
        </w:rPr>
        <w:t>本标准在编制过程中无重大意见分歧。</w:t>
      </w:r>
    </w:p>
    <w:p w14:paraId="29A9F20B">
      <w:pPr>
        <w:spacing w:line="580" w:lineRule="exact"/>
        <w:ind w:firstLine="640"/>
        <w:rPr>
          <w:rFonts w:eastAsia="方正黑体_GBK" w:cs="方正黑体_GBK"/>
          <w:bCs/>
          <w:color w:val="000000" w:themeColor="text1"/>
          <w:kern w:val="0"/>
          <w:sz w:val="32"/>
          <w:szCs w:val="32"/>
          <w14:textFill>
            <w14:solidFill>
              <w14:schemeClr w14:val="tx1"/>
            </w14:solidFill>
          </w14:textFill>
        </w:rPr>
      </w:pPr>
      <w:r>
        <w:rPr>
          <w:rFonts w:hint="eastAsia" w:eastAsia="方正黑体_GBK" w:cs="方正黑体_GBK"/>
          <w:bCs/>
          <w:color w:val="000000" w:themeColor="text1"/>
          <w:kern w:val="0"/>
          <w:sz w:val="32"/>
          <w:szCs w:val="32"/>
          <w14:textFill>
            <w14:solidFill>
              <w14:schemeClr w14:val="tx1"/>
            </w14:solidFill>
          </w14:textFill>
        </w:rPr>
        <w:t>六、与相关法律法规和标准的关系</w:t>
      </w:r>
    </w:p>
    <w:p w14:paraId="727C12FB">
      <w:pPr>
        <w:spacing w:line="580" w:lineRule="exact"/>
        <w:ind w:firstLine="640"/>
        <w:rPr>
          <w:rFonts w:hint="eastAsia" w:ascii="仿宋" w:hAnsi="仿宋"/>
          <w:sz w:val="32"/>
          <w:szCs w:val="32"/>
          <w:lang w:val="en-US" w:eastAsia="zh-CN"/>
        </w:rPr>
      </w:pPr>
      <w:r>
        <w:rPr>
          <w:rFonts w:hint="eastAsia" w:ascii="仿宋" w:hAnsi="仿宋"/>
          <w:sz w:val="32"/>
          <w:szCs w:val="32"/>
        </w:rPr>
        <w:t>本标准</w:t>
      </w:r>
      <w:r>
        <w:rPr>
          <w:rFonts w:hint="eastAsia" w:ascii="仿宋" w:hAnsi="仿宋"/>
          <w:sz w:val="32"/>
          <w:szCs w:val="32"/>
          <w:lang w:val="en-US" w:eastAsia="zh-CN"/>
        </w:rPr>
        <w:t>遵循</w:t>
      </w:r>
      <w:r>
        <w:rPr>
          <w:rFonts w:hint="eastAsia" w:ascii="仿宋" w:hAnsi="仿宋"/>
          <w:sz w:val="32"/>
          <w:szCs w:val="32"/>
        </w:rPr>
        <w:t>《中华人民共和国</w:t>
      </w:r>
      <w:r>
        <w:rPr>
          <w:rFonts w:hint="eastAsia" w:ascii="仿宋" w:hAnsi="仿宋"/>
          <w:sz w:val="32"/>
          <w:szCs w:val="32"/>
          <w:lang w:val="en-US" w:eastAsia="zh-CN"/>
        </w:rPr>
        <w:t>特种设备安全</w:t>
      </w:r>
      <w:r>
        <w:rPr>
          <w:rFonts w:hint="eastAsia" w:ascii="仿宋" w:hAnsi="仿宋"/>
          <w:sz w:val="32"/>
          <w:szCs w:val="32"/>
        </w:rPr>
        <w:t>法》、《中华人民共和国</w:t>
      </w:r>
      <w:r>
        <w:rPr>
          <w:rFonts w:hint="eastAsia" w:ascii="仿宋" w:hAnsi="仿宋"/>
          <w:sz w:val="32"/>
          <w:szCs w:val="32"/>
          <w:lang w:val="en-US" w:eastAsia="zh-CN"/>
        </w:rPr>
        <w:t>安全生产法</w:t>
      </w:r>
      <w:r>
        <w:rPr>
          <w:rFonts w:hint="eastAsia" w:ascii="仿宋" w:hAnsi="仿宋"/>
          <w:sz w:val="32"/>
          <w:szCs w:val="32"/>
        </w:rPr>
        <w:t>》</w:t>
      </w:r>
      <w:r>
        <w:rPr>
          <w:rFonts w:hint="eastAsia" w:ascii="仿宋" w:hAnsi="仿宋"/>
          <w:sz w:val="32"/>
          <w:szCs w:val="32"/>
          <w:lang w:val="en-US" w:eastAsia="zh-CN"/>
        </w:rPr>
        <w:t>、</w:t>
      </w:r>
      <w:r>
        <w:rPr>
          <w:rFonts w:hint="eastAsia" w:ascii="仿宋" w:hAnsi="仿宋"/>
          <w:sz w:val="32"/>
          <w:szCs w:val="32"/>
          <w:lang w:eastAsia="zh-CN"/>
        </w:rPr>
        <w:t>《特种设备安全监察条例》、</w:t>
      </w:r>
      <w:r>
        <w:rPr>
          <w:rFonts w:hint="eastAsia" w:ascii="仿宋" w:hAnsi="仿宋"/>
          <w:sz w:val="32"/>
          <w:szCs w:val="32"/>
        </w:rPr>
        <w:t>市场监管总局令第74号《特种设备使用单位落实使用安全主体责任监督管理规定》</w:t>
      </w:r>
      <w:r>
        <w:rPr>
          <w:rFonts w:hint="eastAsia" w:ascii="仿宋" w:hAnsi="仿宋"/>
          <w:sz w:val="32"/>
          <w:szCs w:val="32"/>
          <w:lang w:val="en-US" w:eastAsia="zh-CN"/>
        </w:rPr>
        <w:t>以及</w:t>
      </w:r>
      <w:r>
        <w:rPr>
          <w:rFonts w:hint="eastAsia" w:ascii="仿宋" w:hAnsi="仿宋"/>
          <w:sz w:val="32"/>
          <w:szCs w:val="32"/>
        </w:rPr>
        <w:t>TSG 08—2017《特种设备使用管理规则》</w:t>
      </w:r>
      <w:r>
        <w:rPr>
          <w:rFonts w:hint="eastAsia" w:ascii="仿宋" w:hAnsi="仿宋"/>
          <w:sz w:val="32"/>
          <w:szCs w:val="32"/>
          <w:lang w:val="en-US" w:eastAsia="zh-CN"/>
        </w:rPr>
        <w:t>等法律、法规要求</w:t>
      </w:r>
      <w:r>
        <w:rPr>
          <w:rFonts w:hint="eastAsia" w:ascii="仿宋" w:hAnsi="仿宋"/>
          <w:sz w:val="32"/>
          <w:szCs w:val="32"/>
          <w:lang w:eastAsia="zh-CN"/>
        </w:rPr>
        <w:t>，</w:t>
      </w:r>
      <w:r>
        <w:rPr>
          <w:rFonts w:hint="eastAsia" w:ascii="仿宋" w:hAnsi="仿宋"/>
          <w:sz w:val="32"/>
          <w:szCs w:val="32"/>
        </w:rPr>
        <w:t>与现行法律、法规</w:t>
      </w:r>
      <w:r>
        <w:rPr>
          <w:rFonts w:hint="eastAsia" w:ascii="仿宋" w:hAnsi="仿宋"/>
          <w:sz w:val="32"/>
          <w:szCs w:val="32"/>
          <w:lang w:val="en-US" w:eastAsia="zh-CN"/>
        </w:rPr>
        <w:t>均</w:t>
      </w:r>
      <w:r>
        <w:rPr>
          <w:rFonts w:hint="eastAsia" w:ascii="仿宋" w:hAnsi="仿宋"/>
          <w:sz w:val="32"/>
          <w:szCs w:val="32"/>
        </w:rPr>
        <w:t>不冲突。</w:t>
      </w:r>
    </w:p>
    <w:p w14:paraId="0D748235">
      <w:pPr>
        <w:spacing w:line="580" w:lineRule="exact"/>
        <w:ind w:firstLine="640"/>
        <w:rPr>
          <w:rFonts w:hint="default" w:ascii="仿宋" w:hAnsi="仿宋"/>
          <w:sz w:val="32"/>
          <w:szCs w:val="32"/>
          <w:lang w:val="en-US"/>
        </w:rPr>
      </w:pPr>
      <w:r>
        <w:rPr>
          <w:rFonts w:hint="eastAsia" w:ascii="仿宋" w:hAnsi="仿宋"/>
          <w:sz w:val="32"/>
          <w:szCs w:val="32"/>
        </w:rPr>
        <w:t>本</w:t>
      </w:r>
      <w:r>
        <w:rPr>
          <w:rFonts w:hint="eastAsia" w:ascii="仿宋" w:hAnsi="仿宋"/>
          <w:sz w:val="32"/>
          <w:szCs w:val="32"/>
          <w:lang w:val="en-US" w:eastAsia="zh-CN"/>
        </w:rPr>
        <w:t>标准在编制过程中充分考虑DB32/T 4086-2021 《特种设备风险分级管控工作规范》、DB32/T 4087-2021《特种设备隐患排查治理工作规范》、DB32/T 4088-2021《特种设备双重预防机制建设规范》、DB32/T 4665-2024《主题游乐园特种设备双重预防机制建设实施规范》和DB32/T 4664-2024《涉危险化学品生产企业特种设备双重预防机制建设实施规范》等5项特种设备双重预防地方标准的技术要求，并结合特种设备使用单位的实际需求，作为本标准双重预防数据归集内容确定的依据。同时，为了保证数据归集满足信息化相关技术要求，标准引用了GB/T 38700-2020《特种设备追溯系统数据元》、GB/T 22239《信息安全技术 网络安全等级保护基本要求》和GB/T 22240《信息安全技术 网络安全等级保护定级指南》等国家标准作为技术补充，并</w:t>
      </w:r>
      <w:r>
        <w:rPr>
          <w:rFonts w:hint="eastAsia" w:ascii="仿宋" w:hAnsi="仿宋"/>
          <w:sz w:val="32"/>
          <w:szCs w:val="32"/>
        </w:rPr>
        <w:t>参考了应急管理部《化工园区安全风险智能化管控平台数据交换规范（试行）》、《危险化学品</w:t>
      </w:r>
      <w:r>
        <w:rPr>
          <w:rFonts w:hint="eastAsia" w:ascii="仿宋" w:hAnsi="仿宋"/>
          <w:sz w:val="32"/>
          <w:szCs w:val="32"/>
          <w:lang w:eastAsia="zh-CN"/>
        </w:rPr>
        <w:t>特种设备使用单位</w:t>
      </w:r>
      <w:r>
        <w:rPr>
          <w:rFonts w:hint="eastAsia" w:ascii="仿宋" w:hAnsi="仿宋"/>
          <w:sz w:val="32"/>
          <w:szCs w:val="32"/>
        </w:rPr>
        <w:t>安全风险智能化管控平台建设指南（试行）》以及《江苏省化工</w:t>
      </w:r>
      <w:r>
        <w:rPr>
          <w:rFonts w:hint="eastAsia" w:ascii="仿宋" w:hAnsi="仿宋"/>
          <w:sz w:val="32"/>
          <w:szCs w:val="32"/>
          <w:lang w:eastAsia="zh-CN"/>
        </w:rPr>
        <w:t>特种设备使用单位</w:t>
      </w:r>
      <w:r>
        <w:rPr>
          <w:rFonts w:hint="eastAsia" w:ascii="仿宋" w:hAnsi="仿宋"/>
          <w:sz w:val="32"/>
          <w:szCs w:val="32"/>
        </w:rPr>
        <w:t>安全生产信息化管理平台数据规范》</w:t>
      </w:r>
      <w:r>
        <w:rPr>
          <w:rFonts w:hint="eastAsia" w:ascii="仿宋" w:hAnsi="仿宋"/>
          <w:sz w:val="32"/>
          <w:szCs w:val="32"/>
          <w:lang w:val="en-US" w:eastAsia="zh-CN"/>
        </w:rPr>
        <w:t>等化工领域相关信息系统数据规范文件，作为本标准数据归集的信息化技术依据。总的来说，本标准内容与特种设备双重预防地方标准及相关信息化技术标准均保持一致。</w:t>
      </w:r>
    </w:p>
    <w:p w14:paraId="77B76590">
      <w:pPr>
        <w:spacing w:line="580" w:lineRule="exact"/>
        <w:ind w:firstLine="640"/>
        <w:rPr>
          <w:rFonts w:eastAsia="仿宋_GB2312"/>
          <w:sz w:val="32"/>
          <w:szCs w:val="32"/>
        </w:rPr>
      </w:pPr>
      <w:r>
        <w:rPr>
          <w:rFonts w:hint="eastAsia" w:ascii="仿宋" w:hAnsi="仿宋"/>
          <w:sz w:val="32"/>
          <w:szCs w:val="32"/>
          <w:lang w:val="en-US" w:eastAsia="zh-CN"/>
        </w:rPr>
        <w:t>经标准查新</w:t>
      </w:r>
      <w:r>
        <w:rPr>
          <w:rFonts w:hint="eastAsia" w:ascii="仿宋" w:hAnsi="仿宋"/>
          <w:sz w:val="32"/>
          <w:szCs w:val="32"/>
        </w:rPr>
        <w:t>，</w:t>
      </w:r>
      <w:r>
        <w:rPr>
          <w:rFonts w:hint="eastAsia" w:ascii="仿宋" w:hAnsi="仿宋"/>
          <w:sz w:val="32"/>
          <w:szCs w:val="32"/>
          <w:lang w:val="en-US" w:eastAsia="zh-CN"/>
        </w:rPr>
        <w:t>目前</w:t>
      </w:r>
      <w:r>
        <w:rPr>
          <w:rFonts w:hint="eastAsia" w:ascii="仿宋" w:hAnsi="仿宋"/>
          <w:sz w:val="32"/>
          <w:szCs w:val="32"/>
        </w:rPr>
        <w:t>尚无针对特种设备双重预防数据归集的国家、行业、地方标准发布，</w:t>
      </w:r>
      <w:r>
        <w:rPr>
          <w:rFonts w:hint="eastAsia" w:ascii="仿宋" w:hAnsi="仿宋"/>
          <w:sz w:val="32"/>
          <w:szCs w:val="32"/>
          <w:lang w:val="en-US" w:eastAsia="zh-CN"/>
        </w:rPr>
        <w:t>本标准作为我省特种设备双重预防标准体系的补充，</w:t>
      </w:r>
      <w:r>
        <w:rPr>
          <w:rFonts w:hint="eastAsia" w:ascii="仿宋" w:hAnsi="仿宋"/>
          <w:sz w:val="32"/>
          <w:szCs w:val="32"/>
        </w:rPr>
        <w:t>填补了</w:t>
      </w:r>
      <w:r>
        <w:rPr>
          <w:rFonts w:hint="eastAsia" w:ascii="仿宋" w:hAnsi="仿宋"/>
          <w:sz w:val="32"/>
          <w:szCs w:val="32"/>
          <w:lang w:val="en-US" w:eastAsia="zh-CN"/>
        </w:rPr>
        <w:t>我省</w:t>
      </w:r>
      <w:r>
        <w:rPr>
          <w:rFonts w:hint="eastAsia" w:ascii="仿宋" w:hAnsi="仿宋"/>
          <w:sz w:val="32"/>
          <w:szCs w:val="32"/>
        </w:rPr>
        <w:t>特种设备双重预防数据相关领域的标准空白</w:t>
      </w:r>
      <w:r>
        <w:rPr>
          <w:rFonts w:hint="eastAsia" w:ascii="仿宋" w:hAnsi="仿宋"/>
          <w:sz w:val="32"/>
          <w:szCs w:val="32"/>
          <w:lang w:eastAsia="zh-CN"/>
        </w:rPr>
        <w:t>，</w:t>
      </w:r>
      <w:r>
        <w:rPr>
          <w:rFonts w:hint="eastAsia" w:ascii="仿宋" w:hAnsi="仿宋"/>
          <w:sz w:val="32"/>
          <w:szCs w:val="32"/>
          <w:lang w:val="en-US" w:eastAsia="zh-CN"/>
        </w:rPr>
        <w:t>有助于解决多信息化平台之间数据割裂的问题，提高双重预防机制建设成效，提升特种设备安全管理水平</w:t>
      </w:r>
      <w:r>
        <w:rPr>
          <w:rFonts w:hint="eastAsia" w:ascii="仿宋" w:hAnsi="仿宋"/>
          <w:sz w:val="32"/>
          <w:szCs w:val="32"/>
        </w:rPr>
        <w:t>。</w:t>
      </w:r>
    </w:p>
    <w:p w14:paraId="51C02FC9">
      <w:pPr>
        <w:spacing w:line="580" w:lineRule="exact"/>
        <w:ind w:firstLine="640"/>
        <w:rPr>
          <w:rFonts w:eastAsia="方正黑体_GBK" w:cs="方正黑体_GBK"/>
          <w:bCs/>
          <w:color w:val="000000" w:themeColor="text1"/>
          <w:kern w:val="0"/>
          <w:sz w:val="32"/>
          <w:szCs w:val="32"/>
          <w14:textFill>
            <w14:solidFill>
              <w14:schemeClr w14:val="tx1"/>
            </w14:solidFill>
          </w14:textFill>
        </w:rPr>
      </w:pPr>
      <w:r>
        <w:rPr>
          <w:rFonts w:hint="eastAsia" w:eastAsia="方正黑体_GBK" w:cs="方正黑体_GBK"/>
          <w:bCs/>
          <w:color w:val="000000" w:themeColor="text1"/>
          <w:kern w:val="0"/>
          <w:sz w:val="32"/>
          <w:szCs w:val="32"/>
          <w14:textFill>
            <w14:solidFill>
              <w14:schemeClr w14:val="tx1"/>
            </w14:solidFill>
          </w14:textFill>
        </w:rPr>
        <w:t>七、推广实施建议</w:t>
      </w:r>
    </w:p>
    <w:p w14:paraId="54F61034">
      <w:pPr>
        <w:spacing w:line="590" w:lineRule="exact"/>
        <w:ind w:firstLine="640"/>
        <w:rPr>
          <w:rFonts w:ascii="仿宋" w:hAnsi="仿宋"/>
          <w:sz w:val="32"/>
          <w:szCs w:val="32"/>
        </w:rPr>
      </w:pPr>
      <w:r>
        <w:rPr>
          <w:rFonts w:hint="eastAsia" w:ascii="仿宋" w:hAnsi="仿宋"/>
          <w:sz w:val="32"/>
          <w:szCs w:val="32"/>
        </w:rPr>
        <w:t>1、加大标准宣贯力度，以特种设备双重预防机制建设试点单位的基础上，以点带面，扩大宣贯范围，在全省特种设备使用单位中推进标准实施。</w:t>
      </w:r>
    </w:p>
    <w:p w14:paraId="7ED88117">
      <w:pPr>
        <w:spacing w:line="590" w:lineRule="exact"/>
        <w:ind w:firstLine="640"/>
        <w:rPr>
          <w:rFonts w:ascii="仿宋" w:hAnsi="仿宋"/>
          <w:sz w:val="32"/>
          <w:szCs w:val="32"/>
        </w:rPr>
      </w:pPr>
      <w:r>
        <w:rPr>
          <w:rFonts w:hint="eastAsia" w:ascii="仿宋" w:hAnsi="仿宋"/>
          <w:sz w:val="32"/>
          <w:szCs w:val="32"/>
        </w:rPr>
        <w:t>2、做好标准反馈和适用性评价，记录标准在实际应用中的具体效果，对于实用性不强、适用性差的条款要及时反馈到归口单位，以便采取相应的措施，提高标准实施效果。</w:t>
      </w:r>
    </w:p>
    <w:p w14:paraId="52DD4644">
      <w:pPr>
        <w:spacing w:line="590" w:lineRule="exact"/>
        <w:ind w:firstLine="640"/>
        <w:rPr>
          <w:rFonts w:ascii="仿宋" w:hAnsi="仿宋"/>
          <w:sz w:val="32"/>
          <w:szCs w:val="32"/>
        </w:rPr>
      </w:pPr>
      <w:r>
        <w:rPr>
          <w:rFonts w:hint="eastAsia" w:ascii="仿宋" w:hAnsi="仿宋"/>
          <w:sz w:val="32"/>
          <w:szCs w:val="32"/>
        </w:rPr>
        <w:t>3、标准起草组继续开展特种设备双重预防数据归集相关研究，同时加强与全国其他省市相关单位的交流合作，争取提升为国家标准或行业标准，使标准化经验影响范围更广泛。</w:t>
      </w:r>
    </w:p>
    <w:p w14:paraId="0DDD82BC">
      <w:pPr>
        <w:spacing w:line="580" w:lineRule="exact"/>
        <w:ind w:firstLine="640"/>
        <w:rPr>
          <w:rFonts w:eastAsia="方正黑体_GBK" w:cs="方正黑体_GBK"/>
          <w:bCs/>
          <w:color w:val="000000" w:themeColor="text1"/>
          <w:kern w:val="0"/>
          <w:sz w:val="32"/>
          <w:szCs w:val="32"/>
          <w14:textFill>
            <w14:solidFill>
              <w14:schemeClr w14:val="tx1"/>
            </w14:solidFill>
          </w14:textFill>
        </w:rPr>
      </w:pPr>
      <w:r>
        <w:rPr>
          <w:rFonts w:hint="eastAsia" w:eastAsia="方正黑体_GBK" w:cs="方正黑体_GBK"/>
          <w:bCs/>
          <w:color w:val="000000" w:themeColor="text1"/>
          <w:kern w:val="0"/>
          <w:sz w:val="32"/>
          <w:szCs w:val="32"/>
          <w14:textFill>
            <w14:solidFill>
              <w14:schemeClr w14:val="tx1"/>
            </w14:solidFill>
          </w14:textFill>
        </w:rPr>
        <w:t>八、起草单位和起草人员信息及分工</w:t>
      </w:r>
    </w:p>
    <w:p w14:paraId="05ED2C95">
      <w:pPr>
        <w:spacing w:line="590" w:lineRule="exact"/>
        <w:ind w:firstLine="640"/>
        <w:rPr>
          <w:rFonts w:eastAsia="仿宋_GB2312"/>
          <w:sz w:val="32"/>
          <w:szCs w:val="32"/>
        </w:rPr>
      </w:pPr>
      <w:r>
        <w:rPr>
          <w:rFonts w:hint="eastAsia" w:eastAsia="仿宋_GB2312"/>
          <w:sz w:val="32"/>
          <w:szCs w:val="32"/>
        </w:rPr>
        <w:t>（一）起草单位</w:t>
      </w:r>
    </w:p>
    <w:p w14:paraId="76D41223">
      <w:pPr>
        <w:spacing w:line="590" w:lineRule="exact"/>
        <w:ind w:firstLine="640"/>
        <w:rPr>
          <w:rFonts w:ascii="仿宋" w:hAnsi="仿宋"/>
          <w:sz w:val="32"/>
          <w:szCs w:val="32"/>
        </w:rPr>
      </w:pPr>
      <w:r>
        <w:rPr>
          <w:rFonts w:hint="eastAsia" w:ascii="仿宋" w:hAnsi="仿宋"/>
          <w:sz w:val="32"/>
          <w:szCs w:val="32"/>
        </w:rPr>
        <w:t>江苏省市场监督管理局，江苏省特种设备安全监督检验研究院，江苏省安全生产宣传教育中心，南京擎天科技有限公司，塞拉尼斯（南京）化工有限公司，方圆标志认证集团江苏有限公司，中博信息技术研究院有限公司。</w:t>
      </w:r>
    </w:p>
    <w:p w14:paraId="40C8C9E4">
      <w:pPr>
        <w:spacing w:line="590" w:lineRule="exact"/>
        <w:ind w:firstLine="640"/>
        <w:rPr>
          <w:rFonts w:eastAsia="仿宋_GB2312"/>
          <w:sz w:val="32"/>
          <w:szCs w:val="32"/>
        </w:rPr>
      </w:pPr>
      <w:r>
        <w:rPr>
          <w:rFonts w:hint="eastAsia" w:eastAsia="仿宋_GB2312"/>
          <w:sz w:val="32"/>
          <w:szCs w:val="32"/>
        </w:rPr>
        <w:t>（二）起草人员信息及分工</w:t>
      </w:r>
    </w:p>
    <w:p w14:paraId="71F60F5C">
      <w:pPr>
        <w:spacing w:line="590" w:lineRule="exact"/>
        <w:ind w:firstLine="640"/>
        <w:rPr>
          <w:rFonts w:ascii="仿宋" w:hAnsi="仿宋"/>
          <w:sz w:val="32"/>
          <w:szCs w:val="32"/>
        </w:rPr>
      </w:pPr>
      <w:r>
        <w:rPr>
          <w:rFonts w:hint="eastAsia" w:ascii="仿宋" w:hAnsi="仿宋"/>
          <w:sz w:val="32"/>
          <w:szCs w:val="32"/>
        </w:rPr>
        <w:t>起草人员信息及分工如下表所示：</w:t>
      </w:r>
    </w:p>
    <w:p w14:paraId="627F9524">
      <w:pPr>
        <w:pStyle w:val="3"/>
        <w:widowControl/>
        <w:ind w:firstLine="600"/>
        <w:jc w:val="center"/>
        <w:rPr>
          <w:rFonts w:hint="eastAsia" w:ascii="黑体" w:hAnsi="黑体" w:cs="黑体"/>
          <w:sz w:val="30"/>
          <w:szCs w:val="30"/>
        </w:rPr>
      </w:pPr>
    </w:p>
    <w:p w14:paraId="01BE8D45">
      <w:pPr>
        <w:pStyle w:val="3"/>
        <w:widowControl/>
        <w:ind w:firstLine="600"/>
        <w:jc w:val="center"/>
        <w:rPr>
          <w:rFonts w:hint="eastAsia" w:ascii="黑体" w:hAnsi="黑体" w:cs="黑体"/>
          <w:sz w:val="30"/>
          <w:szCs w:val="30"/>
        </w:rPr>
      </w:pPr>
    </w:p>
    <w:p w14:paraId="07B82CF8">
      <w:pPr>
        <w:pStyle w:val="3"/>
        <w:widowControl/>
        <w:ind w:firstLine="600"/>
        <w:jc w:val="center"/>
        <w:rPr>
          <w:rFonts w:ascii="黑体" w:hAnsi="黑体" w:cs="黑体"/>
          <w:color w:val="333333"/>
          <w:kern w:val="0"/>
          <w:sz w:val="32"/>
          <w:szCs w:val="32"/>
        </w:rPr>
      </w:pPr>
      <w:bookmarkStart w:id="0" w:name="_GoBack"/>
      <w:bookmarkEnd w:id="0"/>
      <w:r>
        <w:rPr>
          <w:rFonts w:hint="eastAsia" w:ascii="黑体" w:hAnsi="黑体" w:cs="黑体"/>
          <w:sz w:val="30"/>
          <w:szCs w:val="30"/>
        </w:rPr>
        <w:t>起草人员信息表</w:t>
      </w:r>
    </w:p>
    <w:tbl>
      <w:tblPr>
        <w:tblStyle w:val="11"/>
        <w:tblW w:w="508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1070"/>
        <w:gridCol w:w="3160"/>
        <w:gridCol w:w="2382"/>
        <w:gridCol w:w="2089"/>
      </w:tblGrid>
      <w:tr w14:paraId="320E9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blHeader/>
        </w:trPr>
        <w:tc>
          <w:tcPr>
            <w:tcW w:w="390" w:type="pct"/>
            <w:shd w:val="clear" w:color="auto" w:fill="auto"/>
            <w:vAlign w:val="center"/>
          </w:tcPr>
          <w:p w14:paraId="3FA1D2FA">
            <w:pPr>
              <w:widowControl/>
              <w:adjustRightInd w:val="0"/>
              <w:snapToGrid w:val="0"/>
              <w:ind w:firstLine="0" w:firstLineChars="0"/>
              <w:textAlignment w:val="center"/>
              <w:rPr>
                <w:rFonts w:ascii="仿宋" w:hAnsi="仿宋" w:cs="仿宋"/>
                <w:b/>
                <w:bCs/>
                <w:color w:val="000000"/>
                <w:sz w:val="24"/>
              </w:rPr>
            </w:pPr>
            <w:r>
              <w:rPr>
                <w:rFonts w:hint="eastAsia" w:ascii="仿宋" w:hAnsi="仿宋" w:cs="仿宋"/>
                <w:b/>
                <w:bCs/>
                <w:color w:val="000000"/>
                <w:kern w:val="0"/>
                <w:sz w:val="24"/>
                <w:lang w:bidi="ar"/>
              </w:rPr>
              <w:t>序号</w:t>
            </w:r>
          </w:p>
        </w:tc>
        <w:tc>
          <w:tcPr>
            <w:tcW w:w="567" w:type="pct"/>
            <w:shd w:val="clear" w:color="auto" w:fill="auto"/>
            <w:vAlign w:val="center"/>
          </w:tcPr>
          <w:p w14:paraId="3E279318">
            <w:pPr>
              <w:widowControl/>
              <w:adjustRightInd w:val="0"/>
              <w:snapToGrid w:val="0"/>
              <w:ind w:firstLine="0" w:firstLineChars="0"/>
              <w:jc w:val="center"/>
              <w:textAlignment w:val="center"/>
              <w:rPr>
                <w:rFonts w:ascii="仿宋" w:hAnsi="仿宋" w:cs="仿宋"/>
                <w:b/>
                <w:bCs/>
                <w:color w:val="000000"/>
                <w:sz w:val="24"/>
              </w:rPr>
            </w:pPr>
            <w:r>
              <w:rPr>
                <w:rFonts w:hint="eastAsia" w:ascii="仿宋" w:hAnsi="仿宋" w:cs="仿宋"/>
                <w:b/>
                <w:bCs/>
                <w:color w:val="000000"/>
                <w:kern w:val="0"/>
                <w:sz w:val="24"/>
                <w:lang w:bidi="ar"/>
              </w:rPr>
              <w:t>姓名</w:t>
            </w:r>
          </w:p>
        </w:tc>
        <w:tc>
          <w:tcPr>
            <w:tcW w:w="1673" w:type="pct"/>
            <w:shd w:val="clear" w:color="auto" w:fill="auto"/>
            <w:vAlign w:val="center"/>
          </w:tcPr>
          <w:p w14:paraId="0F42C422">
            <w:pPr>
              <w:widowControl/>
              <w:adjustRightInd w:val="0"/>
              <w:snapToGrid w:val="0"/>
              <w:ind w:firstLine="0" w:firstLineChars="0"/>
              <w:jc w:val="center"/>
              <w:textAlignment w:val="center"/>
              <w:rPr>
                <w:rFonts w:ascii="仿宋" w:hAnsi="仿宋" w:cs="仿宋"/>
                <w:b/>
                <w:bCs/>
                <w:color w:val="000000"/>
                <w:sz w:val="24"/>
              </w:rPr>
            </w:pPr>
            <w:r>
              <w:rPr>
                <w:rFonts w:hint="eastAsia" w:ascii="仿宋" w:hAnsi="仿宋" w:cs="仿宋"/>
                <w:b/>
                <w:bCs/>
                <w:color w:val="000000"/>
                <w:kern w:val="0"/>
                <w:sz w:val="24"/>
                <w:lang w:bidi="ar"/>
              </w:rPr>
              <w:t>单位名称</w:t>
            </w:r>
          </w:p>
        </w:tc>
        <w:tc>
          <w:tcPr>
            <w:tcW w:w="1261" w:type="pct"/>
            <w:shd w:val="clear" w:color="auto" w:fill="auto"/>
            <w:noWrap/>
            <w:vAlign w:val="center"/>
          </w:tcPr>
          <w:p w14:paraId="0F6AF99D">
            <w:pPr>
              <w:widowControl/>
              <w:adjustRightInd w:val="0"/>
              <w:snapToGrid w:val="0"/>
              <w:ind w:firstLine="0" w:firstLineChars="0"/>
              <w:jc w:val="center"/>
              <w:textAlignment w:val="center"/>
              <w:rPr>
                <w:rFonts w:ascii="仿宋" w:hAnsi="仿宋" w:cs="仿宋"/>
                <w:b/>
                <w:bCs/>
                <w:color w:val="000000"/>
                <w:kern w:val="0"/>
                <w:sz w:val="24"/>
                <w:lang w:bidi="ar"/>
              </w:rPr>
            </w:pPr>
            <w:r>
              <w:rPr>
                <w:rFonts w:hint="eastAsia" w:ascii="仿宋" w:hAnsi="仿宋" w:cs="仿宋"/>
                <w:b/>
                <w:bCs/>
                <w:color w:val="000000"/>
                <w:kern w:val="0"/>
                <w:sz w:val="24"/>
                <w:lang w:bidi="ar"/>
              </w:rPr>
              <w:t>职位/职称</w:t>
            </w:r>
          </w:p>
        </w:tc>
        <w:tc>
          <w:tcPr>
            <w:tcW w:w="1106" w:type="pct"/>
            <w:shd w:val="clear" w:color="auto" w:fill="auto"/>
            <w:noWrap/>
            <w:vAlign w:val="center"/>
          </w:tcPr>
          <w:p w14:paraId="15F6A46D">
            <w:pPr>
              <w:widowControl/>
              <w:adjustRightInd w:val="0"/>
              <w:snapToGrid w:val="0"/>
              <w:ind w:firstLine="0" w:firstLineChars="0"/>
              <w:jc w:val="center"/>
              <w:textAlignment w:val="center"/>
              <w:rPr>
                <w:rFonts w:ascii="仿宋" w:hAnsi="仿宋" w:cs="仿宋"/>
                <w:b/>
                <w:bCs/>
                <w:color w:val="000000"/>
                <w:kern w:val="0"/>
                <w:sz w:val="24"/>
                <w:lang w:bidi="ar"/>
              </w:rPr>
            </w:pPr>
            <w:r>
              <w:rPr>
                <w:rFonts w:hint="eastAsia" w:ascii="仿宋" w:hAnsi="仿宋" w:cs="仿宋"/>
                <w:b/>
                <w:bCs/>
                <w:color w:val="000000"/>
                <w:kern w:val="0"/>
                <w:sz w:val="24"/>
                <w:lang w:bidi="ar"/>
              </w:rPr>
              <w:t>分工</w:t>
            </w:r>
          </w:p>
        </w:tc>
      </w:tr>
      <w:tr w14:paraId="1ECBC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390" w:type="pct"/>
            <w:shd w:val="clear" w:color="auto" w:fill="auto"/>
            <w:vAlign w:val="center"/>
          </w:tcPr>
          <w:p w14:paraId="751FD9E9">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1</w:t>
            </w:r>
          </w:p>
        </w:tc>
        <w:tc>
          <w:tcPr>
            <w:tcW w:w="567" w:type="pct"/>
            <w:shd w:val="clear" w:color="auto" w:fill="auto"/>
            <w:vAlign w:val="center"/>
          </w:tcPr>
          <w:p w14:paraId="61F7A326">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季一锦</w:t>
            </w:r>
          </w:p>
        </w:tc>
        <w:tc>
          <w:tcPr>
            <w:tcW w:w="1673" w:type="pct"/>
            <w:shd w:val="clear" w:color="auto" w:fill="auto"/>
            <w:vAlign w:val="center"/>
          </w:tcPr>
          <w:p w14:paraId="743ACB08">
            <w:pPr>
              <w:widowControl/>
              <w:spacing w:line="240" w:lineRule="auto"/>
              <w:ind w:firstLine="0" w:firstLineChars="0"/>
              <w:jc w:val="left"/>
              <w:textAlignment w:val="center"/>
              <w:rPr>
                <w:rFonts w:ascii="仿宋" w:hAnsi="仿宋" w:cs="仿宋"/>
                <w:color w:val="000000"/>
                <w:sz w:val="24"/>
              </w:rPr>
            </w:pPr>
            <w:r>
              <w:rPr>
                <w:rFonts w:hint="eastAsia" w:ascii="方正仿宋_GBK" w:hAnsi="方正仿宋_GBK" w:eastAsia="方正仿宋_GBK" w:cs="方正仿宋_GBK"/>
                <w:color w:val="000000"/>
                <w:kern w:val="0"/>
                <w:sz w:val="22"/>
                <w:szCs w:val="22"/>
                <w:lang w:bidi="ar"/>
              </w:rPr>
              <w:t>江苏省特种设备安全监督检验研究院</w:t>
            </w:r>
          </w:p>
        </w:tc>
        <w:tc>
          <w:tcPr>
            <w:tcW w:w="1261" w:type="pct"/>
            <w:shd w:val="clear" w:color="auto" w:fill="auto"/>
            <w:noWrap/>
            <w:vAlign w:val="center"/>
          </w:tcPr>
          <w:p w14:paraId="0E8BF722">
            <w:pPr>
              <w:widowControl/>
              <w:spacing w:line="240" w:lineRule="auto"/>
              <w:ind w:firstLine="0" w:firstLineChars="0"/>
              <w:jc w:val="center"/>
              <w:textAlignment w:val="center"/>
              <w:rPr>
                <w:rFonts w:ascii="仿宋" w:hAnsi="仿宋" w:cs="仿宋"/>
                <w:color w:val="000000"/>
                <w:sz w:val="24"/>
              </w:rPr>
            </w:pPr>
            <w:r>
              <w:rPr>
                <w:rFonts w:hint="eastAsia" w:ascii="方正仿宋_GBK" w:hAnsi="方正仿宋_GBK" w:eastAsia="方正仿宋_GBK" w:cs="方正仿宋_GBK"/>
                <w:color w:val="000000"/>
                <w:kern w:val="0"/>
                <w:sz w:val="22"/>
                <w:szCs w:val="22"/>
                <w:lang w:bidi="ar"/>
              </w:rPr>
              <w:t>部门主任/正高级工程师</w:t>
            </w:r>
          </w:p>
        </w:tc>
        <w:tc>
          <w:tcPr>
            <w:tcW w:w="1106" w:type="pct"/>
            <w:vMerge w:val="restart"/>
            <w:shd w:val="clear" w:color="auto" w:fill="auto"/>
            <w:noWrap/>
            <w:vAlign w:val="center"/>
          </w:tcPr>
          <w:p w14:paraId="2A948555">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规范文本编写（初稿、征求意见稿、送审稿）</w:t>
            </w:r>
          </w:p>
        </w:tc>
      </w:tr>
      <w:tr w14:paraId="31F39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0AA8A784">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2</w:t>
            </w:r>
          </w:p>
        </w:tc>
        <w:tc>
          <w:tcPr>
            <w:tcW w:w="567" w:type="pct"/>
            <w:shd w:val="clear" w:color="auto" w:fill="auto"/>
            <w:vAlign w:val="center"/>
          </w:tcPr>
          <w:p w14:paraId="032F39B1">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梁建伟</w:t>
            </w:r>
          </w:p>
        </w:tc>
        <w:tc>
          <w:tcPr>
            <w:tcW w:w="1673" w:type="pct"/>
            <w:shd w:val="clear" w:color="auto" w:fill="auto"/>
            <w:vAlign w:val="center"/>
          </w:tcPr>
          <w:p w14:paraId="45C4DA65">
            <w:pPr>
              <w:widowControl/>
              <w:spacing w:line="240" w:lineRule="auto"/>
              <w:ind w:firstLine="0" w:firstLineChars="0"/>
              <w:jc w:val="left"/>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江苏省市场监督管理局</w:t>
            </w:r>
          </w:p>
        </w:tc>
        <w:tc>
          <w:tcPr>
            <w:tcW w:w="1261" w:type="pct"/>
            <w:shd w:val="clear" w:color="auto" w:fill="auto"/>
            <w:noWrap/>
            <w:vAlign w:val="center"/>
          </w:tcPr>
          <w:p w14:paraId="2BFB3D25">
            <w:pPr>
              <w:widowControl/>
              <w:spacing w:line="240" w:lineRule="auto"/>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副处长</w:t>
            </w:r>
          </w:p>
        </w:tc>
        <w:tc>
          <w:tcPr>
            <w:tcW w:w="1106" w:type="pct"/>
            <w:vMerge w:val="continue"/>
            <w:shd w:val="clear" w:color="auto" w:fill="auto"/>
            <w:noWrap/>
            <w:vAlign w:val="center"/>
          </w:tcPr>
          <w:p w14:paraId="606586DC">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3E1D3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6A19783A">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3</w:t>
            </w:r>
          </w:p>
        </w:tc>
        <w:tc>
          <w:tcPr>
            <w:tcW w:w="567" w:type="pct"/>
            <w:shd w:val="clear" w:color="auto" w:fill="auto"/>
            <w:vAlign w:val="center"/>
          </w:tcPr>
          <w:p w14:paraId="6E263EEE">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孙浩翔</w:t>
            </w:r>
          </w:p>
        </w:tc>
        <w:tc>
          <w:tcPr>
            <w:tcW w:w="1673" w:type="pct"/>
            <w:shd w:val="clear" w:color="auto" w:fill="auto"/>
            <w:vAlign w:val="center"/>
          </w:tcPr>
          <w:p w14:paraId="4C4925F3">
            <w:pPr>
              <w:widowControl/>
              <w:spacing w:line="240" w:lineRule="auto"/>
              <w:ind w:firstLine="0" w:firstLineChars="0"/>
              <w:jc w:val="left"/>
              <w:textAlignment w:val="center"/>
              <w:rPr>
                <w:rFonts w:ascii="仿宋" w:hAnsi="仿宋" w:cs="仿宋"/>
                <w:color w:val="000000"/>
                <w:sz w:val="24"/>
              </w:rPr>
            </w:pPr>
            <w:r>
              <w:rPr>
                <w:rFonts w:hint="eastAsia" w:ascii="方正仿宋_GBK" w:hAnsi="方正仿宋_GBK" w:eastAsia="方正仿宋_GBK" w:cs="方正仿宋_GBK"/>
                <w:color w:val="000000"/>
                <w:kern w:val="0"/>
                <w:sz w:val="22"/>
                <w:szCs w:val="22"/>
                <w:lang w:bidi="ar"/>
              </w:rPr>
              <w:t>江苏省特种设备安全监督检验研究院</w:t>
            </w:r>
          </w:p>
        </w:tc>
        <w:tc>
          <w:tcPr>
            <w:tcW w:w="1261" w:type="pct"/>
            <w:shd w:val="clear" w:color="auto" w:fill="auto"/>
            <w:noWrap/>
            <w:vAlign w:val="center"/>
          </w:tcPr>
          <w:p w14:paraId="2D41ADED">
            <w:pPr>
              <w:widowControl/>
              <w:spacing w:line="240" w:lineRule="auto"/>
              <w:ind w:firstLine="0" w:firstLineChars="0"/>
              <w:jc w:val="center"/>
              <w:textAlignment w:val="center"/>
              <w:rPr>
                <w:rFonts w:ascii="仿宋" w:hAnsi="仿宋" w:cs="仿宋"/>
                <w:color w:val="000000"/>
                <w:sz w:val="24"/>
              </w:rPr>
            </w:pPr>
            <w:r>
              <w:rPr>
                <w:rFonts w:hint="eastAsia" w:ascii="方正仿宋_GBK" w:hAnsi="方正仿宋_GBK" w:eastAsia="方正仿宋_GBK" w:cs="方正仿宋_GBK"/>
                <w:color w:val="000000"/>
                <w:kern w:val="0"/>
                <w:sz w:val="22"/>
                <w:szCs w:val="22"/>
                <w:lang w:bidi="ar"/>
              </w:rPr>
              <w:t>工程师</w:t>
            </w:r>
          </w:p>
        </w:tc>
        <w:tc>
          <w:tcPr>
            <w:tcW w:w="1106" w:type="pct"/>
            <w:vMerge w:val="continue"/>
            <w:shd w:val="clear" w:color="auto" w:fill="auto"/>
            <w:noWrap/>
            <w:vAlign w:val="center"/>
          </w:tcPr>
          <w:p w14:paraId="4BBA1DFC">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6AFF4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3" w:hRule="atLeast"/>
          <w:tblHeader/>
        </w:trPr>
        <w:tc>
          <w:tcPr>
            <w:tcW w:w="390" w:type="pct"/>
            <w:shd w:val="clear" w:color="auto" w:fill="auto"/>
            <w:vAlign w:val="center"/>
          </w:tcPr>
          <w:p w14:paraId="011121BA">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4</w:t>
            </w:r>
          </w:p>
        </w:tc>
        <w:tc>
          <w:tcPr>
            <w:tcW w:w="567" w:type="pct"/>
            <w:shd w:val="clear" w:color="auto" w:fill="auto"/>
            <w:vAlign w:val="center"/>
          </w:tcPr>
          <w:p w14:paraId="09477AC5">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纪勇</w:t>
            </w:r>
          </w:p>
        </w:tc>
        <w:tc>
          <w:tcPr>
            <w:tcW w:w="1673" w:type="pct"/>
            <w:shd w:val="clear" w:color="auto" w:fill="auto"/>
            <w:vAlign w:val="center"/>
          </w:tcPr>
          <w:p w14:paraId="163D92C4">
            <w:pPr>
              <w:widowControl/>
              <w:spacing w:line="240" w:lineRule="auto"/>
              <w:ind w:firstLine="0" w:firstLineChars="0"/>
              <w:jc w:val="left"/>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南京擎天科技有限公司</w:t>
            </w:r>
          </w:p>
        </w:tc>
        <w:tc>
          <w:tcPr>
            <w:tcW w:w="1261" w:type="pct"/>
            <w:shd w:val="clear" w:color="auto" w:fill="auto"/>
            <w:noWrap/>
            <w:vAlign w:val="center"/>
          </w:tcPr>
          <w:p w14:paraId="533414D9">
            <w:pPr>
              <w:widowControl/>
              <w:spacing w:line="240" w:lineRule="auto"/>
              <w:ind w:firstLine="0" w:firstLineChars="0"/>
              <w:jc w:val="center"/>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业务总监/博士</w:t>
            </w:r>
          </w:p>
        </w:tc>
        <w:tc>
          <w:tcPr>
            <w:tcW w:w="1106" w:type="pct"/>
            <w:vMerge w:val="continue"/>
            <w:shd w:val="clear" w:color="auto" w:fill="auto"/>
            <w:noWrap/>
            <w:vAlign w:val="center"/>
          </w:tcPr>
          <w:p w14:paraId="1010AE67">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1BAC4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5F5B8DDF">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5</w:t>
            </w:r>
          </w:p>
        </w:tc>
        <w:tc>
          <w:tcPr>
            <w:tcW w:w="567" w:type="pct"/>
            <w:shd w:val="clear" w:color="auto" w:fill="auto"/>
            <w:vAlign w:val="center"/>
          </w:tcPr>
          <w:p w14:paraId="565E9BD2">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马歆</w:t>
            </w:r>
          </w:p>
        </w:tc>
        <w:tc>
          <w:tcPr>
            <w:tcW w:w="1673" w:type="pct"/>
            <w:shd w:val="clear" w:color="auto" w:fill="auto"/>
            <w:vAlign w:val="center"/>
          </w:tcPr>
          <w:p w14:paraId="068CB224">
            <w:pPr>
              <w:widowControl/>
              <w:spacing w:line="240" w:lineRule="auto"/>
              <w:ind w:firstLine="0" w:firstLineChars="0"/>
              <w:jc w:val="left"/>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江苏省特种设备安全监督检验研究院</w:t>
            </w:r>
          </w:p>
        </w:tc>
        <w:tc>
          <w:tcPr>
            <w:tcW w:w="1261" w:type="pct"/>
            <w:shd w:val="clear" w:color="auto" w:fill="auto"/>
            <w:noWrap/>
            <w:vAlign w:val="center"/>
          </w:tcPr>
          <w:p w14:paraId="5E9AC34D">
            <w:pPr>
              <w:widowControl/>
              <w:spacing w:line="240" w:lineRule="auto"/>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副院长/研究员级高工</w:t>
            </w:r>
          </w:p>
        </w:tc>
        <w:tc>
          <w:tcPr>
            <w:tcW w:w="1106" w:type="pct"/>
            <w:vMerge w:val="continue"/>
            <w:shd w:val="clear" w:color="auto" w:fill="auto"/>
            <w:noWrap/>
            <w:vAlign w:val="center"/>
          </w:tcPr>
          <w:p w14:paraId="724351F6">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12EC2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3B371A7A">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6</w:t>
            </w:r>
          </w:p>
        </w:tc>
        <w:tc>
          <w:tcPr>
            <w:tcW w:w="567" w:type="pct"/>
            <w:shd w:val="clear" w:color="auto" w:fill="auto"/>
            <w:vAlign w:val="center"/>
          </w:tcPr>
          <w:p w14:paraId="4BFF9030">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李向东</w:t>
            </w:r>
          </w:p>
        </w:tc>
        <w:tc>
          <w:tcPr>
            <w:tcW w:w="1673" w:type="pct"/>
            <w:shd w:val="clear" w:color="auto" w:fill="auto"/>
            <w:vAlign w:val="center"/>
          </w:tcPr>
          <w:p w14:paraId="264B616C">
            <w:pPr>
              <w:widowControl/>
              <w:spacing w:line="240" w:lineRule="auto"/>
              <w:ind w:firstLine="0" w:firstLineChars="0"/>
              <w:jc w:val="left"/>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江苏省特种设备安全监督检验研究院</w:t>
            </w:r>
          </w:p>
        </w:tc>
        <w:tc>
          <w:tcPr>
            <w:tcW w:w="1261" w:type="pct"/>
            <w:shd w:val="clear" w:color="auto" w:fill="auto"/>
            <w:noWrap/>
            <w:vAlign w:val="center"/>
          </w:tcPr>
          <w:p w14:paraId="34E539DC">
            <w:pPr>
              <w:widowControl/>
              <w:spacing w:line="240" w:lineRule="auto"/>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研究员级高工</w:t>
            </w:r>
          </w:p>
        </w:tc>
        <w:tc>
          <w:tcPr>
            <w:tcW w:w="1106" w:type="pct"/>
            <w:vMerge w:val="continue"/>
            <w:shd w:val="clear" w:color="auto" w:fill="auto"/>
            <w:noWrap/>
            <w:vAlign w:val="center"/>
          </w:tcPr>
          <w:p w14:paraId="58E98DA7">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4BD08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097860ED">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7</w:t>
            </w:r>
          </w:p>
        </w:tc>
        <w:tc>
          <w:tcPr>
            <w:tcW w:w="567" w:type="pct"/>
            <w:shd w:val="clear" w:color="auto" w:fill="auto"/>
            <w:vAlign w:val="center"/>
          </w:tcPr>
          <w:p w14:paraId="6A2B0810">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诸滔</w:t>
            </w:r>
          </w:p>
        </w:tc>
        <w:tc>
          <w:tcPr>
            <w:tcW w:w="1673" w:type="pct"/>
            <w:shd w:val="clear" w:color="auto" w:fill="auto"/>
            <w:vAlign w:val="center"/>
          </w:tcPr>
          <w:p w14:paraId="0FE12ED9">
            <w:pPr>
              <w:widowControl/>
              <w:spacing w:line="240" w:lineRule="auto"/>
              <w:ind w:firstLine="0" w:firstLineChars="0"/>
              <w:jc w:val="left"/>
              <w:textAlignment w:val="center"/>
              <w:rPr>
                <w:rFonts w:ascii="仿宋" w:hAnsi="仿宋" w:cs="仿宋"/>
                <w:color w:val="000000"/>
                <w:sz w:val="24"/>
              </w:rPr>
            </w:pPr>
            <w:r>
              <w:rPr>
                <w:rFonts w:hint="eastAsia" w:ascii="方正仿宋_GBK" w:hAnsi="方正仿宋_GBK" w:eastAsia="方正仿宋_GBK" w:cs="方正仿宋_GBK"/>
                <w:color w:val="000000"/>
                <w:kern w:val="0"/>
                <w:sz w:val="22"/>
                <w:szCs w:val="22"/>
                <w:lang w:bidi="ar"/>
              </w:rPr>
              <w:t>江苏省特种设备安全监督检验研究院</w:t>
            </w:r>
          </w:p>
        </w:tc>
        <w:tc>
          <w:tcPr>
            <w:tcW w:w="1261" w:type="pct"/>
            <w:shd w:val="clear" w:color="auto" w:fill="auto"/>
            <w:noWrap/>
            <w:vAlign w:val="center"/>
          </w:tcPr>
          <w:p w14:paraId="4CCEF6ED">
            <w:pPr>
              <w:widowControl/>
              <w:spacing w:line="240" w:lineRule="auto"/>
              <w:ind w:firstLine="0" w:firstLineChars="0"/>
              <w:jc w:val="center"/>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高级工程师</w:t>
            </w:r>
          </w:p>
        </w:tc>
        <w:tc>
          <w:tcPr>
            <w:tcW w:w="1106" w:type="pct"/>
            <w:vMerge w:val="continue"/>
            <w:shd w:val="clear" w:color="auto" w:fill="auto"/>
            <w:noWrap/>
            <w:vAlign w:val="center"/>
          </w:tcPr>
          <w:p w14:paraId="3AE3AF80">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1FBCD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1ACAA277">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8</w:t>
            </w:r>
          </w:p>
        </w:tc>
        <w:tc>
          <w:tcPr>
            <w:tcW w:w="567" w:type="pct"/>
            <w:shd w:val="clear" w:color="auto" w:fill="auto"/>
            <w:vAlign w:val="center"/>
          </w:tcPr>
          <w:p w14:paraId="6AC765A0">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资帅</w:t>
            </w:r>
          </w:p>
        </w:tc>
        <w:tc>
          <w:tcPr>
            <w:tcW w:w="1673" w:type="pct"/>
            <w:shd w:val="clear" w:color="auto" w:fill="auto"/>
            <w:vAlign w:val="center"/>
          </w:tcPr>
          <w:p w14:paraId="7E92A661">
            <w:pPr>
              <w:widowControl/>
              <w:spacing w:line="240" w:lineRule="auto"/>
              <w:ind w:firstLine="0" w:firstLineChars="0"/>
              <w:jc w:val="left"/>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江苏省安全生产宣传教育中心</w:t>
            </w:r>
          </w:p>
        </w:tc>
        <w:tc>
          <w:tcPr>
            <w:tcW w:w="1261" w:type="pct"/>
            <w:shd w:val="clear" w:color="auto" w:fill="auto"/>
            <w:noWrap/>
            <w:vAlign w:val="center"/>
          </w:tcPr>
          <w:p w14:paraId="5B05CFCC">
            <w:pPr>
              <w:widowControl/>
              <w:spacing w:line="240" w:lineRule="auto"/>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高级工程师</w:t>
            </w:r>
          </w:p>
        </w:tc>
        <w:tc>
          <w:tcPr>
            <w:tcW w:w="1106" w:type="pct"/>
            <w:vMerge w:val="continue"/>
            <w:shd w:val="clear" w:color="auto" w:fill="auto"/>
            <w:noWrap/>
            <w:vAlign w:val="center"/>
          </w:tcPr>
          <w:p w14:paraId="0901A8FE">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45D3B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299C2E04">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9</w:t>
            </w:r>
          </w:p>
        </w:tc>
        <w:tc>
          <w:tcPr>
            <w:tcW w:w="567" w:type="pct"/>
            <w:shd w:val="clear" w:color="auto" w:fill="auto"/>
            <w:vAlign w:val="center"/>
          </w:tcPr>
          <w:p w14:paraId="679E2984">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孟仲会</w:t>
            </w:r>
          </w:p>
        </w:tc>
        <w:tc>
          <w:tcPr>
            <w:tcW w:w="1673" w:type="pct"/>
            <w:shd w:val="clear" w:color="auto" w:fill="auto"/>
            <w:vAlign w:val="center"/>
          </w:tcPr>
          <w:p w14:paraId="39AB9388">
            <w:pPr>
              <w:widowControl/>
              <w:spacing w:line="240" w:lineRule="auto"/>
              <w:ind w:firstLine="0" w:firstLineChars="0"/>
              <w:jc w:val="left"/>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塞拉尼斯（南京）化工有限公司</w:t>
            </w:r>
          </w:p>
        </w:tc>
        <w:tc>
          <w:tcPr>
            <w:tcW w:w="1261" w:type="pct"/>
            <w:shd w:val="clear" w:color="auto" w:fill="auto"/>
            <w:noWrap/>
            <w:vAlign w:val="center"/>
          </w:tcPr>
          <w:p w14:paraId="06479570">
            <w:pPr>
              <w:widowControl/>
              <w:spacing w:line="240" w:lineRule="auto"/>
              <w:ind w:firstLine="0" w:firstLineChars="0"/>
              <w:jc w:val="center"/>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高级工程师</w:t>
            </w:r>
          </w:p>
        </w:tc>
        <w:tc>
          <w:tcPr>
            <w:tcW w:w="1106" w:type="pct"/>
            <w:vMerge w:val="continue"/>
            <w:shd w:val="clear" w:color="auto" w:fill="auto"/>
            <w:noWrap/>
            <w:vAlign w:val="center"/>
          </w:tcPr>
          <w:p w14:paraId="033C92AD">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64459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66480C28">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10</w:t>
            </w:r>
          </w:p>
        </w:tc>
        <w:tc>
          <w:tcPr>
            <w:tcW w:w="567" w:type="pct"/>
            <w:shd w:val="clear" w:color="auto" w:fill="auto"/>
            <w:vAlign w:val="center"/>
          </w:tcPr>
          <w:p w14:paraId="75075809">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徐新宇</w:t>
            </w:r>
          </w:p>
        </w:tc>
        <w:tc>
          <w:tcPr>
            <w:tcW w:w="1673" w:type="pct"/>
            <w:shd w:val="clear" w:color="auto" w:fill="auto"/>
            <w:vAlign w:val="center"/>
          </w:tcPr>
          <w:p w14:paraId="35C934A0">
            <w:pPr>
              <w:widowControl/>
              <w:spacing w:line="240" w:lineRule="auto"/>
              <w:ind w:firstLine="0" w:firstLineChars="0"/>
              <w:jc w:val="left"/>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方圆标志认证集团江苏有限公司</w:t>
            </w:r>
          </w:p>
        </w:tc>
        <w:tc>
          <w:tcPr>
            <w:tcW w:w="1261" w:type="pct"/>
            <w:shd w:val="clear" w:color="auto" w:fill="auto"/>
            <w:noWrap/>
            <w:vAlign w:val="center"/>
          </w:tcPr>
          <w:p w14:paraId="02F4B293">
            <w:pPr>
              <w:widowControl/>
              <w:spacing w:line="240" w:lineRule="auto"/>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副总经理/高级工程师</w:t>
            </w:r>
          </w:p>
        </w:tc>
        <w:tc>
          <w:tcPr>
            <w:tcW w:w="1106" w:type="pct"/>
            <w:vMerge w:val="continue"/>
            <w:shd w:val="clear" w:color="auto" w:fill="auto"/>
            <w:noWrap/>
            <w:vAlign w:val="center"/>
          </w:tcPr>
          <w:p w14:paraId="007359B8">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3FA91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5BCC53D2">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11</w:t>
            </w:r>
          </w:p>
        </w:tc>
        <w:tc>
          <w:tcPr>
            <w:tcW w:w="567" w:type="pct"/>
            <w:shd w:val="clear" w:color="auto" w:fill="auto"/>
            <w:vAlign w:val="center"/>
          </w:tcPr>
          <w:p w14:paraId="48B88C9C">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陈胜</w:t>
            </w:r>
          </w:p>
        </w:tc>
        <w:tc>
          <w:tcPr>
            <w:tcW w:w="1673" w:type="pct"/>
            <w:shd w:val="clear" w:color="auto" w:fill="auto"/>
            <w:vAlign w:val="center"/>
          </w:tcPr>
          <w:p w14:paraId="6AF71708">
            <w:pPr>
              <w:widowControl/>
              <w:spacing w:line="240" w:lineRule="auto"/>
              <w:ind w:firstLine="0" w:firstLineChars="0"/>
              <w:jc w:val="left"/>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江苏省特种设备安全监督检验研究院</w:t>
            </w:r>
          </w:p>
        </w:tc>
        <w:tc>
          <w:tcPr>
            <w:tcW w:w="1261" w:type="pct"/>
            <w:shd w:val="clear" w:color="auto" w:fill="auto"/>
            <w:noWrap/>
            <w:vAlign w:val="center"/>
          </w:tcPr>
          <w:p w14:paraId="243B905C">
            <w:pPr>
              <w:widowControl/>
              <w:spacing w:line="240" w:lineRule="auto"/>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直属分院电梯室主任/高级工程师</w:t>
            </w:r>
          </w:p>
        </w:tc>
        <w:tc>
          <w:tcPr>
            <w:tcW w:w="1106" w:type="pct"/>
            <w:vMerge w:val="continue"/>
            <w:shd w:val="clear" w:color="auto" w:fill="auto"/>
            <w:noWrap/>
            <w:vAlign w:val="center"/>
          </w:tcPr>
          <w:p w14:paraId="1C1DD60B">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69155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54A8B21F">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12</w:t>
            </w:r>
          </w:p>
        </w:tc>
        <w:tc>
          <w:tcPr>
            <w:tcW w:w="567" w:type="pct"/>
            <w:shd w:val="clear" w:color="auto" w:fill="auto"/>
            <w:vAlign w:val="center"/>
          </w:tcPr>
          <w:p w14:paraId="66C624D4">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陈瑞峰</w:t>
            </w:r>
          </w:p>
        </w:tc>
        <w:tc>
          <w:tcPr>
            <w:tcW w:w="1673" w:type="pct"/>
            <w:shd w:val="clear" w:color="auto" w:fill="auto"/>
            <w:vAlign w:val="center"/>
          </w:tcPr>
          <w:p w14:paraId="5A7FC37D">
            <w:pPr>
              <w:widowControl/>
              <w:spacing w:line="240" w:lineRule="auto"/>
              <w:ind w:firstLine="0" w:firstLineChars="0"/>
              <w:jc w:val="left"/>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方圆标志认证集团江苏有限公司</w:t>
            </w:r>
          </w:p>
        </w:tc>
        <w:tc>
          <w:tcPr>
            <w:tcW w:w="1261" w:type="pct"/>
            <w:shd w:val="clear" w:color="auto" w:fill="auto"/>
            <w:noWrap/>
            <w:vAlign w:val="center"/>
          </w:tcPr>
          <w:p w14:paraId="727B7084">
            <w:pPr>
              <w:widowControl/>
              <w:spacing w:line="240" w:lineRule="auto"/>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部长助理/工程师</w:t>
            </w:r>
          </w:p>
        </w:tc>
        <w:tc>
          <w:tcPr>
            <w:tcW w:w="1106" w:type="pct"/>
            <w:vMerge w:val="continue"/>
            <w:shd w:val="clear" w:color="auto" w:fill="auto"/>
            <w:noWrap/>
            <w:vAlign w:val="center"/>
          </w:tcPr>
          <w:p w14:paraId="04987D8E">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5E501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73E91447">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13</w:t>
            </w:r>
          </w:p>
        </w:tc>
        <w:tc>
          <w:tcPr>
            <w:tcW w:w="567" w:type="pct"/>
            <w:shd w:val="clear" w:color="auto" w:fill="auto"/>
            <w:vAlign w:val="center"/>
          </w:tcPr>
          <w:p w14:paraId="4FBBCCDF">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张亚军</w:t>
            </w:r>
          </w:p>
        </w:tc>
        <w:tc>
          <w:tcPr>
            <w:tcW w:w="1673" w:type="pct"/>
            <w:shd w:val="clear" w:color="auto" w:fill="auto"/>
            <w:vAlign w:val="center"/>
          </w:tcPr>
          <w:p w14:paraId="72AF6232">
            <w:pPr>
              <w:widowControl/>
              <w:spacing w:line="240" w:lineRule="auto"/>
              <w:ind w:firstLine="0" w:firstLineChars="0"/>
              <w:jc w:val="left"/>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塞拉尼斯（南京）化工有限公司</w:t>
            </w:r>
          </w:p>
        </w:tc>
        <w:tc>
          <w:tcPr>
            <w:tcW w:w="1261" w:type="pct"/>
            <w:shd w:val="clear" w:color="auto" w:fill="auto"/>
            <w:noWrap/>
            <w:vAlign w:val="center"/>
          </w:tcPr>
          <w:p w14:paraId="4D571A8A">
            <w:pPr>
              <w:widowControl/>
              <w:spacing w:line="240" w:lineRule="auto"/>
              <w:ind w:firstLine="0" w:firstLineChars="0"/>
              <w:jc w:val="center"/>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工程师</w:t>
            </w:r>
          </w:p>
        </w:tc>
        <w:tc>
          <w:tcPr>
            <w:tcW w:w="1106" w:type="pct"/>
            <w:vMerge w:val="continue"/>
            <w:shd w:val="clear" w:color="auto" w:fill="auto"/>
            <w:noWrap/>
            <w:vAlign w:val="center"/>
          </w:tcPr>
          <w:p w14:paraId="21A1FC12">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2B946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41093B51">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14</w:t>
            </w:r>
          </w:p>
        </w:tc>
        <w:tc>
          <w:tcPr>
            <w:tcW w:w="567" w:type="pct"/>
            <w:shd w:val="clear" w:color="auto" w:fill="auto"/>
            <w:vAlign w:val="center"/>
          </w:tcPr>
          <w:p w14:paraId="1A356B25">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曾亚辉</w:t>
            </w:r>
          </w:p>
        </w:tc>
        <w:tc>
          <w:tcPr>
            <w:tcW w:w="1673" w:type="pct"/>
            <w:shd w:val="clear" w:color="auto" w:fill="auto"/>
            <w:vAlign w:val="center"/>
          </w:tcPr>
          <w:p w14:paraId="0E5C2051">
            <w:pPr>
              <w:widowControl/>
              <w:spacing w:line="240" w:lineRule="auto"/>
              <w:ind w:firstLine="0" w:firstLineChars="0"/>
              <w:jc w:val="left"/>
              <w:textAlignment w:val="center"/>
              <w:rPr>
                <w:rFonts w:ascii="仿宋" w:hAnsi="仿宋" w:cs="仿宋"/>
                <w:color w:val="000000"/>
                <w:sz w:val="24"/>
              </w:rPr>
            </w:pPr>
            <w:r>
              <w:rPr>
                <w:rFonts w:hint="eastAsia" w:ascii="方正仿宋_GBK" w:hAnsi="方正仿宋_GBK" w:eastAsia="方正仿宋_GBK" w:cs="方正仿宋_GBK"/>
                <w:color w:val="000000"/>
                <w:kern w:val="0"/>
                <w:sz w:val="22"/>
                <w:szCs w:val="22"/>
                <w:lang w:bidi="ar"/>
              </w:rPr>
              <w:t>江苏省特种设备安全监督检验研究院</w:t>
            </w:r>
          </w:p>
        </w:tc>
        <w:tc>
          <w:tcPr>
            <w:tcW w:w="1261" w:type="pct"/>
            <w:shd w:val="clear" w:color="auto" w:fill="auto"/>
            <w:noWrap/>
            <w:vAlign w:val="center"/>
          </w:tcPr>
          <w:p w14:paraId="7F508DE7">
            <w:pPr>
              <w:widowControl/>
              <w:spacing w:line="240" w:lineRule="auto"/>
              <w:ind w:firstLine="0" w:firstLineChars="0"/>
              <w:jc w:val="center"/>
              <w:textAlignment w:val="center"/>
              <w:rPr>
                <w:rFonts w:ascii="仿宋" w:hAnsi="仿宋" w:cs="仿宋"/>
                <w:color w:val="000000"/>
                <w:sz w:val="24"/>
              </w:rPr>
            </w:pPr>
            <w:r>
              <w:rPr>
                <w:rFonts w:hint="eastAsia" w:ascii="方正仿宋_GBK" w:hAnsi="方正仿宋_GBK" w:eastAsia="方正仿宋_GBK" w:cs="方正仿宋_GBK"/>
                <w:color w:val="000000"/>
                <w:kern w:val="0"/>
                <w:sz w:val="22"/>
                <w:szCs w:val="22"/>
                <w:lang w:bidi="ar"/>
              </w:rPr>
              <w:t>高级工程师</w:t>
            </w:r>
          </w:p>
        </w:tc>
        <w:tc>
          <w:tcPr>
            <w:tcW w:w="1106" w:type="pct"/>
            <w:vMerge w:val="continue"/>
            <w:shd w:val="clear" w:color="auto" w:fill="auto"/>
            <w:noWrap/>
            <w:vAlign w:val="center"/>
          </w:tcPr>
          <w:p w14:paraId="5060C5E3">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69101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7890143B">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15</w:t>
            </w:r>
          </w:p>
        </w:tc>
        <w:tc>
          <w:tcPr>
            <w:tcW w:w="567" w:type="pct"/>
            <w:shd w:val="clear" w:color="auto" w:fill="auto"/>
            <w:vAlign w:val="center"/>
          </w:tcPr>
          <w:p w14:paraId="4A650276">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涂春磊</w:t>
            </w:r>
          </w:p>
        </w:tc>
        <w:tc>
          <w:tcPr>
            <w:tcW w:w="1673" w:type="pct"/>
            <w:shd w:val="clear" w:color="auto" w:fill="auto"/>
            <w:vAlign w:val="center"/>
          </w:tcPr>
          <w:p w14:paraId="201C396B">
            <w:pPr>
              <w:widowControl/>
              <w:spacing w:line="240" w:lineRule="auto"/>
              <w:ind w:firstLine="0" w:firstLineChars="0"/>
              <w:jc w:val="left"/>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江苏省特种设备安全监督检验研究院</w:t>
            </w:r>
          </w:p>
        </w:tc>
        <w:tc>
          <w:tcPr>
            <w:tcW w:w="1261" w:type="pct"/>
            <w:shd w:val="clear" w:color="auto" w:fill="auto"/>
            <w:noWrap/>
            <w:vAlign w:val="center"/>
          </w:tcPr>
          <w:p w14:paraId="75D37B76">
            <w:pPr>
              <w:widowControl/>
              <w:spacing w:line="240" w:lineRule="auto"/>
              <w:ind w:firstLine="0" w:firstLineChars="0"/>
              <w:jc w:val="center"/>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正高级工程师</w:t>
            </w:r>
          </w:p>
        </w:tc>
        <w:tc>
          <w:tcPr>
            <w:tcW w:w="1106" w:type="pct"/>
            <w:vMerge w:val="restart"/>
            <w:shd w:val="clear" w:color="auto" w:fill="auto"/>
            <w:noWrap/>
            <w:vAlign w:val="center"/>
          </w:tcPr>
          <w:p w14:paraId="4D34438B">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调研分析研究</w:t>
            </w:r>
          </w:p>
        </w:tc>
      </w:tr>
      <w:tr w14:paraId="74645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29782596">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16</w:t>
            </w:r>
          </w:p>
        </w:tc>
        <w:tc>
          <w:tcPr>
            <w:tcW w:w="567" w:type="pct"/>
            <w:shd w:val="clear" w:color="auto" w:fill="auto"/>
            <w:vAlign w:val="center"/>
          </w:tcPr>
          <w:p w14:paraId="0146A411">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郭培杰</w:t>
            </w:r>
          </w:p>
        </w:tc>
        <w:tc>
          <w:tcPr>
            <w:tcW w:w="1673" w:type="pct"/>
            <w:shd w:val="clear" w:color="auto" w:fill="auto"/>
            <w:vAlign w:val="center"/>
          </w:tcPr>
          <w:p w14:paraId="0E10D8FA">
            <w:pPr>
              <w:widowControl/>
              <w:spacing w:line="240" w:lineRule="auto"/>
              <w:ind w:firstLine="0" w:firstLineChars="0"/>
              <w:jc w:val="left"/>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江苏省特种设备安全监督检验研究院</w:t>
            </w:r>
          </w:p>
        </w:tc>
        <w:tc>
          <w:tcPr>
            <w:tcW w:w="1261" w:type="pct"/>
            <w:shd w:val="clear" w:color="auto" w:fill="auto"/>
            <w:noWrap/>
            <w:vAlign w:val="center"/>
          </w:tcPr>
          <w:p w14:paraId="37609629">
            <w:pPr>
              <w:widowControl/>
              <w:spacing w:line="240" w:lineRule="auto"/>
              <w:ind w:firstLine="0" w:firstLineChars="0"/>
              <w:jc w:val="center"/>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正高级工程师</w:t>
            </w:r>
          </w:p>
        </w:tc>
        <w:tc>
          <w:tcPr>
            <w:tcW w:w="1106" w:type="pct"/>
            <w:vMerge w:val="continue"/>
            <w:shd w:val="clear" w:color="auto" w:fill="auto"/>
            <w:noWrap/>
            <w:vAlign w:val="center"/>
          </w:tcPr>
          <w:p w14:paraId="0F6D6FBD">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0B603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476C1485">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17</w:t>
            </w:r>
          </w:p>
        </w:tc>
        <w:tc>
          <w:tcPr>
            <w:tcW w:w="567" w:type="pct"/>
            <w:shd w:val="clear" w:color="auto" w:fill="auto"/>
            <w:vAlign w:val="center"/>
          </w:tcPr>
          <w:p w14:paraId="185BFB39">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陶杰</w:t>
            </w:r>
          </w:p>
        </w:tc>
        <w:tc>
          <w:tcPr>
            <w:tcW w:w="1673" w:type="pct"/>
            <w:shd w:val="clear" w:color="auto" w:fill="auto"/>
            <w:vAlign w:val="center"/>
          </w:tcPr>
          <w:p w14:paraId="1BC1896F">
            <w:pPr>
              <w:widowControl/>
              <w:spacing w:line="240" w:lineRule="auto"/>
              <w:ind w:firstLine="0" w:firstLineChars="0"/>
              <w:jc w:val="left"/>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江苏省特种设备安全监督检验研究院</w:t>
            </w:r>
          </w:p>
        </w:tc>
        <w:tc>
          <w:tcPr>
            <w:tcW w:w="1261" w:type="pct"/>
            <w:shd w:val="clear" w:color="auto" w:fill="auto"/>
            <w:noWrap/>
            <w:vAlign w:val="center"/>
          </w:tcPr>
          <w:p w14:paraId="6AC224FD">
            <w:pPr>
              <w:widowControl/>
              <w:spacing w:line="240" w:lineRule="auto"/>
              <w:ind w:firstLine="0" w:firstLineChars="0"/>
              <w:jc w:val="center"/>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高级工程师</w:t>
            </w:r>
          </w:p>
        </w:tc>
        <w:tc>
          <w:tcPr>
            <w:tcW w:w="1106" w:type="pct"/>
            <w:vMerge w:val="continue"/>
            <w:shd w:val="clear" w:color="auto" w:fill="auto"/>
            <w:noWrap/>
            <w:vAlign w:val="center"/>
          </w:tcPr>
          <w:p w14:paraId="3511EA8F">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6E5C8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0469852F">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18</w:t>
            </w:r>
          </w:p>
        </w:tc>
        <w:tc>
          <w:tcPr>
            <w:tcW w:w="567" w:type="pct"/>
            <w:shd w:val="clear" w:color="auto" w:fill="auto"/>
            <w:vAlign w:val="center"/>
          </w:tcPr>
          <w:p w14:paraId="5F27153E">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张航</w:t>
            </w:r>
          </w:p>
        </w:tc>
        <w:tc>
          <w:tcPr>
            <w:tcW w:w="1673" w:type="pct"/>
            <w:shd w:val="clear" w:color="auto" w:fill="auto"/>
            <w:vAlign w:val="center"/>
          </w:tcPr>
          <w:p w14:paraId="7966DC10">
            <w:pPr>
              <w:widowControl/>
              <w:spacing w:line="240" w:lineRule="auto"/>
              <w:ind w:firstLine="0" w:firstLineChars="0"/>
              <w:jc w:val="left"/>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江苏省特种设备安全监督检验研究院</w:t>
            </w:r>
          </w:p>
        </w:tc>
        <w:tc>
          <w:tcPr>
            <w:tcW w:w="1261" w:type="pct"/>
            <w:shd w:val="clear" w:color="auto" w:fill="auto"/>
            <w:noWrap/>
            <w:vAlign w:val="center"/>
          </w:tcPr>
          <w:p w14:paraId="7A154B45">
            <w:pPr>
              <w:widowControl/>
              <w:spacing w:line="240" w:lineRule="auto"/>
              <w:ind w:firstLine="0" w:firstLineChars="0"/>
              <w:jc w:val="center"/>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高级工程师</w:t>
            </w:r>
          </w:p>
        </w:tc>
        <w:tc>
          <w:tcPr>
            <w:tcW w:w="1106" w:type="pct"/>
            <w:vMerge w:val="continue"/>
            <w:shd w:val="clear" w:color="auto" w:fill="auto"/>
            <w:noWrap/>
            <w:vAlign w:val="center"/>
          </w:tcPr>
          <w:p w14:paraId="1DF580D7">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6AD2A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6F6C0D30">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19</w:t>
            </w:r>
          </w:p>
        </w:tc>
        <w:tc>
          <w:tcPr>
            <w:tcW w:w="567" w:type="pct"/>
            <w:shd w:val="clear" w:color="auto" w:fill="auto"/>
            <w:vAlign w:val="center"/>
          </w:tcPr>
          <w:p w14:paraId="1F42E2D9">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顾程</w:t>
            </w:r>
          </w:p>
        </w:tc>
        <w:tc>
          <w:tcPr>
            <w:tcW w:w="1673" w:type="pct"/>
            <w:shd w:val="clear" w:color="auto" w:fill="auto"/>
            <w:vAlign w:val="center"/>
          </w:tcPr>
          <w:p w14:paraId="640574C6">
            <w:pPr>
              <w:widowControl/>
              <w:spacing w:line="240" w:lineRule="auto"/>
              <w:ind w:firstLine="0" w:firstLineChars="0"/>
              <w:jc w:val="left"/>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江苏省特种设备安全监督检验研究院</w:t>
            </w:r>
          </w:p>
        </w:tc>
        <w:tc>
          <w:tcPr>
            <w:tcW w:w="1261" w:type="pct"/>
            <w:shd w:val="clear" w:color="auto" w:fill="auto"/>
            <w:noWrap/>
            <w:vAlign w:val="center"/>
          </w:tcPr>
          <w:p w14:paraId="405DB6E2">
            <w:pPr>
              <w:widowControl/>
              <w:spacing w:line="240" w:lineRule="auto"/>
              <w:ind w:firstLine="0" w:firstLineChars="0"/>
              <w:jc w:val="center"/>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高级工程师</w:t>
            </w:r>
          </w:p>
        </w:tc>
        <w:tc>
          <w:tcPr>
            <w:tcW w:w="1106" w:type="pct"/>
            <w:vMerge w:val="continue"/>
            <w:shd w:val="clear" w:color="auto" w:fill="auto"/>
            <w:noWrap/>
            <w:vAlign w:val="center"/>
          </w:tcPr>
          <w:p w14:paraId="663DC59B">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5B5C8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2F2D47EF">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20</w:t>
            </w:r>
          </w:p>
        </w:tc>
        <w:tc>
          <w:tcPr>
            <w:tcW w:w="567" w:type="pct"/>
            <w:shd w:val="clear" w:color="auto" w:fill="auto"/>
            <w:vAlign w:val="center"/>
          </w:tcPr>
          <w:p w14:paraId="772D652D">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程琳</w:t>
            </w:r>
          </w:p>
        </w:tc>
        <w:tc>
          <w:tcPr>
            <w:tcW w:w="1673" w:type="pct"/>
            <w:shd w:val="clear" w:color="auto" w:fill="auto"/>
            <w:vAlign w:val="center"/>
          </w:tcPr>
          <w:p w14:paraId="238F68E2">
            <w:pPr>
              <w:widowControl/>
              <w:spacing w:line="240" w:lineRule="auto"/>
              <w:ind w:firstLine="0" w:firstLineChars="0"/>
              <w:jc w:val="left"/>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南京擎天科技有限公司</w:t>
            </w:r>
          </w:p>
        </w:tc>
        <w:tc>
          <w:tcPr>
            <w:tcW w:w="1261" w:type="pct"/>
            <w:shd w:val="clear" w:color="auto" w:fill="auto"/>
            <w:noWrap/>
            <w:vAlign w:val="center"/>
          </w:tcPr>
          <w:p w14:paraId="4FB7718E">
            <w:pPr>
              <w:widowControl/>
              <w:spacing w:line="240" w:lineRule="auto"/>
              <w:ind w:firstLine="0" w:firstLineChars="0"/>
              <w:jc w:val="center"/>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安全部长/工程师</w:t>
            </w:r>
          </w:p>
        </w:tc>
        <w:tc>
          <w:tcPr>
            <w:tcW w:w="1106" w:type="pct"/>
            <w:vMerge w:val="continue"/>
            <w:shd w:val="clear" w:color="auto" w:fill="auto"/>
            <w:noWrap/>
            <w:vAlign w:val="center"/>
          </w:tcPr>
          <w:p w14:paraId="4B8C2B0E">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48823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071DDC61">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21</w:t>
            </w:r>
          </w:p>
        </w:tc>
        <w:tc>
          <w:tcPr>
            <w:tcW w:w="567" w:type="pct"/>
            <w:shd w:val="clear" w:color="auto" w:fill="auto"/>
            <w:vAlign w:val="center"/>
          </w:tcPr>
          <w:p w14:paraId="1F9C329B">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谢芸香</w:t>
            </w:r>
          </w:p>
        </w:tc>
        <w:tc>
          <w:tcPr>
            <w:tcW w:w="1673" w:type="pct"/>
            <w:shd w:val="clear" w:color="auto" w:fill="auto"/>
            <w:vAlign w:val="center"/>
          </w:tcPr>
          <w:p w14:paraId="464E3515">
            <w:pPr>
              <w:widowControl/>
              <w:spacing w:line="240" w:lineRule="auto"/>
              <w:ind w:firstLine="0" w:firstLineChars="0"/>
              <w:jc w:val="left"/>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江苏省特种设备安全监督检验研究院</w:t>
            </w:r>
          </w:p>
        </w:tc>
        <w:tc>
          <w:tcPr>
            <w:tcW w:w="1261" w:type="pct"/>
            <w:shd w:val="clear" w:color="auto" w:fill="auto"/>
            <w:noWrap/>
            <w:vAlign w:val="center"/>
          </w:tcPr>
          <w:p w14:paraId="41573920">
            <w:pPr>
              <w:widowControl/>
              <w:spacing w:line="240" w:lineRule="auto"/>
              <w:ind w:firstLine="0" w:firstLineChars="0"/>
              <w:jc w:val="center"/>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助理工程师</w:t>
            </w:r>
          </w:p>
        </w:tc>
        <w:tc>
          <w:tcPr>
            <w:tcW w:w="1106" w:type="pct"/>
            <w:vMerge w:val="continue"/>
            <w:shd w:val="clear" w:color="auto" w:fill="auto"/>
            <w:noWrap/>
            <w:vAlign w:val="center"/>
          </w:tcPr>
          <w:p w14:paraId="4A3759F0">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4277A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46F08A13">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22</w:t>
            </w:r>
          </w:p>
        </w:tc>
        <w:tc>
          <w:tcPr>
            <w:tcW w:w="567" w:type="pct"/>
            <w:shd w:val="clear" w:color="auto" w:fill="auto"/>
            <w:vAlign w:val="center"/>
          </w:tcPr>
          <w:p w14:paraId="14EDC682">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帅飞</w:t>
            </w:r>
          </w:p>
        </w:tc>
        <w:tc>
          <w:tcPr>
            <w:tcW w:w="1673" w:type="pct"/>
            <w:shd w:val="clear" w:color="auto" w:fill="auto"/>
            <w:vAlign w:val="center"/>
          </w:tcPr>
          <w:p w14:paraId="00E52745">
            <w:pPr>
              <w:widowControl/>
              <w:spacing w:line="240" w:lineRule="auto"/>
              <w:ind w:firstLine="0" w:firstLineChars="0"/>
              <w:jc w:val="left"/>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江苏省特种设备安全监督检验研究院</w:t>
            </w:r>
          </w:p>
        </w:tc>
        <w:tc>
          <w:tcPr>
            <w:tcW w:w="1261" w:type="pct"/>
            <w:shd w:val="clear" w:color="auto" w:fill="auto"/>
            <w:noWrap/>
            <w:vAlign w:val="center"/>
          </w:tcPr>
          <w:p w14:paraId="722044D3">
            <w:pPr>
              <w:widowControl/>
              <w:spacing w:line="240" w:lineRule="auto"/>
              <w:ind w:firstLine="0" w:firstLineChars="0"/>
              <w:jc w:val="center"/>
              <w:textAlignment w:val="center"/>
              <w:rPr>
                <w:rFonts w:ascii="仿宋" w:hAnsi="仿宋" w:cs="仿宋"/>
                <w:color w:val="000000"/>
                <w:kern w:val="0"/>
                <w:sz w:val="24"/>
                <w:lang w:bidi="ar"/>
              </w:rPr>
            </w:pPr>
            <w:r>
              <w:rPr>
                <w:rFonts w:hint="eastAsia" w:ascii="方正仿宋_GBK" w:hAnsi="方正仿宋_GBK" w:eastAsia="方正仿宋_GBK" w:cs="方正仿宋_GBK"/>
                <w:color w:val="000000"/>
                <w:kern w:val="0"/>
                <w:sz w:val="22"/>
                <w:szCs w:val="22"/>
                <w:lang w:bidi="ar"/>
              </w:rPr>
              <w:t>高级工程师</w:t>
            </w:r>
          </w:p>
        </w:tc>
        <w:tc>
          <w:tcPr>
            <w:tcW w:w="1106" w:type="pct"/>
            <w:vMerge w:val="continue"/>
            <w:shd w:val="clear" w:color="auto" w:fill="auto"/>
            <w:noWrap/>
            <w:vAlign w:val="center"/>
          </w:tcPr>
          <w:p w14:paraId="5AFD4CC9">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06C06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02BE74C4">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23</w:t>
            </w:r>
          </w:p>
        </w:tc>
        <w:tc>
          <w:tcPr>
            <w:tcW w:w="567" w:type="pct"/>
            <w:shd w:val="clear" w:color="auto" w:fill="auto"/>
            <w:vAlign w:val="center"/>
          </w:tcPr>
          <w:p w14:paraId="5F92449D">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金凯</w:t>
            </w:r>
          </w:p>
        </w:tc>
        <w:tc>
          <w:tcPr>
            <w:tcW w:w="1673" w:type="pct"/>
            <w:shd w:val="clear" w:color="auto" w:fill="auto"/>
            <w:vAlign w:val="center"/>
          </w:tcPr>
          <w:p w14:paraId="095F2AD6">
            <w:pPr>
              <w:widowControl/>
              <w:spacing w:line="240" w:lineRule="auto"/>
              <w:ind w:firstLine="0" w:firstLineChars="0"/>
              <w:jc w:val="left"/>
              <w:textAlignment w:val="center"/>
            </w:pPr>
            <w:r>
              <w:rPr>
                <w:rFonts w:hint="eastAsia" w:ascii="方正仿宋_GBK" w:hAnsi="方正仿宋_GBK" w:eastAsia="方正仿宋_GBK" w:cs="方正仿宋_GBK"/>
                <w:color w:val="000000"/>
                <w:kern w:val="0"/>
                <w:sz w:val="22"/>
                <w:szCs w:val="22"/>
                <w:lang w:bidi="ar"/>
              </w:rPr>
              <w:t>江苏省特种设备安全监督检验研究院</w:t>
            </w:r>
          </w:p>
        </w:tc>
        <w:tc>
          <w:tcPr>
            <w:tcW w:w="1261" w:type="pct"/>
            <w:shd w:val="clear" w:color="auto" w:fill="auto"/>
            <w:noWrap/>
            <w:vAlign w:val="center"/>
          </w:tcPr>
          <w:p w14:paraId="22FAF829">
            <w:pPr>
              <w:widowControl/>
              <w:spacing w:line="240" w:lineRule="auto"/>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工程师</w:t>
            </w:r>
          </w:p>
        </w:tc>
        <w:tc>
          <w:tcPr>
            <w:tcW w:w="1106" w:type="pct"/>
            <w:vMerge w:val="continue"/>
            <w:shd w:val="clear" w:color="auto" w:fill="auto"/>
            <w:noWrap/>
            <w:vAlign w:val="center"/>
          </w:tcPr>
          <w:p w14:paraId="110EFB03">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65892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1EF526F1">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24</w:t>
            </w:r>
          </w:p>
        </w:tc>
        <w:tc>
          <w:tcPr>
            <w:tcW w:w="567" w:type="pct"/>
            <w:shd w:val="clear" w:color="auto" w:fill="auto"/>
            <w:vAlign w:val="center"/>
          </w:tcPr>
          <w:p w14:paraId="3DE3A240">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徐丞明</w:t>
            </w:r>
          </w:p>
        </w:tc>
        <w:tc>
          <w:tcPr>
            <w:tcW w:w="1673" w:type="pct"/>
            <w:shd w:val="clear" w:color="auto" w:fill="auto"/>
            <w:vAlign w:val="center"/>
          </w:tcPr>
          <w:p w14:paraId="60D43BA7">
            <w:pPr>
              <w:widowControl/>
              <w:spacing w:line="240" w:lineRule="auto"/>
              <w:ind w:firstLine="0" w:firstLineChars="0"/>
              <w:jc w:val="left"/>
              <w:textAlignment w:val="center"/>
            </w:pPr>
            <w:r>
              <w:rPr>
                <w:rFonts w:hint="eastAsia" w:ascii="方正仿宋_GBK" w:hAnsi="方正仿宋_GBK" w:eastAsia="方正仿宋_GBK" w:cs="方正仿宋_GBK"/>
                <w:color w:val="000000"/>
                <w:kern w:val="0"/>
                <w:sz w:val="22"/>
                <w:szCs w:val="22"/>
                <w:lang w:bidi="ar"/>
              </w:rPr>
              <w:t>江苏省特种设备安全监督检验研究院</w:t>
            </w:r>
          </w:p>
        </w:tc>
        <w:tc>
          <w:tcPr>
            <w:tcW w:w="1261" w:type="pct"/>
            <w:shd w:val="clear" w:color="auto" w:fill="auto"/>
            <w:noWrap/>
            <w:vAlign w:val="center"/>
          </w:tcPr>
          <w:p w14:paraId="49015DAB">
            <w:pPr>
              <w:widowControl/>
              <w:spacing w:line="240" w:lineRule="auto"/>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工程师</w:t>
            </w:r>
          </w:p>
        </w:tc>
        <w:tc>
          <w:tcPr>
            <w:tcW w:w="1106" w:type="pct"/>
            <w:vMerge w:val="continue"/>
            <w:shd w:val="clear" w:color="auto" w:fill="auto"/>
            <w:noWrap/>
            <w:vAlign w:val="center"/>
          </w:tcPr>
          <w:p w14:paraId="54734774">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51BB1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58CE8F76">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25</w:t>
            </w:r>
          </w:p>
        </w:tc>
        <w:tc>
          <w:tcPr>
            <w:tcW w:w="567" w:type="pct"/>
            <w:shd w:val="clear" w:color="auto" w:fill="auto"/>
            <w:vAlign w:val="center"/>
          </w:tcPr>
          <w:p w14:paraId="07628693">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孙冬</w:t>
            </w:r>
          </w:p>
        </w:tc>
        <w:tc>
          <w:tcPr>
            <w:tcW w:w="1673" w:type="pct"/>
            <w:shd w:val="clear" w:color="auto" w:fill="auto"/>
            <w:vAlign w:val="center"/>
          </w:tcPr>
          <w:p w14:paraId="69D16DAC">
            <w:pPr>
              <w:widowControl/>
              <w:spacing w:line="240" w:lineRule="auto"/>
              <w:ind w:firstLine="0" w:firstLineChars="0"/>
              <w:jc w:val="left"/>
              <w:textAlignment w:val="center"/>
            </w:pPr>
            <w:r>
              <w:rPr>
                <w:rFonts w:hint="eastAsia" w:ascii="方正仿宋_GBK" w:hAnsi="方正仿宋_GBK" w:eastAsia="方正仿宋_GBK" w:cs="方正仿宋_GBK"/>
                <w:color w:val="000000"/>
                <w:kern w:val="0"/>
                <w:sz w:val="22"/>
                <w:szCs w:val="22"/>
                <w:lang w:bidi="ar"/>
              </w:rPr>
              <w:t>江苏省特种设备安全监督检验研究院</w:t>
            </w:r>
          </w:p>
        </w:tc>
        <w:tc>
          <w:tcPr>
            <w:tcW w:w="1261" w:type="pct"/>
            <w:shd w:val="clear" w:color="auto" w:fill="auto"/>
            <w:noWrap/>
            <w:vAlign w:val="center"/>
          </w:tcPr>
          <w:p w14:paraId="22694923">
            <w:pPr>
              <w:widowControl/>
              <w:spacing w:line="240" w:lineRule="auto"/>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工程师</w:t>
            </w:r>
          </w:p>
        </w:tc>
        <w:tc>
          <w:tcPr>
            <w:tcW w:w="1106" w:type="pct"/>
            <w:vMerge w:val="continue"/>
            <w:shd w:val="clear" w:color="auto" w:fill="auto"/>
            <w:noWrap/>
            <w:vAlign w:val="center"/>
          </w:tcPr>
          <w:p w14:paraId="3C277B89">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6A024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12534D02">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26</w:t>
            </w:r>
          </w:p>
        </w:tc>
        <w:tc>
          <w:tcPr>
            <w:tcW w:w="567" w:type="pct"/>
            <w:shd w:val="clear" w:color="auto" w:fill="auto"/>
            <w:vAlign w:val="center"/>
          </w:tcPr>
          <w:p w14:paraId="20BE0352">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汪军</w:t>
            </w:r>
          </w:p>
        </w:tc>
        <w:tc>
          <w:tcPr>
            <w:tcW w:w="1673" w:type="pct"/>
            <w:shd w:val="clear" w:color="auto" w:fill="auto"/>
            <w:vAlign w:val="center"/>
          </w:tcPr>
          <w:p w14:paraId="3492201B">
            <w:pPr>
              <w:widowControl/>
              <w:spacing w:line="240" w:lineRule="auto"/>
              <w:ind w:firstLine="0" w:firstLineChars="0"/>
              <w:jc w:val="left"/>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中博信息技术研究院有限公司</w:t>
            </w:r>
          </w:p>
        </w:tc>
        <w:tc>
          <w:tcPr>
            <w:tcW w:w="1261" w:type="pct"/>
            <w:shd w:val="clear" w:color="auto" w:fill="auto"/>
            <w:noWrap/>
            <w:vAlign w:val="center"/>
          </w:tcPr>
          <w:p w14:paraId="64E671F1">
            <w:pPr>
              <w:widowControl/>
              <w:spacing w:line="240" w:lineRule="auto"/>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高级工程师</w:t>
            </w:r>
          </w:p>
        </w:tc>
        <w:tc>
          <w:tcPr>
            <w:tcW w:w="1106" w:type="pct"/>
            <w:vMerge w:val="continue"/>
            <w:shd w:val="clear" w:color="auto" w:fill="auto"/>
            <w:noWrap/>
            <w:vAlign w:val="center"/>
          </w:tcPr>
          <w:p w14:paraId="77AE04FC">
            <w:pPr>
              <w:widowControl/>
              <w:ind w:firstLine="440"/>
              <w:jc w:val="center"/>
              <w:textAlignment w:val="center"/>
              <w:rPr>
                <w:rFonts w:ascii="方正仿宋_GBK" w:hAnsi="方正仿宋_GBK" w:eastAsia="方正仿宋_GBK" w:cs="方正仿宋_GBK"/>
                <w:color w:val="000000"/>
                <w:kern w:val="0"/>
                <w:sz w:val="22"/>
                <w:szCs w:val="22"/>
                <w:lang w:bidi="ar"/>
              </w:rPr>
            </w:pPr>
          </w:p>
        </w:tc>
      </w:tr>
      <w:tr w14:paraId="0473F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blHeader/>
        </w:trPr>
        <w:tc>
          <w:tcPr>
            <w:tcW w:w="390" w:type="pct"/>
            <w:shd w:val="clear" w:color="auto" w:fill="auto"/>
            <w:vAlign w:val="center"/>
          </w:tcPr>
          <w:p w14:paraId="738322A9">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27</w:t>
            </w:r>
          </w:p>
        </w:tc>
        <w:tc>
          <w:tcPr>
            <w:tcW w:w="567" w:type="pct"/>
            <w:shd w:val="clear" w:color="auto" w:fill="auto"/>
            <w:vAlign w:val="center"/>
          </w:tcPr>
          <w:p w14:paraId="08D5B2EC">
            <w:pPr>
              <w:widowControl/>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罗祥志</w:t>
            </w:r>
          </w:p>
        </w:tc>
        <w:tc>
          <w:tcPr>
            <w:tcW w:w="1673" w:type="pct"/>
            <w:shd w:val="clear" w:color="auto" w:fill="auto"/>
            <w:vAlign w:val="center"/>
          </w:tcPr>
          <w:p w14:paraId="093DAF3A">
            <w:pPr>
              <w:widowControl/>
              <w:spacing w:line="240" w:lineRule="auto"/>
              <w:ind w:firstLine="0" w:firstLineChars="0"/>
              <w:jc w:val="left"/>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中博信息技术研究院有限公司</w:t>
            </w:r>
          </w:p>
        </w:tc>
        <w:tc>
          <w:tcPr>
            <w:tcW w:w="1261" w:type="pct"/>
            <w:shd w:val="clear" w:color="auto" w:fill="auto"/>
            <w:noWrap/>
            <w:vAlign w:val="center"/>
          </w:tcPr>
          <w:p w14:paraId="1E77ECFC">
            <w:pPr>
              <w:widowControl/>
              <w:spacing w:line="240" w:lineRule="auto"/>
              <w:ind w:firstLine="0" w:firstLineChars="0"/>
              <w:jc w:val="center"/>
              <w:textAlignment w:val="center"/>
              <w:rPr>
                <w:rFonts w:ascii="方正仿宋_GBK" w:hAnsi="方正仿宋_GBK" w:eastAsia="方正仿宋_GBK" w:cs="方正仿宋_GBK"/>
                <w:color w:val="000000"/>
                <w:kern w:val="0"/>
                <w:sz w:val="22"/>
                <w:szCs w:val="22"/>
                <w:lang w:bidi="ar"/>
              </w:rPr>
            </w:pPr>
            <w:r>
              <w:rPr>
                <w:rFonts w:hint="eastAsia" w:ascii="方正仿宋_GBK" w:hAnsi="方正仿宋_GBK" w:eastAsia="方正仿宋_GBK" w:cs="方正仿宋_GBK"/>
                <w:color w:val="000000"/>
                <w:kern w:val="0"/>
                <w:sz w:val="22"/>
                <w:szCs w:val="22"/>
                <w:lang w:bidi="ar"/>
              </w:rPr>
              <w:t>高级工程师</w:t>
            </w:r>
          </w:p>
        </w:tc>
        <w:tc>
          <w:tcPr>
            <w:tcW w:w="1106" w:type="pct"/>
            <w:vMerge w:val="continue"/>
            <w:shd w:val="clear" w:color="auto" w:fill="auto"/>
            <w:noWrap/>
            <w:vAlign w:val="center"/>
          </w:tcPr>
          <w:p w14:paraId="79CB39C3">
            <w:pPr>
              <w:widowControl/>
              <w:ind w:firstLine="440"/>
              <w:jc w:val="center"/>
              <w:textAlignment w:val="center"/>
              <w:rPr>
                <w:rFonts w:ascii="方正仿宋_GBK" w:hAnsi="方正仿宋_GBK" w:eastAsia="方正仿宋_GBK" w:cs="方正仿宋_GBK"/>
                <w:color w:val="000000"/>
                <w:kern w:val="0"/>
                <w:sz w:val="22"/>
                <w:szCs w:val="22"/>
                <w:lang w:bidi="ar"/>
              </w:rPr>
            </w:pPr>
          </w:p>
        </w:tc>
      </w:tr>
    </w:tbl>
    <w:p w14:paraId="6F4644BE">
      <w:pPr>
        <w:ind w:firstLine="600"/>
      </w:pPr>
    </w:p>
    <w:sectPr>
      <w:footerReference r:id="rId5" w:type="default"/>
      <w:pgSz w:w="11906" w:h="16838"/>
      <w:pgMar w:top="1417" w:right="1417" w:bottom="1417" w:left="1417" w:header="851" w:footer="992" w:gutter="0"/>
      <w:cols w:space="0" w:num="1"/>
      <w:docGrid w:type="lines" w:linePitch="41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7CBC24-AD39-4449-B8F4-37C83F5BC02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206FA9C3-56AF-45CE-A627-DCDEE9593A19}"/>
  </w:font>
  <w:font w:name="方正仿宋_GBK">
    <w:panose1 w:val="03000509000000000000"/>
    <w:charset w:val="86"/>
    <w:family w:val="script"/>
    <w:pitch w:val="default"/>
    <w:sig w:usb0="00000001" w:usb1="080E0000" w:usb2="00000000" w:usb3="00000000" w:csb0="00040000" w:csb1="00000000"/>
    <w:embedRegular r:id="rId3" w:fontKey="{CA1AF153-43AE-4C86-8E13-2575D884530A}"/>
  </w:font>
  <w:font w:name="方正小标宋_GBK">
    <w:panose1 w:val="03000509000000000000"/>
    <w:charset w:val="86"/>
    <w:family w:val="script"/>
    <w:pitch w:val="default"/>
    <w:sig w:usb0="00000001" w:usb1="080E0000" w:usb2="00000000" w:usb3="00000000" w:csb0="00040000" w:csb1="00000000"/>
    <w:embedRegular r:id="rId4" w:fontKey="{6B89519B-FF46-484C-A30A-07432FB5DE44}"/>
  </w:font>
  <w:font w:name="方正黑体_GBK">
    <w:panose1 w:val="03000509000000000000"/>
    <w:charset w:val="86"/>
    <w:family w:val="script"/>
    <w:pitch w:val="default"/>
    <w:sig w:usb0="00000001" w:usb1="080E0000" w:usb2="00000000" w:usb3="00000000" w:csb0="00040000" w:csb1="00000000"/>
    <w:embedRegular r:id="rId5" w:fontKey="{C1F36DAA-D003-4CBC-8749-C289FE01C3EE}"/>
  </w:font>
  <w:font w:name="楷体">
    <w:panose1 w:val="02010609060101010101"/>
    <w:charset w:val="86"/>
    <w:family w:val="modern"/>
    <w:pitch w:val="default"/>
    <w:sig w:usb0="800002BF" w:usb1="38CF7CFA" w:usb2="00000016" w:usb3="00000000" w:csb0="00040001" w:csb1="00000000"/>
    <w:embedRegular r:id="rId6" w:fontKey="{95D0D843-D12B-4BAB-852D-0325672C9883}"/>
  </w:font>
  <w:font w:name="仿宋_GB2312">
    <w:panose1 w:val="02010609030101010101"/>
    <w:charset w:val="86"/>
    <w:family w:val="auto"/>
    <w:pitch w:val="default"/>
    <w:sig w:usb0="00000001" w:usb1="080E0000" w:usb2="00000000" w:usb3="00000000" w:csb0="00040000" w:csb1="00000000"/>
    <w:embedRegular r:id="rId7" w:fontKey="{391A1F43-36D0-4945-AFE0-A22880E04E9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04828860"/>
    </w:sdtPr>
    <w:sdtContent>
      <w:p w14:paraId="79FA8529">
        <w:pPr>
          <w:pStyle w:val="7"/>
          <w:ind w:firstLine="360"/>
          <w:jc w:val="center"/>
        </w:pPr>
        <w:r>
          <w:fldChar w:fldCharType="begin"/>
        </w:r>
        <w:r>
          <w:instrText xml:space="preserve">PAGE   \* MERGEFORMAT</w:instrText>
        </w:r>
        <w:r>
          <w:fldChar w:fldCharType="separate"/>
        </w:r>
        <w:r>
          <w:rPr>
            <w:lang w:val="zh-CN"/>
          </w:rPr>
          <w:t>7</w:t>
        </w:r>
        <w:r>
          <w:fldChar w:fldCharType="end"/>
        </w:r>
      </w:p>
    </w:sdtContent>
  </w:sdt>
  <w:p w14:paraId="1AD3725A">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00"/>
      </w:pPr>
      <w:r>
        <w:separator/>
      </w:r>
    </w:p>
  </w:footnote>
  <w:footnote w:type="continuationSeparator" w:id="1">
    <w:p>
      <w:pPr>
        <w:spacing w:line="360" w:lineRule="auto"/>
        <w:ind w:firstLine="60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documentProtection w:enforcement="0"/>
  <w:defaultTabStop w:val="420"/>
  <w:drawingGridVerticalSpacing w:val="205"/>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U5MjA5ZmQ5NmVkNWY5YmQyMDE2ZDgzMGQ4MzljMjcifQ=="/>
  </w:docVars>
  <w:rsids>
    <w:rsidRoot w:val="00CF11C6"/>
    <w:rsid w:val="00006AEA"/>
    <w:rsid w:val="00007F43"/>
    <w:rsid w:val="000130EA"/>
    <w:rsid w:val="00021B0E"/>
    <w:rsid w:val="00051128"/>
    <w:rsid w:val="00064D4B"/>
    <w:rsid w:val="000803BD"/>
    <w:rsid w:val="000846CE"/>
    <w:rsid w:val="00086FEA"/>
    <w:rsid w:val="00090C9D"/>
    <w:rsid w:val="000911ED"/>
    <w:rsid w:val="000B5443"/>
    <w:rsid w:val="000D2E93"/>
    <w:rsid w:val="000E2A3E"/>
    <w:rsid w:val="00103E30"/>
    <w:rsid w:val="00105D3F"/>
    <w:rsid w:val="0011736B"/>
    <w:rsid w:val="0013282F"/>
    <w:rsid w:val="00132BD9"/>
    <w:rsid w:val="0013415E"/>
    <w:rsid w:val="0019715E"/>
    <w:rsid w:val="001A56E4"/>
    <w:rsid w:val="001E3E0C"/>
    <w:rsid w:val="001E5B81"/>
    <w:rsid w:val="001E7B0F"/>
    <w:rsid w:val="002002F8"/>
    <w:rsid w:val="002139F9"/>
    <w:rsid w:val="0022171F"/>
    <w:rsid w:val="00241C24"/>
    <w:rsid w:val="00242C3E"/>
    <w:rsid w:val="002513B4"/>
    <w:rsid w:val="002518F8"/>
    <w:rsid w:val="002736E8"/>
    <w:rsid w:val="002748AF"/>
    <w:rsid w:val="00275B84"/>
    <w:rsid w:val="00283143"/>
    <w:rsid w:val="002A2885"/>
    <w:rsid w:val="002A5379"/>
    <w:rsid w:val="002B42BD"/>
    <w:rsid w:val="002C5A5B"/>
    <w:rsid w:val="002E1606"/>
    <w:rsid w:val="00302849"/>
    <w:rsid w:val="003049E6"/>
    <w:rsid w:val="00314413"/>
    <w:rsid w:val="00355F02"/>
    <w:rsid w:val="00376FBB"/>
    <w:rsid w:val="003864BA"/>
    <w:rsid w:val="003C3242"/>
    <w:rsid w:val="003D1696"/>
    <w:rsid w:val="003F1C96"/>
    <w:rsid w:val="003F2555"/>
    <w:rsid w:val="003F3EE8"/>
    <w:rsid w:val="003F4979"/>
    <w:rsid w:val="004071E7"/>
    <w:rsid w:val="004139C0"/>
    <w:rsid w:val="004204E0"/>
    <w:rsid w:val="004219F9"/>
    <w:rsid w:val="00435E98"/>
    <w:rsid w:val="004465E6"/>
    <w:rsid w:val="004466B7"/>
    <w:rsid w:val="00485822"/>
    <w:rsid w:val="00485A3B"/>
    <w:rsid w:val="004925A2"/>
    <w:rsid w:val="00492D84"/>
    <w:rsid w:val="00496AFC"/>
    <w:rsid w:val="004C71FC"/>
    <w:rsid w:val="004C7AFD"/>
    <w:rsid w:val="004D44C2"/>
    <w:rsid w:val="004E0A0D"/>
    <w:rsid w:val="004E1D90"/>
    <w:rsid w:val="00503217"/>
    <w:rsid w:val="00547C26"/>
    <w:rsid w:val="00575DA0"/>
    <w:rsid w:val="005A0929"/>
    <w:rsid w:val="005A28C3"/>
    <w:rsid w:val="005D6587"/>
    <w:rsid w:val="005E56CD"/>
    <w:rsid w:val="005F4747"/>
    <w:rsid w:val="00630EFC"/>
    <w:rsid w:val="00663D8A"/>
    <w:rsid w:val="00664C1F"/>
    <w:rsid w:val="006B19D7"/>
    <w:rsid w:val="006B2BD5"/>
    <w:rsid w:val="006D2687"/>
    <w:rsid w:val="006E285E"/>
    <w:rsid w:val="007037C3"/>
    <w:rsid w:val="00713D5E"/>
    <w:rsid w:val="00715135"/>
    <w:rsid w:val="00740CEC"/>
    <w:rsid w:val="007411D9"/>
    <w:rsid w:val="00741CDD"/>
    <w:rsid w:val="007440FF"/>
    <w:rsid w:val="00751758"/>
    <w:rsid w:val="00761906"/>
    <w:rsid w:val="00792342"/>
    <w:rsid w:val="007B02D6"/>
    <w:rsid w:val="00803F30"/>
    <w:rsid w:val="00805B0B"/>
    <w:rsid w:val="008239DE"/>
    <w:rsid w:val="00827CD6"/>
    <w:rsid w:val="008331F0"/>
    <w:rsid w:val="008462B5"/>
    <w:rsid w:val="008754A4"/>
    <w:rsid w:val="008A1598"/>
    <w:rsid w:val="008B05F2"/>
    <w:rsid w:val="0091350E"/>
    <w:rsid w:val="0095220D"/>
    <w:rsid w:val="00964C70"/>
    <w:rsid w:val="00970CBB"/>
    <w:rsid w:val="00975CF5"/>
    <w:rsid w:val="00976F71"/>
    <w:rsid w:val="00983B9C"/>
    <w:rsid w:val="009E20A7"/>
    <w:rsid w:val="009E7840"/>
    <w:rsid w:val="009F67FB"/>
    <w:rsid w:val="00A234CE"/>
    <w:rsid w:val="00A44B78"/>
    <w:rsid w:val="00A7006E"/>
    <w:rsid w:val="00A84C8A"/>
    <w:rsid w:val="00A8601B"/>
    <w:rsid w:val="00A8688D"/>
    <w:rsid w:val="00A90C66"/>
    <w:rsid w:val="00A91CBA"/>
    <w:rsid w:val="00B015AD"/>
    <w:rsid w:val="00B65D9B"/>
    <w:rsid w:val="00B66239"/>
    <w:rsid w:val="00B7019E"/>
    <w:rsid w:val="00B725B8"/>
    <w:rsid w:val="00B75DF1"/>
    <w:rsid w:val="00B969F2"/>
    <w:rsid w:val="00BB724A"/>
    <w:rsid w:val="00BC1C6D"/>
    <w:rsid w:val="00BC23AF"/>
    <w:rsid w:val="00BC56AA"/>
    <w:rsid w:val="00C00AD8"/>
    <w:rsid w:val="00C0100C"/>
    <w:rsid w:val="00C54392"/>
    <w:rsid w:val="00C576E4"/>
    <w:rsid w:val="00C70141"/>
    <w:rsid w:val="00C93E47"/>
    <w:rsid w:val="00C9726A"/>
    <w:rsid w:val="00CC2EF3"/>
    <w:rsid w:val="00CE1B22"/>
    <w:rsid w:val="00CE605D"/>
    <w:rsid w:val="00CF11C6"/>
    <w:rsid w:val="00D26E25"/>
    <w:rsid w:val="00D32F0A"/>
    <w:rsid w:val="00D604B4"/>
    <w:rsid w:val="00D67753"/>
    <w:rsid w:val="00D91C23"/>
    <w:rsid w:val="00D96F53"/>
    <w:rsid w:val="00DA3C52"/>
    <w:rsid w:val="00DC1703"/>
    <w:rsid w:val="00DC5611"/>
    <w:rsid w:val="00DE2539"/>
    <w:rsid w:val="00DF6A4E"/>
    <w:rsid w:val="00E073E1"/>
    <w:rsid w:val="00E148D8"/>
    <w:rsid w:val="00E30202"/>
    <w:rsid w:val="00E85A93"/>
    <w:rsid w:val="00E975B1"/>
    <w:rsid w:val="00EA7602"/>
    <w:rsid w:val="00EB29A9"/>
    <w:rsid w:val="00EC4E8E"/>
    <w:rsid w:val="00EE5A98"/>
    <w:rsid w:val="00EE74B8"/>
    <w:rsid w:val="00EE75D3"/>
    <w:rsid w:val="00F25BBF"/>
    <w:rsid w:val="00F50529"/>
    <w:rsid w:val="00F52738"/>
    <w:rsid w:val="00F6095B"/>
    <w:rsid w:val="00FA73A5"/>
    <w:rsid w:val="00FC1A50"/>
    <w:rsid w:val="00FE7663"/>
    <w:rsid w:val="00FE7C15"/>
    <w:rsid w:val="00FF1616"/>
    <w:rsid w:val="01136D92"/>
    <w:rsid w:val="01C94FD6"/>
    <w:rsid w:val="08206888"/>
    <w:rsid w:val="09EF1117"/>
    <w:rsid w:val="14C447F8"/>
    <w:rsid w:val="1A18449E"/>
    <w:rsid w:val="1DA37A77"/>
    <w:rsid w:val="1DD07F1E"/>
    <w:rsid w:val="20C73DEA"/>
    <w:rsid w:val="29F4774C"/>
    <w:rsid w:val="2BAF33D6"/>
    <w:rsid w:val="2F9B8A62"/>
    <w:rsid w:val="2FFF3DB8"/>
    <w:rsid w:val="38A26A7B"/>
    <w:rsid w:val="39F5FBD0"/>
    <w:rsid w:val="3B4B2C9A"/>
    <w:rsid w:val="3CEF401A"/>
    <w:rsid w:val="3D9459C2"/>
    <w:rsid w:val="3DFFA026"/>
    <w:rsid w:val="3FBA9399"/>
    <w:rsid w:val="3FC003EF"/>
    <w:rsid w:val="3FD6D1CD"/>
    <w:rsid w:val="47759846"/>
    <w:rsid w:val="4B27582B"/>
    <w:rsid w:val="4BF58A3A"/>
    <w:rsid w:val="4CFBC1BC"/>
    <w:rsid w:val="4D597539"/>
    <w:rsid w:val="4DFD1717"/>
    <w:rsid w:val="4E1D5AE5"/>
    <w:rsid w:val="4F3D951B"/>
    <w:rsid w:val="4FFFD34C"/>
    <w:rsid w:val="52FFB696"/>
    <w:rsid w:val="55D04FA7"/>
    <w:rsid w:val="57AFBC54"/>
    <w:rsid w:val="57BD0169"/>
    <w:rsid w:val="57BFB717"/>
    <w:rsid w:val="58F59F62"/>
    <w:rsid w:val="5BFE17D6"/>
    <w:rsid w:val="5DD230AF"/>
    <w:rsid w:val="5DEB00FD"/>
    <w:rsid w:val="5DF3A873"/>
    <w:rsid w:val="5E74D4B2"/>
    <w:rsid w:val="5FAA384F"/>
    <w:rsid w:val="5FFFEFC7"/>
    <w:rsid w:val="606602AA"/>
    <w:rsid w:val="61D02786"/>
    <w:rsid w:val="64897A59"/>
    <w:rsid w:val="649F132E"/>
    <w:rsid w:val="695C3AB5"/>
    <w:rsid w:val="6AFF27AA"/>
    <w:rsid w:val="6BD19AE2"/>
    <w:rsid w:val="6DFF2C14"/>
    <w:rsid w:val="6E77D2F3"/>
    <w:rsid w:val="6EB67E2D"/>
    <w:rsid w:val="6F77D722"/>
    <w:rsid w:val="6F7BD5B5"/>
    <w:rsid w:val="6FFC23AD"/>
    <w:rsid w:val="6FFF14EF"/>
    <w:rsid w:val="6FFFBCBA"/>
    <w:rsid w:val="70BD42F3"/>
    <w:rsid w:val="714C0D3B"/>
    <w:rsid w:val="73EF9BEF"/>
    <w:rsid w:val="755F1D57"/>
    <w:rsid w:val="75DF4EB8"/>
    <w:rsid w:val="761FCED6"/>
    <w:rsid w:val="76F7619F"/>
    <w:rsid w:val="774D6720"/>
    <w:rsid w:val="776A2A0F"/>
    <w:rsid w:val="776B8FA3"/>
    <w:rsid w:val="777F1506"/>
    <w:rsid w:val="77FA0453"/>
    <w:rsid w:val="7949A11F"/>
    <w:rsid w:val="7AEDF648"/>
    <w:rsid w:val="7B3F7531"/>
    <w:rsid w:val="7B7017F0"/>
    <w:rsid w:val="7B7F2247"/>
    <w:rsid w:val="7BF97256"/>
    <w:rsid w:val="7DD68602"/>
    <w:rsid w:val="7DE55C01"/>
    <w:rsid w:val="7E3F3EF8"/>
    <w:rsid w:val="7E6671D0"/>
    <w:rsid w:val="7F3C6183"/>
    <w:rsid w:val="7FB55B39"/>
    <w:rsid w:val="7FE90E18"/>
    <w:rsid w:val="7FFF964E"/>
    <w:rsid w:val="8FBF8F95"/>
    <w:rsid w:val="9D35C7BE"/>
    <w:rsid w:val="9DD117B9"/>
    <w:rsid w:val="9DF79DB8"/>
    <w:rsid w:val="A7ADE6EC"/>
    <w:rsid w:val="AB7FD9F2"/>
    <w:rsid w:val="AD9585DA"/>
    <w:rsid w:val="B6DDBAB4"/>
    <w:rsid w:val="B7B79BFF"/>
    <w:rsid w:val="B7F91183"/>
    <w:rsid w:val="BCFF5D04"/>
    <w:rsid w:val="BD9F4952"/>
    <w:rsid w:val="BE9E50C5"/>
    <w:rsid w:val="BF8E14F8"/>
    <w:rsid w:val="BFF6F627"/>
    <w:rsid w:val="BFFC068F"/>
    <w:rsid w:val="D46E01C3"/>
    <w:rsid w:val="D7FFE2A1"/>
    <w:rsid w:val="D8FDD988"/>
    <w:rsid w:val="DE0D077C"/>
    <w:rsid w:val="DF7F88BB"/>
    <w:rsid w:val="DFA6398B"/>
    <w:rsid w:val="DFFFFFC8"/>
    <w:rsid w:val="E3EFD5DE"/>
    <w:rsid w:val="E7724FA1"/>
    <w:rsid w:val="EE06B0D6"/>
    <w:rsid w:val="EF7F00AB"/>
    <w:rsid w:val="EFFFD590"/>
    <w:rsid w:val="F5DCC660"/>
    <w:rsid w:val="F61FEAA8"/>
    <w:rsid w:val="F666CD81"/>
    <w:rsid w:val="F66B9260"/>
    <w:rsid w:val="F6ED122A"/>
    <w:rsid w:val="F7FC22A6"/>
    <w:rsid w:val="F96F5ACE"/>
    <w:rsid w:val="FADFEB08"/>
    <w:rsid w:val="FB7FB2CC"/>
    <w:rsid w:val="FBB65945"/>
    <w:rsid w:val="FBDB6F7A"/>
    <w:rsid w:val="FBFF8328"/>
    <w:rsid w:val="FCBB4BBD"/>
    <w:rsid w:val="FD6A2D94"/>
    <w:rsid w:val="FDEE1B95"/>
    <w:rsid w:val="FDFBF842"/>
    <w:rsid w:val="FDFFD284"/>
    <w:rsid w:val="FE7F326E"/>
    <w:rsid w:val="FEB71C77"/>
    <w:rsid w:val="FEE73EBC"/>
    <w:rsid w:val="FEF7E2F3"/>
    <w:rsid w:val="FF52B48A"/>
    <w:rsid w:val="FFB9ADCF"/>
    <w:rsid w:val="FFBFDAFE"/>
    <w:rsid w:val="FFCE02B5"/>
    <w:rsid w:val="FFD57611"/>
    <w:rsid w:val="FFDF2427"/>
    <w:rsid w:val="FFF5F590"/>
    <w:rsid w:val="FFF6EF7D"/>
    <w:rsid w:val="FFFAEBC0"/>
    <w:rsid w:val="FFFF03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ascii="Times New Roman" w:hAnsi="Times New Roman" w:eastAsia="仿宋" w:cs="Times New Roman"/>
      <w:kern w:val="2"/>
      <w:sz w:val="30"/>
      <w:szCs w:val="24"/>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caption"/>
    <w:basedOn w:val="1"/>
    <w:next w:val="1"/>
    <w:qFormat/>
    <w:uiPriority w:val="0"/>
    <w:pPr>
      <w:spacing w:before="152" w:after="160"/>
    </w:pPr>
    <w:rPr>
      <w:rFonts w:ascii="Arial" w:hAnsi="Arial" w:eastAsia="黑体" w:cs="Arial"/>
      <w:sz w:val="20"/>
      <w:szCs w:val="20"/>
    </w:rPr>
  </w:style>
  <w:style w:type="paragraph" w:styleId="4">
    <w:name w:val="annotation text"/>
    <w:basedOn w:val="1"/>
    <w:link w:val="18"/>
    <w:semiHidden/>
    <w:unhideWhenUsed/>
    <w:qFormat/>
    <w:uiPriority w:val="99"/>
    <w:pPr>
      <w:jc w:val="left"/>
    </w:pPr>
  </w:style>
  <w:style w:type="paragraph" w:styleId="5">
    <w:name w:val="Body Text"/>
    <w:basedOn w:val="1"/>
    <w:link w:val="17"/>
    <w:qFormat/>
    <w:uiPriority w:val="1"/>
    <w:pPr>
      <w:autoSpaceDE w:val="0"/>
      <w:autoSpaceDN w:val="0"/>
      <w:jc w:val="left"/>
    </w:pPr>
    <w:rPr>
      <w:rFonts w:ascii="宋体" w:hAnsi="宋体" w:eastAsia="宋体" w:cs="宋体"/>
      <w:kern w:val="0"/>
      <w:sz w:val="21"/>
      <w:szCs w:val="21"/>
      <w:lang w:eastAsia="en-US" w:bidi="en-US"/>
    </w:rPr>
  </w:style>
  <w:style w:type="paragraph" w:styleId="6">
    <w:name w:val="Balloon Text"/>
    <w:basedOn w:val="1"/>
    <w:link w:val="21"/>
    <w:semiHidden/>
    <w:unhideWhenUsed/>
    <w:qFormat/>
    <w:uiPriority w:val="99"/>
    <w:rPr>
      <w:sz w:val="18"/>
      <w:szCs w:val="18"/>
    </w:rPr>
  </w:style>
  <w:style w:type="paragraph" w:styleId="7">
    <w:name w:val="footer"/>
    <w:basedOn w:val="1"/>
    <w:link w:val="15"/>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0">
    <w:name w:val="annotation subject"/>
    <w:basedOn w:val="4"/>
    <w:next w:val="4"/>
    <w:link w:val="19"/>
    <w:semiHidden/>
    <w:unhideWhenUsed/>
    <w:qFormat/>
    <w:uiPriority w:val="99"/>
    <w:rPr>
      <w:b/>
      <w:bCs/>
    </w:rPr>
  </w:style>
  <w:style w:type="character" w:styleId="13">
    <w:name w:val="annotation reference"/>
    <w:basedOn w:val="12"/>
    <w:semiHidden/>
    <w:unhideWhenUsed/>
    <w:qFormat/>
    <w:uiPriority w:val="99"/>
    <w:rPr>
      <w:sz w:val="21"/>
      <w:szCs w:val="21"/>
    </w:rPr>
  </w:style>
  <w:style w:type="character" w:customStyle="1" w:styleId="14">
    <w:name w:val="页眉 字符"/>
    <w:basedOn w:val="12"/>
    <w:link w:val="8"/>
    <w:qFormat/>
    <w:uiPriority w:val="99"/>
    <w:rPr>
      <w:sz w:val="18"/>
      <w:szCs w:val="18"/>
    </w:rPr>
  </w:style>
  <w:style w:type="character" w:customStyle="1" w:styleId="15">
    <w:name w:val="页脚 字符"/>
    <w:basedOn w:val="12"/>
    <w:link w:val="7"/>
    <w:qFormat/>
    <w:uiPriority w:val="99"/>
    <w:rPr>
      <w:sz w:val="18"/>
      <w:szCs w:val="18"/>
    </w:rPr>
  </w:style>
  <w:style w:type="paragraph" w:styleId="16">
    <w:name w:val="List Paragraph"/>
    <w:basedOn w:val="1"/>
    <w:qFormat/>
    <w:uiPriority w:val="34"/>
    <w:pPr>
      <w:ind w:firstLine="420"/>
    </w:pPr>
  </w:style>
  <w:style w:type="character" w:customStyle="1" w:styleId="17">
    <w:name w:val="正文文本 字符"/>
    <w:basedOn w:val="12"/>
    <w:link w:val="5"/>
    <w:qFormat/>
    <w:uiPriority w:val="1"/>
    <w:rPr>
      <w:rFonts w:ascii="宋体" w:hAnsi="宋体" w:eastAsia="宋体" w:cs="宋体"/>
      <w:kern w:val="0"/>
      <w:szCs w:val="21"/>
      <w:lang w:eastAsia="en-US" w:bidi="en-US"/>
    </w:rPr>
  </w:style>
  <w:style w:type="character" w:customStyle="1" w:styleId="18">
    <w:name w:val="批注文字 字符"/>
    <w:basedOn w:val="12"/>
    <w:link w:val="4"/>
    <w:semiHidden/>
    <w:qFormat/>
    <w:uiPriority w:val="99"/>
    <w:rPr>
      <w:rFonts w:ascii="Times New Roman" w:hAnsi="Times New Roman" w:eastAsia="方正仿宋_GBK" w:cs="Times New Roman"/>
      <w:sz w:val="32"/>
      <w:szCs w:val="24"/>
    </w:rPr>
  </w:style>
  <w:style w:type="character" w:customStyle="1" w:styleId="19">
    <w:name w:val="批注主题 字符"/>
    <w:basedOn w:val="18"/>
    <w:link w:val="10"/>
    <w:autoRedefine/>
    <w:semiHidden/>
    <w:qFormat/>
    <w:uiPriority w:val="99"/>
    <w:rPr>
      <w:rFonts w:ascii="Times New Roman" w:hAnsi="Times New Roman" w:eastAsia="方正仿宋_GBK" w:cs="Times New Roman"/>
      <w:b/>
      <w:bCs/>
      <w:sz w:val="32"/>
      <w:szCs w:val="24"/>
    </w:rPr>
  </w:style>
  <w:style w:type="paragraph" w:customStyle="1" w:styleId="20">
    <w:name w:val="修订1"/>
    <w:autoRedefine/>
    <w:hidden/>
    <w:semiHidden/>
    <w:qFormat/>
    <w:uiPriority w:val="99"/>
    <w:rPr>
      <w:rFonts w:ascii="Times New Roman" w:hAnsi="Times New Roman" w:eastAsia="方正仿宋_GBK" w:cs="Times New Roman"/>
      <w:kern w:val="2"/>
      <w:sz w:val="32"/>
      <w:szCs w:val="24"/>
      <w:lang w:val="en-US" w:eastAsia="zh-CN" w:bidi="ar-SA"/>
    </w:rPr>
  </w:style>
  <w:style w:type="character" w:customStyle="1" w:styleId="21">
    <w:name w:val="批注框文本 字符"/>
    <w:basedOn w:val="12"/>
    <w:link w:val="6"/>
    <w:semiHidden/>
    <w:qFormat/>
    <w:uiPriority w:val="99"/>
    <w:rPr>
      <w:rFonts w:ascii="Times New Roman" w:hAnsi="Times New Roman" w:eastAsia="方正仿宋_GBK" w:cs="Times New Roman"/>
      <w:sz w:val="18"/>
      <w:szCs w:val="18"/>
    </w:rPr>
  </w:style>
  <w:style w:type="paragraph" w:customStyle="1" w:styleId="22">
    <w:name w:val="封面标准名称"/>
    <w:qFormat/>
    <w:uiPriority w:val="99"/>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3">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4725</Words>
  <Characters>4936</Characters>
  <Lines>33</Lines>
  <Paragraphs>9</Paragraphs>
  <TotalTime>61</TotalTime>
  <ScaleCrop>false</ScaleCrop>
  <LinksUpToDate>false</LinksUpToDate>
  <CharactersWithSpaces>4951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2023-04-12T10:37:00Z</dcterms:created>
  <dc:creator>LI</dc:creator>
  <cp:lastModifiedBy>季一锦</cp:lastModifiedBy>
  <cp:lastPrinted>2023-07-14T17:50:00Z</cp:lastPrinted>
  <dcterms:modified xsi:type="dcterms:W3CDTF">2024-11-21T01:35:37Z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455962287_cloud</vt:lpwstr>
  </property>
  <property fmtid="{D5CDD505-2E9C-101B-9397-08002B2CF9AE}" pid="3" name="KSOProductBuildVer">
    <vt:lpwstr>2052-12.1.0.17147</vt:lpwstr>
  </property>
  <property fmtid="{D5CDD505-2E9C-101B-9397-08002B2CF9AE}" pid="4" name="ICV">
    <vt:lpwstr>85B7384288C440C2A1DC1DB8AAAC3F4F</vt:lpwstr>
  </property>
</Properties>
</file>