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F4EF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FD30A67">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54C7C1E">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13.280</w:t>
            </w:r>
            <w:r>
              <w:rPr>
                <w:rFonts w:ascii="黑体" w:hAnsi="黑体" w:eastAsia="黑体"/>
                <w:sz w:val="21"/>
                <w:szCs w:val="21"/>
              </w:rPr>
              <w:fldChar w:fldCharType="end"/>
            </w:r>
            <w:bookmarkEnd w:id="0"/>
          </w:p>
        </w:tc>
      </w:tr>
      <w:tr w14:paraId="7AAF8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2EF72E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F3F04D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C57</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459795B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1AE74A47">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1476198C">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55DCD2C">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E845D22">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59E734A">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75B1AA1">
      <w:pPr>
        <w:pStyle w:val="50"/>
        <w:framePr w:w="9639" w:h="6976" w:hRule="exact" w:hSpace="0" w:vSpace="0" w:wrap="around" w:hAnchor="page" w:y="6408"/>
        <w:jc w:val="center"/>
        <w:rPr>
          <w:rFonts w:ascii="黑体" w:hAnsi="黑体" w:eastAsia="黑体"/>
          <w:b w:val="0"/>
          <w:bCs w:val="0"/>
          <w:w w:val="100"/>
        </w:rPr>
      </w:pPr>
    </w:p>
    <w:p w14:paraId="18A169AD">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核与辐射突发事件卫生应急处置技术规范                     第6部分：辐射防护站设置</w:t>
      </w:r>
      <w:r>
        <w:fldChar w:fldCharType="end"/>
      </w:r>
      <w:bookmarkEnd w:id="9"/>
    </w:p>
    <w:p w14:paraId="3408CB7A">
      <w:pPr>
        <w:framePr w:w="9639" w:h="6974" w:hRule="exact" w:wrap="around" w:vAnchor="page" w:hAnchor="page" w:x="1419" w:y="6408" w:anchorLock="1"/>
        <w:ind w:left="-1418"/>
      </w:pPr>
    </w:p>
    <w:p w14:paraId="4F07DC17">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specifications of health response to nuclear or radiological emergency—Part6：Setting </w:t>
      </w:r>
      <w:r>
        <w:rPr>
          <w:rFonts w:hint="eastAsia" w:ascii="黑体" w:hAnsi="黑体" w:eastAsia="黑体"/>
          <w:szCs w:val="28"/>
        </w:rPr>
        <w:t>of</w:t>
      </w:r>
      <w:r>
        <w:rPr>
          <w:rFonts w:ascii="黑体" w:hAnsi="黑体" w:eastAsia="黑体"/>
          <w:szCs w:val="28"/>
        </w:rPr>
        <w:t xml:space="preserve"> radiation protection spot</w:t>
      </w:r>
      <w:r>
        <w:rPr>
          <w:rFonts w:ascii="黑体" w:hAnsi="黑体" w:eastAsia="黑体"/>
          <w:szCs w:val="28"/>
        </w:rPr>
        <w:fldChar w:fldCharType="end"/>
      </w:r>
      <w:bookmarkEnd w:id="10"/>
    </w:p>
    <w:p w14:paraId="2FA0384B">
      <w:pPr>
        <w:framePr w:w="9639" w:h="6974" w:hRule="exact" w:wrap="around" w:vAnchor="page" w:hAnchor="page" w:x="1419" w:y="6408" w:anchorLock="1"/>
        <w:spacing w:line="760" w:lineRule="exact"/>
        <w:ind w:left="-1418"/>
      </w:pPr>
    </w:p>
    <w:p w14:paraId="508F5945">
      <w:pPr>
        <w:pStyle w:val="125"/>
        <w:framePr w:w="9639" w:h="6974" w:hRule="exact" w:wrap="around" w:vAnchor="page" w:hAnchor="page" w:x="1419" w:y="6408" w:anchorLock="1"/>
        <w:textAlignment w:val="bottom"/>
        <w:rPr>
          <w:rFonts w:eastAsia="黑体"/>
          <w:szCs w:val="28"/>
        </w:rPr>
      </w:pPr>
    </w:p>
    <w:p w14:paraId="532D62AD">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AD687CE">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D4D69B9">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2E89A2FF">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5A05971">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C7819C4">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79D95169">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DFF5C27">
      <w:pPr>
        <w:pStyle w:val="91"/>
        <w:spacing w:after="468"/>
        <w:rPr>
          <w:rFonts w:hint="eastAsia"/>
        </w:rPr>
      </w:pPr>
      <w:bookmarkStart w:id="21" w:name="BookMark1"/>
      <w:bookmarkStart w:id="22" w:name="_Toc175856583"/>
      <w:bookmarkStart w:id="23" w:name="_Toc175856547"/>
      <w:r>
        <w:rPr>
          <w:rFonts w:hint="eastAsia"/>
          <w:spacing w:val="320"/>
        </w:rPr>
        <w:t>目</w:t>
      </w:r>
      <w:r>
        <w:rPr>
          <w:rFonts w:hint="eastAsia"/>
        </w:rPr>
        <w:t>次</w:t>
      </w:r>
    </w:p>
    <w:p w14:paraId="46D4B29B">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"_Toc177549317" </w:instrText>
      </w:r>
      <w:r>
        <w:fldChar w:fldCharType="separate"/>
      </w:r>
      <w:r>
        <w:rPr>
          <w:rStyle w:val="32"/>
        </w:rPr>
        <w:t>前言</w:t>
      </w:r>
      <w:r>
        <w:tab/>
      </w:r>
      <w:r>
        <w:fldChar w:fldCharType="begin"/>
      </w:r>
      <w:r>
        <w:instrText xml:space="preserve"> PAGEREF _Toc177549317 \h </w:instrText>
      </w:r>
      <w:r>
        <w:fldChar w:fldCharType="separate"/>
      </w:r>
      <w:r>
        <w:t>II</w:t>
      </w:r>
      <w:r>
        <w:fldChar w:fldCharType="end"/>
      </w:r>
      <w:r>
        <w:fldChar w:fldCharType="end"/>
      </w:r>
    </w:p>
    <w:p w14:paraId="4FB517C9">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"_Toc177549318" </w:instrText>
      </w:r>
      <w:r>
        <w:fldChar w:fldCharType="separate"/>
      </w:r>
      <w:r>
        <w:rPr>
          <w:rStyle w:val="32"/>
        </w:rPr>
        <w:t>引言</w:t>
      </w:r>
      <w:r>
        <w:tab/>
      </w:r>
      <w:r>
        <w:fldChar w:fldCharType="begin"/>
      </w:r>
      <w:r>
        <w:instrText xml:space="preserve"> PAGEREF _Toc177549318 \h </w:instrText>
      </w:r>
      <w:r>
        <w:fldChar w:fldCharType="separate"/>
      </w:r>
      <w:r>
        <w:t>III</w:t>
      </w:r>
      <w:r>
        <w:fldChar w:fldCharType="end"/>
      </w:r>
      <w:r>
        <w:fldChar w:fldCharType="end"/>
      </w:r>
    </w:p>
    <w:p w14:paraId="206A8C17">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"_Toc177549319" </w:instrText>
      </w:r>
      <w:r>
        <w:fldChar w:fldCharType="separate"/>
      </w:r>
      <w:r>
        <w:rPr>
          <w:rStyle w:val="32"/>
        </w:rPr>
        <w:t>1  范围</w:t>
      </w:r>
      <w:r>
        <w:tab/>
      </w:r>
      <w:r>
        <w:fldChar w:fldCharType="begin"/>
      </w:r>
      <w:r>
        <w:instrText xml:space="preserve"> PAGEREF _Toc177549319 \h </w:instrText>
      </w:r>
      <w:r>
        <w:fldChar w:fldCharType="separate"/>
      </w:r>
      <w:r>
        <w:t>1</w:t>
      </w:r>
      <w:r>
        <w:fldChar w:fldCharType="end"/>
      </w:r>
      <w:r>
        <w:fldChar w:fldCharType="end"/>
      </w:r>
    </w:p>
    <w:p w14:paraId="568D4AC3">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"_Toc177549320" </w:instrText>
      </w:r>
      <w:r>
        <w:fldChar w:fldCharType="separate"/>
      </w:r>
      <w:r>
        <w:rPr>
          <w:rStyle w:val="32"/>
        </w:rPr>
        <w:t>2  规范性引用文件</w:t>
      </w:r>
      <w:r>
        <w:tab/>
      </w:r>
      <w:r>
        <w:fldChar w:fldCharType="begin"/>
      </w:r>
      <w:r>
        <w:instrText xml:space="preserve"> PAGEREF _Toc177549320 \h </w:instrText>
      </w:r>
      <w:r>
        <w:fldChar w:fldCharType="separate"/>
      </w:r>
      <w:r>
        <w:t>1</w:t>
      </w:r>
      <w:r>
        <w:fldChar w:fldCharType="end"/>
      </w:r>
      <w:r>
        <w:fldChar w:fldCharType="end"/>
      </w:r>
    </w:p>
    <w:p w14:paraId="6D925874">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"_Toc177549321" </w:instrText>
      </w:r>
      <w:r>
        <w:fldChar w:fldCharType="separate"/>
      </w:r>
      <w:r>
        <w:rPr>
          <w:rStyle w:val="32"/>
        </w:rPr>
        <w:t>3  术语和定义</w:t>
      </w:r>
      <w:r>
        <w:tab/>
      </w:r>
      <w:r>
        <w:fldChar w:fldCharType="begin"/>
      </w:r>
      <w:r>
        <w:instrText xml:space="preserve"> PAGEREF _Toc177549321 \h </w:instrText>
      </w:r>
      <w:r>
        <w:fldChar w:fldCharType="separate"/>
      </w:r>
      <w:r>
        <w:t>1</w:t>
      </w:r>
      <w:r>
        <w:fldChar w:fldCharType="end"/>
      </w:r>
      <w:r>
        <w:fldChar w:fldCharType="end"/>
      </w:r>
    </w:p>
    <w:p w14:paraId="6512277E">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"_Toc177549322" </w:instrText>
      </w:r>
      <w:r>
        <w:fldChar w:fldCharType="separate"/>
      </w:r>
      <w:r>
        <w:rPr>
          <w:rStyle w:val="32"/>
        </w:rPr>
        <w:t>4  选址</w:t>
      </w:r>
      <w:r>
        <w:tab/>
      </w:r>
      <w:r>
        <w:fldChar w:fldCharType="begin"/>
      </w:r>
      <w:r>
        <w:instrText xml:space="preserve"> PAGEREF _Toc177549322 \h </w:instrText>
      </w:r>
      <w:r>
        <w:fldChar w:fldCharType="separate"/>
      </w:r>
      <w:r>
        <w:t>1</w:t>
      </w:r>
      <w:r>
        <w:fldChar w:fldCharType="end"/>
      </w:r>
      <w:r>
        <w:fldChar w:fldCharType="end"/>
      </w:r>
    </w:p>
    <w:p w14:paraId="4529ADD6">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"_Toc177549323" </w:instrText>
      </w:r>
      <w:r>
        <w:fldChar w:fldCharType="separate"/>
      </w:r>
      <w:r>
        <w:rPr>
          <w:rStyle w:val="32"/>
        </w:rPr>
        <w:t>5  人员</w:t>
      </w:r>
      <w:r>
        <w:tab/>
      </w:r>
      <w:r>
        <w:fldChar w:fldCharType="begin"/>
      </w:r>
      <w:r>
        <w:instrText xml:space="preserve"> PAGEREF _Toc177549323 \h </w:instrText>
      </w:r>
      <w:r>
        <w:fldChar w:fldCharType="separate"/>
      </w:r>
      <w:r>
        <w:t>1</w:t>
      </w:r>
      <w:r>
        <w:fldChar w:fldCharType="end"/>
      </w:r>
      <w:r>
        <w:fldChar w:fldCharType="end"/>
      </w:r>
    </w:p>
    <w:p w14:paraId="28C21EB2">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"_Toc177549324" </w:instrText>
      </w:r>
      <w:r>
        <w:fldChar w:fldCharType="separate"/>
      </w:r>
      <w:r>
        <w:rPr>
          <w:rStyle w:val="32"/>
        </w:rPr>
        <w:t>6  仪器设备及应急物资</w:t>
      </w:r>
      <w:r>
        <w:tab/>
      </w:r>
      <w:r>
        <w:fldChar w:fldCharType="begin"/>
      </w:r>
      <w:r>
        <w:instrText xml:space="preserve"> PAGEREF _Toc177549324 \h </w:instrText>
      </w:r>
      <w:r>
        <w:fldChar w:fldCharType="separate"/>
      </w:r>
      <w:r>
        <w:t>1</w:t>
      </w:r>
      <w:r>
        <w:fldChar w:fldCharType="end"/>
      </w:r>
      <w:r>
        <w:fldChar w:fldCharType="end"/>
      </w:r>
    </w:p>
    <w:p w14:paraId="26C7A344">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"_Toc177549325" </w:instrText>
      </w:r>
      <w:r>
        <w:fldChar w:fldCharType="separate"/>
      </w:r>
      <w:r>
        <w:rPr>
          <w:rStyle w:val="32"/>
        </w:rPr>
        <w:t>7  应急响应</w:t>
      </w:r>
      <w:r>
        <w:tab/>
      </w:r>
      <w:r>
        <w:fldChar w:fldCharType="begin"/>
      </w:r>
      <w:r>
        <w:instrText xml:space="preserve"> PAGEREF _Toc177549325 \h </w:instrText>
      </w:r>
      <w:r>
        <w:fldChar w:fldCharType="separate"/>
      </w:r>
      <w:r>
        <w:t>2</w:t>
      </w:r>
      <w:r>
        <w:fldChar w:fldCharType="end"/>
      </w:r>
      <w:r>
        <w:fldChar w:fldCharType="end"/>
      </w:r>
    </w:p>
    <w:p w14:paraId="0A37C5BD">
      <w:pPr>
        <w:pStyle w:val="24"/>
        <w:rPr>
          <w:rFonts w:asciiTheme="minorHAnsi" w:hAnsiTheme="minorHAnsi" w:eastAsiaTheme="minorEastAsia" w:cstheme="minorBidi"/>
          <w:szCs w:val="22"/>
        </w:rPr>
      </w:pPr>
      <w:r>
        <w:fldChar w:fldCharType="begin"/>
      </w:r>
      <w:r>
        <w:instrText xml:space="preserve"> HYPERLINK \l "_Toc177549326" </w:instrText>
      </w:r>
      <w:r>
        <w:fldChar w:fldCharType="separate"/>
      </w:r>
      <w:r>
        <w:rPr>
          <w:rStyle w:val="32"/>
          <w14:scene3d w14:prst="orthographicFront">
            <w14:lightRig w14:rig="threePt" w14:dir="t">
              <w14:rot w14:lat="0" w14:lon="0" w14:rev="0"/>
            </w14:lightRig>
          </w14:scene3d>
        </w:rPr>
        <w:t xml:space="preserve">7.1 </w:t>
      </w:r>
      <w:r>
        <w:rPr>
          <w:rStyle w:val="32"/>
        </w:rPr>
        <w:t xml:space="preserve"> 分级响应</w:t>
      </w:r>
      <w:r>
        <w:tab/>
      </w:r>
      <w:r>
        <w:fldChar w:fldCharType="begin"/>
      </w:r>
      <w:r>
        <w:instrText xml:space="preserve"> PAGEREF _Toc177549326 \h </w:instrText>
      </w:r>
      <w:r>
        <w:fldChar w:fldCharType="separate"/>
      </w:r>
      <w:r>
        <w:t>2</w:t>
      </w:r>
      <w:r>
        <w:fldChar w:fldCharType="end"/>
      </w:r>
      <w:r>
        <w:fldChar w:fldCharType="end"/>
      </w:r>
    </w:p>
    <w:p w14:paraId="430EB546">
      <w:pPr>
        <w:pStyle w:val="24"/>
        <w:rPr>
          <w:rFonts w:asciiTheme="minorHAnsi" w:hAnsiTheme="minorHAnsi" w:eastAsiaTheme="minorEastAsia" w:cstheme="minorBidi"/>
          <w:szCs w:val="22"/>
        </w:rPr>
      </w:pPr>
      <w:r>
        <w:fldChar w:fldCharType="begin"/>
      </w:r>
      <w:r>
        <w:instrText xml:space="preserve"> HYPERLINK \l "_Toc177549327" </w:instrText>
      </w:r>
      <w:r>
        <w:fldChar w:fldCharType="separate"/>
      </w:r>
      <w:r>
        <w:rPr>
          <w:rStyle w:val="32"/>
          <w14:scene3d w14:prst="orthographicFront">
            <w14:lightRig w14:rig="threePt" w14:dir="t">
              <w14:rot w14:lat="0" w14:lon="0" w14:rev="0"/>
            </w14:lightRig>
          </w14:scene3d>
        </w:rPr>
        <w:t xml:space="preserve">7.2 </w:t>
      </w:r>
      <w:r>
        <w:rPr>
          <w:rStyle w:val="32"/>
          <w:rFonts w:hAnsi="黑体"/>
        </w:rPr>
        <w:t xml:space="preserve"> Ⅳ级响应</w:t>
      </w:r>
      <w:r>
        <w:tab/>
      </w:r>
      <w:r>
        <w:fldChar w:fldCharType="begin"/>
      </w:r>
      <w:r>
        <w:instrText xml:space="preserve"> PAGEREF _Toc177549327 \h </w:instrText>
      </w:r>
      <w:r>
        <w:fldChar w:fldCharType="separate"/>
      </w:r>
      <w:r>
        <w:t>2</w:t>
      </w:r>
      <w:r>
        <w:fldChar w:fldCharType="end"/>
      </w:r>
      <w:r>
        <w:fldChar w:fldCharType="end"/>
      </w:r>
    </w:p>
    <w:p w14:paraId="2B377340">
      <w:pPr>
        <w:pStyle w:val="24"/>
        <w:rPr>
          <w:rFonts w:asciiTheme="minorHAnsi" w:hAnsiTheme="minorHAnsi" w:eastAsiaTheme="minorEastAsia" w:cstheme="minorBidi"/>
          <w:szCs w:val="22"/>
        </w:rPr>
      </w:pPr>
      <w:r>
        <w:fldChar w:fldCharType="begin"/>
      </w:r>
      <w:r>
        <w:instrText xml:space="preserve"> HYPERLINK \l "_Toc177549328" </w:instrText>
      </w:r>
      <w:r>
        <w:fldChar w:fldCharType="separate"/>
      </w:r>
      <w:r>
        <w:rPr>
          <w:rStyle w:val="32"/>
          <w14:scene3d w14:prst="orthographicFront">
            <w14:lightRig w14:rig="threePt" w14:dir="t">
              <w14:rot w14:lat="0" w14:lon="0" w14:rev="0"/>
            </w14:lightRig>
          </w14:scene3d>
        </w:rPr>
        <w:t xml:space="preserve">7.3 </w:t>
      </w:r>
      <w:r>
        <w:rPr>
          <w:rStyle w:val="32"/>
          <w:rFonts w:hAnsi="黑体"/>
        </w:rPr>
        <w:t xml:space="preserve"> Ⅲ级</w:t>
      </w:r>
      <w:r>
        <w:rPr>
          <w:rStyle w:val="32"/>
        </w:rPr>
        <w:t>响应</w:t>
      </w:r>
      <w:r>
        <w:tab/>
      </w:r>
      <w:r>
        <w:fldChar w:fldCharType="begin"/>
      </w:r>
      <w:r>
        <w:instrText xml:space="preserve"> PAGEREF _Toc177549328 \h </w:instrText>
      </w:r>
      <w:r>
        <w:fldChar w:fldCharType="separate"/>
      </w:r>
      <w:r>
        <w:t>2</w:t>
      </w:r>
      <w:r>
        <w:fldChar w:fldCharType="end"/>
      </w:r>
      <w:r>
        <w:fldChar w:fldCharType="end"/>
      </w:r>
    </w:p>
    <w:p w14:paraId="2509600E">
      <w:pPr>
        <w:pStyle w:val="24"/>
        <w:rPr>
          <w:rFonts w:asciiTheme="minorHAnsi" w:hAnsiTheme="minorHAnsi" w:eastAsiaTheme="minorEastAsia" w:cstheme="minorBidi"/>
          <w:szCs w:val="22"/>
        </w:rPr>
      </w:pPr>
      <w:r>
        <w:fldChar w:fldCharType="begin"/>
      </w:r>
      <w:r>
        <w:instrText xml:space="preserve"> HYPERLINK \l "_Toc177549329" </w:instrText>
      </w:r>
      <w:r>
        <w:fldChar w:fldCharType="separate"/>
      </w:r>
      <w:r>
        <w:rPr>
          <w:rStyle w:val="32"/>
          <w14:scene3d w14:prst="orthographicFront">
            <w14:lightRig w14:rig="threePt" w14:dir="t">
              <w14:rot w14:lat="0" w14:lon="0" w14:rev="0"/>
            </w14:lightRig>
          </w14:scene3d>
        </w:rPr>
        <w:t xml:space="preserve">7.4 </w:t>
      </w:r>
      <w:r>
        <w:rPr>
          <w:rStyle w:val="32"/>
          <w:rFonts w:hAnsi="黑体"/>
        </w:rPr>
        <w:t xml:space="preserve"> Ⅱ</w:t>
      </w:r>
      <w:r>
        <w:rPr>
          <w:rStyle w:val="32"/>
        </w:rPr>
        <w:t>级响应</w:t>
      </w:r>
      <w:r>
        <w:tab/>
      </w:r>
      <w:r>
        <w:fldChar w:fldCharType="begin"/>
      </w:r>
      <w:r>
        <w:instrText xml:space="preserve"> PAGEREF _Toc177549329 \h </w:instrText>
      </w:r>
      <w:r>
        <w:fldChar w:fldCharType="separate"/>
      </w:r>
      <w:r>
        <w:t>2</w:t>
      </w:r>
      <w:r>
        <w:fldChar w:fldCharType="end"/>
      </w:r>
      <w:r>
        <w:fldChar w:fldCharType="end"/>
      </w:r>
    </w:p>
    <w:p w14:paraId="045373E0">
      <w:pPr>
        <w:pStyle w:val="24"/>
        <w:rPr>
          <w:rFonts w:asciiTheme="minorHAnsi" w:hAnsiTheme="minorHAnsi" w:eastAsiaTheme="minorEastAsia" w:cstheme="minorBidi"/>
          <w:szCs w:val="22"/>
        </w:rPr>
      </w:pPr>
      <w:r>
        <w:fldChar w:fldCharType="begin"/>
      </w:r>
      <w:r>
        <w:instrText xml:space="preserve"> HYPERLINK \l "_Toc177549330" </w:instrText>
      </w:r>
      <w:r>
        <w:fldChar w:fldCharType="separate"/>
      </w:r>
      <w:r>
        <w:rPr>
          <w:rStyle w:val="32"/>
          <w14:scene3d w14:prst="orthographicFront">
            <w14:lightRig w14:rig="threePt" w14:dir="t">
              <w14:rot w14:lat="0" w14:lon="0" w14:rev="0"/>
            </w14:lightRig>
          </w14:scene3d>
        </w:rPr>
        <w:t xml:space="preserve">7.5 </w:t>
      </w:r>
      <w:r>
        <w:rPr>
          <w:rStyle w:val="32"/>
          <w:rFonts w:hAnsi="黑体"/>
        </w:rPr>
        <w:t xml:space="preserve"> Ⅰ</w:t>
      </w:r>
      <w:r>
        <w:rPr>
          <w:rStyle w:val="32"/>
        </w:rPr>
        <w:t>级响应</w:t>
      </w:r>
      <w:r>
        <w:tab/>
      </w:r>
      <w:r>
        <w:fldChar w:fldCharType="begin"/>
      </w:r>
      <w:r>
        <w:instrText xml:space="preserve"> PAGEREF _Toc177549330 \h </w:instrText>
      </w:r>
      <w:r>
        <w:fldChar w:fldCharType="separate"/>
      </w:r>
      <w:r>
        <w:t>2</w:t>
      </w:r>
      <w:r>
        <w:fldChar w:fldCharType="end"/>
      </w:r>
      <w:r>
        <w:fldChar w:fldCharType="end"/>
      </w:r>
    </w:p>
    <w:p w14:paraId="7A7B13FF">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"_Toc177549331" </w:instrText>
      </w:r>
      <w:r>
        <w:fldChar w:fldCharType="separate"/>
      </w:r>
      <w:r>
        <w:rPr>
          <w:rStyle w:val="32"/>
        </w:rPr>
        <w:t>附录A（资料性）  个人剂量计发放、回收及测量记录表</w:t>
      </w:r>
      <w:r>
        <w:tab/>
      </w:r>
      <w:r>
        <w:fldChar w:fldCharType="begin"/>
      </w:r>
      <w:r>
        <w:instrText xml:space="preserve"> PAGEREF _Toc177549331 \h </w:instrText>
      </w:r>
      <w:r>
        <w:fldChar w:fldCharType="separate"/>
      </w:r>
      <w:r>
        <w:t>3</w:t>
      </w:r>
      <w:r>
        <w:fldChar w:fldCharType="end"/>
      </w:r>
      <w:r>
        <w:fldChar w:fldCharType="end"/>
      </w:r>
    </w:p>
    <w:p w14:paraId="7CECB0A9">
      <w:pPr>
        <w:pStyle w:val="19"/>
        <w:tabs>
          <w:tab w:val="right" w:leader="dot" w:pos="9344"/>
        </w:tabs>
        <w:rPr>
          <w:rFonts w:asciiTheme="minorHAnsi" w:hAnsiTheme="minorHAnsi" w:eastAsiaTheme="minorEastAsia" w:cstheme="minorBidi"/>
          <w:szCs w:val="22"/>
        </w:rPr>
      </w:pPr>
      <w:r>
        <w:fldChar w:fldCharType="begin"/>
      </w:r>
      <w:r>
        <w:instrText xml:space="preserve"> HYPERLINK \l "_Toc177549332" </w:instrText>
      </w:r>
      <w:r>
        <w:fldChar w:fldCharType="separate"/>
      </w:r>
      <w:r>
        <w:rPr>
          <w:rStyle w:val="32"/>
        </w:rPr>
        <w:t>参考文献</w:t>
      </w:r>
      <w:r>
        <w:tab/>
      </w:r>
      <w:r>
        <w:fldChar w:fldCharType="begin"/>
      </w:r>
      <w:r>
        <w:instrText xml:space="preserve"> PAGEREF _Toc177549332 \h </w:instrText>
      </w:r>
      <w:r>
        <w:fldChar w:fldCharType="separate"/>
      </w:r>
      <w:r>
        <w:t>4</w:t>
      </w:r>
      <w:r>
        <w:fldChar w:fldCharType="end"/>
      </w:r>
      <w:r>
        <w:fldChar w:fldCharType="end"/>
      </w:r>
    </w:p>
    <w:p w14:paraId="54A58011">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66BD3464">
      <w:pPr>
        <w:pStyle w:val="89"/>
        <w:spacing w:before="900" w:after="468"/>
      </w:pPr>
      <w:bookmarkStart w:id="24" w:name="_Toc177549317"/>
      <w:bookmarkStart w:id="25" w:name="BookMark2"/>
      <w:r>
        <w:rPr>
          <w:spacing w:val="320"/>
        </w:rPr>
        <w:t>前</w:t>
      </w:r>
      <w:r>
        <w:t>言</w:t>
      </w:r>
      <w:bookmarkEnd w:id="22"/>
      <w:bookmarkEnd w:id="23"/>
      <w:bookmarkEnd w:id="24"/>
    </w:p>
    <w:p w14:paraId="4F8227DC">
      <w:pPr>
        <w:pStyle w:val="56"/>
        <w:ind w:firstLine="420"/>
      </w:pPr>
      <w:r>
        <w:rPr>
          <w:rFonts w:hint="eastAsia"/>
        </w:rPr>
        <w:t>本文件按照GB/T 1.1—2020《标准化工作导则  第1部分：标准化文件的结构和起草规则》的规定起草。</w:t>
      </w:r>
    </w:p>
    <w:p w14:paraId="5AF3956E">
      <w:pPr>
        <w:pStyle w:val="56"/>
        <w:ind w:firstLine="420"/>
      </w:pPr>
      <w:r>
        <w:rPr>
          <w:rFonts w:hint="eastAsia"/>
        </w:rPr>
        <w:t>本文件是D</w:t>
      </w:r>
      <w:r>
        <w:t>B32/T XXXX</w:t>
      </w:r>
      <w:r>
        <w:rPr>
          <w:rFonts w:hint="eastAsia"/>
        </w:rPr>
        <w:t>《核与辐射突发事件卫生应急处置技术规范》的第</w:t>
      </w:r>
      <w:r>
        <w:t>6</w:t>
      </w:r>
      <w:r>
        <w:rPr>
          <w:rFonts w:hint="eastAsia"/>
        </w:rPr>
        <w:t>部分。D</w:t>
      </w:r>
      <w:r>
        <w:t>B32/T XXXX</w:t>
      </w:r>
      <w:r>
        <w:rPr>
          <w:rFonts w:hint="eastAsia"/>
        </w:rPr>
        <w:t>已经发布了以下部分：</w:t>
      </w:r>
    </w:p>
    <w:p w14:paraId="505D5BAD">
      <w:pPr>
        <w:pStyle w:val="132"/>
      </w:pPr>
      <w:r>
        <w:rPr>
          <w:rFonts w:hint="eastAsia"/>
        </w:rPr>
        <w:t>第1部分：应急队伍建设；</w:t>
      </w:r>
    </w:p>
    <w:p w14:paraId="038BB776">
      <w:pPr>
        <w:pStyle w:val="132"/>
      </w:pPr>
      <w:r>
        <w:rPr>
          <w:rFonts w:hint="eastAsia"/>
        </w:rPr>
        <w:t>第2部分：应急人员防护与个人剂量监测；</w:t>
      </w:r>
    </w:p>
    <w:p w14:paraId="4658AE4C">
      <w:pPr>
        <w:pStyle w:val="132"/>
      </w:pPr>
      <w:r>
        <w:rPr>
          <w:rFonts w:hint="eastAsia"/>
        </w:rPr>
        <w:t>第3部分：现场流行病学调查；</w:t>
      </w:r>
    </w:p>
    <w:p w14:paraId="155C8B0C">
      <w:pPr>
        <w:pStyle w:val="132"/>
      </w:pPr>
      <w:r>
        <w:rPr>
          <w:rFonts w:hint="eastAsia"/>
        </w:rPr>
        <w:t>第</w:t>
      </w:r>
      <w:r>
        <w:t>4</w:t>
      </w:r>
      <w:r>
        <w:rPr>
          <w:rFonts w:hint="eastAsia"/>
        </w:rPr>
        <w:t>部分：人体体表放射性核素污染监测与去污；</w:t>
      </w:r>
    </w:p>
    <w:p w14:paraId="7D3F9817">
      <w:pPr>
        <w:pStyle w:val="132"/>
      </w:pPr>
      <w:r>
        <w:rPr>
          <w:rFonts w:hint="eastAsia"/>
        </w:rPr>
        <w:t>第</w:t>
      </w:r>
      <w:r>
        <w:t>5</w:t>
      </w:r>
      <w:r>
        <w:rPr>
          <w:rFonts w:hint="eastAsia"/>
        </w:rPr>
        <w:t>部分：食品和饮用水监测；</w:t>
      </w:r>
    </w:p>
    <w:p w14:paraId="5B12A338">
      <w:pPr>
        <w:pStyle w:val="132"/>
      </w:pPr>
      <w:r>
        <w:rPr>
          <w:rFonts w:hint="eastAsia"/>
        </w:rPr>
        <w:t>第</w:t>
      </w:r>
      <w:r>
        <w:t>6</w:t>
      </w:r>
      <w:r>
        <w:rPr>
          <w:rFonts w:hint="eastAsia"/>
        </w:rPr>
        <w:t>部分：辐射防护站设置；</w:t>
      </w:r>
    </w:p>
    <w:p w14:paraId="0D31C236">
      <w:pPr>
        <w:pStyle w:val="132"/>
      </w:pPr>
      <w:r>
        <w:rPr>
          <w:rFonts w:hint="eastAsia"/>
        </w:rPr>
        <w:t>第</w:t>
      </w:r>
      <w:r>
        <w:t>7</w:t>
      </w:r>
      <w:r>
        <w:rPr>
          <w:rFonts w:hint="eastAsia"/>
        </w:rPr>
        <w:t>部分：稳定性碘的使用指导；</w:t>
      </w:r>
    </w:p>
    <w:p w14:paraId="11D3F6C3">
      <w:pPr>
        <w:pStyle w:val="132"/>
      </w:pPr>
      <w:r>
        <w:rPr>
          <w:rFonts w:hint="eastAsia"/>
        </w:rPr>
        <w:t>第</w:t>
      </w:r>
      <w:r>
        <w:t>8</w:t>
      </w:r>
      <w:r>
        <w:rPr>
          <w:rFonts w:hint="eastAsia"/>
        </w:rPr>
        <w:t>部分：外周血采集和生物剂量估算。</w:t>
      </w:r>
    </w:p>
    <w:p w14:paraId="51B826D7">
      <w:pPr>
        <w:pStyle w:val="56"/>
        <w:ind w:firstLine="420"/>
      </w:pPr>
      <w:r>
        <w:rPr>
          <w:rFonts w:hint="eastAsia"/>
        </w:rPr>
        <w:t>请注意本文件的某些内容可能涉及专利。本文件的发布机构不承担识别专利的责任。</w:t>
      </w:r>
    </w:p>
    <w:p w14:paraId="1A2B1B6D">
      <w:pPr>
        <w:pStyle w:val="56"/>
        <w:ind w:firstLine="420"/>
      </w:pPr>
      <w:r>
        <w:rPr>
          <w:rFonts w:hint="eastAsia"/>
        </w:rPr>
        <w:t>本文件由江苏省卫生健康委员会提出并组织实施。</w:t>
      </w:r>
    </w:p>
    <w:p w14:paraId="63C205FF">
      <w:pPr>
        <w:pStyle w:val="56"/>
        <w:ind w:firstLine="420"/>
      </w:pPr>
      <w:r>
        <w:rPr>
          <w:rFonts w:hint="eastAsia"/>
        </w:rPr>
        <w:t>本文件由江苏省卫生健康标准化技术委员会归口。</w:t>
      </w:r>
    </w:p>
    <w:p w14:paraId="6A45BC6D">
      <w:pPr>
        <w:pStyle w:val="56"/>
        <w:ind w:firstLine="420"/>
      </w:pPr>
      <w:r>
        <w:rPr>
          <w:rFonts w:hint="eastAsia"/>
        </w:rPr>
        <w:t>本文件起草单位：江苏省疾病预防控制中心、连云港市疾病预防控制中心、宿迁市疾病预防控制中心、连云港辐射环境监测管理站。</w:t>
      </w:r>
    </w:p>
    <w:p w14:paraId="2CAC68EA">
      <w:pPr>
        <w:pStyle w:val="56"/>
        <w:ind w:firstLine="420"/>
      </w:pPr>
      <w:r>
        <w:rPr>
          <w:rFonts w:hint="eastAsia"/>
        </w:rPr>
        <w:t>本文件主要起草人：庄家毅、朱磷扬、姚志扬、林祥田、朱宝立、</w:t>
      </w:r>
      <w:r>
        <w:rPr>
          <w:rFonts w:hint="eastAsia"/>
          <w:lang w:val="en-US" w:eastAsia="zh-CN"/>
        </w:rPr>
        <w:t>陈维</w:t>
      </w:r>
      <w:bookmarkStart w:id="97" w:name="_GoBack"/>
      <w:bookmarkEnd w:id="97"/>
      <w:r>
        <w:rPr>
          <w:rFonts w:hint="eastAsia"/>
        </w:rPr>
        <w:t>、杨小勇、王福如、陶易、王秀清、伍卫、李强。</w:t>
      </w:r>
    </w:p>
    <w:p w14:paraId="280A20B4">
      <w:pPr>
        <w:pStyle w:val="56"/>
        <w:ind w:firstLine="420"/>
      </w:pPr>
    </w:p>
    <w:p w14:paraId="558E84C6">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14:paraId="77F16D14">
      <w:pPr>
        <w:pStyle w:val="89"/>
        <w:spacing w:after="468"/>
      </w:pPr>
      <w:bookmarkStart w:id="26" w:name="_Toc175856584"/>
      <w:bookmarkStart w:id="27" w:name="_Toc175856548"/>
      <w:bookmarkStart w:id="28" w:name="_Toc177549318"/>
      <w:bookmarkStart w:id="29" w:name="BookMark3"/>
      <w:r>
        <w:rPr>
          <w:spacing w:val="320"/>
        </w:rPr>
        <w:t>引</w:t>
      </w:r>
      <w:r>
        <w:t>言</w:t>
      </w:r>
      <w:bookmarkEnd w:id="26"/>
      <w:bookmarkEnd w:id="27"/>
      <w:bookmarkEnd w:id="28"/>
    </w:p>
    <w:p w14:paraId="01BB3B82">
      <w:pPr>
        <w:pStyle w:val="56"/>
        <w:ind w:firstLine="420"/>
      </w:pPr>
      <w:r>
        <w:rPr>
          <w:rFonts w:hint="eastAsia"/>
        </w:rPr>
        <w:t>随着我国经济的发展和科技的进步，核与辐射技术在各行各业的应用日益广泛。然而，核与辐射突发事件时有发生，对人类的生命和健康造成了危害，对社会稳定和发展构成了威胁。</w:t>
      </w:r>
    </w:p>
    <w:p w14:paraId="4BF3F937">
      <w:pPr>
        <w:pStyle w:val="56"/>
        <w:ind w:firstLine="420"/>
      </w:pPr>
      <w:r>
        <w:rPr>
          <w:rFonts w:hint="eastAsia"/>
        </w:rPr>
        <w:t>为确保核能与核技术应用的安全发展，我国制定了一系列的法律和法规，出台了大量的安全防护和应急标准等，做到安全防护和应急有法可依、规则先行，为我国核与辐射技术应急发展提供了坚实保障。核与辐射突发事件卫生应急是该类事件应急的重要组成部分，为人民群众的身体健康和生命安全提供重要保障。</w:t>
      </w:r>
    </w:p>
    <w:p w14:paraId="40DFCFFD">
      <w:pPr>
        <w:pStyle w:val="56"/>
        <w:ind w:firstLine="420"/>
      </w:pPr>
      <w:r>
        <w:rPr>
          <w:rFonts w:hint="eastAsia"/>
        </w:rPr>
        <w:t>DB 32/T XXXX《核与辐射突发事件卫生应急处置技术规范》为完善我省核与辐射卫生应急队伍建设，规范应急处置工作流程，最大限度减少人员伤亡而制定，拟由八个部分构成。</w:t>
      </w:r>
    </w:p>
    <w:p w14:paraId="3158CE98">
      <w:pPr>
        <w:pStyle w:val="132"/>
      </w:pPr>
      <w:r>
        <w:rPr>
          <w:rFonts w:hint="eastAsia"/>
        </w:rPr>
        <w:t>第1部分：应急队伍建设。</w:t>
      </w:r>
    </w:p>
    <w:p w14:paraId="3021661A">
      <w:pPr>
        <w:pStyle w:val="132"/>
      </w:pPr>
      <w:r>
        <w:rPr>
          <w:rFonts w:hint="eastAsia"/>
        </w:rPr>
        <w:t>第2部分：应急人员防护与个人剂量监测。</w:t>
      </w:r>
    </w:p>
    <w:p w14:paraId="1E04F3D5">
      <w:pPr>
        <w:pStyle w:val="132"/>
      </w:pPr>
      <w:r>
        <w:rPr>
          <w:rFonts w:hint="eastAsia"/>
        </w:rPr>
        <w:t>第3部分：现场流行病学调查。</w:t>
      </w:r>
    </w:p>
    <w:p w14:paraId="07840448">
      <w:pPr>
        <w:pStyle w:val="132"/>
      </w:pPr>
      <w:r>
        <w:rPr>
          <w:rFonts w:hint="eastAsia"/>
        </w:rPr>
        <w:t>第</w:t>
      </w:r>
      <w:r>
        <w:t>4</w:t>
      </w:r>
      <w:r>
        <w:rPr>
          <w:rFonts w:hint="eastAsia"/>
        </w:rPr>
        <w:t>部分：人体体表放射性核素污染监测与去污。</w:t>
      </w:r>
    </w:p>
    <w:p w14:paraId="7FA5C2EC">
      <w:pPr>
        <w:pStyle w:val="132"/>
      </w:pPr>
      <w:r>
        <w:rPr>
          <w:rFonts w:hint="eastAsia"/>
        </w:rPr>
        <w:t>第</w:t>
      </w:r>
      <w:r>
        <w:t>5</w:t>
      </w:r>
      <w:r>
        <w:rPr>
          <w:rFonts w:hint="eastAsia"/>
        </w:rPr>
        <w:t>部分：食品和饮用水监测。</w:t>
      </w:r>
    </w:p>
    <w:p w14:paraId="064F670D">
      <w:pPr>
        <w:pStyle w:val="132"/>
      </w:pPr>
      <w:r>
        <w:rPr>
          <w:rFonts w:hint="eastAsia"/>
        </w:rPr>
        <w:t>第</w:t>
      </w:r>
      <w:r>
        <w:t>6</w:t>
      </w:r>
      <w:r>
        <w:rPr>
          <w:rFonts w:hint="eastAsia"/>
        </w:rPr>
        <w:t>部分：辐射防护站设置。</w:t>
      </w:r>
    </w:p>
    <w:p w14:paraId="073A644F">
      <w:pPr>
        <w:pStyle w:val="132"/>
      </w:pPr>
      <w:r>
        <w:rPr>
          <w:rFonts w:hint="eastAsia"/>
        </w:rPr>
        <w:t>第</w:t>
      </w:r>
      <w:r>
        <w:t>7</w:t>
      </w:r>
      <w:r>
        <w:rPr>
          <w:rFonts w:hint="eastAsia"/>
        </w:rPr>
        <w:t>部分：稳定性碘的使用指导。</w:t>
      </w:r>
    </w:p>
    <w:p w14:paraId="3DE345E7">
      <w:pPr>
        <w:pStyle w:val="132"/>
      </w:pPr>
      <w:r>
        <w:rPr>
          <w:rFonts w:hint="eastAsia"/>
        </w:rPr>
        <w:t>第</w:t>
      </w:r>
      <w:r>
        <w:t>8</w:t>
      </w:r>
      <w:r>
        <w:rPr>
          <w:rFonts w:hint="eastAsia"/>
        </w:rPr>
        <w:t>部分：外周血采集和生物剂量估算。</w:t>
      </w:r>
    </w:p>
    <w:p w14:paraId="1AA49EBD">
      <w:pPr>
        <w:pStyle w:val="56"/>
        <w:ind w:firstLine="420"/>
      </w:pPr>
      <w:r>
        <w:rPr>
          <w:rFonts w:hint="eastAsia"/>
        </w:rPr>
        <w:t>在核电厂核事故卫生应急处置中，设置辐射防护站是其中重要环节之一，承担了对应急人员开展剂量监测和辐射防护等重要作用。本文件的制定有助于完善核与辐射突发事件卫生应急管理体系。通过规范辐射防护站的设置，为核电厂核事故卫生应急人员提供剂量监测和辐射防护。</w:t>
      </w:r>
    </w:p>
    <w:p w14:paraId="035CB9AB">
      <w:pPr>
        <w:pStyle w:val="56"/>
        <w:ind w:firstLine="420"/>
      </w:pPr>
    </w:p>
    <w:p w14:paraId="7C2E97B4">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9"/>
    <w:p w14:paraId="33832B15">
      <w:pPr>
        <w:spacing w:line="20" w:lineRule="exact"/>
        <w:jc w:val="center"/>
        <w:rPr>
          <w:rFonts w:ascii="黑体" w:hAnsi="黑体" w:eastAsia="黑体"/>
          <w:sz w:val="32"/>
          <w:szCs w:val="32"/>
        </w:rPr>
      </w:pPr>
      <w:bookmarkStart w:id="30" w:name="BookMark4"/>
    </w:p>
    <w:p w14:paraId="5E4344D2">
      <w:pPr>
        <w:spacing w:line="20" w:lineRule="exact"/>
        <w:jc w:val="center"/>
        <w:rPr>
          <w:rFonts w:ascii="黑体" w:hAnsi="黑体" w:eastAsia="黑体"/>
          <w:sz w:val="32"/>
          <w:szCs w:val="32"/>
        </w:rPr>
      </w:pPr>
    </w:p>
    <w:sdt>
      <w:sdtPr>
        <w:tag w:val="NEW_STAND_NAME"/>
        <w:id w:val="595910757"/>
        <w:lock w:val="sdtLocked"/>
        <w:placeholder>
          <w:docPart w:val="CD71312AE1C64CE981F109A27266B4C5"/>
        </w:placeholder>
      </w:sdtPr>
      <w:sdtContent>
        <w:p w14:paraId="3CD3026C">
          <w:pPr>
            <w:pStyle w:val="177"/>
            <w:spacing w:before="3" w:beforeLines="1" w:after="686" w:afterLines="220"/>
          </w:pPr>
          <w:bookmarkStart w:id="31" w:name="NEW_STAND_NAME"/>
          <w:r>
            <w:rPr>
              <w:rFonts w:hint="eastAsia"/>
            </w:rPr>
            <w:t>核与辐射突发事件卫生应急处置技术规范</w:t>
          </w:r>
          <w:r>
            <w:t xml:space="preserve">                     第6部分：辐射防护站设置</w:t>
          </w:r>
        </w:p>
      </w:sdtContent>
    </w:sdt>
    <w:bookmarkEnd w:id="31"/>
    <w:p w14:paraId="0EA63360">
      <w:pPr>
        <w:pStyle w:val="104"/>
        <w:spacing w:before="312" w:after="312"/>
      </w:pPr>
      <w:bookmarkStart w:id="32" w:name="_Toc175856585"/>
      <w:bookmarkStart w:id="33" w:name="_Toc26986771"/>
      <w:bookmarkStart w:id="34" w:name="_Toc26648465"/>
      <w:bookmarkStart w:id="35" w:name="_Toc24884211"/>
      <w:bookmarkStart w:id="36" w:name="_Toc17233333"/>
      <w:bookmarkStart w:id="37" w:name="_Toc97191423"/>
      <w:bookmarkStart w:id="38" w:name="_Toc17233325"/>
      <w:bookmarkStart w:id="39" w:name="_Toc26718930"/>
      <w:bookmarkStart w:id="40" w:name="_Toc26986530"/>
      <w:bookmarkStart w:id="41" w:name="_Toc175856549"/>
      <w:bookmarkStart w:id="42" w:name="_Toc24884218"/>
      <w:bookmarkStart w:id="43" w:name="_Toc177549319"/>
      <w:r>
        <w:rPr>
          <w:rFonts w:hint="eastAsia"/>
        </w:rPr>
        <w:t>范围</w:t>
      </w:r>
      <w:bookmarkEnd w:id="32"/>
      <w:bookmarkEnd w:id="33"/>
      <w:bookmarkEnd w:id="34"/>
      <w:bookmarkEnd w:id="35"/>
      <w:bookmarkEnd w:id="36"/>
      <w:bookmarkEnd w:id="37"/>
      <w:bookmarkEnd w:id="38"/>
      <w:bookmarkEnd w:id="39"/>
      <w:bookmarkEnd w:id="40"/>
      <w:bookmarkEnd w:id="41"/>
      <w:bookmarkEnd w:id="42"/>
      <w:bookmarkEnd w:id="43"/>
    </w:p>
    <w:p w14:paraId="3C3E1E50">
      <w:pPr>
        <w:pStyle w:val="56"/>
        <w:ind w:firstLine="420"/>
      </w:pPr>
      <w:bookmarkStart w:id="44" w:name="_Toc24884212"/>
      <w:bookmarkStart w:id="45" w:name="_Toc24884219"/>
      <w:bookmarkStart w:id="46" w:name="_Toc17233334"/>
      <w:bookmarkStart w:id="47" w:name="_Toc26648466"/>
      <w:bookmarkStart w:id="48" w:name="_Toc17233326"/>
      <w:r>
        <w:rPr>
          <w:rFonts w:hint="eastAsia"/>
        </w:rPr>
        <w:t>本文件规定了核与辐射突发事件卫生应急处置中辐射防护站的选址、人员、仪器设备及应急物资、应急响应等技术要求。</w:t>
      </w:r>
    </w:p>
    <w:p w14:paraId="2FD1FDCC">
      <w:pPr>
        <w:pStyle w:val="56"/>
        <w:ind w:firstLine="420"/>
      </w:pPr>
      <w:r>
        <w:rPr>
          <w:rFonts w:hint="eastAsia"/>
        </w:rPr>
        <w:t>本文件适用于核电厂核事故场外应急处置中辐射防护站的设置。</w:t>
      </w:r>
    </w:p>
    <w:p w14:paraId="306D48AD">
      <w:pPr>
        <w:pStyle w:val="104"/>
        <w:spacing w:before="312" w:after="312"/>
      </w:pPr>
      <w:bookmarkStart w:id="49" w:name="_Toc175856550"/>
      <w:bookmarkStart w:id="50" w:name="_Toc26718931"/>
      <w:bookmarkStart w:id="51" w:name="_Toc177549320"/>
      <w:bookmarkStart w:id="52" w:name="_Toc26986772"/>
      <w:bookmarkStart w:id="53" w:name="_Toc97191424"/>
      <w:bookmarkStart w:id="54" w:name="_Toc26986531"/>
      <w:bookmarkStart w:id="55" w:name="_Toc175856586"/>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F1590F1104654B60A66896EBA741A8C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243AD3B">
          <w:pPr>
            <w:pStyle w:val="56"/>
            <w:ind w:firstLine="420"/>
          </w:pPr>
          <w:r>
            <w:rPr>
              <w:rFonts w:hint="eastAsia"/>
            </w:rPr>
            <w:t>本文件没有规范性引用文件。</w:t>
          </w:r>
        </w:p>
      </w:sdtContent>
    </w:sdt>
    <w:p w14:paraId="7ACC8E8D">
      <w:pPr>
        <w:pStyle w:val="104"/>
        <w:spacing w:before="312" w:after="312"/>
      </w:pPr>
      <w:bookmarkStart w:id="56" w:name="_Toc97191425"/>
      <w:bookmarkStart w:id="57" w:name="_Toc177549321"/>
      <w:bookmarkStart w:id="58" w:name="_Toc175856587"/>
      <w:bookmarkStart w:id="59" w:name="_Toc175856551"/>
      <w:r>
        <w:rPr>
          <w:rFonts w:hint="eastAsia"/>
          <w:szCs w:val="21"/>
        </w:rPr>
        <w:t>术语和定义</w:t>
      </w:r>
      <w:bookmarkEnd w:id="56"/>
      <w:bookmarkEnd w:id="57"/>
      <w:bookmarkEnd w:id="58"/>
      <w:bookmarkEnd w:id="59"/>
    </w:p>
    <w:sdt>
      <w:sdtPr>
        <w:id w:val="-1909835108"/>
        <w:placeholder>
          <w:docPart w:val="78AC0293DCFA4BCB8B2F66BA23EDFAE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8A863A">
          <w:pPr>
            <w:pStyle w:val="56"/>
            <w:ind w:firstLine="420"/>
          </w:pPr>
          <w:bookmarkStart w:id="60" w:name="_Toc26986532"/>
          <w:bookmarkEnd w:id="60"/>
          <w:r>
            <w:t>下列术语和定义适用于本文件。</w:t>
          </w:r>
        </w:p>
      </w:sdtContent>
    </w:sdt>
    <w:p w14:paraId="01EAE68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辐射防护站</w:t>
      </w:r>
      <w:r>
        <w:rPr>
          <w:rFonts w:ascii="黑体" w:hAnsi="黑体" w:eastAsia="黑体"/>
        </w:rPr>
        <w:t xml:space="preserve">radiation protection </w:t>
      </w:r>
      <w:r>
        <w:rPr>
          <w:rFonts w:hint="eastAsia" w:ascii="黑体" w:hAnsi="黑体" w:eastAsia="黑体"/>
        </w:rPr>
        <w:t>spot</w:t>
      </w:r>
    </w:p>
    <w:p w14:paraId="34F572F9">
      <w:pPr>
        <w:pStyle w:val="56"/>
        <w:ind w:firstLine="420"/>
      </w:pPr>
      <w:r>
        <w:rPr>
          <w:rFonts w:hint="eastAsia"/>
        </w:rPr>
        <w:t>核电厂发生核事故后，卫生应急人员进行场外应急处置，在烟羽应急计划区外设置的实施应急物资发放、剂量监测和辐射防护的应急站点。</w:t>
      </w:r>
    </w:p>
    <w:p w14:paraId="42C73539">
      <w:pPr>
        <w:pStyle w:val="104"/>
        <w:spacing w:before="312" w:after="312"/>
      </w:pPr>
      <w:bookmarkStart w:id="61" w:name="_Toc177549322"/>
      <w:bookmarkStart w:id="62" w:name="_Toc175856552"/>
      <w:bookmarkStart w:id="63" w:name="_Toc175856588"/>
      <w:r>
        <w:rPr>
          <w:rFonts w:hint="eastAsia"/>
        </w:rPr>
        <w:t>选址</w:t>
      </w:r>
      <w:bookmarkEnd w:id="61"/>
      <w:bookmarkEnd w:id="62"/>
      <w:bookmarkEnd w:id="63"/>
    </w:p>
    <w:p w14:paraId="3C4DCE8D">
      <w:pPr>
        <w:pStyle w:val="162"/>
      </w:pPr>
      <w:r>
        <w:rPr>
          <w:rFonts w:hint="eastAsia"/>
        </w:rPr>
        <w:t>根据核电厂周边环境、交通、人口等情况，选择烟羽应急计划区外、交通便利、远离居民区的地点合理预设候选辐射防护站点。</w:t>
      </w:r>
    </w:p>
    <w:p w14:paraId="7CF183B8">
      <w:pPr>
        <w:pStyle w:val="162"/>
      </w:pPr>
      <w:r>
        <w:rPr>
          <w:rFonts w:hint="eastAsia"/>
        </w:rPr>
        <w:t>核电厂发生核事故后，综合考虑风向、烟羽、事故严重程度等因素，从候选辐射防护站点中选择合适点位设置辐射防护站。</w:t>
      </w:r>
    </w:p>
    <w:p w14:paraId="5E8297D6">
      <w:pPr>
        <w:pStyle w:val="104"/>
        <w:spacing w:before="312" w:after="312"/>
      </w:pPr>
      <w:bookmarkStart w:id="64" w:name="_Toc175856589"/>
      <w:bookmarkStart w:id="65" w:name="_Toc175856553"/>
      <w:bookmarkStart w:id="66" w:name="_Toc177549323"/>
      <w:r>
        <w:rPr>
          <w:rFonts w:hint="eastAsia"/>
        </w:rPr>
        <w:t>人员</w:t>
      </w:r>
      <w:bookmarkEnd w:id="64"/>
      <w:bookmarkEnd w:id="65"/>
      <w:bookmarkEnd w:id="66"/>
    </w:p>
    <w:p w14:paraId="29DD0C00">
      <w:pPr>
        <w:pStyle w:val="162"/>
      </w:pPr>
      <w:r>
        <w:rPr>
          <w:rFonts w:hint="eastAsia"/>
        </w:rPr>
        <w:t>每个辐射防护站应配备至少3名工作人员，并指定1名负责人。</w:t>
      </w:r>
    </w:p>
    <w:p w14:paraId="14EDFB1C">
      <w:pPr>
        <w:pStyle w:val="162"/>
      </w:pPr>
      <w:r>
        <w:rPr>
          <w:rFonts w:hint="eastAsia"/>
        </w:rPr>
        <w:t>辐射防护站工作人员应具备必要的专业知识、技能，身心健康，优先遴选有卫生应急处置工作经验的人员。</w:t>
      </w:r>
    </w:p>
    <w:p w14:paraId="361E06E7">
      <w:pPr>
        <w:pStyle w:val="162"/>
      </w:pPr>
      <w:r>
        <w:rPr>
          <w:rFonts w:hint="eastAsia"/>
        </w:rPr>
        <w:t>辐射防护站工作人员应经过相关业务技术培训，并有核事故应急演练经历。</w:t>
      </w:r>
    </w:p>
    <w:p w14:paraId="1C7E0053">
      <w:pPr>
        <w:pStyle w:val="104"/>
        <w:spacing w:before="312" w:after="312"/>
      </w:pPr>
      <w:bookmarkStart w:id="67" w:name="_Toc175856554"/>
      <w:bookmarkStart w:id="68" w:name="_Toc177549324"/>
      <w:bookmarkStart w:id="69" w:name="_Toc175856590"/>
      <w:r>
        <w:rPr>
          <w:rFonts w:hint="eastAsia"/>
        </w:rPr>
        <w:t>仪器设备及应急物资</w:t>
      </w:r>
      <w:bookmarkEnd w:id="67"/>
      <w:bookmarkEnd w:id="68"/>
      <w:bookmarkEnd w:id="69"/>
    </w:p>
    <w:p w14:paraId="1795FFB8">
      <w:pPr>
        <w:pStyle w:val="162"/>
      </w:pPr>
      <w:r>
        <w:rPr>
          <w:rFonts w:hint="eastAsia"/>
        </w:rPr>
        <w:t>辐射防护站应配备表面污染检测仪、通讯联络设备等。工作人员在开展核事故应急工作时应做好个人防护，并佩戴个人剂量计。</w:t>
      </w:r>
    </w:p>
    <w:p w14:paraId="1CBD6016">
      <w:pPr>
        <w:pStyle w:val="162"/>
      </w:pPr>
      <w:r>
        <w:rPr>
          <w:rFonts w:hint="eastAsia"/>
        </w:rPr>
        <w:t>辐射防护站应配备足量的应急物资，做好发放和记录工作。应急物资包括但不限于直读式剂量仪（个人剂量报警仪）、个人剂量计、防护面具、防污染服、靴套、手套、稳定性碘片、通讯设备。</w:t>
      </w:r>
    </w:p>
    <w:p w14:paraId="6F266D63">
      <w:pPr>
        <w:pStyle w:val="162"/>
      </w:pPr>
      <w:r>
        <w:rPr>
          <w:rFonts w:hint="eastAsia"/>
        </w:rPr>
        <w:t>表面污染检测仪等仪器设备应经检定/校准合格且在有效期内。</w:t>
      </w:r>
    </w:p>
    <w:p w14:paraId="355785C4">
      <w:pPr>
        <w:pStyle w:val="104"/>
        <w:spacing w:before="312" w:after="312"/>
      </w:pPr>
      <w:bookmarkStart w:id="70" w:name="_Toc177549325"/>
      <w:bookmarkStart w:id="71" w:name="_Toc175856555"/>
      <w:bookmarkStart w:id="72" w:name="_Toc175856591"/>
      <w:r>
        <w:rPr>
          <w:rFonts w:hint="eastAsia"/>
        </w:rPr>
        <w:t>应急响应</w:t>
      </w:r>
      <w:bookmarkEnd w:id="70"/>
      <w:bookmarkEnd w:id="71"/>
      <w:bookmarkEnd w:id="72"/>
    </w:p>
    <w:p w14:paraId="72029CC7">
      <w:pPr>
        <w:pStyle w:val="105"/>
        <w:spacing w:before="156" w:after="156"/>
      </w:pPr>
      <w:bookmarkStart w:id="73" w:name="_Toc175856592"/>
      <w:bookmarkStart w:id="74" w:name="_Toc177549326"/>
      <w:r>
        <w:rPr>
          <w:rFonts w:hint="eastAsia"/>
        </w:rPr>
        <w:t>分级响应</w:t>
      </w:r>
      <w:bookmarkEnd w:id="73"/>
      <w:bookmarkEnd w:id="74"/>
    </w:p>
    <w:p w14:paraId="6C2FACE7">
      <w:pPr>
        <w:pStyle w:val="56"/>
        <w:ind w:firstLine="420"/>
      </w:pPr>
      <w:r>
        <w:rPr>
          <w:rFonts w:hint="eastAsia"/>
        </w:rPr>
        <w:t>在核电厂发生核事故时，根据事故性质、严重程度及辐射后果影响范围，分别进入</w:t>
      </w:r>
      <w:r>
        <w:rPr>
          <w:rFonts w:hint="eastAsia" w:hAnsi="宋体"/>
        </w:rPr>
        <w:t>Ⅳ级</w:t>
      </w:r>
      <w:r>
        <w:rPr>
          <w:rFonts w:hint="eastAsia"/>
        </w:rPr>
        <w:t>响应、</w:t>
      </w:r>
      <w:r>
        <w:rPr>
          <w:rFonts w:hint="eastAsia" w:hAnsi="宋体"/>
        </w:rPr>
        <w:t>Ⅲ级</w:t>
      </w:r>
      <w:r>
        <w:rPr>
          <w:rFonts w:hint="eastAsia"/>
        </w:rPr>
        <w:t>响应、</w:t>
      </w:r>
      <w:r>
        <w:rPr>
          <w:rFonts w:hint="eastAsia" w:hAnsi="宋体"/>
        </w:rPr>
        <w:t>Ⅱ级</w:t>
      </w:r>
      <w:r>
        <w:rPr>
          <w:rFonts w:hint="eastAsia"/>
        </w:rPr>
        <w:t>响应、</w:t>
      </w:r>
      <w:r>
        <w:rPr>
          <w:rFonts w:hint="eastAsia" w:hAnsi="宋体"/>
        </w:rPr>
        <w:t>Ⅰ级</w:t>
      </w:r>
      <w:r>
        <w:rPr>
          <w:rFonts w:hint="eastAsia"/>
        </w:rPr>
        <w:t>响应。</w:t>
      </w:r>
    </w:p>
    <w:p w14:paraId="25B20E0D">
      <w:pPr>
        <w:pStyle w:val="105"/>
        <w:spacing w:before="156" w:after="156"/>
        <w:rPr>
          <w:rFonts w:hAnsi="黑体"/>
        </w:rPr>
      </w:pPr>
      <w:bookmarkStart w:id="75" w:name="_Toc177549327"/>
      <w:bookmarkStart w:id="76" w:name="_Toc175856593"/>
      <w:r>
        <w:rPr>
          <w:rFonts w:hint="eastAsia" w:hAnsi="黑体"/>
        </w:rPr>
        <w:t>Ⅳ级响应</w:t>
      </w:r>
      <w:bookmarkEnd w:id="75"/>
      <w:bookmarkEnd w:id="76"/>
    </w:p>
    <w:p w14:paraId="3679ABB6">
      <w:pPr>
        <w:pStyle w:val="56"/>
        <w:ind w:firstLine="420"/>
        <w:rPr>
          <w:rFonts w:hAnsi="宋体"/>
        </w:rPr>
      </w:pPr>
      <w:r>
        <w:rPr>
          <w:rFonts w:hint="eastAsia"/>
        </w:rPr>
        <w:t>辐射防护站工作人员接到</w:t>
      </w:r>
      <w:r>
        <w:rPr>
          <w:rFonts w:hint="eastAsia" w:hAnsi="宋体"/>
        </w:rPr>
        <w:t>Ⅳ级响应状态的命令后，应加强值守，做好开设辐射防护站准备，并保持与上级有关部门的通讯联系，直到Ⅳ级响应解除。</w:t>
      </w:r>
    </w:p>
    <w:p w14:paraId="5659E060">
      <w:pPr>
        <w:pStyle w:val="105"/>
        <w:spacing w:before="156" w:after="156"/>
      </w:pPr>
      <w:bookmarkStart w:id="77" w:name="_Hlk175855647"/>
      <w:bookmarkStart w:id="78" w:name="_Toc175856594"/>
      <w:bookmarkStart w:id="79" w:name="_Toc177549328"/>
      <w:r>
        <w:rPr>
          <w:rFonts w:hint="eastAsia" w:hAnsi="黑体"/>
        </w:rPr>
        <w:t>Ⅲ级</w:t>
      </w:r>
      <w:r>
        <w:rPr>
          <w:rFonts w:hint="eastAsia"/>
        </w:rPr>
        <w:t>响</w:t>
      </w:r>
      <w:bookmarkEnd w:id="77"/>
      <w:r>
        <w:rPr>
          <w:rFonts w:hint="eastAsia"/>
        </w:rPr>
        <w:t>应</w:t>
      </w:r>
      <w:bookmarkEnd w:id="78"/>
      <w:bookmarkEnd w:id="79"/>
    </w:p>
    <w:p w14:paraId="7C465169">
      <w:pPr>
        <w:pStyle w:val="56"/>
        <w:ind w:firstLine="420"/>
      </w:pPr>
      <w:r>
        <w:rPr>
          <w:rFonts w:hint="eastAsia"/>
        </w:rPr>
        <w:t>辐射防护站工作人员接到Ⅲ级响应状态的命令后，做好申领个人防护用品等物资的准备，在指定地点集结待命并准备器材，直到Ⅲ级响应解除。</w:t>
      </w:r>
    </w:p>
    <w:p w14:paraId="0645E4C5">
      <w:pPr>
        <w:pStyle w:val="105"/>
        <w:spacing w:before="156" w:after="156"/>
      </w:pPr>
      <w:bookmarkStart w:id="80" w:name="_Toc171673961"/>
      <w:bookmarkStart w:id="81" w:name="_Toc171488211"/>
      <w:bookmarkStart w:id="82" w:name="_Toc175856595"/>
      <w:bookmarkStart w:id="83" w:name="_Toc177549329"/>
      <w:r>
        <w:rPr>
          <w:rFonts w:hint="eastAsia" w:hAnsi="黑体"/>
        </w:rPr>
        <w:t>Ⅱ</w:t>
      </w:r>
      <w:r>
        <w:rPr>
          <w:rFonts w:hint="eastAsia"/>
        </w:rPr>
        <w:t>级响应</w:t>
      </w:r>
      <w:bookmarkEnd w:id="80"/>
      <w:bookmarkEnd w:id="81"/>
      <w:bookmarkEnd w:id="82"/>
      <w:bookmarkEnd w:id="83"/>
    </w:p>
    <w:p w14:paraId="5A271038">
      <w:pPr>
        <w:pStyle w:val="56"/>
        <w:ind w:firstLine="420"/>
      </w:pPr>
      <w:r>
        <w:rPr>
          <w:rFonts w:hint="eastAsia"/>
        </w:rPr>
        <w:t>辐射防护站工作人员接到</w:t>
      </w:r>
      <w:r>
        <w:rPr>
          <w:rFonts w:hint="eastAsia" w:hAnsi="宋体"/>
        </w:rPr>
        <w:t>Ⅱ</w:t>
      </w:r>
      <w:r>
        <w:rPr>
          <w:rFonts w:hint="eastAsia"/>
        </w:rPr>
        <w:t>级响应状态的命令后，申领个人防护用品等物资，按要求选定辐射防护站，工作人员进行分组，所有器材装车完毕，人员集结待命，直到</w:t>
      </w:r>
      <w:r>
        <w:rPr>
          <w:rFonts w:hint="eastAsia" w:hAnsi="宋体"/>
        </w:rPr>
        <w:t>Ⅱ</w:t>
      </w:r>
      <w:r>
        <w:rPr>
          <w:rFonts w:hint="eastAsia"/>
        </w:rPr>
        <w:t>级响应解除。</w:t>
      </w:r>
    </w:p>
    <w:p w14:paraId="375F96D3">
      <w:pPr>
        <w:pStyle w:val="105"/>
        <w:spacing w:before="156" w:after="156"/>
      </w:pPr>
      <w:bookmarkStart w:id="84" w:name="_Toc171673962"/>
      <w:bookmarkStart w:id="85" w:name="_Toc177549330"/>
      <w:bookmarkStart w:id="86" w:name="_Toc171488212"/>
      <w:bookmarkStart w:id="87" w:name="_Toc175856596"/>
      <w:r>
        <w:rPr>
          <w:rFonts w:hint="eastAsia" w:hAnsi="黑体"/>
        </w:rPr>
        <w:t>Ⅰ</w:t>
      </w:r>
      <w:r>
        <w:rPr>
          <w:rFonts w:hint="eastAsia"/>
        </w:rPr>
        <w:t>级响应</w:t>
      </w:r>
      <w:bookmarkEnd w:id="84"/>
      <w:bookmarkEnd w:id="85"/>
      <w:bookmarkEnd w:id="86"/>
      <w:bookmarkEnd w:id="87"/>
    </w:p>
    <w:p w14:paraId="7B390B82">
      <w:pPr>
        <w:pStyle w:val="165"/>
      </w:pPr>
      <w:r>
        <w:rPr>
          <w:rFonts w:hint="eastAsia"/>
        </w:rPr>
        <w:t>辐射防护站工作人员接到</w:t>
      </w:r>
      <w:r>
        <w:rPr>
          <w:rFonts w:hint="eastAsia" w:hAnsi="宋体"/>
        </w:rPr>
        <w:t>Ⅰ</w:t>
      </w:r>
      <w:r>
        <w:rPr>
          <w:rFonts w:hint="eastAsia"/>
        </w:rPr>
        <w:t>级响应状态的命令后，赴选定站点开设辐射防护站并开展工作，对进入烟羽应急计划区的核应急工作人员进行登记并发放个人剂量计、个人防护用品等物资，并指导其正确使用，直到</w:t>
      </w:r>
      <w:r>
        <w:rPr>
          <w:rFonts w:hint="eastAsia" w:hAnsi="黑体"/>
        </w:rPr>
        <w:t>Ⅰ</w:t>
      </w:r>
      <w:r>
        <w:rPr>
          <w:rFonts w:hint="eastAsia"/>
        </w:rPr>
        <w:t>级响应解除。</w:t>
      </w:r>
    </w:p>
    <w:p w14:paraId="52D1F027">
      <w:pPr>
        <w:pStyle w:val="165"/>
      </w:pPr>
      <w:r>
        <w:rPr>
          <w:rFonts w:hint="eastAsia"/>
        </w:rPr>
        <w:t>先期进入烟羽应急计划区并继续坚持工作的核应急工作人员，在接到</w:t>
      </w:r>
      <w:r>
        <w:rPr>
          <w:rFonts w:hint="eastAsia" w:hAnsi="宋体"/>
        </w:rPr>
        <w:t>Ⅰ</w:t>
      </w:r>
      <w:r>
        <w:rPr>
          <w:rFonts w:hint="eastAsia"/>
        </w:rPr>
        <w:t>级响应状态的命令后，自行派员到就近的辐射防护站领取个人剂量计等物资，辐射防护站工作人员应指导其正确使用并登记。</w:t>
      </w:r>
    </w:p>
    <w:p w14:paraId="46DC6513">
      <w:pPr>
        <w:pStyle w:val="165"/>
      </w:pPr>
      <w:r>
        <w:rPr>
          <w:rFonts w:hint="eastAsia"/>
        </w:rPr>
        <w:t>辐射防护站工作人员应对通过辐射防护站撤离的核应急工作人员开展表面污染检测，记录表面污染检测结果。</w:t>
      </w:r>
    </w:p>
    <w:p w14:paraId="6E0D1295">
      <w:pPr>
        <w:pStyle w:val="165"/>
      </w:pPr>
      <w:r>
        <w:rPr>
          <w:rFonts w:hint="eastAsia"/>
        </w:rPr>
        <w:t>辐射防护站工作人员应做好个人剂量计和直读式剂量仪的发放与回收登记，记录监测结果，并建立个人剂量档案。个人剂量计发放、回收及测量记录表式见附录A。</w:t>
      </w:r>
    </w:p>
    <w:p w14:paraId="13A0FFDB">
      <w:pPr>
        <w:pStyle w:val="165"/>
      </w:pPr>
      <w:r>
        <w:rPr>
          <w:rFonts w:hint="eastAsia" w:hAnsi="宋体"/>
        </w:rPr>
        <w:t>Ⅰ</w:t>
      </w:r>
      <w:r>
        <w:rPr>
          <w:rFonts w:hint="eastAsia"/>
        </w:rPr>
        <w:t>级响应解除后，撤销辐射防护站，工作人员按要求撤离并做好健康管理。</w:t>
      </w:r>
    </w:p>
    <w:p w14:paraId="515D46D6">
      <w:pPr>
        <w:pStyle w:val="165"/>
        <w:sectPr>
          <w:pgSz w:w="11906" w:h="16838"/>
          <w:pgMar w:top="1928" w:right="1134" w:bottom="1134" w:left="1134" w:header="1418" w:footer="1134" w:gutter="284"/>
          <w:pgNumType w:start="1"/>
          <w:cols w:space="425" w:num="1"/>
          <w:formProt w:val="0"/>
          <w:docGrid w:type="lines" w:linePitch="312" w:charSpace="0"/>
        </w:sectPr>
      </w:pPr>
    </w:p>
    <w:bookmarkEnd w:id="30"/>
    <w:p w14:paraId="5975DE86">
      <w:pPr>
        <w:pStyle w:val="198"/>
      </w:pPr>
      <w:bookmarkStart w:id="88" w:name="BookMark5"/>
    </w:p>
    <w:p w14:paraId="0B9710B4">
      <w:pPr>
        <w:pStyle w:val="199"/>
      </w:pPr>
    </w:p>
    <w:p w14:paraId="0D3E794C">
      <w:pPr>
        <w:pStyle w:val="76"/>
        <w:spacing w:after="156"/>
      </w:pPr>
      <w:r>
        <w:br w:type="textWrapping"/>
      </w:r>
      <w:bookmarkStart w:id="89" w:name="_Toc175856597"/>
      <w:bookmarkStart w:id="90" w:name="_Toc175856556"/>
      <w:bookmarkStart w:id="91" w:name="_Toc177549331"/>
      <w:r>
        <w:rPr>
          <w:rFonts w:hint="eastAsia"/>
        </w:rPr>
        <w:t>（资料性）</w:t>
      </w:r>
      <w:r>
        <w:br w:type="textWrapping"/>
      </w:r>
      <w:r>
        <w:rPr>
          <w:rFonts w:hint="eastAsia"/>
        </w:rPr>
        <w:t>个人剂量计发放、回收及测量记录表</w:t>
      </w:r>
      <w:bookmarkEnd w:id="89"/>
      <w:bookmarkEnd w:id="90"/>
      <w:bookmarkEnd w:id="91"/>
    </w:p>
    <w:p w14:paraId="474EEAF4">
      <w:pPr>
        <w:pStyle w:val="56"/>
        <w:ind w:firstLine="420"/>
        <w:rPr>
          <w:rFonts w:eastAsia="黑体"/>
        </w:rPr>
      </w:pPr>
      <w:r>
        <w:rPr>
          <w:rFonts w:hint="eastAsia" w:ascii="黑体" w:eastAsia="黑体"/>
        </w:rPr>
        <w:t>表A</w:t>
      </w:r>
      <w:r>
        <w:rPr>
          <w:rFonts w:ascii="黑体" w:eastAsia="黑体"/>
        </w:rPr>
        <w:t>.1</w:t>
      </w:r>
      <w:r>
        <w:rPr>
          <w:rFonts w:hint="eastAsia" w:ascii="黑体" w:eastAsia="黑体"/>
        </w:rPr>
        <w:t>给出了个人剂量计发放、回收及测量记录表式。</w:t>
      </w:r>
    </w:p>
    <w:p w14:paraId="64C3BD4A">
      <w:pPr>
        <w:pStyle w:val="56"/>
        <w:ind w:firstLine="420"/>
        <w:jc w:val="center"/>
      </w:pPr>
      <w:r>
        <w:rPr>
          <w:rFonts w:hint="eastAsia" w:ascii="黑体" w:eastAsia="黑体"/>
        </w:rPr>
        <w:t>表A</w:t>
      </w:r>
      <w:r>
        <w:rPr>
          <w:rFonts w:ascii="黑体" w:eastAsia="黑体"/>
        </w:rPr>
        <w:t>.1</w:t>
      </w:r>
      <w:r>
        <w:rPr>
          <w:rFonts w:hint="eastAsia" w:ascii="黑体" w:eastAsia="黑体"/>
        </w:rPr>
        <w:t>个人剂量计发放、回收及测量记录表</w:t>
      </w:r>
    </w:p>
    <w:tbl>
      <w:tblPr>
        <w:tblStyle w:val="27"/>
        <w:tblW w:w="955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7"/>
        <w:gridCol w:w="1276"/>
        <w:gridCol w:w="709"/>
        <w:gridCol w:w="709"/>
        <w:gridCol w:w="1842"/>
        <w:gridCol w:w="709"/>
        <w:gridCol w:w="1276"/>
        <w:gridCol w:w="1417"/>
        <w:gridCol w:w="1063"/>
      </w:tblGrid>
      <w:tr w14:paraId="7A70E0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tblHeader/>
          <w:jc w:val="center"/>
        </w:trPr>
        <w:tc>
          <w:tcPr>
            <w:tcW w:w="557" w:type="dxa"/>
            <w:tcBorders>
              <w:top w:val="single" w:color="auto" w:sz="8" w:space="0"/>
              <w:bottom w:val="single" w:color="auto" w:sz="8" w:space="0"/>
            </w:tcBorders>
            <w:shd w:val="clear" w:color="auto" w:fill="auto"/>
            <w:vAlign w:val="center"/>
          </w:tcPr>
          <w:p w14:paraId="7E70C41C">
            <w:pPr>
              <w:pStyle w:val="178"/>
            </w:pPr>
            <w:r>
              <w:rPr>
                <w:rFonts w:hint="eastAsia"/>
              </w:rPr>
              <w:t>序号</w:t>
            </w:r>
          </w:p>
        </w:tc>
        <w:tc>
          <w:tcPr>
            <w:tcW w:w="1276" w:type="dxa"/>
            <w:tcBorders>
              <w:top w:val="single" w:color="auto" w:sz="8" w:space="0"/>
              <w:bottom w:val="single" w:color="auto" w:sz="8" w:space="0"/>
            </w:tcBorders>
            <w:shd w:val="clear" w:color="auto" w:fill="auto"/>
            <w:vAlign w:val="center"/>
          </w:tcPr>
          <w:p w14:paraId="27BA510C">
            <w:pPr>
              <w:pStyle w:val="178"/>
            </w:pPr>
            <w:r>
              <w:rPr>
                <w:rFonts w:hint="eastAsia"/>
              </w:rPr>
              <w:t>姓名</w:t>
            </w:r>
          </w:p>
        </w:tc>
        <w:tc>
          <w:tcPr>
            <w:tcW w:w="709" w:type="dxa"/>
            <w:tcBorders>
              <w:top w:val="single" w:color="auto" w:sz="8" w:space="0"/>
              <w:bottom w:val="single" w:color="auto" w:sz="8" w:space="0"/>
            </w:tcBorders>
            <w:shd w:val="clear" w:color="auto" w:fill="auto"/>
            <w:vAlign w:val="center"/>
          </w:tcPr>
          <w:p w14:paraId="6FDD4C3B">
            <w:pPr>
              <w:pStyle w:val="178"/>
            </w:pPr>
            <w:r>
              <w:rPr>
                <w:rFonts w:hint="eastAsia"/>
              </w:rPr>
              <w:t>年龄</w:t>
            </w:r>
          </w:p>
        </w:tc>
        <w:tc>
          <w:tcPr>
            <w:tcW w:w="709" w:type="dxa"/>
            <w:tcBorders>
              <w:top w:val="single" w:color="auto" w:sz="8" w:space="0"/>
              <w:bottom w:val="single" w:color="auto" w:sz="8" w:space="0"/>
            </w:tcBorders>
            <w:shd w:val="clear" w:color="auto" w:fill="auto"/>
            <w:vAlign w:val="center"/>
          </w:tcPr>
          <w:p w14:paraId="3A54C3EE">
            <w:pPr>
              <w:pStyle w:val="178"/>
            </w:pPr>
            <w:r>
              <w:rPr>
                <w:rFonts w:hint="eastAsia"/>
              </w:rPr>
              <w:t>性别</w:t>
            </w:r>
          </w:p>
        </w:tc>
        <w:tc>
          <w:tcPr>
            <w:tcW w:w="1842" w:type="dxa"/>
            <w:tcBorders>
              <w:top w:val="single" w:color="auto" w:sz="8" w:space="0"/>
              <w:bottom w:val="single" w:color="auto" w:sz="8" w:space="0"/>
            </w:tcBorders>
            <w:shd w:val="clear" w:color="auto" w:fill="auto"/>
            <w:vAlign w:val="center"/>
          </w:tcPr>
          <w:p w14:paraId="505B06FF">
            <w:pPr>
              <w:pStyle w:val="178"/>
            </w:pPr>
            <w:r>
              <w:rPr>
                <w:rFonts w:hint="eastAsia"/>
              </w:rPr>
              <w:t>联系电话</w:t>
            </w:r>
          </w:p>
        </w:tc>
        <w:tc>
          <w:tcPr>
            <w:tcW w:w="709" w:type="dxa"/>
            <w:tcBorders>
              <w:top w:val="single" w:color="auto" w:sz="8" w:space="0"/>
              <w:bottom w:val="single" w:color="auto" w:sz="8" w:space="0"/>
            </w:tcBorders>
            <w:shd w:val="clear" w:color="auto" w:fill="auto"/>
            <w:vAlign w:val="center"/>
          </w:tcPr>
          <w:p w14:paraId="680C29E3">
            <w:pPr>
              <w:pStyle w:val="178"/>
            </w:pPr>
            <w:r>
              <w:rPr>
                <w:rFonts w:hint="eastAsia"/>
              </w:rPr>
              <w:t>剂量计编号</w:t>
            </w:r>
          </w:p>
        </w:tc>
        <w:tc>
          <w:tcPr>
            <w:tcW w:w="1276" w:type="dxa"/>
            <w:tcBorders>
              <w:top w:val="single" w:color="auto" w:sz="8" w:space="0"/>
              <w:bottom w:val="single" w:color="auto" w:sz="8" w:space="0"/>
            </w:tcBorders>
            <w:shd w:val="clear" w:color="auto" w:fill="auto"/>
            <w:vAlign w:val="center"/>
          </w:tcPr>
          <w:p w14:paraId="767054F1">
            <w:pPr>
              <w:pStyle w:val="178"/>
            </w:pPr>
            <w:r>
              <w:rPr>
                <w:rFonts w:hint="eastAsia"/>
              </w:rPr>
              <w:t>剂量计发放时间</w:t>
            </w:r>
          </w:p>
        </w:tc>
        <w:tc>
          <w:tcPr>
            <w:tcW w:w="1417" w:type="dxa"/>
            <w:tcBorders>
              <w:top w:val="single" w:color="auto" w:sz="8" w:space="0"/>
              <w:bottom w:val="single" w:color="auto" w:sz="8" w:space="0"/>
            </w:tcBorders>
            <w:shd w:val="clear" w:color="auto" w:fill="auto"/>
            <w:vAlign w:val="center"/>
          </w:tcPr>
          <w:p w14:paraId="46927926">
            <w:pPr>
              <w:pStyle w:val="178"/>
            </w:pPr>
            <w:r>
              <w:rPr>
                <w:rFonts w:hint="eastAsia"/>
              </w:rPr>
              <w:t>剂量计回收时间</w:t>
            </w:r>
          </w:p>
        </w:tc>
        <w:tc>
          <w:tcPr>
            <w:tcW w:w="1063" w:type="dxa"/>
            <w:tcBorders>
              <w:top w:val="single" w:color="auto" w:sz="8" w:space="0"/>
              <w:bottom w:val="single" w:color="auto" w:sz="8" w:space="0"/>
            </w:tcBorders>
            <w:shd w:val="clear" w:color="auto" w:fill="auto"/>
            <w:vAlign w:val="center"/>
          </w:tcPr>
          <w:p w14:paraId="24764A41">
            <w:pPr>
              <w:pStyle w:val="178"/>
            </w:pPr>
            <w:r>
              <w:rPr>
                <w:rFonts w:hint="eastAsia"/>
              </w:rPr>
              <w:t>监测结果（m</w:t>
            </w:r>
            <w:r>
              <w:t>S</w:t>
            </w:r>
            <w:r>
              <w:rPr>
                <w:rFonts w:hint="eastAsia"/>
              </w:rPr>
              <w:t>v）</w:t>
            </w:r>
          </w:p>
        </w:tc>
      </w:tr>
      <w:tr w14:paraId="5D0C1B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tcBorders>
              <w:top w:val="single" w:color="auto" w:sz="8" w:space="0"/>
            </w:tcBorders>
            <w:shd w:val="clear" w:color="auto" w:fill="auto"/>
            <w:vAlign w:val="center"/>
          </w:tcPr>
          <w:p w14:paraId="3D64CCD5">
            <w:pPr>
              <w:pStyle w:val="178"/>
            </w:pPr>
          </w:p>
        </w:tc>
        <w:tc>
          <w:tcPr>
            <w:tcW w:w="1276" w:type="dxa"/>
            <w:tcBorders>
              <w:top w:val="single" w:color="auto" w:sz="8" w:space="0"/>
            </w:tcBorders>
            <w:shd w:val="clear" w:color="auto" w:fill="auto"/>
            <w:vAlign w:val="center"/>
          </w:tcPr>
          <w:p w14:paraId="7F495718">
            <w:pPr>
              <w:pStyle w:val="178"/>
            </w:pPr>
          </w:p>
        </w:tc>
        <w:tc>
          <w:tcPr>
            <w:tcW w:w="709" w:type="dxa"/>
            <w:tcBorders>
              <w:top w:val="single" w:color="auto" w:sz="8" w:space="0"/>
            </w:tcBorders>
            <w:shd w:val="clear" w:color="auto" w:fill="auto"/>
            <w:vAlign w:val="center"/>
          </w:tcPr>
          <w:p w14:paraId="1C5CA058">
            <w:pPr>
              <w:pStyle w:val="178"/>
            </w:pPr>
          </w:p>
        </w:tc>
        <w:tc>
          <w:tcPr>
            <w:tcW w:w="709" w:type="dxa"/>
            <w:tcBorders>
              <w:top w:val="single" w:color="auto" w:sz="8" w:space="0"/>
            </w:tcBorders>
            <w:shd w:val="clear" w:color="auto" w:fill="auto"/>
            <w:vAlign w:val="center"/>
          </w:tcPr>
          <w:p w14:paraId="796EBAE2">
            <w:pPr>
              <w:pStyle w:val="178"/>
            </w:pPr>
          </w:p>
        </w:tc>
        <w:tc>
          <w:tcPr>
            <w:tcW w:w="1842" w:type="dxa"/>
            <w:tcBorders>
              <w:top w:val="single" w:color="auto" w:sz="8" w:space="0"/>
            </w:tcBorders>
            <w:shd w:val="clear" w:color="auto" w:fill="auto"/>
            <w:vAlign w:val="center"/>
          </w:tcPr>
          <w:p w14:paraId="779DB1FD">
            <w:pPr>
              <w:pStyle w:val="178"/>
            </w:pPr>
          </w:p>
        </w:tc>
        <w:tc>
          <w:tcPr>
            <w:tcW w:w="709" w:type="dxa"/>
            <w:tcBorders>
              <w:top w:val="single" w:color="auto" w:sz="8" w:space="0"/>
            </w:tcBorders>
            <w:shd w:val="clear" w:color="auto" w:fill="auto"/>
            <w:vAlign w:val="center"/>
          </w:tcPr>
          <w:p w14:paraId="052F1038">
            <w:pPr>
              <w:pStyle w:val="178"/>
            </w:pPr>
          </w:p>
        </w:tc>
        <w:tc>
          <w:tcPr>
            <w:tcW w:w="1276" w:type="dxa"/>
            <w:tcBorders>
              <w:top w:val="single" w:color="auto" w:sz="8" w:space="0"/>
            </w:tcBorders>
            <w:shd w:val="clear" w:color="auto" w:fill="auto"/>
            <w:vAlign w:val="center"/>
          </w:tcPr>
          <w:p w14:paraId="7592168A">
            <w:pPr>
              <w:pStyle w:val="178"/>
            </w:pPr>
          </w:p>
        </w:tc>
        <w:tc>
          <w:tcPr>
            <w:tcW w:w="1417" w:type="dxa"/>
            <w:tcBorders>
              <w:top w:val="single" w:color="auto" w:sz="8" w:space="0"/>
            </w:tcBorders>
            <w:shd w:val="clear" w:color="auto" w:fill="auto"/>
            <w:vAlign w:val="center"/>
          </w:tcPr>
          <w:p w14:paraId="63C3902D">
            <w:pPr>
              <w:pStyle w:val="178"/>
            </w:pPr>
          </w:p>
        </w:tc>
        <w:tc>
          <w:tcPr>
            <w:tcW w:w="1063" w:type="dxa"/>
            <w:tcBorders>
              <w:top w:val="single" w:color="auto" w:sz="8" w:space="0"/>
            </w:tcBorders>
            <w:shd w:val="clear" w:color="auto" w:fill="auto"/>
            <w:vAlign w:val="center"/>
          </w:tcPr>
          <w:p w14:paraId="469ED70B">
            <w:pPr>
              <w:pStyle w:val="178"/>
            </w:pPr>
          </w:p>
        </w:tc>
      </w:tr>
      <w:tr w14:paraId="5DE292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shd w:val="clear" w:color="auto" w:fill="auto"/>
            <w:vAlign w:val="center"/>
          </w:tcPr>
          <w:p w14:paraId="73588E03">
            <w:pPr>
              <w:pStyle w:val="178"/>
            </w:pPr>
          </w:p>
        </w:tc>
        <w:tc>
          <w:tcPr>
            <w:tcW w:w="1276" w:type="dxa"/>
            <w:shd w:val="clear" w:color="auto" w:fill="auto"/>
            <w:vAlign w:val="center"/>
          </w:tcPr>
          <w:p w14:paraId="473CE351">
            <w:pPr>
              <w:pStyle w:val="178"/>
            </w:pPr>
          </w:p>
        </w:tc>
        <w:tc>
          <w:tcPr>
            <w:tcW w:w="709" w:type="dxa"/>
            <w:shd w:val="clear" w:color="auto" w:fill="auto"/>
            <w:vAlign w:val="center"/>
          </w:tcPr>
          <w:p w14:paraId="3A777DD7">
            <w:pPr>
              <w:pStyle w:val="178"/>
            </w:pPr>
          </w:p>
        </w:tc>
        <w:tc>
          <w:tcPr>
            <w:tcW w:w="709" w:type="dxa"/>
            <w:shd w:val="clear" w:color="auto" w:fill="auto"/>
            <w:vAlign w:val="center"/>
          </w:tcPr>
          <w:p w14:paraId="15A5B85A">
            <w:pPr>
              <w:pStyle w:val="178"/>
            </w:pPr>
          </w:p>
        </w:tc>
        <w:tc>
          <w:tcPr>
            <w:tcW w:w="1842" w:type="dxa"/>
            <w:shd w:val="clear" w:color="auto" w:fill="auto"/>
            <w:vAlign w:val="center"/>
          </w:tcPr>
          <w:p w14:paraId="670FE077">
            <w:pPr>
              <w:pStyle w:val="178"/>
            </w:pPr>
          </w:p>
        </w:tc>
        <w:tc>
          <w:tcPr>
            <w:tcW w:w="709" w:type="dxa"/>
            <w:shd w:val="clear" w:color="auto" w:fill="auto"/>
            <w:vAlign w:val="center"/>
          </w:tcPr>
          <w:p w14:paraId="1B157335">
            <w:pPr>
              <w:pStyle w:val="178"/>
            </w:pPr>
          </w:p>
        </w:tc>
        <w:tc>
          <w:tcPr>
            <w:tcW w:w="1276" w:type="dxa"/>
            <w:shd w:val="clear" w:color="auto" w:fill="auto"/>
            <w:vAlign w:val="center"/>
          </w:tcPr>
          <w:p w14:paraId="36F7CA97">
            <w:pPr>
              <w:pStyle w:val="178"/>
            </w:pPr>
          </w:p>
        </w:tc>
        <w:tc>
          <w:tcPr>
            <w:tcW w:w="1417" w:type="dxa"/>
            <w:shd w:val="clear" w:color="auto" w:fill="auto"/>
            <w:vAlign w:val="center"/>
          </w:tcPr>
          <w:p w14:paraId="75EAD004">
            <w:pPr>
              <w:pStyle w:val="178"/>
            </w:pPr>
          </w:p>
        </w:tc>
        <w:tc>
          <w:tcPr>
            <w:tcW w:w="1063" w:type="dxa"/>
            <w:shd w:val="clear" w:color="auto" w:fill="auto"/>
            <w:vAlign w:val="center"/>
          </w:tcPr>
          <w:p w14:paraId="0143B528">
            <w:pPr>
              <w:pStyle w:val="178"/>
            </w:pPr>
          </w:p>
        </w:tc>
      </w:tr>
      <w:tr w14:paraId="659C2B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shd w:val="clear" w:color="auto" w:fill="auto"/>
            <w:vAlign w:val="center"/>
          </w:tcPr>
          <w:p w14:paraId="76D57C15">
            <w:pPr>
              <w:pStyle w:val="178"/>
            </w:pPr>
          </w:p>
        </w:tc>
        <w:tc>
          <w:tcPr>
            <w:tcW w:w="1276" w:type="dxa"/>
            <w:shd w:val="clear" w:color="auto" w:fill="auto"/>
            <w:vAlign w:val="center"/>
          </w:tcPr>
          <w:p w14:paraId="4131EC56">
            <w:pPr>
              <w:pStyle w:val="178"/>
            </w:pPr>
          </w:p>
        </w:tc>
        <w:tc>
          <w:tcPr>
            <w:tcW w:w="709" w:type="dxa"/>
            <w:shd w:val="clear" w:color="auto" w:fill="auto"/>
            <w:vAlign w:val="center"/>
          </w:tcPr>
          <w:p w14:paraId="43BBCE3C">
            <w:pPr>
              <w:pStyle w:val="178"/>
            </w:pPr>
          </w:p>
        </w:tc>
        <w:tc>
          <w:tcPr>
            <w:tcW w:w="709" w:type="dxa"/>
            <w:shd w:val="clear" w:color="auto" w:fill="auto"/>
            <w:vAlign w:val="center"/>
          </w:tcPr>
          <w:p w14:paraId="293F6488">
            <w:pPr>
              <w:pStyle w:val="178"/>
            </w:pPr>
          </w:p>
        </w:tc>
        <w:tc>
          <w:tcPr>
            <w:tcW w:w="1842" w:type="dxa"/>
            <w:shd w:val="clear" w:color="auto" w:fill="auto"/>
            <w:vAlign w:val="center"/>
          </w:tcPr>
          <w:p w14:paraId="2FAF7421">
            <w:pPr>
              <w:pStyle w:val="178"/>
            </w:pPr>
          </w:p>
        </w:tc>
        <w:tc>
          <w:tcPr>
            <w:tcW w:w="709" w:type="dxa"/>
            <w:shd w:val="clear" w:color="auto" w:fill="auto"/>
            <w:vAlign w:val="center"/>
          </w:tcPr>
          <w:p w14:paraId="75F80A60">
            <w:pPr>
              <w:pStyle w:val="178"/>
            </w:pPr>
          </w:p>
        </w:tc>
        <w:tc>
          <w:tcPr>
            <w:tcW w:w="1276" w:type="dxa"/>
            <w:shd w:val="clear" w:color="auto" w:fill="auto"/>
            <w:vAlign w:val="center"/>
          </w:tcPr>
          <w:p w14:paraId="3350CCF4">
            <w:pPr>
              <w:pStyle w:val="178"/>
            </w:pPr>
          </w:p>
        </w:tc>
        <w:tc>
          <w:tcPr>
            <w:tcW w:w="1417" w:type="dxa"/>
            <w:shd w:val="clear" w:color="auto" w:fill="auto"/>
            <w:vAlign w:val="center"/>
          </w:tcPr>
          <w:p w14:paraId="57B022E6">
            <w:pPr>
              <w:pStyle w:val="178"/>
            </w:pPr>
          </w:p>
        </w:tc>
        <w:tc>
          <w:tcPr>
            <w:tcW w:w="1063" w:type="dxa"/>
            <w:shd w:val="clear" w:color="auto" w:fill="auto"/>
            <w:vAlign w:val="center"/>
          </w:tcPr>
          <w:p w14:paraId="69EAAA80">
            <w:pPr>
              <w:pStyle w:val="178"/>
            </w:pPr>
          </w:p>
        </w:tc>
      </w:tr>
      <w:tr w14:paraId="057A1E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shd w:val="clear" w:color="auto" w:fill="auto"/>
            <w:vAlign w:val="center"/>
          </w:tcPr>
          <w:p w14:paraId="289103BA">
            <w:pPr>
              <w:pStyle w:val="178"/>
            </w:pPr>
          </w:p>
        </w:tc>
        <w:tc>
          <w:tcPr>
            <w:tcW w:w="1276" w:type="dxa"/>
            <w:shd w:val="clear" w:color="auto" w:fill="auto"/>
            <w:vAlign w:val="center"/>
          </w:tcPr>
          <w:p w14:paraId="4AE0F513">
            <w:pPr>
              <w:pStyle w:val="178"/>
            </w:pPr>
          </w:p>
        </w:tc>
        <w:tc>
          <w:tcPr>
            <w:tcW w:w="709" w:type="dxa"/>
            <w:shd w:val="clear" w:color="auto" w:fill="auto"/>
            <w:vAlign w:val="center"/>
          </w:tcPr>
          <w:p w14:paraId="7F35888C">
            <w:pPr>
              <w:pStyle w:val="178"/>
            </w:pPr>
          </w:p>
        </w:tc>
        <w:tc>
          <w:tcPr>
            <w:tcW w:w="709" w:type="dxa"/>
            <w:shd w:val="clear" w:color="auto" w:fill="auto"/>
            <w:vAlign w:val="center"/>
          </w:tcPr>
          <w:p w14:paraId="4B14AFD1">
            <w:pPr>
              <w:pStyle w:val="178"/>
            </w:pPr>
          </w:p>
        </w:tc>
        <w:tc>
          <w:tcPr>
            <w:tcW w:w="1842" w:type="dxa"/>
            <w:shd w:val="clear" w:color="auto" w:fill="auto"/>
            <w:vAlign w:val="center"/>
          </w:tcPr>
          <w:p w14:paraId="131D940A">
            <w:pPr>
              <w:pStyle w:val="178"/>
            </w:pPr>
          </w:p>
        </w:tc>
        <w:tc>
          <w:tcPr>
            <w:tcW w:w="709" w:type="dxa"/>
            <w:shd w:val="clear" w:color="auto" w:fill="auto"/>
            <w:vAlign w:val="center"/>
          </w:tcPr>
          <w:p w14:paraId="2B3360E8">
            <w:pPr>
              <w:pStyle w:val="178"/>
            </w:pPr>
          </w:p>
        </w:tc>
        <w:tc>
          <w:tcPr>
            <w:tcW w:w="1276" w:type="dxa"/>
            <w:shd w:val="clear" w:color="auto" w:fill="auto"/>
            <w:vAlign w:val="center"/>
          </w:tcPr>
          <w:p w14:paraId="6019BC22">
            <w:pPr>
              <w:pStyle w:val="178"/>
            </w:pPr>
          </w:p>
        </w:tc>
        <w:tc>
          <w:tcPr>
            <w:tcW w:w="1417" w:type="dxa"/>
            <w:shd w:val="clear" w:color="auto" w:fill="auto"/>
            <w:vAlign w:val="center"/>
          </w:tcPr>
          <w:p w14:paraId="0512FB5B">
            <w:pPr>
              <w:pStyle w:val="178"/>
            </w:pPr>
          </w:p>
        </w:tc>
        <w:tc>
          <w:tcPr>
            <w:tcW w:w="1063" w:type="dxa"/>
            <w:shd w:val="clear" w:color="auto" w:fill="auto"/>
            <w:vAlign w:val="center"/>
          </w:tcPr>
          <w:p w14:paraId="0261C4CD">
            <w:pPr>
              <w:pStyle w:val="178"/>
            </w:pPr>
          </w:p>
        </w:tc>
      </w:tr>
      <w:tr w14:paraId="688C71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shd w:val="clear" w:color="auto" w:fill="auto"/>
            <w:vAlign w:val="center"/>
          </w:tcPr>
          <w:p w14:paraId="7D4C8DC4">
            <w:pPr>
              <w:pStyle w:val="178"/>
            </w:pPr>
          </w:p>
        </w:tc>
        <w:tc>
          <w:tcPr>
            <w:tcW w:w="1276" w:type="dxa"/>
            <w:shd w:val="clear" w:color="auto" w:fill="auto"/>
            <w:vAlign w:val="center"/>
          </w:tcPr>
          <w:p w14:paraId="394D5DA5">
            <w:pPr>
              <w:pStyle w:val="178"/>
            </w:pPr>
          </w:p>
        </w:tc>
        <w:tc>
          <w:tcPr>
            <w:tcW w:w="709" w:type="dxa"/>
            <w:shd w:val="clear" w:color="auto" w:fill="auto"/>
            <w:vAlign w:val="center"/>
          </w:tcPr>
          <w:p w14:paraId="39E1D5DB">
            <w:pPr>
              <w:pStyle w:val="178"/>
            </w:pPr>
          </w:p>
        </w:tc>
        <w:tc>
          <w:tcPr>
            <w:tcW w:w="709" w:type="dxa"/>
            <w:shd w:val="clear" w:color="auto" w:fill="auto"/>
            <w:vAlign w:val="center"/>
          </w:tcPr>
          <w:p w14:paraId="02B47D47">
            <w:pPr>
              <w:pStyle w:val="178"/>
            </w:pPr>
          </w:p>
        </w:tc>
        <w:tc>
          <w:tcPr>
            <w:tcW w:w="1842" w:type="dxa"/>
            <w:shd w:val="clear" w:color="auto" w:fill="auto"/>
            <w:vAlign w:val="center"/>
          </w:tcPr>
          <w:p w14:paraId="370E1116">
            <w:pPr>
              <w:pStyle w:val="178"/>
            </w:pPr>
          </w:p>
        </w:tc>
        <w:tc>
          <w:tcPr>
            <w:tcW w:w="709" w:type="dxa"/>
            <w:shd w:val="clear" w:color="auto" w:fill="auto"/>
            <w:vAlign w:val="center"/>
          </w:tcPr>
          <w:p w14:paraId="27F05E86">
            <w:pPr>
              <w:pStyle w:val="178"/>
            </w:pPr>
          </w:p>
        </w:tc>
        <w:tc>
          <w:tcPr>
            <w:tcW w:w="1276" w:type="dxa"/>
            <w:shd w:val="clear" w:color="auto" w:fill="auto"/>
            <w:vAlign w:val="center"/>
          </w:tcPr>
          <w:p w14:paraId="4F7B8FC0">
            <w:pPr>
              <w:pStyle w:val="178"/>
            </w:pPr>
          </w:p>
        </w:tc>
        <w:tc>
          <w:tcPr>
            <w:tcW w:w="1417" w:type="dxa"/>
            <w:shd w:val="clear" w:color="auto" w:fill="auto"/>
            <w:vAlign w:val="center"/>
          </w:tcPr>
          <w:p w14:paraId="4E2C7EF8">
            <w:pPr>
              <w:pStyle w:val="178"/>
            </w:pPr>
          </w:p>
        </w:tc>
        <w:tc>
          <w:tcPr>
            <w:tcW w:w="1063" w:type="dxa"/>
            <w:shd w:val="clear" w:color="auto" w:fill="auto"/>
            <w:vAlign w:val="center"/>
          </w:tcPr>
          <w:p w14:paraId="5ABEED38">
            <w:pPr>
              <w:pStyle w:val="178"/>
            </w:pPr>
          </w:p>
        </w:tc>
      </w:tr>
      <w:tr w14:paraId="4036EE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shd w:val="clear" w:color="auto" w:fill="auto"/>
            <w:vAlign w:val="center"/>
          </w:tcPr>
          <w:p w14:paraId="3701AA4A">
            <w:pPr>
              <w:pStyle w:val="178"/>
            </w:pPr>
          </w:p>
        </w:tc>
        <w:tc>
          <w:tcPr>
            <w:tcW w:w="1276" w:type="dxa"/>
            <w:shd w:val="clear" w:color="auto" w:fill="auto"/>
            <w:vAlign w:val="center"/>
          </w:tcPr>
          <w:p w14:paraId="70380BF2">
            <w:pPr>
              <w:pStyle w:val="178"/>
            </w:pPr>
          </w:p>
        </w:tc>
        <w:tc>
          <w:tcPr>
            <w:tcW w:w="709" w:type="dxa"/>
            <w:shd w:val="clear" w:color="auto" w:fill="auto"/>
            <w:vAlign w:val="center"/>
          </w:tcPr>
          <w:p w14:paraId="6E87C3F8">
            <w:pPr>
              <w:pStyle w:val="178"/>
            </w:pPr>
          </w:p>
        </w:tc>
        <w:tc>
          <w:tcPr>
            <w:tcW w:w="709" w:type="dxa"/>
            <w:shd w:val="clear" w:color="auto" w:fill="auto"/>
            <w:vAlign w:val="center"/>
          </w:tcPr>
          <w:p w14:paraId="2785C1CF">
            <w:pPr>
              <w:pStyle w:val="178"/>
            </w:pPr>
          </w:p>
        </w:tc>
        <w:tc>
          <w:tcPr>
            <w:tcW w:w="1842" w:type="dxa"/>
            <w:shd w:val="clear" w:color="auto" w:fill="auto"/>
            <w:vAlign w:val="center"/>
          </w:tcPr>
          <w:p w14:paraId="14CC64B9">
            <w:pPr>
              <w:pStyle w:val="178"/>
            </w:pPr>
          </w:p>
        </w:tc>
        <w:tc>
          <w:tcPr>
            <w:tcW w:w="709" w:type="dxa"/>
            <w:shd w:val="clear" w:color="auto" w:fill="auto"/>
            <w:vAlign w:val="center"/>
          </w:tcPr>
          <w:p w14:paraId="2AAA379E">
            <w:pPr>
              <w:pStyle w:val="178"/>
            </w:pPr>
          </w:p>
        </w:tc>
        <w:tc>
          <w:tcPr>
            <w:tcW w:w="1276" w:type="dxa"/>
            <w:shd w:val="clear" w:color="auto" w:fill="auto"/>
            <w:vAlign w:val="center"/>
          </w:tcPr>
          <w:p w14:paraId="285C1F6A">
            <w:pPr>
              <w:pStyle w:val="178"/>
            </w:pPr>
          </w:p>
        </w:tc>
        <w:tc>
          <w:tcPr>
            <w:tcW w:w="1417" w:type="dxa"/>
            <w:shd w:val="clear" w:color="auto" w:fill="auto"/>
            <w:vAlign w:val="center"/>
          </w:tcPr>
          <w:p w14:paraId="4E0D5A3F">
            <w:pPr>
              <w:pStyle w:val="178"/>
            </w:pPr>
          </w:p>
        </w:tc>
        <w:tc>
          <w:tcPr>
            <w:tcW w:w="1063" w:type="dxa"/>
            <w:shd w:val="clear" w:color="auto" w:fill="auto"/>
            <w:vAlign w:val="center"/>
          </w:tcPr>
          <w:p w14:paraId="065A1EEE">
            <w:pPr>
              <w:pStyle w:val="178"/>
            </w:pPr>
          </w:p>
        </w:tc>
      </w:tr>
      <w:tr w14:paraId="439FA1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shd w:val="clear" w:color="auto" w:fill="auto"/>
            <w:vAlign w:val="center"/>
          </w:tcPr>
          <w:p w14:paraId="5765501F">
            <w:pPr>
              <w:pStyle w:val="178"/>
            </w:pPr>
          </w:p>
        </w:tc>
        <w:tc>
          <w:tcPr>
            <w:tcW w:w="1276" w:type="dxa"/>
            <w:shd w:val="clear" w:color="auto" w:fill="auto"/>
            <w:vAlign w:val="center"/>
          </w:tcPr>
          <w:p w14:paraId="21D4B6C3">
            <w:pPr>
              <w:pStyle w:val="178"/>
            </w:pPr>
          </w:p>
        </w:tc>
        <w:tc>
          <w:tcPr>
            <w:tcW w:w="709" w:type="dxa"/>
            <w:shd w:val="clear" w:color="auto" w:fill="auto"/>
            <w:vAlign w:val="center"/>
          </w:tcPr>
          <w:p w14:paraId="7C952C9B">
            <w:pPr>
              <w:pStyle w:val="178"/>
            </w:pPr>
          </w:p>
        </w:tc>
        <w:tc>
          <w:tcPr>
            <w:tcW w:w="709" w:type="dxa"/>
            <w:shd w:val="clear" w:color="auto" w:fill="auto"/>
            <w:vAlign w:val="center"/>
          </w:tcPr>
          <w:p w14:paraId="65F0577D">
            <w:pPr>
              <w:pStyle w:val="178"/>
            </w:pPr>
          </w:p>
        </w:tc>
        <w:tc>
          <w:tcPr>
            <w:tcW w:w="1842" w:type="dxa"/>
            <w:shd w:val="clear" w:color="auto" w:fill="auto"/>
            <w:vAlign w:val="center"/>
          </w:tcPr>
          <w:p w14:paraId="47A96841">
            <w:pPr>
              <w:pStyle w:val="178"/>
            </w:pPr>
          </w:p>
        </w:tc>
        <w:tc>
          <w:tcPr>
            <w:tcW w:w="709" w:type="dxa"/>
            <w:shd w:val="clear" w:color="auto" w:fill="auto"/>
            <w:vAlign w:val="center"/>
          </w:tcPr>
          <w:p w14:paraId="10CA900B">
            <w:pPr>
              <w:pStyle w:val="178"/>
            </w:pPr>
          </w:p>
        </w:tc>
        <w:tc>
          <w:tcPr>
            <w:tcW w:w="1276" w:type="dxa"/>
            <w:shd w:val="clear" w:color="auto" w:fill="auto"/>
            <w:vAlign w:val="center"/>
          </w:tcPr>
          <w:p w14:paraId="78887F10">
            <w:pPr>
              <w:pStyle w:val="178"/>
            </w:pPr>
          </w:p>
        </w:tc>
        <w:tc>
          <w:tcPr>
            <w:tcW w:w="1417" w:type="dxa"/>
            <w:shd w:val="clear" w:color="auto" w:fill="auto"/>
            <w:vAlign w:val="center"/>
          </w:tcPr>
          <w:p w14:paraId="47B9E15E">
            <w:pPr>
              <w:pStyle w:val="178"/>
            </w:pPr>
          </w:p>
        </w:tc>
        <w:tc>
          <w:tcPr>
            <w:tcW w:w="1063" w:type="dxa"/>
            <w:shd w:val="clear" w:color="auto" w:fill="auto"/>
            <w:vAlign w:val="center"/>
          </w:tcPr>
          <w:p w14:paraId="43DADCDF">
            <w:pPr>
              <w:pStyle w:val="178"/>
            </w:pPr>
          </w:p>
        </w:tc>
      </w:tr>
      <w:tr w14:paraId="799CBA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shd w:val="clear" w:color="auto" w:fill="auto"/>
            <w:vAlign w:val="center"/>
          </w:tcPr>
          <w:p w14:paraId="272C4812">
            <w:pPr>
              <w:pStyle w:val="178"/>
            </w:pPr>
          </w:p>
        </w:tc>
        <w:tc>
          <w:tcPr>
            <w:tcW w:w="1276" w:type="dxa"/>
            <w:shd w:val="clear" w:color="auto" w:fill="auto"/>
            <w:vAlign w:val="center"/>
          </w:tcPr>
          <w:p w14:paraId="4E7F4558">
            <w:pPr>
              <w:pStyle w:val="178"/>
            </w:pPr>
          </w:p>
        </w:tc>
        <w:tc>
          <w:tcPr>
            <w:tcW w:w="709" w:type="dxa"/>
            <w:shd w:val="clear" w:color="auto" w:fill="auto"/>
            <w:vAlign w:val="center"/>
          </w:tcPr>
          <w:p w14:paraId="0EA35D82">
            <w:pPr>
              <w:pStyle w:val="178"/>
            </w:pPr>
          </w:p>
        </w:tc>
        <w:tc>
          <w:tcPr>
            <w:tcW w:w="709" w:type="dxa"/>
            <w:shd w:val="clear" w:color="auto" w:fill="auto"/>
            <w:vAlign w:val="center"/>
          </w:tcPr>
          <w:p w14:paraId="6FAADDCB">
            <w:pPr>
              <w:pStyle w:val="178"/>
            </w:pPr>
          </w:p>
        </w:tc>
        <w:tc>
          <w:tcPr>
            <w:tcW w:w="1842" w:type="dxa"/>
            <w:shd w:val="clear" w:color="auto" w:fill="auto"/>
            <w:vAlign w:val="center"/>
          </w:tcPr>
          <w:p w14:paraId="594FD99C">
            <w:pPr>
              <w:pStyle w:val="178"/>
            </w:pPr>
          </w:p>
        </w:tc>
        <w:tc>
          <w:tcPr>
            <w:tcW w:w="709" w:type="dxa"/>
            <w:shd w:val="clear" w:color="auto" w:fill="auto"/>
            <w:vAlign w:val="center"/>
          </w:tcPr>
          <w:p w14:paraId="180029AF">
            <w:pPr>
              <w:pStyle w:val="178"/>
            </w:pPr>
          </w:p>
        </w:tc>
        <w:tc>
          <w:tcPr>
            <w:tcW w:w="1276" w:type="dxa"/>
            <w:shd w:val="clear" w:color="auto" w:fill="auto"/>
            <w:vAlign w:val="center"/>
          </w:tcPr>
          <w:p w14:paraId="0AAFAEE7">
            <w:pPr>
              <w:pStyle w:val="178"/>
            </w:pPr>
          </w:p>
        </w:tc>
        <w:tc>
          <w:tcPr>
            <w:tcW w:w="1417" w:type="dxa"/>
            <w:shd w:val="clear" w:color="auto" w:fill="auto"/>
            <w:vAlign w:val="center"/>
          </w:tcPr>
          <w:p w14:paraId="54F8FEF4">
            <w:pPr>
              <w:pStyle w:val="178"/>
            </w:pPr>
          </w:p>
        </w:tc>
        <w:tc>
          <w:tcPr>
            <w:tcW w:w="1063" w:type="dxa"/>
            <w:shd w:val="clear" w:color="auto" w:fill="auto"/>
            <w:vAlign w:val="center"/>
          </w:tcPr>
          <w:p w14:paraId="6D526E51">
            <w:pPr>
              <w:pStyle w:val="178"/>
            </w:pPr>
          </w:p>
        </w:tc>
      </w:tr>
      <w:tr w14:paraId="44441E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78" w:hRule="atLeast"/>
          <w:jc w:val="center"/>
        </w:trPr>
        <w:tc>
          <w:tcPr>
            <w:tcW w:w="557" w:type="dxa"/>
            <w:shd w:val="clear" w:color="auto" w:fill="auto"/>
            <w:vAlign w:val="center"/>
          </w:tcPr>
          <w:p w14:paraId="602B6A8D">
            <w:pPr>
              <w:pStyle w:val="178"/>
            </w:pPr>
          </w:p>
        </w:tc>
        <w:tc>
          <w:tcPr>
            <w:tcW w:w="1276" w:type="dxa"/>
            <w:shd w:val="clear" w:color="auto" w:fill="auto"/>
            <w:vAlign w:val="center"/>
          </w:tcPr>
          <w:p w14:paraId="465C6B5F">
            <w:pPr>
              <w:pStyle w:val="178"/>
            </w:pPr>
          </w:p>
        </w:tc>
        <w:tc>
          <w:tcPr>
            <w:tcW w:w="709" w:type="dxa"/>
            <w:shd w:val="clear" w:color="auto" w:fill="auto"/>
            <w:vAlign w:val="center"/>
          </w:tcPr>
          <w:p w14:paraId="72D3C61C">
            <w:pPr>
              <w:pStyle w:val="178"/>
            </w:pPr>
          </w:p>
        </w:tc>
        <w:tc>
          <w:tcPr>
            <w:tcW w:w="709" w:type="dxa"/>
            <w:shd w:val="clear" w:color="auto" w:fill="auto"/>
            <w:vAlign w:val="center"/>
          </w:tcPr>
          <w:p w14:paraId="7EB6C698">
            <w:pPr>
              <w:pStyle w:val="178"/>
            </w:pPr>
          </w:p>
        </w:tc>
        <w:tc>
          <w:tcPr>
            <w:tcW w:w="1842" w:type="dxa"/>
            <w:shd w:val="clear" w:color="auto" w:fill="auto"/>
            <w:vAlign w:val="center"/>
          </w:tcPr>
          <w:p w14:paraId="7EC32C07">
            <w:pPr>
              <w:pStyle w:val="178"/>
            </w:pPr>
          </w:p>
        </w:tc>
        <w:tc>
          <w:tcPr>
            <w:tcW w:w="709" w:type="dxa"/>
            <w:shd w:val="clear" w:color="auto" w:fill="auto"/>
            <w:vAlign w:val="center"/>
          </w:tcPr>
          <w:p w14:paraId="74B2BCF5">
            <w:pPr>
              <w:pStyle w:val="178"/>
            </w:pPr>
          </w:p>
        </w:tc>
        <w:tc>
          <w:tcPr>
            <w:tcW w:w="1276" w:type="dxa"/>
            <w:shd w:val="clear" w:color="auto" w:fill="auto"/>
            <w:vAlign w:val="center"/>
          </w:tcPr>
          <w:p w14:paraId="3896B18A">
            <w:pPr>
              <w:pStyle w:val="178"/>
            </w:pPr>
          </w:p>
        </w:tc>
        <w:tc>
          <w:tcPr>
            <w:tcW w:w="1417" w:type="dxa"/>
            <w:shd w:val="clear" w:color="auto" w:fill="auto"/>
            <w:vAlign w:val="center"/>
          </w:tcPr>
          <w:p w14:paraId="10754A21">
            <w:pPr>
              <w:pStyle w:val="178"/>
            </w:pPr>
          </w:p>
        </w:tc>
        <w:tc>
          <w:tcPr>
            <w:tcW w:w="1063" w:type="dxa"/>
            <w:shd w:val="clear" w:color="auto" w:fill="auto"/>
            <w:vAlign w:val="center"/>
          </w:tcPr>
          <w:p w14:paraId="189C2C77">
            <w:pPr>
              <w:pStyle w:val="178"/>
            </w:pPr>
          </w:p>
        </w:tc>
      </w:tr>
      <w:tr w14:paraId="7CC29B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shd w:val="clear" w:color="auto" w:fill="auto"/>
            <w:vAlign w:val="center"/>
          </w:tcPr>
          <w:p w14:paraId="6E281733">
            <w:pPr>
              <w:pStyle w:val="178"/>
            </w:pPr>
          </w:p>
        </w:tc>
        <w:tc>
          <w:tcPr>
            <w:tcW w:w="1276" w:type="dxa"/>
            <w:shd w:val="clear" w:color="auto" w:fill="auto"/>
            <w:vAlign w:val="center"/>
          </w:tcPr>
          <w:p w14:paraId="70974211">
            <w:pPr>
              <w:pStyle w:val="178"/>
            </w:pPr>
          </w:p>
        </w:tc>
        <w:tc>
          <w:tcPr>
            <w:tcW w:w="709" w:type="dxa"/>
            <w:shd w:val="clear" w:color="auto" w:fill="auto"/>
            <w:vAlign w:val="center"/>
          </w:tcPr>
          <w:p w14:paraId="79A3509B">
            <w:pPr>
              <w:pStyle w:val="178"/>
            </w:pPr>
          </w:p>
        </w:tc>
        <w:tc>
          <w:tcPr>
            <w:tcW w:w="709" w:type="dxa"/>
            <w:shd w:val="clear" w:color="auto" w:fill="auto"/>
            <w:vAlign w:val="center"/>
          </w:tcPr>
          <w:p w14:paraId="314222BE">
            <w:pPr>
              <w:pStyle w:val="178"/>
            </w:pPr>
          </w:p>
        </w:tc>
        <w:tc>
          <w:tcPr>
            <w:tcW w:w="1842" w:type="dxa"/>
            <w:shd w:val="clear" w:color="auto" w:fill="auto"/>
            <w:vAlign w:val="center"/>
          </w:tcPr>
          <w:p w14:paraId="54460181">
            <w:pPr>
              <w:pStyle w:val="178"/>
            </w:pPr>
          </w:p>
        </w:tc>
        <w:tc>
          <w:tcPr>
            <w:tcW w:w="709" w:type="dxa"/>
            <w:shd w:val="clear" w:color="auto" w:fill="auto"/>
            <w:vAlign w:val="center"/>
          </w:tcPr>
          <w:p w14:paraId="30AE33C1">
            <w:pPr>
              <w:pStyle w:val="178"/>
            </w:pPr>
          </w:p>
        </w:tc>
        <w:tc>
          <w:tcPr>
            <w:tcW w:w="1276" w:type="dxa"/>
            <w:shd w:val="clear" w:color="auto" w:fill="auto"/>
            <w:vAlign w:val="center"/>
          </w:tcPr>
          <w:p w14:paraId="48340D5D">
            <w:pPr>
              <w:pStyle w:val="178"/>
            </w:pPr>
          </w:p>
        </w:tc>
        <w:tc>
          <w:tcPr>
            <w:tcW w:w="1417" w:type="dxa"/>
            <w:shd w:val="clear" w:color="auto" w:fill="auto"/>
            <w:vAlign w:val="center"/>
          </w:tcPr>
          <w:p w14:paraId="1B2B3370">
            <w:pPr>
              <w:pStyle w:val="178"/>
            </w:pPr>
          </w:p>
        </w:tc>
        <w:tc>
          <w:tcPr>
            <w:tcW w:w="1063" w:type="dxa"/>
            <w:shd w:val="clear" w:color="auto" w:fill="auto"/>
            <w:vAlign w:val="center"/>
          </w:tcPr>
          <w:p w14:paraId="25BE2BDB">
            <w:pPr>
              <w:pStyle w:val="178"/>
            </w:pPr>
          </w:p>
        </w:tc>
      </w:tr>
      <w:tr w14:paraId="53CC53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557" w:type="dxa"/>
            <w:shd w:val="clear" w:color="auto" w:fill="auto"/>
            <w:vAlign w:val="center"/>
          </w:tcPr>
          <w:p w14:paraId="649065AB">
            <w:pPr>
              <w:pStyle w:val="178"/>
            </w:pPr>
          </w:p>
        </w:tc>
        <w:tc>
          <w:tcPr>
            <w:tcW w:w="1276" w:type="dxa"/>
            <w:shd w:val="clear" w:color="auto" w:fill="auto"/>
            <w:vAlign w:val="center"/>
          </w:tcPr>
          <w:p w14:paraId="65C60F9D">
            <w:pPr>
              <w:pStyle w:val="178"/>
            </w:pPr>
          </w:p>
        </w:tc>
        <w:tc>
          <w:tcPr>
            <w:tcW w:w="709" w:type="dxa"/>
            <w:shd w:val="clear" w:color="auto" w:fill="auto"/>
            <w:vAlign w:val="center"/>
          </w:tcPr>
          <w:p w14:paraId="5BF43C22">
            <w:pPr>
              <w:pStyle w:val="178"/>
            </w:pPr>
          </w:p>
        </w:tc>
        <w:tc>
          <w:tcPr>
            <w:tcW w:w="709" w:type="dxa"/>
            <w:shd w:val="clear" w:color="auto" w:fill="auto"/>
            <w:vAlign w:val="center"/>
          </w:tcPr>
          <w:p w14:paraId="2AC07E2A">
            <w:pPr>
              <w:pStyle w:val="178"/>
            </w:pPr>
          </w:p>
        </w:tc>
        <w:tc>
          <w:tcPr>
            <w:tcW w:w="1842" w:type="dxa"/>
            <w:shd w:val="clear" w:color="auto" w:fill="auto"/>
            <w:vAlign w:val="center"/>
          </w:tcPr>
          <w:p w14:paraId="1DDDD133">
            <w:pPr>
              <w:pStyle w:val="178"/>
            </w:pPr>
          </w:p>
        </w:tc>
        <w:tc>
          <w:tcPr>
            <w:tcW w:w="709" w:type="dxa"/>
            <w:shd w:val="clear" w:color="auto" w:fill="auto"/>
            <w:vAlign w:val="center"/>
          </w:tcPr>
          <w:p w14:paraId="62DA624E">
            <w:pPr>
              <w:pStyle w:val="178"/>
            </w:pPr>
          </w:p>
        </w:tc>
        <w:tc>
          <w:tcPr>
            <w:tcW w:w="1276" w:type="dxa"/>
            <w:shd w:val="clear" w:color="auto" w:fill="auto"/>
            <w:vAlign w:val="center"/>
          </w:tcPr>
          <w:p w14:paraId="1509944E">
            <w:pPr>
              <w:pStyle w:val="178"/>
            </w:pPr>
          </w:p>
        </w:tc>
        <w:tc>
          <w:tcPr>
            <w:tcW w:w="1417" w:type="dxa"/>
            <w:shd w:val="clear" w:color="auto" w:fill="auto"/>
            <w:vAlign w:val="center"/>
          </w:tcPr>
          <w:p w14:paraId="3FF3A85E">
            <w:pPr>
              <w:pStyle w:val="178"/>
            </w:pPr>
          </w:p>
        </w:tc>
        <w:tc>
          <w:tcPr>
            <w:tcW w:w="1063" w:type="dxa"/>
            <w:shd w:val="clear" w:color="auto" w:fill="auto"/>
            <w:vAlign w:val="center"/>
          </w:tcPr>
          <w:p w14:paraId="00E3C9FE">
            <w:pPr>
              <w:pStyle w:val="178"/>
            </w:pPr>
          </w:p>
        </w:tc>
      </w:tr>
    </w:tbl>
    <w:p w14:paraId="5407332B">
      <w:pPr>
        <w:pStyle w:val="56"/>
        <w:ind w:firstLine="420"/>
      </w:pPr>
      <w:r>
        <w:rPr>
          <w:rFonts w:hint="eastAsia"/>
        </w:rPr>
        <w:t>登记人员：</w:t>
      </w:r>
    </w:p>
    <w:p w14:paraId="5CFAD4C0">
      <w:pPr>
        <w:pStyle w:val="56"/>
        <w:ind w:firstLine="420"/>
      </w:pPr>
      <w:r>
        <w:rPr>
          <w:rFonts w:hint="eastAsia"/>
        </w:rPr>
        <w:t>登记时间：</w:t>
      </w:r>
    </w:p>
    <w:p w14:paraId="705D5586">
      <w:pPr>
        <w:pStyle w:val="56"/>
        <w:ind w:firstLine="420"/>
      </w:pPr>
    </w:p>
    <w:bookmarkEnd w:id="88"/>
    <w:p w14:paraId="087FEF6F">
      <w:pPr>
        <w:pStyle w:val="56"/>
        <w:ind w:firstLine="420"/>
        <w:sectPr>
          <w:pgSz w:w="11906" w:h="16838"/>
          <w:pgMar w:top="1928" w:right="1134" w:bottom="1134" w:left="1134" w:header="1418" w:footer="1134" w:gutter="284"/>
          <w:cols w:space="425" w:num="1"/>
          <w:formProt w:val="0"/>
          <w:docGrid w:type="lines" w:linePitch="312" w:charSpace="0"/>
        </w:sectPr>
      </w:pPr>
      <w:bookmarkStart w:id="92" w:name="BookMark6"/>
    </w:p>
    <w:p w14:paraId="00032C0C">
      <w:pPr>
        <w:pStyle w:val="63"/>
        <w:spacing w:after="156"/>
      </w:pPr>
      <w:bookmarkStart w:id="93" w:name="_Toc175856598"/>
      <w:bookmarkStart w:id="94" w:name="_Toc177549332"/>
      <w:bookmarkStart w:id="95" w:name="_Toc175856557"/>
      <w:r>
        <w:rPr>
          <w:rFonts w:hint="eastAsia"/>
          <w:spacing w:val="105"/>
        </w:rPr>
        <w:t>参考文</w:t>
      </w:r>
      <w:r>
        <w:rPr>
          <w:rFonts w:hint="eastAsia"/>
        </w:rPr>
        <w:t>献</w:t>
      </w:r>
      <w:bookmarkEnd w:id="93"/>
      <w:bookmarkEnd w:id="94"/>
      <w:bookmarkEnd w:id="95"/>
    </w:p>
    <w:p w14:paraId="4CC82445">
      <w:pPr>
        <w:pStyle w:val="56"/>
        <w:ind w:firstLine="420"/>
      </w:pPr>
      <w:r>
        <w:rPr>
          <w:rFonts w:hint="eastAsia"/>
        </w:rPr>
        <w:t>[</w:t>
      </w:r>
      <w:r>
        <w:t xml:space="preserve">1] GB 18871 </w:t>
      </w:r>
      <w:r>
        <w:rPr>
          <w:rFonts w:hint="eastAsia"/>
        </w:rPr>
        <w:t>电离辐射防护与辐射源安全基本标准</w:t>
      </w:r>
    </w:p>
    <w:p w14:paraId="53FCEA66">
      <w:pPr>
        <w:pStyle w:val="56"/>
        <w:ind w:firstLine="420"/>
      </w:pPr>
      <w:r>
        <w:rPr>
          <w:rFonts w:hint="eastAsia"/>
        </w:rPr>
        <w:t>[</w:t>
      </w:r>
      <w:r>
        <w:t xml:space="preserve">2] GBZ 128 </w:t>
      </w:r>
      <w:r>
        <w:rPr>
          <w:rFonts w:hint="eastAsia"/>
        </w:rPr>
        <w:t>职业性外照射个人监测规范</w:t>
      </w:r>
    </w:p>
    <w:p w14:paraId="2CA7B0C0">
      <w:pPr>
        <w:pStyle w:val="56"/>
        <w:ind w:firstLine="420"/>
      </w:pPr>
      <w:r>
        <w:rPr>
          <w:rFonts w:hint="eastAsia"/>
        </w:rPr>
        <w:t>[</w:t>
      </w:r>
      <w:r>
        <w:t xml:space="preserve">3] WS/T 827 </w:t>
      </w:r>
      <w:r>
        <w:rPr>
          <w:rFonts w:hint="eastAsia"/>
        </w:rPr>
        <w:t>核与放射卫生应急准备与响应通用准则</w:t>
      </w:r>
    </w:p>
    <w:p w14:paraId="082ACA83">
      <w:pPr>
        <w:pStyle w:val="56"/>
        <w:ind w:firstLine="420"/>
      </w:pPr>
      <w:r>
        <w:rPr>
          <w:rFonts w:hint="eastAsia"/>
        </w:rPr>
        <w:t>[</w:t>
      </w:r>
      <w:r>
        <w:t>4]</w:t>
      </w:r>
      <w:r>
        <w:rPr>
          <w:rFonts w:hint="eastAsia"/>
        </w:rPr>
        <w:t xml:space="preserve"> 江苏省人民政府办公厅《江苏省核应急预案》苏政办函[</w:t>
      </w:r>
      <w:r>
        <w:t>2021]98</w:t>
      </w:r>
      <w:r>
        <w:rPr>
          <w:rFonts w:hint="eastAsia"/>
        </w:rPr>
        <w:t>号</w:t>
      </w:r>
    </w:p>
    <w:p w14:paraId="548FBF95">
      <w:pPr>
        <w:pStyle w:val="56"/>
        <w:ind w:firstLine="420"/>
      </w:pPr>
      <w:r>
        <w:rPr>
          <w:rFonts w:hint="eastAsia"/>
        </w:rPr>
        <w:t>[</w:t>
      </w:r>
      <w:r>
        <w:t>5]</w:t>
      </w:r>
      <w:r>
        <w:rPr>
          <w:rFonts w:hint="eastAsia"/>
        </w:rPr>
        <w:t xml:space="preserve"> 连云港市核应急办公室《江苏省田湾核电站连云港市场外核事故应急预案》连核办[</w:t>
      </w:r>
      <w:r>
        <w:t>2023]4</w:t>
      </w:r>
      <w:r>
        <w:rPr>
          <w:rFonts w:hint="eastAsia"/>
        </w:rPr>
        <w:t>号</w:t>
      </w:r>
    </w:p>
    <w:p w14:paraId="6E8BD9D5">
      <w:pPr>
        <w:pStyle w:val="56"/>
        <w:ind w:firstLine="420"/>
      </w:pPr>
      <w:r>
        <w:rPr>
          <w:rFonts w:hint="eastAsia"/>
        </w:rPr>
        <w:t>[</w:t>
      </w:r>
      <w:r>
        <w:t>6]</w:t>
      </w:r>
      <w:r>
        <w:rPr>
          <w:rFonts w:hint="eastAsia"/>
        </w:rPr>
        <w:t xml:space="preserve"> 连云港市核应急办公室《连云港市田湾核电站核事故场外应急预案执行程序》连核应办[2018]4号</w:t>
      </w:r>
    </w:p>
    <w:bookmarkEnd w:id="92"/>
    <w:p w14:paraId="773FADC5">
      <w:pPr>
        <w:pStyle w:val="56"/>
        <w:ind w:firstLine="0" w:firstLineChars="0"/>
        <w:jc w:val="center"/>
      </w:pPr>
      <w:bookmarkStart w:id="96"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6"/>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862BA">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9D5F0">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843C8">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8FFEF">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E1469">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74ACC">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99756">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6DB61">
    <w:pPr>
      <w:pStyle w:val="61"/>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15750">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R5puIpBcZckEK93EuS0+8sbwB4p30It/iywig8fD9kd57DPqLH/JWxqNUEzCVuPhna6v+d1RHnRfkhnxG5gYoQ==" w:salt="kLxsjImAP95BPn1lOGGxB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1MmUyNGQ3YTYyNTZiYzM5MWM2YTEwMGQ2YmM1NTUifQ=="/>
  </w:docVars>
  <w:rsids>
    <w:rsidRoot w:val="008E05B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9D7"/>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CAD"/>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1230"/>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2199"/>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04D2"/>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4A5E"/>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1E4E"/>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67D5"/>
    <w:rsid w:val="00632182"/>
    <w:rsid w:val="00632AE0"/>
    <w:rsid w:val="00633C17"/>
    <w:rsid w:val="00634D9E"/>
    <w:rsid w:val="00636E3E"/>
    <w:rsid w:val="006379F7"/>
    <w:rsid w:val="00637E4D"/>
    <w:rsid w:val="00640620"/>
    <w:rsid w:val="00641A1F"/>
    <w:rsid w:val="00645904"/>
    <w:rsid w:val="00651ACB"/>
    <w:rsid w:val="00651C47"/>
    <w:rsid w:val="00652AB2"/>
    <w:rsid w:val="00652FFA"/>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98D"/>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B20"/>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5B6"/>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A775D"/>
    <w:rsid w:val="009B09E0"/>
    <w:rsid w:val="009B0BC5"/>
    <w:rsid w:val="009B1247"/>
    <w:rsid w:val="009B46F9"/>
    <w:rsid w:val="009B6029"/>
    <w:rsid w:val="009B6971"/>
    <w:rsid w:val="009C1B6C"/>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4E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395"/>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3B5"/>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86D"/>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06D"/>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5617"/>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85A2164"/>
    <w:rsid w:val="11D734A2"/>
    <w:rsid w:val="442310B3"/>
    <w:rsid w:val="459A4A00"/>
    <w:rsid w:val="46256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正文1"/>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D71312AE1C64CE981F109A27266B4C5"/>
        <w:style w:val=""/>
        <w:category>
          <w:name w:val="常规"/>
          <w:gallery w:val="placeholder"/>
        </w:category>
        <w:types>
          <w:type w:val="bbPlcHdr"/>
        </w:types>
        <w:behaviors>
          <w:behavior w:val="content"/>
        </w:behaviors>
        <w:description w:val=""/>
        <w:guid w:val="{0CF6DFF7-3261-4289-8206-50A76B108E9F}"/>
      </w:docPartPr>
      <w:docPartBody>
        <w:p w14:paraId="601E394B">
          <w:pPr>
            <w:pStyle w:val="5"/>
          </w:pPr>
          <w:r>
            <w:rPr>
              <w:rStyle w:val="4"/>
              <w:rFonts w:hint="eastAsia"/>
            </w:rPr>
            <w:t>单击或点击此处输入文字。</w:t>
          </w:r>
        </w:p>
      </w:docPartBody>
    </w:docPart>
    <w:docPart>
      <w:docPartPr>
        <w:name w:val="F1590F1104654B60A66896EBA741A8CF"/>
        <w:style w:val=""/>
        <w:category>
          <w:name w:val="常规"/>
          <w:gallery w:val="placeholder"/>
        </w:category>
        <w:types>
          <w:type w:val="bbPlcHdr"/>
        </w:types>
        <w:behaviors>
          <w:behavior w:val="content"/>
        </w:behaviors>
        <w:description w:val=""/>
        <w:guid w:val="{47E5B005-DB5D-4F2C-99C6-0A010FC74B45}"/>
      </w:docPartPr>
      <w:docPartBody>
        <w:p w14:paraId="46F04B17">
          <w:pPr>
            <w:pStyle w:val="6"/>
          </w:pPr>
          <w:r>
            <w:rPr>
              <w:rStyle w:val="4"/>
              <w:rFonts w:hint="eastAsia"/>
            </w:rPr>
            <w:t>选择一项。</w:t>
          </w:r>
        </w:p>
      </w:docPartBody>
    </w:docPart>
    <w:docPart>
      <w:docPartPr>
        <w:name w:val="78AC0293DCFA4BCB8B2F66BA23EDFAE7"/>
        <w:style w:val=""/>
        <w:category>
          <w:name w:val="常规"/>
          <w:gallery w:val="placeholder"/>
        </w:category>
        <w:types>
          <w:type w:val="bbPlcHdr"/>
        </w:types>
        <w:behaviors>
          <w:behavior w:val="content"/>
        </w:behaviors>
        <w:description w:val=""/>
        <w:guid w:val="{7A510425-4189-4012-ACCC-A242CA423C39}"/>
      </w:docPartPr>
      <w:docPartBody>
        <w:p w14:paraId="44447D7A">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AB7"/>
    <w:rsid w:val="000359CA"/>
    <w:rsid w:val="003D1A8F"/>
    <w:rsid w:val="003D1F01"/>
    <w:rsid w:val="00A56308"/>
    <w:rsid w:val="00AB2AB7"/>
    <w:rsid w:val="00DA4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D71312AE1C64CE981F109A27266B4C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1590F1104654B60A66896EBA741A8C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8AC0293DCFA4BCB8B2F66BA23EDFAE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0E264C-5D62-423D-9502-D98E5EA57725}">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2680</Words>
  <Characters>2928</Characters>
  <Lines>33</Lines>
  <Paragraphs>9</Paragraphs>
  <TotalTime>1</TotalTime>
  <ScaleCrop>false</ScaleCrop>
  <LinksUpToDate>false</LinksUpToDate>
  <CharactersWithSpaces>3061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2024-08-29T12:18:00Z</dcterms:created>
  <dc:creator>Lenovo</dc:creator>
  <dc:description>&lt;config cover="true" show_menu="true" version="1.0.0" doctype="SDKXY"&gt;_x000d_
&lt;/config&gt;</dc:description>
  <cp:lastModifiedBy>血帆海盗</cp:lastModifiedBy>
  <cp:lastPrinted>2020-08-30T10:00:00Z</cp:lastPrinted>
  <dcterms:modified xsi:type="dcterms:W3CDTF">2024-09-18T02:57:23Z</dcterms:modified>
  <dc:title>地方标准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43BDF1B919034A0B8090CB201CC89C17</vt:lpwstr>
  </property>
</Properties>
</file>