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2E63C2" w14:paraId="448C322E" w14:textId="77777777">
        <w:tc>
          <w:tcPr>
            <w:tcW w:w="509" w:type="dxa"/>
          </w:tcPr>
          <w:p w14:paraId="06646262" w14:textId="77777777" w:rsidR="002E63C2" w:rsidRDefault="000A1C27">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541F0192" w14:textId="77777777" w:rsidR="002E63C2" w:rsidRDefault="000A1C27">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13.280</w:t>
            </w:r>
            <w:r>
              <w:rPr>
                <w:rFonts w:ascii="黑体" w:eastAsia="黑体" w:hAnsi="黑体"/>
                <w:sz w:val="21"/>
                <w:szCs w:val="21"/>
              </w:rPr>
              <w:fldChar w:fldCharType="end"/>
            </w:r>
            <w:bookmarkEnd w:id="0"/>
          </w:p>
        </w:tc>
      </w:tr>
      <w:tr w:rsidR="002E63C2" w14:paraId="5FA6722A" w14:textId="77777777">
        <w:tc>
          <w:tcPr>
            <w:tcW w:w="509" w:type="dxa"/>
          </w:tcPr>
          <w:p w14:paraId="516DD704" w14:textId="77777777" w:rsidR="002E63C2" w:rsidRDefault="000A1C27">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7DDE9927" w14:textId="77777777" w:rsidR="002E63C2" w:rsidRDefault="000A1C27">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 57</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2E63C2" w14:paraId="54BDE856" w14:textId="77777777">
        <w:tc>
          <w:tcPr>
            <w:tcW w:w="6407" w:type="dxa"/>
          </w:tcPr>
          <w:p w14:paraId="0F769EFC" w14:textId="77777777" w:rsidR="002E63C2" w:rsidRDefault="000A1C27">
            <w:pPr>
              <w:pStyle w:val="afffff"/>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36D4A757" wp14:editId="17248083">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14870D54" w14:textId="77777777" w:rsidR="002E63C2" w:rsidRDefault="000A1C27">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1C16FA14" w14:textId="77777777" w:rsidR="002E63C2" w:rsidRDefault="000A1C27">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XXXX.7</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38848B56" w14:textId="77777777" w:rsidR="002E63C2" w:rsidRDefault="000A1C27">
      <w:pPr>
        <w:pStyle w:val="affffffffff3"/>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4FE23350" w14:textId="77777777" w:rsidR="002E63C2" w:rsidRDefault="000A1C27">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E62D523" wp14:editId="60979EB7">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3D7726F" w14:textId="77777777" w:rsidR="002E63C2" w:rsidRDefault="002E63C2">
      <w:pPr>
        <w:pStyle w:val="afffff0"/>
        <w:framePr w:w="9639" w:h="6976" w:hRule="exact" w:hSpace="0" w:vSpace="0" w:wrap="around" w:hAnchor="page" w:y="6408"/>
        <w:jc w:val="center"/>
        <w:rPr>
          <w:rFonts w:ascii="黑体" w:eastAsia="黑体" w:hAnsi="黑体" w:hint="eastAsia"/>
          <w:b w:val="0"/>
          <w:bCs w:val="0"/>
          <w:w w:val="100"/>
        </w:rPr>
      </w:pPr>
    </w:p>
    <w:p w14:paraId="6B4DD527" w14:textId="77777777" w:rsidR="002E63C2" w:rsidRDefault="000A1C27">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7F3549">
        <w:t>核与辐射突发事件卫生应急处置技术规范</w:t>
      </w:r>
      <w:r w:rsidR="007F3549">
        <w:cr/>
        <w:t>第7部分：稳定性碘的使用指导</w:t>
      </w:r>
      <w:r>
        <w:fldChar w:fldCharType="end"/>
      </w:r>
      <w:bookmarkEnd w:id="9"/>
    </w:p>
    <w:p w14:paraId="23F7284A" w14:textId="77777777" w:rsidR="002E63C2" w:rsidRDefault="002E63C2">
      <w:pPr>
        <w:framePr w:w="9639" w:h="6974" w:hRule="exact" w:wrap="around" w:vAnchor="page" w:hAnchor="page" w:x="1419" w:y="6408" w:anchorLock="1"/>
        <w:ind w:left="-1418"/>
      </w:pPr>
    </w:p>
    <w:p w14:paraId="5BD160BE" w14:textId="77777777" w:rsidR="002E63C2" w:rsidRDefault="000A1C27">
      <w:pPr>
        <w:pStyle w:val="afffffff8"/>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Technical specifications of health response to nuclear or radiological emergency</w:t>
      </w:r>
      <w:r w:rsidR="003065BE">
        <w:rPr>
          <w:rFonts w:ascii="黑体" w:eastAsia="黑体" w:hAnsi="黑体" w:hint="eastAsia"/>
          <w:szCs w:val="28"/>
        </w:rPr>
        <w:t>—</w:t>
      </w:r>
    </w:p>
    <w:p w14:paraId="0A794C44" w14:textId="77777777" w:rsidR="002E63C2" w:rsidRDefault="000A1C27">
      <w:pPr>
        <w:pStyle w:val="afffffff8"/>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t>Part 7:Guidance on the use of stable iodine</w:t>
      </w:r>
      <w:r>
        <w:rPr>
          <w:rFonts w:ascii="黑体" w:eastAsia="黑体" w:hAnsi="黑体"/>
          <w:szCs w:val="28"/>
        </w:rPr>
        <w:fldChar w:fldCharType="end"/>
      </w:r>
      <w:bookmarkEnd w:id="10"/>
    </w:p>
    <w:p w14:paraId="6A6F8E1D" w14:textId="77777777" w:rsidR="002E63C2" w:rsidRDefault="002E63C2">
      <w:pPr>
        <w:framePr w:w="9639" w:h="6974" w:hRule="exact" w:wrap="around" w:vAnchor="page" w:hAnchor="page" w:x="1419" w:y="6408" w:anchorLock="1"/>
        <w:spacing w:line="760" w:lineRule="exact"/>
        <w:ind w:left="-1418"/>
      </w:pPr>
    </w:p>
    <w:p w14:paraId="54ABDE54" w14:textId="77777777" w:rsidR="002E63C2" w:rsidRDefault="002E63C2">
      <w:pPr>
        <w:pStyle w:val="afffffff8"/>
        <w:framePr w:w="9639" w:h="6974" w:hRule="exact" w:wrap="around" w:vAnchor="page" w:hAnchor="page" w:x="1419" w:y="6408" w:anchorLock="1"/>
        <w:textAlignment w:val="bottom"/>
        <w:rPr>
          <w:rFonts w:eastAsia="黑体"/>
          <w:szCs w:val="28"/>
        </w:rPr>
      </w:pPr>
    </w:p>
    <w:p w14:paraId="607D16A7" w14:textId="77777777" w:rsidR="002E63C2" w:rsidRDefault="000A1C27">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39DAF237" w14:textId="77777777" w:rsidR="002E63C2" w:rsidRDefault="000A1C27">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1F8AF0E3" w14:textId="77777777" w:rsidR="002E63C2" w:rsidRDefault="000A1C27">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30480431" w14:textId="77777777" w:rsidR="002E63C2" w:rsidRDefault="000A1C27">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7F3549">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55D58977" w14:textId="77777777" w:rsidR="002E63C2" w:rsidRDefault="000A1C27">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7C0786E0" w14:textId="77777777" w:rsidR="002E63C2" w:rsidRDefault="000A1C27">
      <w:pPr>
        <w:pStyle w:val="affffffff8"/>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47CE27C0" w14:textId="77777777" w:rsidR="002E63C2" w:rsidRDefault="000A1C27">
      <w:pPr>
        <w:rPr>
          <w:rFonts w:ascii="宋体" w:hAnsi="宋体" w:hint="eastAsia"/>
          <w:sz w:val="28"/>
          <w:szCs w:val="28"/>
        </w:rPr>
        <w:sectPr w:rsidR="002E63C2">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33B0CE30" wp14:editId="20E2DD02">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AD7CBA3" w14:textId="77777777" w:rsidR="002E63C2" w:rsidRDefault="000A1C27">
      <w:pPr>
        <w:pStyle w:val="affffffa"/>
        <w:spacing w:after="468"/>
      </w:pPr>
      <w:bookmarkStart w:id="21" w:name="BookMark1"/>
      <w:bookmarkStart w:id="22" w:name="_Toc171498483"/>
      <w:r>
        <w:rPr>
          <w:rFonts w:hint="eastAsia"/>
          <w:spacing w:val="320"/>
        </w:rPr>
        <w:lastRenderedPageBreak/>
        <w:t>目</w:t>
      </w:r>
      <w:r>
        <w:rPr>
          <w:rFonts w:hint="eastAsia"/>
        </w:rPr>
        <w:t>次</w:t>
      </w:r>
    </w:p>
    <w:p w14:paraId="53AC12B7" w14:textId="77777777" w:rsidR="002E63C2" w:rsidRDefault="000A1C27">
      <w:pPr>
        <w:pStyle w:val="TOC1"/>
        <w:tabs>
          <w:tab w:val="right" w:leader="dot" w:pos="9344"/>
        </w:tabs>
        <w:rPr>
          <w:rFonts w:asciiTheme="minorHAnsi" w:eastAsiaTheme="minorEastAsia" w:hAnsiTheme="minorHAnsi" w:cstheme="minorBidi" w:hint="eastAsia"/>
          <w:szCs w:val="22"/>
        </w:rPr>
      </w:pPr>
      <w:r>
        <w:fldChar w:fldCharType="begin"/>
      </w:r>
      <w:r>
        <w:instrText xml:space="preserve"> TOC \o "1-1" \h \t "标准文件_一级条标题,2,标准文件_附录一级条标题,2," </w:instrText>
      </w:r>
      <w:r>
        <w:fldChar w:fldCharType="separate"/>
      </w:r>
      <w:hyperlink w:anchor="_Toc175916639" w:history="1">
        <w:r>
          <w:rPr>
            <w:rStyle w:val="affffb"/>
          </w:rPr>
          <w:t>前言</w:t>
        </w:r>
        <w:r>
          <w:tab/>
        </w:r>
        <w:r>
          <w:fldChar w:fldCharType="begin"/>
        </w:r>
        <w:r>
          <w:instrText xml:space="preserve"> PAGEREF _Toc175916639 \h </w:instrText>
        </w:r>
        <w:r>
          <w:fldChar w:fldCharType="separate"/>
        </w:r>
        <w:r>
          <w:t>II</w:t>
        </w:r>
        <w:r>
          <w:fldChar w:fldCharType="end"/>
        </w:r>
      </w:hyperlink>
    </w:p>
    <w:p w14:paraId="0B56E2E8" w14:textId="77777777" w:rsidR="002E63C2" w:rsidRDefault="000A1C27">
      <w:pPr>
        <w:pStyle w:val="TOC1"/>
        <w:tabs>
          <w:tab w:val="right" w:leader="dot" w:pos="9344"/>
        </w:tabs>
        <w:rPr>
          <w:rFonts w:asciiTheme="minorHAnsi" w:eastAsiaTheme="minorEastAsia" w:hAnsiTheme="minorHAnsi" w:cstheme="minorBidi" w:hint="eastAsia"/>
          <w:szCs w:val="22"/>
        </w:rPr>
      </w:pPr>
      <w:hyperlink w:anchor="_Toc175916640" w:history="1">
        <w:r>
          <w:rPr>
            <w:rStyle w:val="affffb"/>
          </w:rPr>
          <w:t>引言</w:t>
        </w:r>
        <w:r>
          <w:tab/>
        </w:r>
        <w:r>
          <w:fldChar w:fldCharType="begin"/>
        </w:r>
        <w:r>
          <w:instrText xml:space="preserve"> PAGEREF _Toc175916640 \h </w:instrText>
        </w:r>
        <w:r>
          <w:fldChar w:fldCharType="separate"/>
        </w:r>
        <w:r>
          <w:t>III</w:t>
        </w:r>
        <w:r>
          <w:fldChar w:fldCharType="end"/>
        </w:r>
      </w:hyperlink>
    </w:p>
    <w:p w14:paraId="1F4B8B64" w14:textId="77777777" w:rsidR="002E63C2" w:rsidRDefault="000A1C27">
      <w:pPr>
        <w:pStyle w:val="TOC1"/>
        <w:tabs>
          <w:tab w:val="right" w:leader="dot" w:pos="9344"/>
        </w:tabs>
        <w:rPr>
          <w:rFonts w:asciiTheme="minorHAnsi" w:eastAsiaTheme="minorEastAsia" w:hAnsiTheme="minorHAnsi" w:cstheme="minorBidi" w:hint="eastAsia"/>
          <w:szCs w:val="22"/>
        </w:rPr>
      </w:pPr>
      <w:hyperlink w:anchor="_Toc175916641" w:history="1">
        <w:r>
          <w:rPr>
            <w:rStyle w:val="affffb"/>
          </w:rPr>
          <w:t>1  范围</w:t>
        </w:r>
        <w:r>
          <w:tab/>
        </w:r>
        <w:r>
          <w:fldChar w:fldCharType="begin"/>
        </w:r>
        <w:r>
          <w:instrText xml:space="preserve"> PAGEREF _Toc175916641 \h </w:instrText>
        </w:r>
        <w:r>
          <w:fldChar w:fldCharType="separate"/>
        </w:r>
        <w:r>
          <w:t>1</w:t>
        </w:r>
        <w:r>
          <w:fldChar w:fldCharType="end"/>
        </w:r>
      </w:hyperlink>
    </w:p>
    <w:p w14:paraId="302F3C24" w14:textId="77777777" w:rsidR="002E63C2" w:rsidRDefault="000A1C27">
      <w:pPr>
        <w:pStyle w:val="TOC1"/>
        <w:tabs>
          <w:tab w:val="right" w:leader="dot" w:pos="9344"/>
        </w:tabs>
        <w:rPr>
          <w:rFonts w:asciiTheme="minorHAnsi" w:eastAsiaTheme="minorEastAsia" w:hAnsiTheme="minorHAnsi" w:cstheme="minorBidi" w:hint="eastAsia"/>
          <w:szCs w:val="22"/>
        </w:rPr>
      </w:pPr>
      <w:hyperlink w:anchor="_Toc175916642" w:history="1">
        <w:r>
          <w:rPr>
            <w:rStyle w:val="affffb"/>
          </w:rPr>
          <w:t>2  规范性引用文件</w:t>
        </w:r>
        <w:r>
          <w:tab/>
        </w:r>
        <w:r>
          <w:fldChar w:fldCharType="begin"/>
        </w:r>
        <w:r>
          <w:instrText xml:space="preserve"> PAGEREF _Toc175916642 \h </w:instrText>
        </w:r>
        <w:r>
          <w:fldChar w:fldCharType="separate"/>
        </w:r>
        <w:r>
          <w:t>1</w:t>
        </w:r>
        <w:r>
          <w:fldChar w:fldCharType="end"/>
        </w:r>
      </w:hyperlink>
    </w:p>
    <w:p w14:paraId="1F230F7D" w14:textId="77777777" w:rsidR="002E63C2" w:rsidRDefault="000A1C27">
      <w:pPr>
        <w:pStyle w:val="TOC1"/>
        <w:tabs>
          <w:tab w:val="right" w:leader="dot" w:pos="9344"/>
        </w:tabs>
        <w:rPr>
          <w:rFonts w:asciiTheme="minorHAnsi" w:eastAsiaTheme="minorEastAsia" w:hAnsiTheme="minorHAnsi" w:cstheme="minorBidi" w:hint="eastAsia"/>
          <w:szCs w:val="22"/>
        </w:rPr>
      </w:pPr>
      <w:hyperlink w:anchor="_Toc175916643" w:history="1">
        <w:r>
          <w:rPr>
            <w:rStyle w:val="affffb"/>
          </w:rPr>
          <w:t>3  术语和定义</w:t>
        </w:r>
        <w:r>
          <w:tab/>
        </w:r>
        <w:r>
          <w:fldChar w:fldCharType="begin"/>
        </w:r>
        <w:r>
          <w:instrText xml:space="preserve"> PAGEREF _Toc175916643 \h </w:instrText>
        </w:r>
        <w:r>
          <w:fldChar w:fldCharType="separate"/>
        </w:r>
        <w:r>
          <w:t>1</w:t>
        </w:r>
        <w:r>
          <w:fldChar w:fldCharType="end"/>
        </w:r>
      </w:hyperlink>
    </w:p>
    <w:p w14:paraId="1F160328" w14:textId="77777777" w:rsidR="002E63C2" w:rsidRDefault="000A1C27">
      <w:pPr>
        <w:pStyle w:val="TOC1"/>
        <w:tabs>
          <w:tab w:val="right" w:leader="dot" w:pos="9344"/>
        </w:tabs>
        <w:rPr>
          <w:rFonts w:asciiTheme="minorHAnsi" w:eastAsiaTheme="minorEastAsia" w:hAnsiTheme="minorHAnsi" w:cstheme="minorBidi" w:hint="eastAsia"/>
          <w:szCs w:val="22"/>
        </w:rPr>
      </w:pPr>
      <w:hyperlink w:anchor="_Toc175916644" w:history="1">
        <w:r>
          <w:rPr>
            <w:rStyle w:val="affffb"/>
          </w:rPr>
          <w:t>4  计划和准备</w:t>
        </w:r>
        <w:r>
          <w:tab/>
        </w:r>
        <w:r>
          <w:fldChar w:fldCharType="begin"/>
        </w:r>
        <w:r>
          <w:instrText xml:space="preserve"> PAGEREF _Toc175916644 \h </w:instrText>
        </w:r>
        <w:r>
          <w:fldChar w:fldCharType="separate"/>
        </w:r>
        <w:r>
          <w:t>1</w:t>
        </w:r>
        <w:r>
          <w:fldChar w:fldCharType="end"/>
        </w:r>
      </w:hyperlink>
    </w:p>
    <w:p w14:paraId="2A83D9B8" w14:textId="77777777" w:rsidR="002E63C2" w:rsidRDefault="000A1C27">
      <w:pPr>
        <w:pStyle w:val="TOC1"/>
        <w:tabs>
          <w:tab w:val="right" w:leader="dot" w:pos="9344"/>
        </w:tabs>
        <w:rPr>
          <w:rFonts w:asciiTheme="minorHAnsi" w:eastAsiaTheme="minorEastAsia" w:hAnsiTheme="minorHAnsi" w:cstheme="minorBidi" w:hint="eastAsia"/>
          <w:szCs w:val="22"/>
        </w:rPr>
      </w:pPr>
      <w:hyperlink w:anchor="_Toc175916645" w:history="1">
        <w:r>
          <w:rPr>
            <w:rStyle w:val="affffb"/>
          </w:rPr>
          <w:t>5  发放</w:t>
        </w:r>
        <w:r>
          <w:tab/>
        </w:r>
        <w:r>
          <w:fldChar w:fldCharType="begin"/>
        </w:r>
        <w:r>
          <w:instrText xml:space="preserve"> PAGEREF _Toc175916645 \h </w:instrText>
        </w:r>
        <w:r>
          <w:fldChar w:fldCharType="separate"/>
        </w:r>
        <w:r>
          <w:t>1</w:t>
        </w:r>
        <w:r>
          <w:fldChar w:fldCharType="end"/>
        </w:r>
      </w:hyperlink>
    </w:p>
    <w:p w14:paraId="1F442690" w14:textId="77777777" w:rsidR="002E63C2" w:rsidRDefault="000A1C27">
      <w:pPr>
        <w:pStyle w:val="TOC1"/>
        <w:tabs>
          <w:tab w:val="right" w:leader="dot" w:pos="9344"/>
        </w:tabs>
        <w:rPr>
          <w:rFonts w:asciiTheme="minorHAnsi" w:eastAsiaTheme="minorEastAsia" w:hAnsiTheme="minorHAnsi" w:cstheme="minorBidi" w:hint="eastAsia"/>
          <w:szCs w:val="22"/>
        </w:rPr>
      </w:pPr>
      <w:hyperlink w:anchor="_Toc175916646" w:history="1">
        <w:r>
          <w:rPr>
            <w:rStyle w:val="affffb"/>
          </w:rPr>
          <w:t>6  服用指导</w:t>
        </w:r>
        <w:r>
          <w:tab/>
        </w:r>
        <w:r>
          <w:fldChar w:fldCharType="begin"/>
        </w:r>
        <w:r>
          <w:instrText xml:space="preserve"> PAGEREF _Toc175916646 \h </w:instrText>
        </w:r>
        <w:r>
          <w:fldChar w:fldCharType="separate"/>
        </w:r>
        <w:r>
          <w:t>2</w:t>
        </w:r>
        <w:r>
          <w:fldChar w:fldCharType="end"/>
        </w:r>
      </w:hyperlink>
    </w:p>
    <w:p w14:paraId="14881711" w14:textId="77777777" w:rsidR="002E63C2" w:rsidRDefault="000A1C27">
      <w:pPr>
        <w:pStyle w:val="TOC1"/>
        <w:tabs>
          <w:tab w:val="right" w:leader="dot" w:pos="9344"/>
        </w:tabs>
        <w:rPr>
          <w:rFonts w:asciiTheme="minorHAnsi" w:eastAsiaTheme="minorEastAsia" w:hAnsiTheme="minorHAnsi" w:cstheme="minorBidi" w:hint="eastAsia"/>
          <w:szCs w:val="22"/>
        </w:rPr>
      </w:pPr>
      <w:hyperlink w:anchor="_Toc175916649" w:history="1">
        <w:r>
          <w:rPr>
            <w:rStyle w:val="affffb"/>
          </w:rPr>
          <w:t>附录A（资料性）  稳定性碘的服用说明书</w:t>
        </w:r>
        <w:r>
          <w:tab/>
        </w:r>
        <w:r>
          <w:fldChar w:fldCharType="begin"/>
        </w:r>
        <w:r>
          <w:instrText xml:space="preserve"> PAGEREF _Toc175916649 \h </w:instrText>
        </w:r>
        <w:r>
          <w:fldChar w:fldCharType="separate"/>
        </w:r>
        <w:r>
          <w:t>3</w:t>
        </w:r>
        <w:r>
          <w:fldChar w:fldCharType="end"/>
        </w:r>
      </w:hyperlink>
    </w:p>
    <w:p w14:paraId="43E995DB" w14:textId="77777777" w:rsidR="002E63C2" w:rsidRDefault="000A1C27">
      <w:pPr>
        <w:pStyle w:val="TOC1"/>
        <w:tabs>
          <w:tab w:val="right" w:leader="dot" w:pos="9344"/>
        </w:tabs>
        <w:rPr>
          <w:rFonts w:asciiTheme="minorHAnsi" w:eastAsiaTheme="minorEastAsia" w:hAnsiTheme="minorHAnsi" w:cstheme="minorBidi" w:hint="eastAsia"/>
          <w:szCs w:val="22"/>
        </w:rPr>
      </w:pPr>
      <w:hyperlink w:anchor="_Toc175916655" w:history="1">
        <w:r>
          <w:rPr>
            <w:rStyle w:val="affffb"/>
          </w:rPr>
          <w:t>参考文献</w:t>
        </w:r>
        <w:r>
          <w:tab/>
        </w:r>
        <w:r>
          <w:fldChar w:fldCharType="begin"/>
        </w:r>
        <w:r>
          <w:instrText xml:space="preserve"> PAGEREF _Toc175916655 \h </w:instrText>
        </w:r>
        <w:r>
          <w:fldChar w:fldCharType="separate"/>
        </w:r>
        <w:r>
          <w:t>4</w:t>
        </w:r>
        <w:r>
          <w:fldChar w:fldCharType="end"/>
        </w:r>
      </w:hyperlink>
    </w:p>
    <w:p w14:paraId="7326D29D" w14:textId="77777777" w:rsidR="002E63C2" w:rsidRDefault="000A1C27">
      <w:pPr>
        <w:pStyle w:val="affffffa"/>
        <w:spacing w:after="468"/>
        <w:sectPr w:rsidR="002E63C2">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p>
    <w:p w14:paraId="336ACBFE" w14:textId="77777777" w:rsidR="002E63C2" w:rsidRDefault="000A1C27">
      <w:pPr>
        <w:pStyle w:val="a6"/>
        <w:spacing w:before="900" w:after="468"/>
      </w:pPr>
      <w:bookmarkStart w:id="23" w:name="_Toc175916639"/>
      <w:bookmarkStart w:id="24" w:name="BookMark2"/>
      <w:bookmarkEnd w:id="21"/>
      <w:r>
        <w:rPr>
          <w:spacing w:val="320"/>
        </w:rPr>
        <w:lastRenderedPageBreak/>
        <w:t>前</w:t>
      </w:r>
      <w:r>
        <w:t>言</w:t>
      </w:r>
      <w:bookmarkEnd w:id="22"/>
      <w:bookmarkEnd w:id="23"/>
    </w:p>
    <w:p w14:paraId="2320ABF6" w14:textId="77777777" w:rsidR="002E63C2" w:rsidRDefault="000A1C27">
      <w:pPr>
        <w:pStyle w:val="afffff5"/>
        <w:ind w:firstLine="420"/>
      </w:pPr>
      <w:r>
        <w:rPr>
          <w:rFonts w:hint="eastAsia"/>
        </w:rPr>
        <w:t>本文件按照GB/T 1.1—2020《标准化工作导则  第1部分：标准化文件的结构和起草规则》的规定起草。</w:t>
      </w:r>
    </w:p>
    <w:p w14:paraId="3771CA4B" w14:textId="77777777" w:rsidR="002E63C2" w:rsidRDefault="000A1C27">
      <w:pPr>
        <w:pStyle w:val="afffff5"/>
        <w:ind w:firstLine="420"/>
      </w:pPr>
      <w:r>
        <w:rPr>
          <w:rFonts w:hint="eastAsia"/>
        </w:rPr>
        <w:t>本文件是D</w:t>
      </w:r>
      <w:r>
        <w:t>B 32/T XXXX</w:t>
      </w:r>
      <w:r>
        <w:rPr>
          <w:rFonts w:hint="eastAsia"/>
        </w:rPr>
        <w:t>《核与辐射突发事件卫生应急处置技术规范》的第</w:t>
      </w:r>
      <w:r>
        <w:t>7</w:t>
      </w:r>
      <w:r>
        <w:rPr>
          <w:rFonts w:hint="eastAsia"/>
        </w:rPr>
        <w:t>部分。</w:t>
      </w:r>
      <w:r>
        <w:t>DB 32</w:t>
      </w:r>
      <w:r>
        <w:rPr>
          <w:rFonts w:hint="eastAsia"/>
        </w:rPr>
        <w:t>/</w:t>
      </w:r>
      <w:r>
        <w:t>T XXXX</w:t>
      </w:r>
      <w:r>
        <w:rPr>
          <w:rFonts w:hint="eastAsia"/>
        </w:rPr>
        <w:t>已经发布了以下部分：</w:t>
      </w:r>
    </w:p>
    <w:p w14:paraId="236A757E" w14:textId="77777777" w:rsidR="002E63C2" w:rsidRDefault="000A1C27" w:rsidP="00FD4B39">
      <w:pPr>
        <w:pStyle w:val="af2"/>
      </w:pPr>
      <w:r>
        <w:rPr>
          <w:rFonts w:hint="eastAsia"/>
        </w:rPr>
        <w:t>第1部分：</w:t>
      </w:r>
      <w:r w:rsidR="00FD4B39" w:rsidRPr="00FD4B39">
        <w:rPr>
          <w:rFonts w:hint="eastAsia"/>
        </w:rPr>
        <w:t>应急队伍建设</w:t>
      </w:r>
      <w:r w:rsidR="005E3DA1">
        <w:rPr>
          <w:rFonts w:hint="eastAsia"/>
        </w:rPr>
        <w:t>；</w:t>
      </w:r>
    </w:p>
    <w:p w14:paraId="462A18DF" w14:textId="77777777" w:rsidR="002E63C2" w:rsidRDefault="000A1C27" w:rsidP="00FD4B39">
      <w:pPr>
        <w:pStyle w:val="af2"/>
      </w:pPr>
      <w:r>
        <w:rPr>
          <w:rFonts w:hint="eastAsia"/>
        </w:rPr>
        <w:t>第2部分：</w:t>
      </w:r>
      <w:r w:rsidR="00FD4B39" w:rsidRPr="00FD4B39">
        <w:rPr>
          <w:rFonts w:hint="eastAsia"/>
        </w:rPr>
        <w:t>应急人员防护与个人</w:t>
      </w:r>
      <w:r w:rsidR="00F55222">
        <w:rPr>
          <w:rFonts w:hint="eastAsia"/>
        </w:rPr>
        <w:t>剂量</w:t>
      </w:r>
      <w:r w:rsidR="00FD4B39" w:rsidRPr="00FD4B39">
        <w:rPr>
          <w:rFonts w:hint="eastAsia"/>
        </w:rPr>
        <w:t>监测</w:t>
      </w:r>
      <w:r w:rsidR="005E3DA1">
        <w:rPr>
          <w:rFonts w:hint="eastAsia"/>
        </w:rPr>
        <w:t>；</w:t>
      </w:r>
    </w:p>
    <w:p w14:paraId="58090265" w14:textId="77777777" w:rsidR="002E63C2" w:rsidRDefault="000A1C27" w:rsidP="00FD4B39">
      <w:pPr>
        <w:pStyle w:val="af2"/>
      </w:pPr>
      <w:r>
        <w:rPr>
          <w:rFonts w:hint="eastAsia"/>
        </w:rPr>
        <w:t>第3部分：</w:t>
      </w:r>
      <w:r w:rsidR="00FD4B39" w:rsidRPr="00FD4B39">
        <w:rPr>
          <w:rFonts w:hint="eastAsia"/>
        </w:rPr>
        <w:t>现场流行病学调查</w:t>
      </w:r>
      <w:r w:rsidR="005E3DA1">
        <w:rPr>
          <w:rFonts w:hint="eastAsia"/>
        </w:rPr>
        <w:t>；</w:t>
      </w:r>
    </w:p>
    <w:p w14:paraId="6CADBF4B" w14:textId="77777777" w:rsidR="002E63C2" w:rsidRDefault="000A1C27" w:rsidP="00FD4B39">
      <w:pPr>
        <w:pStyle w:val="af2"/>
      </w:pPr>
      <w:r>
        <w:rPr>
          <w:rFonts w:hint="eastAsia"/>
        </w:rPr>
        <w:t>第4部分：</w:t>
      </w:r>
      <w:r w:rsidR="00FD4B39" w:rsidRPr="00FD4B39">
        <w:rPr>
          <w:rFonts w:hint="eastAsia"/>
        </w:rPr>
        <w:t>人体体表放射性核素污染监测与去污</w:t>
      </w:r>
      <w:r w:rsidR="005E3DA1">
        <w:rPr>
          <w:rFonts w:hint="eastAsia"/>
        </w:rPr>
        <w:t>；</w:t>
      </w:r>
    </w:p>
    <w:p w14:paraId="6090A1F2" w14:textId="77777777" w:rsidR="002E63C2" w:rsidRDefault="000A1C27" w:rsidP="00FD4B39">
      <w:pPr>
        <w:pStyle w:val="af2"/>
      </w:pPr>
      <w:r>
        <w:rPr>
          <w:rFonts w:hint="eastAsia"/>
        </w:rPr>
        <w:t>第5部分：</w:t>
      </w:r>
      <w:r w:rsidR="00FD4B39" w:rsidRPr="00FD4B39">
        <w:rPr>
          <w:rFonts w:hint="eastAsia"/>
        </w:rPr>
        <w:t>食品和饮用水监测</w:t>
      </w:r>
      <w:r w:rsidR="005E3DA1">
        <w:rPr>
          <w:rFonts w:hint="eastAsia"/>
        </w:rPr>
        <w:t>；</w:t>
      </w:r>
    </w:p>
    <w:p w14:paraId="27A1AAF0" w14:textId="77777777" w:rsidR="002E63C2" w:rsidRDefault="000A1C27" w:rsidP="00FD4B39">
      <w:pPr>
        <w:pStyle w:val="af2"/>
      </w:pPr>
      <w:r>
        <w:rPr>
          <w:rFonts w:hint="eastAsia"/>
        </w:rPr>
        <w:t>第6部分：</w:t>
      </w:r>
      <w:r w:rsidR="00FD4B39" w:rsidRPr="00FD4B39">
        <w:rPr>
          <w:rFonts w:hint="eastAsia"/>
        </w:rPr>
        <w:t>辐射防护站设置</w:t>
      </w:r>
      <w:r w:rsidR="005E3DA1">
        <w:rPr>
          <w:rFonts w:hint="eastAsia"/>
        </w:rPr>
        <w:t>；</w:t>
      </w:r>
    </w:p>
    <w:p w14:paraId="002793DB" w14:textId="77777777" w:rsidR="002E63C2" w:rsidRDefault="000A1C27" w:rsidP="00FD4B39">
      <w:pPr>
        <w:pStyle w:val="af2"/>
      </w:pPr>
      <w:r>
        <w:rPr>
          <w:rFonts w:hint="eastAsia"/>
        </w:rPr>
        <w:t>第7部分：</w:t>
      </w:r>
      <w:r w:rsidR="00FD4B39" w:rsidRPr="00FD4B39">
        <w:rPr>
          <w:rFonts w:hint="eastAsia"/>
        </w:rPr>
        <w:t>稳定性碘的使用指导</w:t>
      </w:r>
      <w:r w:rsidR="005E3DA1">
        <w:rPr>
          <w:rFonts w:hint="eastAsia"/>
        </w:rPr>
        <w:t>；</w:t>
      </w:r>
    </w:p>
    <w:p w14:paraId="095FE3CC" w14:textId="77777777" w:rsidR="002E63C2" w:rsidRDefault="000A1C27" w:rsidP="00FD4B39">
      <w:pPr>
        <w:pStyle w:val="af2"/>
      </w:pPr>
      <w:r>
        <w:rPr>
          <w:rFonts w:hint="eastAsia"/>
        </w:rPr>
        <w:t>第8部分：</w:t>
      </w:r>
      <w:r w:rsidR="00FD4B39" w:rsidRPr="00FD4B39">
        <w:rPr>
          <w:rFonts w:hint="eastAsia"/>
        </w:rPr>
        <w:t>外周血采集和生物剂量估算</w:t>
      </w:r>
      <w:r w:rsidR="005E3DA1">
        <w:rPr>
          <w:rFonts w:hint="eastAsia"/>
        </w:rPr>
        <w:t>。</w:t>
      </w:r>
    </w:p>
    <w:p w14:paraId="3EB2B52B" w14:textId="77777777" w:rsidR="002E63C2" w:rsidRDefault="000A1C27">
      <w:pPr>
        <w:pStyle w:val="afffff5"/>
        <w:ind w:firstLine="420"/>
      </w:pPr>
      <w:r>
        <w:rPr>
          <w:rFonts w:hint="eastAsia"/>
        </w:rPr>
        <w:t>请注意本文件的某些内容可能涉及专利。本文件的发布机构不承担识别专利的责任。</w:t>
      </w:r>
    </w:p>
    <w:p w14:paraId="68DD1358" w14:textId="77777777" w:rsidR="002E63C2" w:rsidRDefault="000A1C27">
      <w:pPr>
        <w:pStyle w:val="afffff5"/>
        <w:ind w:firstLine="420"/>
      </w:pPr>
      <w:r>
        <w:rPr>
          <w:rFonts w:hint="eastAsia"/>
        </w:rPr>
        <w:t>本文件由江苏省卫生健康委员会提出并组织实施。</w:t>
      </w:r>
    </w:p>
    <w:p w14:paraId="043BF4A2" w14:textId="64C20AE5" w:rsidR="002E63C2" w:rsidRDefault="000A1C27">
      <w:pPr>
        <w:pStyle w:val="afffff5"/>
        <w:ind w:firstLine="420"/>
      </w:pPr>
      <w:r>
        <w:rPr>
          <w:rFonts w:hint="eastAsia"/>
        </w:rPr>
        <w:t>本文件由</w:t>
      </w:r>
      <w:r w:rsidR="00B376B2" w:rsidRPr="00B376B2">
        <w:rPr>
          <w:rFonts w:hint="eastAsia"/>
        </w:rPr>
        <w:t>江苏省卫生健康标准化技术委员会</w:t>
      </w:r>
      <w:r>
        <w:rPr>
          <w:rFonts w:hint="eastAsia"/>
        </w:rPr>
        <w:t>归口。</w:t>
      </w:r>
    </w:p>
    <w:p w14:paraId="0B24A047" w14:textId="77777777" w:rsidR="002E63C2" w:rsidRDefault="000A1C27">
      <w:pPr>
        <w:pStyle w:val="afffff5"/>
        <w:ind w:firstLine="420"/>
      </w:pPr>
      <w:r>
        <w:rPr>
          <w:rFonts w:hint="eastAsia"/>
        </w:rPr>
        <w:t>本文件起草单位：江苏省疾病预防控制中心、江苏省卫生监督所、江苏省预防医学会。</w:t>
      </w:r>
    </w:p>
    <w:p w14:paraId="17258AD4" w14:textId="77777777" w:rsidR="002E63C2" w:rsidRDefault="000A1C27">
      <w:pPr>
        <w:pStyle w:val="afffff5"/>
        <w:ind w:firstLine="420"/>
      </w:pPr>
      <w:r>
        <w:rPr>
          <w:rFonts w:hint="eastAsia"/>
        </w:rPr>
        <w:t>本文件主要起草人：柯德兵、王超、朱宝立、沈士卫、余宁乐、陈维。</w:t>
      </w:r>
    </w:p>
    <w:p w14:paraId="164BA1FD" w14:textId="77777777" w:rsidR="002E63C2" w:rsidRDefault="002E63C2">
      <w:pPr>
        <w:pStyle w:val="afffff5"/>
        <w:ind w:firstLine="420"/>
        <w:sectPr w:rsidR="002E63C2">
          <w:pgSz w:w="11906" w:h="16838"/>
          <w:pgMar w:top="1928" w:right="1134" w:bottom="1134" w:left="1134" w:header="1418" w:footer="1134" w:gutter="284"/>
          <w:pgNumType w:fmt="upperRoman"/>
          <w:cols w:space="425"/>
          <w:formProt w:val="0"/>
          <w:docGrid w:type="lines" w:linePitch="312"/>
        </w:sectPr>
      </w:pPr>
    </w:p>
    <w:p w14:paraId="6E921883" w14:textId="77777777" w:rsidR="002E63C2" w:rsidRDefault="000A1C27">
      <w:pPr>
        <w:pStyle w:val="a6"/>
        <w:spacing w:after="468"/>
      </w:pPr>
      <w:bookmarkStart w:id="25" w:name="_Toc171498484"/>
      <w:bookmarkStart w:id="26" w:name="_Toc175916640"/>
      <w:bookmarkStart w:id="27" w:name="BookMark3"/>
      <w:bookmarkEnd w:id="24"/>
      <w:r>
        <w:rPr>
          <w:spacing w:val="320"/>
        </w:rPr>
        <w:lastRenderedPageBreak/>
        <w:t>引</w:t>
      </w:r>
      <w:r>
        <w:t>言</w:t>
      </w:r>
      <w:bookmarkEnd w:id="25"/>
      <w:bookmarkEnd w:id="26"/>
    </w:p>
    <w:p w14:paraId="75C33CDE" w14:textId="77777777" w:rsidR="002E63C2" w:rsidRDefault="000A1C27">
      <w:pPr>
        <w:pStyle w:val="afffff5"/>
        <w:ind w:firstLine="420"/>
      </w:pPr>
      <w:r>
        <w:rPr>
          <w:rFonts w:hint="eastAsia"/>
        </w:rPr>
        <w:t>随着我国经济的发展和科技的进步，核与辐射技术在各行各业的应用日益广泛。然而，核与辐射突发事件时有发生，对人类的生命和健康造成了危害，对社会稳定和发展构成了威胁。</w:t>
      </w:r>
    </w:p>
    <w:p w14:paraId="5E030469" w14:textId="77777777" w:rsidR="002E63C2" w:rsidRDefault="000A1C27">
      <w:pPr>
        <w:pStyle w:val="afffff5"/>
        <w:ind w:firstLine="420"/>
      </w:pPr>
      <w:r>
        <w:rPr>
          <w:rFonts w:hint="eastAsia"/>
        </w:rPr>
        <w:t>为确保核与辐射技术的安全发展，我国制定了一系列的法律和法规，出台了大量的安全防护和应急标准等，做到安全防护和应急有法可依、规则先行，为我国核与辐射技术应急发展提供了坚实保障。核与辐射突发事件卫生应急是该类事件应急的重要组成部分，为人民群众的身体健康和生命安全提供重要保障。</w:t>
      </w:r>
    </w:p>
    <w:p w14:paraId="34CD2269" w14:textId="77777777" w:rsidR="002E63C2" w:rsidRDefault="000A1C27">
      <w:pPr>
        <w:pStyle w:val="afffff5"/>
        <w:ind w:firstLine="420"/>
      </w:pPr>
      <w:r>
        <w:rPr>
          <w:rFonts w:hint="eastAsia"/>
        </w:rPr>
        <w:t>DB 32/T XXXX《核与辐射突发事件卫生应急处置技术规范》为完善我省核与辐射卫生应急队伍建设，规范应急处置工作流程，最大限度减少环境污染和人员伤亡而制定，</w:t>
      </w:r>
      <w:r w:rsidR="005E3DA1">
        <w:rPr>
          <w:rFonts w:hint="eastAsia"/>
        </w:rPr>
        <w:t>拟由八个部分构成。</w:t>
      </w:r>
    </w:p>
    <w:p w14:paraId="3CADF00F" w14:textId="77777777" w:rsidR="002E63C2" w:rsidRDefault="000A1C27">
      <w:pPr>
        <w:pStyle w:val="af2"/>
      </w:pPr>
      <w:r>
        <w:rPr>
          <w:rFonts w:hint="eastAsia"/>
        </w:rPr>
        <w:t>第1</w:t>
      </w:r>
      <w:r w:rsidR="005F1516">
        <w:rPr>
          <w:rFonts w:hint="eastAsia"/>
        </w:rPr>
        <w:t>部分：应急队伍建设</w:t>
      </w:r>
      <w:r w:rsidR="005E3DA1">
        <w:rPr>
          <w:rFonts w:hint="eastAsia"/>
        </w:rPr>
        <w:t>。</w:t>
      </w:r>
    </w:p>
    <w:p w14:paraId="77DF4816" w14:textId="77777777" w:rsidR="002E63C2" w:rsidRDefault="000A1C27">
      <w:pPr>
        <w:pStyle w:val="af2"/>
      </w:pPr>
      <w:r>
        <w:rPr>
          <w:rFonts w:hint="eastAsia"/>
        </w:rPr>
        <w:t>第2部分：应急人员防护与个人</w:t>
      </w:r>
      <w:r w:rsidR="00F55222">
        <w:rPr>
          <w:rFonts w:hint="eastAsia"/>
        </w:rPr>
        <w:t>剂量</w:t>
      </w:r>
      <w:r w:rsidR="005F1516">
        <w:rPr>
          <w:rFonts w:hint="eastAsia"/>
        </w:rPr>
        <w:t>监测</w:t>
      </w:r>
      <w:r w:rsidR="005E3DA1">
        <w:rPr>
          <w:rFonts w:hint="eastAsia"/>
        </w:rPr>
        <w:t>。</w:t>
      </w:r>
    </w:p>
    <w:p w14:paraId="4BDD6FA0" w14:textId="77777777" w:rsidR="002E63C2" w:rsidRDefault="000A1C27">
      <w:pPr>
        <w:pStyle w:val="af2"/>
      </w:pPr>
      <w:r>
        <w:rPr>
          <w:rFonts w:hint="eastAsia"/>
        </w:rPr>
        <w:t>第3</w:t>
      </w:r>
      <w:r w:rsidR="005F1516">
        <w:rPr>
          <w:rFonts w:hint="eastAsia"/>
        </w:rPr>
        <w:t>部分：现场流行病学调查</w:t>
      </w:r>
      <w:r w:rsidR="005E3DA1">
        <w:rPr>
          <w:rFonts w:hint="eastAsia"/>
        </w:rPr>
        <w:t>。</w:t>
      </w:r>
    </w:p>
    <w:p w14:paraId="09101BE1" w14:textId="77777777" w:rsidR="002E63C2" w:rsidRDefault="000A1C27" w:rsidP="000A3B2C">
      <w:pPr>
        <w:pStyle w:val="af2"/>
      </w:pPr>
      <w:r>
        <w:rPr>
          <w:rFonts w:hint="eastAsia"/>
        </w:rPr>
        <w:t>第4部分：</w:t>
      </w:r>
      <w:r w:rsidR="000A3B2C" w:rsidRPr="000A3B2C">
        <w:rPr>
          <w:rFonts w:hint="eastAsia"/>
        </w:rPr>
        <w:t>人体体表放射性核素污染监测与去污</w:t>
      </w:r>
      <w:r w:rsidR="005E3DA1">
        <w:rPr>
          <w:rFonts w:hint="eastAsia"/>
        </w:rPr>
        <w:t>。</w:t>
      </w:r>
    </w:p>
    <w:p w14:paraId="4A0A368B" w14:textId="77777777" w:rsidR="002E63C2" w:rsidRDefault="000A1C27">
      <w:pPr>
        <w:pStyle w:val="af2"/>
      </w:pPr>
      <w:r>
        <w:rPr>
          <w:rFonts w:hint="eastAsia"/>
        </w:rPr>
        <w:t>第5</w:t>
      </w:r>
      <w:r w:rsidR="005F1516">
        <w:rPr>
          <w:rFonts w:hint="eastAsia"/>
        </w:rPr>
        <w:t>部分：食品和饮用水监测</w:t>
      </w:r>
      <w:r w:rsidR="005E3DA1">
        <w:rPr>
          <w:rFonts w:hint="eastAsia"/>
        </w:rPr>
        <w:t>。</w:t>
      </w:r>
    </w:p>
    <w:p w14:paraId="04DB47FE" w14:textId="77777777" w:rsidR="002E63C2" w:rsidRDefault="000A1C27">
      <w:pPr>
        <w:pStyle w:val="af2"/>
      </w:pPr>
      <w:r>
        <w:rPr>
          <w:rFonts w:hint="eastAsia"/>
        </w:rPr>
        <w:t>第6</w:t>
      </w:r>
      <w:r w:rsidR="005F1516">
        <w:rPr>
          <w:rFonts w:hint="eastAsia"/>
        </w:rPr>
        <w:t>部分：辐射防护站设置</w:t>
      </w:r>
      <w:r w:rsidR="005E3DA1">
        <w:rPr>
          <w:rFonts w:hint="eastAsia"/>
        </w:rPr>
        <w:t>。</w:t>
      </w:r>
    </w:p>
    <w:p w14:paraId="6B65986A" w14:textId="77777777" w:rsidR="002E63C2" w:rsidRDefault="000A1C27">
      <w:pPr>
        <w:pStyle w:val="af2"/>
      </w:pPr>
      <w:r>
        <w:rPr>
          <w:rFonts w:hint="eastAsia"/>
        </w:rPr>
        <w:t>第7</w:t>
      </w:r>
      <w:r w:rsidR="005F1516">
        <w:rPr>
          <w:rFonts w:hint="eastAsia"/>
        </w:rPr>
        <w:t>部分：稳定性碘的使用指导</w:t>
      </w:r>
      <w:r w:rsidR="005E3DA1">
        <w:rPr>
          <w:rFonts w:hint="eastAsia"/>
        </w:rPr>
        <w:t>。</w:t>
      </w:r>
    </w:p>
    <w:p w14:paraId="3394FCBD" w14:textId="77777777" w:rsidR="002E63C2" w:rsidRDefault="000A1C27" w:rsidP="000A3B2C">
      <w:pPr>
        <w:pStyle w:val="af2"/>
      </w:pPr>
      <w:r>
        <w:rPr>
          <w:rFonts w:hint="eastAsia"/>
        </w:rPr>
        <w:t>第8部分：</w:t>
      </w:r>
      <w:r w:rsidR="000A3B2C" w:rsidRPr="000A3B2C">
        <w:rPr>
          <w:rFonts w:hint="eastAsia"/>
        </w:rPr>
        <w:t>外周血采集和生物剂量估算</w:t>
      </w:r>
      <w:r w:rsidR="005E3DA1">
        <w:rPr>
          <w:rFonts w:hint="eastAsia"/>
        </w:rPr>
        <w:t>。</w:t>
      </w:r>
    </w:p>
    <w:p w14:paraId="75B0BD97" w14:textId="77777777" w:rsidR="002E63C2" w:rsidRDefault="000A1C27">
      <w:pPr>
        <w:pStyle w:val="afffff5"/>
        <w:ind w:firstLine="420"/>
      </w:pPr>
      <w:r>
        <w:rPr>
          <w:rFonts w:hint="eastAsia"/>
        </w:rPr>
        <w:t>发生严重核事故时，可能会伴有放射性碘污染。当人食入污染的食品、水或者吸入污染的空气后，放射性碘可在甲状腺蓄积，影响甲状腺机能，诱发甲状腺癌。指导核应急工作人员和公众及时有效地服用稳定性碘进行防护是核事故后主要的防护行动之一。该文件的制定有助于完善核与辐射突发事件的应急管理体系。通过规范核应急稳定性碘的使用指导，可以有效降低甲状腺的受照剂量。</w:t>
      </w:r>
    </w:p>
    <w:p w14:paraId="18664F61" w14:textId="77777777" w:rsidR="002E63C2" w:rsidRDefault="002E63C2">
      <w:pPr>
        <w:pStyle w:val="afffff5"/>
        <w:ind w:firstLine="420"/>
        <w:sectPr w:rsidR="002E63C2">
          <w:pgSz w:w="11906" w:h="16838"/>
          <w:pgMar w:top="1928" w:right="1134" w:bottom="1134" w:left="1134" w:header="1418" w:footer="1134" w:gutter="284"/>
          <w:pgNumType w:fmt="upperRoman"/>
          <w:cols w:space="425"/>
          <w:formProt w:val="0"/>
          <w:docGrid w:type="lines" w:linePitch="312"/>
        </w:sectPr>
      </w:pPr>
    </w:p>
    <w:p w14:paraId="28000A17" w14:textId="77777777" w:rsidR="002E63C2" w:rsidRDefault="002E63C2">
      <w:pPr>
        <w:spacing w:line="20" w:lineRule="exact"/>
        <w:jc w:val="center"/>
        <w:rPr>
          <w:rFonts w:ascii="黑体" w:eastAsia="黑体" w:hAnsi="黑体" w:hint="eastAsia"/>
          <w:sz w:val="32"/>
          <w:szCs w:val="32"/>
        </w:rPr>
      </w:pPr>
      <w:bookmarkStart w:id="28" w:name="BookMark4"/>
      <w:bookmarkEnd w:id="27"/>
    </w:p>
    <w:p w14:paraId="248FE3A2" w14:textId="77777777" w:rsidR="002E63C2" w:rsidRDefault="002E63C2">
      <w:pPr>
        <w:spacing w:line="20" w:lineRule="exact"/>
        <w:jc w:val="center"/>
        <w:rPr>
          <w:rFonts w:ascii="黑体" w:eastAsia="黑体" w:hAnsi="黑体" w:hint="eastAsia"/>
          <w:sz w:val="32"/>
          <w:szCs w:val="32"/>
        </w:rPr>
      </w:pPr>
    </w:p>
    <w:bookmarkStart w:id="29" w:name="NEW_STAND_NAME" w:displacedByCustomXml="next"/>
    <w:sdt>
      <w:sdtPr>
        <w:tag w:val="NEW_STAND_NAME"/>
        <w:id w:val="595910757"/>
        <w:lock w:val="sdtLocked"/>
        <w:placeholder>
          <w:docPart w:val="A825AA85239F4B3486AE195A0CB7E9AE"/>
        </w:placeholder>
      </w:sdtPr>
      <w:sdtEndPr/>
      <w:sdtContent>
        <w:p w14:paraId="3F1C7812" w14:textId="77777777" w:rsidR="002E63C2" w:rsidRDefault="000A1C27" w:rsidP="007F3549">
          <w:pPr>
            <w:pStyle w:val="afffffffff8"/>
            <w:spacing w:beforeLines="1" w:before="3" w:afterLines="1" w:after="3"/>
            <w:rPr>
              <w:rFonts w:hint="eastAsia"/>
            </w:rPr>
          </w:pPr>
          <w:r>
            <w:rPr>
              <w:rFonts w:hint="eastAsia"/>
            </w:rPr>
            <w:t>核与辐射突发事件卫生应急处置技术规范</w:t>
          </w:r>
        </w:p>
        <w:p w14:paraId="4237298C" w14:textId="77777777" w:rsidR="002E63C2" w:rsidRDefault="000A1C27" w:rsidP="007F3549">
          <w:pPr>
            <w:pStyle w:val="afffffffff8"/>
            <w:spacing w:beforeLines="1" w:before="3" w:after="680"/>
            <w:rPr>
              <w:rFonts w:hint="eastAsia"/>
            </w:rPr>
          </w:pPr>
          <w:r>
            <w:rPr>
              <w:rFonts w:hint="eastAsia"/>
            </w:rPr>
            <w:t>第</w:t>
          </w:r>
          <w:r>
            <w:t>7部分：稳定性碘的使用指导</w:t>
          </w:r>
        </w:p>
      </w:sdtContent>
    </w:sdt>
    <w:p w14:paraId="5941C5FC" w14:textId="77777777" w:rsidR="002E63C2" w:rsidRDefault="000A1C27">
      <w:pPr>
        <w:pStyle w:val="affc"/>
        <w:spacing w:before="312" w:after="312"/>
      </w:pPr>
      <w:bookmarkStart w:id="30" w:name="_Toc97191423"/>
      <w:bookmarkStart w:id="31" w:name="_Toc17233333"/>
      <w:bookmarkStart w:id="32" w:name="_Toc24884211"/>
      <w:bookmarkStart w:id="33" w:name="_Toc26718930"/>
      <w:bookmarkStart w:id="34" w:name="_Toc26986530"/>
      <w:bookmarkStart w:id="35" w:name="_Toc17233325"/>
      <w:bookmarkStart w:id="36" w:name="_Toc175916641"/>
      <w:bookmarkStart w:id="37" w:name="_Toc24884218"/>
      <w:bookmarkStart w:id="38" w:name="_Toc26648465"/>
      <w:bookmarkStart w:id="39" w:name="_Toc171498485"/>
      <w:bookmarkStart w:id="40" w:name="_Toc26986771"/>
      <w:bookmarkEnd w:id="29"/>
      <w:r>
        <w:rPr>
          <w:rFonts w:hint="eastAsia"/>
        </w:rPr>
        <w:t>范围</w:t>
      </w:r>
      <w:bookmarkEnd w:id="30"/>
      <w:bookmarkEnd w:id="31"/>
      <w:bookmarkEnd w:id="32"/>
      <w:bookmarkEnd w:id="33"/>
      <w:bookmarkEnd w:id="34"/>
      <w:bookmarkEnd w:id="35"/>
      <w:bookmarkEnd w:id="36"/>
      <w:bookmarkEnd w:id="37"/>
      <w:bookmarkEnd w:id="38"/>
      <w:bookmarkEnd w:id="39"/>
      <w:bookmarkEnd w:id="40"/>
    </w:p>
    <w:p w14:paraId="4B55447D" w14:textId="77777777" w:rsidR="002E63C2" w:rsidRDefault="000A1C27">
      <w:pPr>
        <w:pStyle w:val="afffff5"/>
        <w:ind w:firstLine="420"/>
      </w:pPr>
      <w:bookmarkStart w:id="41" w:name="_Toc24884212"/>
      <w:bookmarkStart w:id="42" w:name="_Toc17233334"/>
      <w:bookmarkStart w:id="43" w:name="_Toc24884219"/>
      <w:bookmarkStart w:id="44" w:name="_Toc26648466"/>
      <w:bookmarkStart w:id="45" w:name="_Toc17233326"/>
      <w:r>
        <w:rPr>
          <w:rFonts w:hint="eastAsia"/>
        </w:rPr>
        <w:t>本文件规定了在核与辐射突发事件卫生应急处置中，稳定性碘的计划和准备、发放以及服用指导。</w:t>
      </w:r>
    </w:p>
    <w:p w14:paraId="2131577D" w14:textId="77777777" w:rsidR="002E63C2" w:rsidRDefault="000A1C27">
      <w:pPr>
        <w:pStyle w:val="afffff5"/>
        <w:ind w:firstLine="420"/>
      </w:pPr>
      <w:r>
        <w:rPr>
          <w:rFonts w:hint="eastAsia"/>
        </w:rPr>
        <w:t>本文件适用于核与辐射突发事件卫生应急处置中稳定性碘的使用。核设施本身的工作人员服用稳定性碘的防护行动不包含在本文件的范围之内。</w:t>
      </w:r>
    </w:p>
    <w:p w14:paraId="7CF61559" w14:textId="77777777" w:rsidR="002E63C2" w:rsidRDefault="000A1C27">
      <w:pPr>
        <w:pStyle w:val="affc"/>
        <w:spacing w:before="312" w:after="312"/>
      </w:pPr>
      <w:bookmarkStart w:id="46" w:name="_Toc97191424"/>
      <w:bookmarkStart w:id="47" w:name="_Toc26986772"/>
      <w:bookmarkStart w:id="48" w:name="_Toc175916642"/>
      <w:bookmarkStart w:id="49" w:name="_Toc26718931"/>
      <w:bookmarkStart w:id="50" w:name="_Toc171498486"/>
      <w:bookmarkStart w:id="51" w:name="_Toc26986531"/>
      <w:r>
        <w:rPr>
          <w:rFonts w:hint="eastAsia"/>
        </w:rPr>
        <w:t>规范性引用文件</w:t>
      </w:r>
      <w:bookmarkEnd w:id="41"/>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CE23E8C603064A60B3045280AE2305B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79DE75B" w14:textId="77777777" w:rsidR="002E63C2" w:rsidRDefault="000A1C27">
          <w:pPr>
            <w:pStyle w:val="afffff5"/>
            <w:ind w:firstLine="420"/>
          </w:pPr>
          <w:r>
            <w:rPr>
              <w:rFonts w:hint="eastAsia"/>
            </w:rPr>
            <w:t>本文件没有规范性引用文件。</w:t>
          </w:r>
        </w:p>
      </w:sdtContent>
    </w:sdt>
    <w:p w14:paraId="4FC13073" w14:textId="77777777" w:rsidR="002E63C2" w:rsidRDefault="000A1C27">
      <w:pPr>
        <w:pStyle w:val="affc"/>
        <w:spacing w:before="312" w:after="312"/>
      </w:pPr>
      <w:bookmarkStart w:id="52" w:name="_Toc171498487"/>
      <w:bookmarkStart w:id="53" w:name="_Toc97191425"/>
      <w:bookmarkStart w:id="54" w:name="_Toc175916643"/>
      <w:r>
        <w:rPr>
          <w:rFonts w:hint="eastAsia"/>
          <w:szCs w:val="21"/>
        </w:rPr>
        <w:t>术语和定义</w:t>
      </w:r>
      <w:bookmarkEnd w:id="52"/>
      <w:bookmarkEnd w:id="53"/>
      <w:bookmarkEnd w:id="54"/>
    </w:p>
    <w:bookmarkStart w:id="55" w:name="_Toc26986532" w:displacedByCustomXml="next"/>
    <w:bookmarkEnd w:id="55" w:displacedByCustomXml="next"/>
    <w:sdt>
      <w:sdtPr>
        <w:id w:val="-1909835108"/>
        <w:placeholder>
          <w:docPart w:val="DC21102615B9484F9CFA1C62ABEBEF6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16C93EE" w14:textId="77777777" w:rsidR="002E63C2" w:rsidRDefault="000A1C27">
          <w:pPr>
            <w:pStyle w:val="afffff5"/>
            <w:ind w:firstLine="420"/>
          </w:pPr>
          <w:r>
            <w:t>下列术语和定义适用于本文件。</w:t>
          </w:r>
        </w:p>
      </w:sdtContent>
    </w:sdt>
    <w:p w14:paraId="7D73D75E" w14:textId="77777777" w:rsidR="002E63C2" w:rsidRDefault="000A1C27">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稳定性碘 stable</w:t>
      </w:r>
      <w:r>
        <w:rPr>
          <w:rFonts w:ascii="黑体" w:eastAsia="黑体" w:hAnsi="黑体"/>
        </w:rPr>
        <w:t xml:space="preserve"> </w:t>
      </w:r>
      <w:r>
        <w:rPr>
          <w:rFonts w:ascii="黑体" w:eastAsia="黑体" w:hAnsi="黑体" w:hint="eastAsia"/>
        </w:rPr>
        <w:t>iodine</w:t>
      </w:r>
    </w:p>
    <w:p w14:paraId="601A1D0B" w14:textId="77777777" w:rsidR="002E63C2" w:rsidRDefault="00C00376">
      <w:pPr>
        <w:pStyle w:val="afffff5"/>
        <w:ind w:firstLine="420"/>
      </w:pPr>
      <w:r w:rsidRPr="00C00376">
        <w:rPr>
          <w:rFonts w:hint="eastAsia"/>
        </w:rPr>
        <w:t>当发生事故导致或可能导致释放碘的放射性同位素时，分发给相关公众和核应急工作人员服用，以降低甲状腺受照剂量的一种含有非放射性碘的化合物。</w:t>
      </w:r>
    </w:p>
    <w:p w14:paraId="64D91E6A" w14:textId="77777777" w:rsidR="002E63C2" w:rsidRDefault="000A1C27">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烟羽应急计划区 smoke</w:t>
      </w:r>
      <w:r>
        <w:rPr>
          <w:rFonts w:ascii="黑体" w:eastAsia="黑体" w:hAnsi="黑体"/>
        </w:rPr>
        <w:t xml:space="preserve"> </w:t>
      </w:r>
      <w:r>
        <w:rPr>
          <w:rFonts w:ascii="黑体" w:eastAsia="黑体" w:hAnsi="黑体" w:hint="eastAsia"/>
        </w:rPr>
        <w:t>plume</w:t>
      </w:r>
      <w:r>
        <w:rPr>
          <w:rFonts w:ascii="黑体" w:eastAsia="黑体" w:hAnsi="黑体"/>
        </w:rPr>
        <w:t xml:space="preserve"> </w:t>
      </w:r>
      <w:r>
        <w:rPr>
          <w:rFonts w:ascii="黑体" w:eastAsia="黑体" w:hAnsi="黑体" w:hint="eastAsia"/>
        </w:rPr>
        <w:t>emergency</w:t>
      </w:r>
      <w:r>
        <w:rPr>
          <w:rFonts w:ascii="黑体" w:eastAsia="黑体" w:hAnsi="黑体"/>
        </w:rPr>
        <w:t xml:space="preserve"> </w:t>
      </w:r>
      <w:r>
        <w:rPr>
          <w:rFonts w:ascii="黑体" w:eastAsia="黑体" w:hAnsi="黑体" w:hint="eastAsia"/>
        </w:rPr>
        <w:t>planning</w:t>
      </w:r>
      <w:r>
        <w:rPr>
          <w:rFonts w:ascii="黑体" w:eastAsia="黑体" w:hAnsi="黑体"/>
        </w:rPr>
        <w:t xml:space="preserve"> </w:t>
      </w:r>
      <w:r>
        <w:rPr>
          <w:rFonts w:ascii="黑体" w:eastAsia="黑体" w:hAnsi="黑体" w:hint="eastAsia"/>
        </w:rPr>
        <w:t>zone</w:t>
      </w:r>
    </w:p>
    <w:p w14:paraId="7870A62A" w14:textId="77777777" w:rsidR="002E63C2" w:rsidRDefault="000A1C27">
      <w:pPr>
        <w:pStyle w:val="afffff5"/>
        <w:ind w:firstLine="420"/>
      </w:pPr>
      <w:r>
        <w:rPr>
          <w:rFonts w:hint="eastAsia"/>
        </w:rPr>
        <w:t>针对放射性烟云引起的照射而建立的，制定有核事故应急计划、并预计采取核事故应急对策和应急防护措施的区域。</w:t>
      </w:r>
    </w:p>
    <w:p w14:paraId="14A39B69" w14:textId="77777777" w:rsidR="002E63C2" w:rsidRDefault="000A1C27">
      <w:pPr>
        <w:pStyle w:val="affc"/>
        <w:spacing w:before="312" w:after="312"/>
      </w:pPr>
      <w:bookmarkStart w:id="56" w:name="_Toc171498489"/>
      <w:bookmarkStart w:id="57" w:name="_Toc175916644"/>
      <w:r>
        <w:rPr>
          <w:rFonts w:hint="eastAsia"/>
        </w:rPr>
        <w:t>计划和准备</w:t>
      </w:r>
      <w:bookmarkEnd w:id="56"/>
      <w:bookmarkEnd w:id="57"/>
    </w:p>
    <w:p w14:paraId="638DD240" w14:textId="77777777" w:rsidR="002E63C2" w:rsidRDefault="000A1C27">
      <w:pPr>
        <w:pStyle w:val="affffffffe"/>
        <w:rPr>
          <w:szCs w:val="21"/>
        </w:rPr>
      </w:pPr>
      <w:r>
        <w:rPr>
          <w:rFonts w:hint="eastAsia"/>
        </w:rPr>
        <w:t>应制定稳定性碘的使用计划。计划内容应包括稳定性碘储备数量、位置、检查更新和发放程序等。</w:t>
      </w:r>
    </w:p>
    <w:p w14:paraId="52C7C98D" w14:textId="77777777" w:rsidR="002E63C2" w:rsidRDefault="000A1C27">
      <w:pPr>
        <w:pStyle w:val="affffffffe"/>
      </w:pPr>
      <w:r>
        <w:rPr>
          <w:rFonts w:hint="eastAsia"/>
        </w:rPr>
        <w:t>应根据烟羽应急计划区内的所有公众和拟进入烟羽应急计划区的所有核应急工作人员数量储备相应数量的稳定性碘。</w:t>
      </w:r>
    </w:p>
    <w:p w14:paraId="558BFA11" w14:textId="77777777" w:rsidR="002E63C2" w:rsidRDefault="000A1C27">
      <w:pPr>
        <w:pStyle w:val="affffffffe"/>
      </w:pPr>
      <w:r>
        <w:rPr>
          <w:rFonts w:hint="eastAsia"/>
        </w:rPr>
        <w:t>稳定性碘应按照集中管理便于分发的原则，实行分级储存。指定专人负责，建立出、入库台帐。</w:t>
      </w:r>
    </w:p>
    <w:p w14:paraId="760541D4" w14:textId="77777777" w:rsidR="002E63C2" w:rsidRDefault="000A1C27">
      <w:pPr>
        <w:pStyle w:val="affffffffe"/>
      </w:pPr>
      <w:r>
        <w:rPr>
          <w:rFonts w:hint="eastAsia"/>
        </w:rPr>
        <w:t>稳定性碘应储存在阴凉、通风、干燥和避光的场所。</w:t>
      </w:r>
    </w:p>
    <w:p w14:paraId="42BB522F" w14:textId="77777777" w:rsidR="002E63C2" w:rsidRDefault="000A1C27">
      <w:pPr>
        <w:pStyle w:val="affffffffe"/>
      </w:pPr>
      <w:r>
        <w:rPr>
          <w:rFonts w:hint="eastAsia"/>
        </w:rPr>
        <w:t>应定期进行碘含量的检测，当碘含量降至90%以下或达到储存期限应立即组织更换。</w:t>
      </w:r>
    </w:p>
    <w:p w14:paraId="274CABC5" w14:textId="77777777" w:rsidR="002E63C2" w:rsidRDefault="000A1C27">
      <w:pPr>
        <w:pStyle w:val="affffffffe"/>
      </w:pPr>
      <w:r>
        <w:rPr>
          <w:rFonts w:hint="eastAsia"/>
        </w:rPr>
        <w:t>应参照药品使用说明书制定服用说明书，内容至少应包括服用剂量、禁忌症和不良反应等，参见附录A。</w:t>
      </w:r>
    </w:p>
    <w:p w14:paraId="43665E1D" w14:textId="77777777" w:rsidR="002E63C2" w:rsidRDefault="000A1C27">
      <w:pPr>
        <w:pStyle w:val="affc"/>
        <w:spacing w:before="312" w:after="312"/>
      </w:pPr>
      <w:bookmarkStart w:id="58" w:name="_Toc171498490"/>
      <w:bookmarkStart w:id="59" w:name="_Toc175916645"/>
      <w:r>
        <w:rPr>
          <w:rFonts w:hint="eastAsia"/>
        </w:rPr>
        <w:t>发放</w:t>
      </w:r>
      <w:bookmarkEnd w:id="58"/>
      <w:bookmarkEnd w:id="59"/>
    </w:p>
    <w:p w14:paraId="49354531" w14:textId="77777777" w:rsidR="002E63C2" w:rsidRDefault="000A1C27">
      <w:pPr>
        <w:pStyle w:val="affffffffe"/>
        <w:rPr>
          <w:szCs w:val="21"/>
        </w:rPr>
      </w:pPr>
      <w:r>
        <w:rPr>
          <w:rFonts w:hint="eastAsia"/>
          <w:szCs w:val="21"/>
        </w:rPr>
        <w:t>发放对象为烟羽应急计划区内所有公众和核应急工作人员。</w:t>
      </w:r>
    </w:p>
    <w:p w14:paraId="1BAC4DA8" w14:textId="77777777" w:rsidR="002E63C2" w:rsidRDefault="000A1C27">
      <w:pPr>
        <w:pStyle w:val="affffffffe"/>
        <w:rPr>
          <w:szCs w:val="21"/>
        </w:rPr>
      </w:pPr>
      <w:r>
        <w:rPr>
          <w:rFonts w:hint="eastAsia"/>
        </w:rPr>
        <w:t>在接到发放指令后，应按照发放程序开始向公众发放稳定性碘和服用说明书并登记。</w:t>
      </w:r>
    </w:p>
    <w:p w14:paraId="3C2BEC3D" w14:textId="77777777" w:rsidR="002E63C2" w:rsidRDefault="000A1C27">
      <w:pPr>
        <w:pStyle w:val="affffffffe"/>
      </w:pPr>
      <w:r>
        <w:rPr>
          <w:rFonts w:hint="eastAsia"/>
        </w:rPr>
        <w:t>辐射防护站工作人员负责给核应急工作人员发放稳定性碘并登记。</w:t>
      </w:r>
    </w:p>
    <w:p w14:paraId="7C12C190" w14:textId="77777777" w:rsidR="002E63C2" w:rsidRDefault="000A1C27">
      <w:pPr>
        <w:pStyle w:val="affc"/>
        <w:spacing w:before="312" w:after="312"/>
      </w:pPr>
      <w:bookmarkStart w:id="60" w:name="_Toc171498491"/>
      <w:bookmarkStart w:id="61" w:name="_Toc175916646"/>
      <w:r>
        <w:rPr>
          <w:rFonts w:hint="eastAsia"/>
        </w:rPr>
        <w:lastRenderedPageBreak/>
        <w:t>服用</w:t>
      </w:r>
      <w:bookmarkEnd w:id="60"/>
      <w:r>
        <w:rPr>
          <w:rFonts w:hint="eastAsia"/>
        </w:rPr>
        <w:t>指导</w:t>
      </w:r>
      <w:bookmarkEnd w:id="61"/>
    </w:p>
    <w:p w14:paraId="7698B69B" w14:textId="77777777" w:rsidR="002E63C2" w:rsidRDefault="000A1C27">
      <w:pPr>
        <w:pStyle w:val="affd"/>
        <w:spacing w:before="156" w:after="156"/>
      </w:pPr>
      <w:bookmarkStart w:id="62" w:name="_Toc175916647"/>
      <w:r>
        <w:rPr>
          <w:rFonts w:hint="eastAsia"/>
        </w:rPr>
        <w:t>服用原则</w:t>
      </w:r>
      <w:bookmarkEnd w:id="62"/>
    </w:p>
    <w:p w14:paraId="5BA25DE8" w14:textId="77777777" w:rsidR="002E63C2" w:rsidRDefault="000A1C27">
      <w:pPr>
        <w:pStyle w:val="afffffffff1"/>
      </w:pPr>
      <w:r>
        <w:rPr>
          <w:rFonts w:hint="eastAsia"/>
        </w:rPr>
        <w:t>接到服用指令时，应立即服用稳定性碘。</w:t>
      </w:r>
    </w:p>
    <w:p w14:paraId="7EF96206" w14:textId="77777777" w:rsidR="002E63C2" w:rsidRDefault="000A1C27">
      <w:pPr>
        <w:pStyle w:val="afffffffff1"/>
      </w:pPr>
      <w:r>
        <w:rPr>
          <w:rFonts w:hint="eastAsia"/>
        </w:rPr>
        <w:t>服用前应注意禁忌症的识别，禁忌症参见附录</w:t>
      </w:r>
      <w:r>
        <w:t>A.4</w:t>
      </w:r>
      <w:r>
        <w:rPr>
          <w:rFonts w:hint="eastAsia"/>
        </w:rPr>
        <w:t>。</w:t>
      </w:r>
    </w:p>
    <w:p w14:paraId="40326ABA" w14:textId="77777777" w:rsidR="002E63C2" w:rsidRDefault="000A1C27">
      <w:pPr>
        <w:pStyle w:val="afffffffff1"/>
      </w:pPr>
      <w:r>
        <w:rPr>
          <w:rFonts w:hint="eastAsia"/>
        </w:rPr>
        <w:t>服用后出现不良反应症状的人员宜及时就医，不良反应参见附录</w:t>
      </w:r>
      <w:r>
        <w:t>A.5</w:t>
      </w:r>
      <w:r>
        <w:rPr>
          <w:rFonts w:hint="eastAsia"/>
        </w:rPr>
        <w:t>。</w:t>
      </w:r>
    </w:p>
    <w:p w14:paraId="693546CC" w14:textId="77777777" w:rsidR="002E63C2" w:rsidRDefault="000A1C27">
      <w:pPr>
        <w:pStyle w:val="afffffffff1"/>
      </w:pPr>
      <w:r>
        <w:rPr>
          <w:rFonts w:hint="eastAsia"/>
        </w:rPr>
        <w:t>应注意新生儿稳定性碘服用剂量的准确性。</w:t>
      </w:r>
    </w:p>
    <w:p w14:paraId="3BE9E929" w14:textId="77777777" w:rsidR="002E63C2" w:rsidRDefault="000A1C27">
      <w:pPr>
        <w:pStyle w:val="affd"/>
        <w:spacing w:before="156" w:after="156"/>
      </w:pPr>
      <w:bookmarkStart w:id="63" w:name="_Toc175916648"/>
      <w:r>
        <w:rPr>
          <w:rFonts w:hint="eastAsia"/>
        </w:rPr>
        <w:t>服用剂量</w:t>
      </w:r>
      <w:bookmarkEnd w:id="63"/>
    </w:p>
    <w:p w14:paraId="17A296B3" w14:textId="77777777" w:rsidR="002E63C2" w:rsidRDefault="000A1C27">
      <w:pPr>
        <w:pStyle w:val="afffffffff1"/>
        <w:rPr>
          <w:szCs w:val="21"/>
        </w:rPr>
      </w:pPr>
      <w:r>
        <w:rPr>
          <w:rFonts w:hint="eastAsia"/>
        </w:rPr>
        <w:t>一般情况下仅需单次服用稳定性碘。不同年龄组人员，单次服用稳定性碘剂量，见表1。</w:t>
      </w:r>
    </w:p>
    <w:p w14:paraId="537C0B78" w14:textId="77777777" w:rsidR="002E63C2" w:rsidRDefault="000A1C27">
      <w:pPr>
        <w:pStyle w:val="aff2"/>
        <w:spacing w:before="156" w:after="156"/>
      </w:pPr>
      <w:r>
        <w:rPr>
          <w:rFonts w:hint="eastAsia"/>
        </w:rPr>
        <w:t>单次服用稳定性碘剂量</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2E63C2" w14:paraId="26B50CB6" w14:textId="77777777">
        <w:trPr>
          <w:tblHeader/>
          <w:jc w:val="center"/>
        </w:trPr>
        <w:tc>
          <w:tcPr>
            <w:tcW w:w="2334" w:type="dxa"/>
            <w:tcBorders>
              <w:top w:val="single" w:sz="8" w:space="0" w:color="auto"/>
              <w:bottom w:val="single" w:sz="8" w:space="0" w:color="auto"/>
            </w:tcBorders>
            <w:shd w:val="clear" w:color="auto" w:fill="auto"/>
            <w:vAlign w:val="center"/>
          </w:tcPr>
          <w:p w14:paraId="58D0EE82" w14:textId="77777777" w:rsidR="002E63C2" w:rsidRDefault="000A1C27">
            <w:pPr>
              <w:pStyle w:val="afffffffff9"/>
            </w:pPr>
            <w:r>
              <w:rPr>
                <w:rFonts w:hint="eastAsia"/>
              </w:rPr>
              <w:t>年龄组</w:t>
            </w:r>
          </w:p>
        </w:tc>
        <w:tc>
          <w:tcPr>
            <w:tcW w:w="2333" w:type="dxa"/>
            <w:tcBorders>
              <w:top w:val="single" w:sz="8" w:space="0" w:color="auto"/>
              <w:bottom w:val="single" w:sz="8" w:space="0" w:color="auto"/>
            </w:tcBorders>
            <w:shd w:val="clear" w:color="auto" w:fill="auto"/>
            <w:vAlign w:val="center"/>
          </w:tcPr>
          <w:p w14:paraId="625ACAFD" w14:textId="77777777" w:rsidR="002E63C2" w:rsidRDefault="000A1C27">
            <w:pPr>
              <w:pStyle w:val="afffffffff9"/>
            </w:pPr>
            <w:r>
              <w:rPr>
                <w:rFonts w:hint="eastAsia"/>
              </w:rPr>
              <w:t>碘</w:t>
            </w:r>
          </w:p>
          <w:p w14:paraId="502A3CFA" w14:textId="77777777" w:rsidR="002E63C2" w:rsidRDefault="000A1C27">
            <w:pPr>
              <w:pStyle w:val="afffffffff9"/>
            </w:pPr>
            <w:r>
              <w:rPr>
                <w:rFonts w:hint="eastAsia"/>
              </w:rPr>
              <w:t>m</w:t>
            </w:r>
            <w:r>
              <w:t>g</w:t>
            </w:r>
          </w:p>
        </w:tc>
        <w:tc>
          <w:tcPr>
            <w:tcW w:w="2333" w:type="dxa"/>
            <w:tcBorders>
              <w:top w:val="single" w:sz="8" w:space="0" w:color="auto"/>
              <w:bottom w:val="single" w:sz="8" w:space="0" w:color="auto"/>
            </w:tcBorders>
            <w:shd w:val="clear" w:color="auto" w:fill="auto"/>
            <w:vAlign w:val="center"/>
          </w:tcPr>
          <w:p w14:paraId="7F722054" w14:textId="77777777" w:rsidR="002E63C2" w:rsidRDefault="000A1C27">
            <w:pPr>
              <w:pStyle w:val="afffffffff9"/>
            </w:pPr>
            <w:r>
              <w:rPr>
                <w:rFonts w:hint="eastAsia"/>
              </w:rPr>
              <w:t>碘化钾</w:t>
            </w:r>
          </w:p>
          <w:p w14:paraId="584F2ABA" w14:textId="77777777" w:rsidR="002E63C2" w:rsidRDefault="000A1C27">
            <w:pPr>
              <w:pStyle w:val="afffffffff9"/>
            </w:pPr>
            <w:r>
              <w:rPr>
                <w:rFonts w:hint="eastAsia"/>
              </w:rPr>
              <w:t>mg</w:t>
            </w:r>
          </w:p>
        </w:tc>
        <w:tc>
          <w:tcPr>
            <w:tcW w:w="2334" w:type="dxa"/>
            <w:tcBorders>
              <w:top w:val="single" w:sz="8" w:space="0" w:color="auto"/>
              <w:bottom w:val="single" w:sz="8" w:space="0" w:color="auto"/>
            </w:tcBorders>
            <w:shd w:val="clear" w:color="auto" w:fill="auto"/>
            <w:vAlign w:val="center"/>
          </w:tcPr>
          <w:p w14:paraId="70271748" w14:textId="77777777" w:rsidR="002E63C2" w:rsidRDefault="000A1C27">
            <w:pPr>
              <w:pStyle w:val="afffffffff9"/>
            </w:pPr>
            <w:r>
              <w:rPr>
                <w:rFonts w:hint="eastAsia"/>
              </w:rPr>
              <w:t>占1</w:t>
            </w:r>
            <w:r>
              <w:t>00</w:t>
            </w:r>
            <w:r>
              <w:rPr>
                <w:rFonts w:hint="eastAsia"/>
              </w:rPr>
              <w:t>mg碘份额</w:t>
            </w:r>
          </w:p>
        </w:tc>
      </w:tr>
      <w:tr w:rsidR="002E63C2" w14:paraId="7CDCCDB1" w14:textId="77777777">
        <w:trPr>
          <w:jc w:val="center"/>
        </w:trPr>
        <w:tc>
          <w:tcPr>
            <w:tcW w:w="2334" w:type="dxa"/>
            <w:tcBorders>
              <w:top w:val="single" w:sz="8" w:space="0" w:color="auto"/>
            </w:tcBorders>
            <w:shd w:val="clear" w:color="auto" w:fill="auto"/>
            <w:vAlign w:val="center"/>
          </w:tcPr>
          <w:p w14:paraId="0AB556CC" w14:textId="77777777" w:rsidR="002E63C2" w:rsidRDefault="000A1C27">
            <w:pPr>
              <w:pStyle w:val="afffffffff9"/>
            </w:pPr>
            <w:r>
              <w:rPr>
                <w:rFonts w:hint="eastAsia"/>
              </w:rPr>
              <w:t>新生儿（出生～1月）</w:t>
            </w:r>
          </w:p>
        </w:tc>
        <w:tc>
          <w:tcPr>
            <w:tcW w:w="2333" w:type="dxa"/>
            <w:tcBorders>
              <w:top w:val="single" w:sz="8" w:space="0" w:color="auto"/>
            </w:tcBorders>
            <w:shd w:val="clear" w:color="auto" w:fill="auto"/>
            <w:vAlign w:val="center"/>
          </w:tcPr>
          <w:p w14:paraId="69CF77D2" w14:textId="77777777" w:rsidR="002E63C2" w:rsidRDefault="000A1C27">
            <w:pPr>
              <w:pStyle w:val="afffffffff9"/>
            </w:pPr>
            <w:r>
              <w:rPr>
                <w:rFonts w:hint="eastAsia"/>
              </w:rPr>
              <w:t>1</w:t>
            </w:r>
            <w:r>
              <w:t>2.5</w:t>
            </w:r>
          </w:p>
        </w:tc>
        <w:tc>
          <w:tcPr>
            <w:tcW w:w="2333" w:type="dxa"/>
            <w:tcBorders>
              <w:top w:val="single" w:sz="8" w:space="0" w:color="auto"/>
            </w:tcBorders>
            <w:shd w:val="clear" w:color="auto" w:fill="auto"/>
            <w:vAlign w:val="center"/>
          </w:tcPr>
          <w:p w14:paraId="57349778" w14:textId="77777777" w:rsidR="002E63C2" w:rsidRDefault="000A1C27">
            <w:pPr>
              <w:pStyle w:val="afffffffff9"/>
            </w:pPr>
            <w:r>
              <w:rPr>
                <w:rFonts w:hint="eastAsia"/>
              </w:rPr>
              <w:t>1</w:t>
            </w:r>
            <w:r>
              <w:t>6</w:t>
            </w:r>
          </w:p>
        </w:tc>
        <w:tc>
          <w:tcPr>
            <w:tcW w:w="2334" w:type="dxa"/>
            <w:tcBorders>
              <w:top w:val="single" w:sz="8" w:space="0" w:color="auto"/>
            </w:tcBorders>
            <w:shd w:val="clear" w:color="auto" w:fill="auto"/>
            <w:vAlign w:val="center"/>
          </w:tcPr>
          <w:p w14:paraId="17A3AAD1" w14:textId="77777777" w:rsidR="002E63C2" w:rsidRDefault="000A1C27">
            <w:pPr>
              <w:pStyle w:val="afffffffff9"/>
            </w:pPr>
            <w:r>
              <w:rPr>
                <w:rFonts w:hint="eastAsia"/>
              </w:rPr>
              <w:t>1/</w:t>
            </w:r>
            <w:r>
              <w:t>8</w:t>
            </w:r>
          </w:p>
        </w:tc>
      </w:tr>
      <w:tr w:rsidR="002E63C2" w14:paraId="0F58C7E9" w14:textId="77777777">
        <w:trPr>
          <w:jc w:val="center"/>
        </w:trPr>
        <w:tc>
          <w:tcPr>
            <w:tcW w:w="2334" w:type="dxa"/>
            <w:shd w:val="clear" w:color="auto" w:fill="auto"/>
            <w:vAlign w:val="center"/>
          </w:tcPr>
          <w:p w14:paraId="3DCC013A" w14:textId="77777777" w:rsidR="002E63C2" w:rsidRDefault="000A1C27">
            <w:pPr>
              <w:pStyle w:val="afffffffff9"/>
            </w:pPr>
            <w:r>
              <w:rPr>
                <w:rFonts w:hint="eastAsia"/>
              </w:rPr>
              <w:t>婴儿（1月～3岁）</w:t>
            </w:r>
          </w:p>
        </w:tc>
        <w:tc>
          <w:tcPr>
            <w:tcW w:w="2333" w:type="dxa"/>
            <w:shd w:val="clear" w:color="auto" w:fill="auto"/>
            <w:vAlign w:val="center"/>
          </w:tcPr>
          <w:p w14:paraId="5657E6B6" w14:textId="77777777" w:rsidR="002E63C2" w:rsidRDefault="000A1C27">
            <w:pPr>
              <w:pStyle w:val="afffffffff9"/>
            </w:pPr>
            <w:r>
              <w:rPr>
                <w:rFonts w:hint="eastAsia"/>
              </w:rPr>
              <w:t>2</w:t>
            </w:r>
            <w:r>
              <w:t>5</w:t>
            </w:r>
          </w:p>
        </w:tc>
        <w:tc>
          <w:tcPr>
            <w:tcW w:w="2333" w:type="dxa"/>
            <w:shd w:val="clear" w:color="auto" w:fill="auto"/>
            <w:vAlign w:val="center"/>
          </w:tcPr>
          <w:p w14:paraId="053AA964" w14:textId="77777777" w:rsidR="002E63C2" w:rsidRDefault="000A1C27">
            <w:pPr>
              <w:pStyle w:val="afffffffff9"/>
            </w:pPr>
            <w:r>
              <w:rPr>
                <w:rFonts w:hint="eastAsia"/>
              </w:rPr>
              <w:t>3</w:t>
            </w:r>
            <w:r>
              <w:t>2</w:t>
            </w:r>
          </w:p>
        </w:tc>
        <w:tc>
          <w:tcPr>
            <w:tcW w:w="2334" w:type="dxa"/>
            <w:shd w:val="clear" w:color="auto" w:fill="auto"/>
            <w:vAlign w:val="center"/>
          </w:tcPr>
          <w:p w14:paraId="36810991" w14:textId="77777777" w:rsidR="002E63C2" w:rsidRDefault="000A1C27">
            <w:pPr>
              <w:pStyle w:val="afffffffff9"/>
            </w:pPr>
            <w:r>
              <w:rPr>
                <w:rFonts w:hint="eastAsia"/>
              </w:rPr>
              <w:t>1</w:t>
            </w:r>
            <w:r>
              <w:t>/4</w:t>
            </w:r>
          </w:p>
        </w:tc>
      </w:tr>
      <w:tr w:rsidR="002E63C2" w14:paraId="3832D932" w14:textId="77777777">
        <w:trPr>
          <w:jc w:val="center"/>
        </w:trPr>
        <w:tc>
          <w:tcPr>
            <w:tcW w:w="2334" w:type="dxa"/>
            <w:shd w:val="clear" w:color="auto" w:fill="auto"/>
            <w:vAlign w:val="center"/>
          </w:tcPr>
          <w:p w14:paraId="5BF9ED04" w14:textId="77777777" w:rsidR="002E63C2" w:rsidRDefault="000A1C27">
            <w:pPr>
              <w:pStyle w:val="afffffffff9"/>
            </w:pPr>
            <w:r>
              <w:rPr>
                <w:rFonts w:hint="eastAsia"/>
              </w:rPr>
              <w:t>儿童（3岁～1</w:t>
            </w:r>
            <w:r>
              <w:t>2</w:t>
            </w:r>
            <w:r>
              <w:rPr>
                <w:rFonts w:hint="eastAsia"/>
              </w:rPr>
              <w:t>岁）</w:t>
            </w:r>
          </w:p>
        </w:tc>
        <w:tc>
          <w:tcPr>
            <w:tcW w:w="2333" w:type="dxa"/>
            <w:shd w:val="clear" w:color="auto" w:fill="auto"/>
            <w:vAlign w:val="center"/>
          </w:tcPr>
          <w:p w14:paraId="1E069536" w14:textId="77777777" w:rsidR="002E63C2" w:rsidRDefault="000A1C27">
            <w:pPr>
              <w:pStyle w:val="afffffffff9"/>
            </w:pPr>
            <w:r>
              <w:rPr>
                <w:rFonts w:hint="eastAsia"/>
              </w:rPr>
              <w:t>5</w:t>
            </w:r>
            <w:r>
              <w:t>0</w:t>
            </w:r>
          </w:p>
        </w:tc>
        <w:tc>
          <w:tcPr>
            <w:tcW w:w="2333" w:type="dxa"/>
            <w:shd w:val="clear" w:color="auto" w:fill="auto"/>
            <w:vAlign w:val="center"/>
          </w:tcPr>
          <w:p w14:paraId="7D96FB86" w14:textId="77777777" w:rsidR="002E63C2" w:rsidRDefault="000A1C27">
            <w:pPr>
              <w:pStyle w:val="afffffffff9"/>
            </w:pPr>
            <w:r>
              <w:rPr>
                <w:rFonts w:hint="eastAsia"/>
              </w:rPr>
              <w:t>6</w:t>
            </w:r>
            <w:r>
              <w:t>5</w:t>
            </w:r>
          </w:p>
        </w:tc>
        <w:tc>
          <w:tcPr>
            <w:tcW w:w="2334" w:type="dxa"/>
            <w:shd w:val="clear" w:color="auto" w:fill="auto"/>
            <w:vAlign w:val="center"/>
          </w:tcPr>
          <w:p w14:paraId="243C4BC0" w14:textId="77777777" w:rsidR="002E63C2" w:rsidRDefault="000A1C27">
            <w:pPr>
              <w:pStyle w:val="afffffffff9"/>
            </w:pPr>
            <w:r>
              <w:rPr>
                <w:rFonts w:hint="eastAsia"/>
              </w:rPr>
              <w:t>1</w:t>
            </w:r>
            <w:r>
              <w:t>/2</w:t>
            </w:r>
          </w:p>
        </w:tc>
      </w:tr>
      <w:tr w:rsidR="002E63C2" w14:paraId="04CA198A" w14:textId="77777777">
        <w:trPr>
          <w:jc w:val="center"/>
        </w:trPr>
        <w:tc>
          <w:tcPr>
            <w:tcW w:w="2334" w:type="dxa"/>
            <w:shd w:val="clear" w:color="auto" w:fill="auto"/>
            <w:vAlign w:val="center"/>
          </w:tcPr>
          <w:p w14:paraId="11C321D8" w14:textId="77777777" w:rsidR="002E63C2" w:rsidRDefault="000A1C27">
            <w:pPr>
              <w:pStyle w:val="afffffffff9"/>
            </w:pPr>
            <w:r>
              <w:rPr>
                <w:rFonts w:hint="eastAsia"/>
              </w:rPr>
              <w:t>成人、青少年（1</w:t>
            </w:r>
            <w:r>
              <w:t>2</w:t>
            </w:r>
            <w:r>
              <w:rPr>
                <w:rFonts w:hint="eastAsia"/>
              </w:rPr>
              <w:t>岁以上）</w:t>
            </w:r>
          </w:p>
        </w:tc>
        <w:tc>
          <w:tcPr>
            <w:tcW w:w="2333" w:type="dxa"/>
            <w:shd w:val="clear" w:color="auto" w:fill="auto"/>
            <w:vAlign w:val="center"/>
          </w:tcPr>
          <w:p w14:paraId="05F6044F" w14:textId="77777777" w:rsidR="002E63C2" w:rsidRDefault="000A1C27">
            <w:pPr>
              <w:pStyle w:val="afffffffff9"/>
            </w:pPr>
            <w:r>
              <w:rPr>
                <w:rFonts w:hint="eastAsia"/>
              </w:rPr>
              <w:t>1</w:t>
            </w:r>
            <w:r>
              <w:t>00</w:t>
            </w:r>
          </w:p>
        </w:tc>
        <w:tc>
          <w:tcPr>
            <w:tcW w:w="2333" w:type="dxa"/>
            <w:shd w:val="clear" w:color="auto" w:fill="auto"/>
            <w:vAlign w:val="center"/>
          </w:tcPr>
          <w:p w14:paraId="4A0FFDF3" w14:textId="77777777" w:rsidR="002E63C2" w:rsidRDefault="000A1C27">
            <w:pPr>
              <w:pStyle w:val="afffffffff9"/>
            </w:pPr>
            <w:r>
              <w:rPr>
                <w:rFonts w:hint="eastAsia"/>
              </w:rPr>
              <w:t>1</w:t>
            </w:r>
            <w:r>
              <w:t>30</w:t>
            </w:r>
          </w:p>
        </w:tc>
        <w:tc>
          <w:tcPr>
            <w:tcW w:w="2334" w:type="dxa"/>
            <w:shd w:val="clear" w:color="auto" w:fill="auto"/>
            <w:vAlign w:val="center"/>
          </w:tcPr>
          <w:p w14:paraId="628E3668" w14:textId="77777777" w:rsidR="002E63C2" w:rsidRDefault="000A1C27">
            <w:pPr>
              <w:pStyle w:val="afffffffff9"/>
            </w:pPr>
            <w:r>
              <w:rPr>
                <w:rFonts w:hint="eastAsia"/>
              </w:rPr>
              <w:t>1</w:t>
            </w:r>
          </w:p>
        </w:tc>
      </w:tr>
    </w:tbl>
    <w:p w14:paraId="584269DF" w14:textId="77777777" w:rsidR="002E63C2" w:rsidRDefault="000A1C27" w:rsidP="003419A6">
      <w:pPr>
        <w:pStyle w:val="afffffffff1"/>
      </w:pPr>
      <w:r>
        <w:rPr>
          <w:rFonts w:hint="eastAsia"/>
        </w:rPr>
        <w:t>在长时间（超过24 h）或重复受到放射碘照射，无法撤离且不可避免地摄入污染的食物和饮用水</w:t>
      </w:r>
      <w:r w:rsidR="003419A6" w:rsidRPr="003419A6">
        <w:rPr>
          <w:rFonts w:hint="eastAsia"/>
        </w:rPr>
        <w:t>或者吸入污染的空气</w:t>
      </w:r>
      <w:r>
        <w:rPr>
          <w:rFonts w:hint="eastAsia"/>
        </w:rPr>
        <w:t>的情况下，成人可以连续每日服用一次稳定性碘，但连续服用不应超过10次；新生儿、孕妇、哺乳期妇女和老年人（超过60</w:t>
      </w:r>
      <w:r w:rsidR="00C00376">
        <w:rPr>
          <w:rFonts w:hint="eastAsia"/>
        </w:rPr>
        <w:t>岁）不应</w:t>
      </w:r>
      <w:r>
        <w:rPr>
          <w:rFonts w:hint="eastAsia"/>
        </w:rPr>
        <w:t>重复服药。</w:t>
      </w:r>
    </w:p>
    <w:p w14:paraId="06E46655" w14:textId="77777777" w:rsidR="002E63C2" w:rsidRDefault="002E63C2">
      <w:pPr>
        <w:pStyle w:val="afffffffff1"/>
        <w:sectPr w:rsidR="002E63C2">
          <w:pgSz w:w="11906" w:h="16838"/>
          <w:pgMar w:top="1928" w:right="1134" w:bottom="1134" w:left="1134" w:header="1418" w:footer="1134" w:gutter="284"/>
          <w:pgNumType w:start="1"/>
          <w:cols w:space="425"/>
          <w:formProt w:val="0"/>
          <w:docGrid w:type="lines" w:linePitch="312"/>
        </w:sectPr>
      </w:pPr>
    </w:p>
    <w:p w14:paraId="033687F3" w14:textId="77777777" w:rsidR="002E63C2" w:rsidRDefault="002E63C2">
      <w:pPr>
        <w:pStyle w:val="af8"/>
        <w:rPr>
          <w:rFonts w:hint="eastAsia"/>
        </w:rPr>
      </w:pPr>
      <w:bookmarkStart w:id="64" w:name="BookMark5"/>
      <w:bookmarkEnd w:id="28"/>
    </w:p>
    <w:p w14:paraId="5E0A2A2D" w14:textId="77777777" w:rsidR="002E63C2" w:rsidRDefault="002E63C2">
      <w:pPr>
        <w:pStyle w:val="afe"/>
      </w:pPr>
    </w:p>
    <w:p w14:paraId="4700E355" w14:textId="77777777" w:rsidR="002E63C2" w:rsidRDefault="000A1C27">
      <w:pPr>
        <w:pStyle w:val="aff3"/>
        <w:spacing w:after="156"/>
      </w:pPr>
      <w:r>
        <w:br/>
      </w:r>
      <w:bookmarkStart w:id="65" w:name="_Toc171498492"/>
      <w:bookmarkStart w:id="66" w:name="_Toc175916649"/>
      <w:r>
        <w:rPr>
          <w:rFonts w:hint="eastAsia"/>
        </w:rPr>
        <w:t>（资料性）</w:t>
      </w:r>
      <w:r>
        <w:br/>
      </w:r>
      <w:r>
        <w:rPr>
          <w:rFonts w:hint="eastAsia"/>
        </w:rPr>
        <w:t>稳定性碘的</w:t>
      </w:r>
      <w:bookmarkEnd w:id="65"/>
      <w:r>
        <w:rPr>
          <w:rFonts w:hint="eastAsia"/>
        </w:rPr>
        <w:t>服用说明书</w:t>
      </w:r>
      <w:bookmarkEnd w:id="66"/>
    </w:p>
    <w:p w14:paraId="081DFC57" w14:textId="77777777" w:rsidR="002E63C2" w:rsidRDefault="000A1C27">
      <w:pPr>
        <w:pStyle w:val="aff4"/>
        <w:spacing w:before="156" w:after="156"/>
      </w:pPr>
      <w:bookmarkStart w:id="67" w:name="_Toc175916650"/>
      <w:r>
        <w:rPr>
          <w:rFonts w:hint="eastAsia"/>
        </w:rPr>
        <w:t>稳定性碘介绍</w:t>
      </w:r>
      <w:bookmarkEnd w:id="67"/>
    </w:p>
    <w:p w14:paraId="01663B86" w14:textId="77777777" w:rsidR="002E63C2" w:rsidRDefault="000A1C27">
      <w:pPr>
        <w:pStyle w:val="afffff5"/>
        <w:ind w:firstLine="420"/>
      </w:pPr>
      <w:r>
        <w:rPr>
          <w:rFonts w:hint="eastAsia"/>
        </w:rPr>
        <w:t>稳定性碘最常见的化学形态为碘化钾（KI）。在释放放射性碘的事故中，服用稳定性碘可以减少</w:t>
      </w:r>
      <w:r w:rsidR="003419A6">
        <w:rPr>
          <w:rFonts w:hint="eastAsia"/>
        </w:rPr>
        <w:t>甲状腺</w:t>
      </w:r>
      <w:r>
        <w:rPr>
          <w:rFonts w:hint="eastAsia"/>
        </w:rPr>
        <w:t>放射性碘的摄入，从而实现保护甲状腺免受放射性碘照射。</w:t>
      </w:r>
    </w:p>
    <w:p w14:paraId="4A0633B5" w14:textId="77777777" w:rsidR="002E63C2" w:rsidRDefault="000A1C27">
      <w:pPr>
        <w:pStyle w:val="aff4"/>
        <w:spacing w:before="156" w:after="156"/>
      </w:pPr>
      <w:bookmarkStart w:id="68" w:name="_Toc175916651"/>
      <w:r>
        <w:rPr>
          <w:rFonts w:hint="eastAsia"/>
        </w:rPr>
        <w:t>服用时间与效果的关系</w:t>
      </w:r>
      <w:bookmarkEnd w:id="68"/>
    </w:p>
    <w:p w14:paraId="6AFA9127" w14:textId="77777777" w:rsidR="002E63C2" w:rsidRDefault="000A1C27">
      <w:pPr>
        <w:pStyle w:val="afffff5"/>
        <w:ind w:firstLine="420"/>
      </w:pPr>
      <w:r>
        <w:rPr>
          <w:rFonts w:hint="eastAsia"/>
        </w:rPr>
        <w:t>服用稳定性碘时间对防护效果有明显影响，在摄入放射性碘前或摄入后立即给药效果最好；摄入后6 h给药，可使甲状腺剂量减少约50%；摄入后12 h给药，预期防护效果很小；摄入后24 h后给药已基本无效。</w:t>
      </w:r>
    </w:p>
    <w:p w14:paraId="299F67C6" w14:textId="77777777" w:rsidR="002E63C2" w:rsidRDefault="000A1C27">
      <w:pPr>
        <w:pStyle w:val="aff4"/>
        <w:spacing w:before="156" w:after="156"/>
      </w:pPr>
      <w:bookmarkStart w:id="69" w:name="_Toc175916652"/>
      <w:r>
        <w:rPr>
          <w:rFonts w:hint="eastAsia"/>
        </w:rPr>
        <w:t>服用剂量</w:t>
      </w:r>
      <w:bookmarkEnd w:id="69"/>
    </w:p>
    <w:p w14:paraId="635CF244" w14:textId="77777777" w:rsidR="002E63C2" w:rsidRDefault="000A1C27">
      <w:pPr>
        <w:pStyle w:val="afffff5"/>
        <w:ind w:firstLine="420"/>
      </w:pPr>
      <w:r>
        <w:rPr>
          <w:rFonts w:hint="eastAsia"/>
        </w:rPr>
        <w:t>服用剂量参见6</w:t>
      </w:r>
      <w:r>
        <w:t>.2</w:t>
      </w:r>
      <w:r>
        <w:rPr>
          <w:rFonts w:hint="eastAsia"/>
        </w:rPr>
        <w:t>。</w:t>
      </w:r>
    </w:p>
    <w:p w14:paraId="7FC704A6" w14:textId="77777777" w:rsidR="002E63C2" w:rsidRDefault="000A1C27">
      <w:pPr>
        <w:pStyle w:val="aff4"/>
        <w:spacing w:before="156" w:after="156"/>
      </w:pPr>
      <w:bookmarkStart w:id="70" w:name="_Toc175916653"/>
      <w:r>
        <w:rPr>
          <w:rFonts w:hint="eastAsia"/>
        </w:rPr>
        <w:t>禁忌症</w:t>
      </w:r>
      <w:bookmarkEnd w:id="70"/>
    </w:p>
    <w:p w14:paraId="110A4E5E" w14:textId="77777777" w:rsidR="002E63C2" w:rsidRDefault="000A1C27">
      <w:pPr>
        <w:pStyle w:val="afffff5"/>
        <w:ind w:firstLine="420"/>
      </w:pPr>
      <w:r>
        <w:rPr>
          <w:rFonts w:hint="eastAsia"/>
        </w:rPr>
        <w:t>既往或现患甲状腺疾病（如地方性碘缺乏性甲状腺肿，甲状腺结节，弥漫性毒性甲状腺肿已经治愈，曾接受过放射性碘的治疗，慢性淋巴细胞性甲状腺炎，甲状腺单侧切除，有亚临床型甲状腺功能减退，遗传性T3、T4缺乏的高龄者等）、已知对碘过敏者、疱疹样皮炎、血清补体缺乏性血管炎、严重的肾脏、心脏及肺结核等疾病。</w:t>
      </w:r>
    </w:p>
    <w:p w14:paraId="536D1B94" w14:textId="77777777" w:rsidR="002E63C2" w:rsidRDefault="000A1C27">
      <w:pPr>
        <w:pStyle w:val="aff4"/>
        <w:spacing w:before="156" w:after="156"/>
      </w:pPr>
      <w:bookmarkStart w:id="71" w:name="_Toc175916654"/>
      <w:r>
        <w:rPr>
          <w:rFonts w:hint="eastAsia"/>
        </w:rPr>
        <w:t>不良反应</w:t>
      </w:r>
      <w:bookmarkEnd w:id="71"/>
    </w:p>
    <w:p w14:paraId="1BC7D5C8" w14:textId="77777777" w:rsidR="002E63C2" w:rsidRDefault="000A1C27">
      <w:pPr>
        <w:pStyle w:val="afffff5"/>
        <w:ind w:firstLine="420"/>
        <w:sectPr w:rsidR="002E63C2">
          <w:pgSz w:w="11906" w:h="16838"/>
          <w:pgMar w:top="1928" w:right="1134" w:bottom="1134" w:left="1134" w:header="1418" w:footer="1134" w:gutter="284"/>
          <w:cols w:space="425"/>
          <w:formProt w:val="0"/>
          <w:docGrid w:type="lines" w:linePitch="312"/>
        </w:sectPr>
      </w:pPr>
      <w:r>
        <w:rPr>
          <w:rFonts w:hint="eastAsia"/>
        </w:rPr>
        <w:t>稳定碘的不良反应很少见，包括涎腺炎、胃肠功能紊乱、过敏反应与轻微皮疹、碘诱发甲状腺功能亢进、短暂甲状腺机能减退和甲状腺肿</w:t>
      </w:r>
      <w:bookmarkStart w:id="72" w:name="BookMark6"/>
      <w:bookmarkEnd w:id="64"/>
      <w:r>
        <w:rPr>
          <w:rFonts w:hint="eastAsia"/>
        </w:rPr>
        <w:t>。</w:t>
      </w:r>
    </w:p>
    <w:p w14:paraId="5C612B67" w14:textId="77777777" w:rsidR="002E63C2" w:rsidRDefault="000A1C27">
      <w:pPr>
        <w:pStyle w:val="afffffc"/>
        <w:spacing w:after="156"/>
      </w:pPr>
      <w:bookmarkStart w:id="73" w:name="_Toc171498493"/>
      <w:bookmarkStart w:id="74" w:name="_Toc175916655"/>
      <w:r>
        <w:rPr>
          <w:rFonts w:hint="eastAsia"/>
          <w:spacing w:val="105"/>
        </w:rPr>
        <w:lastRenderedPageBreak/>
        <w:t>参考文</w:t>
      </w:r>
      <w:r>
        <w:rPr>
          <w:rFonts w:hint="eastAsia"/>
        </w:rPr>
        <w:t>献</w:t>
      </w:r>
      <w:bookmarkEnd w:id="73"/>
      <w:bookmarkEnd w:id="74"/>
    </w:p>
    <w:p w14:paraId="16CAEEC7" w14:textId="77777777" w:rsidR="002E63C2" w:rsidRDefault="000A1C27">
      <w:pPr>
        <w:pStyle w:val="afffff5"/>
        <w:ind w:firstLine="420"/>
      </w:pPr>
      <w:r>
        <w:rPr>
          <w:rFonts w:hint="eastAsia"/>
        </w:rPr>
        <w:t>[1] WS/T 467-2014 核和辐射事故医学响应程序</w:t>
      </w:r>
    </w:p>
    <w:p w14:paraId="02371267" w14:textId="77777777" w:rsidR="002E63C2" w:rsidRDefault="000A1C27">
      <w:pPr>
        <w:pStyle w:val="afffff5"/>
        <w:ind w:firstLine="420"/>
      </w:pPr>
      <w:r>
        <w:rPr>
          <w:rFonts w:hint="eastAsia"/>
        </w:rPr>
        <w:t>[</w:t>
      </w:r>
      <w:r>
        <w:t>2</w:t>
      </w:r>
      <w:r>
        <w:rPr>
          <w:rFonts w:hint="eastAsia"/>
        </w:rPr>
        <w:t>] WS/T 827</w:t>
      </w:r>
      <w:r>
        <w:t>-2023</w:t>
      </w:r>
      <w:r>
        <w:rPr>
          <w:rFonts w:hint="eastAsia"/>
        </w:rPr>
        <w:t xml:space="preserve"> 核与放射卫生应急准备与响应通用标准</w:t>
      </w:r>
    </w:p>
    <w:p w14:paraId="15C99F2F" w14:textId="77777777" w:rsidR="002E63C2" w:rsidRDefault="000A1C27">
      <w:pPr>
        <w:pStyle w:val="afffff5"/>
        <w:ind w:firstLine="420"/>
      </w:pPr>
      <w:r>
        <w:t>[3] WORLD HEALTH ORGANIZATION. Iodine thyroid blocking: guidelines for use in planning for and responding to radiological and nuclear emergencies. Geneva: World Health Organization, 2017</w:t>
      </w:r>
    </w:p>
    <w:p w14:paraId="72EC9688" w14:textId="77777777" w:rsidR="002E63C2" w:rsidRDefault="000A1C27">
      <w:pPr>
        <w:pStyle w:val="afffff5"/>
        <w:ind w:firstLine="420"/>
      </w:pPr>
      <w:r>
        <w:t xml:space="preserve">[4] </w:t>
      </w:r>
      <w:r>
        <w:rPr>
          <w:rFonts w:hint="eastAsia"/>
        </w:rPr>
        <w:t>江苏省田湾核电站场外应急预案（苏核委〔2015〕1号）</w:t>
      </w:r>
    </w:p>
    <w:p w14:paraId="7957C2AF" w14:textId="77777777" w:rsidR="00C00376" w:rsidRDefault="00C00376" w:rsidP="00C00376">
      <w:pPr>
        <w:pStyle w:val="afffff5"/>
        <w:ind w:firstLineChars="0" w:firstLine="0"/>
        <w:jc w:val="center"/>
      </w:pPr>
      <w:bookmarkStart w:id="75" w:name="BookMark8"/>
      <w:bookmarkEnd w:id="72"/>
      <w:r>
        <w:rPr>
          <w:noProof/>
        </w:rPr>
        <w:drawing>
          <wp:inline distT="0" distB="0" distL="0" distR="0" wp14:anchorId="3A4559D6" wp14:editId="119444DB">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5"/>
    </w:p>
    <w:sectPr w:rsidR="00C00376">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9D9AAF" w14:textId="77777777" w:rsidR="000D5DBB" w:rsidRDefault="000D5DBB">
      <w:pPr>
        <w:spacing w:line="240" w:lineRule="auto"/>
      </w:pPr>
      <w:r>
        <w:separator/>
      </w:r>
    </w:p>
  </w:endnote>
  <w:endnote w:type="continuationSeparator" w:id="0">
    <w:p w14:paraId="65293558" w14:textId="77777777" w:rsidR="000D5DBB" w:rsidRDefault="000D5D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535EA" w14:textId="77777777" w:rsidR="002E63C2" w:rsidRDefault="000A1C27">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D54FD" w14:textId="77777777" w:rsidR="002E63C2" w:rsidRDefault="002E63C2">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6ECE5" w14:textId="77777777" w:rsidR="002E63C2" w:rsidRDefault="002E63C2">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AE626" w14:textId="77777777" w:rsidR="002E63C2" w:rsidRDefault="000A1C27">
    <w:pPr>
      <w:pStyle w:val="afffff2"/>
    </w:pPr>
    <w:r>
      <w:fldChar w:fldCharType="begin"/>
    </w:r>
    <w:r>
      <w:instrText>PAGE   \* MERGEFORMAT</w:instrText>
    </w:r>
    <w:r>
      <w:fldChar w:fldCharType="separate"/>
    </w:r>
    <w:r w:rsidR="00336338" w:rsidRPr="00336338">
      <w:rPr>
        <w:noProof/>
        <w:lang w:val="zh-CN"/>
      </w:rPr>
      <w:t>III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C1D6A1" w14:textId="77777777" w:rsidR="000D5DBB" w:rsidRDefault="000D5DBB">
      <w:pPr>
        <w:spacing w:line="240" w:lineRule="auto"/>
      </w:pPr>
      <w:r>
        <w:separator/>
      </w:r>
    </w:p>
  </w:footnote>
  <w:footnote w:type="continuationSeparator" w:id="0">
    <w:p w14:paraId="6F48FDC2" w14:textId="77777777" w:rsidR="000D5DBB" w:rsidRDefault="000D5D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6FD53" w14:textId="77777777" w:rsidR="002E63C2" w:rsidRDefault="002E63C2">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F04B5" w14:textId="77777777" w:rsidR="002E63C2" w:rsidRDefault="000A1C27">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CDBB2" w14:textId="77777777" w:rsidR="002E63C2" w:rsidRDefault="002E63C2">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EF8E4" w14:textId="77777777" w:rsidR="002E63C2" w:rsidRDefault="000A1C27">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32/T XXXX.7—XXXX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37029" w14:textId="02AA41D8" w:rsidR="002E63C2" w:rsidRDefault="000A1C27">
    <w:pPr>
      <w:pStyle w:val="afffffa"/>
      <w:rPr>
        <w:rFonts w:hint="eastAsia"/>
      </w:rPr>
    </w:pPr>
    <w:r>
      <w:fldChar w:fldCharType="begin"/>
    </w:r>
    <w:r>
      <w:instrText xml:space="preserve"> STYLEREF  标准文件_文件编号  \* MERGEFORMAT </w:instrText>
    </w:r>
    <w:r>
      <w:fldChar w:fldCharType="separate"/>
    </w:r>
    <w:r w:rsidR="00B376B2">
      <w:rPr>
        <w:rFonts w:hint="eastAsia"/>
        <w:noProof/>
      </w:rPr>
      <w:t>DB 32/T XXXX.7—XXXX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577477451">
    <w:abstractNumId w:val="0"/>
  </w:num>
  <w:num w:numId="2" w16cid:durableId="948270053">
    <w:abstractNumId w:val="27"/>
  </w:num>
  <w:num w:numId="3" w16cid:durableId="1096823943">
    <w:abstractNumId w:val="5"/>
  </w:num>
  <w:num w:numId="4" w16cid:durableId="1456488904">
    <w:abstractNumId w:val="23"/>
  </w:num>
  <w:num w:numId="5" w16cid:durableId="1870297764">
    <w:abstractNumId w:val="18"/>
  </w:num>
  <w:num w:numId="6" w16cid:durableId="533078646">
    <w:abstractNumId w:val="13"/>
  </w:num>
  <w:num w:numId="7" w16cid:durableId="399793314">
    <w:abstractNumId w:val="8"/>
  </w:num>
  <w:num w:numId="8" w16cid:durableId="1981764400">
    <w:abstractNumId w:val="3"/>
  </w:num>
  <w:num w:numId="9" w16cid:durableId="984315808">
    <w:abstractNumId w:val="9"/>
  </w:num>
  <w:num w:numId="10" w16cid:durableId="1725136844">
    <w:abstractNumId w:val="16"/>
  </w:num>
  <w:num w:numId="11" w16cid:durableId="1838568486">
    <w:abstractNumId w:val="25"/>
  </w:num>
  <w:num w:numId="12" w16cid:durableId="1286498770">
    <w:abstractNumId w:val="11"/>
  </w:num>
  <w:num w:numId="13" w16cid:durableId="1472333802">
    <w:abstractNumId w:val="12"/>
  </w:num>
  <w:num w:numId="14" w16cid:durableId="1617299262">
    <w:abstractNumId w:val="7"/>
  </w:num>
  <w:num w:numId="15" w16cid:durableId="278146203">
    <w:abstractNumId w:val="19"/>
  </w:num>
  <w:num w:numId="16" w16cid:durableId="1809740813">
    <w:abstractNumId w:val="21"/>
  </w:num>
  <w:num w:numId="17" w16cid:durableId="1087724857">
    <w:abstractNumId w:val="17"/>
  </w:num>
  <w:num w:numId="18" w16cid:durableId="1430809490">
    <w:abstractNumId w:val="29"/>
  </w:num>
  <w:num w:numId="19" w16cid:durableId="1430420464">
    <w:abstractNumId w:val="15"/>
  </w:num>
  <w:num w:numId="20" w16cid:durableId="933049479">
    <w:abstractNumId w:val="1"/>
  </w:num>
  <w:num w:numId="21" w16cid:durableId="1280600544">
    <w:abstractNumId w:val="10"/>
  </w:num>
  <w:num w:numId="22" w16cid:durableId="43481265">
    <w:abstractNumId w:val="30"/>
  </w:num>
  <w:num w:numId="23" w16cid:durableId="173154419">
    <w:abstractNumId w:val="20"/>
  </w:num>
  <w:num w:numId="24" w16cid:durableId="1689913312">
    <w:abstractNumId w:val="6"/>
  </w:num>
  <w:num w:numId="25" w16cid:durableId="1186872356">
    <w:abstractNumId w:val="26"/>
  </w:num>
  <w:num w:numId="26" w16cid:durableId="199782901">
    <w:abstractNumId w:val="28"/>
  </w:num>
  <w:num w:numId="27" w16cid:durableId="1602370162">
    <w:abstractNumId w:val="2"/>
  </w:num>
  <w:num w:numId="28" w16cid:durableId="1095130091">
    <w:abstractNumId w:val="4"/>
  </w:num>
  <w:num w:numId="29" w16cid:durableId="381751622">
    <w:abstractNumId w:val="14"/>
  </w:num>
  <w:num w:numId="30" w16cid:durableId="815025628">
    <w:abstractNumId w:val="24"/>
  </w:num>
  <w:num w:numId="31" w16cid:durableId="13029059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attachedTemplate r:id="rId1"/>
  <w:documentProtection w:edit="forms" w:enforcement="1" w:cryptProviderType="rsaAES" w:cryptAlgorithmClass="hash" w:cryptAlgorithmType="typeAny" w:cryptAlgorithmSid="14" w:cryptSpinCount="100000" w:hash="dOA13bp8VQluHfdg+jFDTPJEcwplasXD6+MmtM6ArB9O1TIpnYNex51WyeIven4FiVKzMRt5rTyAPrsOOTVthQ==" w:salt="l6Ji/qbobxUDBIYMYo6jFA=="/>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E1ZDExMmNkYWNiN2Q3YTY5YzJhNWM1NWRhOTAyNDAifQ=="/>
  </w:docVars>
  <w:rsids>
    <w:rsidRoot w:val="008107D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36BEB"/>
    <w:rsid w:val="0004249A"/>
    <w:rsid w:val="00043282"/>
    <w:rsid w:val="00044286"/>
    <w:rsid w:val="00047F28"/>
    <w:rsid w:val="000503AA"/>
    <w:rsid w:val="000506A1"/>
    <w:rsid w:val="000509F7"/>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1C27"/>
    <w:rsid w:val="000A296B"/>
    <w:rsid w:val="000A3B2C"/>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5DBB"/>
    <w:rsid w:val="000D753B"/>
    <w:rsid w:val="000E4C9E"/>
    <w:rsid w:val="000E6FD7"/>
    <w:rsid w:val="000F06E1"/>
    <w:rsid w:val="000F0E3C"/>
    <w:rsid w:val="000F19D5"/>
    <w:rsid w:val="000F3CC0"/>
    <w:rsid w:val="000F4AEA"/>
    <w:rsid w:val="000F633F"/>
    <w:rsid w:val="000F67E9"/>
    <w:rsid w:val="00104926"/>
    <w:rsid w:val="00113B1E"/>
    <w:rsid w:val="0011633A"/>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898"/>
    <w:rsid w:val="00176DFD"/>
    <w:rsid w:val="001852C9"/>
    <w:rsid w:val="00190087"/>
    <w:rsid w:val="001913C4"/>
    <w:rsid w:val="0019348F"/>
    <w:rsid w:val="00193A07"/>
    <w:rsid w:val="00194C95"/>
    <w:rsid w:val="00195C34"/>
    <w:rsid w:val="001969C2"/>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8E1"/>
    <w:rsid w:val="001F69B4"/>
    <w:rsid w:val="001F77C7"/>
    <w:rsid w:val="00200183"/>
    <w:rsid w:val="00200333"/>
    <w:rsid w:val="0020107D"/>
    <w:rsid w:val="00202AA4"/>
    <w:rsid w:val="002031F7"/>
    <w:rsid w:val="002040E6"/>
    <w:rsid w:val="002047BE"/>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6ED"/>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E63C2"/>
    <w:rsid w:val="002F30E0"/>
    <w:rsid w:val="002F35E4"/>
    <w:rsid w:val="002F3730"/>
    <w:rsid w:val="002F38E1"/>
    <w:rsid w:val="002F7AF6"/>
    <w:rsid w:val="00300E63"/>
    <w:rsid w:val="00302F5F"/>
    <w:rsid w:val="0030441D"/>
    <w:rsid w:val="00306063"/>
    <w:rsid w:val="003065BE"/>
    <w:rsid w:val="00313B85"/>
    <w:rsid w:val="00317988"/>
    <w:rsid w:val="003221B4"/>
    <w:rsid w:val="0032258D"/>
    <w:rsid w:val="00322E62"/>
    <w:rsid w:val="00324D13"/>
    <w:rsid w:val="00324D2A"/>
    <w:rsid w:val="00324EDD"/>
    <w:rsid w:val="003331E4"/>
    <w:rsid w:val="00336338"/>
    <w:rsid w:val="00336C64"/>
    <w:rsid w:val="00337162"/>
    <w:rsid w:val="0034194F"/>
    <w:rsid w:val="003419A6"/>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1C12"/>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AE3"/>
    <w:rsid w:val="00535EC4"/>
    <w:rsid w:val="00535ED9"/>
    <w:rsid w:val="0053692B"/>
    <w:rsid w:val="00541853"/>
    <w:rsid w:val="00543BDA"/>
    <w:rsid w:val="005441CC"/>
    <w:rsid w:val="005479DA"/>
    <w:rsid w:val="00547BCC"/>
    <w:rsid w:val="0055013B"/>
    <w:rsid w:val="00551129"/>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50AA"/>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3F7A"/>
    <w:rsid w:val="005D4171"/>
    <w:rsid w:val="005D6A95"/>
    <w:rsid w:val="005D6B2C"/>
    <w:rsid w:val="005D6D9C"/>
    <w:rsid w:val="005E2335"/>
    <w:rsid w:val="005E34CA"/>
    <w:rsid w:val="005E3C18"/>
    <w:rsid w:val="005E3DA1"/>
    <w:rsid w:val="005E6812"/>
    <w:rsid w:val="005E7881"/>
    <w:rsid w:val="005E78E0"/>
    <w:rsid w:val="005F0D9C"/>
    <w:rsid w:val="005F1516"/>
    <w:rsid w:val="005F284E"/>
    <w:rsid w:val="005F2911"/>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6283"/>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957"/>
    <w:rsid w:val="00685AAB"/>
    <w:rsid w:val="00693374"/>
    <w:rsid w:val="00695D22"/>
    <w:rsid w:val="006A07AA"/>
    <w:rsid w:val="006A25E5"/>
    <w:rsid w:val="006A2B46"/>
    <w:rsid w:val="006A336D"/>
    <w:rsid w:val="006A37B9"/>
    <w:rsid w:val="006A4C33"/>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1CBB"/>
    <w:rsid w:val="00704387"/>
    <w:rsid w:val="00704CEF"/>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52"/>
    <w:rsid w:val="00743CB4"/>
    <w:rsid w:val="00743F0A"/>
    <w:rsid w:val="007444E8"/>
    <w:rsid w:val="0074548E"/>
    <w:rsid w:val="00745773"/>
    <w:rsid w:val="00746800"/>
    <w:rsid w:val="007501A8"/>
    <w:rsid w:val="00750D61"/>
    <w:rsid w:val="00750EE1"/>
    <w:rsid w:val="00750F75"/>
    <w:rsid w:val="00751771"/>
    <w:rsid w:val="00752B4D"/>
    <w:rsid w:val="00755402"/>
    <w:rsid w:val="00756B26"/>
    <w:rsid w:val="00756EDF"/>
    <w:rsid w:val="007600E3"/>
    <w:rsid w:val="00765C43"/>
    <w:rsid w:val="00765EFB"/>
    <w:rsid w:val="007671CA"/>
    <w:rsid w:val="00767C61"/>
    <w:rsid w:val="0077008A"/>
    <w:rsid w:val="0077186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98A"/>
    <w:rsid w:val="007B0D4F"/>
    <w:rsid w:val="007B5A3D"/>
    <w:rsid w:val="007B5B95"/>
    <w:rsid w:val="007B68EA"/>
    <w:rsid w:val="007B7453"/>
    <w:rsid w:val="007C1E8B"/>
    <w:rsid w:val="007C2D89"/>
    <w:rsid w:val="007C3354"/>
    <w:rsid w:val="007C4593"/>
    <w:rsid w:val="007C5309"/>
    <w:rsid w:val="007C6069"/>
    <w:rsid w:val="007D06C4"/>
    <w:rsid w:val="007D08FC"/>
    <w:rsid w:val="007D1352"/>
    <w:rsid w:val="007D2508"/>
    <w:rsid w:val="007D346A"/>
    <w:rsid w:val="007D6518"/>
    <w:rsid w:val="007D76BD"/>
    <w:rsid w:val="007E0BF1"/>
    <w:rsid w:val="007F0ED8"/>
    <w:rsid w:val="007F0F63"/>
    <w:rsid w:val="007F3549"/>
    <w:rsid w:val="007F6520"/>
    <w:rsid w:val="007F75CE"/>
    <w:rsid w:val="008013A4"/>
    <w:rsid w:val="008027CE"/>
    <w:rsid w:val="00802F42"/>
    <w:rsid w:val="00804383"/>
    <w:rsid w:val="00804BB7"/>
    <w:rsid w:val="00804D41"/>
    <w:rsid w:val="00810257"/>
    <w:rsid w:val="008104F5"/>
    <w:rsid w:val="008107DD"/>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04D"/>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56DDB"/>
    <w:rsid w:val="009610DC"/>
    <w:rsid w:val="00961490"/>
    <w:rsid w:val="0096381A"/>
    <w:rsid w:val="00965E04"/>
    <w:rsid w:val="009674AD"/>
    <w:rsid w:val="00970CDC"/>
    <w:rsid w:val="0097526C"/>
    <w:rsid w:val="00976A9E"/>
    <w:rsid w:val="00977010"/>
    <w:rsid w:val="00977D02"/>
    <w:rsid w:val="009809BB"/>
    <w:rsid w:val="0098364B"/>
    <w:rsid w:val="009879BF"/>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1F90"/>
    <w:rsid w:val="00A129D0"/>
    <w:rsid w:val="00A12C33"/>
    <w:rsid w:val="00A138BA"/>
    <w:rsid w:val="00A14C8E"/>
    <w:rsid w:val="00A153D9"/>
    <w:rsid w:val="00A15F09"/>
    <w:rsid w:val="00A169B6"/>
    <w:rsid w:val="00A22299"/>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A6EE3"/>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6B2"/>
    <w:rsid w:val="00B378E5"/>
    <w:rsid w:val="00B4346D"/>
    <w:rsid w:val="00B440F4"/>
    <w:rsid w:val="00B447A5"/>
    <w:rsid w:val="00B4654C"/>
    <w:rsid w:val="00B46AF0"/>
    <w:rsid w:val="00B47293"/>
    <w:rsid w:val="00B50E50"/>
    <w:rsid w:val="00B52120"/>
    <w:rsid w:val="00B53AF4"/>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292B"/>
    <w:rsid w:val="00BC4790"/>
    <w:rsid w:val="00BC5DC7"/>
    <w:rsid w:val="00BC6B8B"/>
    <w:rsid w:val="00BC73D8"/>
    <w:rsid w:val="00BD52D7"/>
    <w:rsid w:val="00BD5AD2"/>
    <w:rsid w:val="00BE22F3"/>
    <w:rsid w:val="00BE5B52"/>
    <w:rsid w:val="00BE7B8D"/>
    <w:rsid w:val="00BF0993"/>
    <w:rsid w:val="00BF10A9"/>
    <w:rsid w:val="00BF1703"/>
    <w:rsid w:val="00BF231C"/>
    <w:rsid w:val="00BF3C3C"/>
    <w:rsid w:val="00BF51E5"/>
    <w:rsid w:val="00BF74A6"/>
    <w:rsid w:val="00C00376"/>
    <w:rsid w:val="00C013AD"/>
    <w:rsid w:val="00C04904"/>
    <w:rsid w:val="00C056B3"/>
    <w:rsid w:val="00C07797"/>
    <w:rsid w:val="00C103E5"/>
    <w:rsid w:val="00C13319"/>
    <w:rsid w:val="00C13EE9"/>
    <w:rsid w:val="00C21540"/>
    <w:rsid w:val="00C21818"/>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874D8"/>
    <w:rsid w:val="00C905FC"/>
    <w:rsid w:val="00C92D03"/>
    <w:rsid w:val="00C9319C"/>
    <w:rsid w:val="00C9435D"/>
    <w:rsid w:val="00C94DF2"/>
    <w:rsid w:val="00C96741"/>
    <w:rsid w:val="00CA2D1B"/>
    <w:rsid w:val="00CA375D"/>
    <w:rsid w:val="00CA48F4"/>
    <w:rsid w:val="00CA662A"/>
    <w:rsid w:val="00CA7AFD"/>
    <w:rsid w:val="00CA7C3C"/>
    <w:rsid w:val="00CA7CF8"/>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5433"/>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7C6D"/>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2382"/>
    <w:rsid w:val="00E9311F"/>
    <w:rsid w:val="00E934D1"/>
    <w:rsid w:val="00E94AF0"/>
    <w:rsid w:val="00E95D13"/>
    <w:rsid w:val="00E95DD3"/>
    <w:rsid w:val="00E969D5"/>
    <w:rsid w:val="00EA0723"/>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5222"/>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445"/>
    <w:rsid w:val="00FC17B7"/>
    <w:rsid w:val="00FC2CB7"/>
    <w:rsid w:val="00FC4090"/>
    <w:rsid w:val="00FC55B4"/>
    <w:rsid w:val="00FD00E6"/>
    <w:rsid w:val="00FD09A1"/>
    <w:rsid w:val="00FD2A7C"/>
    <w:rsid w:val="00FD4B39"/>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766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14:docId w14:val="1C34615B"/>
  <w15:docId w15:val="{A0D79D8C-3CF4-4E9C-8720-FCDA3B8F1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825AA85239F4B3486AE195A0CB7E9AE"/>
        <w:category>
          <w:name w:val="常规"/>
          <w:gallery w:val="placeholder"/>
        </w:category>
        <w:types>
          <w:type w:val="bbPlcHdr"/>
        </w:types>
        <w:behaviors>
          <w:behavior w:val="content"/>
        </w:behaviors>
        <w:guid w:val="{7910F239-F362-4513-AC19-2663F34F4D1A}"/>
      </w:docPartPr>
      <w:docPartBody>
        <w:p w:rsidR="008133EB" w:rsidRDefault="00CD6AA7">
          <w:pPr>
            <w:pStyle w:val="A825AA85239F4B3486AE195A0CB7E9AE"/>
            <w:rPr>
              <w:rFonts w:hint="eastAsia"/>
            </w:rPr>
          </w:pPr>
          <w:r>
            <w:rPr>
              <w:rStyle w:val="a3"/>
              <w:rFonts w:hint="eastAsia"/>
            </w:rPr>
            <w:t>单击或点击此处输入文字。</w:t>
          </w:r>
        </w:p>
      </w:docPartBody>
    </w:docPart>
    <w:docPart>
      <w:docPartPr>
        <w:name w:val="CE23E8C603064A60B3045280AE2305B7"/>
        <w:category>
          <w:name w:val="常规"/>
          <w:gallery w:val="placeholder"/>
        </w:category>
        <w:types>
          <w:type w:val="bbPlcHdr"/>
        </w:types>
        <w:behaviors>
          <w:behavior w:val="content"/>
        </w:behaviors>
        <w:guid w:val="{2B1AB40E-7BC6-4C0C-87C7-FB9DF87B19AD}"/>
      </w:docPartPr>
      <w:docPartBody>
        <w:p w:rsidR="008133EB" w:rsidRDefault="00CD6AA7">
          <w:pPr>
            <w:pStyle w:val="CE23E8C603064A60B3045280AE2305B7"/>
            <w:rPr>
              <w:rFonts w:hint="eastAsia"/>
            </w:rPr>
          </w:pPr>
          <w:r>
            <w:rPr>
              <w:rStyle w:val="a3"/>
              <w:rFonts w:hint="eastAsia"/>
            </w:rPr>
            <w:t>选择一项。</w:t>
          </w:r>
        </w:p>
      </w:docPartBody>
    </w:docPart>
    <w:docPart>
      <w:docPartPr>
        <w:name w:val="DC21102615B9484F9CFA1C62ABEBEF64"/>
        <w:category>
          <w:name w:val="常规"/>
          <w:gallery w:val="placeholder"/>
        </w:category>
        <w:types>
          <w:type w:val="bbPlcHdr"/>
        </w:types>
        <w:behaviors>
          <w:behavior w:val="content"/>
        </w:behaviors>
        <w:guid w:val="{6C6862D4-B179-4EF5-B0EC-4A94416BF66D}"/>
      </w:docPartPr>
      <w:docPartBody>
        <w:p w:rsidR="008133EB" w:rsidRDefault="00CD6AA7">
          <w:pPr>
            <w:pStyle w:val="DC21102615B9484F9CFA1C62ABEBEF64"/>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784"/>
    <w:rsid w:val="00036BEB"/>
    <w:rsid w:val="00175898"/>
    <w:rsid w:val="006F6BFE"/>
    <w:rsid w:val="00722C66"/>
    <w:rsid w:val="00774370"/>
    <w:rsid w:val="00813315"/>
    <w:rsid w:val="008133EB"/>
    <w:rsid w:val="008635D2"/>
    <w:rsid w:val="0092506F"/>
    <w:rsid w:val="00A96903"/>
    <w:rsid w:val="00AB29C5"/>
    <w:rsid w:val="00B06080"/>
    <w:rsid w:val="00CD6AA7"/>
    <w:rsid w:val="00D37915"/>
    <w:rsid w:val="00D81F37"/>
    <w:rsid w:val="00DD6784"/>
    <w:rsid w:val="00E45FD6"/>
    <w:rsid w:val="00EA2367"/>
    <w:rsid w:val="00F34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825AA85239F4B3486AE195A0CB7E9AE">
    <w:name w:val="A825AA85239F4B3486AE195A0CB7E9AE"/>
    <w:qFormat/>
    <w:pPr>
      <w:widowControl w:val="0"/>
      <w:jc w:val="both"/>
    </w:pPr>
    <w:rPr>
      <w:kern w:val="2"/>
      <w:sz w:val="21"/>
      <w:szCs w:val="22"/>
    </w:rPr>
  </w:style>
  <w:style w:type="paragraph" w:customStyle="1" w:styleId="CE23E8C603064A60B3045280AE2305B7">
    <w:name w:val="CE23E8C603064A60B3045280AE2305B7"/>
    <w:qFormat/>
    <w:pPr>
      <w:widowControl w:val="0"/>
      <w:jc w:val="both"/>
    </w:pPr>
    <w:rPr>
      <w:kern w:val="2"/>
      <w:sz w:val="21"/>
      <w:szCs w:val="22"/>
    </w:rPr>
  </w:style>
  <w:style w:type="paragraph" w:customStyle="1" w:styleId="DC21102615B9484F9CFA1C62ABEBEF64">
    <w:name w:val="DC21102615B9484F9CFA1C62ABEBEF64"/>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C3D63E11-DFB4-4175-9DBF-6A921BD378B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TotalTime>519</TotalTime>
  <Pages>8</Pages>
  <Words>636</Words>
  <Characters>3631</Characters>
  <Application>Microsoft Office Word</Application>
  <DocSecurity>0</DocSecurity>
  <Lines>30</Lines>
  <Paragraphs>8</Paragraphs>
  <ScaleCrop>false</ScaleCrop>
  <Company>PCMI</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王超</dc:creator>
  <dc:description>&lt;config cover="true" show_menu="true" version="1.0.0" doctype="SDKXY"&gt;_x000d_
&lt;/config&gt;</dc:description>
  <cp:lastModifiedBy>Superon Ma</cp:lastModifiedBy>
  <cp:revision>24</cp:revision>
  <cp:lastPrinted>2020-08-30T10:00:00Z</cp:lastPrinted>
  <dcterms:created xsi:type="dcterms:W3CDTF">2024-07-10T00:50:00Z</dcterms:created>
  <dcterms:modified xsi:type="dcterms:W3CDTF">2024-10-30T05:14:00Z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2052-12.1.0.17827</vt:lpwstr>
  </property>
  <property fmtid="{D5CDD505-2E9C-101B-9397-08002B2CF9AE}" pid="15" name="ICV">
    <vt:lpwstr>FBBC8F77249A4AE5AD9E02768708D4A1_12</vt:lpwstr>
  </property>
</Properties>
</file>