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2AB8C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4DE3563">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BB2F047">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13.100 </w:t>
            </w:r>
            <w:r>
              <w:rPr>
                <w:rFonts w:ascii="黑体" w:hAnsi="黑体" w:eastAsia="黑体"/>
                <w:sz w:val="21"/>
                <w:szCs w:val="21"/>
              </w:rPr>
              <w:fldChar w:fldCharType="end"/>
            </w:r>
            <w:bookmarkEnd w:id="0"/>
          </w:p>
        </w:tc>
      </w:tr>
      <w:tr w14:paraId="0EA7E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CE0CF63">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2780AE35">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 50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5968AB4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A14575F">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1F7FC5D8">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江</w:t>
      </w:r>
      <w:r>
        <w:rPr>
          <w:rFonts w:hint="eastAsia" w:ascii="黑体" w:eastAsia="黑体"/>
          <w:b w:val="0"/>
          <w:w w:val="100"/>
          <w:sz w:val="48"/>
        </w:rPr>
        <w:t>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03D5BD66">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39CFA1EF">
      <w:pPr>
        <w:pStyle w:val="196"/>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6D842A49">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25711E8">
      <w:pPr>
        <w:pStyle w:val="50"/>
        <w:framePr w:w="9639" w:h="6976" w:hRule="exact" w:hSpace="0" w:vSpace="0" w:wrap="around" w:hAnchor="page" w:y="6408"/>
        <w:jc w:val="center"/>
        <w:rPr>
          <w:rFonts w:hint="eastAsia" w:ascii="黑体" w:hAnsi="黑体" w:eastAsia="黑体"/>
          <w:b w:val="0"/>
          <w:bCs w:val="0"/>
          <w:w w:val="100"/>
        </w:rPr>
      </w:pPr>
    </w:p>
    <w:p w14:paraId="554EA8E4">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传染病突发公共卫生事件应急处置技术规范</w:t>
      </w:r>
      <w:r>
        <w:rPr>
          <w:rFonts w:hint="eastAsia"/>
          <w:lang w:val="en-US" w:eastAsia="zh-CN"/>
        </w:rPr>
        <w:t xml:space="preserve"> </w:t>
      </w:r>
      <w:r>
        <w:rPr>
          <w:rFonts w:hint="eastAsia"/>
        </w:rPr>
        <w:t>第11部分：细菌类应急检测</w:t>
      </w:r>
      <w:r>
        <w:fldChar w:fldCharType="end"/>
      </w:r>
      <w:bookmarkEnd w:id="9"/>
      <w:r>
        <w:rPr>
          <w:rFonts w:hint="eastAsia"/>
        </w:rPr>
        <w:t>技术</w:t>
      </w:r>
    </w:p>
    <w:p w14:paraId="45B2094C">
      <w:pPr>
        <w:framePr w:w="9639" w:h="6974" w:hRule="exact" w:wrap="around" w:vAnchor="page" w:hAnchor="page" w:x="1419" w:y="6408" w:anchorLock="1"/>
        <w:ind w:left="-1418"/>
      </w:pPr>
      <w:r>
        <w:rPr>
          <w:rFonts w:hint="eastAsia"/>
        </w:rPr>
        <w:t>技术</w:t>
      </w:r>
    </w:p>
    <w:p w14:paraId="5A1B739D">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specification for emergency response of public health  emergent event caused by infections disease</w:t>
      </w:r>
    </w:p>
    <w:p w14:paraId="6A2F210E">
      <w:pPr>
        <w:pStyle w:val="125"/>
        <w:framePr w:w="9639" w:h="6974" w:hRule="exact" w:wrap="around" w:vAnchor="page" w:hAnchor="page" w:x="1419" w:y="6408" w:anchorLock="1"/>
        <w:textAlignment w:val="bottom"/>
        <w:rPr>
          <w:rFonts w:hint="eastAsia" w:ascii="黑体" w:hAnsi="黑体" w:eastAsia="黑体"/>
          <w:szCs w:val="28"/>
        </w:rPr>
      </w:pPr>
      <w:r>
        <w:rPr>
          <w:rFonts w:hint="eastAsia" w:ascii="黑体" w:hAnsi="黑体" w:eastAsia="黑体"/>
          <w:szCs w:val="28"/>
        </w:rPr>
        <w:t>Part 11：Emergency detection methods of pathogenic bacterium</w:t>
      </w:r>
      <w:r>
        <w:rPr>
          <w:rFonts w:ascii="黑体" w:hAnsi="黑体" w:eastAsia="黑体"/>
          <w:szCs w:val="28"/>
        </w:rPr>
        <w:fldChar w:fldCharType="end"/>
      </w:r>
      <w:bookmarkEnd w:id="10"/>
    </w:p>
    <w:p w14:paraId="2D13F9D1">
      <w:pPr>
        <w:framePr w:w="9639" w:h="6974" w:hRule="exact" w:wrap="around" w:vAnchor="page" w:hAnchor="page" w:x="1419" w:y="6408" w:anchorLock="1"/>
        <w:spacing w:line="760" w:lineRule="exact"/>
        <w:ind w:left="-1418"/>
      </w:pPr>
    </w:p>
    <w:p w14:paraId="726397B2">
      <w:pPr>
        <w:pStyle w:val="125"/>
        <w:framePr w:w="9639" w:h="6974" w:hRule="exact" w:wrap="around" w:vAnchor="page" w:hAnchor="page" w:x="1419" w:y="6408" w:anchorLock="1"/>
        <w:textAlignment w:val="bottom"/>
        <w:rPr>
          <w:rFonts w:eastAsia="黑体"/>
          <w:szCs w:val="28"/>
        </w:rPr>
      </w:pPr>
    </w:p>
    <w:p w14:paraId="71BF8085">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AB26E11">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（本草案完成时间：2024年）</w:t>
      </w:r>
      <w:r>
        <w:rPr>
          <w:sz w:val="21"/>
          <w:szCs w:val="28"/>
        </w:rPr>
        <w:fldChar w:fldCharType="end"/>
      </w:r>
      <w:bookmarkEnd w:id="12"/>
    </w:p>
    <w:p w14:paraId="0A3576D8">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401CE8D4">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301CD4E0">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5D1F5044">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江</w:t>
      </w:r>
      <w:r>
        <w:rPr>
          <w:rFonts w:hint="eastAsia" w:hAnsi="黑体"/>
          <w:w w:val="100"/>
          <w:sz w:val="28"/>
        </w:rPr>
        <w:t>苏省市场监督管理局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0032D9BB">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E0EA537">
      <w:pPr>
        <w:pStyle w:val="91"/>
        <w:spacing w:after="468"/>
      </w:pPr>
      <w:bookmarkStart w:id="21" w:name="BookMark1"/>
      <w:r>
        <w:rPr>
          <w:spacing w:val="320"/>
        </w:rPr>
        <w:t>目</w:t>
      </w:r>
      <w:r>
        <w:t>次</w:t>
      </w:r>
    </w:p>
    <w:p w14:paraId="22E4FBEF">
      <w:pPr>
        <w:pStyle w:val="19"/>
        <w:tabs>
          <w:tab w:val="right" w:leader="dot" w:pos="9344"/>
        </w:tabs>
        <w:rPr>
          <w:rFonts w:hint="eastAsia"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"_Toc177048757" </w:instrText>
      </w:r>
      <w:r>
        <w:fldChar w:fldCharType="separate"/>
      </w:r>
      <w:r>
        <w:rPr>
          <w:rStyle w:val="32"/>
          <w:rFonts w:hint="eastAsia"/>
          <w:spacing w:val="320"/>
        </w:rPr>
        <w:t>前</w:t>
      </w:r>
      <w:r>
        <w:rPr>
          <w:rStyle w:val="32"/>
          <w:rFonts w:hint="eastAsia"/>
        </w:rPr>
        <w:t>言</w:t>
      </w:r>
      <w:r>
        <w:tab/>
      </w:r>
      <w:r>
        <w:fldChar w:fldCharType="begin"/>
      </w:r>
      <w:r>
        <w:instrText xml:space="preserve"> PAGEREF _Toc177048757 \h </w:instrText>
      </w:r>
      <w:r>
        <w:fldChar w:fldCharType="separate"/>
      </w:r>
      <w:r>
        <w:t>II</w:t>
      </w:r>
      <w:r>
        <w:fldChar w:fldCharType="end"/>
      </w:r>
      <w:r>
        <w:fldChar w:fldCharType="end"/>
      </w:r>
    </w:p>
    <w:p w14:paraId="45A1C834">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"_Toc177048758" </w:instrText>
      </w:r>
      <w:r>
        <w:fldChar w:fldCharType="separate"/>
      </w:r>
      <w:r>
        <w:rPr>
          <w:rStyle w:val="32"/>
          <w:rFonts w:hint="eastAsia"/>
          <w:spacing w:val="320"/>
        </w:rPr>
        <w:t>引</w:t>
      </w:r>
      <w:r>
        <w:rPr>
          <w:rStyle w:val="32"/>
          <w:rFonts w:hint="eastAsia"/>
        </w:rPr>
        <w:t>言</w:t>
      </w:r>
      <w:r>
        <w:tab/>
      </w:r>
      <w:r>
        <w:fldChar w:fldCharType="begin"/>
      </w:r>
      <w:r>
        <w:instrText xml:space="preserve"> PAGEREF _Toc177048758 \h </w:instrText>
      </w:r>
      <w:r>
        <w:fldChar w:fldCharType="separate"/>
      </w:r>
      <w:r>
        <w:t>III</w:t>
      </w:r>
      <w:r>
        <w:fldChar w:fldCharType="end"/>
      </w:r>
      <w:r>
        <w:fldChar w:fldCharType="end"/>
      </w:r>
    </w:p>
    <w:p w14:paraId="6A8A5E8F">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"_Toc177048759" </w:instrText>
      </w:r>
      <w:r>
        <w:fldChar w:fldCharType="separate"/>
      </w:r>
      <w:r>
        <w:rPr>
          <w:rStyle w:val="32"/>
        </w:rPr>
        <w:t>1</w:t>
      </w:r>
      <w:r>
        <w:rPr>
          <w:rStyle w:val="32"/>
          <w:rFonts w:hint="eastAsia"/>
        </w:rPr>
        <w:t xml:space="preserve"> 范围</w:t>
      </w:r>
      <w:r>
        <w:tab/>
      </w:r>
      <w:r>
        <w:rPr>
          <w:rFonts w:hint="eastAsia"/>
        </w:rPr>
        <w:t>1</w:t>
      </w:r>
      <w:r>
        <w:rPr>
          <w:rFonts w:hint="eastAsia"/>
        </w:rPr>
        <w:fldChar w:fldCharType="end"/>
      </w:r>
    </w:p>
    <w:p w14:paraId="595A94D3">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"_Toc177048760" </w:instrText>
      </w:r>
      <w:r>
        <w:fldChar w:fldCharType="separate"/>
      </w:r>
      <w:r>
        <w:rPr>
          <w:rStyle w:val="32"/>
        </w:rPr>
        <w:t>2</w:t>
      </w:r>
      <w:r>
        <w:rPr>
          <w:rStyle w:val="32"/>
          <w:rFonts w:hint="eastAsia"/>
        </w:rPr>
        <w:t xml:space="preserve"> 规范性引用文件</w:t>
      </w:r>
      <w:r>
        <w:tab/>
      </w:r>
      <w:r>
        <w:rPr>
          <w:rFonts w:hint="eastAsia"/>
        </w:rPr>
        <w:t>1</w:t>
      </w:r>
      <w:r>
        <w:rPr>
          <w:rFonts w:hint="eastAsia"/>
        </w:rPr>
        <w:fldChar w:fldCharType="end"/>
      </w:r>
    </w:p>
    <w:p w14:paraId="030C4CAE">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"_Toc177048761" </w:instrText>
      </w:r>
      <w:r>
        <w:fldChar w:fldCharType="separate"/>
      </w:r>
      <w:r>
        <w:rPr>
          <w:rStyle w:val="32"/>
        </w:rPr>
        <w:t>3</w:t>
      </w:r>
      <w:r>
        <w:rPr>
          <w:rStyle w:val="32"/>
          <w:rFonts w:hint="eastAsia"/>
        </w:rPr>
        <w:t xml:space="preserve"> 术语和定义</w:t>
      </w:r>
      <w:r>
        <w:tab/>
      </w:r>
      <w:r>
        <w:rPr>
          <w:rFonts w:hint="eastAsia"/>
        </w:rPr>
        <w:t>1</w:t>
      </w:r>
      <w:r>
        <w:rPr>
          <w:rFonts w:hint="eastAsia"/>
        </w:rPr>
        <w:fldChar w:fldCharType="end"/>
      </w:r>
    </w:p>
    <w:p w14:paraId="09E66384">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"_Toc177048762" </w:instrText>
      </w:r>
      <w:r>
        <w:fldChar w:fldCharType="separate"/>
      </w:r>
      <w:r>
        <w:rPr>
          <w:rStyle w:val="32"/>
        </w:rPr>
        <w:t>4</w:t>
      </w:r>
      <w:r>
        <w:rPr>
          <w:rStyle w:val="32"/>
          <w:rFonts w:hint="eastAsia"/>
        </w:rPr>
        <w:t xml:space="preserve"> 实验室生物安全要求</w:t>
      </w:r>
      <w:r>
        <w:tab/>
      </w:r>
      <w:r>
        <w:rPr>
          <w:rFonts w:hint="eastAsia"/>
        </w:rPr>
        <w:t>1</w:t>
      </w:r>
      <w:r>
        <w:rPr>
          <w:rFonts w:hint="eastAsia"/>
        </w:rPr>
        <w:fldChar w:fldCharType="end"/>
      </w:r>
    </w:p>
    <w:p w14:paraId="66846A30">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"_Toc177048763" </w:instrText>
      </w:r>
      <w:r>
        <w:fldChar w:fldCharType="separate"/>
      </w:r>
      <w:r>
        <w:rPr>
          <w:rStyle w:val="32"/>
        </w:rPr>
        <w:t>5</w:t>
      </w:r>
      <w:r>
        <w:rPr>
          <w:rStyle w:val="32"/>
          <w:rFonts w:hint="eastAsia"/>
        </w:rPr>
        <w:t xml:space="preserve"> 准备工作和质量控制</w:t>
      </w:r>
      <w:r>
        <w:tab/>
      </w:r>
      <w:r>
        <w:rPr>
          <w:rFonts w:hint="eastAsia"/>
        </w:rPr>
        <w:t>2</w:t>
      </w:r>
      <w:r>
        <w:rPr>
          <w:rFonts w:hint="eastAsia"/>
        </w:rPr>
        <w:fldChar w:fldCharType="end"/>
      </w:r>
    </w:p>
    <w:p w14:paraId="00EA9CDB">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"_Toc177048764" </w:instrText>
      </w:r>
      <w:r>
        <w:fldChar w:fldCharType="separate"/>
      </w:r>
      <w:r>
        <w:rPr>
          <w:rStyle w:val="32"/>
        </w:rPr>
        <w:t>6</w:t>
      </w:r>
      <w:r>
        <w:rPr>
          <w:rStyle w:val="32"/>
          <w:rFonts w:hint="eastAsia"/>
        </w:rPr>
        <w:t xml:space="preserve"> 常用显微镜检查技术</w:t>
      </w:r>
      <w:r>
        <w:tab/>
      </w:r>
      <w:r>
        <w:rPr>
          <w:rFonts w:hint="eastAsia"/>
        </w:rPr>
        <w:t>2</w:t>
      </w:r>
      <w:r>
        <w:rPr>
          <w:rFonts w:hint="eastAsia"/>
        </w:rPr>
        <w:fldChar w:fldCharType="end"/>
      </w:r>
    </w:p>
    <w:p w14:paraId="4390378E">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"_Toc177048765" </w:instrText>
      </w:r>
      <w:r>
        <w:fldChar w:fldCharType="separate"/>
      </w:r>
      <w:r>
        <w:rPr>
          <w:rStyle w:val="32"/>
        </w:rPr>
        <w:t>7</w:t>
      </w:r>
      <w:r>
        <w:rPr>
          <w:rStyle w:val="32"/>
          <w:rFonts w:hint="eastAsia"/>
        </w:rPr>
        <w:t xml:space="preserve"> 分离培养</w:t>
      </w:r>
      <w:r>
        <w:tab/>
      </w:r>
      <w:r>
        <w:rPr>
          <w:rFonts w:hint="eastAsia"/>
        </w:rPr>
        <w:t>2</w:t>
      </w:r>
      <w:r>
        <w:rPr>
          <w:rFonts w:hint="eastAsia"/>
        </w:rPr>
        <w:fldChar w:fldCharType="end"/>
      </w:r>
    </w:p>
    <w:p w14:paraId="0EB00CB2">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"_Toc177048766" </w:instrText>
      </w:r>
      <w:r>
        <w:fldChar w:fldCharType="separate"/>
      </w:r>
      <w:r>
        <w:rPr>
          <w:rStyle w:val="32"/>
        </w:rPr>
        <w:t>8</w:t>
      </w:r>
      <w:r>
        <w:rPr>
          <w:rStyle w:val="32"/>
          <w:rFonts w:hint="eastAsia"/>
        </w:rPr>
        <w:t xml:space="preserve"> 分子生物学应急检测技术</w:t>
      </w:r>
      <w:r>
        <w:tab/>
      </w:r>
      <w:r>
        <w:rPr>
          <w:rFonts w:hint="eastAsia"/>
        </w:rPr>
        <w:t>3</w:t>
      </w:r>
      <w:r>
        <w:rPr>
          <w:rFonts w:hint="eastAsia"/>
        </w:rPr>
        <w:fldChar w:fldCharType="end"/>
      </w:r>
    </w:p>
    <w:p w14:paraId="12E3B9E5">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"_Toc177048767" </w:instrText>
      </w:r>
      <w:r>
        <w:fldChar w:fldCharType="separate"/>
      </w:r>
      <w:r>
        <w:rPr>
          <w:rStyle w:val="32"/>
        </w:rPr>
        <w:t>9</w:t>
      </w:r>
      <w:r>
        <w:rPr>
          <w:rStyle w:val="32"/>
          <w:rFonts w:hint="eastAsia"/>
        </w:rPr>
        <w:t xml:space="preserve"> 免疫学应急检测技术</w:t>
      </w:r>
      <w:r>
        <w:tab/>
      </w:r>
      <w:r>
        <w:rPr>
          <w:rFonts w:hint="eastAsia"/>
        </w:rPr>
        <w:t>5</w:t>
      </w:r>
      <w:r>
        <w:rPr>
          <w:rFonts w:hint="eastAsia"/>
        </w:rPr>
        <w:fldChar w:fldCharType="end"/>
      </w:r>
    </w:p>
    <w:p w14:paraId="455F46A1">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"_Toc177048768" </w:instrText>
      </w:r>
      <w:r>
        <w:fldChar w:fldCharType="separate"/>
      </w:r>
      <w:r>
        <w:rPr>
          <w:rStyle w:val="32"/>
          <w:rFonts w:hint="eastAsia"/>
          <w:spacing w:val="105"/>
        </w:rPr>
        <w:t>参考文</w:t>
      </w:r>
      <w:r>
        <w:rPr>
          <w:rStyle w:val="32"/>
          <w:rFonts w:hint="eastAsia"/>
        </w:rPr>
        <w:t>献</w:t>
      </w:r>
      <w:r>
        <w:tab/>
      </w:r>
      <w:r>
        <w:rPr>
          <w:rFonts w:hint="eastAsia"/>
        </w:rPr>
        <w:t>6</w:t>
      </w:r>
      <w:r>
        <w:rPr>
          <w:rFonts w:hint="eastAsia"/>
        </w:rPr>
        <w:fldChar w:fldCharType="end"/>
      </w:r>
    </w:p>
    <w:p w14:paraId="7325706B">
      <w:pPr>
        <w:pStyle w:val="91"/>
        <w:spacing w:after="468"/>
      </w:pPr>
      <w:r>
        <w:fldChar w:fldCharType="end"/>
      </w:r>
    </w:p>
    <w:p w14:paraId="7E56A238"/>
    <w:p w14:paraId="5C9A272B">
      <w:pPr>
        <w:tabs>
          <w:tab w:val="left" w:pos="7671"/>
        </w:tabs>
      </w:pPr>
      <w:r>
        <w:tab/>
      </w:r>
    </w:p>
    <w:p w14:paraId="78D9212C">
      <w:pPr>
        <w:tabs>
          <w:tab w:val="left" w:pos="7671"/>
        </w:tabs>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tab/>
      </w:r>
    </w:p>
    <w:bookmarkEnd w:id="21"/>
    <w:p w14:paraId="6BC2D6C7">
      <w:pPr>
        <w:pStyle w:val="89"/>
        <w:spacing w:before="900" w:after="468"/>
      </w:pPr>
      <w:bookmarkStart w:id="22" w:name="_Toc177048757"/>
      <w:bookmarkStart w:id="23" w:name="BookMark2"/>
      <w:r>
        <w:rPr>
          <w:spacing w:val="320"/>
        </w:rPr>
        <w:t>前</w:t>
      </w:r>
      <w:r>
        <w:t>言</w:t>
      </w:r>
      <w:bookmarkEnd w:id="22"/>
    </w:p>
    <w:p w14:paraId="2CB67EF7">
      <w:pPr>
        <w:pStyle w:val="56"/>
        <w:ind w:firstLine="420"/>
      </w:pPr>
      <w:r>
        <w:rPr>
          <w:rFonts w:hint="eastAsia"/>
        </w:rPr>
        <w:t>本文件按照GB/T1.1-2020《标准化工作导则  第1部分：标准化文件的结构和起草规则》的规定起草。</w:t>
      </w:r>
    </w:p>
    <w:p w14:paraId="70318825">
      <w:pPr>
        <w:pStyle w:val="56"/>
        <w:ind w:firstLine="420"/>
      </w:pPr>
      <w:r>
        <w:rPr>
          <w:rFonts w:hint="eastAsia"/>
        </w:rPr>
        <w:t>本文件是DB32/T XXX 《传染病突发公共卫生事件应急处置技术规范》的第11部分。DB32/T XXX 已经发布了以下部分：</w:t>
      </w:r>
    </w:p>
    <w:p w14:paraId="3740D90C">
      <w:pPr>
        <w:pStyle w:val="56"/>
        <w:ind w:firstLine="420"/>
      </w:pPr>
      <w:r>
        <w:rPr>
          <w:rFonts w:hint="eastAsia"/>
        </w:rPr>
        <w:t>——第1部分：监测预警；</w:t>
      </w:r>
    </w:p>
    <w:p w14:paraId="4DD36086">
      <w:pPr>
        <w:pStyle w:val="56"/>
        <w:ind w:firstLine="420"/>
      </w:pPr>
      <w:r>
        <w:rPr>
          <w:rFonts w:hint="eastAsia"/>
        </w:rPr>
        <w:t>——第2部分：事件报告和管理；</w:t>
      </w:r>
    </w:p>
    <w:p w14:paraId="412AD33D">
      <w:pPr>
        <w:pStyle w:val="56"/>
        <w:ind w:firstLine="420"/>
      </w:pPr>
      <w:r>
        <w:rPr>
          <w:rFonts w:hint="eastAsia"/>
        </w:rPr>
        <w:t>——第3部分：风险评估；</w:t>
      </w:r>
    </w:p>
    <w:p w14:paraId="22F6ADD8">
      <w:pPr>
        <w:pStyle w:val="56"/>
        <w:ind w:firstLine="420"/>
      </w:pPr>
      <w:r>
        <w:rPr>
          <w:rFonts w:hint="eastAsia"/>
        </w:rPr>
        <w:t>——第4部分：现场流行病学调查；</w:t>
      </w:r>
    </w:p>
    <w:p w14:paraId="6C77F369">
      <w:pPr>
        <w:pStyle w:val="56"/>
        <w:ind w:firstLine="420"/>
      </w:pPr>
      <w:r>
        <w:rPr>
          <w:rFonts w:hint="eastAsia"/>
        </w:rPr>
        <w:t>——第5部分：恢复评估；</w:t>
      </w:r>
    </w:p>
    <w:p w14:paraId="50C1E8F9">
      <w:pPr>
        <w:pStyle w:val="56"/>
        <w:ind w:firstLine="420"/>
      </w:pPr>
      <w:r>
        <w:rPr>
          <w:rFonts w:hint="eastAsia"/>
        </w:rPr>
        <w:t>——第6部分：应急消毒处置及应急人员个人防护；</w:t>
      </w:r>
    </w:p>
    <w:p w14:paraId="3A136C9A">
      <w:pPr>
        <w:pStyle w:val="56"/>
        <w:ind w:firstLine="420"/>
      </w:pPr>
      <w:r>
        <w:rPr>
          <w:rFonts w:hint="eastAsia"/>
        </w:rPr>
        <w:t>——第7部分：媒介生物应急监测、评估与控制；</w:t>
      </w:r>
    </w:p>
    <w:p w14:paraId="163A291D">
      <w:pPr>
        <w:pStyle w:val="56"/>
        <w:ind w:firstLine="420"/>
      </w:pPr>
      <w:r>
        <w:rPr>
          <w:rFonts w:hint="eastAsia"/>
        </w:rPr>
        <w:t>——第8部分：标本的采集、保存和运输；</w:t>
      </w:r>
    </w:p>
    <w:p w14:paraId="5047F6DB">
      <w:pPr>
        <w:pStyle w:val="56"/>
        <w:ind w:firstLine="420"/>
      </w:pPr>
      <w:r>
        <w:rPr>
          <w:rFonts w:hint="eastAsia"/>
        </w:rPr>
        <w:t>——第9部分：应急检测流程；</w:t>
      </w:r>
    </w:p>
    <w:p w14:paraId="73D607AC">
      <w:pPr>
        <w:pStyle w:val="56"/>
        <w:ind w:firstLine="420"/>
      </w:pPr>
      <w:r>
        <w:rPr>
          <w:rFonts w:hint="eastAsia"/>
        </w:rPr>
        <w:t>——第10部分：病毒类应急检测技术；</w:t>
      </w:r>
    </w:p>
    <w:p w14:paraId="74F142B3">
      <w:pPr>
        <w:pStyle w:val="56"/>
        <w:ind w:firstLine="420"/>
      </w:pPr>
      <w:r>
        <w:rPr>
          <w:rFonts w:hint="eastAsia"/>
        </w:rPr>
        <w:t>——第11部分：细菌类应急检测技术。</w:t>
      </w:r>
    </w:p>
    <w:p w14:paraId="6698B88C">
      <w:pPr>
        <w:pStyle w:val="56"/>
        <w:ind w:firstLine="420"/>
      </w:pPr>
      <w:r>
        <w:rPr>
          <w:rFonts w:hint="eastAsia"/>
        </w:rPr>
        <w:t>请注意本文件的某些内容可能涉及专利。本文件的发布机构不承担识别专利的责任。</w:t>
      </w:r>
    </w:p>
    <w:p w14:paraId="0BECC5E1">
      <w:pPr>
        <w:pStyle w:val="56"/>
        <w:ind w:firstLine="420"/>
      </w:pPr>
      <w:r>
        <w:rPr>
          <w:rFonts w:hint="eastAsia"/>
        </w:rPr>
        <w:t>本文件由江苏省卫生健康委员会提出并组织实施。</w:t>
      </w:r>
    </w:p>
    <w:p w14:paraId="156FF540">
      <w:pPr>
        <w:pStyle w:val="56"/>
        <w:ind w:firstLine="420"/>
      </w:pPr>
      <w:r>
        <w:rPr>
          <w:rFonts w:hint="eastAsia"/>
        </w:rPr>
        <w:t>本文件由江苏省卫生健康标准化技术委员会归口。</w:t>
      </w:r>
    </w:p>
    <w:p w14:paraId="032047AF">
      <w:pPr>
        <w:pStyle w:val="56"/>
        <w:ind w:firstLine="420"/>
      </w:pPr>
      <w:r>
        <w:rPr>
          <w:rFonts w:hint="eastAsia"/>
        </w:rPr>
        <w:t>本文件起草单位：</w:t>
      </w:r>
      <w:bookmarkStart w:id="63" w:name="_GoBack"/>
      <w:r>
        <w:rPr>
          <w:rFonts w:hint="eastAsia"/>
        </w:rPr>
        <w:t>江苏省疾病预防控制中心、南京鼓楼医院、江苏省人民医院、南京农业大学、中国疾病预防控制中心传染病预防控制所、无锡市疾病预防控制中心</w:t>
      </w:r>
      <w:bookmarkEnd w:id="63"/>
      <w:r>
        <w:rPr>
          <w:rFonts w:hint="eastAsia"/>
        </w:rPr>
        <w:t xml:space="preserve">。 </w:t>
      </w:r>
    </w:p>
    <w:p w14:paraId="086AB73B">
      <w:pPr>
        <w:pStyle w:val="56"/>
        <w:ind w:firstLine="420"/>
      </w:pPr>
      <w:r>
        <w:rPr>
          <w:rFonts w:hint="eastAsia"/>
        </w:rPr>
        <w:t>本文件主要起草人：谈忠鸣、王慎骄、周璐、崔仑标、周万青、刘根焰、张炜、王鑫、管红霞、胡建利、钱慧敏、董晨、洪捷、彭杰夫。</w:t>
      </w:r>
    </w:p>
    <w:p w14:paraId="268C0250">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14:paraId="112D3248">
      <w:pPr>
        <w:pStyle w:val="89"/>
        <w:spacing w:after="468"/>
      </w:pPr>
      <w:bookmarkStart w:id="24" w:name="_Toc177048758"/>
      <w:bookmarkStart w:id="25" w:name="BookMark3"/>
      <w:r>
        <w:rPr>
          <w:spacing w:val="320"/>
        </w:rPr>
        <w:t>引</w:t>
      </w:r>
      <w:r>
        <w:t>言</w:t>
      </w:r>
      <w:bookmarkEnd w:id="24"/>
    </w:p>
    <w:p w14:paraId="0DEEA5F1">
      <w:pPr>
        <w:pStyle w:val="56"/>
        <w:ind w:firstLine="420"/>
      </w:pPr>
      <w:r>
        <w:rPr>
          <w:rFonts w:hint="eastAsia"/>
        </w:rPr>
        <w:t>传染病突发公共卫生事件是江苏省公共卫生安全的主要威胁，对社会、经济和人群健康存在巨大影响。本文件为贯彻落实《中华人民共和国传染病防治法》《中华人民共和国突发事件应对法》《突发公共卫生事件应急条例》等法律法规对传染病突发公共卫生事件的应急处置要求，提升江苏省传染病突发公共卫生事件的应急处置能力，保障人民群众的生命安全和社会稳定的目标而制定。</w:t>
      </w:r>
    </w:p>
    <w:p w14:paraId="1760C5F2">
      <w:pPr>
        <w:pStyle w:val="56"/>
        <w:ind w:firstLine="420"/>
      </w:pPr>
      <w:r>
        <w:rPr>
          <w:rFonts w:hint="eastAsia"/>
        </w:rPr>
        <w:t>DB32/T XXX《传染病突发公共卫生事件应急处置技术规范》分为以下11个部分：</w:t>
      </w:r>
    </w:p>
    <w:p w14:paraId="76968974">
      <w:pPr>
        <w:pStyle w:val="56"/>
        <w:ind w:firstLine="420"/>
      </w:pPr>
      <w:r>
        <w:rPr>
          <w:rFonts w:hint="eastAsia"/>
        </w:rPr>
        <w:t>——第1部分：监测预警；</w:t>
      </w:r>
    </w:p>
    <w:p w14:paraId="08242C29">
      <w:pPr>
        <w:pStyle w:val="56"/>
        <w:ind w:firstLine="420"/>
      </w:pPr>
      <w:r>
        <w:rPr>
          <w:rFonts w:hint="eastAsia"/>
        </w:rPr>
        <w:t>——第2部分：事件报告和管理；</w:t>
      </w:r>
    </w:p>
    <w:p w14:paraId="6EBEDC76">
      <w:pPr>
        <w:pStyle w:val="56"/>
        <w:ind w:firstLine="420"/>
      </w:pPr>
      <w:r>
        <w:rPr>
          <w:rFonts w:hint="eastAsia"/>
        </w:rPr>
        <w:t>——第3部分：风险评估；</w:t>
      </w:r>
    </w:p>
    <w:p w14:paraId="2B1C8438">
      <w:pPr>
        <w:pStyle w:val="56"/>
        <w:ind w:firstLine="420"/>
      </w:pPr>
      <w:r>
        <w:rPr>
          <w:rFonts w:hint="eastAsia"/>
        </w:rPr>
        <w:t>——第4部分：现场流行病学调查；</w:t>
      </w:r>
    </w:p>
    <w:p w14:paraId="00091ACF">
      <w:pPr>
        <w:pStyle w:val="56"/>
        <w:ind w:firstLine="420"/>
      </w:pPr>
      <w:r>
        <w:rPr>
          <w:rFonts w:hint="eastAsia"/>
        </w:rPr>
        <w:t>——第5部分：恢复评估；</w:t>
      </w:r>
    </w:p>
    <w:p w14:paraId="78562F18">
      <w:pPr>
        <w:pStyle w:val="56"/>
        <w:ind w:firstLine="420"/>
      </w:pPr>
      <w:r>
        <w:rPr>
          <w:rFonts w:hint="eastAsia"/>
        </w:rPr>
        <w:t>——第6部分：应急消毒处置及应急人员个人防护；</w:t>
      </w:r>
    </w:p>
    <w:p w14:paraId="1D5998E5">
      <w:pPr>
        <w:pStyle w:val="56"/>
        <w:ind w:firstLine="420"/>
      </w:pPr>
      <w:r>
        <w:rPr>
          <w:rFonts w:hint="eastAsia"/>
        </w:rPr>
        <w:t>——第7部分：媒介生物应急监测、评估与控制；</w:t>
      </w:r>
    </w:p>
    <w:p w14:paraId="114B3CF8">
      <w:pPr>
        <w:pStyle w:val="56"/>
        <w:ind w:firstLine="420"/>
      </w:pPr>
      <w:r>
        <w:rPr>
          <w:rFonts w:hint="eastAsia"/>
        </w:rPr>
        <w:t>——第8部分：标本的采集、保存和运输；</w:t>
      </w:r>
    </w:p>
    <w:p w14:paraId="0E6EBD47">
      <w:pPr>
        <w:pStyle w:val="56"/>
        <w:ind w:firstLine="420"/>
      </w:pPr>
      <w:r>
        <w:rPr>
          <w:rFonts w:hint="eastAsia"/>
        </w:rPr>
        <w:t>——第9部分：应急检测流程；</w:t>
      </w:r>
    </w:p>
    <w:p w14:paraId="496015B3">
      <w:pPr>
        <w:pStyle w:val="56"/>
        <w:ind w:firstLine="420"/>
      </w:pPr>
      <w:r>
        <w:rPr>
          <w:rFonts w:hint="eastAsia"/>
        </w:rPr>
        <w:t>——第10部分：病毒类传染病突发公共卫生事件应急检测技术；</w:t>
      </w:r>
    </w:p>
    <w:p w14:paraId="062D43C1">
      <w:pPr>
        <w:pStyle w:val="56"/>
        <w:ind w:firstLine="420"/>
      </w:pPr>
      <w:r>
        <w:rPr>
          <w:rFonts w:hint="eastAsia"/>
        </w:rPr>
        <w:t>——第11部分：细菌类传染病突发公共卫生事件应急检测技术。</w:t>
      </w:r>
    </w:p>
    <w:p w14:paraId="118D00C8">
      <w:pPr>
        <w:pStyle w:val="56"/>
        <w:ind w:firstLine="420"/>
      </w:pPr>
      <w:r>
        <w:rPr>
          <w:rFonts w:hint="eastAsia"/>
        </w:rPr>
        <w:t>DB32/T XXX的制定是对传染病突发公共卫生事件处置工作相关国家标准、行业标准的有力补充，为开展传染病突发公共卫生事件的监测预警、报告和管理、风险评估、现场流行病学调查、恢复评估、应急消毒处置和个人防护、媒介生物的应急监测评估与控制、标本的采集和检测等应急处置工作提供有力的科学依据和技术支撑，对保障公众健康和公共卫生安全具有重要意义。</w:t>
      </w:r>
    </w:p>
    <w:p w14:paraId="6963BEF0">
      <w:pPr>
        <w:pStyle w:val="56"/>
        <w:ind w:firstLine="420"/>
      </w:pPr>
    </w:p>
    <w:p w14:paraId="16B78E74">
      <w:pPr>
        <w:pStyle w:val="56"/>
        <w:ind w:firstLine="199" w:firstLineChars="95"/>
        <w:sectPr>
          <w:pgSz w:w="11906" w:h="16838"/>
          <w:pgMar w:top="1928" w:right="1134" w:bottom="1134" w:left="1134" w:header="1418" w:footer="1134" w:gutter="284"/>
          <w:pgNumType w:fmt="upperRoman"/>
          <w:cols w:space="425" w:num="1"/>
          <w:formProt w:val="0"/>
          <w:docGrid w:type="lines" w:linePitch="312" w:charSpace="0"/>
        </w:sectPr>
      </w:pPr>
    </w:p>
    <w:bookmarkEnd w:id="25"/>
    <w:p w14:paraId="6193A020">
      <w:pPr>
        <w:spacing w:line="20" w:lineRule="exact"/>
        <w:jc w:val="center"/>
        <w:rPr>
          <w:rFonts w:hint="eastAsia" w:ascii="黑体" w:hAnsi="黑体" w:eastAsia="黑体"/>
          <w:sz w:val="32"/>
          <w:szCs w:val="32"/>
        </w:rPr>
      </w:pPr>
      <w:bookmarkStart w:id="26" w:name="BookMark4"/>
    </w:p>
    <w:p w14:paraId="7772CB28">
      <w:pPr>
        <w:spacing w:line="20" w:lineRule="exact"/>
        <w:jc w:val="center"/>
        <w:rPr>
          <w:rFonts w:hint="eastAsia" w:ascii="黑体" w:hAnsi="黑体" w:eastAsia="黑体"/>
          <w:sz w:val="32"/>
          <w:szCs w:val="32"/>
        </w:rPr>
      </w:pPr>
    </w:p>
    <w:sdt>
      <w:sdtPr>
        <w:tag w:val="NEW_STAND_NAME"/>
        <w:id w:val="595910757"/>
        <w:lock w:val="sdtLocked"/>
        <w:placeholder>
          <w:docPart w:val="A99CF98994424D3CA62190B74A58AF9B"/>
        </w:placeholder>
      </w:sdtPr>
      <w:sdtContent>
        <w:p w14:paraId="09E8AE14">
          <w:pPr>
            <w:pStyle w:val="177"/>
            <w:spacing w:before="312" w:beforeLines="100" w:after="3" w:afterLines="1"/>
            <w:rPr>
              <w:rFonts w:hint="eastAsia"/>
            </w:rPr>
          </w:pPr>
          <w:bookmarkStart w:id="27" w:name="NEW_STAND_NAME"/>
          <w:r>
            <w:rPr>
              <w:rFonts w:hint="eastAsia"/>
            </w:rPr>
            <w:t>传染病突发公共卫生事件应急处置技术规范</w:t>
          </w:r>
        </w:p>
        <w:p w14:paraId="3E6AE226">
          <w:pPr>
            <w:pStyle w:val="177"/>
            <w:spacing w:before="3" w:beforeLines="1" w:after="680"/>
            <w:rPr>
              <w:rFonts w:hint="eastAsia"/>
            </w:rPr>
          </w:pPr>
          <w:r>
            <w:rPr>
              <w:rFonts w:hint="eastAsia"/>
            </w:rPr>
            <w:t>第</w:t>
          </w:r>
          <w:r>
            <w:t>11部分：细菌类应急检测</w:t>
          </w:r>
          <w:r>
            <w:rPr>
              <w:rFonts w:hint="eastAsia"/>
            </w:rPr>
            <w:t>技术</w:t>
          </w:r>
        </w:p>
      </w:sdtContent>
    </w:sdt>
    <w:bookmarkEnd w:id="27"/>
    <w:p w14:paraId="25729E14">
      <w:pPr>
        <w:pStyle w:val="104"/>
        <w:spacing w:before="312" w:after="312"/>
      </w:pPr>
      <w:bookmarkStart w:id="28" w:name="_Toc17233325"/>
      <w:bookmarkStart w:id="29" w:name="_Toc17233333"/>
      <w:bookmarkStart w:id="30" w:name="_Toc26986771"/>
      <w:bookmarkStart w:id="31" w:name="_Toc24884218"/>
      <w:bookmarkStart w:id="32" w:name="_Toc26648465"/>
      <w:bookmarkStart w:id="33" w:name="_Toc26986530"/>
      <w:bookmarkStart w:id="34" w:name="_Toc177048759"/>
      <w:bookmarkStart w:id="35" w:name="_Toc24884211"/>
      <w:bookmarkStart w:id="36" w:name="_Toc97191423"/>
      <w:bookmarkStart w:id="37" w:name="_Toc26718930"/>
      <w:r>
        <w:rPr>
          <w:rFonts w:hint="eastAsia"/>
        </w:rPr>
        <w:t>范围</w:t>
      </w:r>
      <w:bookmarkEnd w:id="28"/>
      <w:bookmarkEnd w:id="29"/>
      <w:bookmarkEnd w:id="30"/>
      <w:bookmarkEnd w:id="31"/>
      <w:bookmarkEnd w:id="32"/>
      <w:bookmarkEnd w:id="33"/>
      <w:bookmarkEnd w:id="34"/>
      <w:bookmarkEnd w:id="35"/>
      <w:bookmarkEnd w:id="36"/>
      <w:bookmarkEnd w:id="37"/>
    </w:p>
    <w:p w14:paraId="392729AD">
      <w:pPr>
        <w:pStyle w:val="56"/>
        <w:ind w:firstLine="420"/>
      </w:pPr>
      <w:bookmarkStart w:id="38" w:name="_Toc24884219"/>
      <w:bookmarkStart w:id="39" w:name="_Toc24884212"/>
      <w:bookmarkStart w:id="40" w:name="_Toc26648466"/>
      <w:bookmarkStart w:id="41" w:name="_Toc17233326"/>
      <w:bookmarkStart w:id="42" w:name="_Toc17233334"/>
      <w:r>
        <w:rPr>
          <w:rFonts w:hint="eastAsia"/>
        </w:rPr>
        <w:t>本文件规定了细菌类应急检测的实验室生物安全要求、准备工作和质量控制、常用显微镜检查技术、分离培养、分子生物学应急检测技术和免疫学应急检测技术等。</w:t>
      </w:r>
    </w:p>
    <w:p w14:paraId="2E76A578">
      <w:pPr>
        <w:pStyle w:val="56"/>
        <w:ind w:firstLine="420"/>
      </w:pPr>
      <w:r>
        <w:rPr>
          <w:rFonts w:hint="eastAsia"/>
        </w:rPr>
        <w:t>本文件适用于传染病突发公共卫生事件应急处置中细菌类传染病病原体的应急检测。</w:t>
      </w:r>
    </w:p>
    <w:p w14:paraId="18B6BB59">
      <w:pPr>
        <w:pStyle w:val="104"/>
        <w:spacing w:before="312" w:after="312"/>
      </w:pPr>
      <w:bookmarkStart w:id="43" w:name="_Toc97191424"/>
      <w:bookmarkStart w:id="44" w:name="_Toc26986772"/>
      <w:bookmarkStart w:id="45" w:name="_Toc26986531"/>
      <w:bookmarkStart w:id="46" w:name="_Toc177048760"/>
      <w:bookmarkStart w:id="47" w:name="_Toc26718931"/>
      <w:r>
        <w:rPr>
          <w:rFonts w:hint="eastAsia"/>
        </w:rPr>
        <w:t>规范性引用文件</w:t>
      </w:r>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E9D8104E92A146C2A1EBD75BF196781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53DF523">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4F21536">
      <w:pPr>
        <w:pStyle w:val="56"/>
        <w:ind w:firstLine="420"/>
      </w:pPr>
      <w:r>
        <w:rPr>
          <w:rFonts w:hint="eastAsia"/>
        </w:rPr>
        <w:t>GB 19489  实验室生物安全通用要求</w:t>
      </w:r>
    </w:p>
    <w:p w14:paraId="762475C1">
      <w:pPr>
        <w:pStyle w:val="56"/>
        <w:ind w:firstLine="420"/>
      </w:pPr>
      <w:r>
        <w:rPr>
          <w:rFonts w:hint="eastAsia"/>
        </w:rPr>
        <w:t>WS 233  病原微生物实验室生物安全通用准则</w:t>
      </w:r>
    </w:p>
    <w:p w14:paraId="6FC675B4">
      <w:pPr>
        <w:pStyle w:val="56"/>
        <w:ind w:firstLine="420"/>
      </w:pPr>
      <w:r>
        <w:rPr>
          <w:rFonts w:hint="eastAsia"/>
        </w:rPr>
        <w:t>WS 288  肺结核诊断</w:t>
      </w:r>
    </w:p>
    <w:p w14:paraId="7A95622B">
      <w:pPr>
        <w:pStyle w:val="56"/>
        <w:ind w:firstLine="420"/>
      </w:pPr>
      <w:r>
        <w:rPr>
          <w:rFonts w:hint="eastAsia"/>
        </w:rPr>
        <w:t>《人间传染的病原微生物目录（2023版）》  国家卫生健康委员会</w:t>
      </w:r>
    </w:p>
    <w:p w14:paraId="4FE406A7">
      <w:pPr>
        <w:pStyle w:val="104"/>
        <w:spacing w:before="312" w:after="312"/>
      </w:pPr>
      <w:bookmarkStart w:id="48" w:name="_Toc97191425"/>
      <w:bookmarkStart w:id="49" w:name="_Toc177048761"/>
      <w:r>
        <w:rPr>
          <w:rFonts w:hint="eastAsia"/>
          <w:szCs w:val="21"/>
        </w:rPr>
        <w:t>术语和定义</w:t>
      </w:r>
      <w:bookmarkEnd w:id="48"/>
      <w:bookmarkEnd w:id="49"/>
    </w:p>
    <w:sdt>
      <w:sdtPr>
        <w:id w:val="-1909835108"/>
        <w:placeholder>
          <w:docPart w:val="B19CDB7864624C229DD5F97BE2807C0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9E01865">
          <w:pPr>
            <w:pStyle w:val="56"/>
            <w:ind w:firstLine="420"/>
          </w:pPr>
          <w:bookmarkStart w:id="50" w:name="_Toc26986532"/>
          <w:bookmarkEnd w:id="50"/>
          <w:r>
            <w:t>下列术语和定义适用于本文件。</w:t>
          </w:r>
        </w:p>
      </w:sdtContent>
    </w:sdt>
    <w:p w14:paraId="2514D1D4">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致病菌  pathogenic bacterium</w:t>
      </w:r>
    </w:p>
    <w:p w14:paraId="2AC284AA">
      <w:pPr>
        <w:pStyle w:val="56"/>
        <w:ind w:firstLine="420"/>
      </w:pPr>
      <w:r>
        <w:rPr>
          <w:rFonts w:hint="eastAsia"/>
        </w:rPr>
        <w:t>能引起人类疾病的细菌,统称为致病菌或病原菌。</w:t>
      </w:r>
    </w:p>
    <w:p w14:paraId="03682EA6">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高通量测序  high-throughput sequencing</w:t>
      </w:r>
    </w:p>
    <w:p w14:paraId="4ED25552">
      <w:pPr>
        <w:pStyle w:val="56"/>
        <w:ind w:firstLine="420"/>
      </w:pPr>
      <w:r>
        <w:rPr>
          <w:rFonts w:hint="eastAsia"/>
        </w:rPr>
        <w:t>又称“下一代”测序技术（"Next-generation" sequencing technology），一种大规模并行测序技术。该技术可在较短时间内确定目标区域中核苷酸的顺序，用于细菌全基组或病原宏基因测序。</w:t>
      </w:r>
    </w:p>
    <w:p w14:paraId="761FFB69">
      <w:pPr>
        <w:pStyle w:val="104"/>
        <w:spacing w:before="312" w:after="312"/>
      </w:pPr>
      <w:bookmarkStart w:id="51" w:name="_Toc166489153"/>
      <w:bookmarkStart w:id="52" w:name="_Toc177048762"/>
      <w:r>
        <w:rPr>
          <w:rFonts w:hint="eastAsia"/>
        </w:rPr>
        <w:t>实验室生物安全要求</w:t>
      </w:r>
      <w:bookmarkEnd w:id="51"/>
      <w:bookmarkEnd w:id="52"/>
    </w:p>
    <w:p w14:paraId="55AD2BCE">
      <w:pPr>
        <w:pStyle w:val="162"/>
      </w:pPr>
      <w:r>
        <w:rPr>
          <w:rFonts w:hint="eastAsia"/>
        </w:rPr>
        <w:t>实验人员应根据GB 19489和风险评估的要求，配备不同类型传染病感染的个人防护装备，包括但不限于防护服、手套、外科口罩或医用防护口罩、防护面屏、防护帽。防护服宜每隔4h更换一次。在发生意外暴露时，根据应急处置预案采取必要措施。</w:t>
      </w:r>
    </w:p>
    <w:p w14:paraId="2DF3CCA5">
      <w:pPr>
        <w:pStyle w:val="162"/>
      </w:pPr>
      <w:r>
        <w:rPr>
          <w:rFonts w:hint="eastAsia"/>
        </w:rPr>
        <w:t>实验人员、实验场所、感染性标本处置及消毒灭菌等应符合WS 233中的实验室生物安全管理要求。</w:t>
      </w:r>
    </w:p>
    <w:p w14:paraId="3E9DD2E2">
      <w:pPr>
        <w:pStyle w:val="162"/>
      </w:pPr>
      <w:r>
        <w:rPr>
          <w:rFonts w:hint="eastAsia"/>
        </w:rPr>
        <w:t>医疗废物处置应按照</w:t>
      </w:r>
      <w:bookmarkStart w:id="53" w:name="OLE_LINK1"/>
      <w:r>
        <w:rPr>
          <w:rFonts w:hint="eastAsia"/>
        </w:rPr>
        <w:t>《</w:t>
      </w:r>
      <w:bookmarkEnd w:id="53"/>
      <w:r>
        <w:rPr>
          <w:rFonts w:hint="eastAsia"/>
        </w:rPr>
        <w:t>医疗废物管理条例》规定执行。</w:t>
      </w:r>
    </w:p>
    <w:p w14:paraId="5AF01860">
      <w:pPr>
        <w:pStyle w:val="162"/>
        <w:numPr>
          <w:ilvl w:val="0"/>
          <w:numId w:val="0"/>
        </w:numPr>
      </w:pPr>
    </w:p>
    <w:p w14:paraId="2BA2D4DF">
      <w:pPr>
        <w:pStyle w:val="104"/>
        <w:spacing w:before="312" w:after="312"/>
      </w:pPr>
      <w:bookmarkStart w:id="54" w:name="_Toc177048763"/>
      <w:r>
        <w:rPr>
          <w:rFonts w:hint="eastAsia"/>
        </w:rPr>
        <w:t>准备工作和质量控制</w:t>
      </w:r>
      <w:bookmarkEnd w:id="54"/>
    </w:p>
    <w:p w14:paraId="20CD2CE8">
      <w:pPr>
        <w:pStyle w:val="105"/>
        <w:spacing w:before="156" w:after="156"/>
      </w:pPr>
      <w:r>
        <w:rPr>
          <w:rFonts w:hint="eastAsia"/>
        </w:rPr>
        <w:t>准备工作</w:t>
      </w:r>
    </w:p>
    <w:p w14:paraId="7A40751A">
      <w:pPr>
        <w:pStyle w:val="56"/>
        <w:ind w:firstLine="420"/>
      </w:pPr>
      <w:r>
        <w:rPr>
          <w:rFonts w:hint="eastAsia"/>
        </w:rPr>
        <w:t>根据实验需要，选择相应的生物安全柜、移液器、漩涡震荡仪、离心机等仪器和检测试剂耗材。</w:t>
      </w:r>
    </w:p>
    <w:p w14:paraId="15D968D3">
      <w:pPr>
        <w:pStyle w:val="105"/>
        <w:spacing w:before="156" w:after="156"/>
      </w:pPr>
      <w:r>
        <w:rPr>
          <w:rFonts w:hint="eastAsia"/>
        </w:rPr>
        <w:t>质量控制</w:t>
      </w:r>
    </w:p>
    <w:p w14:paraId="50971C3A">
      <w:pPr>
        <w:pStyle w:val="56"/>
        <w:ind w:firstLine="420"/>
      </w:pPr>
      <w:r>
        <w:rPr>
          <w:rFonts w:hint="eastAsia"/>
        </w:rPr>
        <w:t>每一批次反应过程中应至少设置一个阴性和阳性对照，必要时增加空白对照。</w:t>
      </w:r>
    </w:p>
    <w:p w14:paraId="5022B20A">
      <w:pPr>
        <w:pStyle w:val="104"/>
        <w:spacing w:before="312" w:after="312"/>
      </w:pPr>
      <w:bookmarkStart w:id="55" w:name="_Toc177048764"/>
      <w:r>
        <w:rPr>
          <w:rFonts w:hint="eastAsia"/>
        </w:rPr>
        <w:t>常用显微镜检查技术</w:t>
      </w:r>
      <w:bookmarkEnd w:id="55"/>
    </w:p>
    <w:p w14:paraId="5E1502B9">
      <w:pPr>
        <w:pStyle w:val="105"/>
        <w:spacing w:before="156" w:after="156"/>
      </w:pPr>
      <w:r>
        <w:rPr>
          <w:rFonts w:hint="eastAsia"/>
        </w:rPr>
        <w:t>生理盐水湿片镜下检测</w:t>
      </w:r>
    </w:p>
    <w:p w14:paraId="67164BEC">
      <w:pPr>
        <w:pStyle w:val="56"/>
        <w:ind w:firstLine="420"/>
      </w:pPr>
      <w:r>
        <w:rPr>
          <w:rFonts w:hint="eastAsia"/>
        </w:rPr>
        <w:t>在玻片上滴加适量生理盐水，将适量样本与生理盐水混合并涂抹均匀后，观察中性粒细胞、红细胞及其数量；观察标本中细菌动力特征（用暗视野显微镜观察）等。</w:t>
      </w:r>
    </w:p>
    <w:p w14:paraId="5D6B78F8">
      <w:pPr>
        <w:pStyle w:val="105"/>
        <w:spacing w:before="156" w:after="156"/>
      </w:pPr>
      <w:r>
        <w:rPr>
          <w:rFonts w:hint="eastAsia"/>
        </w:rPr>
        <w:t>革兰氏染色显微镜检查</w:t>
      </w:r>
    </w:p>
    <w:p w14:paraId="7F0CB2EF">
      <w:pPr>
        <w:pStyle w:val="165"/>
      </w:pPr>
      <w:r>
        <w:rPr>
          <w:rFonts w:hint="eastAsia"/>
        </w:rPr>
        <w:t>直接在玻片上涂抹标本，涂片应薄且均匀。自然干燥或恒温干燥器上干燥后，经甲醇固定或火焰快速固定3次，革兰染色，晾干后读片。</w:t>
      </w:r>
    </w:p>
    <w:p w14:paraId="253969CC">
      <w:pPr>
        <w:pStyle w:val="165"/>
      </w:pPr>
      <w:r>
        <w:rPr>
          <w:rFonts w:hint="eastAsia"/>
        </w:rPr>
        <w:t>革兰染色脱色时间因选用不同的脱色剂而异。使用革兰氏染色仪染色，应按照厂家操作说明书进行。</w:t>
      </w:r>
    </w:p>
    <w:p w14:paraId="269C6B09">
      <w:pPr>
        <w:pStyle w:val="105"/>
        <w:spacing w:before="156" w:after="156"/>
      </w:pPr>
      <w:r>
        <w:rPr>
          <w:rFonts w:hint="eastAsia"/>
        </w:rPr>
        <w:t>抗酸染色显微镜检查</w:t>
      </w:r>
    </w:p>
    <w:p w14:paraId="59C30D63">
      <w:pPr>
        <w:pStyle w:val="56"/>
        <w:ind w:firstLine="420"/>
      </w:pPr>
      <w:r>
        <w:rPr>
          <w:rFonts w:hint="eastAsia"/>
        </w:rPr>
        <w:t>抗酸染色镜检操作流程应按照WS 288执行。</w:t>
      </w:r>
    </w:p>
    <w:p w14:paraId="2AE575FE">
      <w:pPr>
        <w:pStyle w:val="105"/>
        <w:spacing w:before="156" w:after="156"/>
      </w:pPr>
      <w:r>
        <w:rPr>
          <w:rFonts w:hint="eastAsia"/>
        </w:rPr>
        <w:t>荧光染色显微镜检查</w:t>
      </w:r>
    </w:p>
    <w:p w14:paraId="3FEC61BF">
      <w:pPr>
        <w:pStyle w:val="56"/>
        <w:ind w:firstLine="420"/>
      </w:pPr>
      <w:r>
        <w:rPr>
          <w:rFonts w:hint="eastAsia"/>
        </w:rPr>
        <w:t>荧光染色镜检步骤如下。</w:t>
      </w:r>
    </w:p>
    <w:p w14:paraId="6A6EB95F">
      <w:pPr>
        <w:pStyle w:val="174"/>
      </w:pPr>
      <w:r>
        <w:rPr>
          <w:rFonts w:hint="eastAsia"/>
        </w:rPr>
        <w:t>染色：涂片经火焰固定后，滴加金胺“O”染色剂盖满玻片，染色30 min，流水自玻片一端轻缓冲洗，洗去染色液，沥去玻片上剩余的水；</w:t>
      </w:r>
    </w:p>
    <w:p w14:paraId="34CA5B50">
      <w:pPr>
        <w:pStyle w:val="174"/>
      </w:pPr>
      <w:r>
        <w:rPr>
          <w:rFonts w:hint="eastAsia"/>
        </w:rPr>
        <w:t>脱色：涂膜上端外缘滴加脱色剂，盖满玻片，脱色3 min 或至无色，流水自玻片一端轻洗，洗去脱色剂；</w:t>
      </w:r>
    </w:p>
    <w:p w14:paraId="521DD1D2">
      <w:pPr>
        <w:pStyle w:val="174"/>
      </w:pPr>
      <w:r>
        <w:rPr>
          <w:rFonts w:hint="eastAsia"/>
        </w:rPr>
        <w:t>复染：加复染剂复染1 min，沥去复染液，流水自玻片一端轻洗，自然干燥后镜检；</w:t>
      </w:r>
    </w:p>
    <w:p w14:paraId="5D07433F">
      <w:pPr>
        <w:pStyle w:val="174"/>
      </w:pPr>
      <w:r>
        <w:rPr>
          <w:rFonts w:hint="eastAsia"/>
        </w:rPr>
        <w:t>镜检：玻片涂膜面向上置于荧光或LED显微镜载物台，并以卡尺固定后，以低倍镜搜索发现疑为致病菌的荧光物质，使用40×物镜确认。在暗背景下，目标菌发出荧光，呈特征形态。</w:t>
      </w:r>
    </w:p>
    <w:p w14:paraId="7AABBF8B">
      <w:pPr>
        <w:pStyle w:val="105"/>
        <w:spacing w:before="156" w:after="156"/>
      </w:pPr>
      <w:r>
        <w:rPr>
          <w:rFonts w:hint="eastAsia"/>
        </w:rPr>
        <w:t>其他特殊染色显微镜检查</w:t>
      </w:r>
    </w:p>
    <w:p w14:paraId="29E03AC6">
      <w:pPr>
        <w:pStyle w:val="56"/>
        <w:ind w:firstLine="420"/>
      </w:pPr>
      <w:r>
        <w:rPr>
          <w:rFonts w:hint="eastAsia"/>
        </w:rPr>
        <w:t>细菌特殊结构如芽孢、鞭毛、荚膜或其他细菌结构如细胞壁、核质、胞质颗粒等，采用相应的特殊染色法进行显微镜检查。包括且不限于细胞壁染色、鞭毛染色、荚膜染色、芽孢染色、异染颗粒染色。</w:t>
      </w:r>
    </w:p>
    <w:p w14:paraId="1A3B7A66">
      <w:pPr>
        <w:pStyle w:val="104"/>
        <w:spacing w:before="312" w:after="312"/>
      </w:pPr>
      <w:bookmarkStart w:id="56" w:name="_Toc177048765"/>
      <w:r>
        <w:rPr>
          <w:rFonts w:hint="eastAsia"/>
        </w:rPr>
        <w:t>分离培养</w:t>
      </w:r>
      <w:bookmarkEnd w:id="56"/>
    </w:p>
    <w:p w14:paraId="76D364EE">
      <w:pPr>
        <w:pStyle w:val="105"/>
        <w:spacing w:before="156" w:after="156"/>
      </w:pPr>
      <w:r>
        <w:rPr>
          <w:rFonts w:hint="eastAsia"/>
        </w:rPr>
        <w:t>无菌部位标本</w:t>
      </w:r>
    </w:p>
    <w:p w14:paraId="26D40269">
      <w:pPr>
        <w:pStyle w:val="56"/>
        <w:ind w:firstLine="420"/>
      </w:pPr>
      <w:r>
        <w:rPr>
          <w:rFonts w:hint="eastAsia"/>
        </w:rPr>
        <w:t>一般应在患者使用抗生素之前采集无菌部位标本如血液标本直接接种血培养瓶中培养，阳性血培养物进行固体培养基分离纯化，并进行后续进一步鉴定，对血培养阴性的标本盲传一代。</w:t>
      </w:r>
    </w:p>
    <w:p w14:paraId="2E6D4B0A">
      <w:pPr>
        <w:pStyle w:val="105"/>
        <w:spacing w:before="156" w:after="156"/>
      </w:pPr>
      <w:r>
        <w:rPr>
          <w:rFonts w:hint="eastAsia"/>
        </w:rPr>
        <w:t>非无菌部位标本</w:t>
      </w:r>
    </w:p>
    <w:p w14:paraId="31E490C1">
      <w:pPr>
        <w:pStyle w:val="56"/>
        <w:ind w:firstLine="420"/>
      </w:pPr>
      <w:r>
        <w:rPr>
          <w:rFonts w:hint="eastAsia"/>
        </w:rPr>
        <w:t>非无菌部位标本，通过直接培养或选择性增菌培养的方式，针对不同细菌采用不同培养基和分离程序，得到细菌纯培养物。</w:t>
      </w:r>
    </w:p>
    <w:p w14:paraId="289218F4">
      <w:pPr>
        <w:pStyle w:val="104"/>
        <w:spacing w:before="312" w:after="312"/>
      </w:pPr>
      <w:bookmarkStart w:id="57" w:name="_Toc177048766"/>
      <w:r>
        <w:rPr>
          <w:rFonts w:hint="eastAsia"/>
        </w:rPr>
        <w:t>分子生物学应急检测技术</w:t>
      </w:r>
      <w:bookmarkEnd w:id="57"/>
    </w:p>
    <w:p w14:paraId="07D3FE25">
      <w:pPr>
        <w:pStyle w:val="105"/>
        <w:spacing w:before="156" w:after="156"/>
      </w:pPr>
      <w:r>
        <w:rPr>
          <w:rFonts w:hint="eastAsia"/>
        </w:rPr>
        <w:t>核酸提取</w:t>
      </w:r>
    </w:p>
    <w:p w14:paraId="6AC97914">
      <w:pPr>
        <w:pStyle w:val="65"/>
        <w:spacing w:before="156" w:after="156"/>
      </w:pPr>
      <w:r>
        <w:rPr>
          <w:rFonts w:hint="eastAsia"/>
        </w:rPr>
        <w:t>试剂盒法提取核酸</w:t>
      </w:r>
    </w:p>
    <w:p w14:paraId="4E36D17A">
      <w:pPr>
        <w:pStyle w:val="56"/>
        <w:ind w:firstLine="420"/>
      </w:pPr>
      <w:r>
        <w:rPr>
          <w:rFonts w:hint="eastAsia"/>
        </w:rPr>
        <w:t>根据标本类型选择相应商品化离心柱法或磁珠法基因组核酸提取试剂盒。选择非人源性内参时，待提取标本中宜加入相应的内参模板。</w:t>
      </w:r>
    </w:p>
    <w:p w14:paraId="280F0DAA">
      <w:pPr>
        <w:pStyle w:val="65"/>
        <w:spacing w:before="156" w:after="156"/>
      </w:pPr>
      <w:r>
        <w:rPr>
          <w:rFonts w:hint="eastAsia"/>
        </w:rPr>
        <w:t>常温一步法提取核酸</w:t>
      </w:r>
    </w:p>
    <w:p w14:paraId="648BEC27">
      <w:pPr>
        <w:pStyle w:val="56"/>
        <w:ind w:firstLine="420"/>
      </w:pPr>
      <w:r>
        <w:rPr>
          <w:rFonts w:hint="eastAsia"/>
        </w:rPr>
        <w:t>根据标本类型选择相应商品化的裂解试剂，将试剂加入标本中，常温裂解。</w:t>
      </w:r>
    </w:p>
    <w:p w14:paraId="66EF7340">
      <w:pPr>
        <w:pStyle w:val="65"/>
        <w:spacing w:before="156" w:after="156"/>
      </w:pPr>
      <w:r>
        <w:rPr>
          <w:rFonts w:hint="eastAsia"/>
        </w:rPr>
        <w:t>煮沸法提取核酸</w:t>
      </w:r>
    </w:p>
    <w:p w14:paraId="67EF6838">
      <w:pPr>
        <w:pStyle w:val="164"/>
      </w:pPr>
      <w:r>
        <w:rPr>
          <w:rFonts w:hint="eastAsia"/>
        </w:rPr>
        <w:t>标本离心、重悬后使用煮沸法进行简易模板制备：</w:t>
      </w:r>
    </w:p>
    <w:p w14:paraId="631A2A7E">
      <w:pPr>
        <w:pStyle w:val="174"/>
        <w:numPr>
          <w:ilvl w:val="0"/>
          <w:numId w:val="32"/>
        </w:numPr>
      </w:pPr>
      <w:r>
        <w:rPr>
          <w:rFonts w:hint="eastAsia"/>
        </w:rPr>
        <w:t>取1接种环（约2 µL～5 µL）扩大培养物放入装有500 µL纯水或TE的1.5 mL离心管内，混匀；</w:t>
      </w:r>
    </w:p>
    <w:p w14:paraId="2D083F71">
      <w:pPr>
        <w:pStyle w:val="174"/>
      </w:pPr>
      <w:r>
        <w:rPr>
          <w:rFonts w:hint="eastAsia"/>
        </w:rPr>
        <w:t>100 ℃加热10 min；</w:t>
      </w:r>
    </w:p>
    <w:p w14:paraId="53AA4CF3">
      <w:pPr>
        <w:pStyle w:val="174"/>
      </w:pPr>
      <w:r>
        <w:rPr>
          <w:rFonts w:hint="eastAsia"/>
        </w:rPr>
        <w:t>12,000 rpm离心10 min；</w:t>
      </w:r>
    </w:p>
    <w:p w14:paraId="6661A5E6">
      <w:pPr>
        <w:pStyle w:val="174"/>
      </w:pPr>
      <w:r>
        <w:rPr>
          <w:rFonts w:hint="eastAsia"/>
        </w:rPr>
        <w:t>吸取上清即为PCR模板。</w:t>
      </w:r>
    </w:p>
    <w:p w14:paraId="0B254B59">
      <w:pPr>
        <w:pStyle w:val="164"/>
      </w:pPr>
      <w:r>
        <w:rPr>
          <w:rFonts w:hint="eastAsia"/>
        </w:rPr>
        <w:t>选择非人源性内参时，在待提取标本中宜加入相应的内参模板。</w:t>
      </w:r>
    </w:p>
    <w:p w14:paraId="30C85ACB">
      <w:pPr>
        <w:pStyle w:val="105"/>
        <w:spacing w:before="156" w:after="156"/>
      </w:pPr>
      <w:r>
        <w:rPr>
          <w:rFonts w:hint="eastAsia"/>
        </w:rPr>
        <w:t>等温扩增技术</w:t>
      </w:r>
    </w:p>
    <w:p w14:paraId="114FDFD6">
      <w:pPr>
        <w:pStyle w:val="165"/>
      </w:pPr>
      <w:r>
        <w:rPr>
          <w:rFonts w:hint="eastAsia"/>
        </w:rPr>
        <w:t>反应体系配制（引物、链置换型核酸合成酶、基质、模板）后置于指定温度下（60 ℃～65 ℃），经一个步骤即可完成。具体参照相应细菌核酸检测试剂盒说明书。</w:t>
      </w:r>
    </w:p>
    <w:p w14:paraId="404AD029">
      <w:pPr>
        <w:pStyle w:val="165"/>
      </w:pPr>
      <w:r>
        <w:rPr>
          <w:rFonts w:hint="eastAsia"/>
        </w:rPr>
        <w:t>阴性对照、阳性对照结果成立时，可使用以下方法进行结果判定：</w:t>
      </w:r>
    </w:p>
    <w:p w14:paraId="1120904F">
      <w:pPr>
        <w:pStyle w:val="174"/>
        <w:numPr>
          <w:ilvl w:val="0"/>
          <w:numId w:val="33"/>
        </w:numPr>
      </w:pPr>
      <w:r>
        <w:rPr>
          <w:rFonts w:hint="eastAsia"/>
        </w:rPr>
        <w:t>浊度检测：肉眼观察反应管内出现白色浑浊判定为阳性，未浑浊判为阴性；</w:t>
      </w:r>
    </w:p>
    <w:p w14:paraId="294CF141">
      <w:pPr>
        <w:pStyle w:val="174"/>
      </w:pPr>
      <w:r>
        <w:rPr>
          <w:rFonts w:hint="eastAsia"/>
        </w:rPr>
        <w:t>指示剂检测：加入荧光等指示剂后，根据试剂盒说明书判定结果。</w:t>
      </w:r>
    </w:p>
    <w:p w14:paraId="07D01A31">
      <w:pPr>
        <w:pStyle w:val="105"/>
        <w:spacing w:before="156" w:after="156"/>
      </w:pPr>
      <w:r>
        <w:rPr>
          <w:rFonts w:hint="eastAsia"/>
        </w:rPr>
        <w:t>实时荧光PCR技术</w:t>
      </w:r>
    </w:p>
    <w:p w14:paraId="55897987">
      <w:pPr>
        <w:pStyle w:val="165"/>
      </w:pPr>
      <w:r>
        <w:rPr>
          <w:rFonts w:hint="eastAsia"/>
        </w:rPr>
        <w:t>反应体系配制（PCR反应液、酶、引物、探针及模板）及反应程序设置（反应温度、循环数及荧光通道）应参照相应细菌核酸检测试剂盒说明书。</w:t>
      </w:r>
    </w:p>
    <w:p w14:paraId="7D4BD7AB">
      <w:pPr>
        <w:pStyle w:val="165"/>
      </w:pPr>
      <w:r>
        <w:rPr>
          <w:rFonts w:hint="eastAsia"/>
        </w:rPr>
        <w:t>阴性对照、阳性对照、内参（如有）结果成立时，进行结果判断：</w:t>
      </w:r>
    </w:p>
    <w:p w14:paraId="1D7EA510">
      <w:pPr>
        <w:pStyle w:val="174"/>
        <w:numPr>
          <w:ilvl w:val="0"/>
          <w:numId w:val="34"/>
        </w:numPr>
      </w:pPr>
      <w:r>
        <w:rPr>
          <w:rFonts w:hint="eastAsia"/>
        </w:rPr>
        <w:t>阴性显示无Ct值、无S形扩增曲线；</w:t>
      </w:r>
    </w:p>
    <w:p w14:paraId="160824EF">
      <w:pPr>
        <w:pStyle w:val="174"/>
      </w:pPr>
      <w:r>
        <w:rPr>
          <w:rFonts w:hint="eastAsia"/>
        </w:rPr>
        <w:t>阳性显示Ct值小于或等于细菌核酸检测试剂盒说明书规定值，且有S形扩增曲线。</w:t>
      </w:r>
    </w:p>
    <w:p w14:paraId="517DA616">
      <w:pPr>
        <w:pStyle w:val="105"/>
        <w:spacing w:before="156" w:after="156"/>
      </w:pPr>
      <w:r>
        <w:rPr>
          <w:rFonts w:hint="eastAsia"/>
        </w:rPr>
        <w:t>数字PCR技术</w:t>
      </w:r>
    </w:p>
    <w:p w14:paraId="5C597BD9">
      <w:pPr>
        <w:pStyle w:val="165"/>
      </w:pPr>
      <w:r>
        <w:rPr>
          <w:rFonts w:hint="eastAsia"/>
        </w:rPr>
        <w:t>根据PCR仪器和试剂的要求制备反应体系，将体系分配到微小分区或微滴中并封盖，进行PCR反应。使用荧光染料或探针监测目标核酸的扩增，配套软件统计分析各反应中的阳性液滴数。</w:t>
      </w:r>
    </w:p>
    <w:p w14:paraId="6FF11636">
      <w:pPr>
        <w:pStyle w:val="165"/>
      </w:pPr>
      <w:r>
        <w:rPr>
          <w:rFonts w:hint="eastAsia"/>
        </w:rPr>
        <w:t>当阴性对照、阳性对照、内参（如有）结果成立时，进行结果判断，确定目标核酸及其定量信息，包括标本中每个荧光通道的浓度、精度、误差，依据试剂盒说明书进行结果判读。</w:t>
      </w:r>
    </w:p>
    <w:p w14:paraId="0EEE026B">
      <w:pPr>
        <w:pStyle w:val="105"/>
        <w:spacing w:before="156" w:after="156"/>
      </w:pPr>
      <w:r>
        <w:rPr>
          <w:rFonts w:hint="eastAsia"/>
        </w:rPr>
        <w:t>微流体芯片检测技术</w:t>
      </w:r>
    </w:p>
    <w:p w14:paraId="5BDF6C74">
      <w:pPr>
        <w:pStyle w:val="165"/>
      </w:pPr>
      <w:r>
        <w:rPr>
          <w:rFonts w:hint="eastAsia"/>
        </w:rPr>
        <w:t>参照相应的多病原检测试剂盒（微流体芯片法）说明书。</w:t>
      </w:r>
    </w:p>
    <w:p w14:paraId="4B8A7070">
      <w:pPr>
        <w:pStyle w:val="165"/>
      </w:pPr>
      <w:r>
        <w:rPr>
          <w:rFonts w:hint="eastAsia"/>
        </w:rPr>
        <w:t>当阴性对照、阳性对照、内参（如有）结果成立时，进行结果判断，查看各标本扩增曲线的形态及对应的Ct值，对照试剂盒说明书规定值进行判读。</w:t>
      </w:r>
    </w:p>
    <w:p w14:paraId="25509714">
      <w:pPr>
        <w:pStyle w:val="165"/>
      </w:pPr>
      <w:r>
        <w:rPr>
          <w:rFonts w:hint="eastAsia"/>
        </w:rPr>
        <w:t>确定各个病原体靶点阳性扩增所对应的标本编号，报告该标本为对应病原体检测项目阳性。</w:t>
      </w:r>
    </w:p>
    <w:p w14:paraId="1FC09430">
      <w:pPr>
        <w:pStyle w:val="105"/>
        <w:spacing w:before="156" w:after="156"/>
      </w:pPr>
      <w:r>
        <w:rPr>
          <w:rFonts w:hint="eastAsia"/>
        </w:rPr>
        <w:t>高通量宏基因组测序</w:t>
      </w:r>
    </w:p>
    <w:p w14:paraId="3A01B893">
      <w:pPr>
        <w:pStyle w:val="65"/>
        <w:spacing w:before="156" w:after="156"/>
      </w:pPr>
      <w:r>
        <w:rPr>
          <w:rFonts w:hint="eastAsia"/>
        </w:rPr>
        <w:t>测序时机</w:t>
      </w:r>
    </w:p>
    <w:p w14:paraId="6F12AFA6">
      <w:pPr>
        <w:pStyle w:val="56"/>
        <w:ind w:firstLine="420"/>
      </w:pPr>
      <w:r>
        <w:rPr>
          <w:rFonts w:hint="eastAsia"/>
        </w:rPr>
        <w:t>传染病突发公共卫生事件应急检测中，出现且不限于多病原核酸检测阴性、分离培养阴性、免疫学检测阴性等情况时，宜使用宏基因组测序。</w:t>
      </w:r>
    </w:p>
    <w:p w14:paraId="3AE961C0">
      <w:pPr>
        <w:pStyle w:val="65"/>
        <w:spacing w:before="156" w:after="156"/>
      </w:pPr>
      <w:r>
        <w:rPr>
          <w:rFonts w:hint="eastAsia"/>
        </w:rPr>
        <w:t>实验过程</w:t>
      </w:r>
    </w:p>
    <w:p w14:paraId="2657D2B3">
      <w:pPr>
        <w:pStyle w:val="56"/>
        <w:ind w:firstLine="420"/>
      </w:pPr>
      <w:r>
        <w:rPr>
          <w:rFonts w:hint="eastAsia"/>
        </w:rPr>
        <w:t>对符合要求的核酸进行文库构建、上机测序、数据分析等。具体反应体系及反应程序参照相应测序平台及试剂盒说明书，根据应急检测实际选择是否执行去宿主操作。</w:t>
      </w:r>
    </w:p>
    <w:p w14:paraId="123AEF9A">
      <w:pPr>
        <w:pStyle w:val="65"/>
        <w:spacing w:before="156" w:after="156"/>
      </w:pPr>
      <w:r>
        <w:rPr>
          <w:rFonts w:hint="eastAsia"/>
        </w:rPr>
        <w:t>数据处理</w:t>
      </w:r>
    </w:p>
    <w:p w14:paraId="7A06A0DD">
      <w:pPr>
        <w:pStyle w:val="94"/>
        <w:spacing w:before="156" w:after="156"/>
      </w:pPr>
      <w:r>
        <w:rPr>
          <w:rFonts w:hint="eastAsia"/>
        </w:rPr>
        <w:t>数据质量控制</w:t>
      </w:r>
    </w:p>
    <w:p w14:paraId="6B5627C8">
      <w:pPr>
        <w:pStyle w:val="56"/>
        <w:ind w:firstLine="420"/>
      </w:pPr>
      <w:r>
        <w:rPr>
          <w:rFonts w:hint="eastAsia"/>
        </w:rPr>
        <w:t>数据质量控制要求如下：</w:t>
      </w:r>
    </w:p>
    <w:p w14:paraId="63411A44">
      <w:pPr>
        <w:pStyle w:val="174"/>
        <w:numPr>
          <w:ilvl w:val="0"/>
          <w:numId w:val="35"/>
        </w:numPr>
      </w:pPr>
      <w:r>
        <w:rPr>
          <w:rFonts w:hint="eastAsia"/>
        </w:rPr>
        <w:t>标本经过高通量测序得到的原始数据，应该在去除接头、低质量数据和宿主基因组序列后再进行下一步分析。</w:t>
      </w:r>
    </w:p>
    <w:p w14:paraId="53999139">
      <w:pPr>
        <w:pStyle w:val="174"/>
      </w:pPr>
      <w:r>
        <w:rPr>
          <w:rFonts w:hint="eastAsia"/>
        </w:rPr>
        <w:t>测序完成后，对Q20和Q30进行统计，标本测序的碱基质量应同时符合：Q20</w:t>
      </w:r>
      <w:bookmarkStart w:id="58" w:name="脚注"/>
      <w:r>
        <w:rPr>
          <w:rFonts w:hint="eastAsia"/>
          <w:vertAlign w:val="superscript"/>
        </w:rPr>
        <w:t>1）</w:t>
      </w:r>
      <w:bookmarkEnd w:id="58"/>
      <w:r>
        <w:rPr>
          <w:rFonts w:hint="eastAsia"/>
        </w:rPr>
        <w:t>≥90%、Q30</w:t>
      </w:r>
      <w:r>
        <w:rPr>
          <w:rFonts w:hint="eastAsia"/>
          <w:vertAlign w:val="superscript"/>
        </w:rPr>
        <w:t>2）</w:t>
      </w:r>
      <w:r>
        <w:rPr>
          <w:rFonts w:hint="eastAsia"/>
        </w:rPr>
        <w:t>≥85%。</w:t>
      </w:r>
    </w:p>
    <w:p w14:paraId="45650E79">
      <w:pPr>
        <w:pStyle w:val="174"/>
      </w:pPr>
      <w:r>
        <w:rPr>
          <w:rFonts w:hint="eastAsia"/>
        </w:rPr>
        <w:t>每个标本的高质量序列（Q20）数目应大于 2 × 10</w:t>
      </w:r>
      <w:r>
        <w:rPr>
          <w:vertAlign w:val="superscript"/>
        </w:rPr>
        <w:t>7</w:t>
      </w:r>
      <w:r>
        <w:rPr>
          <w:rFonts w:hint="eastAsia"/>
        </w:rPr>
        <w:t>条，对于宿主含量较多而又未在核酸提取步骤进行去宿主操作的标本，数据量适当增加到4 × 10</w:t>
      </w:r>
      <w:r>
        <w:rPr>
          <w:rFonts w:hint="eastAsia"/>
          <w:vertAlign w:val="superscript"/>
        </w:rPr>
        <w:t>7</w:t>
      </w:r>
      <w:r>
        <w:rPr>
          <w:rFonts w:hint="eastAsia"/>
        </w:rPr>
        <w:t xml:space="preserve"> </w:t>
      </w:r>
      <w:r>
        <w:rPr>
          <w:rFonts w:hint="eastAsia" w:hAnsi="宋体"/>
        </w:rPr>
        <w:t>～</w:t>
      </w:r>
      <w:r>
        <w:rPr>
          <w:rFonts w:hint="eastAsia"/>
        </w:rPr>
        <w:t>8 × 10</w:t>
      </w:r>
      <w:r>
        <w:rPr>
          <w:rFonts w:hint="eastAsia"/>
          <w:vertAlign w:val="superscript"/>
        </w:rPr>
        <w:t>7</w:t>
      </w:r>
      <w:r>
        <w:rPr>
          <w:rFonts w:hint="eastAsia"/>
        </w:rPr>
        <w:t>条。</w:t>
      </w:r>
    </w:p>
    <w:p w14:paraId="50E91ED5">
      <w:pPr>
        <w:pStyle w:val="180"/>
        <w:ind w:left="420" w:leftChars="200"/>
      </w:pPr>
      <w:r>
        <w:rPr>
          <w:rFonts w:hint="eastAsia"/>
        </w:rPr>
        <w:t>测序数据中，碱基识别质量值为20的碱基识别准确率为99%，或错误率为1%。</w:t>
      </w:r>
    </w:p>
    <w:p w14:paraId="1A50BA48">
      <w:pPr>
        <w:pStyle w:val="180"/>
        <w:ind w:left="420" w:leftChars="200"/>
      </w:pPr>
      <w:r>
        <w:rPr>
          <w:rFonts w:hint="eastAsia"/>
        </w:rPr>
        <w:t>测序数据中，碱基识别质量值为30的碱基识别准确率为99.9%，或错误率为0.1%。</w:t>
      </w:r>
    </w:p>
    <w:p w14:paraId="26071B06">
      <w:pPr>
        <w:pStyle w:val="94"/>
        <w:spacing w:before="156" w:after="156"/>
      </w:pPr>
      <w:r>
        <w:rPr>
          <w:rFonts w:hint="eastAsia"/>
        </w:rPr>
        <w:t>物种注释</w:t>
      </w:r>
    </w:p>
    <w:p w14:paraId="79A477DD">
      <w:pPr>
        <w:pStyle w:val="56"/>
        <w:ind w:firstLine="420"/>
      </w:pPr>
      <w:r>
        <w:rPr>
          <w:rFonts w:hint="eastAsia"/>
        </w:rPr>
        <w:t>数据质控后对标本数据进行物种注释，宜选用得到广泛认可的数据库进行物种注释，包括但不限于Food and Drug Administration dAtabase for Reference Grade micrObial Sequences（FDA-ARGOS），World Data Centre for Microorganisms（WDCM），Genome Taxonomy DataBase（GTDB）等。除特殊方法外，对于已知物种，数据库中序列相似度95%以上，覆盖度90%以上。</w:t>
      </w:r>
    </w:p>
    <w:p w14:paraId="35974C73">
      <w:pPr>
        <w:pStyle w:val="94"/>
        <w:spacing w:before="156" w:after="156"/>
      </w:pPr>
      <w:r>
        <w:rPr>
          <w:rFonts w:hint="eastAsia"/>
        </w:rPr>
        <w:t>微生物丰度计算</w:t>
      </w:r>
    </w:p>
    <w:p w14:paraId="085CB8AA">
      <w:pPr>
        <w:pStyle w:val="56"/>
        <w:ind w:firstLine="420"/>
      </w:pPr>
      <w:r>
        <w:rPr>
          <w:rFonts w:hint="eastAsia"/>
        </w:rPr>
        <w:t>数据质控后进行物种相对丰度计算，并记录计算方法或软件。除特殊方法外，应将高质量测序数据比对到组装好的参考基因集或合适的数据库上，按相似度95%以上，覆盖度90%以上进行统计，得到基因水平上的相对丰度分布情况，再将注释到同一物种和同一属的分类水平的基因序列相对丰度进行叠加，得到种水平和属水平的相对丰度结果。</w:t>
      </w:r>
    </w:p>
    <w:p w14:paraId="6824FFE9">
      <w:pPr>
        <w:pStyle w:val="65"/>
        <w:spacing w:before="156" w:after="156"/>
      </w:pPr>
      <w:r>
        <w:rPr>
          <w:rFonts w:hint="eastAsia"/>
        </w:rPr>
        <w:t>结果判定</w:t>
      </w:r>
    </w:p>
    <w:p w14:paraId="6E7A89A6">
      <w:pPr>
        <w:pStyle w:val="56"/>
        <w:ind w:firstLine="420"/>
      </w:pPr>
      <w:r>
        <w:rPr>
          <w:rFonts w:hint="eastAsia"/>
        </w:rPr>
        <w:t>结果判定规则如下：</w:t>
      </w:r>
    </w:p>
    <w:p w14:paraId="6DFF96BE">
      <w:pPr>
        <w:pStyle w:val="174"/>
        <w:numPr>
          <w:ilvl w:val="0"/>
          <w:numId w:val="36"/>
        </w:numPr>
      </w:pPr>
      <w:r>
        <w:rPr>
          <w:rFonts w:hint="eastAsia"/>
        </w:rPr>
        <w:t>结合《人间传染的病原微生物目录》或其他相关的病原微生物目录筛选出物种注释中的致病菌和条件致病菌的信息，针对不同标c本类型并结合检出病原微生物的种类进行解读，确认致病微生物时，应区分无菌部位（血、无菌体液、组织、骨髓等）与正常有菌部位（如呼吸道、尿液、开放性伤口）。正常有菌部位应综合分析检出细菌是否为导致感染的致病病原。</w:t>
      </w:r>
    </w:p>
    <w:p w14:paraId="0146F788">
      <w:pPr>
        <w:pStyle w:val="174"/>
      </w:pPr>
      <w:r>
        <w:rPr>
          <w:rFonts w:hint="eastAsia"/>
        </w:rPr>
        <w:t>对于条件致病菌</w:t>
      </w:r>
      <w:r>
        <w:rPr>
          <w:rFonts w:hint="eastAsia"/>
          <w:vertAlign w:val="superscript"/>
        </w:rPr>
        <w:t>3）</w:t>
      </w:r>
      <w:r>
        <w:rPr>
          <w:rFonts w:hint="eastAsia"/>
        </w:rPr>
        <w:t>，应综合考虑临床表现和物种丰度等信息谨慎进行判断。</w:t>
      </w:r>
    </w:p>
    <w:p w14:paraId="1A92BD4D">
      <w:pPr>
        <w:pStyle w:val="174"/>
      </w:pPr>
      <w:r>
        <w:rPr>
          <w:rFonts w:hint="eastAsia"/>
        </w:rPr>
        <w:t>对于致病菌，当种特异性序列数较低时（小于3条）一般不考虑为致病病原，但检出菌为敏感度较低的菌株，如结核分支杆菌和非结核分枝杆菌，布鲁氏菌，诺卡菌等以及烈性传染病的时候（包括鼠疫，炭疽等), 应结合临床症状考虑感染可能，并使用分离培养、涂片染色或抗体检测等手段予以确认或排除。如果疑似暴发疫情标本大部分都报告相应序列且能够排除标本之间或环境污染时即可认定其为此次疫情的致病菌。</w:t>
      </w:r>
    </w:p>
    <w:p w14:paraId="0A7502DA">
      <w:pPr>
        <w:pStyle w:val="174"/>
      </w:pPr>
      <w:r>
        <w:rPr>
          <w:rFonts w:hint="eastAsia"/>
        </w:rPr>
        <w:t>对于无菌部位检出病原菌时，在排除标本污染的情况下，高度怀疑其为致病菌。</w:t>
      </w:r>
    </w:p>
    <w:p w14:paraId="45FB15F0">
      <w:pPr>
        <w:pStyle w:val="174"/>
      </w:pPr>
      <w:r>
        <w:rPr>
          <w:rFonts w:hint="eastAsia"/>
        </w:rPr>
        <w:t>对于鉴定出可分离培养的病原菌，应按相应操作指南对原始标本进行分离培养。</w:t>
      </w:r>
    </w:p>
    <w:p w14:paraId="4C8564E0">
      <w:pPr>
        <w:pStyle w:val="180"/>
        <w:ind w:left="420" w:leftChars="200"/>
      </w:pPr>
      <w:r>
        <w:rPr>
          <w:rFonts w:hint="eastAsia"/>
        </w:rPr>
        <w:t>在一定条件下，原来不致病的细菌成为致病菌，称为条件致病菌或机会致病菌。</w:t>
      </w:r>
    </w:p>
    <w:p w14:paraId="347BCEE0">
      <w:pPr>
        <w:pStyle w:val="104"/>
        <w:spacing w:before="312" w:after="312"/>
      </w:pPr>
      <w:bookmarkStart w:id="59" w:name="_Toc177048767"/>
      <w:r>
        <w:rPr>
          <w:rFonts w:hint="eastAsia"/>
        </w:rPr>
        <w:t>免疫学应急检测技术</w:t>
      </w:r>
      <w:bookmarkEnd w:id="59"/>
    </w:p>
    <w:p w14:paraId="0CBC37A0">
      <w:pPr>
        <w:pStyle w:val="105"/>
        <w:spacing w:before="156" w:after="156"/>
      </w:pPr>
      <w:r>
        <w:rPr>
          <w:rFonts w:hint="eastAsia"/>
        </w:rPr>
        <w:t>胶体金检测技术</w:t>
      </w:r>
    </w:p>
    <w:p w14:paraId="2BAEBD35">
      <w:pPr>
        <w:pStyle w:val="165"/>
      </w:pPr>
      <w:r>
        <w:rPr>
          <w:rFonts w:hint="eastAsia"/>
        </w:rPr>
        <w:t>检测标本的类型、上样体积及操作步骤参照相应的试剂盒说明书。</w:t>
      </w:r>
    </w:p>
    <w:p w14:paraId="699D6A0D">
      <w:pPr>
        <w:pStyle w:val="165"/>
      </w:pPr>
      <w:r>
        <w:rPr>
          <w:rFonts w:hint="eastAsia"/>
        </w:rPr>
        <w:t>实验完成后按照试剂盒要求的时间观察结果，当检测线和质控线均为阳性结果时，判定对应的检测项目阳性结果；当质控线为阳性结果，检测线为阴性结果时，判定对应的检测项目为阴性结果；当质控线为阴性结果时，判定结果为无效结果，需重复实验。</w:t>
      </w:r>
    </w:p>
    <w:p w14:paraId="56FA5FB8">
      <w:pPr>
        <w:pStyle w:val="105"/>
        <w:spacing w:before="156" w:after="156"/>
      </w:pPr>
      <w:r>
        <w:rPr>
          <w:rFonts w:hint="eastAsia"/>
        </w:rPr>
        <w:t>酶联免疫吸附实验（ELISA）</w:t>
      </w:r>
    </w:p>
    <w:p w14:paraId="5E36FE5E">
      <w:pPr>
        <w:pStyle w:val="165"/>
      </w:pPr>
      <w:r>
        <w:rPr>
          <w:rFonts w:hint="eastAsia"/>
        </w:rPr>
        <w:t>参照说明依次加入抗原包被（如需要）、待检标本及对照、酶标记物、底物、终止液，具体流程参照相应细菌ELISA检测试剂盒说明书。</w:t>
      </w:r>
    </w:p>
    <w:p w14:paraId="7EC944E5">
      <w:pPr>
        <w:pStyle w:val="165"/>
      </w:pPr>
      <w:r>
        <w:rPr>
          <w:rFonts w:hint="eastAsia"/>
        </w:rPr>
        <w:t>以空白对照调零，读取酶标仪器上各孔450 nm和（或）492 nm等波长的OD值，参照说明书要求设置参比波长并计算阳性值，判定结果。</w:t>
      </w:r>
    </w:p>
    <w:p w14:paraId="0A6502DA">
      <w:pPr>
        <w:pStyle w:val="105"/>
        <w:spacing w:before="156" w:after="156"/>
      </w:pPr>
      <w:r>
        <w:rPr>
          <w:rFonts w:hint="eastAsia"/>
        </w:rPr>
        <w:t>化学发光技术</w:t>
      </w:r>
    </w:p>
    <w:p w14:paraId="602B09D5">
      <w:pPr>
        <w:pStyle w:val="165"/>
      </w:pPr>
      <w:r>
        <w:rPr>
          <w:rFonts w:hint="eastAsia"/>
        </w:rPr>
        <w:t>参照说明依次加入磁性颗粒抗原包被、待检及对照血清、碱性磷酸酶标记的蛋白、底物、碱性磷酸酶催化底物液发光，具体流程参照相应细菌化学发光检测试剂盒说明书。</w:t>
      </w:r>
    </w:p>
    <w:p w14:paraId="6E2529C3">
      <w:pPr>
        <w:pStyle w:val="165"/>
      </w:pPr>
      <w:r>
        <w:rPr>
          <w:rFonts w:hint="eastAsia"/>
        </w:rPr>
        <w:t>根据化学发光试剂盒的生物参考区间判定实验结果。每一批次化学发光实验过程中应做质控品，质控品结果成立时，进行结果判定。</w:t>
      </w:r>
    </w:p>
    <w:p w14:paraId="22C00192">
      <w:pPr>
        <w:pStyle w:val="105"/>
        <w:spacing w:before="156" w:after="156"/>
      </w:pPr>
      <w:r>
        <w:rPr>
          <w:rFonts w:hint="eastAsia"/>
        </w:rPr>
        <w:t>凝集试验</w:t>
      </w:r>
    </w:p>
    <w:p w14:paraId="3B090EE3">
      <w:pPr>
        <w:pStyle w:val="56"/>
        <w:ind w:firstLine="420"/>
      </w:pPr>
      <w:r>
        <w:rPr>
          <w:rFonts w:hint="eastAsia"/>
        </w:rPr>
        <w:t>包括玻片凝集试验、试管凝集试验、乳环凝集试验等，通过已知抗体或抗原成份，与相应的菌体抗原或抗体结合产生肉眼可见凝集反应。按照试剂盒要求的时间观察结果，出现肉眼可见的凝集反应判为阳性；液体均匀混浊、未见到凝集反应判为阴性</w:t>
      </w:r>
      <w:r>
        <w:rPr>
          <w:rFonts w:hint="eastAsia"/>
          <w:vertAlign w:val="superscript"/>
        </w:rPr>
        <w:t>4）</w:t>
      </w:r>
      <w:r>
        <w:rPr>
          <w:rFonts w:hint="eastAsia"/>
        </w:rPr>
        <w:t>。</w:t>
      </w:r>
    </w:p>
    <w:p w14:paraId="6B76C6A7">
      <w:pPr>
        <w:pStyle w:val="180"/>
        <w:ind w:left="420" w:leftChars="200"/>
      </w:pPr>
      <w:r>
        <w:rPr>
          <w:rFonts w:hint="eastAsia"/>
        </w:rPr>
        <w:t>布鲁氏菌病试管凝集试验抗体滴度为1:100++及以上，或者患者病程持续一年以上且仍有临床症状者抗体滴度为1:50++及以上判为阳性。</w:t>
      </w:r>
    </w:p>
    <w:bookmarkEnd w:id="26"/>
    <w:p w14:paraId="49D3791B">
      <w:pPr>
        <w:pStyle w:val="56"/>
        <w:ind w:firstLine="420"/>
        <w:sectPr>
          <w:footerReference r:id="rId14" w:type="default"/>
          <w:pgSz w:w="11906" w:h="16838"/>
          <w:pgMar w:top="1928" w:right="1134" w:bottom="1134" w:left="1134" w:header="1418" w:footer="1134" w:gutter="284"/>
          <w:pgNumType w:start="1"/>
          <w:cols w:space="425" w:num="1"/>
          <w:formProt w:val="0"/>
          <w:docGrid w:type="lines" w:linePitch="312" w:charSpace="0"/>
        </w:sectPr>
      </w:pPr>
      <w:bookmarkStart w:id="60" w:name="BookMark6"/>
    </w:p>
    <w:p w14:paraId="6497601C">
      <w:pPr>
        <w:pStyle w:val="63"/>
        <w:spacing w:after="156"/>
      </w:pPr>
      <w:bookmarkStart w:id="61" w:name="_Toc177048768"/>
      <w:r>
        <w:rPr>
          <w:rFonts w:hint="eastAsia"/>
          <w:spacing w:val="105"/>
        </w:rPr>
        <w:t>参考文</w:t>
      </w:r>
      <w:r>
        <w:rPr>
          <w:rFonts w:hint="eastAsia"/>
        </w:rPr>
        <w:t>献</w:t>
      </w:r>
      <w:bookmarkEnd w:id="61"/>
    </w:p>
    <w:p w14:paraId="1E4EEF89">
      <w:pPr>
        <w:pStyle w:val="56"/>
        <w:ind w:firstLine="0" w:firstLineChars="0"/>
      </w:pPr>
      <w:r>
        <w:rPr>
          <w:rFonts w:hint="eastAsia"/>
        </w:rPr>
        <w:t>[1] GB/T 40226-2021 环境微生物宏基因组检测高通量测序法</w:t>
      </w:r>
    </w:p>
    <w:p w14:paraId="55481AAF">
      <w:pPr>
        <w:pStyle w:val="56"/>
        <w:ind w:firstLine="0" w:firstLineChars="0"/>
      </w:pPr>
      <w:r>
        <w:rPr>
          <w:rFonts w:hint="eastAsia"/>
        </w:rPr>
        <w:t>[2] WS 271-2007 感染性腹泻诊断标准</w:t>
      </w:r>
    </w:p>
    <w:p w14:paraId="4A348317">
      <w:pPr>
        <w:pStyle w:val="56"/>
        <w:ind w:firstLine="0" w:firstLineChars="0"/>
      </w:pPr>
      <w:r>
        <w:rPr>
          <w:rFonts w:hint="eastAsia"/>
        </w:rPr>
        <w:t>[3] WS/T 498-2017 细菌性腹泻临床实验室诊断操作指南</w:t>
      </w:r>
    </w:p>
    <w:p w14:paraId="5B95E930">
      <w:pPr>
        <w:pStyle w:val="56"/>
        <w:ind w:firstLine="0" w:firstLineChars="0"/>
      </w:pPr>
      <w:r>
        <w:rPr>
          <w:rFonts w:hint="eastAsia"/>
        </w:rPr>
        <w:t>[4] WS/T 499-2017 下呼吸道感染细菌培养操作指南</w:t>
      </w:r>
    </w:p>
    <w:p w14:paraId="211FBC7E">
      <w:pPr>
        <w:pStyle w:val="56"/>
        <w:ind w:firstLine="0" w:firstLineChars="0"/>
      </w:pPr>
      <w:r>
        <w:rPr>
          <w:rFonts w:hint="eastAsia"/>
        </w:rPr>
        <w:t>[5] WS/T 503-2017 临床微生物实验室血培养操作规范</w:t>
      </w:r>
    </w:p>
    <w:p w14:paraId="598EF062">
      <w:pPr>
        <w:pStyle w:val="56"/>
        <w:ind w:firstLine="0" w:firstLineChars="0"/>
      </w:pPr>
      <w:r>
        <w:rPr>
          <w:rFonts w:hint="eastAsia"/>
        </w:rPr>
        <w:t>[6] WS/T 805-2022 临床微生物检验基本技术标准</w:t>
      </w:r>
    </w:p>
    <w:bookmarkEnd w:id="60"/>
    <w:p w14:paraId="5BA8CBCC">
      <w:pPr>
        <w:pStyle w:val="56"/>
        <w:ind w:firstLine="0" w:firstLineChars="0"/>
        <w:jc w:val="center"/>
      </w:pPr>
      <w:bookmarkStart w:id="62" w:name="BookMark8"/>
      <w:r>
        <w:rPr>
          <w:rFonts w:hint="eastAsia"/>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2"/>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F57FC">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5EE4D">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AE0DE">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363095">
    <w:pPr>
      <w:pStyle w:val="52"/>
    </w:pPr>
    <w:r>
      <w:fldChar w:fldCharType="begin"/>
    </w:r>
    <w:r>
      <w:instrText xml:space="preserve">PAGE   \* MERGEFORMAT</w:instrText>
    </w:r>
    <w:r>
      <w:fldChar w:fldCharType="separate"/>
    </w:r>
    <w:r>
      <w:rPr>
        <w:lang w:val="zh-CN"/>
      </w:rPr>
      <w:t>9</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340D5">
    <w:pPr>
      <w:pStyle w:val="52"/>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657DD7">
                          <w:pPr>
                            <w:pStyle w:val="52"/>
                          </w:pPr>
                          <w:r>
                            <w:fldChar w:fldCharType="begin"/>
                          </w:r>
                          <w:r>
                            <w:instrText xml:space="preserve">PAGE   \* MERGEFORMAT</w:instrText>
                          </w:r>
                          <w:r>
                            <w:fldChar w:fldCharType="separate"/>
                          </w:r>
                          <w:r>
                            <w:rPr>
                              <w:lang w:val="zh-CN"/>
                            </w:rP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5657DD7">
                    <w:pPr>
                      <w:pStyle w:val="52"/>
                    </w:pPr>
                    <w:r>
                      <w:fldChar w:fldCharType="begin"/>
                    </w:r>
                    <w:r>
                      <w:instrText xml:space="preserve">PAGE   \* MERGEFORMAT</w:instrText>
                    </w:r>
                    <w:r>
                      <w:fldChar w:fldCharType="separate"/>
                    </w:r>
                    <w:r>
                      <w:rPr>
                        <w:lang w:val="zh-CN"/>
                      </w:rPr>
                      <w:t>9</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15BDE">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1CA01">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3E95D3">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F9EA">
    <w:pPr>
      <w:pStyle w:val="61"/>
      <w:rPr>
        <w:rFonts w:hint="eastAsia"/>
      </w:rPr>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4A892F">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2292"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2411" w:firstLine="0"/>
      </w:pPr>
      <w:rPr>
        <w:rFonts w:hint="eastAsia" w:ascii="黑体" w:eastAsia="黑体"/>
        <w:b w:val="0"/>
        <w:i w:val="0"/>
        <w:sz w:val="21"/>
      </w:rPr>
    </w:lvl>
    <w:lvl w:ilvl="2" w:tentative="0">
      <w:start w:val="1"/>
      <w:numFmt w:val="decimal"/>
      <w:pStyle w:val="105"/>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yZDE4ZDYxNWY2N2M2NjRlMDgxNjlkYTdiZjkxMTMifQ=="/>
  </w:docVars>
  <w:rsids>
    <w:rsidRoot w:val="00C3536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0979"/>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08C"/>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0744"/>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1CFF"/>
    <w:rsid w:val="005F284E"/>
    <w:rsid w:val="005F4712"/>
    <w:rsid w:val="005F51E6"/>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2CF9"/>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4F49"/>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6E9"/>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5FFC"/>
    <w:rsid w:val="00896DFF"/>
    <w:rsid w:val="0089762C"/>
    <w:rsid w:val="008A1893"/>
    <w:rsid w:val="008A3215"/>
    <w:rsid w:val="008A57E6"/>
    <w:rsid w:val="008A6F81"/>
    <w:rsid w:val="008A769A"/>
    <w:rsid w:val="008B0C9C"/>
    <w:rsid w:val="008B166D"/>
    <w:rsid w:val="008B17F4"/>
    <w:rsid w:val="008B1BEE"/>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2D8A"/>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67B"/>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36F"/>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3BDD"/>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0855"/>
    <w:rsid w:val="00E3137A"/>
    <w:rsid w:val="00E32CCF"/>
    <w:rsid w:val="00E34A98"/>
    <w:rsid w:val="00E3519E"/>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6768"/>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50B3EEE"/>
    <w:rsid w:val="50AC06EF"/>
    <w:rsid w:val="62076AD8"/>
    <w:rsid w:val="71434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ind w:left="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2.jpeg"/><Relationship Id="rId16" Type="http://schemas.openxmlformats.org/officeDocument/2006/relationships/image" Target="media/image1.tiff"/><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99CF98994424D3CA62190B74A58AF9B"/>
        <w:style w:val=""/>
        <w:category>
          <w:name w:val="常规"/>
          <w:gallery w:val="placeholder"/>
        </w:category>
        <w:types>
          <w:type w:val="bbPlcHdr"/>
        </w:types>
        <w:behaviors>
          <w:behavior w:val="content"/>
        </w:behaviors>
        <w:description w:val=""/>
        <w:guid w:val="{DB8C859F-CB4D-4280-A58C-8CCCDD196322}"/>
      </w:docPartPr>
      <w:docPartBody>
        <w:p w14:paraId="2D73789D">
          <w:pPr>
            <w:pStyle w:val="5"/>
            <w:rPr>
              <w:rFonts w:hint="eastAsia"/>
            </w:rPr>
          </w:pPr>
          <w:r>
            <w:rPr>
              <w:rStyle w:val="4"/>
              <w:rFonts w:hint="eastAsia"/>
            </w:rPr>
            <w:t>单击或点击此处输入文字。</w:t>
          </w:r>
        </w:p>
      </w:docPartBody>
    </w:docPart>
    <w:docPart>
      <w:docPartPr>
        <w:name w:val="E9D8104E92A146C2A1EBD75BF1967813"/>
        <w:style w:val=""/>
        <w:category>
          <w:name w:val="常规"/>
          <w:gallery w:val="placeholder"/>
        </w:category>
        <w:types>
          <w:type w:val="bbPlcHdr"/>
        </w:types>
        <w:behaviors>
          <w:behavior w:val="content"/>
        </w:behaviors>
        <w:description w:val=""/>
        <w:guid w:val="{493237CF-FD44-4CD3-B1D5-0E5A78455A1C}"/>
      </w:docPartPr>
      <w:docPartBody>
        <w:p w14:paraId="3714952D">
          <w:pPr>
            <w:pStyle w:val="6"/>
            <w:rPr>
              <w:rFonts w:hint="eastAsia"/>
            </w:rPr>
          </w:pPr>
          <w:r>
            <w:rPr>
              <w:rStyle w:val="4"/>
              <w:rFonts w:hint="eastAsia"/>
            </w:rPr>
            <w:t>选择一项。</w:t>
          </w:r>
        </w:p>
      </w:docPartBody>
    </w:docPart>
    <w:docPart>
      <w:docPartPr>
        <w:name w:val="B19CDB7864624C229DD5F97BE2807C05"/>
        <w:style w:val=""/>
        <w:category>
          <w:name w:val="常规"/>
          <w:gallery w:val="placeholder"/>
        </w:category>
        <w:types>
          <w:type w:val="bbPlcHdr"/>
        </w:types>
        <w:behaviors>
          <w:behavior w:val="content"/>
        </w:behaviors>
        <w:description w:val=""/>
        <w:guid w:val="{CB7CD4BB-ED35-40F6-A34A-816FCBF66E96}"/>
      </w:docPartPr>
      <w:docPartBody>
        <w:p w14:paraId="047AA07B">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FE4"/>
    <w:rsid w:val="002E65F0"/>
    <w:rsid w:val="004C0D65"/>
    <w:rsid w:val="00520154"/>
    <w:rsid w:val="00647FE4"/>
    <w:rsid w:val="00687C0C"/>
    <w:rsid w:val="00895FFC"/>
    <w:rsid w:val="00E3519E"/>
    <w:rsid w:val="00E67A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A99CF98994424D3CA62190B74A58AF9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9D8104E92A146C2A1EBD75BF196781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19CDB7864624C229DD5F97BE2807C05"/>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2BE214-E9D6-459A-A080-7631DEA2A3A9}">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10</Pages>
  <Words>5412</Words>
  <Characters>6035</Characters>
  <Lines>50</Lines>
  <Paragraphs>14</Paragraphs>
  <TotalTime>23</TotalTime>
  <ScaleCrop>false</ScaleCrop>
  <LinksUpToDate>false</LinksUpToDate>
  <CharactersWithSpaces>6184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2024-09-12T07:08:00Z</dcterms:created>
  <dc:creator>JSCDC</dc:creator>
  <dc:description>&lt;config cover="true" show_menu="true" version="1.0.0" doctype="SDKXY"&gt;_x000d_
&lt;/config&gt;</dc:description>
  <cp:lastModifiedBy>mmme</cp:lastModifiedBy>
  <cp:lastPrinted>2020-08-30T10:00:00Z</cp:lastPrinted>
  <dcterms:modified xsi:type="dcterms:W3CDTF">2024-11-18T07:59:39Z</dcterms:modified>
  <dc:title>地方标准</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30009E734B4A4BEA97EC179DFAE6F73A_13</vt:lpwstr>
  </property>
</Properties>
</file>