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tiff" ContentType="image/tif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325DC6">
      <w:pPr>
        <w:framePr w:w="9139" w:h="593" w:hRule="exact" w:wrap="around" w:vAnchor="page" w:hAnchor="page" w:x="1514" w:y="1359"/>
        <w:jc w:val="center"/>
        <w:rPr>
          <w:rFonts w:hint="default" w:ascii="Times New Roman" w:hAnsi="Times New Roman" w:cs="Times New Roman"/>
          <w:sz w:val="32"/>
          <w:szCs w:val="32"/>
        </w:rPr>
      </w:pPr>
      <w:r>
        <w:rPr>
          <w:rFonts w:hint="default" w:ascii="Times New Roman" w:hAnsi="Times New Roman" w:cs="Times New Roman"/>
          <w:sz w:val="32"/>
          <w:szCs w:val="32"/>
        </w:rPr>
        <w:t>江苏省地方标准</w:t>
      </w:r>
    </w:p>
    <w:p w14:paraId="31384DB0">
      <w:pPr>
        <w:pStyle w:val="10"/>
        <w:framePr w:w="9366" w:h="454" w:hRule="exact" w:wrap="around" w:vAnchor="page" w:hAnchor="page" w:x="1440" w:y="2215"/>
        <w:spacing w:line="420" w:lineRule="exact"/>
        <w:rPr>
          <w:rFonts w:hint="default" w:ascii="Times New Roman" w:hAnsi="Times New Roman" w:cs="Times New Roman"/>
          <w:sz w:val="32"/>
          <w:szCs w:val="32"/>
        </w:rPr>
      </w:pPr>
      <w:r>
        <w:rPr>
          <w:rFonts w:hint="default" w:ascii="Times New Roman" w:hAnsi="Times New Roman" w:cs="Times New Roman"/>
          <w:sz w:val="32"/>
          <w:szCs w:val="32"/>
        </w:rPr>
        <w:t>《一体化基质型秧盘培育机插壮秧技术规程》</w:t>
      </w:r>
    </w:p>
    <w:p w14:paraId="6A22B3FD">
      <w:pPr>
        <w:jc w:val="center"/>
        <w:rPr>
          <w:rFonts w:hint="default" w:ascii="Times New Roman" w:hAnsi="Times New Roman" w:cs="Times New Roman"/>
          <w:sz w:val="32"/>
          <w:szCs w:val="32"/>
        </w:rPr>
      </w:pPr>
      <w:r>
        <w:rPr>
          <w:rFonts w:hint="default" w:ascii="Times New Roman" w:hAnsi="Times New Roman" w:cs="Times New Roman"/>
          <w:sz w:val="32"/>
          <w:szCs w:val="32"/>
        </w:rPr>
        <w:t>编制说明</w:t>
      </w:r>
    </w:p>
    <w:p w14:paraId="5ABFF5B9">
      <w:pPr>
        <w:ind w:firstLine="420" w:firstLineChars="200"/>
        <w:rPr>
          <w:rFonts w:hint="default" w:ascii="Times New Roman" w:hAnsi="Times New Roman" w:eastAsia="黑体" w:cs="Times New Roman"/>
          <w:szCs w:val="21"/>
        </w:rPr>
      </w:pPr>
    </w:p>
    <w:p w14:paraId="4CE632DC">
      <w:pPr>
        <w:spacing w:line="360" w:lineRule="auto"/>
        <w:ind w:firstLine="560" w:firstLineChars="200"/>
        <w:rPr>
          <w:rFonts w:hint="default" w:ascii="Times New Roman" w:hAnsi="Times New Roman" w:eastAsia="黑体" w:cs="Times New Roman"/>
          <w:sz w:val="28"/>
          <w:szCs w:val="28"/>
        </w:rPr>
      </w:pPr>
      <w:r>
        <w:rPr>
          <w:rFonts w:hint="default" w:ascii="Times New Roman" w:hAnsi="Times New Roman" w:eastAsia="黑体" w:cs="Times New Roman"/>
          <w:sz w:val="28"/>
          <w:szCs w:val="28"/>
        </w:rPr>
        <w:t>一、目的意义</w:t>
      </w:r>
    </w:p>
    <w:p w14:paraId="4076BFE4">
      <w:pPr>
        <w:spacing w:line="360" w:lineRule="auto"/>
        <w:ind w:firstLine="480" w:firstLineChars="200"/>
        <w:jc w:val="left"/>
        <w:rPr>
          <w:rFonts w:hint="default" w:ascii="Times New Roman" w:hAnsi="Times New Roman" w:cs="Times New Roman"/>
          <w:sz w:val="24"/>
          <w:szCs w:val="24"/>
        </w:rPr>
      </w:pPr>
      <w:r>
        <w:rPr>
          <w:rFonts w:hint="default" w:ascii="Times New Roman" w:hAnsi="Times New Roman" w:cs="Times New Roman"/>
          <w:sz w:val="24"/>
          <w:szCs w:val="24"/>
        </w:rPr>
        <w:t>水稻是中国的第一大粮食作物，水稻机插秧技术能大幅提高生产效率，有利于大面积规模化的种植，是我国水稻生产的发展趋势。机插秧的关键环节之一在于前期培育壮秧，各地生产上曾以取农田表层土来配制营养土用于育秧，近年来，大规模育秧出现取土费工费时，运输不便，连年的取土造成耕作层土壤的破坏等问题，育苗生产对土壤资源的消耗不断增加，育苗过程出现的秧苗病害问题也日趋严重。同时秧盘的购买、摆放、清洗、搬运、损耗等环节大大增加了机插秧育秧对人工、资金及空间的需求，影响了水稻机插秧技术的进一步推广。因此亟需对现有的育秧基质和秧盘使用方面进行改良和优化，发明一种针对机插秧育秧的高效、节本、环保的育秧基质秧盘一体化产品的制作方法，并研究与其配套的应用技术，制定相应的技术规范。</w:t>
      </w:r>
    </w:p>
    <w:p w14:paraId="77A3865A">
      <w:pPr>
        <w:spacing w:line="360" w:lineRule="auto"/>
        <w:ind w:firstLine="480" w:firstLineChars="200"/>
        <w:jc w:val="left"/>
        <w:rPr>
          <w:rFonts w:hint="default" w:ascii="Times New Roman" w:hAnsi="Times New Roman" w:cs="Times New Roman"/>
          <w:sz w:val="24"/>
          <w:szCs w:val="24"/>
        </w:rPr>
      </w:pPr>
      <w:r>
        <w:rPr>
          <w:rFonts w:hint="default" w:ascii="Times New Roman" w:hAnsi="Times New Roman" w:cs="Times New Roman"/>
          <w:sz w:val="24"/>
          <w:szCs w:val="24"/>
        </w:rPr>
        <w:t>鉴于目前尚无有关一体化基质型秧盘培育机插壮秧技术规程的国家标准和行业标准，为规范其制作工艺、使用技术、育苗技术等，根据国家《标准化法》要求，特申请制定本技术标准。本标准针对一体化基质型秧盘培在机插水稻育秧技术上的使用技术制定，旨在建立“农业废弃物（秸秆、菌菇渣）——机插稻育秧——废弃物还田”的循环农业系统，促进农业清洁生产和废弃物综合利用，降低机插稻生产成本并提高生产力。形成一种生态效益、社会效益与经济效益并重的生产模式。本团队自2019年开始对一体化基质型秧盘培育机插壮秧技术开始试验示范，在江苏省不同稻区开了专题试验示范，总结出了一套行之有效的高质高效育秧技术规程，鉴于该技术在生产上的良好的应用前景，根据《中华人民共和国标准化法》相关规定申请制定本标准。</w:t>
      </w:r>
    </w:p>
    <w:p w14:paraId="1CD405C1">
      <w:pPr>
        <w:spacing w:line="360" w:lineRule="auto"/>
        <w:ind w:firstLine="560" w:firstLineChars="200"/>
        <w:rPr>
          <w:rFonts w:hint="default" w:ascii="Times New Roman" w:hAnsi="Times New Roman" w:eastAsia="黑体" w:cs="Times New Roman"/>
          <w:sz w:val="28"/>
          <w:szCs w:val="28"/>
        </w:rPr>
      </w:pPr>
      <w:r>
        <w:rPr>
          <w:rFonts w:hint="default" w:ascii="Times New Roman" w:hAnsi="Times New Roman" w:eastAsia="黑体" w:cs="Times New Roman"/>
          <w:sz w:val="28"/>
          <w:szCs w:val="28"/>
        </w:rPr>
        <w:t>二、任务来源</w:t>
      </w:r>
    </w:p>
    <w:p w14:paraId="4489CD6A">
      <w:pPr>
        <w:keepNext w:val="0"/>
        <w:keepLines w:val="0"/>
        <w:pageBreakBefore w:val="0"/>
        <w:widowControl w:val="0"/>
        <w:tabs>
          <w:tab w:val="left" w:pos="540"/>
          <w:tab w:val="left" w:pos="900"/>
          <w:tab w:val="left" w:pos="1080"/>
          <w:tab w:val="left" w:pos="1260"/>
        </w:tabs>
        <w:kinsoku/>
        <w:wordWrap/>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cs="Times New Roman"/>
          <w:sz w:val="24"/>
          <w:szCs w:val="24"/>
        </w:rPr>
      </w:pPr>
      <w:r>
        <w:rPr>
          <w:rFonts w:hint="eastAsia" w:cs="Times New Roman"/>
          <w:sz w:val="24"/>
          <w:szCs w:val="24"/>
          <w:lang w:val="en-US" w:eastAsia="zh-CN"/>
        </w:rPr>
        <w:t>本项目立项文件名称：</w:t>
      </w:r>
      <w:r>
        <w:rPr>
          <w:rFonts w:hint="default" w:ascii="Times New Roman" w:hAnsi="Times New Roman" w:cs="Times New Roman"/>
          <w:sz w:val="24"/>
          <w:szCs w:val="24"/>
        </w:rPr>
        <w:t>省市场监督管理局关于下达2021年度第一批江苏省地方标准项目计划的通知</w:t>
      </w:r>
      <w:r>
        <w:rPr>
          <w:rFonts w:hint="eastAsia" w:cs="Times New Roman"/>
          <w:sz w:val="24"/>
          <w:szCs w:val="24"/>
          <w:lang w:eastAsia="zh-CN"/>
        </w:rPr>
        <w:t>，</w:t>
      </w:r>
      <w:r>
        <w:rPr>
          <w:rFonts w:hint="eastAsia" w:cs="Times New Roman"/>
          <w:sz w:val="24"/>
          <w:szCs w:val="24"/>
          <w:lang w:val="en-US" w:eastAsia="zh-CN"/>
        </w:rPr>
        <w:t>编号：</w:t>
      </w:r>
      <w:r>
        <w:rPr>
          <w:rFonts w:hint="default" w:ascii="Times New Roman" w:hAnsi="Times New Roman" w:cs="Times New Roman"/>
          <w:sz w:val="24"/>
          <w:szCs w:val="24"/>
        </w:rPr>
        <w:t>苏市监标〔2021〕68号，项目序号</w:t>
      </w:r>
      <w:r>
        <w:rPr>
          <w:rFonts w:hint="eastAsia" w:cs="Times New Roman"/>
          <w:sz w:val="24"/>
          <w:szCs w:val="24"/>
          <w:lang w:eastAsia="zh-CN"/>
        </w:rPr>
        <w:t>：</w:t>
      </w:r>
      <w:r>
        <w:rPr>
          <w:rFonts w:hint="eastAsia" w:cs="Times New Roman"/>
          <w:sz w:val="24"/>
          <w:szCs w:val="24"/>
          <w:lang w:val="en-US" w:eastAsia="zh-CN"/>
        </w:rPr>
        <w:t>177，项目名称：一体化基质型秧盘培育机插壮秧技术规程，</w:t>
      </w:r>
      <w:r>
        <w:rPr>
          <w:rFonts w:hint="default" w:ascii="Times New Roman" w:hAnsi="Times New Roman" w:cs="Times New Roman"/>
          <w:sz w:val="24"/>
          <w:szCs w:val="24"/>
        </w:rPr>
        <w:t>本标准由扬州大学、扬州市农业技术综合服务中心共同提出，按照《标准化工作导则 第1部分：标准化文件的结构和起草规则》（GB/T 1.1-2020）规定编制。</w:t>
      </w:r>
    </w:p>
    <w:p w14:paraId="35915080">
      <w:pPr>
        <w:spacing w:line="360" w:lineRule="auto"/>
        <w:ind w:firstLine="560" w:firstLineChars="200"/>
        <w:rPr>
          <w:rFonts w:hint="default" w:ascii="Times New Roman" w:hAnsi="Times New Roman" w:eastAsia="黑体" w:cs="Times New Roman"/>
          <w:sz w:val="28"/>
          <w:szCs w:val="28"/>
        </w:rPr>
      </w:pPr>
      <w:r>
        <w:rPr>
          <w:rFonts w:hint="default" w:ascii="Times New Roman" w:hAnsi="Times New Roman" w:eastAsia="黑体" w:cs="Times New Roman"/>
          <w:sz w:val="28"/>
          <w:szCs w:val="28"/>
        </w:rPr>
        <w:t>三、编制过程</w:t>
      </w:r>
    </w:p>
    <w:p w14:paraId="50519985">
      <w:pPr>
        <w:tabs>
          <w:tab w:val="left" w:pos="540"/>
          <w:tab w:val="left" w:pos="900"/>
          <w:tab w:val="left" w:pos="1080"/>
          <w:tab w:val="left" w:pos="1260"/>
        </w:tabs>
        <w:autoSpaceDE w:val="0"/>
        <w:autoSpaceDN w:val="0"/>
        <w:adjustRightInd w:val="0"/>
        <w:snapToGrid w:val="0"/>
        <w:spacing w:line="360" w:lineRule="auto"/>
        <w:ind w:firstLine="480" w:firstLineChars="200"/>
        <w:rPr>
          <w:rFonts w:hint="eastAsia" w:ascii="Times New Roman" w:hAnsi="Times New Roman" w:eastAsia="宋体" w:cs="Times New Roman"/>
          <w:sz w:val="24"/>
          <w:szCs w:val="24"/>
          <w:lang w:eastAsia="zh-CN"/>
        </w:rPr>
      </w:pPr>
      <w:r>
        <w:rPr>
          <w:rFonts w:hint="eastAsia" w:cs="Times New Roman"/>
          <w:sz w:val="24"/>
          <w:szCs w:val="24"/>
          <w:lang w:val="en-US" w:eastAsia="zh-CN"/>
        </w:rPr>
        <w:t>（1）</w:t>
      </w:r>
      <w:r>
        <w:rPr>
          <w:rFonts w:hint="default" w:ascii="Times New Roman" w:hAnsi="Times New Roman" w:cs="Times New Roman"/>
          <w:sz w:val="24"/>
          <w:szCs w:val="24"/>
          <w:lang w:val="en-US" w:eastAsia="zh-CN"/>
        </w:rPr>
        <w:t>成立</w:t>
      </w:r>
      <w:r>
        <w:rPr>
          <w:rFonts w:hint="default" w:ascii="Times New Roman" w:hAnsi="Times New Roman" w:cs="Times New Roman"/>
          <w:sz w:val="24"/>
          <w:szCs w:val="24"/>
        </w:rPr>
        <w:t>标准制定小组，保证人员稳定，分清责任</w:t>
      </w:r>
      <w:r>
        <w:rPr>
          <w:rFonts w:hint="default" w:ascii="Times New Roman" w:hAnsi="Times New Roman" w:cs="Times New Roman"/>
          <w:sz w:val="24"/>
          <w:szCs w:val="24"/>
          <w:lang w:eastAsia="zh-CN"/>
        </w:rPr>
        <w:t>，</w:t>
      </w:r>
      <w:r>
        <w:rPr>
          <w:rFonts w:hint="default" w:ascii="Times New Roman" w:hAnsi="Times New Roman" w:cs="Times New Roman"/>
          <w:sz w:val="24"/>
          <w:szCs w:val="24"/>
        </w:rPr>
        <w:t>制定标准编制草案，列出标准制定的详细技术内容，做好标准的验证工作，保证标准的科学性和可操作性</w:t>
      </w:r>
      <w:r>
        <w:rPr>
          <w:rFonts w:hint="default" w:ascii="Times New Roman" w:hAnsi="Times New Roman" w:cs="Times New Roman"/>
          <w:sz w:val="24"/>
          <w:szCs w:val="24"/>
          <w:lang w:eastAsia="zh-CN"/>
        </w:rPr>
        <w:t>，</w:t>
      </w:r>
      <w:r>
        <w:rPr>
          <w:rFonts w:hint="default" w:ascii="Times New Roman" w:hAnsi="Times New Roman" w:cs="Times New Roman"/>
          <w:sz w:val="24"/>
          <w:szCs w:val="24"/>
        </w:rPr>
        <w:t>2019年，扬州大学联合扬州市农业技术综合服务中心，组建起草小组，初步制定了一体化基质型秧盘培育机插壮秧技术规程项目实施方案，并在扬州大学农学院实验室和试验田开展了试验</w:t>
      </w:r>
      <w:r>
        <w:rPr>
          <w:rFonts w:hint="eastAsia" w:cs="Times New Roman"/>
          <w:sz w:val="24"/>
          <w:szCs w:val="24"/>
          <w:lang w:eastAsia="zh-CN"/>
        </w:rPr>
        <w:t>。</w:t>
      </w:r>
    </w:p>
    <w:p w14:paraId="545591F9">
      <w:pPr>
        <w:tabs>
          <w:tab w:val="left" w:pos="540"/>
          <w:tab w:val="left" w:pos="900"/>
          <w:tab w:val="left" w:pos="1080"/>
          <w:tab w:val="left" w:pos="1260"/>
        </w:tabs>
        <w:autoSpaceDE w:val="0"/>
        <w:autoSpaceDN w:val="0"/>
        <w:adjustRightInd w:val="0"/>
        <w:snapToGrid w:val="0"/>
        <w:spacing w:line="360" w:lineRule="auto"/>
        <w:ind w:firstLine="480" w:firstLineChars="200"/>
        <w:rPr>
          <w:rFonts w:hint="eastAsia" w:cs="Times New Roman"/>
          <w:sz w:val="24"/>
          <w:szCs w:val="24"/>
          <w:lang w:val="en-US" w:eastAsia="zh-CN"/>
        </w:rPr>
      </w:pPr>
      <w:r>
        <w:rPr>
          <w:rFonts w:hint="eastAsia" w:cs="Times New Roman"/>
          <w:sz w:val="24"/>
          <w:szCs w:val="24"/>
          <w:lang w:val="en-US" w:eastAsia="zh-CN"/>
        </w:rPr>
        <w:t>（</w:t>
      </w:r>
      <w:r>
        <w:rPr>
          <w:rFonts w:hint="eastAsia" w:cs="Times New Roman"/>
          <w:sz w:val="24"/>
          <w:szCs w:val="24"/>
          <w:lang w:val="en-US" w:eastAsia="zh-CN"/>
        </w:rPr>
        <w:t>2）</w:t>
      </w:r>
      <w:r>
        <w:rPr>
          <w:rFonts w:hint="default" w:cs="Times New Roman"/>
          <w:sz w:val="24"/>
          <w:szCs w:val="24"/>
          <w:lang w:val="en-US" w:eastAsia="zh-CN"/>
        </w:rPr>
        <w:t>开展调研与编写工作，2020</w:t>
      </w:r>
      <w:r>
        <w:rPr>
          <w:rFonts w:hint="eastAsia" w:cs="Times New Roman"/>
          <w:sz w:val="24"/>
          <w:szCs w:val="24"/>
          <w:lang w:val="en-US" w:eastAsia="zh-CN"/>
        </w:rPr>
        <w:t>~</w:t>
      </w:r>
      <w:r>
        <w:rPr>
          <w:rFonts w:hint="eastAsia" w:cs="Times New Roman"/>
          <w:sz w:val="24"/>
          <w:szCs w:val="24"/>
          <w:lang w:val="en-US" w:eastAsia="zh-CN"/>
        </w:rPr>
        <w:t>2021</w:t>
      </w:r>
      <w:r>
        <w:rPr>
          <w:rFonts w:hint="default" w:cs="Times New Roman"/>
          <w:sz w:val="24"/>
          <w:szCs w:val="24"/>
          <w:lang w:val="en-US" w:eastAsia="zh-CN"/>
        </w:rPr>
        <w:t>年，为明确原料配比、制作工艺、</w:t>
      </w:r>
      <w:r>
        <w:rPr>
          <w:rFonts w:hint="eastAsia" w:cs="Times New Roman"/>
          <w:sz w:val="24"/>
          <w:szCs w:val="24"/>
          <w:lang w:val="en-US" w:eastAsia="zh-CN"/>
        </w:rPr>
        <w:t>物理化学性质、</w:t>
      </w:r>
      <w:r>
        <w:rPr>
          <w:rFonts w:hint="default" w:cs="Times New Roman"/>
          <w:sz w:val="24"/>
          <w:szCs w:val="24"/>
          <w:lang w:val="en-US" w:eastAsia="zh-CN"/>
        </w:rPr>
        <w:t>配套使用技术和秧田管理等，开展了不同类型育秧方式的对比试验，明确了原料配方、基质秧盘一体化新产品的</w:t>
      </w:r>
      <w:r>
        <w:rPr>
          <w:rFonts w:hint="eastAsia" w:cs="Times New Roman"/>
          <w:sz w:val="24"/>
          <w:szCs w:val="24"/>
          <w:lang w:val="en-US" w:eastAsia="zh-CN"/>
        </w:rPr>
        <w:t>物理化学性质标准、</w:t>
      </w:r>
      <w:r>
        <w:rPr>
          <w:rFonts w:hint="default" w:cs="Times New Roman"/>
          <w:sz w:val="24"/>
          <w:szCs w:val="24"/>
          <w:lang w:val="en-US" w:eastAsia="zh-CN"/>
        </w:rPr>
        <w:t>制作技术及配套其使用的育秧技术。并根据生产情况及工作记录，形成了规程初稿</w:t>
      </w:r>
      <w:r>
        <w:rPr>
          <w:rFonts w:hint="eastAsia" w:cs="Times New Roman"/>
          <w:sz w:val="24"/>
          <w:szCs w:val="24"/>
          <w:lang w:val="en-US" w:eastAsia="zh-CN"/>
        </w:rPr>
        <w:t>，</w:t>
      </w:r>
      <w:r>
        <w:rPr>
          <w:rFonts w:hint="default" w:cs="Times New Roman"/>
          <w:sz w:val="24"/>
          <w:szCs w:val="24"/>
          <w:lang w:val="en-US" w:eastAsia="zh-CN"/>
        </w:rPr>
        <w:t>起草了《一体化基质型秧盘培育机插壮秧技术规程》（草案）</w:t>
      </w:r>
      <w:r>
        <w:rPr>
          <w:rFonts w:hint="eastAsia" w:cs="Times New Roman"/>
          <w:sz w:val="24"/>
          <w:szCs w:val="24"/>
          <w:lang w:val="en-US" w:eastAsia="zh-CN"/>
        </w:rPr>
        <w:t>，并于202</w:t>
      </w:r>
      <w:r>
        <w:rPr>
          <w:rFonts w:hint="eastAsia" w:cs="Times New Roman"/>
          <w:sz w:val="24"/>
          <w:szCs w:val="24"/>
          <w:lang w:val="en-US" w:eastAsia="zh-CN"/>
        </w:rPr>
        <w:t>1年4月经</w:t>
      </w:r>
      <w:r>
        <w:rPr>
          <w:rFonts w:hint="eastAsia" w:cs="Times New Roman"/>
          <w:sz w:val="24"/>
          <w:szCs w:val="24"/>
          <w:lang w:val="en-US" w:eastAsia="zh-CN"/>
        </w:rPr>
        <w:t>江苏省市场监督管理局立项批准，文件为：《省市场监督管理局关于下达 2021 年度第一批江苏省地方标准项目计划的通知</w:t>
      </w:r>
      <w:r>
        <w:rPr>
          <w:rFonts w:hint="eastAsia" w:cs="Times New Roman"/>
          <w:sz w:val="24"/>
          <w:szCs w:val="24"/>
          <w:lang w:val="en-US" w:eastAsia="zh-CN"/>
        </w:rPr>
        <w:t>》（苏市监标〔2021〕</w:t>
      </w:r>
      <w:r>
        <w:rPr>
          <w:rFonts w:hint="eastAsia" w:cs="Times New Roman"/>
          <w:sz w:val="24"/>
          <w:szCs w:val="24"/>
          <w:lang w:val="en-US" w:eastAsia="zh-CN"/>
        </w:rPr>
        <w:t>68号）。</w:t>
      </w:r>
    </w:p>
    <w:p w14:paraId="6D281B89">
      <w:pPr>
        <w:tabs>
          <w:tab w:val="left" w:pos="540"/>
          <w:tab w:val="left" w:pos="900"/>
          <w:tab w:val="left" w:pos="1080"/>
          <w:tab w:val="left" w:pos="1260"/>
        </w:tabs>
        <w:autoSpaceDE w:val="0"/>
        <w:autoSpaceDN w:val="0"/>
        <w:adjustRightInd w:val="0"/>
        <w:snapToGrid w:val="0"/>
        <w:spacing w:line="360" w:lineRule="auto"/>
        <w:ind w:firstLine="480" w:firstLineChars="200"/>
        <w:rPr>
          <w:rFonts w:hint="eastAsia" w:cs="Times New Roman"/>
          <w:sz w:val="24"/>
          <w:szCs w:val="24"/>
          <w:lang w:eastAsia="zh-CN"/>
        </w:rPr>
      </w:pPr>
      <w:r>
        <w:rPr>
          <w:rFonts w:hint="eastAsia" w:cs="Times New Roman"/>
          <w:sz w:val="24"/>
          <w:szCs w:val="24"/>
          <w:lang w:eastAsia="zh-CN"/>
        </w:rPr>
        <w:t>（</w:t>
      </w:r>
      <w:r>
        <w:rPr>
          <w:rFonts w:hint="eastAsia" w:cs="Times New Roman"/>
          <w:sz w:val="24"/>
          <w:szCs w:val="24"/>
          <w:lang w:val="en-US" w:eastAsia="zh-CN"/>
        </w:rPr>
        <w:t>3</w:t>
      </w:r>
      <w:r>
        <w:rPr>
          <w:rFonts w:hint="eastAsia" w:cs="Times New Roman"/>
          <w:sz w:val="24"/>
          <w:szCs w:val="24"/>
          <w:lang w:eastAsia="zh-CN"/>
        </w:rPr>
        <w:t>）</w:t>
      </w:r>
      <w:r>
        <w:rPr>
          <w:rFonts w:hint="default" w:ascii="Times New Roman" w:hAnsi="Times New Roman" w:cs="Times New Roman"/>
          <w:sz w:val="24"/>
          <w:szCs w:val="24"/>
        </w:rPr>
        <w:t>广泛征求意见，初稿形成后，按照此规程在江苏不同稻区开了试验示范，取得了较好的成效。在前期研究的基础上，起草小组形成《</w:t>
      </w:r>
      <w:r>
        <w:rPr>
          <w:rFonts w:hint="default" w:cs="Times New Roman"/>
          <w:sz w:val="24"/>
          <w:szCs w:val="24"/>
          <w:lang w:val="en-US" w:eastAsia="zh-CN"/>
        </w:rPr>
        <w:t>一体化基质型秧盘培育机插壮秧技术规程</w:t>
      </w:r>
      <w:r>
        <w:rPr>
          <w:rFonts w:hint="default" w:ascii="Times New Roman" w:hAnsi="Times New Roman" w:cs="Times New Roman"/>
          <w:sz w:val="24"/>
          <w:szCs w:val="24"/>
        </w:rPr>
        <w:t>》（征求意见稿）。</w:t>
      </w:r>
      <w:r>
        <w:rPr>
          <w:rFonts w:hint="default" w:ascii="Times New Roman" w:hAnsi="Times New Roman" w:cs="Times New Roman"/>
          <w:sz w:val="24"/>
          <w:szCs w:val="24"/>
          <w:lang w:val="en-US" w:eastAsia="zh-CN"/>
        </w:rPr>
        <w:t>2022年</w:t>
      </w:r>
      <w:r>
        <w:rPr>
          <w:rFonts w:hint="default" w:ascii="Times New Roman" w:hAnsi="Times New Roman" w:cs="Times New Roman"/>
          <w:sz w:val="24"/>
          <w:szCs w:val="24"/>
        </w:rPr>
        <w:t>经征求江苏省农业技术推广总站</w:t>
      </w:r>
      <w:r>
        <w:rPr>
          <w:rFonts w:hint="eastAsia" w:cs="Times New Roman"/>
          <w:sz w:val="24"/>
          <w:szCs w:val="24"/>
          <w:lang w:eastAsia="zh-CN"/>
        </w:rPr>
        <w:t>、</w:t>
      </w:r>
      <w:r>
        <w:rPr>
          <w:rFonts w:hint="default" w:ascii="Times New Roman" w:hAnsi="Times New Roman" w:cs="Times New Roman"/>
          <w:sz w:val="24"/>
          <w:szCs w:val="24"/>
        </w:rPr>
        <w:t>江苏省农技推广协会</w:t>
      </w:r>
      <w:r>
        <w:rPr>
          <w:rFonts w:hint="eastAsia" w:cs="Times New Roman"/>
          <w:sz w:val="24"/>
          <w:szCs w:val="24"/>
          <w:lang w:eastAsia="zh-CN"/>
        </w:rPr>
        <w:t>、</w:t>
      </w:r>
      <w:r>
        <w:rPr>
          <w:rFonts w:hint="default" w:ascii="Times New Roman" w:hAnsi="Times New Roman" w:cs="Times New Roman"/>
          <w:sz w:val="24"/>
          <w:szCs w:val="24"/>
        </w:rPr>
        <w:t>扬州市农业技术综合服务中心</w:t>
      </w:r>
      <w:r>
        <w:rPr>
          <w:rFonts w:hint="eastAsia" w:cs="Times New Roman"/>
          <w:sz w:val="24"/>
          <w:szCs w:val="24"/>
          <w:lang w:eastAsia="zh-CN"/>
        </w:rPr>
        <w:t>、</w:t>
      </w:r>
      <w:r>
        <w:rPr>
          <w:rFonts w:hint="default" w:ascii="Times New Roman" w:hAnsi="Times New Roman" w:cs="Times New Roman"/>
          <w:sz w:val="24"/>
          <w:szCs w:val="24"/>
        </w:rPr>
        <w:t>扬州市水稻高产高效名师工作室</w:t>
      </w:r>
      <w:r>
        <w:rPr>
          <w:rFonts w:hint="eastAsia" w:cs="Times New Roman"/>
          <w:sz w:val="24"/>
          <w:szCs w:val="24"/>
          <w:lang w:eastAsia="zh-CN"/>
        </w:rPr>
        <w:t>、</w:t>
      </w:r>
      <w:r>
        <w:rPr>
          <w:rFonts w:hint="default" w:ascii="Times New Roman" w:hAnsi="Times New Roman" w:cs="Times New Roman"/>
          <w:sz w:val="24"/>
          <w:szCs w:val="24"/>
        </w:rPr>
        <w:t>江苏里下河地区农业科学研究所</w:t>
      </w:r>
      <w:r>
        <w:rPr>
          <w:rFonts w:hint="eastAsia" w:cs="Times New Roman"/>
          <w:sz w:val="24"/>
          <w:szCs w:val="24"/>
          <w:lang w:eastAsia="zh-CN"/>
        </w:rPr>
        <w:t>、淮安市农业农村局、常州市农业农村局、扬州市职业大学、常熟市农业农村局、常熟市农科所、苏州市农科院</w:t>
      </w:r>
      <w:r>
        <w:rPr>
          <w:rFonts w:hint="eastAsia" w:cs="Times New Roman"/>
          <w:sz w:val="24"/>
          <w:szCs w:val="24"/>
          <w:lang w:val="en-US" w:eastAsia="zh-CN"/>
        </w:rPr>
        <w:t>等16个单位，共17位专家</w:t>
      </w:r>
      <w:r>
        <w:rPr>
          <w:rFonts w:hint="default" w:ascii="Times New Roman" w:hAnsi="Times New Roman" w:cs="Times New Roman"/>
          <w:sz w:val="24"/>
          <w:szCs w:val="24"/>
        </w:rPr>
        <w:t>的意见，共收到意见61条，采纳意见54条，部分采纳意见4条，不予采纳意见3条</w:t>
      </w:r>
      <w:r>
        <w:rPr>
          <w:rFonts w:hint="eastAsia" w:cs="Times New Roman"/>
          <w:sz w:val="24"/>
          <w:szCs w:val="24"/>
          <w:lang w:eastAsia="zh-CN"/>
        </w:rPr>
        <w:t>，部分采纳和不予采纳意见的理由也在标准征求意见汇总处理表中加以说明。</w:t>
      </w:r>
      <w:r>
        <w:rPr>
          <w:rFonts w:hint="eastAsia" w:cs="Times New Roman"/>
          <w:sz w:val="24"/>
          <w:szCs w:val="24"/>
          <w:lang w:val="en-US" w:eastAsia="zh-CN"/>
        </w:rPr>
        <w:t>按照各单位专家意见</w:t>
      </w:r>
      <w:r>
        <w:rPr>
          <w:rFonts w:hint="default" w:ascii="Times New Roman" w:hAnsi="Times New Roman" w:cs="Times New Roman"/>
          <w:sz w:val="24"/>
          <w:szCs w:val="24"/>
        </w:rPr>
        <w:t>对初稿进行了逐条讨论和修改，最终形成本文件。</w:t>
      </w:r>
      <w:r>
        <w:rPr>
          <w:rFonts w:hint="eastAsia" w:cs="Times New Roman"/>
          <w:sz w:val="24"/>
          <w:szCs w:val="24"/>
          <w:lang w:eastAsia="zh-CN"/>
        </w:rPr>
        <w:t>于2024年</w:t>
      </w:r>
      <w:r>
        <w:rPr>
          <w:rFonts w:hint="eastAsia" w:cs="Times New Roman"/>
          <w:sz w:val="24"/>
          <w:szCs w:val="24"/>
          <w:lang w:val="en-US" w:eastAsia="zh-CN"/>
        </w:rPr>
        <w:t>3</w:t>
      </w:r>
      <w:r>
        <w:rPr>
          <w:rFonts w:hint="eastAsia" w:cs="Times New Roman"/>
          <w:sz w:val="24"/>
          <w:szCs w:val="24"/>
          <w:lang w:eastAsia="zh-CN"/>
        </w:rPr>
        <w:t>月形成了《</w:t>
      </w:r>
      <w:r>
        <w:rPr>
          <w:rFonts w:hint="default" w:cs="Times New Roman"/>
          <w:sz w:val="24"/>
          <w:szCs w:val="24"/>
          <w:lang w:val="en-US" w:eastAsia="zh-CN"/>
        </w:rPr>
        <w:t>一体化基质型秧盘培育机插壮秧技术规程</w:t>
      </w:r>
      <w:r>
        <w:rPr>
          <w:rFonts w:hint="eastAsia" w:cs="Times New Roman"/>
          <w:sz w:val="24"/>
          <w:szCs w:val="24"/>
          <w:lang w:eastAsia="zh-CN"/>
        </w:rPr>
        <w:t>》（送审稿）。</w:t>
      </w:r>
    </w:p>
    <w:p w14:paraId="5E110EB6">
      <w:pPr>
        <w:tabs>
          <w:tab w:val="left" w:pos="540"/>
          <w:tab w:val="left" w:pos="900"/>
          <w:tab w:val="left" w:pos="1080"/>
          <w:tab w:val="left" w:pos="1260"/>
        </w:tabs>
        <w:autoSpaceDE w:val="0"/>
        <w:autoSpaceDN w:val="0"/>
        <w:adjustRightInd w:val="0"/>
        <w:snapToGrid w:val="0"/>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（4）标准送审完善</w:t>
      </w:r>
      <w:r>
        <w:rPr>
          <w:rFonts w:hint="eastAsia" w:cs="Times New Roman"/>
          <w:sz w:val="24"/>
          <w:szCs w:val="24"/>
          <w:lang w:eastAsia="zh-CN"/>
        </w:rPr>
        <w:t>，</w:t>
      </w:r>
      <w:r>
        <w:rPr>
          <w:rFonts w:hint="default" w:ascii="Times New Roman" w:hAnsi="Times New Roman" w:cs="Times New Roman"/>
          <w:sz w:val="24"/>
          <w:szCs w:val="24"/>
        </w:rPr>
        <w:t>2024年7月27日，</w:t>
      </w:r>
      <w:r>
        <w:rPr>
          <w:rFonts w:hint="eastAsia" w:cs="Times New Roman"/>
          <w:sz w:val="24"/>
          <w:szCs w:val="24"/>
          <w:lang w:val="en-US" w:eastAsia="zh-CN"/>
        </w:rPr>
        <w:t>江苏</w:t>
      </w:r>
      <w:r>
        <w:rPr>
          <w:rFonts w:hint="default" w:ascii="Times New Roman" w:hAnsi="Times New Roman" w:cs="Times New Roman"/>
          <w:sz w:val="24"/>
          <w:szCs w:val="24"/>
        </w:rPr>
        <w:t>省市场监督管理局委托江苏省农作物标准化技术委员会组织专家对《一体化基质型秧盘培育机插壮秧技术规程》（送审稿）进行审查。专家组听取编制组关于标准编制情况的汇报，提出了修改建议。编制组严格按照专家的意见和建议，对标准送审稿进行了修改完善，形成《一体化基质型秧盘培育机插壮秧技术规程》（报批稿）。</w:t>
      </w:r>
    </w:p>
    <w:p w14:paraId="57B3ACC5">
      <w:pPr>
        <w:spacing w:line="360" w:lineRule="auto"/>
        <w:ind w:firstLine="560" w:firstLineChars="200"/>
        <w:rPr>
          <w:rFonts w:hint="default" w:ascii="Times New Roman" w:hAnsi="Times New Roman" w:eastAsia="黑体" w:cs="Times New Roman"/>
          <w:sz w:val="28"/>
          <w:szCs w:val="28"/>
        </w:rPr>
      </w:pPr>
      <w:r>
        <w:rPr>
          <w:rFonts w:hint="default" w:ascii="Times New Roman" w:hAnsi="Times New Roman" w:eastAsia="黑体" w:cs="Times New Roman"/>
          <w:sz w:val="28"/>
          <w:szCs w:val="28"/>
          <w:lang w:val="en-US" w:eastAsia="zh-CN"/>
        </w:rPr>
        <w:t>四</w:t>
      </w:r>
      <w:r>
        <w:rPr>
          <w:rFonts w:hint="default" w:ascii="Times New Roman" w:hAnsi="Times New Roman" w:eastAsia="黑体" w:cs="Times New Roman"/>
          <w:sz w:val="28"/>
          <w:szCs w:val="28"/>
        </w:rPr>
        <w:t>、主要内容</w:t>
      </w:r>
    </w:p>
    <w:p w14:paraId="57653275">
      <w:pPr>
        <w:tabs>
          <w:tab w:val="left" w:pos="540"/>
          <w:tab w:val="left" w:pos="900"/>
          <w:tab w:val="left" w:pos="1080"/>
          <w:tab w:val="left" w:pos="1260"/>
        </w:tabs>
        <w:autoSpaceDE w:val="0"/>
        <w:autoSpaceDN w:val="0"/>
        <w:adjustRightInd w:val="0"/>
        <w:snapToGrid w:val="0"/>
        <w:spacing w:line="360" w:lineRule="auto"/>
        <w:ind w:firstLine="480" w:firstLineChars="20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本标准主要技术指标依据起草人试验研究结果、相关研究资料、生产过程中实际调查依据及相关标准确定，具有科学性、实用性和指导性。原则是切合实际、措施具体、操作简便、科学规范、技术先进、逻辑严谨和文字简明。同时，对本标准中涉及的关键技术进行了试验验证，明确了一体化基质型秧盘培育机插壮秧技术规程及其对水稻的节本增效作用效果。</w:t>
      </w:r>
    </w:p>
    <w:p w14:paraId="146DF201">
      <w:pPr>
        <w:spacing w:line="360" w:lineRule="auto"/>
        <w:ind w:firstLine="480" w:firstLineChars="200"/>
        <w:rPr>
          <w:rFonts w:hint="default" w:ascii="Times New Roman" w:hAnsi="Times New Roman" w:eastAsia="黑体" w:cs="Times New Roman"/>
          <w:sz w:val="24"/>
          <w:szCs w:val="24"/>
          <w:lang w:val="en-US" w:eastAsia="zh-CN"/>
        </w:rPr>
      </w:pPr>
      <w:bookmarkStart w:id="0" w:name="_Hlk128940236"/>
      <w:r>
        <w:rPr>
          <w:rFonts w:hint="default" w:ascii="Times New Roman" w:hAnsi="Times New Roman" w:eastAsia="黑体" w:cs="Times New Roman"/>
          <w:sz w:val="24"/>
          <w:szCs w:val="24"/>
        </w:rPr>
        <w:t>（</w:t>
      </w:r>
      <w:r>
        <w:rPr>
          <w:rFonts w:hint="default" w:ascii="Times New Roman" w:hAnsi="Times New Roman" w:eastAsia="黑体" w:cs="Times New Roman"/>
          <w:sz w:val="24"/>
          <w:szCs w:val="24"/>
          <w:lang w:val="en-US" w:eastAsia="zh-CN"/>
        </w:rPr>
        <w:t>一</w:t>
      </w:r>
      <w:r>
        <w:rPr>
          <w:rFonts w:hint="default" w:ascii="Times New Roman" w:hAnsi="Times New Roman" w:eastAsia="黑体" w:cs="Times New Roman"/>
          <w:sz w:val="24"/>
          <w:szCs w:val="24"/>
        </w:rPr>
        <w:t>）</w:t>
      </w:r>
      <w:bookmarkEnd w:id="0"/>
      <w:r>
        <w:rPr>
          <w:rFonts w:hint="default" w:ascii="Times New Roman" w:hAnsi="Times New Roman" w:eastAsia="黑体" w:cs="Times New Roman"/>
          <w:sz w:val="24"/>
          <w:szCs w:val="24"/>
        </w:rPr>
        <w:t>综述报告</w:t>
      </w:r>
      <w:r>
        <w:rPr>
          <w:rFonts w:hint="default" w:ascii="Times New Roman" w:hAnsi="Times New Roman" w:eastAsia="黑体" w:cs="Times New Roman"/>
          <w:sz w:val="24"/>
          <w:szCs w:val="24"/>
          <w:lang w:val="en-US" w:eastAsia="zh-CN"/>
        </w:rPr>
        <w:t>及主要参考文献</w:t>
      </w:r>
    </w:p>
    <w:p w14:paraId="5C06DB84">
      <w:pPr>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水稻是我国第一大粮食作物</w:t>
      </w:r>
      <w:r>
        <w:rPr>
          <w:rFonts w:hint="default" w:ascii="Times New Roman" w:hAnsi="Times New Roman" w:eastAsia="宋体" w:cs="Times New Roman"/>
          <w:color w:val="080000"/>
          <w:sz w:val="24"/>
          <w:szCs w:val="24"/>
          <w:vertAlign w:val="superscript"/>
        </w:rPr>
        <w:t>[1]</w:t>
      </w:r>
      <w:r>
        <w:rPr>
          <w:rFonts w:hint="default" w:ascii="Times New Roman" w:hAnsi="Times New Roman" w:eastAsia="宋体" w:cs="Times New Roman"/>
          <w:sz w:val="24"/>
          <w:szCs w:val="24"/>
        </w:rPr>
        <w:t>。机插秧技术能大幅提高工作效率，降低生产成本，节约劳动力，有利于大面积规模化的种植，与我国目前农业生产的需要相吻合，是我国水稻生产现代化的发展趋势</w:t>
      </w:r>
      <w:r>
        <w:rPr>
          <w:rFonts w:hint="default" w:ascii="Times New Roman" w:hAnsi="Times New Roman" w:eastAsia="宋体" w:cs="Times New Roman"/>
          <w:color w:val="080000"/>
          <w:sz w:val="24"/>
          <w:szCs w:val="24"/>
          <w:vertAlign w:val="superscript"/>
        </w:rPr>
        <w:t>[2-5]</w:t>
      </w:r>
      <w:r>
        <w:rPr>
          <w:rFonts w:hint="default" w:ascii="Times New Roman" w:hAnsi="Times New Roman" w:eastAsia="宋体" w:cs="Times New Roman"/>
          <w:sz w:val="24"/>
          <w:szCs w:val="24"/>
        </w:rPr>
        <w:t>。全国的水稻机插秧面积自2012年来呈现每年逐步稳定上升趋势，以江苏为例，近几年水稻种植面积一直稳定在3300万亩左右，而早在2012年机插秧种植面积就已突破1500万亩，且有逐年增加的趋势（图1）。由此可见，水稻机插秧技术及其配套的育秧产品有着广阔的市场需求及应用前景</w:t>
      </w:r>
      <w:r>
        <w:rPr>
          <w:rFonts w:hint="default" w:ascii="Times New Roman" w:hAnsi="Times New Roman" w:eastAsia="宋体" w:cs="Times New Roman"/>
          <w:color w:val="080000"/>
          <w:sz w:val="24"/>
          <w:szCs w:val="24"/>
          <w:vertAlign w:val="superscript"/>
        </w:rPr>
        <w:t>[6-7]</w:t>
      </w:r>
      <w:r>
        <w:rPr>
          <w:rFonts w:hint="default" w:ascii="Times New Roman" w:hAnsi="Times New Roman" w:eastAsia="宋体" w:cs="Times New Roman"/>
          <w:sz w:val="24"/>
          <w:szCs w:val="24"/>
        </w:rPr>
        <w:t>。</w:t>
      </w:r>
    </w:p>
    <w:p w14:paraId="36DAE7FC">
      <w:pPr>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drawing>
          <wp:inline distT="0" distB="0" distL="114300" distR="114300">
            <wp:extent cx="2898775" cy="1793875"/>
            <wp:effectExtent l="0" t="0" r="6350" b="635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9"/>
                    <a:stretch>
                      <a:fillRect/>
                    </a:stretch>
                  </pic:blipFill>
                  <pic:spPr>
                    <a:xfrm>
                      <a:off x="0" y="0"/>
                      <a:ext cx="2898775" cy="1793875"/>
                    </a:xfrm>
                    <a:prstGeom prst="rect">
                      <a:avLst/>
                    </a:prstGeom>
                    <a:noFill/>
                    <a:ln>
                      <a:noFill/>
                    </a:ln>
                  </pic:spPr>
                </pic:pic>
              </a:graphicData>
            </a:graphic>
          </wp:inline>
        </w:drawing>
      </w:r>
      <w:r>
        <w:rPr>
          <w:rFonts w:hint="default" w:ascii="Times New Roman" w:hAnsi="Times New Roman" w:eastAsia="宋体" w:cs="Times New Roman"/>
          <w:color w:val="000000"/>
          <w:kern w:val="0"/>
          <w:sz w:val="24"/>
          <w:szCs w:val="24"/>
        </w:rPr>
        <w:drawing>
          <wp:inline distT="0" distB="0" distL="114300" distR="114300">
            <wp:extent cx="2824480" cy="1747520"/>
            <wp:effectExtent l="0" t="0" r="4445" b="5080"/>
            <wp:docPr id="2" name="图片 2" descr="手机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手机屏幕截图&#10;&#10;描述已自动生成"/>
                    <pic:cNvPicPr>
                      <a:picLocks noChangeAspect="1"/>
                    </pic:cNvPicPr>
                  </pic:nvPicPr>
                  <pic:blipFill>
                    <a:blip r:embed="rId10"/>
                    <a:stretch>
                      <a:fillRect/>
                    </a:stretch>
                  </pic:blipFill>
                  <pic:spPr>
                    <a:xfrm>
                      <a:off x="0" y="0"/>
                      <a:ext cx="2824480" cy="1747520"/>
                    </a:xfrm>
                    <a:prstGeom prst="rect">
                      <a:avLst/>
                    </a:prstGeom>
                    <a:noFill/>
                    <a:ln>
                      <a:noFill/>
                    </a:ln>
                  </pic:spPr>
                </pic:pic>
              </a:graphicData>
            </a:graphic>
          </wp:inline>
        </w:drawing>
      </w:r>
    </w:p>
    <w:p w14:paraId="0C684093">
      <w:pPr>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图1 全国及江苏省近年水稻机插秧面积及比例</w:t>
      </w:r>
    </w:p>
    <w:p w14:paraId="0BA8EDF3">
      <w:pPr>
        <w:spacing w:line="360" w:lineRule="auto"/>
        <w:ind w:firstLine="43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俗话说“秧好稻半收”，培育壮秧是水稻机械化栽培技术体系中的核心技术和稻作现代化的重要标志，历来备受水稻生产的重视</w:t>
      </w:r>
      <w:r>
        <w:rPr>
          <w:rFonts w:hint="default" w:ascii="Times New Roman" w:hAnsi="Times New Roman" w:eastAsia="宋体" w:cs="Times New Roman"/>
          <w:color w:val="080000"/>
          <w:sz w:val="24"/>
          <w:szCs w:val="24"/>
          <w:vertAlign w:val="superscript"/>
        </w:rPr>
        <w:t>[8]</w:t>
      </w:r>
      <w:r>
        <w:rPr>
          <w:rFonts w:hint="default" w:ascii="Times New Roman" w:hAnsi="Times New Roman" w:eastAsia="宋体" w:cs="Times New Roman"/>
          <w:sz w:val="24"/>
          <w:szCs w:val="24"/>
        </w:rPr>
        <w:t>。壮秧对水稻移栽后大田期的发根、返青、分蘖，乃至穗数、粒数都有极大的影响，是早发争足穗、壮秆促大穗的基础</w:t>
      </w:r>
      <w:r>
        <w:rPr>
          <w:rFonts w:hint="default" w:ascii="Times New Roman" w:hAnsi="Times New Roman" w:eastAsia="宋体" w:cs="Times New Roman"/>
          <w:color w:val="080000"/>
          <w:sz w:val="24"/>
          <w:szCs w:val="24"/>
          <w:vertAlign w:val="superscript"/>
        </w:rPr>
        <w:t>[9-12]</w:t>
      </w:r>
      <w:r>
        <w:rPr>
          <w:rFonts w:hint="default" w:ascii="Times New Roman" w:hAnsi="Times New Roman" w:eastAsia="宋体" w:cs="Times New Roman"/>
          <w:sz w:val="24"/>
          <w:szCs w:val="24"/>
        </w:rPr>
        <w:t>（图2）。目前，我国水稻育秧主要采用秧盘育秧的方式，以田间育秧和工厂化育秧为主，北方地区主要采用工厂化育秧，而南方地区则大部分是田间育秧</w:t>
      </w:r>
      <w:r>
        <w:rPr>
          <w:rFonts w:hint="default" w:ascii="Times New Roman" w:hAnsi="Times New Roman" w:eastAsia="宋体" w:cs="Times New Roman"/>
          <w:color w:val="080000"/>
          <w:sz w:val="24"/>
          <w:szCs w:val="24"/>
          <w:vertAlign w:val="superscript"/>
        </w:rPr>
        <w:t>[13]</w:t>
      </w:r>
      <w:r>
        <w:rPr>
          <w:rFonts w:hint="default" w:ascii="Times New Roman" w:hAnsi="Times New Roman" w:eastAsia="宋体" w:cs="Times New Roman"/>
          <w:sz w:val="24"/>
          <w:szCs w:val="24"/>
        </w:rPr>
        <w:t>。欧美、澳大利亚等国一般以直播种植为主，日本、韩国等地区主要运用工厂化育秧技术</w:t>
      </w:r>
      <w:r>
        <w:rPr>
          <w:rFonts w:hint="default" w:ascii="Times New Roman" w:hAnsi="Times New Roman" w:eastAsia="宋体" w:cs="Times New Roman"/>
          <w:color w:val="080000"/>
          <w:sz w:val="24"/>
          <w:szCs w:val="24"/>
          <w:vertAlign w:val="superscript"/>
        </w:rPr>
        <w:t>[14]</w:t>
      </w:r>
      <w:r>
        <w:rPr>
          <w:rFonts w:hint="default" w:ascii="Times New Roman" w:hAnsi="Times New Roman" w:eastAsia="宋体" w:cs="Times New Roman"/>
          <w:sz w:val="24"/>
          <w:szCs w:val="24"/>
        </w:rPr>
        <w:t>。</w:t>
      </w:r>
    </w:p>
    <w:p w14:paraId="66750284">
      <w:pPr>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color w:val="000000"/>
          <w:sz w:val="24"/>
          <w:szCs w:val="24"/>
        </w:rPr>
        <w:drawing>
          <wp:inline distT="0" distB="0" distL="114300" distR="114300">
            <wp:extent cx="5770880" cy="2049145"/>
            <wp:effectExtent l="0" t="0" r="1270" b="825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1"/>
                    <a:stretch>
                      <a:fillRect/>
                    </a:stretch>
                  </pic:blipFill>
                  <pic:spPr>
                    <a:xfrm>
                      <a:off x="0" y="0"/>
                      <a:ext cx="5770880" cy="2049145"/>
                    </a:xfrm>
                    <a:prstGeom prst="rect">
                      <a:avLst/>
                    </a:prstGeom>
                    <a:noFill/>
                    <a:ln>
                      <a:noFill/>
                    </a:ln>
                  </pic:spPr>
                </pic:pic>
              </a:graphicData>
            </a:graphic>
          </wp:inline>
        </w:drawing>
      </w:r>
    </w:p>
    <w:p w14:paraId="134FA4EF">
      <w:pPr>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图2  壮秧与普通秧苗对比图</w:t>
      </w:r>
    </w:p>
    <w:p w14:paraId="690D1363">
      <w:pPr>
        <w:spacing w:line="360" w:lineRule="auto"/>
        <w:ind w:firstLine="43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当前，机插秧育秧有取农田耕层土育秧和基质育秧两种方式</w:t>
      </w:r>
      <w:r>
        <w:rPr>
          <w:rFonts w:hint="default" w:ascii="Times New Roman" w:hAnsi="Times New Roman" w:eastAsia="宋体" w:cs="Times New Roman"/>
          <w:color w:val="080000"/>
          <w:sz w:val="24"/>
          <w:szCs w:val="24"/>
          <w:vertAlign w:val="superscript"/>
        </w:rPr>
        <w:t>[15]</w:t>
      </w:r>
      <w:r>
        <w:rPr>
          <w:rFonts w:hint="default" w:ascii="Times New Roman" w:hAnsi="Times New Roman" w:eastAsia="宋体" w:cs="Times New Roman"/>
          <w:sz w:val="24"/>
          <w:szCs w:val="24"/>
        </w:rPr>
        <w:t>。取农田耕层土育秧时需要经过取土、筛土、培肥等繁琐过程（图3），大规模育秧则会出现取土费工费时，取土难，连年的取土造成耕作层土壤的破坏，育苗生产对土壤资源的消耗不断增加，育苗过程出现的</w:t>
      </w:r>
      <w:bookmarkStart w:id="1" w:name="_Hlk34905056"/>
      <w:r>
        <w:rPr>
          <w:rFonts w:hint="default" w:ascii="Times New Roman" w:hAnsi="Times New Roman" w:eastAsia="宋体" w:cs="Times New Roman"/>
          <w:sz w:val="24"/>
          <w:szCs w:val="24"/>
        </w:rPr>
        <w:t>秧苗土传病害</w:t>
      </w:r>
      <w:bookmarkEnd w:id="1"/>
      <w:r>
        <w:rPr>
          <w:rFonts w:hint="default" w:ascii="Times New Roman" w:hAnsi="Times New Roman" w:eastAsia="宋体" w:cs="Times New Roman"/>
          <w:sz w:val="24"/>
          <w:szCs w:val="24"/>
        </w:rPr>
        <w:t>等一系列问题</w:t>
      </w:r>
      <w:r>
        <w:rPr>
          <w:rFonts w:hint="default" w:ascii="Times New Roman" w:hAnsi="Times New Roman" w:eastAsia="宋体" w:cs="Times New Roman"/>
          <w:color w:val="080000"/>
          <w:sz w:val="24"/>
          <w:szCs w:val="24"/>
          <w:vertAlign w:val="superscript"/>
        </w:rPr>
        <w:t>[16-20]</w:t>
      </w:r>
      <w:r>
        <w:rPr>
          <w:rFonts w:hint="default" w:ascii="Times New Roman" w:hAnsi="Times New Roman" w:eastAsia="宋体" w:cs="Times New Roman"/>
          <w:sz w:val="24"/>
          <w:szCs w:val="24"/>
        </w:rPr>
        <w:t>。而基质育秧时常常由于生产基质过程</w:t>
      </w:r>
      <w:bookmarkStart w:id="2" w:name="_Hlk34905082"/>
      <w:r>
        <w:rPr>
          <w:rFonts w:hint="default" w:ascii="Times New Roman" w:hAnsi="Times New Roman" w:eastAsia="宋体" w:cs="Times New Roman"/>
          <w:sz w:val="24"/>
          <w:szCs w:val="24"/>
        </w:rPr>
        <w:t>中发酵不充分，搅拌不均匀导致育秧的安全性高差，烧苗等现象，</w:t>
      </w:r>
      <w:bookmarkEnd w:id="2"/>
      <w:r>
        <w:rPr>
          <w:rFonts w:hint="default" w:ascii="Times New Roman" w:hAnsi="Times New Roman" w:eastAsia="宋体" w:cs="Times New Roman"/>
          <w:sz w:val="24"/>
          <w:szCs w:val="24"/>
        </w:rPr>
        <w:t>基质质量轻、孔隙大、保水保肥能力差、不耐冲淋，育秧过程中常出现基质随风、随水飘动的现象，育出的秧苗也存在素质不高，秧苗盘根差等方面缺点</w:t>
      </w:r>
      <w:r>
        <w:rPr>
          <w:rFonts w:hint="default" w:ascii="Times New Roman" w:hAnsi="Times New Roman" w:eastAsia="宋体" w:cs="Times New Roman"/>
          <w:color w:val="080000"/>
          <w:sz w:val="24"/>
          <w:szCs w:val="24"/>
          <w:vertAlign w:val="superscript"/>
        </w:rPr>
        <w:t>[21-23]</w:t>
      </w:r>
      <w:r>
        <w:rPr>
          <w:rFonts w:hint="default" w:ascii="Times New Roman" w:hAnsi="Times New Roman" w:eastAsia="宋体" w:cs="Times New Roman"/>
          <w:sz w:val="24"/>
          <w:szCs w:val="24"/>
        </w:rPr>
        <w:t>。基质的使用成本高，在没有政府补贴的情况下，很少有农户愿意出钱购买基质育秧。</w:t>
      </w:r>
    </w:p>
    <w:p w14:paraId="6BF04182">
      <w:pPr>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color w:val="000000"/>
          <w:sz w:val="24"/>
          <w:szCs w:val="24"/>
        </w:rPr>
        <w:drawing>
          <wp:inline distT="0" distB="0" distL="114300" distR="114300">
            <wp:extent cx="5875655" cy="1462405"/>
            <wp:effectExtent l="0" t="0" r="1270" b="444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2"/>
                    <a:stretch>
                      <a:fillRect/>
                    </a:stretch>
                  </pic:blipFill>
                  <pic:spPr>
                    <a:xfrm>
                      <a:off x="0" y="0"/>
                      <a:ext cx="5875655" cy="1462405"/>
                    </a:xfrm>
                    <a:prstGeom prst="rect">
                      <a:avLst/>
                    </a:prstGeom>
                    <a:noFill/>
                    <a:ln>
                      <a:noFill/>
                    </a:ln>
                  </pic:spPr>
                </pic:pic>
              </a:graphicData>
            </a:graphic>
          </wp:inline>
        </w:drawing>
      </w:r>
    </w:p>
    <w:p w14:paraId="24CF8CA6">
      <w:pPr>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图3  农田表层土育秧基本步骤</w:t>
      </w:r>
    </w:p>
    <w:p w14:paraId="0FFE3C33">
      <w:pPr>
        <w:spacing w:line="360" w:lineRule="auto"/>
        <w:ind w:firstLine="43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同时，在营养土和基质育秧过程中必须使用秧盘，秧盘的购买、摆放、清洗、搬运、损耗等环节大大增加了机插秧育秧对人工、资金及空间的需求，影响了水稻机插秧技术的进一步推广</w:t>
      </w:r>
      <w:r>
        <w:rPr>
          <w:rFonts w:hint="default" w:ascii="Times New Roman" w:hAnsi="Times New Roman" w:eastAsia="宋体" w:cs="Times New Roman"/>
          <w:color w:val="080000"/>
          <w:sz w:val="24"/>
          <w:szCs w:val="24"/>
          <w:vertAlign w:val="superscript"/>
        </w:rPr>
        <w:t>[24]</w:t>
      </w:r>
      <w:r>
        <w:rPr>
          <w:rFonts w:hint="default" w:ascii="Times New Roman" w:hAnsi="Times New Roman" w:eastAsia="宋体" w:cs="Times New Roman"/>
          <w:sz w:val="24"/>
          <w:szCs w:val="24"/>
        </w:rPr>
        <w:t>（图4）。</w:t>
      </w:r>
    </w:p>
    <w:p w14:paraId="503347F4">
      <w:pPr>
        <w:spacing w:line="360" w:lineRule="auto"/>
        <w:jc w:val="center"/>
        <w:rPr>
          <w:rFonts w:hint="default" w:ascii="Times New Roman" w:hAnsi="Times New Roman" w:eastAsia="宋体" w:cs="Times New Roman"/>
          <w:sz w:val="24"/>
          <w:szCs w:val="24"/>
        </w:rPr>
      </w:pPr>
      <w:r>
        <w:drawing>
          <wp:inline distT="0" distB="0" distL="114300" distR="114300">
            <wp:extent cx="5828030" cy="2807970"/>
            <wp:effectExtent l="0" t="0" r="1270" b="1905"/>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3"/>
                    <a:stretch>
                      <a:fillRect/>
                    </a:stretch>
                  </pic:blipFill>
                  <pic:spPr>
                    <a:xfrm>
                      <a:off x="0" y="0"/>
                      <a:ext cx="5828030" cy="2807970"/>
                    </a:xfrm>
                    <a:prstGeom prst="rect">
                      <a:avLst/>
                    </a:prstGeom>
                    <a:noFill/>
                    <a:ln>
                      <a:noFill/>
                    </a:ln>
                  </pic:spPr>
                </pic:pic>
              </a:graphicData>
            </a:graphic>
          </wp:inline>
        </w:drawing>
      </w:r>
    </w:p>
    <w:p w14:paraId="38007CBD">
      <w:pPr>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图4  秧盘运输、摆放、清洗等环节</w:t>
      </w:r>
    </w:p>
    <w:p w14:paraId="5FC9A9A8">
      <w:pPr>
        <w:spacing w:line="360" w:lineRule="auto"/>
        <w:ind w:firstLine="43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纵观各地多年来对水稻机插技术的研究，发现前人在育秧播种机械、播种量、播种时期等方面的研究居多</w:t>
      </w:r>
      <w:r>
        <w:rPr>
          <w:rFonts w:hint="default" w:ascii="Times New Roman" w:hAnsi="Times New Roman" w:eastAsia="宋体" w:cs="Times New Roman"/>
          <w:color w:val="080000"/>
          <w:sz w:val="24"/>
          <w:szCs w:val="24"/>
          <w:vertAlign w:val="superscript"/>
        </w:rPr>
        <w:t>[25-28]</w:t>
      </w:r>
      <w:r>
        <w:rPr>
          <w:rFonts w:hint="default" w:ascii="Times New Roman" w:hAnsi="Times New Roman" w:eastAsia="宋体" w:cs="Times New Roman"/>
          <w:sz w:val="24"/>
          <w:szCs w:val="24"/>
        </w:rPr>
        <w:t>，也较为透彻，而对于机插秧育秧基质、秧盘方面的研究报道则较少</w:t>
      </w:r>
      <w:r>
        <w:rPr>
          <w:rFonts w:hint="default" w:ascii="Times New Roman" w:hAnsi="Times New Roman" w:eastAsia="宋体" w:cs="Times New Roman"/>
          <w:color w:val="080000"/>
          <w:sz w:val="24"/>
          <w:szCs w:val="24"/>
          <w:vertAlign w:val="superscript"/>
        </w:rPr>
        <w:t>[29]</w:t>
      </w:r>
      <w:r>
        <w:rPr>
          <w:rFonts w:hint="default" w:ascii="Times New Roman" w:hAnsi="Times New Roman" w:eastAsia="宋体" w:cs="Times New Roman"/>
          <w:sz w:val="24"/>
          <w:szCs w:val="24"/>
        </w:rPr>
        <w:t>。因此，亟需对现有的育秧技术进行改良优化和创新，发明一种针对机插秧育秧的高效、节本、环保的育秧基质秧盘一体化产品的制作方法，并研究与其配套的应用技术</w:t>
      </w:r>
      <w:r>
        <w:rPr>
          <w:rFonts w:hint="default" w:ascii="Times New Roman" w:hAnsi="Times New Roman" w:eastAsia="宋体" w:cs="Times New Roman"/>
          <w:color w:val="080000"/>
          <w:sz w:val="24"/>
          <w:szCs w:val="24"/>
          <w:vertAlign w:val="superscript"/>
        </w:rPr>
        <w:t>[30]</w:t>
      </w:r>
      <w:r>
        <w:rPr>
          <w:rFonts w:hint="default" w:ascii="Times New Roman" w:hAnsi="Times New Roman" w:eastAsia="宋体" w:cs="Times New Roman"/>
          <w:sz w:val="24"/>
          <w:szCs w:val="24"/>
        </w:rPr>
        <w:t>。针对以上问题，本项目组成员创制了“培育水稻机插壮秧的基质秧盘一体化新产品”，并从该产品制作原材料（秸秆等）就地收集加工、稳定配方研制、规模化生产模式开发、产品配套应用技术推广方面整合成体系化产业链模式，产业链中各个组成部分是一个有机整体，相互联动、相互依存。该产品以来源广泛的废弃秸秆经快速发酵多重生化处理，同时混配一定比例的短效缓释肥料、中微量元素、保水剂、植物生长调节剂、粘结剂等压制成基质秧盘一体化育秧新产品，这种新产品具有重量轻、孔隙大、持水性好、容重适中、无菌无毒等特点。</w:t>
      </w:r>
    </w:p>
    <w:p w14:paraId="2E6495D1">
      <w:pPr>
        <w:spacing w:line="360" w:lineRule="auto"/>
        <w:ind w:firstLine="43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本项目的主要核心技术有以下三项：秸秆的快速腐熟技术、基质秧盘一体化新产品的制作技术及配套其使用的育秧技术。关键技术一：</w:t>
      </w:r>
      <w:bookmarkStart w:id="3" w:name="_Hlk35366565"/>
      <w:r>
        <w:rPr>
          <w:rFonts w:hint="default" w:ascii="Times New Roman" w:hAnsi="Times New Roman" w:eastAsia="宋体" w:cs="Times New Roman"/>
          <w:sz w:val="24"/>
          <w:szCs w:val="24"/>
        </w:rPr>
        <w:t>快速腐熟是一种结合微生物酵素、生物与有机化学及土壤科技的创新技术，可以在2~3小时内将菌菇渣和秸秆转制成生产原料，达到安定化、无害化、有效化的目标（图5）。是最符合环保观念的新方法，最大的特点是处理反应时间快速、设备所占空间小、无二次污染（无废水、无臭、无毒产生）。经过快速腐熟技术处理后的产品生产原料经检测后发现无病原菌，不影响水稻种子的出苗，能够有效解决耕层土秧苗土传病害问题以及基质发酵不充分，搅拌不均匀导致育秧的安全性高差，烧苗等问题。</w:t>
      </w:r>
    </w:p>
    <w:bookmarkEnd w:id="3"/>
    <w:p w14:paraId="611BF3A2">
      <w:pPr>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drawing>
          <wp:inline distT="0" distB="0" distL="114300" distR="114300">
            <wp:extent cx="5741670" cy="1798955"/>
            <wp:effectExtent l="0" t="0" r="1905" b="127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4"/>
                    <a:stretch>
                      <a:fillRect/>
                    </a:stretch>
                  </pic:blipFill>
                  <pic:spPr>
                    <a:xfrm>
                      <a:off x="0" y="0"/>
                      <a:ext cx="5741670" cy="1798955"/>
                    </a:xfrm>
                    <a:prstGeom prst="rect">
                      <a:avLst/>
                    </a:prstGeom>
                    <a:noFill/>
                    <a:ln>
                      <a:noFill/>
                    </a:ln>
                  </pic:spPr>
                </pic:pic>
              </a:graphicData>
            </a:graphic>
          </wp:inline>
        </w:drawing>
      </w:r>
    </w:p>
    <w:p w14:paraId="38817928">
      <w:pPr>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图5  菌菇渣秸秆的快速腐熟技术路线</w:t>
      </w:r>
    </w:p>
    <w:p w14:paraId="39C83320">
      <w:pPr>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关键技术二：基质秧盘一体化新产品的制作技术。该技术包含两个部分，第一部分是根据水稻苗期的营养生理特性和壮秧形成机理，将关键技术一处理好的生产原料混配一定比例短效缓释肥料、中微量元素、保水剂、植物生长调节剂等复配成适宜秧苗生长的介质。有效解决耕层土及基质育秧过程中养分不足、易脱肥的问题，显著提高秧苗素质。第二部分是将以上介质加入助剂匀浆、刻模、烘干后制造成可降解基质型秧盘（图6）。这种基质型秧盘具有重量轻、持水性好、容重适中、无毒等特点，使用时不再需要当前育秧环节中必不可少的秧盘，省时、省事、省工，大大降低育秧成本，促进机插水稻的增产增效，农民增收。同时也能从减少白色污染（塑料秧盘）的使用及农业废弃物（秸秆及其它农业有机废弃物）循环利用两个方面开源节流，保护环境，从而产生巨大的社会生态效益。</w:t>
      </w:r>
    </w:p>
    <w:p w14:paraId="261DFE81">
      <w:pPr>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drawing>
          <wp:inline distT="0" distB="0" distL="114300" distR="114300">
            <wp:extent cx="5391785" cy="2891790"/>
            <wp:effectExtent l="0" t="0" r="8890" b="3810"/>
            <wp:docPr id="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15"/>
                    <a:stretch>
                      <a:fillRect/>
                    </a:stretch>
                  </pic:blipFill>
                  <pic:spPr>
                    <a:xfrm>
                      <a:off x="0" y="0"/>
                      <a:ext cx="5391785" cy="2891790"/>
                    </a:xfrm>
                    <a:prstGeom prst="rect">
                      <a:avLst/>
                    </a:prstGeom>
                    <a:noFill/>
                    <a:ln>
                      <a:noFill/>
                    </a:ln>
                  </pic:spPr>
                </pic:pic>
              </a:graphicData>
            </a:graphic>
          </wp:inline>
        </w:drawing>
      </w:r>
    </w:p>
    <w:p w14:paraId="7E2DE4DA">
      <w:pPr>
        <w:spacing w:line="36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图6 基质秧盘一体化新产品的制作技术</w:t>
      </w:r>
    </w:p>
    <w:p w14:paraId="0E1019FE">
      <w:pPr>
        <w:spacing w:line="360" w:lineRule="auto"/>
        <w:ind w:firstLine="43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关键技术三：与产品配套的育秧技术开发研究。影响秧苗素质的环境因素主要有育秧介质的理化性状，包括容重、总孔隙度、大小孔隙比、pH值、EC值、氮磷钾含量、微量元素含量等，人为因素有播种量、播种深度、水分及病虫害管理等，与本产品配套的育秧技术从全方面考虑，</w:t>
      </w:r>
      <w:bookmarkStart w:id="4" w:name="_Hlk45914481"/>
      <w:r>
        <w:rPr>
          <w:rFonts w:hint="default" w:ascii="Times New Roman" w:hAnsi="Times New Roman" w:eastAsia="宋体" w:cs="Times New Roman"/>
          <w:sz w:val="24"/>
          <w:szCs w:val="24"/>
        </w:rPr>
        <w:t>在目前技术的基础上提升秧苗素质、延长秧龄，提高插秧机的作业质量，育出栽后活棵快、早发性好、早够苗、成穗多，且有利于大穗形成，切合“平衡栽培”理念的壮秧。与工厂化育秧技术有机融合，助力农村经济的集约化发展。</w:t>
      </w:r>
      <w:bookmarkEnd w:id="4"/>
    </w:p>
    <w:p w14:paraId="57E8F2C1">
      <w:pPr>
        <w:spacing w:line="360" w:lineRule="auto"/>
        <w:ind w:firstLine="43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运用该产品培育水稻机插秧苗，既能解决传统运用营养土育秧存在的取土难、培肥繁的问题，又可解决普通育苗基质后期存在肥力不足、秧苗素质低、盘根差、秧龄弹性小等问题，能够充分发挥机插秧进行商品化育供秧的时间优势，利于开展大规模工厂化育供秧，提升机插秧的作业质量与效益，促进机插水稻的增产增效，同时解决了秸秆等农业废弃物就地高效转化循环利用问题，因此项目的实施具有很强的实践意义。</w:t>
      </w:r>
    </w:p>
    <w:p w14:paraId="0B090725">
      <w:pPr>
        <w:spacing w:line="360" w:lineRule="auto"/>
        <w:ind w:firstLine="435"/>
        <w:rPr>
          <w:rFonts w:hint="default" w:ascii="Times New Roman" w:hAnsi="Times New Roman" w:eastAsia="宋体" w:cs="Times New Roman"/>
          <w:sz w:val="24"/>
          <w:szCs w:val="24"/>
        </w:rPr>
      </w:pPr>
    </w:p>
    <w:p w14:paraId="6009DB70">
      <w:pPr>
        <w:spacing w:line="360" w:lineRule="auto"/>
        <w:ind w:firstLine="435"/>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rPr>
        <w:t>主要</w:t>
      </w:r>
      <w:r>
        <w:rPr>
          <w:rFonts w:hint="default" w:ascii="Times New Roman" w:hAnsi="Times New Roman" w:eastAsia="宋体" w:cs="Times New Roman"/>
          <w:sz w:val="24"/>
          <w:szCs w:val="24"/>
        </w:rPr>
        <w:t>参考文献</w:t>
      </w:r>
      <w:r>
        <w:rPr>
          <w:rFonts w:hint="default" w:ascii="Times New Roman" w:hAnsi="Times New Roman" w:eastAsia="宋体" w:cs="Times New Roman"/>
          <w:sz w:val="24"/>
          <w:szCs w:val="24"/>
          <w:lang w:val="en-US" w:eastAsia="zh-CN"/>
        </w:rPr>
        <w:t>如下</w:t>
      </w:r>
      <w:r>
        <w:rPr>
          <w:rFonts w:hint="default" w:ascii="Times New Roman" w:hAnsi="Times New Roman" w:eastAsia="宋体" w:cs="Times New Roman"/>
          <w:sz w:val="24"/>
          <w:szCs w:val="24"/>
        </w:rPr>
        <w:t>：</w:t>
      </w:r>
    </w:p>
    <w:p w14:paraId="2BF90DD4">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 Ivanic, M., Martin, W. Implications of higher global food prices for poverty in low‐income countries[J].Agricultural economics，2008，39: 405-416.</w:t>
      </w:r>
    </w:p>
    <w:p w14:paraId="11AF0540">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 ZHANG L Y, ZHANG Z X, LI Q Y, et al. Mechanical automation of rice transplanting and keyagronomic techniques[J].Applied Mechanics &amp; Materials, 2013，345:498-501.</w:t>
      </w:r>
    </w:p>
    <w:p w14:paraId="55E1BD4D">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 高兴，王立臣.关于如何加快江苏省水稻栽植机械发展问题的探讨[J].中国农机化，2010，(05):14-18.</w:t>
      </w:r>
    </w:p>
    <w:p w14:paraId="71210D12">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 马旭，李泽华，梁仲维，等.我国水稻栽植机械化研究现状与发展趋势[J].现代农业装备，2014，(01):30-36.</w:t>
      </w:r>
    </w:p>
    <w:p w14:paraId="751CF5E6">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 黄年生，张小祥，蒋敏，等.不同基质培肥方式对机插秧苗期生理及产量的影响[J].中国农学通报，2016，32(24):43-48.</w:t>
      </w:r>
    </w:p>
    <w:p w14:paraId="170F1ED3">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 周伟民.菇渣为主要原料制成的水稻育秧基质试验结果与分析[J].农业开发与装备，2016，(05):63-64.</w:t>
      </w:r>
    </w:p>
    <w:p w14:paraId="12EFDE44">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 周晚来，王朝云，易永健，等.我国水稻机插育秧发展现状[J].中国稻米，2018，24(05):11-15.</w:t>
      </w:r>
    </w:p>
    <w:p w14:paraId="3D4B4476">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[8] 林齐宽.推进插秧机械化的措施和建议[J].现代农业装备，2009，(07):61-63.</w:t>
      </w:r>
    </w:p>
    <w:p w14:paraId="5FFA0A12">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[9] 景启坚，薛艳凤，钱照才.不同播量对机插秧苗素质的影响[J].江苏农机化，2003，(02):13-14.</w:t>
      </w:r>
    </w:p>
    <w:p w14:paraId="62916114">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 瞿廷广，许鸿鸽，沈志坚.水稻盘育带土小苗机插秧田播种量研究[J].安徽农</w:t>
      </w:r>
    </w:p>
    <w:p w14:paraId="6923A082">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业科学，2003，(01):93-94.</w:t>
      </w:r>
    </w:p>
    <w:p w14:paraId="42FC4E09">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[11] 倪道理，沈庆雷.播种深度对机械旱直播水稻的影响[J].现代农业科技，2013，(18):36-39.</w:t>
      </w:r>
    </w:p>
    <w:p w14:paraId="3086899C">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[12] 朱江艳，陈林，银永安，等.不同种子处理和播种深度对膜下滴灌水稻出苗及产量的影响[J].大麦与谷类科学，2015，(03):19-22.</w:t>
      </w:r>
    </w:p>
    <w:p w14:paraId="582230D3">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[13] 杨庆.不同播种深度对水稻苗期形态特征的影响[J].黑龙江农业科学，2016，(06):7-10.</w:t>
      </w:r>
    </w:p>
    <w:p w14:paraId="7390267A">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[14] 蒋敏，张小祥，吴政，等.不同苗期施肥量对水稻机插秧秧苗生理及产量的影响[J].中国农学通报，2017，33(34):1-8.</w:t>
      </w:r>
    </w:p>
    <w:p w14:paraId="64564590">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 王强盛，丁艳锋，严定春，等.不同施氮量对水稻旱育秧苗形态特征和生理特性的影响[J].南京农业大学学报，2004，(03):11-14.</w:t>
      </w:r>
    </w:p>
    <w:p w14:paraId="7BC9DD46">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[16] 黎星，胡启星，成臣，等.基质含水量对机插水稻秧苗素质及产量的影响[J].中国稻米，2019，25(04):63-67.</w:t>
      </w:r>
    </w:p>
    <w:p w14:paraId="3C6A0593">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[17] 张国良，张森林，丁秀文，等.基质厚度和含水量对水稻育秧的影响[J].江苏农业科学，2013，41(05):62-63.</w:t>
      </w:r>
    </w:p>
    <w:p w14:paraId="0FED551D">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[18] 董家胜，尹海庆，赵全志.土壤含水量对水稻光合特性及品质的影响[J].耕作与栽培，2006，(1):21-22, 25.</w:t>
      </w:r>
    </w:p>
    <w:p w14:paraId="4E56ECB9">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[19] 李睿，沈枫，李跃东，等.浅谈水稻育秧基质研究进展[J].北方水稻，2014，44(03):79-80.</w:t>
      </w:r>
    </w:p>
    <w:p w14:paraId="52FBC088">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 Sambo P, Sannazzaro F, Evans M R. Physical properties of ground fresh rice hulls and sphagnum peat used for greenhouse root sub－strates [J]. Hort Technol, 2008, 18(3): 384-388.</w:t>
      </w:r>
    </w:p>
    <w:p w14:paraId="37B6A859">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[21] 白冬梅，多立安，刘特，等.添加废弃物补充基质对草皮生产土壤的容重及孔隙度的影响[J].天津农业科学，2017，23(08):95-97.</w:t>
      </w:r>
    </w:p>
    <w:p w14:paraId="7CB1D4D1">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[22] 田吉林，奚振邦，陈春宏.无土栽培基质的质量参数（孔隙性）研究[J].上海农业学报，2003，(01):46-49.</w:t>
      </w:r>
    </w:p>
    <w:p w14:paraId="5BDABB8B">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[23] 高丽红.无土栽培固体基质的种类与理化特性[J].农村实用工程技术（温室园艺），2004，(02):28-30.</w:t>
      </w:r>
    </w:p>
    <w:p w14:paraId="4007898D">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 Klock K A, Fitzpatrick G E. Growth of impatients AccentRed in three compost products[J].Compost Science and Utilization，1997，5(4):26-30.</w:t>
      </w:r>
    </w:p>
    <w:p w14:paraId="1E816175">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[25] 沈巧梅，赵泽松，萧长亮，等.水稻育秧基质的理化性质及生产中存在的问题与对策[J].现代农业科技，2012，(19):46-47.</w:t>
      </w:r>
    </w:p>
    <w:p w14:paraId="38D589B2">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[26] 全松华，汪永国，罗绍球，等.苗床土壤pH值对水稻秧苗素质的影响[J].杂交水稻，2004，(04):47-48.</w:t>
      </w:r>
    </w:p>
    <w:p w14:paraId="4BA1C4A1">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[27] 刘庆华，刘庆超，王奎玲，等.几种无土栽培代用基质缓冲性研究初报[J].中国农学通报，2008，(02):272-275.</w:t>
      </w:r>
    </w:p>
    <w:p w14:paraId="16EF5C07">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[28] 李谦盛，郭世荣，李式军.基质EC值与作物生长的关系及其测定方法比较[J].中国蔬菜，2004，(01):75-76.</w:t>
      </w:r>
    </w:p>
    <w:p w14:paraId="3030CD55">
      <w:pPr>
        <w:spacing w:line="276"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[29] 崔彦如，赵叶明，解娇，等.基于沼渣的育苗基质配方对水稻生理指标的影响[J].山西农经，2015，(09):52-54.</w:t>
      </w:r>
    </w:p>
    <w:p w14:paraId="12D488DB">
      <w:pPr>
        <w:tabs>
          <w:tab w:val="left" w:pos="540"/>
          <w:tab w:val="left" w:pos="900"/>
          <w:tab w:val="left" w:pos="1080"/>
          <w:tab w:val="left" w:pos="1260"/>
        </w:tabs>
        <w:autoSpaceDE w:val="0"/>
        <w:autoSpaceDN w:val="0"/>
        <w:adjustRightInd w:val="0"/>
        <w:snapToGrid w:val="0"/>
        <w:spacing w:line="360" w:lineRule="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 饶镭，吴天琦，李保同，等.猪粪基质育秧对水稻秧苗素质的影响[J].生物灾害科学，2019，42(01):70-72.</w:t>
      </w:r>
    </w:p>
    <w:p w14:paraId="3501B439">
      <w:pPr>
        <w:tabs>
          <w:tab w:val="left" w:pos="540"/>
          <w:tab w:val="left" w:pos="900"/>
          <w:tab w:val="left" w:pos="1080"/>
          <w:tab w:val="left" w:pos="1260"/>
        </w:tabs>
        <w:autoSpaceDE w:val="0"/>
        <w:autoSpaceDN w:val="0"/>
        <w:adjustRightInd w:val="0"/>
        <w:snapToGrid w:val="0"/>
        <w:spacing w:line="360" w:lineRule="auto"/>
        <w:rPr>
          <w:rFonts w:hint="default" w:ascii="Times New Roman" w:hAnsi="Times New Roman" w:eastAsia="宋体" w:cs="Times New Roman"/>
          <w:sz w:val="21"/>
          <w:szCs w:val="21"/>
        </w:rPr>
      </w:pPr>
    </w:p>
    <w:p w14:paraId="3DA23C96">
      <w:pPr>
        <w:tabs>
          <w:tab w:val="left" w:pos="540"/>
          <w:tab w:val="left" w:pos="900"/>
          <w:tab w:val="left" w:pos="1080"/>
          <w:tab w:val="left" w:pos="1260"/>
        </w:tabs>
        <w:autoSpaceDE w:val="0"/>
        <w:autoSpaceDN w:val="0"/>
        <w:adjustRightInd w:val="0"/>
        <w:snapToGrid w:val="0"/>
        <w:spacing w:line="360" w:lineRule="auto"/>
        <w:rPr>
          <w:rFonts w:hint="default" w:ascii="Times New Roman" w:hAnsi="Times New Roman" w:eastAsia="宋体" w:cs="Times New Roman"/>
          <w:sz w:val="21"/>
          <w:szCs w:val="21"/>
        </w:rPr>
      </w:pPr>
    </w:p>
    <w:p w14:paraId="50F6C782">
      <w:pPr>
        <w:tabs>
          <w:tab w:val="left" w:pos="540"/>
          <w:tab w:val="left" w:pos="900"/>
          <w:tab w:val="left" w:pos="1080"/>
          <w:tab w:val="left" w:pos="1260"/>
        </w:tabs>
        <w:autoSpaceDE w:val="0"/>
        <w:autoSpaceDN w:val="0"/>
        <w:adjustRightInd w:val="0"/>
        <w:snapToGrid w:val="0"/>
        <w:spacing w:line="360" w:lineRule="auto"/>
        <w:rPr>
          <w:rFonts w:hint="default" w:ascii="Times New Roman" w:hAnsi="Times New Roman" w:eastAsia="宋体" w:cs="Times New Roman"/>
          <w:sz w:val="21"/>
          <w:szCs w:val="21"/>
        </w:rPr>
      </w:pPr>
    </w:p>
    <w:p w14:paraId="0DDE95B9">
      <w:pPr>
        <w:tabs>
          <w:tab w:val="left" w:pos="540"/>
          <w:tab w:val="left" w:pos="900"/>
          <w:tab w:val="left" w:pos="1080"/>
          <w:tab w:val="left" w:pos="1260"/>
        </w:tabs>
        <w:autoSpaceDE w:val="0"/>
        <w:autoSpaceDN w:val="0"/>
        <w:adjustRightInd w:val="0"/>
        <w:snapToGrid w:val="0"/>
        <w:spacing w:line="360" w:lineRule="auto"/>
        <w:rPr>
          <w:rFonts w:hint="default" w:ascii="Times New Roman" w:hAnsi="Times New Roman" w:eastAsia="宋体" w:cs="Times New Roman"/>
          <w:sz w:val="21"/>
          <w:szCs w:val="21"/>
        </w:rPr>
      </w:pPr>
    </w:p>
    <w:p w14:paraId="474D5F98">
      <w:pPr>
        <w:tabs>
          <w:tab w:val="left" w:pos="540"/>
          <w:tab w:val="left" w:pos="900"/>
          <w:tab w:val="left" w:pos="1080"/>
          <w:tab w:val="left" w:pos="1260"/>
        </w:tabs>
        <w:autoSpaceDE w:val="0"/>
        <w:autoSpaceDN w:val="0"/>
        <w:adjustRightInd w:val="0"/>
        <w:snapToGrid w:val="0"/>
        <w:spacing w:line="360" w:lineRule="auto"/>
        <w:rPr>
          <w:rFonts w:hint="default" w:ascii="Times New Roman" w:hAnsi="Times New Roman" w:eastAsia="宋体" w:cs="Times New Roman"/>
          <w:sz w:val="21"/>
          <w:szCs w:val="21"/>
        </w:rPr>
      </w:pPr>
    </w:p>
    <w:p w14:paraId="7589865A">
      <w:pPr>
        <w:tabs>
          <w:tab w:val="left" w:pos="540"/>
          <w:tab w:val="left" w:pos="900"/>
          <w:tab w:val="left" w:pos="1080"/>
          <w:tab w:val="left" w:pos="1260"/>
        </w:tabs>
        <w:autoSpaceDE w:val="0"/>
        <w:autoSpaceDN w:val="0"/>
        <w:adjustRightInd w:val="0"/>
        <w:snapToGrid w:val="0"/>
        <w:spacing w:line="360" w:lineRule="auto"/>
        <w:rPr>
          <w:rFonts w:hint="default" w:ascii="Times New Roman" w:hAnsi="Times New Roman" w:eastAsia="宋体" w:cs="Times New Roman"/>
          <w:sz w:val="21"/>
          <w:szCs w:val="21"/>
        </w:rPr>
      </w:pPr>
    </w:p>
    <w:p w14:paraId="43A25DB8">
      <w:pPr>
        <w:tabs>
          <w:tab w:val="left" w:pos="540"/>
          <w:tab w:val="left" w:pos="900"/>
          <w:tab w:val="left" w:pos="1080"/>
          <w:tab w:val="left" w:pos="1260"/>
        </w:tabs>
        <w:autoSpaceDE w:val="0"/>
        <w:autoSpaceDN w:val="0"/>
        <w:adjustRightInd w:val="0"/>
        <w:snapToGrid w:val="0"/>
        <w:spacing w:line="360" w:lineRule="auto"/>
        <w:rPr>
          <w:rFonts w:hint="default" w:ascii="Times New Roman" w:hAnsi="Times New Roman" w:eastAsia="宋体" w:cs="Times New Roman"/>
          <w:sz w:val="21"/>
          <w:szCs w:val="21"/>
        </w:rPr>
      </w:pPr>
    </w:p>
    <w:p w14:paraId="4E4B4224">
      <w:pPr>
        <w:tabs>
          <w:tab w:val="left" w:pos="540"/>
          <w:tab w:val="left" w:pos="900"/>
          <w:tab w:val="left" w:pos="1080"/>
          <w:tab w:val="left" w:pos="1260"/>
        </w:tabs>
        <w:autoSpaceDE w:val="0"/>
        <w:autoSpaceDN w:val="0"/>
        <w:adjustRightInd w:val="0"/>
        <w:snapToGrid w:val="0"/>
        <w:spacing w:line="360" w:lineRule="auto"/>
        <w:rPr>
          <w:rFonts w:hint="default" w:ascii="Times New Roman" w:hAnsi="Times New Roman" w:eastAsia="宋体" w:cs="Times New Roman"/>
          <w:sz w:val="21"/>
          <w:szCs w:val="21"/>
        </w:rPr>
      </w:pPr>
    </w:p>
    <w:p w14:paraId="5237C90D">
      <w:pPr>
        <w:tabs>
          <w:tab w:val="left" w:pos="540"/>
          <w:tab w:val="left" w:pos="900"/>
          <w:tab w:val="left" w:pos="1080"/>
          <w:tab w:val="left" w:pos="1260"/>
        </w:tabs>
        <w:autoSpaceDE w:val="0"/>
        <w:autoSpaceDN w:val="0"/>
        <w:adjustRightInd w:val="0"/>
        <w:snapToGrid w:val="0"/>
        <w:spacing w:line="360" w:lineRule="auto"/>
        <w:rPr>
          <w:rFonts w:hint="default" w:ascii="Times New Roman" w:hAnsi="Times New Roman" w:eastAsia="宋体" w:cs="Times New Roman"/>
          <w:sz w:val="21"/>
          <w:szCs w:val="21"/>
        </w:rPr>
      </w:pPr>
    </w:p>
    <w:p w14:paraId="40B7234E">
      <w:pPr>
        <w:tabs>
          <w:tab w:val="left" w:pos="540"/>
          <w:tab w:val="left" w:pos="900"/>
          <w:tab w:val="left" w:pos="1080"/>
          <w:tab w:val="left" w:pos="1260"/>
        </w:tabs>
        <w:autoSpaceDE w:val="0"/>
        <w:autoSpaceDN w:val="0"/>
        <w:adjustRightInd w:val="0"/>
        <w:snapToGrid w:val="0"/>
        <w:spacing w:line="360" w:lineRule="auto"/>
        <w:rPr>
          <w:rFonts w:hint="default" w:ascii="Times New Roman" w:hAnsi="Times New Roman" w:eastAsia="宋体" w:cs="Times New Roman"/>
          <w:sz w:val="21"/>
          <w:szCs w:val="21"/>
          <w:lang w:val="en-US" w:eastAsia="zh-CN"/>
        </w:rPr>
      </w:pPr>
      <w:bookmarkStart w:id="7" w:name="_GoBack"/>
      <w:bookmarkEnd w:id="7"/>
    </w:p>
    <w:p w14:paraId="306F4C30">
      <w:pPr>
        <w:tabs>
          <w:tab w:val="left" w:pos="540"/>
          <w:tab w:val="left" w:pos="900"/>
          <w:tab w:val="left" w:pos="1080"/>
          <w:tab w:val="left" w:pos="1260"/>
        </w:tabs>
        <w:autoSpaceDE w:val="0"/>
        <w:autoSpaceDN w:val="0"/>
        <w:adjustRightInd w:val="0"/>
        <w:snapToGrid w:val="0"/>
        <w:spacing w:line="360" w:lineRule="auto"/>
        <w:ind w:firstLine="480" w:firstLineChars="200"/>
        <w:rPr>
          <w:rFonts w:hint="default" w:ascii="Times New Roman" w:hAnsi="Times New Roman" w:eastAsia="黑体" w:cs="Times New Roman"/>
          <w:sz w:val="24"/>
          <w:szCs w:val="24"/>
          <w:lang w:val="en-US" w:eastAsia="zh-CN"/>
        </w:rPr>
      </w:pPr>
      <w:r>
        <w:rPr>
          <w:rFonts w:hint="default" w:ascii="Times New Roman" w:hAnsi="Times New Roman" w:eastAsia="黑体" w:cs="Times New Roman"/>
          <w:sz w:val="24"/>
          <w:szCs w:val="24"/>
          <w:lang w:val="en-US" w:eastAsia="zh-CN"/>
        </w:rPr>
        <w:t>（二）主要试验或验证的分析</w:t>
      </w:r>
    </w:p>
    <w:p w14:paraId="32EDEB03">
      <w:pPr>
        <w:tabs>
          <w:tab w:val="left" w:pos="540"/>
          <w:tab w:val="left" w:pos="900"/>
          <w:tab w:val="left" w:pos="1080"/>
          <w:tab w:val="left" w:pos="1260"/>
        </w:tabs>
        <w:autoSpaceDE w:val="0"/>
        <w:autoSpaceDN w:val="0"/>
        <w:adjustRightInd w:val="0"/>
        <w:snapToGrid w:val="0"/>
        <w:spacing w:line="360" w:lineRule="auto"/>
        <w:ind w:firstLine="480" w:firstLineChars="200"/>
        <w:rPr>
          <w:rFonts w:hint="eastAsia" w:cs="Times New Roman"/>
          <w:sz w:val="24"/>
          <w:szCs w:val="24"/>
          <w:lang w:val="en-US" w:eastAsia="zh-CN"/>
        </w:rPr>
      </w:pPr>
      <w:r>
        <w:rPr>
          <w:rFonts w:hint="default" w:ascii="Times New Roman" w:hAnsi="Times New Roman" w:cs="Times New Roman"/>
          <w:sz w:val="24"/>
          <w:szCs w:val="24"/>
          <w:lang w:val="en-US" w:eastAsia="zh-CN"/>
        </w:rPr>
        <w:t>本标准主要技术指标依据起草人试验研究结果、相关研究资料、生产过程中实际调查依据及相关标准确定，具有科学性、实用性和指导性。原则是切合实际、措施具体、操作简便、科学规范、技术先进、逻辑严谨和文字简明。同时，对本标准中涉及的关键技术进行了试验验证，明确了一体化基质型秧盘培育机插壮秧技术规程及其对水稻的节本增效作用效果。试验于2020</w:t>
      </w:r>
      <w:r>
        <w:rPr>
          <w:rFonts w:hint="eastAsia" w:cs="Times New Roman"/>
          <w:sz w:val="24"/>
          <w:szCs w:val="24"/>
          <w:lang w:val="en-US" w:eastAsia="zh-CN"/>
        </w:rPr>
        <w:t>-2022年在扬州、苏州、常州等多地展开。</w:t>
      </w:r>
    </w:p>
    <w:p w14:paraId="095074AE">
      <w:pPr>
        <w:tabs>
          <w:tab w:val="left" w:pos="540"/>
          <w:tab w:val="left" w:pos="900"/>
          <w:tab w:val="left" w:pos="1080"/>
          <w:tab w:val="left" w:pos="1260"/>
        </w:tabs>
        <w:autoSpaceDE w:val="0"/>
        <w:autoSpaceDN w:val="0"/>
        <w:adjustRightInd w:val="0"/>
        <w:snapToGrid w:val="0"/>
        <w:spacing w:line="360" w:lineRule="auto"/>
      </w:pPr>
      <w:r>
        <w:drawing>
          <wp:inline distT="0" distB="0" distL="114300" distR="114300">
            <wp:extent cx="5854065" cy="2582545"/>
            <wp:effectExtent l="0" t="0" r="3810" b="8255"/>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6"/>
                    <a:stretch>
                      <a:fillRect/>
                    </a:stretch>
                  </pic:blipFill>
                  <pic:spPr>
                    <a:xfrm>
                      <a:off x="0" y="0"/>
                      <a:ext cx="5854065" cy="2582545"/>
                    </a:xfrm>
                    <a:prstGeom prst="rect">
                      <a:avLst/>
                    </a:prstGeom>
                    <a:noFill/>
                    <a:ln>
                      <a:noFill/>
                    </a:ln>
                  </pic:spPr>
                </pic:pic>
              </a:graphicData>
            </a:graphic>
          </wp:inline>
        </w:drawing>
      </w:r>
    </w:p>
    <w:p w14:paraId="49E07A2F">
      <w:pPr>
        <w:tabs>
          <w:tab w:val="left" w:pos="540"/>
          <w:tab w:val="left" w:pos="900"/>
          <w:tab w:val="left" w:pos="1080"/>
          <w:tab w:val="left" w:pos="1260"/>
        </w:tabs>
        <w:autoSpaceDE w:val="0"/>
        <w:autoSpaceDN w:val="0"/>
        <w:adjustRightInd w:val="0"/>
        <w:snapToGrid w:val="0"/>
        <w:spacing w:line="360" w:lineRule="auto"/>
        <w:jc w:val="center"/>
        <w:rPr>
          <w:rFonts w:hint="eastAsia"/>
          <w:sz w:val="24"/>
          <w:szCs w:val="24"/>
          <w:lang w:val="en-US" w:eastAsia="zh-CN"/>
        </w:rPr>
      </w:pPr>
      <w:r>
        <w:rPr>
          <w:rFonts w:hint="eastAsia"/>
          <w:sz w:val="24"/>
          <w:szCs w:val="24"/>
          <w:lang w:val="en-US" w:eastAsia="zh-CN"/>
        </w:rPr>
        <w:t>图7 基质型秧盘实验室研发及产品迭代</w:t>
      </w:r>
    </w:p>
    <w:p w14:paraId="33D49B7D">
      <w:pPr>
        <w:tabs>
          <w:tab w:val="left" w:pos="540"/>
          <w:tab w:val="left" w:pos="900"/>
          <w:tab w:val="left" w:pos="1080"/>
          <w:tab w:val="left" w:pos="1260"/>
        </w:tabs>
        <w:autoSpaceDE w:val="0"/>
        <w:autoSpaceDN w:val="0"/>
        <w:adjustRightInd w:val="0"/>
        <w:snapToGrid w:val="0"/>
        <w:spacing w:line="360" w:lineRule="auto"/>
        <w:jc w:val="center"/>
      </w:pPr>
      <w:r>
        <w:drawing>
          <wp:inline distT="0" distB="0" distL="114300" distR="114300">
            <wp:extent cx="5721985" cy="3766820"/>
            <wp:effectExtent l="0" t="0" r="2540" b="508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7"/>
                    <a:stretch>
                      <a:fillRect/>
                    </a:stretch>
                  </pic:blipFill>
                  <pic:spPr>
                    <a:xfrm>
                      <a:off x="0" y="0"/>
                      <a:ext cx="5721985" cy="3766820"/>
                    </a:xfrm>
                    <a:prstGeom prst="rect">
                      <a:avLst/>
                    </a:prstGeom>
                    <a:noFill/>
                    <a:ln>
                      <a:noFill/>
                    </a:ln>
                  </pic:spPr>
                </pic:pic>
              </a:graphicData>
            </a:graphic>
          </wp:inline>
        </w:drawing>
      </w:r>
    </w:p>
    <w:p w14:paraId="181807B0">
      <w:pPr>
        <w:tabs>
          <w:tab w:val="left" w:pos="540"/>
          <w:tab w:val="left" w:pos="900"/>
          <w:tab w:val="left" w:pos="1080"/>
          <w:tab w:val="left" w:pos="1260"/>
        </w:tabs>
        <w:autoSpaceDE w:val="0"/>
        <w:autoSpaceDN w:val="0"/>
        <w:adjustRightInd w:val="0"/>
        <w:snapToGrid w:val="0"/>
        <w:spacing w:line="360" w:lineRule="auto"/>
        <w:jc w:val="center"/>
        <w:rPr>
          <w:rFonts w:hint="eastAsia"/>
          <w:sz w:val="24"/>
          <w:szCs w:val="24"/>
          <w:lang w:val="en-US" w:eastAsia="zh-CN"/>
        </w:rPr>
      </w:pPr>
      <w:r>
        <w:rPr>
          <w:rFonts w:hint="eastAsia"/>
          <w:sz w:val="24"/>
          <w:szCs w:val="24"/>
          <w:lang w:val="en-US" w:eastAsia="zh-CN"/>
        </w:rPr>
        <w:t>图8 基质型秧盘各地产品对比试验</w:t>
      </w:r>
    </w:p>
    <w:p w14:paraId="105DBD11">
      <w:pPr>
        <w:tabs>
          <w:tab w:val="left" w:pos="540"/>
          <w:tab w:val="left" w:pos="900"/>
          <w:tab w:val="left" w:pos="1080"/>
          <w:tab w:val="left" w:pos="1260"/>
        </w:tabs>
        <w:autoSpaceDE w:val="0"/>
        <w:autoSpaceDN w:val="0"/>
        <w:adjustRightInd w:val="0"/>
        <w:snapToGrid w:val="0"/>
        <w:spacing w:line="360" w:lineRule="auto"/>
        <w:jc w:val="center"/>
        <w:rPr>
          <w:rFonts w:hint="eastAsia"/>
          <w:sz w:val="24"/>
          <w:szCs w:val="24"/>
          <w:lang w:val="en-US" w:eastAsia="zh-CN"/>
        </w:rPr>
      </w:pPr>
      <w:r>
        <w:drawing>
          <wp:inline distT="0" distB="0" distL="114300" distR="114300">
            <wp:extent cx="5850890" cy="3699510"/>
            <wp:effectExtent l="0" t="0" r="6985" b="5715"/>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18"/>
                    <a:stretch>
                      <a:fillRect/>
                    </a:stretch>
                  </pic:blipFill>
                  <pic:spPr>
                    <a:xfrm>
                      <a:off x="0" y="0"/>
                      <a:ext cx="5850890" cy="3699510"/>
                    </a:xfrm>
                    <a:prstGeom prst="rect">
                      <a:avLst/>
                    </a:prstGeom>
                    <a:noFill/>
                    <a:ln>
                      <a:noFill/>
                    </a:ln>
                  </pic:spPr>
                </pic:pic>
              </a:graphicData>
            </a:graphic>
          </wp:inline>
        </w:drawing>
      </w:r>
    </w:p>
    <w:p w14:paraId="746947A3">
      <w:pPr>
        <w:tabs>
          <w:tab w:val="left" w:pos="540"/>
          <w:tab w:val="left" w:pos="900"/>
          <w:tab w:val="left" w:pos="1080"/>
          <w:tab w:val="left" w:pos="1260"/>
        </w:tabs>
        <w:autoSpaceDE w:val="0"/>
        <w:autoSpaceDN w:val="0"/>
        <w:adjustRightInd w:val="0"/>
        <w:snapToGrid w:val="0"/>
        <w:spacing w:line="360" w:lineRule="auto"/>
        <w:jc w:val="center"/>
        <w:rPr>
          <w:rFonts w:hint="default"/>
          <w:sz w:val="24"/>
          <w:szCs w:val="24"/>
          <w:lang w:val="en-US" w:eastAsia="zh-CN"/>
        </w:rPr>
      </w:pPr>
      <w:r>
        <w:rPr>
          <w:rFonts w:hint="eastAsia"/>
          <w:sz w:val="24"/>
          <w:szCs w:val="24"/>
          <w:lang w:val="en-US" w:eastAsia="zh-CN"/>
        </w:rPr>
        <w:t>图9 基质型秧盘批量生产及推广</w:t>
      </w:r>
    </w:p>
    <w:p w14:paraId="0F44C5E2">
      <w:pPr>
        <w:tabs>
          <w:tab w:val="left" w:pos="540"/>
          <w:tab w:val="left" w:pos="900"/>
          <w:tab w:val="left" w:pos="1080"/>
          <w:tab w:val="left" w:pos="1260"/>
        </w:tabs>
        <w:autoSpaceDE w:val="0"/>
        <w:autoSpaceDN w:val="0"/>
        <w:adjustRightInd w:val="0"/>
        <w:snapToGrid w:val="0"/>
        <w:spacing w:line="360" w:lineRule="auto"/>
        <w:ind w:firstLine="480" w:firstLineChars="200"/>
        <w:rPr>
          <w:rFonts w:hint="default" w:ascii="Times New Roman" w:hAnsi="Times New Roman" w:cs="Times New Roman"/>
          <w:sz w:val="24"/>
          <w:szCs w:val="24"/>
          <w:lang w:val="en-US" w:eastAsia="zh-CN"/>
        </w:rPr>
      </w:pPr>
      <w:r>
        <w:rPr>
          <w:rFonts w:hint="eastAsia" w:cs="Times New Roman"/>
          <w:sz w:val="24"/>
          <w:szCs w:val="24"/>
          <w:lang w:val="en-US" w:eastAsia="zh-CN"/>
        </w:rPr>
        <w:t>2020-2021年度在扬州地区展开的试验最为系统，以下数据基于这两年试验展开。</w:t>
      </w:r>
      <w:r>
        <w:rPr>
          <w:rFonts w:hint="default" w:ascii="Times New Roman" w:hAnsi="Times New Roman" w:cs="Times New Roman"/>
          <w:sz w:val="24"/>
          <w:szCs w:val="24"/>
          <w:lang w:val="en-US" w:eastAsia="zh-CN"/>
        </w:rPr>
        <w:t>试验为单因素随机区组设计，</w:t>
      </w:r>
      <w:r>
        <w:rPr>
          <w:rFonts w:hint="eastAsia" w:cs="Times New Roman"/>
          <w:sz w:val="24"/>
          <w:szCs w:val="24"/>
          <w:lang w:val="en-US" w:eastAsia="zh-CN"/>
        </w:rPr>
        <w:t>试验</w:t>
      </w:r>
      <w:r>
        <w:rPr>
          <w:rFonts w:hint="default" w:ascii="Times New Roman" w:hAnsi="Times New Roman" w:cs="Times New Roman"/>
          <w:sz w:val="24"/>
          <w:szCs w:val="24"/>
          <w:lang w:val="en-US" w:eastAsia="zh-CN"/>
        </w:rPr>
        <w:t>供试品种为扬粳805，共设置5个处理，分别为TS：营养土育秧处理，取田间耕层土，晒干粉碎过10目筛子后备用；CS：商品基质育秧，选择市场上推广面积大、稳定性高的基质育秧；ST：利用腐熟</w:t>
      </w:r>
      <w:r>
        <w:rPr>
          <w:rFonts w:hint="eastAsia" w:cs="Times New Roman"/>
          <w:sz w:val="24"/>
          <w:szCs w:val="24"/>
          <w:lang w:val="en-US" w:eastAsia="zh-CN"/>
        </w:rPr>
        <w:t>菌菇渣</w:t>
      </w:r>
      <w:r>
        <w:rPr>
          <w:rFonts w:hint="default" w:ascii="Times New Roman" w:hAnsi="Times New Roman" w:cs="Times New Roman"/>
          <w:sz w:val="24"/>
          <w:szCs w:val="24"/>
          <w:lang w:val="en-US" w:eastAsia="zh-CN"/>
        </w:rPr>
        <w:t>育秧；RH：利用腐熟秸秆育秧；MR：</w:t>
      </w:r>
      <w:r>
        <w:rPr>
          <w:rFonts w:hint="eastAsia" w:cs="Times New Roman"/>
          <w:sz w:val="24"/>
          <w:szCs w:val="24"/>
          <w:lang w:val="en-US" w:eastAsia="zh-CN"/>
        </w:rPr>
        <w:t>基质型秧盘育秧</w:t>
      </w:r>
      <w:r>
        <w:rPr>
          <w:rFonts w:hint="default" w:ascii="Times New Roman" w:hAnsi="Times New Roman" w:cs="Times New Roman"/>
          <w:sz w:val="24"/>
          <w:szCs w:val="24"/>
          <w:lang w:val="en-US" w:eastAsia="zh-CN"/>
        </w:rPr>
        <w:t>。于5月25日播种，人工播种，每盘均匀播撒干种子120 g。秧床带水耕、耙、耱平，做成宽1.5 m的秧畦，保证畦面高低极差不超过5 mm。上平沟水，将床土完全浸湿，覆盖塑料薄膜和黑色遮阳网5天，齐苗后揭膜，此后上平沟水保持秧板和秧盘内土壤和基质充分湿润。22天后移栽大田，人工模拟水稻机械插秧，行株距分别为30 cm和12 cm，每穴4苗，基本苗7.4万，大田中每个小区长宽为8m*10m，每个处理重复三次。移栽后保证大田各不同处理的管理措施一致，按照常规高产栽培管理肥水，全生育期严格控制杂草和病虫害。</w:t>
      </w:r>
    </w:p>
    <w:p w14:paraId="5DBC8542">
      <w:pPr>
        <w:tabs>
          <w:tab w:val="left" w:pos="540"/>
          <w:tab w:val="left" w:pos="900"/>
          <w:tab w:val="left" w:pos="1080"/>
          <w:tab w:val="left" w:pos="1260"/>
        </w:tabs>
        <w:autoSpaceDE w:val="0"/>
        <w:autoSpaceDN w:val="0"/>
        <w:adjustRightInd w:val="0"/>
        <w:snapToGrid w:val="0"/>
        <w:spacing w:line="360" w:lineRule="auto"/>
        <w:ind w:firstLine="480" w:firstLineChars="200"/>
        <w:rPr>
          <w:rFonts w:hint="eastAsia" w:cs="Times New Roman"/>
          <w:sz w:val="24"/>
          <w:szCs w:val="24"/>
          <w:lang w:val="en-US" w:eastAsia="zh-CN"/>
        </w:rPr>
      </w:pPr>
      <w:r>
        <w:rPr>
          <w:rFonts w:hint="eastAsia" w:cs="Times New Roman"/>
          <w:sz w:val="24"/>
          <w:szCs w:val="24"/>
          <w:lang w:val="en-US" w:eastAsia="zh-CN"/>
        </w:rPr>
        <w:t>（1）对比了不同育秧材料理化性质</w:t>
      </w:r>
    </w:p>
    <w:p w14:paraId="4C8261F4">
      <w:pPr>
        <w:tabs>
          <w:tab w:val="left" w:pos="540"/>
          <w:tab w:val="left" w:pos="900"/>
          <w:tab w:val="left" w:pos="1080"/>
          <w:tab w:val="left" w:pos="1260"/>
        </w:tabs>
        <w:autoSpaceDE w:val="0"/>
        <w:autoSpaceDN w:val="0"/>
        <w:adjustRightInd w:val="0"/>
        <w:snapToGrid w:val="0"/>
        <w:spacing w:line="360" w:lineRule="auto"/>
        <w:ind w:firstLine="480" w:firstLineChars="200"/>
        <w:rPr>
          <w:rFonts w:hint="default" w:cs="Times New Roman"/>
          <w:sz w:val="24"/>
          <w:szCs w:val="24"/>
          <w:lang w:val="en-US" w:eastAsia="zh-CN"/>
        </w:rPr>
      </w:pPr>
      <w:r>
        <w:rPr>
          <w:rFonts w:hint="default" w:cs="Times New Roman"/>
          <w:sz w:val="24"/>
          <w:szCs w:val="24"/>
          <w:lang w:val="en-US" w:eastAsia="zh-CN"/>
        </w:rPr>
        <w:t>不同材料基质理化性状差异显著（</w:t>
      </w:r>
      <w:r>
        <w:rPr>
          <w:rFonts w:hint="eastAsia" w:cs="Times New Roman"/>
          <w:sz w:val="24"/>
          <w:szCs w:val="24"/>
          <w:lang w:val="en-US" w:eastAsia="zh-CN"/>
        </w:rPr>
        <w:t>表</w:t>
      </w:r>
      <w:r>
        <w:rPr>
          <w:rFonts w:hint="default" w:cs="Times New Roman"/>
          <w:sz w:val="24"/>
          <w:szCs w:val="24"/>
          <w:lang w:val="en-US" w:eastAsia="zh-CN"/>
        </w:rPr>
        <w:t>1），为水稻苗期生长提供不同环境。在各项指标中，电导率差异最大，表现为ST&gt;MR&gt;RH&gt;CS&gt;TS，最大的ST处理比最小的TS处理高325.68%，不同处理间容重差异均达到显著水平，表现为TS&gt;MR&gt;CS&gt;RH&gt;ST，处理CS和MR呈弱酸性，pH显著低于TS、ST、RH三个处理。</w:t>
      </w:r>
    </w:p>
    <w:p w14:paraId="61A7B94C">
      <w:pPr>
        <w:tabs>
          <w:tab w:val="left" w:pos="540"/>
          <w:tab w:val="left" w:pos="900"/>
          <w:tab w:val="left" w:pos="1080"/>
          <w:tab w:val="left" w:pos="1260"/>
        </w:tabs>
        <w:autoSpaceDE w:val="0"/>
        <w:autoSpaceDN w:val="0"/>
        <w:adjustRightInd w:val="0"/>
        <w:snapToGrid w:val="0"/>
        <w:spacing w:line="360" w:lineRule="auto"/>
        <w:jc w:val="center"/>
        <w:rPr>
          <w:rFonts w:hint="default" w:cs="Times New Roman"/>
          <w:sz w:val="24"/>
          <w:szCs w:val="24"/>
          <w:lang w:val="en-US" w:eastAsia="zh-CN"/>
        </w:rPr>
      </w:pPr>
      <w:r>
        <w:rPr>
          <w:rFonts w:hint="eastAsia" w:cs="Times New Roman"/>
          <w:sz w:val="24"/>
          <w:szCs w:val="24"/>
          <w:lang w:val="en-US" w:eastAsia="zh-CN"/>
        </w:rPr>
        <w:t xml:space="preserve">表1 </w:t>
      </w:r>
      <w:r>
        <w:rPr>
          <w:rFonts w:hint="default" w:cs="Times New Roman"/>
          <w:sz w:val="24"/>
          <w:szCs w:val="24"/>
          <w:lang w:val="en-US" w:eastAsia="zh-CN"/>
        </w:rPr>
        <w:t>不同水稻育苗基质的理化性质</w:t>
      </w:r>
    </w:p>
    <w:tbl>
      <w:tblPr>
        <w:tblStyle w:val="7"/>
        <w:tblW w:w="4961" w:type="pct"/>
        <w:jc w:val="center"/>
        <w:tblLayout w:type="autofit"/>
        <w:tblCellMar>
          <w:top w:w="0" w:type="dxa"/>
          <w:left w:w="0" w:type="dxa"/>
          <w:bottom w:w="0" w:type="dxa"/>
          <w:right w:w="0" w:type="dxa"/>
        </w:tblCellMar>
      </w:tblPr>
      <w:tblGrid>
        <w:gridCol w:w="1102"/>
        <w:gridCol w:w="1594"/>
        <w:gridCol w:w="1695"/>
        <w:gridCol w:w="1594"/>
        <w:gridCol w:w="1594"/>
        <w:gridCol w:w="1598"/>
      </w:tblGrid>
      <w:tr w14:paraId="57C73335">
        <w:tblPrEx>
          <w:tblCellMar>
            <w:top w:w="0" w:type="dxa"/>
            <w:left w:w="0" w:type="dxa"/>
            <w:bottom w:w="0" w:type="dxa"/>
            <w:right w:w="0" w:type="dxa"/>
          </w:tblCellMar>
        </w:tblPrEx>
        <w:trPr>
          <w:trHeight w:val="637" w:hRule="atLeast"/>
          <w:jc w:val="center"/>
        </w:trPr>
        <w:tc>
          <w:tcPr>
            <w:tcW w:w="600" w:type="pct"/>
            <w:tcBorders>
              <w:top w:val="single" w:color="auto" w:sz="4" w:space="0"/>
              <w:left w:val="nil"/>
              <w:bottom w:val="nil"/>
              <w:right w:val="nil"/>
            </w:tcBorders>
            <w:shd w:val="clear" w:color="auto" w:fill="auto"/>
            <w:noWrap/>
            <w:tcMar>
              <w:top w:w="15" w:type="dxa"/>
              <w:left w:w="15" w:type="dxa"/>
              <w:right w:w="15" w:type="dxa"/>
            </w:tcMar>
            <w:vAlign w:val="center"/>
          </w:tcPr>
          <w:p w14:paraId="557919A4">
            <w:pPr>
              <w:widowControl/>
              <w:jc w:val="center"/>
              <w:textAlignment w:val="center"/>
              <w:rPr>
                <w:rFonts w:hint="eastAsia" w:ascii="Times New Roman" w:hAnsi="Times New Roman" w:eastAsia="等线" w:cs="Times New Roman"/>
                <w:color w:val="000000"/>
                <w:sz w:val="21"/>
                <w:szCs w:val="21"/>
                <w:lang w:eastAsia="zh-CN"/>
              </w:rPr>
            </w:pPr>
            <w:r>
              <w:rPr>
                <w:rFonts w:hint="eastAsia" w:cs="Times New Roman"/>
                <w:color w:val="000000"/>
                <w:kern w:val="0"/>
                <w:sz w:val="21"/>
                <w:szCs w:val="21"/>
                <w:lang w:val="en-US" w:eastAsia="zh-CN" w:bidi="ar"/>
              </w:rPr>
              <w:t>处理</w:t>
            </w:r>
          </w:p>
        </w:tc>
        <w:tc>
          <w:tcPr>
            <w:tcW w:w="868" w:type="pct"/>
            <w:tcBorders>
              <w:top w:val="single" w:color="auto" w:sz="4" w:space="0"/>
              <w:left w:val="nil"/>
              <w:bottom w:val="nil"/>
              <w:right w:val="nil"/>
            </w:tcBorders>
            <w:shd w:val="clear" w:color="auto" w:fill="auto"/>
            <w:noWrap/>
            <w:tcMar>
              <w:top w:w="15" w:type="dxa"/>
              <w:left w:w="15" w:type="dxa"/>
              <w:right w:w="15" w:type="dxa"/>
            </w:tcMar>
            <w:vAlign w:val="center"/>
          </w:tcPr>
          <w:p w14:paraId="04779CE6">
            <w:pPr>
              <w:widowControl/>
              <w:jc w:val="center"/>
              <w:textAlignment w:val="center"/>
              <w:rPr>
                <w:rFonts w:hint="eastAsia" w:cs="Times New Roman"/>
                <w:color w:val="000000"/>
                <w:kern w:val="0"/>
                <w:sz w:val="21"/>
                <w:szCs w:val="21"/>
                <w:lang w:val="en-US" w:eastAsia="zh-CN" w:bidi="ar"/>
              </w:rPr>
            </w:pPr>
            <w:r>
              <w:rPr>
                <w:rFonts w:hint="eastAsia" w:cs="Times New Roman"/>
                <w:color w:val="000000"/>
                <w:kern w:val="0"/>
                <w:sz w:val="21"/>
                <w:szCs w:val="21"/>
                <w:lang w:val="en-US" w:eastAsia="zh-CN" w:bidi="ar"/>
              </w:rPr>
              <w:t>容重</w:t>
            </w:r>
          </w:p>
          <w:p w14:paraId="64FE6A3C">
            <w:pPr>
              <w:widowControl/>
              <w:jc w:val="center"/>
              <w:textAlignment w:val="center"/>
              <w:rPr>
                <w:rFonts w:ascii="Times New Roman" w:hAnsi="Times New Roman" w:eastAsia="等线" w:cs="Times New Roman"/>
                <w:color w:val="000000"/>
                <w:sz w:val="21"/>
                <w:szCs w:val="21"/>
              </w:rPr>
            </w:pPr>
            <w:r>
              <w:rPr>
                <w:rFonts w:ascii="Times New Roman" w:hAnsi="Times New Roman" w:eastAsia="宋体" w:cs="Times New Roman"/>
                <w:color w:val="000000"/>
                <w:kern w:val="0"/>
                <w:sz w:val="21"/>
                <w:szCs w:val="21"/>
                <w:lang w:bidi="ar"/>
              </w:rPr>
              <w:t>（</w:t>
            </w:r>
            <w:r>
              <w:rPr>
                <w:rFonts w:ascii="Times New Roman" w:hAnsi="Times New Roman" w:eastAsia="等线" w:cs="Times New Roman"/>
                <w:color w:val="000000"/>
                <w:kern w:val="0"/>
                <w:sz w:val="21"/>
                <w:szCs w:val="21"/>
                <w:lang w:bidi="ar"/>
              </w:rPr>
              <w:t>g</w:t>
            </w:r>
            <w:r>
              <w:rPr>
                <w:rFonts w:hint="eastAsia" w:ascii="Times New Roman" w:hAnsi="Times New Roman" w:eastAsia="等线" w:cs="Times New Roman"/>
                <w:color w:val="000000"/>
                <w:kern w:val="0"/>
                <w:sz w:val="21"/>
                <w:szCs w:val="21"/>
                <w:lang w:bidi="ar"/>
              </w:rPr>
              <w:t>·</w:t>
            </w:r>
            <w:r>
              <w:rPr>
                <w:rFonts w:ascii="Times New Roman" w:hAnsi="Times New Roman" w:eastAsia="等线" w:cs="Times New Roman"/>
                <w:color w:val="000000"/>
                <w:kern w:val="0"/>
                <w:sz w:val="21"/>
                <w:szCs w:val="21"/>
                <w:lang w:bidi="ar"/>
              </w:rPr>
              <w:t>cm</w:t>
            </w:r>
            <w:r>
              <w:rPr>
                <w:rFonts w:hint="eastAsia" w:ascii="Times New Roman" w:hAnsi="Times New Roman" w:eastAsia="等线" w:cs="Times New Roman"/>
                <w:color w:val="000000"/>
                <w:kern w:val="0"/>
                <w:sz w:val="21"/>
                <w:szCs w:val="21"/>
                <w:vertAlign w:val="superscript"/>
                <w:lang w:bidi="ar"/>
              </w:rPr>
              <w:t>-</w:t>
            </w:r>
            <w:r>
              <w:rPr>
                <w:rFonts w:ascii="Times New Roman" w:hAnsi="Times New Roman" w:eastAsia="等线" w:cs="Times New Roman"/>
                <w:color w:val="000000"/>
                <w:kern w:val="0"/>
                <w:sz w:val="21"/>
                <w:szCs w:val="21"/>
                <w:lang w:bidi="ar"/>
              </w:rPr>
              <w:t>³</w:t>
            </w:r>
            <w:r>
              <w:rPr>
                <w:rFonts w:ascii="Times New Roman" w:hAnsi="Times New Roman" w:eastAsia="宋体" w:cs="Times New Roman"/>
                <w:color w:val="000000"/>
                <w:kern w:val="0"/>
                <w:sz w:val="21"/>
                <w:szCs w:val="21"/>
                <w:lang w:bidi="ar"/>
              </w:rPr>
              <w:t>）</w:t>
            </w:r>
          </w:p>
        </w:tc>
        <w:tc>
          <w:tcPr>
            <w:tcW w:w="923" w:type="pct"/>
            <w:tcBorders>
              <w:top w:val="single" w:color="auto" w:sz="4" w:space="0"/>
              <w:left w:val="nil"/>
              <w:bottom w:val="nil"/>
              <w:right w:val="nil"/>
            </w:tcBorders>
            <w:shd w:val="clear" w:color="auto" w:fill="auto"/>
            <w:noWrap/>
            <w:tcMar>
              <w:top w:w="15" w:type="dxa"/>
              <w:left w:w="15" w:type="dxa"/>
              <w:right w:w="15" w:type="dxa"/>
            </w:tcMar>
            <w:vAlign w:val="center"/>
          </w:tcPr>
          <w:p w14:paraId="29407CD6">
            <w:pPr>
              <w:widowControl/>
              <w:jc w:val="center"/>
              <w:textAlignment w:val="center"/>
              <w:rPr>
                <w:rFonts w:hint="default" w:ascii="Times New Roman" w:hAnsi="Times New Roman" w:eastAsia="宋体" w:cs="Times New Roman"/>
                <w:color w:val="000000"/>
                <w:kern w:val="0"/>
                <w:sz w:val="21"/>
                <w:szCs w:val="21"/>
                <w:lang w:val="en-US" w:eastAsia="zh-CN" w:bidi="ar"/>
              </w:rPr>
            </w:pPr>
            <w:bookmarkStart w:id="5" w:name="OLE_LINK2"/>
            <w:bookmarkStart w:id="6" w:name="OLE_LINK1"/>
            <w:r>
              <w:rPr>
                <w:rFonts w:hint="eastAsia" w:cs="Times New Roman"/>
                <w:color w:val="000000"/>
                <w:kern w:val="0"/>
                <w:sz w:val="21"/>
                <w:szCs w:val="21"/>
                <w:lang w:val="en-US" w:eastAsia="zh-CN" w:bidi="ar"/>
              </w:rPr>
              <w:t>通气孔隙度</w:t>
            </w:r>
          </w:p>
          <w:bookmarkEnd w:id="5"/>
          <w:bookmarkEnd w:id="6"/>
          <w:p w14:paraId="6B4C64CD">
            <w:pPr>
              <w:widowControl/>
              <w:jc w:val="center"/>
              <w:textAlignment w:val="center"/>
              <w:rPr>
                <w:rFonts w:ascii="Times New Roman" w:hAnsi="Times New Roman" w:eastAsia="等线" w:cs="Times New Roman"/>
                <w:color w:val="000000"/>
                <w:sz w:val="21"/>
                <w:szCs w:val="21"/>
              </w:rPr>
            </w:pPr>
            <w:r>
              <w:rPr>
                <w:rFonts w:ascii="Times New Roman" w:hAnsi="Times New Roman" w:eastAsia="宋体" w:cs="Times New Roman"/>
                <w:color w:val="000000"/>
                <w:kern w:val="0"/>
                <w:sz w:val="21"/>
                <w:szCs w:val="21"/>
                <w:lang w:bidi="ar"/>
              </w:rPr>
              <w:t>（</w:t>
            </w:r>
            <w:r>
              <w:rPr>
                <w:rFonts w:ascii="Times New Roman" w:hAnsi="Times New Roman" w:eastAsia="等线" w:cs="Times New Roman"/>
                <w:color w:val="000000"/>
                <w:kern w:val="0"/>
                <w:sz w:val="21"/>
                <w:szCs w:val="21"/>
                <w:lang w:bidi="ar"/>
              </w:rPr>
              <w:t>%</w:t>
            </w:r>
            <w:r>
              <w:rPr>
                <w:rFonts w:ascii="Times New Roman" w:hAnsi="Times New Roman" w:eastAsia="宋体" w:cs="Times New Roman"/>
                <w:color w:val="000000"/>
                <w:kern w:val="0"/>
                <w:sz w:val="21"/>
                <w:szCs w:val="21"/>
                <w:lang w:bidi="ar"/>
              </w:rPr>
              <w:t>）</w:t>
            </w:r>
          </w:p>
        </w:tc>
        <w:tc>
          <w:tcPr>
            <w:tcW w:w="868" w:type="pct"/>
            <w:tcBorders>
              <w:top w:val="single" w:color="auto" w:sz="4" w:space="0"/>
              <w:left w:val="nil"/>
              <w:bottom w:val="nil"/>
              <w:right w:val="nil"/>
            </w:tcBorders>
            <w:shd w:val="clear" w:color="auto" w:fill="auto"/>
            <w:noWrap/>
            <w:tcMar>
              <w:top w:w="15" w:type="dxa"/>
              <w:left w:w="15" w:type="dxa"/>
              <w:right w:w="15" w:type="dxa"/>
            </w:tcMar>
            <w:vAlign w:val="center"/>
          </w:tcPr>
          <w:p w14:paraId="444110F1">
            <w:pPr>
              <w:widowControl/>
              <w:jc w:val="center"/>
              <w:textAlignment w:val="center"/>
              <w:rPr>
                <w:rFonts w:hint="eastAsia" w:cs="Times New Roman"/>
                <w:color w:val="000000"/>
                <w:kern w:val="0"/>
                <w:sz w:val="21"/>
                <w:szCs w:val="21"/>
                <w:lang w:val="en-US" w:eastAsia="zh-CN" w:bidi="ar"/>
              </w:rPr>
            </w:pPr>
            <w:r>
              <w:rPr>
                <w:rFonts w:hint="eastAsia" w:cs="Times New Roman"/>
                <w:color w:val="000000"/>
                <w:kern w:val="0"/>
                <w:sz w:val="21"/>
                <w:szCs w:val="21"/>
                <w:lang w:val="en-US" w:eastAsia="zh-CN" w:bidi="ar"/>
              </w:rPr>
              <w:t>持水孔隙度</w:t>
            </w:r>
          </w:p>
          <w:p w14:paraId="7881EDA3">
            <w:pPr>
              <w:widowControl/>
              <w:jc w:val="center"/>
              <w:textAlignment w:val="center"/>
              <w:rPr>
                <w:rFonts w:ascii="Times New Roman" w:hAnsi="Times New Roman" w:eastAsia="等线" w:cs="Times New Roman"/>
                <w:color w:val="000000"/>
                <w:sz w:val="21"/>
                <w:szCs w:val="21"/>
              </w:rPr>
            </w:pPr>
            <w:r>
              <w:rPr>
                <w:rFonts w:ascii="Times New Roman" w:hAnsi="Times New Roman" w:eastAsia="宋体" w:cs="Times New Roman"/>
                <w:color w:val="000000"/>
                <w:kern w:val="0"/>
                <w:sz w:val="21"/>
                <w:szCs w:val="21"/>
                <w:lang w:bidi="ar"/>
              </w:rPr>
              <w:t>（</w:t>
            </w:r>
            <w:r>
              <w:rPr>
                <w:rFonts w:ascii="Times New Roman" w:hAnsi="Times New Roman" w:eastAsia="等线" w:cs="Times New Roman"/>
                <w:color w:val="000000"/>
                <w:kern w:val="0"/>
                <w:sz w:val="21"/>
                <w:szCs w:val="21"/>
                <w:lang w:bidi="ar"/>
              </w:rPr>
              <w:t>%</w:t>
            </w:r>
            <w:r>
              <w:rPr>
                <w:rFonts w:ascii="Times New Roman" w:hAnsi="Times New Roman" w:eastAsia="宋体" w:cs="Times New Roman"/>
                <w:color w:val="000000"/>
                <w:kern w:val="0"/>
                <w:sz w:val="21"/>
                <w:szCs w:val="21"/>
                <w:lang w:bidi="ar"/>
              </w:rPr>
              <w:t>）</w:t>
            </w:r>
          </w:p>
        </w:tc>
        <w:tc>
          <w:tcPr>
            <w:tcW w:w="868" w:type="pct"/>
            <w:tcBorders>
              <w:top w:val="single" w:color="auto" w:sz="4" w:space="0"/>
              <w:left w:val="nil"/>
              <w:bottom w:val="nil"/>
              <w:right w:val="nil"/>
            </w:tcBorders>
            <w:shd w:val="clear" w:color="auto" w:fill="auto"/>
            <w:noWrap/>
            <w:tcMar>
              <w:top w:w="15" w:type="dxa"/>
              <w:left w:w="15" w:type="dxa"/>
              <w:right w:w="15" w:type="dxa"/>
            </w:tcMar>
            <w:vAlign w:val="center"/>
          </w:tcPr>
          <w:p w14:paraId="726F1F01">
            <w:pPr>
              <w:widowControl/>
              <w:jc w:val="center"/>
              <w:textAlignment w:val="center"/>
              <w:rPr>
                <w:rFonts w:hint="eastAsia" w:cs="Times New Roman"/>
                <w:color w:val="000000"/>
                <w:kern w:val="0"/>
                <w:sz w:val="21"/>
                <w:szCs w:val="21"/>
                <w:lang w:val="en-US" w:eastAsia="zh-CN" w:bidi="ar"/>
              </w:rPr>
            </w:pPr>
            <w:r>
              <w:rPr>
                <w:rFonts w:hint="eastAsia" w:cs="Times New Roman"/>
                <w:color w:val="000000"/>
                <w:kern w:val="0"/>
                <w:sz w:val="21"/>
                <w:szCs w:val="21"/>
                <w:lang w:val="en-US" w:eastAsia="zh-CN" w:bidi="ar"/>
              </w:rPr>
              <w:t>电导率</w:t>
            </w:r>
          </w:p>
          <w:p w14:paraId="2F220636">
            <w:pPr>
              <w:widowControl/>
              <w:jc w:val="center"/>
              <w:textAlignment w:val="center"/>
              <w:rPr>
                <w:rFonts w:ascii="Times New Roman" w:hAnsi="Times New Roman" w:eastAsia="等线" w:cs="Times New Roman"/>
                <w:color w:val="000000"/>
                <w:sz w:val="21"/>
                <w:szCs w:val="21"/>
              </w:rPr>
            </w:pPr>
            <w:r>
              <w:rPr>
                <w:rFonts w:ascii="Times New Roman" w:hAnsi="Times New Roman" w:eastAsia="宋体" w:cs="Times New Roman"/>
                <w:color w:val="000000"/>
                <w:kern w:val="0"/>
                <w:sz w:val="21"/>
                <w:szCs w:val="21"/>
                <w:lang w:bidi="ar"/>
              </w:rPr>
              <w:t>（</w:t>
            </w:r>
            <w:r>
              <w:rPr>
                <w:rFonts w:ascii="Times New Roman" w:hAnsi="Times New Roman" w:eastAsia="等线" w:cs="Times New Roman"/>
                <w:color w:val="000000"/>
                <w:kern w:val="0"/>
                <w:sz w:val="21"/>
                <w:szCs w:val="21"/>
                <w:lang w:bidi="ar"/>
              </w:rPr>
              <w:t>mS</w:t>
            </w:r>
            <w:r>
              <w:rPr>
                <w:rFonts w:hint="eastAsia" w:ascii="Times New Roman" w:hAnsi="Times New Roman" w:eastAsia="等线" w:cs="Times New Roman"/>
                <w:color w:val="000000"/>
                <w:kern w:val="0"/>
                <w:sz w:val="21"/>
                <w:szCs w:val="21"/>
                <w:lang w:bidi="ar"/>
              </w:rPr>
              <w:t>·</w:t>
            </w:r>
            <w:r>
              <w:rPr>
                <w:rFonts w:ascii="Times New Roman" w:hAnsi="Times New Roman" w:eastAsia="等线" w:cs="Times New Roman"/>
                <w:color w:val="000000"/>
                <w:kern w:val="0"/>
                <w:sz w:val="21"/>
                <w:szCs w:val="21"/>
                <w:lang w:bidi="ar"/>
              </w:rPr>
              <w:t>cm</w:t>
            </w:r>
            <w:r>
              <w:rPr>
                <w:rFonts w:hint="eastAsia" w:ascii="Times New Roman" w:hAnsi="Times New Roman" w:eastAsia="等线" w:cs="Times New Roman"/>
                <w:color w:val="000000"/>
                <w:kern w:val="0"/>
                <w:sz w:val="21"/>
                <w:szCs w:val="21"/>
                <w:vertAlign w:val="superscript"/>
                <w:lang w:bidi="ar"/>
              </w:rPr>
              <w:t>-1</w:t>
            </w:r>
            <w:r>
              <w:rPr>
                <w:rFonts w:ascii="Times New Roman" w:hAnsi="Times New Roman" w:eastAsia="等线" w:cs="Times New Roman"/>
                <w:color w:val="000000"/>
                <w:kern w:val="0"/>
                <w:sz w:val="21"/>
                <w:szCs w:val="21"/>
                <w:lang w:bidi="ar"/>
              </w:rPr>
              <w:t>)</w:t>
            </w:r>
          </w:p>
        </w:tc>
        <w:tc>
          <w:tcPr>
            <w:tcW w:w="870" w:type="pct"/>
            <w:tcBorders>
              <w:top w:val="single" w:color="auto" w:sz="4" w:space="0"/>
              <w:left w:val="nil"/>
              <w:bottom w:val="nil"/>
              <w:right w:val="nil"/>
            </w:tcBorders>
            <w:shd w:val="clear" w:color="auto" w:fill="auto"/>
            <w:noWrap/>
            <w:tcMar>
              <w:top w:w="15" w:type="dxa"/>
              <w:left w:w="15" w:type="dxa"/>
              <w:right w:w="15" w:type="dxa"/>
            </w:tcMar>
            <w:vAlign w:val="center"/>
          </w:tcPr>
          <w:p w14:paraId="644CFDCE">
            <w:pPr>
              <w:widowControl/>
              <w:jc w:val="center"/>
              <w:textAlignment w:val="center"/>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pH</w:t>
            </w:r>
          </w:p>
        </w:tc>
      </w:tr>
      <w:tr w14:paraId="43A6D583">
        <w:tblPrEx>
          <w:tblCellMar>
            <w:top w:w="0" w:type="dxa"/>
            <w:left w:w="0" w:type="dxa"/>
            <w:bottom w:w="0" w:type="dxa"/>
            <w:right w:w="0" w:type="dxa"/>
          </w:tblCellMar>
        </w:tblPrEx>
        <w:trPr>
          <w:trHeight w:val="408" w:hRule="atLeast"/>
          <w:jc w:val="center"/>
        </w:trPr>
        <w:tc>
          <w:tcPr>
            <w:tcW w:w="600" w:type="pct"/>
            <w:tcBorders>
              <w:top w:val="single" w:color="auto" w:sz="4" w:space="0"/>
              <w:left w:val="nil"/>
              <w:bottom w:val="nil"/>
              <w:right w:val="nil"/>
            </w:tcBorders>
            <w:shd w:val="clear" w:color="auto" w:fill="auto"/>
            <w:noWrap/>
            <w:tcMar>
              <w:top w:w="15" w:type="dxa"/>
              <w:left w:w="15" w:type="dxa"/>
              <w:right w:w="15" w:type="dxa"/>
            </w:tcMar>
            <w:vAlign w:val="center"/>
          </w:tcPr>
          <w:p w14:paraId="788FB0BB">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TS</w:t>
            </w:r>
          </w:p>
        </w:tc>
        <w:tc>
          <w:tcPr>
            <w:tcW w:w="868" w:type="pct"/>
            <w:tcBorders>
              <w:top w:val="single" w:color="auto" w:sz="4" w:space="0"/>
              <w:left w:val="nil"/>
              <w:bottom w:val="nil"/>
              <w:right w:val="nil"/>
            </w:tcBorders>
            <w:shd w:val="clear" w:color="auto" w:fill="auto"/>
            <w:noWrap/>
            <w:tcMar>
              <w:top w:w="15" w:type="dxa"/>
              <w:left w:w="15" w:type="dxa"/>
              <w:right w:w="15" w:type="dxa"/>
            </w:tcMar>
            <w:vAlign w:val="center"/>
          </w:tcPr>
          <w:p w14:paraId="72C26626">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1.16±0.02a</w:t>
            </w:r>
          </w:p>
        </w:tc>
        <w:tc>
          <w:tcPr>
            <w:tcW w:w="923" w:type="pct"/>
            <w:tcBorders>
              <w:top w:val="single" w:color="auto" w:sz="4" w:space="0"/>
              <w:left w:val="nil"/>
              <w:bottom w:val="nil"/>
              <w:right w:val="nil"/>
            </w:tcBorders>
            <w:shd w:val="clear" w:color="auto" w:fill="auto"/>
            <w:noWrap/>
            <w:tcMar>
              <w:top w:w="15" w:type="dxa"/>
              <w:left w:w="15" w:type="dxa"/>
              <w:right w:w="15" w:type="dxa"/>
            </w:tcMar>
            <w:vAlign w:val="center"/>
          </w:tcPr>
          <w:p w14:paraId="693FDA73">
            <w:pPr>
              <w:widowControl/>
              <w:jc w:val="center"/>
              <w:textAlignment w:val="bottom"/>
              <w:rPr>
                <w:rFonts w:ascii="Times New Roman" w:hAnsi="Times New Roman" w:eastAsia="等线" w:cs="Times New Roman"/>
                <w:color w:val="000000"/>
                <w:kern w:val="0"/>
                <w:sz w:val="21"/>
                <w:szCs w:val="21"/>
                <w:lang w:bidi="ar"/>
              </w:rPr>
            </w:pPr>
            <w:r>
              <w:rPr>
                <w:rFonts w:ascii="Times New Roman" w:hAnsi="Times New Roman" w:eastAsia="等线" w:cs="Times New Roman"/>
                <w:color w:val="000000"/>
                <w:kern w:val="0"/>
                <w:sz w:val="21"/>
                <w:szCs w:val="21"/>
                <w:lang w:bidi="ar"/>
              </w:rPr>
              <w:t>15.73±0.02d</w:t>
            </w:r>
          </w:p>
        </w:tc>
        <w:tc>
          <w:tcPr>
            <w:tcW w:w="868" w:type="pct"/>
            <w:tcBorders>
              <w:top w:val="single" w:color="auto" w:sz="4" w:space="0"/>
              <w:left w:val="nil"/>
              <w:bottom w:val="nil"/>
              <w:right w:val="nil"/>
            </w:tcBorders>
            <w:shd w:val="clear" w:color="auto" w:fill="auto"/>
            <w:noWrap/>
            <w:tcMar>
              <w:top w:w="15" w:type="dxa"/>
              <w:left w:w="15" w:type="dxa"/>
              <w:right w:w="15" w:type="dxa"/>
            </w:tcMar>
            <w:vAlign w:val="center"/>
          </w:tcPr>
          <w:p w14:paraId="655D03C7">
            <w:pPr>
              <w:jc w:val="center"/>
              <w:textAlignment w:val="bottom"/>
              <w:rPr>
                <w:rFonts w:ascii="Times New Roman" w:hAnsi="Times New Roman" w:eastAsia="等线" w:cs="Times New Roman"/>
                <w:color w:val="000000"/>
                <w:kern w:val="0"/>
                <w:sz w:val="21"/>
                <w:szCs w:val="21"/>
                <w:lang w:bidi="ar"/>
              </w:rPr>
            </w:pPr>
            <w:r>
              <w:rPr>
                <w:rFonts w:ascii="Times New Roman" w:hAnsi="Times New Roman" w:eastAsia="等线" w:cs="Times New Roman"/>
                <w:color w:val="000000"/>
                <w:kern w:val="0"/>
                <w:sz w:val="21"/>
                <w:szCs w:val="21"/>
                <w:lang w:bidi="ar"/>
              </w:rPr>
              <w:t>31.30±0.66d</w:t>
            </w:r>
          </w:p>
        </w:tc>
        <w:tc>
          <w:tcPr>
            <w:tcW w:w="868" w:type="pct"/>
            <w:tcBorders>
              <w:top w:val="single" w:color="auto" w:sz="4" w:space="0"/>
              <w:left w:val="nil"/>
              <w:bottom w:val="nil"/>
              <w:right w:val="nil"/>
            </w:tcBorders>
            <w:shd w:val="clear" w:color="auto" w:fill="auto"/>
            <w:noWrap/>
            <w:tcMar>
              <w:top w:w="15" w:type="dxa"/>
              <w:left w:w="15" w:type="dxa"/>
              <w:right w:w="15" w:type="dxa"/>
            </w:tcMar>
            <w:vAlign w:val="center"/>
          </w:tcPr>
          <w:p w14:paraId="7365CDFF">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0.74±0.05e</w:t>
            </w:r>
          </w:p>
        </w:tc>
        <w:tc>
          <w:tcPr>
            <w:tcW w:w="870" w:type="pct"/>
            <w:tcBorders>
              <w:top w:val="single" w:color="auto" w:sz="4" w:space="0"/>
              <w:left w:val="nil"/>
              <w:bottom w:val="nil"/>
              <w:right w:val="nil"/>
            </w:tcBorders>
            <w:shd w:val="clear" w:color="auto" w:fill="auto"/>
            <w:noWrap/>
            <w:tcMar>
              <w:top w:w="15" w:type="dxa"/>
              <w:left w:w="15" w:type="dxa"/>
              <w:right w:w="15" w:type="dxa"/>
            </w:tcMar>
            <w:vAlign w:val="center"/>
          </w:tcPr>
          <w:p w14:paraId="078ED042">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7.3</w:t>
            </w:r>
            <w:r>
              <w:rPr>
                <w:rFonts w:hint="eastAsia" w:ascii="Times New Roman" w:hAnsi="Times New Roman" w:eastAsia="等线" w:cs="Times New Roman"/>
                <w:color w:val="000000"/>
                <w:kern w:val="0"/>
                <w:sz w:val="21"/>
                <w:szCs w:val="21"/>
                <w:lang w:bidi="ar"/>
              </w:rPr>
              <w:t>0</w:t>
            </w:r>
            <w:r>
              <w:rPr>
                <w:rFonts w:ascii="Times New Roman" w:hAnsi="Times New Roman" w:eastAsia="等线" w:cs="Times New Roman"/>
                <w:color w:val="000000"/>
                <w:kern w:val="0"/>
                <w:sz w:val="21"/>
                <w:szCs w:val="21"/>
                <w:lang w:bidi="ar"/>
              </w:rPr>
              <w:t>±0.1</w:t>
            </w:r>
            <w:r>
              <w:rPr>
                <w:rFonts w:hint="eastAsia" w:ascii="Times New Roman" w:hAnsi="Times New Roman" w:eastAsia="等线" w:cs="Times New Roman"/>
                <w:color w:val="000000"/>
                <w:kern w:val="0"/>
                <w:sz w:val="21"/>
                <w:szCs w:val="21"/>
                <w:lang w:bidi="ar"/>
              </w:rPr>
              <w:t>0</w:t>
            </w:r>
            <w:r>
              <w:rPr>
                <w:rFonts w:ascii="Times New Roman" w:hAnsi="Times New Roman" w:eastAsia="等线" w:cs="Times New Roman"/>
                <w:color w:val="000000"/>
                <w:kern w:val="0"/>
                <w:sz w:val="21"/>
                <w:szCs w:val="21"/>
                <w:lang w:bidi="ar"/>
              </w:rPr>
              <w:t>b</w:t>
            </w:r>
          </w:p>
        </w:tc>
      </w:tr>
      <w:tr w14:paraId="38D443B3">
        <w:tblPrEx>
          <w:tblCellMar>
            <w:top w:w="0" w:type="dxa"/>
            <w:left w:w="0" w:type="dxa"/>
            <w:bottom w:w="0" w:type="dxa"/>
            <w:right w:w="0" w:type="dxa"/>
          </w:tblCellMar>
        </w:tblPrEx>
        <w:trPr>
          <w:trHeight w:val="379" w:hRule="atLeast"/>
          <w:jc w:val="center"/>
        </w:trPr>
        <w:tc>
          <w:tcPr>
            <w:tcW w:w="600" w:type="pct"/>
            <w:tcBorders>
              <w:top w:val="nil"/>
              <w:left w:val="nil"/>
              <w:bottom w:val="nil"/>
              <w:right w:val="nil"/>
            </w:tcBorders>
            <w:shd w:val="clear" w:color="auto" w:fill="auto"/>
            <w:noWrap/>
            <w:tcMar>
              <w:top w:w="15" w:type="dxa"/>
              <w:left w:w="15" w:type="dxa"/>
              <w:right w:w="15" w:type="dxa"/>
            </w:tcMar>
            <w:vAlign w:val="center"/>
          </w:tcPr>
          <w:p w14:paraId="419DC914">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CS</w:t>
            </w:r>
          </w:p>
        </w:tc>
        <w:tc>
          <w:tcPr>
            <w:tcW w:w="868" w:type="pct"/>
            <w:tcBorders>
              <w:top w:val="nil"/>
              <w:left w:val="nil"/>
              <w:bottom w:val="nil"/>
              <w:right w:val="nil"/>
            </w:tcBorders>
            <w:shd w:val="clear" w:color="auto" w:fill="auto"/>
            <w:noWrap/>
            <w:tcMar>
              <w:top w:w="15" w:type="dxa"/>
              <w:left w:w="15" w:type="dxa"/>
              <w:right w:w="15" w:type="dxa"/>
            </w:tcMar>
            <w:vAlign w:val="center"/>
          </w:tcPr>
          <w:p w14:paraId="0C2351D4">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0.95±0.02c</w:t>
            </w:r>
          </w:p>
        </w:tc>
        <w:tc>
          <w:tcPr>
            <w:tcW w:w="923" w:type="pct"/>
            <w:tcBorders>
              <w:top w:val="nil"/>
              <w:left w:val="nil"/>
              <w:bottom w:val="nil"/>
              <w:right w:val="nil"/>
            </w:tcBorders>
            <w:shd w:val="clear" w:color="auto" w:fill="auto"/>
            <w:noWrap/>
            <w:tcMar>
              <w:top w:w="15" w:type="dxa"/>
              <w:left w:w="15" w:type="dxa"/>
              <w:right w:w="15" w:type="dxa"/>
            </w:tcMar>
            <w:vAlign w:val="center"/>
          </w:tcPr>
          <w:p w14:paraId="46117AB3">
            <w:pPr>
              <w:widowControl/>
              <w:jc w:val="center"/>
              <w:textAlignment w:val="bottom"/>
              <w:rPr>
                <w:rFonts w:ascii="Times New Roman" w:hAnsi="Times New Roman" w:eastAsia="等线" w:cs="Times New Roman"/>
                <w:color w:val="000000"/>
                <w:kern w:val="0"/>
                <w:sz w:val="21"/>
                <w:szCs w:val="21"/>
                <w:lang w:bidi="ar"/>
              </w:rPr>
            </w:pPr>
            <w:r>
              <w:rPr>
                <w:rFonts w:ascii="Times New Roman" w:hAnsi="Times New Roman" w:eastAsia="等线" w:cs="Times New Roman"/>
                <w:color w:val="000000"/>
                <w:kern w:val="0"/>
                <w:sz w:val="21"/>
                <w:szCs w:val="21"/>
                <w:lang w:bidi="ar"/>
              </w:rPr>
              <w:t>18.29±0.13bc</w:t>
            </w:r>
          </w:p>
        </w:tc>
        <w:tc>
          <w:tcPr>
            <w:tcW w:w="868" w:type="pct"/>
            <w:tcBorders>
              <w:top w:val="nil"/>
              <w:left w:val="nil"/>
              <w:bottom w:val="nil"/>
              <w:right w:val="nil"/>
            </w:tcBorders>
            <w:shd w:val="clear" w:color="auto" w:fill="auto"/>
            <w:noWrap/>
            <w:tcMar>
              <w:top w:w="15" w:type="dxa"/>
              <w:left w:w="15" w:type="dxa"/>
              <w:right w:w="15" w:type="dxa"/>
            </w:tcMar>
            <w:vAlign w:val="center"/>
          </w:tcPr>
          <w:p w14:paraId="7A68A632">
            <w:pPr>
              <w:widowControl/>
              <w:jc w:val="center"/>
              <w:textAlignment w:val="bottom"/>
              <w:rPr>
                <w:rFonts w:ascii="Times New Roman" w:hAnsi="Times New Roman" w:eastAsia="等线" w:cs="Times New Roman"/>
                <w:color w:val="000000"/>
                <w:kern w:val="0"/>
                <w:sz w:val="21"/>
                <w:szCs w:val="21"/>
                <w:lang w:bidi="ar"/>
              </w:rPr>
            </w:pPr>
            <w:r>
              <w:rPr>
                <w:rFonts w:ascii="Times New Roman" w:hAnsi="Times New Roman" w:eastAsia="等线" w:cs="Times New Roman"/>
                <w:color w:val="000000"/>
                <w:kern w:val="0"/>
                <w:sz w:val="21"/>
                <w:szCs w:val="21"/>
                <w:lang w:bidi="ar"/>
              </w:rPr>
              <w:t>39.78±1.06c</w:t>
            </w:r>
          </w:p>
        </w:tc>
        <w:tc>
          <w:tcPr>
            <w:tcW w:w="868" w:type="pct"/>
            <w:tcBorders>
              <w:top w:val="nil"/>
              <w:left w:val="nil"/>
              <w:bottom w:val="nil"/>
              <w:right w:val="nil"/>
            </w:tcBorders>
            <w:shd w:val="clear" w:color="auto" w:fill="auto"/>
            <w:noWrap/>
            <w:tcMar>
              <w:top w:w="15" w:type="dxa"/>
              <w:left w:w="15" w:type="dxa"/>
              <w:right w:w="15" w:type="dxa"/>
            </w:tcMar>
            <w:vAlign w:val="center"/>
          </w:tcPr>
          <w:p w14:paraId="711C6FA8">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1.04±0.07d</w:t>
            </w:r>
          </w:p>
        </w:tc>
        <w:tc>
          <w:tcPr>
            <w:tcW w:w="870" w:type="pct"/>
            <w:tcBorders>
              <w:top w:val="nil"/>
              <w:left w:val="nil"/>
              <w:bottom w:val="nil"/>
              <w:right w:val="nil"/>
            </w:tcBorders>
            <w:shd w:val="clear" w:color="auto" w:fill="auto"/>
            <w:noWrap/>
            <w:tcMar>
              <w:top w:w="15" w:type="dxa"/>
              <w:left w:w="15" w:type="dxa"/>
              <w:right w:w="15" w:type="dxa"/>
            </w:tcMar>
            <w:vAlign w:val="center"/>
          </w:tcPr>
          <w:p w14:paraId="0952506E">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6.57±0.31c</w:t>
            </w:r>
          </w:p>
        </w:tc>
      </w:tr>
      <w:tr w14:paraId="5C9C23DB">
        <w:tblPrEx>
          <w:tblCellMar>
            <w:top w:w="0" w:type="dxa"/>
            <w:left w:w="0" w:type="dxa"/>
            <w:bottom w:w="0" w:type="dxa"/>
            <w:right w:w="0" w:type="dxa"/>
          </w:tblCellMar>
        </w:tblPrEx>
        <w:trPr>
          <w:trHeight w:val="379" w:hRule="atLeast"/>
          <w:jc w:val="center"/>
        </w:trPr>
        <w:tc>
          <w:tcPr>
            <w:tcW w:w="600" w:type="pct"/>
            <w:tcBorders>
              <w:top w:val="nil"/>
              <w:left w:val="nil"/>
              <w:bottom w:val="nil"/>
              <w:right w:val="nil"/>
            </w:tcBorders>
            <w:shd w:val="clear" w:color="auto" w:fill="auto"/>
            <w:noWrap/>
            <w:tcMar>
              <w:top w:w="15" w:type="dxa"/>
              <w:left w:w="15" w:type="dxa"/>
              <w:right w:w="15" w:type="dxa"/>
            </w:tcMar>
            <w:vAlign w:val="center"/>
          </w:tcPr>
          <w:p w14:paraId="4D65B4AA">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ST</w:t>
            </w:r>
          </w:p>
        </w:tc>
        <w:tc>
          <w:tcPr>
            <w:tcW w:w="868" w:type="pct"/>
            <w:tcBorders>
              <w:top w:val="nil"/>
              <w:left w:val="nil"/>
              <w:bottom w:val="nil"/>
              <w:right w:val="nil"/>
            </w:tcBorders>
            <w:shd w:val="clear" w:color="auto" w:fill="auto"/>
            <w:noWrap/>
            <w:tcMar>
              <w:top w:w="15" w:type="dxa"/>
              <w:left w:w="15" w:type="dxa"/>
              <w:right w:w="15" w:type="dxa"/>
            </w:tcMar>
            <w:vAlign w:val="center"/>
          </w:tcPr>
          <w:p w14:paraId="1C284BF9">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0.78±0.02e</w:t>
            </w:r>
          </w:p>
        </w:tc>
        <w:tc>
          <w:tcPr>
            <w:tcW w:w="923" w:type="pct"/>
            <w:tcBorders>
              <w:top w:val="nil"/>
              <w:left w:val="nil"/>
              <w:bottom w:val="nil"/>
              <w:right w:val="nil"/>
            </w:tcBorders>
            <w:shd w:val="clear" w:color="auto" w:fill="auto"/>
            <w:noWrap/>
            <w:tcMar>
              <w:top w:w="15" w:type="dxa"/>
              <w:left w:w="15" w:type="dxa"/>
              <w:right w:w="15" w:type="dxa"/>
            </w:tcMar>
            <w:vAlign w:val="center"/>
          </w:tcPr>
          <w:p w14:paraId="402868F0">
            <w:pPr>
              <w:widowControl/>
              <w:jc w:val="center"/>
              <w:textAlignment w:val="bottom"/>
              <w:rPr>
                <w:rFonts w:ascii="Times New Roman" w:hAnsi="Times New Roman" w:eastAsia="等线" w:cs="Times New Roman"/>
                <w:color w:val="000000"/>
                <w:kern w:val="0"/>
                <w:sz w:val="21"/>
                <w:szCs w:val="21"/>
                <w:lang w:bidi="ar"/>
              </w:rPr>
            </w:pPr>
            <w:r>
              <w:rPr>
                <w:rFonts w:ascii="Times New Roman" w:hAnsi="Times New Roman" w:eastAsia="等线" w:cs="Times New Roman"/>
                <w:color w:val="000000"/>
                <w:kern w:val="0"/>
                <w:sz w:val="21"/>
                <w:szCs w:val="21"/>
                <w:lang w:bidi="ar"/>
              </w:rPr>
              <w:t>20.88±0.40a</w:t>
            </w:r>
          </w:p>
        </w:tc>
        <w:tc>
          <w:tcPr>
            <w:tcW w:w="868" w:type="pct"/>
            <w:tcBorders>
              <w:top w:val="nil"/>
              <w:left w:val="nil"/>
              <w:bottom w:val="nil"/>
              <w:right w:val="nil"/>
            </w:tcBorders>
            <w:shd w:val="clear" w:color="auto" w:fill="auto"/>
            <w:noWrap/>
            <w:tcMar>
              <w:top w:w="15" w:type="dxa"/>
              <w:left w:w="15" w:type="dxa"/>
              <w:right w:w="15" w:type="dxa"/>
            </w:tcMar>
            <w:vAlign w:val="center"/>
          </w:tcPr>
          <w:p w14:paraId="2A0699D4">
            <w:pPr>
              <w:widowControl/>
              <w:jc w:val="center"/>
              <w:textAlignment w:val="bottom"/>
              <w:rPr>
                <w:rFonts w:ascii="Times New Roman" w:hAnsi="Times New Roman" w:eastAsia="等线" w:cs="Times New Roman"/>
                <w:color w:val="000000"/>
                <w:kern w:val="0"/>
                <w:sz w:val="21"/>
                <w:szCs w:val="21"/>
                <w:lang w:bidi="ar"/>
              </w:rPr>
            </w:pPr>
            <w:r>
              <w:rPr>
                <w:rFonts w:ascii="Times New Roman" w:hAnsi="Times New Roman" w:eastAsia="等线" w:cs="Times New Roman"/>
                <w:color w:val="000000"/>
                <w:kern w:val="0"/>
                <w:sz w:val="21"/>
                <w:szCs w:val="21"/>
                <w:lang w:bidi="ar"/>
              </w:rPr>
              <w:t>53.25±0.76a</w:t>
            </w:r>
          </w:p>
        </w:tc>
        <w:tc>
          <w:tcPr>
            <w:tcW w:w="868" w:type="pct"/>
            <w:tcBorders>
              <w:top w:val="nil"/>
              <w:left w:val="nil"/>
              <w:bottom w:val="nil"/>
              <w:right w:val="nil"/>
            </w:tcBorders>
            <w:shd w:val="clear" w:color="auto" w:fill="auto"/>
            <w:noWrap/>
            <w:tcMar>
              <w:top w:w="15" w:type="dxa"/>
              <w:left w:w="15" w:type="dxa"/>
              <w:right w:w="15" w:type="dxa"/>
            </w:tcMar>
            <w:vAlign w:val="center"/>
          </w:tcPr>
          <w:p w14:paraId="3730E77B">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2.41±0.06a</w:t>
            </w:r>
          </w:p>
        </w:tc>
        <w:tc>
          <w:tcPr>
            <w:tcW w:w="870" w:type="pct"/>
            <w:tcBorders>
              <w:top w:val="nil"/>
              <w:left w:val="nil"/>
              <w:bottom w:val="nil"/>
              <w:right w:val="nil"/>
            </w:tcBorders>
            <w:shd w:val="clear" w:color="auto" w:fill="auto"/>
            <w:noWrap/>
            <w:tcMar>
              <w:top w:w="15" w:type="dxa"/>
              <w:left w:w="15" w:type="dxa"/>
              <w:right w:w="15" w:type="dxa"/>
            </w:tcMar>
            <w:vAlign w:val="center"/>
          </w:tcPr>
          <w:p w14:paraId="5780BB7C">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7.3</w:t>
            </w:r>
            <w:r>
              <w:rPr>
                <w:rFonts w:hint="eastAsia" w:ascii="Times New Roman" w:hAnsi="Times New Roman" w:eastAsia="等线" w:cs="Times New Roman"/>
                <w:color w:val="000000"/>
                <w:kern w:val="0"/>
                <w:sz w:val="21"/>
                <w:szCs w:val="21"/>
                <w:lang w:bidi="ar"/>
              </w:rPr>
              <w:t>0</w:t>
            </w:r>
            <w:r>
              <w:rPr>
                <w:rFonts w:ascii="Times New Roman" w:hAnsi="Times New Roman" w:eastAsia="等线" w:cs="Times New Roman"/>
                <w:color w:val="000000"/>
                <w:kern w:val="0"/>
                <w:sz w:val="21"/>
                <w:szCs w:val="21"/>
                <w:lang w:bidi="ar"/>
              </w:rPr>
              <w:t>±0.17b</w:t>
            </w:r>
          </w:p>
        </w:tc>
      </w:tr>
      <w:tr w14:paraId="50F6008B">
        <w:tblPrEx>
          <w:tblCellMar>
            <w:top w:w="0" w:type="dxa"/>
            <w:left w:w="0" w:type="dxa"/>
            <w:bottom w:w="0" w:type="dxa"/>
            <w:right w:w="0" w:type="dxa"/>
          </w:tblCellMar>
        </w:tblPrEx>
        <w:trPr>
          <w:trHeight w:val="379" w:hRule="atLeast"/>
          <w:jc w:val="center"/>
        </w:trPr>
        <w:tc>
          <w:tcPr>
            <w:tcW w:w="600" w:type="pct"/>
            <w:tcBorders>
              <w:top w:val="nil"/>
              <w:left w:val="nil"/>
              <w:bottom w:val="nil"/>
              <w:right w:val="nil"/>
            </w:tcBorders>
            <w:shd w:val="clear" w:color="auto" w:fill="auto"/>
            <w:noWrap/>
            <w:tcMar>
              <w:top w:w="15" w:type="dxa"/>
              <w:left w:w="15" w:type="dxa"/>
              <w:right w:w="15" w:type="dxa"/>
            </w:tcMar>
            <w:vAlign w:val="center"/>
          </w:tcPr>
          <w:p w14:paraId="19525A9D">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RH</w:t>
            </w:r>
          </w:p>
        </w:tc>
        <w:tc>
          <w:tcPr>
            <w:tcW w:w="868" w:type="pct"/>
            <w:tcBorders>
              <w:top w:val="nil"/>
              <w:left w:val="nil"/>
              <w:bottom w:val="nil"/>
              <w:right w:val="nil"/>
            </w:tcBorders>
            <w:shd w:val="clear" w:color="auto" w:fill="auto"/>
            <w:noWrap/>
            <w:tcMar>
              <w:top w:w="15" w:type="dxa"/>
              <w:left w:w="15" w:type="dxa"/>
              <w:right w:w="15" w:type="dxa"/>
            </w:tcMar>
            <w:vAlign w:val="center"/>
          </w:tcPr>
          <w:p w14:paraId="15C162FC">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0.86±0.03d</w:t>
            </w:r>
          </w:p>
        </w:tc>
        <w:tc>
          <w:tcPr>
            <w:tcW w:w="923" w:type="pct"/>
            <w:tcBorders>
              <w:top w:val="nil"/>
              <w:left w:val="nil"/>
              <w:bottom w:val="nil"/>
              <w:right w:val="nil"/>
            </w:tcBorders>
            <w:shd w:val="clear" w:color="auto" w:fill="auto"/>
            <w:noWrap/>
            <w:tcMar>
              <w:top w:w="15" w:type="dxa"/>
              <w:left w:w="15" w:type="dxa"/>
              <w:right w:w="15" w:type="dxa"/>
            </w:tcMar>
            <w:vAlign w:val="center"/>
          </w:tcPr>
          <w:p w14:paraId="488479E9">
            <w:pPr>
              <w:widowControl/>
              <w:jc w:val="center"/>
              <w:textAlignment w:val="bottom"/>
              <w:rPr>
                <w:rFonts w:ascii="Times New Roman" w:hAnsi="Times New Roman" w:eastAsia="等线" w:cs="Times New Roman"/>
                <w:color w:val="000000"/>
                <w:kern w:val="0"/>
                <w:sz w:val="21"/>
                <w:szCs w:val="21"/>
                <w:lang w:bidi="ar"/>
              </w:rPr>
            </w:pPr>
            <w:r>
              <w:rPr>
                <w:rFonts w:ascii="Times New Roman" w:hAnsi="Times New Roman" w:eastAsia="等线" w:cs="Times New Roman"/>
                <w:color w:val="000000"/>
                <w:kern w:val="0"/>
                <w:sz w:val="21"/>
                <w:szCs w:val="21"/>
                <w:lang w:bidi="ar"/>
              </w:rPr>
              <w:t>18.91±0.11b</w:t>
            </w:r>
          </w:p>
        </w:tc>
        <w:tc>
          <w:tcPr>
            <w:tcW w:w="868" w:type="pct"/>
            <w:tcBorders>
              <w:top w:val="nil"/>
              <w:left w:val="nil"/>
              <w:bottom w:val="nil"/>
              <w:right w:val="nil"/>
            </w:tcBorders>
            <w:shd w:val="clear" w:color="auto" w:fill="auto"/>
            <w:noWrap/>
            <w:tcMar>
              <w:top w:w="15" w:type="dxa"/>
              <w:left w:w="15" w:type="dxa"/>
              <w:right w:w="15" w:type="dxa"/>
            </w:tcMar>
            <w:vAlign w:val="center"/>
          </w:tcPr>
          <w:p w14:paraId="3341F10D">
            <w:pPr>
              <w:widowControl/>
              <w:jc w:val="center"/>
              <w:textAlignment w:val="bottom"/>
              <w:rPr>
                <w:rFonts w:ascii="Times New Roman" w:hAnsi="Times New Roman" w:eastAsia="等线" w:cs="Times New Roman"/>
                <w:color w:val="000000"/>
                <w:kern w:val="0"/>
                <w:sz w:val="21"/>
                <w:szCs w:val="21"/>
                <w:lang w:bidi="ar"/>
              </w:rPr>
            </w:pPr>
            <w:r>
              <w:rPr>
                <w:rFonts w:ascii="Times New Roman" w:hAnsi="Times New Roman" w:eastAsia="等线" w:cs="Times New Roman"/>
                <w:color w:val="000000"/>
                <w:kern w:val="0"/>
                <w:sz w:val="21"/>
                <w:szCs w:val="21"/>
                <w:lang w:bidi="ar"/>
              </w:rPr>
              <w:t>47.18±1.14b</w:t>
            </w:r>
          </w:p>
        </w:tc>
        <w:tc>
          <w:tcPr>
            <w:tcW w:w="868" w:type="pct"/>
            <w:tcBorders>
              <w:top w:val="nil"/>
              <w:left w:val="nil"/>
              <w:bottom w:val="nil"/>
              <w:right w:val="nil"/>
            </w:tcBorders>
            <w:shd w:val="clear" w:color="auto" w:fill="auto"/>
            <w:noWrap/>
            <w:tcMar>
              <w:top w:w="15" w:type="dxa"/>
              <w:left w:w="15" w:type="dxa"/>
              <w:right w:w="15" w:type="dxa"/>
            </w:tcMar>
            <w:vAlign w:val="center"/>
          </w:tcPr>
          <w:p w14:paraId="37F10197">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1.78±0.06c</w:t>
            </w:r>
          </w:p>
        </w:tc>
        <w:tc>
          <w:tcPr>
            <w:tcW w:w="870" w:type="pct"/>
            <w:tcBorders>
              <w:top w:val="nil"/>
              <w:left w:val="nil"/>
              <w:bottom w:val="nil"/>
              <w:right w:val="nil"/>
            </w:tcBorders>
            <w:shd w:val="clear" w:color="auto" w:fill="auto"/>
            <w:noWrap/>
            <w:tcMar>
              <w:top w:w="15" w:type="dxa"/>
              <w:left w:w="15" w:type="dxa"/>
              <w:right w:w="15" w:type="dxa"/>
            </w:tcMar>
            <w:vAlign w:val="center"/>
          </w:tcPr>
          <w:p w14:paraId="363E2F9B">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7.87±0.21a</w:t>
            </w:r>
          </w:p>
        </w:tc>
      </w:tr>
      <w:tr w14:paraId="63A78748">
        <w:tblPrEx>
          <w:tblCellMar>
            <w:top w:w="0" w:type="dxa"/>
            <w:left w:w="0" w:type="dxa"/>
            <w:bottom w:w="0" w:type="dxa"/>
            <w:right w:w="0" w:type="dxa"/>
          </w:tblCellMar>
        </w:tblPrEx>
        <w:trPr>
          <w:trHeight w:val="408" w:hRule="atLeast"/>
          <w:jc w:val="center"/>
        </w:trPr>
        <w:tc>
          <w:tcPr>
            <w:tcW w:w="600" w:type="pct"/>
            <w:tcBorders>
              <w:top w:val="nil"/>
              <w:left w:val="nil"/>
              <w:bottom w:val="single" w:color="auto" w:sz="4" w:space="0"/>
              <w:right w:val="nil"/>
            </w:tcBorders>
            <w:shd w:val="clear" w:color="auto" w:fill="auto"/>
            <w:noWrap/>
            <w:tcMar>
              <w:top w:w="15" w:type="dxa"/>
              <w:left w:w="15" w:type="dxa"/>
              <w:right w:w="15" w:type="dxa"/>
            </w:tcMar>
            <w:vAlign w:val="center"/>
          </w:tcPr>
          <w:p w14:paraId="6B1A765A">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MR</w:t>
            </w:r>
          </w:p>
        </w:tc>
        <w:tc>
          <w:tcPr>
            <w:tcW w:w="868" w:type="pct"/>
            <w:tcBorders>
              <w:top w:val="nil"/>
              <w:left w:val="nil"/>
              <w:bottom w:val="single" w:color="auto" w:sz="4" w:space="0"/>
              <w:right w:val="nil"/>
            </w:tcBorders>
            <w:shd w:val="clear" w:color="auto" w:fill="auto"/>
            <w:noWrap/>
            <w:tcMar>
              <w:top w:w="15" w:type="dxa"/>
              <w:left w:w="15" w:type="dxa"/>
              <w:right w:w="15" w:type="dxa"/>
            </w:tcMar>
            <w:vAlign w:val="center"/>
          </w:tcPr>
          <w:p w14:paraId="00E580AF">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1.07±0.02b</w:t>
            </w:r>
          </w:p>
        </w:tc>
        <w:tc>
          <w:tcPr>
            <w:tcW w:w="923" w:type="pct"/>
            <w:tcBorders>
              <w:top w:val="nil"/>
              <w:left w:val="nil"/>
              <w:bottom w:val="single" w:color="auto" w:sz="4" w:space="0"/>
              <w:right w:val="nil"/>
            </w:tcBorders>
            <w:shd w:val="clear" w:color="auto" w:fill="auto"/>
            <w:noWrap/>
            <w:tcMar>
              <w:top w:w="15" w:type="dxa"/>
              <w:left w:w="15" w:type="dxa"/>
              <w:right w:w="15" w:type="dxa"/>
            </w:tcMar>
            <w:vAlign w:val="center"/>
          </w:tcPr>
          <w:p w14:paraId="5273D501">
            <w:pPr>
              <w:widowControl/>
              <w:jc w:val="center"/>
              <w:textAlignment w:val="bottom"/>
              <w:rPr>
                <w:rFonts w:ascii="Times New Roman" w:hAnsi="Times New Roman" w:eastAsia="等线" w:cs="Times New Roman"/>
                <w:color w:val="000000"/>
                <w:kern w:val="0"/>
                <w:sz w:val="21"/>
                <w:szCs w:val="21"/>
                <w:lang w:bidi="ar"/>
              </w:rPr>
            </w:pPr>
            <w:r>
              <w:rPr>
                <w:rFonts w:ascii="Times New Roman" w:hAnsi="Times New Roman" w:eastAsia="等线" w:cs="Times New Roman"/>
                <w:color w:val="000000"/>
                <w:kern w:val="0"/>
                <w:sz w:val="21"/>
                <w:szCs w:val="21"/>
                <w:lang w:bidi="ar"/>
              </w:rPr>
              <w:t>17.37±0.16c</w:t>
            </w:r>
          </w:p>
        </w:tc>
        <w:tc>
          <w:tcPr>
            <w:tcW w:w="868" w:type="pct"/>
            <w:tcBorders>
              <w:top w:val="nil"/>
              <w:left w:val="nil"/>
              <w:bottom w:val="single" w:color="auto" w:sz="4" w:space="0"/>
              <w:right w:val="nil"/>
            </w:tcBorders>
            <w:shd w:val="clear" w:color="auto" w:fill="auto"/>
            <w:noWrap/>
            <w:tcMar>
              <w:top w:w="15" w:type="dxa"/>
              <w:left w:w="15" w:type="dxa"/>
              <w:right w:w="15" w:type="dxa"/>
            </w:tcMar>
            <w:vAlign w:val="center"/>
          </w:tcPr>
          <w:p w14:paraId="4832F02B">
            <w:pPr>
              <w:widowControl/>
              <w:jc w:val="center"/>
              <w:textAlignment w:val="bottom"/>
              <w:rPr>
                <w:rFonts w:ascii="Times New Roman" w:hAnsi="Times New Roman" w:eastAsia="等线" w:cs="Times New Roman"/>
                <w:color w:val="000000"/>
                <w:kern w:val="0"/>
                <w:sz w:val="21"/>
                <w:szCs w:val="21"/>
                <w:lang w:bidi="ar"/>
              </w:rPr>
            </w:pPr>
            <w:r>
              <w:rPr>
                <w:rFonts w:ascii="Times New Roman" w:hAnsi="Times New Roman" w:eastAsia="等线" w:cs="Times New Roman"/>
                <w:color w:val="000000"/>
                <w:kern w:val="0"/>
                <w:sz w:val="21"/>
                <w:szCs w:val="21"/>
                <w:lang w:bidi="ar"/>
              </w:rPr>
              <w:t>34.41±0.48d</w:t>
            </w:r>
          </w:p>
        </w:tc>
        <w:tc>
          <w:tcPr>
            <w:tcW w:w="868" w:type="pct"/>
            <w:tcBorders>
              <w:top w:val="nil"/>
              <w:left w:val="nil"/>
              <w:bottom w:val="single" w:color="auto" w:sz="4" w:space="0"/>
              <w:right w:val="nil"/>
            </w:tcBorders>
            <w:shd w:val="clear" w:color="auto" w:fill="auto"/>
            <w:noWrap/>
            <w:tcMar>
              <w:top w:w="15" w:type="dxa"/>
              <w:left w:w="15" w:type="dxa"/>
              <w:right w:w="15" w:type="dxa"/>
            </w:tcMar>
            <w:vAlign w:val="center"/>
          </w:tcPr>
          <w:p w14:paraId="1C9C3412">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1.46±0.06b</w:t>
            </w:r>
          </w:p>
        </w:tc>
        <w:tc>
          <w:tcPr>
            <w:tcW w:w="870" w:type="pct"/>
            <w:tcBorders>
              <w:top w:val="nil"/>
              <w:left w:val="nil"/>
              <w:bottom w:val="single" w:color="auto" w:sz="4" w:space="0"/>
              <w:right w:val="nil"/>
            </w:tcBorders>
            <w:shd w:val="clear" w:color="auto" w:fill="auto"/>
            <w:noWrap/>
            <w:tcMar>
              <w:top w:w="15" w:type="dxa"/>
              <w:left w:w="15" w:type="dxa"/>
              <w:right w:w="15" w:type="dxa"/>
            </w:tcMar>
            <w:vAlign w:val="center"/>
          </w:tcPr>
          <w:p w14:paraId="3AC042E7">
            <w:pPr>
              <w:widowControl/>
              <w:jc w:val="center"/>
              <w:textAlignment w:val="bottom"/>
              <w:rPr>
                <w:rFonts w:ascii="Times New Roman" w:hAnsi="Times New Roman" w:eastAsia="等线" w:cs="Times New Roman"/>
                <w:color w:val="000000"/>
                <w:sz w:val="21"/>
                <w:szCs w:val="21"/>
              </w:rPr>
            </w:pPr>
            <w:r>
              <w:rPr>
                <w:rFonts w:ascii="Times New Roman" w:hAnsi="Times New Roman" w:eastAsia="等线" w:cs="Times New Roman"/>
                <w:color w:val="000000"/>
                <w:kern w:val="0"/>
                <w:sz w:val="21"/>
                <w:szCs w:val="21"/>
                <w:lang w:bidi="ar"/>
              </w:rPr>
              <w:t>6.37±0.25c</w:t>
            </w:r>
          </w:p>
        </w:tc>
      </w:tr>
    </w:tbl>
    <w:p w14:paraId="0D4AD467">
      <w:pPr>
        <w:tabs>
          <w:tab w:val="left" w:pos="540"/>
          <w:tab w:val="left" w:pos="900"/>
          <w:tab w:val="left" w:pos="1080"/>
          <w:tab w:val="left" w:pos="1260"/>
        </w:tabs>
        <w:autoSpaceDE w:val="0"/>
        <w:autoSpaceDN w:val="0"/>
        <w:adjustRightInd w:val="0"/>
        <w:snapToGrid w:val="0"/>
        <w:spacing w:line="360" w:lineRule="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平均值±标准差。不同小写字母表示处理间在0.05水平上差异显著（LSD检验）。下同。</w:t>
      </w:r>
    </w:p>
    <w:p w14:paraId="3F7FBCC1">
      <w:pPr>
        <w:tabs>
          <w:tab w:val="left" w:pos="540"/>
          <w:tab w:val="left" w:pos="900"/>
          <w:tab w:val="left" w:pos="1080"/>
          <w:tab w:val="left" w:pos="1260"/>
        </w:tabs>
        <w:autoSpaceDE w:val="0"/>
        <w:autoSpaceDN w:val="0"/>
        <w:adjustRightInd w:val="0"/>
        <w:snapToGrid w:val="0"/>
        <w:spacing w:line="360" w:lineRule="auto"/>
        <w:ind w:firstLine="480" w:firstLineChars="200"/>
        <w:rPr>
          <w:rFonts w:hint="eastAsia" w:cs="Times New Roman"/>
          <w:sz w:val="24"/>
          <w:szCs w:val="24"/>
          <w:lang w:val="en-US" w:eastAsia="zh-CN"/>
        </w:rPr>
      </w:pPr>
      <w:r>
        <w:rPr>
          <w:rFonts w:hint="eastAsia" w:cs="Times New Roman"/>
          <w:sz w:val="24"/>
          <w:szCs w:val="24"/>
          <w:lang w:val="en-US" w:eastAsia="zh-CN"/>
        </w:rPr>
        <w:t>（2）研究了不同育秧材料在播种后21天内氮磷钾养分含量的变化</w:t>
      </w:r>
    </w:p>
    <w:p w14:paraId="11B84A93">
      <w:pPr>
        <w:tabs>
          <w:tab w:val="left" w:pos="540"/>
          <w:tab w:val="left" w:pos="900"/>
          <w:tab w:val="left" w:pos="1080"/>
          <w:tab w:val="left" w:pos="1260"/>
        </w:tabs>
        <w:autoSpaceDE w:val="0"/>
        <w:autoSpaceDN w:val="0"/>
        <w:adjustRightInd w:val="0"/>
        <w:snapToGrid w:val="0"/>
        <w:spacing w:line="360" w:lineRule="auto"/>
        <w:ind w:firstLine="480" w:firstLineChars="200"/>
        <w:rPr>
          <w:rFonts w:hint="default" w:cs="Times New Roman"/>
          <w:sz w:val="24"/>
          <w:szCs w:val="24"/>
          <w:lang w:val="en-US" w:eastAsia="zh-CN"/>
        </w:rPr>
      </w:pPr>
      <w:r>
        <w:rPr>
          <w:rFonts w:hint="default" w:cs="Times New Roman"/>
          <w:sz w:val="24"/>
          <w:szCs w:val="24"/>
          <w:lang w:val="en-US" w:eastAsia="zh-CN"/>
        </w:rPr>
        <w:t>育秧基质中养分含量直接影响了秧苗对养分的吸收，进一步影响秧苗素质，适宜的养分含量对机插秧壮秧的形成至关重要。不同育秧基质氮磷钾养分含量差异显著（</w:t>
      </w:r>
      <w:r>
        <w:rPr>
          <w:rFonts w:hint="eastAsia" w:cs="Times New Roman"/>
          <w:sz w:val="24"/>
          <w:szCs w:val="24"/>
          <w:lang w:val="en-US" w:eastAsia="zh-CN"/>
        </w:rPr>
        <w:t>图10</w:t>
      </w:r>
      <w:r>
        <w:rPr>
          <w:rFonts w:hint="default" w:cs="Times New Roman"/>
          <w:sz w:val="24"/>
          <w:szCs w:val="24"/>
          <w:lang w:val="en-US" w:eastAsia="zh-CN"/>
        </w:rPr>
        <w:t>），在播种后7天、14天、21天，各处理氮磷钾养分含量表现为TS＞MR＞CS＞RH＞ST。不同处理基质养分下降速度最快是播种后7-14天，此时是秧苗生长速度快，吸收养分最多的时期。播种21天后，处理TS、CS、ST、RH、MR中全氮分别减少27.32%、51.86%、57.54%、52.89%、32.95%，速效磷分别减少45.04%、66.61%、61.03%、68.26%、59.60%，速效钾分别减少72.81%、79.84%、79.04%、79.98%、79.30%。养分的减少来自于秧苗吸收和流失两个方面，处理TS和MR全氮、碱解氮和速效磷减少程度明显低于其他三个处理，有利于培育壮秧，也能减少养分的流失。</w:t>
      </w:r>
    </w:p>
    <w:p w14:paraId="0FF6B422">
      <w:pPr>
        <w:tabs>
          <w:tab w:val="left" w:pos="540"/>
          <w:tab w:val="left" w:pos="900"/>
          <w:tab w:val="left" w:pos="1080"/>
          <w:tab w:val="left" w:pos="1260"/>
        </w:tabs>
        <w:autoSpaceDE w:val="0"/>
        <w:autoSpaceDN w:val="0"/>
        <w:adjustRightInd w:val="0"/>
        <w:snapToGrid w:val="0"/>
        <w:spacing w:line="360" w:lineRule="auto"/>
        <w:jc w:val="center"/>
        <w:rPr>
          <w:rFonts w:hint="default" w:ascii="Times New Roman" w:hAnsi="Times New Roman" w:cs="Times New Roman"/>
          <w:sz w:val="24"/>
          <w:szCs w:val="24"/>
          <w:lang w:val="en-US" w:eastAsia="zh-CN"/>
        </w:rPr>
      </w:pPr>
      <w:r>
        <w:rPr>
          <w:rFonts w:ascii="Times New Roman" w:hAnsi="Times New Roman" w:eastAsia="宋体" w:cs="Times New Roman"/>
          <w:szCs w:val="21"/>
        </w:rPr>
        <w:drawing>
          <wp:inline distT="0" distB="0" distL="0" distR="0">
            <wp:extent cx="5274310" cy="33096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4310" cy="3309620"/>
                    </a:xfrm>
                    <a:prstGeom prst="rect">
                      <a:avLst/>
                    </a:prstGeom>
                  </pic:spPr>
                </pic:pic>
              </a:graphicData>
            </a:graphic>
          </wp:inline>
        </w:drawing>
      </w:r>
    </w:p>
    <w:p w14:paraId="4A4B8DBD">
      <w:pPr>
        <w:tabs>
          <w:tab w:val="left" w:pos="540"/>
          <w:tab w:val="left" w:pos="900"/>
          <w:tab w:val="left" w:pos="1080"/>
          <w:tab w:val="left" w:pos="1260"/>
        </w:tabs>
        <w:autoSpaceDE w:val="0"/>
        <w:autoSpaceDN w:val="0"/>
        <w:adjustRightInd w:val="0"/>
        <w:snapToGrid w:val="0"/>
        <w:spacing w:line="360" w:lineRule="auto"/>
        <w:jc w:val="center"/>
        <w:rPr>
          <w:rFonts w:hint="default" w:cs="Times New Roman"/>
          <w:sz w:val="24"/>
          <w:szCs w:val="24"/>
          <w:lang w:val="en-US" w:eastAsia="zh-CN"/>
        </w:rPr>
      </w:pPr>
      <w:r>
        <w:rPr>
          <w:rFonts w:hint="default" w:cs="Times New Roman"/>
          <w:sz w:val="24"/>
          <w:szCs w:val="24"/>
          <w:highlight w:val="none"/>
          <w:lang w:val="en-US" w:eastAsia="zh-CN"/>
        </w:rPr>
        <w:t>图</w:t>
      </w:r>
      <w:r>
        <w:rPr>
          <w:rFonts w:hint="eastAsia" w:cs="Times New Roman"/>
          <w:sz w:val="24"/>
          <w:szCs w:val="24"/>
          <w:highlight w:val="none"/>
          <w:lang w:val="en-US" w:eastAsia="zh-CN"/>
        </w:rPr>
        <w:t>10</w:t>
      </w:r>
      <w:r>
        <w:rPr>
          <w:rFonts w:hint="default" w:cs="Times New Roman"/>
          <w:sz w:val="24"/>
          <w:szCs w:val="24"/>
          <w:highlight w:val="none"/>
          <w:lang w:val="en-US" w:eastAsia="zh-CN"/>
        </w:rPr>
        <w:t xml:space="preserve"> </w:t>
      </w:r>
      <w:r>
        <w:rPr>
          <w:rFonts w:hint="default" w:cs="Times New Roman"/>
          <w:sz w:val="24"/>
          <w:szCs w:val="24"/>
          <w:lang w:val="en-US" w:eastAsia="zh-CN"/>
        </w:rPr>
        <w:t>不同处理育苗基质中氮、磷、钾含量的变化</w:t>
      </w:r>
    </w:p>
    <w:p w14:paraId="1F3690EC">
      <w:pPr>
        <w:spacing w:line="360" w:lineRule="auto"/>
        <w:ind w:firstLine="480" w:firstLineChars="200"/>
        <w:rPr>
          <w:rFonts w:hint="eastAsia" w:cs="Times New Roman"/>
          <w:sz w:val="24"/>
          <w:szCs w:val="24"/>
          <w:lang w:val="en-US" w:eastAsia="zh-CN"/>
        </w:rPr>
      </w:pPr>
      <w:r>
        <w:rPr>
          <w:rFonts w:hint="eastAsia" w:eastAsia="黑体" w:cs="Times New Roman"/>
          <w:sz w:val="24"/>
          <w:szCs w:val="24"/>
          <w:lang w:eastAsia="zh-CN"/>
        </w:rPr>
        <w:t>（</w:t>
      </w:r>
      <w:r>
        <w:rPr>
          <w:rFonts w:hint="eastAsia" w:eastAsia="黑体" w:cs="Times New Roman"/>
          <w:sz w:val="24"/>
          <w:szCs w:val="24"/>
          <w:lang w:val="en-US" w:eastAsia="zh-CN"/>
        </w:rPr>
        <w:t>3</w:t>
      </w:r>
      <w:r>
        <w:rPr>
          <w:rFonts w:hint="eastAsia" w:eastAsia="黑体" w:cs="Times New Roman"/>
          <w:sz w:val="24"/>
          <w:szCs w:val="24"/>
          <w:lang w:eastAsia="zh-CN"/>
        </w:rPr>
        <w:t>）</w:t>
      </w:r>
      <w:r>
        <w:rPr>
          <w:rFonts w:hint="eastAsia" w:cs="Times New Roman"/>
          <w:sz w:val="24"/>
          <w:szCs w:val="24"/>
          <w:lang w:val="en-US" w:eastAsia="zh-CN"/>
        </w:rPr>
        <w:t>测定了不同育秧材料秧苗地上部、地下部各项指标的变化</w:t>
      </w:r>
    </w:p>
    <w:p w14:paraId="788009F5">
      <w:pPr>
        <w:spacing w:line="360" w:lineRule="auto"/>
        <w:ind w:firstLine="480" w:firstLineChars="200"/>
        <w:rPr>
          <w:rFonts w:hint="eastAsia" w:cs="Times New Roman"/>
          <w:sz w:val="24"/>
          <w:szCs w:val="24"/>
          <w:lang w:val="en-US" w:eastAsia="zh-CN"/>
        </w:rPr>
      </w:pPr>
      <w:r>
        <w:rPr>
          <w:rFonts w:hint="eastAsia" w:cs="Times New Roman"/>
          <w:sz w:val="24"/>
          <w:szCs w:val="24"/>
          <w:lang w:val="en-US" w:eastAsia="zh-CN"/>
        </w:rPr>
        <w:t>秧苗地上部生理指标与秧苗素质直接相关，不同处理下秧苗地上部形态指标差异显著（表2），处理TS、CS和MR各项指标均显著高于处理ST和RH。随着播种天数的增加，不同处理株高、茎基宽和干重均呈明显上升趋势，不同阶段升幅不同，而SPAD则出现略微下降的趋势。播种7天后，SPAD、茎基宽和干重均表现为TS&gt;MR&gt;CS&gt;RH&gt;ST，株高表现为CS&gt;MR&gt;TS&gt;RH&gt;ST。播种后14天，处理TS的株高、SPAD、干重最大，处理ST各项指标均最小，不同处理间差异逐渐加大，SPAD最大的TS处理比最小的ST处理高出37.20%，株高最高的TS处理比最低的ST处理高出33.39%。播种后21天，处理MR的各项指标均处理较高的水平。CS处理株高显著高于其余处理，分别比TS、MR、RH、CS高出7.74%、10.79%、25.23和32.52。</w:t>
      </w:r>
    </w:p>
    <w:p w14:paraId="4CA67A0D">
      <w:pPr>
        <w:spacing w:line="360" w:lineRule="auto"/>
        <w:jc w:val="center"/>
        <w:rPr>
          <w:rFonts w:hint="eastAsia" w:cs="Times New Roman"/>
          <w:sz w:val="24"/>
          <w:szCs w:val="24"/>
          <w:lang w:val="en-US" w:eastAsia="zh-CN"/>
        </w:rPr>
      </w:pPr>
      <w:r>
        <w:rPr>
          <w:rFonts w:hint="eastAsia" w:cs="Times New Roman"/>
          <w:sz w:val="24"/>
          <w:szCs w:val="24"/>
          <w:lang w:val="en-US" w:eastAsia="zh-CN"/>
        </w:rPr>
        <w:t>表2 不同时期各处理秧苗变化</w:t>
      </w:r>
    </w:p>
    <w:tbl>
      <w:tblPr>
        <w:tblStyle w:val="7"/>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35"/>
        <w:gridCol w:w="576"/>
        <w:gridCol w:w="1129"/>
        <w:gridCol w:w="1129"/>
        <w:gridCol w:w="1050"/>
        <w:gridCol w:w="1243"/>
        <w:gridCol w:w="1216"/>
        <w:gridCol w:w="1216"/>
        <w:gridCol w:w="1137"/>
      </w:tblGrid>
      <w:tr w14:paraId="27DFCA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389" w:type="pct"/>
            <w:vMerge w:val="restart"/>
            <w:tcBorders>
              <w:top w:val="single" w:color="000000" w:sz="8" w:space="0"/>
              <w:left w:val="nil"/>
              <w:bottom w:val="single" w:color="000000" w:sz="8" w:space="0"/>
              <w:right w:val="nil"/>
            </w:tcBorders>
            <w:shd w:val="clear" w:color="auto" w:fill="auto"/>
            <w:noWrap/>
            <w:vAlign w:val="center"/>
          </w:tcPr>
          <w:p w14:paraId="0C11332A">
            <w:pPr>
              <w:keepNext w:val="0"/>
              <w:keepLines w:val="0"/>
              <w:widowControl/>
              <w:suppressLineNumbers w:val="0"/>
              <w:jc w:val="center"/>
              <w:textAlignment w:val="bottom"/>
              <w:rPr>
                <w:rFonts w:hint="default" w:ascii="Times New Roman" w:hAnsi="Times New Roman" w:cs="Times New Roman" w:eastAsiaTheme="minorEastAsia"/>
                <w:i w:val="0"/>
                <w:iCs w:val="0"/>
                <w:color w:val="000000"/>
                <w:kern w:val="0"/>
                <w:sz w:val="15"/>
                <w:szCs w:val="15"/>
                <w:u w:val="none"/>
                <w:lang w:val="en-US" w:eastAsia="zh-CN" w:bidi="ar"/>
              </w:rPr>
            </w:pPr>
            <w:r>
              <w:rPr>
                <w:rFonts w:hint="default" w:ascii="Times New Roman" w:hAnsi="Times New Roman" w:cs="Times New Roman" w:eastAsiaTheme="minorEastAsia"/>
                <w:i w:val="0"/>
                <w:iCs w:val="0"/>
                <w:color w:val="000000"/>
                <w:kern w:val="0"/>
                <w:sz w:val="15"/>
                <w:szCs w:val="15"/>
                <w:u w:val="none"/>
                <w:lang w:val="en-US" w:eastAsia="zh-CN" w:bidi="ar"/>
              </w:rPr>
              <w:t>取样</w:t>
            </w:r>
          </w:p>
          <w:p w14:paraId="3FA23C8B">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时间</w:t>
            </w:r>
          </w:p>
        </w:tc>
        <w:tc>
          <w:tcPr>
            <w:tcW w:w="305" w:type="pct"/>
            <w:vMerge w:val="restart"/>
            <w:tcBorders>
              <w:top w:val="single" w:color="000000" w:sz="8" w:space="0"/>
              <w:left w:val="nil"/>
              <w:bottom w:val="single" w:color="000000" w:sz="8" w:space="0"/>
              <w:right w:val="nil"/>
            </w:tcBorders>
            <w:shd w:val="clear" w:color="auto" w:fill="auto"/>
            <w:noWrap/>
            <w:vAlign w:val="center"/>
          </w:tcPr>
          <w:p w14:paraId="75EBE294">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处理</w:t>
            </w:r>
          </w:p>
        </w:tc>
        <w:tc>
          <w:tcPr>
            <w:tcW w:w="598" w:type="pct"/>
            <w:vMerge w:val="restart"/>
            <w:tcBorders>
              <w:top w:val="single" w:color="000000" w:sz="8" w:space="0"/>
              <w:left w:val="nil"/>
              <w:bottom w:val="single" w:color="000000" w:sz="8" w:space="0"/>
              <w:right w:val="nil"/>
            </w:tcBorders>
            <w:shd w:val="clear" w:color="auto" w:fill="auto"/>
            <w:vAlign w:val="center"/>
          </w:tcPr>
          <w:p w14:paraId="3D4EE39A">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株高</w:t>
            </w:r>
            <w:r>
              <w:rPr>
                <w:rStyle w:val="13"/>
                <w:rFonts w:hint="default" w:ascii="Times New Roman" w:hAnsi="Times New Roman" w:cs="Times New Roman" w:eastAsiaTheme="minorEastAsia"/>
                <w:sz w:val="15"/>
                <w:szCs w:val="15"/>
                <w:lang w:val="en-US" w:eastAsia="zh-CN" w:bidi="ar"/>
              </w:rPr>
              <w:t xml:space="preserve"> </w:t>
            </w:r>
            <w:r>
              <w:rPr>
                <w:rStyle w:val="13"/>
                <w:rFonts w:hint="default" w:ascii="Times New Roman" w:hAnsi="Times New Roman" w:cs="Times New Roman" w:eastAsiaTheme="minorEastAsia"/>
                <w:sz w:val="15"/>
                <w:szCs w:val="15"/>
                <w:lang w:val="en-US" w:eastAsia="zh-CN" w:bidi="ar"/>
              </w:rPr>
              <w:br w:type="textWrapping"/>
            </w:r>
            <w:r>
              <w:rPr>
                <w:rStyle w:val="13"/>
                <w:rFonts w:hint="default" w:ascii="Times New Roman" w:hAnsi="Times New Roman" w:cs="Times New Roman" w:eastAsiaTheme="minorEastAsia"/>
                <w:sz w:val="15"/>
                <w:szCs w:val="15"/>
                <w:lang w:val="en-US" w:eastAsia="zh-CN" w:bidi="ar"/>
              </w:rPr>
              <w:t>(cm)</w:t>
            </w:r>
          </w:p>
        </w:tc>
        <w:tc>
          <w:tcPr>
            <w:tcW w:w="598" w:type="pct"/>
            <w:vMerge w:val="restart"/>
            <w:tcBorders>
              <w:top w:val="single" w:color="000000" w:sz="8" w:space="0"/>
              <w:left w:val="nil"/>
              <w:bottom w:val="single" w:color="000000" w:sz="8" w:space="0"/>
              <w:right w:val="nil"/>
            </w:tcBorders>
            <w:shd w:val="clear" w:color="auto" w:fill="auto"/>
            <w:noWrap/>
            <w:vAlign w:val="center"/>
          </w:tcPr>
          <w:p w14:paraId="4ECA0BB1">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SPAD</w:t>
            </w:r>
          </w:p>
        </w:tc>
        <w:tc>
          <w:tcPr>
            <w:tcW w:w="556" w:type="pct"/>
            <w:vMerge w:val="restart"/>
            <w:tcBorders>
              <w:top w:val="single" w:color="000000" w:sz="8" w:space="0"/>
              <w:left w:val="nil"/>
              <w:bottom w:val="single" w:color="000000" w:sz="8" w:space="0"/>
              <w:right w:val="nil"/>
            </w:tcBorders>
            <w:shd w:val="clear" w:color="auto" w:fill="auto"/>
            <w:vAlign w:val="center"/>
          </w:tcPr>
          <w:p w14:paraId="762E331A">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茎基宽</w:t>
            </w:r>
            <w:r>
              <w:rPr>
                <w:rFonts w:hint="default" w:ascii="Times New Roman" w:hAnsi="Times New Roman" w:cs="Times New Roman" w:eastAsiaTheme="minorEastAsia"/>
                <w:i w:val="0"/>
                <w:iCs w:val="0"/>
                <w:color w:val="000000"/>
                <w:kern w:val="0"/>
                <w:sz w:val="15"/>
                <w:szCs w:val="15"/>
                <w:u w:val="none"/>
                <w:lang w:val="en-US" w:eastAsia="zh-CN" w:bidi="ar"/>
              </w:rPr>
              <w:br w:type="textWrapping"/>
            </w:r>
            <w:r>
              <w:rPr>
                <w:rStyle w:val="13"/>
                <w:rFonts w:hint="default" w:ascii="Times New Roman" w:hAnsi="Times New Roman" w:cs="Times New Roman" w:eastAsiaTheme="minorEastAsia"/>
                <w:sz w:val="15"/>
                <w:szCs w:val="15"/>
                <w:lang w:val="en-US" w:eastAsia="zh-CN" w:bidi="ar"/>
              </w:rPr>
              <w:t xml:space="preserve"> (mm)</w:t>
            </w:r>
          </w:p>
        </w:tc>
        <w:tc>
          <w:tcPr>
            <w:tcW w:w="658" w:type="pct"/>
            <w:vMerge w:val="restart"/>
            <w:tcBorders>
              <w:top w:val="single" w:color="000000" w:sz="8" w:space="0"/>
              <w:left w:val="nil"/>
              <w:bottom w:val="single" w:color="000000" w:sz="8" w:space="0"/>
              <w:right w:val="nil"/>
            </w:tcBorders>
            <w:shd w:val="clear" w:color="auto" w:fill="auto"/>
            <w:vAlign w:val="center"/>
          </w:tcPr>
          <w:p w14:paraId="22D405D6">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eastAsia" w:cs="Times New Roman" w:eastAsiaTheme="minorEastAsia"/>
                <w:i w:val="0"/>
                <w:iCs w:val="0"/>
                <w:color w:val="000000"/>
                <w:kern w:val="0"/>
                <w:sz w:val="15"/>
                <w:szCs w:val="15"/>
                <w:u w:val="none"/>
                <w:lang w:val="en-US" w:eastAsia="zh-CN" w:bidi="ar"/>
              </w:rPr>
              <w:t>苗</w:t>
            </w:r>
            <w:r>
              <w:rPr>
                <w:rFonts w:hint="default" w:ascii="Times New Roman" w:hAnsi="Times New Roman" w:cs="Times New Roman" w:eastAsiaTheme="minorEastAsia"/>
                <w:i w:val="0"/>
                <w:iCs w:val="0"/>
                <w:color w:val="000000"/>
                <w:kern w:val="0"/>
                <w:sz w:val="15"/>
                <w:szCs w:val="15"/>
                <w:u w:val="none"/>
                <w:lang w:val="en-US" w:eastAsia="zh-CN" w:bidi="ar"/>
              </w:rPr>
              <w:t>干重</w:t>
            </w:r>
            <w:r>
              <w:rPr>
                <w:rFonts w:hint="default" w:ascii="Times New Roman" w:hAnsi="Times New Roman" w:cs="Times New Roman" w:eastAsiaTheme="minorEastAsia"/>
                <w:i w:val="0"/>
                <w:iCs w:val="0"/>
                <w:color w:val="000000"/>
                <w:kern w:val="0"/>
                <w:sz w:val="15"/>
                <w:szCs w:val="15"/>
                <w:u w:val="none"/>
                <w:lang w:val="en-US" w:eastAsia="zh-CN" w:bidi="ar"/>
              </w:rPr>
              <w:br w:type="textWrapping"/>
            </w:r>
            <w:r>
              <w:rPr>
                <w:rFonts w:hint="default" w:ascii="Times New Roman" w:hAnsi="Times New Roman" w:cs="Times New Roman" w:eastAsiaTheme="minorEastAsia"/>
                <w:i w:val="0"/>
                <w:iCs w:val="0"/>
                <w:color w:val="000000"/>
                <w:kern w:val="0"/>
                <w:sz w:val="15"/>
                <w:szCs w:val="15"/>
                <w:u w:val="none"/>
                <w:lang w:val="en-US" w:eastAsia="zh-CN" w:bidi="ar"/>
              </w:rPr>
              <w:t>(g·100plants</w:t>
            </w:r>
            <w:r>
              <w:rPr>
                <w:rFonts w:hint="default" w:ascii="Times New Roman" w:hAnsi="Times New Roman" w:cs="Times New Roman" w:eastAsiaTheme="minorEastAsia"/>
                <w:i w:val="0"/>
                <w:iCs w:val="0"/>
                <w:color w:val="000000"/>
                <w:kern w:val="0"/>
                <w:sz w:val="15"/>
                <w:szCs w:val="15"/>
                <w:u w:val="none"/>
                <w:vertAlign w:val="superscript"/>
                <w:lang w:val="en-US" w:eastAsia="zh-CN" w:bidi="ar"/>
              </w:rPr>
              <w:t>-1</w:t>
            </w:r>
            <w:r>
              <w:rPr>
                <w:rFonts w:hint="default" w:ascii="Times New Roman" w:hAnsi="Times New Roman" w:cs="Times New Roman" w:eastAsiaTheme="minorEastAsia"/>
                <w:i w:val="0"/>
                <w:iCs w:val="0"/>
                <w:color w:val="000000"/>
                <w:kern w:val="0"/>
                <w:sz w:val="15"/>
                <w:szCs w:val="15"/>
                <w:u w:val="none"/>
                <w:lang w:val="en-US" w:eastAsia="zh-CN" w:bidi="ar"/>
              </w:rPr>
              <w:t>)</w:t>
            </w:r>
          </w:p>
        </w:tc>
        <w:tc>
          <w:tcPr>
            <w:tcW w:w="644" w:type="pct"/>
            <w:vMerge w:val="restart"/>
            <w:tcBorders>
              <w:top w:val="single" w:color="000000" w:sz="8" w:space="0"/>
              <w:left w:val="nil"/>
              <w:bottom w:val="single" w:color="000000" w:sz="8" w:space="0"/>
              <w:right w:val="nil"/>
            </w:tcBorders>
            <w:shd w:val="clear" w:color="auto" w:fill="auto"/>
            <w:noWrap/>
            <w:vAlign w:val="center"/>
          </w:tcPr>
          <w:p w14:paraId="2FCD0FAA">
            <w:pPr>
              <w:keepNext w:val="0"/>
              <w:keepLines w:val="0"/>
              <w:widowControl/>
              <w:suppressLineNumbers w:val="0"/>
              <w:jc w:val="center"/>
              <w:textAlignment w:val="bottom"/>
              <w:rPr>
                <w:rFonts w:hint="default" w:ascii="Times New Roman" w:hAnsi="Times New Roman" w:cs="Times New Roman" w:eastAsiaTheme="minorEastAsia"/>
                <w:i w:val="0"/>
                <w:iCs w:val="0"/>
                <w:color w:val="000000"/>
                <w:kern w:val="0"/>
                <w:sz w:val="15"/>
                <w:szCs w:val="15"/>
                <w:u w:val="none"/>
                <w:lang w:val="en-US" w:eastAsia="zh-CN" w:bidi="ar"/>
              </w:rPr>
            </w:pPr>
            <w:r>
              <w:rPr>
                <w:rFonts w:hint="default" w:ascii="Times New Roman" w:hAnsi="Times New Roman" w:cs="Times New Roman" w:eastAsiaTheme="minorEastAsia"/>
                <w:i w:val="0"/>
                <w:iCs w:val="0"/>
                <w:color w:val="000000"/>
                <w:kern w:val="0"/>
                <w:sz w:val="15"/>
                <w:szCs w:val="15"/>
                <w:u w:val="none"/>
                <w:lang w:val="en-US" w:eastAsia="zh-CN" w:bidi="ar"/>
              </w:rPr>
              <w:t>根长</w:t>
            </w:r>
          </w:p>
          <w:p w14:paraId="6BB7F522">
            <w:pPr>
              <w:keepNext w:val="0"/>
              <w:keepLines w:val="0"/>
              <w:widowControl/>
              <w:suppressLineNumbers w:val="0"/>
              <w:jc w:val="center"/>
              <w:textAlignment w:val="bottom"/>
              <w:rPr>
                <w:rFonts w:hint="default" w:ascii="Times New Roman" w:hAnsi="Times New Roman" w:cs="Times New Roman" w:eastAsiaTheme="minorEastAsia"/>
                <w:i w:val="0"/>
                <w:iCs w:val="0"/>
                <w:color w:val="000000"/>
                <w:kern w:val="0"/>
                <w:sz w:val="15"/>
                <w:szCs w:val="15"/>
                <w:u w:val="none"/>
                <w:lang w:val="en-US" w:eastAsia="zh-CN" w:bidi="ar"/>
              </w:rPr>
            </w:pPr>
            <w:r>
              <w:rPr>
                <w:rFonts w:ascii="Times New Roman" w:hAnsi="Times New Roman" w:eastAsia="等线" w:cs="Times New Roman"/>
                <w:color w:val="000000"/>
                <w:kern w:val="0"/>
                <w:sz w:val="15"/>
                <w:szCs w:val="15"/>
                <w:lang w:bidi="ar"/>
              </w:rPr>
              <w:t>(cm)</w:t>
            </w:r>
          </w:p>
        </w:tc>
        <w:tc>
          <w:tcPr>
            <w:tcW w:w="644" w:type="pct"/>
            <w:vMerge w:val="restart"/>
            <w:tcBorders>
              <w:top w:val="single" w:color="000000" w:sz="8" w:space="0"/>
              <w:left w:val="nil"/>
              <w:bottom w:val="single" w:color="000000" w:sz="8" w:space="0"/>
              <w:right w:val="nil"/>
            </w:tcBorders>
            <w:shd w:val="clear" w:color="auto" w:fill="auto"/>
            <w:noWrap/>
            <w:vAlign w:val="center"/>
          </w:tcPr>
          <w:p w14:paraId="0CF423A9">
            <w:pPr>
              <w:keepNext w:val="0"/>
              <w:keepLines w:val="0"/>
              <w:widowControl/>
              <w:suppressLineNumbers w:val="0"/>
              <w:jc w:val="center"/>
              <w:textAlignment w:val="bottom"/>
              <w:rPr>
                <w:rFonts w:hint="default" w:ascii="Times New Roman" w:hAnsi="Times New Roman" w:cs="Times New Roman" w:eastAsiaTheme="minorEastAsia"/>
                <w:i w:val="0"/>
                <w:iCs w:val="0"/>
                <w:color w:val="000000"/>
                <w:kern w:val="0"/>
                <w:sz w:val="15"/>
                <w:szCs w:val="15"/>
                <w:u w:val="none"/>
                <w:lang w:val="en-US" w:eastAsia="zh-CN" w:bidi="ar"/>
              </w:rPr>
            </w:pPr>
            <w:r>
              <w:rPr>
                <w:rFonts w:hint="default" w:ascii="Times New Roman" w:hAnsi="Times New Roman" w:cs="Times New Roman" w:eastAsiaTheme="minorEastAsia"/>
                <w:i w:val="0"/>
                <w:iCs w:val="0"/>
                <w:color w:val="000000"/>
                <w:kern w:val="0"/>
                <w:sz w:val="15"/>
                <w:szCs w:val="15"/>
                <w:u w:val="none"/>
                <w:lang w:val="en-US" w:eastAsia="zh-CN" w:bidi="ar"/>
              </w:rPr>
              <w:t>根表面积</w:t>
            </w:r>
          </w:p>
          <w:p w14:paraId="434DD6F6">
            <w:pPr>
              <w:keepNext w:val="0"/>
              <w:keepLines w:val="0"/>
              <w:widowControl/>
              <w:suppressLineNumbers w:val="0"/>
              <w:jc w:val="center"/>
              <w:textAlignment w:val="bottom"/>
              <w:rPr>
                <w:rFonts w:hint="default" w:ascii="Times New Roman" w:hAnsi="Times New Roman" w:cs="Times New Roman" w:eastAsiaTheme="minorEastAsia"/>
                <w:i w:val="0"/>
                <w:iCs w:val="0"/>
                <w:color w:val="000000"/>
                <w:kern w:val="0"/>
                <w:sz w:val="15"/>
                <w:szCs w:val="15"/>
                <w:u w:val="none"/>
                <w:lang w:val="en-US" w:eastAsia="zh-CN" w:bidi="ar"/>
              </w:rPr>
            </w:pPr>
            <w:r>
              <w:rPr>
                <w:rFonts w:ascii="Times New Roman" w:hAnsi="Times New Roman" w:eastAsia="等线" w:cs="Times New Roman"/>
                <w:color w:val="000000"/>
                <w:kern w:val="0"/>
                <w:sz w:val="15"/>
                <w:szCs w:val="15"/>
                <w:lang w:bidi="ar"/>
              </w:rPr>
              <w:t>(cm</w:t>
            </w:r>
            <w:r>
              <w:rPr>
                <w:rStyle w:val="16"/>
                <w:rFonts w:eastAsia="等线"/>
                <w:sz w:val="15"/>
                <w:szCs w:val="15"/>
                <w:vertAlign w:val="superscript"/>
                <w:lang w:bidi="ar"/>
              </w:rPr>
              <w:t>2</w:t>
            </w:r>
            <w:r>
              <w:rPr>
                <w:rFonts w:ascii="Times New Roman" w:hAnsi="Times New Roman" w:eastAsia="等线" w:cs="Times New Roman"/>
                <w:color w:val="000000"/>
                <w:kern w:val="0"/>
                <w:sz w:val="15"/>
                <w:szCs w:val="15"/>
                <w:lang w:bidi="ar"/>
              </w:rPr>
              <w:t>)</w:t>
            </w:r>
          </w:p>
        </w:tc>
        <w:tc>
          <w:tcPr>
            <w:tcW w:w="602" w:type="pct"/>
            <w:vMerge w:val="restart"/>
            <w:tcBorders>
              <w:top w:val="single" w:color="000000" w:sz="8" w:space="0"/>
              <w:left w:val="nil"/>
              <w:bottom w:val="single" w:color="000000" w:sz="8" w:space="0"/>
              <w:right w:val="nil"/>
            </w:tcBorders>
            <w:shd w:val="clear" w:color="auto" w:fill="auto"/>
            <w:noWrap/>
            <w:vAlign w:val="center"/>
          </w:tcPr>
          <w:p w14:paraId="31454333">
            <w:pPr>
              <w:keepNext w:val="0"/>
              <w:keepLines w:val="0"/>
              <w:widowControl/>
              <w:suppressLineNumbers w:val="0"/>
              <w:jc w:val="center"/>
              <w:textAlignment w:val="bottom"/>
              <w:rPr>
                <w:rFonts w:hint="default" w:ascii="Times New Roman" w:hAnsi="Times New Roman" w:cs="Times New Roman" w:eastAsiaTheme="minorEastAsia"/>
                <w:i w:val="0"/>
                <w:iCs w:val="0"/>
                <w:color w:val="000000"/>
                <w:kern w:val="0"/>
                <w:sz w:val="15"/>
                <w:szCs w:val="15"/>
                <w:u w:val="none"/>
                <w:lang w:val="en-US" w:eastAsia="zh-CN" w:bidi="ar"/>
              </w:rPr>
            </w:pPr>
            <w:r>
              <w:rPr>
                <w:rFonts w:hint="default" w:ascii="Times New Roman" w:hAnsi="Times New Roman" w:cs="Times New Roman" w:eastAsiaTheme="minorEastAsia"/>
                <w:i w:val="0"/>
                <w:iCs w:val="0"/>
                <w:color w:val="000000"/>
                <w:kern w:val="0"/>
                <w:sz w:val="15"/>
                <w:szCs w:val="15"/>
                <w:u w:val="none"/>
                <w:lang w:val="en-US" w:eastAsia="zh-CN" w:bidi="ar"/>
              </w:rPr>
              <w:t>根体积</w:t>
            </w:r>
          </w:p>
          <w:p w14:paraId="081C1700">
            <w:pPr>
              <w:keepNext w:val="0"/>
              <w:keepLines w:val="0"/>
              <w:widowControl/>
              <w:suppressLineNumbers w:val="0"/>
              <w:jc w:val="center"/>
              <w:textAlignment w:val="bottom"/>
              <w:rPr>
                <w:rFonts w:hint="default" w:ascii="Times New Roman" w:hAnsi="Times New Roman" w:cs="Times New Roman" w:eastAsiaTheme="minorEastAsia"/>
                <w:i w:val="0"/>
                <w:iCs w:val="0"/>
                <w:color w:val="000000"/>
                <w:kern w:val="0"/>
                <w:sz w:val="15"/>
                <w:szCs w:val="15"/>
                <w:u w:val="none"/>
                <w:lang w:val="en-US" w:eastAsia="zh-CN" w:bidi="ar"/>
              </w:rPr>
            </w:pPr>
            <w:r>
              <w:rPr>
                <w:rFonts w:ascii="Times New Roman" w:hAnsi="Times New Roman" w:eastAsia="等线" w:cs="Times New Roman"/>
                <w:color w:val="000000"/>
                <w:kern w:val="0"/>
                <w:sz w:val="15"/>
                <w:szCs w:val="15"/>
                <w:lang w:bidi="ar"/>
              </w:rPr>
              <w:t>(cm</w:t>
            </w:r>
            <w:r>
              <w:rPr>
                <w:rStyle w:val="16"/>
                <w:rFonts w:eastAsia="等线"/>
                <w:sz w:val="15"/>
                <w:szCs w:val="15"/>
                <w:vertAlign w:val="superscript"/>
                <w:lang w:bidi="ar"/>
              </w:rPr>
              <w:t>3</w:t>
            </w:r>
            <w:r>
              <w:rPr>
                <w:rFonts w:ascii="Times New Roman" w:hAnsi="Times New Roman" w:eastAsia="等线" w:cs="Times New Roman"/>
                <w:color w:val="000000"/>
                <w:kern w:val="0"/>
                <w:sz w:val="15"/>
                <w:szCs w:val="15"/>
                <w:lang w:bidi="ar"/>
              </w:rPr>
              <w:t>)</w:t>
            </w:r>
          </w:p>
        </w:tc>
      </w:tr>
      <w:tr w14:paraId="56DE82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389" w:type="pct"/>
            <w:vMerge w:val="continue"/>
            <w:tcBorders>
              <w:top w:val="single" w:color="000000" w:sz="8" w:space="0"/>
              <w:left w:val="nil"/>
              <w:bottom w:val="single" w:color="000000" w:sz="8" w:space="0"/>
              <w:right w:val="nil"/>
            </w:tcBorders>
            <w:shd w:val="clear" w:color="auto" w:fill="auto"/>
            <w:noWrap/>
            <w:vAlign w:val="center"/>
          </w:tcPr>
          <w:p w14:paraId="6EC1CD31">
            <w:pPr>
              <w:jc w:val="center"/>
              <w:rPr>
                <w:rFonts w:hint="default" w:ascii="Times New Roman" w:hAnsi="Times New Roman" w:cs="Times New Roman" w:eastAsiaTheme="minorEastAsia"/>
                <w:i w:val="0"/>
                <w:iCs w:val="0"/>
                <w:color w:val="000000"/>
                <w:sz w:val="15"/>
                <w:szCs w:val="15"/>
                <w:u w:val="none"/>
              </w:rPr>
            </w:pPr>
          </w:p>
        </w:tc>
        <w:tc>
          <w:tcPr>
            <w:tcW w:w="305" w:type="pct"/>
            <w:vMerge w:val="continue"/>
            <w:tcBorders>
              <w:top w:val="single" w:color="000000" w:sz="8" w:space="0"/>
              <w:left w:val="nil"/>
              <w:bottom w:val="single" w:color="000000" w:sz="8" w:space="0"/>
              <w:right w:val="nil"/>
            </w:tcBorders>
            <w:shd w:val="clear" w:color="auto" w:fill="auto"/>
            <w:noWrap/>
            <w:vAlign w:val="center"/>
          </w:tcPr>
          <w:p w14:paraId="70A4FD63">
            <w:pPr>
              <w:jc w:val="center"/>
              <w:rPr>
                <w:rFonts w:hint="default" w:ascii="Times New Roman" w:hAnsi="Times New Roman" w:cs="Times New Roman" w:eastAsiaTheme="minorEastAsia"/>
                <w:i w:val="0"/>
                <w:iCs w:val="0"/>
                <w:color w:val="000000"/>
                <w:sz w:val="15"/>
                <w:szCs w:val="15"/>
                <w:u w:val="none"/>
              </w:rPr>
            </w:pPr>
          </w:p>
        </w:tc>
        <w:tc>
          <w:tcPr>
            <w:tcW w:w="598" w:type="pct"/>
            <w:vMerge w:val="continue"/>
            <w:tcBorders>
              <w:top w:val="single" w:color="000000" w:sz="8" w:space="0"/>
              <w:left w:val="nil"/>
              <w:bottom w:val="single" w:color="000000" w:sz="8" w:space="0"/>
              <w:right w:val="nil"/>
            </w:tcBorders>
            <w:shd w:val="clear" w:color="auto" w:fill="auto"/>
            <w:vAlign w:val="center"/>
          </w:tcPr>
          <w:p w14:paraId="0E896A87">
            <w:pPr>
              <w:jc w:val="center"/>
              <w:rPr>
                <w:rFonts w:hint="default" w:ascii="Times New Roman" w:hAnsi="Times New Roman" w:cs="Times New Roman" w:eastAsiaTheme="minorEastAsia"/>
                <w:i w:val="0"/>
                <w:iCs w:val="0"/>
                <w:color w:val="000000"/>
                <w:sz w:val="15"/>
                <w:szCs w:val="15"/>
                <w:u w:val="none"/>
              </w:rPr>
            </w:pPr>
          </w:p>
        </w:tc>
        <w:tc>
          <w:tcPr>
            <w:tcW w:w="598" w:type="pct"/>
            <w:vMerge w:val="continue"/>
            <w:tcBorders>
              <w:top w:val="single" w:color="000000" w:sz="8" w:space="0"/>
              <w:left w:val="nil"/>
              <w:bottom w:val="single" w:color="000000" w:sz="8" w:space="0"/>
              <w:right w:val="nil"/>
            </w:tcBorders>
            <w:shd w:val="clear" w:color="auto" w:fill="auto"/>
            <w:noWrap/>
            <w:vAlign w:val="center"/>
          </w:tcPr>
          <w:p w14:paraId="0FA3C968">
            <w:pPr>
              <w:jc w:val="center"/>
              <w:rPr>
                <w:rFonts w:hint="default" w:ascii="Times New Roman" w:hAnsi="Times New Roman" w:cs="Times New Roman" w:eastAsiaTheme="minorEastAsia"/>
                <w:i w:val="0"/>
                <w:iCs w:val="0"/>
                <w:color w:val="000000"/>
                <w:sz w:val="15"/>
                <w:szCs w:val="15"/>
                <w:u w:val="none"/>
              </w:rPr>
            </w:pPr>
          </w:p>
        </w:tc>
        <w:tc>
          <w:tcPr>
            <w:tcW w:w="556" w:type="pct"/>
            <w:vMerge w:val="continue"/>
            <w:tcBorders>
              <w:top w:val="single" w:color="000000" w:sz="8" w:space="0"/>
              <w:left w:val="nil"/>
              <w:bottom w:val="single" w:color="000000" w:sz="8" w:space="0"/>
              <w:right w:val="nil"/>
            </w:tcBorders>
            <w:shd w:val="clear" w:color="auto" w:fill="auto"/>
            <w:vAlign w:val="center"/>
          </w:tcPr>
          <w:p w14:paraId="1EC33B30">
            <w:pPr>
              <w:jc w:val="center"/>
              <w:rPr>
                <w:rFonts w:hint="default" w:ascii="Times New Roman" w:hAnsi="Times New Roman" w:cs="Times New Roman" w:eastAsiaTheme="minorEastAsia"/>
                <w:i w:val="0"/>
                <w:iCs w:val="0"/>
                <w:color w:val="000000"/>
                <w:sz w:val="15"/>
                <w:szCs w:val="15"/>
                <w:u w:val="none"/>
              </w:rPr>
            </w:pPr>
          </w:p>
        </w:tc>
        <w:tc>
          <w:tcPr>
            <w:tcW w:w="658" w:type="pct"/>
            <w:vMerge w:val="continue"/>
            <w:tcBorders>
              <w:top w:val="single" w:color="000000" w:sz="8" w:space="0"/>
              <w:left w:val="nil"/>
              <w:bottom w:val="single" w:color="000000" w:sz="8" w:space="0"/>
              <w:right w:val="nil"/>
            </w:tcBorders>
            <w:shd w:val="clear" w:color="auto" w:fill="auto"/>
            <w:vAlign w:val="center"/>
          </w:tcPr>
          <w:p w14:paraId="5992DEF1">
            <w:pPr>
              <w:jc w:val="center"/>
              <w:rPr>
                <w:rFonts w:hint="default" w:ascii="Times New Roman" w:hAnsi="Times New Roman" w:cs="Times New Roman" w:eastAsiaTheme="minorEastAsia"/>
                <w:i w:val="0"/>
                <w:iCs w:val="0"/>
                <w:color w:val="000000"/>
                <w:sz w:val="15"/>
                <w:szCs w:val="15"/>
                <w:u w:val="none"/>
              </w:rPr>
            </w:pPr>
          </w:p>
        </w:tc>
        <w:tc>
          <w:tcPr>
            <w:tcW w:w="644" w:type="pct"/>
            <w:vMerge w:val="continue"/>
            <w:tcBorders>
              <w:top w:val="single" w:color="000000" w:sz="8" w:space="0"/>
              <w:left w:val="nil"/>
              <w:bottom w:val="single" w:color="000000" w:sz="8" w:space="0"/>
              <w:right w:val="nil"/>
            </w:tcBorders>
            <w:shd w:val="clear" w:color="auto" w:fill="auto"/>
            <w:noWrap/>
            <w:vAlign w:val="center"/>
          </w:tcPr>
          <w:p w14:paraId="3A5B6A0E">
            <w:pPr>
              <w:jc w:val="center"/>
              <w:rPr>
                <w:rFonts w:hint="default" w:ascii="Times New Roman" w:hAnsi="Times New Roman" w:cs="Times New Roman" w:eastAsiaTheme="minorEastAsia"/>
                <w:i w:val="0"/>
                <w:iCs w:val="0"/>
                <w:color w:val="000000"/>
                <w:sz w:val="15"/>
                <w:szCs w:val="15"/>
                <w:u w:val="none"/>
              </w:rPr>
            </w:pPr>
          </w:p>
        </w:tc>
        <w:tc>
          <w:tcPr>
            <w:tcW w:w="644" w:type="pct"/>
            <w:vMerge w:val="continue"/>
            <w:tcBorders>
              <w:top w:val="single" w:color="000000" w:sz="8" w:space="0"/>
              <w:left w:val="nil"/>
              <w:bottom w:val="single" w:color="000000" w:sz="8" w:space="0"/>
              <w:right w:val="nil"/>
            </w:tcBorders>
            <w:shd w:val="clear" w:color="auto" w:fill="auto"/>
            <w:noWrap/>
            <w:vAlign w:val="center"/>
          </w:tcPr>
          <w:p w14:paraId="7C2E603B">
            <w:pPr>
              <w:jc w:val="center"/>
              <w:rPr>
                <w:rFonts w:hint="default" w:ascii="Times New Roman" w:hAnsi="Times New Roman" w:cs="Times New Roman" w:eastAsiaTheme="minorEastAsia"/>
                <w:i w:val="0"/>
                <w:iCs w:val="0"/>
                <w:color w:val="000000"/>
                <w:sz w:val="15"/>
                <w:szCs w:val="15"/>
                <w:u w:val="none"/>
              </w:rPr>
            </w:pPr>
          </w:p>
        </w:tc>
        <w:tc>
          <w:tcPr>
            <w:tcW w:w="602" w:type="pct"/>
            <w:vMerge w:val="continue"/>
            <w:tcBorders>
              <w:top w:val="single" w:color="000000" w:sz="8" w:space="0"/>
              <w:left w:val="nil"/>
              <w:bottom w:val="single" w:color="000000" w:sz="8" w:space="0"/>
              <w:right w:val="nil"/>
            </w:tcBorders>
            <w:shd w:val="clear" w:color="auto" w:fill="auto"/>
            <w:noWrap/>
            <w:vAlign w:val="center"/>
          </w:tcPr>
          <w:p w14:paraId="6AD90BCF">
            <w:pPr>
              <w:jc w:val="center"/>
              <w:rPr>
                <w:rFonts w:hint="default" w:ascii="Times New Roman" w:hAnsi="Times New Roman" w:cs="Times New Roman" w:eastAsiaTheme="minorEastAsia"/>
                <w:i w:val="0"/>
                <w:iCs w:val="0"/>
                <w:color w:val="000000"/>
                <w:sz w:val="15"/>
                <w:szCs w:val="15"/>
                <w:u w:val="none"/>
              </w:rPr>
            </w:pPr>
          </w:p>
        </w:tc>
      </w:tr>
      <w:tr w14:paraId="0223C9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389" w:type="pct"/>
            <w:vMerge w:val="restart"/>
            <w:tcBorders>
              <w:top w:val="nil"/>
              <w:left w:val="nil"/>
              <w:right w:val="nil"/>
            </w:tcBorders>
            <w:shd w:val="clear" w:color="auto" w:fill="auto"/>
            <w:vAlign w:val="center"/>
          </w:tcPr>
          <w:p w14:paraId="0EE449B8">
            <w:pPr>
              <w:keepNext w:val="0"/>
              <w:keepLines w:val="0"/>
              <w:widowControl/>
              <w:suppressLineNumbers w:val="0"/>
              <w:jc w:val="center"/>
              <w:textAlignment w:val="center"/>
              <w:rPr>
                <w:rFonts w:hint="default" w:ascii="Times New Roman" w:hAnsi="Times New Roman" w:cs="Times New Roman" w:eastAsiaTheme="minorEastAsia"/>
                <w:i w:val="0"/>
                <w:iCs w:val="0"/>
                <w:color w:val="000000"/>
                <w:kern w:val="0"/>
                <w:sz w:val="15"/>
                <w:szCs w:val="15"/>
                <w:u w:val="none"/>
                <w:lang w:val="en-US" w:eastAsia="zh-CN" w:bidi="ar"/>
              </w:rPr>
            </w:pPr>
            <w:r>
              <w:rPr>
                <w:rFonts w:hint="default" w:ascii="Times New Roman" w:hAnsi="Times New Roman" w:cs="Times New Roman" w:eastAsiaTheme="minorEastAsia"/>
                <w:i w:val="0"/>
                <w:iCs w:val="0"/>
                <w:color w:val="000000"/>
                <w:kern w:val="0"/>
                <w:sz w:val="15"/>
                <w:szCs w:val="15"/>
                <w:u w:val="none"/>
                <w:lang w:val="en-US" w:eastAsia="zh-CN" w:bidi="ar"/>
              </w:rPr>
              <w:t>播种后</w:t>
            </w:r>
          </w:p>
          <w:p w14:paraId="17D19708">
            <w:pPr>
              <w:keepNext w:val="0"/>
              <w:keepLines w:val="0"/>
              <w:widowControl/>
              <w:suppressLineNumbers w:val="0"/>
              <w:jc w:val="center"/>
              <w:textAlignment w:val="center"/>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7</w:t>
            </w:r>
            <w:r>
              <w:rPr>
                <w:rStyle w:val="15"/>
                <w:rFonts w:hint="default" w:ascii="Times New Roman" w:hAnsi="Times New Roman" w:cs="Times New Roman" w:eastAsiaTheme="minorEastAsia"/>
                <w:sz w:val="15"/>
                <w:szCs w:val="15"/>
                <w:lang w:val="en-US" w:eastAsia="zh-CN" w:bidi="ar"/>
              </w:rPr>
              <w:t>天</w:t>
            </w:r>
          </w:p>
        </w:tc>
        <w:tc>
          <w:tcPr>
            <w:tcW w:w="305" w:type="pct"/>
            <w:tcBorders>
              <w:top w:val="nil"/>
              <w:left w:val="nil"/>
              <w:bottom w:val="nil"/>
              <w:right w:val="nil"/>
            </w:tcBorders>
            <w:shd w:val="clear" w:color="auto" w:fill="auto"/>
            <w:noWrap/>
            <w:vAlign w:val="center"/>
          </w:tcPr>
          <w:p w14:paraId="5445F7D0">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TS</w:t>
            </w:r>
          </w:p>
        </w:tc>
        <w:tc>
          <w:tcPr>
            <w:tcW w:w="598" w:type="pct"/>
            <w:tcBorders>
              <w:top w:val="nil"/>
              <w:left w:val="nil"/>
              <w:bottom w:val="nil"/>
              <w:right w:val="nil"/>
            </w:tcBorders>
            <w:shd w:val="clear" w:color="auto" w:fill="auto"/>
            <w:noWrap/>
            <w:vAlign w:val="center"/>
          </w:tcPr>
          <w:p w14:paraId="1455C671">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10.79±0.26b</w:t>
            </w:r>
          </w:p>
        </w:tc>
        <w:tc>
          <w:tcPr>
            <w:tcW w:w="598" w:type="pct"/>
            <w:tcBorders>
              <w:top w:val="nil"/>
              <w:left w:val="nil"/>
              <w:bottom w:val="nil"/>
              <w:right w:val="nil"/>
            </w:tcBorders>
            <w:shd w:val="clear" w:color="auto" w:fill="auto"/>
            <w:noWrap/>
            <w:vAlign w:val="center"/>
          </w:tcPr>
          <w:p w14:paraId="0E9F738E">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30.27±0.72a</w:t>
            </w:r>
          </w:p>
        </w:tc>
        <w:tc>
          <w:tcPr>
            <w:tcW w:w="556" w:type="pct"/>
            <w:tcBorders>
              <w:top w:val="nil"/>
              <w:left w:val="nil"/>
              <w:bottom w:val="nil"/>
              <w:right w:val="nil"/>
            </w:tcBorders>
            <w:shd w:val="clear" w:color="auto" w:fill="auto"/>
            <w:noWrap/>
            <w:vAlign w:val="center"/>
          </w:tcPr>
          <w:p w14:paraId="1787CDEC">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1.42±0.07a</w:t>
            </w:r>
          </w:p>
        </w:tc>
        <w:tc>
          <w:tcPr>
            <w:tcW w:w="658" w:type="pct"/>
            <w:tcBorders>
              <w:top w:val="nil"/>
              <w:left w:val="nil"/>
              <w:bottom w:val="nil"/>
              <w:right w:val="nil"/>
            </w:tcBorders>
            <w:shd w:val="clear" w:color="auto" w:fill="auto"/>
            <w:noWrap/>
            <w:vAlign w:val="center"/>
          </w:tcPr>
          <w:p w14:paraId="15EE4133">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2.83±0.02a</w:t>
            </w:r>
          </w:p>
        </w:tc>
        <w:tc>
          <w:tcPr>
            <w:tcW w:w="644" w:type="pct"/>
            <w:tcBorders>
              <w:top w:val="nil"/>
              <w:left w:val="nil"/>
              <w:bottom w:val="nil"/>
              <w:right w:val="nil"/>
            </w:tcBorders>
            <w:shd w:val="clear" w:color="auto" w:fill="auto"/>
            <w:noWrap/>
            <w:vAlign w:val="center"/>
          </w:tcPr>
          <w:p w14:paraId="07E4B480">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39.11</w:t>
            </w:r>
            <w:r>
              <w:rPr>
                <w:rStyle w:val="14"/>
                <w:rFonts w:hint="default" w:ascii="Times New Roman" w:hAnsi="Times New Roman" w:cs="Times New Roman" w:eastAsiaTheme="minorEastAsia"/>
                <w:sz w:val="15"/>
                <w:szCs w:val="15"/>
                <w:lang w:val="en-US" w:eastAsia="zh-CN" w:bidi="ar"/>
              </w:rPr>
              <w:t>0±0.378a</w:t>
            </w:r>
          </w:p>
        </w:tc>
        <w:tc>
          <w:tcPr>
            <w:tcW w:w="644" w:type="pct"/>
            <w:tcBorders>
              <w:top w:val="nil"/>
              <w:left w:val="nil"/>
              <w:bottom w:val="nil"/>
              <w:right w:val="nil"/>
            </w:tcBorders>
            <w:shd w:val="clear" w:color="auto" w:fill="auto"/>
            <w:noWrap/>
            <w:vAlign w:val="center"/>
          </w:tcPr>
          <w:p w14:paraId="62AAE3BA">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6.371±0.16</w:t>
            </w:r>
            <w:r>
              <w:rPr>
                <w:rStyle w:val="14"/>
                <w:rFonts w:hint="default" w:ascii="Times New Roman" w:hAnsi="Times New Roman" w:cs="Times New Roman" w:eastAsiaTheme="minorEastAsia"/>
                <w:sz w:val="15"/>
                <w:szCs w:val="15"/>
                <w:lang w:val="en-US" w:eastAsia="zh-CN" w:bidi="ar"/>
              </w:rPr>
              <w:t>0a</w:t>
            </w:r>
          </w:p>
        </w:tc>
        <w:tc>
          <w:tcPr>
            <w:tcW w:w="602" w:type="pct"/>
            <w:tcBorders>
              <w:top w:val="nil"/>
              <w:left w:val="nil"/>
              <w:bottom w:val="nil"/>
              <w:right w:val="nil"/>
            </w:tcBorders>
            <w:shd w:val="clear" w:color="auto" w:fill="auto"/>
            <w:noWrap/>
            <w:vAlign w:val="center"/>
          </w:tcPr>
          <w:p w14:paraId="55658C5D">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0.085±0.002b</w:t>
            </w:r>
          </w:p>
        </w:tc>
      </w:tr>
      <w:tr w14:paraId="5C17FE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89" w:type="pct"/>
            <w:vMerge w:val="continue"/>
            <w:tcBorders>
              <w:left w:val="nil"/>
              <w:right w:val="nil"/>
            </w:tcBorders>
            <w:shd w:val="clear" w:color="auto" w:fill="auto"/>
            <w:vAlign w:val="center"/>
          </w:tcPr>
          <w:p w14:paraId="17CF32E9">
            <w:pPr>
              <w:keepNext w:val="0"/>
              <w:keepLines w:val="0"/>
              <w:widowControl/>
              <w:suppressLineNumbers w:val="0"/>
              <w:jc w:val="center"/>
              <w:textAlignment w:val="center"/>
              <w:rPr>
                <w:rFonts w:hint="default" w:ascii="Times New Roman" w:hAnsi="Times New Roman" w:cs="Times New Roman" w:eastAsiaTheme="minorEastAsia"/>
                <w:i w:val="0"/>
                <w:iCs w:val="0"/>
                <w:color w:val="000000"/>
                <w:sz w:val="15"/>
                <w:szCs w:val="15"/>
                <w:u w:val="none"/>
              </w:rPr>
            </w:pPr>
          </w:p>
        </w:tc>
        <w:tc>
          <w:tcPr>
            <w:tcW w:w="305" w:type="pct"/>
            <w:tcBorders>
              <w:top w:val="nil"/>
              <w:left w:val="nil"/>
              <w:bottom w:val="nil"/>
              <w:right w:val="nil"/>
            </w:tcBorders>
            <w:shd w:val="clear" w:color="auto" w:fill="auto"/>
            <w:noWrap/>
            <w:vAlign w:val="center"/>
          </w:tcPr>
          <w:p w14:paraId="70B596CB">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CS</w:t>
            </w:r>
          </w:p>
        </w:tc>
        <w:tc>
          <w:tcPr>
            <w:tcW w:w="598" w:type="pct"/>
            <w:tcBorders>
              <w:top w:val="nil"/>
              <w:left w:val="nil"/>
              <w:bottom w:val="nil"/>
              <w:right w:val="nil"/>
            </w:tcBorders>
            <w:shd w:val="clear" w:color="auto" w:fill="auto"/>
            <w:noWrap/>
            <w:vAlign w:val="center"/>
          </w:tcPr>
          <w:p w14:paraId="3D06162C">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12.26±0.63a</w:t>
            </w:r>
          </w:p>
        </w:tc>
        <w:tc>
          <w:tcPr>
            <w:tcW w:w="598" w:type="pct"/>
            <w:tcBorders>
              <w:top w:val="nil"/>
              <w:left w:val="nil"/>
              <w:bottom w:val="nil"/>
              <w:right w:val="nil"/>
            </w:tcBorders>
            <w:shd w:val="clear" w:color="auto" w:fill="auto"/>
            <w:noWrap/>
            <w:vAlign w:val="center"/>
          </w:tcPr>
          <w:p w14:paraId="760E9156">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27.41±0.06b</w:t>
            </w:r>
          </w:p>
        </w:tc>
        <w:tc>
          <w:tcPr>
            <w:tcW w:w="556" w:type="pct"/>
            <w:tcBorders>
              <w:top w:val="nil"/>
              <w:left w:val="nil"/>
              <w:bottom w:val="nil"/>
              <w:right w:val="nil"/>
            </w:tcBorders>
            <w:shd w:val="clear" w:color="auto" w:fill="auto"/>
            <w:noWrap/>
            <w:vAlign w:val="center"/>
          </w:tcPr>
          <w:p w14:paraId="280BCC7E">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1.33±0.01b</w:t>
            </w:r>
          </w:p>
        </w:tc>
        <w:tc>
          <w:tcPr>
            <w:tcW w:w="658" w:type="pct"/>
            <w:tcBorders>
              <w:top w:val="nil"/>
              <w:left w:val="nil"/>
              <w:bottom w:val="nil"/>
              <w:right w:val="nil"/>
            </w:tcBorders>
            <w:shd w:val="clear" w:color="auto" w:fill="auto"/>
            <w:noWrap/>
            <w:vAlign w:val="center"/>
          </w:tcPr>
          <w:p w14:paraId="26CB049A">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2.76±0.03a</w:t>
            </w:r>
          </w:p>
        </w:tc>
        <w:tc>
          <w:tcPr>
            <w:tcW w:w="644" w:type="pct"/>
            <w:tcBorders>
              <w:top w:val="nil"/>
              <w:left w:val="nil"/>
              <w:bottom w:val="nil"/>
              <w:right w:val="nil"/>
            </w:tcBorders>
            <w:shd w:val="clear" w:color="auto" w:fill="auto"/>
            <w:noWrap/>
            <w:vAlign w:val="center"/>
          </w:tcPr>
          <w:p w14:paraId="6A5294AD">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37.78</w:t>
            </w:r>
            <w:r>
              <w:rPr>
                <w:rStyle w:val="14"/>
                <w:rFonts w:hint="default" w:ascii="Times New Roman" w:hAnsi="Times New Roman" w:cs="Times New Roman" w:eastAsiaTheme="minorEastAsia"/>
                <w:sz w:val="15"/>
                <w:szCs w:val="15"/>
                <w:lang w:val="en-US" w:eastAsia="zh-CN" w:bidi="ar"/>
              </w:rPr>
              <w:t>0±0.474b</w:t>
            </w:r>
          </w:p>
        </w:tc>
        <w:tc>
          <w:tcPr>
            <w:tcW w:w="644" w:type="pct"/>
            <w:tcBorders>
              <w:top w:val="nil"/>
              <w:left w:val="nil"/>
              <w:bottom w:val="nil"/>
              <w:right w:val="nil"/>
            </w:tcBorders>
            <w:shd w:val="clear" w:color="auto" w:fill="auto"/>
            <w:noWrap/>
            <w:vAlign w:val="center"/>
          </w:tcPr>
          <w:p w14:paraId="6297FAD8">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6.242±0.094a</w:t>
            </w:r>
          </w:p>
        </w:tc>
        <w:tc>
          <w:tcPr>
            <w:tcW w:w="602" w:type="pct"/>
            <w:tcBorders>
              <w:top w:val="nil"/>
              <w:left w:val="nil"/>
              <w:bottom w:val="nil"/>
              <w:right w:val="nil"/>
            </w:tcBorders>
            <w:shd w:val="clear" w:color="auto" w:fill="auto"/>
            <w:noWrap/>
            <w:vAlign w:val="center"/>
          </w:tcPr>
          <w:p w14:paraId="724B9967">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0.102±0.004a</w:t>
            </w:r>
          </w:p>
        </w:tc>
      </w:tr>
      <w:tr w14:paraId="48F5C3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89" w:type="pct"/>
            <w:vMerge w:val="continue"/>
            <w:tcBorders>
              <w:left w:val="nil"/>
              <w:right w:val="nil"/>
            </w:tcBorders>
            <w:shd w:val="clear" w:color="auto" w:fill="auto"/>
            <w:noWrap/>
            <w:vAlign w:val="center"/>
          </w:tcPr>
          <w:p w14:paraId="5D07FBD4">
            <w:pPr>
              <w:rPr>
                <w:rFonts w:hint="default" w:ascii="Times New Roman" w:hAnsi="Times New Roman" w:cs="Times New Roman" w:eastAsiaTheme="minorEastAsia"/>
                <w:i w:val="0"/>
                <w:iCs w:val="0"/>
                <w:color w:val="000000"/>
                <w:sz w:val="15"/>
                <w:szCs w:val="15"/>
                <w:u w:val="none"/>
              </w:rPr>
            </w:pPr>
          </w:p>
        </w:tc>
        <w:tc>
          <w:tcPr>
            <w:tcW w:w="305" w:type="pct"/>
            <w:tcBorders>
              <w:top w:val="nil"/>
              <w:left w:val="nil"/>
              <w:bottom w:val="nil"/>
              <w:right w:val="nil"/>
            </w:tcBorders>
            <w:shd w:val="clear" w:color="auto" w:fill="auto"/>
            <w:noWrap/>
            <w:vAlign w:val="center"/>
          </w:tcPr>
          <w:p w14:paraId="6FF67B48">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ST</w:t>
            </w:r>
          </w:p>
        </w:tc>
        <w:tc>
          <w:tcPr>
            <w:tcW w:w="598" w:type="pct"/>
            <w:tcBorders>
              <w:top w:val="nil"/>
              <w:left w:val="nil"/>
              <w:bottom w:val="nil"/>
              <w:right w:val="nil"/>
            </w:tcBorders>
            <w:shd w:val="clear" w:color="auto" w:fill="auto"/>
            <w:noWrap/>
            <w:vAlign w:val="center"/>
          </w:tcPr>
          <w:p w14:paraId="0F3A00D1">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9.10±0.34c</w:t>
            </w:r>
          </w:p>
        </w:tc>
        <w:tc>
          <w:tcPr>
            <w:tcW w:w="598" w:type="pct"/>
            <w:tcBorders>
              <w:top w:val="nil"/>
              <w:left w:val="nil"/>
              <w:bottom w:val="nil"/>
              <w:right w:val="nil"/>
            </w:tcBorders>
            <w:shd w:val="clear" w:color="auto" w:fill="auto"/>
            <w:noWrap/>
            <w:vAlign w:val="center"/>
          </w:tcPr>
          <w:p w14:paraId="4066DC8E">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24.38±0.79d</w:t>
            </w:r>
          </w:p>
        </w:tc>
        <w:tc>
          <w:tcPr>
            <w:tcW w:w="556" w:type="pct"/>
            <w:tcBorders>
              <w:top w:val="nil"/>
              <w:left w:val="nil"/>
              <w:bottom w:val="nil"/>
              <w:right w:val="nil"/>
            </w:tcBorders>
            <w:shd w:val="clear" w:color="auto" w:fill="auto"/>
            <w:noWrap/>
            <w:vAlign w:val="center"/>
          </w:tcPr>
          <w:p w14:paraId="3F315BFB">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1.17±0.08c</w:t>
            </w:r>
          </w:p>
        </w:tc>
        <w:tc>
          <w:tcPr>
            <w:tcW w:w="658" w:type="pct"/>
            <w:tcBorders>
              <w:top w:val="nil"/>
              <w:left w:val="nil"/>
              <w:bottom w:val="nil"/>
              <w:right w:val="nil"/>
            </w:tcBorders>
            <w:shd w:val="clear" w:color="auto" w:fill="auto"/>
            <w:noWrap/>
            <w:vAlign w:val="center"/>
          </w:tcPr>
          <w:p w14:paraId="0BE8C26D">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2.61±0.06b</w:t>
            </w:r>
          </w:p>
        </w:tc>
        <w:tc>
          <w:tcPr>
            <w:tcW w:w="644" w:type="pct"/>
            <w:tcBorders>
              <w:top w:val="nil"/>
              <w:left w:val="nil"/>
              <w:bottom w:val="nil"/>
              <w:right w:val="nil"/>
            </w:tcBorders>
            <w:shd w:val="clear" w:color="auto" w:fill="auto"/>
            <w:noWrap/>
            <w:vAlign w:val="center"/>
          </w:tcPr>
          <w:p w14:paraId="44CBED8F">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33.745±0.482e</w:t>
            </w:r>
          </w:p>
        </w:tc>
        <w:tc>
          <w:tcPr>
            <w:tcW w:w="644" w:type="pct"/>
            <w:tcBorders>
              <w:top w:val="nil"/>
              <w:left w:val="nil"/>
              <w:bottom w:val="nil"/>
              <w:right w:val="nil"/>
            </w:tcBorders>
            <w:shd w:val="clear" w:color="auto" w:fill="auto"/>
            <w:noWrap/>
            <w:vAlign w:val="center"/>
          </w:tcPr>
          <w:p w14:paraId="318C3673">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4.502±0.057c</w:t>
            </w:r>
          </w:p>
        </w:tc>
        <w:tc>
          <w:tcPr>
            <w:tcW w:w="602" w:type="pct"/>
            <w:tcBorders>
              <w:top w:val="nil"/>
              <w:left w:val="nil"/>
              <w:bottom w:val="nil"/>
              <w:right w:val="nil"/>
            </w:tcBorders>
            <w:shd w:val="clear" w:color="auto" w:fill="auto"/>
            <w:noWrap/>
            <w:vAlign w:val="center"/>
          </w:tcPr>
          <w:p w14:paraId="23AD72DB">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0.076±0.002c</w:t>
            </w:r>
          </w:p>
        </w:tc>
      </w:tr>
      <w:tr w14:paraId="1599CE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389" w:type="pct"/>
            <w:vMerge w:val="continue"/>
            <w:tcBorders>
              <w:left w:val="nil"/>
              <w:right w:val="nil"/>
            </w:tcBorders>
            <w:shd w:val="clear" w:color="auto" w:fill="auto"/>
            <w:noWrap/>
            <w:vAlign w:val="center"/>
          </w:tcPr>
          <w:p w14:paraId="3E73D312">
            <w:pPr>
              <w:rPr>
                <w:rFonts w:hint="default" w:ascii="Times New Roman" w:hAnsi="Times New Roman" w:cs="Times New Roman" w:eastAsiaTheme="minorEastAsia"/>
                <w:i w:val="0"/>
                <w:iCs w:val="0"/>
                <w:color w:val="000000"/>
                <w:sz w:val="15"/>
                <w:szCs w:val="15"/>
                <w:u w:val="none"/>
              </w:rPr>
            </w:pPr>
          </w:p>
        </w:tc>
        <w:tc>
          <w:tcPr>
            <w:tcW w:w="305" w:type="pct"/>
            <w:tcBorders>
              <w:top w:val="nil"/>
              <w:left w:val="nil"/>
              <w:bottom w:val="nil"/>
              <w:right w:val="nil"/>
            </w:tcBorders>
            <w:shd w:val="clear" w:color="auto" w:fill="auto"/>
            <w:noWrap/>
            <w:vAlign w:val="center"/>
          </w:tcPr>
          <w:p w14:paraId="3110A574">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RH</w:t>
            </w:r>
          </w:p>
        </w:tc>
        <w:tc>
          <w:tcPr>
            <w:tcW w:w="598" w:type="pct"/>
            <w:tcBorders>
              <w:top w:val="nil"/>
              <w:left w:val="nil"/>
              <w:bottom w:val="nil"/>
              <w:right w:val="nil"/>
            </w:tcBorders>
            <w:shd w:val="clear" w:color="auto" w:fill="auto"/>
            <w:noWrap/>
            <w:vAlign w:val="center"/>
          </w:tcPr>
          <w:p w14:paraId="4A9E3488">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10.38±0.19b</w:t>
            </w:r>
          </w:p>
        </w:tc>
        <w:tc>
          <w:tcPr>
            <w:tcW w:w="598" w:type="pct"/>
            <w:tcBorders>
              <w:top w:val="nil"/>
              <w:left w:val="nil"/>
              <w:bottom w:val="nil"/>
              <w:right w:val="nil"/>
            </w:tcBorders>
            <w:shd w:val="clear" w:color="auto" w:fill="auto"/>
            <w:noWrap/>
            <w:vAlign w:val="center"/>
          </w:tcPr>
          <w:p w14:paraId="25DC5541">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25.73±0.35c</w:t>
            </w:r>
          </w:p>
        </w:tc>
        <w:tc>
          <w:tcPr>
            <w:tcW w:w="556" w:type="pct"/>
            <w:tcBorders>
              <w:top w:val="nil"/>
              <w:left w:val="nil"/>
              <w:bottom w:val="nil"/>
              <w:right w:val="nil"/>
            </w:tcBorders>
            <w:shd w:val="clear" w:color="auto" w:fill="auto"/>
            <w:noWrap/>
            <w:vAlign w:val="center"/>
          </w:tcPr>
          <w:p w14:paraId="79CDF9F1">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1.26±0.04c</w:t>
            </w:r>
          </w:p>
        </w:tc>
        <w:tc>
          <w:tcPr>
            <w:tcW w:w="658" w:type="pct"/>
            <w:tcBorders>
              <w:top w:val="nil"/>
              <w:left w:val="nil"/>
              <w:bottom w:val="nil"/>
              <w:right w:val="nil"/>
            </w:tcBorders>
            <w:shd w:val="clear" w:color="auto" w:fill="auto"/>
            <w:noWrap/>
            <w:vAlign w:val="center"/>
          </w:tcPr>
          <w:p w14:paraId="129184C5">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2.66±0.04b</w:t>
            </w:r>
          </w:p>
        </w:tc>
        <w:tc>
          <w:tcPr>
            <w:tcW w:w="644" w:type="pct"/>
            <w:tcBorders>
              <w:top w:val="nil"/>
              <w:left w:val="nil"/>
              <w:bottom w:val="nil"/>
              <w:right w:val="nil"/>
            </w:tcBorders>
            <w:shd w:val="clear" w:color="auto" w:fill="auto"/>
            <w:noWrap/>
            <w:vAlign w:val="center"/>
          </w:tcPr>
          <w:p w14:paraId="77320515">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35.155±0.278d</w:t>
            </w:r>
          </w:p>
        </w:tc>
        <w:tc>
          <w:tcPr>
            <w:tcW w:w="644" w:type="pct"/>
            <w:tcBorders>
              <w:top w:val="nil"/>
              <w:left w:val="nil"/>
              <w:bottom w:val="nil"/>
              <w:right w:val="nil"/>
            </w:tcBorders>
            <w:shd w:val="clear" w:color="auto" w:fill="auto"/>
            <w:noWrap/>
            <w:vAlign w:val="center"/>
          </w:tcPr>
          <w:p w14:paraId="4D1E2226">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5.292±0.206b</w:t>
            </w:r>
          </w:p>
        </w:tc>
        <w:tc>
          <w:tcPr>
            <w:tcW w:w="602" w:type="pct"/>
            <w:tcBorders>
              <w:top w:val="nil"/>
              <w:left w:val="nil"/>
              <w:bottom w:val="nil"/>
              <w:right w:val="nil"/>
            </w:tcBorders>
            <w:shd w:val="clear" w:color="auto" w:fill="auto"/>
            <w:noWrap/>
            <w:vAlign w:val="center"/>
          </w:tcPr>
          <w:p w14:paraId="4DE4521B">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0.069±0.003c</w:t>
            </w:r>
          </w:p>
        </w:tc>
      </w:tr>
      <w:tr w14:paraId="3A55E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89" w:type="pct"/>
            <w:vMerge w:val="continue"/>
            <w:tcBorders>
              <w:left w:val="nil"/>
              <w:bottom w:val="single" w:color="000000" w:sz="8" w:space="0"/>
              <w:right w:val="nil"/>
            </w:tcBorders>
            <w:shd w:val="clear" w:color="auto" w:fill="auto"/>
            <w:noWrap/>
            <w:vAlign w:val="center"/>
          </w:tcPr>
          <w:p w14:paraId="70FB0B68">
            <w:pPr>
              <w:rPr>
                <w:rFonts w:hint="default" w:ascii="Times New Roman" w:hAnsi="Times New Roman" w:cs="Times New Roman" w:eastAsiaTheme="minorEastAsia"/>
                <w:i w:val="0"/>
                <w:iCs w:val="0"/>
                <w:color w:val="000000"/>
                <w:sz w:val="15"/>
                <w:szCs w:val="15"/>
                <w:u w:val="none"/>
              </w:rPr>
            </w:pPr>
          </w:p>
        </w:tc>
        <w:tc>
          <w:tcPr>
            <w:tcW w:w="305" w:type="pct"/>
            <w:tcBorders>
              <w:top w:val="nil"/>
              <w:left w:val="nil"/>
              <w:bottom w:val="single" w:color="000000" w:sz="8" w:space="0"/>
              <w:right w:val="nil"/>
            </w:tcBorders>
            <w:shd w:val="clear" w:color="auto" w:fill="auto"/>
            <w:noWrap/>
            <w:vAlign w:val="center"/>
          </w:tcPr>
          <w:p w14:paraId="69984BB4">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MR</w:t>
            </w:r>
          </w:p>
        </w:tc>
        <w:tc>
          <w:tcPr>
            <w:tcW w:w="598" w:type="pct"/>
            <w:tcBorders>
              <w:top w:val="nil"/>
              <w:left w:val="nil"/>
              <w:bottom w:val="single" w:color="000000" w:sz="8" w:space="0"/>
              <w:right w:val="nil"/>
            </w:tcBorders>
            <w:shd w:val="clear" w:color="auto" w:fill="auto"/>
            <w:noWrap/>
            <w:vAlign w:val="center"/>
          </w:tcPr>
          <w:p w14:paraId="2EEDC152">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10.99±0.34b</w:t>
            </w:r>
          </w:p>
        </w:tc>
        <w:tc>
          <w:tcPr>
            <w:tcW w:w="598" w:type="pct"/>
            <w:tcBorders>
              <w:top w:val="nil"/>
              <w:left w:val="nil"/>
              <w:bottom w:val="single" w:color="000000" w:sz="8" w:space="0"/>
              <w:right w:val="nil"/>
            </w:tcBorders>
            <w:shd w:val="clear" w:color="auto" w:fill="auto"/>
            <w:noWrap/>
            <w:vAlign w:val="center"/>
          </w:tcPr>
          <w:p w14:paraId="4A399F0A">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29.38±0.63a</w:t>
            </w:r>
          </w:p>
        </w:tc>
        <w:tc>
          <w:tcPr>
            <w:tcW w:w="556" w:type="pct"/>
            <w:tcBorders>
              <w:top w:val="nil"/>
              <w:left w:val="nil"/>
              <w:bottom w:val="single" w:color="000000" w:sz="8" w:space="0"/>
              <w:right w:val="nil"/>
            </w:tcBorders>
            <w:shd w:val="clear" w:color="auto" w:fill="auto"/>
            <w:noWrap/>
            <w:vAlign w:val="center"/>
          </w:tcPr>
          <w:p w14:paraId="57D2B871">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1.39±0.02a</w:t>
            </w:r>
          </w:p>
        </w:tc>
        <w:tc>
          <w:tcPr>
            <w:tcW w:w="658" w:type="pct"/>
            <w:tcBorders>
              <w:top w:val="nil"/>
              <w:left w:val="nil"/>
              <w:bottom w:val="single" w:color="000000" w:sz="8" w:space="0"/>
              <w:right w:val="nil"/>
            </w:tcBorders>
            <w:shd w:val="clear" w:color="auto" w:fill="auto"/>
            <w:noWrap/>
            <w:vAlign w:val="center"/>
          </w:tcPr>
          <w:p w14:paraId="08309927">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2.77±0.03a</w:t>
            </w:r>
          </w:p>
        </w:tc>
        <w:tc>
          <w:tcPr>
            <w:tcW w:w="644" w:type="pct"/>
            <w:tcBorders>
              <w:top w:val="nil"/>
              <w:left w:val="nil"/>
              <w:bottom w:val="single" w:color="000000" w:sz="8" w:space="0"/>
              <w:right w:val="nil"/>
            </w:tcBorders>
            <w:shd w:val="clear" w:color="auto" w:fill="auto"/>
            <w:noWrap/>
            <w:vAlign w:val="center"/>
          </w:tcPr>
          <w:p w14:paraId="4D99C390">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36.664±0.304c</w:t>
            </w:r>
          </w:p>
        </w:tc>
        <w:tc>
          <w:tcPr>
            <w:tcW w:w="644" w:type="pct"/>
            <w:tcBorders>
              <w:top w:val="nil"/>
              <w:left w:val="nil"/>
              <w:bottom w:val="single" w:color="000000" w:sz="8" w:space="0"/>
              <w:right w:val="nil"/>
            </w:tcBorders>
            <w:shd w:val="clear" w:color="auto" w:fill="auto"/>
            <w:noWrap/>
            <w:vAlign w:val="center"/>
          </w:tcPr>
          <w:p w14:paraId="48FE8EA8">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6.537±0.189a</w:t>
            </w:r>
          </w:p>
        </w:tc>
        <w:tc>
          <w:tcPr>
            <w:tcW w:w="602" w:type="pct"/>
            <w:tcBorders>
              <w:top w:val="nil"/>
              <w:left w:val="nil"/>
              <w:bottom w:val="single" w:color="000000" w:sz="8" w:space="0"/>
              <w:right w:val="nil"/>
            </w:tcBorders>
            <w:shd w:val="clear" w:color="auto" w:fill="auto"/>
            <w:noWrap/>
            <w:vAlign w:val="center"/>
          </w:tcPr>
          <w:p w14:paraId="367C453C">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0.091±0.004b</w:t>
            </w:r>
          </w:p>
        </w:tc>
      </w:tr>
      <w:tr w14:paraId="6F75DA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89" w:type="pct"/>
            <w:vMerge w:val="restart"/>
            <w:tcBorders>
              <w:top w:val="nil"/>
              <w:left w:val="nil"/>
              <w:right w:val="nil"/>
            </w:tcBorders>
            <w:shd w:val="clear" w:color="auto" w:fill="auto"/>
            <w:vAlign w:val="center"/>
          </w:tcPr>
          <w:p w14:paraId="6ABC7CBC">
            <w:pPr>
              <w:keepNext w:val="0"/>
              <w:keepLines w:val="0"/>
              <w:widowControl/>
              <w:suppressLineNumbers w:val="0"/>
              <w:jc w:val="center"/>
              <w:textAlignment w:val="center"/>
              <w:rPr>
                <w:rFonts w:hint="default" w:ascii="Times New Roman" w:hAnsi="Times New Roman" w:cs="Times New Roman" w:eastAsiaTheme="minorEastAsia"/>
                <w:i w:val="0"/>
                <w:iCs w:val="0"/>
                <w:color w:val="000000"/>
                <w:kern w:val="0"/>
                <w:sz w:val="15"/>
                <w:szCs w:val="15"/>
                <w:u w:val="none"/>
                <w:lang w:val="en-US" w:eastAsia="zh-CN" w:bidi="ar"/>
              </w:rPr>
            </w:pPr>
            <w:r>
              <w:rPr>
                <w:rFonts w:hint="default" w:ascii="Times New Roman" w:hAnsi="Times New Roman" w:cs="Times New Roman" w:eastAsiaTheme="minorEastAsia"/>
                <w:i w:val="0"/>
                <w:iCs w:val="0"/>
                <w:color w:val="000000"/>
                <w:kern w:val="0"/>
                <w:sz w:val="15"/>
                <w:szCs w:val="15"/>
                <w:u w:val="none"/>
                <w:lang w:val="en-US" w:eastAsia="zh-CN" w:bidi="ar"/>
              </w:rPr>
              <w:t>播种后</w:t>
            </w:r>
          </w:p>
          <w:p w14:paraId="7870C781">
            <w:pPr>
              <w:keepNext w:val="0"/>
              <w:keepLines w:val="0"/>
              <w:widowControl/>
              <w:suppressLineNumbers w:val="0"/>
              <w:jc w:val="center"/>
              <w:textAlignment w:val="center"/>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14</w:t>
            </w:r>
            <w:r>
              <w:rPr>
                <w:rStyle w:val="15"/>
                <w:rFonts w:hint="default" w:ascii="Times New Roman" w:hAnsi="Times New Roman" w:cs="Times New Roman" w:eastAsiaTheme="minorEastAsia"/>
                <w:sz w:val="15"/>
                <w:szCs w:val="15"/>
                <w:lang w:val="en-US" w:eastAsia="zh-CN" w:bidi="ar"/>
              </w:rPr>
              <w:t>天</w:t>
            </w:r>
          </w:p>
        </w:tc>
        <w:tc>
          <w:tcPr>
            <w:tcW w:w="305" w:type="pct"/>
            <w:tcBorders>
              <w:top w:val="nil"/>
              <w:left w:val="nil"/>
              <w:bottom w:val="nil"/>
              <w:right w:val="nil"/>
            </w:tcBorders>
            <w:shd w:val="clear" w:color="auto" w:fill="auto"/>
            <w:noWrap/>
            <w:vAlign w:val="center"/>
          </w:tcPr>
          <w:p w14:paraId="44FABBBB">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TS</w:t>
            </w:r>
          </w:p>
        </w:tc>
        <w:tc>
          <w:tcPr>
            <w:tcW w:w="598" w:type="pct"/>
            <w:tcBorders>
              <w:top w:val="nil"/>
              <w:left w:val="nil"/>
              <w:bottom w:val="nil"/>
              <w:right w:val="nil"/>
            </w:tcBorders>
            <w:shd w:val="clear" w:color="auto" w:fill="auto"/>
            <w:noWrap/>
            <w:vAlign w:val="center"/>
          </w:tcPr>
          <w:p w14:paraId="0C336B4B">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15.54±0.37a</w:t>
            </w:r>
          </w:p>
        </w:tc>
        <w:tc>
          <w:tcPr>
            <w:tcW w:w="598" w:type="pct"/>
            <w:tcBorders>
              <w:top w:val="nil"/>
              <w:left w:val="nil"/>
              <w:bottom w:val="nil"/>
              <w:right w:val="nil"/>
            </w:tcBorders>
            <w:shd w:val="clear" w:color="auto" w:fill="auto"/>
            <w:noWrap/>
            <w:vAlign w:val="center"/>
          </w:tcPr>
          <w:p w14:paraId="7756B238">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28.73±0.82a</w:t>
            </w:r>
          </w:p>
        </w:tc>
        <w:tc>
          <w:tcPr>
            <w:tcW w:w="556" w:type="pct"/>
            <w:tcBorders>
              <w:top w:val="nil"/>
              <w:left w:val="nil"/>
              <w:bottom w:val="nil"/>
              <w:right w:val="nil"/>
            </w:tcBorders>
            <w:shd w:val="clear" w:color="auto" w:fill="auto"/>
            <w:noWrap/>
            <w:vAlign w:val="center"/>
          </w:tcPr>
          <w:p w14:paraId="3B08B14D">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1.71±0.04ab</w:t>
            </w:r>
          </w:p>
        </w:tc>
        <w:tc>
          <w:tcPr>
            <w:tcW w:w="658" w:type="pct"/>
            <w:tcBorders>
              <w:top w:val="nil"/>
              <w:left w:val="nil"/>
              <w:bottom w:val="nil"/>
              <w:right w:val="nil"/>
            </w:tcBorders>
            <w:shd w:val="clear" w:color="auto" w:fill="auto"/>
            <w:noWrap/>
            <w:vAlign w:val="center"/>
          </w:tcPr>
          <w:p w14:paraId="253DDCA9">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4.98±0.16a</w:t>
            </w:r>
          </w:p>
        </w:tc>
        <w:tc>
          <w:tcPr>
            <w:tcW w:w="644" w:type="pct"/>
            <w:tcBorders>
              <w:top w:val="nil"/>
              <w:left w:val="nil"/>
              <w:bottom w:val="nil"/>
              <w:right w:val="nil"/>
            </w:tcBorders>
            <w:shd w:val="clear" w:color="auto" w:fill="auto"/>
            <w:noWrap/>
            <w:vAlign w:val="center"/>
          </w:tcPr>
          <w:p w14:paraId="0F6903AC">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51.636±0.676a</w:t>
            </w:r>
          </w:p>
        </w:tc>
        <w:tc>
          <w:tcPr>
            <w:tcW w:w="644" w:type="pct"/>
            <w:tcBorders>
              <w:top w:val="nil"/>
              <w:left w:val="nil"/>
              <w:bottom w:val="nil"/>
              <w:right w:val="nil"/>
            </w:tcBorders>
            <w:shd w:val="clear" w:color="auto" w:fill="auto"/>
            <w:noWrap/>
            <w:vAlign w:val="center"/>
          </w:tcPr>
          <w:p w14:paraId="7739CE3F">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8.323±0.085b</w:t>
            </w:r>
          </w:p>
        </w:tc>
        <w:tc>
          <w:tcPr>
            <w:tcW w:w="602" w:type="pct"/>
            <w:tcBorders>
              <w:top w:val="nil"/>
              <w:left w:val="nil"/>
              <w:bottom w:val="nil"/>
              <w:right w:val="nil"/>
            </w:tcBorders>
            <w:shd w:val="clear" w:color="auto" w:fill="auto"/>
            <w:noWrap/>
            <w:vAlign w:val="center"/>
          </w:tcPr>
          <w:p w14:paraId="6F0FBC8A">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0.098±0.001c</w:t>
            </w:r>
          </w:p>
        </w:tc>
      </w:tr>
      <w:tr w14:paraId="0C287C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89" w:type="pct"/>
            <w:vMerge w:val="continue"/>
            <w:tcBorders>
              <w:left w:val="nil"/>
              <w:right w:val="nil"/>
            </w:tcBorders>
            <w:shd w:val="clear" w:color="auto" w:fill="auto"/>
            <w:vAlign w:val="center"/>
          </w:tcPr>
          <w:p w14:paraId="21DF059F">
            <w:pPr>
              <w:keepNext w:val="0"/>
              <w:keepLines w:val="0"/>
              <w:widowControl/>
              <w:suppressLineNumbers w:val="0"/>
              <w:jc w:val="center"/>
              <w:textAlignment w:val="center"/>
              <w:rPr>
                <w:rFonts w:hint="default" w:ascii="Times New Roman" w:hAnsi="Times New Roman" w:cs="Times New Roman" w:eastAsiaTheme="minorEastAsia"/>
                <w:i w:val="0"/>
                <w:iCs w:val="0"/>
                <w:color w:val="000000"/>
                <w:sz w:val="15"/>
                <w:szCs w:val="15"/>
                <w:u w:val="none"/>
              </w:rPr>
            </w:pPr>
          </w:p>
        </w:tc>
        <w:tc>
          <w:tcPr>
            <w:tcW w:w="305" w:type="pct"/>
            <w:tcBorders>
              <w:top w:val="nil"/>
              <w:left w:val="nil"/>
              <w:bottom w:val="nil"/>
              <w:right w:val="nil"/>
            </w:tcBorders>
            <w:shd w:val="clear" w:color="auto" w:fill="auto"/>
            <w:noWrap/>
            <w:vAlign w:val="center"/>
          </w:tcPr>
          <w:p w14:paraId="44AF21F0">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CS</w:t>
            </w:r>
          </w:p>
        </w:tc>
        <w:tc>
          <w:tcPr>
            <w:tcW w:w="598" w:type="pct"/>
            <w:tcBorders>
              <w:top w:val="nil"/>
              <w:left w:val="nil"/>
              <w:bottom w:val="nil"/>
              <w:right w:val="nil"/>
            </w:tcBorders>
            <w:shd w:val="clear" w:color="auto" w:fill="auto"/>
            <w:noWrap/>
            <w:vAlign w:val="center"/>
          </w:tcPr>
          <w:p w14:paraId="56FB0A63">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14.82±0.21ab</w:t>
            </w:r>
          </w:p>
        </w:tc>
        <w:tc>
          <w:tcPr>
            <w:tcW w:w="598" w:type="pct"/>
            <w:tcBorders>
              <w:top w:val="nil"/>
              <w:left w:val="nil"/>
              <w:bottom w:val="nil"/>
              <w:right w:val="nil"/>
            </w:tcBorders>
            <w:shd w:val="clear" w:color="auto" w:fill="auto"/>
            <w:noWrap/>
            <w:vAlign w:val="center"/>
          </w:tcPr>
          <w:p w14:paraId="2581103C">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25.55±0.88b</w:t>
            </w:r>
          </w:p>
        </w:tc>
        <w:tc>
          <w:tcPr>
            <w:tcW w:w="556" w:type="pct"/>
            <w:tcBorders>
              <w:top w:val="nil"/>
              <w:left w:val="nil"/>
              <w:bottom w:val="nil"/>
              <w:right w:val="nil"/>
            </w:tcBorders>
            <w:shd w:val="clear" w:color="auto" w:fill="auto"/>
            <w:noWrap/>
            <w:vAlign w:val="center"/>
          </w:tcPr>
          <w:p w14:paraId="5DBAC7FC">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1.78±0.03a</w:t>
            </w:r>
          </w:p>
        </w:tc>
        <w:tc>
          <w:tcPr>
            <w:tcW w:w="658" w:type="pct"/>
            <w:tcBorders>
              <w:top w:val="nil"/>
              <w:left w:val="nil"/>
              <w:bottom w:val="nil"/>
              <w:right w:val="nil"/>
            </w:tcBorders>
            <w:shd w:val="clear" w:color="auto" w:fill="auto"/>
            <w:noWrap/>
            <w:vAlign w:val="center"/>
          </w:tcPr>
          <w:p w14:paraId="47DF5173">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4.74±0.09a</w:t>
            </w:r>
          </w:p>
        </w:tc>
        <w:tc>
          <w:tcPr>
            <w:tcW w:w="644" w:type="pct"/>
            <w:tcBorders>
              <w:top w:val="nil"/>
              <w:left w:val="nil"/>
              <w:bottom w:val="nil"/>
              <w:right w:val="nil"/>
            </w:tcBorders>
            <w:shd w:val="clear" w:color="auto" w:fill="auto"/>
            <w:noWrap/>
            <w:vAlign w:val="center"/>
          </w:tcPr>
          <w:p w14:paraId="780B5D9C">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47.561±0.636c</w:t>
            </w:r>
          </w:p>
        </w:tc>
        <w:tc>
          <w:tcPr>
            <w:tcW w:w="644" w:type="pct"/>
            <w:tcBorders>
              <w:top w:val="nil"/>
              <w:left w:val="nil"/>
              <w:bottom w:val="nil"/>
              <w:right w:val="nil"/>
            </w:tcBorders>
            <w:shd w:val="clear" w:color="auto" w:fill="auto"/>
            <w:noWrap/>
            <w:vAlign w:val="center"/>
          </w:tcPr>
          <w:p w14:paraId="4C724DB3">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7.902±0.216c</w:t>
            </w:r>
          </w:p>
        </w:tc>
        <w:tc>
          <w:tcPr>
            <w:tcW w:w="602" w:type="pct"/>
            <w:tcBorders>
              <w:top w:val="nil"/>
              <w:left w:val="nil"/>
              <w:bottom w:val="nil"/>
              <w:right w:val="nil"/>
            </w:tcBorders>
            <w:shd w:val="clear" w:color="auto" w:fill="auto"/>
            <w:noWrap/>
            <w:vAlign w:val="center"/>
          </w:tcPr>
          <w:p w14:paraId="0525C7F0">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0.11</w:t>
            </w:r>
            <w:r>
              <w:rPr>
                <w:rStyle w:val="14"/>
                <w:rFonts w:hint="default" w:ascii="Times New Roman" w:hAnsi="Times New Roman" w:cs="Times New Roman" w:eastAsiaTheme="minorEastAsia"/>
                <w:sz w:val="15"/>
                <w:szCs w:val="15"/>
                <w:lang w:val="en-US" w:eastAsia="zh-CN" w:bidi="ar"/>
              </w:rPr>
              <w:t>0±0.002a</w:t>
            </w:r>
          </w:p>
        </w:tc>
      </w:tr>
      <w:tr w14:paraId="58F50C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89" w:type="pct"/>
            <w:vMerge w:val="continue"/>
            <w:tcBorders>
              <w:left w:val="nil"/>
              <w:right w:val="nil"/>
            </w:tcBorders>
            <w:shd w:val="clear" w:color="auto" w:fill="auto"/>
            <w:noWrap/>
            <w:vAlign w:val="center"/>
          </w:tcPr>
          <w:p w14:paraId="5D9E0EFD">
            <w:pPr>
              <w:rPr>
                <w:rFonts w:hint="default" w:ascii="Times New Roman" w:hAnsi="Times New Roman" w:cs="Times New Roman" w:eastAsiaTheme="minorEastAsia"/>
                <w:i w:val="0"/>
                <w:iCs w:val="0"/>
                <w:color w:val="000000"/>
                <w:sz w:val="15"/>
                <w:szCs w:val="15"/>
                <w:u w:val="none"/>
              </w:rPr>
            </w:pPr>
          </w:p>
        </w:tc>
        <w:tc>
          <w:tcPr>
            <w:tcW w:w="305" w:type="pct"/>
            <w:tcBorders>
              <w:top w:val="nil"/>
              <w:left w:val="nil"/>
              <w:bottom w:val="nil"/>
              <w:right w:val="nil"/>
            </w:tcBorders>
            <w:shd w:val="clear" w:color="auto" w:fill="auto"/>
            <w:noWrap/>
            <w:vAlign w:val="center"/>
          </w:tcPr>
          <w:p w14:paraId="5CF39E42">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ST</w:t>
            </w:r>
          </w:p>
        </w:tc>
        <w:tc>
          <w:tcPr>
            <w:tcW w:w="598" w:type="pct"/>
            <w:tcBorders>
              <w:top w:val="nil"/>
              <w:left w:val="nil"/>
              <w:bottom w:val="nil"/>
              <w:right w:val="nil"/>
            </w:tcBorders>
            <w:shd w:val="clear" w:color="auto" w:fill="auto"/>
            <w:noWrap/>
            <w:vAlign w:val="center"/>
          </w:tcPr>
          <w:p w14:paraId="1BB206C3">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11.65±0.57d</w:t>
            </w:r>
          </w:p>
        </w:tc>
        <w:tc>
          <w:tcPr>
            <w:tcW w:w="598" w:type="pct"/>
            <w:tcBorders>
              <w:top w:val="nil"/>
              <w:left w:val="nil"/>
              <w:bottom w:val="nil"/>
              <w:right w:val="nil"/>
            </w:tcBorders>
            <w:shd w:val="clear" w:color="auto" w:fill="auto"/>
            <w:noWrap/>
            <w:vAlign w:val="center"/>
          </w:tcPr>
          <w:p w14:paraId="0BF71F05">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20.94±0.90c</w:t>
            </w:r>
          </w:p>
        </w:tc>
        <w:tc>
          <w:tcPr>
            <w:tcW w:w="556" w:type="pct"/>
            <w:tcBorders>
              <w:top w:val="nil"/>
              <w:left w:val="nil"/>
              <w:bottom w:val="nil"/>
              <w:right w:val="nil"/>
            </w:tcBorders>
            <w:shd w:val="clear" w:color="auto" w:fill="auto"/>
            <w:noWrap/>
            <w:vAlign w:val="center"/>
          </w:tcPr>
          <w:p w14:paraId="21228C61">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1.52±0.06c</w:t>
            </w:r>
          </w:p>
        </w:tc>
        <w:tc>
          <w:tcPr>
            <w:tcW w:w="658" w:type="pct"/>
            <w:tcBorders>
              <w:top w:val="nil"/>
              <w:left w:val="nil"/>
              <w:bottom w:val="nil"/>
              <w:right w:val="nil"/>
            </w:tcBorders>
            <w:shd w:val="clear" w:color="auto" w:fill="auto"/>
            <w:noWrap/>
            <w:vAlign w:val="center"/>
          </w:tcPr>
          <w:p w14:paraId="05D40DA2">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3.65±0.13c</w:t>
            </w:r>
          </w:p>
        </w:tc>
        <w:tc>
          <w:tcPr>
            <w:tcW w:w="644" w:type="pct"/>
            <w:tcBorders>
              <w:top w:val="nil"/>
              <w:left w:val="nil"/>
              <w:bottom w:val="nil"/>
              <w:right w:val="nil"/>
            </w:tcBorders>
            <w:shd w:val="clear" w:color="auto" w:fill="auto"/>
            <w:noWrap/>
            <w:vAlign w:val="center"/>
          </w:tcPr>
          <w:p w14:paraId="0B0644FD">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45.939±0.48d</w:t>
            </w:r>
          </w:p>
        </w:tc>
        <w:tc>
          <w:tcPr>
            <w:tcW w:w="644" w:type="pct"/>
            <w:tcBorders>
              <w:top w:val="nil"/>
              <w:left w:val="nil"/>
              <w:bottom w:val="nil"/>
              <w:right w:val="nil"/>
            </w:tcBorders>
            <w:shd w:val="clear" w:color="auto" w:fill="auto"/>
            <w:noWrap/>
            <w:vAlign w:val="center"/>
          </w:tcPr>
          <w:p w14:paraId="35CE8EC2">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6.716±0.065e</w:t>
            </w:r>
          </w:p>
        </w:tc>
        <w:tc>
          <w:tcPr>
            <w:tcW w:w="602" w:type="pct"/>
            <w:tcBorders>
              <w:top w:val="nil"/>
              <w:left w:val="nil"/>
              <w:bottom w:val="nil"/>
              <w:right w:val="nil"/>
            </w:tcBorders>
            <w:shd w:val="clear" w:color="auto" w:fill="auto"/>
            <w:noWrap/>
            <w:vAlign w:val="center"/>
          </w:tcPr>
          <w:p w14:paraId="5B205246">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0.091±0.003d</w:t>
            </w:r>
          </w:p>
        </w:tc>
      </w:tr>
      <w:tr w14:paraId="423F8B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89" w:type="pct"/>
            <w:vMerge w:val="continue"/>
            <w:tcBorders>
              <w:left w:val="nil"/>
              <w:right w:val="nil"/>
            </w:tcBorders>
            <w:shd w:val="clear" w:color="auto" w:fill="auto"/>
            <w:noWrap/>
            <w:vAlign w:val="center"/>
          </w:tcPr>
          <w:p w14:paraId="29751576">
            <w:pPr>
              <w:rPr>
                <w:rFonts w:hint="default" w:ascii="Times New Roman" w:hAnsi="Times New Roman" w:cs="Times New Roman" w:eastAsiaTheme="minorEastAsia"/>
                <w:i w:val="0"/>
                <w:iCs w:val="0"/>
                <w:color w:val="000000"/>
                <w:sz w:val="15"/>
                <w:szCs w:val="15"/>
                <w:u w:val="none"/>
              </w:rPr>
            </w:pPr>
          </w:p>
        </w:tc>
        <w:tc>
          <w:tcPr>
            <w:tcW w:w="305" w:type="pct"/>
            <w:tcBorders>
              <w:top w:val="nil"/>
              <w:left w:val="nil"/>
              <w:bottom w:val="nil"/>
              <w:right w:val="nil"/>
            </w:tcBorders>
            <w:shd w:val="clear" w:color="auto" w:fill="auto"/>
            <w:noWrap/>
            <w:vAlign w:val="center"/>
          </w:tcPr>
          <w:p w14:paraId="37583DA0">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RH</w:t>
            </w:r>
          </w:p>
        </w:tc>
        <w:tc>
          <w:tcPr>
            <w:tcW w:w="598" w:type="pct"/>
            <w:tcBorders>
              <w:top w:val="nil"/>
              <w:left w:val="nil"/>
              <w:bottom w:val="nil"/>
              <w:right w:val="nil"/>
            </w:tcBorders>
            <w:shd w:val="clear" w:color="auto" w:fill="auto"/>
            <w:noWrap/>
            <w:vAlign w:val="center"/>
          </w:tcPr>
          <w:p w14:paraId="04CC89DE">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12.98±0.32c</w:t>
            </w:r>
          </w:p>
        </w:tc>
        <w:tc>
          <w:tcPr>
            <w:tcW w:w="598" w:type="pct"/>
            <w:tcBorders>
              <w:top w:val="nil"/>
              <w:left w:val="nil"/>
              <w:bottom w:val="nil"/>
              <w:right w:val="nil"/>
            </w:tcBorders>
            <w:shd w:val="clear" w:color="auto" w:fill="auto"/>
            <w:noWrap/>
            <w:vAlign w:val="center"/>
          </w:tcPr>
          <w:p w14:paraId="79659EE2">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25.84±0.80b</w:t>
            </w:r>
          </w:p>
        </w:tc>
        <w:tc>
          <w:tcPr>
            <w:tcW w:w="556" w:type="pct"/>
            <w:tcBorders>
              <w:top w:val="nil"/>
              <w:left w:val="nil"/>
              <w:bottom w:val="nil"/>
              <w:right w:val="nil"/>
            </w:tcBorders>
            <w:shd w:val="clear" w:color="auto" w:fill="auto"/>
            <w:noWrap/>
            <w:vAlign w:val="center"/>
          </w:tcPr>
          <w:p w14:paraId="38BA5584">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1.62±0.04b</w:t>
            </w:r>
          </w:p>
        </w:tc>
        <w:tc>
          <w:tcPr>
            <w:tcW w:w="658" w:type="pct"/>
            <w:tcBorders>
              <w:top w:val="nil"/>
              <w:left w:val="nil"/>
              <w:bottom w:val="nil"/>
              <w:right w:val="nil"/>
            </w:tcBorders>
            <w:shd w:val="clear" w:color="auto" w:fill="auto"/>
            <w:noWrap/>
            <w:vAlign w:val="center"/>
          </w:tcPr>
          <w:p w14:paraId="4807E146">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3.92±0.06b</w:t>
            </w:r>
          </w:p>
        </w:tc>
        <w:tc>
          <w:tcPr>
            <w:tcW w:w="644" w:type="pct"/>
            <w:tcBorders>
              <w:top w:val="nil"/>
              <w:left w:val="nil"/>
              <w:bottom w:val="nil"/>
              <w:right w:val="nil"/>
            </w:tcBorders>
            <w:shd w:val="clear" w:color="auto" w:fill="auto"/>
            <w:noWrap/>
            <w:vAlign w:val="center"/>
          </w:tcPr>
          <w:p w14:paraId="55D98D4D">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46.135±0.407d</w:t>
            </w:r>
          </w:p>
        </w:tc>
        <w:tc>
          <w:tcPr>
            <w:tcW w:w="644" w:type="pct"/>
            <w:tcBorders>
              <w:top w:val="nil"/>
              <w:left w:val="nil"/>
              <w:bottom w:val="nil"/>
              <w:right w:val="nil"/>
            </w:tcBorders>
            <w:shd w:val="clear" w:color="auto" w:fill="auto"/>
            <w:noWrap/>
            <w:vAlign w:val="center"/>
          </w:tcPr>
          <w:p w14:paraId="7DCA1531">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7.343±0.024d</w:t>
            </w:r>
          </w:p>
        </w:tc>
        <w:tc>
          <w:tcPr>
            <w:tcW w:w="602" w:type="pct"/>
            <w:tcBorders>
              <w:top w:val="nil"/>
              <w:left w:val="nil"/>
              <w:bottom w:val="nil"/>
              <w:right w:val="nil"/>
            </w:tcBorders>
            <w:shd w:val="clear" w:color="auto" w:fill="auto"/>
            <w:noWrap/>
            <w:vAlign w:val="center"/>
          </w:tcPr>
          <w:p w14:paraId="78A29CDC">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0.079±0.002e</w:t>
            </w:r>
          </w:p>
        </w:tc>
      </w:tr>
      <w:tr w14:paraId="77A306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89" w:type="pct"/>
            <w:vMerge w:val="continue"/>
            <w:tcBorders>
              <w:left w:val="nil"/>
              <w:bottom w:val="single" w:color="000000" w:sz="8" w:space="0"/>
              <w:right w:val="nil"/>
            </w:tcBorders>
            <w:shd w:val="clear" w:color="auto" w:fill="auto"/>
            <w:noWrap/>
            <w:vAlign w:val="center"/>
          </w:tcPr>
          <w:p w14:paraId="14AECF4F">
            <w:pPr>
              <w:rPr>
                <w:rFonts w:hint="default" w:ascii="Times New Roman" w:hAnsi="Times New Roman" w:cs="Times New Roman" w:eastAsiaTheme="minorEastAsia"/>
                <w:i w:val="0"/>
                <w:iCs w:val="0"/>
                <w:color w:val="000000"/>
                <w:sz w:val="15"/>
                <w:szCs w:val="15"/>
                <w:u w:val="none"/>
              </w:rPr>
            </w:pPr>
          </w:p>
        </w:tc>
        <w:tc>
          <w:tcPr>
            <w:tcW w:w="305" w:type="pct"/>
            <w:tcBorders>
              <w:top w:val="nil"/>
              <w:left w:val="nil"/>
              <w:bottom w:val="single" w:color="000000" w:sz="8" w:space="0"/>
              <w:right w:val="nil"/>
            </w:tcBorders>
            <w:shd w:val="clear" w:color="auto" w:fill="auto"/>
            <w:noWrap/>
            <w:vAlign w:val="center"/>
          </w:tcPr>
          <w:p w14:paraId="490645D9">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MR</w:t>
            </w:r>
          </w:p>
        </w:tc>
        <w:tc>
          <w:tcPr>
            <w:tcW w:w="598" w:type="pct"/>
            <w:tcBorders>
              <w:top w:val="nil"/>
              <w:left w:val="nil"/>
              <w:bottom w:val="single" w:color="000000" w:sz="8" w:space="0"/>
              <w:right w:val="nil"/>
            </w:tcBorders>
            <w:shd w:val="clear" w:color="auto" w:fill="auto"/>
            <w:noWrap/>
            <w:vAlign w:val="center"/>
          </w:tcPr>
          <w:p w14:paraId="32BA836B">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14.45±0.32b</w:t>
            </w:r>
          </w:p>
        </w:tc>
        <w:tc>
          <w:tcPr>
            <w:tcW w:w="598" w:type="pct"/>
            <w:tcBorders>
              <w:top w:val="nil"/>
              <w:left w:val="nil"/>
              <w:bottom w:val="single" w:color="000000" w:sz="8" w:space="0"/>
              <w:right w:val="nil"/>
            </w:tcBorders>
            <w:shd w:val="clear" w:color="auto" w:fill="auto"/>
            <w:noWrap/>
            <w:vAlign w:val="center"/>
          </w:tcPr>
          <w:p w14:paraId="1DD0C56A">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28.05±0.83a</w:t>
            </w:r>
          </w:p>
        </w:tc>
        <w:tc>
          <w:tcPr>
            <w:tcW w:w="556" w:type="pct"/>
            <w:tcBorders>
              <w:top w:val="nil"/>
              <w:left w:val="nil"/>
              <w:bottom w:val="single" w:color="000000" w:sz="8" w:space="0"/>
              <w:right w:val="nil"/>
            </w:tcBorders>
            <w:shd w:val="clear" w:color="auto" w:fill="auto"/>
            <w:noWrap/>
            <w:vAlign w:val="center"/>
          </w:tcPr>
          <w:p w14:paraId="193C65C1">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1.75±0.03a</w:t>
            </w:r>
          </w:p>
        </w:tc>
        <w:tc>
          <w:tcPr>
            <w:tcW w:w="658" w:type="pct"/>
            <w:tcBorders>
              <w:top w:val="nil"/>
              <w:left w:val="nil"/>
              <w:bottom w:val="single" w:color="000000" w:sz="8" w:space="0"/>
              <w:right w:val="nil"/>
            </w:tcBorders>
            <w:shd w:val="clear" w:color="auto" w:fill="auto"/>
            <w:noWrap/>
            <w:vAlign w:val="center"/>
          </w:tcPr>
          <w:p w14:paraId="4ABC2BDA">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4.91±0.06a</w:t>
            </w:r>
          </w:p>
        </w:tc>
        <w:tc>
          <w:tcPr>
            <w:tcW w:w="644" w:type="pct"/>
            <w:tcBorders>
              <w:top w:val="nil"/>
              <w:left w:val="nil"/>
              <w:bottom w:val="single" w:color="000000" w:sz="8" w:space="0"/>
              <w:right w:val="nil"/>
            </w:tcBorders>
            <w:shd w:val="clear" w:color="auto" w:fill="auto"/>
            <w:noWrap/>
            <w:vAlign w:val="center"/>
          </w:tcPr>
          <w:p w14:paraId="1D81239C">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49.033±0.323b</w:t>
            </w:r>
          </w:p>
        </w:tc>
        <w:tc>
          <w:tcPr>
            <w:tcW w:w="644" w:type="pct"/>
            <w:tcBorders>
              <w:top w:val="nil"/>
              <w:left w:val="nil"/>
              <w:bottom w:val="single" w:color="000000" w:sz="8" w:space="0"/>
              <w:right w:val="nil"/>
            </w:tcBorders>
            <w:shd w:val="clear" w:color="auto" w:fill="auto"/>
            <w:noWrap/>
            <w:vAlign w:val="center"/>
          </w:tcPr>
          <w:p w14:paraId="29EFE758">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8.754±0.203a</w:t>
            </w:r>
          </w:p>
        </w:tc>
        <w:tc>
          <w:tcPr>
            <w:tcW w:w="602" w:type="pct"/>
            <w:tcBorders>
              <w:top w:val="nil"/>
              <w:left w:val="nil"/>
              <w:bottom w:val="single" w:color="000000" w:sz="8" w:space="0"/>
              <w:right w:val="nil"/>
            </w:tcBorders>
            <w:shd w:val="clear" w:color="auto" w:fill="auto"/>
            <w:noWrap/>
            <w:vAlign w:val="center"/>
          </w:tcPr>
          <w:p w14:paraId="71C7B241">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0.102±0.002b</w:t>
            </w:r>
          </w:p>
        </w:tc>
      </w:tr>
      <w:tr w14:paraId="10B082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89" w:type="pct"/>
            <w:vMerge w:val="restart"/>
            <w:tcBorders>
              <w:top w:val="nil"/>
              <w:left w:val="nil"/>
              <w:right w:val="nil"/>
            </w:tcBorders>
            <w:shd w:val="clear" w:color="auto" w:fill="auto"/>
            <w:vAlign w:val="center"/>
          </w:tcPr>
          <w:p w14:paraId="5AC7BC5E">
            <w:pPr>
              <w:keepNext w:val="0"/>
              <w:keepLines w:val="0"/>
              <w:widowControl/>
              <w:suppressLineNumbers w:val="0"/>
              <w:jc w:val="center"/>
              <w:textAlignment w:val="center"/>
              <w:rPr>
                <w:rFonts w:hint="default" w:ascii="Times New Roman" w:hAnsi="Times New Roman" w:cs="Times New Roman" w:eastAsiaTheme="minorEastAsia"/>
                <w:i w:val="0"/>
                <w:iCs w:val="0"/>
                <w:color w:val="000000"/>
                <w:kern w:val="0"/>
                <w:sz w:val="15"/>
                <w:szCs w:val="15"/>
                <w:u w:val="none"/>
                <w:lang w:val="en-US" w:eastAsia="zh-CN" w:bidi="ar"/>
              </w:rPr>
            </w:pPr>
            <w:r>
              <w:rPr>
                <w:rFonts w:hint="default" w:ascii="Times New Roman" w:hAnsi="Times New Roman" w:cs="Times New Roman" w:eastAsiaTheme="minorEastAsia"/>
                <w:i w:val="0"/>
                <w:iCs w:val="0"/>
                <w:color w:val="000000"/>
                <w:kern w:val="0"/>
                <w:sz w:val="15"/>
                <w:szCs w:val="15"/>
                <w:u w:val="none"/>
                <w:lang w:val="en-US" w:eastAsia="zh-CN" w:bidi="ar"/>
              </w:rPr>
              <w:t>播种后</w:t>
            </w:r>
          </w:p>
          <w:p w14:paraId="28F0EEC3">
            <w:pPr>
              <w:keepNext w:val="0"/>
              <w:keepLines w:val="0"/>
              <w:widowControl/>
              <w:suppressLineNumbers w:val="0"/>
              <w:jc w:val="center"/>
              <w:textAlignment w:val="center"/>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21</w:t>
            </w:r>
            <w:r>
              <w:rPr>
                <w:rStyle w:val="15"/>
                <w:rFonts w:hint="default" w:ascii="Times New Roman" w:hAnsi="Times New Roman" w:cs="Times New Roman" w:eastAsiaTheme="minorEastAsia"/>
                <w:sz w:val="15"/>
                <w:szCs w:val="15"/>
                <w:lang w:val="en-US" w:eastAsia="zh-CN" w:bidi="ar"/>
              </w:rPr>
              <w:t>天</w:t>
            </w:r>
          </w:p>
        </w:tc>
        <w:tc>
          <w:tcPr>
            <w:tcW w:w="305" w:type="pct"/>
            <w:tcBorders>
              <w:top w:val="nil"/>
              <w:left w:val="nil"/>
              <w:bottom w:val="nil"/>
              <w:right w:val="nil"/>
            </w:tcBorders>
            <w:shd w:val="clear" w:color="auto" w:fill="auto"/>
            <w:noWrap/>
            <w:vAlign w:val="center"/>
          </w:tcPr>
          <w:p w14:paraId="31F59AA3">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TS</w:t>
            </w:r>
          </w:p>
        </w:tc>
        <w:tc>
          <w:tcPr>
            <w:tcW w:w="598" w:type="pct"/>
            <w:tcBorders>
              <w:top w:val="nil"/>
              <w:left w:val="nil"/>
              <w:bottom w:val="nil"/>
              <w:right w:val="nil"/>
            </w:tcBorders>
            <w:shd w:val="clear" w:color="auto" w:fill="auto"/>
            <w:noWrap/>
            <w:vAlign w:val="center"/>
          </w:tcPr>
          <w:p w14:paraId="32D815E5">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16.68±0.65b</w:t>
            </w:r>
          </w:p>
        </w:tc>
        <w:tc>
          <w:tcPr>
            <w:tcW w:w="598" w:type="pct"/>
            <w:tcBorders>
              <w:top w:val="nil"/>
              <w:left w:val="nil"/>
              <w:bottom w:val="nil"/>
              <w:right w:val="nil"/>
            </w:tcBorders>
            <w:shd w:val="clear" w:color="auto" w:fill="auto"/>
            <w:noWrap/>
            <w:vAlign w:val="center"/>
          </w:tcPr>
          <w:p w14:paraId="1CB0F14F">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27.16±0.44ab</w:t>
            </w:r>
          </w:p>
        </w:tc>
        <w:tc>
          <w:tcPr>
            <w:tcW w:w="556" w:type="pct"/>
            <w:tcBorders>
              <w:top w:val="nil"/>
              <w:left w:val="nil"/>
              <w:bottom w:val="nil"/>
              <w:right w:val="nil"/>
            </w:tcBorders>
            <w:shd w:val="clear" w:color="auto" w:fill="auto"/>
            <w:noWrap/>
            <w:vAlign w:val="center"/>
          </w:tcPr>
          <w:p w14:paraId="00B27319">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1.90±0.01ab</w:t>
            </w:r>
          </w:p>
        </w:tc>
        <w:tc>
          <w:tcPr>
            <w:tcW w:w="658" w:type="pct"/>
            <w:tcBorders>
              <w:top w:val="nil"/>
              <w:left w:val="nil"/>
              <w:bottom w:val="nil"/>
              <w:right w:val="nil"/>
            </w:tcBorders>
            <w:shd w:val="clear" w:color="auto" w:fill="auto"/>
            <w:noWrap/>
            <w:vAlign w:val="center"/>
          </w:tcPr>
          <w:p w14:paraId="40884DC1">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7.04±0.01a</w:t>
            </w:r>
          </w:p>
        </w:tc>
        <w:tc>
          <w:tcPr>
            <w:tcW w:w="644" w:type="pct"/>
            <w:tcBorders>
              <w:top w:val="nil"/>
              <w:left w:val="nil"/>
              <w:bottom w:val="nil"/>
              <w:right w:val="nil"/>
            </w:tcBorders>
            <w:shd w:val="clear" w:color="auto" w:fill="auto"/>
            <w:noWrap/>
            <w:vAlign w:val="center"/>
          </w:tcPr>
          <w:p w14:paraId="05644B30">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61.218±0.466b</w:t>
            </w:r>
          </w:p>
        </w:tc>
        <w:tc>
          <w:tcPr>
            <w:tcW w:w="644" w:type="pct"/>
            <w:tcBorders>
              <w:top w:val="nil"/>
              <w:left w:val="nil"/>
              <w:bottom w:val="nil"/>
              <w:right w:val="nil"/>
            </w:tcBorders>
            <w:shd w:val="clear" w:color="auto" w:fill="auto"/>
            <w:noWrap/>
            <w:vAlign w:val="center"/>
          </w:tcPr>
          <w:p w14:paraId="18ED0F08">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11.98</w:t>
            </w:r>
            <w:r>
              <w:rPr>
                <w:rStyle w:val="14"/>
                <w:rFonts w:hint="default" w:ascii="Times New Roman" w:hAnsi="Times New Roman" w:cs="Times New Roman" w:eastAsiaTheme="minorEastAsia"/>
                <w:sz w:val="15"/>
                <w:szCs w:val="15"/>
                <w:lang w:val="en-US" w:eastAsia="zh-CN" w:bidi="ar"/>
              </w:rPr>
              <w:t>0±0.359a</w:t>
            </w:r>
          </w:p>
        </w:tc>
        <w:tc>
          <w:tcPr>
            <w:tcW w:w="602" w:type="pct"/>
            <w:tcBorders>
              <w:top w:val="nil"/>
              <w:left w:val="nil"/>
              <w:bottom w:val="nil"/>
              <w:right w:val="nil"/>
            </w:tcBorders>
            <w:shd w:val="clear" w:color="auto" w:fill="auto"/>
            <w:noWrap/>
            <w:vAlign w:val="center"/>
          </w:tcPr>
          <w:p w14:paraId="689195E9">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0.107±0.003b</w:t>
            </w:r>
          </w:p>
        </w:tc>
      </w:tr>
      <w:tr w14:paraId="691A2D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89" w:type="pct"/>
            <w:vMerge w:val="continue"/>
            <w:tcBorders>
              <w:left w:val="nil"/>
              <w:right w:val="nil"/>
            </w:tcBorders>
            <w:shd w:val="clear" w:color="auto" w:fill="auto"/>
            <w:vAlign w:val="center"/>
          </w:tcPr>
          <w:p w14:paraId="1FEF51BC">
            <w:pPr>
              <w:keepNext w:val="0"/>
              <w:keepLines w:val="0"/>
              <w:widowControl/>
              <w:suppressLineNumbers w:val="0"/>
              <w:jc w:val="center"/>
              <w:textAlignment w:val="center"/>
              <w:rPr>
                <w:rFonts w:hint="default" w:ascii="Times New Roman" w:hAnsi="Times New Roman" w:cs="Times New Roman" w:eastAsiaTheme="minorEastAsia"/>
                <w:i w:val="0"/>
                <w:iCs w:val="0"/>
                <w:color w:val="000000"/>
                <w:sz w:val="15"/>
                <w:szCs w:val="15"/>
                <w:u w:val="none"/>
              </w:rPr>
            </w:pPr>
          </w:p>
        </w:tc>
        <w:tc>
          <w:tcPr>
            <w:tcW w:w="305" w:type="pct"/>
            <w:tcBorders>
              <w:top w:val="nil"/>
              <w:left w:val="nil"/>
              <w:bottom w:val="nil"/>
              <w:right w:val="nil"/>
            </w:tcBorders>
            <w:shd w:val="clear" w:color="auto" w:fill="auto"/>
            <w:noWrap/>
            <w:vAlign w:val="center"/>
          </w:tcPr>
          <w:p w14:paraId="4341EDD4">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CS</w:t>
            </w:r>
          </w:p>
        </w:tc>
        <w:tc>
          <w:tcPr>
            <w:tcW w:w="598" w:type="pct"/>
            <w:tcBorders>
              <w:top w:val="nil"/>
              <w:left w:val="nil"/>
              <w:bottom w:val="nil"/>
              <w:right w:val="nil"/>
            </w:tcBorders>
            <w:shd w:val="clear" w:color="auto" w:fill="auto"/>
            <w:noWrap/>
            <w:vAlign w:val="center"/>
          </w:tcPr>
          <w:p w14:paraId="26B86D65">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17.97±0.15a</w:t>
            </w:r>
          </w:p>
        </w:tc>
        <w:tc>
          <w:tcPr>
            <w:tcW w:w="598" w:type="pct"/>
            <w:tcBorders>
              <w:top w:val="nil"/>
              <w:left w:val="nil"/>
              <w:bottom w:val="nil"/>
              <w:right w:val="nil"/>
            </w:tcBorders>
            <w:shd w:val="clear" w:color="auto" w:fill="auto"/>
            <w:noWrap/>
            <w:vAlign w:val="center"/>
          </w:tcPr>
          <w:p w14:paraId="0BD06781">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26.63±0.16b</w:t>
            </w:r>
          </w:p>
        </w:tc>
        <w:tc>
          <w:tcPr>
            <w:tcW w:w="556" w:type="pct"/>
            <w:tcBorders>
              <w:top w:val="nil"/>
              <w:left w:val="nil"/>
              <w:bottom w:val="nil"/>
              <w:right w:val="nil"/>
            </w:tcBorders>
            <w:shd w:val="clear" w:color="auto" w:fill="auto"/>
            <w:noWrap/>
            <w:vAlign w:val="center"/>
          </w:tcPr>
          <w:p w14:paraId="6C0B630B">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1.86±0.03b</w:t>
            </w:r>
          </w:p>
        </w:tc>
        <w:tc>
          <w:tcPr>
            <w:tcW w:w="658" w:type="pct"/>
            <w:tcBorders>
              <w:top w:val="nil"/>
              <w:left w:val="nil"/>
              <w:bottom w:val="nil"/>
              <w:right w:val="nil"/>
            </w:tcBorders>
            <w:shd w:val="clear" w:color="auto" w:fill="auto"/>
            <w:noWrap/>
            <w:vAlign w:val="center"/>
          </w:tcPr>
          <w:p w14:paraId="204AE5BB">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6.82±0.04a</w:t>
            </w:r>
          </w:p>
        </w:tc>
        <w:tc>
          <w:tcPr>
            <w:tcW w:w="644" w:type="pct"/>
            <w:tcBorders>
              <w:top w:val="nil"/>
              <w:left w:val="nil"/>
              <w:bottom w:val="nil"/>
              <w:right w:val="nil"/>
            </w:tcBorders>
            <w:shd w:val="clear" w:color="auto" w:fill="auto"/>
            <w:noWrap/>
            <w:vAlign w:val="center"/>
          </w:tcPr>
          <w:p w14:paraId="4B23F891">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58.696±0.276c</w:t>
            </w:r>
          </w:p>
        </w:tc>
        <w:tc>
          <w:tcPr>
            <w:tcW w:w="644" w:type="pct"/>
            <w:tcBorders>
              <w:top w:val="nil"/>
              <w:left w:val="nil"/>
              <w:bottom w:val="nil"/>
              <w:right w:val="nil"/>
            </w:tcBorders>
            <w:shd w:val="clear" w:color="auto" w:fill="auto"/>
            <w:noWrap/>
            <w:vAlign w:val="center"/>
          </w:tcPr>
          <w:p w14:paraId="1F4CE1B4">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11.375±0.147b</w:t>
            </w:r>
          </w:p>
        </w:tc>
        <w:tc>
          <w:tcPr>
            <w:tcW w:w="602" w:type="pct"/>
            <w:tcBorders>
              <w:top w:val="nil"/>
              <w:left w:val="nil"/>
              <w:bottom w:val="nil"/>
              <w:right w:val="nil"/>
            </w:tcBorders>
            <w:shd w:val="clear" w:color="auto" w:fill="auto"/>
            <w:noWrap/>
            <w:vAlign w:val="center"/>
          </w:tcPr>
          <w:p w14:paraId="565C890E">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0.118±0.003a</w:t>
            </w:r>
          </w:p>
        </w:tc>
      </w:tr>
      <w:tr w14:paraId="6C5F8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89" w:type="pct"/>
            <w:vMerge w:val="continue"/>
            <w:tcBorders>
              <w:left w:val="nil"/>
              <w:right w:val="nil"/>
            </w:tcBorders>
            <w:shd w:val="clear" w:color="auto" w:fill="auto"/>
            <w:noWrap/>
            <w:vAlign w:val="center"/>
          </w:tcPr>
          <w:p w14:paraId="57A619AB">
            <w:pPr>
              <w:rPr>
                <w:rFonts w:hint="default" w:ascii="Times New Roman" w:hAnsi="Times New Roman" w:cs="Times New Roman" w:eastAsiaTheme="minorEastAsia"/>
                <w:i w:val="0"/>
                <w:iCs w:val="0"/>
                <w:color w:val="000000"/>
                <w:sz w:val="15"/>
                <w:szCs w:val="15"/>
                <w:u w:val="none"/>
              </w:rPr>
            </w:pPr>
          </w:p>
        </w:tc>
        <w:tc>
          <w:tcPr>
            <w:tcW w:w="305" w:type="pct"/>
            <w:tcBorders>
              <w:top w:val="nil"/>
              <w:left w:val="nil"/>
              <w:bottom w:val="nil"/>
              <w:right w:val="nil"/>
            </w:tcBorders>
            <w:shd w:val="clear" w:color="auto" w:fill="auto"/>
            <w:noWrap/>
            <w:vAlign w:val="center"/>
          </w:tcPr>
          <w:p w14:paraId="2C54917A">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ST</w:t>
            </w:r>
          </w:p>
        </w:tc>
        <w:tc>
          <w:tcPr>
            <w:tcW w:w="598" w:type="pct"/>
            <w:tcBorders>
              <w:top w:val="nil"/>
              <w:left w:val="nil"/>
              <w:bottom w:val="nil"/>
              <w:right w:val="nil"/>
            </w:tcBorders>
            <w:shd w:val="clear" w:color="auto" w:fill="auto"/>
            <w:noWrap/>
            <w:vAlign w:val="center"/>
          </w:tcPr>
          <w:p w14:paraId="5FF8D403">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13.56±0.58c</w:t>
            </w:r>
          </w:p>
        </w:tc>
        <w:tc>
          <w:tcPr>
            <w:tcW w:w="598" w:type="pct"/>
            <w:tcBorders>
              <w:top w:val="nil"/>
              <w:left w:val="nil"/>
              <w:bottom w:val="nil"/>
              <w:right w:val="nil"/>
            </w:tcBorders>
            <w:shd w:val="clear" w:color="auto" w:fill="auto"/>
            <w:noWrap/>
            <w:vAlign w:val="center"/>
          </w:tcPr>
          <w:p w14:paraId="0A33D19F">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21.24±0.56d</w:t>
            </w:r>
          </w:p>
        </w:tc>
        <w:tc>
          <w:tcPr>
            <w:tcW w:w="556" w:type="pct"/>
            <w:tcBorders>
              <w:top w:val="nil"/>
              <w:left w:val="nil"/>
              <w:bottom w:val="nil"/>
              <w:right w:val="nil"/>
            </w:tcBorders>
            <w:shd w:val="clear" w:color="auto" w:fill="auto"/>
            <w:noWrap/>
            <w:vAlign w:val="center"/>
          </w:tcPr>
          <w:p w14:paraId="08928526">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1.63±0.04d</w:t>
            </w:r>
          </w:p>
        </w:tc>
        <w:tc>
          <w:tcPr>
            <w:tcW w:w="658" w:type="pct"/>
            <w:tcBorders>
              <w:top w:val="nil"/>
              <w:left w:val="nil"/>
              <w:bottom w:val="nil"/>
              <w:right w:val="nil"/>
            </w:tcBorders>
            <w:shd w:val="clear" w:color="auto" w:fill="auto"/>
            <w:noWrap/>
            <w:vAlign w:val="center"/>
          </w:tcPr>
          <w:p w14:paraId="6194215E">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5.50±0.23c</w:t>
            </w:r>
          </w:p>
        </w:tc>
        <w:tc>
          <w:tcPr>
            <w:tcW w:w="644" w:type="pct"/>
            <w:tcBorders>
              <w:top w:val="nil"/>
              <w:left w:val="nil"/>
              <w:bottom w:val="nil"/>
              <w:right w:val="nil"/>
            </w:tcBorders>
            <w:shd w:val="clear" w:color="auto" w:fill="auto"/>
            <w:noWrap/>
            <w:vAlign w:val="center"/>
          </w:tcPr>
          <w:p w14:paraId="1FF35A30">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52.286±0.344e</w:t>
            </w:r>
          </w:p>
        </w:tc>
        <w:tc>
          <w:tcPr>
            <w:tcW w:w="644" w:type="pct"/>
            <w:tcBorders>
              <w:top w:val="nil"/>
              <w:left w:val="nil"/>
              <w:bottom w:val="nil"/>
              <w:right w:val="nil"/>
            </w:tcBorders>
            <w:shd w:val="clear" w:color="auto" w:fill="auto"/>
            <w:noWrap/>
            <w:vAlign w:val="center"/>
          </w:tcPr>
          <w:p w14:paraId="2F53A75D">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8.787±0.131d</w:t>
            </w:r>
          </w:p>
        </w:tc>
        <w:tc>
          <w:tcPr>
            <w:tcW w:w="602" w:type="pct"/>
            <w:tcBorders>
              <w:top w:val="nil"/>
              <w:left w:val="nil"/>
              <w:bottom w:val="nil"/>
              <w:right w:val="nil"/>
            </w:tcBorders>
            <w:shd w:val="clear" w:color="auto" w:fill="auto"/>
            <w:noWrap/>
            <w:vAlign w:val="center"/>
          </w:tcPr>
          <w:p w14:paraId="140ECE1A">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0.101±0.002c</w:t>
            </w:r>
          </w:p>
        </w:tc>
      </w:tr>
      <w:tr w14:paraId="2C2886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89" w:type="pct"/>
            <w:vMerge w:val="continue"/>
            <w:tcBorders>
              <w:left w:val="nil"/>
              <w:right w:val="nil"/>
            </w:tcBorders>
            <w:shd w:val="clear" w:color="auto" w:fill="auto"/>
            <w:noWrap/>
            <w:vAlign w:val="center"/>
          </w:tcPr>
          <w:p w14:paraId="48CB6307">
            <w:pPr>
              <w:rPr>
                <w:rFonts w:hint="default" w:ascii="Times New Roman" w:hAnsi="Times New Roman" w:cs="Times New Roman" w:eastAsiaTheme="minorEastAsia"/>
                <w:i w:val="0"/>
                <w:iCs w:val="0"/>
                <w:color w:val="000000"/>
                <w:sz w:val="15"/>
                <w:szCs w:val="15"/>
                <w:u w:val="none"/>
              </w:rPr>
            </w:pPr>
          </w:p>
        </w:tc>
        <w:tc>
          <w:tcPr>
            <w:tcW w:w="305" w:type="pct"/>
            <w:tcBorders>
              <w:top w:val="nil"/>
              <w:left w:val="nil"/>
              <w:bottom w:val="nil"/>
              <w:right w:val="nil"/>
            </w:tcBorders>
            <w:shd w:val="clear" w:color="auto" w:fill="auto"/>
            <w:noWrap/>
            <w:vAlign w:val="center"/>
          </w:tcPr>
          <w:p w14:paraId="2C5BEE10">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RH</w:t>
            </w:r>
          </w:p>
        </w:tc>
        <w:tc>
          <w:tcPr>
            <w:tcW w:w="598" w:type="pct"/>
            <w:tcBorders>
              <w:top w:val="nil"/>
              <w:left w:val="nil"/>
              <w:bottom w:val="nil"/>
              <w:right w:val="nil"/>
            </w:tcBorders>
            <w:shd w:val="clear" w:color="auto" w:fill="auto"/>
            <w:noWrap/>
            <w:vAlign w:val="center"/>
          </w:tcPr>
          <w:p w14:paraId="6484ADA0">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14.35±0.43c</w:t>
            </w:r>
          </w:p>
        </w:tc>
        <w:tc>
          <w:tcPr>
            <w:tcW w:w="598" w:type="pct"/>
            <w:tcBorders>
              <w:top w:val="nil"/>
              <w:left w:val="nil"/>
              <w:bottom w:val="nil"/>
              <w:right w:val="nil"/>
            </w:tcBorders>
            <w:shd w:val="clear" w:color="auto" w:fill="auto"/>
            <w:noWrap/>
            <w:vAlign w:val="center"/>
          </w:tcPr>
          <w:p w14:paraId="5B0EF4FD">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23.72±0.45c</w:t>
            </w:r>
          </w:p>
        </w:tc>
        <w:tc>
          <w:tcPr>
            <w:tcW w:w="556" w:type="pct"/>
            <w:tcBorders>
              <w:top w:val="nil"/>
              <w:left w:val="nil"/>
              <w:bottom w:val="nil"/>
              <w:right w:val="nil"/>
            </w:tcBorders>
            <w:shd w:val="clear" w:color="auto" w:fill="auto"/>
            <w:noWrap/>
            <w:vAlign w:val="center"/>
          </w:tcPr>
          <w:p w14:paraId="241D467B">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1.72±0.02c</w:t>
            </w:r>
          </w:p>
        </w:tc>
        <w:tc>
          <w:tcPr>
            <w:tcW w:w="658" w:type="pct"/>
            <w:tcBorders>
              <w:top w:val="nil"/>
              <w:left w:val="nil"/>
              <w:bottom w:val="nil"/>
              <w:right w:val="nil"/>
            </w:tcBorders>
            <w:shd w:val="clear" w:color="auto" w:fill="auto"/>
            <w:noWrap/>
            <w:vAlign w:val="center"/>
          </w:tcPr>
          <w:p w14:paraId="290B34A6">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6.06±0.09b</w:t>
            </w:r>
          </w:p>
        </w:tc>
        <w:tc>
          <w:tcPr>
            <w:tcW w:w="644" w:type="pct"/>
            <w:tcBorders>
              <w:top w:val="nil"/>
              <w:left w:val="nil"/>
              <w:bottom w:val="nil"/>
              <w:right w:val="nil"/>
            </w:tcBorders>
            <w:shd w:val="clear" w:color="auto" w:fill="auto"/>
            <w:noWrap/>
            <w:vAlign w:val="center"/>
          </w:tcPr>
          <w:p w14:paraId="44D258A1">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53.975±0.69d</w:t>
            </w:r>
          </w:p>
        </w:tc>
        <w:tc>
          <w:tcPr>
            <w:tcW w:w="644" w:type="pct"/>
            <w:tcBorders>
              <w:top w:val="nil"/>
              <w:left w:val="nil"/>
              <w:bottom w:val="nil"/>
              <w:right w:val="nil"/>
            </w:tcBorders>
            <w:shd w:val="clear" w:color="auto" w:fill="auto"/>
            <w:noWrap/>
            <w:vAlign w:val="center"/>
          </w:tcPr>
          <w:p w14:paraId="7B7992E0">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10.485±0.124c</w:t>
            </w:r>
          </w:p>
        </w:tc>
        <w:tc>
          <w:tcPr>
            <w:tcW w:w="602" w:type="pct"/>
            <w:tcBorders>
              <w:top w:val="nil"/>
              <w:left w:val="nil"/>
              <w:bottom w:val="nil"/>
              <w:right w:val="nil"/>
            </w:tcBorders>
            <w:shd w:val="clear" w:color="auto" w:fill="auto"/>
            <w:noWrap/>
            <w:vAlign w:val="center"/>
          </w:tcPr>
          <w:p w14:paraId="10C21757">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0.092±0.004d</w:t>
            </w:r>
          </w:p>
        </w:tc>
      </w:tr>
      <w:tr w14:paraId="273B46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89" w:type="pct"/>
            <w:vMerge w:val="continue"/>
            <w:tcBorders>
              <w:left w:val="nil"/>
              <w:bottom w:val="single" w:color="000000" w:sz="8" w:space="0"/>
              <w:right w:val="nil"/>
            </w:tcBorders>
            <w:shd w:val="clear" w:color="auto" w:fill="auto"/>
            <w:noWrap/>
            <w:vAlign w:val="center"/>
          </w:tcPr>
          <w:p w14:paraId="6E7E998C">
            <w:pPr>
              <w:rPr>
                <w:rFonts w:hint="default" w:ascii="Times New Roman" w:hAnsi="Times New Roman" w:cs="Times New Roman" w:eastAsiaTheme="minorEastAsia"/>
                <w:i w:val="0"/>
                <w:iCs w:val="0"/>
                <w:color w:val="000000"/>
                <w:sz w:val="15"/>
                <w:szCs w:val="15"/>
                <w:u w:val="none"/>
              </w:rPr>
            </w:pPr>
          </w:p>
        </w:tc>
        <w:tc>
          <w:tcPr>
            <w:tcW w:w="305" w:type="pct"/>
            <w:tcBorders>
              <w:top w:val="nil"/>
              <w:left w:val="nil"/>
              <w:bottom w:val="single" w:color="000000" w:sz="8" w:space="0"/>
              <w:right w:val="nil"/>
            </w:tcBorders>
            <w:shd w:val="clear" w:color="auto" w:fill="auto"/>
            <w:noWrap/>
            <w:vAlign w:val="center"/>
          </w:tcPr>
          <w:p w14:paraId="433A71E0">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MR</w:t>
            </w:r>
          </w:p>
        </w:tc>
        <w:tc>
          <w:tcPr>
            <w:tcW w:w="598" w:type="pct"/>
            <w:tcBorders>
              <w:top w:val="nil"/>
              <w:left w:val="nil"/>
              <w:bottom w:val="single" w:color="000000" w:sz="8" w:space="0"/>
              <w:right w:val="nil"/>
            </w:tcBorders>
            <w:shd w:val="clear" w:color="auto" w:fill="auto"/>
            <w:noWrap/>
            <w:vAlign w:val="center"/>
          </w:tcPr>
          <w:p w14:paraId="5E5206F8">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16.22±0.30b</w:t>
            </w:r>
          </w:p>
        </w:tc>
        <w:tc>
          <w:tcPr>
            <w:tcW w:w="598" w:type="pct"/>
            <w:tcBorders>
              <w:top w:val="nil"/>
              <w:left w:val="nil"/>
              <w:bottom w:val="single" w:color="000000" w:sz="8" w:space="0"/>
              <w:right w:val="nil"/>
            </w:tcBorders>
            <w:shd w:val="clear" w:color="auto" w:fill="auto"/>
            <w:noWrap/>
            <w:vAlign w:val="center"/>
          </w:tcPr>
          <w:p w14:paraId="72B9A6ED">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27.71±0.36a</w:t>
            </w:r>
          </w:p>
        </w:tc>
        <w:tc>
          <w:tcPr>
            <w:tcW w:w="556" w:type="pct"/>
            <w:tcBorders>
              <w:top w:val="nil"/>
              <w:left w:val="nil"/>
              <w:bottom w:val="single" w:color="000000" w:sz="8" w:space="0"/>
              <w:right w:val="nil"/>
            </w:tcBorders>
            <w:shd w:val="clear" w:color="auto" w:fill="auto"/>
            <w:noWrap/>
            <w:vAlign w:val="center"/>
          </w:tcPr>
          <w:p w14:paraId="432A1BE4">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1.94±0.03a</w:t>
            </w:r>
          </w:p>
        </w:tc>
        <w:tc>
          <w:tcPr>
            <w:tcW w:w="658" w:type="pct"/>
            <w:tcBorders>
              <w:top w:val="nil"/>
              <w:left w:val="nil"/>
              <w:bottom w:val="single" w:color="000000" w:sz="8" w:space="0"/>
              <w:right w:val="nil"/>
            </w:tcBorders>
            <w:shd w:val="clear" w:color="auto" w:fill="auto"/>
            <w:noWrap/>
            <w:vAlign w:val="center"/>
          </w:tcPr>
          <w:p w14:paraId="5751A619">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6.95±0.03a</w:t>
            </w:r>
          </w:p>
        </w:tc>
        <w:tc>
          <w:tcPr>
            <w:tcW w:w="644" w:type="pct"/>
            <w:tcBorders>
              <w:top w:val="nil"/>
              <w:left w:val="nil"/>
              <w:bottom w:val="single" w:color="000000" w:sz="8" w:space="0"/>
              <w:right w:val="nil"/>
            </w:tcBorders>
            <w:shd w:val="clear" w:color="auto" w:fill="auto"/>
            <w:noWrap/>
            <w:vAlign w:val="center"/>
          </w:tcPr>
          <w:p w14:paraId="3AB4F092">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62.98</w:t>
            </w:r>
            <w:r>
              <w:rPr>
                <w:rStyle w:val="14"/>
                <w:rFonts w:hint="default" w:ascii="Times New Roman" w:hAnsi="Times New Roman" w:cs="Times New Roman" w:eastAsiaTheme="minorEastAsia"/>
                <w:sz w:val="15"/>
                <w:szCs w:val="15"/>
                <w:lang w:val="en-US" w:eastAsia="zh-CN" w:bidi="ar"/>
              </w:rPr>
              <w:t>0±0.820a</w:t>
            </w:r>
          </w:p>
        </w:tc>
        <w:tc>
          <w:tcPr>
            <w:tcW w:w="644" w:type="pct"/>
            <w:tcBorders>
              <w:top w:val="nil"/>
              <w:left w:val="nil"/>
              <w:bottom w:val="single" w:color="000000" w:sz="8" w:space="0"/>
              <w:right w:val="nil"/>
            </w:tcBorders>
            <w:shd w:val="clear" w:color="auto" w:fill="auto"/>
            <w:noWrap/>
            <w:vAlign w:val="center"/>
          </w:tcPr>
          <w:p w14:paraId="350FA228">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12.077±0.107a</w:t>
            </w:r>
          </w:p>
        </w:tc>
        <w:tc>
          <w:tcPr>
            <w:tcW w:w="602" w:type="pct"/>
            <w:tcBorders>
              <w:top w:val="nil"/>
              <w:left w:val="nil"/>
              <w:bottom w:val="single" w:color="000000" w:sz="8" w:space="0"/>
              <w:right w:val="nil"/>
            </w:tcBorders>
            <w:shd w:val="clear" w:color="auto" w:fill="auto"/>
            <w:noWrap/>
            <w:vAlign w:val="center"/>
          </w:tcPr>
          <w:p w14:paraId="5FB9BC98">
            <w:pPr>
              <w:keepNext w:val="0"/>
              <w:keepLines w:val="0"/>
              <w:widowControl/>
              <w:suppressLineNumbers w:val="0"/>
              <w:jc w:val="center"/>
              <w:textAlignment w:val="bottom"/>
              <w:rPr>
                <w:rFonts w:hint="default" w:ascii="Times New Roman" w:hAnsi="Times New Roman" w:cs="Times New Roman" w:eastAsiaTheme="minorEastAsia"/>
                <w:i w:val="0"/>
                <w:iCs w:val="0"/>
                <w:color w:val="000000"/>
                <w:sz w:val="15"/>
                <w:szCs w:val="15"/>
                <w:u w:val="none"/>
              </w:rPr>
            </w:pPr>
            <w:r>
              <w:rPr>
                <w:rFonts w:hint="default" w:ascii="Times New Roman" w:hAnsi="Times New Roman" w:cs="Times New Roman" w:eastAsiaTheme="minorEastAsia"/>
                <w:i w:val="0"/>
                <w:iCs w:val="0"/>
                <w:color w:val="000000"/>
                <w:kern w:val="0"/>
                <w:sz w:val="15"/>
                <w:szCs w:val="15"/>
                <w:u w:val="none"/>
                <w:lang w:val="en-US" w:eastAsia="zh-CN" w:bidi="ar"/>
              </w:rPr>
              <w:t>0.113±0.002a</w:t>
            </w:r>
          </w:p>
        </w:tc>
      </w:tr>
    </w:tbl>
    <w:p w14:paraId="72940B75">
      <w:pPr>
        <w:spacing w:line="360" w:lineRule="auto"/>
        <w:rPr>
          <w:rFonts w:hint="eastAsia" w:eastAsia="黑体" w:cs="Times New Roman"/>
          <w:sz w:val="24"/>
          <w:szCs w:val="24"/>
          <w:lang w:eastAsia="zh-CN"/>
        </w:rPr>
      </w:pPr>
    </w:p>
    <w:p w14:paraId="297C0DC2">
      <w:pPr>
        <w:spacing w:line="360" w:lineRule="auto"/>
        <w:ind w:firstLine="480" w:firstLineChars="200"/>
        <w:rPr>
          <w:rFonts w:hint="eastAsia" w:ascii="Times New Roman" w:hAnsi="Times New Roman" w:cs="Times New Roman"/>
          <w:sz w:val="24"/>
          <w:szCs w:val="24"/>
          <w:highlight w:val="none"/>
          <w:lang w:val="en-US" w:eastAsia="zh-CN" w:bidi="ar"/>
        </w:rPr>
      </w:pPr>
      <w:r>
        <w:rPr>
          <w:rFonts w:hint="eastAsia" w:cs="Times New Roman"/>
          <w:sz w:val="24"/>
          <w:szCs w:val="24"/>
          <w:highlight w:val="none"/>
          <w:lang w:val="en-US" w:eastAsia="zh-CN" w:bidi="ar"/>
        </w:rPr>
        <w:t>（4）明确了</w:t>
      </w:r>
      <w:r>
        <w:rPr>
          <w:rFonts w:hint="eastAsia" w:ascii="Times New Roman" w:hAnsi="Times New Roman" w:cs="Times New Roman"/>
          <w:sz w:val="24"/>
          <w:szCs w:val="24"/>
          <w:highlight w:val="none"/>
          <w:lang w:val="en-US" w:eastAsia="zh-CN" w:bidi="ar"/>
        </w:rPr>
        <w:t>不同处理下秧苗氮磷钾养分含量变化</w:t>
      </w:r>
    </w:p>
    <w:p w14:paraId="4E5F561B">
      <w:pPr>
        <w:spacing w:line="360" w:lineRule="auto"/>
        <w:ind w:firstLine="420"/>
        <w:rPr>
          <w:rFonts w:hint="eastAsia" w:ascii="Times New Roman" w:hAnsi="Times New Roman" w:cs="Times New Roman"/>
          <w:sz w:val="24"/>
          <w:szCs w:val="24"/>
          <w:highlight w:val="none"/>
          <w:lang w:val="en-US" w:eastAsia="zh-CN" w:bidi="ar"/>
        </w:rPr>
      </w:pPr>
      <w:r>
        <w:rPr>
          <w:rFonts w:hint="eastAsia" w:ascii="Times New Roman" w:hAnsi="Times New Roman" w:cs="Times New Roman"/>
          <w:sz w:val="24"/>
          <w:szCs w:val="24"/>
          <w:highlight w:val="none"/>
          <w:lang w:val="en-US" w:eastAsia="zh-CN" w:bidi="ar"/>
        </w:rPr>
        <w:t>不同处理下秧苗地上部及根系中氮磷钾含量差异显著（图</w:t>
      </w:r>
      <w:r>
        <w:rPr>
          <w:rFonts w:hint="eastAsia" w:cs="Times New Roman"/>
          <w:sz w:val="24"/>
          <w:szCs w:val="24"/>
          <w:highlight w:val="none"/>
          <w:lang w:val="en-US" w:eastAsia="zh-CN" w:bidi="ar"/>
        </w:rPr>
        <w:t>11</w:t>
      </w:r>
      <w:r>
        <w:rPr>
          <w:rFonts w:hint="eastAsia" w:ascii="Times New Roman" w:hAnsi="Times New Roman" w:cs="Times New Roman"/>
          <w:sz w:val="24"/>
          <w:szCs w:val="24"/>
          <w:highlight w:val="none"/>
          <w:lang w:val="en-US" w:eastAsia="zh-CN" w:bidi="ar"/>
        </w:rPr>
        <w:t>），随着秧苗的生长，秧苗地上、地下部NPK养分含量总体呈下降趋势，地上部养分含量高于根系。不同取样时期，处理TS、CS、MR秧苗地上、地下部氮和钾含量均显著高于处理ST和RH，播种后7天，秧苗根系P含量在不同处理间无显著差异。播种后7天，秧苗地上部和根系氮含量差异最大，地上部氮含量最高的CS处理比最低的ST处理高157.48%，根系氮含量最高的TS处理比最低的ST处理高158.14%，播种后21天，秧苗地上部和根系磷含量差异最大，地上部磷含量最高的TS处理比最低的RH处理高141.03%，秧苗地上部和根系钾含量差异最大，地上部钾含量最高的TS处理比最低的ST处理高171.84%，根系钾含量最高的TS处理比最低的RH处理高194.01%。</w:t>
      </w:r>
    </w:p>
    <w:p w14:paraId="3B01A783">
      <w:pPr>
        <w:spacing w:line="360" w:lineRule="auto"/>
        <w:jc w:val="center"/>
        <w:rPr>
          <w:rFonts w:ascii="Times New Roman" w:hAnsi="Times New Roman" w:eastAsia="宋体" w:cs="Times New Roman"/>
          <w:szCs w:val="21"/>
        </w:rPr>
      </w:pPr>
      <w:r>
        <w:rPr>
          <w:rFonts w:ascii="Times New Roman" w:hAnsi="Times New Roman" w:eastAsia="宋体" w:cs="Times New Roman"/>
          <w:szCs w:val="21"/>
        </w:rPr>
        <w:drawing>
          <wp:inline distT="0" distB="0" distL="0" distR="0">
            <wp:extent cx="5274310" cy="24339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4310" cy="2433955"/>
                    </a:xfrm>
                    <a:prstGeom prst="rect">
                      <a:avLst/>
                    </a:prstGeom>
                  </pic:spPr>
                </pic:pic>
              </a:graphicData>
            </a:graphic>
          </wp:inline>
        </w:drawing>
      </w:r>
    </w:p>
    <w:p w14:paraId="612B8749">
      <w:pPr>
        <w:spacing w:line="360" w:lineRule="auto"/>
        <w:jc w:val="center"/>
        <w:rPr>
          <w:rFonts w:hint="default" w:cs="Times New Roman"/>
          <w:sz w:val="24"/>
          <w:szCs w:val="24"/>
          <w:lang w:val="en-US" w:eastAsia="zh-CN"/>
        </w:rPr>
      </w:pPr>
      <w:r>
        <w:rPr>
          <w:rFonts w:hint="default" w:cs="Times New Roman"/>
          <w:sz w:val="24"/>
          <w:szCs w:val="24"/>
          <w:highlight w:val="none"/>
          <w:lang w:val="en-US" w:eastAsia="zh-CN"/>
        </w:rPr>
        <w:t>图</w:t>
      </w:r>
      <w:r>
        <w:rPr>
          <w:rFonts w:hint="eastAsia" w:cs="Times New Roman"/>
          <w:sz w:val="24"/>
          <w:szCs w:val="24"/>
          <w:highlight w:val="none"/>
          <w:lang w:val="en-US" w:eastAsia="zh-CN"/>
        </w:rPr>
        <w:t>11</w:t>
      </w:r>
      <w:r>
        <w:rPr>
          <w:rFonts w:hint="default" w:cs="Times New Roman"/>
          <w:sz w:val="24"/>
          <w:szCs w:val="24"/>
          <w:highlight w:val="none"/>
          <w:lang w:val="en-US" w:eastAsia="zh-CN"/>
        </w:rPr>
        <w:t xml:space="preserve"> </w:t>
      </w:r>
      <w:r>
        <w:rPr>
          <w:rFonts w:hint="default" w:cs="Times New Roman"/>
          <w:sz w:val="24"/>
          <w:szCs w:val="24"/>
          <w:lang w:val="en-US" w:eastAsia="zh-CN"/>
        </w:rPr>
        <w:t>不同处理</w:t>
      </w:r>
      <w:r>
        <w:rPr>
          <w:rFonts w:hint="eastAsia" w:cs="Times New Roman"/>
          <w:sz w:val="24"/>
          <w:szCs w:val="24"/>
          <w:lang w:val="en-US" w:eastAsia="zh-CN"/>
        </w:rPr>
        <w:t>秧苗</w:t>
      </w:r>
      <w:r>
        <w:rPr>
          <w:rFonts w:hint="default" w:cs="Times New Roman"/>
          <w:sz w:val="24"/>
          <w:szCs w:val="24"/>
          <w:lang w:val="en-US" w:eastAsia="zh-CN"/>
        </w:rPr>
        <w:t>氮、磷、钾含量的变化</w:t>
      </w:r>
    </w:p>
    <w:p w14:paraId="7D7B498B">
      <w:pPr>
        <w:spacing w:line="360" w:lineRule="auto"/>
        <w:ind w:firstLine="480" w:firstLineChars="200"/>
        <w:jc w:val="both"/>
        <w:rPr>
          <w:rFonts w:hint="default" w:cs="Times New Roman"/>
          <w:sz w:val="24"/>
          <w:szCs w:val="24"/>
          <w:lang w:val="en-US" w:eastAsia="zh-CN"/>
        </w:rPr>
      </w:pPr>
      <w:r>
        <w:rPr>
          <w:rFonts w:hint="eastAsia" w:cs="Times New Roman"/>
          <w:sz w:val="24"/>
          <w:szCs w:val="24"/>
          <w:lang w:val="en-US" w:eastAsia="zh-CN"/>
        </w:rPr>
        <w:t>（5）测定不同育秧方式下水稻产量变化</w:t>
      </w:r>
    </w:p>
    <w:p w14:paraId="00C24C22">
      <w:pPr>
        <w:spacing w:line="360" w:lineRule="auto"/>
        <w:ind w:firstLine="480" w:firstLineChars="200"/>
        <w:jc w:val="both"/>
        <w:rPr>
          <w:rFonts w:hint="eastAsia" w:cs="Times New Roman"/>
          <w:sz w:val="24"/>
          <w:szCs w:val="24"/>
          <w:lang w:val="en-US" w:eastAsia="zh-CN"/>
        </w:rPr>
      </w:pPr>
      <w:r>
        <w:rPr>
          <w:rFonts w:hint="eastAsia" w:cs="Times New Roman"/>
          <w:sz w:val="24"/>
          <w:szCs w:val="24"/>
          <w:lang w:val="en-US" w:eastAsia="zh-CN"/>
        </w:rPr>
        <w:t>不同育秧基质对秧苗素质产生影响，进而影响到水稻产量形成（表3），产量最高的MR处理比最低的ST处理增加了28.93%，处理TS、MR、CS之间产量无显著差异，显著高于RH和ST处理，从产量构成因素来看，结实率和千粒重在不同处理间差异较小，千粒重在不同处理间无显著差异，处理TS、MR、CS的结实率显著高于处理CS和ST，结实率最高的TS处理比最低的ST处理增加了1.41%。有效穗和每穗粒数变化趋势与产量一致，最大的MR处理比最低的ST处理分别增加了11.68%，13.76。壮秧移栽大田后，缓苗期短，有利于早生分蘖，增加有效穗数和每穗粒数，提高产量。</w:t>
      </w:r>
    </w:p>
    <w:p w14:paraId="7FAE3149">
      <w:pPr>
        <w:spacing w:line="360" w:lineRule="auto"/>
        <w:jc w:val="center"/>
        <w:rPr>
          <w:rFonts w:hint="default" w:cs="Times New Roman"/>
          <w:sz w:val="24"/>
          <w:szCs w:val="24"/>
          <w:lang w:val="en-US" w:eastAsia="zh-CN"/>
        </w:rPr>
      </w:pPr>
      <w:r>
        <w:rPr>
          <w:rFonts w:hint="eastAsia" w:cs="Times New Roman"/>
          <w:sz w:val="24"/>
          <w:szCs w:val="24"/>
          <w:lang w:val="en-US" w:eastAsia="zh-CN"/>
        </w:rPr>
        <w:t>表3 不同处理下水稻产量变化</w:t>
      </w:r>
    </w:p>
    <w:tbl>
      <w:tblPr>
        <w:tblStyle w:val="7"/>
        <w:tblW w:w="4994" w:type="pct"/>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1187"/>
        <w:gridCol w:w="1368"/>
        <w:gridCol w:w="1481"/>
        <w:gridCol w:w="1675"/>
        <w:gridCol w:w="1625"/>
        <w:gridCol w:w="1902"/>
      </w:tblGrid>
      <w:tr w14:paraId="6EC0A47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0" w:type="dxa"/>
            <w:bottom w:w="0" w:type="dxa"/>
            <w:right w:w="0" w:type="dxa"/>
          </w:tblCellMar>
        </w:tblPrEx>
        <w:trPr>
          <w:trHeight w:val="835" w:hRule="atLeast"/>
        </w:trPr>
        <w:tc>
          <w:tcPr>
            <w:tcW w:w="642" w:type="pct"/>
            <w:tcBorders>
              <w:bottom w:val="single" w:color="auto" w:sz="4" w:space="0"/>
            </w:tcBorders>
            <w:shd w:val="clear" w:color="auto" w:fill="auto"/>
            <w:noWrap/>
            <w:tcMar>
              <w:top w:w="15" w:type="dxa"/>
              <w:left w:w="15" w:type="dxa"/>
              <w:right w:w="15" w:type="dxa"/>
            </w:tcMar>
            <w:vAlign w:val="center"/>
          </w:tcPr>
          <w:p w14:paraId="6BC6BC41">
            <w:pPr>
              <w:widowControl/>
              <w:jc w:val="center"/>
              <w:textAlignment w:val="center"/>
              <w:rPr>
                <w:rFonts w:hint="default" w:ascii="Times New Roman" w:hAnsi="Times New Roman" w:cs="Times New Roman" w:eastAsiaTheme="minorEastAsia"/>
                <w:color w:val="000000"/>
                <w:sz w:val="21"/>
                <w:szCs w:val="21"/>
                <w:lang w:val="en-US" w:eastAsia="zh-CN"/>
              </w:rPr>
            </w:pPr>
            <w:r>
              <w:rPr>
                <w:rFonts w:hint="default" w:ascii="Times New Roman" w:hAnsi="Times New Roman" w:cs="Times New Roman" w:eastAsiaTheme="minorEastAsia"/>
                <w:color w:val="000000"/>
                <w:sz w:val="21"/>
                <w:szCs w:val="21"/>
                <w:lang w:val="en-US" w:eastAsia="zh-CN"/>
              </w:rPr>
              <w:t>处理</w:t>
            </w:r>
          </w:p>
        </w:tc>
        <w:tc>
          <w:tcPr>
            <w:tcW w:w="740" w:type="pct"/>
            <w:tcBorders>
              <w:bottom w:val="single" w:color="auto" w:sz="4" w:space="0"/>
            </w:tcBorders>
            <w:shd w:val="clear" w:color="auto" w:fill="auto"/>
            <w:tcMar>
              <w:top w:w="15" w:type="dxa"/>
              <w:left w:w="15" w:type="dxa"/>
              <w:right w:w="15" w:type="dxa"/>
            </w:tcMar>
            <w:vAlign w:val="center"/>
          </w:tcPr>
          <w:p w14:paraId="0531C284">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val="en-US" w:eastAsia="zh-CN" w:bidi="ar"/>
              </w:rPr>
              <w:t>穗数</w:t>
            </w:r>
            <w:r>
              <w:rPr>
                <w:rFonts w:hint="default" w:ascii="Times New Roman" w:hAnsi="Times New Roman" w:cs="Times New Roman" w:eastAsiaTheme="minorEastAsia"/>
                <w:color w:val="000000"/>
                <w:kern w:val="0"/>
                <w:sz w:val="21"/>
                <w:szCs w:val="21"/>
                <w:lang w:bidi="ar"/>
              </w:rPr>
              <w:br w:type="textWrapping"/>
            </w:r>
            <w:r>
              <w:rPr>
                <w:rFonts w:hint="default" w:ascii="Times New Roman" w:hAnsi="Times New Roman" w:cs="Times New Roman" w:eastAsiaTheme="minorEastAsia"/>
                <w:color w:val="000000"/>
                <w:kern w:val="0"/>
                <w:sz w:val="21"/>
                <w:szCs w:val="21"/>
                <w:lang w:bidi="ar"/>
              </w:rPr>
              <w:t xml:space="preserve"> per m</w:t>
            </w:r>
            <w:r>
              <w:rPr>
                <w:rFonts w:hint="default" w:ascii="Times New Roman" w:hAnsi="Times New Roman" w:cs="Times New Roman" w:eastAsiaTheme="minorEastAsia"/>
                <w:color w:val="000000"/>
                <w:kern w:val="0"/>
                <w:sz w:val="21"/>
                <w:szCs w:val="21"/>
                <w:vertAlign w:val="superscript"/>
                <w:lang w:bidi="ar"/>
              </w:rPr>
              <w:t>2</w:t>
            </w:r>
          </w:p>
        </w:tc>
        <w:tc>
          <w:tcPr>
            <w:tcW w:w="801" w:type="pct"/>
            <w:tcBorders>
              <w:bottom w:val="single" w:color="auto" w:sz="4" w:space="0"/>
            </w:tcBorders>
            <w:shd w:val="clear" w:color="auto" w:fill="auto"/>
            <w:tcMar>
              <w:top w:w="15" w:type="dxa"/>
              <w:left w:w="15" w:type="dxa"/>
              <w:right w:w="15" w:type="dxa"/>
            </w:tcMar>
            <w:vAlign w:val="center"/>
          </w:tcPr>
          <w:p w14:paraId="742464AC">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val="en-US" w:eastAsia="zh-CN" w:bidi="ar"/>
              </w:rPr>
              <w:t>每穗粒数</w:t>
            </w:r>
            <w:r>
              <w:rPr>
                <w:rFonts w:hint="default" w:ascii="Times New Roman" w:hAnsi="Times New Roman" w:cs="Times New Roman" w:eastAsiaTheme="minorEastAsia"/>
                <w:color w:val="000000"/>
                <w:kern w:val="0"/>
                <w:sz w:val="21"/>
                <w:szCs w:val="21"/>
                <w:lang w:bidi="ar"/>
              </w:rPr>
              <w:t xml:space="preserve"> </w:t>
            </w:r>
          </w:p>
        </w:tc>
        <w:tc>
          <w:tcPr>
            <w:tcW w:w="906" w:type="pct"/>
            <w:tcBorders>
              <w:bottom w:val="single" w:color="auto" w:sz="4" w:space="0"/>
            </w:tcBorders>
            <w:shd w:val="clear" w:color="auto" w:fill="auto"/>
            <w:tcMar>
              <w:top w:w="15" w:type="dxa"/>
              <w:left w:w="15" w:type="dxa"/>
              <w:right w:w="15" w:type="dxa"/>
            </w:tcMar>
            <w:vAlign w:val="center"/>
          </w:tcPr>
          <w:p w14:paraId="3CBAEBF9">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val="en-US" w:eastAsia="zh-CN" w:bidi="ar"/>
              </w:rPr>
              <w:t>结实率</w:t>
            </w:r>
            <w:r>
              <w:rPr>
                <w:rFonts w:hint="default" w:ascii="Times New Roman" w:hAnsi="Times New Roman" w:cs="Times New Roman" w:eastAsiaTheme="minorEastAsia"/>
                <w:color w:val="000000"/>
                <w:kern w:val="0"/>
                <w:sz w:val="21"/>
                <w:szCs w:val="21"/>
                <w:lang w:bidi="ar"/>
              </w:rPr>
              <w:br w:type="textWrapping"/>
            </w:r>
            <w:r>
              <w:rPr>
                <w:rFonts w:hint="default" w:ascii="Times New Roman" w:hAnsi="Times New Roman" w:cs="Times New Roman" w:eastAsiaTheme="minorEastAsia"/>
                <w:color w:val="000000"/>
                <w:kern w:val="0"/>
                <w:sz w:val="21"/>
                <w:szCs w:val="21"/>
                <w:lang w:bidi="ar"/>
              </w:rPr>
              <w:t xml:space="preserve"> (%)</w:t>
            </w:r>
          </w:p>
        </w:tc>
        <w:tc>
          <w:tcPr>
            <w:tcW w:w="879" w:type="pct"/>
            <w:tcBorders>
              <w:bottom w:val="single" w:color="auto" w:sz="4" w:space="0"/>
            </w:tcBorders>
            <w:shd w:val="clear" w:color="auto" w:fill="auto"/>
            <w:tcMar>
              <w:top w:w="15" w:type="dxa"/>
              <w:left w:w="15" w:type="dxa"/>
              <w:right w:w="15" w:type="dxa"/>
            </w:tcMar>
            <w:vAlign w:val="center"/>
          </w:tcPr>
          <w:p w14:paraId="0F09139B">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val="en-US" w:eastAsia="zh-CN" w:bidi="ar"/>
              </w:rPr>
              <w:t>千粒重</w:t>
            </w:r>
            <w:r>
              <w:rPr>
                <w:rFonts w:hint="default" w:ascii="Times New Roman" w:hAnsi="Times New Roman" w:cs="Times New Roman" w:eastAsiaTheme="minorEastAsia"/>
                <w:color w:val="000000"/>
                <w:kern w:val="0"/>
                <w:sz w:val="21"/>
                <w:szCs w:val="21"/>
                <w:lang w:bidi="ar"/>
              </w:rPr>
              <w:br w:type="textWrapping"/>
            </w:r>
            <w:r>
              <w:rPr>
                <w:rFonts w:hint="default" w:ascii="Times New Roman" w:hAnsi="Times New Roman" w:cs="Times New Roman" w:eastAsiaTheme="minorEastAsia"/>
                <w:color w:val="000000"/>
                <w:kern w:val="0"/>
                <w:sz w:val="21"/>
                <w:szCs w:val="21"/>
                <w:lang w:bidi="ar"/>
              </w:rPr>
              <w:t xml:space="preserve"> (g)</w:t>
            </w:r>
          </w:p>
        </w:tc>
        <w:tc>
          <w:tcPr>
            <w:tcW w:w="1028" w:type="pct"/>
            <w:tcBorders>
              <w:bottom w:val="single" w:color="auto" w:sz="4" w:space="0"/>
            </w:tcBorders>
            <w:shd w:val="clear" w:color="auto" w:fill="auto"/>
            <w:tcMar>
              <w:top w:w="15" w:type="dxa"/>
              <w:left w:w="15" w:type="dxa"/>
              <w:right w:w="15" w:type="dxa"/>
            </w:tcMar>
            <w:vAlign w:val="center"/>
          </w:tcPr>
          <w:p w14:paraId="43BE593E">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val="en-US" w:eastAsia="zh-CN" w:bidi="ar"/>
              </w:rPr>
              <w:t>理论产量</w:t>
            </w:r>
            <w:r>
              <w:rPr>
                <w:rFonts w:hint="default" w:ascii="Times New Roman" w:hAnsi="Times New Roman" w:cs="Times New Roman" w:eastAsiaTheme="minorEastAsia"/>
                <w:color w:val="000000"/>
                <w:kern w:val="0"/>
                <w:sz w:val="21"/>
                <w:szCs w:val="21"/>
                <w:lang w:bidi="ar"/>
              </w:rPr>
              <w:br w:type="textWrapping"/>
            </w:r>
            <w:r>
              <w:rPr>
                <w:rFonts w:hint="default" w:ascii="Times New Roman" w:hAnsi="Times New Roman" w:cs="Times New Roman" w:eastAsiaTheme="minorEastAsia"/>
                <w:color w:val="000000"/>
                <w:kern w:val="0"/>
                <w:sz w:val="21"/>
                <w:szCs w:val="21"/>
                <w:lang w:bidi="ar"/>
              </w:rPr>
              <w:t>(t ha</w:t>
            </w:r>
            <w:r>
              <w:rPr>
                <w:rFonts w:hint="default" w:ascii="Times New Roman" w:hAnsi="Times New Roman" w:cs="Times New Roman" w:eastAsiaTheme="minorEastAsia"/>
                <w:color w:val="000000"/>
                <w:kern w:val="0"/>
                <w:sz w:val="21"/>
                <w:szCs w:val="21"/>
                <w:vertAlign w:val="superscript"/>
                <w:lang w:bidi="ar"/>
              </w:rPr>
              <w:t>−1</w:t>
            </w:r>
            <w:r>
              <w:rPr>
                <w:rFonts w:hint="default" w:ascii="Times New Roman" w:hAnsi="Times New Roman" w:cs="Times New Roman" w:eastAsiaTheme="minorEastAsia"/>
                <w:color w:val="000000"/>
                <w:kern w:val="0"/>
                <w:sz w:val="21"/>
                <w:szCs w:val="21"/>
                <w:lang w:bidi="ar"/>
              </w:rPr>
              <w:t>)</w:t>
            </w:r>
          </w:p>
        </w:tc>
      </w:tr>
      <w:tr w14:paraId="354EC91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0" w:type="dxa"/>
            <w:bottom w:w="0" w:type="dxa"/>
            <w:right w:w="0" w:type="dxa"/>
          </w:tblCellMar>
        </w:tblPrEx>
        <w:trPr>
          <w:trHeight w:val="397" w:hRule="atLeast"/>
        </w:trPr>
        <w:tc>
          <w:tcPr>
            <w:tcW w:w="642" w:type="pct"/>
            <w:tcBorders>
              <w:top w:val="single" w:color="auto" w:sz="4" w:space="0"/>
              <w:tl2br w:val="nil"/>
              <w:tr2bl w:val="nil"/>
            </w:tcBorders>
            <w:shd w:val="clear" w:color="auto" w:fill="auto"/>
            <w:noWrap/>
            <w:tcMar>
              <w:top w:w="15" w:type="dxa"/>
              <w:left w:w="15" w:type="dxa"/>
              <w:right w:w="15" w:type="dxa"/>
            </w:tcMar>
            <w:vAlign w:val="center"/>
          </w:tcPr>
          <w:p w14:paraId="06E01660">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TS</w:t>
            </w:r>
          </w:p>
        </w:tc>
        <w:tc>
          <w:tcPr>
            <w:tcW w:w="740" w:type="pct"/>
            <w:tcBorders>
              <w:top w:val="single" w:color="auto" w:sz="4" w:space="0"/>
              <w:tl2br w:val="nil"/>
              <w:tr2bl w:val="nil"/>
            </w:tcBorders>
            <w:shd w:val="clear" w:color="auto" w:fill="auto"/>
            <w:noWrap/>
            <w:tcMar>
              <w:top w:w="15" w:type="dxa"/>
              <w:left w:w="15" w:type="dxa"/>
              <w:right w:w="15" w:type="dxa"/>
            </w:tcMar>
            <w:vAlign w:val="center"/>
          </w:tcPr>
          <w:p w14:paraId="590C5E97">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322±3a</w:t>
            </w:r>
          </w:p>
        </w:tc>
        <w:tc>
          <w:tcPr>
            <w:tcW w:w="801" w:type="pct"/>
            <w:tcBorders>
              <w:top w:val="single" w:color="auto" w:sz="4" w:space="0"/>
              <w:tl2br w:val="nil"/>
              <w:tr2bl w:val="nil"/>
            </w:tcBorders>
            <w:shd w:val="clear" w:color="auto" w:fill="auto"/>
            <w:noWrap/>
            <w:tcMar>
              <w:top w:w="15" w:type="dxa"/>
              <w:left w:w="15" w:type="dxa"/>
              <w:right w:w="15" w:type="dxa"/>
            </w:tcMar>
            <w:vAlign w:val="center"/>
          </w:tcPr>
          <w:p w14:paraId="68A22209">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122±2a</w:t>
            </w:r>
          </w:p>
        </w:tc>
        <w:tc>
          <w:tcPr>
            <w:tcW w:w="906" w:type="pct"/>
            <w:tcBorders>
              <w:top w:val="single" w:color="auto" w:sz="4" w:space="0"/>
              <w:tl2br w:val="nil"/>
              <w:tr2bl w:val="nil"/>
            </w:tcBorders>
            <w:shd w:val="clear" w:color="auto" w:fill="auto"/>
            <w:noWrap/>
            <w:tcMar>
              <w:top w:w="15" w:type="dxa"/>
              <w:left w:w="15" w:type="dxa"/>
              <w:right w:w="15" w:type="dxa"/>
            </w:tcMar>
            <w:vAlign w:val="center"/>
          </w:tcPr>
          <w:p w14:paraId="1A079DDB">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93.4±0.5a</w:t>
            </w:r>
          </w:p>
        </w:tc>
        <w:tc>
          <w:tcPr>
            <w:tcW w:w="879" w:type="pct"/>
            <w:tcBorders>
              <w:top w:val="single" w:color="auto" w:sz="4" w:space="0"/>
              <w:tl2br w:val="nil"/>
              <w:tr2bl w:val="nil"/>
            </w:tcBorders>
            <w:shd w:val="clear" w:color="auto" w:fill="auto"/>
            <w:noWrap/>
            <w:tcMar>
              <w:top w:w="15" w:type="dxa"/>
              <w:left w:w="15" w:type="dxa"/>
              <w:right w:w="15" w:type="dxa"/>
            </w:tcMar>
            <w:vAlign w:val="center"/>
          </w:tcPr>
          <w:p w14:paraId="77AFAA44">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27.2±0.2a</w:t>
            </w:r>
          </w:p>
        </w:tc>
        <w:tc>
          <w:tcPr>
            <w:tcW w:w="1028" w:type="pct"/>
            <w:tcBorders>
              <w:top w:val="single" w:color="auto" w:sz="4" w:space="0"/>
              <w:tl2br w:val="nil"/>
              <w:tr2bl w:val="nil"/>
            </w:tcBorders>
            <w:shd w:val="clear" w:color="auto" w:fill="auto"/>
            <w:noWrap/>
            <w:tcMar>
              <w:top w:w="15" w:type="dxa"/>
              <w:left w:w="15" w:type="dxa"/>
              <w:right w:w="15" w:type="dxa"/>
            </w:tcMar>
            <w:vAlign w:val="center"/>
          </w:tcPr>
          <w:p w14:paraId="33DFD176">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9.97±0.06a</w:t>
            </w:r>
          </w:p>
        </w:tc>
      </w:tr>
      <w:tr w14:paraId="6A23B3A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0" w:type="dxa"/>
            <w:bottom w:w="0" w:type="dxa"/>
            <w:right w:w="0" w:type="dxa"/>
          </w:tblCellMar>
        </w:tblPrEx>
        <w:trPr>
          <w:trHeight w:val="385" w:hRule="atLeast"/>
        </w:trPr>
        <w:tc>
          <w:tcPr>
            <w:tcW w:w="642" w:type="pct"/>
            <w:tcBorders>
              <w:tl2br w:val="nil"/>
              <w:tr2bl w:val="nil"/>
            </w:tcBorders>
            <w:shd w:val="clear" w:color="auto" w:fill="auto"/>
            <w:noWrap/>
            <w:tcMar>
              <w:top w:w="15" w:type="dxa"/>
              <w:left w:w="15" w:type="dxa"/>
              <w:right w:w="15" w:type="dxa"/>
            </w:tcMar>
            <w:vAlign w:val="center"/>
          </w:tcPr>
          <w:p w14:paraId="707427AF">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CS</w:t>
            </w:r>
          </w:p>
        </w:tc>
        <w:tc>
          <w:tcPr>
            <w:tcW w:w="740" w:type="pct"/>
            <w:tcBorders>
              <w:tl2br w:val="nil"/>
              <w:tr2bl w:val="nil"/>
            </w:tcBorders>
            <w:shd w:val="clear" w:color="auto" w:fill="auto"/>
            <w:noWrap/>
            <w:tcMar>
              <w:top w:w="15" w:type="dxa"/>
              <w:left w:w="15" w:type="dxa"/>
              <w:right w:w="15" w:type="dxa"/>
            </w:tcMar>
            <w:vAlign w:val="center"/>
          </w:tcPr>
          <w:p w14:paraId="4C3E8BC6">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316±4a</w:t>
            </w:r>
          </w:p>
        </w:tc>
        <w:tc>
          <w:tcPr>
            <w:tcW w:w="801" w:type="pct"/>
            <w:tcBorders>
              <w:tl2br w:val="nil"/>
              <w:tr2bl w:val="nil"/>
            </w:tcBorders>
            <w:shd w:val="clear" w:color="auto" w:fill="auto"/>
            <w:noWrap/>
            <w:tcMar>
              <w:top w:w="15" w:type="dxa"/>
              <w:left w:w="15" w:type="dxa"/>
              <w:right w:w="15" w:type="dxa"/>
            </w:tcMar>
            <w:vAlign w:val="center"/>
          </w:tcPr>
          <w:p w14:paraId="1EB7927A">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121±4a</w:t>
            </w:r>
          </w:p>
        </w:tc>
        <w:tc>
          <w:tcPr>
            <w:tcW w:w="906" w:type="pct"/>
            <w:tcBorders>
              <w:tl2br w:val="nil"/>
              <w:tr2bl w:val="nil"/>
            </w:tcBorders>
            <w:shd w:val="clear" w:color="auto" w:fill="auto"/>
            <w:noWrap/>
            <w:tcMar>
              <w:top w:w="15" w:type="dxa"/>
              <w:left w:w="15" w:type="dxa"/>
              <w:right w:w="15" w:type="dxa"/>
            </w:tcMar>
            <w:vAlign w:val="center"/>
          </w:tcPr>
          <w:p w14:paraId="15E8E32F">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92.9±0.3ab</w:t>
            </w:r>
          </w:p>
        </w:tc>
        <w:tc>
          <w:tcPr>
            <w:tcW w:w="879" w:type="pct"/>
            <w:tcBorders>
              <w:tl2br w:val="nil"/>
              <w:tr2bl w:val="nil"/>
            </w:tcBorders>
            <w:shd w:val="clear" w:color="auto" w:fill="auto"/>
            <w:noWrap/>
            <w:tcMar>
              <w:top w:w="15" w:type="dxa"/>
              <w:left w:w="15" w:type="dxa"/>
              <w:right w:w="15" w:type="dxa"/>
            </w:tcMar>
            <w:vAlign w:val="center"/>
          </w:tcPr>
          <w:p w14:paraId="579E06E5">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27.2±0.2a</w:t>
            </w:r>
          </w:p>
        </w:tc>
        <w:tc>
          <w:tcPr>
            <w:tcW w:w="1028" w:type="pct"/>
            <w:tcBorders>
              <w:tl2br w:val="nil"/>
              <w:tr2bl w:val="nil"/>
            </w:tcBorders>
            <w:shd w:val="clear" w:color="auto" w:fill="auto"/>
            <w:noWrap/>
            <w:tcMar>
              <w:top w:w="15" w:type="dxa"/>
              <w:left w:w="15" w:type="dxa"/>
              <w:right w:w="15" w:type="dxa"/>
            </w:tcMar>
            <w:vAlign w:val="center"/>
          </w:tcPr>
          <w:p w14:paraId="5D627431">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9.71±0.36a</w:t>
            </w:r>
          </w:p>
        </w:tc>
      </w:tr>
      <w:tr w14:paraId="2C75747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0" w:type="dxa"/>
            <w:bottom w:w="0" w:type="dxa"/>
            <w:right w:w="0" w:type="dxa"/>
          </w:tblCellMar>
        </w:tblPrEx>
        <w:trPr>
          <w:trHeight w:val="385" w:hRule="atLeast"/>
        </w:trPr>
        <w:tc>
          <w:tcPr>
            <w:tcW w:w="642" w:type="pct"/>
            <w:tcBorders>
              <w:tl2br w:val="nil"/>
              <w:tr2bl w:val="nil"/>
            </w:tcBorders>
            <w:shd w:val="clear" w:color="auto" w:fill="auto"/>
            <w:noWrap/>
            <w:tcMar>
              <w:top w:w="15" w:type="dxa"/>
              <w:left w:w="15" w:type="dxa"/>
              <w:right w:w="15" w:type="dxa"/>
            </w:tcMar>
            <w:vAlign w:val="center"/>
          </w:tcPr>
          <w:p w14:paraId="19A1FBBE">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ST</w:t>
            </w:r>
          </w:p>
        </w:tc>
        <w:tc>
          <w:tcPr>
            <w:tcW w:w="740" w:type="pct"/>
            <w:tcBorders>
              <w:tl2br w:val="nil"/>
              <w:tr2bl w:val="nil"/>
            </w:tcBorders>
            <w:shd w:val="clear" w:color="auto" w:fill="auto"/>
            <w:noWrap/>
            <w:tcMar>
              <w:top w:w="15" w:type="dxa"/>
              <w:left w:w="15" w:type="dxa"/>
              <w:right w:w="15" w:type="dxa"/>
            </w:tcMar>
            <w:vAlign w:val="center"/>
          </w:tcPr>
          <w:p w14:paraId="679179D8">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291±4c</w:t>
            </w:r>
          </w:p>
        </w:tc>
        <w:tc>
          <w:tcPr>
            <w:tcW w:w="801" w:type="pct"/>
            <w:tcBorders>
              <w:tl2br w:val="nil"/>
              <w:tr2bl w:val="nil"/>
            </w:tcBorders>
            <w:shd w:val="clear" w:color="auto" w:fill="auto"/>
            <w:noWrap/>
            <w:tcMar>
              <w:top w:w="15" w:type="dxa"/>
              <w:left w:w="15" w:type="dxa"/>
              <w:right w:w="15" w:type="dxa"/>
            </w:tcMar>
            <w:vAlign w:val="center"/>
          </w:tcPr>
          <w:p w14:paraId="7B26DBE2">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109±3b</w:t>
            </w:r>
          </w:p>
        </w:tc>
        <w:tc>
          <w:tcPr>
            <w:tcW w:w="906" w:type="pct"/>
            <w:tcBorders>
              <w:tl2br w:val="nil"/>
              <w:tr2bl w:val="nil"/>
            </w:tcBorders>
            <w:shd w:val="clear" w:color="auto" w:fill="auto"/>
            <w:noWrap/>
            <w:tcMar>
              <w:top w:w="15" w:type="dxa"/>
              <w:left w:w="15" w:type="dxa"/>
              <w:right w:w="15" w:type="dxa"/>
            </w:tcMar>
            <w:vAlign w:val="center"/>
          </w:tcPr>
          <w:p w14:paraId="00B422CC">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92.1±0.3c</w:t>
            </w:r>
          </w:p>
        </w:tc>
        <w:tc>
          <w:tcPr>
            <w:tcW w:w="879" w:type="pct"/>
            <w:tcBorders>
              <w:tl2br w:val="nil"/>
              <w:tr2bl w:val="nil"/>
            </w:tcBorders>
            <w:shd w:val="clear" w:color="auto" w:fill="auto"/>
            <w:noWrap/>
            <w:tcMar>
              <w:top w:w="15" w:type="dxa"/>
              <w:left w:w="15" w:type="dxa"/>
              <w:right w:w="15" w:type="dxa"/>
            </w:tcMar>
            <w:vAlign w:val="center"/>
          </w:tcPr>
          <w:p w14:paraId="2D92B965">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27.3±0.3a</w:t>
            </w:r>
          </w:p>
        </w:tc>
        <w:tc>
          <w:tcPr>
            <w:tcW w:w="1028" w:type="pct"/>
            <w:tcBorders>
              <w:tl2br w:val="nil"/>
              <w:tr2bl w:val="nil"/>
            </w:tcBorders>
            <w:shd w:val="clear" w:color="auto" w:fill="auto"/>
            <w:noWrap/>
            <w:tcMar>
              <w:top w:w="15" w:type="dxa"/>
              <w:left w:w="15" w:type="dxa"/>
              <w:right w:w="15" w:type="dxa"/>
            </w:tcMar>
            <w:vAlign w:val="center"/>
          </w:tcPr>
          <w:p w14:paraId="15303F5E">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7.95±0.1c</w:t>
            </w:r>
          </w:p>
        </w:tc>
      </w:tr>
      <w:tr w14:paraId="4258065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0" w:type="dxa"/>
            <w:bottom w:w="0" w:type="dxa"/>
            <w:right w:w="0" w:type="dxa"/>
          </w:tblCellMar>
        </w:tblPrEx>
        <w:trPr>
          <w:trHeight w:val="385" w:hRule="atLeast"/>
        </w:trPr>
        <w:tc>
          <w:tcPr>
            <w:tcW w:w="642" w:type="pct"/>
            <w:tcBorders>
              <w:tl2br w:val="nil"/>
              <w:tr2bl w:val="nil"/>
            </w:tcBorders>
            <w:shd w:val="clear" w:color="auto" w:fill="auto"/>
            <w:noWrap/>
            <w:tcMar>
              <w:top w:w="15" w:type="dxa"/>
              <w:left w:w="15" w:type="dxa"/>
              <w:right w:w="15" w:type="dxa"/>
            </w:tcMar>
            <w:vAlign w:val="center"/>
          </w:tcPr>
          <w:p w14:paraId="53B75A80">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RH</w:t>
            </w:r>
          </w:p>
        </w:tc>
        <w:tc>
          <w:tcPr>
            <w:tcW w:w="740" w:type="pct"/>
            <w:tcBorders>
              <w:tl2br w:val="nil"/>
              <w:tr2bl w:val="nil"/>
            </w:tcBorders>
            <w:shd w:val="clear" w:color="auto" w:fill="auto"/>
            <w:noWrap/>
            <w:tcMar>
              <w:top w:w="15" w:type="dxa"/>
              <w:left w:w="15" w:type="dxa"/>
              <w:right w:w="15" w:type="dxa"/>
            </w:tcMar>
            <w:vAlign w:val="center"/>
          </w:tcPr>
          <w:p w14:paraId="05BDF77F">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306±4b</w:t>
            </w:r>
          </w:p>
        </w:tc>
        <w:tc>
          <w:tcPr>
            <w:tcW w:w="801" w:type="pct"/>
            <w:tcBorders>
              <w:tl2br w:val="nil"/>
              <w:tr2bl w:val="nil"/>
            </w:tcBorders>
            <w:shd w:val="clear" w:color="auto" w:fill="auto"/>
            <w:noWrap/>
            <w:tcMar>
              <w:top w:w="15" w:type="dxa"/>
              <w:left w:w="15" w:type="dxa"/>
              <w:right w:w="15" w:type="dxa"/>
            </w:tcMar>
            <w:vAlign w:val="center"/>
          </w:tcPr>
          <w:p w14:paraId="110DDA30">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114±3b</w:t>
            </w:r>
          </w:p>
        </w:tc>
        <w:tc>
          <w:tcPr>
            <w:tcW w:w="906" w:type="pct"/>
            <w:tcBorders>
              <w:tl2br w:val="nil"/>
              <w:tr2bl w:val="nil"/>
            </w:tcBorders>
            <w:shd w:val="clear" w:color="auto" w:fill="auto"/>
            <w:noWrap/>
            <w:tcMar>
              <w:top w:w="15" w:type="dxa"/>
              <w:left w:w="15" w:type="dxa"/>
              <w:right w:w="15" w:type="dxa"/>
            </w:tcMar>
            <w:vAlign w:val="center"/>
          </w:tcPr>
          <w:p w14:paraId="3AE481CA">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92.6±0.2bc</w:t>
            </w:r>
          </w:p>
        </w:tc>
        <w:tc>
          <w:tcPr>
            <w:tcW w:w="879" w:type="pct"/>
            <w:tcBorders>
              <w:tl2br w:val="nil"/>
              <w:tr2bl w:val="nil"/>
            </w:tcBorders>
            <w:shd w:val="clear" w:color="auto" w:fill="auto"/>
            <w:noWrap/>
            <w:tcMar>
              <w:top w:w="15" w:type="dxa"/>
              <w:left w:w="15" w:type="dxa"/>
              <w:right w:w="15" w:type="dxa"/>
            </w:tcMar>
            <w:vAlign w:val="center"/>
          </w:tcPr>
          <w:p w14:paraId="6F8D433D">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27.3±0.1a</w:t>
            </w:r>
          </w:p>
        </w:tc>
        <w:tc>
          <w:tcPr>
            <w:tcW w:w="1028" w:type="pct"/>
            <w:tcBorders>
              <w:tl2br w:val="nil"/>
              <w:tr2bl w:val="nil"/>
            </w:tcBorders>
            <w:shd w:val="clear" w:color="auto" w:fill="auto"/>
            <w:noWrap/>
            <w:tcMar>
              <w:top w:w="15" w:type="dxa"/>
              <w:left w:w="15" w:type="dxa"/>
              <w:right w:w="15" w:type="dxa"/>
            </w:tcMar>
            <w:vAlign w:val="center"/>
          </w:tcPr>
          <w:p w14:paraId="5EF103B5">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8.81±0.16b</w:t>
            </w:r>
          </w:p>
        </w:tc>
      </w:tr>
      <w:tr w14:paraId="733F022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0" w:type="dxa"/>
            <w:bottom w:w="0" w:type="dxa"/>
            <w:right w:w="0" w:type="dxa"/>
          </w:tblCellMar>
        </w:tblPrEx>
        <w:trPr>
          <w:trHeight w:val="397" w:hRule="atLeast"/>
        </w:trPr>
        <w:tc>
          <w:tcPr>
            <w:tcW w:w="642" w:type="pct"/>
            <w:tcBorders>
              <w:tl2br w:val="nil"/>
              <w:tr2bl w:val="nil"/>
            </w:tcBorders>
            <w:shd w:val="clear" w:color="auto" w:fill="auto"/>
            <w:noWrap/>
            <w:tcMar>
              <w:top w:w="15" w:type="dxa"/>
              <w:left w:w="15" w:type="dxa"/>
              <w:right w:w="15" w:type="dxa"/>
            </w:tcMar>
            <w:vAlign w:val="center"/>
          </w:tcPr>
          <w:p w14:paraId="0E854DCE">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MR</w:t>
            </w:r>
          </w:p>
        </w:tc>
        <w:tc>
          <w:tcPr>
            <w:tcW w:w="740" w:type="pct"/>
            <w:tcBorders>
              <w:tl2br w:val="nil"/>
              <w:tr2bl w:val="nil"/>
            </w:tcBorders>
            <w:shd w:val="clear" w:color="auto" w:fill="auto"/>
            <w:noWrap/>
            <w:tcMar>
              <w:top w:w="15" w:type="dxa"/>
              <w:left w:w="15" w:type="dxa"/>
              <w:right w:w="15" w:type="dxa"/>
            </w:tcMar>
            <w:vAlign w:val="center"/>
          </w:tcPr>
          <w:p w14:paraId="683A4BBC">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325±4a</w:t>
            </w:r>
          </w:p>
        </w:tc>
        <w:tc>
          <w:tcPr>
            <w:tcW w:w="801" w:type="pct"/>
            <w:tcBorders>
              <w:tl2br w:val="nil"/>
              <w:tr2bl w:val="nil"/>
            </w:tcBorders>
            <w:shd w:val="clear" w:color="auto" w:fill="auto"/>
            <w:noWrap/>
            <w:tcMar>
              <w:top w:w="15" w:type="dxa"/>
              <w:left w:w="15" w:type="dxa"/>
              <w:right w:w="15" w:type="dxa"/>
            </w:tcMar>
            <w:vAlign w:val="center"/>
          </w:tcPr>
          <w:p w14:paraId="79DEA3B9">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124±3a</w:t>
            </w:r>
          </w:p>
        </w:tc>
        <w:tc>
          <w:tcPr>
            <w:tcW w:w="906" w:type="pct"/>
            <w:tcBorders>
              <w:tl2br w:val="nil"/>
              <w:tr2bl w:val="nil"/>
            </w:tcBorders>
            <w:shd w:val="clear" w:color="auto" w:fill="auto"/>
            <w:noWrap/>
            <w:tcMar>
              <w:top w:w="15" w:type="dxa"/>
              <w:left w:w="15" w:type="dxa"/>
              <w:right w:w="15" w:type="dxa"/>
            </w:tcMar>
            <w:vAlign w:val="center"/>
          </w:tcPr>
          <w:p w14:paraId="25F7616F">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93.1±0.3ab</w:t>
            </w:r>
          </w:p>
        </w:tc>
        <w:tc>
          <w:tcPr>
            <w:tcW w:w="879" w:type="pct"/>
            <w:tcBorders>
              <w:tl2br w:val="nil"/>
              <w:tr2bl w:val="nil"/>
            </w:tcBorders>
            <w:shd w:val="clear" w:color="auto" w:fill="auto"/>
            <w:noWrap/>
            <w:tcMar>
              <w:top w:w="15" w:type="dxa"/>
              <w:left w:w="15" w:type="dxa"/>
              <w:right w:w="15" w:type="dxa"/>
            </w:tcMar>
            <w:vAlign w:val="center"/>
          </w:tcPr>
          <w:p w14:paraId="410A2FC6">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27.3±0.2a</w:t>
            </w:r>
          </w:p>
        </w:tc>
        <w:tc>
          <w:tcPr>
            <w:tcW w:w="1028" w:type="pct"/>
            <w:tcBorders>
              <w:tl2br w:val="nil"/>
              <w:tr2bl w:val="nil"/>
            </w:tcBorders>
            <w:shd w:val="clear" w:color="auto" w:fill="auto"/>
            <w:noWrap/>
            <w:tcMar>
              <w:top w:w="15" w:type="dxa"/>
              <w:left w:w="15" w:type="dxa"/>
              <w:right w:w="15" w:type="dxa"/>
            </w:tcMar>
            <w:vAlign w:val="center"/>
          </w:tcPr>
          <w:p w14:paraId="0A3D8B1D">
            <w:pPr>
              <w:widowControl/>
              <w:jc w:val="center"/>
              <w:textAlignment w:val="center"/>
              <w:rPr>
                <w:rFonts w:hint="default" w:ascii="Times New Roman" w:hAnsi="Times New Roman" w:cs="Times New Roman" w:eastAsiaTheme="minorEastAsia"/>
                <w:color w:val="000000"/>
                <w:sz w:val="21"/>
                <w:szCs w:val="21"/>
              </w:rPr>
            </w:pPr>
            <w:r>
              <w:rPr>
                <w:rFonts w:hint="default" w:ascii="Times New Roman" w:hAnsi="Times New Roman" w:cs="Times New Roman" w:eastAsiaTheme="minorEastAsia"/>
                <w:color w:val="000000"/>
                <w:kern w:val="0"/>
                <w:sz w:val="21"/>
                <w:szCs w:val="21"/>
                <w:lang w:bidi="ar"/>
              </w:rPr>
              <w:t>10.25±0.38a</w:t>
            </w:r>
          </w:p>
        </w:tc>
      </w:tr>
    </w:tbl>
    <w:p w14:paraId="79D1DBBF">
      <w:pPr>
        <w:jc w:val="left"/>
        <w:rPr>
          <w:rFonts w:ascii="Times New Roman" w:hAnsi="Times New Roman" w:eastAsia="宋体" w:cs="Times New Roman"/>
          <w:szCs w:val="21"/>
        </w:rPr>
      </w:pPr>
    </w:p>
    <w:p w14:paraId="15D69E6F">
      <w:pPr>
        <w:spacing w:line="360" w:lineRule="auto"/>
        <w:ind w:firstLine="480" w:firstLineChars="200"/>
        <w:rPr>
          <w:rFonts w:hint="default" w:ascii="Times New Roman" w:hAnsi="Times New Roman" w:eastAsia="黑体" w:cs="Times New Roman"/>
          <w:sz w:val="24"/>
          <w:szCs w:val="24"/>
          <w:highlight w:val="none"/>
        </w:rPr>
      </w:pPr>
      <w:r>
        <w:rPr>
          <w:rFonts w:hint="default" w:ascii="Times New Roman" w:hAnsi="Times New Roman" w:eastAsia="黑体" w:cs="Times New Roman"/>
          <w:sz w:val="24"/>
          <w:szCs w:val="24"/>
          <w:highlight w:val="none"/>
        </w:rPr>
        <w:t>（</w:t>
      </w:r>
      <w:r>
        <w:rPr>
          <w:rFonts w:hint="default" w:ascii="Times New Roman" w:hAnsi="Times New Roman" w:eastAsia="黑体" w:cs="Times New Roman"/>
          <w:sz w:val="24"/>
          <w:szCs w:val="24"/>
          <w:highlight w:val="none"/>
          <w:lang w:val="en-US" w:eastAsia="zh-CN"/>
        </w:rPr>
        <w:t>三</w:t>
      </w:r>
      <w:r>
        <w:rPr>
          <w:rFonts w:hint="default" w:ascii="Times New Roman" w:hAnsi="Times New Roman" w:eastAsia="黑体" w:cs="Times New Roman"/>
          <w:sz w:val="24"/>
          <w:szCs w:val="24"/>
          <w:highlight w:val="none"/>
        </w:rPr>
        <w:t>）技术经济论证</w:t>
      </w:r>
    </w:p>
    <w:p w14:paraId="11202CAE">
      <w:pPr>
        <w:spacing w:line="360" w:lineRule="auto"/>
        <w:ind w:firstLine="420"/>
        <w:rPr>
          <w:rFonts w:hint="default" w:ascii="Times New Roman" w:hAnsi="Times New Roman" w:cs="Times New Roman"/>
          <w:sz w:val="24"/>
          <w:szCs w:val="24"/>
          <w:highlight w:val="none"/>
          <w:lang w:val="en-US" w:eastAsia="zh-CN" w:bidi="ar"/>
        </w:rPr>
      </w:pPr>
      <w:r>
        <w:rPr>
          <w:rFonts w:hint="default" w:ascii="Times New Roman" w:hAnsi="Times New Roman" w:cs="Times New Roman"/>
          <w:sz w:val="24"/>
          <w:szCs w:val="24"/>
          <w:highlight w:val="none"/>
          <w:lang w:val="en-US" w:eastAsia="zh-CN" w:bidi="ar"/>
        </w:rPr>
        <w:t>在本文件制定完成并广泛实施后，</w:t>
      </w:r>
      <w:r>
        <w:rPr>
          <w:rFonts w:hint="eastAsia" w:cs="Times New Roman"/>
          <w:sz w:val="24"/>
          <w:szCs w:val="24"/>
          <w:highlight w:val="none"/>
          <w:lang w:val="en-US" w:eastAsia="zh-CN" w:bidi="ar"/>
        </w:rPr>
        <w:t>水稻</w:t>
      </w:r>
      <w:r>
        <w:rPr>
          <w:rFonts w:hint="default" w:ascii="Times New Roman" w:hAnsi="Times New Roman" w:cs="Times New Roman"/>
          <w:sz w:val="24"/>
          <w:szCs w:val="24"/>
          <w:highlight w:val="none"/>
          <w:lang w:val="en-US" w:eastAsia="zh-CN" w:bidi="ar"/>
        </w:rPr>
        <w:t>产量与</w:t>
      </w:r>
      <w:r>
        <w:rPr>
          <w:rFonts w:hint="eastAsia" w:cs="Times New Roman"/>
          <w:sz w:val="24"/>
          <w:szCs w:val="24"/>
          <w:highlight w:val="none"/>
          <w:lang w:val="en-US" w:eastAsia="zh-CN" w:bidi="ar"/>
        </w:rPr>
        <w:t>营养土和商品基质处理</w:t>
      </w:r>
      <w:r>
        <w:rPr>
          <w:rFonts w:hint="default" w:ascii="Times New Roman" w:hAnsi="Times New Roman" w:cs="Times New Roman"/>
          <w:sz w:val="24"/>
          <w:szCs w:val="24"/>
          <w:highlight w:val="none"/>
          <w:lang w:val="en-US" w:eastAsia="zh-CN" w:bidi="ar"/>
        </w:rPr>
        <w:t>相当，</w:t>
      </w:r>
      <w:r>
        <w:rPr>
          <w:rFonts w:hint="eastAsia" w:cs="Times New Roman"/>
          <w:sz w:val="24"/>
          <w:szCs w:val="24"/>
          <w:highlight w:val="none"/>
          <w:lang w:val="en-US" w:eastAsia="zh-CN" w:bidi="ar"/>
        </w:rPr>
        <w:t>可以在不减少水稻产量的基础上，降低育秧人工成本及基质使用成本，同时实现农业废弃物秸秆、菌菇渣的循环利用</w:t>
      </w:r>
      <w:r>
        <w:rPr>
          <w:rFonts w:hint="default" w:ascii="Times New Roman" w:hAnsi="Times New Roman" w:cs="Times New Roman"/>
          <w:sz w:val="24"/>
          <w:szCs w:val="24"/>
          <w:highlight w:val="none"/>
          <w:lang w:val="en-US" w:eastAsia="zh-CN" w:bidi="ar"/>
        </w:rPr>
        <w:t>，</w:t>
      </w:r>
      <w:r>
        <w:rPr>
          <w:rFonts w:hint="eastAsia" w:cs="Times New Roman"/>
          <w:sz w:val="24"/>
          <w:szCs w:val="24"/>
          <w:highlight w:val="none"/>
          <w:lang w:val="en-US" w:eastAsia="zh-CN" w:bidi="ar"/>
        </w:rPr>
        <w:t>有利于农业可持续发展</w:t>
      </w:r>
      <w:r>
        <w:rPr>
          <w:rFonts w:hint="default" w:ascii="Times New Roman" w:hAnsi="Times New Roman" w:cs="Times New Roman"/>
          <w:sz w:val="24"/>
          <w:szCs w:val="24"/>
          <w:highlight w:val="none"/>
          <w:lang w:val="en-US" w:eastAsia="zh-CN" w:bidi="ar"/>
        </w:rPr>
        <w:t>。</w:t>
      </w:r>
    </w:p>
    <w:p w14:paraId="30B198AF">
      <w:pPr>
        <w:spacing w:line="360" w:lineRule="auto"/>
        <w:ind w:firstLine="480" w:firstLineChars="200"/>
        <w:rPr>
          <w:rFonts w:hint="default" w:ascii="Times New Roman" w:hAnsi="Times New Roman" w:eastAsia="黑体" w:cs="Times New Roman"/>
          <w:sz w:val="24"/>
          <w:szCs w:val="24"/>
          <w:highlight w:val="none"/>
        </w:rPr>
      </w:pPr>
      <w:r>
        <w:rPr>
          <w:rFonts w:hint="default" w:ascii="Times New Roman" w:hAnsi="Times New Roman" w:eastAsia="黑体" w:cs="Times New Roman"/>
          <w:sz w:val="24"/>
          <w:szCs w:val="24"/>
          <w:highlight w:val="none"/>
        </w:rPr>
        <w:t>（</w:t>
      </w:r>
      <w:r>
        <w:rPr>
          <w:rFonts w:hint="default" w:ascii="Times New Roman" w:hAnsi="Times New Roman" w:eastAsia="黑体" w:cs="Times New Roman"/>
          <w:sz w:val="24"/>
          <w:szCs w:val="24"/>
          <w:highlight w:val="none"/>
          <w:lang w:val="en-US" w:eastAsia="zh-CN"/>
        </w:rPr>
        <w:t>四</w:t>
      </w:r>
      <w:r>
        <w:rPr>
          <w:rFonts w:hint="default" w:ascii="Times New Roman" w:hAnsi="Times New Roman" w:eastAsia="黑体" w:cs="Times New Roman"/>
          <w:sz w:val="24"/>
          <w:szCs w:val="24"/>
          <w:highlight w:val="none"/>
        </w:rPr>
        <w:t>）预期的经济效果</w:t>
      </w:r>
    </w:p>
    <w:p w14:paraId="3FE170F5">
      <w:pPr>
        <w:spacing w:line="360" w:lineRule="auto"/>
        <w:ind w:firstLine="420"/>
        <w:rPr>
          <w:rFonts w:hint="default" w:ascii="Times New Roman" w:hAnsi="Times New Roman" w:cs="Times New Roman"/>
          <w:sz w:val="24"/>
          <w:szCs w:val="24"/>
          <w:highlight w:val="none"/>
          <w:lang w:val="en-US" w:eastAsia="zh-CN" w:bidi="ar"/>
        </w:rPr>
      </w:pPr>
      <w:r>
        <w:rPr>
          <w:rFonts w:hint="eastAsia" w:cs="Times New Roman"/>
          <w:sz w:val="24"/>
          <w:szCs w:val="24"/>
          <w:highlight w:val="none"/>
          <w:lang w:val="en-US" w:eastAsia="zh-CN" w:bidi="ar"/>
        </w:rPr>
        <w:t>基质型秧盘</w:t>
      </w:r>
      <w:r>
        <w:rPr>
          <w:rFonts w:hint="default" w:ascii="Times New Roman" w:hAnsi="Times New Roman" w:cs="Times New Roman"/>
          <w:sz w:val="24"/>
          <w:szCs w:val="24"/>
          <w:highlight w:val="none"/>
          <w:lang w:val="en-US" w:eastAsia="zh-CN" w:bidi="ar"/>
        </w:rPr>
        <w:t>的使用，将</w:t>
      </w:r>
      <w:r>
        <w:rPr>
          <w:rFonts w:hint="eastAsia" w:cs="Times New Roman"/>
          <w:sz w:val="24"/>
          <w:szCs w:val="24"/>
          <w:highlight w:val="none"/>
          <w:lang w:val="en-US" w:eastAsia="zh-CN" w:bidi="ar"/>
        </w:rPr>
        <w:t>有利于</w:t>
      </w:r>
      <w:r>
        <w:rPr>
          <w:rFonts w:hint="default" w:ascii="Times New Roman" w:hAnsi="Times New Roman" w:cs="Times New Roman"/>
          <w:sz w:val="24"/>
          <w:szCs w:val="24"/>
          <w:highlight w:val="none"/>
          <w:lang w:val="en-US" w:eastAsia="zh-CN" w:bidi="ar"/>
        </w:rPr>
        <w:t>促进</w:t>
      </w:r>
      <w:r>
        <w:rPr>
          <w:rFonts w:hint="eastAsia" w:cs="Times New Roman"/>
          <w:sz w:val="24"/>
          <w:szCs w:val="24"/>
          <w:highlight w:val="none"/>
          <w:lang w:val="en-US" w:eastAsia="zh-CN" w:bidi="ar"/>
        </w:rPr>
        <w:t>水稻种植的节本增效</w:t>
      </w:r>
      <w:r>
        <w:rPr>
          <w:rFonts w:hint="default" w:ascii="Times New Roman" w:hAnsi="Times New Roman" w:cs="Times New Roman"/>
          <w:sz w:val="24"/>
          <w:szCs w:val="24"/>
          <w:highlight w:val="none"/>
          <w:lang w:val="en-US" w:eastAsia="zh-CN" w:bidi="ar"/>
        </w:rPr>
        <w:t>，</w:t>
      </w:r>
      <w:r>
        <w:rPr>
          <w:rFonts w:hint="eastAsia" w:cs="Times New Roman"/>
          <w:sz w:val="24"/>
          <w:szCs w:val="24"/>
          <w:highlight w:val="none"/>
          <w:lang w:val="en-US" w:eastAsia="zh-CN" w:bidi="ar"/>
        </w:rPr>
        <w:t>实现农业废弃物的循环利用，</w:t>
      </w:r>
      <w:r>
        <w:rPr>
          <w:rFonts w:hint="default" w:ascii="Times New Roman" w:hAnsi="Times New Roman" w:cs="Times New Roman"/>
          <w:sz w:val="24"/>
          <w:szCs w:val="24"/>
          <w:highlight w:val="none"/>
          <w:lang w:val="en-US" w:eastAsia="zh-CN" w:bidi="ar"/>
        </w:rPr>
        <w:t>降低</w:t>
      </w:r>
      <w:r>
        <w:rPr>
          <w:rFonts w:hint="eastAsia" w:cs="Times New Roman"/>
          <w:sz w:val="24"/>
          <w:szCs w:val="24"/>
          <w:highlight w:val="none"/>
          <w:lang w:val="en-US" w:eastAsia="zh-CN" w:bidi="ar"/>
        </w:rPr>
        <w:t>环境</w:t>
      </w:r>
      <w:r>
        <w:rPr>
          <w:rFonts w:hint="default" w:ascii="Times New Roman" w:hAnsi="Times New Roman" w:cs="Times New Roman"/>
          <w:sz w:val="24"/>
          <w:szCs w:val="24"/>
          <w:highlight w:val="none"/>
          <w:lang w:val="en-US" w:eastAsia="zh-CN" w:bidi="ar"/>
        </w:rPr>
        <w:t>污染。因此，本标准的制定及广泛应用，能显著促进</w:t>
      </w:r>
      <w:r>
        <w:rPr>
          <w:rFonts w:hint="eastAsia" w:cs="Times New Roman"/>
          <w:sz w:val="24"/>
          <w:szCs w:val="24"/>
          <w:highlight w:val="none"/>
          <w:lang w:val="en-US" w:eastAsia="zh-CN" w:bidi="ar"/>
        </w:rPr>
        <w:t>基质型秧盘在机插水稻育秧环节</w:t>
      </w:r>
      <w:r>
        <w:rPr>
          <w:rFonts w:hint="default" w:ascii="Times New Roman" w:hAnsi="Times New Roman" w:cs="Times New Roman"/>
          <w:sz w:val="24"/>
          <w:szCs w:val="24"/>
          <w:highlight w:val="none"/>
          <w:lang w:val="en-US" w:eastAsia="zh-CN" w:bidi="ar"/>
        </w:rPr>
        <w:t>的推广应用，并取得显著的经济、社会和生态效益。</w:t>
      </w:r>
    </w:p>
    <w:p w14:paraId="0CC11DD0">
      <w:pPr>
        <w:numPr>
          <w:ilvl w:val="0"/>
          <w:numId w:val="0"/>
        </w:numPr>
        <w:spacing w:line="360" w:lineRule="auto"/>
        <w:ind w:firstLine="560" w:firstLineChars="200"/>
        <w:rPr>
          <w:rFonts w:hint="default" w:ascii="Times New Roman" w:hAnsi="Times New Roman" w:eastAsia="黑体" w:cs="Times New Roman"/>
          <w:sz w:val="28"/>
          <w:szCs w:val="28"/>
        </w:rPr>
      </w:pPr>
      <w:r>
        <w:rPr>
          <w:rFonts w:hint="default" w:ascii="Times New Roman" w:hAnsi="Times New Roman" w:eastAsia="黑体" w:cs="Times New Roman"/>
          <w:sz w:val="28"/>
          <w:szCs w:val="28"/>
          <w:lang w:val="en-US" w:eastAsia="zh-CN"/>
        </w:rPr>
        <w:t>五、</w:t>
      </w:r>
      <w:r>
        <w:rPr>
          <w:rFonts w:hint="default" w:ascii="Times New Roman" w:hAnsi="Times New Roman" w:eastAsia="黑体" w:cs="Times New Roman"/>
          <w:sz w:val="28"/>
          <w:szCs w:val="28"/>
        </w:rPr>
        <w:t>与相关法律法规和相关标准关系（国、行、本省（市）地方标准）</w:t>
      </w:r>
    </w:p>
    <w:p w14:paraId="5CFCA3C7">
      <w:pPr>
        <w:spacing w:line="360" w:lineRule="auto"/>
        <w:ind w:firstLine="420"/>
        <w:rPr>
          <w:rFonts w:hint="default" w:ascii="Times New Roman" w:hAnsi="Times New Roman" w:cs="Times New Roman"/>
          <w:sz w:val="24"/>
          <w:szCs w:val="24"/>
          <w:lang w:val="en-US" w:eastAsia="zh-CN" w:bidi="ar"/>
        </w:rPr>
      </w:pPr>
      <w:r>
        <w:rPr>
          <w:rFonts w:hint="default" w:ascii="Times New Roman" w:hAnsi="Times New Roman" w:cs="Times New Roman"/>
          <w:sz w:val="24"/>
          <w:szCs w:val="24"/>
          <w:lang w:val="en-US" w:eastAsia="zh-CN" w:bidi="ar"/>
        </w:rPr>
        <w:t>本文件按照GB/T 1.1—2020《标准化工作导则  第1部分：标准化文件的结构和起草规则》的规定起草。遵循“科学、适度、可行”的原则，以使标准具有一定的先进性、通用性和可操作性。一是符合国家政策性原则，在编制过程中严格贯彻国家有关方针、政策、法规和规章，严格执行强制性国家标准和行业标准，避免与正在制定或已经制定的其他农业或国家标准发生技术冲突。二是注重标准的实用性原则，力求标准切实可行，通过对江苏省机插水稻育秧技术现状调查结果，以本项目组试验结果为依据制订的，能够客观地反映基质型秧盘在水稻育秧环节对实际生产的影响。三是遵守标准规范性原则，在标准的征求意见稿和送审稿的编制过程中力求做到技术内容的叙述正确无误，文字表达准确、简明易懂，标准的构成严谨合理，内容编排、层次划分等符合逻辑，制定的标准力求切实可行。</w:t>
      </w:r>
    </w:p>
    <w:p w14:paraId="3A743754">
      <w:pPr>
        <w:spacing w:line="360" w:lineRule="auto"/>
        <w:ind w:firstLine="560" w:firstLineChars="200"/>
        <w:rPr>
          <w:rFonts w:hint="default" w:ascii="Times New Roman" w:hAnsi="Times New Roman" w:eastAsia="黑体" w:cs="Times New Roman"/>
          <w:sz w:val="28"/>
          <w:szCs w:val="28"/>
        </w:rPr>
      </w:pPr>
      <w:r>
        <w:rPr>
          <w:rFonts w:hint="eastAsia" w:eastAsia="黑体" w:cs="Times New Roman"/>
          <w:sz w:val="28"/>
          <w:szCs w:val="28"/>
          <w:lang w:val="en-US" w:eastAsia="zh-CN"/>
        </w:rPr>
        <w:t>六</w:t>
      </w:r>
      <w:r>
        <w:rPr>
          <w:rFonts w:hint="default" w:ascii="Times New Roman" w:hAnsi="Times New Roman" w:eastAsia="黑体" w:cs="Times New Roman"/>
          <w:sz w:val="28"/>
          <w:szCs w:val="28"/>
        </w:rPr>
        <w:t>、重大分歧意见的处理经过和依据</w:t>
      </w:r>
    </w:p>
    <w:p w14:paraId="31F004E7">
      <w:pPr>
        <w:spacing w:line="360" w:lineRule="auto"/>
        <w:ind w:firstLine="420"/>
        <w:rPr>
          <w:rFonts w:hint="default" w:ascii="Times New Roman" w:hAnsi="Times New Roman" w:cs="Times New Roman"/>
          <w:sz w:val="24"/>
          <w:szCs w:val="24"/>
          <w:lang w:bidi="ar"/>
        </w:rPr>
      </w:pPr>
      <w:r>
        <w:rPr>
          <w:rFonts w:hint="default" w:ascii="Times New Roman" w:hAnsi="Times New Roman" w:cs="Times New Roman"/>
          <w:sz w:val="24"/>
          <w:szCs w:val="24"/>
          <w:lang w:bidi="ar"/>
        </w:rPr>
        <w:t>无</w:t>
      </w:r>
    </w:p>
    <w:p w14:paraId="674DA0E9">
      <w:pPr>
        <w:spacing w:line="360" w:lineRule="auto"/>
        <w:ind w:firstLine="560" w:firstLineChars="200"/>
        <w:rPr>
          <w:rFonts w:hint="default" w:ascii="Times New Roman" w:hAnsi="Times New Roman" w:eastAsia="黑体" w:cs="Times New Roman"/>
          <w:sz w:val="28"/>
          <w:szCs w:val="28"/>
        </w:rPr>
      </w:pPr>
      <w:r>
        <w:rPr>
          <w:rFonts w:hint="eastAsia" w:eastAsia="黑体" w:cs="Times New Roman"/>
          <w:sz w:val="28"/>
          <w:szCs w:val="28"/>
          <w:lang w:val="en-US" w:eastAsia="zh-CN"/>
        </w:rPr>
        <w:t>七</w:t>
      </w:r>
      <w:r>
        <w:rPr>
          <w:rFonts w:hint="default" w:ascii="Times New Roman" w:hAnsi="Times New Roman" w:eastAsia="黑体" w:cs="Times New Roman"/>
          <w:sz w:val="28"/>
          <w:szCs w:val="28"/>
        </w:rPr>
        <w:t>、推广实施建议</w:t>
      </w:r>
    </w:p>
    <w:p w14:paraId="3F962DE8">
      <w:pPr>
        <w:spacing w:line="360" w:lineRule="auto"/>
        <w:ind w:firstLine="480" w:firstLineChars="20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标准以循环农业理论为指导，围绕如何高效快速的消纳农业废弃物秸秆菌菇渣，并提高其利用生态经济效益展开，所开发基料初级产品，既可以作为育秧（苗）基质进行利用，也可以进一步升级为一体化育秧（苗）盘，轻减化了水稻生产工艺，在生产中可广泛应用，具有广阔的市场前景。</w:t>
      </w:r>
    </w:p>
    <w:p w14:paraId="23088CEC">
      <w:pPr>
        <w:spacing w:line="360" w:lineRule="auto"/>
        <w:ind w:firstLine="480" w:firstLineChars="20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本标准</w:t>
      </w:r>
      <w:r>
        <w:rPr>
          <w:rFonts w:hint="eastAsia" w:cs="Times New Roman"/>
          <w:sz w:val="24"/>
          <w:szCs w:val="24"/>
          <w:lang w:val="en-US" w:eastAsia="zh-CN"/>
        </w:rPr>
        <w:t>发行范围</w:t>
      </w:r>
      <w:r>
        <w:rPr>
          <w:rFonts w:hint="default" w:ascii="Times New Roman" w:hAnsi="Times New Roman" w:eastAsia="宋体" w:cs="Times New Roman"/>
          <w:sz w:val="24"/>
          <w:szCs w:val="24"/>
        </w:rPr>
        <w:t>为需要进行水稻机插秧育秧的规模化育秧工厂、大型农产、农业合作社、种田大户</w:t>
      </w:r>
      <w:r>
        <w:rPr>
          <w:rFonts w:hint="eastAsia" w:cs="Times New Roman"/>
          <w:sz w:val="24"/>
          <w:szCs w:val="24"/>
          <w:lang w:eastAsia="zh-CN"/>
        </w:rPr>
        <w:t>，</w:t>
      </w:r>
      <w:r>
        <w:rPr>
          <w:rFonts w:hint="eastAsia" w:cs="Times New Roman"/>
          <w:sz w:val="24"/>
          <w:szCs w:val="24"/>
          <w:lang w:val="en-US" w:eastAsia="zh-CN"/>
        </w:rPr>
        <w:t>农技推广单位、相关研究单位等。在实际生产中推广应用标准的手段和方式主要有进行技术示范试点以及标准化示范区建设，带动江苏稻区各县（市、区）的家庭农场、稻麦专业合作社及农技、农机推广部门实施一体化基质型秧盘育秧生态栽培技术标准化水平的提高，推进农业可持续发展，提升水稻综合生产能力，促进农业增效、农民增收。</w:t>
      </w:r>
    </w:p>
    <w:p w14:paraId="4A008549">
      <w:pPr>
        <w:spacing w:line="360" w:lineRule="auto"/>
        <w:ind w:firstLine="480" w:firstLineChars="20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一体化基质型秧盘还可以进一步开发、不断升级改性应用于</w:t>
      </w:r>
      <w:r>
        <w:rPr>
          <w:rFonts w:hint="eastAsia" w:cs="Times New Roman"/>
          <w:sz w:val="24"/>
          <w:szCs w:val="24"/>
          <w:lang w:val="en-US" w:eastAsia="zh-CN"/>
        </w:rPr>
        <w:t>除水稻之外的</w:t>
      </w:r>
      <w:r>
        <w:rPr>
          <w:rFonts w:hint="default" w:ascii="Times New Roman" w:hAnsi="Times New Roman" w:eastAsia="宋体" w:cs="Times New Roman"/>
          <w:sz w:val="24"/>
          <w:szCs w:val="24"/>
        </w:rPr>
        <w:t>众多植物栽培领域，具有很强的普适性。项目所研发的工艺、技术均为自主创新，具自主知识产权，在产业化过程中不会引起纠纷，能保障产业的稳定发展。</w:t>
      </w:r>
    </w:p>
    <w:p w14:paraId="3FA8680E">
      <w:pPr>
        <w:spacing w:before="0" w:beforeLines="-2147483648" w:after="0" w:afterLines="-2147483648" w:line="360" w:lineRule="auto"/>
        <w:ind w:firstLine="560" w:firstLineChars="200"/>
        <w:rPr>
          <w:rFonts w:ascii="Times New Roman" w:hAnsi="Times New Roman" w:eastAsia="黑体"/>
          <w:b w:val="0"/>
          <w:sz w:val="28"/>
          <w:szCs w:val="28"/>
        </w:rPr>
      </w:pPr>
      <w:r>
        <w:rPr>
          <w:rFonts w:hint="default" w:ascii="Times New Roman" w:hAnsi="Times New Roman" w:eastAsia="黑体"/>
          <w:b w:val="0"/>
          <w:sz w:val="28"/>
          <w:szCs w:val="28"/>
        </w:rPr>
        <w:t>八、废止现行有关标准的建议</w:t>
      </w:r>
    </w:p>
    <w:p w14:paraId="3AACC74A">
      <w:pPr>
        <w:spacing w:line="360" w:lineRule="auto"/>
        <w:ind w:firstLine="420" w:firstLineChars="0"/>
        <w:rPr>
          <w:rFonts w:ascii="Times New Roman" w:hAnsi="Times New Roman" w:eastAsia="宋体" w:cs="Times New Roman"/>
          <w:sz w:val="24"/>
          <w:szCs w:val="24"/>
          <w:lang w:bidi="ar"/>
        </w:rPr>
      </w:pPr>
      <w:r>
        <w:rPr>
          <w:rFonts w:hint="default" w:ascii="Times New Roman" w:hAnsi="Times New Roman" w:eastAsia="宋体" w:cs="Times New Roman"/>
          <w:sz w:val="24"/>
          <w:szCs w:val="24"/>
          <w:lang w:bidi="ar"/>
        </w:rPr>
        <w:t>无。</w:t>
      </w:r>
    </w:p>
    <w:p w14:paraId="1166326F">
      <w:pPr>
        <w:spacing w:before="0" w:beforeLines="-2147483648" w:after="0" w:afterLines="-2147483648" w:line="360" w:lineRule="auto"/>
        <w:ind w:firstLine="560" w:firstLineChars="200"/>
        <w:rPr>
          <w:rFonts w:ascii="Times New Roman" w:hAnsi="Times New Roman" w:eastAsia="黑体"/>
          <w:b w:val="0"/>
          <w:sz w:val="28"/>
          <w:szCs w:val="28"/>
        </w:rPr>
      </w:pPr>
      <w:r>
        <w:rPr>
          <w:rFonts w:hint="default" w:ascii="Times New Roman" w:hAnsi="Times New Roman" w:eastAsia="黑体"/>
          <w:b w:val="0"/>
          <w:sz w:val="28"/>
          <w:szCs w:val="28"/>
        </w:rPr>
        <w:t>九、其他应予说明的事项</w:t>
      </w:r>
    </w:p>
    <w:p w14:paraId="7022DE54">
      <w:pPr>
        <w:spacing w:line="360" w:lineRule="auto"/>
        <w:ind w:firstLine="420" w:firstLineChars="0"/>
        <w:rPr>
          <w:rFonts w:ascii="Times New Roman" w:hAnsi="Times New Roman" w:eastAsia="宋体" w:cs="Times New Roman"/>
          <w:sz w:val="24"/>
          <w:szCs w:val="24"/>
          <w:lang w:bidi="ar"/>
        </w:rPr>
      </w:pPr>
      <w:r>
        <w:rPr>
          <w:rFonts w:hint="default" w:ascii="Times New Roman" w:hAnsi="Times New Roman" w:eastAsia="宋体" w:cs="Times New Roman"/>
          <w:sz w:val="24"/>
          <w:szCs w:val="24"/>
          <w:lang w:bidi="ar"/>
        </w:rPr>
        <w:t>无。</w:t>
      </w:r>
    </w:p>
    <w:p w14:paraId="09E6BA10">
      <w:pPr>
        <w:spacing w:line="360" w:lineRule="auto"/>
        <w:ind w:firstLine="560" w:firstLineChars="200"/>
        <w:rPr>
          <w:rFonts w:hint="default" w:ascii="Times New Roman" w:hAnsi="Times New Roman" w:eastAsia="黑体" w:cs="Times New Roman"/>
          <w:sz w:val="28"/>
          <w:szCs w:val="28"/>
        </w:rPr>
      </w:pPr>
      <w:r>
        <w:rPr>
          <w:rFonts w:hint="default" w:ascii="Times New Roman" w:hAnsi="Times New Roman" w:eastAsia="黑体" w:cs="Times New Roman"/>
          <w:sz w:val="28"/>
          <w:szCs w:val="28"/>
        </w:rPr>
        <w:t>十、起草单位</w:t>
      </w:r>
      <w:r>
        <w:rPr>
          <w:rFonts w:hint="eastAsia" w:eastAsia="黑体" w:cs="Times New Roman"/>
          <w:sz w:val="28"/>
          <w:szCs w:val="28"/>
          <w:lang w:val="en-US" w:eastAsia="zh-CN"/>
        </w:rPr>
        <w:t>和</w:t>
      </w:r>
      <w:r>
        <w:rPr>
          <w:rFonts w:hint="default" w:ascii="Times New Roman" w:hAnsi="Times New Roman" w:eastAsia="黑体" w:cs="Times New Roman"/>
          <w:sz w:val="28"/>
          <w:szCs w:val="28"/>
        </w:rPr>
        <w:t>起草人员信息及分工</w:t>
      </w:r>
    </w:p>
    <w:tbl>
      <w:tblPr>
        <w:tblStyle w:val="7"/>
        <w:tblW w:w="4995" w:type="pct"/>
        <w:tblInd w:w="0" w:type="dxa"/>
        <w:tblLayout w:type="autofit"/>
        <w:tblCellMar>
          <w:top w:w="0" w:type="dxa"/>
          <w:left w:w="108" w:type="dxa"/>
          <w:bottom w:w="0" w:type="dxa"/>
          <w:right w:w="108" w:type="dxa"/>
        </w:tblCellMar>
      </w:tblPr>
      <w:tblGrid>
        <w:gridCol w:w="807"/>
        <w:gridCol w:w="1288"/>
        <w:gridCol w:w="3514"/>
        <w:gridCol w:w="3817"/>
      </w:tblGrid>
      <w:tr w14:paraId="128788CC">
        <w:tblPrEx>
          <w:tblCellMar>
            <w:top w:w="0" w:type="dxa"/>
            <w:left w:w="108" w:type="dxa"/>
            <w:bottom w:w="0" w:type="dxa"/>
            <w:right w:w="108" w:type="dxa"/>
          </w:tblCellMar>
        </w:tblPrEx>
        <w:trPr>
          <w:trHeight w:val="846" w:hRule="atLeast"/>
        </w:trPr>
        <w:tc>
          <w:tcPr>
            <w:tcW w:w="428" w:type="pct"/>
            <w:tcBorders>
              <w:top w:val="single" w:color="000000" w:sz="4" w:space="0"/>
              <w:left w:val="single" w:color="000000" w:sz="4" w:space="0"/>
              <w:bottom w:val="single" w:color="000000" w:sz="4" w:space="0"/>
              <w:right w:val="nil"/>
            </w:tcBorders>
            <w:shd w:val="clear" w:color="auto" w:fill="auto"/>
            <w:vAlign w:val="center"/>
          </w:tcPr>
          <w:p w14:paraId="7AB1B6A0">
            <w:pPr>
              <w:widowControl/>
              <w:jc w:val="center"/>
              <w:textAlignment w:val="center"/>
              <w:rPr>
                <w:rFonts w:hint="default" w:ascii="Times New Roman" w:hAnsi="Times New Roman" w:eastAsia="方正黑体_GBK" w:cs="Times New Roman"/>
                <w:color w:val="000000"/>
                <w:sz w:val="22"/>
                <w:szCs w:val="22"/>
              </w:rPr>
            </w:pPr>
            <w:r>
              <w:rPr>
                <w:rFonts w:hint="default" w:ascii="Times New Roman" w:hAnsi="Times New Roman" w:eastAsia="方正黑体_GBK" w:cs="Times New Roman"/>
                <w:color w:val="000000"/>
                <w:kern w:val="0"/>
                <w:sz w:val="22"/>
                <w:szCs w:val="22"/>
                <w:lang w:bidi="ar"/>
              </w:rPr>
              <w:t>序号</w:t>
            </w:r>
          </w:p>
        </w:tc>
        <w:tc>
          <w:tcPr>
            <w:tcW w:w="6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35101F">
            <w:pPr>
              <w:widowControl/>
              <w:jc w:val="center"/>
              <w:textAlignment w:val="center"/>
              <w:rPr>
                <w:rFonts w:hint="default" w:ascii="Times New Roman" w:hAnsi="Times New Roman" w:eastAsia="方正黑体_GBK" w:cs="Times New Roman"/>
                <w:color w:val="000000"/>
                <w:sz w:val="22"/>
                <w:szCs w:val="22"/>
              </w:rPr>
            </w:pPr>
            <w:r>
              <w:rPr>
                <w:rFonts w:hint="default" w:ascii="Times New Roman" w:hAnsi="Times New Roman" w:eastAsia="方正黑体_GBK" w:cs="Times New Roman"/>
                <w:color w:val="000000"/>
                <w:kern w:val="0"/>
                <w:sz w:val="22"/>
                <w:szCs w:val="22"/>
                <w:lang w:bidi="ar"/>
              </w:rPr>
              <w:t>姓名</w:t>
            </w:r>
          </w:p>
        </w:tc>
        <w:tc>
          <w:tcPr>
            <w:tcW w:w="18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03CF4">
            <w:pPr>
              <w:widowControl/>
              <w:jc w:val="center"/>
              <w:textAlignment w:val="center"/>
              <w:rPr>
                <w:rFonts w:hint="default" w:ascii="Times New Roman" w:hAnsi="Times New Roman" w:eastAsia="方正黑体_GBK" w:cs="Times New Roman"/>
                <w:color w:val="000000"/>
                <w:sz w:val="22"/>
                <w:szCs w:val="22"/>
              </w:rPr>
            </w:pPr>
            <w:r>
              <w:rPr>
                <w:rFonts w:hint="default" w:ascii="Times New Roman" w:hAnsi="Times New Roman" w:eastAsia="方正黑体_GBK" w:cs="Times New Roman"/>
                <w:color w:val="000000"/>
                <w:kern w:val="0"/>
                <w:sz w:val="22"/>
                <w:szCs w:val="22"/>
                <w:lang w:bidi="ar"/>
              </w:rPr>
              <w:t>单位名称</w:t>
            </w:r>
          </w:p>
        </w:tc>
        <w:tc>
          <w:tcPr>
            <w:tcW w:w="20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E783D">
            <w:pPr>
              <w:widowControl/>
              <w:jc w:val="center"/>
              <w:textAlignment w:val="center"/>
              <w:rPr>
                <w:rFonts w:hint="default" w:ascii="Times New Roman" w:hAnsi="Times New Roman" w:eastAsia="方正黑体_GBK" w:cs="Times New Roman"/>
                <w:color w:val="000000"/>
                <w:sz w:val="22"/>
                <w:szCs w:val="22"/>
              </w:rPr>
            </w:pPr>
            <w:r>
              <w:rPr>
                <w:rFonts w:hint="default" w:ascii="Times New Roman" w:hAnsi="Times New Roman" w:eastAsia="方正黑体_GBK" w:cs="Times New Roman"/>
                <w:color w:val="000000"/>
                <w:kern w:val="0"/>
                <w:sz w:val="22"/>
                <w:szCs w:val="22"/>
                <w:lang w:bidi="ar"/>
              </w:rPr>
              <w:t>项目分工</w:t>
            </w:r>
          </w:p>
        </w:tc>
      </w:tr>
      <w:tr w14:paraId="1AC99804">
        <w:tblPrEx>
          <w:tblCellMar>
            <w:top w:w="0" w:type="dxa"/>
            <w:left w:w="108" w:type="dxa"/>
            <w:bottom w:w="0" w:type="dxa"/>
            <w:right w:w="108" w:type="dxa"/>
          </w:tblCellMar>
        </w:tblPrEx>
        <w:trPr>
          <w:trHeight w:val="820" w:hRule="atLeast"/>
        </w:trPr>
        <w:tc>
          <w:tcPr>
            <w:tcW w:w="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94EC3">
            <w:pPr>
              <w:widowControl/>
              <w:spacing w:line="360" w:lineRule="auto"/>
              <w:jc w:val="center"/>
              <w:textAlignment w:val="center"/>
              <w:rPr>
                <w:rFonts w:hint="default" w:ascii="Times New Roman" w:hAnsi="Times New Roman" w:cs="Times New Roman" w:eastAsiaTheme="minorEastAsia"/>
                <w:color w:val="000000"/>
                <w:sz w:val="24"/>
                <w:szCs w:val="24"/>
                <w:lang w:val="en-US" w:eastAsia="zh-CN"/>
              </w:rPr>
            </w:pPr>
            <w:r>
              <w:rPr>
                <w:rFonts w:hint="default" w:ascii="Times New Roman" w:hAnsi="Times New Roman" w:cs="Times New Roman" w:eastAsiaTheme="minorEastAsia"/>
                <w:color w:val="000000"/>
                <w:sz w:val="24"/>
                <w:szCs w:val="24"/>
                <w:lang w:val="en-US" w:eastAsia="zh-CN"/>
              </w:rPr>
              <w:t>1</w:t>
            </w:r>
          </w:p>
        </w:tc>
        <w:tc>
          <w:tcPr>
            <w:tcW w:w="6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F802B">
            <w:pPr>
              <w:spacing w:line="360" w:lineRule="auto"/>
              <w:jc w:val="center"/>
              <w:rPr>
                <w:rFonts w:hint="default" w:ascii="Times New Roman" w:hAnsi="Times New Roman" w:cs="Times New Roman" w:eastAsiaTheme="minorEastAsia"/>
                <w:kern w:val="2"/>
                <w:sz w:val="24"/>
                <w:szCs w:val="24"/>
                <w:lang w:val="en-US" w:eastAsia="zh-CN" w:bidi="ar-SA"/>
              </w:rPr>
            </w:pPr>
            <w:r>
              <w:rPr>
                <w:rFonts w:hint="default" w:ascii="Times New Roman" w:hAnsi="Times New Roman" w:cs="Times New Roman" w:eastAsiaTheme="minorEastAsia"/>
                <w:sz w:val="24"/>
                <w:szCs w:val="24"/>
              </w:rPr>
              <w:t>蒋 敏</w:t>
            </w:r>
          </w:p>
        </w:tc>
        <w:tc>
          <w:tcPr>
            <w:tcW w:w="18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F30AF0">
            <w:pPr>
              <w:spacing w:line="360" w:lineRule="auto"/>
              <w:jc w:val="center"/>
              <w:rPr>
                <w:rFonts w:hint="default" w:ascii="Times New Roman" w:hAnsi="Times New Roman" w:cs="Times New Roman" w:eastAsiaTheme="minorEastAsia"/>
                <w:kern w:val="2"/>
                <w:sz w:val="24"/>
                <w:szCs w:val="24"/>
                <w:lang w:val="en-US" w:eastAsia="zh-CN" w:bidi="ar-SA"/>
              </w:rPr>
            </w:pPr>
            <w:r>
              <w:rPr>
                <w:rFonts w:hint="default" w:ascii="Times New Roman" w:hAnsi="Times New Roman" w:cs="Times New Roman" w:eastAsiaTheme="minorEastAsia"/>
                <w:sz w:val="24"/>
                <w:szCs w:val="24"/>
              </w:rPr>
              <w:t>扬州大学</w:t>
            </w:r>
          </w:p>
        </w:tc>
        <w:tc>
          <w:tcPr>
            <w:tcW w:w="20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874674">
            <w:pPr>
              <w:spacing w:line="360" w:lineRule="auto"/>
              <w:jc w:val="center"/>
              <w:rPr>
                <w:rFonts w:hint="default" w:ascii="Times New Roman" w:hAnsi="Times New Roman" w:cs="Times New Roman" w:eastAsiaTheme="minorEastAsia"/>
                <w:kern w:val="2"/>
                <w:sz w:val="24"/>
                <w:szCs w:val="24"/>
                <w:lang w:val="en-US" w:eastAsia="zh-CN" w:bidi="ar-SA"/>
              </w:rPr>
            </w:pPr>
            <w:r>
              <w:rPr>
                <w:rFonts w:hint="default" w:ascii="Times New Roman" w:hAnsi="Times New Roman" w:cs="Times New Roman" w:eastAsiaTheme="minorEastAsia"/>
                <w:color w:val="000000"/>
                <w:kern w:val="0"/>
                <w:sz w:val="24"/>
                <w:szCs w:val="24"/>
                <w:lang w:bidi="ar"/>
              </w:rPr>
              <w:t>组织协调、技术顶层设计</w:t>
            </w:r>
            <w:r>
              <w:rPr>
                <w:rFonts w:hint="default" w:ascii="Times New Roman" w:hAnsi="Times New Roman" w:cs="Times New Roman" w:eastAsiaTheme="minorEastAsia"/>
                <w:color w:val="000000"/>
                <w:kern w:val="0"/>
                <w:sz w:val="24"/>
                <w:szCs w:val="24"/>
                <w:lang w:eastAsia="zh-CN" w:bidi="ar"/>
              </w:rPr>
              <w:t>、</w:t>
            </w:r>
            <w:r>
              <w:rPr>
                <w:rFonts w:hint="default" w:ascii="Times New Roman" w:hAnsi="Times New Roman" w:cs="Times New Roman" w:eastAsiaTheme="minorEastAsia"/>
                <w:color w:val="000000"/>
                <w:kern w:val="0"/>
                <w:sz w:val="24"/>
                <w:szCs w:val="24"/>
                <w:lang w:val="en-US" w:eastAsia="zh-CN" w:bidi="ar"/>
              </w:rPr>
              <w:t>标准撰写</w:t>
            </w:r>
          </w:p>
        </w:tc>
      </w:tr>
      <w:tr w14:paraId="7A0B049A">
        <w:tblPrEx>
          <w:tblCellMar>
            <w:top w:w="0" w:type="dxa"/>
            <w:left w:w="108" w:type="dxa"/>
            <w:bottom w:w="0" w:type="dxa"/>
            <w:right w:w="108" w:type="dxa"/>
          </w:tblCellMar>
        </w:tblPrEx>
        <w:trPr>
          <w:trHeight w:val="859" w:hRule="atLeast"/>
        </w:trPr>
        <w:tc>
          <w:tcPr>
            <w:tcW w:w="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B2E38">
            <w:pPr>
              <w:widowControl/>
              <w:spacing w:line="360" w:lineRule="auto"/>
              <w:jc w:val="center"/>
              <w:textAlignment w:val="center"/>
              <w:rPr>
                <w:rFonts w:hint="default" w:ascii="Times New Roman" w:hAnsi="Times New Roman" w:cs="Times New Roman" w:eastAsiaTheme="minorEastAsia"/>
                <w:color w:val="000000"/>
                <w:sz w:val="24"/>
                <w:szCs w:val="24"/>
                <w:lang w:val="en-US" w:eastAsia="zh-CN"/>
              </w:rPr>
            </w:pPr>
            <w:r>
              <w:rPr>
                <w:rFonts w:hint="default" w:ascii="Times New Roman" w:hAnsi="Times New Roman" w:cs="Times New Roman" w:eastAsiaTheme="minorEastAsia"/>
                <w:color w:val="000000"/>
                <w:sz w:val="24"/>
                <w:szCs w:val="24"/>
                <w:lang w:val="en-US" w:eastAsia="zh-CN"/>
              </w:rPr>
              <w:t>2</w:t>
            </w:r>
          </w:p>
        </w:tc>
        <w:tc>
          <w:tcPr>
            <w:tcW w:w="6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2F676">
            <w:pPr>
              <w:spacing w:line="360" w:lineRule="auto"/>
              <w:jc w:val="center"/>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陈京都</w:t>
            </w:r>
          </w:p>
        </w:tc>
        <w:tc>
          <w:tcPr>
            <w:tcW w:w="18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980A2">
            <w:pPr>
              <w:spacing w:line="360" w:lineRule="auto"/>
              <w:jc w:val="center"/>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rPr>
              <w:t>扬州市农业技术综合服务中心</w:t>
            </w:r>
          </w:p>
        </w:tc>
        <w:tc>
          <w:tcPr>
            <w:tcW w:w="20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8121A">
            <w:pPr>
              <w:spacing w:line="360" w:lineRule="auto"/>
              <w:jc w:val="center"/>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基质型秧盘应用试验示范</w:t>
            </w:r>
          </w:p>
        </w:tc>
      </w:tr>
      <w:tr w14:paraId="38B99DBF">
        <w:tblPrEx>
          <w:tblCellMar>
            <w:top w:w="0" w:type="dxa"/>
            <w:left w:w="108" w:type="dxa"/>
            <w:bottom w:w="0" w:type="dxa"/>
            <w:right w:w="108" w:type="dxa"/>
          </w:tblCellMar>
        </w:tblPrEx>
        <w:trPr>
          <w:trHeight w:val="859" w:hRule="atLeast"/>
        </w:trPr>
        <w:tc>
          <w:tcPr>
            <w:tcW w:w="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89EEBE">
            <w:pPr>
              <w:widowControl/>
              <w:spacing w:line="360" w:lineRule="auto"/>
              <w:jc w:val="center"/>
              <w:textAlignment w:val="center"/>
              <w:rPr>
                <w:rFonts w:hint="default" w:ascii="Times New Roman" w:hAnsi="Times New Roman" w:cs="Times New Roman" w:eastAsiaTheme="minorEastAsia"/>
                <w:color w:val="000000"/>
                <w:sz w:val="24"/>
                <w:szCs w:val="24"/>
                <w:lang w:val="en-US" w:eastAsia="zh-CN"/>
              </w:rPr>
            </w:pPr>
            <w:r>
              <w:rPr>
                <w:rFonts w:hint="eastAsia" w:cs="Times New Roman" w:eastAsiaTheme="minorEastAsia"/>
                <w:color w:val="000000"/>
                <w:sz w:val="24"/>
                <w:szCs w:val="24"/>
                <w:lang w:val="en-US" w:eastAsia="zh-CN"/>
              </w:rPr>
              <w:t>3</w:t>
            </w:r>
          </w:p>
        </w:tc>
        <w:tc>
          <w:tcPr>
            <w:tcW w:w="6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C2BF6">
            <w:pPr>
              <w:spacing w:line="360" w:lineRule="auto"/>
              <w:jc w:val="center"/>
              <w:rPr>
                <w:rFonts w:hint="eastAsia" w:ascii="Times New Roman" w:hAnsi="Times New Roman" w:cs="Times New Roman" w:eastAsiaTheme="minorEastAsia"/>
                <w:sz w:val="24"/>
                <w:szCs w:val="24"/>
                <w:lang w:val="en-US" w:eastAsia="zh-CN"/>
              </w:rPr>
            </w:pPr>
            <w:r>
              <w:rPr>
                <w:rFonts w:hint="eastAsia" w:cs="Times New Roman" w:eastAsiaTheme="minorEastAsia"/>
                <w:sz w:val="24"/>
                <w:szCs w:val="24"/>
                <w:lang w:val="en-US" w:eastAsia="zh-CN"/>
              </w:rPr>
              <w:t>黄晓敏</w:t>
            </w:r>
          </w:p>
        </w:tc>
        <w:tc>
          <w:tcPr>
            <w:tcW w:w="18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737586">
            <w:pPr>
              <w:spacing w:line="360" w:lineRule="auto"/>
              <w:jc w:val="center"/>
              <w:rPr>
                <w:rFonts w:hint="default" w:ascii="Times New Roman" w:hAnsi="Times New Roman" w:cs="Times New Roman" w:eastAsiaTheme="minorEastAsia"/>
                <w:sz w:val="24"/>
                <w:szCs w:val="24"/>
                <w:lang w:val="en-US" w:eastAsia="zh-CN"/>
              </w:rPr>
            </w:pPr>
            <w:r>
              <w:rPr>
                <w:rFonts w:hint="eastAsia" w:cs="Times New Roman" w:eastAsiaTheme="minorEastAsia"/>
                <w:sz w:val="24"/>
                <w:szCs w:val="24"/>
                <w:lang w:val="en-US" w:eastAsia="zh-CN"/>
              </w:rPr>
              <w:t>扬州大学</w:t>
            </w:r>
          </w:p>
        </w:tc>
        <w:tc>
          <w:tcPr>
            <w:tcW w:w="20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10178">
            <w:pPr>
              <w:spacing w:line="360" w:lineRule="auto"/>
              <w:jc w:val="center"/>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水稻育秧实验指标测定</w:t>
            </w:r>
          </w:p>
        </w:tc>
      </w:tr>
      <w:tr w14:paraId="296D4C8F">
        <w:tblPrEx>
          <w:tblCellMar>
            <w:top w:w="0" w:type="dxa"/>
            <w:left w:w="108" w:type="dxa"/>
            <w:bottom w:w="0" w:type="dxa"/>
            <w:right w:w="108" w:type="dxa"/>
          </w:tblCellMar>
        </w:tblPrEx>
        <w:trPr>
          <w:trHeight w:val="859" w:hRule="atLeast"/>
        </w:trPr>
        <w:tc>
          <w:tcPr>
            <w:tcW w:w="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59447D">
            <w:pPr>
              <w:widowControl/>
              <w:spacing w:line="360" w:lineRule="auto"/>
              <w:jc w:val="center"/>
              <w:textAlignment w:val="center"/>
              <w:rPr>
                <w:rFonts w:hint="default" w:ascii="Times New Roman" w:hAnsi="Times New Roman" w:cs="Times New Roman" w:eastAsiaTheme="minorEastAsia"/>
                <w:color w:val="000000"/>
                <w:sz w:val="24"/>
                <w:szCs w:val="24"/>
                <w:lang w:val="en-US" w:eastAsia="zh-CN"/>
              </w:rPr>
            </w:pPr>
            <w:r>
              <w:rPr>
                <w:rFonts w:hint="eastAsia" w:cs="Times New Roman" w:eastAsiaTheme="minorEastAsia"/>
                <w:color w:val="000000"/>
                <w:sz w:val="24"/>
                <w:szCs w:val="24"/>
                <w:lang w:val="en-US" w:eastAsia="zh-CN"/>
              </w:rPr>
              <w:t>4</w:t>
            </w:r>
          </w:p>
        </w:tc>
        <w:tc>
          <w:tcPr>
            <w:tcW w:w="6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D2D38B">
            <w:pPr>
              <w:spacing w:line="360" w:lineRule="auto"/>
              <w:jc w:val="center"/>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唐建鹏</w:t>
            </w:r>
          </w:p>
        </w:tc>
        <w:tc>
          <w:tcPr>
            <w:tcW w:w="18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59FC2">
            <w:pPr>
              <w:spacing w:line="360" w:lineRule="auto"/>
              <w:jc w:val="center"/>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扬州市农业技术综合服务中心</w:t>
            </w:r>
          </w:p>
        </w:tc>
        <w:tc>
          <w:tcPr>
            <w:tcW w:w="20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6932B">
            <w:pPr>
              <w:spacing w:line="360" w:lineRule="auto"/>
              <w:jc w:val="center"/>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kern w:val="2"/>
                <w:sz w:val="24"/>
                <w:szCs w:val="24"/>
                <w:lang w:val="en-US" w:eastAsia="zh-CN" w:bidi="ar-SA"/>
              </w:rPr>
              <w:t>水稻育秧实验技术改进</w:t>
            </w:r>
          </w:p>
        </w:tc>
      </w:tr>
      <w:tr w14:paraId="38BEDD52">
        <w:tblPrEx>
          <w:tblCellMar>
            <w:top w:w="0" w:type="dxa"/>
            <w:left w:w="108" w:type="dxa"/>
            <w:bottom w:w="0" w:type="dxa"/>
            <w:right w:w="108" w:type="dxa"/>
          </w:tblCellMar>
        </w:tblPrEx>
        <w:trPr>
          <w:trHeight w:val="859" w:hRule="atLeast"/>
        </w:trPr>
        <w:tc>
          <w:tcPr>
            <w:tcW w:w="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3DC27">
            <w:pPr>
              <w:widowControl/>
              <w:spacing w:line="360" w:lineRule="auto"/>
              <w:jc w:val="center"/>
              <w:textAlignment w:val="center"/>
              <w:rPr>
                <w:rFonts w:hint="default" w:ascii="Times New Roman" w:hAnsi="Times New Roman" w:cs="Times New Roman" w:eastAsiaTheme="minorEastAsia"/>
                <w:color w:val="000000"/>
                <w:sz w:val="24"/>
                <w:szCs w:val="24"/>
                <w:lang w:val="en-US" w:eastAsia="zh-CN"/>
              </w:rPr>
            </w:pPr>
            <w:r>
              <w:rPr>
                <w:rFonts w:hint="eastAsia" w:cs="Times New Roman" w:eastAsiaTheme="minorEastAsia"/>
                <w:color w:val="000000"/>
                <w:sz w:val="24"/>
                <w:szCs w:val="24"/>
                <w:lang w:val="en-US" w:eastAsia="zh-CN"/>
              </w:rPr>
              <w:t>5</w:t>
            </w:r>
          </w:p>
        </w:tc>
        <w:tc>
          <w:tcPr>
            <w:tcW w:w="6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0C476">
            <w:pPr>
              <w:spacing w:line="360" w:lineRule="auto"/>
              <w:jc w:val="center"/>
              <w:rPr>
                <w:rFonts w:hint="default" w:ascii="Times New Roman" w:hAnsi="Times New Roman" w:cs="Times New Roman" w:eastAsiaTheme="minorEastAsia"/>
                <w:kern w:val="2"/>
                <w:sz w:val="24"/>
                <w:szCs w:val="24"/>
                <w:lang w:val="en-US" w:eastAsia="zh-CN" w:bidi="ar-SA"/>
              </w:rPr>
            </w:pPr>
            <w:r>
              <w:rPr>
                <w:rFonts w:hint="default" w:ascii="Times New Roman" w:hAnsi="Times New Roman" w:cs="Times New Roman" w:eastAsiaTheme="minorEastAsia"/>
                <w:sz w:val="24"/>
                <w:szCs w:val="24"/>
              </w:rPr>
              <w:t>黄丽芬</w:t>
            </w:r>
          </w:p>
        </w:tc>
        <w:tc>
          <w:tcPr>
            <w:tcW w:w="18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57D56">
            <w:pPr>
              <w:spacing w:line="360" w:lineRule="auto"/>
              <w:jc w:val="center"/>
              <w:rPr>
                <w:rFonts w:hint="default" w:ascii="Times New Roman" w:hAnsi="Times New Roman" w:cs="Times New Roman" w:eastAsiaTheme="minorEastAsia"/>
                <w:kern w:val="2"/>
                <w:sz w:val="24"/>
                <w:szCs w:val="24"/>
                <w:lang w:val="en-US" w:eastAsia="zh-CN" w:bidi="ar-SA"/>
              </w:rPr>
            </w:pPr>
            <w:r>
              <w:rPr>
                <w:rFonts w:hint="default" w:ascii="Times New Roman" w:hAnsi="Times New Roman" w:cs="Times New Roman" w:eastAsiaTheme="minorEastAsia"/>
                <w:sz w:val="24"/>
                <w:szCs w:val="24"/>
              </w:rPr>
              <w:t>扬州大学</w:t>
            </w:r>
          </w:p>
        </w:tc>
        <w:tc>
          <w:tcPr>
            <w:tcW w:w="20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1C563">
            <w:pPr>
              <w:spacing w:line="360" w:lineRule="auto"/>
              <w:jc w:val="center"/>
              <w:rPr>
                <w:rFonts w:hint="default" w:ascii="Times New Roman" w:hAnsi="Times New Roman" w:cs="Times New Roman" w:eastAsiaTheme="minorEastAsia"/>
                <w:kern w:val="2"/>
                <w:sz w:val="24"/>
                <w:szCs w:val="24"/>
                <w:lang w:val="en-US" w:eastAsia="zh-CN" w:bidi="ar-SA"/>
              </w:rPr>
            </w:pPr>
            <w:r>
              <w:rPr>
                <w:rFonts w:hint="eastAsia" w:cs="Times New Roman" w:eastAsiaTheme="minorEastAsia"/>
                <w:sz w:val="24"/>
                <w:szCs w:val="24"/>
                <w:lang w:val="en-US" w:eastAsia="zh-CN"/>
              </w:rPr>
              <w:t>水稻</w:t>
            </w:r>
            <w:r>
              <w:rPr>
                <w:rFonts w:hint="default" w:ascii="Times New Roman" w:hAnsi="Times New Roman" w:cs="Times New Roman" w:eastAsiaTheme="minorEastAsia"/>
                <w:sz w:val="24"/>
                <w:szCs w:val="24"/>
                <w:lang w:val="en-US" w:eastAsia="zh-CN"/>
              </w:rPr>
              <w:t>育秧实验</w:t>
            </w:r>
          </w:p>
        </w:tc>
      </w:tr>
      <w:tr w14:paraId="065F0AC9">
        <w:tblPrEx>
          <w:tblCellMar>
            <w:top w:w="0" w:type="dxa"/>
            <w:left w:w="108" w:type="dxa"/>
            <w:bottom w:w="0" w:type="dxa"/>
            <w:right w:w="108" w:type="dxa"/>
          </w:tblCellMar>
        </w:tblPrEx>
        <w:trPr>
          <w:trHeight w:val="859" w:hRule="atLeast"/>
        </w:trPr>
        <w:tc>
          <w:tcPr>
            <w:tcW w:w="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2CEC10">
            <w:pPr>
              <w:widowControl/>
              <w:spacing w:line="360" w:lineRule="auto"/>
              <w:jc w:val="center"/>
              <w:textAlignment w:val="center"/>
              <w:rPr>
                <w:rFonts w:hint="default" w:ascii="Times New Roman" w:hAnsi="Times New Roman" w:cs="Times New Roman" w:eastAsiaTheme="minorEastAsia"/>
                <w:color w:val="000000"/>
                <w:kern w:val="0"/>
                <w:sz w:val="24"/>
                <w:szCs w:val="24"/>
                <w:lang w:val="en-US" w:eastAsia="zh-CN" w:bidi="ar"/>
              </w:rPr>
            </w:pPr>
            <w:r>
              <w:rPr>
                <w:rFonts w:hint="eastAsia" w:cs="Times New Roman" w:eastAsiaTheme="minorEastAsia"/>
                <w:color w:val="000000"/>
                <w:kern w:val="0"/>
                <w:sz w:val="24"/>
                <w:szCs w:val="24"/>
                <w:lang w:val="en-US" w:eastAsia="zh-CN" w:bidi="ar"/>
              </w:rPr>
              <w:t>6</w:t>
            </w:r>
          </w:p>
        </w:tc>
        <w:tc>
          <w:tcPr>
            <w:tcW w:w="6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4783E">
            <w:pPr>
              <w:spacing w:line="360" w:lineRule="auto"/>
              <w:jc w:val="center"/>
              <w:rPr>
                <w:rFonts w:hint="default" w:ascii="Times New Roman" w:hAnsi="Times New Roman" w:cs="Times New Roman" w:eastAsiaTheme="minorEastAsia"/>
                <w:kern w:val="2"/>
                <w:sz w:val="24"/>
                <w:szCs w:val="24"/>
                <w:lang w:val="en-US" w:eastAsia="zh-CN" w:bidi="ar-SA"/>
              </w:rPr>
            </w:pPr>
            <w:r>
              <w:rPr>
                <w:rFonts w:hint="default" w:ascii="Times New Roman" w:hAnsi="Times New Roman" w:cs="Times New Roman" w:eastAsiaTheme="minorEastAsia"/>
                <w:sz w:val="24"/>
                <w:szCs w:val="24"/>
              </w:rPr>
              <w:t>沈新平</w:t>
            </w:r>
          </w:p>
        </w:tc>
        <w:tc>
          <w:tcPr>
            <w:tcW w:w="18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DFD2D">
            <w:pPr>
              <w:spacing w:line="360" w:lineRule="auto"/>
              <w:jc w:val="center"/>
              <w:rPr>
                <w:rFonts w:hint="default" w:ascii="Times New Roman" w:hAnsi="Times New Roman" w:cs="Times New Roman" w:eastAsiaTheme="minorEastAsia"/>
                <w:kern w:val="2"/>
                <w:sz w:val="24"/>
                <w:szCs w:val="24"/>
                <w:lang w:val="en-US" w:eastAsia="zh-CN" w:bidi="ar-SA"/>
              </w:rPr>
            </w:pPr>
            <w:r>
              <w:rPr>
                <w:rFonts w:hint="default" w:ascii="Times New Roman" w:hAnsi="Times New Roman" w:cs="Times New Roman" w:eastAsiaTheme="minorEastAsia"/>
                <w:sz w:val="24"/>
                <w:szCs w:val="24"/>
              </w:rPr>
              <w:t>扬州大学</w:t>
            </w:r>
          </w:p>
        </w:tc>
        <w:tc>
          <w:tcPr>
            <w:tcW w:w="20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3DD5C">
            <w:pPr>
              <w:spacing w:line="360" w:lineRule="auto"/>
              <w:jc w:val="center"/>
              <w:rPr>
                <w:rFonts w:hint="default" w:ascii="Times New Roman" w:hAnsi="Times New Roman" w:cs="Times New Roman" w:eastAsiaTheme="minorEastAsia"/>
                <w:kern w:val="2"/>
                <w:sz w:val="24"/>
                <w:szCs w:val="24"/>
                <w:lang w:val="en-US" w:eastAsia="zh-CN" w:bidi="ar-SA"/>
              </w:rPr>
            </w:pPr>
            <w:r>
              <w:rPr>
                <w:rFonts w:hint="default" w:ascii="Times New Roman" w:hAnsi="Times New Roman" w:cs="Times New Roman" w:eastAsiaTheme="minorEastAsia"/>
                <w:sz w:val="24"/>
                <w:szCs w:val="24"/>
                <w:lang w:val="en-US" w:eastAsia="zh-CN"/>
              </w:rPr>
              <w:t>基质</w:t>
            </w:r>
            <w:r>
              <w:rPr>
                <w:rFonts w:hint="default" w:ascii="Times New Roman" w:hAnsi="Times New Roman" w:cs="Times New Roman" w:eastAsiaTheme="minorEastAsia"/>
                <w:sz w:val="24"/>
                <w:szCs w:val="24"/>
              </w:rPr>
              <w:t>腐熟技术</w:t>
            </w:r>
            <w:r>
              <w:rPr>
                <w:rFonts w:hint="default" w:ascii="Times New Roman" w:hAnsi="Times New Roman" w:cs="Times New Roman" w:eastAsiaTheme="minorEastAsia"/>
                <w:sz w:val="24"/>
                <w:szCs w:val="24"/>
                <w:lang w:val="en-US" w:eastAsia="zh-CN"/>
              </w:rPr>
              <w:t>研究，制作设备改良</w:t>
            </w:r>
          </w:p>
        </w:tc>
      </w:tr>
      <w:tr w14:paraId="05A22D47">
        <w:tblPrEx>
          <w:tblCellMar>
            <w:top w:w="0" w:type="dxa"/>
            <w:left w:w="108" w:type="dxa"/>
            <w:bottom w:w="0" w:type="dxa"/>
            <w:right w:w="108" w:type="dxa"/>
          </w:tblCellMar>
        </w:tblPrEx>
        <w:trPr>
          <w:trHeight w:val="690" w:hRule="atLeast"/>
        </w:trPr>
        <w:tc>
          <w:tcPr>
            <w:tcW w:w="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8F454F">
            <w:pPr>
              <w:spacing w:line="360" w:lineRule="auto"/>
              <w:jc w:val="center"/>
              <w:rPr>
                <w:rFonts w:hint="default" w:ascii="Times New Roman" w:hAnsi="Times New Roman" w:cs="Times New Roman" w:eastAsiaTheme="minorEastAsia"/>
                <w:color w:val="000000"/>
                <w:sz w:val="24"/>
                <w:szCs w:val="24"/>
                <w:lang w:val="en-US" w:eastAsia="zh-CN"/>
              </w:rPr>
            </w:pPr>
            <w:r>
              <w:rPr>
                <w:rFonts w:hint="eastAsia" w:cs="Times New Roman" w:eastAsiaTheme="minorEastAsia"/>
                <w:color w:val="000000"/>
                <w:sz w:val="24"/>
                <w:szCs w:val="24"/>
                <w:lang w:val="en-US" w:eastAsia="zh-CN"/>
              </w:rPr>
              <w:t>7</w:t>
            </w:r>
          </w:p>
        </w:tc>
        <w:tc>
          <w:tcPr>
            <w:tcW w:w="6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3D6FE">
            <w:pPr>
              <w:spacing w:line="360" w:lineRule="auto"/>
              <w:jc w:val="center"/>
              <w:rPr>
                <w:rFonts w:hint="default" w:ascii="Times New Roman" w:hAnsi="Times New Roman" w:cs="Times New Roman" w:eastAsiaTheme="minorEastAsia"/>
                <w:kern w:val="2"/>
                <w:sz w:val="24"/>
                <w:szCs w:val="24"/>
                <w:lang w:val="en-US" w:eastAsia="zh-CN" w:bidi="ar-SA"/>
              </w:rPr>
            </w:pPr>
            <w:r>
              <w:rPr>
                <w:rFonts w:hint="default" w:ascii="Times New Roman" w:hAnsi="Times New Roman" w:cs="Times New Roman" w:eastAsiaTheme="minorEastAsia"/>
                <w:sz w:val="24"/>
                <w:szCs w:val="24"/>
              </w:rPr>
              <w:t>霍中洋</w:t>
            </w:r>
          </w:p>
        </w:tc>
        <w:tc>
          <w:tcPr>
            <w:tcW w:w="18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F3309">
            <w:pPr>
              <w:spacing w:line="360" w:lineRule="auto"/>
              <w:jc w:val="center"/>
              <w:rPr>
                <w:rFonts w:hint="default" w:ascii="Times New Roman" w:hAnsi="Times New Roman" w:cs="Times New Roman" w:eastAsiaTheme="minorEastAsia"/>
                <w:kern w:val="2"/>
                <w:sz w:val="24"/>
                <w:szCs w:val="24"/>
                <w:lang w:val="en-US" w:eastAsia="zh-CN" w:bidi="ar-SA"/>
              </w:rPr>
            </w:pPr>
            <w:r>
              <w:rPr>
                <w:rFonts w:hint="default" w:ascii="Times New Roman" w:hAnsi="Times New Roman" w:cs="Times New Roman" w:eastAsiaTheme="minorEastAsia"/>
                <w:sz w:val="24"/>
                <w:szCs w:val="24"/>
              </w:rPr>
              <w:t>扬州大学</w:t>
            </w:r>
          </w:p>
        </w:tc>
        <w:tc>
          <w:tcPr>
            <w:tcW w:w="20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67F37">
            <w:pPr>
              <w:spacing w:line="360" w:lineRule="auto"/>
              <w:jc w:val="center"/>
              <w:rPr>
                <w:rFonts w:hint="default" w:ascii="Times New Roman" w:hAnsi="Times New Roman" w:cs="Times New Roman" w:eastAsiaTheme="minorEastAsia"/>
                <w:kern w:val="2"/>
                <w:sz w:val="24"/>
                <w:szCs w:val="24"/>
                <w:lang w:val="en-US" w:eastAsia="zh-CN" w:bidi="ar-SA"/>
              </w:rPr>
            </w:pPr>
            <w:r>
              <w:rPr>
                <w:rFonts w:hint="default" w:ascii="Times New Roman" w:hAnsi="Times New Roman" w:cs="Times New Roman" w:eastAsiaTheme="minorEastAsia"/>
                <w:sz w:val="24"/>
                <w:szCs w:val="24"/>
              </w:rPr>
              <w:t>水稻栽培技术</w:t>
            </w:r>
          </w:p>
        </w:tc>
      </w:tr>
      <w:tr w14:paraId="6A354FED">
        <w:tblPrEx>
          <w:tblCellMar>
            <w:top w:w="0" w:type="dxa"/>
            <w:left w:w="108" w:type="dxa"/>
            <w:bottom w:w="0" w:type="dxa"/>
            <w:right w:w="108" w:type="dxa"/>
          </w:tblCellMar>
        </w:tblPrEx>
        <w:trPr>
          <w:trHeight w:val="690" w:hRule="atLeast"/>
        </w:trPr>
        <w:tc>
          <w:tcPr>
            <w:tcW w:w="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C98784">
            <w:pPr>
              <w:spacing w:line="360" w:lineRule="auto"/>
              <w:jc w:val="center"/>
              <w:rPr>
                <w:rFonts w:hint="default" w:ascii="Times New Roman" w:hAnsi="Times New Roman" w:cs="Times New Roman" w:eastAsiaTheme="minorEastAsia"/>
                <w:color w:val="000000"/>
                <w:sz w:val="24"/>
                <w:szCs w:val="24"/>
                <w:lang w:val="en-US" w:eastAsia="zh-CN"/>
              </w:rPr>
            </w:pPr>
            <w:r>
              <w:rPr>
                <w:rFonts w:hint="eastAsia" w:cs="Times New Roman" w:eastAsiaTheme="minorEastAsia"/>
                <w:color w:val="000000"/>
                <w:sz w:val="24"/>
                <w:szCs w:val="24"/>
                <w:lang w:val="en-US" w:eastAsia="zh-CN"/>
              </w:rPr>
              <w:t>8</w:t>
            </w:r>
          </w:p>
        </w:tc>
        <w:tc>
          <w:tcPr>
            <w:tcW w:w="68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BADDB">
            <w:pPr>
              <w:spacing w:line="360" w:lineRule="auto"/>
              <w:jc w:val="center"/>
              <w:rPr>
                <w:rFonts w:hint="default" w:ascii="Times New Roman" w:hAnsi="Times New Roman" w:cs="Times New Roman" w:eastAsiaTheme="minorEastAsia"/>
                <w:kern w:val="2"/>
                <w:sz w:val="24"/>
                <w:szCs w:val="24"/>
                <w:lang w:val="en-US" w:eastAsia="zh-CN" w:bidi="ar-SA"/>
              </w:rPr>
            </w:pPr>
            <w:r>
              <w:rPr>
                <w:rFonts w:hint="default" w:ascii="Times New Roman" w:hAnsi="Times New Roman" w:cs="Times New Roman" w:eastAsiaTheme="minorEastAsia"/>
                <w:sz w:val="24"/>
                <w:szCs w:val="24"/>
              </w:rPr>
              <w:t>戴其根</w:t>
            </w:r>
          </w:p>
        </w:tc>
        <w:tc>
          <w:tcPr>
            <w:tcW w:w="18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6E37F">
            <w:pPr>
              <w:spacing w:line="360" w:lineRule="auto"/>
              <w:jc w:val="center"/>
              <w:rPr>
                <w:rFonts w:hint="default" w:ascii="Times New Roman" w:hAnsi="Times New Roman" w:cs="Times New Roman" w:eastAsiaTheme="minorEastAsia"/>
                <w:kern w:val="2"/>
                <w:sz w:val="24"/>
                <w:szCs w:val="24"/>
                <w:lang w:val="en-US" w:eastAsia="zh-CN" w:bidi="ar-SA"/>
              </w:rPr>
            </w:pPr>
            <w:r>
              <w:rPr>
                <w:rFonts w:hint="default" w:ascii="Times New Roman" w:hAnsi="Times New Roman" w:cs="Times New Roman" w:eastAsiaTheme="minorEastAsia"/>
                <w:sz w:val="24"/>
                <w:szCs w:val="24"/>
              </w:rPr>
              <w:t>扬州大学</w:t>
            </w:r>
          </w:p>
        </w:tc>
        <w:tc>
          <w:tcPr>
            <w:tcW w:w="20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5488F">
            <w:pPr>
              <w:spacing w:line="360" w:lineRule="auto"/>
              <w:jc w:val="center"/>
              <w:rPr>
                <w:rFonts w:hint="default" w:ascii="Times New Roman" w:hAnsi="Times New Roman" w:cs="Times New Roman" w:eastAsiaTheme="minorEastAsia"/>
                <w:kern w:val="2"/>
                <w:sz w:val="24"/>
                <w:szCs w:val="24"/>
                <w:lang w:val="en-US" w:eastAsia="zh-CN" w:bidi="ar-SA"/>
              </w:rPr>
            </w:pPr>
            <w:r>
              <w:rPr>
                <w:rFonts w:hint="default" w:ascii="Times New Roman" w:hAnsi="Times New Roman" w:cs="Times New Roman" w:eastAsiaTheme="minorEastAsia"/>
                <w:sz w:val="24"/>
                <w:szCs w:val="24"/>
                <w:lang w:val="en-US" w:eastAsia="zh-CN"/>
              </w:rPr>
              <w:t>技术咨询指导</w:t>
            </w:r>
          </w:p>
        </w:tc>
      </w:tr>
    </w:tbl>
    <w:p w14:paraId="2C9F0CEA">
      <w:pPr>
        <w:rPr>
          <w:rFonts w:hint="default" w:ascii="Times New Roman" w:hAnsi="Times New Roman" w:cs="Times New Roman"/>
        </w:rPr>
      </w:pPr>
    </w:p>
    <w:sectPr>
      <w:headerReference r:id="rId4" w:type="first"/>
      <w:footerReference r:id="rId7" w:type="first"/>
      <w:headerReference r:id="rId3" w:type="default"/>
      <w:footerReference r:id="rId5" w:type="default"/>
      <w:footerReference r:id="rId6" w:type="even"/>
      <w:pgSz w:w="11906" w:h="16838"/>
      <w:pgMar w:top="1440" w:right="1247" w:bottom="1440" w:left="1440" w:header="851" w:footer="992" w:gutter="0"/>
      <w:pgNumType w:fmt="decimal"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黑体_GBK">
    <w:panose1 w:val="03000509000000000000"/>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BEB3CD">
    <w:pPr>
      <w:pStyle w:val="4"/>
      <w:ind w:right="36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C375D5">
                          <w:pPr>
                            <w:pStyle w:val="4"/>
                            <w:rPr>
                              <w:rStyle w:val="9"/>
                              <w:b/>
                              <w:bCs/>
                              <w:sz w:val="21"/>
                            </w:rPr>
                          </w:pPr>
                          <w:r>
                            <w:rPr>
                              <w:b/>
                              <w:bCs/>
                              <w:sz w:val="21"/>
                            </w:rPr>
                            <w:fldChar w:fldCharType="begin"/>
                          </w:r>
                          <w:r>
                            <w:rPr>
                              <w:rStyle w:val="9"/>
                              <w:b/>
                              <w:bCs/>
                              <w:sz w:val="21"/>
                            </w:rPr>
                            <w:instrText xml:space="preserve">PAGE  </w:instrText>
                          </w:r>
                          <w:r>
                            <w:rPr>
                              <w:b/>
                              <w:bCs/>
                              <w:sz w:val="21"/>
                            </w:rPr>
                            <w:fldChar w:fldCharType="separate"/>
                          </w:r>
                          <w:r>
                            <w:rPr>
                              <w:rStyle w:val="9"/>
                              <w:b/>
                              <w:bCs/>
                              <w:sz w:val="21"/>
                            </w:rPr>
                            <w:t>2</w:t>
                          </w:r>
                          <w:r>
                            <w:rPr>
                              <w:b/>
                              <w:bCs/>
                              <w:sz w:val="21"/>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22C375D5">
                    <w:pPr>
                      <w:pStyle w:val="4"/>
                      <w:rPr>
                        <w:rStyle w:val="9"/>
                        <w:b/>
                        <w:bCs/>
                        <w:sz w:val="21"/>
                      </w:rPr>
                    </w:pPr>
                    <w:r>
                      <w:rPr>
                        <w:b/>
                        <w:bCs/>
                        <w:sz w:val="21"/>
                      </w:rPr>
                      <w:fldChar w:fldCharType="begin"/>
                    </w:r>
                    <w:r>
                      <w:rPr>
                        <w:rStyle w:val="9"/>
                        <w:b/>
                        <w:bCs/>
                        <w:sz w:val="21"/>
                      </w:rPr>
                      <w:instrText xml:space="preserve">PAGE  </w:instrText>
                    </w:r>
                    <w:r>
                      <w:rPr>
                        <w:b/>
                        <w:bCs/>
                        <w:sz w:val="21"/>
                      </w:rPr>
                      <w:fldChar w:fldCharType="separate"/>
                    </w:r>
                    <w:r>
                      <w:rPr>
                        <w:rStyle w:val="9"/>
                        <w:b/>
                        <w:bCs/>
                        <w:sz w:val="21"/>
                      </w:rPr>
                      <w:t>2</w:t>
                    </w:r>
                    <w:r>
                      <w:rPr>
                        <w:b/>
                        <w:bCs/>
                        <w:sz w:val="21"/>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2A3EA8">
    <w:pPr>
      <w:pStyle w:val="4"/>
      <w:framePr w:wrap="around" w:vAnchor="text" w:hAnchor="margin" w:xAlign="center" w:y="1"/>
      <w:rPr>
        <w:rStyle w:val="9"/>
      </w:rPr>
    </w:pPr>
    <w:r>
      <w:fldChar w:fldCharType="begin"/>
    </w:r>
    <w:r>
      <w:rPr>
        <w:rStyle w:val="9"/>
      </w:rPr>
      <w:instrText xml:space="preserve">PAGE  </w:instrText>
    </w:r>
    <w:r>
      <w:fldChar w:fldCharType="end"/>
    </w:r>
  </w:p>
  <w:p w14:paraId="1C3CE53B">
    <w:pPr>
      <w:pStyle w:val="4"/>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CA7958">
    <w:pPr>
      <w:pStyle w:val="4"/>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4E1D72">
                          <w:pPr>
                            <w:pStyle w:val="4"/>
                          </w:pPr>
                          <w:r>
                            <w:fldChar w:fldCharType="begin"/>
                          </w:r>
                          <w:r>
                            <w:instrText xml:space="preserve"> PAGE  \* MERGEFORMAT </w:instrText>
                          </w:r>
                          <w:r>
                            <w:fldChar w:fldCharType="separate"/>
                          </w:r>
                          <w:r>
                            <w:t>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5E4E1D72">
                    <w:pPr>
                      <w:pStyle w:val="4"/>
                    </w:pPr>
                    <w:r>
                      <w:fldChar w:fldCharType="begin"/>
                    </w:r>
                    <w:r>
                      <w:instrText xml:space="preserve"> PAGE  \* MERGEFORMAT </w:instrText>
                    </w:r>
                    <w:r>
                      <w:fldChar w:fldCharType="separate"/>
                    </w:r>
                    <w:r>
                      <w:t>0</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6F79D0">
    <w:pPr>
      <w:ind w:firstLine="6720" w:firstLineChars="2400"/>
      <w:rPr>
        <w:rFonts w:hint="eastAsia" w:eastAsia="宋体"/>
        <w:sz w:val="28"/>
        <w:szCs w:val="28"/>
        <w:lang w:eastAsia="zh-CN"/>
      </w:rPr>
    </w:pPr>
    <w:r>
      <w:rPr>
        <w:rFonts w:hint="eastAsia"/>
        <w:sz w:val="28"/>
        <w:szCs w:val="28"/>
      </w:rPr>
      <w:t xml:space="preserve">DB32/T </w:t>
    </w:r>
    <w:r>
      <w:rPr>
        <w:sz w:val="28"/>
        <w:szCs w:val="28"/>
      </w:rPr>
      <w:t>××××</w:t>
    </w:r>
    <w:r>
      <w:rPr>
        <w:rFonts w:hint="eastAsia" w:ascii="宋体" w:hAnsi="宋体"/>
        <w:sz w:val="28"/>
        <w:szCs w:val="28"/>
      </w:rPr>
      <w:t>─</w:t>
    </w:r>
    <w:r>
      <w:rPr>
        <w:rFonts w:hint="eastAsia"/>
        <w:sz w:val="28"/>
        <w:szCs w:val="28"/>
      </w:rPr>
      <w:t>202</w:t>
    </w:r>
    <w:r>
      <w:rPr>
        <w:rFonts w:hint="eastAsia"/>
        <w:sz w:val="28"/>
        <w:szCs w:val="28"/>
        <w:lang w:val="en-US" w:eastAsia="zh-CN"/>
      </w:rPr>
      <w:t>4</w:t>
    </w:r>
  </w:p>
  <w:p w14:paraId="3912246B">
    <w:pPr>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86C0C0">
    <w:pPr>
      <w:pStyle w:val="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Y0NzkwMzliYWM4M2IwZTI3MzE3MjZjMWQxNjkwNWEifQ=="/>
    <w:docVar w:name="KSO_WPS_MARK_KEY" w:val="fdcc7409-48a6-4017-a695-9ad513fb678a"/>
  </w:docVars>
  <w:rsids>
    <w:rsidRoot w:val="767A3915"/>
    <w:rsid w:val="00170C2A"/>
    <w:rsid w:val="003203FD"/>
    <w:rsid w:val="003779EB"/>
    <w:rsid w:val="004235E3"/>
    <w:rsid w:val="005466F0"/>
    <w:rsid w:val="0056223D"/>
    <w:rsid w:val="00622F7C"/>
    <w:rsid w:val="00630126"/>
    <w:rsid w:val="00645991"/>
    <w:rsid w:val="00755349"/>
    <w:rsid w:val="007D025B"/>
    <w:rsid w:val="00BF2C85"/>
    <w:rsid w:val="00CD3D5D"/>
    <w:rsid w:val="00D90035"/>
    <w:rsid w:val="01657C13"/>
    <w:rsid w:val="035C0300"/>
    <w:rsid w:val="06997DBD"/>
    <w:rsid w:val="077638CF"/>
    <w:rsid w:val="09325BCE"/>
    <w:rsid w:val="0AA15FE0"/>
    <w:rsid w:val="0C122745"/>
    <w:rsid w:val="0CC969BA"/>
    <w:rsid w:val="140612AB"/>
    <w:rsid w:val="15D31197"/>
    <w:rsid w:val="160904C2"/>
    <w:rsid w:val="162C6AF9"/>
    <w:rsid w:val="17F80465"/>
    <w:rsid w:val="1B017EDA"/>
    <w:rsid w:val="1BCE0D1B"/>
    <w:rsid w:val="1C9E1877"/>
    <w:rsid w:val="217009EF"/>
    <w:rsid w:val="22870D91"/>
    <w:rsid w:val="2383606A"/>
    <w:rsid w:val="23A37DFF"/>
    <w:rsid w:val="23A45F21"/>
    <w:rsid w:val="245636BF"/>
    <w:rsid w:val="246F263F"/>
    <w:rsid w:val="24B03FBE"/>
    <w:rsid w:val="25D67E92"/>
    <w:rsid w:val="2654189E"/>
    <w:rsid w:val="275C3B60"/>
    <w:rsid w:val="2C135ACF"/>
    <w:rsid w:val="2CC80ED2"/>
    <w:rsid w:val="307146AB"/>
    <w:rsid w:val="31980B93"/>
    <w:rsid w:val="39771651"/>
    <w:rsid w:val="3BF53366"/>
    <w:rsid w:val="3F4D1488"/>
    <w:rsid w:val="3FB43BAF"/>
    <w:rsid w:val="402E5098"/>
    <w:rsid w:val="42322A49"/>
    <w:rsid w:val="430D0117"/>
    <w:rsid w:val="43526634"/>
    <w:rsid w:val="44093E52"/>
    <w:rsid w:val="46BB349D"/>
    <w:rsid w:val="46FB1A82"/>
    <w:rsid w:val="49B5355C"/>
    <w:rsid w:val="4B101F6A"/>
    <w:rsid w:val="4B586FF9"/>
    <w:rsid w:val="4B8A7613"/>
    <w:rsid w:val="4BF51CFC"/>
    <w:rsid w:val="4CC25A7F"/>
    <w:rsid w:val="4D0C6761"/>
    <w:rsid w:val="4DF571F5"/>
    <w:rsid w:val="4E99276A"/>
    <w:rsid w:val="4F607B45"/>
    <w:rsid w:val="55913CA7"/>
    <w:rsid w:val="564477C4"/>
    <w:rsid w:val="575148BB"/>
    <w:rsid w:val="5A584418"/>
    <w:rsid w:val="5B6448BB"/>
    <w:rsid w:val="5B6F3900"/>
    <w:rsid w:val="60D77632"/>
    <w:rsid w:val="615C785F"/>
    <w:rsid w:val="65B21214"/>
    <w:rsid w:val="67000C8D"/>
    <w:rsid w:val="6A24356C"/>
    <w:rsid w:val="6A32435F"/>
    <w:rsid w:val="6AAA1F55"/>
    <w:rsid w:val="6AF45718"/>
    <w:rsid w:val="6D8F388E"/>
    <w:rsid w:val="6D9F6A54"/>
    <w:rsid w:val="6E2F3C06"/>
    <w:rsid w:val="6E444483"/>
    <w:rsid w:val="706978FC"/>
    <w:rsid w:val="70C60BFB"/>
    <w:rsid w:val="731B3E64"/>
    <w:rsid w:val="73DB7DA2"/>
    <w:rsid w:val="757C7C9B"/>
    <w:rsid w:val="767A3915"/>
    <w:rsid w:val="78C257BF"/>
    <w:rsid w:val="7C2C410B"/>
    <w:rsid w:val="7C7B5600"/>
    <w:rsid w:val="7FF802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Body Text Indent"/>
    <w:basedOn w:val="1"/>
    <w:link w:val="12"/>
    <w:unhideWhenUsed/>
    <w:qFormat/>
    <w:uiPriority w:val="99"/>
    <w:pPr>
      <w:spacing w:line="560" w:lineRule="exact"/>
      <w:ind w:firstLine="600" w:firstLineChars="200"/>
    </w:pPr>
    <w:rPr>
      <w:rFonts w:ascii="仿宋_GB2312" w:hAnsi="Calibri"/>
      <w:sz w:val="30"/>
      <w:szCs w:val="30"/>
    </w:rPr>
  </w:style>
  <w:style w:type="paragraph" w:styleId="4">
    <w:name w:val="footer"/>
    <w:basedOn w:val="1"/>
    <w:qFormat/>
    <w:uiPriority w:val="0"/>
    <w:pPr>
      <w:tabs>
        <w:tab w:val="center" w:pos="4153"/>
        <w:tab w:val="right" w:pos="8306"/>
      </w:tabs>
      <w:snapToGrid w:val="0"/>
      <w:jc w:val="left"/>
    </w:pPr>
    <w:rPr>
      <w:sz w:val="18"/>
      <w:szCs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6">
    <w:name w:val="Normal (Web)"/>
    <w:basedOn w:val="1"/>
    <w:qFormat/>
    <w:uiPriority w:val="0"/>
    <w:pPr>
      <w:spacing w:beforeAutospacing="1" w:afterAutospacing="1"/>
      <w:jc w:val="left"/>
    </w:pPr>
    <w:rPr>
      <w:kern w:val="0"/>
      <w:sz w:val="24"/>
    </w:rPr>
  </w:style>
  <w:style w:type="character" w:styleId="9">
    <w:name w:val="page number"/>
    <w:basedOn w:val="8"/>
    <w:qFormat/>
    <w:uiPriority w:val="0"/>
  </w:style>
  <w:style w:type="paragraph" w:customStyle="1" w:styleId="10">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styleId="11">
    <w:name w:val="List Paragraph"/>
    <w:basedOn w:val="1"/>
    <w:qFormat/>
    <w:uiPriority w:val="99"/>
    <w:pPr>
      <w:ind w:firstLine="420" w:firstLineChars="200"/>
    </w:pPr>
  </w:style>
  <w:style w:type="character" w:customStyle="1" w:styleId="12">
    <w:name w:val="正文文本缩进 字符"/>
    <w:basedOn w:val="8"/>
    <w:link w:val="3"/>
    <w:qFormat/>
    <w:uiPriority w:val="99"/>
    <w:rPr>
      <w:rFonts w:ascii="仿宋_GB2312" w:hAnsi="Calibri"/>
      <w:kern w:val="2"/>
      <w:sz w:val="30"/>
      <w:szCs w:val="30"/>
    </w:rPr>
  </w:style>
  <w:style w:type="character" w:customStyle="1" w:styleId="13">
    <w:name w:val="font21"/>
    <w:basedOn w:val="8"/>
    <w:qFormat/>
    <w:uiPriority w:val="0"/>
    <w:rPr>
      <w:rFonts w:hint="default" w:ascii="Times New Roman" w:hAnsi="Times New Roman" w:cs="Times New Roman"/>
      <w:color w:val="000000"/>
      <w:sz w:val="21"/>
      <w:szCs w:val="21"/>
      <w:u w:val="none"/>
    </w:rPr>
  </w:style>
  <w:style w:type="character" w:customStyle="1" w:styleId="14">
    <w:name w:val="font31"/>
    <w:basedOn w:val="8"/>
    <w:qFormat/>
    <w:uiPriority w:val="0"/>
    <w:rPr>
      <w:rFonts w:hint="default" w:ascii="Times New Roman" w:hAnsi="Times New Roman" w:cs="Times New Roman"/>
      <w:color w:val="000000"/>
      <w:sz w:val="18"/>
      <w:szCs w:val="18"/>
      <w:u w:val="none"/>
    </w:rPr>
  </w:style>
  <w:style w:type="character" w:customStyle="1" w:styleId="15">
    <w:name w:val="font11"/>
    <w:basedOn w:val="8"/>
    <w:qFormat/>
    <w:uiPriority w:val="0"/>
    <w:rPr>
      <w:rFonts w:hint="eastAsia" w:ascii="宋体" w:hAnsi="宋体" w:eastAsia="宋体" w:cs="宋体"/>
      <w:color w:val="000000"/>
      <w:sz w:val="21"/>
      <w:szCs w:val="21"/>
      <w:u w:val="none"/>
    </w:rPr>
  </w:style>
  <w:style w:type="character" w:customStyle="1" w:styleId="16">
    <w:name w:val="font71"/>
    <w:basedOn w:val="8"/>
    <w:qFormat/>
    <w:uiPriority w:val="0"/>
    <w:rPr>
      <w:rFonts w:hint="default" w:ascii="Times New Roman" w:hAnsi="Times New Roman" w:cs="Times New Roman"/>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2.tiff"/><Relationship Id="rId2" Type="http://schemas.openxmlformats.org/officeDocument/2006/relationships/settings" Target="settings.xml"/><Relationship Id="rId19" Type="http://schemas.openxmlformats.org/officeDocument/2006/relationships/image" Target="media/image11.tiff"/><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15</Pages>
  <Words>8876</Words>
  <Characters>11878</Characters>
  <Lines>92</Lines>
  <Paragraphs>25</Paragraphs>
  <TotalTime>2</TotalTime>
  <ScaleCrop>false</ScaleCrop>
  <LinksUpToDate>false</LinksUpToDate>
  <CharactersWithSpaces>12027</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2022-04-11T02:21:00Z</dcterms:created>
  <dc:creator>蓝莓</dc:creator>
  <cp:lastModifiedBy>JM</cp:lastModifiedBy>
  <cp:lastPrinted>2024-07-25T09:42:00Z</cp:lastPrinted>
  <dcterms:modified xsi:type="dcterms:W3CDTF">2024-08-16T07:19:36Z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53013D415EBA43B0A074D3ADF883A96F_13</vt:lpwstr>
  </property>
</Properties>
</file>