
<file path=[Content_Types].xml><?xml version="1.0" encoding="utf-8"?>
<Types xmlns="http://schemas.openxmlformats.org/package/2006/content-types">
  <Default Extension="xml" ContentType="application/xml"/>
  <Default Extension="tiff" ContentType="image/tiff"/>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2E1DD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0E4102C">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08D3DFA6">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13.100</w:t>
            </w:r>
            <w:r>
              <w:rPr>
                <w:rFonts w:ascii="黑体" w:hAnsi="黑体" w:eastAsia="黑体"/>
                <w:sz w:val="21"/>
                <w:szCs w:val="21"/>
              </w:rPr>
              <w:t xml:space="preserve"> </w:t>
            </w:r>
            <w:r>
              <w:rPr>
                <w:rFonts w:ascii="黑体" w:hAnsi="黑体" w:eastAsia="黑体"/>
                <w:sz w:val="21"/>
                <w:szCs w:val="21"/>
              </w:rPr>
              <w:fldChar w:fldCharType="end"/>
            </w:r>
            <w:bookmarkEnd w:id="0"/>
          </w:p>
        </w:tc>
      </w:tr>
      <w:tr w14:paraId="08A5E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88AAFA0">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350AC658">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C 50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5198949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7029ECD3">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59F0E41B">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江</w:t>
      </w:r>
      <w:r>
        <w:rPr>
          <w:rFonts w:hint="eastAsia" w:ascii="黑体" w:eastAsia="黑体"/>
          <w:b w:val="0"/>
          <w:w w:val="100"/>
          <w:sz w:val="48"/>
        </w:rPr>
        <w:t>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269B82B4">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13C39E7E">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089C156">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14:paraId="4F06DEB1">
      <w:pPr>
        <w:pStyle w:val="50"/>
        <w:framePr w:w="9639" w:h="6976" w:hRule="exact" w:hSpace="0" w:vSpace="0" w:wrap="around" w:hAnchor="page" w:y="6408"/>
        <w:jc w:val="center"/>
        <w:rPr>
          <w:rFonts w:ascii="黑体" w:hAnsi="黑体" w:eastAsia="黑体"/>
          <w:b w:val="0"/>
          <w:bCs w:val="0"/>
          <w:w w:val="100"/>
        </w:rPr>
      </w:pPr>
    </w:p>
    <w:p w14:paraId="7A43F71E">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传染病突发公共卫生事件应急处置技术规范</w:t>
      </w:r>
      <w:r>
        <w:rPr>
          <w:rFonts w:hint="eastAsia"/>
          <w:lang w:val="en-US" w:eastAsia="zh-CN"/>
        </w:rPr>
        <w:t xml:space="preserve"> </w:t>
      </w:r>
      <w:r>
        <w:rPr>
          <w:rFonts w:hint="eastAsia"/>
        </w:rPr>
        <w:t>第2部分：事件报告和管理</w:t>
      </w:r>
      <w:r>
        <w:fldChar w:fldCharType="end"/>
      </w:r>
      <w:bookmarkEnd w:id="9"/>
    </w:p>
    <w:p w14:paraId="143432F8">
      <w:pPr>
        <w:framePr w:w="9639" w:h="6974" w:hRule="exact" w:wrap="around" w:vAnchor="page" w:hAnchor="page" w:x="1419" w:y="6408" w:anchorLock="1"/>
        <w:ind w:left="-1418"/>
      </w:pPr>
    </w:p>
    <w:p w14:paraId="3C13607C">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Technical specification for emergency response of public health emergent event caused  by infectious disease                                           Part2: Emergency reporting and management"/>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specification for emergency response of public health emergent event caused  by infectious disease                                           Part2: Emergency reporting and management</w:t>
      </w:r>
      <w:r>
        <w:rPr>
          <w:rFonts w:ascii="黑体" w:hAnsi="黑体" w:eastAsia="黑体"/>
          <w:szCs w:val="28"/>
        </w:rPr>
        <w:fldChar w:fldCharType="end"/>
      </w:r>
      <w:bookmarkEnd w:id="10"/>
    </w:p>
    <w:p w14:paraId="2098E6C8">
      <w:pPr>
        <w:framePr w:w="9639" w:h="6974" w:hRule="exact" w:wrap="around" w:vAnchor="page" w:hAnchor="page" w:x="1419" w:y="6408" w:anchorLock="1"/>
        <w:spacing w:line="760" w:lineRule="exact"/>
        <w:ind w:left="-1418"/>
      </w:pPr>
    </w:p>
    <w:p w14:paraId="4F3DD6FD">
      <w:pPr>
        <w:pStyle w:val="125"/>
        <w:framePr w:w="9639" w:h="6974" w:hRule="exact" w:wrap="around" w:vAnchor="page" w:hAnchor="page" w:x="1419" w:y="6408" w:anchorLock="1"/>
        <w:textAlignment w:val="bottom"/>
        <w:rPr>
          <w:rFonts w:eastAsia="黑体"/>
          <w:szCs w:val="28"/>
        </w:rPr>
      </w:pPr>
    </w:p>
    <w:p w14:paraId="0F984534">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报批稿）"/>
              <w:listEntry w:val=" "/>
              <w:listEntry w:val="草案版次选择"/>
              <w:listEntry w:val="（工作组讨论稿）"/>
              <w:listEntry w:val="（征求意见稿）"/>
              <w:listEntry w:val="（送审讨论稿）"/>
              <w:listEntry w:val="（送审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75867A87">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51EBA5A0">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1D675F01">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73045CEA">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41EC09A9">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A3F75C1">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p w14:paraId="18D774AB">
      <w:pPr>
        <w:pStyle w:val="91"/>
        <w:spacing w:after="468"/>
      </w:pPr>
      <w:bookmarkStart w:id="21" w:name="BookMark1"/>
      <w:bookmarkStart w:id="22" w:name="_Toc164989297"/>
      <w:bookmarkStart w:id="23" w:name="_Toc164990230"/>
      <w:bookmarkStart w:id="24" w:name="_Toc164989247"/>
      <w:bookmarkStart w:id="25" w:name="_Toc164989272"/>
      <w:bookmarkStart w:id="26" w:name="_Toc164989200"/>
      <w:r>
        <w:rPr>
          <w:rFonts w:hint="eastAsia"/>
          <w:spacing w:val="320"/>
        </w:rPr>
        <w:t>目</w:t>
      </w:r>
      <w:r>
        <w:rPr>
          <w:rFonts w:hint="eastAsia"/>
        </w:rPr>
        <w:t>次</w:t>
      </w:r>
    </w:p>
    <w:p w14:paraId="6445701D">
      <w:pPr>
        <w:pStyle w:val="19"/>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"_Toc176272241" </w:instrText>
      </w:r>
      <w:r>
        <w:fldChar w:fldCharType="separate"/>
      </w:r>
      <w:r>
        <w:rPr>
          <w:rStyle w:val="32"/>
          <w:rFonts w:hint="eastAsia"/>
        </w:rPr>
        <w:t>前言</w:t>
      </w:r>
      <w:r>
        <w:tab/>
      </w:r>
      <w:r>
        <w:fldChar w:fldCharType="begin"/>
      </w:r>
      <w:r>
        <w:instrText xml:space="preserve"> PAGEREF _Toc176272241 \h </w:instrText>
      </w:r>
      <w:r>
        <w:fldChar w:fldCharType="separate"/>
      </w:r>
      <w:r>
        <w:t>II</w:t>
      </w:r>
      <w:r>
        <w:fldChar w:fldCharType="end"/>
      </w:r>
      <w:r>
        <w:fldChar w:fldCharType="end"/>
      </w:r>
    </w:p>
    <w:p w14:paraId="128A0C9B">
      <w:pPr>
        <w:pStyle w:val="19"/>
        <w:rPr>
          <w:rFonts w:asciiTheme="minorHAnsi" w:hAnsiTheme="minorHAnsi" w:eastAsiaTheme="minorEastAsia" w:cstheme="minorBidi"/>
          <w:szCs w:val="22"/>
        </w:rPr>
      </w:pPr>
      <w:r>
        <w:fldChar w:fldCharType="begin"/>
      </w:r>
      <w:r>
        <w:instrText xml:space="preserve"> HYPERLINK \l "_Toc176272242" </w:instrText>
      </w:r>
      <w:r>
        <w:fldChar w:fldCharType="separate"/>
      </w:r>
      <w:r>
        <w:rPr>
          <w:rStyle w:val="32"/>
          <w:rFonts w:hint="eastAsia"/>
        </w:rPr>
        <w:t>引言</w:t>
      </w:r>
      <w:r>
        <w:tab/>
      </w:r>
      <w:r>
        <w:fldChar w:fldCharType="begin"/>
      </w:r>
      <w:r>
        <w:instrText xml:space="preserve"> PAGEREF _Toc176272242 \h </w:instrText>
      </w:r>
      <w:r>
        <w:fldChar w:fldCharType="separate"/>
      </w:r>
      <w:r>
        <w:t>III</w:t>
      </w:r>
      <w:r>
        <w:fldChar w:fldCharType="end"/>
      </w:r>
      <w:r>
        <w:fldChar w:fldCharType="end"/>
      </w:r>
    </w:p>
    <w:p w14:paraId="2D5AC38E">
      <w:pPr>
        <w:pStyle w:val="19"/>
        <w:rPr>
          <w:rFonts w:asciiTheme="minorHAnsi" w:hAnsiTheme="minorHAnsi" w:eastAsiaTheme="minorEastAsia" w:cstheme="minorBidi"/>
          <w:szCs w:val="22"/>
        </w:rPr>
      </w:pPr>
      <w:r>
        <w:fldChar w:fldCharType="begin"/>
      </w:r>
      <w:r>
        <w:instrText xml:space="preserve"> HYPERLINK \l "_Toc176272243" </w:instrText>
      </w:r>
      <w:r>
        <w:fldChar w:fldCharType="separate"/>
      </w:r>
      <w:r>
        <w:rPr>
          <w:rStyle w:val="32"/>
        </w:rPr>
        <w:t>1</w:t>
      </w:r>
      <w:r>
        <w:rPr>
          <w:rStyle w:val="32"/>
          <w:rFonts w:hint="eastAsia"/>
        </w:rPr>
        <w:t xml:space="preserve"> 范围</w:t>
      </w:r>
      <w:r>
        <w:tab/>
      </w:r>
      <w:r>
        <w:fldChar w:fldCharType="begin"/>
      </w:r>
      <w:r>
        <w:instrText xml:space="preserve"> PAGEREF _Toc176272243 \h </w:instrText>
      </w:r>
      <w:r>
        <w:fldChar w:fldCharType="separate"/>
      </w:r>
      <w:r>
        <w:t>1</w:t>
      </w:r>
      <w:r>
        <w:fldChar w:fldCharType="end"/>
      </w:r>
      <w:r>
        <w:fldChar w:fldCharType="end"/>
      </w:r>
    </w:p>
    <w:p w14:paraId="0FAC5A76">
      <w:pPr>
        <w:pStyle w:val="19"/>
        <w:rPr>
          <w:rFonts w:asciiTheme="minorHAnsi" w:hAnsiTheme="minorHAnsi" w:eastAsiaTheme="minorEastAsia" w:cstheme="minorBidi"/>
          <w:szCs w:val="22"/>
        </w:rPr>
      </w:pPr>
      <w:r>
        <w:fldChar w:fldCharType="begin"/>
      </w:r>
      <w:r>
        <w:instrText xml:space="preserve"> HYPERLINK \l "_Toc176272244" </w:instrText>
      </w:r>
      <w:r>
        <w:fldChar w:fldCharType="separate"/>
      </w:r>
      <w:r>
        <w:rPr>
          <w:rStyle w:val="32"/>
        </w:rPr>
        <w:t>2</w:t>
      </w:r>
      <w:r>
        <w:rPr>
          <w:rStyle w:val="32"/>
          <w:rFonts w:hint="eastAsia"/>
        </w:rPr>
        <w:t xml:space="preserve"> 规范性引用文件</w:t>
      </w:r>
      <w:r>
        <w:tab/>
      </w:r>
      <w:r>
        <w:fldChar w:fldCharType="begin"/>
      </w:r>
      <w:r>
        <w:instrText xml:space="preserve"> PAGEREF _Toc176272244 \h </w:instrText>
      </w:r>
      <w:r>
        <w:fldChar w:fldCharType="separate"/>
      </w:r>
      <w:r>
        <w:t>1</w:t>
      </w:r>
      <w:r>
        <w:fldChar w:fldCharType="end"/>
      </w:r>
      <w:r>
        <w:fldChar w:fldCharType="end"/>
      </w:r>
    </w:p>
    <w:p w14:paraId="44E6B73B">
      <w:pPr>
        <w:pStyle w:val="19"/>
        <w:rPr>
          <w:rFonts w:asciiTheme="minorHAnsi" w:hAnsiTheme="minorHAnsi" w:eastAsiaTheme="minorEastAsia" w:cstheme="minorBidi"/>
          <w:szCs w:val="22"/>
        </w:rPr>
      </w:pPr>
      <w:r>
        <w:fldChar w:fldCharType="begin"/>
      </w:r>
      <w:r>
        <w:instrText xml:space="preserve"> HYPERLINK \l "_Toc176272245" </w:instrText>
      </w:r>
      <w:r>
        <w:fldChar w:fldCharType="separate"/>
      </w:r>
      <w:r>
        <w:rPr>
          <w:rStyle w:val="32"/>
        </w:rPr>
        <w:t>3</w:t>
      </w:r>
      <w:r>
        <w:rPr>
          <w:rStyle w:val="32"/>
          <w:rFonts w:hint="eastAsia"/>
        </w:rPr>
        <w:t xml:space="preserve"> 术语和定义</w:t>
      </w:r>
      <w:r>
        <w:tab/>
      </w:r>
      <w:r>
        <w:fldChar w:fldCharType="begin"/>
      </w:r>
      <w:r>
        <w:instrText xml:space="preserve"> PAGEREF _Toc176272245 \h </w:instrText>
      </w:r>
      <w:r>
        <w:fldChar w:fldCharType="separate"/>
      </w:r>
      <w:r>
        <w:t>1</w:t>
      </w:r>
      <w:r>
        <w:fldChar w:fldCharType="end"/>
      </w:r>
      <w:r>
        <w:fldChar w:fldCharType="end"/>
      </w:r>
    </w:p>
    <w:p w14:paraId="5CB0008A">
      <w:pPr>
        <w:pStyle w:val="19"/>
        <w:rPr>
          <w:rFonts w:asciiTheme="minorHAnsi" w:hAnsiTheme="minorHAnsi" w:eastAsiaTheme="minorEastAsia" w:cstheme="minorBidi"/>
          <w:szCs w:val="22"/>
        </w:rPr>
      </w:pPr>
      <w:r>
        <w:fldChar w:fldCharType="begin"/>
      </w:r>
      <w:r>
        <w:instrText xml:space="preserve"> HYPERLINK \l "_Toc176272246" </w:instrText>
      </w:r>
      <w:r>
        <w:fldChar w:fldCharType="separate"/>
      </w:r>
      <w:r>
        <w:rPr>
          <w:rStyle w:val="32"/>
        </w:rPr>
        <w:t>4</w:t>
      </w:r>
      <w:r>
        <w:rPr>
          <w:rStyle w:val="32"/>
          <w:rFonts w:hint="eastAsia"/>
        </w:rPr>
        <w:t xml:space="preserve"> 工作要求</w:t>
      </w:r>
      <w:r>
        <w:tab/>
      </w:r>
      <w:r>
        <w:fldChar w:fldCharType="begin"/>
      </w:r>
      <w:r>
        <w:instrText xml:space="preserve"> PAGEREF _Toc176272246 \h </w:instrText>
      </w:r>
      <w:r>
        <w:fldChar w:fldCharType="separate"/>
      </w:r>
      <w:r>
        <w:t>1</w:t>
      </w:r>
      <w:r>
        <w:fldChar w:fldCharType="end"/>
      </w:r>
      <w:r>
        <w:fldChar w:fldCharType="end"/>
      </w:r>
    </w:p>
    <w:p w14:paraId="0AFE6B73">
      <w:pPr>
        <w:pStyle w:val="19"/>
        <w:rPr>
          <w:rFonts w:asciiTheme="minorHAnsi" w:hAnsiTheme="minorHAnsi" w:eastAsiaTheme="minorEastAsia" w:cstheme="minorBidi"/>
          <w:szCs w:val="22"/>
        </w:rPr>
      </w:pPr>
      <w:r>
        <w:fldChar w:fldCharType="begin"/>
      </w:r>
      <w:r>
        <w:instrText xml:space="preserve"> HYPERLINK \l "_Toc176272247" </w:instrText>
      </w:r>
      <w:r>
        <w:fldChar w:fldCharType="separate"/>
      </w:r>
      <w:r>
        <w:rPr>
          <w:rStyle w:val="32"/>
        </w:rPr>
        <w:t>5</w:t>
      </w:r>
      <w:r>
        <w:rPr>
          <w:rStyle w:val="32"/>
          <w:rFonts w:hint="eastAsia"/>
        </w:rPr>
        <w:t xml:space="preserve"> 报告内容</w:t>
      </w:r>
      <w:r>
        <w:tab/>
      </w:r>
      <w:r>
        <w:fldChar w:fldCharType="begin"/>
      </w:r>
      <w:r>
        <w:instrText xml:space="preserve"> PAGEREF _Toc176272247 \h </w:instrText>
      </w:r>
      <w:r>
        <w:fldChar w:fldCharType="separate"/>
      </w:r>
      <w:r>
        <w:t>2</w:t>
      </w:r>
      <w:r>
        <w:fldChar w:fldCharType="end"/>
      </w:r>
      <w:r>
        <w:fldChar w:fldCharType="end"/>
      </w:r>
    </w:p>
    <w:p w14:paraId="0E327A6A">
      <w:pPr>
        <w:pStyle w:val="19"/>
        <w:rPr>
          <w:rFonts w:asciiTheme="minorHAnsi" w:hAnsiTheme="minorHAnsi" w:eastAsiaTheme="minorEastAsia" w:cstheme="minorBidi"/>
          <w:szCs w:val="22"/>
        </w:rPr>
      </w:pPr>
      <w:r>
        <w:fldChar w:fldCharType="begin"/>
      </w:r>
      <w:r>
        <w:instrText xml:space="preserve"> HYPERLINK \l "_Toc176272248" </w:instrText>
      </w:r>
      <w:r>
        <w:fldChar w:fldCharType="separate"/>
      </w:r>
      <w:r>
        <w:rPr>
          <w:rStyle w:val="32"/>
          <w:rFonts w:hAnsi="黑体"/>
        </w:rPr>
        <w:t>6</w:t>
      </w:r>
      <w:r>
        <w:rPr>
          <w:rStyle w:val="32"/>
          <w:rFonts w:hint="eastAsia"/>
        </w:rPr>
        <w:t xml:space="preserve"> 报告管理</w:t>
      </w:r>
      <w:r>
        <w:tab/>
      </w:r>
      <w:r>
        <w:fldChar w:fldCharType="begin"/>
      </w:r>
      <w:r>
        <w:instrText xml:space="preserve"> PAGEREF _Toc176272248 \h </w:instrText>
      </w:r>
      <w:r>
        <w:fldChar w:fldCharType="separate"/>
      </w:r>
      <w:r>
        <w:t>3</w:t>
      </w:r>
      <w:r>
        <w:fldChar w:fldCharType="end"/>
      </w:r>
      <w:r>
        <w:fldChar w:fldCharType="end"/>
      </w:r>
    </w:p>
    <w:p w14:paraId="79C07C5E">
      <w:pPr>
        <w:pStyle w:val="19"/>
        <w:rPr>
          <w:rFonts w:asciiTheme="minorHAnsi" w:hAnsiTheme="minorHAnsi" w:eastAsiaTheme="minorEastAsia" w:cstheme="minorBidi"/>
          <w:szCs w:val="22"/>
        </w:rPr>
      </w:pPr>
      <w:r>
        <w:fldChar w:fldCharType="begin"/>
      </w:r>
      <w:r>
        <w:instrText xml:space="preserve"> HYPERLINK \l "_Toc176272249" </w:instrText>
      </w:r>
      <w:r>
        <w:fldChar w:fldCharType="separate"/>
      </w:r>
      <w:r>
        <w:rPr>
          <w:rStyle w:val="32"/>
        </w:rPr>
        <w:t>7</w:t>
      </w:r>
      <w:r>
        <w:rPr>
          <w:rStyle w:val="32"/>
          <w:rFonts w:hint="eastAsia"/>
        </w:rPr>
        <w:t xml:space="preserve"> 质量控制</w:t>
      </w:r>
      <w:r>
        <w:tab/>
      </w:r>
      <w:r>
        <w:fldChar w:fldCharType="begin"/>
      </w:r>
      <w:r>
        <w:instrText xml:space="preserve"> PAGEREF _Toc176272249 \h </w:instrText>
      </w:r>
      <w:r>
        <w:fldChar w:fldCharType="separate"/>
      </w:r>
      <w:r>
        <w:t>3</w:t>
      </w:r>
      <w:r>
        <w:fldChar w:fldCharType="end"/>
      </w:r>
      <w:r>
        <w:fldChar w:fldCharType="end"/>
      </w:r>
    </w:p>
    <w:p w14:paraId="0FFDB61E">
      <w:pPr>
        <w:pStyle w:val="19"/>
        <w:rPr>
          <w:rFonts w:asciiTheme="minorHAnsi" w:hAnsiTheme="minorHAnsi" w:eastAsiaTheme="minorEastAsia" w:cstheme="minorBidi"/>
          <w:szCs w:val="22"/>
        </w:rPr>
      </w:pPr>
      <w:r>
        <w:fldChar w:fldCharType="begin"/>
      </w:r>
      <w:r>
        <w:instrText xml:space="preserve"> HYPERLINK \l "_Toc176272250" </w:instrText>
      </w:r>
      <w:r>
        <w:fldChar w:fldCharType="separate"/>
      </w:r>
      <w:r>
        <w:rPr>
          <w:rStyle w:val="32"/>
          <w:rFonts w:hint="eastAsia"/>
        </w:rPr>
        <w:t>附录A（规范性）传染病相关信息报告卡及填卡说明</w:t>
      </w:r>
      <w:r>
        <w:tab/>
      </w:r>
      <w:r>
        <w:fldChar w:fldCharType="begin"/>
      </w:r>
      <w:r>
        <w:instrText xml:space="preserve"> PAGEREF _Toc176272250 \h </w:instrText>
      </w:r>
      <w:r>
        <w:fldChar w:fldCharType="separate"/>
      </w:r>
      <w:r>
        <w:t>4</w:t>
      </w:r>
      <w:r>
        <w:fldChar w:fldCharType="end"/>
      </w:r>
      <w:r>
        <w:fldChar w:fldCharType="end"/>
      </w:r>
    </w:p>
    <w:p w14:paraId="3E8BC549">
      <w:pPr>
        <w:pStyle w:val="19"/>
        <w:rPr>
          <w:rFonts w:asciiTheme="minorHAnsi" w:hAnsiTheme="minorHAnsi" w:eastAsiaTheme="minorEastAsia" w:cstheme="minorBidi"/>
          <w:szCs w:val="22"/>
        </w:rPr>
      </w:pPr>
      <w:r>
        <w:fldChar w:fldCharType="begin"/>
      </w:r>
      <w:r>
        <w:instrText xml:space="preserve"> HYPERLINK \l "_Toc176272251" </w:instrText>
      </w:r>
      <w:r>
        <w:fldChar w:fldCharType="separate"/>
      </w:r>
      <w:r>
        <w:rPr>
          <w:rStyle w:val="32"/>
          <w:rFonts w:hint="eastAsia"/>
        </w:rPr>
        <w:t>附录B（资料性）传染病突发公共卫生事件应急管理业务流程和事件信息报告程序</w:t>
      </w:r>
      <w:r>
        <w:tab/>
      </w:r>
      <w:r>
        <w:fldChar w:fldCharType="begin"/>
      </w:r>
      <w:r>
        <w:instrText xml:space="preserve"> PAGEREF _Toc176272251 \h </w:instrText>
      </w:r>
      <w:r>
        <w:fldChar w:fldCharType="separate"/>
      </w:r>
      <w:r>
        <w:t>6</w:t>
      </w:r>
      <w:r>
        <w:fldChar w:fldCharType="end"/>
      </w:r>
      <w:r>
        <w:fldChar w:fldCharType="end"/>
      </w:r>
    </w:p>
    <w:p w14:paraId="128B2101">
      <w:pPr>
        <w:pStyle w:val="19"/>
        <w:rPr>
          <w:rFonts w:asciiTheme="minorHAnsi" w:hAnsiTheme="minorHAnsi" w:eastAsiaTheme="minorEastAsia" w:cstheme="minorBidi"/>
          <w:szCs w:val="22"/>
        </w:rPr>
      </w:pPr>
      <w:r>
        <w:fldChar w:fldCharType="begin"/>
      </w:r>
      <w:r>
        <w:instrText xml:space="preserve"> HYPERLINK \l "_Toc176272252" </w:instrText>
      </w:r>
      <w:r>
        <w:fldChar w:fldCharType="separate"/>
      </w:r>
      <w:r>
        <w:rPr>
          <w:rStyle w:val="32"/>
          <w:rFonts w:hint="eastAsia"/>
        </w:rPr>
        <w:t>参考文献</w:t>
      </w:r>
      <w:r>
        <w:tab/>
      </w:r>
      <w:r>
        <w:fldChar w:fldCharType="begin"/>
      </w:r>
      <w:r>
        <w:instrText xml:space="preserve"> PAGEREF _Toc176272252 \h </w:instrText>
      </w:r>
      <w:r>
        <w:fldChar w:fldCharType="separate"/>
      </w:r>
      <w:r>
        <w:t>8</w:t>
      </w:r>
      <w:r>
        <w:fldChar w:fldCharType="end"/>
      </w:r>
      <w:r>
        <w:fldChar w:fldCharType="end"/>
      </w:r>
    </w:p>
    <w:p w14:paraId="0CF8C413">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5AD52D0A">
      <w:pPr>
        <w:pStyle w:val="89"/>
        <w:spacing w:before="900" w:after="468"/>
      </w:pPr>
      <w:bookmarkStart w:id="27" w:name="_Toc176272241"/>
      <w:bookmarkStart w:id="28" w:name="BookMark2"/>
      <w:r>
        <w:rPr>
          <w:rFonts w:hint="eastAsia"/>
          <w:spacing w:val="320"/>
        </w:rPr>
        <w:t>前</w:t>
      </w:r>
      <w:r>
        <w:rPr>
          <w:rFonts w:hint="eastAsia"/>
        </w:rPr>
        <w:t>言</w:t>
      </w:r>
      <w:bookmarkEnd w:id="22"/>
      <w:bookmarkEnd w:id="23"/>
      <w:bookmarkEnd w:id="24"/>
      <w:bookmarkEnd w:id="25"/>
      <w:bookmarkEnd w:id="26"/>
      <w:bookmarkEnd w:id="27"/>
    </w:p>
    <w:p w14:paraId="451568BA">
      <w:pPr>
        <w:pStyle w:val="56"/>
        <w:ind w:firstLine="420"/>
      </w:pPr>
      <w:r>
        <w:rPr>
          <w:rFonts w:hint="eastAsia"/>
        </w:rPr>
        <w:t>本文件按照GB/T1.1-2020《标准化工作导则  第1部分：标准化文件的结构和起草规则》的规定起草。</w:t>
      </w:r>
    </w:p>
    <w:p w14:paraId="3A26A77A">
      <w:pPr>
        <w:pStyle w:val="56"/>
        <w:ind w:firstLine="420"/>
      </w:pPr>
      <w:r>
        <w:rPr>
          <w:rFonts w:hint="eastAsia"/>
        </w:rPr>
        <w:t>本文件是DB32/T XXX 《传染病突发公共卫生事件应急处置技术规范》的第2部分。DB32/T XXX 已经发布了以下部分：</w:t>
      </w:r>
    </w:p>
    <w:p w14:paraId="53F70439">
      <w:pPr>
        <w:pStyle w:val="56"/>
        <w:ind w:firstLine="420"/>
      </w:pPr>
      <w:r>
        <w:rPr>
          <w:rFonts w:hint="eastAsia"/>
        </w:rPr>
        <w:t>——第1部分：监测预警；</w:t>
      </w:r>
    </w:p>
    <w:p w14:paraId="7B8A6281">
      <w:pPr>
        <w:pStyle w:val="56"/>
        <w:ind w:firstLine="420"/>
      </w:pPr>
      <w:r>
        <w:rPr>
          <w:rFonts w:hint="eastAsia"/>
        </w:rPr>
        <w:t>——第2部分：事件报告和管理；</w:t>
      </w:r>
    </w:p>
    <w:p w14:paraId="52984629">
      <w:pPr>
        <w:pStyle w:val="56"/>
        <w:ind w:firstLine="420"/>
      </w:pPr>
      <w:r>
        <w:rPr>
          <w:rFonts w:hint="eastAsia"/>
        </w:rPr>
        <w:t>——第3部分：风险评估；</w:t>
      </w:r>
    </w:p>
    <w:p w14:paraId="111887AB">
      <w:pPr>
        <w:pStyle w:val="56"/>
        <w:ind w:firstLine="420"/>
      </w:pPr>
      <w:r>
        <w:rPr>
          <w:rFonts w:hint="eastAsia"/>
        </w:rPr>
        <w:t>——第4部分：现场流行病学调查；</w:t>
      </w:r>
    </w:p>
    <w:p w14:paraId="4F9BB27D">
      <w:pPr>
        <w:pStyle w:val="56"/>
        <w:ind w:firstLine="420"/>
      </w:pPr>
      <w:r>
        <w:rPr>
          <w:rFonts w:hint="eastAsia"/>
        </w:rPr>
        <w:t>——第5部分：恢复评估；</w:t>
      </w:r>
    </w:p>
    <w:p w14:paraId="5FBF27C7">
      <w:pPr>
        <w:pStyle w:val="56"/>
        <w:ind w:firstLine="420"/>
      </w:pPr>
      <w:r>
        <w:rPr>
          <w:rFonts w:hint="eastAsia"/>
        </w:rPr>
        <w:t>——第6部分：应急消毒处置及应急人员个人防护；</w:t>
      </w:r>
    </w:p>
    <w:p w14:paraId="5FB6BB83">
      <w:pPr>
        <w:pStyle w:val="56"/>
        <w:ind w:firstLine="420"/>
      </w:pPr>
      <w:r>
        <w:rPr>
          <w:rFonts w:hint="eastAsia"/>
        </w:rPr>
        <w:t>——第7部分：媒介生物应急监测、评估与控制；</w:t>
      </w:r>
    </w:p>
    <w:p w14:paraId="462175E5">
      <w:pPr>
        <w:pStyle w:val="56"/>
        <w:ind w:firstLine="420"/>
      </w:pPr>
      <w:r>
        <w:rPr>
          <w:rFonts w:hint="eastAsia"/>
        </w:rPr>
        <w:t>——第8部分：标本的采集、保存和运输；</w:t>
      </w:r>
    </w:p>
    <w:p w14:paraId="463C64D4">
      <w:pPr>
        <w:pStyle w:val="56"/>
        <w:ind w:firstLine="420"/>
      </w:pPr>
      <w:r>
        <w:rPr>
          <w:rFonts w:hint="eastAsia"/>
        </w:rPr>
        <w:t>——第9部分：应急检测流程；</w:t>
      </w:r>
    </w:p>
    <w:p w14:paraId="5F952E83">
      <w:pPr>
        <w:pStyle w:val="56"/>
        <w:ind w:firstLine="420"/>
      </w:pPr>
      <w:r>
        <w:rPr>
          <w:rFonts w:hint="eastAsia"/>
        </w:rPr>
        <w:t>——第10部分：病毒类应急检测技术；</w:t>
      </w:r>
    </w:p>
    <w:p w14:paraId="0F6B038C">
      <w:pPr>
        <w:pStyle w:val="56"/>
        <w:ind w:firstLine="420"/>
      </w:pPr>
      <w:r>
        <w:rPr>
          <w:rFonts w:hint="eastAsia"/>
        </w:rPr>
        <w:t>——第11部分：细菌类应急检测技术。</w:t>
      </w:r>
    </w:p>
    <w:p w14:paraId="7A9F3B17">
      <w:pPr>
        <w:pStyle w:val="56"/>
        <w:ind w:firstLine="420"/>
      </w:pPr>
      <w:r>
        <w:rPr>
          <w:rFonts w:hint="eastAsia"/>
        </w:rPr>
        <w:t>请注意本文件的某些内容可能涉及专利。本文件的发布机构不承担识别专利的责任。</w:t>
      </w:r>
    </w:p>
    <w:p w14:paraId="2BCB2B9B">
      <w:pPr>
        <w:pStyle w:val="56"/>
        <w:ind w:firstLine="420"/>
      </w:pPr>
      <w:r>
        <w:rPr>
          <w:rFonts w:hint="eastAsia"/>
        </w:rPr>
        <w:t>本文件由江苏省卫生健康委员会提出并组织实施。</w:t>
      </w:r>
    </w:p>
    <w:p w14:paraId="56DC9CAF">
      <w:pPr>
        <w:pStyle w:val="56"/>
        <w:ind w:firstLine="420"/>
      </w:pPr>
      <w:r>
        <w:rPr>
          <w:rFonts w:hint="eastAsia"/>
        </w:rPr>
        <w:t>本文件由江苏省卫生健康标准化技术委员会归口。</w:t>
      </w:r>
    </w:p>
    <w:p w14:paraId="0686A160">
      <w:pPr>
        <w:pStyle w:val="56"/>
        <w:ind w:firstLine="420"/>
      </w:pPr>
      <w:r>
        <w:rPr>
          <w:rFonts w:hint="eastAsia"/>
        </w:rPr>
        <w:t>本文件起草单位：</w:t>
      </w:r>
      <w:bookmarkStart w:id="163" w:name="_GoBack"/>
      <w:r>
        <w:rPr>
          <w:rFonts w:hint="eastAsia"/>
        </w:rPr>
        <w:t>江苏省疾病预防控制中心、南通市疾病预防控制中心、南京市疾病预防控制中心</w:t>
      </w:r>
      <w:bookmarkEnd w:id="163"/>
      <w:r>
        <w:rPr>
          <w:rFonts w:hint="eastAsia"/>
        </w:rPr>
        <w:t>。</w:t>
      </w:r>
    </w:p>
    <w:p w14:paraId="3A9DB96A">
      <w:pPr>
        <w:pStyle w:val="56"/>
        <w:ind w:firstLine="420"/>
      </w:pPr>
      <w:r>
        <w:rPr>
          <w:rFonts w:hint="eastAsia"/>
        </w:rPr>
        <w:t>本文件主要起草人：吴莹、时影影、魏叶、苏晶晶、沈文琪、朱宝立。</w:t>
      </w:r>
    </w:p>
    <w:p w14:paraId="40C32432">
      <w:pPr>
        <w:pStyle w:val="56"/>
        <w:ind w:firstLine="420"/>
      </w:pPr>
    </w:p>
    <w:p w14:paraId="61AE764D">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8"/>
    <w:p w14:paraId="3A7420B5">
      <w:pPr>
        <w:pStyle w:val="89"/>
        <w:spacing w:after="468"/>
      </w:pPr>
      <w:bookmarkStart w:id="29" w:name="_Toc164989248"/>
      <w:bookmarkStart w:id="30" w:name="_Toc164989201"/>
      <w:bookmarkStart w:id="31" w:name="_Toc164989298"/>
      <w:bookmarkStart w:id="32" w:name="_Toc164990231"/>
      <w:bookmarkStart w:id="33" w:name="_Toc176272242"/>
      <w:bookmarkStart w:id="34" w:name="_Toc164989273"/>
      <w:bookmarkStart w:id="35" w:name="BookMark3"/>
      <w:r>
        <w:rPr>
          <w:spacing w:val="320"/>
        </w:rPr>
        <w:t>引</w:t>
      </w:r>
      <w:r>
        <w:t>言</w:t>
      </w:r>
      <w:bookmarkEnd w:id="29"/>
      <w:bookmarkEnd w:id="30"/>
      <w:bookmarkEnd w:id="31"/>
      <w:bookmarkEnd w:id="32"/>
      <w:bookmarkEnd w:id="33"/>
      <w:bookmarkEnd w:id="34"/>
    </w:p>
    <w:p w14:paraId="39BFF7C2">
      <w:pPr>
        <w:pStyle w:val="56"/>
        <w:ind w:firstLine="420"/>
      </w:pPr>
      <w:r>
        <w:rPr>
          <w:rFonts w:hint="eastAsia"/>
        </w:rPr>
        <w:t>传染病突发公共卫生事件是公共卫生安全的主要威胁，对社会、经济和人群健康存在巨大影响。本文件为贯彻落实《中华人民共和国传染病防治法》《中华人民共和国突发事件应对法》《突发公共卫生事件应急条例》等法律法规对传染病突发公共卫生事件的应急处置要求，提升江苏省传染病突发公共卫生事件的应急处置能力，保障人民群众的生命安全和社会稳定而制定。</w:t>
      </w:r>
    </w:p>
    <w:p w14:paraId="10CA7F9A">
      <w:pPr>
        <w:pStyle w:val="56"/>
        <w:ind w:firstLine="420"/>
      </w:pPr>
      <w:r>
        <w:rPr>
          <w:rFonts w:hint="eastAsia"/>
        </w:rPr>
        <w:t>DB32/T XXX《传染病突发公共卫生事件应急处置技术规范》分为以下11个部分：</w:t>
      </w:r>
    </w:p>
    <w:p w14:paraId="74802C80">
      <w:pPr>
        <w:pStyle w:val="56"/>
        <w:ind w:firstLine="420"/>
      </w:pPr>
      <w:r>
        <w:rPr>
          <w:rFonts w:hint="eastAsia"/>
        </w:rPr>
        <w:t>——第1部分：监测预警；</w:t>
      </w:r>
    </w:p>
    <w:p w14:paraId="44EC71D7">
      <w:pPr>
        <w:pStyle w:val="56"/>
        <w:ind w:firstLine="420"/>
      </w:pPr>
      <w:r>
        <w:rPr>
          <w:rFonts w:hint="eastAsia"/>
        </w:rPr>
        <w:t>——第2部分：事件报告和管理；</w:t>
      </w:r>
    </w:p>
    <w:p w14:paraId="3FAA99F0">
      <w:pPr>
        <w:pStyle w:val="56"/>
        <w:ind w:firstLine="420"/>
      </w:pPr>
      <w:r>
        <w:rPr>
          <w:rFonts w:hint="eastAsia"/>
        </w:rPr>
        <w:t>——第3部分：风险评估；</w:t>
      </w:r>
    </w:p>
    <w:p w14:paraId="3817338A">
      <w:pPr>
        <w:pStyle w:val="56"/>
        <w:ind w:firstLine="420"/>
      </w:pPr>
      <w:r>
        <w:rPr>
          <w:rFonts w:hint="eastAsia"/>
        </w:rPr>
        <w:t>——第4部分：现场流行病学调查；</w:t>
      </w:r>
    </w:p>
    <w:p w14:paraId="7A3D6859">
      <w:pPr>
        <w:pStyle w:val="56"/>
        <w:ind w:firstLine="420"/>
      </w:pPr>
      <w:r>
        <w:rPr>
          <w:rFonts w:hint="eastAsia"/>
        </w:rPr>
        <w:t>——第5部分：恢复评估；</w:t>
      </w:r>
    </w:p>
    <w:p w14:paraId="55CB86AD">
      <w:pPr>
        <w:pStyle w:val="56"/>
        <w:ind w:firstLine="420"/>
      </w:pPr>
      <w:r>
        <w:rPr>
          <w:rFonts w:hint="eastAsia"/>
        </w:rPr>
        <w:t>——第6部分：应急消毒处置及应急人员个人防护；</w:t>
      </w:r>
    </w:p>
    <w:p w14:paraId="0AEBF2AF">
      <w:pPr>
        <w:pStyle w:val="56"/>
        <w:ind w:firstLine="420"/>
      </w:pPr>
      <w:r>
        <w:rPr>
          <w:rFonts w:hint="eastAsia"/>
        </w:rPr>
        <w:t>——第7部分：媒介生物应急监测、评估与控制；</w:t>
      </w:r>
    </w:p>
    <w:p w14:paraId="2B90C7D9">
      <w:pPr>
        <w:pStyle w:val="56"/>
        <w:ind w:firstLine="420"/>
      </w:pPr>
      <w:r>
        <w:rPr>
          <w:rFonts w:hint="eastAsia"/>
        </w:rPr>
        <w:t>——第8部分：标本的采集、保存和运输；</w:t>
      </w:r>
    </w:p>
    <w:p w14:paraId="35E5481E">
      <w:pPr>
        <w:pStyle w:val="56"/>
        <w:ind w:firstLine="420"/>
      </w:pPr>
      <w:r>
        <w:rPr>
          <w:rFonts w:hint="eastAsia"/>
        </w:rPr>
        <w:t>——第9部分：应急检测流程；</w:t>
      </w:r>
    </w:p>
    <w:p w14:paraId="1EE73FEC">
      <w:pPr>
        <w:pStyle w:val="56"/>
        <w:ind w:firstLine="420"/>
      </w:pPr>
      <w:r>
        <w:rPr>
          <w:rFonts w:hint="eastAsia"/>
        </w:rPr>
        <w:t>——第10部分：病毒类应急检测技术；</w:t>
      </w:r>
    </w:p>
    <w:p w14:paraId="433B7B58">
      <w:pPr>
        <w:pStyle w:val="56"/>
        <w:ind w:firstLine="420"/>
      </w:pPr>
      <w:r>
        <w:rPr>
          <w:rFonts w:hint="eastAsia"/>
        </w:rPr>
        <w:t>——第11部分：细菌类应急检测技术。</w:t>
      </w:r>
    </w:p>
    <w:p w14:paraId="3271B9D7">
      <w:pPr>
        <w:pStyle w:val="56"/>
        <w:ind w:firstLine="420"/>
        <w:sectPr>
          <w:pgSz w:w="11906" w:h="16838"/>
          <w:pgMar w:top="1928" w:right="1134" w:bottom="1134" w:left="1134" w:header="1418" w:footer="1134" w:gutter="284"/>
          <w:pgNumType w:fmt="upperRoman"/>
          <w:cols w:space="425" w:num="1"/>
          <w:formProt w:val="0"/>
          <w:docGrid w:type="lines" w:linePitch="312" w:charSpace="0"/>
        </w:sectPr>
      </w:pPr>
      <w:r>
        <w:rPr>
          <w:rFonts w:hint="eastAsia"/>
        </w:rPr>
        <w:t>DB32/T XXX的制定是对传染病突发公共卫生事件处置工作相关国家标准、行业标准的有力补充，为开展传染病突发公共卫生事件的监测预警、报告和管理、风险评估、现场流行病学调查、恢复评估、应急消毒处置和个人防护、媒介生物的应急监测评估与控制、标本的采集和检测等应急处置工作提供有力的科学依据和技术支撑，对保障公众健康和公共卫生安全具有重要意义。</w:t>
      </w:r>
    </w:p>
    <w:bookmarkEnd w:id="35"/>
    <w:p w14:paraId="250A5E9C">
      <w:pPr>
        <w:spacing w:line="20" w:lineRule="exact"/>
        <w:jc w:val="center"/>
        <w:rPr>
          <w:rFonts w:ascii="黑体" w:hAnsi="黑体" w:eastAsia="黑体"/>
          <w:sz w:val="32"/>
          <w:szCs w:val="32"/>
        </w:rPr>
      </w:pPr>
      <w:bookmarkStart w:id="36" w:name="BookMark4"/>
    </w:p>
    <w:p w14:paraId="68C5BDF5">
      <w:pPr>
        <w:spacing w:line="20" w:lineRule="exact"/>
        <w:jc w:val="center"/>
        <w:rPr>
          <w:rFonts w:ascii="黑体" w:hAnsi="黑体" w:eastAsia="黑体"/>
          <w:sz w:val="32"/>
          <w:szCs w:val="32"/>
        </w:rPr>
      </w:pPr>
    </w:p>
    <w:sdt>
      <w:sdtPr>
        <w:tag w:val="NEW_STAND_NAME"/>
        <w:id w:val="595910757"/>
        <w:lock w:val="sdtLocked"/>
        <w:placeholder>
          <w:docPart w:val="F2B35DAC33514F66BB52A5D278599950"/>
        </w:placeholder>
      </w:sdtPr>
      <w:sdtContent>
        <w:p w14:paraId="0C3845E2">
          <w:pPr>
            <w:pStyle w:val="177"/>
            <w:spacing w:before="312" w:beforeLines="100" w:after="3" w:afterLines="1"/>
          </w:pPr>
          <w:bookmarkStart w:id="37" w:name="NEW_STAND_NAME"/>
          <w:r>
            <w:rPr>
              <w:rFonts w:hint="eastAsia"/>
            </w:rPr>
            <w:t>传染病突发公共卫生事件应急处置技术规范</w:t>
          </w:r>
        </w:p>
        <w:p w14:paraId="54189585">
          <w:pPr>
            <w:pStyle w:val="177"/>
            <w:spacing w:before="3" w:beforeLines="1" w:after="680"/>
          </w:pPr>
          <w:r>
            <w:rPr>
              <w:rFonts w:hint="eastAsia"/>
            </w:rPr>
            <w:t>第</w:t>
          </w:r>
          <w:r>
            <w:t>2部分：事件报告和管理</w:t>
          </w:r>
        </w:p>
      </w:sdtContent>
    </w:sdt>
    <w:bookmarkEnd w:id="37"/>
    <w:p w14:paraId="59FB5151">
      <w:pPr>
        <w:pStyle w:val="104"/>
        <w:spacing w:before="312" w:after="312"/>
      </w:pPr>
      <w:bookmarkStart w:id="38" w:name="_Toc176272243"/>
      <w:bookmarkStart w:id="39" w:name="_Toc164990232"/>
      <w:bookmarkStart w:id="40" w:name="_Toc164989202"/>
      <w:bookmarkStart w:id="41" w:name="_Toc97191423"/>
      <w:bookmarkStart w:id="42" w:name="_Toc24884211"/>
      <w:bookmarkStart w:id="43" w:name="_Toc24884218"/>
      <w:bookmarkStart w:id="44" w:name="_Toc26986771"/>
      <w:bookmarkStart w:id="45" w:name="_Toc164989249"/>
      <w:bookmarkStart w:id="46" w:name="_Toc164989274"/>
      <w:bookmarkStart w:id="47" w:name="_Toc17233325"/>
      <w:bookmarkStart w:id="48" w:name="_Toc164989299"/>
      <w:bookmarkStart w:id="49" w:name="_Toc26648465"/>
      <w:bookmarkStart w:id="50" w:name="_Toc26718930"/>
      <w:bookmarkStart w:id="51" w:name="_Toc17233333"/>
      <w:bookmarkStart w:id="52" w:name="_Toc26986530"/>
      <w:r>
        <w:rPr>
          <w:rFonts w:hint="eastAsia"/>
        </w:rPr>
        <w:t>范围</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6DF9338D">
      <w:pPr>
        <w:pStyle w:val="56"/>
        <w:ind w:firstLine="420"/>
      </w:pPr>
      <w:bookmarkStart w:id="53" w:name="_Toc17233334"/>
      <w:bookmarkStart w:id="54" w:name="_Toc24884219"/>
      <w:bookmarkStart w:id="55" w:name="_Toc26648466"/>
      <w:bookmarkStart w:id="56" w:name="_Toc24884212"/>
      <w:bookmarkStart w:id="57" w:name="_Toc17233326"/>
      <w:r>
        <w:rPr>
          <w:rFonts w:hint="eastAsia"/>
        </w:rPr>
        <w:t>本文件规定了传染病突发公共卫生事件应急处置过程中事件报告的工作要求、报告内容、报告管理和质量控制。</w:t>
      </w:r>
    </w:p>
    <w:p w14:paraId="7E453794">
      <w:pPr>
        <w:pStyle w:val="56"/>
        <w:ind w:firstLine="420"/>
      </w:pPr>
      <w:r>
        <w:rPr>
          <w:rFonts w:hint="eastAsia"/>
        </w:rPr>
        <w:t>本文件适用于传染病突发公共卫生事件的报告和管理工作。</w:t>
      </w:r>
    </w:p>
    <w:p w14:paraId="08391002">
      <w:pPr>
        <w:pStyle w:val="104"/>
        <w:spacing w:before="312" w:after="312"/>
      </w:pPr>
      <w:bookmarkStart w:id="58" w:name="_Toc164989250"/>
      <w:bookmarkStart w:id="59" w:name="_Toc164990233"/>
      <w:bookmarkStart w:id="60" w:name="_Toc26986531"/>
      <w:bookmarkStart w:id="61" w:name="_Toc164989203"/>
      <w:bookmarkStart w:id="62" w:name="_Toc26718931"/>
      <w:bookmarkStart w:id="63" w:name="_Toc176272244"/>
      <w:bookmarkStart w:id="64" w:name="_Toc164989300"/>
      <w:bookmarkStart w:id="65" w:name="_Toc26986772"/>
      <w:bookmarkStart w:id="66" w:name="_Toc97191424"/>
      <w:bookmarkStart w:id="67" w:name="_Toc164989275"/>
      <w:r>
        <w:rPr>
          <w:rFonts w:hint="eastAsia"/>
        </w:rPr>
        <w:t>规范性引用文件</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sdt>
      <w:sdtPr>
        <w:rPr>
          <w:rFonts w:hint="eastAsia"/>
        </w:rPr>
        <w:id w:val="715848253"/>
        <w:placeholder>
          <w:docPart w:val="F26CC8BAD84443DBAE4615409200688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557F4EC3">
          <w:pPr>
            <w:pStyle w:val="56"/>
            <w:ind w:firstLine="420"/>
          </w:pPr>
          <w:r>
            <w:rPr>
              <w:rFonts w:hint="eastAsia"/>
            </w:rPr>
            <w:t>本文件没有规范性引用文件。</w:t>
          </w:r>
        </w:p>
      </w:sdtContent>
    </w:sdt>
    <w:p w14:paraId="088197DA">
      <w:pPr>
        <w:pStyle w:val="104"/>
        <w:spacing w:before="312" w:after="312"/>
      </w:pPr>
      <w:bookmarkStart w:id="68" w:name="_Toc176272245"/>
      <w:bookmarkStart w:id="69" w:name="_Toc164989204"/>
      <w:bookmarkStart w:id="70" w:name="_Toc164989301"/>
      <w:bookmarkStart w:id="71" w:name="_Toc164989276"/>
      <w:bookmarkStart w:id="72" w:name="_Toc164989251"/>
      <w:bookmarkStart w:id="73" w:name="_Toc164990234"/>
      <w:bookmarkStart w:id="74" w:name="_Toc97191425"/>
      <w:r>
        <w:rPr>
          <w:rFonts w:hint="eastAsia"/>
          <w:szCs w:val="21"/>
        </w:rPr>
        <w:t>术语和定义</w:t>
      </w:r>
      <w:bookmarkEnd w:id="68"/>
      <w:bookmarkEnd w:id="69"/>
      <w:bookmarkEnd w:id="70"/>
      <w:bookmarkEnd w:id="71"/>
      <w:bookmarkEnd w:id="72"/>
      <w:bookmarkEnd w:id="73"/>
      <w:bookmarkEnd w:id="74"/>
    </w:p>
    <w:sdt>
      <w:sdtPr>
        <w:rPr>
          <w:rFonts w:ascii="黑体" w:hAnsi="黑体" w:eastAsia="黑体"/>
        </w:rPr>
        <w:id w:val="-1909835108"/>
        <w:placeholder>
          <w:docPart w:val="1E19C2CE5C7641CD84348257275929E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黑体" w:hAnsi="黑体" w:eastAsia="黑体"/>
        </w:rPr>
      </w:sdtEndPr>
      <w:sdtContent>
        <w:p w14:paraId="5485C738">
          <w:pPr>
            <w:pStyle w:val="223"/>
            <w:numPr>
              <w:ilvl w:val="0"/>
              <w:numId w:val="0"/>
            </w:numPr>
            <w:ind w:left="420"/>
            <w:rPr>
              <w:rFonts w:ascii="黑体" w:hAnsi="黑体" w:eastAsia="黑体"/>
            </w:rPr>
          </w:pPr>
          <w:bookmarkStart w:id="75" w:name="_Toc26986532"/>
          <w:bookmarkEnd w:id="75"/>
          <w:r>
            <w:rPr>
              <w:rFonts w:hint="eastAsia" w:ascii="黑体" w:hAnsi="黑体" w:eastAsia="黑体"/>
            </w:rPr>
            <w:t>下列术语和定义适用于本文件。</w:t>
          </w:r>
        </w:p>
      </w:sdtContent>
    </w:sdt>
    <w:p w14:paraId="55A04A0B">
      <w:pPr>
        <w:pStyle w:val="105"/>
        <w:spacing w:before="156" w:after="156"/>
        <w:rPr>
          <w:rFonts w:hAnsi="黑体"/>
        </w:rPr>
      </w:pPr>
      <w:r>
        <w:rPr>
          <w:rFonts w:hAnsi="黑体"/>
        </w:rPr>
        <w:br w:type="textWrapping"/>
      </w:r>
      <w:r>
        <w:rPr>
          <w:rFonts w:hint="eastAsia" w:hAnsi="黑体"/>
        </w:rPr>
        <w:t xml:space="preserve"> </w:t>
      </w:r>
      <w:r>
        <w:rPr>
          <w:rFonts w:hAnsi="黑体"/>
        </w:rPr>
        <w:t xml:space="preserve">   </w:t>
      </w:r>
      <w:bookmarkStart w:id="76" w:name="_Toc164989254"/>
      <w:bookmarkStart w:id="77" w:name="_Toc164989207"/>
      <w:bookmarkStart w:id="78" w:name="_Toc164989279"/>
      <w:bookmarkStart w:id="79" w:name="_Toc164989304"/>
      <w:bookmarkStart w:id="80" w:name="_Toc164990237"/>
      <w:r>
        <w:rPr>
          <w:rFonts w:hint="eastAsia" w:hAnsi="黑体"/>
        </w:rPr>
        <w:t>责任报告单位和责任报告人  responsible reporting institution and person</w:t>
      </w:r>
      <w:bookmarkEnd w:id="76"/>
      <w:bookmarkEnd w:id="77"/>
      <w:bookmarkEnd w:id="78"/>
      <w:bookmarkEnd w:id="79"/>
      <w:bookmarkEnd w:id="80"/>
    </w:p>
    <w:p w14:paraId="2D1A8B26">
      <w:pPr>
        <w:pStyle w:val="56"/>
        <w:ind w:firstLine="420"/>
      </w:pPr>
      <w:r>
        <w:rPr>
          <w:rFonts w:hint="eastAsia"/>
        </w:rPr>
        <w:t>各级各类医疗机构、疾病预防控制机构、采供血机构等均为责任报告单位；其执行职务的人员和乡村医生、个体开业医生均为责任报告人。</w:t>
      </w:r>
    </w:p>
    <w:p w14:paraId="4D679F3C">
      <w:pPr>
        <w:pStyle w:val="56"/>
        <w:ind w:firstLine="420"/>
      </w:pPr>
      <w:r>
        <w:rPr>
          <w:rFonts w:hint="eastAsia"/>
        </w:rPr>
        <w:t>[来源：突发公共卫生事件与传染病疫情监测信息报告管理办法]</w:t>
      </w:r>
    </w:p>
    <w:p w14:paraId="5B624AEA">
      <w:pPr>
        <w:pStyle w:val="105"/>
        <w:spacing w:before="156" w:after="156"/>
        <w:rPr>
          <w:rFonts w:hAnsi="黑体"/>
        </w:rPr>
      </w:pPr>
      <w:r>
        <w:rPr>
          <w:rFonts w:hAnsi="黑体"/>
        </w:rPr>
        <w:br w:type="textWrapping"/>
      </w:r>
      <w:r>
        <w:rPr>
          <w:rFonts w:hint="eastAsia" w:hAnsi="黑体"/>
        </w:rPr>
        <w:t xml:space="preserve"> </w:t>
      </w:r>
      <w:r>
        <w:rPr>
          <w:rFonts w:hAnsi="黑体"/>
        </w:rPr>
        <w:t xml:space="preserve">   </w:t>
      </w:r>
      <w:bookmarkStart w:id="81" w:name="_Toc164989208"/>
      <w:bookmarkStart w:id="82" w:name="_Toc164989280"/>
      <w:bookmarkStart w:id="83" w:name="_Toc164989255"/>
      <w:bookmarkStart w:id="84" w:name="_Toc164990238"/>
      <w:bookmarkStart w:id="85" w:name="_Toc164989305"/>
      <w:r>
        <w:rPr>
          <w:rFonts w:hint="eastAsia" w:hAnsi="黑体"/>
        </w:rPr>
        <w:t>突发公共卫生事件管理信息系统  public health emergency management information system</w:t>
      </w:r>
      <w:bookmarkEnd w:id="81"/>
      <w:bookmarkEnd w:id="82"/>
      <w:bookmarkEnd w:id="83"/>
      <w:bookmarkEnd w:id="84"/>
      <w:bookmarkEnd w:id="85"/>
    </w:p>
    <w:p w14:paraId="530B4411">
      <w:pPr>
        <w:pStyle w:val="56"/>
        <w:ind w:firstLine="420"/>
      </w:pPr>
      <w:r>
        <w:rPr>
          <w:rFonts w:hint="eastAsia"/>
        </w:rPr>
        <w:t>是《中国疾病预防控制信息系统》的子系统之一，主要实现对突发公共卫生事件网络报告、确认、上报、审核、预警等功能，以下简称“信息系统”。</w:t>
      </w:r>
    </w:p>
    <w:p w14:paraId="099E3615">
      <w:pPr>
        <w:pStyle w:val="104"/>
        <w:spacing w:before="312" w:after="312"/>
      </w:pPr>
      <w:bookmarkStart w:id="86" w:name="_Toc164989209"/>
      <w:bookmarkStart w:id="87" w:name="_Toc164989306"/>
      <w:bookmarkStart w:id="88" w:name="_Toc176272246"/>
      <w:bookmarkStart w:id="89" w:name="_Toc164990239"/>
      <w:bookmarkStart w:id="90" w:name="_Toc164989281"/>
      <w:bookmarkStart w:id="91" w:name="_Toc164989256"/>
      <w:r>
        <w:rPr>
          <w:rFonts w:hint="eastAsia"/>
        </w:rPr>
        <w:t>工作要求</w:t>
      </w:r>
      <w:bookmarkEnd w:id="86"/>
      <w:bookmarkEnd w:id="87"/>
      <w:bookmarkEnd w:id="88"/>
      <w:bookmarkEnd w:id="89"/>
      <w:bookmarkEnd w:id="90"/>
      <w:bookmarkEnd w:id="91"/>
    </w:p>
    <w:p w14:paraId="724D785F">
      <w:pPr>
        <w:pStyle w:val="223"/>
        <w:ind w:left="420" w:hanging="420" w:hangingChars="200"/>
        <w:rPr>
          <w:rFonts w:ascii="黑体" w:hAnsi="黑体" w:eastAsia="黑体"/>
        </w:rPr>
      </w:pPr>
      <w:r>
        <w:rPr>
          <w:rFonts w:hint="eastAsia" w:ascii="黑体" w:hAnsi="黑体" w:eastAsia="黑体"/>
        </w:rPr>
        <w:t>基本要求</w:t>
      </w:r>
    </w:p>
    <w:p w14:paraId="43F30C4B">
      <w:pPr>
        <w:pStyle w:val="56"/>
        <w:ind w:firstLine="420"/>
      </w:pPr>
      <w:r>
        <w:rPr>
          <w:rFonts w:hint="eastAsia"/>
        </w:rPr>
        <w:t>实行属地管理的原则，根据传染病突发公共卫生事件的范围、性质和危害程度，对事件实行分级管理。任何单位和个人不得隐瞒、缓报、谎报或者授意他人隐瞒、缓报、谎报。</w:t>
      </w:r>
    </w:p>
    <w:p w14:paraId="380C0255">
      <w:pPr>
        <w:pStyle w:val="105"/>
        <w:spacing w:before="156" w:after="156"/>
        <w:rPr>
          <w:rFonts w:hAnsi="黑体"/>
        </w:rPr>
      </w:pPr>
      <w:bookmarkStart w:id="92" w:name="_Toc164989307"/>
      <w:bookmarkStart w:id="93" w:name="_Toc164990240"/>
      <w:bookmarkStart w:id="94" w:name="_Toc164989257"/>
      <w:bookmarkStart w:id="95" w:name="_Toc164989282"/>
      <w:bookmarkStart w:id="96" w:name="_Toc164989210"/>
      <w:r>
        <w:rPr>
          <w:rFonts w:hint="eastAsia" w:hAnsi="黑体"/>
        </w:rPr>
        <w:t>各级疾病预防控制机构</w:t>
      </w:r>
      <w:bookmarkEnd w:id="92"/>
      <w:bookmarkEnd w:id="93"/>
      <w:bookmarkEnd w:id="94"/>
      <w:bookmarkEnd w:id="95"/>
      <w:bookmarkEnd w:id="96"/>
    </w:p>
    <w:p w14:paraId="60B02051">
      <w:pPr>
        <w:pStyle w:val="165"/>
      </w:pPr>
      <w:r>
        <w:rPr>
          <w:rFonts w:hint="eastAsia"/>
        </w:rPr>
        <w:t>负责信息系统的技术管理、网络系统维护、指导、培训。</w:t>
      </w:r>
    </w:p>
    <w:p w14:paraId="3929BB49">
      <w:pPr>
        <w:pStyle w:val="165"/>
      </w:pPr>
      <w:r>
        <w:rPr>
          <w:rFonts w:hint="eastAsia"/>
        </w:rPr>
        <w:t>开展传染病突发公共卫生事件相关信息的业务管理工作、网络报告和审核工作，每日对网络报告的事件进行动态监控，按《全国传染病信息报告管理工作技术指南（2016年版）》的要求定期汇总、分析辖区内的相关信息。</w:t>
      </w:r>
    </w:p>
    <w:p w14:paraId="643A3433">
      <w:pPr>
        <w:pStyle w:val="165"/>
      </w:pPr>
      <w:r>
        <w:rPr>
          <w:rFonts w:hint="eastAsia"/>
        </w:rPr>
        <w:t>接受公众对传染病突发公共卫生事件的举报和咨询，负责收集、核实、分析辖区内来源于其他渠道的传染病突发公共卫生事件相关信息。</w:t>
      </w:r>
    </w:p>
    <w:p w14:paraId="7AB2D576">
      <w:pPr>
        <w:pStyle w:val="105"/>
        <w:spacing w:before="156" w:after="156"/>
        <w:rPr>
          <w:rFonts w:hAnsi="黑体"/>
        </w:rPr>
      </w:pPr>
      <w:bookmarkStart w:id="97" w:name="_Toc164989258"/>
      <w:bookmarkStart w:id="98" w:name="_Toc164990241"/>
      <w:bookmarkStart w:id="99" w:name="_Toc164989211"/>
      <w:bookmarkStart w:id="100" w:name="_Toc164989283"/>
      <w:bookmarkStart w:id="101" w:name="_Toc164989308"/>
      <w:r>
        <w:rPr>
          <w:rFonts w:hint="eastAsia" w:hAnsi="黑体"/>
        </w:rPr>
        <w:t>基本公共卫生服务机构</w:t>
      </w:r>
      <w:bookmarkEnd w:id="97"/>
      <w:bookmarkEnd w:id="98"/>
      <w:bookmarkEnd w:id="99"/>
      <w:bookmarkEnd w:id="100"/>
      <w:bookmarkEnd w:id="101"/>
    </w:p>
    <w:p w14:paraId="283D94ED">
      <w:pPr>
        <w:pStyle w:val="56"/>
        <w:ind w:firstLine="420"/>
      </w:pPr>
      <w:r>
        <w:rPr>
          <w:rFonts w:hint="eastAsia"/>
        </w:rPr>
        <w:t>收集和核实辖区内来源于公众举报、医疗机构监测、学校和托幼机构等集体单位反馈、县级卫生健康、疾病预防控制部门或疾病预防控制机构交派的疑似传染病突发公共卫生事件相关信息，并将核实结果及时反馈县级疾病预防控制机构。</w:t>
      </w:r>
    </w:p>
    <w:p w14:paraId="133623BB">
      <w:pPr>
        <w:pStyle w:val="105"/>
        <w:spacing w:before="156" w:after="156"/>
        <w:rPr>
          <w:rFonts w:hAnsi="黑体"/>
        </w:rPr>
      </w:pPr>
      <w:bookmarkStart w:id="102" w:name="_Toc164989284"/>
      <w:bookmarkStart w:id="103" w:name="_Toc164990242"/>
      <w:bookmarkStart w:id="104" w:name="_Toc164989212"/>
      <w:bookmarkStart w:id="105" w:name="_Toc164989309"/>
      <w:bookmarkStart w:id="106" w:name="_Toc164989259"/>
      <w:r>
        <w:rPr>
          <w:rFonts w:hint="eastAsia" w:hAnsi="黑体"/>
        </w:rPr>
        <w:t>各级各类医疗卫生机构</w:t>
      </w:r>
      <w:bookmarkEnd w:id="102"/>
      <w:bookmarkEnd w:id="103"/>
      <w:bookmarkEnd w:id="104"/>
      <w:bookmarkEnd w:id="105"/>
      <w:bookmarkEnd w:id="106"/>
    </w:p>
    <w:p w14:paraId="663D456C">
      <w:pPr>
        <w:pStyle w:val="165"/>
      </w:pPr>
      <w:r>
        <w:rPr>
          <w:rFonts w:hint="eastAsia"/>
        </w:rPr>
        <w:t>报告责任范围内的传染病突发公共卫生事件相关信息。</w:t>
      </w:r>
    </w:p>
    <w:p w14:paraId="3E4698D4">
      <w:pPr>
        <w:pStyle w:val="165"/>
      </w:pPr>
      <w:r>
        <w:rPr>
          <w:rFonts w:hint="eastAsia"/>
        </w:rPr>
        <w:t>建立监测报告制度，执行首诊负责制。</w:t>
      </w:r>
    </w:p>
    <w:p w14:paraId="653A7066">
      <w:pPr>
        <w:pStyle w:val="165"/>
      </w:pPr>
      <w:r>
        <w:rPr>
          <w:rFonts w:hint="eastAsia"/>
        </w:rPr>
        <w:t>建立或指定专门的部门和人员负责信息报告工作，配备必要的设备，保障网络直报正常开展。</w:t>
      </w:r>
    </w:p>
    <w:p w14:paraId="622C9421">
      <w:pPr>
        <w:pStyle w:val="165"/>
      </w:pPr>
      <w:r>
        <w:rPr>
          <w:rFonts w:hint="eastAsia"/>
        </w:rPr>
        <w:t>对机构相关人员进行有关信息报告工作的培训。</w:t>
      </w:r>
    </w:p>
    <w:p w14:paraId="1F097171">
      <w:pPr>
        <w:pStyle w:val="104"/>
        <w:spacing w:before="312" w:after="312"/>
      </w:pPr>
      <w:bookmarkStart w:id="107" w:name="_Toc164989260"/>
      <w:bookmarkStart w:id="108" w:name="_Toc176272247"/>
      <w:bookmarkStart w:id="109" w:name="_Toc164990243"/>
      <w:bookmarkStart w:id="110" w:name="_Toc164989285"/>
      <w:bookmarkStart w:id="111" w:name="_Toc164989310"/>
      <w:bookmarkStart w:id="112" w:name="_Toc164989213"/>
      <w:r>
        <w:rPr>
          <w:rFonts w:hint="eastAsia"/>
        </w:rPr>
        <w:t>报告内容</w:t>
      </w:r>
      <w:bookmarkEnd w:id="107"/>
      <w:bookmarkEnd w:id="108"/>
      <w:bookmarkEnd w:id="109"/>
      <w:bookmarkEnd w:id="110"/>
      <w:bookmarkEnd w:id="111"/>
      <w:bookmarkEnd w:id="112"/>
    </w:p>
    <w:p w14:paraId="71D0B179">
      <w:pPr>
        <w:pStyle w:val="105"/>
        <w:spacing w:before="156" w:after="156"/>
        <w:rPr>
          <w:rFonts w:hAnsi="黑体"/>
        </w:rPr>
      </w:pPr>
      <w:bookmarkStart w:id="113" w:name="_Toc164990244"/>
      <w:r>
        <w:rPr>
          <w:rFonts w:hint="eastAsia"/>
        </w:rPr>
        <w:t>事件信息</w:t>
      </w:r>
      <w:bookmarkEnd w:id="113"/>
    </w:p>
    <w:p w14:paraId="270EC99B">
      <w:pPr>
        <w:pStyle w:val="56"/>
        <w:ind w:firstLine="420"/>
      </w:pPr>
      <w:r>
        <w:rPr>
          <w:rFonts w:hint="eastAsia"/>
        </w:rPr>
        <w:t>信息报告主要内容包括：事件名称、事件类别、发生时间、地点、涉及的地域范围、人数、主要症状与体征、可能的原因、已经采取的措施、事件的级别和发展趋势、下一步工作计划等。具体内容遵照附录A《传染病相关信息报告卡》的规定。</w:t>
      </w:r>
    </w:p>
    <w:p w14:paraId="1C3583CD">
      <w:pPr>
        <w:pStyle w:val="105"/>
        <w:spacing w:before="156" w:after="156"/>
      </w:pPr>
      <w:bookmarkStart w:id="114" w:name="_Toc164990245"/>
      <w:r>
        <w:rPr>
          <w:rFonts w:hint="eastAsia"/>
        </w:rPr>
        <w:t>事件发生、发展、控制过程</w:t>
      </w:r>
      <w:bookmarkEnd w:id="114"/>
    </w:p>
    <w:p w14:paraId="05FA59B1">
      <w:pPr>
        <w:pStyle w:val="65"/>
        <w:spacing w:before="156" w:after="156"/>
        <w:rPr>
          <w:rFonts w:hAnsi="黑体"/>
        </w:rPr>
      </w:pPr>
      <w:bookmarkStart w:id="115" w:name="_Toc164989263"/>
      <w:bookmarkStart w:id="116" w:name="_Toc164989288"/>
      <w:bookmarkStart w:id="117" w:name="_Toc164989216"/>
      <w:r>
        <w:rPr>
          <w:rFonts w:hint="eastAsia" w:hAnsi="黑体"/>
        </w:rPr>
        <w:t>初次报告</w:t>
      </w:r>
      <w:bookmarkEnd w:id="115"/>
      <w:bookmarkEnd w:id="116"/>
      <w:bookmarkEnd w:id="117"/>
    </w:p>
    <w:p w14:paraId="055733F5">
      <w:pPr>
        <w:pStyle w:val="56"/>
        <w:ind w:firstLine="420"/>
      </w:pPr>
      <w:r>
        <w:rPr>
          <w:rFonts w:hint="eastAsia"/>
        </w:rPr>
        <w:t>报告内容包括事件名称、初步判定的事件类别和性质、发生地点、发生时间、发病人数、死亡人数、主要的临床症状、可能原因、已采取的措施、报告单位、报告人员及通讯方式等。初次报告如果不明确事件级别，先按“未分级”报告。</w:t>
      </w:r>
    </w:p>
    <w:p w14:paraId="7BDBAD06">
      <w:pPr>
        <w:pStyle w:val="65"/>
        <w:spacing w:before="156" w:after="156"/>
        <w:rPr>
          <w:rFonts w:hAnsi="黑体"/>
        </w:rPr>
      </w:pPr>
      <w:r>
        <w:rPr>
          <w:rFonts w:hint="eastAsia" w:hAnsi="黑体"/>
        </w:rPr>
        <w:t>进程报告</w:t>
      </w:r>
    </w:p>
    <w:p w14:paraId="4BBA5658">
      <w:pPr>
        <w:pStyle w:val="56"/>
        <w:ind w:firstLine="420"/>
      </w:pPr>
      <w:r>
        <w:rPr>
          <w:rFonts w:hint="eastAsia"/>
        </w:rPr>
        <w:t>报告事件的发展与变化、处置进程、事件的诊断和原因、势态评估、控制措施等内容，根据事件进展调整事件级别。同时，对初次报告的《传染病相关信息报告卡》进行补充和修正。重大及特别重大突发公共卫生事件至少按日进行进程报告。</w:t>
      </w:r>
    </w:p>
    <w:p w14:paraId="6AB18C18">
      <w:pPr>
        <w:pStyle w:val="65"/>
        <w:spacing w:before="156" w:after="156"/>
        <w:rPr>
          <w:rFonts w:hAnsi="黑体"/>
        </w:rPr>
      </w:pPr>
      <w:r>
        <w:rPr>
          <w:rFonts w:hint="eastAsia" w:hAnsi="黑体"/>
        </w:rPr>
        <w:t>结案报告</w:t>
      </w:r>
    </w:p>
    <w:p w14:paraId="33A773E5">
      <w:pPr>
        <w:pStyle w:val="56"/>
        <w:ind w:firstLine="420"/>
      </w:pPr>
      <w:r>
        <w:rPr>
          <w:rFonts w:hint="eastAsia"/>
        </w:rPr>
        <w:t>事件结束后进行结案信息报告。达到《国家突发公共卫生事件应急预案》分级标准的传染病突发公共卫生事件结束后，由相应级别卫生健康、疾病预防控制部门组织评估，评定事件级别，在确认事件终止后2周内，对事件的发生和处理情况进行总结，分析其原因和影响因素，并提出今后对类似事件的防范和处置建议。结案报告时要对关键信息进行详细核查，一旦结案，报告单位不能再对信息系统中的内容进行修改。</w:t>
      </w:r>
    </w:p>
    <w:p w14:paraId="2FC2B35A">
      <w:pPr>
        <w:pStyle w:val="104"/>
        <w:spacing w:before="312" w:after="312"/>
        <w:ind w:left="420" w:hanging="420" w:hangingChars="200"/>
        <w:rPr>
          <w:rFonts w:hAnsi="黑体"/>
        </w:rPr>
      </w:pPr>
      <w:bookmarkStart w:id="118" w:name="_Toc164989264"/>
      <w:bookmarkStart w:id="119" w:name="_Toc164989289"/>
      <w:bookmarkStart w:id="120" w:name="_Toc164989217"/>
      <w:bookmarkStart w:id="121" w:name="_Toc164990246"/>
      <w:bookmarkStart w:id="122" w:name="_Toc164989313"/>
      <w:bookmarkStart w:id="123" w:name="_Toc176272248"/>
      <w:r>
        <w:rPr>
          <w:rFonts w:hint="eastAsia"/>
        </w:rPr>
        <w:t>报告管理</w:t>
      </w:r>
      <w:bookmarkEnd w:id="118"/>
      <w:bookmarkEnd w:id="119"/>
      <w:bookmarkEnd w:id="120"/>
      <w:bookmarkEnd w:id="121"/>
      <w:bookmarkEnd w:id="122"/>
      <w:bookmarkEnd w:id="123"/>
    </w:p>
    <w:p w14:paraId="07DAA700">
      <w:pPr>
        <w:pStyle w:val="105"/>
        <w:spacing w:before="156" w:after="156"/>
      </w:pPr>
      <w:bookmarkStart w:id="124" w:name="_Toc164990247"/>
      <w:r>
        <w:rPr>
          <w:rFonts w:hint="eastAsia"/>
        </w:rPr>
        <w:t>责任报告单位和责任报告人</w:t>
      </w:r>
      <w:bookmarkEnd w:id="124"/>
    </w:p>
    <w:p w14:paraId="3EC26051">
      <w:pPr>
        <w:pStyle w:val="165"/>
      </w:pPr>
      <w:r>
        <w:rPr>
          <w:rFonts w:hint="eastAsia"/>
        </w:rPr>
        <w:t>获得传染病突发公共卫生事件相关信息后，应当在2小时内以电话或传真等方式向属地县级疾病预防控制机构报告。</w:t>
      </w:r>
    </w:p>
    <w:p w14:paraId="4EEC64EC">
      <w:pPr>
        <w:pStyle w:val="165"/>
      </w:pPr>
      <w:r>
        <w:rPr>
          <w:rFonts w:hint="eastAsia"/>
        </w:rPr>
        <w:t>具备网络直报条件的，同时在信息系统进行网络直报。</w:t>
      </w:r>
    </w:p>
    <w:p w14:paraId="08D6C2CF">
      <w:pPr>
        <w:pStyle w:val="165"/>
      </w:pPr>
      <w:r>
        <w:rPr>
          <w:rFonts w:hint="eastAsia"/>
        </w:rPr>
        <w:t>不具备网络直报条件的，应采用最快的通讯方式将《传染病相关信息报告卡》报送属地县级疾病预防控制机构。</w:t>
      </w:r>
    </w:p>
    <w:p w14:paraId="38569394">
      <w:pPr>
        <w:pStyle w:val="105"/>
        <w:spacing w:before="156" w:after="156"/>
      </w:pPr>
      <w:bookmarkStart w:id="125" w:name="_Toc164990248"/>
      <w:r>
        <w:rPr>
          <w:rFonts w:hint="eastAsia"/>
        </w:rPr>
        <w:t>疾病预防控制机构</w:t>
      </w:r>
      <w:bookmarkEnd w:id="125"/>
    </w:p>
    <w:p w14:paraId="3E64B89B">
      <w:pPr>
        <w:pStyle w:val="165"/>
      </w:pPr>
      <w:r>
        <w:rPr>
          <w:rFonts w:hint="eastAsia"/>
        </w:rPr>
        <w:t>对网络直报的信息于24小时内完成网络审核。</w:t>
      </w:r>
    </w:p>
    <w:p w14:paraId="257D33AE">
      <w:pPr>
        <w:pStyle w:val="165"/>
      </w:pPr>
      <w:r>
        <w:rPr>
          <w:rFonts w:hint="eastAsia"/>
        </w:rPr>
        <w:t>接到《传染病相关信息报告卡》后，应对信息进行审核，确定真实性，初步核实确认后2小时内在信息系统中进行网络直报。</w:t>
      </w:r>
    </w:p>
    <w:p w14:paraId="5AB3DBCE">
      <w:pPr>
        <w:pStyle w:val="165"/>
      </w:pPr>
      <w:r>
        <w:rPr>
          <w:rFonts w:hint="eastAsia"/>
        </w:rPr>
        <w:t>网络直报的同时以电话或传真等方式报告同级卫生健康、疾病预防控制部门和上级疾病预防控制机构。</w:t>
      </w:r>
    </w:p>
    <w:p w14:paraId="4A800C70">
      <w:pPr>
        <w:pStyle w:val="165"/>
      </w:pPr>
      <w:r>
        <w:rPr>
          <w:rFonts w:hint="eastAsia"/>
        </w:rPr>
        <w:t>经核实尚未达到突发公共卫生事件报告标准的，密切跟踪事态发展，随时报告事态变化情况。</w:t>
      </w:r>
    </w:p>
    <w:p w14:paraId="0A1FBA0C">
      <w:pPr>
        <w:pStyle w:val="165"/>
      </w:pPr>
      <w:r>
        <w:rPr>
          <w:rFonts w:hint="eastAsia"/>
        </w:rPr>
        <w:t>不明原因传染病突发公共卫生事件应由属地疾病预防控制机构深入调查，并及时上报调查结果。</w:t>
      </w:r>
    </w:p>
    <w:p w14:paraId="6936F8A9">
      <w:pPr>
        <w:pStyle w:val="165"/>
      </w:pPr>
      <w:r>
        <w:rPr>
          <w:rFonts w:hint="eastAsia"/>
        </w:rPr>
        <w:t>已结案事件确实需要修改信息的，应由属地疾病预防控制机构发送公函逐级申请至江苏省疾病预防控制中心，由省级业务管理员进行修改。</w:t>
      </w:r>
    </w:p>
    <w:p w14:paraId="06BB42C8">
      <w:pPr>
        <w:pStyle w:val="165"/>
        <w:numPr>
          <w:ilvl w:val="0"/>
          <w:numId w:val="0"/>
        </w:numPr>
        <w:ind w:firstLine="420" w:firstLineChars="200"/>
      </w:pPr>
      <w:r>
        <w:rPr>
          <w:rFonts w:hint="eastAsia"/>
        </w:rPr>
        <w:t>报告和管理流程参见附录B.1传染病突发公共卫生事件应急管理业务流程图和B.2事件信息报告程序。</w:t>
      </w:r>
    </w:p>
    <w:p w14:paraId="23B9A67D">
      <w:pPr>
        <w:pStyle w:val="104"/>
        <w:spacing w:before="312" w:after="312"/>
      </w:pPr>
      <w:bookmarkStart w:id="126" w:name="_Toc164990249"/>
      <w:bookmarkStart w:id="127" w:name="_Toc164989267"/>
      <w:bookmarkStart w:id="128" w:name="_Toc164989220"/>
      <w:bookmarkStart w:id="129" w:name="_Toc164989316"/>
      <w:bookmarkStart w:id="130" w:name="_Toc164989292"/>
      <w:bookmarkStart w:id="131" w:name="_Toc176272249"/>
      <w:r>
        <w:rPr>
          <w:rFonts w:hint="eastAsia"/>
        </w:rPr>
        <w:t>质量控制</w:t>
      </w:r>
      <w:bookmarkEnd w:id="126"/>
      <w:bookmarkEnd w:id="127"/>
      <w:bookmarkEnd w:id="128"/>
      <w:bookmarkEnd w:id="129"/>
      <w:bookmarkEnd w:id="130"/>
      <w:bookmarkEnd w:id="131"/>
    </w:p>
    <w:p w14:paraId="2D6CD72B">
      <w:pPr>
        <w:pStyle w:val="105"/>
        <w:spacing w:before="156" w:after="156"/>
        <w:ind w:left="420" w:hanging="420" w:hangingChars="200"/>
        <w:rPr>
          <w:rFonts w:hAnsi="黑体"/>
        </w:rPr>
      </w:pPr>
      <w:bookmarkStart w:id="132" w:name="_Toc164990250"/>
      <w:r>
        <w:rPr>
          <w:rFonts w:hint="eastAsia"/>
        </w:rPr>
        <w:t>规范性</w:t>
      </w:r>
      <w:bookmarkEnd w:id="132"/>
      <w:r>
        <w:rPr>
          <w:rFonts w:hint="eastAsia" w:hAnsi="黑体"/>
        </w:rPr>
        <w:t xml:space="preserve"> </w:t>
      </w:r>
    </w:p>
    <w:p w14:paraId="2377E4F8">
      <w:pPr>
        <w:pStyle w:val="56"/>
        <w:ind w:firstLine="420"/>
      </w:pPr>
      <w:r>
        <w:rPr>
          <w:rFonts w:hint="eastAsia"/>
        </w:rPr>
        <w:t>参照《国家突发公共卫生事件相关信息报告管理工作规范（试行）》，事件名称应规范、分类应正确；依据《</w:t>
      </w:r>
      <w:r>
        <w:rPr>
          <w:rFonts w:hint="eastAsia"/>
          <w:color w:val="000000"/>
        </w:rPr>
        <w:t>国家突发公共卫生事件应急预案</w:t>
      </w:r>
      <w:r>
        <w:rPr>
          <w:rFonts w:hint="eastAsia"/>
        </w:rPr>
        <w:t>》，事件定级应准确。</w:t>
      </w:r>
    </w:p>
    <w:p w14:paraId="1349AE59">
      <w:pPr>
        <w:pStyle w:val="105"/>
        <w:spacing w:before="156" w:after="156"/>
        <w:ind w:left="420" w:hanging="420" w:hangingChars="200"/>
        <w:rPr>
          <w:rFonts w:hAnsi="黑体"/>
        </w:rPr>
      </w:pPr>
      <w:bookmarkStart w:id="133" w:name="_Toc164990251"/>
      <w:r>
        <w:rPr>
          <w:rFonts w:hint="eastAsia"/>
        </w:rPr>
        <w:t>及时性</w:t>
      </w:r>
      <w:bookmarkEnd w:id="133"/>
    </w:p>
    <w:p w14:paraId="42E89B60">
      <w:pPr>
        <w:pStyle w:val="165"/>
        <w:rPr>
          <w:rFonts w:ascii="黑体" w:hAnsi="黑体" w:eastAsia="黑体"/>
        </w:rPr>
      </w:pPr>
      <w:r>
        <w:rPr>
          <w:rFonts w:hint="eastAsia"/>
        </w:rPr>
        <w:t>报告及时：初步核实认定时间到事件网络报告创建时间间隔小于2小时。</w:t>
      </w:r>
    </w:p>
    <w:p w14:paraId="1DD90A02">
      <w:pPr>
        <w:pStyle w:val="165"/>
      </w:pPr>
      <w:r>
        <w:rPr>
          <w:rFonts w:hint="eastAsia"/>
        </w:rPr>
        <w:t>归并个案/标本及时：事件网络报告保存时，应关联相关个案/标本。传染病事件个案由《传染病监测系统》提供；初步诊断选择“流行性感冒”、“流感样病例暴发”、“人感染高致病性禽流感”时，应归并标本，由《中国流感监测信息系统》提供。跨地区个案/标本由上级疾病预防控制机构进行关联。事件结案前完成所有个案/标本的关联。</w:t>
      </w:r>
    </w:p>
    <w:p w14:paraId="19278C70">
      <w:pPr>
        <w:pStyle w:val="165"/>
      </w:pPr>
      <w:r>
        <w:rPr>
          <w:rFonts w:hint="eastAsia"/>
        </w:rPr>
        <w:t>审核及时：事件网络报告后应尽快逐级审核，审核时限不得超过24小时。一般和未分级事件由县级终审；较大事件由地市级终审；重大事件由省级终审；特别重大事件由国家级终审。</w:t>
      </w:r>
    </w:p>
    <w:p w14:paraId="06D0E812">
      <w:pPr>
        <w:pStyle w:val="165"/>
      </w:pPr>
      <w:r>
        <w:rPr>
          <w:rFonts w:hint="eastAsia"/>
        </w:rPr>
        <w:t>结案及时：在确认事件终止后2周内进行结案报告。</w:t>
      </w:r>
    </w:p>
    <w:p w14:paraId="1448EE02">
      <w:pPr>
        <w:pStyle w:val="56"/>
        <w:ind w:firstLine="0" w:firstLineChars="0"/>
      </w:pPr>
    </w:p>
    <w:p w14:paraId="0246FE59">
      <w:pPr>
        <w:pStyle w:val="56"/>
        <w:ind w:firstLine="199" w:firstLineChars="95"/>
        <w:sectPr>
          <w:pgSz w:w="11906" w:h="16838"/>
          <w:pgMar w:top="1928" w:right="1134" w:bottom="1134" w:left="1134" w:header="1418" w:footer="1134" w:gutter="284"/>
          <w:pgNumType w:start="1"/>
          <w:cols w:space="425" w:num="1"/>
          <w:formProt w:val="0"/>
          <w:docGrid w:type="lines" w:linePitch="312" w:charSpace="0"/>
        </w:sectPr>
      </w:pPr>
    </w:p>
    <w:bookmarkEnd w:id="36"/>
    <w:p w14:paraId="360CF9A4">
      <w:pPr>
        <w:pStyle w:val="198"/>
        <w:rPr>
          <w:vanish w:val="0"/>
        </w:rPr>
      </w:pPr>
      <w:bookmarkStart w:id="134" w:name="BookMark5"/>
    </w:p>
    <w:p w14:paraId="754F1FBE">
      <w:pPr>
        <w:pStyle w:val="199"/>
        <w:rPr>
          <w:vanish w:val="0"/>
        </w:rPr>
      </w:pPr>
    </w:p>
    <w:tbl>
      <w:tblPr>
        <w:tblStyle w:val="27"/>
        <w:tblpPr w:leftFromText="180" w:rightFromText="180" w:vertAnchor="text" w:horzAnchor="margin" w:tblpXSpec="center" w:tblpY="2450"/>
        <w:tblW w:w="11205" w:type="dxa"/>
        <w:tblInd w:w="0" w:type="dxa"/>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0" w:type="dxa"/>
          <w:bottom w:w="0" w:type="dxa"/>
          <w:right w:w="0" w:type="dxa"/>
        </w:tblCellMar>
      </w:tblPr>
      <w:tblGrid>
        <w:gridCol w:w="11205"/>
      </w:tblGrid>
      <w:tr w14:paraId="6976F58D">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620" w:hRule="atLeast"/>
          <w:tblHeader/>
        </w:trPr>
        <w:tc>
          <w:tcPr>
            <w:tcW w:w="11205" w:type="dxa"/>
            <w:shd w:val="clear" w:color="auto" w:fill="auto"/>
            <w:vAlign w:val="center"/>
          </w:tcPr>
          <w:p w14:paraId="49B07604">
            <w:pPr>
              <w:pStyle w:val="178"/>
              <w:jc w:val="left"/>
              <w:rPr>
                <w:sz w:val="15"/>
              </w:rPr>
            </w:pPr>
            <w:r>
              <w:rPr>
                <w:rFonts w:hint="eastAsia"/>
                <w:sz w:val="15"/>
              </w:rPr>
              <w:t>填报单位（盖章）：</w:t>
            </w:r>
            <w:r>
              <w:rPr>
                <w:rFonts w:hint="eastAsia"/>
                <w:sz w:val="15"/>
                <w:u w:val="single"/>
              </w:rPr>
              <w:t xml:space="preserve">                                 </w:t>
            </w:r>
            <w:r>
              <w:rPr>
                <w:rFonts w:hint="eastAsia"/>
                <w:sz w:val="15"/>
              </w:rPr>
              <w:t xml:space="preserve"> 填报日期：</w:t>
            </w:r>
            <w:r>
              <w:rPr>
                <w:rFonts w:hint="eastAsia"/>
                <w:sz w:val="15"/>
                <w:u w:val="single"/>
              </w:rPr>
              <w:t xml:space="preserve">       </w:t>
            </w:r>
            <w:r>
              <w:rPr>
                <w:rFonts w:hint="eastAsia"/>
                <w:sz w:val="15"/>
              </w:rPr>
              <w:t>年</w:t>
            </w:r>
            <w:r>
              <w:rPr>
                <w:sz w:val="15"/>
                <w:u w:val="single"/>
              </w:rPr>
              <w:t xml:space="preserve">    </w:t>
            </w:r>
            <w:r>
              <w:rPr>
                <w:rFonts w:hint="eastAsia"/>
                <w:sz w:val="15"/>
                <w:u w:val="single"/>
              </w:rPr>
              <w:t xml:space="preserve"> </w:t>
            </w:r>
            <w:r>
              <w:rPr>
                <w:rFonts w:hint="eastAsia"/>
                <w:sz w:val="15"/>
              </w:rPr>
              <w:t>月</w:t>
            </w:r>
            <w:r>
              <w:rPr>
                <w:rFonts w:hint="eastAsia"/>
                <w:sz w:val="15"/>
                <w:u w:val="single"/>
              </w:rPr>
              <w:t xml:space="preserve">     </w:t>
            </w:r>
            <w:r>
              <w:rPr>
                <w:rFonts w:hint="eastAsia"/>
                <w:sz w:val="15"/>
              </w:rPr>
              <w:t>日</w:t>
            </w:r>
          </w:p>
          <w:p w14:paraId="5867F3B8">
            <w:pPr>
              <w:pStyle w:val="178"/>
              <w:jc w:val="left"/>
              <w:rPr>
                <w:sz w:val="15"/>
              </w:rPr>
            </w:pPr>
            <w:r>
              <w:rPr>
                <w:rFonts w:hint="eastAsia"/>
                <w:sz w:val="15"/>
              </w:rPr>
              <w:t>事件报告人：</w:t>
            </w:r>
            <w:r>
              <w:rPr>
                <w:rFonts w:hint="eastAsia"/>
                <w:sz w:val="15"/>
                <w:u w:val="single"/>
              </w:rPr>
              <w:t xml:space="preserve">                           </w:t>
            </w:r>
            <w:r>
              <w:rPr>
                <w:rFonts w:hint="eastAsia"/>
                <w:sz w:val="15"/>
              </w:rPr>
              <w:t xml:space="preserve">             联系电话：</w:t>
            </w:r>
            <w:r>
              <w:rPr>
                <w:rFonts w:hint="eastAsia"/>
                <w:sz w:val="15"/>
                <w:u w:val="single"/>
              </w:rPr>
              <w:t xml:space="preserve">                     </w:t>
            </w:r>
          </w:p>
          <w:p w14:paraId="48CE9E3A">
            <w:pPr>
              <w:pStyle w:val="178"/>
              <w:jc w:val="left"/>
              <w:rPr>
                <w:sz w:val="15"/>
                <w:u w:val="single"/>
              </w:rPr>
            </w:pPr>
            <w:r>
              <w:rPr>
                <w:rFonts w:hint="eastAsia"/>
                <w:sz w:val="15"/>
              </w:rPr>
              <w:t>事件名称：</w:t>
            </w:r>
            <w:r>
              <w:rPr>
                <w:sz w:val="15"/>
                <w:u w:val="single"/>
              </w:rPr>
              <w:t xml:space="preserve">                                          </w:t>
            </w:r>
          </w:p>
          <w:p w14:paraId="4AB3D6F3">
            <w:pPr>
              <w:pStyle w:val="178"/>
              <w:jc w:val="left"/>
              <w:rPr>
                <w:sz w:val="15"/>
              </w:rPr>
            </w:pPr>
            <w:r>
              <w:rPr>
                <w:rFonts w:hint="eastAsia"/>
                <w:sz w:val="15"/>
              </w:rPr>
              <w:t>事件类别：1.甲类传染病；2.乙类传染病；3.丙类传染病；4.其他类传染病</w:t>
            </w:r>
          </w:p>
          <w:p w14:paraId="36D2F0E7">
            <w:pPr>
              <w:pStyle w:val="178"/>
              <w:widowControl w:val="0"/>
              <w:adjustRightInd w:val="0"/>
              <w:spacing w:line="400" w:lineRule="exact"/>
              <w:jc w:val="left"/>
              <w:rPr>
                <w:sz w:val="15"/>
                <w:u w:val="single"/>
              </w:rPr>
            </w:pPr>
            <w:r>
              <w:rPr>
                <w:rFonts w:hint="eastAsia"/>
                <w:sz w:val="15"/>
              </w:rPr>
              <w:t>事件信息来源：1.属地医疗机构报告；2.外地医疗机构报告；3.报纸；4.电视；5.特服号电话12345；6.互联网；7.市民电话报告；8.上门直接报告；9.传染病自动预警产生；10.广播；11.填报单位人员目睹；12.疫情分析；13.学校；14.企业；15.其他政府部门通报；16.其他</w:t>
            </w:r>
            <w:r>
              <w:rPr>
                <w:rFonts w:hint="eastAsia"/>
                <w:sz w:val="15"/>
                <w:u w:val="single"/>
              </w:rPr>
              <w:t xml:space="preserve">        </w:t>
            </w:r>
          </w:p>
          <w:p w14:paraId="66A8C4F9">
            <w:pPr>
              <w:pStyle w:val="178"/>
              <w:jc w:val="left"/>
              <w:rPr>
                <w:sz w:val="15"/>
              </w:rPr>
            </w:pPr>
            <w:r>
              <w:rPr>
                <w:rFonts w:hint="eastAsia"/>
                <w:sz w:val="15"/>
              </w:rPr>
              <w:t>事件信息来源详细：</w:t>
            </w:r>
            <w:r>
              <w:rPr>
                <w:rFonts w:hint="eastAsia"/>
                <w:sz w:val="15"/>
                <w:u w:val="single"/>
              </w:rPr>
              <w:t xml:space="preserve">                                  </w:t>
            </w:r>
          </w:p>
          <w:p w14:paraId="2008B4DD">
            <w:pPr>
              <w:pStyle w:val="178"/>
              <w:jc w:val="left"/>
              <w:rPr>
                <w:sz w:val="15"/>
              </w:rPr>
            </w:pPr>
            <w:r>
              <w:rPr>
                <w:rFonts w:hint="eastAsia"/>
                <w:sz w:val="15"/>
              </w:rPr>
              <w:t>报告地区：</w:t>
            </w:r>
            <w:r>
              <w:rPr>
                <w:rFonts w:hint="eastAsia"/>
                <w:sz w:val="15"/>
                <w:u w:val="single"/>
              </w:rPr>
              <w:t xml:space="preserve">        </w:t>
            </w:r>
            <w:r>
              <w:rPr>
                <w:rFonts w:hint="eastAsia"/>
                <w:sz w:val="15"/>
              </w:rPr>
              <w:t>省</w:t>
            </w:r>
            <w:r>
              <w:rPr>
                <w:rFonts w:hint="eastAsia"/>
                <w:sz w:val="15"/>
                <w:u w:val="single"/>
              </w:rPr>
              <w:t xml:space="preserve">        </w:t>
            </w:r>
            <w:r>
              <w:rPr>
                <w:rFonts w:hint="eastAsia"/>
                <w:sz w:val="15"/>
              </w:rPr>
              <w:t>市</w:t>
            </w:r>
            <w:r>
              <w:rPr>
                <w:rFonts w:hint="eastAsia"/>
                <w:sz w:val="15"/>
                <w:u w:val="single"/>
              </w:rPr>
              <w:t xml:space="preserve">        </w:t>
            </w:r>
            <w:r>
              <w:rPr>
                <w:rFonts w:hint="eastAsia"/>
                <w:sz w:val="15"/>
              </w:rPr>
              <w:t>县（区）</w:t>
            </w:r>
          </w:p>
          <w:p w14:paraId="73354EC8">
            <w:pPr>
              <w:pStyle w:val="178"/>
              <w:jc w:val="left"/>
              <w:rPr>
                <w:sz w:val="15"/>
                <w:u w:val="single"/>
              </w:rPr>
            </w:pPr>
            <w:r>
              <w:rPr>
                <w:rFonts w:hint="eastAsia"/>
                <w:sz w:val="15"/>
              </w:rPr>
              <w:t>发生地区：</w:t>
            </w:r>
            <w:r>
              <w:rPr>
                <w:rFonts w:hint="eastAsia"/>
                <w:sz w:val="15"/>
                <w:u w:val="single"/>
              </w:rPr>
              <w:t xml:space="preserve">        </w:t>
            </w:r>
            <w:r>
              <w:rPr>
                <w:rFonts w:hint="eastAsia"/>
                <w:sz w:val="15"/>
              </w:rPr>
              <w:t>省</w:t>
            </w:r>
            <w:r>
              <w:rPr>
                <w:rFonts w:hint="eastAsia"/>
                <w:sz w:val="15"/>
                <w:u w:val="single"/>
              </w:rPr>
              <w:t xml:space="preserve">        </w:t>
            </w:r>
            <w:r>
              <w:rPr>
                <w:rFonts w:hint="eastAsia"/>
                <w:sz w:val="15"/>
              </w:rPr>
              <w:t>市</w:t>
            </w:r>
            <w:r>
              <w:rPr>
                <w:rFonts w:hint="eastAsia"/>
                <w:sz w:val="15"/>
                <w:u w:val="single"/>
              </w:rPr>
              <w:t xml:space="preserve">        </w:t>
            </w:r>
            <w:r>
              <w:rPr>
                <w:rFonts w:hint="eastAsia"/>
                <w:sz w:val="15"/>
              </w:rPr>
              <w:t>县（区）</w:t>
            </w:r>
            <w:r>
              <w:rPr>
                <w:rFonts w:hint="eastAsia"/>
                <w:sz w:val="15"/>
                <w:u w:val="single"/>
              </w:rPr>
              <w:t xml:space="preserve"> </w:t>
            </w:r>
            <w:r>
              <w:rPr>
                <w:sz w:val="15"/>
                <w:u w:val="single"/>
              </w:rPr>
              <w:t xml:space="preserve"> </w:t>
            </w:r>
            <w:r>
              <w:rPr>
                <w:rFonts w:hint="eastAsia"/>
                <w:sz w:val="15"/>
                <w:u w:val="single"/>
              </w:rPr>
              <w:t xml:space="preserve"> </w:t>
            </w:r>
            <w:r>
              <w:rPr>
                <w:sz w:val="15"/>
                <w:u w:val="single"/>
              </w:rPr>
              <w:t xml:space="preserve">            </w:t>
            </w:r>
            <w:r>
              <w:rPr>
                <w:rFonts w:hint="eastAsia"/>
                <w:sz w:val="15"/>
                <w:u w:val="single"/>
              </w:rPr>
              <w:t xml:space="preserve"> </w:t>
            </w:r>
            <w:r>
              <w:rPr>
                <w:rFonts w:hint="eastAsia"/>
                <w:sz w:val="15"/>
              </w:rPr>
              <w:t xml:space="preserve">乡（镇） </w:t>
            </w:r>
            <w:r>
              <w:rPr>
                <w:sz w:val="15"/>
              </w:rPr>
              <w:t xml:space="preserve">       </w:t>
            </w:r>
            <w:r>
              <w:rPr>
                <w:rFonts w:hint="eastAsia"/>
                <w:sz w:val="15"/>
              </w:rPr>
              <w:t>详细地点：</w:t>
            </w:r>
            <w:r>
              <w:rPr>
                <w:rFonts w:hint="eastAsia"/>
                <w:sz w:val="15"/>
                <w:u w:val="single"/>
              </w:rPr>
              <w:t xml:space="preserve">                                         </w:t>
            </w:r>
          </w:p>
          <w:p w14:paraId="160D80D5">
            <w:pPr>
              <w:pStyle w:val="178"/>
              <w:widowControl w:val="0"/>
              <w:adjustRightInd w:val="0"/>
              <w:spacing w:line="400" w:lineRule="exact"/>
              <w:jc w:val="left"/>
              <w:rPr>
                <w:sz w:val="15"/>
                <w:u w:val="single"/>
              </w:rPr>
            </w:pPr>
            <w:r>
              <w:rPr>
                <w:rFonts w:hint="eastAsia"/>
                <w:sz w:val="15"/>
              </w:rPr>
              <w:t>事件发生场所：1.学校；2.医疗卫生机构：（1）类别：①公办医疗机构；②疾病预防控制机构；③采供血机构；④检验检疫机构；⑤其他及私立机构；（2）感染部门：①病房；②手术室；③门诊；④化验室；⑤药房；⑥办公室；⑦治疗室；⑧特殊检查室；⑨其他场所；3.家庭；4.宾馆饭店写字楼；5.餐饮服务单位；6.交通运输工具；7.菜场、商场或超市；8.车站、码头或机场；9.党政机关办公场所；10.企事业单位办公场所；11.大型厂矿企业生产场所；12.中小型厂矿企业生产场所；13.城市住宅小区；14.城市其他公共场所；15.农村村庄；16.农村农田野外；17.集体食堂；18.食品摊贩；19.科研机构实验室；20.敬老院；21.其他场所</w:t>
            </w:r>
            <w:r>
              <w:rPr>
                <w:rFonts w:hint="eastAsia"/>
                <w:sz w:val="15"/>
                <w:u w:val="single"/>
              </w:rPr>
              <w:t xml:space="preserve">        </w:t>
            </w:r>
          </w:p>
          <w:p w14:paraId="0680406D">
            <w:pPr>
              <w:pStyle w:val="178"/>
              <w:jc w:val="left"/>
              <w:rPr>
                <w:sz w:val="15"/>
              </w:rPr>
            </w:pPr>
            <w:r>
              <w:rPr>
                <w:rFonts w:hint="eastAsia"/>
                <w:sz w:val="15"/>
              </w:rPr>
              <w:t>学校类别：1.初等教育：①城市小学；②县镇小学；③农村小学；2.中等教育：①城市初中；②县镇初中；③农村初中；④中等职业学校；⑤城市高中；⑥县镇高中；⑦农村高中；3.高等教育：①普通高等学校；②成人高等学校；③民办的其他高等教育机构；④培养研究生的科研机构；4.幼儿教育：①城市幼儿园；②县镇幼儿园；③农村幼儿园；5.特殊教育；6.工读学校；7.其他学校</w:t>
            </w:r>
            <w:r>
              <w:rPr>
                <w:rFonts w:hint="eastAsia"/>
                <w:sz w:val="15"/>
                <w:u w:val="single"/>
              </w:rPr>
              <w:t xml:space="preserve">        </w:t>
            </w:r>
          </w:p>
          <w:p w14:paraId="3F3E0865">
            <w:pPr>
              <w:pStyle w:val="178"/>
              <w:jc w:val="left"/>
              <w:rPr>
                <w:sz w:val="15"/>
              </w:rPr>
            </w:pPr>
            <w:r>
              <w:rPr>
                <w:rFonts w:hint="eastAsia"/>
                <w:sz w:val="15"/>
              </w:rPr>
              <w:t>事件波及的地域范围：</w:t>
            </w:r>
            <w:r>
              <w:rPr>
                <w:rFonts w:hint="eastAsia"/>
                <w:sz w:val="15"/>
                <w:u w:val="single"/>
              </w:rPr>
              <w:t xml:space="preserve">                                  </w:t>
            </w:r>
            <w:r>
              <w:rPr>
                <w:rFonts w:hint="eastAsia"/>
                <w:sz w:val="15"/>
              </w:rPr>
              <w:t>；涉及或暴露人口数：</w:t>
            </w:r>
            <w:r>
              <w:rPr>
                <w:rFonts w:hint="eastAsia"/>
                <w:sz w:val="15"/>
                <w:u w:val="single"/>
              </w:rPr>
              <w:t xml:space="preserve">               </w:t>
            </w:r>
            <w:r>
              <w:rPr>
                <w:rFonts w:hint="eastAsia"/>
                <w:sz w:val="15"/>
              </w:rPr>
              <w:t xml:space="preserve"> </w:t>
            </w:r>
          </w:p>
          <w:p w14:paraId="33CBEC2A">
            <w:pPr>
              <w:pStyle w:val="178"/>
              <w:jc w:val="left"/>
              <w:rPr>
                <w:sz w:val="15"/>
              </w:rPr>
            </w:pPr>
            <w:r>
              <w:rPr>
                <w:rFonts w:hint="eastAsia"/>
                <w:sz w:val="15"/>
              </w:rPr>
              <w:t>本次报告发病人数：</w:t>
            </w:r>
            <w:r>
              <w:rPr>
                <w:rFonts w:hint="eastAsia"/>
                <w:sz w:val="15"/>
                <w:u w:val="single"/>
              </w:rPr>
              <w:t xml:space="preserve">        </w:t>
            </w:r>
            <w:r>
              <w:rPr>
                <w:rFonts w:hint="eastAsia"/>
                <w:sz w:val="15"/>
              </w:rPr>
              <w:t>；本次报告死亡人数：</w:t>
            </w:r>
            <w:r>
              <w:rPr>
                <w:rFonts w:hint="eastAsia"/>
                <w:sz w:val="15"/>
                <w:u w:val="single"/>
              </w:rPr>
              <w:t xml:space="preserve">        </w:t>
            </w:r>
            <w:r>
              <w:rPr>
                <w:rFonts w:hint="eastAsia"/>
                <w:sz w:val="15"/>
              </w:rPr>
              <w:t>；发病核减数：</w:t>
            </w:r>
            <w:r>
              <w:rPr>
                <w:rFonts w:hint="eastAsia"/>
                <w:sz w:val="15"/>
                <w:u w:val="single"/>
              </w:rPr>
              <w:t xml:space="preserve">        </w:t>
            </w:r>
            <w:r>
              <w:rPr>
                <w:rFonts w:hint="eastAsia"/>
                <w:sz w:val="15"/>
              </w:rPr>
              <w:t>；死亡核减数：</w:t>
            </w:r>
            <w:r>
              <w:rPr>
                <w:rFonts w:hint="eastAsia"/>
                <w:sz w:val="15"/>
                <w:u w:val="single"/>
              </w:rPr>
              <w:t xml:space="preserve">       </w:t>
            </w:r>
            <w:r>
              <w:rPr>
                <w:rFonts w:hint="eastAsia"/>
                <w:sz w:val="15"/>
              </w:rPr>
              <w:t xml:space="preserve"> </w:t>
            </w:r>
          </w:p>
          <w:p w14:paraId="188219B7">
            <w:pPr>
              <w:pStyle w:val="178"/>
              <w:jc w:val="left"/>
              <w:rPr>
                <w:sz w:val="15"/>
              </w:rPr>
            </w:pPr>
            <w:r>
              <w:rPr>
                <w:rFonts w:hint="eastAsia"/>
                <w:sz w:val="15"/>
              </w:rPr>
              <w:t>累计报告发病人数：</w:t>
            </w:r>
            <w:r>
              <w:rPr>
                <w:rFonts w:hint="eastAsia"/>
                <w:sz w:val="15"/>
                <w:u w:val="single"/>
              </w:rPr>
              <w:t xml:space="preserve">           </w:t>
            </w:r>
            <w:r>
              <w:rPr>
                <w:rFonts w:hint="eastAsia"/>
                <w:sz w:val="15"/>
              </w:rPr>
              <w:t>；累计报告死亡人数：</w:t>
            </w:r>
            <w:r>
              <w:rPr>
                <w:rFonts w:hint="eastAsia"/>
                <w:sz w:val="15"/>
                <w:u w:val="single"/>
              </w:rPr>
              <w:t xml:space="preserve">              </w:t>
            </w:r>
            <w:r>
              <w:rPr>
                <w:sz w:val="15"/>
                <w:u w:val="single"/>
              </w:rPr>
              <w:t xml:space="preserve">   </w:t>
            </w:r>
            <w:r>
              <w:rPr>
                <w:sz w:val="15"/>
              </w:rPr>
              <w:t xml:space="preserve">         </w:t>
            </w:r>
            <w:r>
              <w:rPr>
                <w:rFonts w:hint="eastAsia"/>
                <w:sz w:val="15"/>
              </w:rPr>
              <w:t>事件严重等级：1.特别重大；2.重大；3.较大；4.一般；5.未分级</w:t>
            </w:r>
          </w:p>
          <w:p w14:paraId="24E99178">
            <w:pPr>
              <w:pStyle w:val="178"/>
              <w:jc w:val="left"/>
              <w:rPr>
                <w:sz w:val="15"/>
              </w:rPr>
            </w:pPr>
            <w:r>
              <w:rPr>
                <w:rFonts w:hint="eastAsia"/>
                <w:sz w:val="15"/>
              </w:rPr>
              <w:t xml:space="preserve">事件发生时间：   </w:t>
            </w:r>
            <w:r>
              <w:rPr>
                <w:rFonts w:hint="eastAsia"/>
                <w:sz w:val="15"/>
                <w:u w:val="single"/>
              </w:rPr>
              <w:t xml:space="preserve">         </w:t>
            </w:r>
            <w:r>
              <w:rPr>
                <w:rFonts w:hint="eastAsia"/>
                <w:sz w:val="15"/>
              </w:rPr>
              <w:t xml:space="preserve"> 年</w:t>
            </w:r>
            <w:r>
              <w:rPr>
                <w:rFonts w:hint="eastAsia"/>
                <w:sz w:val="15"/>
                <w:u w:val="single"/>
              </w:rPr>
              <w:t xml:space="preserve">        </w:t>
            </w:r>
            <w:r>
              <w:rPr>
                <w:rFonts w:hint="eastAsia"/>
                <w:sz w:val="15"/>
              </w:rPr>
              <w:t xml:space="preserve">月 </w:t>
            </w:r>
            <w:r>
              <w:rPr>
                <w:rFonts w:hint="eastAsia"/>
                <w:sz w:val="15"/>
                <w:u w:val="single"/>
              </w:rPr>
              <w:t xml:space="preserve">      </w:t>
            </w:r>
            <w:r>
              <w:rPr>
                <w:rFonts w:hint="eastAsia"/>
                <w:sz w:val="15"/>
              </w:rPr>
              <w:t xml:space="preserve">日 </w:t>
            </w:r>
            <w:r>
              <w:rPr>
                <w:rFonts w:hint="eastAsia"/>
                <w:sz w:val="15"/>
                <w:u w:val="single"/>
              </w:rPr>
              <w:t xml:space="preserve">       </w:t>
            </w:r>
            <w:r>
              <w:rPr>
                <w:rFonts w:hint="eastAsia"/>
                <w:sz w:val="15"/>
              </w:rPr>
              <w:t xml:space="preserve"> 时 </w:t>
            </w:r>
            <w:r>
              <w:rPr>
                <w:rFonts w:hint="eastAsia"/>
                <w:sz w:val="15"/>
                <w:u w:val="single"/>
              </w:rPr>
              <w:t xml:space="preserve">      </w:t>
            </w:r>
            <w:r>
              <w:rPr>
                <w:rFonts w:hint="eastAsia"/>
                <w:sz w:val="15"/>
              </w:rPr>
              <w:t xml:space="preserve"> 分 </w:t>
            </w:r>
            <w:r>
              <w:rPr>
                <w:sz w:val="15"/>
              </w:rPr>
              <w:t xml:space="preserve">     </w:t>
            </w:r>
            <w:r>
              <w:rPr>
                <w:rFonts w:hint="eastAsia"/>
                <w:sz w:val="15"/>
              </w:rPr>
              <w:t>接到报告时间：</w:t>
            </w:r>
            <w:r>
              <w:rPr>
                <w:rFonts w:hint="eastAsia"/>
                <w:sz w:val="15"/>
                <w:u w:val="single"/>
              </w:rPr>
              <w:t xml:space="preserve">            </w:t>
            </w:r>
            <w:r>
              <w:rPr>
                <w:rFonts w:hint="eastAsia"/>
                <w:sz w:val="15"/>
              </w:rPr>
              <w:t xml:space="preserve"> 年</w:t>
            </w:r>
            <w:r>
              <w:rPr>
                <w:rFonts w:hint="eastAsia"/>
                <w:sz w:val="15"/>
                <w:u w:val="single"/>
              </w:rPr>
              <w:t xml:space="preserve">      </w:t>
            </w:r>
            <w:r>
              <w:rPr>
                <w:rFonts w:hint="eastAsia"/>
                <w:sz w:val="15"/>
              </w:rPr>
              <w:t xml:space="preserve">月 </w:t>
            </w:r>
            <w:r>
              <w:rPr>
                <w:rFonts w:hint="eastAsia"/>
                <w:sz w:val="15"/>
                <w:u w:val="single"/>
              </w:rPr>
              <w:t xml:space="preserve">     </w:t>
            </w:r>
            <w:r>
              <w:rPr>
                <w:rFonts w:hint="eastAsia"/>
                <w:sz w:val="15"/>
              </w:rPr>
              <w:t xml:space="preserve">日 </w:t>
            </w:r>
            <w:r>
              <w:rPr>
                <w:rFonts w:hint="eastAsia"/>
                <w:sz w:val="15"/>
                <w:u w:val="single"/>
              </w:rPr>
              <w:t xml:space="preserve">      </w:t>
            </w:r>
            <w:r>
              <w:rPr>
                <w:rFonts w:hint="eastAsia"/>
                <w:sz w:val="15"/>
              </w:rPr>
              <w:t xml:space="preserve"> 时 </w:t>
            </w:r>
            <w:r>
              <w:rPr>
                <w:rFonts w:hint="eastAsia"/>
                <w:sz w:val="15"/>
                <w:u w:val="single"/>
              </w:rPr>
              <w:t xml:space="preserve">      </w:t>
            </w:r>
            <w:r>
              <w:rPr>
                <w:rFonts w:hint="eastAsia"/>
                <w:sz w:val="15"/>
              </w:rPr>
              <w:t xml:space="preserve"> 分 </w:t>
            </w:r>
            <w:r>
              <w:rPr>
                <w:sz w:val="15"/>
              </w:rPr>
              <w:t xml:space="preserve"> </w:t>
            </w:r>
          </w:p>
          <w:p w14:paraId="299B16CC">
            <w:pPr>
              <w:pStyle w:val="178"/>
              <w:jc w:val="left"/>
              <w:rPr>
                <w:sz w:val="15"/>
              </w:rPr>
            </w:pPr>
            <w:r>
              <w:rPr>
                <w:rFonts w:hint="eastAsia"/>
                <w:sz w:val="15"/>
              </w:rPr>
              <w:t xml:space="preserve">初步核实认定时间： </w:t>
            </w:r>
            <w:r>
              <w:rPr>
                <w:rFonts w:hint="eastAsia"/>
                <w:sz w:val="15"/>
                <w:u w:val="single"/>
              </w:rPr>
              <w:t xml:space="preserve">       </w:t>
            </w:r>
            <w:r>
              <w:rPr>
                <w:rFonts w:hint="eastAsia"/>
                <w:sz w:val="15"/>
              </w:rPr>
              <w:t xml:space="preserve"> 年</w:t>
            </w:r>
            <w:r>
              <w:rPr>
                <w:rFonts w:hint="eastAsia"/>
                <w:sz w:val="15"/>
                <w:u w:val="single"/>
              </w:rPr>
              <w:t xml:space="preserve">        </w:t>
            </w:r>
            <w:r>
              <w:rPr>
                <w:rFonts w:hint="eastAsia"/>
                <w:sz w:val="15"/>
              </w:rPr>
              <w:t xml:space="preserve">月 </w:t>
            </w:r>
            <w:r>
              <w:rPr>
                <w:rFonts w:hint="eastAsia"/>
                <w:sz w:val="15"/>
                <w:u w:val="single"/>
              </w:rPr>
              <w:t xml:space="preserve">      </w:t>
            </w:r>
            <w:r>
              <w:rPr>
                <w:rFonts w:hint="eastAsia"/>
                <w:sz w:val="15"/>
              </w:rPr>
              <w:t xml:space="preserve">日 </w:t>
            </w:r>
            <w:r>
              <w:rPr>
                <w:rFonts w:hint="eastAsia"/>
                <w:sz w:val="15"/>
                <w:u w:val="single"/>
              </w:rPr>
              <w:t xml:space="preserve">       </w:t>
            </w:r>
            <w:r>
              <w:rPr>
                <w:rFonts w:hint="eastAsia"/>
                <w:sz w:val="15"/>
              </w:rPr>
              <w:t xml:space="preserve"> 时 </w:t>
            </w:r>
            <w:r>
              <w:rPr>
                <w:rFonts w:hint="eastAsia"/>
                <w:sz w:val="15"/>
                <w:u w:val="single"/>
              </w:rPr>
              <w:t xml:space="preserve">      </w:t>
            </w:r>
            <w:r>
              <w:rPr>
                <w:rFonts w:hint="eastAsia"/>
                <w:sz w:val="15"/>
              </w:rPr>
              <w:t xml:space="preserve"> 分 </w:t>
            </w:r>
            <w:r>
              <w:rPr>
                <w:sz w:val="15"/>
              </w:rPr>
              <w:t xml:space="preserve">     </w:t>
            </w:r>
            <w:r>
              <w:rPr>
                <w:rFonts w:hint="eastAsia"/>
                <w:sz w:val="15"/>
              </w:rPr>
              <w:t>首例病人发病时间：</w:t>
            </w:r>
            <w:r>
              <w:rPr>
                <w:rFonts w:hint="eastAsia"/>
                <w:sz w:val="15"/>
                <w:u w:val="single"/>
              </w:rPr>
              <w:t xml:space="preserve">        </w:t>
            </w:r>
            <w:r>
              <w:rPr>
                <w:rFonts w:hint="eastAsia"/>
                <w:sz w:val="15"/>
              </w:rPr>
              <w:t xml:space="preserve"> 年</w:t>
            </w:r>
            <w:r>
              <w:rPr>
                <w:rFonts w:hint="eastAsia"/>
                <w:sz w:val="15"/>
                <w:u w:val="single"/>
              </w:rPr>
              <w:t xml:space="preserve">      </w:t>
            </w:r>
            <w:r>
              <w:rPr>
                <w:rFonts w:hint="eastAsia"/>
                <w:sz w:val="15"/>
              </w:rPr>
              <w:t xml:space="preserve">月 </w:t>
            </w:r>
            <w:r>
              <w:rPr>
                <w:rFonts w:hint="eastAsia"/>
                <w:sz w:val="15"/>
                <w:u w:val="single"/>
              </w:rPr>
              <w:t xml:space="preserve">     </w:t>
            </w:r>
            <w:r>
              <w:rPr>
                <w:rFonts w:hint="eastAsia"/>
                <w:sz w:val="15"/>
              </w:rPr>
              <w:t xml:space="preserve">日 </w:t>
            </w:r>
            <w:r>
              <w:rPr>
                <w:rFonts w:hint="eastAsia"/>
                <w:sz w:val="15"/>
                <w:u w:val="single"/>
              </w:rPr>
              <w:t xml:space="preserve">      </w:t>
            </w:r>
            <w:r>
              <w:rPr>
                <w:rFonts w:hint="eastAsia"/>
                <w:sz w:val="15"/>
              </w:rPr>
              <w:t xml:space="preserve"> 时 </w:t>
            </w:r>
            <w:r>
              <w:rPr>
                <w:rFonts w:hint="eastAsia"/>
                <w:sz w:val="15"/>
                <w:u w:val="single"/>
              </w:rPr>
              <w:t xml:space="preserve">      </w:t>
            </w:r>
            <w:r>
              <w:rPr>
                <w:rFonts w:hint="eastAsia"/>
                <w:sz w:val="15"/>
              </w:rPr>
              <w:t xml:space="preserve"> 分 </w:t>
            </w:r>
            <w:r>
              <w:rPr>
                <w:sz w:val="15"/>
              </w:rPr>
              <w:t xml:space="preserve"> </w:t>
            </w:r>
          </w:p>
          <w:p w14:paraId="56DC50F9">
            <w:pPr>
              <w:pStyle w:val="178"/>
              <w:jc w:val="left"/>
              <w:rPr>
                <w:sz w:val="15"/>
              </w:rPr>
            </w:pPr>
            <w:r>
              <w:rPr>
                <w:rFonts w:hint="eastAsia"/>
                <w:sz w:val="15"/>
              </w:rPr>
              <w:t xml:space="preserve">末例病人发病时间： </w:t>
            </w:r>
            <w:r>
              <w:rPr>
                <w:rFonts w:hint="eastAsia"/>
                <w:sz w:val="15"/>
                <w:u w:val="single"/>
              </w:rPr>
              <w:t xml:space="preserve">       </w:t>
            </w:r>
            <w:r>
              <w:rPr>
                <w:rFonts w:hint="eastAsia"/>
                <w:sz w:val="15"/>
              </w:rPr>
              <w:t xml:space="preserve"> 年</w:t>
            </w:r>
            <w:r>
              <w:rPr>
                <w:rFonts w:hint="eastAsia"/>
                <w:sz w:val="15"/>
                <w:u w:val="single"/>
              </w:rPr>
              <w:t xml:space="preserve">        </w:t>
            </w:r>
            <w:r>
              <w:rPr>
                <w:rFonts w:hint="eastAsia"/>
                <w:sz w:val="15"/>
              </w:rPr>
              <w:t xml:space="preserve">月 </w:t>
            </w:r>
            <w:r>
              <w:rPr>
                <w:rFonts w:hint="eastAsia"/>
                <w:sz w:val="15"/>
                <w:u w:val="single"/>
              </w:rPr>
              <w:t xml:space="preserve">      </w:t>
            </w:r>
            <w:r>
              <w:rPr>
                <w:rFonts w:hint="eastAsia"/>
                <w:sz w:val="15"/>
              </w:rPr>
              <w:t xml:space="preserve">日 </w:t>
            </w:r>
            <w:r>
              <w:rPr>
                <w:rFonts w:hint="eastAsia"/>
                <w:sz w:val="15"/>
                <w:u w:val="single"/>
              </w:rPr>
              <w:t xml:space="preserve">       </w:t>
            </w:r>
            <w:r>
              <w:rPr>
                <w:rFonts w:hint="eastAsia"/>
                <w:sz w:val="15"/>
              </w:rPr>
              <w:t xml:space="preserve"> 时 </w:t>
            </w:r>
            <w:r>
              <w:rPr>
                <w:rFonts w:hint="eastAsia"/>
                <w:sz w:val="15"/>
                <w:u w:val="single"/>
              </w:rPr>
              <w:t xml:space="preserve">      </w:t>
            </w:r>
            <w:r>
              <w:rPr>
                <w:rFonts w:hint="eastAsia"/>
                <w:sz w:val="15"/>
              </w:rPr>
              <w:t xml:space="preserve"> 分</w:t>
            </w:r>
          </w:p>
          <w:p w14:paraId="1FD141E6">
            <w:pPr>
              <w:pStyle w:val="178"/>
              <w:jc w:val="left"/>
              <w:rPr>
                <w:sz w:val="15"/>
              </w:rPr>
            </w:pPr>
            <w:r>
              <w:rPr>
                <w:rFonts w:hint="eastAsia"/>
                <w:sz w:val="15"/>
              </w:rPr>
              <w:t>初步诊断：</w:t>
            </w:r>
            <w:r>
              <w:rPr>
                <w:rFonts w:hint="eastAsia"/>
                <w:sz w:val="15"/>
                <w:u w:val="single"/>
              </w:rPr>
              <w:t xml:space="preserve">                                  </w:t>
            </w:r>
            <w:r>
              <w:rPr>
                <w:rFonts w:hint="eastAsia"/>
                <w:sz w:val="15"/>
              </w:rPr>
              <w:t>；  初步诊断时间：</w:t>
            </w:r>
            <w:r>
              <w:rPr>
                <w:rFonts w:hint="eastAsia"/>
                <w:sz w:val="15"/>
                <w:u w:val="single"/>
              </w:rPr>
              <w:t xml:space="preserve">       </w:t>
            </w:r>
            <w:r>
              <w:rPr>
                <w:rFonts w:hint="eastAsia"/>
                <w:sz w:val="15"/>
              </w:rPr>
              <w:t>年</w:t>
            </w:r>
            <w:r>
              <w:rPr>
                <w:rFonts w:hint="eastAsia"/>
                <w:sz w:val="15"/>
                <w:u w:val="single"/>
              </w:rPr>
              <w:t xml:space="preserve">    </w:t>
            </w:r>
            <w:r>
              <w:rPr>
                <w:rFonts w:hint="eastAsia"/>
                <w:sz w:val="15"/>
              </w:rPr>
              <w:t>月</w:t>
            </w:r>
            <w:r>
              <w:rPr>
                <w:rFonts w:hint="eastAsia"/>
                <w:sz w:val="15"/>
                <w:u w:val="single"/>
              </w:rPr>
              <w:t xml:space="preserve">    </w:t>
            </w:r>
            <w:r>
              <w:rPr>
                <w:rFonts w:hint="eastAsia"/>
                <w:sz w:val="15"/>
              </w:rPr>
              <w:t>日</w:t>
            </w:r>
          </w:p>
          <w:p w14:paraId="4CC57A18">
            <w:pPr>
              <w:pStyle w:val="178"/>
              <w:jc w:val="left"/>
              <w:rPr>
                <w:sz w:val="15"/>
              </w:rPr>
            </w:pPr>
            <w:r>
              <w:rPr>
                <w:rFonts w:hint="eastAsia"/>
                <w:sz w:val="15"/>
              </w:rPr>
              <w:t>订正诊断：</w:t>
            </w:r>
            <w:r>
              <w:rPr>
                <w:rFonts w:hint="eastAsia"/>
                <w:sz w:val="15"/>
                <w:u w:val="single"/>
              </w:rPr>
              <w:t xml:space="preserve">                                  </w:t>
            </w:r>
            <w:r>
              <w:rPr>
                <w:rFonts w:hint="eastAsia"/>
                <w:sz w:val="15"/>
              </w:rPr>
              <w:t>；  订正诊断时间：</w:t>
            </w:r>
            <w:r>
              <w:rPr>
                <w:rFonts w:hint="eastAsia"/>
                <w:sz w:val="15"/>
                <w:u w:val="single"/>
              </w:rPr>
              <w:t xml:space="preserve">       </w:t>
            </w:r>
            <w:r>
              <w:rPr>
                <w:rFonts w:hint="eastAsia"/>
                <w:sz w:val="15"/>
              </w:rPr>
              <w:t>年</w:t>
            </w:r>
            <w:r>
              <w:rPr>
                <w:rFonts w:hint="eastAsia"/>
                <w:sz w:val="15"/>
                <w:u w:val="single"/>
              </w:rPr>
              <w:t xml:space="preserve">    </w:t>
            </w:r>
            <w:r>
              <w:rPr>
                <w:rFonts w:hint="eastAsia"/>
                <w:sz w:val="15"/>
              </w:rPr>
              <w:t>月</w:t>
            </w:r>
            <w:r>
              <w:rPr>
                <w:rFonts w:hint="eastAsia"/>
                <w:sz w:val="15"/>
                <w:u w:val="single"/>
              </w:rPr>
              <w:t xml:space="preserve">    </w:t>
            </w:r>
            <w:r>
              <w:rPr>
                <w:rFonts w:hint="eastAsia"/>
                <w:sz w:val="15"/>
              </w:rPr>
              <w:t>日</w:t>
            </w:r>
          </w:p>
          <w:p w14:paraId="641DED1C">
            <w:pPr>
              <w:pStyle w:val="178"/>
              <w:jc w:val="left"/>
              <w:rPr>
                <w:sz w:val="15"/>
              </w:rPr>
            </w:pPr>
            <w:r>
              <w:rPr>
                <w:rFonts w:hint="eastAsia"/>
                <w:sz w:val="15"/>
              </w:rPr>
              <w:t>事件发生原因：</w:t>
            </w:r>
            <w:r>
              <w:rPr>
                <w:rFonts w:hint="eastAsia"/>
                <w:spacing w:val="-6"/>
                <w:sz w:val="15"/>
              </w:rPr>
              <w:t>1.空气传播；2.饮用水污染；3.食物污染；4.院内感染；5.医源性传播；6.生活接触传播；7.原发性；8.输入性；9.媒介动植物传播；10.不明；11.</w:t>
            </w:r>
            <w:r>
              <w:rPr>
                <w:rFonts w:hint="eastAsia"/>
                <w:sz w:val="15"/>
              </w:rPr>
              <w:t>其他</w:t>
            </w:r>
            <w:r>
              <w:rPr>
                <w:rFonts w:hint="eastAsia"/>
                <w:sz w:val="15"/>
                <w:u w:val="single"/>
              </w:rPr>
              <w:t xml:space="preserve">        </w:t>
            </w:r>
          </w:p>
          <w:p w14:paraId="15EFCB8C">
            <w:pPr>
              <w:pStyle w:val="178"/>
              <w:jc w:val="left"/>
              <w:rPr>
                <w:sz w:val="15"/>
              </w:rPr>
            </w:pPr>
            <w:r>
              <w:rPr>
                <w:rFonts w:hint="eastAsia"/>
                <w:sz w:val="15"/>
              </w:rPr>
              <w:t>事件控制措施：1.隔离传染病病人；2.预防性服药；3.宣传教育；4.消毒；5.疫苗接种；6.疫点封锁；7.医疗救护；8.现场救援；9.群体卫生防护；10.区域实行疫情零报；11.开展流行病学调查；12.筹资免费救治；13.多部门协作，群防群治；14.落实各项公共卫生措施；15.政府成立专项工作组织；16.区域实行疫情日报；17.国家卫健部门已公布该事件信息；18.启动本县区级应急预案；19.启动地市级应急预案；20.启动本省级应急预案；21.启动全国应急预案；22.专家评估；23.上级督察和指导；24.针对新病种出台新方案；25.调拨贮备急需物资药品；26.停课；27.停工；28.停业；29.停市；30.其他</w:t>
            </w:r>
            <w:r>
              <w:rPr>
                <w:rFonts w:hint="eastAsia"/>
                <w:sz w:val="15"/>
                <w:u w:val="single"/>
              </w:rPr>
              <w:t xml:space="preserve">        </w:t>
            </w:r>
          </w:p>
          <w:p w14:paraId="5D00A547">
            <w:pPr>
              <w:pStyle w:val="178"/>
              <w:jc w:val="left"/>
              <w:rPr>
                <w:sz w:val="15"/>
              </w:rPr>
            </w:pPr>
            <w:r>
              <w:rPr>
                <w:rFonts w:hint="eastAsia"/>
                <w:sz w:val="15"/>
              </w:rPr>
              <w:t>病人处理过程：1.对症治疗；2.就地观察；3.就地治疗；4.公安机关协助强制执行；5.免费救治；6.医学观察；7.转送定点医院；8.隔离观察；9.特异性治疗；10.明确诊断；11.采样检验；12.就地隔离；13.其他</w:t>
            </w:r>
            <w:r>
              <w:rPr>
                <w:rFonts w:hint="eastAsia"/>
                <w:sz w:val="15"/>
                <w:u w:val="single"/>
              </w:rPr>
              <w:t xml:space="preserve">        </w:t>
            </w:r>
          </w:p>
          <w:p w14:paraId="718E17EB">
            <w:pPr>
              <w:pStyle w:val="178"/>
              <w:jc w:val="left"/>
              <w:rPr>
                <w:sz w:val="15"/>
              </w:rPr>
            </w:pPr>
            <w:r>
              <w:rPr>
                <w:rFonts w:hint="eastAsia"/>
                <w:sz w:val="15"/>
              </w:rPr>
              <w:t>传播途径：1.呼吸道传播；2.消化道传播；3.接触传播；4.虫媒传播；5.血液、体液传播；6.母婴传播；7.其他</w:t>
            </w:r>
            <w:r>
              <w:rPr>
                <w:rFonts w:hint="eastAsia"/>
                <w:sz w:val="15"/>
                <w:u w:val="single"/>
              </w:rPr>
              <w:t xml:space="preserve">        </w:t>
            </w:r>
          </w:p>
          <w:p w14:paraId="6760F70A">
            <w:pPr>
              <w:pStyle w:val="178"/>
              <w:jc w:val="left"/>
              <w:rPr>
                <w:sz w:val="15"/>
              </w:rPr>
            </w:pPr>
            <w:r>
              <w:rPr>
                <w:rFonts w:hint="eastAsia"/>
                <w:sz w:val="15"/>
              </w:rPr>
              <w:t xml:space="preserve">实验室检测结果： </w:t>
            </w:r>
            <w:r>
              <w:rPr>
                <w:rFonts w:hint="eastAsia"/>
                <w:sz w:val="15"/>
                <w:u w:val="single"/>
              </w:rPr>
              <w:t xml:space="preserve">                                                                        </w:t>
            </w:r>
          </w:p>
          <w:p w14:paraId="415A04A7">
            <w:pPr>
              <w:pStyle w:val="178"/>
              <w:jc w:val="left"/>
            </w:pPr>
            <w:r>
              <w:rPr>
                <w:rFonts w:hint="eastAsia"/>
                <w:sz w:val="15"/>
              </w:rPr>
              <w:t>注：请在相应选项处划“〇”</w:t>
            </w:r>
          </w:p>
        </w:tc>
      </w:tr>
    </w:tbl>
    <w:p w14:paraId="745B6BDE">
      <w:pPr>
        <w:pStyle w:val="76"/>
        <w:spacing w:after="156"/>
      </w:pPr>
      <w:r>
        <w:br w:type="textWrapping"/>
      </w:r>
      <w:bookmarkStart w:id="135" w:name="_Toc164989268"/>
      <w:bookmarkStart w:id="136" w:name="_Toc176272250"/>
      <w:bookmarkStart w:id="137" w:name="_Toc164989317"/>
      <w:bookmarkStart w:id="138" w:name="_Toc164989293"/>
      <w:bookmarkStart w:id="139" w:name="_Toc164990252"/>
      <w:bookmarkStart w:id="140" w:name="_Toc164989221"/>
      <w:r>
        <w:rPr>
          <w:rFonts w:hint="eastAsia"/>
        </w:rPr>
        <w:t>（规范性）</w:t>
      </w:r>
      <w:r>
        <w:br w:type="textWrapping"/>
      </w:r>
      <w:r>
        <w:rPr>
          <w:rFonts w:hint="eastAsia"/>
        </w:rPr>
        <w:t>传染病相关信息报告卡及填卡说明</w:t>
      </w:r>
      <w:bookmarkEnd w:id="135"/>
      <w:bookmarkEnd w:id="136"/>
      <w:bookmarkEnd w:id="137"/>
      <w:bookmarkEnd w:id="138"/>
      <w:bookmarkEnd w:id="139"/>
      <w:bookmarkEnd w:id="140"/>
    </w:p>
    <w:p w14:paraId="4F2EDD5D">
      <w:pPr>
        <w:pStyle w:val="78"/>
        <w:spacing w:before="156" w:after="156"/>
      </w:pPr>
      <w:bookmarkStart w:id="141" w:name="_Toc164989318"/>
      <w:bookmarkStart w:id="142" w:name="_Toc164989294"/>
      <w:bookmarkStart w:id="143" w:name="_Toc164989222"/>
      <w:bookmarkStart w:id="144" w:name="_Toc164990253"/>
      <w:bookmarkStart w:id="145" w:name="_Toc164989269"/>
      <w:r>
        <w:rPr>
          <w:rFonts w:hint="eastAsia"/>
        </w:rPr>
        <w:t>传染病相关信息报告卡</w:t>
      </w:r>
      <w:bookmarkEnd w:id="141"/>
      <w:bookmarkEnd w:id="142"/>
      <w:bookmarkEnd w:id="143"/>
      <w:bookmarkEnd w:id="144"/>
      <w:bookmarkEnd w:id="145"/>
    </w:p>
    <w:p w14:paraId="4E09D7CF">
      <w:pPr>
        <w:pStyle w:val="56"/>
        <w:ind w:firstLine="0" w:firstLineChars="0"/>
        <w:rPr>
          <w:sz w:val="20"/>
        </w:rPr>
      </w:pPr>
      <w:r>
        <w:rPr>
          <w:rFonts w:hint="eastAsia"/>
          <w:sz w:val="20"/>
        </w:rPr>
        <w:t>1.初次报告  2.进程报告（第   次）  3.结案报告</w:t>
      </w:r>
    </w:p>
    <w:p w14:paraId="03D68646">
      <w:pPr>
        <w:pStyle w:val="56"/>
        <w:ind w:firstLine="400"/>
        <w:rPr>
          <w:sz w:val="20"/>
        </w:rPr>
      </w:pPr>
    </w:p>
    <w:p w14:paraId="7577493F">
      <w:pPr>
        <w:pStyle w:val="78"/>
        <w:spacing w:before="156" w:after="156"/>
      </w:pPr>
      <w:bookmarkStart w:id="146" w:name="_Toc164989223"/>
      <w:bookmarkStart w:id="147" w:name="_Toc164989319"/>
      <w:bookmarkStart w:id="148" w:name="_Toc164990254"/>
      <w:bookmarkStart w:id="149" w:name="_Toc164989295"/>
      <w:bookmarkStart w:id="150" w:name="_Toc164989270"/>
      <w:r>
        <w:rPr>
          <w:rFonts w:hint="eastAsia"/>
        </w:rPr>
        <w:t>《传染病相关信息报告卡》填卡说明</w:t>
      </w:r>
      <w:bookmarkEnd w:id="146"/>
      <w:bookmarkEnd w:id="147"/>
      <w:bookmarkEnd w:id="148"/>
      <w:bookmarkEnd w:id="149"/>
      <w:bookmarkEnd w:id="150"/>
    </w:p>
    <w:p w14:paraId="070B4ADF">
      <w:pPr>
        <w:pStyle w:val="56"/>
        <w:ind w:firstLine="320"/>
        <w:rPr>
          <w:rFonts w:ascii="Arial" w:hAnsi="Arial"/>
          <w:sz w:val="16"/>
        </w:rPr>
      </w:pPr>
      <w:r>
        <w:rPr>
          <w:rFonts w:hint="eastAsia"/>
          <w:sz w:val="16"/>
        </w:rPr>
        <w:t>填报单位（盖章）：填写本报告卡的单位全称。</w:t>
      </w:r>
    </w:p>
    <w:p w14:paraId="672C6C6C">
      <w:pPr>
        <w:pStyle w:val="56"/>
        <w:ind w:firstLine="320"/>
        <w:rPr>
          <w:rFonts w:ascii="Times New Roman"/>
          <w:sz w:val="16"/>
        </w:rPr>
      </w:pPr>
      <w:r>
        <w:rPr>
          <w:rFonts w:hint="eastAsia"/>
          <w:sz w:val="16"/>
        </w:rPr>
        <w:t>填报日期： 填写本报告卡的日期。</w:t>
      </w:r>
    </w:p>
    <w:p w14:paraId="44CE7125">
      <w:pPr>
        <w:pStyle w:val="56"/>
        <w:ind w:firstLine="320"/>
        <w:rPr>
          <w:rFonts w:ascii="Arial" w:hAnsi="Arial"/>
          <w:sz w:val="16"/>
          <w:u w:val="single"/>
        </w:rPr>
      </w:pPr>
      <w:r>
        <w:rPr>
          <w:rFonts w:hint="eastAsia"/>
          <w:sz w:val="16"/>
        </w:rPr>
        <w:t>事件报告人：填写事件报告人的姓名，如事件由某单位上报，则填写单位。</w:t>
      </w:r>
    </w:p>
    <w:p w14:paraId="1D0D4CAE">
      <w:pPr>
        <w:pStyle w:val="56"/>
        <w:ind w:firstLine="320"/>
        <w:rPr>
          <w:rFonts w:ascii="Arial" w:hAnsi="Arial"/>
          <w:sz w:val="16"/>
        </w:rPr>
      </w:pPr>
      <w:r>
        <w:rPr>
          <w:rFonts w:hint="eastAsia"/>
          <w:sz w:val="16"/>
        </w:rPr>
        <w:t>联系电话：事件报告人的联系电话。</w:t>
      </w:r>
    </w:p>
    <w:p w14:paraId="19657161">
      <w:pPr>
        <w:pStyle w:val="56"/>
        <w:ind w:firstLine="320"/>
        <w:rPr>
          <w:rFonts w:ascii="Arial" w:hAnsi="Arial"/>
          <w:sz w:val="16"/>
        </w:rPr>
      </w:pPr>
      <w:r>
        <w:rPr>
          <w:rFonts w:hint="eastAsia"/>
          <w:sz w:val="16"/>
        </w:rPr>
        <w:t>事件名称：本起事件的名称，一般不宜超过</w:t>
      </w:r>
      <w:r>
        <w:rPr>
          <w:rFonts w:hint="eastAsia" w:hAnsi="宋体"/>
          <w:sz w:val="16"/>
        </w:rPr>
        <w:t>30</w:t>
      </w:r>
      <w:r>
        <w:rPr>
          <w:rFonts w:hint="eastAsia"/>
          <w:sz w:val="16"/>
        </w:rPr>
        <w:t>字。建议事件名称统一为“县区名称”</w:t>
      </w:r>
      <w:r>
        <w:rPr>
          <w:rFonts w:hint="eastAsia" w:ascii="Arial" w:hAnsi="Arial"/>
          <w:sz w:val="16"/>
        </w:rPr>
        <w:t>+</w:t>
      </w:r>
      <w:r>
        <w:rPr>
          <w:rFonts w:hint="eastAsia"/>
          <w:sz w:val="16"/>
        </w:rPr>
        <w:t>“具体地点”</w:t>
      </w:r>
      <w:r>
        <w:rPr>
          <w:rFonts w:hint="eastAsia" w:ascii="Arial" w:hAnsi="Arial"/>
          <w:sz w:val="16"/>
        </w:rPr>
        <w:t>+</w:t>
      </w:r>
      <w:r>
        <w:rPr>
          <w:rFonts w:hint="eastAsia"/>
          <w:sz w:val="16"/>
        </w:rPr>
        <w:t>“一起或</w:t>
      </w:r>
      <w:r>
        <w:rPr>
          <w:rFonts w:hint="eastAsia" w:ascii="Arial" w:hAnsi="Arial"/>
          <w:sz w:val="16"/>
        </w:rPr>
        <w:t>*</w:t>
      </w:r>
      <w:r>
        <w:rPr>
          <w:rFonts w:hint="eastAsia"/>
          <w:sz w:val="16"/>
        </w:rPr>
        <w:t>例”</w:t>
      </w:r>
      <w:r>
        <w:rPr>
          <w:rFonts w:hint="eastAsia" w:ascii="Arial" w:hAnsi="Arial"/>
          <w:sz w:val="16"/>
        </w:rPr>
        <w:t>+</w:t>
      </w:r>
      <w:r>
        <w:rPr>
          <w:rFonts w:hint="eastAsia"/>
          <w:sz w:val="16"/>
        </w:rPr>
        <w:t>“事件类别（传染病病名或者初步诊断疾病名称）”</w:t>
      </w:r>
      <w:r>
        <w:rPr>
          <w:rFonts w:hint="eastAsia" w:ascii="Arial" w:hAnsi="Arial"/>
          <w:sz w:val="16"/>
        </w:rPr>
        <w:t>+</w:t>
      </w:r>
      <w:r>
        <w:rPr>
          <w:rFonts w:hint="eastAsia"/>
          <w:sz w:val="16"/>
        </w:rPr>
        <w:t>“事件描述”。</w:t>
      </w:r>
    </w:p>
    <w:p w14:paraId="26FBFBB3">
      <w:pPr>
        <w:pStyle w:val="56"/>
        <w:ind w:firstLine="320"/>
        <w:rPr>
          <w:rFonts w:ascii="Arial" w:hAnsi="Arial"/>
          <w:sz w:val="16"/>
        </w:rPr>
      </w:pPr>
      <w:r>
        <w:rPr>
          <w:rFonts w:hint="eastAsia"/>
          <w:sz w:val="16"/>
        </w:rPr>
        <w:t>事件类别：选择相应的选项。</w:t>
      </w:r>
    </w:p>
    <w:p w14:paraId="0FA77ED7">
      <w:pPr>
        <w:pStyle w:val="56"/>
        <w:ind w:firstLine="320"/>
        <w:rPr>
          <w:rFonts w:ascii="Arial" w:hAnsi="Arial"/>
          <w:sz w:val="16"/>
        </w:rPr>
      </w:pPr>
      <w:r>
        <w:rPr>
          <w:rFonts w:hint="eastAsia"/>
          <w:sz w:val="16"/>
        </w:rPr>
        <w:t>事件信息来源：填写报告单位接收到事件信息的途径。</w:t>
      </w:r>
    </w:p>
    <w:p w14:paraId="32100E28">
      <w:pPr>
        <w:pStyle w:val="56"/>
        <w:ind w:firstLine="320"/>
        <w:rPr>
          <w:rFonts w:ascii="Arial" w:hAnsi="Arial"/>
          <w:sz w:val="16"/>
        </w:rPr>
      </w:pPr>
      <w:r>
        <w:rPr>
          <w:rFonts w:hint="eastAsia"/>
          <w:sz w:val="16"/>
        </w:rPr>
        <w:t>事件信息来源详细：填写报告单位接收到事件信息的详细来源，机构需填写机构详细名称，报纸注明报纸名称、刊号、日期、版面；电视注明哪个电视台，几月几日几时哪个节目；互联网注明哪个</w:t>
      </w:r>
      <w:r>
        <w:rPr>
          <w:rFonts w:hint="eastAsia" w:ascii="Arial" w:hAnsi="Arial"/>
          <w:sz w:val="16"/>
        </w:rPr>
        <w:t>URL</w:t>
      </w:r>
      <w:r>
        <w:rPr>
          <w:rFonts w:hint="eastAsia"/>
          <w:sz w:val="16"/>
        </w:rPr>
        <w:t>地址；市民报告需注明来电号码等个人详细联系方式；广播需注明哪个电台，几时几分哪个节目。</w:t>
      </w:r>
    </w:p>
    <w:p w14:paraId="2C6F51AB">
      <w:pPr>
        <w:pStyle w:val="56"/>
        <w:ind w:firstLine="320"/>
        <w:rPr>
          <w:rFonts w:ascii="Arial" w:hAnsi="Arial"/>
          <w:sz w:val="16"/>
        </w:rPr>
      </w:pPr>
      <w:r>
        <w:rPr>
          <w:rFonts w:hint="eastAsia"/>
          <w:sz w:val="16"/>
        </w:rPr>
        <w:t>报告地区：至少填写到县区，一般指报告单位所在的县区。</w:t>
      </w:r>
    </w:p>
    <w:p w14:paraId="58BF18C4">
      <w:pPr>
        <w:pStyle w:val="56"/>
        <w:ind w:firstLine="320"/>
        <w:rPr>
          <w:rFonts w:ascii="Arial" w:hAnsi="Arial"/>
          <w:sz w:val="16"/>
        </w:rPr>
      </w:pPr>
      <w:r>
        <w:rPr>
          <w:rFonts w:hint="eastAsia"/>
          <w:sz w:val="16"/>
        </w:rPr>
        <w:t>发生地区：须详细填写到乡镇（街道），如发生地区已超出一个乡镇范围，则填写事件的源发地或最早发生的乡镇（街道），也可直接填写发生场所所在的地区。</w:t>
      </w:r>
    </w:p>
    <w:p w14:paraId="7112D7BC">
      <w:pPr>
        <w:pStyle w:val="56"/>
        <w:ind w:firstLine="320"/>
        <w:rPr>
          <w:rFonts w:ascii="Arial" w:hAnsi="Arial"/>
          <w:sz w:val="16"/>
        </w:rPr>
      </w:pPr>
      <w:r>
        <w:rPr>
          <w:rFonts w:hint="eastAsia"/>
          <w:sz w:val="16"/>
        </w:rPr>
        <w:t>详细地点：事件发生场所所处的详细地点，越精确越好。</w:t>
      </w:r>
    </w:p>
    <w:p w14:paraId="5C169A42">
      <w:pPr>
        <w:pStyle w:val="56"/>
        <w:ind w:firstLine="320"/>
        <w:rPr>
          <w:rFonts w:ascii="Arial" w:hAnsi="Arial"/>
          <w:sz w:val="16"/>
        </w:rPr>
      </w:pPr>
      <w:r>
        <w:rPr>
          <w:rFonts w:hint="eastAsia"/>
          <w:sz w:val="16"/>
        </w:rPr>
        <w:t>事件发生场所：根据事件发生的场所选择相应选项。如是医疗卫生机构，需选择相应类别，并选择事件发生的部门。</w:t>
      </w:r>
    </w:p>
    <w:p w14:paraId="4AF68AE9">
      <w:pPr>
        <w:pStyle w:val="56"/>
        <w:ind w:firstLine="320"/>
        <w:rPr>
          <w:rFonts w:ascii="Arial" w:hAnsi="Arial"/>
          <w:sz w:val="16"/>
        </w:rPr>
      </w:pPr>
      <w:r>
        <w:rPr>
          <w:rFonts w:hint="eastAsia"/>
          <w:sz w:val="16"/>
        </w:rPr>
        <w:t>学校类别：事件发生场所选择学校时需填写此项。选择相应学校类别，如发生学校既有中学，又有小学，则为综合类学校，余类似。</w:t>
      </w:r>
    </w:p>
    <w:p w14:paraId="66DA4510">
      <w:pPr>
        <w:pStyle w:val="56"/>
        <w:ind w:firstLine="320"/>
        <w:rPr>
          <w:rFonts w:ascii="Arial" w:hAnsi="Arial"/>
          <w:sz w:val="16"/>
        </w:rPr>
      </w:pPr>
      <w:r>
        <w:rPr>
          <w:rFonts w:hint="eastAsia"/>
          <w:sz w:val="16"/>
        </w:rPr>
        <w:t>事件波及的地域范围：传染源可能波及的范围，或者导致事件的化学、物理因子可能波及的范围。</w:t>
      </w:r>
    </w:p>
    <w:p w14:paraId="27C921F4">
      <w:pPr>
        <w:pStyle w:val="56"/>
        <w:ind w:firstLine="320"/>
        <w:rPr>
          <w:rFonts w:ascii="Arial" w:hAnsi="Arial"/>
          <w:sz w:val="16"/>
        </w:rPr>
      </w:pPr>
      <w:r>
        <w:rPr>
          <w:rFonts w:hint="eastAsia"/>
          <w:sz w:val="16"/>
        </w:rPr>
        <w:t>涉及或暴露人口数：传染源可能波及范围内的人数，或导致事件的化学、物理因子可能波及范围内的人数。</w:t>
      </w:r>
    </w:p>
    <w:p w14:paraId="433C3B6C">
      <w:pPr>
        <w:pStyle w:val="56"/>
        <w:ind w:firstLine="320"/>
        <w:rPr>
          <w:rFonts w:ascii="Arial" w:hAnsi="Arial"/>
          <w:sz w:val="16"/>
        </w:rPr>
      </w:pPr>
      <w:r>
        <w:rPr>
          <w:rFonts w:hint="eastAsia"/>
          <w:sz w:val="16"/>
        </w:rPr>
        <w:t>本次报告发病人数：“初次报告”为初次报告时的发病人数；“进程报告”为上次报告后到本次报告前新增的发病人数。</w:t>
      </w:r>
    </w:p>
    <w:p w14:paraId="7DDC951C">
      <w:pPr>
        <w:pStyle w:val="56"/>
        <w:ind w:firstLine="320"/>
        <w:rPr>
          <w:rFonts w:ascii="Arial" w:hAnsi="Arial"/>
          <w:sz w:val="16"/>
        </w:rPr>
      </w:pPr>
      <w:r>
        <w:rPr>
          <w:rFonts w:hint="eastAsia"/>
          <w:sz w:val="16"/>
        </w:rPr>
        <w:t>本次报告死亡人数：“初次报告”为初次报告时的死亡人数；“进程报告”为上次报告后到本次报告前新增的死亡人数。</w:t>
      </w:r>
    </w:p>
    <w:p w14:paraId="5CAA4090">
      <w:pPr>
        <w:pStyle w:val="56"/>
        <w:ind w:firstLine="320"/>
        <w:rPr>
          <w:rFonts w:ascii="Arial" w:hAnsi="Arial"/>
          <w:sz w:val="16"/>
        </w:rPr>
      </w:pPr>
      <w:r>
        <w:rPr>
          <w:rFonts w:hint="eastAsia"/>
          <w:sz w:val="16"/>
        </w:rPr>
        <w:t>发病核减数：上次报告后到本次报告前排除的发病人数。</w:t>
      </w:r>
    </w:p>
    <w:p w14:paraId="653F5900">
      <w:pPr>
        <w:pStyle w:val="56"/>
        <w:ind w:firstLine="320"/>
        <w:rPr>
          <w:rFonts w:ascii="Arial" w:hAnsi="Arial"/>
          <w:sz w:val="16"/>
        </w:rPr>
      </w:pPr>
      <w:r>
        <w:rPr>
          <w:rFonts w:hint="eastAsia"/>
          <w:sz w:val="16"/>
        </w:rPr>
        <w:t>死亡核减数：上次报告后到本次报告前排除的死亡人数。</w:t>
      </w:r>
    </w:p>
    <w:p w14:paraId="634DBC5B">
      <w:pPr>
        <w:pStyle w:val="56"/>
        <w:ind w:firstLine="320"/>
        <w:rPr>
          <w:rFonts w:ascii="Arial" w:hAnsi="Arial"/>
          <w:sz w:val="16"/>
        </w:rPr>
      </w:pPr>
      <w:r>
        <w:rPr>
          <w:rFonts w:hint="eastAsia"/>
          <w:sz w:val="16"/>
        </w:rPr>
        <w:t>累计报告发病人数：从事件发生始到本次报告前的总发病人数，“结案报告”由系统累计各次报告的发病人数自动生成。</w:t>
      </w:r>
    </w:p>
    <w:p w14:paraId="3616CA6E">
      <w:pPr>
        <w:pStyle w:val="56"/>
        <w:ind w:firstLine="320"/>
        <w:rPr>
          <w:rFonts w:ascii="Arial" w:hAnsi="Arial"/>
          <w:sz w:val="16"/>
        </w:rPr>
      </w:pPr>
      <w:r>
        <w:rPr>
          <w:rFonts w:hint="eastAsia"/>
          <w:sz w:val="16"/>
        </w:rPr>
        <w:t>累计报告死亡人数：从事件发生始到本次报告前的总死亡人数，“结案报告”由系统累计各次报告的死亡人数自动生成。</w:t>
      </w:r>
    </w:p>
    <w:p w14:paraId="38B56121">
      <w:pPr>
        <w:pStyle w:val="56"/>
        <w:ind w:firstLine="320"/>
        <w:rPr>
          <w:rFonts w:ascii="Arial" w:hAnsi="Arial"/>
          <w:sz w:val="16"/>
        </w:rPr>
      </w:pPr>
      <w:r>
        <w:rPr>
          <w:rFonts w:hint="eastAsia"/>
          <w:sz w:val="16"/>
        </w:rPr>
        <w:t>事件严重等级：填写事件的级别，未经过分级的填写“未分级”，参考《突发公共卫生事件应急预案》定级。</w:t>
      </w:r>
    </w:p>
    <w:p w14:paraId="4053CEE5">
      <w:pPr>
        <w:pStyle w:val="56"/>
        <w:ind w:firstLine="320"/>
        <w:rPr>
          <w:rFonts w:ascii="Arial" w:hAnsi="Arial"/>
          <w:sz w:val="16"/>
        </w:rPr>
      </w:pPr>
      <w:r>
        <w:rPr>
          <w:rFonts w:hint="eastAsia"/>
          <w:sz w:val="16"/>
        </w:rPr>
        <w:t>事件发生时间：指此起事件达到现有事件报告标准时可能的发生时间。</w:t>
      </w:r>
    </w:p>
    <w:p w14:paraId="5402D416">
      <w:pPr>
        <w:pStyle w:val="56"/>
        <w:ind w:firstLine="320"/>
        <w:rPr>
          <w:rFonts w:ascii="Arial" w:hAnsi="Arial"/>
          <w:sz w:val="16"/>
        </w:rPr>
      </w:pPr>
      <w:r>
        <w:rPr>
          <w:rFonts w:hint="eastAsia"/>
          <w:sz w:val="16"/>
        </w:rPr>
        <w:t>接到报告时间：指网络报告人接到此起事件报告的时间。</w:t>
      </w:r>
    </w:p>
    <w:p w14:paraId="5D7C7EA4">
      <w:pPr>
        <w:pStyle w:val="56"/>
        <w:ind w:firstLine="320"/>
        <w:rPr>
          <w:rFonts w:ascii="Arial" w:hAnsi="Arial"/>
          <w:sz w:val="16"/>
        </w:rPr>
      </w:pPr>
      <w:r>
        <w:rPr>
          <w:rFonts w:hint="eastAsia"/>
          <w:sz w:val="16"/>
        </w:rPr>
        <w:t>初步核实认定时间：该事件通过电话或初步现场快速调查核实确认的时间。</w:t>
      </w:r>
    </w:p>
    <w:p w14:paraId="3D7E84B6">
      <w:pPr>
        <w:pStyle w:val="56"/>
        <w:ind w:firstLine="320"/>
        <w:rPr>
          <w:rFonts w:ascii="Arial" w:hAnsi="Arial"/>
          <w:sz w:val="16"/>
        </w:rPr>
      </w:pPr>
      <w:r>
        <w:rPr>
          <w:rFonts w:hint="eastAsia"/>
          <w:sz w:val="16"/>
        </w:rPr>
        <w:t>首例病人发病时间：此起事件中第一例病人的发病时间。</w:t>
      </w:r>
    </w:p>
    <w:p w14:paraId="51366ACC">
      <w:pPr>
        <w:pStyle w:val="56"/>
        <w:ind w:firstLine="320"/>
        <w:rPr>
          <w:rFonts w:ascii="Arial" w:hAnsi="Arial"/>
          <w:sz w:val="16"/>
        </w:rPr>
      </w:pPr>
      <w:r>
        <w:rPr>
          <w:rFonts w:hint="eastAsia"/>
          <w:sz w:val="16"/>
        </w:rPr>
        <w:t>末例病人发病时间：此起事件中到本次报告前最后一例病例的发病时间。</w:t>
      </w:r>
    </w:p>
    <w:p w14:paraId="2D3A7B00">
      <w:pPr>
        <w:pStyle w:val="56"/>
        <w:ind w:firstLine="320"/>
        <w:rPr>
          <w:rFonts w:ascii="Arial" w:hAnsi="Arial"/>
          <w:sz w:val="16"/>
        </w:rPr>
      </w:pPr>
      <w:r>
        <w:rPr>
          <w:rFonts w:hint="eastAsia"/>
          <w:sz w:val="16"/>
        </w:rPr>
        <w:t>初步诊断及时间：事件的初步诊断及时间。</w:t>
      </w:r>
    </w:p>
    <w:p w14:paraId="36B327BC">
      <w:pPr>
        <w:pStyle w:val="56"/>
        <w:ind w:firstLine="320"/>
        <w:rPr>
          <w:rFonts w:ascii="Arial" w:hAnsi="Arial"/>
          <w:sz w:val="16"/>
        </w:rPr>
      </w:pPr>
      <w:r>
        <w:rPr>
          <w:rFonts w:hint="eastAsia"/>
          <w:sz w:val="16"/>
        </w:rPr>
        <w:t>订正诊断及时间：事件的订正诊断及时间。</w:t>
      </w:r>
    </w:p>
    <w:p w14:paraId="62AFAAEE">
      <w:pPr>
        <w:pStyle w:val="56"/>
        <w:ind w:firstLine="320"/>
        <w:rPr>
          <w:rFonts w:ascii="Arial" w:hAnsi="Arial"/>
          <w:sz w:val="16"/>
        </w:rPr>
      </w:pPr>
      <w:r>
        <w:rPr>
          <w:rFonts w:hint="eastAsia"/>
          <w:sz w:val="16"/>
        </w:rPr>
        <w:t>事件发生原因：选择相应的选项，可多选。</w:t>
      </w:r>
    </w:p>
    <w:p w14:paraId="003BCB0C">
      <w:pPr>
        <w:pStyle w:val="56"/>
        <w:ind w:firstLine="320"/>
        <w:rPr>
          <w:rFonts w:ascii="Arial" w:hAnsi="Arial"/>
          <w:sz w:val="16"/>
        </w:rPr>
      </w:pPr>
      <w:r>
        <w:rPr>
          <w:rFonts w:hint="eastAsia"/>
          <w:sz w:val="16"/>
        </w:rPr>
        <w:t>事件控制措施：选择相应的选项，可多选。</w:t>
      </w:r>
    </w:p>
    <w:p w14:paraId="4F0DADE6">
      <w:pPr>
        <w:pStyle w:val="56"/>
        <w:ind w:firstLine="320"/>
        <w:rPr>
          <w:rFonts w:ascii="Arial" w:hAnsi="Arial"/>
          <w:sz w:val="16"/>
        </w:rPr>
      </w:pPr>
      <w:r>
        <w:rPr>
          <w:rFonts w:hint="eastAsia"/>
          <w:sz w:val="16"/>
        </w:rPr>
        <w:t>病人处理过程：选择相应的选项，可多选。</w:t>
      </w:r>
    </w:p>
    <w:p w14:paraId="68762562">
      <w:pPr>
        <w:pStyle w:val="56"/>
        <w:ind w:firstLine="320"/>
        <w:rPr>
          <w:rFonts w:ascii="Arial" w:hAnsi="Arial"/>
          <w:sz w:val="16"/>
        </w:rPr>
      </w:pPr>
      <w:r>
        <w:rPr>
          <w:rFonts w:hint="eastAsia"/>
          <w:sz w:val="16"/>
        </w:rPr>
        <w:t>传播途径：“结案报告”时选择相应选项。</w:t>
      </w:r>
    </w:p>
    <w:p w14:paraId="3D5E624D">
      <w:pPr>
        <w:pStyle w:val="56"/>
        <w:ind w:firstLine="320"/>
        <w:rPr>
          <w:rFonts w:ascii="Arial" w:hAnsi="Arial"/>
          <w:sz w:val="13"/>
        </w:rPr>
        <w:sectPr>
          <w:pgSz w:w="11906" w:h="16838"/>
          <w:pgMar w:top="1928" w:right="1134" w:bottom="1134" w:left="1134" w:header="1418" w:footer="1134" w:gutter="284"/>
          <w:cols w:space="425" w:num="1"/>
          <w:formProt w:val="0"/>
          <w:docGrid w:type="lines" w:linePitch="312" w:charSpace="0"/>
        </w:sectPr>
      </w:pPr>
      <w:r>
        <w:rPr>
          <w:rFonts w:hint="eastAsia"/>
          <w:sz w:val="16"/>
        </w:rPr>
        <w:t>实验室检测结果：填写实验室检测结果。</w:t>
      </w:r>
    </w:p>
    <w:p w14:paraId="2C679953">
      <w:pPr>
        <w:pStyle w:val="198"/>
        <w:rPr>
          <w:vanish w:val="0"/>
        </w:rPr>
      </w:pPr>
    </w:p>
    <w:p w14:paraId="44A2F782">
      <w:pPr>
        <w:pStyle w:val="199"/>
        <w:rPr>
          <w:vanish w:val="0"/>
        </w:rPr>
      </w:pPr>
    </w:p>
    <w:p w14:paraId="2311E6DA">
      <w:pPr>
        <w:pStyle w:val="76"/>
        <w:spacing w:after="156"/>
      </w:pPr>
      <w:r>
        <w:br w:type="textWrapping"/>
      </w:r>
      <w:bookmarkStart w:id="151" w:name="_Toc176272251"/>
      <w:bookmarkStart w:id="152" w:name="_Toc164990255"/>
      <w:r>
        <w:rPr>
          <w:rFonts w:hint="eastAsia"/>
        </w:rPr>
        <w:t>（资料性）</w:t>
      </w:r>
      <w:r>
        <w:br w:type="textWrapping"/>
      </w:r>
      <w:r>
        <w:rPr>
          <w:rFonts w:hint="eastAsia"/>
        </w:rPr>
        <w:t>传染病突发公共卫生事件应急管理业务流程和事件信息报告程序</w:t>
      </w:r>
      <w:bookmarkEnd w:id="151"/>
      <w:bookmarkEnd w:id="152"/>
    </w:p>
    <w:p w14:paraId="09B7D5FC">
      <w:pPr>
        <w:pStyle w:val="78"/>
        <w:spacing w:before="156" w:after="156"/>
      </w:pPr>
      <w:bookmarkStart w:id="153" w:name="_Toc164990256"/>
      <w:r>
        <w:rPr>
          <w:rFonts w:hint="eastAsia"/>
        </w:rPr>
        <w:t>传染病突发公共卫生事件应急管理业务流程图</w:t>
      </w:r>
      <w:bookmarkEnd w:id="153"/>
    </w:p>
    <w:p w14:paraId="0E2FD22D">
      <w:pPr>
        <w:pStyle w:val="56"/>
        <w:ind w:leftChars="-337" w:hanging="707" w:hangingChars="337"/>
        <w:jc w:val="center"/>
      </w:pPr>
      <w:r>
        <w:drawing>
          <wp:inline distT="0" distB="0" distL="0" distR="0">
            <wp:extent cx="6847205" cy="531114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6847620" cy="5311140"/>
                    </a:xfrm>
                    <a:prstGeom prst="rect">
                      <a:avLst/>
                    </a:prstGeom>
                    <a:noFill/>
                    <a:ln>
                      <a:noFill/>
                    </a:ln>
                  </pic:spPr>
                </pic:pic>
              </a:graphicData>
            </a:graphic>
          </wp:inline>
        </w:drawing>
      </w:r>
    </w:p>
    <w:p w14:paraId="7ECEB447">
      <w:pPr>
        <w:pStyle w:val="56"/>
        <w:ind w:firstLine="0" w:firstLineChars="0"/>
        <w:jc w:val="center"/>
      </w:pPr>
    </w:p>
    <w:p w14:paraId="4A715D94">
      <w:pPr>
        <w:pStyle w:val="56"/>
        <w:ind w:firstLine="0" w:firstLineChars="0"/>
        <w:jc w:val="center"/>
      </w:pPr>
    </w:p>
    <w:p w14:paraId="06FA3270">
      <w:pPr>
        <w:pStyle w:val="56"/>
        <w:ind w:firstLine="0" w:firstLineChars="0"/>
        <w:jc w:val="center"/>
      </w:pPr>
    </w:p>
    <w:p w14:paraId="67898477">
      <w:pPr>
        <w:pStyle w:val="56"/>
        <w:ind w:firstLine="0" w:firstLineChars="0"/>
        <w:jc w:val="center"/>
      </w:pPr>
    </w:p>
    <w:p w14:paraId="012FCAA2">
      <w:pPr>
        <w:pStyle w:val="56"/>
        <w:ind w:firstLine="0" w:firstLineChars="0"/>
        <w:jc w:val="center"/>
      </w:pPr>
    </w:p>
    <w:p w14:paraId="14747671">
      <w:pPr>
        <w:pStyle w:val="56"/>
        <w:ind w:firstLine="0" w:firstLineChars="0"/>
        <w:jc w:val="center"/>
      </w:pPr>
    </w:p>
    <w:p w14:paraId="15BA3A96">
      <w:pPr>
        <w:pStyle w:val="56"/>
        <w:ind w:firstLine="0" w:firstLineChars="0"/>
        <w:jc w:val="center"/>
      </w:pPr>
    </w:p>
    <w:p w14:paraId="4945FFA1">
      <w:pPr>
        <w:pStyle w:val="56"/>
        <w:ind w:firstLine="0" w:firstLineChars="0"/>
      </w:pPr>
    </w:p>
    <w:p w14:paraId="57E6AEE7">
      <w:pPr>
        <w:pStyle w:val="56"/>
        <w:ind w:firstLine="0" w:firstLineChars="0"/>
        <w:jc w:val="center"/>
      </w:pPr>
    </w:p>
    <w:p w14:paraId="6C43514A">
      <w:pPr>
        <w:pStyle w:val="56"/>
        <w:ind w:firstLine="0" w:firstLineChars="0"/>
        <w:jc w:val="center"/>
      </w:pPr>
    </w:p>
    <w:p w14:paraId="58CBD730">
      <w:pPr>
        <w:pStyle w:val="78"/>
        <w:spacing w:before="156" w:after="156"/>
      </w:pPr>
      <w:bookmarkStart w:id="154" w:name="_Toc164990257"/>
      <w:r>
        <w:rPr>
          <w:rFonts w:hint="eastAsia"/>
        </w:rPr>
        <w:t>事件信息报告程序</w:t>
      </w:r>
      <w:bookmarkEnd w:id="154"/>
    </w:p>
    <w:p w14:paraId="76A94E1A">
      <w:pPr>
        <w:pStyle w:val="231"/>
        <w:ind w:left="-2" w:leftChars="-473" w:right="-567" w:rightChars="-270" w:hanging="991" w:hangingChars="472"/>
        <w:jc w:val="center"/>
      </w:pPr>
      <w:r>
        <w:drawing>
          <wp:inline distT="0" distB="0" distL="0" distR="0">
            <wp:extent cx="7061200" cy="3667125"/>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7" cstate="print"/>
                    <a:srcRect/>
                    <a:stretch>
                      <a:fillRect/>
                    </a:stretch>
                  </pic:blipFill>
                  <pic:spPr>
                    <a:xfrm>
                      <a:off x="0" y="0"/>
                      <a:ext cx="7061300" cy="3667049"/>
                    </a:xfrm>
                    <a:prstGeom prst="rect">
                      <a:avLst/>
                    </a:prstGeom>
                    <a:noFill/>
                    <a:ln w="9525">
                      <a:noFill/>
                      <a:miter lim="800000"/>
                      <a:headEnd/>
                      <a:tailEnd/>
                    </a:ln>
                  </pic:spPr>
                </pic:pic>
              </a:graphicData>
            </a:graphic>
          </wp:inline>
        </w:drawing>
      </w:r>
    </w:p>
    <w:p w14:paraId="265016A6">
      <w:pPr>
        <w:pStyle w:val="56"/>
        <w:ind w:firstLine="0" w:firstLineChars="0"/>
      </w:pPr>
    </w:p>
    <w:p w14:paraId="4D2A9C0A">
      <w:pPr>
        <w:pStyle w:val="78"/>
        <w:spacing w:before="156" w:after="156"/>
        <w:sectPr>
          <w:pgSz w:w="11906" w:h="16838"/>
          <w:pgMar w:top="1928" w:right="1134" w:bottom="1134" w:left="1134" w:header="1418" w:footer="1134" w:gutter="284"/>
          <w:cols w:space="425" w:num="1"/>
          <w:formProt w:val="0"/>
          <w:docGrid w:type="lines" w:linePitch="312" w:charSpace="0"/>
        </w:sectPr>
      </w:pPr>
    </w:p>
    <w:bookmarkEnd w:id="134"/>
    <w:p w14:paraId="60113640">
      <w:pPr>
        <w:pStyle w:val="63"/>
        <w:spacing w:after="156"/>
      </w:pPr>
      <w:bookmarkStart w:id="155" w:name="_Toc164989224"/>
      <w:bookmarkStart w:id="156" w:name="_Toc164989271"/>
      <w:bookmarkStart w:id="157" w:name="_Toc164989296"/>
      <w:bookmarkStart w:id="158" w:name="_Toc164990258"/>
      <w:bookmarkStart w:id="159" w:name="_Toc176272252"/>
      <w:bookmarkStart w:id="160" w:name="_Toc164989320"/>
      <w:bookmarkStart w:id="161" w:name="BookMark6"/>
      <w:r>
        <w:rPr>
          <w:rFonts w:hint="eastAsia"/>
          <w:spacing w:val="105"/>
        </w:rPr>
        <w:t>参考文</w:t>
      </w:r>
      <w:r>
        <w:rPr>
          <w:rFonts w:hint="eastAsia"/>
        </w:rPr>
        <w:t>献</w:t>
      </w:r>
      <w:bookmarkEnd w:id="155"/>
      <w:bookmarkEnd w:id="156"/>
      <w:bookmarkEnd w:id="157"/>
      <w:bookmarkEnd w:id="158"/>
      <w:bookmarkEnd w:id="159"/>
      <w:bookmarkEnd w:id="160"/>
    </w:p>
    <w:p w14:paraId="0DE035F2">
      <w:pPr>
        <w:pStyle w:val="230"/>
        <w:rPr>
          <w:color w:val="000000"/>
        </w:rPr>
      </w:pPr>
      <w:r>
        <w:rPr>
          <w:rFonts w:hint="eastAsia"/>
          <w:color w:val="000000"/>
        </w:rPr>
        <w:t>[1]</w:t>
      </w:r>
      <w:r>
        <w:rPr>
          <w:color w:val="000000"/>
        </w:rPr>
        <w:t xml:space="preserve"> </w:t>
      </w:r>
      <w:r>
        <w:rPr>
          <w:rFonts w:hint="eastAsia"/>
          <w:color w:val="000000"/>
        </w:rPr>
        <w:t>中华人民共和国传染病防治法</w:t>
      </w:r>
    </w:p>
    <w:p w14:paraId="533D5712">
      <w:pPr>
        <w:pStyle w:val="230"/>
      </w:pPr>
      <w:r>
        <w:rPr>
          <w:rFonts w:hint="eastAsia"/>
          <w:color w:val="000000"/>
        </w:rPr>
        <w:t>[2] 突发公共卫生事件应急条例</w:t>
      </w:r>
    </w:p>
    <w:p w14:paraId="429C888B">
      <w:pPr>
        <w:pStyle w:val="230"/>
        <w:rPr>
          <w:color w:val="000000"/>
        </w:rPr>
      </w:pPr>
      <w:r>
        <w:rPr>
          <w:rFonts w:hint="eastAsia"/>
          <w:color w:val="000000"/>
        </w:rPr>
        <w:t>[3] 国家突发公共卫生事件应急预案</w:t>
      </w:r>
    </w:p>
    <w:p w14:paraId="6D24D413">
      <w:pPr>
        <w:pStyle w:val="56"/>
        <w:ind w:firstLine="420"/>
      </w:pPr>
      <w:r>
        <w:rPr>
          <w:rFonts w:hint="eastAsia" w:hAnsi="宋体" w:cs="宋体"/>
          <w:color w:val="000000"/>
          <w:szCs w:val="21"/>
        </w:rPr>
        <w:t>[4]</w:t>
      </w:r>
      <w:r>
        <w:rPr>
          <w:rFonts w:hint="eastAsia"/>
        </w:rPr>
        <w:t xml:space="preserve"> 突发公共卫生事件与传染病疫情监测信息报告管理办法</w:t>
      </w:r>
    </w:p>
    <w:p w14:paraId="24C8363D">
      <w:pPr>
        <w:pStyle w:val="56"/>
        <w:ind w:firstLine="420"/>
      </w:pPr>
      <w:r>
        <w:rPr>
          <w:rFonts w:hint="eastAsia" w:hAnsi="宋体" w:cs="宋体"/>
          <w:color w:val="000000"/>
          <w:szCs w:val="21"/>
        </w:rPr>
        <w:t>[5]</w:t>
      </w:r>
      <w:r>
        <w:rPr>
          <w:rFonts w:hint="eastAsia"/>
        </w:rPr>
        <w:t xml:space="preserve"> 国家突发公共卫生事件相关信息报告管理工作规范（试行）</w:t>
      </w:r>
    </w:p>
    <w:p w14:paraId="0484C66C">
      <w:pPr>
        <w:pStyle w:val="56"/>
        <w:ind w:firstLine="420"/>
      </w:pPr>
      <w:r>
        <w:rPr>
          <w:rFonts w:hint="eastAsia" w:hAnsi="宋体" w:cs="宋体"/>
          <w:color w:val="000000"/>
          <w:szCs w:val="21"/>
        </w:rPr>
        <w:t>[6]</w:t>
      </w:r>
      <w:r>
        <w:rPr>
          <w:rFonts w:hint="eastAsia"/>
        </w:rPr>
        <w:t xml:space="preserve"> 全国疾病预防控制机构卫生应急工作规范（试行）</w:t>
      </w:r>
    </w:p>
    <w:p w14:paraId="7338F63D">
      <w:pPr>
        <w:pStyle w:val="56"/>
        <w:ind w:firstLine="420"/>
      </w:pPr>
      <w:r>
        <w:rPr>
          <w:rFonts w:hint="eastAsia" w:hAnsi="宋体" w:cs="宋体"/>
          <w:color w:val="000000"/>
          <w:szCs w:val="21"/>
        </w:rPr>
        <w:t>[</w:t>
      </w:r>
      <w:r>
        <w:rPr>
          <w:rFonts w:hAnsi="宋体" w:cs="宋体"/>
          <w:color w:val="000000"/>
          <w:szCs w:val="21"/>
        </w:rPr>
        <w:t>7</w:t>
      </w:r>
      <w:r>
        <w:rPr>
          <w:rFonts w:hint="eastAsia" w:hAnsi="宋体" w:cs="宋体"/>
          <w:color w:val="000000"/>
          <w:szCs w:val="21"/>
        </w:rPr>
        <w:t>]</w:t>
      </w:r>
      <w:r>
        <w:rPr>
          <w:rFonts w:hint="eastAsia"/>
        </w:rPr>
        <w:t xml:space="preserve"> 全国传染病信息报告管理工作技术指南（2016年版）</w:t>
      </w:r>
    </w:p>
    <w:p w14:paraId="0376DCD4">
      <w:pPr>
        <w:pStyle w:val="56"/>
        <w:ind w:firstLine="420"/>
      </w:pPr>
    </w:p>
    <w:bookmarkEnd w:id="161"/>
    <w:p w14:paraId="3D5C8FEA">
      <w:pPr>
        <w:pStyle w:val="56"/>
        <w:ind w:firstLine="0" w:firstLineChars="0"/>
        <w:jc w:val="center"/>
      </w:pPr>
      <w:bookmarkStart w:id="162"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62"/>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26F928">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AF9920">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AA470">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EAC994">
    <w:pPr>
      <w:pStyle w:val="52"/>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9C521">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0815E">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FD373">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D2B9F">
    <w:pPr>
      <w:pStyle w:val="61"/>
    </w:pPr>
    <w:r>
      <w:fldChar w:fldCharType="begin"/>
    </w:r>
    <w:r>
      <w:instrText xml:space="preserve"> STYLEREF  标准文件_文件编号  \* MERGEFORMAT </w:instrText>
    </w:r>
    <w:r>
      <w:fldChar w:fldCharType="separate"/>
    </w:r>
    <w: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1CF03">
    <w:pPr>
      <w:pStyle w:val="18"/>
      <w:jc w:val="right"/>
      <w:rPr>
        <w:lang w:val="fr-FR"/>
      </w:rPr>
    </w:pPr>
    <w:r>
      <w:fldChar w:fldCharType="begin"/>
    </w:r>
    <w:r>
      <w:instrText xml:space="preserve"> STYLEREF  标准文件_文件编号  \* MERGEFORMAT </w:instrText>
    </w:r>
    <w:r>
      <w:fldChar w:fldCharType="separate"/>
    </w:r>
    <w: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MyZDE4ZDYxNWY2N2M2NjRlMDgxNjlkYTdiZjkxMTMifQ=="/>
  </w:docVars>
  <w:rsids>
    <w:rsidRoot w:val="00022D91"/>
    <w:rsid w:val="0000040A"/>
    <w:rsid w:val="00000A94"/>
    <w:rsid w:val="00001972"/>
    <w:rsid w:val="00001D9A"/>
    <w:rsid w:val="00007B3A"/>
    <w:rsid w:val="000107E0"/>
    <w:rsid w:val="00011FDE"/>
    <w:rsid w:val="00012FFD"/>
    <w:rsid w:val="00014162"/>
    <w:rsid w:val="00014340"/>
    <w:rsid w:val="00016A9C"/>
    <w:rsid w:val="00022184"/>
    <w:rsid w:val="00022762"/>
    <w:rsid w:val="00022D91"/>
    <w:rsid w:val="000238E0"/>
    <w:rsid w:val="000249DB"/>
    <w:rsid w:val="0002595E"/>
    <w:rsid w:val="000303C3"/>
    <w:rsid w:val="000331D3"/>
    <w:rsid w:val="00033530"/>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F1D"/>
    <w:rsid w:val="00067F1E"/>
    <w:rsid w:val="00071CC0"/>
    <w:rsid w:val="00073C8C"/>
    <w:rsid w:val="00073EEF"/>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DE9"/>
    <w:rsid w:val="000B511D"/>
    <w:rsid w:val="000B5420"/>
    <w:rsid w:val="000B6A0B"/>
    <w:rsid w:val="000C0F6C"/>
    <w:rsid w:val="000C11DB"/>
    <w:rsid w:val="000C1492"/>
    <w:rsid w:val="000C2FBD"/>
    <w:rsid w:val="000C364C"/>
    <w:rsid w:val="000C4B41"/>
    <w:rsid w:val="000C57D6"/>
    <w:rsid w:val="000C6362"/>
    <w:rsid w:val="000C7666"/>
    <w:rsid w:val="000D0A9C"/>
    <w:rsid w:val="000D1795"/>
    <w:rsid w:val="000D329A"/>
    <w:rsid w:val="000D4B9C"/>
    <w:rsid w:val="000D4EB6"/>
    <w:rsid w:val="000D753B"/>
    <w:rsid w:val="000E4167"/>
    <w:rsid w:val="000E4C9E"/>
    <w:rsid w:val="000E6FD7"/>
    <w:rsid w:val="000F06E1"/>
    <w:rsid w:val="000F0E3C"/>
    <w:rsid w:val="000F19D5"/>
    <w:rsid w:val="000F4AEA"/>
    <w:rsid w:val="000F633F"/>
    <w:rsid w:val="000F67E9"/>
    <w:rsid w:val="00104926"/>
    <w:rsid w:val="00105D08"/>
    <w:rsid w:val="00113B1E"/>
    <w:rsid w:val="001148E6"/>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57C88"/>
    <w:rsid w:val="001642FA"/>
    <w:rsid w:val="001649EB"/>
    <w:rsid w:val="00164BAF"/>
    <w:rsid w:val="00164FA8"/>
    <w:rsid w:val="00165065"/>
    <w:rsid w:val="00165434"/>
    <w:rsid w:val="00165553"/>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84D"/>
    <w:rsid w:val="001E1B6A"/>
    <w:rsid w:val="001E1EE3"/>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07050"/>
    <w:rsid w:val="00210B15"/>
    <w:rsid w:val="002142E4"/>
    <w:rsid w:val="002142EA"/>
    <w:rsid w:val="002204BB"/>
    <w:rsid w:val="00221B79"/>
    <w:rsid w:val="00221C6B"/>
    <w:rsid w:val="002253A1"/>
    <w:rsid w:val="00225CF8"/>
    <w:rsid w:val="0022794E"/>
    <w:rsid w:val="00233D64"/>
    <w:rsid w:val="0023482A"/>
    <w:rsid w:val="002359CB"/>
    <w:rsid w:val="0023682E"/>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5BC8"/>
    <w:rsid w:val="00266EEB"/>
    <w:rsid w:val="00267EF4"/>
    <w:rsid w:val="00270377"/>
    <w:rsid w:val="00270CB8"/>
    <w:rsid w:val="00272B08"/>
    <w:rsid w:val="00274659"/>
    <w:rsid w:val="002771AC"/>
    <w:rsid w:val="00281BB8"/>
    <w:rsid w:val="00281E9E"/>
    <w:rsid w:val="00282405"/>
    <w:rsid w:val="00285170"/>
    <w:rsid w:val="00285361"/>
    <w:rsid w:val="00287547"/>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5A7"/>
    <w:rsid w:val="002B5779"/>
    <w:rsid w:val="002B7332"/>
    <w:rsid w:val="002B7F51"/>
    <w:rsid w:val="002C09E7"/>
    <w:rsid w:val="002C1677"/>
    <w:rsid w:val="002C1E06"/>
    <w:rsid w:val="002C1E1C"/>
    <w:rsid w:val="002C3F07"/>
    <w:rsid w:val="002C5278"/>
    <w:rsid w:val="002C7EBB"/>
    <w:rsid w:val="002D06C1"/>
    <w:rsid w:val="002D2EF8"/>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BD6"/>
    <w:rsid w:val="00306063"/>
    <w:rsid w:val="00306133"/>
    <w:rsid w:val="00313B85"/>
    <w:rsid w:val="00317988"/>
    <w:rsid w:val="003221B4"/>
    <w:rsid w:val="0032258D"/>
    <w:rsid w:val="00322E62"/>
    <w:rsid w:val="00324D13"/>
    <w:rsid w:val="00324D2A"/>
    <w:rsid w:val="00324EDD"/>
    <w:rsid w:val="00324FFC"/>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14"/>
    <w:rsid w:val="00382DE7"/>
    <w:rsid w:val="00384FFC"/>
    <w:rsid w:val="003872FC"/>
    <w:rsid w:val="00387ADC"/>
    <w:rsid w:val="00390020"/>
    <w:rsid w:val="003903D6"/>
    <w:rsid w:val="003909C6"/>
    <w:rsid w:val="00390EE6"/>
    <w:rsid w:val="0039118F"/>
    <w:rsid w:val="00392AD7"/>
    <w:rsid w:val="003938D9"/>
    <w:rsid w:val="00394376"/>
    <w:rsid w:val="003943FF"/>
    <w:rsid w:val="00394783"/>
    <w:rsid w:val="00395700"/>
    <w:rsid w:val="003974EB"/>
    <w:rsid w:val="00397CC5"/>
    <w:rsid w:val="003A1582"/>
    <w:rsid w:val="003A354A"/>
    <w:rsid w:val="003A4077"/>
    <w:rsid w:val="003B09AD"/>
    <w:rsid w:val="003B1F18"/>
    <w:rsid w:val="003B5BF0"/>
    <w:rsid w:val="003B60BF"/>
    <w:rsid w:val="003B6BE3"/>
    <w:rsid w:val="003C010C"/>
    <w:rsid w:val="003C0A6C"/>
    <w:rsid w:val="003C14F8"/>
    <w:rsid w:val="003C25FE"/>
    <w:rsid w:val="003C5A43"/>
    <w:rsid w:val="003D0519"/>
    <w:rsid w:val="003D0FF6"/>
    <w:rsid w:val="003D262C"/>
    <w:rsid w:val="003D6D61"/>
    <w:rsid w:val="003D71AB"/>
    <w:rsid w:val="003D79C6"/>
    <w:rsid w:val="003E091D"/>
    <w:rsid w:val="003E1C53"/>
    <w:rsid w:val="003E2A69"/>
    <w:rsid w:val="003E2D49"/>
    <w:rsid w:val="003E2FD4"/>
    <w:rsid w:val="003E43D4"/>
    <w:rsid w:val="003E49F6"/>
    <w:rsid w:val="003E660F"/>
    <w:rsid w:val="003F0841"/>
    <w:rsid w:val="003F1487"/>
    <w:rsid w:val="003F23D3"/>
    <w:rsid w:val="003F3F08"/>
    <w:rsid w:val="003F49F1"/>
    <w:rsid w:val="003F6272"/>
    <w:rsid w:val="00400E72"/>
    <w:rsid w:val="00401400"/>
    <w:rsid w:val="00404869"/>
    <w:rsid w:val="00405884"/>
    <w:rsid w:val="004061B2"/>
    <w:rsid w:val="00407D39"/>
    <w:rsid w:val="004120CE"/>
    <w:rsid w:val="0041477A"/>
    <w:rsid w:val="004167A3"/>
    <w:rsid w:val="004233D6"/>
    <w:rsid w:val="00424C20"/>
    <w:rsid w:val="00432DAA"/>
    <w:rsid w:val="00434305"/>
    <w:rsid w:val="00435DF7"/>
    <w:rsid w:val="00437C47"/>
    <w:rsid w:val="0044083F"/>
    <w:rsid w:val="00441AE7"/>
    <w:rsid w:val="00445574"/>
    <w:rsid w:val="004467FB"/>
    <w:rsid w:val="00452D6B"/>
    <w:rsid w:val="00454484"/>
    <w:rsid w:val="00454CEB"/>
    <w:rsid w:val="0045517B"/>
    <w:rsid w:val="00463B77"/>
    <w:rsid w:val="00463C7B"/>
    <w:rsid w:val="004644A6"/>
    <w:rsid w:val="0046549F"/>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74E6"/>
    <w:rsid w:val="004C1173"/>
    <w:rsid w:val="004C1FBC"/>
    <w:rsid w:val="004C3F1D"/>
    <w:rsid w:val="004C458D"/>
    <w:rsid w:val="004C7556"/>
    <w:rsid w:val="004C7E8B"/>
    <w:rsid w:val="004C7E9D"/>
    <w:rsid w:val="004C7F67"/>
    <w:rsid w:val="004D02FA"/>
    <w:rsid w:val="004D076D"/>
    <w:rsid w:val="004D0EF1"/>
    <w:rsid w:val="004D2253"/>
    <w:rsid w:val="004D4406"/>
    <w:rsid w:val="004D7C42"/>
    <w:rsid w:val="004E0465"/>
    <w:rsid w:val="004E127B"/>
    <w:rsid w:val="004E1C0A"/>
    <w:rsid w:val="004E2B06"/>
    <w:rsid w:val="004E30C5"/>
    <w:rsid w:val="004E4752"/>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598D"/>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79B"/>
    <w:rsid w:val="00543BDA"/>
    <w:rsid w:val="005441CC"/>
    <w:rsid w:val="005479DA"/>
    <w:rsid w:val="00547BCC"/>
    <w:rsid w:val="0055013B"/>
    <w:rsid w:val="00551F6F"/>
    <w:rsid w:val="00555044"/>
    <w:rsid w:val="00556251"/>
    <w:rsid w:val="00561475"/>
    <w:rsid w:val="0056487B"/>
    <w:rsid w:val="00564FB9"/>
    <w:rsid w:val="0057251C"/>
    <w:rsid w:val="00573D9E"/>
    <w:rsid w:val="005801E3"/>
    <w:rsid w:val="00581802"/>
    <w:rsid w:val="005836A8"/>
    <w:rsid w:val="0058409C"/>
    <w:rsid w:val="00584262"/>
    <w:rsid w:val="00586630"/>
    <w:rsid w:val="00587ADD"/>
    <w:rsid w:val="00591E27"/>
    <w:rsid w:val="005921B4"/>
    <w:rsid w:val="00596160"/>
    <w:rsid w:val="00596485"/>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4B14"/>
    <w:rsid w:val="005C5F21"/>
    <w:rsid w:val="005C7156"/>
    <w:rsid w:val="005D0C75"/>
    <w:rsid w:val="005D4171"/>
    <w:rsid w:val="005D6A95"/>
    <w:rsid w:val="005D6B2C"/>
    <w:rsid w:val="005D6D9C"/>
    <w:rsid w:val="005E2335"/>
    <w:rsid w:val="005E34CA"/>
    <w:rsid w:val="005E3843"/>
    <w:rsid w:val="005E3C18"/>
    <w:rsid w:val="005E6812"/>
    <w:rsid w:val="005E7881"/>
    <w:rsid w:val="005E78E0"/>
    <w:rsid w:val="005F0D9C"/>
    <w:rsid w:val="005F284E"/>
    <w:rsid w:val="005F4712"/>
    <w:rsid w:val="006015CE"/>
    <w:rsid w:val="00604784"/>
    <w:rsid w:val="00606419"/>
    <w:rsid w:val="006071CC"/>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2E7E"/>
    <w:rsid w:val="00644234"/>
    <w:rsid w:val="00645904"/>
    <w:rsid w:val="00646FB5"/>
    <w:rsid w:val="006502D6"/>
    <w:rsid w:val="00651ACB"/>
    <w:rsid w:val="00651C47"/>
    <w:rsid w:val="00652AB2"/>
    <w:rsid w:val="00653FED"/>
    <w:rsid w:val="00654EC0"/>
    <w:rsid w:val="0065525B"/>
    <w:rsid w:val="00655D4F"/>
    <w:rsid w:val="00656D29"/>
    <w:rsid w:val="00661D05"/>
    <w:rsid w:val="006640E5"/>
    <w:rsid w:val="006646F1"/>
    <w:rsid w:val="00664929"/>
    <w:rsid w:val="00664F62"/>
    <w:rsid w:val="006655E1"/>
    <w:rsid w:val="00672060"/>
    <w:rsid w:val="00672AAE"/>
    <w:rsid w:val="00672BFD"/>
    <w:rsid w:val="00675DFE"/>
    <w:rsid w:val="006770F4"/>
    <w:rsid w:val="00677A84"/>
    <w:rsid w:val="0068026D"/>
    <w:rsid w:val="00680A27"/>
    <w:rsid w:val="006816A4"/>
    <w:rsid w:val="006819B8"/>
    <w:rsid w:val="006840A6"/>
    <w:rsid w:val="006850CD"/>
    <w:rsid w:val="00685AAB"/>
    <w:rsid w:val="00692291"/>
    <w:rsid w:val="006951D2"/>
    <w:rsid w:val="00695D22"/>
    <w:rsid w:val="006971EE"/>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54A7"/>
    <w:rsid w:val="006E5A7E"/>
    <w:rsid w:val="006F03A8"/>
    <w:rsid w:val="006F2ACA"/>
    <w:rsid w:val="006F2ADC"/>
    <w:rsid w:val="006F2BFE"/>
    <w:rsid w:val="006F31E9"/>
    <w:rsid w:val="006F6284"/>
    <w:rsid w:val="007002C5"/>
    <w:rsid w:val="00704387"/>
    <w:rsid w:val="00707669"/>
    <w:rsid w:val="00711CBA"/>
    <w:rsid w:val="00711FB5"/>
    <w:rsid w:val="00712A01"/>
    <w:rsid w:val="00714F58"/>
    <w:rsid w:val="00720472"/>
    <w:rsid w:val="0072160E"/>
    <w:rsid w:val="00722FBF"/>
    <w:rsid w:val="00722FC2"/>
    <w:rsid w:val="00724879"/>
    <w:rsid w:val="00724E1B"/>
    <w:rsid w:val="00725949"/>
    <w:rsid w:val="00727FA2"/>
    <w:rsid w:val="007322D9"/>
    <w:rsid w:val="00732BC0"/>
    <w:rsid w:val="0073720F"/>
    <w:rsid w:val="00737796"/>
    <w:rsid w:val="007415A1"/>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277B"/>
    <w:rsid w:val="00765C43"/>
    <w:rsid w:val="00765EFB"/>
    <w:rsid w:val="007671CA"/>
    <w:rsid w:val="00767C61"/>
    <w:rsid w:val="0077008A"/>
    <w:rsid w:val="00773C1F"/>
    <w:rsid w:val="00774DA4"/>
    <w:rsid w:val="00776599"/>
    <w:rsid w:val="0078114B"/>
    <w:rsid w:val="00781DD2"/>
    <w:rsid w:val="00783ECF"/>
    <w:rsid w:val="0078413A"/>
    <w:rsid w:val="00787E65"/>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6EE2"/>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76C"/>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6140"/>
    <w:rsid w:val="0085173A"/>
    <w:rsid w:val="00852CB9"/>
    <w:rsid w:val="00856316"/>
    <w:rsid w:val="008603CE"/>
    <w:rsid w:val="00861DF4"/>
    <w:rsid w:val="008620FC"/>
    <w:rsid w:val="008627A5"/>
    <w:rsid w:val="00863E05"/>
    <w:rsid w:val="00865ACA"/>
    <w:rsid w:val="00865D28"/>
    <w:rsid w:val="00865F85"/>
    <w:rsid w:val="00867C10"/>
    <w:rsid w:val="00870439"/>
    <w:rsid w:val="00870DA1"/>
    <w:rsid w:val="00872A85"/>
    <w:rsid w:val="00883F93"/>
    <w:rsid w:val="00884DB3"/>
    <w:rsid w:val="00885A9D"/>
    <w:rsid w:val="008864F6"/>
    <w:rsid w:val="0089049D"/>
    <w:rsid w:val="008928C9"/>
    <w:rsid w:val="008930CB"/>
    <w:rsid w:val="008938DC"/>
    <w:rsid w:val="00893FCD"/>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5E19"/>
    <w:rsid w:val="008B7E05"/>
    <w:rsid w:val="008C1797"/>
    <w:rsid w:val="008C219C"/>
    <w:rsid w:val="008C4310"/>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49FD"/>
    <w:rsid w:val="009062E6"/>
    <w:rsid w:val="00911BE5"/>
    <w:rsid w:val="00913CA9"/>
    <w:rsid w:val="009145AE"/>
    <w:rsid w:val="009146CE"/>
    <w:rsid w:val="00914CA7"/>
    <w:rsid w:val="00915C3E"/>
    <w:rsid w:val="009161A8"/>
    <w:rsid w:val="009237F6"/>
    <w:rsid w:val="009245F5"/>
    <w:rsid w:val="009249EC"/>
    <w:rsid w:val="009273B3"/>
    <w:rsid w:val="009305B5"/>
    <w:rsid w:val="009429D5"/>
    <w:rsid w:val="00942BF1"/>
    <w:rsid w:val="00945180"/>
    <w:rsid w:val="00945428"/>
    <w:rsid w:val="0094607B"/>
    <w:rsid w:val="00952AA6"/>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1E7A"/>
    <w:rsid w:val="009B3287"/>
    <w:rsid w:val="009B46F9"/>
    <w:rsid w:val="009B6029"/>
    <w:rsid w:val="009B6971"/>
    <w:rsid w:val="009C1A1E"/>
    <w:rsid w:val="009C27F1"/>
    <w:rsid w:val="009C3152"/>
    <w:rsid w:val="009C4CFA"/>
    <w:rsid w:val="009C5070"/>
    <w:rsid w:val="009C528C"/>
    <w:rsid w:val="009D112C"/>
    <w:rsid w:val="009D423C"/>
    <w:rsid w:val="009D47FA"/>
    <w:rsid w:val="009D4C5B"/>
    <w:rsid w:val="009D50D2"/>
    <w:rsid w:val="009D57C6"/>
    <w:rsid w:val="009D6BCA"/>
    <w:rsid w:val="009E0F62"/>
    <w:rsid w:val="009E4A58"/>
    <w:rsid w:val="009E5A2D"/>
    <w:rsid w:val="009E5AB2"/>
    <w:rsid w:val="009E6219"/>
    <w:rsid w:val="009F03B3"/>
    <w:rsid w:val="009F5BD0"/>
    <w:rsid w:val="00A0096C"/>
    <w:rsid w:val="00A01757"/>
    <w:rsid w:val="00A028C0"/>
    <w:rsid w:val="00A02BAE"/>
    <w:rsid w:val="00A031EA"/>
    <w:rsid w:val="00A06A6B"/>
    <w:rsid w:val="00A07489"/>
    <w:rsid w:val="00A07E47"/>
    <w:rsid w:val="00A129D0"/>
    <w:rsid w:val="00A12C33"/>
    <w:rsid w:val="00A138BA"/>
    <w:rsid w:val="00A14C8E"/>
    <w:rsid w:val="00A153D9"/>
    <w:rsid w:val="00A15F09"/>
    <w:rsid w:val="00A169B6"/>
    <w:rsid w:val="00A1724C"/>
    <w:rsid w:val="00A214B8"/>
    <w:rsid w:val="00A217DA"/>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3E58"/>
    <w:rsid w:val="00A4452E"/>
    <w:rsid w:val="00A4472C"/>
    <w:rsid w:val="00A44E69"/>
    <w:rsid w:val="00A4661E"/>
    <w:rsid w:val="00A47C7D"/>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AC9"/>
    <w:rsid w:val="00AB6C5F"/>
    <w:rsid w:val="00AB7129"/>
    <w:rsid w:val="00AC03CD"/>
    <w:rsid w:val="00AC27A6"/>
    <w:rsid w:val="00AC30F7"/>
    <w:rsid w:val="00AC3A5A"/>
    <w:rsid w:val="00AC4D95"/>
    <w:rsid w:val="00AC539E"/>
    <w:rsid w:val="00AC5DF4"/>
    <w:rsid w:val="00AC7071"/>
    <w:rsid w:val="00AD0AEF"/>
    <w:rsid w:val="00AD11B7"/>
    <w:rsid w:val="00AD1A94"/>
    <w:rsid w:val="00AD1C05"/>
    <w:rsid w:val="00AD2DA0"/>
    <w:rsid w:val="00AD4126"/>
    <w:rsid w:val="00AD421C"/>
    <w:rsid w:val="00AD44FA"/>
    <w:rsid w:val="00AE070A"/>
    <w:rsid w:val="00AE101C"/>
    <w:rsid w:val="00AE37E5"/>
    <w:rsid w:val="00AE5EB4"/>
    <w:rsid w:val="00AF0B8E"/>
    <w:rsid w:val="00AF0C18"/>
    <w:rsid w:val="00AF47C5"/>
    <w:rsid w:val="00AF5398"/>
    <w:rsid w:val="00B049AF"/>
    <w:rsid w:val="00B07242"/>
    <w:rsid w:val="00B10534"/>
    <w:rsid w:val="00B113DB"/>
    <w:rsid w:val="00B11D8A"/>
    <w:rsid w:val="00B12981"/>
    <w:rsid w:val="00B147DD"/>
    <w:rsid w:val="00B156FD"/>
    <w:rsid w:val="00B2058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07D"/>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244"/>
    <w:rsid w:val="00BB5F8F"/>
    <w:rsid w:val="00BB657A"/>
    <w:rsid w:val="00BC1A4E"/>
    <w:rsid w:val="00BC4790"/>
    <w:rsid w:val="00BC5DC7"/>
    <w:rsid w:val="00BC6B8B"/>
    <w:rsid w:val="00BC73D8"/>
    <w:rsid w:val="00BC7F08"/>
    <w:rsid w:val="00BD52D7"/>
    <w:rsid w:val="00BD5AD2"/>
    <w:rsid w:val="00BE22F3"/>
    <w:rsid w:val="00BE5B52"/>
    <w:rsid w:val="00BE7B8D"/>
    <w:rsid w:val="00BF0993"/>
    <w:rsid w:val="00BF10A9"/>
    <w:rsid w:val="00BF1703"/>
    <w:rsid w:val="00BF1FA6"/>
    <w:rsid w:val="00BF231C"/>
    <w:rsid w:val="00BF3E1C"/>
    <w:rsid w:val="00BF51E5"/>
    <w:rsid w:val="00BF74A6"/>
    <w:rsid w:val="00C013AD"/>
    <w:rsid w:val="00C0480C"/>
    <w:rsid w:val="00C04904"/>
    <w:rsid w:val="00C056B3"/>
    <w:rsid w:val="00C05A8F"/>
    <w:rsid w:val="00C103E5"/>
    <w:rsid w:val="00C13319"/>
    <w:rsid w:val="00C13EE9"/>
    <w:rsid w:val="00C1700B"/>
    <w:rsid w:val="00C21540"/>
    <w:rsid w:val="00C21906"/>
    <w:rsid w:val="00C21A55"/>
    <w:rsid w:val="00C21BFA"/>
    <w:rsid w:val="00C22148"/>
    <w:rsid w:val="00C24C8D"/>
    <w:rsid w:val="00C25FE2"/>
    <w:rsid w:val="00C26B53"/>
    <w:rsid w:val="00C279B2"/>
    <w:rsid w:val="00C33E50"/>
    <w:rsid w:val="00C34C20"/>
    <w:rsid w:val="00C35A3E"/>
    <w:rsid w:val="00C4028F"/>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29D"/>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637"/>
    <w:rsid w:val="00CB2C0B"/>
    <w:rsid w:val="00CB517D"/>
    <w:rsid w:val="00CC038D"/>
    <w:rsid w:val="00CC08DB"/>
    <w:rsid w:val="00CC39FF"/>
    <w:rsid w:val="00CC3C2F"/>
    <w:rsid w:val="00CC4AC8"/>
    <w:rsid w:val="00CC5233"/>
    <w:rsid w:val="00CC5DE6"/>
    <w:rsid w:val="00CC5ED3"/>
    <w:rsid w:val="00CC6E4E"/>
    <w:rsid w:val="00CC6FE8"/>
    <w:rsid w:val="00CC7202"/>
    <w:rsid w:val="00CD048A"/>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1C7"/>
    <w:rsid w:val="00D4162B"/>
    <w:rsid w:val="00D4514F"/>
    <w:rsid w:val="00D451E2"/>
    <w:rsid w:val="00D45E89"/>
    <w:rsid w:val="00D45E8D"/>
    <w:rsid w:val="00D466AE"/>
    <w:rsid w:val="00D4734F"/>
    <w:rsid w:val="00D51BF3"/>
    <w:rsid w:val="00D53BE7"/>
    <w:rsid w:val="00D66846"/>
    <w:rsid w:val="00D675FB"/>
    <w:rsid w:val="00D71F25"/>
    <w:rsid w:val="00D72A9C"/>
    <w:rsid w:val="00D77031"/>
    <w:rsid w:val="00D81A6C"/>
    <w:rsid w:val="00D8472C"/>
    <w:rsid w:val="00D84941"/>
    <w:rsid w:val="00D84FA1"/>
    <w:rsid w:val="00D851F0"/>
    <w:rsid w:val="00D86DB7"/>
    <w:rsid w:val="00D9067A"/>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197"/>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115"/>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5570"/>
    <w:rsid w:val="00E3137A"/>
    <w:rsid w:val="00E32CCF"/>
    <w:rsid w:val="00E34A98"/>
    <w:rsid w:val="00E35D1E"/>
    <w:rsid w:val="00E364F9"/>
    <w:rsid w:val="00E365FA"/>
    <w:rsid w:val="00E36789"/>
    <w:rsid w:val="00E41496"/>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22A3"/>
    <w:rsid w:val="00EB5EDF"/>
    <w:rsid w:val="00EB60FE"/>
    <w:rsid w:val="00EB74DB"/>
    <w:rsid w:val="00EB7EFE"/>
    <w:rsid w:val="00EC5359"/>
    <w:rsid w:val="00EC562A"/>
    <w:rsid w:val="00ED067A"/>
    <w:rsid w:val="00ED2B50"/>
    <w:rsid w:val="00EE0350"/>
    <w:rsid w:val="00EE0719"/>
    <w:rsid w:val="00EE0E80"/>
    <w:rsid w:val="00EE3AD8"/>
    <w:rsid w:val="00EE54A6"/>
    <w:rsid w:val="00EE613F"/>
    <w:rsid w:val="00EE7295"/>
    <w:rsid w:val="00EE7869"/>
    <w:rsid w:val="00EF054A"/>
    <w:rsid w:val="00EF3235"/>
    <w:rsid w:val="00EF4456"/>
    <w:rsid w:val="00EF7E72"/>
    <w:rsid w:val="00F06D37"/>
    <w:rsid w:val="00F07B9D"/>
    <w:rsid w:val="00F11586"/>
    <w:rsid w:val="00F1183B"/>
    <w:rsid w:val="00F11C9F"/>
    <w:rsid w:val="00F12263"/>
    <w:rsid w:val="00F1409D"/>
    <w:rsid w:val="00F14214"/>
    <w:rsid w:val="00F157A9"/>
    <w:rsid w:val="00F25BB6"/>
    <w:rsid w:val="00F26B7E"/>
    <w:rsid w:val="00F27A3B"/>
    <w:rsid w:val="00F30CEC"/>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2F06"/>
    <w:rsid w:val="00F81141"/>
    <w:rsid w:val="00F833BA"/>
    <w:rsid w:val="00F84FD0"/>
    <w:rsid w:val="00F859A8"/>
    <w:rsid w:val="00F865B5"/>
    <w:rsid w:val="00F86D87"/>
    <w:rsid w:val="00F9108B"/>
    <w:rsid w:val="00F91349"/>
    <w:rsid w:val="00F93A8A"/>
    <w:rsid w:val="00F95248"/>
    <w:rsid w:val="00F956A9"/>
    <w:rsid w:val="00F963ED"/>
    <w:rsid w:val="00F966CF"/>
    <w:rsid w:val="00F96CAE"/>
    <w:rsid w:val="00F973E9"/>
    <w:rsid w:val="00F97C99"/>
    <w:rsid w:val="00FA4DAC"/>
    <w:rsid w:val="00FA53E9"/>
    <w:rsid w:val="00FA662D"/>
    <w:rsid w:val="00FA73B1"/>
    <w:rsid w:val="00FA7FFA"/>
    <w:rsid w:val="00FB0CB9"/>
    <w:rsid w:val="00FB231D"/>
    <w:rsid w:val="00FB45F1"/>
    <w:rsid w:val="00FB4A72"/>
    <w:rsid w:val="00FB54E8"/>
    <w:rsid w:val="00FB6612"/>
    <w:rsid w:val="00FB7054"/>
    <w:rsid w:val="00FC17B7"/>
    <w:rsid w:val="00FC2CB7"/>
    <w:rsid w:val="00FC4090"/>
    <w:rsid w:val="00FC55B4"/>
    <w:rsid w:val="00FC6798"/>
    <w:rsid w:val="00FD00E6"/>
    <w:rsid w:val="00FD09A1"/>
    <w:rsid w:val="00FD2A7C"/>
    <w:rsid w:val="00FD58C8"/>
    <w:rsid w:val="00FD59EB"/>
    <w:rsid w:val="00FD7299"/>
    <w:rsid w:val="00FE1FBE"/>
    <w:rsid w:val="00FE3901"/>
    <w:rsid w:val="00FE39D3"/>
    <w:rsid w:val="00FE4BCE"/>
    <w:rsid w:val="00FE54AE"/>
    <w:rsid w:val="00FE576A"/>
    <w:rsid w:val="00FE7E79"/>
    <w:rsid w:val="00FF01FA"/>
    <w:rsid w:val="00FF2EED"/>
    <w:rsid w:val="00FF3E7D"/>
    <w:rsid w:val="00FF5B99"/>
    <w:rsid w:val="00FF730C"/>
    <w:rsid w:val="00FF73F4"/>
    <w:rsid w:val="00FF7CE4"/>
    <w:rsid w:val="00FF7E39"/>
    <w:rsid w:val="0E715E49"/>
    <w:rsid w:val="258B1F8D"/>
    <w:rsid w:val="311A3CC6"/>
    <w:rsid w:val="33FE167D"/>
    <w:rsid w:val="4487121B"/>
    <w:rsid w:val="52CB7679"/>
    <w:rsid w:val="5D7E0FB5"/>
    <w:rsid w:val="669611EA"/>
    <w:rsid w:val="7A6C3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uiPriority="39" w:semiHidden="0" w:name="toc 4"/>
    <w:lsdException w:qFormat="1" w:uiPriority="39" w:semiHidden="0" w:name="toc 5"/>
    <w:lsdException w:uiPriority="39" w:semiHidden="0" w:name="toc 6"/>
    <w:lsdException w:qFormat="1"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pPr>
      <w:tabs>
        <w:tab w:val="right" w:leader="dot" w:pos="9344"/>
      </w:tabs>
    </w:pPr>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Char"/>
    <w:link w:val="2"/>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uiPriority w:val="0"/>
    <w:pPr>
      <w:spacing w:before="48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basedOn w:val="1"/>
    <w:qFormat/>
    <w:uiPriority w:val="0"/>
    <w:pPr>
      <w:widowControl/>
      <w:autoSpaceDE w:val="0"/>
      <w:autoSpaceDN w:val="0"/>
      <w:adjustRightInd/>
      <w:spacing w:line="240" w:lineRule="auto"/>
      <w:ind w:firstLine="420" w:firstLineChars="200"/>
    </w:pPr>
    <w:rPr>
      <w:rFonts w:ascii="宋体" w:hAnsi="宋体" w:cs="宋体"/>
      <w:kern w:val="0"/>
    </w:rPr>
  </w:style>
  <w:style w:type="paragraph" w:customStyle="1" w:styleId="231">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232">
    <w:name w:val="Revision"/>
    <w:hidden/>
    <w:unhideWhenUsed/>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4.jpeg"/><Relationship Id="rId17" Type="http://schemas.openxmlformats.org/officeDocument/2006/relationships/image" Target="media/image3.emf"/><Relationship Id="rId16" Type="http://schemas.openxmlformats.org/officeDocument/2006/relationships/image" Target="media/image2.emf"/><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2B35DAC33514F66BB52A5D278599950"/>
        <w:style w:val=""/>
        <w:category>
          <w:name w:val="常规"/>
          <w:gallery w:val="placeholder"/>
        </w:category>
        <w:types>
          <w:type w:val="bbPlcHdr"/>
        </w:types>
        <w:behaviors>
          <w:behavior w:val="content"/>
        </w:behaviors>
        <w:description w:val=""/>
        <w:guid w:val="{880C25AD-8901-4BCC-9EEE-A0C58F394B9C}"/>
      </w:docPartPr>
      <w:docPartBody>
        <w:p w14:paraId="4536789A">
          <w:pPr>
            <w:pStyle w:val="5"/>
          </w:pPr>
          <w:r>
            <w:rPr>
              <w:rStyle w:val="4"/>
              <w:rFonts w:hint="eastAsia"/>
            </w:rPr>
            <w:t>单击或点击此处输入文字。</w:t>
          </w:r>
        </w:p>
      </w:docPartBody>
    </w:docPart>
    <w:docPart>
      <w:docPartPr>
        <w:name w:val="F26CC8BAD84443DBAE4615409200688D"/>
        <w:style w:val=""/>
        <w:category>
          <w:name w:val="常规"/>
          <w:gallery w:val="placeholder"/>
        </w:category>
        <w:types>
          <w:type w:val="bbPlcHdr"/>
        </w:types>
        <w:behaviors>
          <w:behavior w:val="content"/>
        </w:behaviors>
        <w:description w:val=""/>
        <w:guid w:val="{ABB7C7AE-8A9A-450E-A4F1-5F9A1393EAA2}"/>
      </w:docPartPr>
      <w:docPartBody>
        <w:p w14:paraId="2B11B9BF">
          <w:pPr>
            <w:pStyle w:val="6"/>
          </w:pPr>
          <w:r>
            <w:rPr>
              <w:rStyle w:val="4"/>
              <w:rFonts w:hint="eastAsia"/>
            </w:rPr>
            <w:t>选择一项。</w:t>
          </w:r>
        </w:p>
      </w:docPartBody>
    </w:docPart>
    <w:docPart>
      <w:docPartPr>
        <w:name w:val="1E19C2CE5C7641CD84348257275929EF"/>
        <w:style w:val=""/>
        <w:category>
          <w:name w:val="常规"/>
          <w:gallery w:val="placeholder"/>
        </w:category>
        <w:types>
          <w:type w:val="bbPlcHdr"/>
        </w:types>
        <w:behaviors>
          <w:behavior w:val="content"/>
        </w:behaviors>
        <w:description w:val=""/>
        <w:guid w:val="{1B978242-7058-42B1-A061-0EE2A45398C0}"/>
      </w:docPartPr>
      <w:docPartBody>
        <w:p w14:paraId="3499DBC3">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95618"/>
    <w:rsid w:val="00071022"/>
    <w:rsid w:val="001D004A"/>
    <w:rsid w:val="003F47C3"/>
    <w:rsid w:val="00420102"/>
    <w:rsid w:val="004558E2"/>
    <w:rsid w:val="0047256C"/>
    <w:rsid w:val="004B4472"/>
    <w:rsid w:val="00642A64"/>
    <w:rsid w:val="006858C6"/>
    <w:rsid w:val="006B4BFA"/>
    <w:rsid w:val="006E17EE"/>
    <w:rsid w:val="0072246B"/>
    <w:rsid w:val="007376A1"/>
    <w:rsid w:val="0076209D"/>
    <w:rsid w:val="007F0025"/>
    <w:rsid w:val="008F4289"/>
    <w:rsid w:val="00967C98"/>
    <w:rsid w:val="009B1E7A"/>
    <w:rsid w:val="00A53678"/>
    <w:rsid w:val="00B63B4E"/>
    <w:rsid w:val="00D63B16"/>
    <w:rsid w:val="00E60DB4"/>
    <w:rsid w:val="00E753E0"/>
    <w:rsid w:val="00F0635E"/>
    <w:rsid w:val="00F4577E"/>
    <w:rsid w:val="00F95618"/>
    <w:rsid w:val="00FA4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F2B35DAC33514F66BB52A5D27859995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26CC8BAD84443DBAE4615409200688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E19C2CE5C7641CD84348257275929EF"/>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DCDAA1-7EB9-4A1D-8AD6-2FC3B74E60A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12</Pages>
  <Words>5923</Words>
  <Characters>6383</Characters>
  <Lines>64</Lines>
  <Paragraphs>18</Paragraphs>
  <TotalTime>341</TotalTime>
  <ScaleCrop>false</ScaleCrop>
  <LinksUpToDate>false</LinksUpToDate>
  <CharactersWithSpaces>7390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2024-04-24T07:20:00Z</dcterms:created>
  <dc:creator>JSCDC</dc:creator>
  <cp:lastModifiedBy>mmme</cp:lastModifiedBy>
  <cp:lastPrinted>2020-08-30T10:00:00Z</cp:lastPrinted>
  <dcterms:modified xsi:type="dcterms:W3CDTF">2024-11-18T07:26:21Z</dcterms:modified>
  <dc:title>地方标准</dc:title>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204C73B48A6A409C948803EA0776EF1E_12</vt:lpwstr>
  </property>
</Properties>
</file>