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41C2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FBD9E7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hint="eastAsia" w:ascii="Times New Roman" w:hAnsi="Times New Roman" w:eastAsia="黑体"/>
                <w:sz w:val="21"/>
                <w:szCs w:val="21"/>
              </w:rPr>
              <w:t>ICS</w:t>
            </w:r>
            <w:r>
              <w:rPr>
                <w:rFonts w:hint="eastAsia" w:ascii="黑体" w:hAnsi="黑体" w:eastAsia="黑体"/>
                <w:sz w:val="21"/>
                <w:szCs w:val="21"/>
              </w:rPr>
              <w:t xml:space="preserve">  </w:t>
            </w:r>
          </w:p>
        </w:tc>
        <w:tc>
          <w:tcPr>
            <w:tcW w:w="8855" w:type="dxa"/>
          </w:tcPr>
          <w:p w14:paraId="00A5E1D7">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fldChar w:fldCharType="begin">
                <w:ffData>
                  <w:name w:val="ICS"/>
                  <w:enabled/>
                  <w:calcOnExit w:val="0"/>
                  <w:textInput>
                    <w:default w:val="点击此处添加ICS号"/>
                  </w:textInput>
                </w:ffData>
              </w:fldChar>
            </w:r>
            <w:bookmarkStart w:id="0" w:name="ICS"/>
            <w:r>
              <w:rPr>
                <w:rFonts w:hint="eastAsia" w:ascii="黑体" w:hAnsi="黑体" w:eastAsia="黑体"/>
                <w:sz w:val="21"/>
                <w:szCs w:val="21"/>
              </w:rPr>
              <w:instrText xml:space="preserve"> FORMTEXT </w:instrText>
            </w:r>
            <w:r>
              <w:rPr>
                <w:rFonts w:hint="eastAsia" w:ascii="黑体" w:hAnsi="黑体" w:eastAsia="黑体"/>
                <w:sz w:val="21"/>
                <w:szCs w:val="21"/>
              </w:rPr>
              <w:fldChar w:fldCharType="separate"/>
            </w:r>
            <w:r>
              <w:rPr>
                <w:rFonts w:hint="eastAsia" w:ascii="黑体" w:hAnsi="黑体" w:eastAsia="黑体"/>
                <w:sz w:val="21"/>
                <w:szCs w:val="21"/>
              </w:rPr>
              <w:t>13.100</w:t>
            </w:r>
            <w:r>
              <w:rPr>
                <w:rFonts w:hint="eastAsia" w:ascii="黑体" w:hAnsi="黑体" w:eastAsia="黑体"/>
                <w:sz w:val="21"/>
                <w:szCs w:val="21"/>
              </w:rPr>
              <w:fldChar w:fldCharType="end"/>
            </w:r>
            <w:bookmarkEnd w:id="0"/>
          </w:p>
        </w:tc>
      </w:tr>
      <w:tr w14:paraId="52A8D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BE673B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Times New Roman" w:hAnsi="Times New Roman" w:eastAsia="黑体"/>
                <w:sz w:val="21"/>
                <w:szCs w:val="21"/>
              </w:rPr>
              <w:t xml:space="preserve">CCS </w:t>
            </w:r>
            <w:r>
              <w:rPr>
                <w:rFonts w:hint="eastAsia" w:ascii="黑体" w:hAnsi="黑体" w:eastAsia="黑体"/>
                <w:sz w:val="21"/>
                <w:szCs w:val="21"/>
              </w:rPr>
              <w:t xml:space="preserve"> </w:t>
            </w:r>
          </w:p>
        </w:tc>
        <w:tc>
          <w:tcPr>
            <w:tcW w:w="8855" w:type="dxa"/>
          </w:tcPr>
          <w:p w14:paraId="655C821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fldChar w:fldCharType="begin">
                <w:ffData>
                  <w:name w:val="CSDN"/>
                  <w:enabled/>
                  <w:calcOnExit w:val="0"/>
                  <w:textInput>
                    <w:default w:val="点击此处添加CCS号"/>
                  </w:textInput>
                </w:ffData>
              </w:fldChar>
            </w:r>
            <w:bookmarkStart w:id="1" w:name="CSDN"/>
            <w:r>
              <w:rPr>
                <w:rFonts w:hint="eastAsia" w:ascii="黑体" w:hAnsi="黑体" w:eastAsia="黑体"/>
                <w:sz w:val="21"/>
                <w:szCs w:val="21"/>
              </w:rPr>
              <w:instrText xml:space="preserve"> FORMTEXT </w:instrText>
            </w:r>
            <w:r>
              <w:rPr>
                <w:rFonts w:hint="eastAsia" w:ascii="黑体" w:hAnsi="黑体" w:eastAsia="黑体"/>
                <w:sz w:val="21"/>
                <w:szCs w:val="21"/>
              </w:rPr>
              <w:fldChar w:fldCharType="separate"/>
            </w:r>
            <w:r>
              <w:rPr>
                <w:rFonts w:hint="eastAsia" w:ascii="黑体" w:hAnsi="黑体" w:eastAsia="黑体"/>
                <w:sz w:val="21"/>
                <w:szCs w:val="21"/>
              </w:rPr>
              <w:t>C 50</w:t>
            </w:r>
            <w:r>
              <w:rPr>
                <w:rFonts w:hint="eastAsia"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42B3AD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AEB954B">
            <w:pPr>
              <w:pStyle w:val="50"/>
              <w:framePr w:w="0" w:hRule="auto" w:wrap="auto" w:vAnchor="margin" w:hAnchor="text" w:xAlign="left" w:yAlign="inline"/>
              <w:rPr>
                <w:rFonts w:ascii="宋体" w:hAnsi="宋体"/>
                <w:kern w:val="2"/>
                <w:sz w:val="28"/>
                <w:szCs w:val="28"/>
              </w:rPr>
            </w:pPr>
            <w:bookmarkStart w:id="2" w:name="_Hlk26473981"/>
            <w:r>
              <w:rPr>
                <w:rFonts w:hint="eastAsia"/>
                <w:kern w:val="2"/>
                <w:szCs w:val="22"/>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eastAsia"/>
                <w:kern w:val="2"/>
                <w:sz w:val="21"/>
                <w:szCs w:val="21"/>
              </w:rPr>
              <w:t xml:space="preserve"> </w:t>
            </w:r>
            <w:r>
              <w:rPr>
                <w:rFonts w:hint="eastAsia"/>
                <w:kern w:val="2"/>
                <w:szCs w:val="22"/>
              </w:rPr>
              <w:fldChar w:fldCharType="begin">
                <w:ffData>
                  <w:name w:val="c1"/>
                  <w:enabled/>
                  <w:calcOnExit w:val="0"/>
                  <w:textInput>
                    <w:maxLength w:val="8"/>
                  </w:textInput>
                </w:ffData>
              </w:fldChar>
            </w:r>
            <w:bookmarkStart w:id="3" w:name="c1"/>
            <w:r>
              <w:rPr>
                <w:rFonts w:hint="eastAsia"/>
                <w:kern w:val="2"/>
                <w:szCs w:val="22"/>
              </w:rPr>
              <w:instrText xml:space="preserve"> FORMTEXT </w:instrText>
            </w:r>
            <w:r>
              <w:rPr>
                <w:rFonts w:hint="eastAsia"/>
                <w:kern w:val="2"/>
                <w:szCs w:val="22"/>
              </w:rPr>
              <w:fldChar w:fldCharType="separate"/>
            </w:r>
            <w:r>
              <w:rPr>
                <w:rFonts w:hint="eastAsia"/>
                <w:kern w:val="2"/>
                <w:szCs w:val="22"/>
              </w:rPr>
              <w:t>32</w:t>
            </w:r>
            <w:r>
              <w:rPr>
                <w:rFonts w:hint="eastAsia"/>
                <w:kern w:val="2"/>
                <w:szCs w:val="22"/>
              </w:rPr>
              <w:fldChar w:fldCharType="end"/>
            </w:r>
            <w:bookmarkEnd w:id="3"/>
          </w:p>
        </w:tc>
      </w:tr>
    </w:tbl>
    <w:p w14:paraId="25196457">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江</w:t>
      </w:r>
      <w:r>
        <w:rPr>
          <w:rFonts w:hint="eastAsia" w:ascii="黑体" w:eastAsia="黑体"/>
          <w:b w:val="0"/>
          <w:w w:val="100"/>
          <w:sz w:val="48"/>
        </w:rPr>
        <w:t>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A48DDC6">
      <w:pPr>
        <w:pStyle w:val="196"/>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A573B08">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C66704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CB2CDF7">
      <w:pPr>
        <w:pStyle w:val="51"/>
        <w:framePr w:w="9639" w:h="6976" w:hRule="exact" w:hSpace="0" w:vSpace="0" w:wrap="around" w:hAnchor="page" w:y="6408"/>
        <w:jc w:val="center"/>
        <w:rPr>
          <w:rFonts w:ascii="黑体" w:hAnsi="黑体" w:eastAsia="黑体"/>
          <w:b w:val="0"/>
          <w:bCs w:val="0"/>
          <w:w w:val="100"/>
        </w:rPr>
      </w:pPr>
    </w:p>
    <w:p w14:paraId="3B5B4398">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传染病突发公共卫生事件应急处置技术规范</w:t>
      </w:r>
      <w:r>
        <w:rPr>
          <w:rFonts w:hint="eastAsia"/>
          <w:lang w:val="en-US" w:eastAsia="zh-CN"/>
        </w:rPr>
        <w:t xml:space="preserve"> </w:t>
      </w:r>
      <w:r>
        <w:t>第3部分：风险评估</w:t>
      </w:r>
      <w:r>
        <w:fldChar w:fldCharType="end"/>
      </w:r>
      <w:bookmarkEnd w:id="9"/>
    </w:p>
    <w:p w14:paraId="7AB95C5B">
      <w:pPr>
        <w:framePr w:w="9639" w:h="6974" w:hRule="exact" w:wrap="around" w:vAnchor="page" w:hAnchor="page" w:x="1419" w:y="6408" w:anchorLock="1"/>
        <w:ind w:left="-1418"/>
      </w:pPr>
    </w:p>
    <w:p w14:paraId="6FD10F42">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specification for emergency response of </w:t>
      </w:r>
      <w:r>
        <w:rPr>
          <w:rFonts w:ascii="黑体" w:hAnsi="黑体" w:eastAsia="黑体"/>
          <w:szCs w:val="28"/>
        </w:rPr>
        <w:tab/>
      </w:r>
      <w:r>
        <w:rPr>
          <w:rFonts w:ascii="黑体" w:hAnsi="黑体" w:eastAsia="黑体"/>
          <w:szCs w:val="28"/>
        </w:rPr>
        <w:t xml:space="preserve">public health emergent event caused by infectious diseases </w:t>
      </w:r>
    </w:p>
    <w:p w14:paraId="1272D7D9">
      <w:pPr>
        <w:pStyle w:val="126"/>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Part 3：Risk assessment</w:t>
      </w:r>
      <w:r>
        <w:rPr>
          <w:rFonts w:ascii="黑体" w:hAnsi="黑体" w:eastAsia="黑体"/>
          <w:szCs w:val="28"/>
        </w:rPr>
        <w:fldChar w:fldCharType="end"/>
      </w:r>
      <w:bookmarkEnd w:id="10"/>
    </w:p>
    <w:p w14:paraId="0D49F319">
      <w:pPr>
        <w:framePr w:w="9639" w:h="6974" w:hRule="exact" w:wrap="around" w:vAnchor="page" w:hAnchor="page" w:x="1419" w:y="6408" w:anchorLock="1"/>
        <w:spacing w:line="760" w:lineRule="exact"/>
        <w:ind w:left="-1418"/>
      </w:pPr>
    </w:p>
    <w:p w14:paraId="746FF4D7">
      <w:pPr>
        <w:pStyle w:val="126"/>
        <w:framePr w:w="9639" w:h="6974" w:hRule="exact" w:wrap="around" w:vAnchor="page" w:hAnchor="page" w:x="1419" w:y="6408" w:anchorLock="1"/>
        <w:textAlignment w:val="bottom"/>
        <w:rPr>
          <w:rFonts w:eastAsia="黑体"/>
          <w:szCs w:val="28"/>
        </w:rPr>
      </w:pPr>
    </w:p>
    <w:p w14:paraId="54303264">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3BF5E68">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w:t>
      </w:r>
      <w:r>
        <w:rPr>
          <w:sz w:val="21"/>
          <w:szCs w:val="28"/>
        </w:rPr>
        <w:fldChar w:fldCharType="end"/>
      </w:r>
      <w:bookmarkEnd w:id="12"/>
    </w:p>
    <w:p w14:paraId="3E2F7777">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42BA478">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A1171E3">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9571835">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700DF4C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F6983C1">
      <w:pPr>
        <w:pStyle w:val="92"/>
        <w:spacing w:after="468"/>
        <w:rPr>
          <w:rFonts w:hint="eastAsia"/>
        </w:rPr>
      </w:pPr>
      <w:bookmarkStart w:id="21" w:name="BookMark1"/>
      <w:bookmarkStart w:id="22" w:name="_Toc176877427"/>
      <w:r>
        <w:rPr>
          <w:rFonts w:hint="eastAsia"/>
          <w:spacing w:val="320"/>
        </w:rPr>
        <w:t>目</w:t>
      </w:r>
      <w:r>
        <w:rPr>
          <w:rFonts w:hint="eastAsia"/>
        </w:rPr>
        <w:t>次</w:t>
      </w:r>
    </w:p>
    <w:p w14:paraId="30F990D9">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"_Toc177659513" </w:instrText>
      </w:r>
      <w:r>
        <w:fldChar w:fldCharType="separate"/>
      </w:r>
      <w:r>
        <w:rPr>
          <w:rStyle w:val="33"/>
          <w:rFonts w:hint="eastAsia"/>
        </w:rPr>
        <w:t>前言</w:t>
      </w:r>
      <w:r>
        <w:tab/>
      </w:r>
      <w:r>
        <w:fldChar w:fldCharType="begin"/>
      </w:r>
      <w:r>
        <w:instrText xml:space="preserve"> PAGEREF _Toc177659513 \h </w:instrText>
      </w:r>
      <w:r>
        <w:fldChar w:fldCharType="separate"/>
      </w:r>
      <w:r>
        <w:t>II</w:t>
      </w:r>
      <w:r>
        <w:fldChar w:fldCharType="end"/>
      </w:r>
      <w:r>
        <w:fldChar w:fldCharType="end"/>
      </w:r>
    </w:p>
    <w:p w14:paraId="5D63E986">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"_Toc177659514" </w:instrText>
      </w:r>
      <w:r>
        <w:fldChar w:fldCharType="separate"/>
      </w:r>
      <w:r>
        <w:rPr>
          <w:rStyle w:val="33"/>
          <w:rFonts w:hint="eastAsia"/>
        </w:rPr>
        <w:t>引言</w:t>
      </w:r>
      <w:r>
        <w:tab/>
      </w:r>
      <w:r>
        <w:fldChar w:fldCharType="begin"/>
      </w:r>
      <w:r>
        <w:instrText xml:space="preserve"> PAGEREF _Toc177659514 \h </w:instrText>
      </w:r>
      <w:r>
        <w:fldChar w:fldCharType="separate"/>
      </w:r>
      <w:r>
        <w:t>III</w:t>
      </w:r>
      <w:r>
        <w:fldChar w:fldCharType="end"/>
      </w:r>
      <w:r>
        <w:fldChar w:fldCharType="end"/>
      </w:r>
    </w:p>
    <w:p w14:paraId="47B37D88">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"_Toc177659515" </w:instrText>
      </w:r>
      <w:r>
        <w:fldChar w:fldCharType="separate"/>
      </w:r>
      <w:r>
        <w:rPr>
          <w:rStyle w:val="33"/>
        </w:rPr>
        <w:t xml:space="preserve">1 </w:t>
      </w:r>
      <w:r>
        <w:rPr>
          <w:rStyle w:val="33"/>
          <w:rFonts w:hint="eastAsia"/>
        </w:rPr>
        <w:t xml:space="preserve"> 范围</w:t>
      </w:r>
      <w:r>
        <w:tab/>
      </w:r>
      <w:r>
        <w:fldChar w:fldCharType="begin"/>
      </w:r>
      <w:r>
        <w:instrText xml:space="preserve"> PAGEREF _Toc177659515 \h </w:instrText>
      </w:r>
      <w:r>
        <w:fldChar w:fldCharType="separate"/>
      </w:r>
      <w:r>
        <w:t>1</w:t>
      </w:r>
      <w:r>
        <w:fldChar w:fldCharType="end"/>
      </w:r>
      <w:r>
        <w:fldChar w:fldCharType="end"/>
      </w:r>
    </w:p>
    <w:p w14:paraId="37976A57">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"_Toc177659516"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_Toc177659516 \h </w:instrText>
      </w:r>
      <w:r>
        <w:fldChar w:fldCharType="separate"/>
      </w:r>
      <w:r>
        <w:t>1</w:t>
      </w:r>
      <w:r>
        <w:fldChar w:fldCharType="end"/>
      </w:r>
      <w:r>
        <w:fldChar w:fldCharType="end"/>
      </w:r>
    </w:p>
    <w:p w14:paraId="15180334">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"_Toc177659517"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_Toc177659517 \h </w:instrText>
      </w:r>
      <w:r>
        <w:fldChar w:fldCharType="separate"/>
      </w:r>
      <w:r>
        <w:t>1</w:t>
      </w:r>
      <w:r>
        <w:fldChar w:fldCharType="end"/>
      </w:r>
      <w:r>
        <w:fldChar w:fldCharType="end"/>
      </w:r>
    </w:p>
    <w:p w14:paraId="4CB31D27">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"_Toc177659518" </w:instrText>
      </w:r>
      <w:r>
        <w:fldChar w:fldCharType="separate"/>
      </w:r>
      <w:r>
        <w:rPr>
          <w:rStyle w:val="33"/>
        </w:rPr>
        <w:t xml:space="preserve">4 </w:t>
      </w:r>
      <w:r>
        <w:rPr>
          <w:rStyle w:val="33"/>
          <w:rFonts w:hint="eastAsia"/>
        </w:rPr>
        <w:t xml:space="preserve"> 评估原则</w:t>
      </w:r>
      <w:r>
        <w:tab/>
      </w:r>
      <w:r>
        <w:fldChar w:fldCharType="begin"/>
      </w:r>
      <w:r>
        <w:instrText xml:space="preserve"> PAGEREF _Toc177659518 \h </w:instrText>
      </w:r>
      <w:r>
        <w:fldChar w:fldCharType="separate"/>
      </w:r>
      <w:r>
        <w:t>1</w:t>
      </w:r>
      <w:r>
        <w:fldChar w:fldCharType="end"/>
      </w:r>
      <w:r>
        <w:fldChar w:fldCharType="end"/>
      </w:r>
    </w:p>
    <w:p w14:paraId="2D6028BB">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"_Toc177659519" </w:instrText>
      </w:r>
      <w:r>
        <w:fldChar w:fldCharType="separate"/>
      </w:r>
      <w:r>
        <w:rPr>
          <w:rStyle w:val="33"/>
        </w:rPr>
        <w:t xml:space="preserve">5 </w:t>
      </w:r>
      <w:r>
        <w:rPr>
          <w:rStyle w:val="33"/>
          <w:rFonts w:hint="eastAsia"/>
        </w:rPr>
        <w:t xml:space="preserve"> 评估形式</w:t>
      </w:r>
      <w:r>
        <w:tab/>
      </w:r>
      <w:r>
        <w:fldChar w:fldCharType="begin"/>
      </w:r>
      <w:r>
        <w:instrText xml:space="preserve"> PAGEREF _Toc177659519 \h </w:instrText>
      </w:r>
      <w:r>
        <w:fldChar w:fldCharType="separate"/>
      </w:r>
      <w:r>
        <w:t>2</w:t>
      </w:r>
      <w:r>
        <w:fldChar w:fldCharType="end"/>
      </w:r>
      <w:r>
        <w:fldChar w:fldCharType="end"/>
      </w:r>
    </w:p>
    <w:p w14:paraId="4650CBB1">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"_Toc177659520" </w:instrText>
      </w:r>
      <w:r>
        <w:fldChar w:fldCharType="separate"/>
      </w:r>
      <w:r>
        <w:rPr>
          <w:rStyle w:val="33"/>
        </w:rPr>
        <w:t xml:space="preserve">6 </w:t>
      </w:r>
      <w:r>
        <w:rPr>
          <w:rStyle w:val="33"/>
          <w:rFonts w:hint="eastAsia"/>
        </w:rPr>
        <w:t xml:space="preserve"> 评估流程</w:t>
      </w:r>
      <w:r>
        <w:tab/>
      </w:r>
      <w:r>
        <w:fldChar w:fldCharType="begin"/>
      </w:r>
      <w:r>
        <w:instrText xml:space="preserve"> PAGEREF _Toc177659520 \h </w:instrText>
      </w:r>
      <w:r>
        <w:fldChar w:fldCharType="separate"/>
      </w:r>
      <w:r>
        <w:t>2</w:t>
      </w:r>
      <w:r>
        <w:fldChar w:fldCharType="end"/>
      </w:r>
      <w:r>
        <w:fldChar w:fldCharType="end"/>
      </w:r>
    </w:p>
    <w:p w14:paraId="685FBCA0">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"_Toc177659521" </w:instrText>
      </w:r>
      <w:r>
        <w:fldChar w:fldCharType="separate"/>
      </w:r>
      <w:r>
        <w:rPr>
          <w:rStyle w:val="33"/>
        </w:rPr>
        <w:t xml:space="preserve">7 </w:t>
      </w:r>
      <w:r>
        <w:rPr>
          <w:rStyle w:val="33"/>
          <w:rFonts w:hint="eastAsia"/>
        </w:rPr>
        <w:t xml:space="preserve"> 评估方法</w:t>
      </w:r>
      <w:r>
        <w:tab/>
      </w:r>
      <w:r>
        <w:fldChar w:fldCharType="begin"/>
      </w:r>
      <w:r>
        <w:instrText xml:space="preserve"> PAGEREF _Toc177659521 \h </w:instrText>
      </w:r>
      <w:r>
        <w:fldChar w:fldCharType="separate"/>
      </w:r>
      <w:r>
        <w:t>2</w:t>
      </w:r>
      <w:r>
        <w:fldChar w:fldCharType="end"/>
      </w:r>
      <w:r>
        <w:fldChar w:fldCharType="end"/>
      </w:r>
    </w:p>
    <w:p w14:paraId="6CD04960">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"_Toc177659522" </w:instrText>
      </w:r>
      <w:r>
        <w:fldChar w:fldCharType="separate"/>
      </w:r>
      <w:r>
        <w:rPr>
          <w:rStyle w:val="33"/>
        </w:rPr>
        <w:t xml:space="preserve">8 </w:t>
      </w:r>
      <w:r>
        <w:rPr>
          <w:rStyle w:val="33"/>
          <w:rFonts w:hint="eastAsia"/>
        </w:rPr>
        <w:t xml:space="preserve"> 评估实施及要求</w:t>
      </w:r>
      <w:r>
        <w:tab/>
      </w:r>
      <w:r>
        <w:fldChar w:fldCharType="begin"/>
      </w:r>
      <w:r>
        <w:instrText xml:space="preserve"> PAGEREF _Toc177659522 \h </w:instrText>
      </w:r>
      <w:r>
        <w:fldChar w:fldCharType="separate"/>
      </w:r>
      <w:r>
        <w:t>2</w:t>
      </w:r>
      <w:r>
        <w:fldChar w:fldCharType="end"/>
      </w:r>
      <w:r>
        <w:fldChar w:fldCharType="end"/>
      </w:r>
    </w:p>
    <w:p w14:paraId="3158EC51">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"_Toc177659523" </w:instrText>
      </w:r>
      <w:r>
        <w:fldChar w:fldCharType="separate"/>
      </w:r>
      <w:r>
        <w:rPr>
          <w:rStyle w:val="33"/>
          <w:rFonts w:hint="eastAsia"/>
        </w:rPr>
        <w:t>附录A（资料性）</w:t>
      </w:r>
      <w:r>
        <w:rPr>
          <w:rStyle w:val="33"/>
        </w:rPr>
        <w:t xml:space="preserve">  </w:t>
      </w:r>
      <w:r>
        <w:rPr>
          <w:rStyle w:val="33"/>
          <w:rFonts w:hint="eastAsia"/>
        </w:rPr>
        <w:t>风险评估常用分析方法的比较</w:t>
      </w:r>
      <w:r>
        <w:tab/>
      </w:r>
      <w:r>
        <w:fldChar w:fldCharType="begin"/>
      </w:r>
      <w:r>
        <w:instrText xml:space="preserve"> PAGEREF _Toc177659523 \h </w:instrText>
      </w:r>
      <w:r>
        <w:fldChar w:fldCharType="separate"/>
      </w:r>
      <w:r>
        <w:t>5</w:t>
      </w:r>
      <w:r>
        <w:fldChar w:fldCharType="end"/>
      </w:r>
      <w:r>
        <w:fldChar w:fldCharType="end"/>
      </w:r>
    </w:p>
    <w:p w14:paraId="235E8BB5">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"_Toc177659524" </w:instrText>
      </w:r>
      <w:r>
        <w:fldChar w:fldCharType="separate"/>
      </w:r>
      <w:r>
        <w:rPr>
          <w:rStyle w:val="33"/>
          <w:rFonts w:hint="eastAsia"/>
        </w:rPr>
        <w:t>附录B（资料性）</w:t>
      </w:r>
      <w:r>
        <w:rPr>
          <w:rStyle w:val="33"/>
        </w:rPr>
        <w:t xml:space="preserve">  </w:t>
      </w:r>
      <w:r>
        <w:rPr>
          <w:rStyle w:val="33"/>
          <w:rFonts w:hint="eastAsia"/>
        </w:rPr>
        <w:t>专题风险评估的技术流程</w:t>
      </w:r>
      <w:r>
        <w:tab/>
      </w:r>
      <w:r>
        <w:fldChar w:fldCharType="begin"/>
      </w:r>
      <w:r>
        <w:instrText xml:space="preserve"> PAGEREF _Toc177659524 \h </w:instrText>
      </w:r>
      <w:r>
        <w:fldChar w:fldCharType="separate"/>
      </w:r>
      <w:r>
        <w:t>6</w:t>
      </w:r>
      <w:r>
        <w:fldChar w:fldCharType="end"/>
      </w:r>
      <w:r>
        <w:fldChar w:fldCharType="end"/>
      </w:r>
    </w:p>
    <w:p w14:paraId="6ED65EC0">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"_Toc177659525" </w:instrText>
      </w:r>
      <w:r>
        <w:fldChar w:fldCharType="separate"/>
      </w:r>
      <w:r>
        <w:rPr>
          <w:rStyle w:val="33"/>
          <w:rFonts w:hint="eastAsia"/>
        </w:rPr>
        <w:t>附录C（资料性）</w:t>
      </w:r>
      <w:r>
        <w:rPr>
          <w:rStyle w:val="33"/>
        </w:rPr>
        <w:t xml:space="preserve">  </w:t>
      </w:r>
      <w:r>
        <w:rPr>
          <w:rStyle w:val="33"/>
          <w:rFonts w:hint="eastAsia"/>
        </w:rPr>
        <w:t>日常风险评估的技术流程</w:t>
      </w:r>
      <w:r>
        <w:tab/>
      </w:r>
      <w:r>
        <w:fldChar w:fldCharType="begin"/>
      </w:r>
      <w:r>
        <w:instrText xml:space="preserve"> PAGEREF _Toc177659525 \h </w:instrText>
      </w:r>
      <w:r>
        <w:fldChar w:fldCharType="separate"/>
      </w:r>
      <w:r>
        <w:t>7</w:t>
      </w:r>
      <w:r>
        <w:fldChar w:fldCharType="end"/>
      </w:r>
      <w:r>
        <w:fldChar w:fldCharType="end"/>
      </w:r>
    </w:p>
    <w:p w14:paraId="464A3AF1">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"_Toc177659526" </w:instrText>
      </w:r>
      <w:r>
        <w:fldChar w:fldCharType="separate"/>
      </w:r>
      <w:r>
        <w:rPr>
          <w:rStyle w:val="33"/>
          <w:rFonts w:hint="eastAsia"/>
        </w:rPr>
        <w:t>附录D（资料性）</w:t>
      </w:r>
      <w:r>
        <w:rPr>
          <w:rStyle w:val="33"/>
        </w:rPr>
        <w:t xml:space="preserve">  </w:t>
      </w:r>
      <w:r>
        <w:rPr>
          <w:rStyle w:val="33"/>
          <w:rFonts w:hint="eastAsia"/>
        </w:rPr>
        <w:t>风险评估报告的模板框架</w:t>
      </w:r>
      <w:r>
        <w:tab/>
      </w:r>
      <w:r>
        <w:fldChar w:fldCharType="begin"/>
      </w:r>
      <w:r>
        <w:instrText xml:space="preserve"> PAGEREF _Toc177659526 \h </w:instrText>
      </w:r>
      <w:r>
        <w:fldChar w:fldCharType="separate"/>
      </w:r>
      <w:r>
        <w:t>8</w:t>
      </w:r>
      <w:r>
        <w:fldChar w:fldCharType="end"/>
      </w:r>
      <w:r>
        <w:fldChar w:fldCharType="end"/>
      </w:r>
    </w:p>
    <w:p w14:paraId="3EEC40BA">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"_Toc177659527" </w:instrText>
      </w:r>
      <w:r>
        <w:fldChar w:fldCharType="separate"/>
      </w:r>
      <w:r>
        <w:rPr>
          <w:rStyle w:val="33"/>
          <w:rFonts w:hint="eastAsia"/>
        </w:rPr>
        <w:t>参考文献</w:t>
      </w:r>
      <w:r>
        <w:tab/>
      </w:r>
      <w:r>
        <w:fldChar w:fldCharType="begin"/>
      </w:r>
      <w:r>
        <w:instrText xml:space="preserve"> PAGEREF _Toc177659527 \h </w:instrText>
      </w:r>
      <w:r>
        <w:fldChar w:fldCharType="separate"/>
      </w:r>
      <w:r>
        <w:t>9</w:t>
      </w:r>
      <w:r>
        <w:fldChar w:fldCharType="end"/>
      </w:r>
      <w:r>
        <w:fldChar w:fldCharType="end"/>
      </w:r>
    </w:p>
    <w:p w14:paraId="00095B1A">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6AE613BE">
      <w:pPr>
        <w:pStyle w:val="90"/>
        <w:spacing w:before="900" w:after="468"/>
      </w:pPr>
      <w:bookmarkStart w:id="23" w:name="_Toc177659513"/>
      <w:bookmarkStart w:id="24" w:name="BookMark2"/>
      <w:r>
        <w:rPr>
          <w:spacing w:val="320"/>
        </w:rPr>
        <w:t>前</w:t>
      </w:r>
      <w:r>
        <w:t>言</w:t>
      </w:r>
      <w:bookmarkEnd w:id="22"/>
      <w:bookmarkEnd w:id="23"/>
    </w:p>
    <w:p w14:paraId="0EBC5835">
      <w:pPr>
        <w:pStyle w:val="57"/>
        <w:ind w:firstLine="420"/>
      </w:pPr>
      <w:r>
        <w:rPr>
          <w:rFonts w:hint="eastAsia"/>
        </w:rPr>
        <w:t>本文件按照GB/T1.1-2020《标准化工作导则  第1部分：标准化文件的结构和起草规则》的规定起草。</w:t>
      </w:r>
    </w:p>
    <w:p w14:paraId="1B07CE57">
      <w:pPr>
        <w:pStyle w:val="57"/>
        <w:ind w:firstLine="420"/>
      </w:pPr>
      <w:r>
        <w:rPr>
          <w:rFonts w:hint="eastAsia"/>
        </w:rPr>
        <w:t>本文件是DB32/T XXX 《传染病突发公共卫生事件应急处置技术规范》的第3部分。DB32/T XXX 已经发布了以下部分：</w:t>
      </w:r>
    </w:p>
    <w:p w14:paraId="77EA4D9B">
      <w:pPr>
        <w:pStyle w:val="57"/>
        <w:ind w:firstLine="420"/>
      </w:pPr>
      <w:r>
        <w:rPr>
          <w:rFonts w:hint="eastAsia"/>
        </w:rPr>
        <w:t>——第1部分：监测预警；</w:t>
      </w:r>
    </w:p>
    <w:p w14:paraId="51D40B8F">
      <w:pPr>
        <w:pStyle w:val="57"/>
        <w:ind w:firstLine="420"/>
      </w:pPr>
      <w:r>
        <w:rPr>
          <w:rFonts w:hint="eastAsia"/>
        </w:rPr>
        <w:t>——第2部分：事件报告和管理；</w:t>
      </w:r>
    </w:p>
    <w:p w14:paraId="2153AB99">
      <w:pPr>
        <w:pStyle w:val="57"/>
        <w:ind w:firstLine="420"/>
      </w:pPr>
      <w:r>
        <w:rPr>
          <w:rFonts w:hint="eastAsia"/>
        </w:rPr>
        <w:t>——第3部分：风险评估；</w:t>
      </w:r>
    </w:p>
    <w:p w14:paraId="58902DCB">
      <w:pPr>
        <w:pStyle w:val="57"/>
        <w:ind w:firstLine="420"/>
      </w:pPr>
      <w:r>
        <w:rPr>
          <w:rFonts w:hint="eastAsia"/>
        </w:rPr>
        <w:t>——第4部分：现场流行病学调查；</w:t>
      </w:r>
    </w:p>
    <w:p w14:paraId="35EA5A3D">
      <w:pPr>
        <w:pStyle w:val="57"/>
        <w:ind w:firstLine="420"/>
      </w:pPr>
      <w:r>
        <w:rPr>
          <w:rFonts w:hint="eastAsia"/>
        </w:rPr>
        <w:t>——第5部分：恢复评估；</w:t>
      </w:r>
    </w:p>
    <w:p w14:paraId="04CB1C45">
      <w:pPr>
        <w:pStyle w:val="57"/>
        <w:ind w:firstLine="420"/>
      </w:pPr>
      <w:r>
        <w:rPr>
          <w:rFonts w:hint="eastAsia"/>
        </w:rPr>
        <w:t>——第6部分：应急消毒处置及应急人员个人防护；</w:t>
      </w:r>
    </w:p>
    <w:p w14:paraId="3E8180FF">
      <w:pPr>
        <w:pStyle w:val="57"/>
        <w:ind w:firstLine="420"/>
      </w:pPr>
      <w:r>
        <w:rPr>
          <w:rFonts w:hint="eastAsia"/>
        </w:rPr>
        <w:t>——第7部分：媒介生物应急监测、评估与控制；</w:t>
      </w:r>
    </w:p>
    <w:p w14:paraId="31134D06">
      <w:pPr>
        <w:pStyle w:val="57"/>
        <w:ind w:firstLine="420"/>
      </w:pPr>
      <w:r>
        <w:rPr>
          <w:rFonts w:hint="eastAsia"/>
        </w:rPr>
        <w:t>——第8部分：标本的采集、保存和运输；</w:t>
      </w:r>
    </w:p>
    <w:p w14:paraId="0A4D1699">
      <w:pPr>
        <w:pStyle w:val="57"/>
        <w:ind w:firstLine="420"/>
      </w:pPr>
      <w:r>
        <w:rPr>
          <w:rFonts w:hint="eastAsia"/>
        </w:rPr>
        <w:t>——第9部分：应急检测流程；</w:t>
      </w:r>
    </w:p>
    <w:p w14:paraId="24F6AA76">
      <w:pPr>
        <w:pStyle w:val="57"/>
        <w:ind w:firstLine="420"/>
      </w:pPr>
      <w:r>
        <w:rPr>
          <w:rFonts w:hint="eastAsia"/>
        </w:rPr>
        <w:t>——第10部分：病毒类应急检测技术；</w:t>
      </w:r>
    </w:p>
    <w:p w14:paraId="56C84123">
      <w:pPr>
        <w:pStyle w:val="57"/>
        <w:ind w:firstLine="420"/>
      </w:pPr>
      <w:r>
        <w:rPr>
          <w:rFonts w:hint="eastAsia"/>
        </w:rPr>
        <w:t>——第11部分：细菌类应急检测技术。</w:t>
      </w:r>
    </w:p>
    <w:p w14:paraId="100A127E">
      <w:pPr>
        <w:pStyle w:val="57"/>
        <w:ind w:firstLine="420"/>
      </w:pPr>
      <w:r>
        <w:rPr>
          <w:rFonts w:hint="eastAsia"/>
        </w:rPr>
        <w:t>请注意本文件的某些内容可能涉及专利。本文件的发布机构不承担识别专利的责任。</w:t>
      </w:r>
    </w:p>
    <w:p w14:paraId="5859C8FA">
      <w:pPr>
        <w:pStyle w:val="57"/>
        <w:ind w:firstLine="420"/>
      </w:pPr>
      <w:r>
        <w:rPr>
          <w:rFonts w:hint="eastAsia"/>
        </w:rPr>
        <w:t>本文件由江苏省卫生健康委员会提出并组织实施。</w:t>
      </w:r>
    </w:p>
    <w:p w14:paraId="01BA67D8">
      <w:pPr>
        <w:pStyle w:val="57"/>
        <w:ind w:firstLine="420"/>
      </w:pPr>
      <w:r>
        <w:rPr>
          <w:rFonts w:hint="eastAsia"/>
        </w:rPr>
        <w:t>本文件由江苏省卫生健康标准化技术委员会归口。</w:t>
      </w:r>
    </w:p>
    <w:p w14:paraId="1290BA17">
      <w:pPr>
        <w:pStyle w:val="57"/>
        <w:ind w:firstLine="420"/>
      </w:pPr>
      <w:r>
        <w:rPr>
          <w:rFonts w:hint="eastAsia"/>
        </w:rPr>
        <w:t>本文件起草单位：</w:t>
      </w:r>
      <w:bookmarkStart w:id="78" w:name="_GoBack"/>
      <w:r>
        <w:rPr>
          <w:rFonts w:hint="eastAsia"/>
        </w:rPr>
        <w:t>江苏省疾病预防控制中心、无锡市疾病预防控制中心、苏州市疾病预防控制中心、东南大学公共卫生学院、徐州市疾病预防控制中心、盐城市疾病预防控制中心、南通市疾病预防控制中心</w:t>
      </w:r>
      <w:bookmarkEnd w:id="78"/>
      <w:r>
        <w:rPr>
          <w:rFonts w:hint="eastAsia"/>
        </w:rPr>
        <w:t>。</w:t>
      </w:r>
    </w:p>
    <w:p w14:paraId="7DE589F4">
      <w:pPr>
        <w:pStyle w:val="57"/>
        <w:ind w:firstLine="420"/>
      </w:pPr>
      <w:r>
        <w:rPr>
          <w:rFonts w:hint="eastAsia"/>
        </w:rPr>
        <w:t>本文件主要起草人：嵇红、程晓庆、陈玉均、艾静、张雪峰、金辉、李明阳、谭亚运、毕俊、徐士林、张楠、梁姝怡、王笑辰、胡建利、鲍倡俊。</w:t>
      </w:r>
    </w:p>
    <w:p w14:paraId="08C3FFFB">
      <w:pPr>
        <w:pStyle w:val="57"/>
        <w:ind w:firstLine="420"/>
      </w:pPr>
      <w:r>
        <w:rPr>
          <w:rFonts w:hint="eastAsia"/>
        </w:rPr>
        <w:t>本文件按照GB/T 1.1—2020《标准化工作导则  第1部分：标准化文件的结构和起草规则》的规定起草。</w:t>
      </w:r>
    </w:p>
    <w:p w14:paraId="3D823AFB">
      <w:pPr>
        <w:pStyle w:val="57"/>
        <w:ind w:firstLine="420"/>
      </w:pPr>
    </w:p>
    <w:p w14:paraId="07494C5F">
      <w:pPr>
        <w:pStyle w:val="57"/>
        <w:ind w:firstLine="420"/>
      </w:pPr>
    </w:p>
    <w:p w14:paraId="515C1880">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14:paraId="53F6A042">
      <w:pPr>
        <w:pStyle w:val="90"/>
        <w:spacing w:after="468"/>
      </w:pPr>
      <w:bookmarkStart w:id="25" w:name="_Toc176877428"/>
      <w:bookmarkStart w:id="26" w:name="_Toc177659514"/>
      <w:bookmarkStart w:id="27" w:name="BookMark3"/>
      <w:r>
        <w:rPr>
          <w:spacing w:val="320"/>
        </w:rPr>
        <w:t>引</w:t>
      </w:r>
      <w:r>
        <w:t>言</w:t>
      </w:r>
      <w:bookmarkEnd w:id="25"/>
      <w:bookmarkEnd w:id="26"/>
    </w:p>
    <w:p w14:paraId="7E1DB908">
      <w:pPr>
        <w:pStyle w:val="57"/>
        <w:ind w:firstLine="420"/>
      </w:pPr>
      <w:r>
        <w:rPr>
          <w:rFonts w:hint="eastAsia"/>
        </w:rPr>
        <w:t>传染病突发公共卫生事件是公共卫生安全的主要威胁，对社会、经济和人群健康存在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而制定。</w:t>
      </w:r>
    </w:p>
    <w:p w14:paraId="647108AE">
      <w:pPr>
        <w:pStyle w:val="57"/>
        <w:ind w:firstLine="420"/>
      </w:pPr>
      <w:r>
        <w:rPr>
          <w:rFonts w:hint="eastAsia"/>
        </w:rPr>
        <w:t>DB32/T XXX《传染病突发公共卫生事件应急处置技术规范》分为以下11个部分：</w:t>
      </w:r>
    </w:p>
    <w:p w14:paraId="66CC3CC9">
      <w:pPr>
        <w:pStyle w:val="57"/>
        <w:ind w:firstLine="420"/>
      </w:pPr>
      <w:r>
        <w:rPr>
          <w:rFonts w:hint="eastAsia"/>
        </w:rPr>
        <w:t>——第1部分：监测预警；</w:t>
      </w:r>
    </w:p>
    <w:p w14:paraId="447ADF0F">
      <w:pPr>
        <w:pStyle w:val="57"/>
        <w:ind w:firstLine="420"/>
      </w:pPr>
      <w:r>
        <w:rPr>
          <w:rFonts w:hint="eastAsia"/>
        </w:rPr>
        <w:t>——第2部分：事件报告和管理；</w:t>
      </w:r>
    </w:p>
    <w:p w14:paraId="2471398E">
      <w:pPr>
        <w:pStyle w:val="57"/>
        <w:ind w:firstLine="420"/>
      </w:pPr>
      <w:r>
        <w:rPr>
          <w:rFonts w:hint="eastAsia"/>
        </w:rPr>
        <w:t>——第3部分：风险评估；</w:t>
      </w:r>
    </w:p>
    <w:p w14:paraId="652A94FF">
      <w:pPr>
        <w:pStyle w:val="57"/>
        <w:ind w:firstLine="420"/>
      </w:pPr>
      <w:r>
        <w:rPr>
          <w:rFonts w:hint="eastAsia"/>
        </w:rPr>
        <w:t>——第4部分：现场流行病学调查；</w:t>
      </w:r>
    </w:p>
    <w:p w14:paraId="35F4324B">
      <w:pPr>
        <w:pStyle w:val="57"/>
        <w:ind w:firstLine="420"/>
      </w:pPr>
      <w:r>
        <w:rPr>
          <w:rFonts w:hint="eastAsia"/>
        </w:rPr>
        <w:t>——第5部分：恢复评估；</w:t>
      </w:r>
    </w:p>
    <w:p w14:paraId="1AC0AE23">
      <w:pPr>
        <w:pStyle w:val="57"/>
        <w:ind w:firstLine="420"/>
      </w:pPr>
      <w:r>
        <w:rPr>
          <w:rFonts w:hint="eastAsia"/>
        </w:rPr>
        <w:t>——第6部分：应急消毒处置及应急人员个人防护；</w:t>
      </w:r>
    </w:p>
    <w:p w14:paraId="52416EB0">
      <w:pPr>
        <w:pStyle w:val="57"/>
        <w:ind w:firstLine="420"/>
      </w:pPr>
      <w:r>
        <w:rPr>
          <w:rFonts w:hint="eastAsia"/>
        </w:rPr>
        <w:t>——第7部分：媒介生物应急监测、评估与控制；</w:t>
      </w:r>
    </w:p>
    <w:p w14:paraId="77669A17">
      <w:pPr>
        <w:pStyle w:val="57"/>
        <w:ind w:firstLine="420"/>
      </w:pPr>
      <w:r>
        <w:rPr>
          <w:rFonts w:hint="eastAsia"/>
        </w:rPr>
        <w:t>——第8部分：标本的采集、保存和运输；</w:t>
      </w:r>
    </w:p>
    <w:p w14:paraId="5E0E6F6B">
      <w:pPr>
        <w:pStyle w:val="57"/>
        <w:ind w:firstLine="420"/>
      </w:pPr>
      <w:r>
        <w:rPr>
          <w:rFonts w:hint="eastAsia"/>
        </w:rPr>
        <w:t>——第9部分：应急检测流程；</w:t>
      </w:r>
    </w:p>
    <w:p w14:paraId="1328BAB4">
      <w:pPr>
        <w:pStyle w:val="57"/>
        <w:ind w:firstLine="420"/>
      </w:pPr>
      <w:r>
        <w:rPr>
          <w:rFonts w:hint="eastAsia"/>
        </w:rPr>
        <w:t>——第10部分：病毒类应急检测技术；</w:t>
      </w:r>
    </w:p>
    <w:p w14:paraId="5853D7D3">
      <w:pPr>
        <w:pStyle w:val="57"/>
        <w:ind w:firstLine="420"/>
      </w:pPr>
      <w:r>
        <w:rPr>
          <w:rFonts w:hint="eastAsia"/>
        </w:rPr>
        <w:t>——第11部分：细菌类应急检测技术。</w:t>
      </w:r>
    </w:p>
    <w:p w14:paraId="6C67E367">
      <w:pPr>
        <w:pStyle w:val="57"/>
        <w:ind w:firstLine="420"/>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技术支撑，对保障公众健康和公共卫生安全具有重要意义。</w:t>
      </w:r>
    </w:p>
    <w:p w14:paraId="4E5A5C37">
      <w:pPr>
        <w:pStyle w:val="57"/>
        <w:ind w:firstLine="420"/>
      </w:pPr>
    </w:p>
    <w:p w14:paraId="3B924E73">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7"/>
    <w:p w14:paraId="1AC00986">
      <w:pPr>
        <w:spacing w:line="20" w:lineRule="exact"/>
        <w:jc w:val="center"/>
        <w:rPr>
          <w:rFonts w:ascii="黑体" w:hAnsi="黑体" w:eastAsia="黑体"/>
          <w:sz w:val="32"/>
          <w:szCs w:val="32"/>
        </w:rPr>
      </w:pPr>
      <w:bookmarkStart w:id="28" w:name="BookMark4"/>
    </w:p>
    <w:p w14:paraId="68AC53FE">
      <w:pPr>
        <w:spacing w:line="20" w:lineRule="exact"/>
        <w:jc w:val="center"/>
        <w:rPr>
          <w:rFonts w:ascii="黑体" w:hAnsi="黑体" w:eastAsia="黑体"/>
          <w:sz w:val="32"/>
          <w:szCs w:val="32"/>
        </w:rPr>
      </w:pPr>
    </w:p>
    <w:sdt>
      <w:sdtPr>
        <w:tag w:val="NEW_STAND_NAME"/>
        <w:id w:val="595910757"/>
        <w:lock w:val="sdtLocked"/>
        <w:placeholder>
          <w:docPart w:val="A652CE63675B41EA856FE0327C3ED4BD"/>
        </w:placeholder>
      </w:sdtPr>
      <w:sdtContent>
        <w:p w14:paraId="05C3554D">
          <w:pPr>
            <w:pStyle w:val="178"/>
            <w:spacing w:before="3" w:beforeLines="1" w:after="3" w:afterLines="1"/>
          </w:pPr>
          <w:bookmarkStart w:id="29" w:name="NEW_STAND_NAME"/>
          <w:r>
            <w:rPr>
              <w:rFonts w:hint="eastAsia"/>
            </w:rPr>
            <w:t>传染病突发公共卫生事件应急处置技术规范</w:t>
          </w:r>
        </w:p>
        <w:p w14:paraId="4536F7D9">
          <w:pPr>
            <w:pStyle w:val="178"/>
            <w:spacing w:before="3" w:beforeLines="1" w:after="680"/>
          </w:pPr>
          <w:r>
            <w:rPr>
              <w:rFonts w:hint="eastAsia"/>
            </w:rPr>
            <w:t>第</w:t>
          </w:r>
          <w:r>
            <w:t>3部分：风险评估</w:t>
          </w:r>
        </w:p>
      </w:sdtContent>
    </w:sdt>
    <w:bookmarkEnd w:id="29"/>
    <w:p w14:paraId="2542F55C">
      <w:pPr>
        <w:pStyle w:val="105"/>
        <w:spacing w:before="312" w:after="312"/>
      </w:pPr>
      <w:bookmarkStart w:id="30" w:name="_Toc17233325"/>
      <w:bookmarkStart w:id="31" w:name="_Toc24884218"/>
      <w:bookmarkStart w:id="32" w:name="_Toc26986771"/>
      <w:bookmarkStart w:id="33" w:name="_Toc176877429"/>
      <w:bookmarkStart w:id="34" w:name="_Toc17233333"/>
      <w:bookmarkStart w:id="35" w:name="_Toc26718930"/>
      <w:bookmarkStart w:id="36" w:name="_Toc26986530"/>
      <w:bookmarkStart w:id="37" w:name="_Toc26648465"/>
      <w:bookmarkStart w:id="38" w:name="_Toc177659515"/>
      <w:bookmarkStart w:id="39" w:name="_Toc24884211"/>
      <w:bookmarkStart w:id="40" w:name="_Toc97191423"/>
      <w:r>
        <w:rPr>
          <w:rFonts w:hint="eastAsia"/>
        </w:rPr>
        <w:t>范围</w:t>
      </w:r>
      <w:bookmarkEnd w:id="30"/>
      <w:bookmarkEnd w:id="31"/>
      <w:bookmarkEnd w:id="32"/>
      <w:bookmarkEnd w:id="33"/>
      <w:bookmarkEnd w:id="34"/>
      <w:bookmarkEnd w:id="35"/>
      <w:bookmarkEnd w:id="36"/>
      <w:bookmarkEnd w:id="37"/>
      <w:bookmarkEnd w:id="38"/>
      <w:bookmarkEnd w:id="39"/>
      <w:bookmarkEnd w:id="40"/>
    </w:p>
    <w:p w14:paraId="0FD01EEE">
      <w:pPr>
        <w:pStyle w:val="57"/>
        <w:ind w:firstLine="420"/>
      </w:pPr>
      <w:bookmarkStart w:id="41" w:name="_Toc17233334"/>
      <w:bookmarkStart w:id="42" w:name="_Toc24884212"/>
      <w:bookmarkStart w:id="43" w:name="_Toc26648466"/>
      <w:bookmarkStart w:id="44" w:name="_Toc17233326"/>
      <w:bookmarkStart w:id="45" w:name="_Toc24884219"/>
      <w:r>
        <w:rPr>
          <w:rFonts w:hint="eastAsia"/>
        </w:rPr>
        <w:t xml:space="preserve">本文件规定了传染病突发公共卫生事件风险评估的形式、方法、流程和实施及要求。 </w:t>
      </w:r>
    </w:p>
    <w:p w14:paraId="54C9B819">
      <w:pPr>
        <w:pStyle w:val="57"/>
        <w:ind w:firstLine="420"/>
      </w:pPr>
      <w:r>
        <w:rPr>
          <w:rFonts w:hint="eastAsia"/>
        </w:rPr>
        <w:t>本文件适用于各级疾病预防控制机构开展传染病突发公共卫生事件风险评估。</w:t>
      </w:r>
    </w:p>
    <w:p w14:paraId="10878770">
      <w:pPr>
        <w:pStyle w:val="105"/>
        <w:spacing w:before="312" w:after="312"/>
      </w:pPr>
      <w:bookmarkStart w:id="46" w:name="_Toc176877430"/>
      <w:bookmarkStart w:id="47" w:name="_Toc97191424"/>
      <w:bookmarkStart w:id="48" w:name="_Toc26986772"/>
      <w:bookmarkStart w:id="49" w:name="_Toc177659516"/>
      <w:bookmarkStart w:id="50" w:name="_Toc26986531"/>
      <w:bookmarkStart w:id="51" w:name="_Toc26718931"/>
      <w:r>
        <w:rPr>
          <w:rFonts w:hint="eastAsia"/>
        </w:rPr>
        <w:t>规范性引用文件</w:t>
      </w:r>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F685F43CEBFC4004B49982A92D3F3A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0F2290D">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5F54E8C">
      <w:pPr>
        <w:pStyle w:val="57"/>
        <w:ind w:firstLine="420"/>
      </w:pPr>
      <w:r>
        <w:rPr>
          <w:rFonts w:hint="eastAsia"/>
        </w:rPr>
        <w:t>本文件无规范性引用文件。</w:t>
      </w:r>
    </w:p>
    <w:p w14:paraId="49DA16F1">
      <w:pPr>
        <w:pStyle w:val="105"/>
        <w:spacing w:before="312" w:after="312"/>
      </w:pPr>
      <w:bookmarkStart w:id="52" w:name="_Toc97191425"/>
      <w:bookmarkStart w:id="53" w:name="_Toc177659517"/>
      <w:bookmarkStart w:id="54" w:name="_Toc176877431"/>
      <w:r>
        <w:rPr>
          <w:rFonts w:hint="eastAsia"/>
          <w:szCs w:val="21"/>
        </w:rPr>
        <w:t>术语和定义</w:t>
      </w:r>
      <w:bookmarkEnd w:id="52"/>
      <w:bookmarkEnd w:id="53"/>
      <w:bookmarkEnd w:id="54"/>
    </w:p>
    <w:sdt>
      <w:sdtPr>
        <w:id w:val="-1909835108"/>
        <w:placeholder>
          <w:docPart w:val="633AACC73E4041ACB1383E7C319FC1D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120B9DE">
          <w:pPr>
            <w:pStyle w:val="57"/>
            <w:ind w:firstLine="420"/>
          </w:pPr>
          <w:bookmarkStart w:id="55" w:name="_Toc26986532"/>
          <w:bookmarkEnd w:id="55"/>
          <w:r>
            <w:t>下列术语和定义适用于本文件。</w:t>
          </w:r>
        </w:p>
      </w:sdtContent>
    </w:sdt>
    <w:p w14:paraId="1316A947">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风险评估 risk assessment</w:t>
      </w:r>
    </w:p>
    <w:p w14:paraId="4AF8EE52">
      <w:pPr>
        <w:pStyle w:val="57"/>
        <w:ind w:firstLine="420"/>
      </w:pPr>
      <w:r>
        <w:rPr>
          <w:rFonts w:hint="eastAsia"/>
        </w:rPr>
        <w:t>通过风险识别、风险分析和风险评价，对传染病疫情风险进行评估，并提出风险管理建议的过程。</w:t>
      </w:r>
    </w:p>
    <w:p w14:paraId="11A654B0">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日常风险评估 routine risk evaluation</w:t>
      </w:r>
    </w:p>
    <w:p w14:paraId="511F8076">
      <w:pPr>
        <w:pStyle w:val="57"/>
        <w:ind w:firstLine="420"/>
      </w:pPr>
      <w:r>
        <w:rPr>
          <w:rFonts w:hint="eastAsia"/>
        </w:rPr>
        <w:t>对常规收集的各类传染病突发公共卫生事件相关信息进行分析，通过专家会商等方法识别潜在的传染病突发公共卫生事件或突发事件公共卫生威胁，进行初步、快速的风险分析和评价，并提出风险管理建议。</w:t>
      </w:r>
    </w:p>
    <w:p w14:paraId="72D94665">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专题风险评估 special risk evaluation</w:t>
      </w:r>
    </w:p>
    <w:p w14:paraId="3FE834D4">
      <w:pPr>
        <w:pStyle w:val="57"/>
        <w:ind w:firstLine="420"/>
      </w:pPr>
      <w:r>
        <w:rPr>
          <w:rFonts w:hint="eastAsia"/>
        </w:rPr>
        <w:t>对国内重要传染病突发公共卫生事件、大型活动前后、自然灾害等开展专项公共卫生风险评估，通过专家会商法、 德尔菲法、风险矩阵法等进行深入的风险分析和评价，并提出风险管理建议。</w:t>
      </w:r>
    </w:p>
    <w:p w14:paraId="66449D8A">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风险识别 risk identification</w:t>
      </w:r>
    </w:p>
    <w:p w14:paraId="1EAEE535">
      <w:pPr>
        <w:pStyle w:val="57"/>
        <w:ind w:firstLine="420"/>
      </w:pPr>
      <w:r>
        <w:rPr>
          <w:rFonts w:hint="eastAsia"/>
        </w:rPr>
        <w:t>发现、确认并描述风险的过程。</w:t>
      </w:r>
    </w:p>
    <w:p w14:paraId="7D07AAAB">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风险分析 risk analysis</w:t>
      </w:r>
    </w:p>
    <w:p w14:paraId="53C89E6A">
      <w:pPr>
        <w:pStyle w:val="57"/>
        <w:ind w:firstLine="420"/>
      </w:pPr>
      <w:r>
        <w:rPr>
          <w:rFonts w:hint="eastAsia"/>
        </w:rPr>
        <w:t>认识风险属性，并对发生可能性及后果严重性进行估计或赋值的过程。</w:t>
      </w:r>
    </w:p>
    <w:p w14:paraId="20B510F9">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风险评价 risk evaluation</w:t>
      </w:r>
      <w:r>
        <w:rPr>
          <w:rFonts w:hint="eastAsia" w:ascii="黑体" w:hAnsi="黑体" w:eastAsia="黑体"/>
        </w:rPr>
        <w:tab/>
      </w:r>
    </w:p>
    <w:p w14:paraId="0DD05403">
      <w:pPr>
        <w:pStyle w:val="57"/>
        <w:ind w:firstLine="420"/>
      </w:pPr>
      <w:r>
        <w:rPr>
          <w:rFonts w:hint="eastAsia"/>
        </w:rPr>
        <w:t>将风险分析结果与风险准则或与可能接受的风险水平相对比，确定风险等级的过程。</w:t>
      </w:r>
    </w:p>
    <w:p w14:paraId="4A458D90">
      <w:pPr>
        <w:pStyle w:val="105"/>
        <w:spacing w:before="312" w:after="312"/>
      </w:pPr>
      <w:bookmarkStart w:id="56" w:name="_Toc177659518"/>
      <w:bookmarkStart w:id="57" w:name="_Toc176877432"/>
      <w:r>
        <w:rPr>
          <w:rFonts w:hint="eastAsia"/>
        </w:rPr>
        <w:t>评估原则</w:t>
      </w:r>
      <w:bookmarkEnd w:id="56"/>
      <w:bookmarkEnd w:id="57"/>
    </w:p>
    <w:p w14:paraId="7958A810">
      <w:pPr>
        <w:pStyle w:val="106"/>
        <w:spacing w:before="156" w:after="156"/>
      </w:pPr>
      <w:r>
        <w:rPr>
          <w:rFonts w:hint="eastAsia"/>
        </w:rPr>
        <w:t>属地管理</w:t>
      </w:r>
    </w:p>
    <w:p w14:paraId="6E2E68EB">
      <w:pPr>
        <w:pStyle w:val="57"/>
        <w:ind w:firstLine="420"/>
      </w:pPr>
      <w:r>
        <w:rPr>
          <w:rFonts w:hint="eastAsia"/>
        </w:rPr>
        <w:t>疾病预防控制机构对行政辖区内的传染病突发公共卫生事件开展风险评估。</w:t>
      </w:r>
    </w:p>
    <w:p w14:paraId="57467678">
      <w:pPr>
        <w:pStyle w:val="106"/>
        <w:spacing w:before="156" w:after="156"/>
      </w:pPr>
      <w:r>
        <w:rPr>
          <w:rFonts w:hint="eastAsia"/>
        </w:rPr>
        <w:t>多方参与</w:t>
      </w:r>
    </w:p>
    <w:p w14:paraId="0A84210D">
      <w:pPr>
        <w:pStyle w:val="57"/>
        <w:ind w:firstLine="420"/>
      </w:pPr>
      <w:r>
        <w:rPr>
          <w:rFonts w:hint="eastAsia"/>
        </w:rPr>
        <w:t>积极与医疗机构、教育、气象、海关等部门建立风险评估和会商机制。</w:t>
      </w:r>
    </w:p>
    <w:p w14:paraId="2DC0F1D8">
      <w:pPr>
        <w:pStyle w:val="106"/>
        <w:spacing w:before="156" w:after="156"/>
      </w:pPr>
      <w:r>
        <w:rPr>
          <w:rFonts w:hint="eastAsia"/>
        </w:rPr>
        <w:t>科学循证</w:t>
      </w:r>
    </w:p>
    <w:p w14:paraId="60FCB80A">
      <w:pPr>
        <w:pStyle w:val="57"/>
        <w:ind w:firstLine="420"/>
      </w:pPr>
      <w:r>
        <w:rPr>
          <w:rFonts w:hint="eastAsia"/>
        </w:rPr>
        <w:t>讲究科学性，在决策和实践中使用最佳可用的证据。</w:t>
      </w:r>
    </w:p>
    <w:p w14:paraId="6ECA8208">
      <w:pPr>
        <w:pStyle w:val="106"/>
        <w:spacing w:before="156" w:after="156"/>
      </w:pPr>
      <w:r>
        <w:rPr>
          <w:rFonts w:hint="eastAsia"/>
        </w:rPr>
        <w:t>及时高效</w:t>
      </w:r>
    </w:p>
    <w:p w14:paraId="026FFD70">
      <w:pPr>
        <w:pStyle w:val="57"/>
        <w:ind w:firstLine="420"/>
      </w:pPr>
      <w:r>
        <w:rPr>
          <w:rFonts w:hint="eastAsia"/>
        </w:rPr>
        <w:t>整个风险评估工作应迅速响应和高效推进。</w:t>
      </w:r>
    </w:p>
    <w:p w14:paraId="3D33E76A">
      <w:pPr>
        <w:pStyle w:val="105"/>
        <w:spacing w:before="312" w:after="312"/>
      </w:pPr>
      <w:bookmarkStart w:id="58" w:name="_Toc176877433"/>
      <w:bookmarkStart w:id="59" w:name="_Toc177659519"/>
      <w:r>
        <w:rPr>
          <w:rFonts w:hint="eastAsia"/>
        </w:rPr>
        <w:t>评估形式</w:t>
      </w:r>
      <w:bookmarkEnd w:id="58"/>
      <w:bookmarkEnd w:id="59"/>
    </w:p>
    <w:p w14:paraId="111B610E">
      <w:pPr>
        <w:pStyle w:val="57"/>
        <w:ind w:firstLine="420"/>
      </w:pPr>
      <w:r>
        <w:rPr>
          <w:rFonts w:hint="eastAsia"/>
        </w:rPr>
        <w:t>传染病突发公共卫生事件风险评估分为日常风险评估和专题风险评估两种形式。</w:t>
      </w:r>
    </w:p>
    <w:p w14:paraId="3CE0F9B2">
      <w:pPr>
        <w:pStyle w:val="105"/>
        <w:spacing w:before="312" w:after="312"/>
      </w:pPr>
      <w:bookmarkStart w:id="60" w:name="_Toc176877434"/>
      <w:bookmarkStart w:id="61" w:name="_Toc177659520"/>
      <w:r>
        <w:rPr>
          <w:rFonts w:hint="eastAsia"/>
        </w:rPr>
        <w:t>评估流程</w:t>
      </w:r>
      <w:bookmarkEnd w:id="60"/>
      <w:bookmarkEnd w:id="61"/>
    </w:p>
    <w:p w14:paraId="1962FB4E">
      <w:pPr>
        <w:pStyle w:val="57"/>
        <w:ind w:firstLine="420"/>
      </w:pPr>
      <w:r>
        <w:rPr>
          <w:rFonts w:hint="eastAsia"/>
        </w:rPr>
        <w:t>风险评估是通过风险识别、风险分析和风险评价，对传染病突发公共卫生事件进行评估，并提出风险管理建议的过程。流程包括评估议题的确定、组建风险评估小组、数据资料和评估表单的准备、风险评估的实施、报告撰写及报送等，日常风险评估和专题风险评估的流程详见附录B、附录C。</w:t>
      </w:r>
    </w:p>
    <w:p w14:paraId="2E11CC23">
      <w:pPr>
        <w:pStyle w:val="105"/>
        <w:spacing w:before="312" w:after="312"/>
      </w:pPr>
      <w:bookmarkStart w:id="62" w:name="_Toc177659521"/>
      <w:bookmarkStart w:id="63" w:name="_Toc176877435"/>
      <w:r>
        <w:rPr>
          <w:rFonts w:hint="eastAsia"/>
        </w:rPr>
        <w:t>评估方法</w:t>
      </w:r>
      <w:bookmarkEnd w:id="62"/>
      <w:bookmarkEnd w:id="63"/>
    </w:p>
    <w:p w14:paraId="15E7DF94">
      <w:pPr>
        <w:pStyle w:val="57"/>
        <w:ind w:firstLine="420"/>
      </w:pPr>
      <w:r>
        <w:rPr>
          <w:rFonts w:hint="eastAsia"/>
        </w:rPr>
        <w:t>传染病突发公共卫生事件的风险评估通常采用定量分析、定性分析以及定量与定性相结合的分析方法。常用的分析方法有：专家会商法、 德尔菲法 、风险矩阵法、分析流程图法、传染病传播动力模型、时间序列模型、故障树分析等。常见风险评估方法的比较见附录A。</w:t>
      </w:r>
    </w:p>
    <w:p w14:paraId="5C2E25B1">
      <w:pPr>
        <w:pStyle w:val="105"/>
        <w:spacing w:before="312" w:after="312"/>
      </w:pPr>
      <w:bookmarkStart w:id="64" w:name="_Toc177659522"/>
      <w:bookmarkStart w:id="65" w:name="_Toc176877436"/>
      <w:r>
        <w:rPr>
          <w:rFonts w:hint="eastAsia"/>
        </w:rPr>
        <w:t>评估实施及要求</w:t>
      </w:r>
      <w:bookmarkEnd w:id="64"/>
      <w:bookmarkEnd w:id="65"/>
    </w:p>
    <w:p w14:paraId="1DAAF446">
      <w:pPr>
        <w:pStyle w:val="106"/>
        <w:spacing w:before="156" w:after="156"/>
      </w:pPr>
      <w:r>
        <w:rPr>
          <w:rFonts w:hint="eastAsia"/>
        </w:rPr>
        <w:t>议题确定</w:t>
      </w:r>
    </w:p>
    <w:p w14:paraId="103376FE">
      <w:pPr>
        <w:pStyle w:val="57"/>
        <w:ind w:firstLine="420"/>
      </w:pPr>
      <w:r>
        <w:rPr>
          <w:rFonts w:hint="eastAsia"/>
        </w:rPr>
        <w:t>日常风险评估根据监测数据的异常变化、疾病和突发公共卫生事件的特点及趋势、政府和公众关注的程度等确定评估议题。</w:t>
      </w:r>
    </w:p>
    <w:p w14:paraId="3EFBBCE4">
      <w:pPr>
        <w:pStyle w:val="57"/>
        <w:ind w:firstLine="420"/>
      </w:pPr>
      <w:r>
        <w:rPr>
          <w:rFonts w:hint="eastAsia"/>
        </w:rPr>
        <w:t>专题风险评估议题来自日常风险评估发现的重要疾病和传染病突发公共卫生事件信息，或来自卫生健康行政部门指定的重要评估议题。</w:t>
      </w:r>
    </w:p>
    <w:p w14:paraId="0D568961">
      <w:pPr>
        <w:pStyle w:val="106"/>
        <w:spacing w:before="156" w:after="156"/>
      </w:pPr>
      <w:r>
        <w:rPr>
          <w:rFonts w:hint="eastAsia"/>
        </w:rPr>
        <w:t>组建评估小组</w:t>
      </w:r>
    </w:p>
    <w:p w14:paraId="50CF9EC0">
      <w:pPr>
        <w:pStyle w:val="57"/>
        <w:ind w:firstLine="420"/>
      </w:pPr>
      <w:r>
        <w:rPr>
          <w:rFonts w:hint="eastAsia"/>
        </w:rPr>
        <w:t>根据传染病突发公共卫生事件性质组建风险评估团队，成员应包括议题相关的不同专业领域，同时评估过程中可随时纳入新人员。</w:t>
      </w:r>
    </w:p>
    <w:p w14:paraId="6AEF5F02">
      <w:pPr>
        <w:pStyle w:val="106"/>
        <w:spacing w:before="156" w:after="156"/>
      </w:pPr>
      <w:r>
        <w:rPr>
          <w:rFonts w:hint="eastAsia"/>
        </w:rPr>
        <w:t>数据资料和评估表单准备</w:t>
      </w:r>
    </w:p>
    <w:p w14:paraId="2ECA13A9">
      <w:pPr>
        <w:pStyle w:val="66"/>
        <w:spacing w:before="156" w:after="156"/>
      </w:pPr>
      <w:r>
        <w:rPr>
          <w:rFonts w:hint="eastAsia"/>
        </w:rPr>
        <w:t>收集事件详细信息</w:t>
      </w:r>
    </w:p>
    <w:p w14:paraId="78FA5530">
      <w:pPr>
        <w:pStyle w:val="57"/>
        <w:ind w:firstLine="420"/>
      </w:pPr>
      <w:r>
        <w:rPr>
          <w:rFonts w:hint="eastAsia"/>
        </w:rPr>
        <w:t>通过各种渠道收集事件相关信息，包括事件发现和报告过程、病原学信息、疾病的三间分布和本土流行情况、易感人群和相应预防措施情况、病例临床特征、参与事件应对的机构和人员、公众或媒体的关注程度等。</w:t>
      </w:r>
    </w:p>
    <w:p w14:paraId="61479EB9">
      <w:pPr>
        <w:pStyle w:val="66"/>
        <w:spacing w:before="156" w:after="156"/>
      </w:pPr>
      <w:r>
        <w:rPr>
          <w:rFonts w:hint="eastAsia"/>
        </w:rPr>
        <w:t>历史资料查询、文献检索</w:t>
      </w:r>
    </w:p>
    <w:p w14:paraId="7FFD39CA">
      <w:pPr>
        <w:pStyle w:val="57"/>
        <w:ind w:firstLine="420"/>
      </w:pPr>
      <w:r>
        <w:rPr>
          <w:rFonts w:hint="eastAsia"/>
        </w:rPr>
        <w:t>通过检索文献（优选近5年）和有关资料，收集评估该类事件所需的证据信息，资料来源可包括国内外权威教科书,公开发表的论著,及其他类资料（如暴发调查报告、监测报告、指南、疾病事实概览、国内外公共卫生专业网站信息、国内外公共卫生机构的报告及专家共识等，周边地区或国家的疫情流行情况）。重点核心信息内容包括：疾病发生概况和流行病学分布特征、病原体及宿主特征、环境危险因素、临床表现与结局、实验室检测与诊断、治疗与控制措施、既往类似的暴发或事件等。</w:t>
      </w:r>
    </w:p>
    <w:p w14:paraId="1311C954">
      <w:pPr>
        <w:pStyle w:val="66"/>
        <w:spacing w:before="156" w:after="156"/>
      </w:pPr>
      <w:r>
        <w:rPr>
          <w:rFonts w:hint="eastAsia"/>
        </w:rPr>
        <w:t>现场调查</w:t>
      </w:r>
    </w:p>
    <w:p w14:paraId="35614273">
      <w:pPr>
        <w:pStyle w:val="57"/>
        <w:ind w:firstLine="420"/>
      </w:pPr>
      <w:r>
        <w:rPr>
          <w:rFonts w:hint="eastAsia"/>
        </w:rPr>
        <w:t>采取现场查看、知情者访谈、小组讨论、问卷调查等方法。结合调查人员的专业知识背景和经验判断，初步掌握疫情发生的大小及规模；选取关键信息对相关人员进行深入访谈或者小组讨论，从中获取关键的流调信息；此外，还需对病例进行个案调查，掌握临床特征，严重程度，流行病学暴露史等相关信息。</w:t>
      </w:r>
    </w:p>
    <w:p w14:paraId="7EC4DF74">
      <w:pPr>
        <w:pStyle w:val="66"/>
        <w:spacing w:before="156" w:after="156"/>
      </w:pPr>
      <w:r>
        <w:rPr>
          <w:rFonts w:hint="eastAsia"/>
        </w:rPr>
        <w:t>样本采集及检测</w:t>
      </w:r>
    </w:p>
    <w:p w14:paraId="2B54B139">
      <w:pPr>
        <w:pStyle w:val="57"/>
        <w:ind w:firstLine="420"/>
      </w:pPr>
      <w:r>
        <w:rPr>
          <w:rFonts w:hint="eastAsia"/>
        </w:rPr>
        <w:t>现场采集可疑食品、环境等样品、病人的咽拭子、肛拭子和血液、体液等人体生物样品，检测相应的理化与病原微生物等指标。</w:t>
      </w:r>
    </w:p>
    <w:p w14:paraId="407F08DE">
      <w:pPr>
        <w:pStyle w:val="66"/>
        <w:spacing w:before="156" w:after="156"/>
      </w:pPr>
      <w:r>
        <w:rPr>
          <w:rFonts w:hint="eastAsia"/>
        </w:rPr>
        <w:t>提炼风险评估证据信息</w:t>
      </w:r>
    </w:p>
    <w:p w14:paraId="613F5FC0">
      <w:pPr>
        <w:pStyle w:val="57"/>
        <w:ind w:firstLine="420"/>
      </w:pPr>
      <w:r>
        <w:rPr>
          <w:rFonts w:hint="eastAsia"/>
        </w:rPr>
        <w:t>根据上述收集的风险评估证据来源及质量，收集汇总风险评估的证据信息。</w:t>
      </w:r>
    </w:p>
    <w:p w14:paraId="2149A096">
      <w:pPr>
        <w:pStyle w:val="106"/>
        <w:spacing w:before="156" w:after="156"/>
      </w:pPr>
      <w:r>
        <w:rPr>
          <w:rFonts w:hint="eastAsia"/>
        </w:rPr>
        <w:t>风险识别</w:t>
      </w:r>
    </w:p>
    <w:p w14:paraId="17108860">
      <w:pPr>
        <w:pStyle w:val="57"/>
        <w:ind w:firstLine="420"/>
      </w:pPr>
      <w:r>
        <w:rPr>
          <w:rFonts w:hint="eastAsia"/>
        </w:rPr>
        <w:t>日常风险评估的风险识别与评估议题的确定相结合，专题风险评估应重点整理、描述与事件有关的关键信息进行风险识别。</w:t>
      </w:r>
    </w:p>
    <w:p w14:paraId="6106DD1B">
      <w:pPr>
        <w:pStyle w:val="106"/>
        <w:spacing w:before="156" w:after="156"/>
      </w:pPr>
      <w:r>
        <w:rPr>
          <w:rFonts w:hint="eastAsia"/>
        </w:rPr>
        <w:t>风险分析</w:t>
      </w:r>
    </w:p>
    <w:p w14:paraId="1FC73D66">
      <w:pPr>
        <w:pStyle w:val="66"/>
        <w:spacing w:before="156" w:after="156"/>
      </w:pPr>
      <w:r>
        <w:rPr>
          <w:rFonts w:hint="eastAsia"/>
        </w:rPr>
        <w:t>可能性分析</w:t>
      </w:r>
    </w:p>
    <w:p w14:paraId="0506588C">
      <w:pPr>
        <w:pStyle w:val="57"/>
        <w:ind w:firstLine="420"/>
      </w:pPr>
      <w:r>
        <w:rPr>
          <w:rFonts w:hint="eastAsia"/>
        </w:rPr>
        <w:t>依据风险识别中获取的监测数据或既往文献资料，分析并推测事件发生的可能性。当监测数据不足或既往文献资料不够充分时，则采用专家集体讨论的形式，结合自身的知识和经验就可能性进行充分讨论，形成统一的研判结果。事件发生可能性一般用“几乎肯定、很可能、可能、不太可能、极不可能”等进行描述。</w:t>
      </w:r>
    </w:p>
    <w:p w14:paraId="3512124B">
      <w:pPr>
        <w:pStyle w:val="66"/>
        <w:spacing w:before="156" w:after="156"/>
      </w:pPr>
      <w:r>
        <w:rPr>
          <w:rFonts w:hint="eastAsia"/>
        </w:rPr>
        <w:t>后果严重性分析</w:t>
      </w:r>
    </w:p>
    <w:p w14:paraId="06212ECA">
      <w:pPr>
        <w:pStyle w:val="57"/>
        <w:ind w:firstLine="420"/>
      </w:pPr>
      <w:r>
        <w:rPr>
          <w:rFonts w:hint="eastAsia"/>
        </w:rPr>
        <w:t>考虑直接影响和间接影响，包括：不同人群的健康损害（发病、重症、死亡），干扰正常社会秩序，造成经济损失等。同时综合考虑对所采取防控措施应进行分析，包括采取相应防控措施的防控能力和公众对所采取防控措施的接受度。事件发生后果的严重性一般用“极高、高、中等、低、极低”等进行描述。</w:t>
      </w:r>
    </w:p>
    <w:p w14:paraId="05CE5ECA">
      <w:pPr>
        <w:pStyle w:val="66"/>
        <w:spacing w:before="156" w:after="156"/>
      </w:pPr>
      <w:r>
        <w:rPr>
          <w:rFonts w:hint="eastAsia"/>
        </w:rPr>
        <w:t>不确定性分析</w:t>
      </w:r>
    </w:p>
    <w:p w14:paraId="2FDBFE91">
      <w:pPr>
        <w:pStyle w:val="57"/>
        <w:ind w:firstLine="420"/>
      </w:pPr>
      <w:r>
        <w:rPr>
          <w:rFonts w:hint="eastAsia"/>
        </w:rPr>
        <w:t>对于风险评估中所使用的数据或资料，应分析其来源及其可靠性，在最后的风险评估结果中，要对评估过程中的不确定性进行描述。对影响评估结果的关键性数据缺失，建议有关部门开展相关调查、研究，或者建立相应的监测系统等，为后续风险评估提供进一步依据。</w:t>
      </w:r>
    </w:p>
    <w:p w14:paraId="3ABEE593">
      <w:pPr>
        <w:pStyle w:val="106"/>
        <w:spacing w:before="156" w:after="156"/>
      </w:pPr>
      <w:r>
        <w:rPr>
          <w:rFonts w:hint="eastAsia"/>
        </w:rPr>
        <w:t>风险评价</w:t>
      </w:r>
    </w:p>
    <w:p w14:paraId="5F39E88E">
      <w:pPr>
        <w:pStyle w:val="57"/>
        <w:ind w:firstLine="420"/>
      </w:pPr>
      <w:r>
        <w:rPr>
          <w:rFonts w:hint="eastAsia"/>
        </w:rPr>
        <w:t>根据风险分析中所获得的事件发生的可能性和后果的严重性结果，同时与确定的风险评价准则或可接受的风险水平进行比较归纳，综合确定风险水平的等级。通常可以把风险分为五个等级，分别为极高风险，高风险，中风险，低风险，极低风险。若风险分析过程中证据不够充分、疾病的认识有限或措施的落实情况未知时，通常会将风险等级评价为上限值水平。</w:t>
      </w:r>
    </w:p>
    <w:p w14:paraId="186885EA">
      <w:pPr>
        <w:pStyle w:val="106"/>
        <w:spacing w:before="156" w:after="156"/>
      </w:pPr>
      <w:r>
        <w:rPr>
          <w:rFonts w:hint="eastAsia"/>
        </w:rPr>
        <w:t>风险管理建议</w:t>
      </w:r>
    </w:p>
    <w:p w14:paraId="15F0F4F1">
      <w:pPr>
        <w:pStyle w:val="57"/>
        <w:ind w:firstLine="420"/>
      </w:pPr>
      <w:r>
        <w:rPr>
          <w:rFonts w:hint="eastAsia"/>
        </w:rPr>
        <w:t>根据风险评估确定的事件风险等级，对比现有的防控措施和策略，参考既往文献，通过风险评估方法，明确主要危险因素，并根据现阶段主要健康危险因素及评估结果显示的公共卫生风险等级，结合现有的卫生资源和卫生应急能力，提出风险管控的措施和建议。</w:t>
      </w:r>
    </w:p>
    <w:p w14:paraId="339BA8A4">
      <w:pPr>
        <w:pStyle w:val="106"/>
        <w:spacing w:before="156" w:after="156"/>
      </w:pPr>
      <w:r>
        <w:rPr>
          <w:rFonts w:hint="eastAsia"/>
        </w:rPr>
        <w:t>评估报告撰写</w:t>
      </w:r>
    </w:p>
    <w:p w14:paraId="4F5878E5">
      <w:pPr>
        <w:pStyle w:val="57"/>
        <w:ind w:firstLine="420"/>
      </w:pPr>
      <w:r>
        <w:rPr>
          <w:rFonts w:hint="eastAsia"/>
        </w:rPr>
        <w:t>撰写评估报告时，应客观、准确地描述评估结果，对问题和建议提供分析和解释，向利益相关方、政策制定者和公众提供评估结果和建议。风险评估报告的内容主要包括：评估背景、评估目的、评估方法及资料来源，纳入评估的所有突发公共卫生事件的风险的评估结果和优先关注顺序，以及相应的风险管理建议，详见评估报告模板,附录D。</w:t>
      </w:r>
    </w:p>
    <w:p w14:paraId="53D2A9D3">
      <w:pPr>
        <w:pStyle w:val="106"/>
        <w:spacing w:before="156" w:after="156"/>
      </w:pPr>
      <w:r>
        <w:rPr>
          <w:rFonts w:hint="eastAsia"/>
        </w:rPr>
        <w:t>评估结果报送和应用</w:t>
      </w:r>
    </w:p>
    <w:p w14:paraId="38BFD3FF">
      <w:pPr>
        <w:pStyle w:val="57"/>
        <w:ind w:firstLine="420"/>
      </w:pPr>
      <w:r>
        <w:rPr>
          <w:rFonts w:hint="eastAsia"/>
        </w:rPr>
        <w:t>风险评估组织方及时将完成的风险评估报告报送至相关的疾病预防控制主管部门和上级专业技术机构，同时，及时向下级专业技术机构进行反馈。必要时，由疾病预防控制主管部门向相关医疗卫生机构及与事件相关部门进行通报，或者将主要结果进行整理后向公众发布。</w:t>
      </w:r>
    </w:p>
    <w:p w14:paraId="47424183">
      <w:pPr>
        <w:pStyle w:val="106"/>
        <w:spacing w:before="156" w:after="156"/>
      </w:pPr>
      <w:r>
        <w:rPr>
          <w:rFonts w:hint="eastAsia"/>
        </w:rPr>
        <w:t>事件跟踪和再评估</w:t>
      </w:r>
    </w:p>
    <w:p w14:paraId="75B8402A">
      <w:pPr>
        <w:pStyle w:val="57"/>
        <w:ind w:firstLine="420"/>
      </w:pPr>
      <w:r>
        <w:rPr>
          <w:rFonts w:hint="eastAsia"/>
        </w:rPr>
        <w:t>跟踪突发公共卫生事件的进展，持续关注和收集事件的病例报告情况，适时进一步开展风险评估，风险评估应随着事件信息的更新而再次开展。</w:t>
      </w:r>
    </w:p>
    <w:p w14:paraId="1E329659">
      <w:pPr>
        <w:pStyle w:val="106"/>
        <w:spacing w:before="156" w:after="156"/>
      </w:pPr>
      <w:r>
        <w:rPr>
          <w:rFonts w:hint="eastAsia"/>
        </w:rPr>
        <w:t>风险终止</w:t>
      </w:r>
    </w:p>
    <w:p w14:paraId="7AC6DFC7">
      <w:pPr>
        <w:pStyle w:val="57"/>
        <w:ind w:firstLine="420"/>
      </w:pPr>
      <w:r>
        <w:rPr>
          <w:rFonts w:hint="eastAsia"/>
        </w:rPr>
        <w:t>达到传染病突发公共卫生事件分级标准的事件结束后经相应级别卫生行政部门组织评估确认事件终止，风险评估工作即可结束。</w:t>
      </w:r>
    </w:p>
    <w:p w14:paraId="06C37069">
      <w:pPr>
        <w:pStyle w:val="57"/>
        <w:ind w:firstLine="420"/>
        <w:sectPr>
          <w:pgSz w:w="11906" w:h="16838"/>
          <w:pgMar w:top="1928" w:right="1134" w:bottom="1134" w:left="1134" w:header="1418" w:footer="1134" w:gutter="284"/>
          <w:pgNumType w:start="1"/>
          <w:cols w:space="425" w:num="1"/>
          <w:formProt w:val="0"/>
          <w:docGrid w:type="lines" w:linePitch="312" w:charSpace="0"/>
        </w:sectPr>
      </w:pPr>
    </w:p>
    <w:bookmarkEnd w:id="28"/>
    <w:p w14:paraId="3E7586BB">
      <w:pPr>
        <w:pStyle w:val="199"/>
        <w:rPr>
          <w:vanish w:val="0"/>
        </w:rPr>
      </w:pPr>
      <w:bookmarkStart w:id="66" w:name="BookMark5"/>
    </w:p>
    <w:p w14:paraId="2740FD09">
      <w:pPr>
        <w:pStyle w:val="200"/>
        <w:rPr>
          <w:vanish w:val="0"/>
        </w:rPr>
      </w:pPr>
    </w:p>
    <w:p w14:paraId="59E8FD0B">
      <w:pPr>
        <w:pStyle w:val="77"/>
        <w:spacing w:after="156"/>
      </w:pPr>
      <w:r>
        <w:br w:type="textWrapping"/>
      </w:r>
      <w:bookmarkStart w:id="67" w:name="_Toc176877437"/>
      <w:bookmarkStart w:id="68" w:name="_Toc177659523"/>
      <w:r>
        <w:rPr>
          <w:rFonts w:hint="eastAsia"/>
        </w:rPr>
        <w:t>（资料性）</w:t>
      </w:r>
      <w:r>
        <w:br w:type="textWrapping"/>
      </w:r>
      <w:r>
        <w:rPr>
          <w:rFonts w:hint="eastAsia"/>
        </w:rPr>
        <w:t>风险评估常用分析方法的比较</w:t>
      </w:r>
      <w:bookmarkEnd w:id="67"/>
      <w:bookmarkEnd w:id="68"/>
    </w:p>
    <w:p w14:paraId="1D4D6197">
      <w:pPr>
        <w:pStyle w:val="57"/>
        <w:ind w:firstLine="420"/>
      </w:pPr>
      <w:r>
        <w:rPr>
          <w:rFonts w:hint="eastAsia"/>
        </w:rPr>
        <w:t>风险评估常用分析方法的比较见表A.</w:t>
      </w:r>
      <w:r>
        <w:t>1。</w:t>
      </w:r>
    </w:p>
    <w:p w14:paraId="41D3285D">
      <w:pPr>
        <w:pStyle w:val="57"/>
        <w:ind w:firstLine="420"/>
      </w:pPr>
    </w:p>
    <w:p w14:paraId="390056D1">
      <w:pPr>
        <w:pStyle w:val="78"/>
        <w:spacing w:before="156" w:after="156"/>
      </w:pPr>
      <w:r>
        <w:rPr>
          <w:rFonts w:hint="eastAsia"/>
        </w:rPr>
        <w:t>风险评估常用分析方法的比较</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5"/>
        <w:gridCol w:w="2649"/>
        <w:gridCol w:w="2373"/>
        <w:gridCol w:w="3123"/>
      </w:tblGrid>
      <w:tr w14:paraId="730FF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Borders>
              <w:top w:val="single" w:color="auto" w:sz="4" w:space="0"/>
              <w:left w:val="single" w:color="auto" w:sz="4" w:space="0"/>
              <w:bottom w:val="single" w:color="auto" w:sz="4" w:space="0"/>
              <w:right w:val="single" w:color="auto" w:sz="4" w:space="0"/>
            </w:tcBorders>
          </w:tcPr>
          <w:p w14:paraId="399A31A8">
            <w:pPr>
              <w:pStyle w:val="25"/>
              <w:widowControl/>
              <w:autoSpaceDE w:val="0"/>
              <w:jc w:val="center"/>
              <w:rPr>
                <w:rFonts w:ascii="宋体" w:hAnsi="宋体"/>
                <w:kern w:val="2"/>
                <w:sz w:val="18"/>
                <w:szCs w:val="18"/>
              </w:rPr>
            </w:pPr>
            <w:r>
              <w:rPr>
                <w:rFonts w:hint="eastAsia" w:ascii="宋体" w:hAnsi="宋体"/>
                <w:kern w:val="2"/>
                <w:sz w:val="18"/>
                <w:szCs w:val="18"/>
              </w:rPr>
              <w:t>方  法</w:t>
            </w:r>
          </w:p>
        </w:tc>
        <w:tc>
          <w:tcPr>
            <w:tcW w:w="3912" w:type="dxa"/>
            <w:tcBorders>
              <w:top w:val="single" w:color="auto" w:sz="4" w:space="0"/>
              <w:left w:val="single" w:color="auto" w:sz="4" w:space="0"/>
              <w:bottom w:val="single" w:color="auto" w:sz="4" w:space="0"/>
              <w:right w:val="single" w:color="auto" w:sz="4" w:space="0"/>
            </w:tcBorders>
          </w:tcPr>
          <w:p w14:paraId="7009A5B9">
            <w:pPr>
              <w:pStyle w:val="25"/>
              <w:widowControl/>
              <w:autoSpaceDE w:val="0"/>
              <w:jc w:val="center"/>
              <w:rPr>
                <w:rFonts w:ascii="宋体" w:hAnsi="宋体"/>
                <w:kern w:val="2"/>
                <w:sz w:val="18"/>
                <w:szCs w:val="18"/>
              </w:rPr>
            </w:pPr>
            <w:r>
              <w:rPr>
                <w:rFonts w:hint="eastAsia" w:ascii="宋体" w:hAnsi="宋体"/>
                <w:kern w:val="2"/>
                <w:sz w:val="18"/>
                <w:szCs w:val="18"/>
              </w:rPr>
              <w:t>要   点</w:t>
            </w:r>
          </w:p>
        </w:tc>
        <w:tc>
          <w:tcPr>
            <w:tcW w:w="3408" w:type="dxa"/>
            <w:tcBorders>
              <w:top w:val="single" w:color="auto" w:sz="4" w:space="0"/>
              <w:left w:val="single" w:color="auto" w:sz="4" w:space="0"/>
              <w:bottom w:val="single" w:color="auto" w:sz="4" w:space="0"/>
              <w:right w:val="single" w:color="auto" w:sz="4" w:space="0"/>
            </w:tcBorders>
          </w:tcPr>
          <w:p w14:paraId="31200483">
            <w:pPr>
              <w:pStyle w:val="25"/>
              <w:widowControl/>
              <w:autoSpaceDE w:val="0"/>
              <w:jc w:val="center"/>
              <w:rPr>
                <w:rFonts w:ascii="宋体" w:hAnsi="宋体"/>
                <w:kern w:val="2"/>
                <w:sz w:val="18"/>
                <w:szCs w:val="18"/>
              </w:rPr>
            </w:pPr>
            <w:r>
              <w:rPr>
                <w:rFonts w:hint="eastAsia" w:ascii="宋体" w:hAnsi="宋体"/>
                <w:kern w:val="2"/>
                <w:sz w:val="18"/>
                <w:szCs w:val="18"/>
              </w:rPr>
              <w:t>优   点</w:t>
            </w:r>
          </w:p>
        </w:tc>
        <w:tc>
          <w:tcPr>
            <w:tcW w:w="4776" w:type="dxa"/>
            <w:tcBorders>
              <w:top w:val="single" w:color="auto" w:sz="4" w:space="0"/>
              <w:left w:val="single" w:color="auto" w:sz="4" w:space="0"/>
              <w:bottom w:val="single" w:color="auto" w:sz="4" w:space="0"/>
              <w:right w:val="single" w:color="auto" w:sz="4" w:space="0"/>
            </w:tcBorders>
          </w:tcPr>
          <w:p w14:paraId="470DDF48">
            <w:pPr>
              <w:pStyle w:val="25"/>
              <w:widowControl/>
              <w:autoSpaceDE w:val="0"/>
              <w:jc w:val="center"/>
              <w:rPr>
                <w:rFonts w:ascii="宋体" w:hAnsi="宋体"/>
                <w:kern w:val="2"/>
                <w:sz w:val="18"/>
                <w:szCs w:val="18"/>
              </w:rPr>
            </w:pPr>
            <w:r>
              <w:rPr>
                <w:rFonts w:hint="eastAsia" w:ascii="宋体" w:hAnsi="宋体"/>
                <w:kern w:val="2"/>
                <w:sz w:val="18"/>
                <w:szCs w:val="18"/>
              </w:rPr>
              <w:t>缺   点</w:t>
            </w:r>
          </w:p>
        </w:tc>
      </w:tr>
      <w:tr w14:paraId="39F97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trPr>
        <w:tc>
          <w:tcPr>
            <w:tcW w:w="1827" w:type="dxa"/>
            <w:tcBorders>
              <w:top w:val="single" w:color="auto" w:sz="4" w:space="0"/>
              <w:left w:val="single" w:color="auto" w:sz="4" w:space="0"/>
              <w:bottom w:val="single" w:color="auto" w:sz="4" w:space="0"/>
              <w:right w:val="single" w:color="auto" w:sz="4" w:space="0"/>
            </w:tcBorders>
          </w:tcPr>
          <w:p w14:paraId="634A6652">
            <w:pPr>
              <w:rPr>
                <w:rFonts w:ascii="宋体" w:hAnsi="宋体"/>
                <w:sz w:val="18"/>
                <w:szCs w:val="18"/>
              </w:rPr>
            </w:pPr>
            <w:r>
              <w:rPr>
                <w:rFonts w:hint="eastAsia" w:ascii="宋体" w:hAnsi="宋体"/>
                <w:sz w:val="18"/>
                <w:szCs w:val="18"/>
              </w:rPr>
              <w:t>专家会商法</w:t>
            </w:r>
          </w:p>
        </w:tc>
        <w:tc>
          <w:tcPr>
            <w:tcW w:w="3912" w:type="dxa"/>
            <w:tcBorders>
              <w:top w:val="single" w:color="auto" w:sz="4" w:space="0"/>
              <w:left w:val="single" w:color="auto" w:sz="4" w:space="0"/>
              <w:bottom w:val="single" w:color="auto" w:sz="4" w:space="0"/>
              <w:right w:val="single" w:color="auto" w:sz="4" w:space="0"/>
            </w:tcBorders>
          </w:tcPr>
          <w:p w14:paraId="64027349">
            <w:pPr>
              <w:pStyle w:val="25"/>
              <w:widowControl/>
              <w:autoSpaceDE w:val="0"/>
              <w:rPr>
                <w:rFonts w:ascii="宋体" w:hAnsi="宋体"/>
                <w:kern w:val="2"/>
                <w:sz w:val="18"/>
                <w:szCs w:val="18"/>
              </w:rPr>
            </w:pPr>
            <w:r>
              <w:rPr>
                <w:rFonts w:hint="eastAsia" w:ascii="宋体" w:hAnsi="宋体"/>
                <w:kern w:val="2"/>
                <w:sz w:val="18"/>
                <w:szCs w:val="18"/>
              </w:rPr>
              <w:t>10-30人，专家集体讨论，覆盖主要领域，邀请专家具备权威性、代表性。</w:t>
            </w:r>
          </w:p>
        </w:tc>
        <w:tc>
          <w:tcPr>
            <w:tcW w:w="3408" w:type="dxa"/>
            <w:tcBorders>
              <w:top w:val="single" w:color="auto" w:sz="4" w:space="0"/>
              <w:left w:val="single" w:color="auto" w:sz="4" w:space="0"/>
              <w:bottom w:val="single" w:color="auto" w:sz="4" w:space="0"/>
              <w:right w:val="single" w:color="auto" w:sz="4" w:space="0"/>
            </w:tcBorders>
          </w:tcPr>
          <w:p w14:paraId="68CECB89">
            <w:pPr>
              <w:rPr>
                <w:rFonts w:ascii="宋体" w:hAnsi="宋体"/>
                <w:sz w:val="18"/>
                <w:szCs w:val="18"/>
              </w:rPr>
            </w:pPr>
            <w:r>
              <w:rPr>
                <w:rFonts w:hint="eastAsia" w:ascii="宋体" w:hAnsi="宋体"/>
                <w:sz w:val="18"/>
                <w:szCs w:val="18"/>
              </w:rPr>
              <w:t>组织实施相对简单、快速，不同专家可以充分交换意见，评估时考虑的内容可能更加全面。</w:t>
            </w:r>
          </w:p>
        </w:tc>
        <w:tc>
          <w:tcPr>
            <w:tcW w:w="4776" w:type="dxa"/>
            <w:tcBorders>
              <w:top w:val="single" w:color="auto" w:sz="4" w:space="0"/>
              <w:left w:val="single" w:color="auto" w:sz="4" w:space="0"/>
              <w:bottom w:val="single" w:color="auto" w:sz="4" w:space="0"/>
              <w:right w:val="single" w:color="auto" w:sz="4" w:space="0"/>
            </w:tcBorders>
          </w:tcPr>
          <w:p w14:paraId="04380573">
            <w:pPr>
              <w:rPr>
                <w:rFonts w:ascii="宋体" w:hAnsi="宋体"/>
                <w:sz w:val="18"/>
                <w:szCs w:val="18"/>
              </w:rPr>
            </w:pPr>
            <w:r>
              <w:rPr>
                <w:rFonts w:hint="eastAsia" w:ascii="宋体" w:hAnsi="宋体"/>
                <w:sz w:val="18"/>
                <w:szCs w:val="18"/>
              </w:rPr>
              <w:t>意见和结论容易受到少数“权威”专家的影响，参与评估的专家不同，得出的结果也可能会有所不同。</w:t>
            </w:r>
          </w:p>
        </w:tc>
      </w:tr>
      <w:tr w14:paraId="437D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827" w:type="dxa"/>
            <w:tcBorders>
              <w:top w:val="single" w:color="auto" w:sz="4" w:space="0"/>
              <w:left w:val="single" w:color="auto" w:sz="4" w:space="0"/>
              <w:bottom w:val="single" w:color="auto" w:sz="4" w:space="0"/>
              <w:right w:val="single" w:color="auto" w:sz="4" w:space="0"/>
            </w:tcBorders>
          </w:tcPr>
          <w:p w14:paraId="387BFBD9">
            <w:pPr>
              <w:rPr>
                <w:rFonts w:ascii="宋体" w:hAnsi="宋体"/>
                <w:sz w:val="18"/>
                <w:szCs w:val="18"/>
              </w:rPr>
            </w:pPr>
            <w:r>
              <w:rPr>
                <w:rFonts w:hint="eastAsia" w:ascii="宋体" w:hAnsi="宋体"/>
                <w:sz w:val="18"/>
                <w:szCs w:val="18"/>
              </w:rPr>
              <w:t>德尔菲法</w:t>
            </w:r>
          </w:p>
        </w:tc>
        <w:tc>
          <w:tcPr>
            <w:tcW w:w="3912" w:type="dxa"/>
            <w:tcBorders>
              <w:top w:val="single" w:color="auto" w:sz="4" w:space="0"/>
              <w:left w:val="single" w:color="auto" w:sz="4" w:space="0"/>
              <w:bottom w:val="single" w:color="auto" w:sz="4" w:space="0"/>
              <w:right w:val="single" w:color="auto" w:sz="4" w:space="0"/>
            </w:tcBorders>
          </w:tcPr>
          <w:p w14:paraId="393D1CBB">
            <w:pPr>
              <w:pStyle w:val="25"/>
              <w:widowControl/>
              <w:autoSpaceDE w:val="0"/>
              <w:rPr>
                <w:rFonts w:ascii="宋体" w:hAnsi="宋体"/>
                <w:kern w:val="2"/>
                <w:sz w:val="18"/>
                <w:szCs w:val="18"/>
              </w:rPr>
            </w:pPr>
            <w:r>
              <w:rPr>
                <w:rFonts w:hint="eastAsia" w:ascii="宋体" w:hAnsi="宋体"/>
                <w:kern w:val="2"/>
                <w:sz w:val="18"/>
                <w:szCs w:val="18"/>
              </w:rPr>
              <w:t>10-20人，统一问卷、多轮次专家调查，专家独立发表意见，汇总成基本一致的看法。</w:t>
            </w:r>
          </w:p>
        </w:tc>
        <w:tc>
          <w:tcPr>
            <w:tcW w:w="3408" w:type="dxa"/>
            <w:tcBorders>
              <w:top w:val="single" w:color="auto" w:sz="4" w:space="0"/>
              <w:left w:val="single" w:color="auto" w:sz="4" w:space="0"/>
              <w:bottom w:val="single" w:color="auto" w:sz="4" w:space="0"/>
              <w:right w:val="single" w:color="auto" w:sz="4" w:space="0"/>
            </w:tcBorders>
          </w:tcPr>
          <w:p w14:paraId="370309BF">
            <w:pPr>
              <w:pStyle w:val="25"/>
              <w:widowControl/>
              <w:autoSpaceDE w:val="0"/>
              <w:rPr>
                <w:rFonts w:ascii="宋体" w:hAnsi="宋体"/>
                <w:kern w:val="2"/>
                <w:sz w:val="18"/>
                <w:szCs w:val="18"/>
              </w:rPr>
            </w:pPr>
            <w:r>
              <w:rPr>
                <w:rFonts w:hint="eastAsia" w:ascii="宋体" w:hAnsi="宋体"/>
                <w:kern w:val="2"/>
                <w:sz w:val="18"/>
                <w:szCs w:val="18"/>
              </w:rPr>
              <w:t>专家意见相对独立，参与评估的专家专业领域较为广泛，所受时空限制较小，结论较可靠</w:t>
            </w:r>
          </w:p>
        </w:tc>
        <w:tc>
          <w:tcPr>
            <w:tcW w:w="4776" w:type="dxa"/>
            <w:tcBorders>
              <w:top w:val="single" w:color="auto" w:sz="4" w:space="0"/>
              <w:left w:val="single" w:color="auto" w:sz="4" w:space="0"/>
              <w:bottom w:val="single" w:color="auto" w:sz="4" w:space="0"/>
              <w:right w:val="single" w:color="auto" w:sz="4" w:space="0"/>
            </w:tcBorders>
          </w:tcPr>
          <w:p w14:paraId="09E59E3B">
            <w:pPr>
              <w:pStyle w:val="25"/>
              <w:widowControl/>
              <w:autoSpaceDE w:val="0"/>
              <w:rPr>
                <w:rFonts w:ascii="宋体" w:hAnsi="宋体"/>
                <w:kern w:val="2"/>
                <w:sz w:val="18"/>
                <w:szCs w:val="18"/>
              </w:rPr>
            </w:pPr>
            <w:r>
              <w:rPr>
                <w:rFonts w:hint="eastAsia" w:ascii="宋体" w:hAnsi="宋体"/>
                <w:kern w:val="2"/>
                <w:sz w:val="18"/>
                <w:szCs w:val="18"/>
              </w:rPr>
              <w:t>准备过程较复杂，</w:t>
            </w:r>
          </w:p>
          <w:p w14:paraId="20419CF3">
            <w:pPr>
              <w:pStyle w:val="25"/>
              <w:widowControl/>
              <w:autoSpaceDE w:val="0"/>
              <w:rPr>
                <w:rFonts w:ascii="宋体" w:hAnsi="宋体"/>
                <w:kern w:val="2"/>
                <w:sz w:val="18"/>
                <w:szCs w:val="18"/>
              </w:rPr>
            </w:pPr>
            <w:r>
              <w:rPr>
                <w:rFonts w:hint="eastAsia" w:ascii="宋体" w:hAnsi="宋体"/>
                <w:kern w:val="2"/>
                <w:sz w:val="18"/>
                <w:szCs w:val="18"/>
              </w:rPr>
              <w:t>评估周期较长，</w:t>
            </w:r>
          </w:p>
          <w:p w14:paraId="1D874994">
            <w:pPr>
              <w:pStyle w:val="25"/>
              <w:widowControl/>
              <w:autoSpaceDE w:val="0"/>
              <w:rPr>
                <w:rFonts w:ascii="宋体" w:hAnsi="宋体"/>
                <w:kern w:val="2"/>
                <w:sz w:val="18"/>
                <w:szCs w:val="18"/>
              </w:rPr>
            </w:pPr>
            <w:r>
              <w:rPr>
                <w:rFonts w:hint="eastAsia" w:ascii="宋体" w:hAnsi="宋体"/>
                <w:kern w:val="2"/>
                <w:sz w:val="18"/>
                <w:szCs w:val="18"/>
              </w:rPr>
              <w:t>所需人力、物力较大</w:t>
            </w:r>
          </w:p>
        </w:tc>
      </w:tr>
      <w:tr w14:paraId="3AB77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827" w:type="dxa"/>
            <w:tcBorders>
              <w:top w:val="single" w:color="auto" w:sz="4" w:space="0"/>
              <w:left w:val="single" w:color="auto" w:sz="4" w:space="0"/>
              <w:bottom w:val="single" w:color="auto" w:sz="4" w:space="0"/>
              <w:right w:val="single" w:color="auto" w:sz="4" w:space="0"/>
            </w:tcBorders>
          </w:tcPr>
          <w:p w14:paraId="7286E6AB">
            <w:pPr>
              <w:rPr>
                <w:rFonts w:ascii="宋体" w:hAnsi="宋体"/>
                <w:sz w:val="18"/>
                <w:szCs w:val="18"/>
              </w:rPr>
            </w:pPr>
            <w:r>
              <w:rPr>
                <w:rFonts w:hint="eastAsia" w:ascii="宋体" w:hAnsi="宋体"/>
                <w:sz w:val="18"/>
                <w:szCs w:val="18"/>
              </w:rPr>
              <w:t>风险矩阵法</w:t>
            </w:r>
          </w:p>
        </w:tc>
        <w:tc>
          <w:tcPr>
            <w:tcW w:w="3912" w:type="dxa"/>
            <w:tcBorders>
              <w:top w:val="single" w:color="auto" w:sz="4" w:space="0"/>
              <w:left w:val="single" w:color="auto" w:sz="4" w:space="0"/>
              <w:bottom w:val="single" w:color="auto" w:sz="4" w:space="0"/>
              <w:right w:val="single" w:color="auto" w:sz="4" w:space="0"/>
            </w:tcBorders>
          </w:tcPr>
          <w:p w14:paraId="4F13518F">
            <w:pPr>
              <w:pStyle w:val="25"/>
              <w:widowControl/>
              <w:autoSpaceDE w:val="0"/>
              <w:rPr>
                <w:rFonts w:ascii="宋体" w:hAnsi="宋体"/>
                <w:kern w:val="2"/>
                <w:sz w:val="18"/>
                <w:szCs w:val="18"/>
              </w:rPr>
            </w:pPr>
            <w:r>
              <w:rPr>
                <w:rFonts w:hint="eastAsia" w:ascii="宋体" w:hAnsi="宋体"/>
                <w:kern w:val="2"/>
                <w:sz w:val="18"/>
                <w:szCs w:val="18"/>
              </w:rPr>
              <w:t>10-20人，发生可能性和后果严重性纳入二维矩阵表,，</w:t>
            </w:r>
          </w:p>
          <w:p w14:paraId="71D828EC">
            <w:pPr>
              <w:pStyle w:val="25"/>
              <w:widowControl/>
              <w:autoSpaceDE w:val="0"/>
              <w:rPr>
                <w:rFonts w:ascii="宋体" w:hAnsi="宋体"/>
                <w:kern w:val="2"/>
                <w:sz w:val="18"/>
                <w:szCs w:val="18"/>
              </w:rPr>
            </w:pPr>
            <w:r>
              <w:rPr>
                <w:rFonts w:hint="eastAsia" w:ascii="宋体" w:hAnsi="宋体"/>
                <w:kern w:val="2"/>
                <w:sz w:val="18"/>
                <w:szCs w:val="18"/>
              </w:rPr>
              <w:t>可定量与定性相结合。</w:t>
            </w:r>
          </w:p>
          <w:p w14:paraId="2C86209D">
            <w:pPr>
              <w:pStyle w:val="25"/>
              <w:widowControl/>
              <w:autoSpaceDE w:val="0"/>
              <w:rPr>
                <w:rFonts w:ascii="宋体" w:hAnsi="宋体"/>
                <w:kern w:val="2"/>
                <w:sz w:val="18"/>
                <w:szCs w:val="18"/>
              </w:rPr>
            </w:pPr>
          </w:p>
        </w:tc>
        <w:tc>
          <w:tcPr>
            <w:tcW w:w="3408" w:type="dxa"/>
            <w:tcBorders>
              <w:top w:val="single" w:color="auto" w:sz="4" w:space="0"/>
              <w:left w:val="single" w:color="auto" w:sz="4" w:space="0"/>
              <w:bottom w:val="single" w:color="auto" w:sz="4" w:space="0"/>
              <w:right w:val="single" w:color="auto" w:sz="4" w:space="0"/>
            </w:tcBorders>
          </w:tcPr>
          <w:p w14:paraId="79805BBF">
            <w:pPr>
              <w:pStyle w:val="25"/>
              <w:widowControl/>
              <w:autoSpaceDE w:val="0"/>
              <w:rPr>
                <w:rFonts w:ascii="宋体" w:hAnsi="宋体"/>
                <w:kern w:val="2"/>
                <w:sz w:val="18"/>
                <w:szCs w:val="18"/>
              </w:rPr>
            </w:pPr>
            <w:r>
              <w:rPr>
                <w:rFonts w:hint="eastAsia" w:ascii="宋体" w:hAnsi="宋体"/>
                <w:kern w:val="2"/>
                <w:sz w:val="18"/>
                <w:szCs w:val="18"/>
              </w:rPr>
              <w:t>量化风险，可同时对多种风险进行系统评估，比较不同风险的等级，便于决策者使用。</w:t>
            </w:r>
          </w:p>
        </w:tc>
        <w:tc>
          <w:tcPr>
            <w:tcW w:w="4776" w:type="dxa"/>
            <w:tcBorders>
              <w:top w:val="single" w:color="auto" w:sz="4" w:space="0"/>
              <w:left w:val="single" w:color="auto" w:sz="4" w:space="0"/>
              <w:bottom w:val="single" w:color="auto" w:sz="4" w:space="0"/>
              <w:right w:val="single" w:color="auto" w:sz="4" w:space="0"/>
            </w:tcBorders>
          </w:tcPr>
          <w:p w14:paraId="21805ED0">
            <w:pPr>
              <w:rPr>
                <w:rFonts w:ascii="宋体" w:hAnsi="宋体"/>
                <w:sz w:val="18"/>
                <w:szCs w:val="18"/>
              </w:rPr>
            </w:pPr>
            <w:r>
              <w:rPr>
                <w:rFonts w:hint="eastAsia" w:ascii="宋体" w:hAnsi="宋体"/>
                <w:sz w:val="18"/>
                <w:szCs w:val="18"/>
              </w:rPr>
              <w:t>要求被评估的风险因素相对确定，参与评估的专家对风险因素的了解程度较高，参与评估的人员必须达到一定的数量。</w:t>
            </w:r>
          </w:p>
        </w:tc>
      </w:tr>
      <w:tr w14:paraId="533CF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Borders>
              <w:top w:val="single" w:color="auto" w:sz="4" w:space="0"/>
              <w:left w:val="single" w:color="auto" w:sz="4" w:space="0"/>
              <w:bottom w:val="single" w:color="auto" w:sz="4" w:space="0"/>
              <w:right w:val="single" w:color="auto" w:sz="4" w:space="0"/>
            </w:tcBorders>
          </w:tcPr>
          <w:p w14:paraId="5A023F26">
            <w:pPr>
              <w:rPr>
                <w:rFonts w:ascii="宋体" w:hAnsi="宋体"/>
                <w:sz w:val="18"/>
                <w:szCs w:val="18"/>
              </w:rPr>
            </w:pPr>
            <w:r>
              <w:rPr>
                <w:rFonts w:hint="eastAsia" w:ascii="宋体" w:hAnsi="宋体"/>
                <w:sz w:val="18"/>
                <w:szCs w:val="18"/>
              </w:rPr>
              <w:t>分析流程图法</w:t>
            </w:r>
          </w:p>
        </w:tc>
        <w:tc>
          <w:tcPr>
            <w:tcW w:w="3912" w:type="dxa"/>
            <w:tcBorders>
              <w:top w:val="single" w:color="auto" w:sz="4" w:space="0"/>
              <w:left w:val="single" w:color="auto" w:sz="4" w:space="0"/>
              <w:bottom w:val="single" w:color="auto" w:sz="4" w:space="0"/>
              <w:right w:val="single" w:color="auto" w:sz="4" w:space="0"/>
            </w:tcBorders>
          </w:tcPr>
          <w:p w14:paraId="16C41FAC">
            <w:pPr>
              <w:rPr>
                <w:rFonts w:ascii="宋体" w:hAnsi="宋体"/>
                <w:sz w:val="18"/>
                <w:szCs w:val="18"/>
              </w:rPr>
            </w:pPr>
            <w:r>
              <w:rPr>
                <w:rFonts w:hint="eastAsia" w:ascii="宋体" w:hAnsi="宋体"/>
                <w:sz w:val="18"/>
                <w:szCs w:val="18"/>
              </w:rPr>
              <w:t>建立逻辑分析框架/流程图，</w:t>
            </w:r>
          </w:p>
          <w:p w14:paraId="19A8F5C2">
            <w:pPr>
              <w:rPr>
                <w:rFonts w:ascii="宋体" w:hAnsi="宋体"/>
                <w:sz w:val="18"/>
                <w:szCs w:val="18"/>
              </w:rPr>
            </w:pPr>
            <w:r>
              <w:rPr>
                <w:rFonts w:hint="eastAsia" w:ascii="宋体" w:hAnsi="宋体"/>
                <w:sz w:val="18"/>
                <w:szCs w:val="18"/>
              </w:rPr>
              <w:t>采用层次逻辑判断，</w:t>
            </w:r>
          </w:p>
          <w:p w14:paraId="5BFBD0BF">
            <w:pPr>
              <w:rPr>
                <w:rFonts w:ascii="宋体" w:hAnsi="宋体"/>
                <w:sz w:val="18"/>
                <w:szCs w:val="18"/>
              </w:rPr>
            </w:pPr>
            <w:r>
              <w:rPr>
                <w:rFonts w:hint="eastAsia" w:ascii="宋体" w:hAnsi="宋体"/>
                <w:sz w:val="18"/>
                <w:szCs w:val="18"/>
              </w:rPr>
              <w:t>逐层对风险要素进行测量和判别。</w:t>
            </w:r>
          </w:p>
          <w:p w14:paraId="6C570385">
            <w:pPr>
              <w:rPr>
                <w:rFonts w:ascii="宋体" w:hAnsi="宋体"/>
                <w:sz w:val="18"/>
                <w:szCs w:val="18"/>
              </w:rPr>
            </w:pPr>
          </w:p>
        </w:tc>
        <w:tc>
          <w:tcPr>
            <w:tcW w:w="3408" w:type="dxa"/>
            <w:tcBorders>
              <w:top w:val="single" w:color="auto" w:sz="4" w:space="0"/>
              <w:left w:val="single" w:color="auto" w:sz="4" w:space="0"/>
              <w:bottom w:val="single" w:color="auto" w:sz="4" w:space="0"/>
              <w:right w:val="single" w:color="auto" w:sz="4" w:space="0"/>
            </w:tcBorders>
          </w:tcPr>
          <w:p w14:paraId="00C27E10">
            <w:pPr>
              <w:rPr>
                <w:rFonts w:ascii="宋体" w:hAnsi="宋体"/>
                <w:sz w:val="18"/>
                <w:szCs w:val="18"/>
              </w:rPr>
            </w:pPr>
            <w:r>
              <w:rPr>
                <w:rFonts w:hint="eastAsia" w:ascii="宋体" w:hAnsi="宋体"/>
                <w:sz w:val="18"/>
                <w:szCs w:val="18"/>
              </w:rPr>
              <w:t>直观表达，便于操作，逻辑性强，考虑全面，可预先建立逻辑框架，易使参与人员的思路统一，便于达成评估意见。</w:t>
            </w:r>
          </w:p>
        </w:tc>
        <w:tc>
          <w:tcPr>
            <w:tcW w:w="4776" w:type="dxa"/>
            <w:tcBorders>
              <w:top w:val="single" w:color="auto" w:sz="4" w:space="0"/>
              <w:left w:val="single" w:color="auto" w:sz="4" w:space="0"/>
              <w:bottom w:val="single" w:color="auto" w:sz="4" w:space="0"/>
              <w:right w:val="single" w:color="auto" w:sz="4" w:space="0"/>
            </w:tcBorders>
          </w:tcPr>
          <w:p w14:paraId="163AF16D">
            <w:pPr>
              <w:rPr>
                <w:rFonts w:ascii="宋体" w:hAnsi="宋体"/>
                <w:sz w:val="18"/>
                <w:szCs w:val="18"/>
              </w:rPr>
            </w:pPr>
            <w:r>
              <w:rPr>
                <w:rFonts w:hint="eastAsia" w:ascii="宋体" w:hAnsi="宋体"/>
                <w:sz w:val="18"/>
                <w:szCs w:val="18"/>
              </w:rPr>
              <w:t>层级过多，计算复杂，测量难度大，需较强专业能力和逻辑思维能力，不同地区存在异质性，需调整逻辑框架和影响因素的测量。</w:t>
            </w:r>
          </w:p>
        </w:tc>
      </w:tr>
    </w:tbl>
    <w:p w14:paraId="3EDF1BC8">
      <w:pPr>
        <w:pStyle w:val="57"/>
        <w:ind w:firstLine="420"/>
      </w:pPr>
    </w:p>
    <w:p w14:paraId="348FE70A">
      <w:pPr>
        <w:pStyle w:val="57"/>
        <w:ind w:firstLine="420"/>
      </w:pPr>
    </w:p>
    <w:p w14:paraId="2251D1AE">
      <w:pPr>
        <w:pStyle w:val="57"/>
        <w:ind w:firstLine="420"/>
        <w:sectPr>
          <w:pgSz w:w="11906" w:h="16838"/>
          <w:pgMar w:top="1928" w:right="1134" w:bottom="1134" w:left="1134" w:header="1418" w:footer="1134" w:gutter="284"/>
          <w:cols w:space="425" w:num="1"/>
          <w:formProt w:val="0"/>
          <w:docGrid w:type="lines" w:linePitch="312" w:charSpace="0"/>
        </w:sectPr>
      </w:pPr>
    </w:p>
    <w:p w14:paraId="7832401E">
      <w:pPr>
        <w:pStyle w:val="199"/>
        <w:rPr>
          <w:vanish w:val="0"/>
        </w:rPr>
      </w:pPr>
    </w:p>
    <w:p w14:paraId="36F559FB">
      <w:pPr>
        <w:pStyle w:val="200"/>
        <w:rPr>
          <w:vanish w:val="0"/>
        </w:rPr>
      </w:pPr>
    </w:p>
    <w:p w14:paraId="7BF866A7">
      <w:pPr>
        <w:pStyle w:val="77"/>
        <w:spacing w:after="156"/>
      </w:pPr>
      <w:r>
        <w:br w:type="textWrapping"/>
      </w:r>
      <w:bookmarkStart w:id="69" w:name="_Toc177659524"/>
      <w:bookmarkStart w:id="70" w:name="_Toc176877438"/>
      <w:r>
        <w:rPr>
          <w:rFonts w:hint="eastAsia"/>
        </w:rPr>
        <w:t>（资料性）</w:t>
      </w:r>
      <w:r>
        <w:br w:type="textWrapping"/>
      </w:r>
      <w:r>
        <w:rPr>
          <w:rFonts w:hint="eastAsia"/>
        </w:rPr>
        <w:t>专题风险评估的技术流程</w:t>
      </w:r>
      <w:bookmarkEnd w:id="69"/>
      <w:bookmarkEnd w:id="70"/>
    </w:p>
    <w:p w14:paraId="1F345BE1">
      <w:pPr>
        <w:pStyle w:val="57"/>
        <w:ind w:firstLine="420"/>
      </w:pPr>
    </w:p>
    <w:p w14:paraId="570E5BFE">
      <w:pPr>
        <w:pStyle w:val="57"/>
        <w:ind w:firstLine="420"/>
      </w:pPr>
      <w:r>
        <w:rPr>
          <w:rFonts w:hint="eastAsia"/>
        </w:rPr>
        <w:t>专题风险评估的技术流程如图B</w:t>
      </w:r>
      <w:r>
        <w:t>.1</w:t>
      </w:r>
      <w:r>
        <w:rPr>
          <w:rFonts w:hint="eastAsia"/>
        </w:rPr>
        <w:t>所示。</w:t>
      </w:r>
    </w:p>
    <w:p w14:paraId="79DAEE97">
      <w:pPr>
        <w:pStyle w:val="57"/>
        <w:ind w:firstLine="420"/>
      </w:pPr>
    </w:p>
    <w:p w14:paraId="761C77AA">
      <w:pPr>
        <w:pStyle w:val="57"/>
        <w:ind w:firstLine="420"/>
      </w:pPr>
      <w:r>
        <w:drawing>
          <wp:inline distT="0" distB="0" distL="0" distR="0">
            <wp:extent cx="5932805" cy="4895850"/>
            <wp:effectExtent l="0" t="0" r="0" b="0"/>
            <wp:docPr id="4" name="图片 4"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11"/>
                    <pic:cNvPicPr>
                      <a:picLocks noChangeAspect="1"/>
                    </pic:cNvPicPr>
                  </pic:nvPicPr>
                  <pic:blipFill>
                    <a:blip r:embed="rId16"/>
                    <a:stretch>
                      <a:fillRect/>
                    </a:stretch>
                  </pic:blipFill>
                  <pic:spPr>
                    <a:xfrm>
                      <a:off x="0" y="0"/>
                      <a:ext cx="5932805" cy="4895850"/>
                    </a:xfrm>
                    <a:prstGeom prst="rect">
                      <a:avLst/>
                    </a:prstGeom>
                  </pic:spPr>
                </pic:pic>
              </a:graphicData>
            </a:graphic>
          </wp:inline>
        </w:drawing>
      </w:r>
    </w:p>
    <w:p w14:paraId="4685321E">
      <w:pPr>
        <w:pStyle w:val="57"/>
        <w:ind w:firstLine="420"/>
      </w:pPr>
    </w:p>
    <w:p w14:paraId="4C0B345F">
      <w:pPr>
        <w:pStyle w:val="84"/>
        <w:spacing w:before="156" w:after="156"/>
        <w:sectPr>
          <w:pgSz w:w="11906" w:h="16838"/>
          <w:pgMar w:top="1928" w:right="1134" w:bottom="1134" w:left="1134" w:header="1418" w:footer="1134" w:gutter="284"/>
          <w:cols w:space="425" w:num="1"/>
          <w:formProt w:val="0"/>
          <w:docGrid w:type="lines" w:linePitch="312" w:charSpace="0"/>
        </w:sectPr>
      </w:pPr>
      <w:r>
        <w:rPr>
          <w:rFonts w:hint="eastAsia"/>
        </w:rPr>
        <w:t>专题风险评估的技术流程</w:t>
      </w:r>
    </w:p>
    <w:p w14:paraId="32B086F0">
      <w:pPr>
        <w:pStyle w:val="199"/>
        <w:rPr>
          <w:vanish w:val="0"/>
        </w:rPr>
      </w:pPr>
    </w:p>
    <w:p w14:paraId="53B3E4B6">
      <w:pPr>
        <w:pStyle w:val="200"/>
        <w:rPr>
          <w:vanish w:val="0"/>
        </w:rPr>
      </w:pPr>
    </w:p>
    <w:p w14:paraId="3E857415">
      <w:pPr>
        <w:pStyle w:val="77"/>
        <w:spacing w:after="156"/>
      </w:pPr>
      <w:r>
        <w:br w:type="textWrapping"/>
      </w:r>
      <w:bookmarkStart w:id="71" w:name="_Toc177659525"/>
      <w:bookmarkStart w:id="72" w:name="_Toc176877439"/>
      <w:r>
        <w:rPr>
          <w:rFonts w:hint="eastAsia"/>
        </w:rPr>
        <w:t>（资料性）</w:t>
      </w:r>
      <w:r>
        <w:br w:type="textWrapping"/>
      </w:r>
      <w:r>
        <w:rPr>
          <w:rFonts w:hint="eastAsia"/>
        </w:rPr>
        <w:t>日常风险评估的技术流程</w:t>
      </w:r>
      <w:bookmarkEnd w:id="71"/>
      <w:bookmarkEnd w:id="72"/>
    </w:p>
    <w:p w14:paraId="52FA236A">
      <w:pPr>
        <w:pStyle w:val="57"/>
        <w:ind w:firstLine="420"/>
      </w:pPr>
    </w:p>
    <w:p w14:paraId="6C814448">
      <w:pPr>
        <w:pStyle w:val="57"/>
        <w:ind w:firstLine="420"/>
      </w:pPr>
      <w:r>
        <w:rPr>
          <w:rFonts w:hint="eastAsia"/>
        </w:rPr>
        <w:t>日常风险评估的技术流程如图C</w:t>
      </w:r>
      <w:r>
        <w:t>.1</w:t>
      </w:r>
      <w:r>
        <w:rPr>
          <w:rFonts w:hint="eastAsia"/>
        </w:rPr>
        <w:t>所示。</w:t>
      </w:r>
    </w:p>
    <w:p w14:paraId="0C623BB3">
      <w:pPr>
        <w:pStyle w:val="57"/>
        <w:ind w:firstLine="420"/>
      </w:pPr>
    </w:p>
    <w:p w14:paraId="196E78D8">
      <w:pPr>
        <w:pStyle w:val="57"/>
        <w:ind w:firstLine="420"/>
        <w:jc w:val="center"/>
      </w:pPr>
      <w:r>
        <w:drawing>
          <wp:inline distT="0" distB="0" distL="0" distR="0">
            <wp:extent cx="1819275" cy="4667250"/>
            <wp:effectExtent l="0" t="0" r="9525" b="0"/>
            <wp:docPr id="7" name="图片 7" descr="绘图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绘图1(1)(1)"/>
                    <pic:cNvPicPr>
                      <a:picLocks noChangeAspect="1"/>
                    </pic:cNvPicPr>
                  </pic:nvPicPr>
                  <pic:blipFill>
                    <a:blip r:embed="rId17"/>
                    <a:stretch>
                      <a:fillRect/>
                    </a:stretch>
                  </pic:blipFill>
                  <pic:spPr>
                    <a:xfrm>
                      <a:off x="0" y="0"/>
                      <a:ext cx="1819275" cy="4667250"/>
                    </a:xfrm>
                    <a:prstGeom prst="rect">
                      <a:avLst/>
                    </a:prstGeom>
                  </pic:spPr>
                </pic:pic>
              </a:graphicData>
            </a:graphic>
          </wp:inline>
        </w:drawing>
      </w:r>
    </w:p>
    <w:p w14:paraId="43DC969F">
      <w:pPr>
        <w:pStyle w:val="57"/>
        <w:ind w:firstLine="420"/>
      </w:pPr>
    </w:p>
    <w:p w14:paraId="72352B7D">
      <w:pPr>
        <w:pStyle w:val="84"/>
        <w:spacing w:before="156" w:after="156"/>
        <w:sectPr>
          <w:pgSz w:w="11906" w:h="16838"/>
          <w:pgMar w:top="1928" w:right="1134" w:bottom="1134" w:left="1134" w:header="1418" w:footer="1134" w:gutter="284"/>
          <w:cols w:space="425" w:num="1"/>
          <w:formProt w:val="0"/>
          <w:docGrid w:type="lines" w:linePitch="312" w:charSpace="0"/>
        </w:sectPr>
      </w:pPr>
      <w:r>
        <w:rPr>
          <w:rFonts w:hint="eastAsia"/>
        </w:rPr>
        <w:t>日常风险评估的技术流程</w:t>
      </w:r>
    </w:p>
    <w:p w14:paraId="6BF78B5C">
      <w:pPr>
        <w:pStyle w:val="199"/>
        <w:rPr>
          <w:vanish w:val="0"/>
        </w:rPr>
      </w:pPr>
    </w:p>
    <w:p w14:paraId="5D7B7350">
      <w:pPr>
        <w:pStyle w:val="200"/>
        <w:rPr>
          <w:vanish w:val="0"/>
        </w:rPr>
      </w:pPr>
    </w:p>
    <w:p w14:paraId="5A97C085">
      <w:pPr>
        <w:pStyle w:val="77"/>
        <w:spacing w:after="156"/>
      </w:pPr>
      <w:r>
        <w:br w:type="textWrapping"/>
      </w:r>
      <w:bookmarkStart w:id="73" w:name="_Toc176877440"/>
      <w:bookmarkStart w:id="74" w:name="_Toc177659526"/>
      <w:r>
        <w:rPr>
          <w:rFonts w:hint="eastAsia"/>
        </w:rPr>
        <w:t>（资料性）</w:t>
      </w:r>
      <w:r>
        <w:br w:type="textWrapping"/>
      </w:r>
      <w:r>
        <w:rPr>
          <w:rFonts w:hint="eastAsia"/>
        </w:rPr>
        <w:t>风险评估报告的模板框架</w:t>
      </w:r>
      <w:bookmarkEnd w:id="73"/>
      <w:bookmarkEnd w:id="74"/>
    </w:p>
    <w:p w14:paraId="0AFC213D">
      <w:pPr>
        <w:pStyle w:val="57"/>
        <w:ind w:firstLine="420"/>
      </w:pPr>
      <w:r>
        <w:rPr>
          <w:rFonts w:hint="eastAsia"/>
        </w:rPr>
        <w:t>风险评估报告的模板框架主要包括以下几方面。</w:t>
      </w:r>
    </w:p>
    <w:p w14:paraId="70DB6DDD">
      <w:pPr>
        <w:pStyle w:val="79"/>
        <w:spacing w:before="156" w:after="156"/>
      </w:pPr>
      <w:r>
        <w:rPr>
          <w:rFonts w:hint="eastAsia"/>
        </w:rPr>
        <w:t>评估背景</w:t>
      </w:r>
    </w:p>
    <w:p w14:paraId="3D1B691C">
      <w:pPr>
        <w:pStyle w:val="79"/>
        <w:spacing w:before="156" w:after="156"/>
      </w:pPr>
      <w:r>
        <w:rPr>
          <w:rFonts w:hint="eastAsia"/>
        </w:rPr>
        <w:t>评估目的</w:t>
      </w:r>
    </w:p>
    <w:p w14:paraId="375B3019">
      <w:pPr>
        <w:pStyle w:val="79"/>
        <w:spacing w:before="156" w:after="156"/>
      </w:pPr>
      <w:r>
        <w:rPr>
          <w:rFonts w:hint="eastAsia"/>
        </w:rPr>
        <w:t>评估方法及资料来源</w:t>
      </w:r>
    </w:p>
    <w:p w14:paraId="76F3CAD6">
      <w:pPr>
        <w:pStyle w:val="79"/>
        <w:spacing w:before="156" w:after="156"/>
      </w:pPr>
      <w:r>
        <w:rPr>
          <w:rFonts w:hint="eastAsia"/>
        </w:rPr>
        <w:t>风险识别</w:t>
      </w:r>
    </w:p>
    <w:p w14:paraId="3A8177C4">
      <w:pPr>
        <w:pStyle w:val="80"/>
        <w:spacing w:before="156" w:after="156"/>
      </w:pPr>
      <w:r>
        <w:rPr>
          <w:rFonts w:hint="eastAsia"/>
        </w:rPr>
        <w:t>事件概况及相关背景</w:t>
      </w:r>
    </w:p>
    <w:p w14:paraId="673D814C">
      <w:pPr>
        <w:pStyle w:val="80"/>
        <w:spacing w:before="156" w:after="156"/>
      </w:pPr>
      <w:r>
        <w:rPr>
          <w:rFonts w:hint="eastAsia"/>
        </w:rPr>
        <w:t>关键知识文献综述</w:t>
      </w:r>
    </w:p>
    <w:p w14:paraId="7AD17510">
      <w:pPr>
        <w:pStyle w:val="80"/>
        <w:spacing w:before="156" w:after="156"/>
      </w:pPr>
      <w:r>
        <w:rPr>
          <w:rFonts w:hint="eastAsia"/>
        </w:rPr>
        <w:t>已采取的措施或已具备的应对能力</w:t>
      </w:r>
    </w:p>
    <w:p w14:paraId="7C09B11A">
      <w:pPr>
        <w:pStyle w:val="80"/>
        <w:spacing w:before="156" w:after="156"/>
      </w:pPr>
      <w:r>
        <w:rPr>
          <w:rFonts w:hint="eastAsia"/>
        </w:rPr>
        <w:t>其他</w:t>
      </w:r>
    </w:p>
    <w:p w14:paraId="0D1017C4">
      <w:pPr>
        <w:pStyle w:val="79"/>
        <w:spacing w:before="156" w:after="156"/>
      </w:pPr>
      <w:r>
        <w:rPr>
          <w:rFonts w:hint="eastAsia"/>
        </w:rPr>
        <w:t>风险分析</w:t>
      </w:r>
    </w:p>
    <w:p w14:paraId="41DCA88D">
      <w:pPr>
        <w:pStyle w:val="80"/>
        <w:spacing w:before="156" w:after="156"/>
      </w:pPr>
      <w:r>
        <w:rPr>
          <w:rFonts w:hint="eastAsia"/>
        </w:rPr>
        <w:t>发生可能性等级及依据</w:t>
      </w:r>
    </w:p>
    <w:p w14:paraId="4F0BAE27">
      <w:pPr>
        <w:pStyle w:val="80"/>
        <w:spacing w:before="156" w:after="156"/>
      </w:pPr>
      <w:r>
        <w:rPr>
          <w:rFonts w:hint="eastAsia"/>
        </w:rPr>
        <w:t>后果严重性等级及依据</w:t>
      </w:r>
    </w:p>
    <w:p w14:paraId="0F27FC39">
      <w:pPr>
        <w:pStyle w:val="80"/>
        <w:spacing w:before="156" w:after="156"/>
      </w:pPr>
      <w:r>
        <w:rPr>
          <w:rFonts w:hint="eastAsia"/>
        </w:rPr>
        <w:t>不确定性分析</w:t>
      </w:r>
    </w:p>
    <w:p w14:paraId="71FAD9DC">
      <w:pPr>
        <w:pStyle w:val="79"/>
        <w:spacing w:before="156" w:after="156"/>
      </w:pPr>
      <w:r>
        <w:rPr>
          <w:rFonts w:hint="eastAsia"/>
        </w:rPr>
        <w:t>风险评价</w:t>
      </w:r>
    </w:p>
    <w:p w14:paraId="6B7DD095">
      <w:pPr>
        <w:pStyle w:val="79"/>
        <w:spacing w:before="156" w:after="156"/>
      </w:pPr>
      <w:r>
        <w:rPr>
          <w:rFonts w:hint="eastAsia"/>
        </w:rPr>
        <w:t>风险管理建议</w:t>
      </w:r>
    </w:p>
    <w:p w14:paraId="6CB4B52D">
      <w:pPr>
        <w:pStyle w:val="79"/>
        <w:spacing w:before="156" w:after="156"/>
      </w:pPr>
      <w:r>
        <w:rPr>
          <w:rFonts w:hint="eastAsia"/>
        </w:rPr>
        <w:t>附：评估人员名单</w:t>
      </w:r>
    </w:p>
    <w:p w14:paraId="2CE35341">
      <w:pPr>
        <w:pStyle w:val="57"/>
        <w:ind w:firstLine="420"/>
      </w:pPr>
    </w:p>
    <w:p w14:paraId="26A3A785">
      <w:pPr>
        <w:pStyle w:val="57"/>
        <w:ind w:firstLine="420"/>
        <w:jc w:val="center"/>
        <w:rPr>
          <w:rFonts w:ascii="黑体" w:hAnsi="黑体" w:eastAsia="黑体"/>
        </w:rPr>
      </w:pPr>
    </w:p>
    <w:bookmarkEnd w:id="66"/>
    <w:p w14:paraId="4DDFB601">
      <w:pPr>
        <w:pStyle w:val="57"/>
        <w:ind w:firstLine="420"/>
        <w:jc w:val="center"/>
        <w:rPr>
          <w:rFonts w:ascii="黑体" w:hAnsi="黑体" w:eastAsia="黑体"/>
        </w:rPr>
        <w:sectPr>
          <w:pgSz w:w="11906" w:h="16838"/>
          <w:pgMar w:top="1928" w:right="1134" w:bottom="1134" w:left="1134" w:header="1418" w:footer="1134" w:gutter="284"/>
          <w:cols w:space="425" w:num="1"/>
          <w:formProt w:val="0"/>
          <w:docGrid w:type="lines" w:linePitch="312" w:charSpace="0"/>
        </w:sectPr>
      </w:pPr>
      <w:bookmarkStart w:id="75" w:name="BookMark6"/>
    </w:p>
    <w:p w14:paraId="5FA807C6">
      <w:pPr>
        <w:pStyle w:val="64"/>
        <w:spacing w:after="156"/>
      </w:pPr>
      <w:bookmarkStart w:id="76" w:name="_Toc176877441"/>
      <w:bookmarkStart w:id="77" w:name="_Toc177659527"/>
      <w:r>
        <w:rPr>
          <w:rFonts w:hint="eastAsia"/>
          <w:spacing w:val="105"/>
        </w:rPr>
        <w:t>参考文</w:t>
      </w:r>
      <w:r>
        <w:rPr>
          <w:rFonts w:hint="eastAsia"/>
        </w:rPr>
        <w:t>献</w:t>
      </w:r>
      <w:bookmarkEnd w:id="76"/>
      <w:bookmarkEnd w:id="77"/>
    </w:p>
    <w:p w14:paraId="0B19B2DC">
      <w:pPr>
        <w:pStyle w:val="57"/>
        <w:ind w:firstLine="420"/>
      </w:pPr>
      <w:r>
        <w:rPr>
          <w:rFonts w:hint="eastAsia"/>
        </w:rPr>
        <w:t>《中华人民共和国传染病防治法》</w:t>
      </w:r>
      <w:r>
        <w:tab/>
      </w:r>
      <w:r>
        <w:tab/>
      </w:r>
      <w:r>
        <w:tab/>
      </w:r>
      <w:r>
        <w:tab/>
      </w:r>
      <w:r>
        <w:tab/>
      </w:r>
      <w:r>
        <w:rPr>
          <w:rFonts w:hint="eastAsia"/>
        </w:rPr>
        <w:t>全国人民代表大会常务委员会</w:t>
      </w:r>
    </w:p>
    <w:p w14:paraId="4932997B">
      <w:pPr>
        <w:pStyle w:val="57"/>
        <w:ind w:firstLine="420"/>
      </w:pPr>
      <w:r>
        <w:rPr>
          <w:rFonts w:hint="eastAsia"/>
        </w:rPr>
        <w:t>《中华人民共和国突发事件应对法》</w:t>
      </w:r>
      <w:r>
        <w:tab/>
      </w:r>
      <w:r>
        <w:tab/>
      </w:r>
      <w:r>
        <w:tab/>
      </w:r>
      <w:r>
        <w:tab/>
      </w:r>
      <w:r>
        <w:rPr>
          <w:rFonts w:hint="eastAsia"/>
        </w:rPr>
        <w:t>全国人民代表大会常务委员会</w:t>
      </w:r>
    </w:p>
    <w:p w14:paraId="76B07DBF">
      <w:pPr>
        <w:pStyle w:val="57"/>
        <w:ind w:firstLine="420"/>
      </w:pPr>
      <w:r>
        <w:rPr>
          <w:rFonts w:hint="eastAsia"/>
        </w:rPr>
        <w:t>《突发公共卫生事件应急条例》</w:t>
      </w:r>
      <w:r>
        <w:tab/>
      </w:r>
      <w:r>
        <w:tab/>
      </w:r>
      <w:r>
        <w:tab/>
      </w:r>
      <w:r>
        <w:tab/>
      </w:r>
      <w:r>
        <w:tab/>
      </w:r>
      <w:r>
        <w:rPr>
          <w:rFonts w:hint="eastAsia"/>
        </w:rPr>
        <w:t>中华人民共和国国务院</w:t>
      </w:r>
    </w:p>
    <w:p w14:paraId="54F4798B">
      <w:pPr>
        <w:pStyle w:val="57"/>
        <w:ind w:firstLine="420"/>
      </w:pPr>
      <w:r>
        <w:rPr>
          <w:rFonts w:hint="eastAsia"/>
        </w:rPr>
        <w:t>《国家突发公共事件总体应急预案》</w:t>
      </w:r>
      <w:r>
        <w:tab/>
      </w:r>
      <w:r>
        <w:tab/>
      </w:r>
      <w:r>
        <w:tab/>
      </w:r>
      <w:r>
        <w:tab/>
      </w:r>
      <w:r>
        <w:rPr>
          <w:rFonts w:hint="eastAsia"/>
        </w:rPr>
        <w:t>中华人民共和国国务院</w:t>
      </w:r>
    </w:p>
    <w:p w14:paraId="30820622">
      <w:pPr>
        <w:pStyle w:val="57"/>
        <w:ind w:firstLine="420"/>
      </w:pPr>
      <w:r>
        <w:rPr>
          <w:rFonts w:hint="eastAsia"/>
        </w:rPr>
        <w:t>《国家突发公共卫生事件应急预案》</w:t>
      </w:r>
      <w:r>
        <w:tab/>
      </w:r>
      <w:r>
        <w:tab/>
      </w:r>
      <w:r>
        <w:tab/>
      </w:r>
      <w:r>
        <w:tab/>
      </w:r>
      <w:r>
        <w:rPr>
          <w:rFonts w:hint="eastAsia"/>
        </w:rPr>
        <w:t>中华人民共和国国务院</w:t>
      </w:r>
    </w:p>
    <w:p w14:paraId="15080B1D">
      <w:pPr>
        <w:pStyle w:val="57"/>
        <w:ind w:firstLine="420"/>
      </w:pPr>
      <w:r>
        <w:rPr>
          <w:rFonts w:hint="eastAsia"/>
        </w:rPr>
        <w:t>《传染病疫情风险评估管理办法（试行）》</w:t>
      </w:r>
      <w:r>
        <w:tab/>
      </w:r>
      <w:r>
        <w:tab/>
      </w:r>
      <w:r>
        <w:tab/>
      </w:r>
      <w:r>
        <w:rPr>
          <w:rFonts w:hint="eastAsia"/>
        </w:rPr>
        <w:t>国家疾控局</w:t>
      </w:r>
    </w:p>
    <w:p w14:paraId="0BA31246">
      <w:pPr>
        <w:pStyle w:val="57"/>
        <w:ind w:firstLine="420"/>
      </w:pPr>
      <w:r>
        <w:rPr>
          <w:rFonts w:hint="eastAsia"/>
        </w:rPr>
        <w:t>《突发事件公共卫生风险评估技术方案》</w:t>
      </w:r>
      <w:r>
        <w:tab/>
      </w:r>
      <w:r>
        <w:tab/>
      </w:r>
      <w:r>
        <w:tab/>
      </w:r>
      <w:r>
        <w:rPr>
          <w:rFonts w:hint="eastAsia"/>
        </w:rPr>
        <w:t>中国疾病预防控制中心</w:t>
      </w:r>
    </w:p>
    <w:bookmarkEnd w:id="75"/>
    <w:p w14:paraId="69D9CA7B">
      <w:pPr>
        <w:pStyle w:val="57"/>
        <w:ind w:firstLine="480"/>
        <w:jc w:val="center"/>
        <w:rPr>
          <w:rFonts w:ascii="黑体" w:hAnsi="黑体" w:eastAsia="黑体"/>
        </w:rPr>
      </w:pPr>
      <w:r>
        <w:rPr>
          <w:rFonts w:hAnsi="宋体" w:cs="宋体"/>
          <w:sz w:val="24"/>
          <w:szCs w:val="24"/>
        </w:rPr>
        <mc:AlternateContent>
          <mc:Choice Requires="wps">
            <w:drawing>
              <wp:anchor distT="0" distB="0" distL="114300" distR="114300" simplePos="0" relativeHeight="251661312" behindDoc="0" locked="0" layoutInCell="1" allowOverlap="1">
                <wp:simplePos x="0" y="0"/>
                <wp:positionH relativeFrom="page">
                  <wp:posOffset>3049270</wp:posOffset>
                </wp:positionH>
                <wp:positionV relativeFrom="paragraph">
                  <wp:posOffset>226060</wp:posOffset>
                </wp:positionV>
                <wp:extent cx="1440180" cy="0"/>
                <wp:effectExtent l="0" t="4445" r="0" b="5080"/>
                <wp:wrapNone/>
                <wp:docPr id="1" name="直接连接符 11"/>
                <wp:cNvGraphicFramePr/>
                <a:graphic xmlns:a="http://schemas.openxmlformats.org/drawingml/2006/main">
                  <a:graphicData uri="http://schemas.microsoft.com/office/word/2010/wordprocessingShape">
                    <wps:wsp>
                      <wps:cNvCnPr/>
                      <wps:spPr>
                        <a:xfrm>
                          <a:off x="0" y="0"/>
                          <a:ext cx="144018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1" o:spid="_x0000_s1026" o:spt="20" style="position:absolute;left:0pt;margin-left:240.1pt;margin-top:17.8pt;height:0pt;width:113.4pt;mso-position-horizontal-relative:page;z-index:251661312;mso-width-relative:page;mso-height-relative:page;" filled="f" stroked="t" coordsize="21600,21600" o:gfxdata="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H&#10;qKw+1gAAAAkBAAAPAAAAAAAAAAEAIAAAACIAAABkcnMvZG93bnJldi54bWxQSwECFAAUAAAACACH&#10;TuJASJ6eOO0BAADZAwAADgAAAAAAAAABACAAAAAlAQAAZHJzL2Uyb0RvYy54bWxQSwUGAAAAAAYA&#10;BgBZAQAAhAUAAAAA&#10;">
                <v:fill on="f" focussize="0,0"/>
                <v:stroke color="#000000" joinstyle="round"/>
                <v:imagedata o:title=""/>
                <o:lock v:ext="edit" aspectratio="f"/>
              </v:line>
            </w:pict>
          </mc:Fallback>
        </mc:AlternateContent>
      </w: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C3DE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2474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FFCEB">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B60E8">
    <w:pPr>
      <w:pStyle w:val="53"/>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CDAC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20C3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0874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46F93">
    <w:pPr>
      <w:pStyle w:val="62"/>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13967">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wNTdkMzgwMmM0YjVlNmM5OWY4NmUzYzYxMGM0MGEifQ=="/>
  </w:docVars>
  <w:rsids>
    <w:rsidRoot w:val="0096229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C64"/>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74A8"/>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65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2A65"/>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192"/>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2293"/>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37"/>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3F8F"/>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9D"/>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AF4"/>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540"/>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64E2"/>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755"/>
    <w:rsid w:val="00FE1FBE"/>
    <w:rsid w:val="00FE3901"/>
    <w:rsid w:val="00FE39D3"/>
    <w:rsid w:val="00FE4BCE"/>
    <w:rsid w:val="00FE54AE"/>
    <w:rsid w:val="00FE576A"/>
    <w:rsid w:val="00FE7E79"/>
    <w:rsid w:val="00FF3E7D"/>
    <w:rsid w:val="00FF5B99"/>
    <w:rsid w:val="00FF730C"/>
    <w:rsid w:val="00FF73F4"/>
    <w:rsid w:val="00FF7CE4"/>
    <w:rsid w:val="00FF7E39"/>
    <w:rsid w:val="07C20F42"/>
    <w:rsid w:val="696B0357"/>
    <w:rsid w:val="7D5E1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100"/>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spacing w:before="100" w:beforeAutospacing="1" w:after="100" w:afterAutospacing="1"/>
      <w:jc w:val="left"/>
    </w:pPr>
    <w:rPr>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652CE63675B41EA856FE0327C3ED4BD"/>
        <w:style w:val=""/>
        <w:category>
          <w:name w:val="常规"/>
          <w:gallery w:val="placeholder"/>
        </w:category>
        <w:types>
          <w:type w:val="bbPlcHdr"/>
        </w:types>
        <w:behaviors>
          <w:behavior w:val="content"/>
        </w:behaviors>
        <w:description w:val=""/>
        <w:guid w:val="{5FA57EE1-420F-4B32-8231-5DD823817AC4}"/>
      </w:docPartPr>
      <w:docPartBody>
        <w:p w14:paraId="5BB40732">
          <w:pPr>
            <w:pStyle w:val="5"/>
          </w:pPr>
          <w:r>
            <w:rPr>
              <w:rStyle w:val="4"/>
              <w:rFonts w:hint="eastAsia"/>
            </w:rPr>
            <w:t>单击或点击此处输入文字。</w:t>
          </w:r>
        </w:p>
      </w:docPartBody>
    </w:docPart>
    <w:docPart>
      <w:docPartPr>
        <w:name w:val="F685F43CEBFC4004B49982A92D3F3AA6"/>
        <w:style w:val=""/>
        <w:category>
          <w:name w:val="常规"/>
          <w:gallery w:val="placeholder"/>
        </w:category>
        <w:types>
          <w:type w:val="bbPlcHdr"/>
        </w:types>
        <w:behaviors>
          <w:behavior w:val="content"/>
        </w:behaviors>
        <w:description w:val=""/>
        <w:guid w:val="{E608D190-C663-4E4F-B061-CF8BE4D5DE54}"/>
      </w:docPartPr>
      <w:docPartBody>
        <w:p w14:paraId="233E1998">
          <w:pPr>
            <w:pStyle w:val="6"/>
          </w:pPr>
          <w:r>
            <w:rPr>
              <w:rStyle w:val="4"/>
              <w:rFonts w:hint="eastAsia"/>
            </w:rPr>
            <w:t>选择一项。</w:t>
          </w:r>
        </w:p>
      </w:docPartBody>
    </w:docPart>
    <w:docPart>
      <w:docPartPr>
        <w:name w:val="633AACC73E4041ACB1383E7C319FC1DD"/>
        <w:style w:val=""/>
        <w:category>
          <w:name w:val="常规"/>
          <w:gallery w:val="placeholder"/>
        </w:category>
        <w:types>
          <w:type w:val="bbPlcHdr"/>
        </w:types>
        <w:behaviors>
          <w:behavior w:val="content"/>
        </w:behaviors>
        <w:description w:val=""/>
        <w:guid w:val="{A015D52F-A49D-45A5-B58E-E2E89A628B5D}"/>
      </w:docPartPr>
      <w:docPartBody>
        <w:p w14:paraId="415C07C4">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C63"/>
    <w:rsid w:val="000478E0"/>
    <w:rsid w:val="00601DED"/>
    <w:rsid w:val="0080472F"/>
    <w:rsid w:val="00C25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652CE63675B41EA856FE0327C3ED4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685F43CEBFC4004B49982A92D3F3AA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33AACC73E4041ACB1383E7C319FC1D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36D575-1F64-4F06-978C-2501D29B5F6C}">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13</Pages>
  <Words>5252</Words>
  <Characters>5546</Characters>
  <Lines>51</Lines>
  <Paragraphs>14</Paragraphs>
  <TotalTime>69</TotalTime>
  <ScaleCrop>false</ScaleCrop>
  <LinksUpToDate>false</LinksUpToDate>
  <CharactersWithSpaces>5687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2024-09-10T07:17:00Z</dcterms:created>
  <dc:creator>JSCDC</dc:creator>
  <dc:description>&lt;config cover="true" show_menu="true" version="1.0.0" doctype="SDKXY"&gt;_x000d_
&lt;/config&gt;</dc:description>
  <cp:lastModifiedBy>mmme</cp:lastModifiedBy>
  <cp:lastPrinted>2020-08-30T10:00:00Z</cp:lastPrinted>
  <dcterms:modified xsi:type="dcterms:W3CDTF">2024-11-18T07:29:22Z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CE93311B79624D7DBB343651755662E1_13</vt:lpwstr>
  </property>
</Properties>
</file>