
<file path=[Content_Types].xml><?xml version="1.0" encoding="utf-8"?>
<Types xmlns="http://schemas.openxmlformats.org/package/2006/content-types">
  <Default Extension="xml" ContentType="application/xml"/>
  <Default Extension="tiff" ContentType="image/tif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14:paraId="108A09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417EBABD">
            <w:pPr>
              <w:pStyle w:val="18"/>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p>
        </w:tc>
        <w:tc>
          <w:tcPr>
            <w:tcW w:w="8855" w:type="dxa"/>
          </w:tcPr>
          <w:p w14:paraId="2987DD45">
            <w:pPr>
              <w:pStyle w:val="18"/>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 xml:space="preserve">13.100 </w:t>
            </w:r>
            <w:r>
              <w:rPr>
                <w:rFonts w:ascii="黑体" w:hAnsi="黑体" w:eastAsia="黑体"/>
                <w:sz w:val="21"/>
                <w:szCs w:val="21"/>
              </w:rPr>
              <w:fldChar w:fldCharType="end"/>
            </w:r>
            <w:bookmarkEnd w:id="0"/>
          </w:p>
        </w:tc>
      </w:tr>
      <w:tr w14:paraId="5E8CB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3D6621B3">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CCS</w:t>
            </w:r>
          </w:p>
        </w:tc>
        <w:tc>
          <w:tcPr>
            <w:tcW w:w="8855" w:type="dxa"/>
          </w:tcPr>
          <w:p w14:paraId="10A92017">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C 50     </w:t>
            </w:r>
            <w:r>
              <w:rPr>
                <w:rFonts w:ascii="黑体" w:hAnsi="黑体" w:eastAsia="黑体"/>
                <w:sz w:val="21"/>
                <w:szCs w:val="21"/>
              </w:rPr>
              <w:fldChar w:fldCharType="end"/>
            </w:r>
            <w:bookmarkEnd w:id="1"/>
          </w:p>
        </w:tc>
      </w:tr>
    </w:tbl>
    <w:tbl>
      <w:tblPr>
        <w:tblStyle w:val="27"/>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14:paraId="27CD41C4">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14:paraId="7F84E157">
            <w:pPr>
              <w:pStyle w:val="49"/>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fldChar w:fldCharType="begin">
                <w:ffData>
                  <w:name w:val="c1"/>
                  <w:enabled/>
                  <w:calcOnExit w:val="0"/>
                  <w:textInput>
                    <w:maxLength w:val="8"/>
                  </w:textInput>
                </w:ffData>
              </w:fldChar>
            </w:r>
            <w:bookmarkStart w:id="3" w:name="c1"/>
            <w:r>
              <w:instrText xml:space="preserve"> FORMTEXT </w:instrText>
            </w:r>
            <w:r>
              <w:fldChar w:fldCharType="separate"/>
            </w:r>
            <w:r>
              <w:t>32</w:t>
            </w:r>
            <w:r>
              <w:fldChar w:fldCharType="end"/>
            </w:r>
            <w:bookmarkEnd w:id="3"/>
          </w:p>
        </w:tc>
      </w:tr>
    </w:tbl>
    <w:p w14:paraId="7C45CCE7">
      <w:pPr>
        <w:pStyle w:val="50"/>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ascii="黑体" w:eastAsia="黑体"/>
          <w:b w:val="0"/>
          <w:w w:val="100"/>
          <w:sz w:val="48"/>
        </w:rPr>
        <w:t>江</w:t>
      </w:r>
      <w:r>
        <w:rPr>
          <w:rFonts w:hint="eastAsia" w:ascii="黑体" w:eastAsia="黑体"/>
          <w:b w:val="0"/>
          <w:w w:val="100"/>
          <w:sz w:val="48"/>
        </w:rPr>
        <w:t>苏省</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14:paraId="3EEA21C5">
      <w:pPr>
        <w:pStyle w:val="195"/>
        <w:framePr/>
        <w:rPr>
          <w:lang w:val="fr-FR"/>
        </w:rPr>
      </w:pPr>
      <w:r>
        <w:rPr>
          <w:lang w:val="fr-FR"/>
        </w:rPr>
        <w:t>DB</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32/T</w:t>
      </w:r>
      <w:r>
        <w:fldChar w:fldCharType="end"/>
      </w:r>
      <w:bookmarkEnd w:id="5"/>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14:paraId="643FA826">
      <w:pPr>
        <w:pStyle w:val="196"/>
        <w:framePr/>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8"/>
    </w:p>
    <w:p w14:paraId="139B2398">
      <w:pPr>
        <w:spacing w:line="240" w:lineRule="auto"/>
        <w:rPr>
          <w:rFonts w:ascii="黑体" w:hAnsi="黑体" w:eastAsia="黑体"/>
          <w:kern w:val="0"/>
          <w:sz w:val="10"/>
          <w:szCs w:val="10"/>
        </w:rPr>
      </w:pPr>
      <w:r>
        <w:rPr>
          <w:rFonts w:ascii="黑体" w:hAnsi="黑体" w:eastAsia="黑体"/>
          <w:kern w:val="0"/>
          <w:sz w:val="10"/>
          <w:szCs w:val="10"/>
        </w:rPr>
        <w:pict>
          <v:line id="直接连接符 73" o:spid="_x0000_s1026" o:spt="20" style="position:absolute;left:0pt;margin-left:70.9pt;margin-top:212.65pt;height:0pt;width:481.9pt;mso-position-horizontal-relative:page;mso-position-vertical-relative:page;z-index:251659264;mso-width-relative:page;mso-height-relative:page;" coordsize="21600,21600" o:allowoverlap="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v:path arrowok="t"/>
            <v:fill focussize="0,0"/>
            <v:stroke/>
            <v:imagedata o:title=""/>
            <o:lock v:ext="edit"/>
          </v:line>
        </w:pict>
      </w:r>
    </w:p>
    <w:p w14:paraId="577E840C">
      <w:pPr>
        <w:pStyle w:val="50"/>
        <w:framePr w:w="9639" w:h="6976" w:hRule="exact" w:hSpace="0" w:vSpace="0" w:wrap="around" w:hAnchor="page" w:y="6408"/>
        <w:jc w:val="center"/>
        <w:rPr>
          <w:rFonts w:ascii="黑体" w:hAnsi="黑体" w:eastAsia="黑体"/>
          <w:b w:val="0"/>
          <w:bCs w:val="0"/>
          <w:w w:val="100"/>
        </w:rPr>
      </w:pPr>
    </w:p>
    <w:p w14:paraId="1D57CD39">
      <w:pPr>
        <w:pStyle w:val="197"/>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传染病突发公共卫生事件应急处置技术规范第8部分：标本的采集、保存和运输</w:t>
      </w:r>
      <w:r>
        <w:fldChar w:fldCharType="end"/>
      </w:r>
      <w:bookmarkEnd w:id="9"/>
    </w:p>
    <w:p w14:paraId="7FC11D00">
      <w:pPr>
        <w:framePr w:w="9639" w:h="6974" w:hRule="exact" w:wrap="around" w:vAnchor="page" w:hAnchor="page" w:x="1419" w:y="6408" w:anchorLock="1"/>
        <w:ind w:left="-1418"/>
      </w:pPr>
    </w:p>
    <w:p w14:paraId="5E012790">
      <w:pPr>
        <w:pStyle w:val="125"/>
        <w:framePr w:w="9639" w:h="6974" w:hRule="exact" w:wrap="around" w:vAnchor="page" w:hAnchor="page" w:x="1419" w:y="6408" w:anchorLock="1"/>
        <w:textAlignment w:val="bottom"/>
        <w:rPr>
          <w:rFonts w:ascii="黑体" w:hAnsi="黑体" w:eastAsia="黑体"/>
          <w:szCs w:val="28"/>
        </w:rPr>
      </w:pPr>
      <w:r>
        <w:rPr>
          <w:rFonts w:ascii="黑体" w:hAnsi="黑体" w:eastAsia="黑体"/>
          <w:szCs w:val="28"/>
        </w:rPr>
        <w:fldChar w:fldCharType="begin">
          <w:ffData>
            <w:name w:val="ESTD_NAME"/>
            <w:enabled/>
            <w:calcOnExit w:val="0"/>
            <w:textInput>
              <w:default w:val="点击此处添加标准名称的英文译名"/>
            </w:textInput>
          </w:ffData>
        </w:fldChar>
      </w:r>
      <w:bookmarkStart w:id="10" w:name="ESTD_NAME"/>
      <w:r>
        <w:rPr>
          <w:rFonts w:ascii="黑体" w:hAnsi="黑体" w:eastAsia="黑体"/>
          <w:szCs w:val="28"/>
        </w:rPr>
        <w:instrText xml:space="preserve"> FORMTEXT </w:instrText>
      </w:r>
      <w:r>
        <w:rPr>
          <w:rFonts w:ascii="黑体" w:hAnsi="黑体" w:eastAsia="黑体"/>
          <w:szCs w:val="28"/>
        </w:rPr>
        <w:fldChar w:fldCharType="separate"/>
      </w:r>
      <w:r>
        <w:rPr>
          <w:rFonts w:ascii="黑体" w:hAnsi="黑体" w:eastAsia="黑体"/>
          <w:szCs w:val="28"/>
        </w:rPr>
        <w:t>Technical specification for emergency response of public health emergent event caused by infectious disease</w:t>
      </w:r>
    </w:p>
    <w:p w14:paraId="4E44C301">
      <w:pPr>
        <w:pStyle w:val="125"/>
        <w:framePr w:w="9639" w:h="6974" w:hRule="exact" w:wrap="around" w:vAnchor="page" w:hAnchor="page" w:x="1419" w:y="6408" w:anchorLock="1"/>
        <w:textAlignment w:val="bottom"/>
        <w:rPr>
          <w:rFonts w:ascii="黑体" w:hAnsi="黑体" w:eastAsia="黑体"/>
          <w:szCs w:val="28"/>
        </w:rPr>
      </w:pPr>
    </w:p>
    <w:p w14:paraId="3EC8C880">
      <w:pPr>
        <w:pStyle w:val="125"/>
        <w:framePr w:w="9639" w:h="6974" w:hRule="exact" w:wrap="around" w:vAnchor="page" w:hAnchor="page" w:x="1419" w:y="6408" w:anchorLock="1"/>
        <w:textAlignment w:val="bottom"/>
        <w:rPr>
          <w:rFonts w:ascii="黑体" w:hAnsi="黑体" w:eastAsia="黑体"/>
          <w:szCs w:val="28"/>
        </w:rPr>
      </w:pPr>
      <w:r>
        <w:rPr>
          <w:rFonts w:hint="eastAsia" w:ascii="黑体" w:hAnsi="黑体" w:eastAsia="黑体"/>
          <w:szCs w:val="28"/>
        </w:rPr>
        <w:t>Part 8：Collection, preservation and transportation of specimens</w:t>
      </w:r>
      <w:r>
        <w:rPr>
          <w:rFonts w:ascii="黑体" w:hAnsi="黑体" w:eastAsia="黑体"/>
          <w:szCs w:val="28"/>
        </w:rPr>
        <w:fldChar w:fldCharType="end"/>
      </w:r>
      <w:bookmarkEnd w:id="10"/>
    </w:p>
    <w:p w14:paraId="38A0858C">
      <w:pPr>
        <w:framePr w:w="9639" w:h="6974" w:hRule="exact" w:wrap="around" w:vAnchor="page" w:hAnchor="page" w:x="1419" w:y="6408" w:anchorLock="1"/>
        <w:spacing w:line="760" w:lineRule="exact"/>
        <w:ind w:left="-1418"/>
      </w:pPr>
    </w:p>
    <w:p w14:paraId="05089AAD">
      <w:pPr>
        <w:pStyle w:val="125"/>
        <w:framePr w:w="9639" w:h="6974" w:hRule="exact" w:wrap="around" w:vAnchor="page" w:hAnchor="page" w:x="1419" w:y="6408" w:anchorLock="1"/>
        <w:textAlignment w:val="bottom"/>
        <w:rPr>
          <w:rFonts w:eastAsia="黑体"/>
          <w:szCs w:val="28"/>
        </w:rPr>
      </w:pPr>
    </w:p>
    <w:p w14:paraId="52413297">
      <w:pPr>
        <w:pStyle w:val="125"/>
        <w:framePr w:w="9639" w:h="6974" w:hRule="exact" w:wrap="around" w:vAnchor="page" w:hAnchor="page" w:x="1419" w:y="6408" w:anchorLock="1"/>
        <w:spacing w:before="440" w:after="160"/>
        <w:textAlignment w:val="bottom"/>
        <w:rPr>
          <w:sz w:val="24"/>
          <w:szCs w:val="28"/>
        </w:rPr>
      </w:pPr>
      <w:r>
        <w:rPr>
          <w:rFonts w:hint="eastAsia"/>
          <w:sz w:val="24"/>
          <w:szCs w:val="28"/>
        </w:rPr>
        <w:t>（报批稿）</w:t>
      </w:r>
    </w:p>
    <w:p w14:paraId="3C3B61F8">
      <w:pPr>
        <w:pStyle w:val="125"/>
        <w:framePr w:w="9639" w:h="6974" w:hRule="exact" w:wrap="around" w:vAnchor="page" w:hAnchor="page" w:x="1419" w:y="6408" w:anchorLock="1"/>
        <w:spacing w:before="180" w:line="240" w:lineRule="atLeast"/>
        <w:textAlignment w:val="bottom"/>
        <w:rPr>
          <w:sz w:val="21"/>
          <w:szCs w:val="28"/>
        </w:rPr>
      </w:pPr>
    </w:p>
    <w:p w14:paraId="6BFCAA0B">
      <w:pPr>
        <w:pStyle w:val="125"/>
        <w:framePr w:w="9639" w:h="6974" w:hRule="exact" w:wrap="around" w:vAnchor="page" w:hAnchor="page" w:x="1419" w:y="6408" w:anchorLock="1"/>
        <w:spacing w:before="720" w:beforeLines="300" w:after="72" w:afterLines="30" w:line="240" w:lineRule="auto"/>
        <w:textAlignment w:val="bottom"/>
        <w:rPr>
          <w:b/>
          <w:sz w:val="21"/>
          <w:szCs w:val="28"/>
        </w:rPr>
      </w:pPr>
      <w:bookmarkStart w:id="11" w:name="下拉2"/>
      <w:r>
        <w:rPr>
          <w:b/>
          <w:sz w:val="21"/>
          <w:szCs w:val="28"/>
        </w:rPr>
        <w:fldChar w:fldCharType="begin">
          <w:ffData>
            <w:name w:val="下拉2"/>
            <w:enabled/>
            <w:calcOnExit w:val="0"/>
            <w:ddList>
              <w:listEntry w:val=" "/>
              <w:listEntry w:val="在提交反馈意见时，请将您知道的相关专利连同支持性文件一并附上。"/>
            </w:ddList>
          </w:ffData>
        </w:fldChar>
      </w:r>
      <w:r>
        <w:rPr>
          <w:b/>
          <w:sz w:val="21"/>
          <w:szCs w:val="28"/>
        </w:rPr>
        <w:instrText xml:space="preserve"> FORMDROPDOWN </w:instrText>
      </w:r>
      <w:r>
        <w:rPr>
          <w:b/>
          <w:sz w:val="21"/>
          <w:szCs w:val="28"/>
        </w:rPr>
        <w:fldChar w:fldCharType="separate"/>
      </w:r>
      <w:r>
        <w:rPr>
          <w:b/>
          <w:sz w:val="21"/>
          <w:szCs w:val="28"/>
        </w:rPr>
        <w:fldChar w:fldCharType="end"/>
      </w:r>
      <w:bookmarkEnd w:id="11"/>
    </w:p>
    <w:p w14:paraId="792292E8">
      <w:pPr>
        <w:pStyle w:val="193"/>
        <w:framePr w:wrap="around" w:y="14176"/>
      </w:pPr>
      <w:r>
        <w:rPr>
          <w:rFonts w:ascii="黑体"/>
        </w:rPr>
        <w:fldChar w:fldCharType="begin">
          <w:ffData>
            <w:name w:val="PLSH_DATE_Y"/>
            <w:enabled/>
            <w:calcOnExit w:val="0"/>
            <w:textInput>
              <w:default w:val="XXXX"/>
              <w:maxLength w:val="4"/>
            </w:textInput>
          </w:ffData>
        </w:fldChar>
      </w:r>
      <w:bookmarkStart w:id="12" w:name="PLSH_DATE_Y"/>
      <w:r>
        <w:rPr>
          <w:rFonts w:ascii="黑体"/>
        </w:rPr>
        <w:instrText xml:space="preserve"> FORMTEXT </w:instrText>
      </w:r>
      <w:r>
        <w:rPr>
          <w:rFonts w:ascii="黑体"/>
        </w:rPr>
        <w:fldChar w:fldCharType="separate"/>
      </w:r>
      <w:r>
        <w:rPr>
          <w:rFonts w:ascii="黑体"/>
        </w:rPr>
        <w:t>2024</w:t>
      </w:r>
      <w:r>
        <w:rPr>
          <w:rFonts w:ascii="黑体"/>
        </w:rPr>
        <w:fldChar w:fldCharType="end"/>
      </w:r>
      <w:bookmarkEnd w:id="12"/>
      <w:r>
        <w:rPr>
          <w:rFonts w:ascii="黑体"/>
        </w:rPr>
        <w:t>-</w:t>
      </w:r>
      <w:r>
        <w:rPr>
          <w:rFonts w:ascii="黑体"/>
        </w:rPr>
        <w:fldChar w:fldCharType="begin">
          <w:ffData>
            <w:name w:val="PLSH_DATE_M"/>
            <w:enabled/>
            <w:calcOnExit w:val="0"/>
            <w:textInput>
              <w:default w:val="XX"/>
              <w:maxLength w:val="2"/>
            </w:textInput>
          </w:ffData>
        </w:fldChar>
      </w:r>
      <w:bookmarkStart w:id="13"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3"/>
      <w:r>
        <w:rPr>
          <w:rFonts w:ascii="黑体"/>
        </w:rPr>
        <w:t>-</w:t>
      </w:r>
      <w:r>
        <w:rPr>
          <w:rFonts w:ascii="黑体"/>
        </w:rPr>
        <w:fldChar w:fldCharType="begin">
          <w:ffData>
            <w:name w:val="PLSH_DATE_D"/>
            <w:enabled/>
            <w:calcOnExit w:val="0"/>
            <w:textInput>
              <w:default w:val="XX"/>
              <w:maxLength w:val="2"/>
            </w:textInput>
          </w:ffData>
        </w:fldChar>
      </w:r>
      <w:bookmarkStart w:id="14"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4"/>
      <w:r>
        <w:rPr>
          <w:rFonts w:hint="eastAsia"/>
        </w:rPr>
        <w:t>发布</w:t>
      </w:r>
    </w:p>
    <w:p w14:paraId="13ED9154">
      <w:pPr>
        <w:pStyle w:val="194"/>
        <w:framePr w:wrap="around" w:y="14176"/>
      </w:pPr>
      <w:r>
        <w:rPr>
          <w:rFonts w:ascii="黑体"/>
        </w:rPr>
        <w:fldChar w:fldCharType="begin">
          <w:ffData>
            <w:name w:val="CROT_DATE_Y"/>
            <w:enabled/>
            <w:calcOnExit w:val="0"/>
            <w:textInput>
              <w:default w:val="XXXX"/>
              <w:maxLength w:val="4"/>
            </w:textInput>
          </w:ffData>
        </w:fldChar>
      </w:r>
      <w:bookmarkStart w:id="15" w:name="CROT_DATE_Y"/>
      <w:r>
        <w:rPr>
          <w:rFonts w:ascii="黑体"/>
        </w:rPr>
        <w:instrText xml:space="preserve"> FORMTEXT </w:instrText>
      </w:r>
      <w:r>
        <w:rPr>
          <w:rFonts w:ascii="黑体"/>
        </w:rPr>
        <w:fldChar w:fldCharType="separate"/>
      </w:r>
      <w:r>
        <w:rPr>
          <w:rFonts w:ascii="黑体"/>
        </w:rPr>
        <w:t>2024</w:t>
      </w:r>
      <w:r>
        <w:rPr>
          <w:rFonts w:ascii="黑体"/>
        </w:rPr>
        <w:fldChar w:fldCharType="end"/>
      </w:r>
      <w:bookmarkEnd w:id="15"/>
      <w:r>
        <w:rPr>
          <w:rFonts w:ascii="黑体"/>
        </w:rPr>
        <w:t>-</w:t>
      </w:r>
      <w:r>
        <w:rPr>
          <w:rFonts w:ascii="黑体"/>
        </w:rPr>
        <w:fldChar w:fldCharType="begin">
          <w:ffData>
            <w:name w:val="CROT_DATE_M"/>
            <w:enabled/>
            <w:calcOnExit w:val="0"/>
            <w:textInput>
              <w:default w:val="XX"/>
              <w:maxLength w:val="2"/>
            </w:textInput>
          </w:ffData>
        </w:fldChar>
      </w:r>
      <w:bookmarkStart w:id="16"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ascii="黑体"/>
        </w:rPr>
        <w:t>-</w:t>
      </w:r>
      <w:r>
        <w:rPr>
          <w:rFonts w:ascii="黑体"/>
        </w:rPr>
        <w:fldChar w:fldCharType="begin">
          <w:ffData>
            <w:name w:val="CROT_DATE_D"/>
            <w:enabled/>
            <w:calcOnExit w:val="0"/>
            <w:textInput>
              <w:default w:val="XX"/>
              <w:maxLength w:val="2"/>
            </w:textInput>
          </w:ffData>
        </w:fldChar>
      </w:r>
      <w:bookmarkStart w:id="17"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7"/>
      <w:r>
        <w:rPr>
          <w:rFonts w:hint="eastAsia"/>
        </w:rPr>
        <w:t>实施</w:t>
      </w:r>
    </w:p>
    <w:p w14:paraId="061EE995">
      <w:pPr>
        <w:pStyle w:val="151"/>
        <w:framePr w:h="584" w:hRule="exact" w:hSpace="181" w:vSpace="181" w:wrap="around" w:y="15027"/>
        <w:rPr>
          <w:rFonts w:hAnsi="黑体"/>
        </w:rPr>
      </w:pPr>
      <w:r>
        <w:rPr>
          <w:rFonts w:hint="eastAsia" w:hAnsi="黑体"/>
          <w:w w:val="100"/>
          <w:sz w:val="28"/>
        </w:rPr>
        <w:t>江苏省</w:t>
      </w:r>
      <w:r>
        <w:rPr>
          <w:rFonts w:hAnsi="黑体"/>
          <w:w w:val="100"/>
          <w:sz w:val="28"/>
        </w:rPr>
        <w:t>市场监督管理局</w:t>
      </w:r>
      <w:r>
        <w:rPr>
          <w:rFonts w:ascii="Times New Roman"/>
          <w:w w:val="100"/>
          <w:sz w:val="28"/>
        </w:rPr>
        <w:t>  </w:t>
      </w:r>
      <w:r>
        <w:rPr>
          <w:rStyle w:val="229"/>
          <w:rFonts w:hint="eastAsia" w:hAnsi="黑体"/>
          <w:position w:val="0"/>
        </w:rPr>
        <w:t>发</w:t>
      </w:r>
      <w:r>
        <w:rPr>
          <w:rStyle w:val="229"/>
          <w:rFonts w:hint="eastAsia" w:hAnsi="黑体"/>
          <w:spacing w:val="0"/>
          <w:position w:val="0"/>
        </w:rPr>
        <w:t>布</w:t>
      </w:r>
    </w:p>
    <w:p w14:paraId="0410DF85">
      <w:pPr>
        <w:rPr>
          <w:rFonts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ascii="宋体" w:hAnsi="宋体"/>
          <w:sz w:val="28"/>
          <w:szCs w:val="28"/>
        </w:rPr>
        <w:pict>
          <v:line id="直接连接符 5" o:spid="_x0000_s1027" o:spt="20" style="position:absolute;left:0pt;margin-left:70.85pt;margin-top:728.6pt;height:0pt;width:481.9pt;mso-position-horizontal-relative:page;mso-position-vertical-relative:page;z-index:25166028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v:path arrowok="t"/>
            <v:fill focussize="0,0"/>
            <v:stroke/>
            <v:imagedata o:title=""/>
            <o:lock v:ext="edit"/>
            <w10:anchorlock/>
          </v:line>
        </w:pict>
      </w:r>
    </w:p>
    <w:p w14:paraId="4953C917">
      <w:pPr>
        <w:pStyle w:val="91"/>
        <w:spacing w:after="468"/>
      </w:pPr>
      <w:bookmarkStart w:id="18" w:name="BookMark1"/>
      <w:r>
        <w:rPr>
          <w:rFonts w:hint="eastAsia"/>
          <w:spacing w:val="320"/>
        </w:rPr>
        <w:t>目</w:t>
      </w:r>
      <w:r>
        <w:rPr>
          <w:rFonts w:hint="eastAsia"/>
        </w:rPr>
        <w:t>次</w:t>
      </w:r>
    </w:p>
    <w:p w14:paraId="5B03D4D1">
      <w:pPr>
        <w:pStyle w:val="19"/>
        <w:tabs>
          <w:tab w:val="right" w:leader="dot" w:pos="9344"/>
        </w:tabs>
        <w:rPr>
          <w:rFonts w:asciiTheme="minorHAnsi" w:hAnsiTheme="minorHAnsi" w:eastAsiaTheme="minorEastAsia" w:cstheme="minorBidi"/>
          <w:szCs w:val="22"/>
        </w:rPr>
      </w:pPr>
      <w:r>
        <w:fldChar w:fldCharType="begin"/>
      </w:r>
      <w:r>
        <w:instrText xml:space="preserve"> TOC \o "1-1" \h </w:instrText>
      </w:r>
      <w:r>
        <w:fldChar w:fldCharType="separate"/>
      </w:r>
      <w:r>
        <w:fldChar w:fldCharType="begin"/>
      </w:r>
      <w:r>
        <w:instrText xml:space="preserve"> HYPERLINK \l "_Toc176532539" </w:instrText>
      </w:r>
      <w:r>
        <w:fldChar w:fldCharType="separate"/>
      </w:r>
      <w:r>
        <w:rPr>
          <w:rStyle w:val="32"/>
          <w:rFonts w:hint="eastAsia"/>
        </w:rPr>
        <w:t>前言</w:t>
      </w:r>
      <w:r>
        <w:tab/>
      </w:r>
      <w:r>
        <w:fldChar w:fldCharType="begin"/>
      </w:r>
      <w:r>
        <w:instrText xml:space="preserve"> PAGEREF _Toc176532539 \h </w:instrText>
      </w:r>
      <w:r>
        <w:fldChar w:fldCharType="separate"/>
      </w:r>
      <w:r>
        <w:t>II</w:t>
      </w:r>
      <w:r>
        <w:fldChar w:fldCharType="end"/>
      </w:r>
      <w:r>
        <w:fldChar w:fldCharType="end"/>
      </w:r>
    </w:p>
    <w:p w14:paraId="0CFB0FB5">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"_Toc176532540" </w:instrText>
      </w:r>
      <w:r>
        <w:fldChar w:fldCharType="separate"/>
      </w:r>
      <w:r>
        <w:rPr>
          <w:rStyle w:val="32"/>
          <w:rFonts w:hint="eastAsia"/>
        </w:rPr>
        <w:t>引言</w:t>
      </w:r>
      <w:r>
        <w:tab/>
      </w:r>
      <w:r>
        <w:fldChar w:fldCharType="begin"/>
      </w:r>
      <w:r>
        <w:instrText xml:space="preserve"> PAGEREF _Toc176532540 \h </w:instrText>
      </w:r>
      <w:r>
        <w:fldChar w:fldCharType="separate"/>
      </w:r>
      <w:r>
        <w:t>III</w:t>
      </w:r>
      <w:r>
        <w:fldChar w:fldCharType="end"/>
      </w:r>
      <w:r>
        <w:fldChar w:fldCharType="end"/>
      </w:r>
    </w:p>
    <w:p w14:paraId="4A91C123">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"_Toc176532541" </w:instrText>
      </w:r>
      <w:r>
        <w:fldChar w:fldCharType="separate"/>
      </w:r>
      <w:r>
        <w:rPr>
          <w:rStyle w:val="32"/>
        </w:rPr>
        <w:t>1</w:t>
      </w:r>
      <w:r>
        <w:rPr>
          <w:rStyle w:val="32"/>
          <w:rFonts w:hint="eastAsia"/>
        </w:rPr>
        <w:t xml:space="preserve"> 范围</w:t>
      </w:r>
      <w:r>
        <w:tab/>
      </w:r>
      <w:r>
        <w:fldChar w:fldCharType="begin"/>
      </w:r>
      <w:r>
        <w:instrText xml:space="preserve"> PAGEREF _Toc176532541 \h </w:instrText>
      </w:r>
      <w:r>
        <w:fldChar w:fldCharType="separate"/>
      </w:r>
      <w:r>
        <w:t>1</w:t>
      </w:r>
      <w:r>
        <w:fldChar w:fldCharType="end"/>
      </w:r>
      <w:r>
        <w:fldChar w:fldCharType="end"/>
      </w:r>
    </w:p>
    <w:p w14:paraId="30E0EFFF">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"_Toc176532542" </w:instrText>
      </w:r>
      <w:r>
        <w:fldChar w:fldCharType="separate"/>
      </w:r>
      <w:r>
        <w:rPr>
          <w:rStyle w:val="32"/>
        </w:rPr>
        <w:t>2</w:t>
      </w:r>
      <w:r>
        <w:rPr>
          <w:rStyle w:val="32"/>
          <w:rFonts w:hint="eastAsia"/>
        </w:rPr>
        <w:t xml:space="preserve"> 规范性引用文件</w:t>
      </w:r>
      <w:r>
        <w:tab/>
      </w:r>
      <w:r>
        <w:fldChar w:fldCharType="begin"/>
      </w:r>
      <w:r>
        <w:instrText xml:space="preserve"> PAGEREF _Toc176532542 \h </w:instrText>
      </w:r>
      <w:r>
        <w:fldChar w:fldCharType="separate"/>
      </w:r>
      <w:r>
        <w:t>1</w:t>
      </w:r>
      <w:r>
        <w:fldChar w:fldCharType="end"/>
      </w:r>
      <w:r>
        <w:fldChar w:fldCharType="end"/>
      </w:r>
    </w:p>
    <w:p w14:paraId="4AC678EA">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"_Toc176532543" </w:instrText>
      </w:r>
      <w:r>
        <w:fldChar w:fldCharType="separate"/>
      </w:r>
      <w:r>
        <w:rPr>
          <w:rStyle w:val="32"/>
        </w:rPr>
        <w:t>3</w:t>
      </w:r>
      <w:r>
        <w:rPr>
          <w:rStyle w:val="32"/>
          <w:rFonts w:hint="eastAsia"/>
        </w:rPr>
        <w:t xml:space="preserve"> 术语和定义</w:t>
      </w:r>
      <w:r>
        <w:tab/>
      </w:r>
      <w:r>
        <w:fldChar w:fldCharType="begin"/>
      </w:r>
      <w:r>
        <w:instrText xml:space="preserve"> PAGEREF _Toc176532543 \h </w:instrText>
      </w:r>
      <w:r>
        <w:fldChar w:fldCharType="separate"/>
      </w:r>
      <w:r>
        <w:t>1</w:t>
      </w:r>
      <w:r>
        <w:fldChar w:fldCharType="end"/>
      </w:r>
      <w:r>
        <w:fldChar w:fldCharType="end"/>
      </w:r>
    </w:p>
    <w:p w14:paraId="59435426">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"_Toc176532544" </w:instrText>
      </w:r>
      <w:r>
        <w:fldChar w:fldCharType="separate"/>
      </w:r>
      <w:r>
        <w:rPr>
          <w:rStyle w:val="32"/>
        </w:rPr>
        <w:t>4</w:t>
      </w:r>
      <w:r>
        <w:rPr>
          <w:rStyle w:val="32"/>
          <w:rFonts w:hint="eastAsia"/>
        </w:rPr>
        <w:t xml:space="preserve"> 生物安全要求</w:t>
      </w:r>
      <w:r>
        <w:tab/>
      </w:r>
      <w:r>
        <w:fldChar w:fldCharType="begin"/>
      </w:r>
      <w:r>
        <w:instrText xml:space="preserve"> PAGEREF _Toc176532544 \h </w:instrText>
      </w:r>
      <w:r>
        <w:fldChar w:fldCharType="separate"/>
      </w:r>
      <w:r>
        <w:t>1</w:t>
      </w:r>
      <w:r>
        <w:fldChar w:fldCharType="end"/>
      </w:r>
      <w:r>
        <w:fldChar w:fldCharType="end"/>
      </w:r>
    </w:p>
    <w:p w14:paraId="09B22F4E">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"_Toc176532545" </w:instrText>
      </w:r>
      <w:r>
        <w:fldChar w:fldCharType="separate"/>
      </w:r>
      <w:r>
        <w:rPr>
          <w:rStyle w:val="32"/>
        </w:rPr>
        <w:t>5</w:t>
      </w:r>
      <w:r>
        <w:rPr>
          <w:rStyle w:val="32"/>
          <w:rFonts w:hint="eastAsia"/>
        </w:rPr>
        <w:t xml:space="preserve"> 采集前准备</w:t>
      </w:r>
      <w:r>
        <w:tab/>
      </w:r>
      <w:r>
        <w:fldChar w:fldCharType="begin"/>
      </w:r>
      <w:r>
        <w:instrText xml:space="preserve"> PAGEREF _Toc176532545 \h </w:instrText>
      </w:r>
      <w:r>
        <w:fldChar w:fldCharType="separate"/>
      </w:r>
      <w:r>
        <w:t>2</w:t>
      </w:r>
      <w:r>
        <w:fldChar w:fldCharType="end"/>
      </w:r>
      <w:r>
        <w:fldChar w:fldCharType="end"/>
      </w:r>
    </w:p>
    <w:p w14:paraId="00A38FF1">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"_Toc176532546" </w:instrText>
      </w:r>
      <w:r>
        <w:fldChar w:fldCharType="separate"/>
      </w:r>
      <w:r>
        <w:rPr>
          <w:rStyle w:val="32"/>
        </w:rPr>
        <w:t>6</w:t>
      </w:r>
      <w:r>
        <w:rPr>
          <w:rStyle w:val="32"/>
          <w:rFonts w:hint="eastAsia"/>
        </w:rPr>
        <w:t xml:space="preserve"> 标本采集</w:t>
      </w:r>
      <w:r>
        <w:tab/>
      </w:r>
      <w:r>
        <w:fldChar w:fldCharType="begin"/>
      </w:r>
      <w:r>
        <w:instrText xml:space="preserve"> PAGEREF _Toc176532546 \h </w:instrText>
      </w:r>
      <w:r>
        <w:fldChar w:fldCharType="separate"/>
      </w:r>
      <w:r>
        <w:t>3</w:t>
      </w:r>
      <w:r>
        <w:fldChar w:fldCharType="end"/>
      </w:r>
      <w:r>
        <w:fldChar w:fldCharType="end"/>
      </w:r>
    </w:p>
    <w:p w14:paraId="63F1142C">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"_Toc176532547" </w:instrText>
      </w:r>
      <w:r>
        <w:fldChar w:fldCharType="separate"/>
      </w:r>
      <w:r>
        <w:rPr>
          <w:rStyle w:val="32"/>
        </w:rPr>
        <w:t>7</w:t>
      </w:r>
      <w:r>
        <w:rPr>
          <w:rStyle w:val="32"/>
          <w:rFonts w:hint="eastAsia"/>
        </w:rPr>
        <w:t xml:space="preserve"> 标本保存、运输和交接</w:t>
      </w:r>
      <w:r>
        <w:tab/>
      </w:r>
      <w:r>
        <w:fldChar w:fldCharType="begin"/>
      </w:r>
      <w:r>
        <w:instrText xml:space="preserve"> PAGEREF _Toc176532547 \h </w:instrText>
      </w:r>
      <w:r>
        <w:fldChar w:fldCharType="separate"/>
      </w:r>
      <w:r>
        <w:t>3</w:t>
      </w:r>
      <w:r>
        <w:fldChar w:fldCharType="end"/>
      </w:r>
      <w:r>
        <w:fldChar w:fldCharType="end"/>
      </w:r>
    </w:p>
    <w:p w14:paraId="77BEE112">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"_Toc176532548" </w:instrText>
      </w:r>
      <w:r>
        <w:fldChar w:fldCharType="separate"/>
      </w:r>
      <w:r>
        <w:rPr>
          <w:rStyle w:val="32"/>
          <w:rFonts w:hint="eastAsia"/>
        </w:rPr>
        <w:t>附录A（资料性）各症候群对应病原体及标本类型</w:t>
      </w:r>
      <w:r>
        <w:tab/>
      </w:r>
      <w:r>
        <w:fldChar w:fldCharType="begin"/>
      </w:r>
      <w:r>
        <w:instrText xml:space="preserve"> PAGEREF _Toc176532548 \h </w:instrText>
      </w:r>
      <w:r>
        <w:fldChar w:fldCharType="separate"/>
      </w:r>
      <w:r>
        <w:t>5</w:t>
      </w:r>
      <w:r>
        <w:fldChar w:fldCharType="end"/>
      </w:r>
      <w:r>
        <w:fldChar w:fldCharType="end"/>
      </w:r>
    </w:p>
    <w:p w14:paraId="5D8D1CE5">
      <w:pPr>
        <w:pStyle w:val="19"/>
        <w:tabs>
          <w:tab w:val="right" w:leader="dot" w:pos="9344"/>
        </w:tabs>
        <w:rPr>
          <w:rFonts w:asciiTheme="minorHAnsi" w:hAnsiTheme="minorHAnsi" w:eastAsiaTheme="minorEastAsia" w:cstheme="minorBidi"/>
          <w:szCs w:val="22"/>
        </w:rPr>
      </w:pPr>
      <w:r>
        <w:fldChar w:fldCharType="begin"/>
      </w:r>
      <w:r>
        <w:instrText xml:space="preserve"> HYPERLINK \l "_Toc176532549" </w:instrText>
      </w:r>
      <w:r>
        <w:fldChar w:fldCharType="separate"/>
      </w:r>
      <w:r>
        <w:rPr>
          <w:rStyle w:val="32"/>
          <w:rFonts w:hint="eastAsia"/>
        </w:rPr>
        <w:t>附录B（资料性）标本采集方法</w:t>
      </w:r>
      <w:r>
        <w:tab/>
      </w:r>
      <w:r>
        <w:fldChar w:fldCharType="begin"/>
      </w:r>
      <w:r>
        <w:instrText xml:space="preserve"> PAGEREF _Toc176532549 \h </w:instrText>
      </w:r>
      <w:r>
        <w:fldChar w:fldCharType="separate"/>
      </w:r>
      <w:r>
        <w:t>7</w:t>
      </w:r>
      <w:r>
        <w:fldChar w:fldCharType="end"/>
      </w:r>
      <w:r>
        <w:fldChar w:fldCharType="end"/>
      </w:r>
    </w:p>
    <w:p w14:paraId="4C226E62">
      <w:pPr>
        <w:pStyle w:val="91"/>
        <w:spacing w:after="468"/>
        <w:sectPr>
          <w:headerReference r:id="rId11" w:type="default"/>
          <w:footerReference r:id="rId13" w:type="default"/>
          <w:headerReference r:id="rId12" w:type="even"/>
          <w:pgSz w:w="11906" w:h="16838"/>
          <w:pgMar w:top="1928" w:right="1134" w:bottom="1134" w:left="1134" w:header="1418" w:footer="1134" w:gutter="284"/>
          <w:pgNumType w:fmt="upperRoman" w:start="1"/>
          <w:cols w:space="425" w:num="1"/>
          <w:formProt w:val="0"/>
          <w:docGrid w:type="lines" w:linePitch="312" w:charSpace="0"/>
        </w:sectPr>
      </w:pPr>
      <w:r>
        <w:fldChar w:fldCharType="end"/>
      </w:r>
    </w:p>
    <w:bookmarkEnd w:id="18"/>
    <w:p w14:paraId="28EBDDAC">
      <w:pPr>
        <w:pStyle w:val="89"/>
        <w:spacing w:before="900" w:after="468"/>
      </w:pPr>
      <w:bookmarkStart w:id="19" w:name="_Toc176532539"/>
      <w:bookmarkStart w:id="20" w:name="BookMark2"/>
      <w:r>
        <w:rPr>
          <w:spacing w:val="320"/>
        </w:rPr>
        <w:t>前</w:t>
      </w:r>
      <w:r>
        <w:t>言</w:t>
      </w:r>
      <w:bookmarkEnd w:id="19"/>
    </w:p>
    <w:p w14:paraId="5C2ABDF1">
      <w:pPr>
        <w:pStyle w:val="56"/>
        <w:ind w:firstLine="420"/>
      </w:pPr>
      <w:r>
        <w:rPr>
          <w:rFonts w:hint="eastAsia"/>
        </w:rPr>
        <w:t>本文件按照GB/T1.1-2020《标准化工作导则  第1部分：标准化文件的结构和起草规则》的规定起草。</w:t>
      </w:r>
    </w:p>
    <w:p w14:paraId="1712F800">
      <w:pPr>
        <w:pStyle w:val="56"/>
        <w:ind w:firstLine="420"/>
      </w:pPr>
      <w:r>
        <w:rPr>
          <w:rFonts w:hint="eastAsia"/>
        </w:rPr>
        <w:t>本文件是DB32/T XXX 《传染病突发公共卫生事件应急处置技术规范》的第8部分。DB32/T XXX 已经发布了以下部分：</w:t>
      </w:r>
    </w:p>
    <w:p w14:paraId="68A8A4B3">
      <w:pPr>
        <w:pStyle w:val="56"/>
        <w:ind w:firstLine="420"/>
      </w:pPr>
      <w:r>
        <w:rPr>
          <w:rFonts w:hint="eastAsia"/>
        </w:rPr>
        <w:t>——第1部分：监测预警；</w:t>
      </w:r>
    </w:p>
    <w:p w14:paraId="62CA8F91">
      <w:pPr>
        <w:pStyle w:val="56"/>
        <w:ind w:firstLine="420"/>
      </w:pPr>
      <w:r>
        <w:rPr>
          <w:rFonts w:hint="eastAsia"/>
        </w:rPr>
        <w:t>——第2部分：事件报告和管理；</w:t>
      </w:r>
    </w:p>
    <w:p w14:paraId="065DBC34">
      <w:pPr>
        <w:pStyle w:val="56"/>
        <w:ind w:firstLine="420"/>
      </w:pPr>
      <w:r>
        <w:rPr>
          <w:rFonts w:hint="eastAsia"/>
        </w:rPr>
        <w:t>——第3部分：风险评估；</w:t>
      </w:r>
    </w:p>
    <w:p w14:paraId="5D5513FF">
      <w:pPr>
        <w:pStyle w:val="56"/>
        <w:ind w:firstLine="420"/>
      </w:pPr>
      <w:r>
        <w:rPr>
          <w:rFonts w:hint="eastAsia"/>
        </w:rPr>
        <w:t>——第4部分：现场流行病学调查；</w:t>
      </w:r>
    </w:p>
    <w:p w14:paraId="6DA39812">
      <w:pPr>
        <w:pStyle w:val="56"/>
        <w:ind w:firstLine="420"/>
      </w:pPr>
      <w:r>
        <w:rPr>
          <w:rFonts w:hint="eastAsia"/>
        </w:rPr>
        <w:t>——第5部分：恢复评估；</w:t>
      </w:r>
    </w:p>
    <w:p w14:paraId="3EE1F87B">
      <w:pPr>
        <w:pStyle w:val="56"/>
        <w:ind w:firstLine="420"/>
      </w:pPr>
      <w:r>
        <w:rPr>
          <w:rFonts w:hint="eastAsia"/>
        </w:rPr>
        <w:t>——第6部分：应急消毒处置及应急人员个人防护；</w:t>
      </w:r>
    </w:p>
    <w:p w14:paraId="4D62E303">
      <w:pPr>
        <w:pStyle w:val="56"/>
        <w:ind w:firstLine="420"/>
      </w:pPr>
      <w:r>
        <w:rPr>
          <w:rFonts w:hint="eastAsia"/>
        </w:rPr>
        <w:t>——第7部分：媒介生物应急监测、评估与控制；</w:t>
      </w:r>
    </w:p>
    <w:p w14:paraId="6D5AAA0A">
      <w:pPr>
        <w:pStyle w:val="56"/>
        <w:ind w:firstLine="420"/>
      </w:pPr>
      <w:r>
        <w:rPr>
          <w:rFonts w:hint="eastAsia"/>
        </w:rPr>
        <w:t>——第8部分：标本的采集、保存和运输；</w:t>
      </w:r>
    </w:p>
    <w:p w14:paraId="2474C827">
      <w:pPr>
        <w:pStyle w:val="56"/>
        <w:ind w:firstLine="420"/>
      </w:pPr>
      <w:r>
        <w:rPr>
          <w:rFonts w:hint="eastAsia"/>
        </w:rPr>
        <w:t>——第9部分：应急检测流程；</w:t>
      </w:r>
    </w:p>
    <w:p w14:paraId="23777B76">
      <w:pPr>
        <w:pStyle w:val="56"/>
        <w:ind w:firstLine="420"/>
      </w:pPr>
      <w:r>
        <w:rPr>
          <w:rFonts w:hint="eastAsia"/>
        </w:rPr>
        <w:t>——第10部分：病毒类应急检测技术；</w:t>
      </w:r>
    </w:p>
    <w:p w14:paraId="6C7C41CF">
      <w:pPr>
        <w:pStyle w:val="56"/>
        <w:ind w:firstLine="420"/>
      </w:pPr>
      <w:r>
        <w:rPr>
          <w:rFonts w:hint="eastAsia"/>
        </w:rPr>
        <w:t>——第11部分：细菌类应急检测技术。</w:t>
      </w:r>
    </w:p>
    <w:p w14:paraId="7EF4CFEE">
      <w:pPr>
        <w:pStyle w:val="56"/>
        <w:ind w:firstLine="420"/>
      </w:pPr>
      <w:r>
        <w:rPr>
          <w:rFonts w:hint="eastAsia"/>
        </w:rPr>
        <w:t>请注意本文件的某些内容可能涉及专利。本文件的发布机构不承担识别专利的责任。</w:t>
      </w:r>
    </w:p>
    <w:p w14:paraId="7A280A1E">
      <w:pPr>
        <w:pStyle w:val="56"/>
        <w:ind w:firstLine="420"/>
      </w:pPr>
      <w:r>
        <w:rPr>
          <w:rFonts w:hint="eastAsia"/>
        </w:rPr>
        <w:t>本文件由江苏省卫生健康委员会提出并组织实施。</w:t>
      </w:r>
    </w:p>
    <w:p w14:paraId="77794029">
      <w:pPr>
        <w:pStyle w:val="56"/>
        <w:ind w:firstLine="420"/>
      </w:pPr>
      <w:r>
        <w:rPr>
          <w:rFonts w:hint="eastAsia"/>
        </w:rPr>
        <w:t>本文件由江苏省卫生健康标准化技术委员会归口。</w:t>
      </w:r>
    </w:p>
    <w:p w14:paraId="55AC9FE6">
      <w:pPr>
        <w:pStyle w:val="56"/>
        <w:ind w:firstLine="420"/>
      </w:pPr>
      <w:r>
        <w:rPr>
          <w:rFonts w:hint="eastAsia"/>
        </w:rPr>
        <w:t>本文件起草单位：江苏省疾病预防控制中心、东部战区疾病预防控制中心。</w:t>
      </w:r>
    </w:p>
    <w:p w14:paraId="6C9617F1">
      <w:pPr>
        <w:pStyle w:val="56"/>
        <w:ind w:firstLine="420"/>
      </w:pPr>
      <w:r>
        <w:rPr>
          <w:rFonts w:hint="eastAsia"/>
        </w:rPr>
        <w:t>本文件主要起草人：王慎骄、张锦海、樊欢、吕恒、朱宝立、谈忠鸣、付建光、邓斐、孔筱筱、田华、彭杰夫</w:t>
      </w:r>
      <w:r>
        <w:rPr>
          <w:rFonts w:hint="eastAsia"/>
          <w:lang w:eastAsia="zh-CN"/>
        </w:rPr>
        <w:t>、</w:t>
      </w:r>
      <w:r>
        <w:rPr>
          <w:rFonts w:hint="eastAsia"/>
          <w:lang w:val="en-US" w:eastAsia="zh-CN"/>
        </w:rPr>
        <w:t>崔仑标</w:t>
      </w:r>
      <w:r>
        <w:rPr>
          <w:rFonts w:hint="eastAsia"/>
        </w:rPr>
        <w:t>。</w:t>
      </w:r>
      <w:bookmarkStart w:id="55" w:name="_GoBack"/>
      <w:bookmarkEnd w:id="55"/>
    </w:p>
    <w:p w14:paraId="5F057A7B">
      <w:pPr>
        <w:pStyle w:val="56"/>
        <w:ind w:firstLine="420"/>
      </w:pPr>
    </w:p>
    <w:p w14:paraId="18ECBAD2">
      <w:pPr>
        <w:pStyle w:val="56"/>
        <w:ind w:firstLine="420"/>
        <w:sectPr>
          <w:pgSz w:w="11906" w:h="16838"/>
          <w:pgMar w:top="1928" w:right="1134" w:bottom="1134" w:left="1134" w:header="1418" w:footer="1134" w:gutter="284"/>
          <w:pgNumType w:fmt="upperRoman"/>
          <w:cols w:space="425" w:num="1"/>
          <w:formProt w:val="0"/>
          <w:docGrid w:type="lines" w:linePitch="312" w:charSpace="0"/>
        </w:sectPr>
      </w:pPr>
    </w:p>
    <w:bookmarkEnd w:id="20"/>
    <w:p w14:paraId="456D9C5E">
      <w:pPr>
        <w:pStyle w:val="89"/>
        <w:spacing w:after="468"/>
      </w:pPr>
      <w:bookmarkStart w:id="21" w:name="_Toc176532540"/>
      <w:bookmarkStart w:id="22" w:name="BookMark3"/>
      <w:r>
        <w:rPr>
          <w:spacing w:val="320"/>
        </w:rPr>
        <w:t>引</w:t>
      </w:r>
      <w:r>
        <w:t>言</w:t>
      </w:r>
      <w:bookmarkEnd w:id="21"/>
    </w:p>
    <w:p w14:paraId="785A9054">
      <w:pPr>
        <w:pStyle w:val="56"/>
        <w:ind w:firstLine="420"/>
      </w:pPr>
      <w:r>
        <w:rPr>
          <w:rFonts w:hint="eastAsia"/>
        </w:rPr>
        <w:t>传染病突发公共卫生事件是公共卫生安全的主要威胁，对社会、经济和人群健康存在巨大影响。本文件为贯彻落实《中华人民共和国传染病防治法》《中华人民共和国突发事件应对法》《突发公共卫生事件应急条例》等法律法规对传染病突发公共卫生事件的应急处置要求，提升江苏省传染病突发公共卫生事件的应急处置能力，保障人民群众的生命安全和社会稳定而制定。</w:t>
      </w:r>
    </w:p>
    <w:p w14:paraId="7158F0B0">
      <w:pPr>
        <w:pStyle w:val="56"/>
        <w:ind w:firstLine="420"/>
      </w:pPr>
      <w:r>
        <w:rPr>
          <w:rFonts w:hint="eastAsia"/>
        </w:rPr>
        <w:t>DB32/T XXX《传染病突发公共卫生事件应急处置技术规范》拟由十一个部分构成：</w:t>
      </w:r>
    </w:p>
    <w:p w14:paraId="16C9EEFC">
      <w:pPr>
        <w:pStyle w:val="56"/>
        <w:ind w:firstLine="420"/>
      </w:pPr>
      <w:r>
        <w:rPr>
          <w:rFonts w:hint="eastAsia"/>
        </w:rPr>
        <w:t>——第1部分：监测预警；</w:t>
      </w:r>
    </w:p>
    <w:p w14:paraId="4519187A">
      <w:pPr>
        <w:pStyle w:val="56"/>
        <w:ind w:firstLine="420"/>
      </w:pPr>
      <w:r>
        <w:rPr>
          <w:rFonts w:hint="eastAsia"/>
        </w:rPr>
        <w:t>——第2部分：事件报告和管理；</w:t>
      </w:r>
    </w:p>
    <w:p w14:paraId="7ABF530F">
      <w:pPr>
        <w:pStyle w:val="56"/>
        <w:ind w:firstLine="420"/>
      </w:pPr>
      <w:r>
        <w:rPr>
          <w:rFonts w:hint="eastAsia"/>
        </w:rPr>
        <w:t>——第3部分：风险评估；</w:t>
      </w:r>
    </w:p>
    <w:p w14:paraId="6E55ECBD">
      <w:pPr>
        <w:pStyle w:val="56"/>
        <w:ind w:firstLine="420"/>
      </w:pPr>
      <w:r>
        <w:rPr>
          <w:rFonts w:hint="eastAsia"/>
        </w:rPr>
        <w:t>——第4部分：现场流行病学调查；</w:t>
      </w:r>
    </w:p>
    <w:p w14:paraId="5D25C743">
      <w:pPr>
        <w:pStyle w:val="56"/>
        <w:ind w:firstLine="420"/>
      </w:pPr>
      <w:r>
        <w:rPr>
          <w:rFonts w:hint="eastAsia"/>
        </w:rPr>
        <w:t>——第5部分：恢复评估；</w:t>
      </w:r>
    </w:p>
    <w:p w14:paraId="55BB2EB2">
      <w:pPr>
        <w:pStyle w:val="56"/>
        <w:ind w:firstLine="420"/>
      </w:pPr>
      <w:r>
        <w:rPr>
          <w:rFonts w:hint="eastAsia"/>
        </w:rPr>
        <w:t>——第6部分：应急消毒处置及应急人员个人防护；</w:t>
      </w:r>
    </w:p>
    <w:p w14:paraId="6ED056A5">
      <w:pPr>
        <w:pStyle w:val="56"/>
        <w:ind w:firstLine="420"/>
      </w:pPr>
      <w:r>
        <w:rPr>
          <w:rFonts w:hint="eastAsia"/>
        </w:rPr>
        <w:t>——第7部分：媒介生物应急监测、评估与控制；</w:t>
      </w:r>
    </w:p>
    <w:p w14:paraId="5CE236E6">
      <w:pPr>
        <w:pStyle w:val="56"/>
        <w:ind w:firstLine="420"/>
      </w:pPr>
      <w:r>
        <w:rPr>
          <w:rFonts w:hint="eastAsia"/>
        </w:rPr>
        <w:t>——第8部分：标本的采集、保存和运输；</w:t>
      </w:r>
    </w:p>
    <w:p w14:paraId="6292523E">
      <w:pPr>
        <w:pStyle w:val="56"/>
        <w:ind w:firstLine="420"/>
      </w:pPr>
      <w:r>
        <w:rPr>
          <w:rFonts w:hint="eastAsia"/>
        </w:rPr>
        <w:t>——第9部分：应急检测流程；</w:t>
      </w:r>
    </w:p>
    <w:p w14:paraId="3C86C532">
      <w:pPr>
        <w:pStyle w:val="56"/>
        <w:ind w:firstLine="420"/>
      </w:pPr>
      <w:r>
        <w:rPr>
          <w:rFonts w:hint="eastAsia"/>
        </w:rPr>
        <w:t>——第10部分：病毒类应急检测技术；</w:t>
      </w:r>
    </w:p>
    <w:p w14:paraId="5DB330C6">
      <w:pPr>
        <w:pStyle w:val="56"/>
        <w:ind w:firstLine="420"/>
      </w:pPr>
      <w:r>
        <w:rPr>
          <w:rFonts w:hint="eastAsia"/>
        </w:rPr>
        <w:t>——第11部分：细菌类应急检测技术。</w:t>
      </w:r>
    </w:p>
    <w:p w14:paraId="3F7F05E9">
      <w:pPr>
        <w:pStyle w:val="56"/>
        <w:ind w:firstLine="420"/>
      </w:pPr>
      <w:r>
        <w:rPr>
          <w:rFonts w:hint="eastAsia"/>
        </w:rPr>
        <w:t>DB32/T XXX的制定是对传染病突发公共卫生事件处置工作相关国家标准、行业标准的有力补充，为开展传染病突发公共卫生事件的监测预警、报告和管理、风险评估、现场流行病学调查、恢复评估、应急消毒处置和个人防护、媒介生物的应急监测评估与控制、标本的采集和检测等应急处置工作提供有力的科学依据和技术支撑，对保障公众健康和公共卫生安全具有重要意义。</w:t>
      </w:r>
    </w:p>
    <w:p w14:paraId="653A7DBA">
      <w:pPr>
        <w:pStyle w:val="56"/>
        <w:ind w:firstLine="420"/>
      </w:pPr>
    </w:p>
    <w:p w14:paraId="000AE4D2">
      <w:pPr>
        <w:pStyle w:val="56"/>
        <w:ind w:firstLine="420"/>
        <w:sectPr>
          <w:pgSz w:w="11906" w:h="16838"/>
          <w:pgMar w:top="1928" w:right="1134" w:bottom="1134" w:left="1134" w:header="1418" w:footer="1134" w:gutter="284"/>
          <w:pgNumType w:fmt="upperRoman"/>
          <w:cols w:space="425" w:num="1"/>
          <w:formProt w:val="0"/>
          <w:docGrid w:type="lines" w:linePitch="312" w:charSpace="0"/>
        </w:sectPr>
      </w:pPr>
    </w:p>
    <w:bookmarkEnd w:id="22"/>
    <w:p w14:paraId="65C1DC4E">
      <w:pPr>
        <w:spacing w:line="20" w:lineRule="exact"/>
        <w:jc w:val="center"/>
        <w:rPr>
          <w:rFonts w:ascii="黑体" w:hAnsi="黑体" w:eastAsia="黑体"/>
          <w:sz w:val="32"/>
          <w:szCs w:val="32"/>
        </w:rPr>
      </w:pPr>
      <w:bookmarkStart w:id="23" w:name="BookMark4"/>
    </w:p>
    <w:p w14:paraId="4D581C72">
      <w:pPr>
        <w:spacing w:line="20" w:lineRule="exact"/>
        <w:jc w:val="center"/>
        <w:rPr>
          <w:rFonts w:ascii="黑体" w:hAnsi="黑体" w:eastAsia="黑体"/>
          <w:sz w:val="32"/>
          <w:szCs w:val="32"/>
        </w:rPr>
      </w:pPr>
    </w:p>
    <w:sdt>
      <w:sdtPr>
        <w:tag w:val="NEW_STAND_NAME"/>
        <w:id w:val="595910757"/>
        <w:lock w:val="sdtLocked"/>
        <w:placeholder>
          <w:docPart w:val="A3C71F5EC1B54D239C278C60E846D79B"/>
        </w:placeholder>
      </w:sdtPr>
      <w:sdtContent>
        <w:p w14:paraId="6B5318B5">
          <w:pPr>
            <w:pStyle w:val="177"/>
            <w:spacing w:before="3" w:beforeLines="1" w:after="686" w:afterLines="220"/>
          </w:pPr>
          <w:bookmarkStart w:id="24" w:name="NEW_STAND_NAME"/>
          <w:r>
            <w:rPr>
              <w:rFonts w:hint="eastAsia"/>
            </w:rPr>
            <w:t>传染病突发公共卫生事件应急处置技术规范第</w:t>
          </w:r>
          <w:r>
            <w:t>8部分：标本的采集、保存和运输</w:t>
          </w:r>
        </w:p>
      </w:sdtContent>
    </w:sdt>
    <w:bookmarkEnd w:id="24"/>
    <w:p w14:paraId="0DA3B373">
      <w:pPr>
        <w:pStyle w:val="104"/>
        <w:spacing w:before="312" w:after="312"/>
      </w:pPr>
      <w:bookmarkStart w:id="25" w:name="_Toc26718930"/>
      <w:bookmarkStart w:id="26" w:name="_Toc97191423"/>
      <w:bookmarkStart w:id="27" w:name="_Toc26986771"/>
      <w:bookmarkStart w:id="28" w:name="_Toc17233325"/>
      <w:bookmarkStart w:id="29" w:name="_Toc176532541"/>
      <w:bookmarkStart w:id="30" w:name="_Toc26648465"/>
      <w:bookmarkStart w:id="31" w:name="_Toc24884211"/>
      <w:bookmarkStart w:id="32" w:name="_Toc24884218"/>
      <w:bookmarkStart w:id="33" w:name="_Toc26986530"/>
      <w:bookmarkStart w:id="34" w:name="_Toc17233333"/>
      <w:r>
        <w:rPr>
          <w:rFonts w:hint="eastAsia"/>
        </w:rPr>
        <w:t>范围</w:t>
      </w:r>
      <w:bookmarkEnd w:id="25"/>
      <w:bookmarkEnd w:id="26"/>
      <w:bookmarkEnd w:id="27"/>
      <w:bookmarkEnd w:id="28"/>
      <w:bookmarkEnd w:id="29"/>
      <w:bookmarkEnd w:id="30"/>
      <w:bookmarkEnd w:id="31"/>
      <w:bookmarkEnd w:id="32"/>
      <w:bookmarkEnd w:id="33"/>
      <w:bookmarkEnd w:id="34"/>
    </w:p>
    <w:p w14:paraId="08CD5914">
      <w:pPr>
        <w:pStyle w:val="56"/>
        <w:ind w:firstLine="420"/>
      </w:pPr>
      <w:bookmarkStart w:id="35" w:name="_Toc26648466"/>
      <w:bookmarkStart w:id="36" w:name="_Toc17233334"/>
      <w:bookmarkStart w:id="37" w:name="_Toc24884212"/>
      <w:bookmarkStart w:id="38" w:name="_Toc24884219"/>
      <w:bookmarkStart w:id="39" w:name="_Toc17233326"/>
      <w:r>
        <w:rPr>
          <w:rFonts w:hint="eastAsia"/>
        </w:rPr>
        <w:t xml:space="preserve">本文件规定了传染病突发公共卫生事件应急处置中微生物学检验标本的生物安全要求、标本采集前准备、标本采集、标本的保存、运输和交接的技术要求。 </w:t>
      </w:r>
    </w:p>
    <w:p w14:paraId="008222C8">
      <w:pPr>
        <w:pStyle w:val="56"/>
        <w:ind w:firstLine="420"/>
      </w:pPr>
      <w:r>
        <w:rPr>
          <w:rFonts w:hint="eastAsia"/>
        </w:rPr>
        <w:t>本文件适用于各级疾控机构和医疗机构在传染病突发公共卫生事件中开展标本的采集、保存和运输。</w:t>
      </w:r>
    </w:p>
    <w:p w14:paraId="420C3E8D">
      <w:pPr>
        <w:pStyle w:val="104"/>
        <w:spacing w:before="312" w:after="312"/>
      </w:pPr>
      <w:bookmarkStart w:id="40" w:name="_Toc176532542"/>
      <w:bookmarkStart w:id="41" w:name="_Toc26986772"/>
      <w:bookmarkStart w:id="42" w:name="_Toc97191424"/>
      <w:bookmarkStart w:id="43" w:name="_Toc26986531"/>
      <w:bookmarkStart w:id="44" w:name="_Toc26718931"/>
      <w:r>
        <w:rPr>
          <w:rFonts w:hint="eastAsia"/>
        </w:rPr>
        <w:t>规范性引用文件</w:t>
      </w:r>
      <w:bookmarkEnd w:id="35"/>
      <w:bookmarkEnd w:id="36"/>
      <w:bookmarkEnd w:id="37"/>
      <w:bookmarkEnd w:id="38"/>
      <w:bookmarkEnd w:id="39"/>
      <w:bookmarkEnd w:id="40"/>
      <w:bookmarkEnd w:id="41"/>
      <w:bookmarkEnd w:id="42"/>
      <w:bookmarkEnd w:id="43"/>
      <w:bookmarkEnd w:id="44"/>
    </w:p>
    <w:sdt>
      <w:sdtPr>
        <w:rPr>
          <w:rFonts w:hint="eastAsia"/>
        </w:rPr>
        <w:id w:val="715848253"/>
        <w:placeholder>
          <w:docPart w:val="4E871C34D4554A8AAAF9187787088B7B"/>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14:paraId="14534BE4">
          <w:pPr>
            <w:pStyle w:val="5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52AA9899">
      <w:pPr>
        <w:pStyle w:val="56"/>
        <w:ind w:firstLine="420"/>
      </w:pPr>
      <w:r>
        <w:rPr>
          <w:rFonts w:hint="eastAsia"/>
        </w:rPr>
        <w:t>GB19489 实验室生物安全通用标准</w:t>
      </w:r>
    </w:p>
    <w:p w14:paraId="19681272">
      <w:pPr>
        <w:pStyle w:val="56"/>
        <w:ind w:firstLine="420"/>
      </w:pPr>
      <w:r>
        <w:rPr>
          <w:rFonts w:hint="eastAsia"/>
        </w:rPr>
        <w:t>GB/T 5750-2023 生活饮用水标准检测方法</w:t>
      </w:r>
    </w:p>
    <w:p w14:paraId="429E1AAD">
      <w:pPr>
        <w:pStyle w:val="56"/>
        <w:ind w:firstLine="420"/>
      </w:pPr>
      <w:r>
        <w:rPr>
          <w:rFonts w:hint="eastAsia"/>
        </w:rPr>
        <w:t>WS 233-2017 病原微生物实验室生物安全通用准则</w:t>
      </w:r>
    </w:p>
    <w:p w14:paraId="5EF85673">
      <w:pPr>
        <w:pStyle w:val="56"/>
        <w:ind w:firstLine="420"/>
      </w:pPr>
      <w:r>
        <w:rPr>
          <w:rFonts w:hint="eastAsia"/>
        </w:rPr>
        <w:t>WS/T 640-2018 临床微生物学检验标本的采集和转运</w:t>
      </w:r>
    </w:p>
    <w:p w14:paraId="249DB046">
      <w:pPr>
        <w:pStyle w:val="56"/>
        <w:ind w:firstLine="420"/>
      </w:pPr>
      <w:r>
        <w:rPr>
          <w:rFonts w:hint="eastAsia"/>
        </w:rPr>
        <w:t>WS/T 799-2022 污水中新型冠状病毒富集浓缩和核酸检测方法标准</w:t>
      </w:r>
    </w:p>
    <w:p w14:paraId="7C8CB6D9">
      <w:pPr>
        <w:pStyle w:val="56"/>
        <w:ind w:firstLine="420"/>
      </w:pPr>
      <w:r>
        <w:rPr>
          <w:rFonts w:hint="eastAsia"/>
        </w:rPr>
        <w:t>Doc 9284 危险物品航空安全运输技术细则</w:t>
      </w:r>
    </w:p>
    <w:p w14:paraId="1CDE4245">
      <w:pPr>
        <w:pStyle w:val="104"/>
        <w:spacing w:before="312" w:after="312"/>
      </w:pPr>
      <w:bookmarkStart w:id="45" w:name="_Toc97191425"/>
      <w:bookmarkStart w:id="46" w:name="_Toc176532543"/>
      <w:r>
        <w:rPr>
          <w:rFonts w:hint="eastAsia"/>
          <w:szCs w:val="21"/>
        </w:rPr>
        <w:t>术语和定义</w:t>
      </w:r>
      <w:bookmarkEnd w:id="45"/>
      <w:bookmarkEnd w:id="46"/>
    </w:p>
    <w:sdt>
      <w:sdtPr>
        <w:id w:val="-1909835108"/>
        <w:placeholder>
          <w:docPart w:val="6CC35CD40F1C4A559934DA32C9A42BE0"/>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4C33B379">
          <w:pPr>
            <w:pStyle w:val="56"/>
            <w:ind w:firstLine="420"/>
          </w:pPr>
          <w:bookmarkStart w:id="47" w:name="_Toc26986532"/>
          <w:bookmarkEnd w:id="47"/>
          <w:r>
            <w:t>本文件没有需要界定的术语和定义。</w:t>
          </w:r>
        </w:p>
      </w:sdtContent>
    </w:sdt>
    <w:p w14:paraId="78A454B3">
      <w:pPr>
        <w:pStyle w:val="56"/>
        <w:ind w:firstLine="0" w:firstLineChars="0"/>
      </w:pPr>
    </w:p>
    <w:p w14:paraId="00B3D211">
      <w:pPr>
        <w:pStyle w:val="104"/>
        <w:spacing w:before="312" w:after="312"/>
      </w:pPr>
      <w:bookmarkStart w:id="48" w:name="_Toc176532544"/>
      <w:r>
        <w:rPr>
          <w:rFonts w:hint="eastAsia"/>
        </w:rPr>
        <w:t>生物安全要求</w:t>
      </w:r>
      <w:bookmarkEnd w:id="48"/>
    </w:p>
    <w:p w14:paraId="076588D6">
      <w:pPr>
        <w:pStyle w:val="105"/>
        <w:spacing w:before="156" w:after="156"/>
      </w:pPr>
      <w:r>
        <w:rPr>
          <w:rFonts w:hint="eastAsia"/>
        </w:rPr>
        <w:t>个人防护</w:t>
      </w:r>
    </w:p>
    <w:p w14:paraId="53BBFCFE">
      <w:pPr>
        <w:pStyle w:val="56"/>
        <w:ind w:firstLine="0" w:firstLineChars="0"/>
      </w:pPr>
      <w:r>
        <w:rPr>
          <w:rFonts w:hint="eastAsia"/>
        </w:rPr>
        <w:t>4.1.1 实验人员应根据GB19489和风险评估的要求，配备不同类型传染病感染的个人防护装备，包括但不限于防护服、手套、外科口罩或医用防护口罩、防护面屏、防护帽。</w:t>
      </w:r>
    </w:p>
    <w:p w14:paraId="758FDFC9">
      <w:pPr>
        <w:pStyle w:val="56"/>
        <w:ind w:firstLine="0" w:firstLineChars="0"/>
      </w:pPr>
      <w:r>
        <w:rPr>
          <w:rFonts w:hint="eastAsia"/>
        </w:rPr>
        <w:t>4.1.2 个人防护装备宜每隔4h更换一次。在发生意外暴露时，根据应急处置预案采取必要措施。</w:t>
      </w:r>
    </w:p>
    <w:p w14:paraId="650260ED">
      <w:pPr>
        <w:pStyle w:val="56"/>
        <w:ind w:firstLine="0" w:firstLineChars="0"/>
      </w:pPr>
      <w:r>
        <w:rPr>
          <w:rFonts w:hint="eastAsia"/>
        </w:rPr>
        <w:t>4.1.3 采样人员、采样场所、感染性标本处置及消毒灭菌应符合WS 233-2017中的实验室生物安全管理要求。</w:t>
      </w:r>
    </w:p>
    <w:p w14:paraId="6EA3891A">
      <w:pPr>
        <w:pStyle w:val="105"/>
        <w:spacing w:before="156" w:after="156"/>
      </w:pPr>
      <w:r>
        <w:rPr>
          <w:rFonts w:hint="eastAsia"/>
        </w:rPr>
        <w:t>废弃物处理</w:t>
      </w:r>
    </w:p>
    <w:p w14:paraId="29C72758">
      <w:pPr>
        <w:pStyle w:val="165"/>
        <w:numPr>
          <w:ilvl w:val="0"/>
          <w:numId w:val="0"/>
        </w:numPr>
      </w:pPr>
      <w:r>
        <w:rPr>
          <w:rFonts w:hint="eastAsia"/>
        </w:rPr>
        <w:t>4.2.1标本采集过程中产生的医疗废物，包括且不限于一次性使用后废弃的医疗器械、个人防护用品和被患者血液、体液、排泄物污染的废弃物，将上述医疗废弃物除锐器外密封收集于医疗废物包装袋中，锐器需置于锐器桶中，再放入另一层医疗废物包装袋进行双层包装。</w:t>
      </w:r>
    </w:p>
    <w:p w14:paraId="69F0F966">
      <w:pPr>
        <w:pStyle w:val="165"/>
        <w:numPr>
          <w:ilvl w:val="0"/>
          <w:numId w:val="0"/>
        </w:numPr>
      </w:pPr>
      <w:r>
        <w:rPr>
          <w:rFonts w:hint="eastAsia"/>
        </w:rPr>
        <w:t>4.2.2 废弃物密闭后用含有效氯2000mg/L的消毒液对医疗废弃物包装袋外表面喷洒消毒，消毒后移交医疗卫生机构或医疗废物集中处置单位进行集中处置。</w:t>
      </w:r>
    </w:p>
    <w:p w14:paraId="52EEEF86">
      <w:pPr>
        <w:pStyle w:val="165"/>
        <w:numPr>
          <w:ilvl w:val="0"/>
          <w:numId w:val="0"/>
        </w:numPr>
      </w:pPr>
      <w:r>
        <w:rPr>
          <w:rFonts w:hint="eastAsia"/>
        </w:rPr>
        <w:t>4.2.3工作人员全程做好防护，在处理完医疗废弃物后应立即采用75%酒精或速干型手消毒剂进行手消毒，并采用含有效氯2000mg/L的消毒液对采样场所进行喷洒消毒。废弃物处理应有书面记录并存档。</w:t>
      </w:r>
    </w:p>
    <w:p w14:paraId="13F59E0E">
      <w:pPr>
        <w:pStyle w:val="105"/>
        <w:spacing w:before="156" w:after="156"/>
      </w:pPr>
      <w:r>
        <w:rPr>
          <w:rFonts w:hint="eastAsia"/>
        </w:rPr>
        <w:t>标本包装</w:t>
      </w:r>
    </w:p>
    <w:p w14:paraId="14B5C872">
      <w:pPr>
        <w:pStyle w:val="165"/>
      </w:pPr>
      <w:r>
        <w:rPr>
          <w:rFonts w:hint="eastAsia"/>
        </w:rPr>
        <w:t>参考《人间传染的病原微生物目录》、WS233-2017和Doc 9284的要求选择合适的标本包装容器。</w:t>
      </w:r>
    </w:p>
    <w:p w14:paraId="2C840B40">
      <w:pPr>
        <w:pStyle w:val="165"/>
      </w:pPr>
      <w:r>
        <w:rPr>
          <w:rFonts w:hint="eastAsia"/>
        </w:rPr>
        <w:t>航空运输标本，应视情况粘贴Doc 9284中6.2项危险品标签。</w:t>
      </w:r>
    </w:p>
    <w:p w14:paraId="2560BF28">
      <w:pPr>
        <w:pStyle w:val="165"/>
      </w:pPr>
      <w:r>
        <w:rPr>
          <w:rFonts w:hint="eastAsia"/>
        </w:rPr>
        <w:t>陆路运输标本包装标签和标记可参照航空运检要求。</w:t>
      </w:r>
    </w:p>
    <w:p w14:paraId="6A0AA16E">
      <w:pPr>
        <w:pStyle w:val="104"/>
        <w:spacing w:before="312" w:after="312"/>
      </w:pPr>
      <w:bookmarkStart w:id="49" w:name="_Toc176532545"/>
      <w:r>
        <w:rPr>
          <w:rFonts w:hint="eastAsia"/>
        </w:rPr>
        <w:t>采集前准备</w:t>
      </w:r>
      <w:bookmarkEnd w:id="49"/>
    </w:p>
    <w:p w14:paraId="37247F7D">
      <w:pPr>
        <w:pStyle w:val="105"/>
        <w:spacing w:before="156" w:after="156"/>
      </w:pPr>
      <w:r>
        <w:rPr>
          <w:rFonts w:hint="eastAsia"/>
        </w:rPr>
        <w:t>标本采集方案制定</w:t>
      </w:r>
    </w:p>
    <w:p w14:paraId="56EA15F6">
      <w:pPr>
        <w:pStyle w:val="165"/>
      </w:pPr>
      <w:r>
        <w:rPr>
          <w:rFonts w:hint="eastAsia"/>
        </w:rPr>
        <w:t>标本采集机构应有用于处理标本采集请求的程序，该程序包括书面和口头采样要求，根据现场流行病学调查纳入疑似病例，筛选符合五大症候群采样要求的对象进行采样，标本采样方案流程图见图1。</w:t>
      </w:r>
    </w:p>
    <w:p w14:paraId="2DAD02DE">
      <w:pPr>
        <w:pStyle w:val="165"/>
        <w:numPr>
          <w:ilvl w:val="0"/>
          <w:numId w:val="0"/>
        </w:numPr>
        <w:jc w:val="center"/>
      </w:pPr>
      <w:r>
        <w:drawing>
          <wp:inline distT="0" distB="0" distL="0" distR="0">
            <wp:extent cx="3817620" cy="4742815"/>
            <wp:effectExtent l="0" t="0" r="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824910" cy="4752496"/>
                    </a:xfrm>
                    <a:prstGeom prst="rect">
                      <a:avLst/>
                    </a:prstGeom>
                    <a:noFill/>
                  </pic:spPr>
                </pic:pic>
              </a:graphicData>
            </a:graphic>
          </wp:inline>
        </w:drawing>
      </w:r>
    </w:p>
    <w:p w14:paraId="7C44D279">
      <w:pPr>
        <w:pStyle w:val="165"/>
        <w:numPr>
          <w:ilvl w:val="0"/>
          <w:numId w:val="0"/>
        </w:numPr>
        <w:jc w:val="center"/>
        <w:rPr>
          <w:b/>
        </w:rPr>
      </w:pPr>
      <w:r>
        <w:rPr>
          <w:rFonts w:hint="eastAsia"/>
          <w:b/>
        </w:rPr>
        <w:t>图1 标本采样方案流程图</w:t>
      </w:r>
    </w:p>
    <w:p w14:paraId="505CCD8F">
      <w:pPr>
        <w:pStyle w:val="165"/>
        <w:numPr>
          <w:ilvl w:val="0"/>
          <w:numId w:val="0"/>
        </w:numPr>
        <w:ind w:firstLine="1680" w:firstLineChars="800"/>
        <w:jc w:val="left"/>
      </w:pPr>
    </w:p>
    <w:p w14:paraId="691BB477">
      <w:pPr>
        <w:pStyle w:val="165"/>
        <w:jc w:val="left"/>
      </w:pPr>
      <w:r>
        <w:rPr>
          <w:rFonts w:hint="eastAsia"/>
        </w:rPr>
        <w:t>标本采集前应该明确以下内容：</w:t>
      </w:r>
    </w:p>
    <w:p w14:paraId="7EA4A080">
      <w:pPr>
        <w:pStyle w:val="165"/>
        <w:numPr>
          <w:ilvl w:val="0"/>
          <w:numId w:val="0"/>
        </w:numPr>
        <w:ind w:firstLine="420" w:firstLineChars="200"/>
      </w:pPr>
      <w:r>
        <w:rPr>
          <w:rFonts w:hint="eastAsia"/>
        </w:rPr>
        <w:t>a)根据流行病学特征初步怀疑病原方向，拟定检测项目。</w:t>
      </w:r>
    </w:p>
    <w:p w14:paraId="3EC9DB25">
      <w:pPr>
        <w:pStyle w:val="165"/>
        <w:numPr>
          <w:ilvl w:val="0"/>
          <w:numId w:val="0"/>
        </w:numPr>
        <w:ind w:firstLine="420" w:firstLineChars="200"/>
        <w:jc w:val="left"/>
      </w:pPr>
      <w:r>
        <w:rPr>
          <w:rFonts w:hint="eastAsia"/>
        </w:rPr>
        <w:t>b)标本类型。</w:t>
      </w:r>
    </w:p>
    <w:p w14:paraId="5A542417">
      <w:pPr>
        <w:pStyle w:val="165"/>
        <w:numPr>
          <w:ilvl w:val="0"/>
          <w:numId w:val="0"/>
        </w:numPr>
        <w:ind w:firstLine="420" w:firstLineChars="200"/>
        <w:jc w:val="left"/>
      </w:pPr>
      <w:r>
        <w:rPr>
          <w:rFonts w:hint="eastAsia"/>
        </w:rPr>
        <w:t>c)采集方法。</w:t>
      </w:r>
    </w:p>
    <w:p w14:paraId="5FCE0E2D">
      <w:pPr>
        <w:pStyle w:val="165"/>
        <w:numPr>
          <w:ilvl w:val="0"/>
          <w:numId w:val="0"/>
        </w:numPr>
        <w:ind w:firstLine="420" w:firstLineChars="200"/>
        <w:jc w:val="left"/>
      </w:pPr>
      <w:r>
        <w:rPr>
          <w:rFonts w:hint="eastAsia"/>
        </w:rPr>
        <w:t>d)标本采集转运所需要的耗材、装置/容器和转运培养基。</w:t>
      </w:r>
    </w:p>
    <w:p w14:paraId="7800C884">
      <w:pPr>
        <w:pStyle w:val="165"/>
        <w:numPr>
          <w:ilvl w:val="0"/>
          <w:numId w:val="0"/>
        </w:numPr>
        <w:ind w:firstLine="420" w:firstLineChars="200"/>
        <w:jc w:val="left"/>
      </w:pPr>
      <w:r>
        <w:rPr>
          <w:rFonts w:hint="eastAsia"/>
        </w:rPr>
        <w:t>e)转运时限、储存条件。</w:t>
      </w:r>
    </w:p>
    <w:p w14:paraId="4A7B3D37">
      <w:pPr>
        <w:pStyle w:val="165"/>
        <w:jc w:val="left"/>
      </w:pPr>
      <w:r>
        <w:rPr>
          <w:rFonts w:hint="eastAsia"/>
        </w:rPr>
        <w:t>根据初步检测结果，如有需要可根据病原体种类对病毒或者细菌采用特殊培养基或采样液进行针对性采样，以进一步明确病原体。</w:t>
      </w:r>
    </w:p>
    <w:p w14:paraId="7EE42208">
      <w:pPr>
        <w:pStyle w:val="165"/>
        <w:jc w:val="left"/>
      </w:pPr>
      <w:r>
        <w:rPr>
          <w:rFonts w:hint="eastAsia"/>
        </w:rPr>
        <w:t>对采样信息进行收集整理，包括不限于：标本名称、标本类型、标本采集日期和时间、病例姓名、病例性别、病例年龄或出生日期、临床诊断及主要临床表现、采样单位、采样单位联系人及联系方式、检验项目和病例联系电话(适用时)。</w:t>
      </w:r>
    </w:p>
    <w:p w14:paraId="0315F3AB">
      <w:pPr>
        <w:pStyle w:val="165"/>
      </w:pPr>
      <w:r>
        <w:rPr>
          <w:rFonts w:hint="eastAsia"/>
        </w:rPr>
        <w:t>采样机构应有标本采集方法、采样信息填报、预防和控制感染、记录任何偏差的程序，有发生生物安全意外事故（如采集咽拭子时发生受检者呕吐、采集标本时发生喷溅）的应急处置程序和应急演练；采样机构应按照程序要求备齐标本采集材料。</w:t>
      </w:r>
    </w:p>
    <w:p w14:paraId="03CD06A0">
      <w:pPr>
        <w:pStyle w:val="104"/>
        <w:spacing w:before="312" w:after="312"/>
      </w:pPr>
      <w:bookmarkStart w:id="50" w:name="_Toc176532546"/>
      <w:r>
        <w:rPr>
          <w:rFonts w:hint="eastAsia"/>
        </w:rPr>
        <w:t>标本采集</w:t>
      </w:r>
      <w:bookmarkEnd w:id="50"/>
    </w:p>
    <w:p w14:paraId="07561C3E">
      <w:pPr>
        <w:pStyle w:val="105"/>
        <w:spacing w:before="156" w:after="156"/>
      </w:pPr>
      <w:r>
        <w:rPr>
          <w:rFonts w:hint="eastAsia"/>
        </w:rPr>
        <w:t>一般要求</w:t>
      </w:r>
    </w:p>
    <w:p w14:paraId="5680B0B6">
      <w:pPr>
        <w:pStyle w:val="165"/>
      </w:pPr>
      <w:r>
        <w:rPr>
          <w:rFonts w:hint="eastAsia"/>
        </w:rPr>
        <w:t>从事标本采集的技术人员应具备相应的采样技能并经过生物安全培训。</w:t>
      </w:r>
    </w:p>
    <w:p w14:paraId="25240906">
      <w:pPr>
        <w:pStyle w:val="165"/>
      </w:pPr>
      <w:r>
        <w:rPr>
          <w:rFonts w:hint="eastAsia"/>
        </w:rPr>
        <w:t>宜在发病早期和抗生素/抗病毒药物使用前采集标本。针对不同病原体采用相应标本的保存液。对已使用了抗生素/抗病毒药物的患者，采集后的标本宜使用相关的中和液进行处理。</w:t>
      </w:r>
    </w:p>
    <w:p w14:paraId="3E289467">
      <w:pPr>
        <w:pStyle w:val="165"/>
      </w:pPr>
      <w:r>
        <w:rPr>
          <w:rFonts w:hint="eastAsia"/>
        </w:rPr>
        <w:t>根据症候群和检测项目结合患者病程的不同阶段采集不同标本。对于血液、脑脊液、胸腔积液、腹水、组织活检和尸检标本的采集,应无菌操作。</w:t>
      </w:r>
    </w:p>
    <w:p w14:paraId="12F07EE6">
      <w:pPr>
        <w:pStyle w:val="165"/>
      </w:pPr>
      <w:r>
        <w:rPr>
          <w:rFonts w:hint="eastAsia"/>
        </w:rPr>
        <w:t>标本采集时应对标本信息进行登记并填写样品送检单。</w:t>
      </w:r>
    </w:p>
    <w:p w14:paraId="2BEE7537">
      <w:pPr>
        <w:pStyle w:val="165"/>
      </w:pPr>
      <w:r>
        <w:rPr>
          <w:rFonts w:hint="eastAsia"/>
        </w:rPr>
        <w:t>应使用可靠的标记方法，包括但不限于耐冻记号笔、耐冻标签。</w:t>
      </w:r>
    </w:p>
    <w:p w14:paraId="6324A9E6">
      <w:pPr>
        <w:pStyle w:val="165"/>
      </w:pPr>
      <w:r>
        <w:rPr>
          <w:rFonts w:hint="eastAsia"/>
        </w:rPr>
        <w:t>标识内容具有唯一性并与采样记录表格一一对应。</w:t>
      </w:r>
    </w:p>
    <w:p w14:paraId="4F467288">
      <w:pPr>
        <w:pStyle w:val="105"/>
        <w:spacing w:before="156" w:after="156"/>
      </w:pPr>
      <w:r>
        <w:rPr>
          <w:rFonts w:hint="eastAsia"/>
        </w:rPr>
        <w:t>标本类型</w:t>
      </w:r>
    </w:p>
    <w:p w14:paraId="42C41BE5">
      <w:pPr>
        <w:pStyle w:val="165"/>
      </w:pPr>
      <w:r>
        <w:rPr>
          <w:rFonts w:hint="eastAsia"/>
        </w:rPr>
        <w:t>基于症候群的病原体快速筛查方法确定采集标本类型。各症候群主要病原体及需要采集的标本见附录A中表A</w:t>
      </w:r>
      <w:r>
        <w:t>.1</w:t>
      </w:r>
      <w:r>
        <w:rPr>
          <w:rFonts w:hint="eastAsia"/>
        </w:rPr>
        <w:t>。</w:t>
      </w:r>
    </w:p>
    <w:p w14:paraId="132A859E">
      <w:pPr>
        <w:pStyle w:val="105"/>
        <w:spacing w:before="156" w:after="156"/>
      </w:pPr>
      <w:r>
        <w:rPr>
          <w:rFonts w:hint="eastAsia"/>
        </w:rPr>
        <w:t>标本采集方法</w:t>
      </w:r>
    </w:p>
    <w:p w14:paraId="3FD3D07A">
      <w:pPr>
        <w:pStyle w:val="165"/>
        <w:numPr>
          <w:ilvl w:val="0"/>
          <w:numId w:val="0"/>
        </w:numPr>
      </w:pPr>
      <w:r>
        <w:rPr>
          <w:rFonts w:hint="eastAsia"/>
        </w:rPr>
        <w:t>各标本采集方法注意事项见附录中表</w:t>
      </w:r>
      <w:r>
        <w:t>B.1。</w:t>
      </w:r>
    </w:p>
    <w:p w14:paraId="6147AA46">
      <w:pPr>
        <w:pStyle w:val="104"/>
        <w:spacing w:before="312" w:after="312"/>
      </w:pPr>
      <w:bookmarkStart w:id="51" w:name="_Toc176532547"/>
      <w:r>
        <w:rPr>
          <w:rFonts w:hint="eastAsia"/>
        </w:rPr>
        <w:t>标本保存、运输和交接</w:t>
      </w:r>
      <w:bookmarkEnd w:id="51"/>
    </w:p>
    <w:p w14:paraId="626319EB">
      <w:pPr>
        <w:pStyle w:val="105"/>
        <w:spacing w:before="156" w:after="156"/>
      </w:pPr>
      <w:r>
        <w:rPr>
          <w:rFonts w:hint="eastAsia"/>
        </w:rPr>
        <w:t>保存运输</w:t>
      </w:r>
    </w:p>
    <w:p w14:paraId="1E01185E">
      <w:pPr>
        <w:pStyle w:val="165"/>
      </w:pPr>
      <w:r>
        <w:rPr>
          <w:rFonts w:hint="eastAsia"/>
        </w:rPr>
        <w:t>根据病例流行病学特征进行标本采集前，应当明确某些特殊病原体的保存和转运方法，以保证采样人员和标本运送人员能获得有关标本的准确信息。</w:t>
      </w:r>
    </w:p>
    <w:p w14:paraId="41BF30FA">
      <w:pPr>
        <w:pStyle w:val="165"/>
      </w:pPr>
      <w:r>
        <w:rPr>
          <w:rFonts w:hint="eastAsia"/>
        </w:rPr>
        <w:t>标本的保存和运输应由经过培训的专人负责。提前评估剧烈震荡和温度对检验结果产生的影响，并采取干预措施。标本采集后，在规定时间内运达实验室，并尽可能缩短转运时间。</w:t>
      </w:r>
    </w:p>
    <w:p w14:paraId="096B4E0F">
      <w:pPr>
        <w:pStyle w:val="165"/>
      </w:pPr>
      <w:r>
        <w:rPr>
          <w:rFonts w:hint="eastAsia"/>
        </w:rPr>
        <w:t>用于细菌学检验的标本：</w:t>
      </w:r>
    </w:p>
    <w:p w14:paraId="133D7D2E">
      <w:pPr>
        <w:pStyle w:val="165"/>
        <w:numPr>
          <w:ilvl w:val="0"/>
          <w:numId w:val="0"/>
        </w:numPr>
        <w:ind w:firstLine="420" w:firstLineChars="200"/>
      </w:pPr>
      <w:r>
        <w:rPr>
          <w:rFonts w:hint="eastAsia"/>
        </w:rPr>
        <w:t>a) 用于普通细菌学检验的标本宜在2 h内送至实验室。若转运时间超过2 h，宜使用转运培养基转运；用于细菌培养的标本室温下保存不能超过 24 h；用于血培养的标本不能冷藏转运；仅用于分子诊断的标本，宜冷藏或冷冻保存（-70 ℃以下最佳，避免反复冻融）。</w:t>
      </w:r>
    </w:p>
    <w:p w14:paraId="6B6AE124">
      <w:pPr>
        <w:pStyle w:val="165"/>
        <w:numPr>
          <w:ilvl w:val="0"/>
          <w:numId w:val="0"/>
        </w:numPr>
        <w:ind w:firstLine="420" w:firstLineChars="200"/>
      </w:pPr>
      <w:r>
        <w:rPr>
          <w:rFonts w:hint="eastAsia"/>
        </w:rPr>
        <w:t>b)对环境敏感的细菌标本采集后立即送检。对周围环境敏感的细菌包括但不限于百日咳鲍特菌、志贺菌属、淋病奈瑟菌、脑膜炎奈瑟菌、流感嗜血杆菌、肺炎链球菌和厌氧菌。</w:t>
      </w:r>
    </w:p>
    <w:p w14:paraId="39673B7D">
      <w:pPr>
        <w:pStyle w:val="165"/>
        <w:numPr>
          <w:ilvl w:val="0"/>
          <w:numId w:val="0"/>
        </w:numPr>
        <w:ind w:firstLine="420" w:firstLineChars="200"/>
      </w:pPr>
      <w:r>
        <w:rPr>
          <w:rFonts w:hint="eastAsia"/>
        </w:rPr>
        <w:t>c) 对低温敏感的细菌标本采集后不宜冷藏。对低温敏感的细菌包括但不限于脑膜炎奈瑟菌、流感嗜血杆菌和肺炎链球菌。标本应注意立即保温运送（不可超过8h）。</w:t>
      </w:r>
    </w:p>
    <w:p w14:paraId="0D4B753A">
      <w:pPr>
        <w:pStyle w:val="165"/>
        <w:numPr>
          <w:ilvl w:val="0"/>
          <w:numId w:val="0"/>
        </w:numPr>
        <w:ind w:firstLine="420" w:firstLineChars="200"/>
      </w:pPr>
      <w:r>
        <w:rPr>
          <w:rFonts w:hint="eastAsia"/>
        </w:rPr>
        <w:t>d) 用于厌氧菌培养的标本在常温下转运，宜在采集后 30 min 内送至实验室，转运过程中标本隔绝空气。</w:t>
      </w:r>
    </w:p>
    <w:p w14:paraId="1206BBFF">
      <w:pPr>
        <w:pStyle w:val="165"/>
      </w:pPr>
      <w:r>
        <w:rPr>
          <w:rFonts w:hint="eastAsia"/>
        </w:rPr>
        <w:t xml:space="preserve">用于病毒学检验的标本： </w:t>
      </w:r>
    </w:p>
    <w:p w14:paraId="5A97B59E">
      <w:pPr>
        <w:pStyle w:val="165"/>
        <w:numPr>
          <w:ilvl w:val="0"/>
          <w:numId w:val="0"/>
        </w:numPr>
        <w:ind w:firstLine="420" w:firstLineChars="200"/>
      </w:pPr>
      <w:r>
        <w:rPr>
          <w:rFonts w:hint="eastAsia"/>
        </w:rPr>
        <w:t xml:space="preserve">a) 用于病毒核酸检验的标本：采集后在 2 h～4 h 内送至实验室。血液标本室温运送，其他标本在2 ℃～8 ℃下转运；若运送时间超过 24 h，标本宜在-70 ℃或更低的温度下保存和转运。 </w:t>
      </w:r>
    </w:p>
    <w:p w14:paraId="102856F5">
      <w:pPr>
        <w:pStyle w:val="165"/>
        <w:numPr>
          <w:ilvl w:val="0"/>
          <w:numId w:val="0"/>
        </w:numPr>
        <w:ind w:firstLine="420" w:firstLineChars="200"/>
      </w:pPr>
      <w:r>
        <w:rPr>
          <w:rFonts w:hint="eastAsia"/>
        </w:rPr>
        <w:t>b) 用于病毒培养和抗原检验的标本在运送过程中宜保存在适当的病毒转运液或其他相应的缓冲液中。</w:t>
      </w:r>
    </w:p>
    <w:p w14:paraId="37FED3FA">
      <w:pPr>
        <w:pStyle w:val="165"/>
        <w:numPr>
          <w:ilvl w:val="0"/>
          <w:numId w:val="0"/>
        </w:numPr>
        <w:ind w:firstLine="420" w:firstLineChars="200"/>
      </w:pPr>
      <w:r>
        <w:rPr>
          <w:rFonts w:hint="eastAsia"/>
        </w:rPr>
        <w:t>c) 液体标本包括但不限于血液、脑脊液、尿液和支气管肺泡灌洗液可直接送检，不需使用转运培养基。</w:t>
      </w:r>
    </w:p>
    <w:p w14:paraId="7263D59F">
      <w:pPr>
        <w:pStyle w:val="165"/>
      </w:pPr>
      <w:r>
        <w:rPr>
          <w:rFonts w:hint="eastAsia"/>
        </w:rPr>
        <w:t>用于真菌培养的标本（除头发、皮肤和指甲宜干燥送检外），宜湿润条件下送检。</w:t>
      </w:r>
    </w:p>
    <w:p w14:paraId="2BCB94E5">
      <w:pPr>
        <w:pStyle w:val="165"/>
      </w:pPr>
      <w:r>
        <w:rPr>
          <w:rFonts w:hint="eastAsia"/>
        </w:rPr>
        <w:t>根据WS/T 640-2018当标本需要进行多种微生物学检验（包括但不限于病毒检测、细菌检测和真菌检测）时，选择合适的采样拭子、转运培养基、培养液，分别采样并将标本保存于合适的保存液及容器中。</w:t>
      </w:r>
    </w:p>
    <w:p w14:paraId="6B9FF818">
      <w:pPr>
        <w:pStyle w:val="165"/>
      </w:pPr>
      <w:r>
        <w:rPr>
          <w:rFonts w:hint="eastAsia"/>
        </w:rPr>
        <w:t>疑似高致病性标本运输由专人专车护送。任何单位及个人不得通过公共交通工具运输。运输过程应保留完整的文件记录，保证可回顾 、可溯源。运输过程中应保护被采样者个人信息不被泄露。运送者至少为两人，应接受培训，经考核合格后方可上岗。</w:t>
      </w:r>
    </w:p>
    <w:p w14:paraId="558D8A14">
      <w:pPr>
        <w:pStyle w:val="165"/>
      </w:pPr>
      <w:r>
        <w:rPr>
          <w:rFonts w:hint="eastAsia"/>
        </w:rPr>
        <w:t>用于分子诊断的样本或分离的毒株宜于-70 ℃以下长期保存，避免反复冻融。对样本中分离到菌株短期采用甘油冻存，长期宜进行冻干保存。所有采集到的传染性样本应保存于规范的样本库中，双人双锁管理。</w:t>
      </w:r>
    </w:p>
    <w:p w14:paraId="3ECDD284">
      <w:pPr>
        <w:pStyle w:val="105"/>
        <w:spacing w:before="156" w:after="156"/>
      </w:pPr>
      <w:r>
        <w:rPr>
          <w:rFonts w:hint="eastAsia"/>
        </w:rPr>
        <w:t>交接</w:t>
      </w:r>
    </w:p>
    <w:p w14:paraId="505F1873">
      <w:pPr>
        <w:pStyle w:val="165"/>
      </w:pPr>
      <w:r>
        <w:rPr>
          <w:rFonts w:hint="eastAsia"/>
        </w:rPr>
        <w:t>标本在运输送达后包装的开启，应当在符合生物安全规定的场所中进行。标本交接的质量控制要做到以下几点：</w:t>
      </w:r>
    </w:p>
    <w:p w14:paraId="24E0A0AE">
      <w:pPr>
        <w:pStyle w:val="165"/>
        <w:numPr>
          <w:ilvl w:val="0"/>
          <w:numId w:val="0"/>
        </w:numPr>
        <w:ind w:firstLine="420" w:firstLineChars="200"/>
      </w:pPr>
      <w:r>
        <w:rPr>
          <w:rFonts w:hint="eastAsia"/>
        </w:rPr>
        <w:t>a)核查标本质量：标本的基本性状需符合要求，记录有无严重溶血、微生物污染、血脂过多以及黄疸等情况；对照病人发病时间,检查标本种类应与病程相符合、送样是否及时；判断标本取材是否正确、是否采用合适容器、送样过程是否提供标本适宜条件。</w:t>
      </w:r>
    </w:p>
    <w:p w14:paraId="72D22F06">
      <w:pPr>
        <w:pStyle w:val="165"/>
        <w:numPr>
          <w:ilvl w:val="0"/>
          <w:numId w:val="0"/>
        </w:numPr>
        <w:ind w:firstLine="420" w:firstLineChars="200"/>
      </w:pPr>
      <w:r>
        <w:rPr>
          <w:rFonts w:hint="eastAsia"/>
        </w:rPr>
        <w:t>b)核对标本信息：观察标本上是否有标识，字迹是否能辦认,标本信息与送检单是否一致。</w:t>
      </w:r>
    </w:p>
    <w:p w14:paraId="19719139">
      <w:pPr>
        <w:pStyle w:val="165"/>
        <w:numPr>
          <w:ilvl w:val="0"/>
          <w:numId w:val="0"/>
        </w:numPr>
        <w:ind w:firstLine="420" w:firstLineChars="200"/>
      </w:pPr>
      <w:r>
        <w:rPr>
          <w:rFonts w:hint="eastAsia"/>
        </w:rPr>
        <w:t>c)保留纸质记录：填写标本接收单与回执单，并注明交接时间、双方姓名和联系方式。</w:t>
      </w:r>
    </w:p>
    <w:p w14:paraId="245DA145">
      <w:pPr>
        <w:pStyle w:val="165"/>
        <w:numPr>
          <w:ilvl w:val="0"/>
          <w:numId w:val="0"/>
        </w:numPr>
        <w:ind w:firstLine="420" w:firstLineChars="200"/>
      </w:pPr>
      <w:r>
        <w:rPr>
          <w:rFonts w:hint="eastAsia"/>
        </w:rPr>
        <w:t>d)妥善处置不合格标本：如样品污染或其他原因认为样品不合格,应安全废弃；与送样人交接时填写标本拒收单，写明标本拒收原因，并及时补充采集标本。</w:t>
      </w:r>
    </w:p>
    <w:p w14:paraId="099864D4">
      <w:pPr>
        <w:pStyle w:val="165"/>
        <w:numPr>
          <w:ilvl w:val="0"/>
          <w:numId w:val="0"/>
        </w:numPr>
      </w:pPr>
    </w:p>
    <w:p w14:paraId="4BE77809">
      <w:pPr>
        <w:pStyle w:val="165"/>
        <w:numPr>
          <w:ilvl w:val="0"/>
          <w:numId w:val="0"/>
        </w:numPr>
        <w:sectPr>
          <w:pgSz w:w="11906" w:h="16838"/>
          <w:pgMar w:top="1928" w:right="1134" w:bottom="1134" w:left="1134" w:header="1418" w:footer="1134" w:gutter="284"/>
          <w:pgNumType w:start="1"/>
          <w:cols w:space="425" w:num="1"/>
          <w:formProt w:val="0"/>
          <w:docGrid w:type="lines" w:linePitch="312" w:charSpace="0"/>
        </w:sectPr>
      </w:pPr>
    </w:p>
    <w:bookmarkEnd w:id="23"/>
    <w:p w14:paraId="2FC38916">
      <w:pPr>
        <w:pStyle w:val="198"/>
        <w:rPr>
          <w:vanish w:val="0"/>
        </w:rPr>
      </w:pPr>
      <w:bookmarkStart w:id="52" w:name="BookMark5"/>
    </w:p>
    <w:p w14:paraId="4313972A">
      <w:pPr>
        <w:pStyle w:val="199"/>
        <w:rPr>
          <w:vanish w:val="0"/>
        </w:rPr>
      </w:pPr>
    </w:p>
    <w:p w14:paraId="4D00EF59">
      <w:pPr>
        <w:pStyle w:val="76"/>
        <w:spacing w:after="156"/>
      </w:pPr>
      <w:r>
        <w:br w:type="textWrapping"/>
      </w:r>
      <w:bookmarkStart w:id="53" w:name="_Toc176532548"/>
      <w:r>
        <w:rPr>
          <w:rFonts w:hint="eastAsia"/>
        </w:rPr>
        <w:t>（资料性）</w:t>
      </w:r>
      <w:r>
        <w:br w:type="textWrapping"/>
      </w:r>
      <w:r>
        <w:rPr>
          <w:rFonts w:hint="eastAsia"/>
        </w:rPr>
        <w:t>各症候群对应病原体及标本类型</w:t>
      </w:r>
      <w:bookmarkEnd w:id="53"/>
    </w:p>
    <w:p w14:paraId="1F71880C">
      <w:pPr>
        <w:pStyle w:val="56"/>
        <w:ind w:firstLine="840" w:firstLineChars="400"/>
      </w:pPr>
      <w:r>
        <w:rPr>
          <w:rFonts w:hint="eastAsia"/>
        </w:rPr>
        <w:t>各症候群对应病原体及标本类型见表A</w:t>
      </w:r>
      <w:r>
        <w:t>.1</w:t>
      </w:r>
    </w:p>
    <w:p w14:paraId="010C633A">
      <w:pPr>
        <w:pStyle w:val="56"/>
        <w:ind w:firstLine="840" w:firstLineChars="400"/>
      </w:pPr>
    </w:p>
    <w:tbl>
      <w:tblPr>
        <w:tblStyle w:val="230"/>
        <w:tblW w:w="921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719"/>
        <w:gridCol w:w="2268"/>
        <w:gridCol w:w="2823"/>
        <w:gridCol w:w="1430"/>
        <w:gridCol w:w="1972"/>
      </w:tblGrid>
      <w:tr w14:paraId="59DB8B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9212" w:type="dxa"/>
            <w:gridSpan w:val="5"/>
            <w:tcBorders>
              <w:top w:val="nil"/>
              <w:left w:val="nil"/>
              <w:bottom w:val="single" w:color="auto" w:sz="4" w:space="0"/>
              <w:right w:val="nil"/>
            </w:tcBorders>
            <w:vAlign w:val="center"/>
          </w:tcPr>
          <w:p w14:paraId="1EAF6327">
            <w:pPr>
              <w:pStyle w:val="56"/>
              <w:ind w:firstLine="422"/>
              <w:jc w:val="center"/>
              <w:rPr>
                <w:rFonts w:hAnsi="宋体" w:eastAsia="Times New Roman" w:cs="宋体"/>
                <w:sz w:val="18"/>
                <w:szCs w:val="18"/>
              </w:rPr>
            </w:pPr>
            <w:r>
              <w:rPr>
                <w:rFonts w:hint="eastAsia" w:eastAsia="Times New Roman"/>
                <w:b/>
              </w:rPr>
              <w:t>表A</w:t>
            </w:r>
            <w:r>
              <w:rPr>
                <w:rFonts w:eastAsia="Times New Roman"/>
                <w:b/>
              </w:rPr>
              <w:t>.1</w:t>
            </w:r>
            <w:r>
              <w:rPr>
                <w:rFonts w:hint="eastAsia" w:eastAsia="Times New Roman"/>
                <w:b/>
              </w:rPr>
              <w:t>各症候群对应病原体及标本类型</w:t>
            </w:r>
          </w:p>
        </w:tc>
      </w:tr>
      <w:tr w14:paraId="15BC77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719" w:type="dxa"/>
            <w:tcBorders>
              <w:top w:val="single" w:color="auto" w:sz="4" w:space="0"/>
              <w:left w:val="single" w:color="auto" w:sz="8" w:space="0"/>
              <w:bottom w:val="single" w:color="auto" w:sz="8" w:space="0"/>
              <w:right w:val="single" w:color="auto" w:sz="4" w:space="0"/>
            </w:tcBorders>
            <w:vAlign w:val="center"/>
          </w:tcPr>
          <w:p w14:paraId="678333C0">
            <w:pPr>
              <w:jc w:val="center"/>
              <w:rPr>
                <w:rFonts w:ascii="宋体" w:hAnsi="宋体" w:eastAsia="Times New Roman"/>
                <w:kern w:val="0"/>
                <w:sz w:val="18"/>
                <w:szCs w:val="18"/>
              </w:rPr>
            </w:pPr>
            <w:r>
              <w:rPr>
                <w:rFonts w:hint="eastAsia" w:ascii="宋体" w:hAnsi="宋体" w:eastAsia="Times New Roman" w:cs="宋体"/>
                <w:sz w:val="18"/>
                <w:szCs w:val="18"/>
              </w:rPr>
              <w:t>症候群</w:t>
            </w:r>
          </w:p>
        </w:tc>
        <w:tc>
          <w:tcPr>
            <w:tcW w:w="2268" w:type="dxa"/>
            <w:tcBorders>
              <w:top w:val="single" w:color="auto" w:sz="4" w:space="0"/>
              <w:left w:val="single" w:color="auto" w:sz="4" w:space="0"/>
              <w:bottom w:val="single" w:color="auto" w:sz="8" w:space="0"/>
              <w:right w:val="single" w:color="auto" w:sz="4" w:space="0"/>
            </w:tcBorders>
            <w:vAlign w:val="center"/>
          </w:tcPr>
          <w:p w14:paraId="740B3B14">
            <w:pPr>
              <w:jc w:val="center"/>
              <w:rPr>
                <w:rFonts w:ascii="宋体" w:hAnsi="宋体" w:eastAsia="Times New Roman"/>
                <w:sz w:val="18"/>
                <w:szCs w:val="18"/>
              </w:rPr>
            </w:pPr>
            <w:r>
              <w:rPr>
                <w:rFonts w:hint="eastAsia" w:ascii="宋体" w:hAnsi="宋体" w:eastAsia="Times New Roman" w:cs="宋体"/>
                <w:sz w:val="18"/>
                <w:szCs w:val="18"/>
              </w:rPr>
              <w:t>病毒类</w:t>
            </w:r>
          </w:p>
        </w:tc>
        <w:tc>
          <w:tcPr>
            <w:tcW w:w="2823" w:type="dxa"/>
            <w:tcBorders>
              <w:top w:val="single" w:color="auto" w:sz="4" w:space="0"/>
              <w:left w:val="single" w:color="auto" w:sz="4" w:space="0"/>
              <w:bottom w:val="single" w:color="auto" w:sz="8" w:space="0"/>
              <w:right w:val="single" w:color="auto" w:sz="4" w:space="0"/>
            </w:tcBorders>
            <w:vAlign w:val="center"/>
          </w:tcPr>
          <w:p w14:paraId="39D50BE6">
            <w:pPr>
              <w:jc w:val="center"/>
              <w:rPr>
                <w:rFonts w:ascii="宋体" w:hAnsi="宋体" w:eastAsia="Times New Roman"/>
                <w:sz w:val="18"/>
                <w:szCs w:val="18"/>
              </w:rPr>
            </w:pPr>
            <w:r>
              <w:rPr>
                <w:rFonts w:hint="eastAsia" w:ascii="宋体" w:hAnsi="宋体" w:eastAsia="Times New Roman" w:cs="宋体"/>
                <w:sz w:val="18"/>
                <w:szCs w:val="18"/>
              </w:rPr>
              <w:t>细菌类</w:t>
            </w:r>
          </w:p>
        </w:tc>
        <w:tc>
          <w:tcPr>
            <w:tcW w:w="1430" w:type="dxa"/>
            <w:tcBorders>
              <w:top w:val="single" w:color="auto" w:sz="4" w:space="0"/>
              <w:left w:val="single" w:color="auto" w:sz="4" w:space="0"/>
              <w:bottom w:val="single" w:color="auto" w:sz="8" w:space="0"/>
              <w:right w:val="single" w:color="auto" w:sz="4" w:space="0"/>
            </w:tcBorders>
            <w:vAlign w:val="center"/>
          </w:tcPr>
          <w:p w14:paraId="4C68D6BA">
            <w:pPr>
              <w:jc w:val="center"/>
              <w:rPr>
                <w:rFonts w:ascii="宋体" w:hAnsi="宋体" w:eastAsia="Times New Roman"/>
                <w:sz w:val="18"/>
                <w:szCs w:val="18"/>
              </w:rPr>
            </w:pPr>
            <w:r>
              <w:rPr>
                <w:rFonts w:hint="eastAsia" w:ascii="宋体" w:hAnsi="宋体" w:eastAsia="Times New Roman" w:cs="宋体"/>
                <w:sz w:val="18"/>
                <w:szCs w:val="18"/>
              </w:rPr>
              <w:t>其他病原体</w:t>
            </w:r>
          </w:p>
        </w:tc>
        <w:tc>
          <w:tcPr>
            <w:tcW w:w="1972" w:type="dxa"/>
            <w:tcBorders>
              <w:top w:val="single" w:color="auto" w:sz="4" w:space="0"/>
              <w:left w:val="single" w:color="auto" w:sz="4" w:space="0"/>
              <w:bottom w:val="single" w:color="auto" w:sz="8" w:space="0"/>
              <w:right w:val="single" w:color="auto" w:sz="8" w:space="0"/>
            </w:tcBorders>
            <w:vAlign w:val="center"/>
          </w:tcPr>
          <w:p w14:paraId="1B7393F1">
            <w:pPr>
              <w:jc w:val="center"/>
              <w:rPr>
                <w:rFonts w:ascii="宋体" w:hAnsi="宋体" w:eastAsia="Times New Roman"/>
                <w:sz w:val="18"/>
                <w:szCs w:val="18"/>
              </w:rPr>
            </w:pPr>
            <w:r>
              <w:rPr>
                <w:rFonts w:hint="eastAsia" w:ascii="宋体" w:hAnsi="宋体" w:eastAsia="Times New Roman" w:cs="宋体"/>
                <w:sz w:val="18"/>
                <w:szCs w:val="18"/>
              </w:rPr>
              <w:t>标本类型</w:t>
            </w:r>
          </w:p>
        </w:tc>
      </w:tr>
      <w:tr w14:paraId="2E4541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719" w:type="dxa"/>
            <w:tcBorders>
              <w:top w:val="single" w:color="auto" w:sz="8" w:space="0"/>
              <w:left w:val="single" w:color="auto" w:sz="8" w:space="0"/>
              <w:bottom w:val="single" w:color="auto" w:sz="4" w:space="0"/>
              <w:right w:val="single" w:color="auto" w:sz="4" w:space="0"/>
            </w:tcBorders>
            <w:vAlign w:val="center"/>
          </w:tcPr>
          <w:p w14:paraId="1E888AA2">
            <w:pPr>
              <w:rPr>
                <w:rFonts w:ascii="宋体" w:hAnsi="宋体" w:eastAsia="Times New Roman"/>
                <w:sz w:val="18"/>
                <w:szCs w:val="18"/>
              </w:rPr>
            </w:pPr>
            <w:r>
              <w:rPr>
                <w:rFonts w:hint="eastAsia" w:ascii="宋体" w:hAnsi="宋体" w:eastAsia="Times New Roman" w:cs="宋体"/>
                <w:sz w:val="18"/>
                <w:szCs w:val="18"/>
              </w:rPr>
              <w:t>发热伴呼吸道症候群</w:t>
            </w:r>
          </w:p>
        </w:tc>
        <w:tc>
          <w:tcPr>
            <w:tcW w:w="2268" w:type="dxa"/>
            <w:tcBorders>
              <w:top w:val="single" w:color="auto" w:sz="8" w:space="0"/>
              <w:left w:val="single" w:color="auto" w:sz="4" w:space="0"/>
              <w:bottom w:val="single" w:color="auto" w:sz="4" w:space="0"/>
              <w:right w:val="single" w:color="auto" w:sz="4" w:space="0"/>
            </w:tcBorders>
            <w:vAlign w:val="center"/>
          </w:tcPr>
          <w:p w14:paraId="2DA00CD1">
            <w:pPr>
              <w:rPr>
                <w:rFonts w:ascii="宋体" w:hAnsi="宋体" w:eastAsia="Times New Roman"/>
                <w:sz w:val="18"/>
                <w:szCs w:val="18"/>
              </w:rPr>
            </w:pPr>
            <w:r>
              <w:rPr>
                <w:rFonts w:hint="eastAsia" w:ascii="宋体" w:hAnsi="宋体" w:eastAsia="Times New Roman" w:cs="宋体"/>
                <w:sz w:val="18"/>
                <w:szCs w:val="18"/>
              </w:rPr>
              <w:t>流行性感冒病毒、冠状病毒、副流感病毒、呼吸道合胞病毒、埃可病毒、偏肺病毒、博卡病毒、腺病毒、鼻病毒、柯萨奇病毒等</w:t>
            </w:r>
          </w:p>
        </w:tc>
        <w:tc>
          <w:tcPr>
            <w:tcW w:w="2823" w:type="dxa"/>
            <w:tcBorders>
              <w:top w:val="single" w:color="auto" w:sz="8" w:space="0"/>
              <w:left w:val="single" w:color="auto" w:sz="4" w:space="0"/>
              <w:bottom w:val="single" w:color="auto" w:sz="4" w:space="0"/>
              <w:right w:val="single" w:color="auto" w:sz="4" w:space="0"/>
            </w:tcBorders>
            <w:vAlign w:val="center"/>
          </w:tcPr>
          <w:p w14:paraId="524F5533">
            <w:pPr>
              <w:rPr>
                <w:rFonts w:ascii="宋体" w:hAnsi="宋体" w:eastAsia="Times New Roman"/>
                <w:sz w:val="18"/>
                <w:szCs w:val="18"/>
              </w:rPr>
            </w:pPr>
            <w:r>
              <w:rPr>
                <w:rFonts w:hint="eastAsia" w:ascii="宋体" w:hAnsi="宋体" w:eastAsia="Times New Roman" w:cs="宋体"/>
                <w:sz w:val="18"/>
                <w:szCs w:val="18"/>
              </w:rPr>
              <w:t>金黄色葡萄球菌、肺炎克雷伯菌、</w:t>
            </w:r>
            <w:r>
              <w:rPr>
                <w:rFonts w:hint="eastAsia" w:ascii="宋体" w:hAnsi="宋体" w:eastAsia="Times New Roman"/>
                <w:sz w:val="18"/>
                <w:szCs w:val="18"/>
              </w:rPr>
              <w:t>A</w:t>
            </w:r>
            <w:r>
              <w:rPr>
                <w:rFonts w:hint="eastAsia" w:ascii="宋体" w:hAnsi="宋体" w:eastAsia="Times New Roman" w:cs="宋体"/>
                <w:sz w:val="18"/>
                <w:szCs w:val="18"/>
              </w:rPr>
              <w:t>组链球菌、铜绿假单胞菌、流感嗜血杆菌、肺炎链球菌、嗜肺军团菌、百日咳鲍特菌、肺炎支原体、肺炎衣原体和鹦鹉热衣原体等</w:t>
            </w:r>
          </w:p>
        </w:tc>
        <w:tc>
          <w:tcPr>
            <w:tcW w:w="1430" w:type="dxa"/>
            <w:tcBorders>
              <w:top w:val="single" w:color="auto" w:sz="8" w:space="0"/>
              <w:left w:val="single" w:color="auto" w:sz="4" w:space="0"/>
              <w:bottom w:val="single" w:color="auto" w:sz="4" w:space="0"/>
              <w:right w:val="single" w:color="auto" w:sz="4" w:space="0"/>
            </w:tcBorders>
            <w:vAlign w:val="center"/>
          </w:tcPr>
          <w:p w14:paraId="78D0796B">
            <w:pPr>
              <w:rPr>
                <w:rFonts w:ascii="宋体" w:hAnsi="宋体" w:eastAsia="Times New Roman"/>
                <w:sz w:val="18"/>
                <w:szCs w:val="18"/>
              </w:rPr>
            </w:pPr>
          </w:p>
        </w:tc>
        <w:tc>
          <w:tcPr>
            <w:tcW w:w="1972" w:type="dxa"/>
            <w:tcBorders>
              <w:top w:val="single" w:color="auto" w:sz="8" w:space="0"/>
              <w:left w:val="single" w:color="auto" w:sz="4" w:space="0"/>
              <w:bottom w:val="single" w:color="auto" w:sz="4" w:space="0"/>
              <w:right w:val="single" w:color="auto" w:sz="8" w:space="0"/>
            </w:tcBorders>
            <w:vAlign w:val="center"/>
          </w:tcPr>
          <w:p w14:paraId="763E3654">
            <w:pPr>
              <w:rPr>
                <w:rFonts w:ascii="宋体" w:hAnsi="宋体" w:eastAsia="Times New Roman"/>
                <w:sz w:val="18"/>
                <w:szCs w:val="18"/>
              </w:rPr>
            </w:pPr>
            <w:r>
              <w:rPr>
                <w:rFonts w:hint="eastAsia" w:ascii="宋体" w:hAnsi="宋体" w:eastAsia="Times New Roman" w:cs="宋体"/>
                <w:sz w:val="18"/>
                <w:szCs w:val="18"/>
              </w:rPr>
              <w:t>鼻</w:t>
            </w:r>
            <w:r>
              <w:rPr>
                <w:rFonts w:hint="eastAsia" w:ascii="宋体" w:hAnsi="宋体" w:eastAsia="Times New Roman"/>
                <w:sz w:val="18"/>
                <w:szCs w:val="18"/>
              </w:rPr>
              <w:t>/</w:t>
            </w:r>
            <w:r>
              <w:rPr>
                <w:rFonts w:hint="eastAsia" w:ascii="宋体" w:hAnsi="宋体" w:eastAsia="Times New Roman" w:cs="宋体"/>
                <w:sz w:val="18"/>
                <w:szCs w:val="18"/>
              </w:rPr>
              <w:t>咽拭子、痰液、鼻咽抽吸物、支气管肺泡灌洗液、胸腔穿刺液、抗凝血、急性期</w:t>
            </w:r>
            <w:r>
              <w:rPr>
                <w:rFonts w:hint="eastAsia" w:ascii="宋体" w:hAnsi="宋体" w:eastAsia="Times New Roman"/>
                <w:sz w:val="18"/>
                <w:szCs w:val="18"/>
              </w:rPr>
              <w:t>/</w:t>
            </w:r>
            <w:r>
              <w:rPr>
                <w:rFonts w:hint="eastAsia" w:ascii="宋体" w:hAnsi="宋体" w:eastAsia="Times New Roman" w:cs="宋体"/>
                <w:sz w:val="18"/>
                <w:szCs w:val="18"/>
              </w:rPr>
              <w:t>恢复期血清、尿液</w:t>
            </w:r>
          </w:p>
        </w:tc>
      </w:tr>
      <w:tr w14:paraId="192346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719" w:type="dxa"/>
            <w:tcBorders>
              <w:top w:val="single" w:color="auto" w:sz="4" w:space="0"/>
              <w:left w:val="single" w:color="auto" w:sz="8" w:space="0"/>
              <w:bottom w:val="single" w:color="auto" w:sz="4" w:space="0"/>
              <w:right w:val="single" w:color="auto" w:sz="4" w:space="0"/>
            </w:tcBorders>
            <w:vAlign w:val="center"/>
          </w:tcPr>
          <w:p w14:paraId="08036B08">
            <w:pPr>
              <w:rPr>
                <w:rFonts w:ascii="宋体" w:hAnsi="宋体" w:eastAsia="Times New Roman"/>
                <w:sz w:val="18"/>
                <w:szCs w:val="18"/>
              </w:rPr>
            </w:pPr>
            <w:r>
              <w:rPr>
                <w:rFonts w:hint="eastAsia" w:ascii="宋体" w:hAnsi="宋体" w:eastAsia="Times New Roman" w:cs="宋体"/>
                <w:sz w:val="18"/>
                <w:szCs w:val="18"/>
              </w:rPr>
              <w:t>发热伴出疹症候群</w:t>
            </w:r>
          </w:p>
        </w:tc>
        <w:tc>
          <w:tcPr>
            <w:tcW w:w="2268" w:type="dxa"/>
            <w:tcBorders>
              <w:top w:val="single" w:color="auto" w:sz="4" w:space="0"/>
              <w:left w:val="single" w:color="auto" w:sz="4" w:space="0"/>
              <w:bottom w:val="single" w:color="auto" w:sz="4" w:space="0"/>
              <w:right w:val="single" w:color="auto" w:sz="4" w:space="0"/>
            </w:tcBorders>
            <w:vAlign w:val="center"/>
          </w:tcPr>
          <w:p w14:paraId="64E51BB1">
            <w:pPr>
              <w:rPr>
                <w:rFonts w:ascii="宋体" w:hAnsi="宋体" w:eastAsia="Times New Roman"/>
                <w:sz w:val="18"/>
                <w:szCs w:val="18"/>
              </w:rPr>
            </w:pPr>
            <w:r>
              <w:rPr>
                <w:rFonts w:hint="eastAsia" w:ascii="宋体" w:hAnsi="宋体" w:eastAsia="Times New Roman" w:cs="宋体"/>
                <w:sz w:val="18"/>
                <w:szCs w:val="18"/>
              </w:rPr>
              <w:t>水痘</w:t>
            </w:r>
            <w:r>
              <w:rPr>
                <w:rFonts w:hint="eastAsia" w:ascii="宋体" w:hAnsi="宋体" w:eastAsia="Times New Roman"/>
                <w:sz w:val="18"/>
                <w:szCs w:val="18"/>
              </w:rPr>
              <w:t>-</w:t>
            </w:r>
            <w:r>
              <w:rPr>
                <w:rFonts w:hint="eastAsia" w:ascii="宋体" w:hAnsi="宋体" w:eastAsia="Times New Roman" w:cs="宋体"/>
                <w:sz w:val="18"/>
                <w:szCs w:val="18"/>
              </w:rPr>
              <w:t>带状疱疹病毒、人类细小病毒</w:t>
            </w:r>
            <w:r>
              <w:rPr>
                <w:rFonts w:hint="eastAsia" w:ascii="宋体" w:hAnsi="宋体" w:eastAsia="Times New Roman"/>
                <w:sz w:val="18"/>
                <w:szCs w:val="18"/>
              </w:rPr>
              <w:t>B19</w:t>
            </w:r>
            <w:r>
              <w:rPr>
                <w:rFonts w:hint="eastAsia" w:ascii="宋体" w:hAnsi="宋体" w:eastAsia="Times New Roman" w:cs="宋体"/>
                <w:sz w:val="18"/>
                <w:szCs w:val="18"/>
              </w:rPr>
              <w:t>、肠道病毒、风疹病毒、麻疹病毒、</w:t>
            </w:r>
            <w:r>
              <w:rPr>
                <w:rFonts w:hint="eastAsia" w:ascii="宋体" w:hAnsi="宋体" w:eastAsia="Times New Roman"/>
                <w:sz w:val="18"/>
                <w:szCs w:val="18"/>
              </w:rPr>
              <w:t>EB</w:t>
            </w:r>
            <w:r>
              <w:rPr>
                <w:rFonts w:hint="eastAsia" w:ascii="宋体" w:hAnsi="宋体" w:eastAsia="Times New Roman" w:cs="宋体"/>
                <w:sz w:val="18"/>
                <w:szCs w:val="18"/>
              </w:rPr>
              <w:t>病毒、人疱疹病毒</w:t>
            </w:r>
            <w:r>
              <w:rPr>
                <w:rFonts w:hint="eastAsia" w:ascii="宋体" w:hAnsi="宋体" w:eastAsia="Times New Roman"/>
                <w:sz w:val="18"/>
                <w:szCs w:val="18"/>
              </w:rPr>
              <w:t>6</w:t>
            </w:r>
            <w:r>
              <w:rPr>
                <w:rFonts w:hint="eastAsia" w:ascii="宋体" w:hAnsi="宋体" w:eastAsia="Times New Roman" w:cs="宋体"/>
                <w:sz w:val="18"/>
                <w:szCs w:val="18"/>
              </w:rPr>
              <w:t>型、登革病毒、埃博拉病毒、猴痘病毒等</w:t>
            </w:r>
          </w:p>
        </w:tc>
        <w:tc>
          <w:tcPr>
            <w:tcW w:w="2823" w:type="dxa"/>
            <w:tcBorders>
              <w:top w:val="single" w:color="auto" w:sz="4" w:space="0"/>
              <w:left w:val="single" w:color="auto" w:sz="4" w:space="0"/>
              <w:bottom w:val="single" w:color="auto" w:sz="4" w:space="0"/>
              <w:right w:val="single" w:color="auto" w:sz="4" w:space="0"/>
            </w:tcBorders>
            <w:vAlign w:val="center"/>
          </w:tcPr>
          <w:p w14:paraId="5C499506">
            <w:pPr>
              <w:rPr>
                <w:rFonts w:ascii="宋体" w:hAnsi="宋体" w:eastAsia="Times New Roman"/>
                <w:color w:val="000000"/>
                <w:sz w:val="18"/>
                <w:szCs w:val="18"/>
              </w:rPr>
            </w:pPr>
            <w:r>
              <w:rPr>
                <w:rFonts w:hint="eastAsia" w:ascii="宋体" w:hAnsi="宋体" w:eastAsia="Times New Roman" w:cs="宋体"/>
                <w:color w:val="000000"/>
                <w:sz w:val="18"/>
                <w:szCs w:val="18"/>
              </w:rPr>
              <w:t>链球菌、伤寒沙门菌、副伤寒沙门菌、立克次体和布氏疏螺旋体等</w:t>
            </w:r>
          </w:p>
        </w:tc>
        <w:tc>
          <w:tcPr>
            <w:tcW w:w="1430" w:type="dxa"/>
            <w:tcBorders>
              <w:top w:val="single" w:color="auto" w:sz="4" w:space="0"/>
              <w:left w:val="single" w:color="auto" w:sz="4" w:space="0"/>
              <w:bottom w:val="single" w:color="auto" w:sz="4" w:space="0"/>
              <w:right w:val="single" w:color="auto" w:sz="4" w:space="0"/>
            </w:tcBorders>
            <w:vAlign w:val="center"/>
          </w:tcPr>
          <w:p w14:paraId="3699DBAF">
            <w:pPr>
              <w:rPr>
                <w:rFonts w:ascii="宋体" w:hAnsi="宋体" w:eastAsia="Times New Roman"/>
                <w:color w:val="000000"/>
                <w:sz w:val="18"/>
                <w:szCs w:val="18"/>
              </w:rPr>
            </w:pPr>
          </w:p>
        </w:tc>
        <w:tc>
          <w:tcPr>
            <w:tcW w:w="1972" w:type="dxa"/>
            <w:tcBorders>
              <w:top w:val="single" w:color="auto" w:sz="4" w:space="0"/>
              <w:left w:val="single" w:color="auto" w:sz="4" w:space="0"/>
              <w:bottom w:val="single" w:color="auto" w:sz="4" w:space="0"/>
              <w:right w:val="single" w:color="auto" w:sz="8" w:space="0"/>
            </w:tcBorders>
            <w:vAlign w:val="center"/>
          </w:tcPr>
          <w:p w14:paraId="2775305C">
            <w:pPr>
              <w:rPr>
                <w:rFonts w:ascii="宋体" w:hAnsi="宋体" w:eastAsia="Times New Roman"/>
                <w:color w:val="000000"/>
                <w:sz w:val="18"/>
                <w:szCs w:val="18"/>
              </w:rPr>
            </w:pPr>
            <w:r>
              <w:rPr>
                <w:rFonts w:hint="eastAsia" w:ascii="宋体" w:hAnsi="宋体" w:eastAsia="Times New Roman" w:cs="宋体"/>
                <w:color w:val="000000"/>
                <w:sz w:val="18"/>
                <w:szCs w:val="18"/>
              </w:rPr>
              <w:t>抗凝血、急性期</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恢复期血清、鼻</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咽拭子、疱疹液、皮肤化脓性病灶脓液、粪便、尿液</w:t>
            </w:r>
          </w:p>
        </w:tc>
      </w:tr>
      <w:tr w14:paraId="051C76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719" w:type="dxa"/>
            <w:tcBorders>
              <w:top w:val="single" w:color="auto" w:sz="4" w:space="0"/>
              <w:left w:val="single" w:color="auto" w:sz="8" w:space="0"/>
              <w:bottom w:val="single" w:color="auto" w:sz="4" w:space="0"/>
              <w:right w:val="single" w:color="auto" w:sz="4" w:space="0"/>
            </w:tcBorders>
            <w:vAlign w:val="center"/>
          </w:tcPr>
          <w:p w14:paraId="5E537D8E">
            <w:pPr>
              <w:rPr>
                <w:rFonts w:ascii="宋体" w:hAnsi="宋体" w:eastAsia="Times New Roman"/>
                <w:sz w:val="18"/>
                <w:szCs w:val="18"/>
              </w:rPr>
            </w:pPr>
            <w:r>
              <w:rPr>
                <w:rFonts w:hint="eastAsia" w:ascii="宋体" w:hAnsi="宋体" w:eastAsia="Times New Roman" w:cs="宋体"/>
                <w:sz w:val="18"/>
                <w:szCs w:val="18"/>
              </w:rPr>
              <w:t>发热伴出血症候群</w:t>
            </w:r>
          </w:p>
        </w:tc>
        <w:tc>
          <w:tcPr>
            <w:tcW w:w="2268" w:type="dxa"/>
            <w:tcBorders>
              <w:top w:val="single" w:color="auto" w:sz="4" w:space="0"/>
              <w:left w:val="single" w:color="auto" w:sz="4" w:space="0"/>
              <w:bottom w:val="single" w:color="auto" w:sz="4" w:space="0"/>
              <w:right w:val="single" w:color="auto" w:sz="4" w:space="0"/>
            </w:tcBorders>
            <w:vAlign w:val="center"/>
          </w:tcPr>
          <w:p w14:paraId="1889C535">
            <w:pPr>
              <w:rPr>
                <w:rFonts w:ascii="宋体" w:hAnsi="宋体" w:eastAsia="Times New Roman"/>
                <w:color w:val="000000"/>
                <w:sz w:val="18"/>
                <w:szCs w:val="18"/>
              </w:rPr>
            </w:pPr>
            <w:r>
              <w:rPr>
                <w:rFonts w:hint="eastAsia" w:ascii="宋体" w:hAnsi="宋体" w:eastAsia="Times New Roman" w:cs="宋体"/>
                <w:color w:val="000000"/>
                <w:sz w:val="18"/>
                <w:szCs w:val="18"/>
              </w:rPr>
              <w:t>汉坦病毒、登革病毒、出血热病毒、大别班达病毒、埃博拉病毒等</w:t>
            </w:r>
          </w:p>
        </w:tc>
        <w:tc>
          <w:tcPr>
            <w:tcW w:w="2823" w:type="dxa"/>
            <w:tcBorders>
              <w:top w:val="single" w:color="auto" w:sz="4" w:space="0"/>
              <w:left w:val="single" w:color="auto" w:sz="4" w:space="0"/>
              <w:bottom w:val="single" w:color="auto" w:sz="4" w:space="0"/>
              <w:right w:val="single" w:color="auto" w:sz="4" w:space="0"/>
            </w:tcBorders>
            <w:vAlign w:val="center"/>
          </w:tcPr>
          <w:p w14:paraId="487E8196">
            <w:pPr>
              <w:rPr>
                <w:rFonts w:ascii="宋体" w:hAnsi="宋体" w:eastAsia="Times New Roman"/>
                <w:color w:val="000000"/>
                <w:sz w:val="18"/>
                <w:szCs w:val="18"/>
              </w:rPr>
            </w:pPr>
            <w:r>
              <w:rPr>
                <w:rFonts w:hint="eastAsia" w:ascii="宋体" w:hAnsi="宋体" w:eastAsia="Times New Roman" w:cs="宋体"/>
                <w:color w:val="000000"/>
                <w:sz w:val="18"/>
                <w:szCs w:val="18"/>
              </w:rPr>
              <w:t>鼠疫耶尔森菌、脑膜炎奈瑟菌、钩端螺旋体、猪链球菌、立克次体、查菲埃立克体、人嗜吞噬细胞无形体等</w:t>
            </w:r>
          </w:p>
        </w:tc>
        <w:tc>
          <w:tcPr>
            <w:tcW w:w="1430" w:type="dxa"/>
            <w:tcBorders>
              <w:top w:val="single" w:color="auto" w:sz="4" w:space="0"/>
              <w:left w:val="single" w:color="auto" w:sz="4" w:space="0"/>
              <w:bottom w:val="single" w:color="auto" w:sz="4" w:space="0"/>
              <w:right w:val="single" w:color="auto" w:sz="4" w:space="0"/>
            </w:tcBorders>
            <w:vAlign w:val="center"/>
          </w:tcPr>
          <w:p w14:paraId="281D358F">
            <w:pPr>
              <w:rPr>
                <w:rFonts w:ascii="宋体" w:hAnsi="宋体" w:eastAsia="Times New Roman"/>
                <w:color w:val="000000"/>
                <w:sz w:val="18"/>
                <w:szCs w:val="18"/>
              </w:rPr>
            </w:pPr>
          </w:p>
        </w:tc>
        <w:tc>
          <w:tcPr>
            <w:tcW w:w="1972" w:type="dxa"/>
            <w:tcBorders>
              <w:top w:val="single" w:color="auto" w:sz="4" w:space="0"/>
              <w:left w:val="single" w:color="auto" w:sz="4" w:space="0"/>
              <w:bottom w:val="single" w:color="auto" w:sz="4" w:space="0"/>
              <w:right w:val="single" w:color="auto" w:sz="8" w:space="0"/>
            </w:tcBorders>
            <w:vAlign w:val="center"/>
          </w:tcPr>
          <w:p w14:paraId="4B01F99B">
            <w:pPr>
              <w:rPr>
                <w:rFonts w:ascii="宋体" w:hAnsi="宋体" w:eastAsia="Times New Roman"/>
                <w:color w:val="000000"/>
                <w:sz w:val="18"/>
                <w:szCs w:val="18"/>
              </w:rPr>
            </w:pPr>
            <w:r>
              <w:rPr>
                <w:rFonts w:hint="eastAsia" w:ascii="宋体" w:hAnsi="宋体" w:eastAsia="Times New Roman" w:cs="宋体"/>
                <w:color w:val="000000"/>
                <w:sz w:val="18"/>
                <w:szCs w:val="18"/>
              </w:rPr>
              <w:t>抗凝血、急性期</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恢复期血清、脑脊液、尿液、淋巴液、分泌物</w:t>
            </w:r>
          </w:p>
        </w:tc>
      </w:tr>
      <w:tr w14:paraId="4F79D5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719" w:type="dxa"/>
            <w:tcBorders>
              <w:top w:val="single" w:color="auto" w:sz="4" w:space="0"/>
              <w:left w:val="single" w:color="auto" w:sz="8" w:space="0"/>
              <w:bottom w:val="single" w:color="auto" w:sz="4" w:space="0"/>
              <w:right w:val="single" w:color="auto" w:sz="4" w:space="0"/>
            </w:tcBorders>
            <w:vAlign w:val="center"/>
          </w:tcPr>
          <w:p w14:paraId="2176247C">
            <w:pPr>
              <w:rPr>
                <w:rFonts w:ascii="宋体" w:hAnsi="宋体" w:eastAsia="Times New Roman"/>
                <w:sz w:val="18"/>
                <w:szCs w:val="18"/>
              </w:rPr>
            </w:pPr>
            <w:r>
              <w:rPr>
                <w:rFonts w:hint="eastAsia" w:ascii="宋体" w:hAnsi="宋体" w:eastAsia="Times New Roman" w:cs="宋体"/>
                <w:sz w:val="18"/>
                <w:szCs w:val="18"/>
              </w:rPr>
              <w:t>腹泻症候群</w:t>
            </w:r>
          </w:p>
        </w:tc>
        <w:tc>
          <w:tcPr>
            <w:tcW w:w="2268" w:type="dxa"/>
            <w:tcBorders>
              <w:top w:val="single" w:color="auto" w:sz="4" w:space="0"/>
              <w:left w:val="single" w:color="auto" w:sz="4" w:space="0"/>
              <w:bottom w:val="single" w:color="auto" w:sz="4" w:space="0"/>
              <w:right w:val="single" w:color="auto" w:sz="4" w:space="0"/>
            </w:tcBorders>
            <w:vAlign w:val="center"/>
          </w:tcPr>
          <w:p w14:paraId="118C4422">
            <w:pPr>
              <w:rPr>
                <w:rFonts w:ascii="宋体" w:hAnsi="宋体" w:eastAsia="Times New Roman"/>
                <w:sz w:val="18"/>
                <w:szCs w:val="18"/>
              </w:rPr>
            </w:pPr>
            <w:r>
              <w:rPr>
                <w:rFonts w:hint="eastAsia" w:ascii="宋体" w:hAnsi="宋体" w:eastAsia="Times New Roman" w:cs="宋体"/>
                <w:sz w:val="18"/>
                <w:szCs w:val="18"/>
              </w:rPr>
              <w:t>轮状病毒、肠道腺病毒、诺如病毒、札如病毒、星状病毒等</w:t>
            </w:r>
          </w:p>
        </w:tc>
        <w:tc>
          <w:tcPr>
            <w:tcW w:w="2823" w:type="dxa"/>
            <w:tcBorders>
              <w:top w:val="single" w:color="auto" w:sz="4" w:space="0"/>
              <w:left w:val="single" w:color="auto" w:sz="4" w:space="0"/>
              <w:bottom w:val="single" w:color="auto" w:sz="4" w:space="0"/>
              <w:right w:val="single" w:color="auto" w:sz="4" w:space="0"/>
            </w:tcBorders>
            <w:vAlign w:val="center"/>
          </w:tcPr>
          <w:p w14:paraId="2714F101">
            <w:pPr>
              <w:rPr>
                <w:rFonts w:ascii="宋体" w:hAnsi="宋体" w:eastAsia="Times New Roman"/>
                <w:color w:val="000000"/>
                <w:sz w:val="18"/>
                <w:szCs w:val="18"/>
              </w:rPr>
            </w:pPr>
            <w:r>
              <w:rPr>
                <w:rFonts w:hint="eastAsia" w:ascii="宋体" w:hAnsi="宋体" w:eastAsia="Times New Roman" w:cs="宋体"/>
                <w:color w:val="000000"/>
                <w:sz w:val="18"/>
                <w:szCs w:val="18"/>
              </w:rPr>
              <w:t>致泻性大肠埃希菌、致病性弧菌</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霍乱弧菌、副溶血弧菌、拟态弧菌、河弧菌）、致病性耶尔森菌（小肠结肠炎耶尔森菌、假结核耶尔森菌）、弯曲菌（空肠弯曲菌、结肠弯曲菌）、非伤寒沙门菌、志贺菌、嗜水气单胞菌、类志贺邻单胞菌、艰难梭菌、阪崎克罗诺杆菌等</w:t>
            </w:r>
          </w:p>
        </w:tc>
        <w:tc>
          <w:tcPr>
            <w:tcW w:w="1430" w:type="dxa"/>
            <w:tcBorders>
              <w:top w:val="single" w:color="auto" w:sz="4" w:space="0"/>
              <w:left w:val="single" w:color="auto" w:sz="4" w:space="0"/>
              <w:bottom w:val="single" w:color="auto" w:sz="4" w:space="0"/>
              <w:right w:val="single" w:color="auto" w:sz="4" w:space="0"/>
            </w:tcBorders>
            <w:vAlign w:val="center"/>
          </w:tcPr>
          <w:p w14:paraId="34C548DF">
            <w:pPr>
              <w:rPr>
                <w:rFonts w:ascii="宋体" w:hAnsi="宋体" w:eastAsia="Times New Roman"/>
                <w:color w:val="000000"/>
                <w:sz w:val="18"/>
                <w:szCs w:val="18"/>
              </w:rPr>
            </w:pPr>
            <w:r>
              <w:rPr>
                <w:rFonts w:hint="eastAsia" w:ascii="宋体" w:hAnsi="宋体" w:eastAsia="Times New Roman" w:cs="宋体"/>
                <w:color w:val="000000"/>
                <w:sz w:val="18"/>
                <w:szCs w:val="18"/>
              </w:rPr>
              <w:t>溶组织内阿米巴虫、蓝氏贾第鞭毛虫、隐孢子虫、环孢子虫、微孢子虫等</w:t>
            </w:r>
          </w:p>
        </w:tc>
        <w:tc>
          <w:tcPr>
            <w:tcW w:w="1972" w:type="dxa"/>
            <w:tcBorders>
              <w:top w:val="single" w:color="auto" w:sz="4" w:space="0"/>
              <w:left w:val="single" w:color="auto" w:sz="4" w:space="0"/>
              <w:bottom w:val="single" w:color="auto" w:sz="4" w:space="0"/>
              <w:right w:val="single" w:color="auto" w:sz="8" w:space="0"/>
            </w:tcBorders>
            <w:vAlign w:val="center"/>
          </w:tcPr>
          <w:p w14:paraId="09D73488">
            <w:pPr>
              <w:rPr>
                <w:rFonts w:ascii="宋体" w:hAnsi="宋体" w:eastAsia="Times New Roman"/>
                <w:sz w:val="18"/>
                <w:szCs w:val="18"/>
              </w:rPr>
            </w:pPr>
            <w:r>
              <w:rPr>
                <w:rFonts w:hint="eastAsia" w:ascii="宋体" w:hAnsi="宋体" w:eastAsia="Times New Roman" w:cs="宋体"/>
                <w:sz w:val="18"/>
                <w:szCs w:val="18"/>
              </w:rPr>
              <w:t>粪便、肛拭子、抗凝血、呕吐物</w:t>
            </w:r>
          </w:p>
        </w:tc>
      </w:tr>
      <w:tr w14:paraId="0A2009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719" w:type="dxa"/>
            <w:tcBorders>
              <w:top w:val="single" w:color="auto" w:sz="4" w:space="0"/>
              <w:left w:val="single" w:color="auto" w:sz="8" w:space="0"/>
              <w:bottom w:val="single" w:color="auto" w:sz="4" w:space="0"/>
              <w:right w:val="single" w:color="auto" w:sz="4" w:space="0"/>
            </w:tcBorders>
            <w:vAlign w:val="center"/>
          </w:tcPr>
          <w:p w14:paraId="614E9421">
            <w:pPr>
              <w:rPr>
                <w:rFonts w:ascii="宋体" w:hAnsi="宋体" w:eastAsia="Times New Roman"/>
                <w:sz w:val="18"/>
                <w:szCs w:val="18"/>
              </w:rPr>
            </w:pPr>
            <w:r>
              <w:rPr>
                <w:rFonts w:hint="eastAsia" w:ascii="宋体" w:hAnsi="宋体" w:eastAsia="Times New Roman" w:cs="宋体"/>
                <w:sz w:val="18"/>
                <w:szCs w:val="18"/>
              </w:rPr>
              <w:t>脑炎脑膜炎症候群</w:t>
            </w:r>
          </w:p>
        </w:tc>
        <w:tc>
          <w:tcPr>
            <w:tcW w:w="2268" w:type="dxa"/>
            <w:tcBorders>
              <w:top w:val="single" w:color="auto" w:sz="4" w:space="0"/>
              <w:left w:val="single" w:color="auto" w:sz="4" w:space="0"/>
              <w:bottom w:val="single" w:color="auto" w:sz="4" w:space="0"/>
              <w:right w:val="single" w:color="auto" w:sz="4" w:space="0"/>
            </w:tcBorders>
            <w:vAlign w:val="center"/>
          </w:tcPr>
          <w:p w14:paraId="7BB3CF52">
            <w:pPr>
              <w:rPr>
                <w:rFonts w:ascii="宋体" w:hAnsi="宋体" w:eastAsia="Times New Roman"/>
                <w:color w:val="000000"/>
                <w:sz w:val="18"/>
                <w:szCs w:val="18"/>
              </w:rPr>
            </w:pPr>
            <w:r>
              <w:rPr>
                <w:rFonts w:hint="eastAsia" w:ascii="宋体" w:hAnsi="宋体" w:eastAsia="Times New Roman" w:cs="宋体"/>
                <w:color w:val="000000"/>
                <w:sz w:val="18"/>
                <w:szCs w:val="18"/>
              </w:rPr>
              <w:t>肠道病毒、乙脑病毒、西尼罗病毒、蜱传脑炎病毒、尼帕病毒、单纯疱疹病毒、麻疹病毒、腮腺炎病毒、呼吸道合胞病毒、脊髓灰质炎病毒等</w:t>
            </w:r>
          </w:p>
        </w:tc>
        <w:tc>
          <w:tcPr>
            <w:tcW w:w="2823" w:type="dxa"/>
            <w:tcBorders>
              <w:top w:val="single" w:color="auto" w:sz="4" w:space="0"/>
              <w:left w:val="single" w:color="auto" w:sz="4" w:space="0"/>
              <w:bottom w:val="single" w:color="auto" w:sz="4" w:space="0"/>
              <w:right w:val="single" w:color="auto" w:sz="4" w:space="0"/>
            </w:tcBorders>
            <w:vAlign w:val="center"/>
          </w:tcPr>
          <w:p w14:paraId="1BD50925">
            <w:pPr>
              <w:rPr>
                <w:rFonts w:ascii="宋体" w:hAnsi="宋体" w:eastAsia="Times New Roman"/>
                <w:color w:val="000000"/>
                <w:sz w:val="18"/>
                <w:szCs w:val="18"/>
              </w:rPr>
            </w:pPr>
            <w:r>
              <w:rPr>
                <w:rFonts w:hint="eastAsia" w:ascii="宋体" w:hAnsi="宋体" w:eastAsia="Times New Roman" w:cs="宋体"/>
                <w:color w:val="000000"/>
                <w:sz w:val="18"/>
                <w:szCs w:val="18"/>
              </w:rPr>
              <w:t>脑膜炎奈瑟菌、</w:t>
            </w:r>
            <w:r>
              <w:rPr>
                <w:rFonts w:hint="eastAsia" w:ascii="宋体" w:hAnsi="宋体" w:eastAsia="Times New Roman"/>
                <w:color w:val="000000"/>
                <w:sz w:val="18"/>
                <w:szCs w:val="18"/>
              </w:rPr>
              <w:t>B</w:t>
            </w:r>
            <w:r>
              <w:rPr>
                <w:rFonts w:hint="eastAsia" w:ascii="宋体" w:hAnsi="宋体" w:eastAsia="Times New Roman" w:cs="宋体"/>
                <w:color w:val="000000"/>
                <w:sz w:val="18"/>
                <w:szCs w:val="18"/>
              </w:rPr>
              <w:t>型流感嗜血杆菌、金黄色葡萄球菌、肺炎链球菌、猪链球菌、大肠杆菌、</w:t>
            </w:r>
            <w:r>
              <w:rPr>
                <w:rFonts w:hint="eastAsia" w:ascii="宋体" w:hAnsi="宋体" w:eastAsia="Times New Roman"/>
                <w:color w:val="000000"/>
                <w:sz w:val="18"/>
                <w:szCs w:val="18"/>
              </w:rPr>
              <w:t>B</w:t>
            </w:r>
            <w:r>
              <w:rPr>
                <w:rFonts w:hint="eastAsia" w:ascii="宋体" w:hAnsi="宋体" w:eastAsia="Times New Roman" w:cs="宋体"/>
                <w:color w:val="000000"/>
                <w:sz w:val="18"/>
                <w:szCs w:val="18"/>
              </w:rPr>
              <w:t>族链球菌、单增李斯特菌、克罗诺杆菌属（阪崎肠杆菌）、结核分支杆菌等</w:t>
            </w:r>
          </w:p>
        </w:tc>
        <w:tc>
          <w:tcPr>
            <w:tcW w:w="1430" w:type="dxa"/>
            <w:tcBorders>
              <w:top w:val="single" w:color="auto" w:sz="4" w:space="0"/>
              <w:left w:val="single" w:color="auto" w:sz="4" w:space="0"/>
              <w:bottom w:val="single" w:color="auto" w:sz="4" w:space="0"/>
              <w:right w:val="single" w:color="auto" w:sz="4" w:space="0"/>
            </w:tcBorders>
            <w:vAlign w:val="center"/>
          </w:tcPr>
          <w:p w14:paraId="67720400">
            <w:pPr>
              <w:rPr>
                <w:rFonts w:ascii="宋体" w:hAnsi="宋体" w:eastAsia="Times New Roman"/>
                <w:color w:val="000000"/>
                <w:sz w:val="18"/>
                <w:szCs w:val="18"/>
              </w:rPr>
            </w:pPr>
            <w:r>
              <w:rPr>
                <w:rFonts w:hint="eastAsia" w:ascii="宋体" w:hAnsi="宋体" w:eastAsia="Times New Roman" w:cs="宋体"/>
                <w:color w:val="000000"/>
                <w:sz w:val="18"/>
                <w:szCs w:val="18"/>
              </w:rPr>
              <w:t>新型隐球菌、恶性疟原虫、弓形虫、猪囊尾蚴、带绦虫、肺吸虫、旋毛虫、广州管圆线虫、裂头蚴等</w:t>
            </w:r>
          </w:p>
        </w:tc>
        <w:tc>
          <w:tcPr>
            <w:tcW w:w="1972" w:type="dxa"/>
            <w:tcBorders>
              <w:top w:val="single" w:color="auto" w:sz="4" w:space="0"/>
              <w:left w:val="single" w:color="auto" w:sz="4" w:space="0"/>
              <w:bottom w:val="single" w:color="auto" w:sz="4" w:space="0"/>
              <w:right w:val="single" w:color="auto" w:sz="8" w:space="0"/>
            </w:tcBorders>
            <w:vAlign w:val="center"/>
          </w:tcPr>
          <w:p w14:paraId="41D7E0A0">
            <w:pPr>
              <w:rPr>
                <w:rFonts w:ascii="宋体" w:hAnsi="宋体" w:eastAsia="Times New Roman"/>
                <w:color w:val="000000"/>
                <w:sz w:val="18"/>
                <w:szCs w:val="18"/>
              </w:rPr>
            </w:pPr>
            <w:r>
              <w:rPr>
                <w:rFonts w:hint="eastAsia" w:ascii="宋体" w:hAnsi="宋体" w:eastAsia="Times New Roman" w:cs="宋体"/>
                <w:color w:val="000000"/>
                <w:sz w:val="18"/>
                <w:szCs w:val="18"/>
              </w:rPr>
              <w:t>脑脊液、抗凝血、急性期</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恢复期血清、鼻</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咽拭子、粪便标本</w:t>
            </w:r>
          </w:p>
        </w:tc>
      </w:tr>
      <w:tr w14:paraId="6D66E3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212" w:type="dxa"/>
            <w:gridSpan w:val="5"/>
            <w:tcBorders>
              <w:top w:val="single" w:color="auto" w:sz="4" w:space="0"/>
              <w:left w:val="single" w:color="auto" w:sz="8" w:space="0"/>
              <w:bottom w:val="single" w:color="auto" w:sz="8" w:space="0"/>
              <w:right w:val="single" w:color="auto" w:sz="8" w:space="0"/>
            </w:tcBorders>
            <w:vAlign w:val="center"/>
          </w:tcPr>
          <w:p w14:paraId="0F0BB4D4">
            <w:pPr>
              <w:rPr>
                <w:rFonts w:ascii="宋体" w:hAnsi="宋体" w:eastAsia="Times New Roman"/>
                <w:color w:val="000000"/>
                <w:sz w:val="18"/>
                <w:szCs w:val="18"/>
              </w:rPr>
            </w:pPr>
            <w:r>
              <w:rPr>
                <w:rFonts w:hint="eastAsia" w:ascii="宋体" w:hAnsi="宋体" w:eastAsia="Times New Roman" w:cs="宋体"/>
                <w:color w:val="000000"/>
                <w:sz w:val="18"/>
                <w:szCs w:val="18"/>
              </w:rPr>
              <w:t>注：可根据流行病学调查结果，按照需要，采集相应的环境的涂抹样、水样、空气样、啮齿类及节肢动物等</w:t>
            </w:r>
          </w:p>
        </w:tc>
      </w:tr>
    </w:tbl>
    <w:p w14:paraId="4134EDD4">
      <w:pPr>
        <w:pStyle w:val="56"/>
        <w:ind w:firstLine="420"/>
      </w:pPr>
    </w:p>
    <w:p w14:paraId="078B54D7">
      <w:pPr>
        <w:pStyle w:val="56"/>
        <w:ind w:firstLine="420"/>
        <w:sectPr>
          <w:pgSz w:w="11906" w:h="16838"/>
          <w:pgMar w:top="1928" w:right="1134" w:bottom="1134" w:left="1134" w:header="1418" w:footer="1134" w:gutter="284"/>
          <w:cols w:space="425" w:num="1"/>
          <w:formProt w:val="0"/>
          <w:docGrid w:type="lines" w:linePitch="312" w:charSpace="0"/>
        </w:sectPr>
      </w:pPr>
    </w:p>
    <w:p w14:paraId="12FB4951">
      <w:pPr>
        <w:pStyle w:val="198"/>
        <w:rPr>
          <w:vanish w:val="0"/>
        </w:rPr>
      </w:pPr>
    </w:p>
    <w:p w14:paraId="21D1B444">
      <w:pPr>
        <w:pStyle w:val="199"/>
        <w:rPr>
          <w:vanish w:val="0"/>
        </w:rPr>
      </w:pPr>
    </w:p>
    <w:p w14:paraId="2DCD135B">
      <w:pPr>
        <w:pStyle w:val="76"/>
        <w:spacing w:after="156"/>
      </w:pPr>
      <w:r>
        <w:br w:type="textWrapping"/>
      </w:r>
      <w:bookmarkStart w:id="54" w:name="_Toc176532549"/>
      <w:r>
        <w:rPr>
          <w:rFonts w:hint="eastAsia"/>
        </w:rPr>
        <w:t>（资料性）</w:t>
      </w:r>
      <w:r>
        <w:br w:type="textWrapping"/>
      </w:r>
      <w:r>
        <w:rPr>
          <w:rFonts w:hint="eastAsia"/>
        </w:rPr>
        <w:t>标本采集方法</w:t>
      </w:r>
      <w:bookmarkEnd w:id="54"/>
    </w:p>
    <w:p w14:paraId="42A5C24B">
      <w:pPr>
        <w:pStyle w:val="56"/>
        <w:ind w:firstLine="420"/>
      </w:pPr>
    </w:p>
    <w:tbl>
      <w:tblPr>
        <w:tblStyle w:val="231"/>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416"/>
        <w:gridCol w:w="850"/>
        <w:gridCol w:w="5387"/>
        <w:gridCol w:w="2681"/>
      </w:tblGrid>
      <w:tr w14:paraId="6E2E1A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9334" w:type="dxa"/>
            <w:gridSpan w:val="4"/>
            <w:tcBorders>
              <w:top w:val="nil"/>
              <w:left w:val="nil"/>
              <w:bottom w:val="single" w:color="auto" w:sz="4" w:space="0"/>
              <w:right w:val="nil"/>
            </w:tcBorders>
            <w:vAlign w:val="center"/>
          </w:tcPr>
          <w:p w14:paraId="7F71ABA0">
            <w:pPr>
              <w:pStyle w:val="56"/>
              <w:ind w:firstLine="422"/>
              <w:jc w:val="center"/>
              <w:rPr>
                <w:rFonts w:hAnsi="宋体" w:eastAsia="Times New Roman" w:cs="宋体"/>
                <w:sz w:val="18"/>
                <w:szCs w:val="18"/>
              </w:rPr>
            </w:pPr>
            <w:r>
              <w:rPr>
                <w:rFonts w:hint="eastAsia" w:eastAsia="Times New Roman"/>
                <w:b/>
              </w:rPr>
              <w:t>表B.</w:t>
            </w:r>
            <w:r>
              <w:rPr>
                <w:rFonts w:eastAsia="Times New Roman"/>
                <w:b/>
              </w:rPr>
              <w:t>1</w:t>
            </w:r>
            <w:r>
              <w:rPr>
                <w:rFonts w:hint="eastAsia" w:eastAsia="Times New Roman"/>
                <w:b/>
              </w:rPr>
              <w:t>标本采集方法</w:t>
            </w:r>
          </w:p>
        </w:tc>
      </w:tr>
      <w:tr w14:paraId="5991A4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416" w:type="dxa"/>
            <w:tcBorders>
              <w:top w:val="single" w:color="auto" w:sz="4" w:space="0"/>
              <w:left w:val="single" w:color="auto" w:sz="8" w:space="0"/>
              <w:bottom w:val="single" w:color="auto" w:sz="8" w:space="0"/>
              <w:right w:val="single" w:color="auto" w:sz="4" w:space="0"/>
            </w:tcBorders>
            <w:vAlign w:val="center"/>
          </w:tcPr>
          <w:p w14:paraId="76452CE0">
            <w:pPr>
              <w:jc w:val="center"/>
              <w:rPr>
                <w:rFonts w:ascii="宋体" w:hAnsi="宋体" w:eastAsia="Times New Roman"/>
                <w:kern w:val="0"/>
                <w:sz w:val="18"/>
                <w:szCs w:val="18"/>
              </w:rPr>
            </w:pPr>
            <w:r>
              <w:rPr>
                <w:rFonts w:hint="eastAsia" w:ascii="宋体" w:hAnsi="宋体" w:eastAsia="Times New Roman" w:cs="宋体"/>
                <w:sz w:val="18"/>
                <w:szCs w:val="18"/>
              </w:rPr>
              <w:t>序号</w:t>
            </w:r>
          </w:p>
        </w:tc>
        <w:tc>
          <w:tcPr>
            <w:tcW w:w="850" w:type="dxa"/>
            <w:tcBorders>
              <w:top w:val="single" w:color="auto" w:sz="4" w:space="0"/>
              <w:left w:val="single" w:color="auto" w:sz="4" w:space="0"/>
              <w:bottom w:val="single" w:color="auto" w:sz="8" w:space="0"/>
              <w:right w:val="single" w:color="auto" w:sz="4" w:space="0"/>
            </w:tcBorders>
            <w:vAlign w:val="center"/>
          </w:tcPr>
          <w:p w14:paraId="4EE0C899">
            <w:pPr>
              <w:jc w:val="center"/>
              <w:rPr>
                <w:rFonts w:ascii="宋体" w:hAnsi="宋体" w:eastAsia="Times New Roman"/>
                <w:sz w:val="18"/>
                <w:szCs w:val="18"/>
              </w:rPr>
            </w:pPr>
            <w:r>
              <w:rPr>
                <w:rFonts w:hint="eastAsia" w:ascii="宋体" w:hAnsi="宋体" w:eastAsia="Times New Roman" w:cs="宋体"/>
                <w:sz w:val="18"/>
                <w:szCs w:val="18"/>
              </w:rPr>
              <w:t>采集种类</w:t>
            </w:r>
          </w:p>
        </w:tc>
        <w:tc>
          <w:tcPr>
            <w:tcW w:w="5387" w:type="dxa"/>
            <w:tcBorders>
              <w:top w:val="single" w:color="auto" w:sz="4" w:space="0"/>
              <w:left w:val="single" w:color="auto" w:sz="4" w:space="0"/>
              <w:bottom w:val="single" w:color="auto" w:sz="8" w:space="0"/>
              <w:right w:val="single" w:color="auto" w:sz="4" w:space="0"/>
            </w:tcBorders>
            <w:vAlign w:val="center"/>
          </w:tcPr>
          <w:p w14:paraId="4177568C">
            <w:pPr>
              <w:jc w:val="center"/>
              <w:rPr>
                <w:rFonts w:ascii="宋体" w:hAnsi="宋体" w:eastAsia="Times New Roman"/>
                <w:sz w:val="18"/>
                <w:szCs w:val="18"/>
              </w:rPr>
            </w:pPr>
            <w:r>
              <w:rPr>
                <w:rFonts w:hint="eastAsia" w:ascii="宋体" w:hAnsi="宋体" w:eastAsia="Times New Roman" w:cs="宋体"/>
                <w:sz w:val="18"/>
                <w:szCs w:val="18"/>
              </w:rPr>
              <w:t>采集方法</w:t>
            </w:r>
          </w:p>
        </w:tc>
        <w:tc>
          <w:tcPr>
            <w:tcW w:w="2681" w:type="dxa"/>
            <w:tcBorders>
              <w:top w:val="single" w:color="auto" w:sz="4" w:space="0"/>
              <w:left w:val="single" w:color="auto" w:sz="4" w:space="0"/>
              <w:bottom w:val="single" w:color="auto" w:sz="8" w:space="0"/>
              <w:right w:val="single" w:color="auto" w:sz="8" w:space="0"/>
            </w:tcBorders>
            <w:vAlign w:val="center"/>
          </w:tcPr>
          <w:p w14:paraId="2DD76951">
            <w:pPr>
              <w:jc w:val="center"/>
              <w:rPr>
                <w:rFonts w:ascii="宋体" w:hAnsi="宋体" w:eastAsia="Times New Roman"/>
                <w:sz w:val="18"/>
                <w:szCs w:val="18"/>
              </w:rPr>
            </w:pPr>
            <w:r>
              <w:rPr>
                <w:rFonts w:hint="eastAsia" w:ascii="宋体" w:hAnsi="宋体" w:eastAsia="Times New Roman" w:cs="宋体"/>
                <w:sz w:val="18"/>
                <w:szCs w:val="18"/>
              </w:rPr>
              <w:t>采集要求</w:t>
            </w:r>
          </w:p>
        </w:tc>
      </w:tr>
      <w:tr w14:paraId="5BEE87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8" w:space="0"/>
              <w:left w:val="single" w:color="auto" w:sz="8" w:space="0"/>
              <w:bottom w:val="single" w:color="auto" w:sz="4" w:space="0"/>
              <w:right w:val="single" w:color="auto" w:sz="4" w:space="0"/>
            </w:tcBorders>
            <w:vAlign w:val="center"/>
          </w:tcPr>
          <w:p w14:paraId="01B4187D">
            <w:pPr>
              <w:jc w:val="center"/>
              <w:rPr>
                <w:rFonts w:ascii="宋体" w:hAnsi="宋体" w:eastAsia="Times New Roman"/>
                <w:sz w:val="18"/>
                <w:szCs w:val="18"/>
              </w:rPr>
            </w:pPr>
            <w:r>
              <w:rPr>
                <w:rFonts w:ascii="宋体" w:hAnsi="宋体" w:eastAsia="Times New Roman"/>
                <w:sz w:val="18"/>
                <w:szCs w:val="18"/>
              </w:rPr>
              <w:t>1</w:t>
            </w:r>
          </w:p>
        </w:tc>
        <w:tc>
          <w:tcPr>
            <w:tcW w:w="850" w:type="dxa"/>
            <w:tcBorders>
              <w:top w:val="single" w:color="auto" w:sz="8" w:space="0"/>
              <w:left w:val="single" w:color="auto" w:sz="4" w:space="0"/>
              <w:bottom w:val="single" w:color="auto" w:sz="4" w:space="0"/>
              <w:right w:val="single" w:color="auto" w:sz="4" w:space="0"/>
            </w:tcBorders>
            <w:vAlign w:val="center"/>
          </w:tcPr>
          <w:p w14:paraId="4BD455F4">
            <w:pPr>
              <w:jc w:val="center"/>
              <w:rPr>
                <w:rFonts w:ascii="宋体" w:hAnsi="宋体" w:eastAsia="Times New Roman"/>
                <w:sz w:val="18"/>
                <w:szCs w:val="18"/>
              </w:rPr>
            </w:pPr>
            <w:r>
              <w:rPr>
                <w:rFonts w:hint="eastAsia" w:ascii="宋体" w:hAnsi="宋体" w:eastAsia="Times New Roman" w:cs="宋体"/>
                <w:sz w:val="18"/>
                <w:szCs w:val="18"/>
              </w:rPr>
              <w:t>咽拭子</w:t>
            </w:r>
          </w:p>
        </w:tc>
        <w:tc>
          <w:tcPr>
            <w:tcW w:w="5387" w:type="dxa"/>
            <w:tcBorders>
              <w:top w:val="single" w:color="auto" w:sz="8" w:space="0"/>
              <w:left w:val="single" w:color="auto" w:sz="4" w:space="0"/>
              <w:bottom w:val="single" w:color="auto" w:sz="4" w:space="0"/>
              <w:right w:val="single" w:color="auto" w:sz="4" w:space="0"/>
            </w:tcBorders>
          </w:tcPr>
          <w:p w14:paraId="40E09631">
            <w:pPr>
              <w:jc w:val="left"/>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s="宋体"/>
                <w:color w:val="000000"/>
                <w:sz w:val="18"/>
                <w:szCs w:val="18"/>
              </w:rPr>
              <w:t>核对患者信息。</w:t>
            </w:r>
            <w:r>
              <w:rPr>
                <w:rFonts w:ascii="宋体" w:hAnsi="宋体" w:eastAsia="Times New Roman"/>
                <w:color w:val="000000"/>
                <w:sz w:val="18"/>
                <w:szCs w:val="18"/>
              </w:rPr>
              <w:t>2.</w:t>
            </w:r>
            <w:r>
              <w:rPr>
                <w:rFonts w:hint="eastAsia" w:ascii="宋体" w:hAnsi="宋体" w:eastAsia="Times New Roman" w:cs="宋体"/>
                <w:color w:val="000000"/>
                <w:sz w:val="18"/>
                <w:szCs w:val="18"/>
              </w:rPr>
              <w:t>手部消毒。</w:t>
            </w:r>
            <w:r>
              <w:rPr>
                <w:rFonts w:ascii="宋体" w:hAnsi="宋体" w:eastAsia="Times New Roman"/>
                <w:color w:val="000000"/>
                <w:sz w:val="18"/>
                <w:szCs w:val="18"/>
              </w:rPr>
              <w:t>3.</w:t>
            </w:r>
            <w:r>
              <w:rPr>
                <w:rFonts w:hint="eastAsia" w:ascii="宋体" w:hAnsi="宋体" w:eastAsia="Times New Roman" w:cs="宋体"/>
                <w:color w:val="000000"/>
                <w:sz w:val="18"/>
                <w:szCs w:val="18"/>
              </w:rPr>
              <w:t>取出采样拭子，嘱被采集者头稍后仰，张口充分暴露咽部。</w:t>
            </w:r>
            <w:r>
              <w:rPr>
                <w:rFonts w:ascii="宋体" w:hAnsi="宋体" w:eastAsia="Times New Roman"/>
                <w:color w:val="000000"/>
                <w:sz w:val="18"/>
                <w:szCs w:val="18"/>
              </w:rPr>
              <w:t>4.</w:t>
            </w:r>
            <w:r>
              <w:rPr>
                <w:rFonts w:hint="eastAsia" w:ascii="宋体" w:hAnsi="宋体" w:eastAsia="Times New Roman" w:cs="宋体"/>
                <w:color w:val="000000"/>
                <w:sz w:val="18"/>
                <w:szCs w:val="18"/>
              </w:rPr>
              <w:t>采集顺序：用拭子轻柔快速地在被采集者咽后壁及扁桃体隐窝、侧壁等处反复旋转擦拭</w:t>
            </w:r>
            <w:r>
              <w:rPr>
                <w:rFonts w:ascii="宋体" w:hAnsi="宋体" w:eastAsia="Times New Roman"/>
                <w:color w:val="000000"/>
                <w:sz w:val="18"/>
                <w:szCs w:val="18"/>
              </w:rPr>
              <w:t>3</w:t>
            </w:r>
            <w:r>
              <w:rPr>
                <w:rFonts w:hint="eastAsia" w:ascii="宋体" w:hAnsi="宋体" w:eastAsia="Times New Roman" w:cs="宋体"/>
                <w:color w:val="000000"/>
                <w:sz w:val="18"/>
                <w:szCs w:val="18"/>
              </w:rPr>
              <w:t>次～</w:t>
            </w:r>
            <w:r>
              <w:rPr>
                <w:rFonts w:hint="eastAsia" w:ascii="宋体" w:hAnsi="宋体" w:eastAsia="Times New Roman"/>
                <w:color w:val="000000"/>
                <w:sz w:val="18"/>
                <w:szCs w:val="18"/>
              </w:rPr>
              <w:t>5</w:t>
            </w:r>
            <w:r>
              <w:rPr>
                <w:rFonts w:hint="eastAsia" w:ascii="宋体" w:hAnsi="宋体" w:eastAsia="Times New Roman" w:cs="宋体"/>
                <w:color w:val="000000"/>
                <w:sz w:val="18"/>
                <w:szCs w:val="18"/>
              </w:rPr>
              <w:t>次，收集粘膜细胞。</w:t>
            </w:r>
            <w:r>
              <w:rPr>
                <w:rFonts w:ascii="宋体" w:hAnsi="宋体" w:eastAsia="Times New Roman"/>
                <w:color w:val="000000"/>
                <w:sz w:val="18"/>
                <w:szCs w:val="18"/>
              </w:rPr>
              <w:t>5.</w:t>
            </w:r>
            <w:r>
              <w:rPr>
                <w:rFonts w:hint="eastAsia" w:ascii="宋体" w:hAnsi="宋体" w:eastAsia="Times New Roman" w:cs="宋体"/>
                <w:color w:val="000000"/>
                <w:sz w:val="18"/>
                <w:szCs w:val="18"/>
              </w:rPr>
              <w:t>将咽拭子插入采集管中，折断弃去尾部，旋紧管盖。</w:t>
            </w:r>
            <w:r>
              <w:rPr>
                <w:rFonts w:hint="eastAsia" w:ascii="宋体" w:hAnsi="宋体" w:eastAsia="Times New Roman"/>
                <w:color w:val="000000"/>
                <w:sz w:val="18"/>
                <w:szCs w:val="18"/>
              </w:rPr>
              <w:t>6</w:t>
            </w:r>
            <w:r>
              <w:rPr>
                <w:rFonts w:ascii="宋体" w:hAnsi="宋体" w:eastAsia="Times New Roman"/>
                <w:color w:val="000000"/>
                <w:sz w:val="18"/>
                <w:szCs w:val="18"/>
              </w:rPr>
              <w:t>.</w:t>
            </w:r>
            <w:r>
              <w:rPr>
                <w:rFonts w:hint="eastAsia" w:ascii="宋体" w:hAnsi="宋体" w:eastAsia="Times New Roman" w:cs="宋体"/>
                <w:color w:val="000000"/>
                <w:sz w:val="18"/>
                <w:szCs w:val="18"/>
              </w:rPr>
              <w:t>再次核对患者信息无误。</w:t>
            </w:r>
          </w:p>
        </w:tc>
        <w:tc>
          <w:tcPr>
            <w:tcW w:w="2681" w:type="dxa"/>
            <w:tcBorders>
              <w:top w:val="single" w:color="auto" w:sz="8" w:space="0"/>
              <w:left w:val="single" w:color="auto" w:sz="4" w:space="0"/>
              <w:bottom w:val="single" w:color="auto" w:sz="4" w:space="0"/>
              <w:right w:val="single" w:color="auto" w:sz="8" w:space="0"/>
            </w:tcBorders>
          </w:tcPr>
          <w:p w14:paraId="1E6A99DC">
            <w:pPr>
              <w:jc w:val="left"/>
              <w:rPr>
                <w:rFonts w:ascii="宋体" w:hAnsi="宋体" w:eastAsia="Times New Roman"/>
                <w:color w:val="000000"/>
                <w:sz w:val="18"/>
                <w:szCs w:val="18"/>
              </w:rPr>
            </w:pPr>
            <w:r>
              <w:rPr>
                <w:rFonts w:hint="eastAsia" w:ascii="宋体" w:hAnsi="宋体" w:eastAsia="Times New Roman" w:cs="宋体"/>
                <w:color w:val="000000"/>
                <w:sz w:val="18"/>
                <w:szCs w:val="18"/>
              </w:rPr>
              <w:t>严格规范手部卫生，认真核对患者信息，采样轻柔快速，避免触及舌、口腔粘膜和唾液。</w:t>
            </w:r>
          </w:p>
        </w:tc>
      </w:tr>
      <w:tr w14:paraId="0CD974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1A78DF68">
            <w:pPr>
              <w:jc w:val="center"/>
              <w:rPr>
                <w:rFonts w:ascii="宋体" w:hAnsi="宋体" w:eastAsia="Times New Roman"/>
                <w:sz w:val="18"/>
                <w:szCs w:val="18"/>
              </w:rPr>
            </w:pPr>
            <w:r>
              <w:rPr>
                <w:rFonts w:hint="eastAsia" w:ascii="宋体" w:hAnsi="宋体" w:eastAsia="Times New Roman"/>
                <w:sz w:val="18"/>
                <w:szCs w:val="18"/>
              </w:rPr>
              <w:t>2</w:t>
            </w:r>
          </w:p>
        </w:tc>
        <w:tc>
          <w:tcPr>
            <w:tcW w:w="850" w:type="dxa"/>
            <w:tcBorders>
              <w:top w:val="single" w:color="auto" w:sz="4" w:space="0"/>
              <w:left w:val="single" w:color="auto" w:sz="4" w:space="0"/>
              <w:bottom w:val="single" w:color="auto" w:sz="4" w:space="0"/>
              <w:right w:val="single" w:color="auto" w:sz="4" w:space="0"/>
            </w:tcBorders>
            <w:vAlign w:val="center"/>
          </w:tcPr>
          <w:p w14:paraId="1B57728A">
            <w:pPr>
              <w:jc w:val="center"/>
              <w:rPr>
                <w:rFonts w:ascii="宋体" w:hAnsi="宋体" w:eastAsia="Times New Roman"/>
                <w:sz w:val="18"/>
                <w:szCs w:val="18"/>
              </w:rPr>
            </w:pPr>
            <w:r>
              <w:rPr>
                <w:rFonts w:hint="eastAsia" w:ascii="宋体" w:hAnsi="宋体" w:eastAsia="Times New Roman" w:cs="宋体"/>
                <w:sz w:val="18"/>
                <w:szCs w:val="18"/>
              </w:rPr>
              <w:t>鼻拭子</w:t>
            </w:r>
          </w:p>
        </w:tc>
        <w:tc>
          <w:tcPr>
            <w:tcW w:w="5387" w:type="dxa"/>
            <w:tcBorders>
              <w:top w:val="single" w:color="auto" w:sz="4" w:space="0"/>
              <w:left w:val="single" w:color="auto" w:sz="4" w:space="0"/>
              <w:bottom w:val="single" w:color="auto" w:sz="4" w:space="0"/>
              <w:right w:val="single" w:color="auto" w:sz="4" w:space="0"/>
            </w:tcBorders>
          </w:tcPr>
          <w:p w14:paraId="4DACA3D6">
            <w:pPr>
              <w:jc w:val="left"/>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s="宋体"/>
                <w:color w:val="000000"/>
                <w:sz w:val="18"/>
                <w:szCs w:val="18"/>
              </w:rPr>
              <w:t>核对患者信息。</w:t>
            </w:r>
            <w:r>
              <w:rPr>
                <w:rFonts w:ascii="宋体" w:hAnsi="宋体" w:eastAsia="Times New Roman"/>
                <w:color w:val="000000"/>
                <w:sz w:val="18"/>
                <w:szCs w:val="18"/>
              </w:rPr>
              <w:t>2.</w:t>
            </w:r>
            <w:r>
              <w:rPr>
                <w:rFonts w:hint="eastAsia" w:ascii="宋体" w:hAnsi="宋体" w:eastAsia="Times New Roman" w:cs="宋体"/>
                <w:color w:val="000000"/>
                <w:sz w:val="18"/>
                <w:szCs w:val="18"/>
              </w:rPr>
              <w:t>手部消毒。</w:t>
            </w:r>
            <w:r>
              <w:rPr>
                <w:rFonts w:ascii="宋体" w:hAnsi="宋体" w:eastAsia="Times New Roman"/>
                <w:color w:val="000000"/>
                <w:sz w:val="18"/>
                <w:szCs w:val="18"/>
              </w:rPr>
              <w:t>3.</w:t>
            </w:r>
            <w:r>
              <w:rPr>
                <w:rFonts w:hint="eastAsia" w:ascii="宋体" w:hAnsi="宋体" w:eastAsia="Times New Roman" w:cs="宋体"/>
                <w:color w:val="000000"/>
                <w:sz w:val="18"/>
                <w:szCs w:val="18"/>
              </w:rPr>
              <w:t>取出采样拭子，嘱被采集者头部自然放松微仰，将采样拭子贴鼻孔壁平行于上颚插入鼻孔触及鼻腭处，停留片刻吸收分泌物后边擦拭边缓慢转动退出，另取一个拭子以同样方法采集另一侧鼻孔。</w:t>
            </w:r>
            <w:r>
              <w:rPr>
                <w:rFonts w:hint="eastAsia" w:ascii="宋体" w:hAnsi="宋体" w:eastAsia="Times New Roman"/>
                <w:color w:val="000000"/>
                <w:sz w:val="18"/>
                <w:szCs w:val="18"/>
              </w:rPr>
              <w:t>4.</w:t>
            </w:r>
            <w:r>
              <w:rPr>
                <w:rFonts w:hint="eastAsia" w:ascii="宋体" w:hAnsi="宋体" w:eastAsia="Times New Roman" w:cs="宋体"/>
                <w:color w:val="000000"/>
                <w:sz w:val="18"/>
                <w:szCs w:val="18"/>
              </w:rPr>
              <w:t>将咽拭子插入采集管中，折断弃去尾部，旋紧管盖。</w:t>
            </w:r>
            <w:r>
              <w:rPr>
                <w:rFonts w:hint="eastAsia" w:ascii="宋体" w:hAnsi="宋体" w:eastAsia="Times New Roman"/>
                <w:color w:val="000000"/>
                <w:sz w:val="18"/>
                <w:szCs w:val="18"/>
              </w:rPr>
              <w:t>5</w:t>
            </w:r>
            <w:r>
              <w:rPr>
                <w:rFonts w:ascii="宋体" w:hAnsi="宋体" w:eastAsia="Times New Roman"/>
                <w:color w:val="000000"/>
                <w:sz w:val="18"/>
                <w:szCs w:val="18"/>
              </w:rPr>
              <w:t>.</w:t>
            </w:r>
            <w:r>
              <w:rPr>
                <w:rFonts w:hint="eastAsia" w:ascii="宋体" w:hAnsi="宋体" w:eastAsia="Times New Roman" w:cs="宋体"/>
                <w:color w:val="000000"/>
                <w:sz w:val="18"/>
                <w:szCs w:val="18"/>
              </w:rPr>
              <w:t>再次核对患者信息无误。</w:t>
            </w:r>
          </w:p>
        </w:tc>
        <w:tc>
          <w:tcPr>
            <w:tcW w:w="2681" w:type="dxa"/>
            <w:tcBorders>
              <w:top w:val="single" w:color="auto" w:sz="4" w:space="0"/>
              <w:left w:val="single" w:color="auto" w:sz="4" w:space="0"/>
              <w:bottom w:val="single" w:color="auto" w:sz="4" w:space="0"/>
              <w:right w:val="single" w:color="auto" w:sz="8" w:space="0"/>
            </w:tcBorders>
          </w:tcPr>
          <w:p w14:paraId="1F65571A">
            <w:pPr>
              <w:jc w:val="left"/>
              <w:rPr>
                <w:rFonts w:ascii="宋体" w:hAnsi="宋体" w:eastAsia="Times New Roman"/>
                <w:color w:val="000000"/>
                <w:sz w:val="18"/>
                <w:szCs w:val="18"/>
              </w:rPr>
            </w:pPr>
            <w:r>
              <w:rPr>
                <w:rFonts w:hint="eastAsia" w:ascii="宋体" w:hAnsi="宋体" w:eastAsia="Times New Roman" w:cs="宋体"/>
                <w:color w:val="000000"/>
                <w:sz w:val="18"/>
                <w:szCs w:val="18"/>
              </w:rPr>
              <w:t>严格执行个人防护，核对患者信息，同一病人的鼻拭子和咽拭子可以分别保存，也可以放入同一采样管中作为鼻咽拭子管。</w:t>
            </w:r>
          </w:p>
        </w:tc>
      </w:tr>
      <w:tr w14:paraId="5DBADC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460EF39C">
            <w:pPr>
              <w:jc w:val="center"/>
              <w:rPr>
                <w:rFonts w:ascii="宋体" w:hAnsi="宋体" w:eastAsia="Times New Roman"/>
                <w:sz w:val="18"/>
                <w:szCs w:val="18"/>
              </w:rPr>
            </w:pPr>
            <w:r>
              <w:rPr>
                <w:rFonts w:hint="eastAsia" w:ascii="宋体" w:hAnsi="宋体" w:eastAsia="Times New Roman"/>
                <w:sz w:val="18"/>
                <w:szCs w:val="18"/>
              </w:rPr>
              <w:t>3</w:t>
            </w:r>
          </w:p>
        </w:tc>
        <w:tc>
          <w:tcPr>
            <w:tcW w:w="850" w:type="dxa"/>
            <w:tcBorders>
              <w:top w:val="single" w:color="auto" w:sz="4" w:space="0"/>
              <w:left w:val="single" w:color="auto" w:sz="4" w:space="0"/>
              <w:bottom w:val="single" w:color="auto" w:sz="4" w:space="0"/>
              <w:right w:val="single" w:color="auto" w:sz="4" w:space="0"/>
            </w:tcBorders>
            <w:vAlign w:val="center"/>
          </w:tcPr>
          <w:p w14:paraId="147BB67D">
            <w:pPr>
              <w:jc w:val="center"/>
              <w:rPr>
                <w:rFonts w:ascii="宋体" w:hAnsi="宋体" w:eastAsia="Times New Roman"/>
                <w:sz w:val="18"/>
                <w:szCs w:val="18"/>
              </w:rPr>
            </w:pPr>
            <w:r>
              <w:rPr>
                <w:rFonts w:hint="eastAsia" w:ascii="宋体" w:hAnsi="宋体" w:eastAsia="Times New Roman" w:cs="宋体"/>
                <w:sz w:val="18"/>
                <w:szCs w:val="18"/>
              </w:rPr>
              <w:t>肛拭子</w:t>
            </w:r>
          </w:p>
        </w:tc>
        <w:tc>
          <w:tcPr>
            <w:tcW w:w="5387" w:type="dxa"/>
            <w:tcBorders>
              <w:top w:val="single" w:color="auto" w:sz="4" w:space="0"/>
              <w:left w:val="single" w:color="auto" w:sz="4" w:space="0"/>
              <w:bottom w:val="single" w:color="auto" w:sz="4" w:space="0"/>
              <w:right w:val="single" w:color="auto" w:sz="4" w:space="0"/>
            </w:tcBorders>
          </w:tcPr>
          <w:p w14:paraId="719F37E1">
            <w:pPr>
              <w:jc w:val="left"/>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核对患者信息。</w:t>
            </w:r>
            <w:r>
              <w:rPr>
                <w:rFonts w:ascii="宋体" w:hAnsi="宋体" w:eastAsia="Times New Roman"/>
                <w:color w:val="000000"/>
                <w:sz w:val="18"/>
                <w:szCs w:val="18"/>
              </w:rPr>
              <w:t>2.</w:t>
            </w:r>
            <w:r>
              <w:rPr>
                <w:rFonts w:hint="eastAsia" w:ascii="宋体" w:hAnsi="宋体" w:eastAsia="Times New Roman" w:cs="宋体"/>
                <w:color w:val="000000"/>
                <w:sz w:val="18"/>
                <w:szCs w:val="18"/>
              </w:rPr>
              <w:t>被采集者通常采用侧卧屈膝姿势或双手支撑桌椅站立前屈姿势或膝胸位（跪趴），暴露肛门。</w:t>
            </w:r>
            <w:r>
              <w:rPr>
                <w:rFonts w:ascii="宋体" w:hAnsi="宋体" w:eastAsia="Times New Roman"/>
                <w:color w:val="000000"/>
                <w:sz w:val="18"/>
                <w:szCs w:val="18"/>
              </w:rPr>
              <w:t>3.</w:t>
            </w:r>
            <w:r>
              <w:rPr>
                <w:rFonts w:hint="eastAsia" w:ascii="宋体" w:hAnsi="宋体" w:eastAsia="Times New Roman" w:cs="宋体"/>
                <w:color w:val="000000"/>
                <w:sz w:val="18"/>
                <w:szCs w:val="18"/>
              </w:rPr>
              <w:t>将采样拭子轻轻插入肛门</w:t>
            </w:r>
            <w:r>
              <w:rPr>
                <w:rFonts w:hint="eastAsia" w:ascii="宋体" w:hAnsi="宋体" w:eastAsia="Times New Roman"/>
                <w:color w:val="000000"/>
                <w:sz w:val="18"/>
                <w:szCs w:val="18"/>
              </w:rPr>
              <w:t>3 cm</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5cm</w:t>
            </w:r>
            <w:r>
              <w:rPr>
                <w:rFonts w:hint="eastAsia" w:ascii="宋体" w:hAnsi="宋体" w:eastAsia="Times New Roman" w:cs="宋体"/>
                <w:color w:val="000000"/>
                <w:sz w:val="18"/>
                <w:szCs w:val="18"/>
              </w:rPr>
              <w:t>（小儿</w:t>
            </w:r>
            <w:r>
              <w:rPr>
                <w:rFonts w:hint="eastAsia" w:ascii="宋体" w:hAnsi="宋体" w:eastAsia="Times New Roman"/>
                <w:color w:val="000000"/>
                <w:sz w:val="18"/>
                <w:szCs w:val="18"/>
              </w:rPr>
              <w:t>2 cm</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3cm</w:t>
            </w:r>
            <w:r>
              <w:rPr>
                <w:rFonts w:hint="eastAsia" w:ascii="宋体" w:hAnsi="宋体" w:eastAsia="Times New Roman" w:cs="宋体"/>
                <w:color w:val="000000"/>
                <w:sz w:val="18"/>
                <w:szCs w:val="18"/>
              </w:rPr>
              <w:t>），轻轻旋转</w:t>
            </w:r>
            <w:r>
              <w:rPr>
                <w:rFonts w:ascii="宋体" w:hAnsi="宋体" w:eastAsia="Times New Roman"/>
                <w:color w:val="000000"/>
                <w:sz w:val="18"/>
                <w:szCs w:val="18"/>
              </w:rPr>
              <w:t>3</w:t>
            </w:r>
            <w:r>
              <w:rPr>
                <w:rFonts w:hint="eastAsia" w:ascii="宋体" w:hAnsi="宋体" w:eastAsia="Times New Roman" w:cs="宋体"/>
                <w:color w:val="000000"/>
                <w:sz w:val="18"/>
                <w:szCs w:val="18"/>
              </w:rPr>
              <w:t>圈～</w:t>
            </w:r>
            <w:r>
              <w:rPr>
                <w:rFonts w:hint="eastAsia" w:ascii="宋体" w:hAnsi="宋体" w:eastAsia="Times New Roman"/>
                <w:color w:val="000000"/>
                <w:sz w:val="18"/>
                <w:szCs w:val="18"/>
              </w:rPr>
              <w:t>5</w:t>
            </w:r>
            <w:r>
              <w:rPr>
                <w:rFonts w:hint="eastAsia" w:ascii="宋体" w:hAnsi="宋体" w:eastAsia="Times New Roman" w:cs="宋体"/>
                <w:color w:val="000000"/>
                <w:sz w:val="18"/>
                <w:szCs w:val="18"/>
              </w:rPr>
              <w:t>圈后旋转拔出。</w:t>
            </w:r>
            <w:r>
              <w:rPr>
                <w:rFonts w:ascii="宋体" w:hAnsi="宋体" w:eastAsia="Times New Roman"/>
                <w:color w:val="000000"/>
                <w:sz w:val="18"/>
                <w:szCs w:val="18"/>
              </w:rPr>
              <w:t xml:space="preserve"> 4.</w:t>
            </w:r>
            <w:r>
              <w:rPr>
                <w:rFonts w:hint="eastAsia" w:ascii="宋体" w:hAnsi="宋体" w:eastAsia="Times New Roman" w:cs="宋体"/>
                <w:color w:val="000000"/>
                <w:sz w:val="18"/>
                <w:szCs w:val="18"/>
              </w:rPr>
              <w:t>立即插入采集管中，折断弃去尾部，旋紧管盖。</w:t>
            </w:r>
          </w:p>
        </w:tc>
        <w:tc>
          <w:tcPr>
            <w:tcW w:w="2681" w:type="dxa"/>
            <w:tcBorders>
              <w:top w:val="single" w:color="auto" w:sz="4" w:space="0"/>
              <w:left w:val="single" w:color="auto" w:sz="4" w:space="0"/>
              <w:bottom w:val="single" w:color="auto" w:sz="4" w:space="0"/>
              <w:right w:val="single" w:color="auto" w:sz="8" w:space="0"/>
            </w:tcBorders>
          </w:tcPr>
          <w:p w14:paraId="7C52B9DF">
            <w:pPr>
              <w:jc w:val="left"/>
              <w:rPr>
                <w:rFonts w:ascii="宋体" w:hAnsi="宋体" w:eastAsia="Times New Roman"/>
                <w:color w:val="000000"/>
                <w:sz w:val="18"/>
                <w:szCs w:val="18"/>
              </w:rPr>
            </w:pPr>
            <w:r>
              <w:rPr>
                <w:rFonts w:hint="eastAsia" w:ascii="宋体" w:hAnsi="宋体" w:eastAsia="Times New Roman" w:cs="宋体"/>
                <w:color w:val="000000"/>
                <w:sz w:val="18"/>
                <w:szCs w:val="18"/>
              </w:rPr>
              <w:t>采样拭子前端可先湿润，即蘸取生理盐水或采集管内非刺激性保存液，挤去多余液体后插入，保证进入肛门内部，旋转时轻柔，尽量带有部分粪便，增加检出率。</w:t>
            </w:r>
          </w:p>
        </w:tc>
      </w:tr>
      <w:tr w14:paraId="35F38E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14951E3A">
            <w:pPr>
              <w:jc w:val="center"/>
              <w:rPr>
                <w:rFonts w:ascii="宋体" w:hAnsi="宋体" w:eastAsia="Times New Roman"/>
                <w:sz w:val="18"/>
                <w:szCs w:val="18"/>
              </w:rPr>
            </w:pPr>
            <w:r>
              <w:rPr>
                <w:rFonts w:hint="eastAsia" w:ascii="宋体" w:hAnsi="宋体" w:eastAsia="Times New Roman"/>
                <w:sz w:val="18"/>
                <w:szCs w:val="18"/>
              </w:rPr>
              <w:t>4</w:t>
            </w:r>
          </w:p>
        </w:tc>
        <w:tc>
          <w:tcPr>
            <w:tcW w:w="850" w:type="dxa"/>
            <w:tcBorders>
              <w:top w:val="single" w:color="auto" w:sz="4" w:space="0"/>
              <w:left w:val="single" w:color="auto" w:sz="4" w:space="0"/>
              <w:bottom w:val="single" w:color="auto" w:sz="4" w:space="0"/>
              <w:right w:val="single" w:color="auto" w:sz="4" w:space="0"/>
            </w:tcBorders>
            <w:vAlign w:val="center"/>
          </w:tcPr>
          <w:p w14:paraId="190E6A66">
            <w:pPr>
              <w:jc w:val="center"/>
              <w:rPr>
                <w:rFonts w:ascii="宋体" w:hAnsi="宋体" w:eastAsia="Times New Roman"/>
                <w:sz w:val="18"/>
                <w:szCs w:val="18"/>
              </w:rPr>
            </w:pPr>
            <w:r>
              <w:rPr>
                <w:rFonts w:hint="eastAsia" w:ascii="宋体" w:hAnsi="宋体" w:eastAsia="Times New Roman" w:cs="宋体"/>
                <w:sz w:val="18"/>
                <w:szCs w:val="18"/>
              </w:rPr>
              <w:t>血液</w:t>
            </w:r>
          </w:p>
        </w:tc>
        <w:tc>
          <w:tcPr>
            <w:tcW w:w="5387" w:type="dxa"/>
            <w:tcBorders>
              <w:top w:val="single" w:color="auto" w:sz="4" w:space="0"/>
              <w:left w:val="single" w:color="auto" w:sz="4" w:space="0"/>
              <w:bottom w:val="single" w:color="auto" w:sz="4" w:space="0"/>
              <w:right w:val="single" w:color="auto" w:sz="4" w:space="0"/>
            </w:tcBorders>
          </w:tcPr>
          <w:p w14:paraId="31F83742">
            <w:pPr>
              <w:jc w:val="left"/>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s="宋体"/>
                <w:color w:val="000000"/>
                <w:sz w:val="18"/>
                <w:szCs w:val="18"/>
              </w:rPr>
              <w:t>核对检验项目、检验时间、试管、姓名、年龄。</w:t>
            </w:r>
          </w:p>
          <w:p w14:paraId="05BF1E74">
            <w:pPr>
              <w:jc w:val="left"/>
              <w:rPr>
                <w:rFonts w:ascii="宋体" w:hAnsi="宋体" w:eastAsia="Times New Roman"/>
                <w:color w:val="000000"/>
                <w:sz w:val="18"/>
                <w:szCs w:val="18"/>
              </w:rPr>
            </w:pPr>
            <w:r>
              <w:rPr>
                <w:rFonts w:ascii="宋体" w:hAnsi="宋体" w:eastAsia="Times New Roman"/>
                <w:color w:val="000000"/>
                <w:sz w:val="18"/>
                <w:szCs w:val="18"/>
              </w:rPr>
              <w:t xml:space="preserve">2. </w:t>
            </w:r>
            <w:r>
              <w:rPr>
                <w:rFonts w:hint="eastAsia" w:ascii="宋体" w:hAnsi="宋体" w:eastAsia="Times New Roman" w:cs="宋体"/>
                <w:color w:val="000000"/>
                <w:sz w:val="18"/>
                <w:szCs w:val="18"/>
              </w:rPr>
              <w:t>根据医嘱采集血标本，根据检验目的与要求确定采集时间、方法和试管，并通知患者准备。</w:t>
            </w:r>
          </w:p>
          <w:p w14:paraId="38ABC79A">
            <w:pPr>
              <w:jc w:val="left"/>
              <w:rPr>
                <w:rFonts w:ascii="宋体" w:hAnsi="宋体" w:eastAsia="Times New Roman"/>
                <w:color w:val="000000"/>
                <w:sz w:val="18"/>
                <w:szCs w:val="18"/>
              </w:rPr>
            </w:pPr>
            <w:r>
              <w:rPr>
                <w:rFonts w:ascii="宋体" w:hAnsi="宋体" w:eastAsia="Times New Roman"/>
                <w:color w:val="000000"/>
                <w:sz w:val="18"/>
                <w:szCs w:val="18"/>
              </w:rPr>
              <w:t xml:space="preserve">3 </w:t>
            </w:r>
            <w:r>
              <w:rPr>
                <w:rFonts w:hint="eastAsia" w:ascii="宋体" w:hAnsi="宋体" w:eastAsia="Times New Roman" w:cs="宋体"/>
                <w:color w:val="000000"/>
                <w:sz w:val="18"/>
                <w:szCs w:val="18"/>
              </w:rPr>
              <w:t>皮肤消毒程序：按常规方法进行。</w:t>
            </w:r>
          </w:p>
          <w:p w14:paraId="176D5E47">
            <w:pPr>
              <w:jc w:val="left"/>
              <w:rPr>
                <w:rFonts w:ascii="宋体" w:hAnsi="宋体" w:eastAsia="Times New Roman"/>
                <w:color w:val="000000"/>
                <w:sz w:val="18"/>
                <w:szCs w:val="18"/>
              </w:rPr>
            </w:pPr>
            <w:r>
              <w:rPr>
                <w:rFonts w:ascii="宋体" w:hAnsi="宋体" w:eastAsia="Times New Roman"/>
                <w:color w:val="000000"/>
                <w:sz w:val="18"/>
                <w:szCs w:val="18"/>
              </w:rPr>
              <w:t xml:space="preserve">4 </w:t>
            </w:r>
            <w:r>
              <w:rPr>
                <w:rFonts w:hint="eastAsia" w:ascii="宋体" w:hAnsi="宋体" w:eastAsia="Times New Roman" w:cs="宋体"/>
                <w:color w:val="000000"/>
                <w:sz w:val="18"/>
                <w:szCs w:val="18"/>
              </w:rPr>
              <w:t>采血操作程序：（</w:t>
            </w:r>
            <w:r>
              <w:rPr>
                <w:rFonts w:hint="eastAsia" w:ascii="宋体" w:hAnsi="宋体" w:eastAsia="Times New Roman"/>
                <w:color w:val="000000"/>
                <w:sz w:val="18"/>
                <w:szCs w:val="18"/>
              </w:rPr>
              <w:t>1</w:t>
            </w:r>
            <w:r>
              <w:rPr>
                <w:rFonts w:hint="eastAsia" w:ascii="宋体" w:hAnsi="宋体" w:eastAsia="Times New Roman" w:cs="宋体"/>
                <w:color w:val="000000"/>
                <w:sz w:val="18"/>
                <w:szCs w:val="18"/>
              </w:rPr>
              <w:t>）通常采血部位为肘静脉，将止血带扎在静脉取血部位的上方，采血部位的局部皮肤用消毒液由采血部位向外周严格消毒，消毒后不可接触采血部位，待消毒液挥发后，进行取血操作。（</w:t>
            </w:r>
            <w:r>
              <w:rPr>
                <w:rFonts w:hint="eastAsia" w:ascii="宋体" w:hAnsi="宋体" w:eastAsia="Times New Roman"/>
                <w:color w:val="000000"/>
                <w:sz w:val="18"/>
                <w:szCs w:val="18"/>
              </w:rPr>
              <w:t>2</w:t>
            </w:r>
            <w:r>
              <w:rPr>
                <w:rFonts w:hint="eastAsia" w:ascii="宋体" w:hAnsi="宋体" w:eastAsia="Times New Roman" w:cs="宋体"/>
                <w:color w:val="000000"/>
                <w:sz w:val="18"/>
                <w:szCs w:val="18"/>
              </w:rPr>
              <w:t>）采用商品化的一次性注射器或真空采血管采血标本。（</w:t>
            </w:r>
            <w:r>
              <w:rPr>
                <w:rFonts w:hint="eastAsia" w:ascii="宋体" w:hAnsi="宋体" w:eastAsia="Times New Roman"/>
                <w:color w:val="000000"/>
                <w:sz w:val="18"/>
                <w:szCs w:val="18"/>
              </w:rPr>
              <w:t>3</w:t>
            </w:r>
            <w:r>
              <w:rPr>
                <w:rFonts w:hint="eastAsia" w:ascii="宋体" w:hAnsi="宋体" w:eastAsia="Times New Roman" w:cs="宋体"/>
                <w:color w:val="000000"/>
                <w:sz w:val="18"/>
                <w:szCs w:val="18"/>
              </w:rPr>
              <w:t>）拿下止血带，用无菌棉压迫止血。（</w:t>
            </w:r>
            <w:r>
              <w:rPr>
                <w:rFonts w:hint="eastAsia" w:ascii="宋体" w:hAnsi="宋体" w:eastAsia="Times New Roman"/>
                <w:color w:val="000000"/>
                <w:sz w:val="18"/>
                <w:szCs w:val="18"/>
              </w:rPr>
              <w:t>4</w:t>
            </w:r>
            <w:r>
              <w:rPr>
                <w:rFonts w:hint="eastAsia" w:ascii="宋体" w:hAnsi="宋体" w:eastAsia="Times New Roman" w:cs="宋体"/>
                <w:color w:val="000000"/>
                <w:sz w:val="18"/>
                <w:szCs w:val="18"/>
              </w:rPr>
              <w:t>）用过的采血针不要回盖针帽，直接将其放在锐器盒内。</w:t>
            </w:r>
          </w:p>
          <w:p w14:paraId="62A06713">
            <w:pPr>
              <w:jc w:val="left"/>
              <w:rPr>
                <w:rFonts w:ascii="宋体" w:hAnsi="宋体" w:eastAsia="Times New Roman"/>
                <w:color w:val="000000"/>
                <w:sz w:val="18"/>
                <w:szCs w:val="18"/>
              </w:rPr>
            </w:pPr>
            <w:r>
              <w:rPr>
                <w:rFonts w:ascii="宋体" w:hAnsi="宋体" w:eastAsia="Times New Roman"/>
                <w:color w:val="000000"/>
                <w:sz w:val="18"/>
                <w:szCs w:val="18"/>
              </w:rPr>
              <w:t>5.</w:t>
            </w:r>
            <w:r>
              <w:rPr>
                <w:rFonts w:hint="eastAsia" w:ascii="宋体" w:hAnsi="宋体" w:eastAsia="Times New Roman" w:cs="宋体"/>
                <w:color w:val="000000"/>
                <w:sz w:val="18"/>
                <w:szCs w:val="18"/>
              </w:rPr>
              <w:t>采血后指导患者按压穿刺点</w:t>
            </w:r>
            <w:r>
              <w:rPr>
                <w:rFonts w:ascii="宋体" w:hAnsi="宋体" w:eastAsia="Times New Roman"/>
                <w:color w:val="000000"/>
                <w:sz w:val="18"/>
                <w:szCs w:val="18"/>
              </w:rPr>
              <w:t xml:space="preserve">5 </w:t>
            </w:r>
            <w:r>
              <w:rPr>
                <w:rFonts w:hint="eastAsia" w:ascii="宋体" w:hAnsi="宋体" w:eastAsia="Times New Roman"/>
                <w:color w:val="000000"/>
                <w:sz w:val="18"/>
                <w:szCs w:val="18"/>
              </w:rPr>
              <w:t>min</w:t>
            </w:r>
            <w:r>
              <w:rPr>
                <w:rFonts w:hint="eastAsia" w:ascii="宋体" w:hAnsi="宋体" w:eastAsia="Times New Roman" w:cs="宋体"/>
                <w:color w:val="000000"/>
                <w:sz w:val="18"/>
                <w:szCs w:val="18"/>
              </w:rPr>
              <w:t>～</w:t>
            </w:r>
            <w:r>
              <w:rPr>
                <w:rFonts w:ascii="宋体" w:hAnsi="宋体" w:eastAsia="Times New Roman"/>
                <w:color w:val="000000"/>
                <w:sz w:val="18"/>
                <w:szCs w:val="18"/>
              </w:rPr>
              <w:t>10</w:t>
            </w:r>
            <w:r>
              <w:rPr>
                <w:rFonts w:hint="eastAsia" w:ascii="宋体" w:hAnsi="宋体" w:eastAsia="Times New Roman"/>
                <w:color w:val="000000"/>
                <w:sz w:val="18"/>
                <w:szCs w:val="18"/>
              </w:rPr>
              <w:t>min</w:t>
            </w:r>
            <w:r>
              <w:rPr>
                <w:rFonts w:hint="eastAsia" w:ascii="宋体" w:hAnsi="宋体" w:eastAsia="Times New Roman" w:cs="宋体"/>
                <w:color w:val="000000"/>
                <w:sz w:val="18"/>
                <w:szCs w:val="18"/>
              </w:rPr>
              <w:t>，勿揉，凝血机制差的患者适当延长按压时间。</w:t>
            </w:r>
          </w:p>
        </w:tc>
        <w:tc>
          <w:tcPr>
            <w:tcW w:w="2681" w:type="dxa"/>
            <w:tcBorders>
              <w:top w:val="single" w:color="auto" w:sz="4" w:space="0"/>
              <w:left w:val="single" w:color="auto" w:sz="4" w:space="0"/>
              <w:bottom w:val="single" w:color="auto" w:sz="4" w:space="0"/>
              <w:right w:val="single" w:color="auto" w:sz="8" w:space="0"/>
            </w:tcBorders>
          </w:tcPr>
          <w:p w14:paraId="041ED08D">
            <w:pPr>
              <w:jc w:val="left"/>
              <w:rPr>
                <w:rFonts w:ascii="宋体" w:hAnsi="宋体" w:eastAsia="Times New Roman"/>
                <w:color w:val="000000"/>
                <w:sz w:val="18"/>
                <w:szCs w:val="18"/>
              </w:rPr>
            </w:pPr>
            <w:r>
              <w:rPr>
                <w:rFonts w:hint="eastAsia" w:ascii="宋体" w:hAnsi="宋体" w:eastAsia="Times New Roman" w:cs="宋体"/>
                <w:color w:val="000000"/>
                <w:sz w:val="18"/>
                <w:szCs w:val="18"/>
              </w:rPr>
              <w:t>必须核对患者信息。应严格执行无菌操作，严禁在正在输液或输血的肢体或针头、输液或输血穿刺点上方、皮管内采血标本，应在对侧肢体采血。如同时采多个项目的标本，采血顺序：血培养</w:t>
            </w:r>
            <w:r>
              <w:rPr>
                <w:rFonts w:ascii="宋体" w:hAnsi="宋体" w:eastAsia="Times New Roman"/>
                <w:color w:val="000000"/>
                <w:sz w:val="18"/>
                <w:szCs w:val="18"/>
              </w:rPr>
              <w:t>→</w:t>
            </w:r>
            <w:r>
              <w:rPr>
                <w:rFonts w:hint="eastAsia" w:ascii="宋体" w:hAnsi="宋体" w:eastAsia="Times New Roman" w:cs="宋体"/>
                <w:color w:val="000000"/>
                <w:sz w:val="18"/>
                <w:szCs w:val="18"/>
              </w:rPr>
              <w:t>不含添加剂的试管</w:t>
            </w:r>
            <w:r>
              <w:rPr>
                <w:rFonts w:ascii="宋体" w:hAnsi="宋体" w:eastAsia="Times New Roman"/>
                <w:color w:val="000000"/>
                <w:sz w:val="18"/>
                <w:szCs w:val="18"/>
              </w:rPr>
              <w:t>→</w:t>
            </w:r>
            <w:r>
              <w:rPr>
                <w:rFonts w:hint="eastAsia" w:ascii="宋体" w:hAnsi="宋体" w:eastAsia="Times New Roman" w:cs="宋体"/>
                <w:color w:val="000000"/>
                <w:sz w:val="18"/>
                <w:szCs w:val="18"/>
              </w:rPr>
              <w:t>凝血标本管</w:t>
            </w:r>
            <w:r>
              <w:rPr>
                <w:rFonts w:ascii="宋体" w:hAnsi="宋体" w:eastAsia="Times New Roman"/>
                <w:color w:val="000000"/>
                <w:sz w:val="18"/>
                <w:szCs w:val="18"/>
              </w:rPr>
              <w:t>→</w:t>
            </w:r>
            <w:r>
              <w:rPr>
                <w:rFonts w:hint="eastAsia" w:ascii="宋体" w:hAnsi="宋体" w:eastAsia="Times New Roman" w:cs="宋体"/>
                <w:color w:val="000000"/>
                <w:sz w:val="18"/>
                <w:szCs w:val="18"/>
              </w:rPr>
              <w:t>其他标本管，需抗凝的试管拔出后按要求轻轻摇匀。注意标本溶血问题，采样后尽快送检，用于血清学检测的标本保存在</w:t>
            </w:r>
            <w:r>
              <w:rPr>
                <w:rFonts w:hint="eastAsia" w:ascii="宋体" w:hAnsi="宋体" w:eastAsia="Times New Roman"/>
                <w:color w:val="000000"/>
                <w:sz w:val="18"/>
                <w:szCs w:val="18"/>
              </w:rPr>
              <w:t>4℃</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8℃</w:t>
            </w:r>
            <w:r>
              <w:rPr>
                <w:rFonts w:hint="eastAsia" w:ascii="宋体" w:hAnsi="宋体" w:eastAsia="Times New Roman" w:cs="宋体"/>
                <w:color w:val="000000"/>
                <w:sz w:val="18"/>
                <w:szCs w:val="18"/>
              </w:rPr>
              <w:t>。</w:t>
            </w:r>
          </w:p>
          <w:p w14:paraId="01CB4C3A">
            <w:pPr>
              <w:jc w:val="left"/>
              <w:rPr>
                <w:rFonts w:ascii="宋体" w:hAnsi="宋体" w:eastAsia="Times New Roman"/>
                <w:color w:val="000000"/>
                <w:sz w:val="18"/>
                <w:szCs w:val="18"/>
              </w:rPr>
            </w:pPr>
          </w:p>
        </w:tc>
      </w:tr>
      <w:tr w14:paraId="66E8F4B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2850BD92">
            <w:pPr>
              <w:jc w:val="center"/>
              <w:rPr>
                <w:rFonts w:ascii="宋体" w:hAnsi="宋体" w:eastAsia="Times New Roman"/>
                <w:sz w:val="18"/>
                <w:szCs w:val="18"/>
              </w:rPr>
            </w:pPr>
            <w:r>
              <w:rPr>
                <w:rFonts w:hint="eastAsia" w:ascii="宋体" w:hAnsi="宋体" w:eastAsia="Times New Roman"/>
                <w:sz w:val="18"/>
                <w:szCs w:val="18"/>
              </w:rPr>
              <w:t>5</w:t>
            </w:r>
          </w:p>
        </w:tc>
        <w:tc>
          <w:tcPr>
            <w:tcW w:w="850" w:type="dxa"/>
            <w:tcBorders>
              <w:top w:val="single" w:color="auto" w:sz="4" w:space="0"/>
              <w:left w:val="single" w:color="auto" w:sz="4" w:space="0"/>
              <w:bottom w:val="single" w:color="auto" w:sz="4" w:space="0"/>
              <w:right w:val="single" w:color="auto" w:sz="4" w:space="0"/>
            </w:tcBorders>
            <w:vAlign w:val="center"/>
          </w:tcPr>
          <w:p w14:paraId="4C47EB78">
            <w:pPr>
              <w:jc w:val="center"/>
              <w:rPr>
                <w:rFonts w:ascii="宋体" w:hAnsi="宋体" w:eastAsia="Times New Roman"/>
                <w:sz w:val="18"/>
                <w:szCs w:val="18"/>
              </w:rPr>
            </w:pPr>
            <w:r>
              <w:rPr>
                <w:rFonts w:hint="eastAsia" w:ascii="宋体" w:hAnsi="宋体" w:eastAsia="Times New Roman" w:cs="宋体"/>
                <w:sz w:val="18"/>
                <w:szCs w:val="18"/>
              </w:rPr>
              <w:t>粪便</w:t>
            </w:r>
          </w:p>
        </w:tc>
        <w:tc>
          <w:tcPr>
            <w:tcW w:w="5387" w:type="dxa"/>
            <w:tcBorders>
              <w:top w:val="single" w:color="auto" w:sz="4" w:space="0"/>
              <w:left w:val="single" w:color="auto" w:sz="4" w:space="0"/>
              <w:bottom w:val="single" w:color="auto" w:sz="4" w:space="0"/>
              <w:right w:val="single" w:color="auto" w:sz="4" w:space="0"/>
            </w:tcBorders>
          </w:tcPr>
          <w:p w14:paraId="3337AAB8">
            <w:pPr>
              <w:jc w:val="left"/>
              <w:rPr>
                <w:rFonts w:ascii="宋体" w:hAnsi="宋体" w:eastAsia="Times New Roman"/>
                <w:color w:val="000000"/>
                <w:sz w:val="18"/>
                <w:szCs w:val="18"/>
              </w:rPr>
            </w:pPr>
            <w:r>
              <w:rPr>
                <w:rFonts w:hint="eastAsia" w:ascii="宋体" w:hAnsi="宋体" w:eastAsia="Times New Roman" w:cs="宋体"/>
                <w:color w:val="000000"/>
                <w:sz w:val="18"/>
                <w:szCs w:val="18"/>
              </w:rPr>
              <w:t>采集粪便应使用无菌容器（如痰盂内套无菌塑料袋），自然排出新鲜粪便后，迅速挑取粪便盛入无菌的便盒或采样杯。挑取的粪便标本，应该选择具有明显性状改变的部分，如有脓血或黏液应挑取脓血、黏液部分；液体粪便则应取絮状物的部分。固体形态的粪便可用灭菌的压舌板或棉签挑取；液体粪便则需要使用吸管。</w:t>
            </w:r>
          </w:p>
        </w:tc>
        <w:tc>
          <w:tcPr>
            <w:tcW w:w="2681" w:type="dxa"/>
            <w:tcBorders>
              <w:top w:val="single" w:color="auto" w:sz="4" w:space="0"/>
              <w:left w:val="single" w:color="auto" w:sz="4" w:space="0"/>
              <w:bottom w:val="single" w:color="auto" w:sz="4" w:space="0"/>
              <w:right w:val="single" w:color="auto" w:sz="8" w:space="0"/>
            </w:tcBorders>
          </w:tcPr>
          <w:p w14:paraId="42C87431">
            <w:pPr>
              <w:jc w:val="left"/>
              <w:rPr>
                <w:rFonts w:ascii="宋体" w:hAnsi="宋体" w:eastAsia="Times New Roman"/>
                <w:color w:val="000000"/>
                <w:sz w:val="18"/>
                <w:szCs w:val="18"/>
              </w:rPr>
            </w:pPr>
            <w:r>
              <w:rPr>
                <w:rFonts w:hint="eastAsia" w:ascii="宋体" w:hAnsi="宋体" w:eastAsia="Times New Roman" w:cs="宋体"/>
                <w:color w:val="000000"/>
                <w:sz w:val="18"/>
                <w:szCs w:val="18"/>
              </w:rPr>
              <w:t>建议多点采集以提高检出率，便盒中粪便量不少于</w:t>
            </w:r>
            <w:r>
              <w:rPr>
                <w:rFonts w:hint="eastAsia" w:ascii="宋体" w:hAnsi="宋体" w:eastAsia="Times New Roman"/>
                <w:color w:val="000000"/>
                <w:sz w:val="18"/>
                <w:szCs w:val="18"/>
              </w:rPr>
              <w:t>5g</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5mL</w:t>
            </w:r>
            <w:r>
              <w:rPr>
                <w:rFonts w:hint="eastAsia" w:ascii="宋体" w:hAnsi="宋体" w:eastAsia="Times New Roman" w:cs="宋体"/>
                <w:color w:val="000000"/>
                <w:sz w:val="18"/>
                <w:szCs w:val="18"/>
              </w:rPr>
              <w:t>），由于症候群病原学检测要求同时进行多种病原体的检测，因此采集的标本量大于一般进行单个病种检测的量。在整个采集过程中注意不能有尿液混入。</w:t>
            </w:r>
          </w:p>
        </w:tc>
      </w:tr>
      <w:tr w14:paraId="3A8AA8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641" w:hRule="atLeast"/>
          <w:jc w:val="center"/>
        </w:trPr>
        <w:tc>
          <w:tcPr>
            <w:tcW w:w="416" w:type="dxa"/>
            <w:tcBorders>
              <w:top w:val="single" w:color="auto" w:sz="4" w:space="0"/>
              <w:left w:val="single" w:color="auto" w:sz="8" w:space="0"/>
              <w:bottom w:val="single" w:color="auto" w:sz="4" w:space="0"/>
              <w:right w:val="single" w:color="auto" w:sz="4" w:space="0"/>
            </w:tcBorders>
            <w:vAlign w:val="center"/>
          </w:tcPr>
          <w:p w14:paraId="111D0B5C">
            <w:pPr>
              <w:jc w:val="center"/>
              <w:rPr>
                <w:rFonts w:ascii="宋体" w:hAnsi="宋体" w:eastAsia="Times New Roman"/>
                <w:sz w:val="18"/>
                <w:szCs w:val="18"/>
              </w:rPr>
            </w:pPr>
            <w:r>
              <w:rPr>
                <w:rFonts w:hint="eastAsia" w:ascii="宋体" w:hAnsi="宋体" w:eastAsia="Times New Roman"/>
                <w:sz w:val="18"/>
                <w:szCs w:val="18"/>
              </w:rPr>
              <w:t>6</w:t>
            </w:r>
          </w:p>
        </w:tc>
        <w:tc>
          <w:tcPr>
            <w:tcW w:w="850" w:type="dxa"/>
            <w:tcBorders>
              <w:top w:val="single" w:color="auto" w:sz="4" w:space="0"/>
              <w:left w:val="single" w:color="auto" w:sz="4" w:space="0"/>
              <w:bottom w:val="single" w:color="auto" w:sz="4" w:space="0"/>
              <w:right w:val="single" w:color="auto" w:sz="4" w:space="0"/>
            </w:tcBorders>
            <w:vAlign w:val="center"/>
          </w:tcPr>
          <w:p w14:paraId="096ED792">
            <w:pPr>
              <w:jc w:val="center"/>
              <w:rPr>
                <w:rFonts w:ascii="宋体" w:hAnsi="宋体" w:eastAsia="Times New Roman"/>
                <w:sz w:val="18"/>
                <w:szCs w:val="18"/>
              </w:rPr>
            </w:pPr>
            <w:r>
              <w:rPr>
                <w:rFonts w:hint="eastAsia" w:ascii="宋体" w:hAnsi="宋体" w:eastAsia="Times New Roman" w:cs="宋体"/>
                <w:sz w:val="18"/>
                <w:szCs w:val="18"/>
              </w:rPr>
              <w:t>尿液</w:t>
            </w:r>
          </w:p>
        </w:tc>
        <w:tc>
          <w:tcPr>
            <w:tcW w:w="5387" w:type="dxa"/>
            <w:tcBorders>
              <w:top w:val="single" w:color="auto" w:sz="4" w:space="0"/>
              <w:left w:val="single" w:color="auto" w:sz="4" w:space="0"/>
              <w:bottom w:val="single" w:color="auto" w:sz="4" w:space="0"/>
              <w:right w:val="single" w:color="auto" w:sz="4" w:space="0"/>
            </w:tcBorders>
            <w:vAlign w:val="center"/>
          </w:tcPr>
          <w:p w14:paraId="3DACDBF5">
            <w:pPr>
              <w:rPr>
                <w:rFonts w:ascii="宋体" w:hAnsi="宋体" w:eastAsia="Times New Roman"/>
                <w:sz w:val="18"/>
                <w:szCs w:val="18"/>
              </w:rPr>
            </w:pPr>
            <w:r>
              <w:rPr>
                <w:rFonts w:hint="eastAsia" w:ascii="宋体" w:hAnsi="宋体" w:eastAsia="Times New Roman" w:cs="宋体"/>
                <w:sz w:val="18"/>
                <w:szCs w:val="18"/>
              </w:rPr>
              <w:t>可选择下述方法中任一种，取约</w:t>
            </w:r>
            <w:r>
              <w:rPr>
                <w:rFonts w:ascii="宋体" w:hAnsi="宋体" w:eastAsia="Times New Roman"/>
                <w:sz w:val="18"/>
                <w:szCs w:val="18"/>
              </w:rPr>
              <w:t>10mL~15mL</w:t>
            </w:r>
            <w:r>
              <w:rPr>
                <w:rFonts w:hint="eastAsia" w:ascii="宋体" w:hAnsi="宋体" w:eastAsia="Times New Roman" w:cs="宋体"/>
                <w:sz w:val="18"/>
                <w:szCs w:val="18"/>
              </w:rPr>
              <w:t>尿标本于无菌容器中：</w:t>
            </w:r>
          </w:p>
          <w:p w14:paraId="037F415F">
            <w:pPr>
              <w:rPr>
                <w:rFonts w:ascii="宋体" w:hAnsi="宋体" w:eastAsia="Times New Roman"/>
                <w:sz w:val="18"/>
                <w:szCs w:val="18"/>
              </w:rPr>
            </w:pPr>
            <w:r>
              <w:rPr>
                <w:rFonts w:hint="eastAsia" w:ascii="宋体" w:hAnsi="宋体" w:eastAsia="Times New Roman" w:cs="宋体"/>
                <w:sz w:val="18"/>
                <w:szCs w:val="18"/>
              </w:rPr>
              <w:t>（一）清洁中段尿：不中止排尿，在排去数毫升尿液后用无菌宽口容器收集第二段尿，即为所需中段尿。</w:t>
            </w:r>
          </w:p>
          <w:p w14:paraId="707B03AA">
            <w:pPr>
              <w:rPr>
                <w:rFonts w:ascii="宋体" w:hAnsi="宋体" w:eastAsia="Times New Roman"/>
                <w:sz w:val="18"/>
                <w:szCs w:val="18"/>
              </w:rPr>
            </w:pPr>
            <w:r>
              <w:rPr>
                <w:rFonts w:hint="eastAsia" w:ascii="宋体" w:hAnsi="宋体" w:eastAsia="Times New Roman" w:cs="宋体"/>
                <w:sz w:val="18"/>
                <w:szCs w:val="18"/>
              </w:rPr>
              <w:t>（二）耻骨上膀胱穿刺：使用无菌注射器直接从耻骨上经皮穿入膀胱吸取尿液。</w:t>
            </w:r>
          </w:p>
          <w:p w14:paraId="470E0F3A">
            <w:pPr>
              <w:rPr>
                <w:rFonts w:ascii="宋体" w:hAnsi="宋体" w:eastAsia="Times New Roman"/>
                <w:sz w:val="18"/>
                <w:szCs w:val="18"/>
              </w:rPr>
            </w:pPr>
            <w:r>
              <w:rPr>
                <w:rFonts w:hint="eastAsia" w:ascii="宋体" w:hAnsi="宋体" w:eastAsia="Times New Roman" w:cs="宋体"/>
                <w:sz w:val="18"/>
                <w:szCs w:val="18"/>
              </w:rPr>
              <w:t>（三）直接导尿：按常规方法对会阴部进行清洗消毒后，用导尿管直接经尿道插入膀胱，获取膀胱尿液。</w:t>
            </w:r>
          </w:p>
          <w:p w14:paraId="1BA08E7C">
            <w:pPr>
              <w:rPr>
                <w:rFonts w:ascii="宋体" w:hAnsi="宋体" w:eastAsia="Times New Roman"/>
                <w:sz w:val="18"/>
                <w:szCs w:val="18"/>
              </w:rPr>
            </w:pPr>
            <w:r>
              <w:rPr>
                <w:rFonts w:hint="eastAsia" w:ascii="宋体" w:hAnsi="宋体" w:eastAsia="Times New Roman" w:cs="宋体"/>
                <w:sz w:val="18"/>
                <w:szCs w:val="18"/>
              </w:rPr>
              <w:t>（四）小儿收集包：对于无控制能力的小儿可应用收集包收集尿液。</w:t>
            </w:r>
          </w:p>
          <w:p w14:paraId="09F9CEBA">
            <w:pPr>
              <w:rPr>
                <w:rFonts w:ascii="宋体" w:hAnsi="宋体" w:eastAsia="Times New Roman"/>
                <w:sz w:val="18"/>
                <w:szCs w:val="18"/>
              </w:rPr>
            </w:pPr>
            <w:r>
              <w:rPr>
                <w:rFonts w:hint="eastAsia" w:ascii="宋体" w:hAnsi="宋体" w:eastAsia="Times New Roman" w:cs="宋体"/>
                <w:sz w:val="18"/>
                <w:szCs w:val="18"/>
              </w:rPr>
              <w:t>（五）留置导尿管收集尿液。</w:t>
            </w:r>
          </w:p>
        </w:tc>
        <w:tc>
          <w:tcPr>
            <w:tcW w:w="2681" w:type="dxa"/>
            <w:tcBorders>
              <w:top w:val="single" w:color="auto" w:sz="4" w:space="0"/>
              <w:left w:val="single" w:color="auto" w:sz="4" w:space="0"/>
              <w:bottom w:val="single" w:color="auto" w:sz="4" w:space="0"/>
              <w:right w:val="single" w:color="auto" w:sz="8" w:space="0"/>
            </w:tcBorders>
            <w:vAlign w:val="center"/>
          </w:tcPr>
          <w:p w14:paraId="1B79F8B6">
            <w:pPr>
              <w:rPr>
                <w:rFonts w:ascii="宋体" w:hAnsi="宋体" w:eastAsia="Times New Roman"/>
                <w:sz w:val="18"/>
                <w:szCs w:val="18"/>
              </w:rPr>
            </w:pPr>
            <w:r>
              <w:rPr>
                <w:rFonts w:hint="eastAsia" w:ascii="宋体" w:hAnsi="宋体" w:eastAsia="Times New Roman" w:cs="宋体"/>
                <w:sz w:val="18"/>
                <w:szCs w:val="18"/>
              </w:rPr>
              <w:t>患者尿标本采集时尽量选择晨尿。女性患者经期应避免尿标本</w:t>
            </w:r>
            <w:r>
              <w:rPr>
                <w:rFonts w:hint="eastAsia" w:ascii="宋体" w:hAnsi="宋体" w:eastAsia="Times New Roman" w:cs="宋体"/>
                <w:color w:val="000000"/>
                <w:sz w:val="18"/>
                <w:szCs w:val="18"/>
              </w:rPr>
              <w:t>采集。尿标本收集后应及时送检，及时接种，室温下保存时间不得超过</w:t>
            </w:r>
            <w:r>
              <w:rPr>
                <w:rFonts w:hint="eastAsia" w:ascii="宋体" w:hAnsi="宋体" w:eastAsia="Times New Roman"/>
                <w:color w:val="000000"/>
                <w:sz w:val="18"/>
                <w:szCs w:val="18"/>
              </w:rPr>
              <w:t>2h</w:t>
            </w:r>
            <w:r>
              <w:rPr>
                <w:rFonts w:hint="eastAsia" w:ascii="宋体" w:hAnsi="宋体" w:eastAsia="Times New Roman" w:cs="宋体"/>
                <w:color w:val="000000"/>
                <w:sz w:val="18"/>
                <w:szCs w:val="18"/>
              </w:rPr>
              <w:t>（夏季保存时间应适当缩短或冷藏保存），</w:t>
            </w:r>
            <w:r>
              <w:rPr>
                <w:rFonts w:hint="eastAsia" w:ascii="宋体" w:hAnsi="宋体" w:eastAsia="Times New Roman"/>
                <w:color w:val="000000"/>
                <w:sz w:val="18"/>
                <w:szCs w:val="18"/>
              </w:rPr>
              <w:t>4℃</w:t>
            </w:r>
            <w:r>
              <w:rPr>
                <w:rFonts w:hint="eastAsia" w:ascii="宋体" w:hAnsi="宋体" w:eastAsia="Times New Roman" w:cs="宋体"/>
                <w:color w:val="000000"/>
                <w:sz w:val="18"/>
                <w:szCs w:val="18"/>
              </w:rPr>
              <w:t>冷藏保存时间不得超过</w:t>
            </w:r>
            <w:r>
              <w:rPr>
                <w:rFonts w:hint="eastAsia" w:ascii="宋体" w:hAnsi="宋体" w:eastAsia="Times New Roman"/>
                <w:color w:val="000000"/>
                <w:sz w:val="18"/>
                <w:szCs w:val="18"/>
              </w:rPr>
              <w:t>8h</w:t>
            </w:r>
            <w:r>
              <w:rPr>
                <w:rFonts w:hint="eastAsia" w:ascii="宋体" w:hAnsi="宋体" w:eastAsia="Times New Roman" w:cs="宋体"/>
                <w:color w:val="000000"/>
                <w:sz w:val="18"/>
                <w:szCs w:val="18"/>
              </w:rPr>
              <w:t>。</w:t>
            </w:r>
          </w:p>
        </w:tc>
      </w:tr>
      <w:tr w14:paraId="3D48F3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62865D43">
            <w:pPr>
              <w:jc w:val="center"/>
              <w:rPr>
                <w:rFonts w:ascii="宋体" w:hAnsi="宋体" w:eastAsia="Times New Roman"/>
                <w:sz w:val="18"/>
                <w:szCs w:val="18"/>
              </w:rPr>
            </w:pPr>
            <w:r>
              <w:rPr>
                <w:rFonts w:hint="eastAsia" w:ascii="宋体" w:hAnsi="宋体" w:eastAsia="Times New Roman"/>
                <w:sz w:val="18"/>
                <w:szCs w:val="18"/>
              </w:rPr>
              <w:t>7</w:t>
            </w:r>
          </w:p>
        </w:tc>
        <w:tc>
          <w:tcPr>
            <w:tcW w:w="850" w:type="dxa"/>
            <w:tcBorders>
              <w:top w:val="single" w:color="auto" w:sz="4" w:space="0"/>
              <w:left w:val="single" w:color="auto" w:sz="4" w:space="0"/>
              <w:bottom w:val="single" w:color="auto" w:sz="4" w:space="0"/>
              <w:right w:val="single" w:color="auto" w:sz="4" w:space="0"/>
            </w:tcBorders>
            <w:vAlign w:val="center"/>
          </w:tcPr>
          <w:p w14:paraId="03655BD9">
            <w:pPr>
              <w:jc w:val="center"/>
              <w:rPr>
                <w:rFonts w:ascii="宋体" w:hAnsi="宋体" w:eastAsia="Times New Roman"/>
                <w:sz w:val="18"/>
                <w:szCs w:val="18"/>
              </w:rPr>
            </w:pPr>
            <w:r>
              <w:rPr>
                <w:rFonts w:hint="eastAsia" w:ascii="宋体" w:hAnsi="宋体" w:eastAsia="Times New Roman" w:cs="宋体"/>
                <w:sz w:val="18"/>
                <w:szCs w:val="18"/>
              </w:rPr>
              <w:t>呕吐物</w:t>
            </w:r>
          </w:p>
        </w:tc>
        <w:tc>
          <w:tcPr>
            <w:tcW w:w="5387" w:type="dxa"/>
            <w:tcBorders>
              <w:top w:val="single" w:color="auto" w:sz="4" w:space="0"/>
              <w:left w:val="single" w:color="auto" w:sz="4" w:space="0"/>
              <w:bottom w:val="single" w:color="auto" w:sz="4" w:space="0"/>
              <w:right w:val="single" w:color="auto" w:sz="4" w:space="0"/>
            </w:tcBorders>
            <w:vAlign w:val="center"/>
          </w:tcPr>
          <w:p w14:paraId="1E49CBB2">
            <w:pPr>
              <w:rPr>
                <w:rFonts w:ascii="宋体" w:hAnsi="宋体" w:eastAsia="Times New Roman"/>
                <w:color w:val="000000"/>
                <w:sz w:val="18"/>
                <w:szCs w:val="18"/>
              </w:rPr>
            </w:pPr>
            <w:r>
              <w:rPr>
                <w:rFonts w:hint="eastAsia" w:ascii="宋体" w:hAnsi="宋体" w:eastAsia="Times New Roman" w:cs="宋体"/>
                <w:color w:val="000000"/>
                <w:sz w:val="18"/>
                <w:szCs w:val="18"/>
              </w:rPr>
              <w:t>在患者呕吐时或中毒患者洗胃时，用弯盘或痰杯接取新鲜呕吐物。用无菌压舌板或拭子挑取少量呕吐物（</w:t>
            </w:r>
            <w:r>
              <w:rPr>
                <w:rFonts w:ascii="宋体" w:hAnsi="宋体" w:eastAsia="Times New Roman"/>
                <w:color w:val="000000"/>
                <w:sz w:val="18"/>
                <w:szCs w:val="18"/>
              </w:rPr>
              <w:t>3g</w:t>
            </w:r>
            <w:r>
              <w:rPr>
                <w:rFonts w:hint="eastAsia" w:ascii="宋体" w:hAnsi="宋体" w:eastAsia="Times New Roman" w:cs="宋体"/>
                <w:color w:val="000000"/>
                <w:sz w:val="18"/>
                <w:szCs w:val="18"/>
              </w:rPr>
              <w:t>～</w:t>
            </w:r>
            <w:r>
              <w:rPr>
                <w:rFonts w:ascii="宋体" w:hAnsi="宋体" w:eastAsia="Times New Roman"/>
                <w:color w:val="000000"/>
                <w:sz w:val="18"/>
                <w:szCs w:val="18"/>
              </w:rPr>
              <w:t>5g</w:t>
            </w:r>
            <w:r>
              <w:rPr>
                <w:rFonts w:hint="eastAsia" w:ascii="宋体" w:hAnsi="宋体" w:eastAsia="Times New Roman" w:cs="宋体"/>
                <w:color w:val="000000"/>
                <w:sz w:val="18"/>
                <w:szCs w:val="18"/>
              </w:rPr>
              <w:t>）放入灭菌螺口塑料管中，密封。</w:t>
            </w:r>
          </w:p>
        </w:tc>
        <w:tc>
          <w:tcPr>
            <w:tcW w:w="2681" w:type="dxa"/>
            <w:tcBorders>
              <w:top w:val="single" w:color="auto" w:sz="4" w:space="0"/>
              <w:left w:val="single" w:color="auto" w:sz="4" w:space="0"/>
              <w:bottom w:val="single" w:color="auto" w:sz="4" w:space="0"/>
              <w:right w:val="single" w:color="auto" w:sz="8" w:space="0"/>
            </w:tcBorders>
            <w:vAlign w:val="center"/>
          </w:tcPr>
          <w:p w14:paraId="0231FDE2">
            <w:pPr>
              <w:rPr>
                <w:rFonts w:ascii="宋体" w:hAnsi="宋体" w:eastAsia="Times New Roman"/>
                <w:color w:val="000000"/>
                <w:sz w:val="18"/>
                <w:szCs w:val="18"/>
              </w:rPr>
            </w:pPr>
            <w:r>
              <w:rPr>
                <w:rFonts w:hint="eastAsia" w:ascii="宋体" w:hAnsi="宋体" w:eastAsia="Times New Roman" w:cs="宋体"/>
                <w:color w:val="000000"/>
                <w:sz w:val="18"/>
                <w:szCs w:val="18"/>
              </w:rPr>
              <w:t>同时采集可疑食物和中毒病人的呕吐物。</w:t>
            </w:r>
          </w:p>
        </w:tc>
      </w:tr>
      <w:tr w14:paraId="3A16C8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67597D7C">
            <w:pPr>
              <w:jc w:val="center"/>
              <w:rPr>
                <w:rFonts w:ascii="宋体" w:hAnsi="宋体" w:eastAsia="Times New Roman"/>
                <w:sz w:val="18"/>
                <w:szCs w:val="18"/>
              </w:rPr>
            </w:pPr>
            <w:r>
              <w:rPr>
                <w:rFonts w:hint="eastAsia" w:ascii="宋体" w:hAnsi="宋体" w:eastAsia="Times New Roman"/>
                <w:sz w:val="18"/>
                <w:szCs w:val="18"/>
              </w:rPr>
              <w:t>8</w:t>
            </w:r>
          </w:p>
        </w:tc>
        <w:tc>
          <w:tcPr>
            <w:tcW w:w="850" w:type="dxa"/>
            <w:tcBorders>
              <w:top w:val="single" w:color="auto" w:sz="4" w:space="0"/>
              <w:left w:val="single" w:color="auto" w:sz="4" w:space="0"/>
              <w:bottom w:val="single" w:color="auto" w:sz="4" w:space="0"/>
              <w:right w:val="single" w:color="auto" w:sz="4" w:space="0"/>
            </w:tcBorders>
            <w:vAlign w:val="center"/>
          </w:tcPr>
          <w:p w14:paraId="3AEBFA01">
            <w:pPr>
              <w:jc w:val="center"/>
              <w:rPr>
                <w:rFonts w:ascii="宋体" w:hAnsi="宋体" w:eastAsia="Times New Roman"/>
                <w:sz w:val="18"/>
                <w:szCs w:val="18"/>
              </w:rPr>
            </w:pPr>
            <w:r>
              <w:rPr>
                <w:rFonts w:hint="eastAsia" w:ascii="宋体" w:hAnsi="宋体" w:eastAsia="Times New Roman" w:cs="宋体"/>
                <w:sz w:val="18"/>
                <w:szCs w:val="18"/>
              </w:rPr>
              <w:t>痰液</w:t>
            </w:r>
          </w:p>
        </w:tc>
        <w:tc>
          <w:tcPr>
            <w:tcW w:w="5387" w:type="dxa"/>
            <w:tcBorders>
              <w:top w:val="single" w:color="auto" w:sz="4" w:space="0"/>
              <w:left w:val="single" w:color="auto" w:sz="4" w:space="0"/>
              <w:bottom w:val="single" w:color="auto" w:sz="4" w:space="0"/>
              <w:right w:val="single" w:color="auto" w:sz="4" w:space="0"/>
            </w:tcBorders>
            <w:vAlign w:val="center"/>
          </w:tcPr>
          <w:p w14:paraId="61A26304">
            <w:pPr>
              <w:rPr>
                <w:rFonts w:ascii="宋体" w:hAnsi="宋体" w:eastAsia="Times New Roman"/>
                <w:color w:val="000000"/>
                <w:sz w:val="18"/>
                <w:szCs w:val="18"/>
              </w:rPr>
            </w:pPr>
            <w:r>
              <w:rPr>
                <w:rFonts w:hint="eastAsia" w:ascii="宋体" w:hAnsi="宋体" w:eastAsia="Times New Roman" w:cs="宋体"/>
                <w:color w:val="000000"/>
                <w:sz w:val="18"/>
                <w:szCs w:val="18"/>
              </w:rPr>
              <w:t>（一）自然咳痰法：晨痰最佳，患者清晨起床后，用清水或冷开水漱口数次，用力深咳出呼吸道深部的痰，直接吐入无菌采集容器中，标本量应</w:t>
            </w:r>
            <w:r>
              <w:rPr>
                <w:rFonts w:ascii="宋体" w:hAnsi="宋体" w:eastAsia="Times New Roman"/>
                <w:color w:val="000000"/>
                <w:sz w:val="18"/>
                <w:szCs w:val="18"/>
              </w:rPr>
              <w:t>≥</w:t>
            </w:r>
            <w:r>
              <w:rPr>
                <w:rFonts w:hint="eastAsia" w:ascii="宋体" w:hAnsi="宋体" w:eastAsia="Times New Roman"/>
                <w:color w:val="000000"/>
                <w:sz w:val="18"/>
                <w:szCs w:val="18"/>
              </w:rPr>
              <w:t>1mL</w:t>
            </w:r>
            <w:r>
              <w:rPr>
                <w:rFonts w:hint="eastAsia" w:ascii="宋体" w:hAnsi="宋体" w:eastAsia="Times New Roman" w:cs="宋体"/>
                <w:color w:val="000000"/>
                <w:sz w:val="18"/>
                <w:szCs w:val="18"/>
              </w:rPr>
              <w:t>，立即送检。</w:t>
            </w:r>
          </w:p>
          <w:p w14:paraId="5D0796E8">
            <w:pPr>
              <w:rPr>
                <w:rFonts w:ascii="宋体" w:hAnsi="宋体" w:eastAsia="Times New Roman"/>
                <w:color w:val="000000"/>
                <w:sz w:val="18"/>
                <w:szCs w:val="18"/>
              </w:rPr>
            </w:pPr>
            <w:r>
              <w:rPr>
                <w:rFonts w:hint="eastAsia" w:ascii="宋体" w:hAnsi="宋体" w:eastAsia="Times New Roman" w:cs="宋体"/>
                <w:color w:val="000000"/>
                <w:sz w:val="18"/>
                <w:szCs w:val="18"/>
              </w:rPr>
              <w:t>（二）诱导咳痰法：对于痰量少、无痰或咳痰困难者可雾化吸入，使痰液易于排出。于超声雾化器雾化杯中加入</w:t>
            </w:r>
            <w:r>
              <w:rPr>
                <w:rFonts w:hint="eastAsia" w:ascii="宋体" w:hAnsi="宋体" w:eastAsia="Times New Roman"/>
                <w:color w:val="000000"/>
                <w:sz w:val="18"/>
                <w:szCs w:val="18"/>
              </w:rPr>
              <w:t>4</w:t>
            </w:r>
            <w:r>
              <w:rPr>
                <w:rFonts w:hint="eastAsia" w:ascii="宋体" w:hAnsi="宋体" w:eastAsia="Times New Roman" w:cs="宋体"/>
                <w:color w:val="000000"/>
                <w:sz w:val="18"/>
                <w:szCs w:val="18"/>
              </w:rPr>
              <w:t>％的</w:t>
            </w:r>
            <w:r>
              <w:rPr>
                <w:rFonts w:hint="eastAsia" w:ascii="宋体" w:hAnsi="宋体" w:eastAsia="Times New Roman"/>
                <w:color w:val="000000"/>
                <w:sz w:val="18"/>
                <w:szCs w:val="18"/>
              </w:rPr>
              <w:t>NaCl</w:t>
            </w:r>
            <w:r>
              <w:rPr>
                <w:rFonts w:hint="eastAsia" w:ascii="宋体" w:hAnsi="宋体" w:eastAsia="Times New Roman" w:cs="宋体"/>
                <w:color w:val="000000"/>
                <w:sz w:val="18"/>
                <w:szCs w:val="18"/>
              </w:rPr>
              <w:t>溶液</w:t>
            </w:r>
            <w:r>
              <w:rPr>
                <w:rFonts w:hint="eastAsia" w:ascii="宋体" w:hAnsi="宋体" w:eastAsia="Times New Roman"/>
                <w:color w:val="000000"/>
                <w:sz w:val="18"/>
                <w:szCs w:val="18"/>
              </w:rPr>
              <w:t>40mL</w:t>
            </w:r>
            <w:r>
              <w:rPr>
                <w:rFonts w:hint="eastAsia" w:ascii="宋体" w:hAnsi="宋体" w:eastAsia="Times New Roman" w:cs="宋体"/>
                <w:color w:val="000000"/>
                <w:sz w:val="18"/>
                <w:szCs w:val="18"/>
              </w:rPr>
              <w:t>，吸入高渗盐溶液</w:t>
            </w:r>
            <w:r>
              <w:rPr>
                <w:rFonts w:hint="eastAsia" w:ascii="宋体" w:hAnsi="宋体" w:eastAsia="Times New Roman"/>
                <w:color w:val="000000"/>
                <w:sz w:val="18"/>
                <w:szCs w:val="18"/>
              </w:rPr>
              <w:t>15 min</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25min</w:t>
            </w:r>
            <w:r>
              <w:rPr>
                <w:rFonts w:hint="eastAsia" w:ascii="宋体" w:hAnsi="宋体" w:eastAsia="Times New Roman" w:cs="宋体"/>
                <w:color w:val="000000"/>
                <w:sz w:val="18"/>
                <w:szCs w:val="18"/>
              </w:rPr>
              <w:t>，嘱病人漱口，用力咳出深部痰，收集入无菌采集容器中送检。</w:t>
            </w:r>
          </w:p>
          <w:p w14:paraId="7E80980B">
            <w:pPr>
              <w:rPr>
                <w:rFonts w:ascii="宋体" w:hAnsi="宋体" w:eastAsia="Times New Roman"/>
                <w:color w:val="000000"/>
                <w:sz w:val="18"/>
                <w:szCs w:val="18"/>
              </w:rPr>
            </w:pPr>
            <w:r>
              <w:rPr>
                <w:rFonts w:hint="eastAsia" w:ascii="宋体" w:hAnsi="宋体" w:eastAsia="Times New Roman" w:cs="宋体"/>
                <w:color w:val="000000"/>
                <w:sz w:val="18"/>
                <w:szCs w:val="18"/>
              </w:rPr>
              <w:t>（三）支气管镜采集法：按常规支气管镜检的的方法进行，在有痰和病变部位用导管吸引直接取得标本，置于无菌采集容器中。</w:t>
            </w:r>
          </w:p>
          <w:p w14:paraId="16A7873F">
            <w:pPr>
              <w:rPr>
                <w:rFonts w:ascii="宋体" w:hAnsi="宋体" w:eastAsia="Times New Roman"/>
                <w:color w:val="000000"/>
                <w:sz w:val="18"/>
                <w:szCs w:val="18"/>
              </w:rPr>
            </w:pPr>
            <w:r>
              <w:rPr>
                <w:rFonts w:hint="eastAsia" w:ascii="宋体" w:hAnsi="宋体" w:eastAsia="Times New Roman" w:cs="宋体"/>
                <w:color w:val="000000"/>
                <w:sz w:val="18"/>
                <w:szCs w:val="18"/>
              </w:rPr>
              <w:t>（四）小儿取痰法：用弯压舌板向后压舌，将拭子伸入咽部，小儿经压舌刺激咳嗽时，可喷出肺部或气管分泌物，将粘在拭子上的分泌物置于无菌采集容器中。幼儿还可用手指轻叩胸骨柄上方，以诱发咳痰。</w:t>
            </w:r>
          </w:p>
        </w:tc>
        <w:tc>
          <w:tcPr>
            <w:tcW w:w="2681" w:type="dxa"/>
            <w:tcBorders>
              <w:top w:val="single" w:color="auto" w:sz="4" w:space="0"/>
              <w:left w:val="single" w:color="auto" w:sz="4" w:space="0"/>
              <w:bottom w:val="single" w:color="auto" w:sz="4" w:space="0"/>
              <w:right w:val="single" w:color="auto" w:sz="8" w:space="0"/>
            </w:tcBorders>
            <w:vAlign w:val="center"/>
          </w:tcPr>
          <w:p w14:paraId="2513AD2D">
            <w:pPr>
              <w:rPr>
                <w:rFonts w:ascii="宋体" w:hAnsi="宋体" w:eastAsia="Times New Roman"/>
                <w:color w:val="000000"/>
                <w:sz w:val="18"/>
                <w:szCs w:val="18"/>
              </w:rPr>
            </w:pPr>
            <w:r>
              <w:rPr>
                <w:rFonts w:hint="eastAsia" w:ascii="宋体" w:hAnsi="宋体" w:eastAsia="Times New Roman" w:cs="宋体"/>
                <w:color w:val="000000"/>
                <w:sz w:val="18"/>
                <w:szCs w:val="18"/>
              </w:rPr>
              <w:t>痰标本应进行合格痰液的判定：采用痰涂片观察法，选取</w:t>
            </w:r>
            <w:r>
              <w:rPr>
                <w:rFonts w:hint="eastAsia" w:ascii="宋体" w:hAnsi="宋体" w:eastAsia="Times New Roman"/>
                <w:color w:val="000000"/>
                <w:sz w:val="18"/>
                <w:szCs w:val="18"/>
              </w:rPr>
              <w:t>5</w:t>
            </w:r>
            <w:r>
              <w:rPr>
                <w:rFonts w:hint="eastAsia" w:ascii="宋体" w:hAnsi="宋体" w:eastAsia="Times New Roman" w:cs="宋体"/>
                <w:color w:val="000000"/>
                <w:sz w:val="18"/>
                <w:szCs w:val="18"/>
              </w:rPr>
              <w:t>个低倍镜视野，计白细胞（</w:t>
            </w:r>
            <w:r>
              <w:rPr>
                <w:rFonts w:hint="eastAsia" w:ascii="宋体" w:hAnsi="宋体" w:eastAsia="Times New Roman"/>
                <w:color w:val="000000"/>
                <w:sz w:val="18"/>
                <w:szCs w:val="18"/>
              </w:rPr>
              <w:t>WBC</w:t>
            </w:r>
            <w:r>
              <w:rPr>
                <w:rFonts w:hint="eastAsia" w:ascii="宋体" w:hAnsi="宋体" w:eastAsia="Times New Roman" w:cs="宋体"/>
                <w:color w:val="000000"/>
                <w:sz w:val="18"/>
                <w:szCs w:val="18"/>
              </w:rPr>
              <w:t>）数和鳞状上皮细胞（</w:t>
            </w:r>
            <w:r>
              <w:rPr>
                <w:rFonts w:hint="eastAsia" w:ascii="宋体" w:hAnsi="宋体" w:eastAsia="Times New Roman"/>
                <w:color w:val="000000"/>
                <w:sz w:val="18"/>
                <w:szCs w:val="18"/>
              </w:rPr>
              <w:t>SC</w:t>
            </w:r>
            <w:r>
              <w:rPr>
                <w:rFonts w:hint="eastAsia" w:ascii="宋体" w:hAnsi="宋体" w:eastAsia="Times New Roman" w:cs="宋体"/>
                <w:color w:val="000000"/>
                <w:sz w:val="18"/>
                <w:szCs w:val="18"/>
              </w:rPr>
              <w:t>）平均数，鳞状上皮细胞</w:t>
            </w:r>
            <w:r>
              <w:rPr>
                <w:rFonts w:hint="eastAsia" w:ascii="宋体" w:hAnsi="宋体" w:eastAsia="Times New Roman"/>
                <w:color w:val="000000"/>
                <w:sz w:val="18"/>
                <w:szCs w:val="18"/>
              </w:rPr>
              <w:t>&lt;10</w:t>
            </w:r>
            <w:r>
              <w:rPr>
                <w:rFonts w:hint="eastAsia" w:ascii="宋体" w:hAnsi="宋体" w:eastAsia="Times New Roman" w:cs="宋体"/>
                <w:color w:val="000000"/>
                <w:sz w:val="18"/>
                <w:szCs w:val="18"/>
              </w:rPr>
              <w:t>个</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低倍视野、白细胞</w:t>
            </w:r>
            <w:r>
              <w:rPr>
                <w:rFonts w:hint="eastAsia" w:ascii="宋体" w:hAnsi="宋体" w:eastAsia="Times New Roman"/>
                <w:color w:val="000000"/>
                <w:sz w:val="18"/>
                <w:szCs w:val="18"/>
              </w:rPr>
              <w:t>&gt;25</w:t>
            </w:r>
            <w:r>
              <w:rPr>
                <w:rFonts w:hint="eastAsia" w:ascii="宋体" w:hAnsi="宋体" w:eastAsia="Times New Roman" w:cs="宋体"/>
                <w:color w:val="000000"/>
                <w:sz w:val="18"/>
                <w:szCs w:val="18"/>
              </w:rPr>
              <w:t>个</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低倍视野，或二者比例</w:t>
            </w:r>
            <w:r>
              <w:rPr>
                <w:rFonts w:hint="eastAsia" w:ascii="宋体" w:hAnsi="宋体" w:eastAsia="Times New Roman"/>
                <w:color w:val="000000"/>
                <w:sz w:val="18"/>
                <w:szCs w:val="18"/>
              </w:rPr>
              <w:t>&lt;12.5</w:t>
            </w:r>
            <w:r>
              <w:rPr>
                <w:rFonts w:hint="eastAsia" w:ascii="宋体" w:hAnsi="宋体" w:eastAsia="Times New Roman" w:cs="宋体"/>
                <w:color w:val="000000"/>
                <w:sz w:val="18"/>
                <w:szCs w:val="18"/>
              </w:rPr>
              <w:t>的痰标本为合格标本。凡不符合上述合格标准的痰标本应重新采集。</w:t>
            </w:r>
          </w:p>
          <w:p w14:paraId="236E2517">
            <w:pPr>
              <w:rPr>
                <w:rFonts w:ascii="宋体" w:hAnsi="宋体" w:eastAsia="Times New Roman"/>
                <w:color w:val="000000"/>
                <w:sz w:val="18"/>
                <w:szCs w:val="18"/>
              </w:rPr>
            </w:pPr>
          </w:p>
        </w:tc>
      </w:tr>
      <w:tr w14:paraId="2EB7D4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1742AE10">
            <w:pPr>
              <w:jc w:val="center"/>
              <w:rPr>
                <w:rFonts w:ascii="宋体" w:hAnsi="宋体" w:eastAsia="Times New Roman"/>
                <w:sz w:val="18"/>
                <w:szCs w:val="18"/>
              </w:rPr>
            </w:pPr>
            <w:r>
              <w:rPr>
                <w:rFonts w:hint="eastAsia" w:ascii="宋体" w:hAnsi="宋体" w:eastAsia="Times New Roman"/>
                <w:sz w:val="18"/>
                <w:szCs w:val="18"/>
              </w:rPr>
              <w:t>9</w:t>
            </w:r>
          </w:p>
        </w:tc>
        <w:tc>
          <w:tcPr>
            <w:tcW w:w="850" w:type="dxa"/>
            <w:tcBorders>
              <w:top w:val="single" w:color="auto" w:sz="4" w:space="0"/>
              <w:left w:val="single" w:color="auto" w:sz="4" w:space="0"/>
              <w:bottom w:val="single" w:color="auto" w:sz="4" w:space="0"/>
              <w:right w:val="single" w:color="auto" w:sz="4" w:space="0"/>
            </w:tcBorders>
            <w:vAlign w:val="center"/>
          </w:tcPr>
          <w:p w14:paraId="1E77897F">
            <w:pPr>
              <w:jc w:val="center"/>
              <w:rPr>
                <w:rFonts w:ascii="宋体" w:hAnsi="宋体" w:eastAsia="Times New Roman"/>
                <w:sz w:val="18"/>
                <w:szCs w:val="18"/>
              </w:rPr>
            </w:pPr>
            <w:r>
              <w:rPr>
                <w:rFonts w:hint="eastAsia" w:ascii="宋体" w:hAnsi="宋体" w:eastAsia="Times New Roman" w:cs="宋体"/>
                <w:sz w:val="18"/>
                <w:szCs w:val="18"/>
              </w:rPr>
              <w:t>肺泡灌洗液</w:t>
            </w:r>
          </w:p>
        </w:tc>
        <w:tc>
          <w:tcPr>
            <w:tcW w:w="5387" w:type="dxa"/>
            <w:tcBorders>
              <w:top w:val="single" w:color="auto" w:sz="4" w:space="0"/>
              <w:left w:val="single" w:color="auto" w:sz="4" w:space="0"/>
              <w:bottom w:val="single" w:color="auto" w:sz="4" w:space="0"/>
              <w:right w:val="single" w:color="auto" w:sz="4" w:space="0"/>
            </w:tcBorders>
            <w:vAlign w:val="center"/>
          </w:tcPr>
          <w:p w14:paraId="28CD0B44">
            <w:pPr>
              <w:rPr>
                <w:rFonts w:ascii="宋体" w:hAnsi="宋体" w:eastAsia="Times New Roman"/>
                <w:color w:val="000000"/>
                <w:sz w:val="18"/>
                <w:szCs w:val="18"/>
              </w:rPr>
            </w:pPr>
            <w:r>
              <w:rPr>
                <w:rFonts w:hint="eastAsia" w:ascii="宋体" w:hAnsi="宋体" w:eastAsia="Times New Roman" w:cs="宋体"/>
                <w:color w:val="000000"/>
                <w:sz w:val="18"/>
                <w:szCs w:val="18"/>
              </w:rPr>
              <w:t>支气管肺泡灌洗液标本的采集的操作规程如下：于局部麻醉后将纤维支气管镜插入右肺中叶或左肺舌段的支气管，将其项端契入支气管分支开口，经气管活检孔缓缓注入</w:t>
            </w:r>
            <w:r>
              <w:rPr>
                <w:rFonts w:hint="eastAsia" w:ascii="宋体" w:hAnsi="宋体" w:eastAsia="Times New Roman"/>
                <w:color w:val="000000"/>
                <w:sz w:val="18"/>
                <w:szCs w:val="18"/>
              </w:rPr>
              <w:t>37℃</w:t>
            </w:r>
            <w:r>
              <w:rPr>
                <w:rFonts w:hint="eastAsia" w:ascii="宋体" w:hAnsi="宋体" w:eastAsia="Times New Roman" w:cs="宋体"/>
                <w:color w:val="000000"/>
                <w:sz w:val="18"/>
                <w:szCs w:val="18"/>
              </w:rPr>
              <w:t>灭菌生理盐水，每次</w:t>
            </w:r>
            <w:r>
              <w:rPr>
                <w:rFonts w:hint="eastAsia" w:ascii="宋体" w:hAnsi="宋体" w:eastAsia="Times New Roman"/>
                <w:color w:val="000000"/>
                <w:sz w:val="18"/>
                <w:szCs w:val="18"/>
              </w:rPr>
              <w:t>30 mL</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50 mL</w:t>
            </w:r>
            <w:r>
              <w:rPr>
                <w:rFonts w:hint="eastAsia" w:ascii="宋体" w:hAnsi="宋体" w:eastAsia="Times New Roman" w:cs="宋体"/>
                <w:color w:val="000000"/>
                <w:sz w:val="18"/>
                <w:szCs w:val="18"/>
              </w:rPr>
              <w:t>，总量</w:t>
            </w:r>
            <w:r>
              <w:rPr>
                <w:rFonts w:hint="eastAsia" w:ascii="宋体" w:hAnsi="宋体" w:eastAsia="Times New Roman"/>
                <w:color w:val="000000"/>
                <w:sz w:val="18"/>
                <w:szCs w:val="18"/>
              </w:rPr>
              <w:t xml:space="preserve"> 100 mL</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250 mL</w:t>
            </w:r>
            <w:r>
              <w:rPr>
                <w:rFonts w:hint="eastAsia" w:ascii="宋体" w:hAnsi="宋体" w:eastAsia="Times New Roman" w:cs="宋体"/>
                <w:color w:val="000000"/>
                <w:sz w:val="18"/>
                <w:szCs w:val="18"/>
              </w:rPr>
              <w:t>，不应超过</w:t>
            </w:r>
            <w:r>
              <w:rPr>
                <w:rFonts w:hint="eastAsia" w:ascii="宋体" w:hAnsi="宋体" w:eastAsia="Times New Roman"/>
                <w:color w:val="000000"/>
                <w:sz w:val="18"/>
                <w:szCs w:val="18"/>
              </w:rPr>
              <w:t>300mL</w:t>
            </w:r>
            <w:r>
              <w:rPr>
                <w:rFonts w:hint="eastAsia" w:ascii="宋体" w:hAnsi="宋体" w:eastAsia="Times New Roman" w:cs="宋体"/>
                <w:color w:val="000000"/>
                <w:sz w:val="18"/>
                <w:szCs w:val="18"/>
              </w:rPr>
              <w:t>。每次注液后以</w:t>
            </w:r>
            <w:r>
              <w:rPr>
                <w:rFonts w:hint="eastAsia" w:ascii="宋体" w:hAnsi="宋体" w:eastAsia="Times New Roman"/>
                <w:color w:val="000000"/>
                <w:sz w:val="18"/>
                <w:szCs w:val="18"/>
              </w:rPr>
              <w:t>-13.3 kpa~</w:t>
            </w:r>
            <w:r>
              <w:rPr>
                <w:rFonts w:ascii="宋体" w:hAnsi="宋体" w:eastAsia="Times New Roman"/>
                <w:color w:val="000000"/>
                <w:sz w:val="18"/>
                <w:szCs w:val="18"/>
              </w:rPr>
              <w:t>-</w:t>
            </w:r>
            <w:r>
              <w:rPr>
                <w:rFonts w:hint="eastAsia" w:ascii="宋体" w:hAnsi="宋体" w:eastAsia="Times New Roman"/>
                <w:color w:val="000000"/>
                <w:sz w:val="18"/>
                <w:szCs w:val="18"/>
              </w:rPr>
              <w:t>19.95kpa</w:t>
            </w:r>
            <w:r>
              <w:rPr>
                <w:rFonts w:hint="eastAsia" w:ascii="宋体" w:hAnsi="宋体" w:eastAsia="Times New Roman" w:cs="宋体"/>
                <w:color w:val="000000"/>
                <w:sz w:val="18"/>
                <w:szCs w:val="18"/>
              </w:rPr>
              <w:t>负压吸出回收灌洗液，要防止负压过大，过猛。分别收集于用硅化处理过的容器中，容器周围宜用冰块包围，并及时送检。</w:t>
            </w:r>
          </w:p>
        </w:tc>
        <w:tc>
          <w:tcPr>
            <w:tcW w:w="2681" w:type="dxa"/>
            <w:tcBorders>
              <w:top w:val="single" w:color="auto" w:sz="4" w:space="0"/>
              <w:left w:val="single" w:color="auto" w:sz="4" w:space="0"/>
              <w:bottom w:val="single" w:color="auto" w:sz="4" w:space="0"/>
              <w:right w:val="single" w:color="auto" w:sz="8" w:space="0"/>
            </w:tcBorders>
            <w:vAlign w:val="center"/>
          </w:tcPr>
          <w:p w14:paraId="083AEA79">
            <w:pPr>
              <w:rPr>
                <w:rFonts w:ascii="宋体" w:hAnsi="宋体" w:eastAsia="Times New Roman"/>
                <w:color w:val="000000"/>
                <w:sz w:val="18"/>
                <w:szCs w:val="18"/>
              </w:rPr>
            </w:pPr>
            <w:r>
              <w:rPr>
                <w:rFonts w:hint="eastAsia" w:ascii="宋体" w:hAnsi="宋体" w:eastAsia="Times New Roman" w:cs="宋体"/>
                <w:color w:val="000000"/>
                <w:sz w:val="18"/>
                <w:szCs w:val="18"/>
              </w:rPr>
              <w:t>灌洗液回收率</w:t>
            </w:r>
            <w:r>
              <w:rPr>
                <w:rFonts w:ascii="宋体" w:hAnsi="宋体" w:eastAsia="Times New Roman"/>
                <w:color w:val="000000"/>
                <w:sz w:val="18"/>
                <w:szCs w:val="18"/>
              </w:rPr>
              <w:t>&gt;30%</w:t>
            </w:r>
            <w:r>
              <w:rPr>
                <w:rFonts w:hint="eastAsia" w:ascii="宋体" w:hAnsi="宋体" w:eastAsia="Times New Roman" w:cs="宋体"/>
                <w:color w:val="000000"/>
                <w:sz w:val="18"/>
                <w:szCs w:val="18"/>
              </w:rPr>
              <w:t>为宜。采集标本置入无菌采集容器中，标本量应</w:t>
            </w:r>
            <w:r>
              <w:rPr>
                <w:rFonts w:ascii="宋体" w:hAnsi="宋体" w:eastAsia="Times New Roman"/>
                <w:color w:val="000000"/>
                <w:sz w:val="18"/>
                <w:szCs w:val="18"/>
              </w:rPr>
              <w:t>≥</w:t>
            </w:r>
            <w:r>
              <w:rPr>
                <w:rFonts w:hint="eastAsia" w:ascii="宋体" w:hAnsi="宋体" w:eastAsia="Times New Roman"/>
                <w:color w:val="000000"/>
                <w:sz w:val="18"/>
                <w:szCs w:val="18"/>
              </w:rPr>
              <w:t>5mL</w:t>
            </w:r>
            <w:r>
              <w:rPr>
                <w:rFonts w:hint="eastAsia" w:ascii="宋体" w:hAnsi="宋体" w:eastAsia="Times New Roman" w:cs="宋体"/>
                <w:color w:val="000000"/>
                <w:sz w:val="18"/>
                <w:szCs w:val="18"/>
              </w:rPr>
              <w:t>，立即送检，必须注意采集标本时尽可能避免咽喉部正常菌群的污染。</w:t>
            </w:r>
          </w:p>
        </w:tc>
      </w:tr>
      <w:tr w14:paraId="397ADA8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491CD8DB">
            <w:pPr>
              <w:jc w:val="center"/>
              <w:rPr>
                <w:rFonts w:ascii="宋体" w:hAnsi="宋体" w:eastAsia="Times New Roman"/>
                <w:sz w:val="18"/>
                <w:szCs w:val="18"/>
              </w:rPr>
            </w:pPr>
            <w:r>
              <w:rPr>
                <w:rFonts w:hint="eastAsia" w:ascii="宋体" w:hAnsi="宋体" w:eastAsia="Times New Roman"/>
                <w:sz w:val="18"/>
                <w:szCs w:val="18"/>
              </w:rPr>
              <w:t>10</w:t>
            </w:r>
          </w:p>
        </w:tc>
        <w:tc>
          <w:tcPr>
            <w:tcW w:w="850" w:type="dxa"/>
            <w:tcBorders>
              <w:top w:val="single" w:color="auto" w:sz="4" w:space="0"/>
              <w:left w:val="single" w:color="auto" w:sz="4" w:space="0"/>
              <w:bottom w:val="single" w:color="auto" w:sz="4" w:space="0"/>
              <w:right w:val="single" w:color="auto" w:sz="4" w:space="0"/>
            </w:tcBorders>
            <w:vAlign w:val="center"/>
          </w:tcPr>
          <w:p w14:paraId="66203245">
            <w:pPr>
              <w:jc w:val="center"/>
              <w:rPr>
                <w:rFonts w:ascii="宋体" w:hAnsi="宋体" w:eastAsia="Times New Roman"/>
                <w:sz w:val="18"/>
                <w:szCs w:val="18"/>
              </w:rPr>
            </w:pPr>
            <w:r>
              <w:rPr>
                <w:rFonts w:hint="eastAsia" w:ascii="宋体" w:hAnsi="宋体" w:eastAsia="Times New Roman" w:cs="宋体"/>
                <w:sz w:val="18"/>
                <w:szCs w:val="18"/>
              </w:rPr>
              <w:t>脑脊液</w:t>
            </w:r>
          </w:p>
        </w:tc>
        <w:tc>
          <w:tcPr>
            <w:tcW w:w="5387" w:type="dxa"/>
            <w:tcBorders>
              <w:top w:val="single" w:color="auto" w:sz="4" w:space="0"/>
              <w:left w:val="single" w:color="auto" w:sz="4" w:space="0"/>
              <w:bottom w:val="single" w:color="auto" w:sz="4" w:space="0"/>
              <w:right w:val="single" w:color="auto" w:sz="4" w:space="0"/>
            </w:tcBorders>
            <w:vAlign w:val="center"/>
          </w:tcPr>
          <w:p w14:paraId="4BBDA169">
            <w:pPr>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s="宋体"/>
                <w:color w:val="000000"/>
                <w:sz w:val="18"/>
                <w:szCs w:val="18"/>
              </w:rPr>
              <w:t>患者侧卧于硬板床上，背部与床面垂直，头向前胸部屈曲，两手抱膝紧贴腹部，使躯干呈弓形</w:t>
            </w:r>
            <w:r>
              <w:rPr>
                <w:rFonts w:hint="eastAsia" w:ascii="宋体" w:hAnsi="宋体" w:eastAsia="Times New Roman"/>
                <w:color w:val="000000"/>
                <w:sz w:val="18"/>
                <w:szCs w:val="18"/>
              </w:rPr>
              <w:t>,</w:t>
            </w:r>
            <w:r>
              <w:rPr>
                <w:rFonts w:hint="eastAsia" w:ascii="宋体" w:hAnsi="宋体" w:eastAsia="Times New Roman" w:cs="宋体"/>
                <w:color w:val="000000"/>
                <w:sz w:val="18"/>
                <w:szCs w:val="18"/>
              </w:rPr>
              <w:t>或由助手立于术者对面，用一手搂住患者头部，另一手搂住双下肢腘窝处并用力抱紧，使脊柱尽量后突，以增加椎间隙宽度，便于进针。</w:t>
            </w:r>
          </w:p>
          <w:p w14:paraId="374C2FF2">
            <w:pPr>
              <w:rPr>
                <w:rFonts w:ascii="宋体" w:hAnsi="宋体" w:eastAsia="Times New Roman"/>
                <w:color w:val="000000"/>
                <w:sz w:val="18"/>
                <w:szCs w:val="18"/>
              </w:rPr>
            </w:pPr>
            <w:r>
              <w:rPr>
                <w:rFonts w:hint="eastAsia" w:ascii="宋体" w:hAnsi="宋体" w:eastAsia="Times New Roman"/>
                <w:color w:val="000000"/>
                <w:sz w:val="18"/>
                <w:szCs w:val="18"/>
              </w:rPr>
              <w:t>2.</w:t>
            </w:r>
            <w:r>
              <w:rPr>
                <w:rFonts w:hint="eastAsia" w:ascii="宋体" w:hAnsi="宋体" w:eastAsia="Times New Roman" w:cs="宋体"/>
                <w:color w:val="000000"/>
                <w:sz w:val="18"/>
                <w:szCs w:val="18"/>
              </w:rPr>
              <w:t>以髂后上棘连线与后正中线交会处为穿刺点，通常取第</w:t>
            </w:r>
            <w:r>
              <w:rPr>
                <w:rFonts w:hint="eastAsia" w:ascii="宋体" w:hAnsi="宋体" w:eastAsia="Times New Roman"/>
                <w:color w:val="000000"/>
                <w:sz w:val="18"/>
                <w:szCs w:val="18"/>
              </w:rPr>
              <w:t>3</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 xml:space="preserve">4 </w:t>
            </w:r>
            <w:r>
              <w:rPr>
                <w:rFonts w:hint="eastAsia" w:ascii="宋体" w:hAnsi="宋体" w:eastAsia="Times New Roman" w:cs="宋体"/>
                <w:color w:val="000000"/>
                <w:sz w:val="18"/>
                <w:szCs w:val="18"/>
              </w:rPr>
              <w:t>腰椎棘突间隙，也可在上一个或下一个椎间隙进行。</w:t>
            </w:r>
          </w:p>
          <w:p w14:paraId="462B48C6">
            <w:pPr>
              <w:rPr>
                <w:rFonts w:ascii="宋体" w:hAnsi="宋体" w:eastAsia="Times New Roman"/>
                <w:color w:val="000000"/>
                <w:sz w:val="18"/>
                <w:szCs w:val="18"/>
              </w:rPr>
            </w:pPr>
            <w:r>
              <w:rPr>
                <w:rFonts w:hint="eastAsia" w:ascii="宋体" w:hAnsi="宋体" w:eastAsia="Times New Roman"/>
                <w:color w:val="000000"/>
                <w:sz w:val="18"/>
                <w:szCs w:val="18"/>
              </w:rPr>
              <w:t>3.</w:t>
            </w:r>
            <w:r>
              <w:rPr>
                <w:rFonts w:hint="eastAsia" w:ascii="宋体" w:hAnsi="宋体" w:eastAsia="Times New Roman" w:cs="宋体"/>
                <w:color w:val="000000"/>
                <w:sz w:val="18"/>
                <w:szCs w:val="18"/>
              </w:rPr>
              <w:t>常规消毒皮肤，戴无菌手套、铺消毒湿巾，以</w:t>
            </w:r>
            <w:r>
              <w:rPr>
                <w:rFonts w:hint="eastAsia" w:ascii="宋体" w:hAnsi="宋体" w:eastAsia="Times New Roman"/>
                <w:color w:val="000000"/>
                <w:sz w:val="18"/>
                <w:szCs w:val="18"/>
              </w:rPr>
              <w:t>2%</w:t>
            </w:r>
            <w:r>
              <w:rPr>
                <w:rFonts w:hint="eastAsia" w:ascii="宋体" w:hAnsi="宋体" w:eastAsia="Times New Roman" w:cs="宋体"/>
                <w:color w:val="000000"/>
                <w:sz w:val="18"/>
                <w:szCs w:val="18"/>
              </w:rPr>
              <w:t>利多卡因自皮肤至椎间韧带作局部浸润麻醉。</w:t>
            </w:r>
          </w:p>
          <w:p w14:paraId="39DDCC09">
            <w:pPr>
              <w:rPr>
                <w:rFonts w:ascii="宋体" w:hAnsi="宋体" w:eastAsia="Times New Roman"/>
                <w:color w:val="000000"/>
                <w:sz w:val="18"/>
                <w:szCs w:val="18"/>
              </w:rPr>
            </w:pPr>
            <w:r>
              <w:rPr>
                <w:rFonts w:hint="eastAsia" w:ascii="宋体" w:hAnsi="宋体" w:eastAsia="Times New Roman"/>
                <w:color w:val="000000"/>
                <w:sz w:val="18"/>
                <w:szCs w:val="18"/>
              </w:rPr>
              <w:t>4.</w:t>
            </w:r>
            <w:r>
              <w:rPr>
                <w:rFonts w:hint="eastAsia" w:ascii="宋体" w:hAnsi="宋体" w:eastAsia="Times New Roman" w:cs="宋体"/>
                <w:color w:val="000000"/>
                <w:sz w:val="18"/>
                <w:szCs w:val="18"/>
              </w:rPr>
              <w:t>术者以左手拇、食二指固定穿刺点皮肤，右手持穿刺针以垂直背部方向缓慢刺入，当针头穿过韧带与硬脊膜时，可感到阻力突然消失（成人进针深度为</w:t>
            </w:r>
            <w:r>
              <w:rPr>
                <w:rFonts w:hint="eastAsia" w:ascii="宋体" w:hAnsi="宋体" w:eastAsia="Times New Roman"/>
                <w:color w:val="000000"/>
                <w:sz w:val="18"/>
                <w:szCs w:val="18"/>
              </w:rPr>
              <w:t>4 cm</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6cm</w:t>
            </w:r>
            <w:r>
              <w:rPr>
                <w:rFonts w:hint="eastAsia" w:ascii="宋体" w:hAnsi="宋体" w:eastAsia="Times New Roman" w:cs="宋体"/>
                <w:color w:val="000000"/>
                <w:sz w:val="18"/>
                <w:szCs w:val="18"/>
              </w:rPr>
              <w:t>，儿童为</w:t>
            </w:r>
            <w:r>
              <w:rPr>
                <w:rFonts w:hint="eastAsia" w:ascii="宋体" w:hAnsi="宋体" w:eastAsia="Times New Roman"/>
                <w:color w:val="000000"/>
                <w:sz w:val="18"/>
                <w:szCs w:val="18"/>
              </w:rPr>
              <w:t>2 cm</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4cm</w:t>
            </w:r>
            <w:r>
              <w:rPr>
                <w:rFonts w:hint="eastAsia" w:ascii="宋体" w:hAnsi="宋体" w:eastAsia="Times New Roman" w:cs="宋体"/>
                <w:color w:val="000000"/>
                <w:sz w:val="18"/>
                <w:szCs w:val="18"/>
              </w:rPr>
              <w:t>），此时将针芯缓慢拔出，即可见无色透明脑脊液流出。</w:t>
            </w:r>
          </w:p>
          <w:p w14:paraId="0156F3B1">
            <w:pPr>
              <w:rPr>
                <w:rFonts w:ascii="宋体" w:hAnsi="宋体" w:eastAsia="Times New Roman"/>
                <w:color w:val="000000"/>
                <w:sz w:val="18"/>
                <w:szCs w:val="18"/>
              </w:rPr>
            </w:pPr>
            <w:r>
              <w:rPr>
                <w:rFonts w:hint="eastAsia" w:ascii="宋体" w:hAnsi="宋体" w:eastAsia="Times New Roman"/>
                <w:color w:val="000000"/>
                <w:sz w:val="18"/>
                <w:szCs w:val="18"/>
              </w:rPr>
              <w:t>5.</w:t>
            </w:r>
            <w:r>
              <w:rPr>
                <w:rFonts w:hint="eastAsia" w:ascii="宋体" w:hAnsi="宋体" w:eastAsia="Times New Roman" w:cs="宋体"/>
                <w:color w:val="000000"/>
                <w:sz w:val="18"/>
                <w:szCs w:val="18"/>
              </w:rPr>
              <w:t>当见到脑脊液即将流出时，接上测压管测量压力，准确读数，亦可计数脑脊液滴数估计压力（正常为</w:t>
            </w:r>
            <w:r>
              <w:rPr>
                <w:rFonts w:hint="eastAsia" w:ascii="宋体" w:hAnsi="宋体" w:eastAsia="Times New Roman"/>
                <w:color w:val="000000"/>
                <w:sz w:val="18"/>
                <w:szCs w:val="18"/>
              </w:rPr>
              <w:t>70mmH</w:t>
            </w:r>
            <w:r>
              <w:rPr>
                <w:rFonts w:hint="eastAsia" w:ascii="宋体" w:hAnsi="宋体" w:eastAsia="Times New Roman"/>
                <w:color w:val="000000"/>
                <w:sz w:val="18"/>
                <w:szCs w:val="18"/>
                <w:vertAlign w:val="subscript"/>
              </w:rPr>
              <w:t>2</w:t>
            </w:r>
            <w:r>
              <w:rPr>
                <w:rFonts w:hint="eastAsia" w:ascii="宋体" w:hAnsi="宋体" w:eastAsia="Times New Roman"/>
                <w:color w:val="000000"/>
                <w:sz w:val="18"/>
                <w:szCs w:val="18"/>
              </w:rPr>
              <w:t>O</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180mmH</w:t>
            </w:r>
            <w:r>
              <w:rPr>
                <w:rFonts w:hint="eastAsia" w:ascii="宋体" w:hAnsi="宋体" w:eastAsia="Times New Roman"/>
                <w:color w:val="000000"/>
                <w:sz w:val="18"/>
                <w:szCs w:val="18"/>
                <w:vertAlign w:val="subscript"/>
              </w:rPr>
              <w:t>2</w:t>
            </w:r>
            <w:r>
              <w:rPr>
                <w:rFonts w:hint="eastAsia" w:ascii="宋体" w:hAnsi="宋体" w:eastAsia="Times New Roman"/>
                <w:color w:val="000000"/>
                <w:sz w:val="18"/>
                <w:szCs w:val="18"/>
              </w:rPr>
              <w:t xml:space="preserve">O </w:t>
            </w:r>
            <w:r>
              <w:rPr>
                <w:rFonts w:hint="eastAsia" w:ascii="宋体" w:hAnsi="宋体" w:eastAsia="Times New Roman" w:cs="宋体"/>
                <w:color w:val="000000"/>
                <w:sz w:val="18"/>
                <w:szCs w:val="18"/>
              </w:rPr>
              <w:t>或</w:t>
            </w:r>
            <w:r>
              <w:rPr>
                <w:rFonts w:hint="eastAsia" w:ascii="宋体" w:hAnsi="宋体" w:eastAsia="Times New Roman"/>
                <w:color w:val="000000"/>
                <w:sz w:val="18"/>
                <w:szCs w:val="18"/>
              </w:rPr>
              <w:t xml:space="preserve"> 40</w:t>
            </w:r>
            <w:r>
              <w:rPr>
                <w:rFonts w:hint="eastAsia" w:ascii="宋体" w:hAnsi="宋体" w:eastAsia="Times New Roman" w:cs="宋体"/>
                <w:color w:val="000000"/>
                <w:sz w:val="18"/>
                <w:szCs w:val="18"/>
              </w:rPr>
              <w:t>滴</w:t>
            </w:r>
            <w:r>
              <w:rPr>
                <w:rFonts w:ascii="宋体" w:hAnsi="宋体" w:eastAsia="Times New Roman"/>
                <w:color w:val="000000"/>
                <w:sz w:val="18"/>
                <w:szCs w:val="18"/>
              </w:rPr>
              <w:t>/</w:t>
            </w:r>
            <w:r>
              <w:rPr>
                <w:rFonts w:hint="eastAsia" w:ascii="宋体" w:hAnsi="宋体" w:eastAsia="Times New Roman"/>
                <w:color w:val="000000"/>
                <w:sz w:val="18"/>
                <w:szCs w:val="18"/>
              </w:rPr>
              <w:t>min</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 xml:space="preserve">50 </w:t>
            </w:r>
            <w:r>
              <w:rPr>
                <w:rFonts w:hint="eastAsia" w:ascii="宋体" w:hAnsi="宋体" w:eastAsia="Times New Roman" w:cs="宋体"/>
                <w:color w:val="000000"/>
                <w:sz w:val="18"/>
                <w:szCs w:val="18"/>
              </w:rPr>
              <w:t>滴</w:t>
            </w:r>
            <w:r>
              <w:rPr>
                <w:rFonts w:ascii="宋体" w:hAnsi="宋体" w:eastAsia="Times New Roman"/>
                <w:color w:val="000000"/>
                <w:sz w:val="18"/>
                <w:szCs w:val="18"/>
              </w:rPr>
              <w:t>/</w:t>
            </w:r>
            <w:r>
              <w:rPr>
                <w:rFonts w:hint="eastAsia" w:ascii="宋体" w:hAnsi="宋体" w:eastAsia="Times New Roman"/>
                <w:color w:val="000000"/>
                <w:sz w:val="18"/>
                <w:szCs w:val="18"/>
              </w:rPr>
              <w:t>min</w:t>
            </w:r>
            <w:r>
              <w:rPr>
                <w:rFonts w:hint="eastAsia" w:ascii="宋体" w:hAnsi="宋体" w:eastAsia="Times New Roman" w:cs="宋体"/>
                <w:color w:val="000000"/>
                <w:sz w:val="18"/>
                <w:szCs w:val="18"/>
              </w:rPr>
              <w:t>）。若压力不高，可令助手压迫一侧颈静脉约</w:t>
            </w:r>
            <w:r>
              <w:rPr>
                <w:rFonts w:hint="eastAsia" w:ascii="宋体" w:hAnsi="宋体" w:eastAsia="Times New Roman"/>
                <w:color w:val="000000"/>
                <w:sz w:val="18"/>
                <w:szCs w:val="18"/>
              </w:rPr>
              <w:t>10s</w:t>
            </w:r>
            <w:r>
              <w:rPr>
                <w:rFonts w:hint="eastAsia" w:ascii="宋体" w:hAnsi="宋体" w:eastAsia="Times New Roman" w:cs="宋体"/>
                <w:color w:val="000000"/>
                <w:sz w:val="18"/>
                <w:szCs w:val="18"/>
              </w:rPr>
              <w:t>，然后再压另一侧，最后同时按压双侧颈静脉，若脑脊液压力迅速升高一倍左右，解除压迫后</w:t>
            </w:r>
            <w:r>
              <w:rPr>
                <w:rFonts w:hint="eastAsia" w:ascii="宋体" w:hAnsi="宋体" w:eastAsia="Times New Roman"/>
                <w:color w:val="000000"/>
                <w:sz w:val="18"/>
                <w:szCs w:val="18"/>
              </w:rPr>
              <w:t>10s</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20s</w:t>
            </w:r>
            <w:r>
              <w:rPr>
                <w:rFonts w:hint="eastAsia" w:ascii="宋体" w:hAnsi="宋体" w:eastAsia="Times New Roman" w:cs="宋体"/>
                <w:color w:val="000000"/>
                <w:sz w:val="18"/>
                <w:szCs w:val="18"/>
              </w:rPr>
              <w:t>，又迅速降至原来水平，表示蛛网膜下腔通畅，若压迫静脉后压力不升高，表示蛛网膜下腔完全阻塞，若压迫后压力缓慢上升，放松后又缓慢下降，表示不完全阻塞。</w:t>
            </w:r>
          </w:p>
          <w:p w14:paraId="5D864491">
            <w:pPr>
              <w:rPr>
                <w:rFonts w:ascii="宋体" w:hAnsi="宋体" w:eastAsia="Times New Roman"/>
                <w:color w:val="000000"/>
                <w:sz w:val="18"/>
                <w:szCs w:val="18"/>
              </w:rPr>
            </w:pPr>
            <w:r>
              <w:rPr>
                <w:rFonts w:hint="eastAsia" w:ascii="宋体" w:hAnsi="宋体" w:eastAsia="Times New Roman"/>
                <w:color w:val="000000"/>
                <w:sz w:val="18"/>
                <w:szCs w:val="18"/>
              </w:rPr>
              <w:t>6.</w:t>
            </w:r>
            <w:r>
              <w:rPr>
                <w:rFonts w:hint="eastAsia" w:ascii="宋体" w:hAnsi="宋体" w:eastAsia="Times New Roman" w:cs="宋体"/>
                <w:color w:val="000000"/>
                <w:sz w:val="18"/>
                <w:szCs w:val="18"/>
              </w:rPr>
              <w:t>撤除测压管，收集脑脊液，成人</w:t>
            </w:r>
            <w:r>
              <w:rPr>
                <w:rFonts w:hint="eastAsia" w:ascii="宋体" w:hAnsi="宋体" w:eastAsia="Times New Roman"/>
                <w:color w:val="000000"/>
                <w:sz w:val="18"/>
                <w:szCs w:val="18"/>
              </w:rPr>
              <w:t>3mL</w:t>
            </w:r>
            <w:r>
              <w:rPr>
                <w:rFonts w:hint="eastAsia" w:ascii="宋体" w:hAnsi="宋体" w:eastAsia="Times New Roman" w:cs="宋体"/>
                <w:color w:val="000000"/>
                <w:sz w:val="18"/>
                <w:szCs w:val="18"/>
              </w:rPr>
              <w:t>，儿童</w:t>
            </w:r>
            <w:r>
              <w:rPr>
                <w:rFonts w:hint="eastAsia" w:ascii="宋体" w:hAnsi="宋体" w:eastAsia="Times New Roman"/>
                <w:color w:val="000000"/>
                <w:sz w:val="18"/>
                <w:szCs w:val="18"/>
              </w:rPr>
              <w:t>1mL</w:t>
            </w:r>
            <w:r>
              <w:rPr>
                <w:rFonts w:hint="eastAsia" w:ascii="宋体" w:hAnsi="宋体" w:eastAsia="Times New Roman" w:cs="宋体"/>
                <w:color w:val="000000"/>
                <w:sz w:val="18"/>
                <w:szCs w:val="18"/>
              </w:rPr>
              <w:t>；送验常规、生化及细菌培养等。</w:t>
            </w:r>
          </w:p>
          <w:p w14:paraId="0E370770">
            <w:pPr>
              <w:rPr>
                <w:rFonts w:ascii="宋体" w:hAnsi="宋体" w:eastAsia="Times New Roman"/>
                <w:color w:val="000000"/>
                <w:sz w:val="18"/>
                <w:szCs w:val="18"/>
              </w:rPr>
            </w:pPr>
            <w:r>
              <w:rPr>
                <w:rFonts w:hint="eastAsia" w:ascii="宋体" w:hAnsi="宋体" w:eastAsia="Times New Roman"/>
                <w:color w:val="000000"/>
                <w:sz w:val="18"/>
                <w:szCs w:val="18"/>
              </w:rPr>
              <w:t>7.</w:t>
            </w:r>
            <w:r>
              <w:rPr>
                <w:rFonts w:hint="eastAsia" w:ascii="宋体" w:hAnsi="宋体" w:eastAsia="Times New Roman" w:cs="宋体"/>
                <w:color w:val="000000"/>
                <w:sz w:val="18"/>
                <w:szCs w:val="18"/>
              </w:rPr>
              <w:t>术毕将针芯插入后一起拔出穿刺针，覆盖消毒纱布，胶布固定。</w:t>
            </w:r>
          </w:p>
          <w:p w14:paraId="3232451D">
            <w:pPr>
              <w:rPr>
                <w:rFonts w:ascii="宋体" w:hAnsi="宋体" w:eastAsia="Times New Roman"/>
                <w:color w:val="000000"/>
                <w:sz w:val="18"/>
                <w:szCs w:val="18"/>
              </w:rPr>
            </w:pPr>
            <w:r>
              <w:rPr>
                <w:rFonts w:hint="eastAsia" w:ascii="宋体" w:hAnsi="宋体" w:eastAsia="Times New Roman"/>
                <w:color w:val="000000"/>
                <w:sz w:val="18"/>
                <w:szCs w:val="18"/>
              </w:rPr>
              <w:t>8.</w:t>
            </w:r>
            <w:r>
              <w:rPr>
                <w:rFonts w:hint="eastAsia" w:ascii="宋体" w:hAnsi="宋体" w:eastAsia="Times New Roman" w:cs="宋体"/>
                <w:color w:val="000000"/>
                <w:sz w:val="18"/>
                <w:szCs w:val="18"/>
              </w:rPr>
              <w:t>术后去枕仰卧</w:t>
            </w:r>
            <w:r>
              <w:rPr>
                <w:rFonts w:hint="eastAsia" w:ascii="宋体" w:hAnsi="宋体" w:eastAsia="Times New Roman"/>
                <w:color w:val="000000"/>
                <w:sz w:val="18"/>
                <w:szCs w:val="18"/>
              </w:rPr>
              <w:t xml:space="preserve"> 4h</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6h</w:t>
            </w:r>
            <w:r>
              <w:rPr>
                <w:rFonts w:hint="eastAsia" w:ascii="宋体" w:hAnsi="宋体" w:eastAsia="Times New Roman" w:cs="宋体"/>
                <w:color w:val="000000"/>
                <w:sz w:val="18"/>
                <w:szCs w:val="18"/>
              </w:rPr>
              <w:t>，可避免术后低颅压性头痛。</w:t>
            </w:r>
          </w:p>
          <w:p w14:paraId="2F9ACAA2">
            <w:pPr>
              <w:rPr>
                <w:rFonts w:ascii="宋体" w:hAnsi="宋体" w:eastAsia="Times New Roman"/>
                <w:color w:val="000000"/>
                <w:sz w:val="18"/>
                <w:szCs w:val="18"/>
              </w:rPr>
            </w:pPr>
            <w:r>
              <w:rPr>
                <w:rFonts w:hint="eastAsia" w:ascii="宋体" w:hAnsi="宋体" w:eastAsia="Times New Roman"/>
                <w:color w:val="000000"/>
                <w:sz w:val="18"/>
                <w:szCs w:val="18"/>
              </w:rPr>
              <w:t>9.</w:t>
            </w:r>
            <w:r>
              <w:rPr>
                <w:rFonts w:hint="eastAsia" w:ascii="宋体" w:hAnsi="宋体" w:eastAsia="Times New Roman" w:cs="宋体"/>
                <w:color w:val="000000"/>
                <w:sz w:val="18"/>
                <w:szCs w:val="18"/>
              </w:rPr>
              <w:t>采样分装：每份样品分装成</w:t>
            </w:r>
            <w:r>
              <w:rPr>
                <w:rFonts w:hint="eastAsia" w:ascii="宋体" w:hAnsi="宋体" w:eastAsia="Times New Roman"/>
                <w:color w:val="000000"/>
                <w:sz w:val="18"/>
                <w:szCs w:val="18"/>
              </w:rPr>
              <w:t xml:space="preserve"> 250μ</w:t>
            </w:r>
            <w:r>
              <w:rPr>
                <w:rFonts w:ascii="宋体" w:hAnsi="宋体" w:eastAsia="Times New Roman"/>
                <w:color w:val="000000"/>
                <w:sz w:val="18"/>
                <w:szCs w:val="18"/>
              </w:rPr>
              <w:t>l</w:t>
            </w:r>
            <w:r>
              <w:rPr>
                <w:rFonts w:hint="eastAsia" w:ascii="宋体" w:hAnsi="宋体" w:eastAsia="Times New Roman" w:cs="宋体"/>
                <w:color w:val="000000"/>
                <w:sz w:val="18"/>
                <w:szCs w:val="18"/>
              </w:rPr>
              <w:t>每管。</w:t>
            </w:r>
          </w:p>
        </w:tc>
        <w:tc>
          <w:tcPr>
            <w:tcW w:w="2681" w:type="dxa"/>
            <w:tcBorders>
              <w:top w:val="single" w:color="auto" w:sz="4" w:space="0"/>
              <w:left w:val="single" w:color="auto" w:sz="4" w:space="0"/>
              <w:bottom w:val="single" w:color="auto" w:sz="4" w:space="0"/>
              <w:right w:val="single" w:color="auto" w:sz="8" w:space="0"/>
            </w:tcBorders>
            <w:vAlign w:val="center"/>
          </w:tcPr>
          <w:p w14:paraId="243CC44E">
            <w:pPr>
              <w:rPr>
                <w:rFonts w:ascii="宋体" w:hAnsi="宋体" w:eastAsia="Times New Roman"/>
                <w:color w:val="000000"/>
                <w:sz w:val="18"/>
                <w:szCs w:val="18"/>
              </w:rPr>
            </w:pPr>
            <w:r>
              <w:rPr>
                <w:rFonts w:ascii="宋体" w:hAnsi="宋体" w:eastAsia="Times New Roman"/>
                <w:color w:val="000000"/>
                <w:sz w:val="18"/>
                <w:szCs w:val="18"/>
              </w:rPr>
              <w:t>1.</w:t>
            </w:r>
            <w:r>
              <w:rPr>
                <w:rFonts w:hint="eastAsia" w:ascii="宋体" w:hAnsi="宋体" w:eastAsia="Times New Roman" w:cs="宋体"/>
                <w:color w:val="000000"/>
                <w:sz w:val="18"/>
                <w:szCs w:val="18"/>
              </w:rPr>
              <w:t>严格无菌操作，穿刺时避免引起微血管损伤。</w:t>
            </w:r>
          </w:p>
          <w:p w14:paraId="29039A42">
            <w:pPr>
              <w:rPr>
                <w:rFonts w:ascii="宋体" w:hAnsi="宋体" w:eastAsia="Times New Roman"/>
                <w:color w:val="000000"/>
                <w:sz w:val="18"/>
                <w:szCs w:val="18"/>
              </w:rPr>
            </w:pPr>
            <w:r>
              <w:rPr>
                <w:rFonts w:ascii="宋体" w:hAnsi="宋体" w:eastAsia="Times New Roman"/>
                <w:color w:val="000000"/>
                <w:sz w:val="18"/>
                <w:szCs w:val="18"/>
              </w:rPr>
              <w:t>2.</w:t>
            </w:r>
            <w:r>
              <w:rPr>
                <w:rFonts w:hint="eastAsia" w:ascii="宋体" w:hAnsi="宋体" w:eastAsia="Times New Roman" w:cs="宋体"/>
                <w:color w:val="000000"/>
                <w:sz w:val="18"/>
                <w:szCs w:val="18"/>
              </w:rPr>
              <w:t>穿刺时如患者出现呼吸、脉搏、面色苍白等异常改变时，应立即停</w:t>
            </w:r>
          </w:p>
          <w:p w14:paraId="49427323">
            <w:pPr>
              <w:rPr>
                <w:rFonts w:ascii="宋体" w:hAnsi="宋体" w:eastAsia="Times New Roman"/>
                <w:color w:val="000000"/>
                <w:sz w:val="18"/>
                <w:szCs w:val="18"/>
              </w:rPr>
            </w:pPr>
            <w:r>
              <w:rPr>
                <w:rFonts w:hint="eastAsia" w:ascii="宋体" w:hAnsi="宋体" w:eastAsia="Times New Roman" w:cs="宋体"/>
                <w:color w:val="000000"/>
                <w:sz w:val="18"/>
                <w:szCs w:val="18"/>
              </w:rPr>
              <w:t>止操作。</w:t>
            </w:r>
          </w:p>
          <w:p w14:paraId="5985DB2E">
            <w:pPr>
              <w:rPr>
                <w:rFonts w:ascii="宋体" w:hAnsi="宋体" w:eastAsia="Times New Roman"/>
                <w:color w:val="000000"/>
                <w:sz w:val="18"/>
                <w:szCs w:val="18"/>
              </w:rPr>
            </w:pPr>
            <w:r>
              <w:rPr>
                <w:rFonts w:ascii="宋体" w:hAnsi="宋体" w:eastAsia="Times New Roman"/>
                <w:color w:val="000000"/>
                <w:sz w:val="18"/>
                <w:szCs w:val="18"/>
              </w:rPr>
              <w:t>3.</w:t>
            </w:r>
            <w:r>
              <w:rPr>
                <w:rFonts w:hint="eastAsia" w:ascii="宋体" w:hAnsi="宋体" w:eastAsia="Times New Roman" w:cs="宋体"/>
                <w:color w:val="000000"/>
                <w:sz w:val="18"/>
                <w:szCs w:val="18"/>
              </w:rPr>
              <w:t>如患者出现颅内压升高现象，需对患者先进行脱水处理后再进行采样。</w:t>
            </w:r>
          </w:p>
        </w:tc>
      </w:tr>
      <w:tr w14:paraId="7E23A6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4B21F268">
            <w:pPr>
              <w:jc w:val="center"/>
              <w:rPr>
                <w:rFonts w:ascii="宋体" w:hAnsi="宋体" w:eastAsia="Times New Roman"/>
                <w:sz w:val="18"/>
                <w:szCs w:val="18"/>
              </w:rPr>
            </w:pPr>
            <w:r>
              <w:rPr>
                <w:rFonts w:hint="eastAsia" w:ascii="宋体" w:hAnsi="宋体" w:eastAsia="Times New Roman"/>
                <w:sz w:val="18"/>
                <w:szCs w:val="18"/>
              </w:rPr>
              <w:t>11</w:t>
            </w:r>
          </w:p>
        </w:tc>
        <w:tc>
          <w:tcPr>
            <w:tcW w:w="850" w:type="dxa"/>
            <w:tcBorders>
              <w:top w:val="single" w:color="auto" w:sz="4" w:space="0"/>
              <w:left w:val="single" w:color="auto" w:sz="4" w:space="0"/>
              <w:bottom w:val="single" w:color="auto" w:sz="4" w:space="0"/>
              <w:right w:val="single" w:color="auto" w:sz="4" w:space="0"/>
            </w:tcBorders>
            <w:vAlign w:val="center"/>
          </w:tcPr>
          <w:p w14:paraId="70A8EA45">
            <w:pPr>
              <w:jc w:val="center"/>
              <w:rPr>
                <w:rFonts w:ascii="宋体" w:hAnsi="宋体" w:eastAsia="Times New Roman"/>
                <w:sz w:val="18"/>
                <w:szCs w:val="18"/>
              </w:rPr>
            </w:pPr>
            <w:r>
              <w:rPr>
                <w:rFonts w:hint="eastAsia" w:ascii="宋体" w:hAnsi="宋体" w:eastAsia="Times New Roman" w:cs="宋体"/>
                <w:sz w:val="18"/>
                <w:szCs w:val="18"/>
              </w:rPr>
              <w:t>环境涂抹样</w:t>
            </w:r>
          </w:p>
        </w:tc>
        <w:tc>
          <w:tcPr>
            <w:tcW w:w="5387" w:type="dxa"/>
            <w:tcBorders>
              <w:top w:val="single" w:color="auto" w:sz="4" w:space="0"/>
              <w:left w:val="single" w:color="auto" w:sz="4" w:space="0"/>
              <w:bottom w:val="single" w:color="auto" w:sz="4" w:space="0"/>
              <w:right w:val="single" w:color="auto" w:sz="4" w:space="0"/>
            </w:tcBorders>
            <w:vAlign w:val="center"/>
          </w:tcPr>
          <w:p w14:paraId="5C54EE70">
            <w:pPr>
              <w:rPr>
                <w:rFonts w:ascii="宋体" w:hAnsi="宋体" w:eastAsia="Times New Roman"/>
                <w:color w:val="000000"/>
                <w:sz w:val="18"/>
                <w:szCs w:val="18"/>
              </w:rPr>
            </w:pPr>
            <w:r>
              <w:rPr>
                <w:rFonts w:hint="eastAsia" w:ascii="宋体" w:hAnsi="宋体" w:eastAsia="Times New Roman" w:cs="宋体"/>
                <w:color w:val="000000"/>
                <w:sz w:val="18"/>
                <w:szCs w:val="18"/>
              </w:rPr>
              <w:t>可选取地漏、养殖区域、食品加工工具、人体接触物品或部位（如门把手）等，进行表面涂抹采样，采集标本疑似为病毒污染的选择放入病毒保存液保存，疑似为细菌污染的放入专用的细菌保存液或者磷酸盐甘油保存液。</w:t>
            </w:r>
          </w:p>
          <w:p w14:paraId="1D13E706">
            <w:pPr>
              <w:rPr>
                <w:rFonts w:ascii="宋体" w:hAnsi="宋体" w:eastAsia="Times New Roman"/>
                <w:sz w:val="18"/>
                <w:szCs w:val="18"/>
              </w:rPr>
            </w:pPr>
            <w:r>
              <w:rPr>
                <w:rFonts w:hint="eastAsia" w:ascii="宋体" w:hAnsi="宋体" w:eastAsia="Times New Roman" w:cs="宋体"/>
                <w:color w:val="000000"/>
                <w:sz w:val="18"/>
                <w:szCs w:val="18"/>
              </w:rPr>
              <w:t>具体操作参考世界卫生组织（</w:t>
            </w:r>
            <w:r>
              <w:rPr>
                <w:rFonts w:hint="eastAsia" w:ascii="宋体" w:hAnsi="宋体" w:eastAsia="Times New Roman"/>
                <w:color w:val="000000"/>
                <w:sz w:val="18"/>
                <w:szCs w:val="18"/>
              </w:rPr>
              <w:t>WHO</w:t>
            </w:r>
            <w:r>
              <w:rPr>
                <w:rFonts w:hint="eastAsia" w:ascii="宋体" w:hAnsi="宋体" w:eastAsia="Times New Roman" w:cs="宋体"/>
                <w:color w:val="000000"/>
                <w:sz w:val="18"/>
                <w:szCs w:val="18"/>
              </w:rPr>
              <w:t>）推荐的方法，拭子充分浸润标本保存液后表面重复涂抹、并将拭子放回采样管进行浸润，取出后再次涂抹采样，重复</w:t>
            </w:r>
            <w:r>
              <w:rPr>
                <w:rFonts w:hint="eastAsia" w:ascii="宋体" w:hAnsi="宋体" w:eastAsia="Times New Roman"/>
                <w:color w:val="000000"/>
                <w:sz w:val="18"/>
                <w:szCs w:val="18"/>
              </w:rPr>
              <w:t>3</w:t>
            </w:r>
            <w:r>
              <w:rPr>
                <w:rFonts w:hint="eastAsia" w:ascii="宋体" w:hAnsi="宋体" w:eastAsia="Times New Roman" w:cs="宋体"/>
                <w:color w:val="000000"/>
                <w:sz w:val="18"/>
                <w:szCs w:val="18"/>
              </w:rPr>
              <w:t>次以上。对表面较大的物体进行多点分布式采样。</w:t>
            </w:r>
          </w:p>
        </w:tc>
        <w:tc>
          <w:tcPr>
            <w:tcW w:w="2681" w:type="dxa"/>
            <w:tcBorders>
              <w:top w:val="single" w:color="auto" w:sz="4" w:space="0"/>
              <w:left w:val="single" w:color="auto" w:sz="4" w:space="0"/>
              <w:bottom w:val="single" w:color="auto" w:sz="4" w:space="0"/>
              <w:right w:val="single" w:color="auto" w:sz="8" w:space="0"/>
            </w:tcBorders>
            <w:vAlign w:val="center"/>
          </w:tcPr>
          <w:p w14:paraId="3793F98B">
            <w:pPr>
              <w:rPr>
                <w:rFonts w:ascii="宋体" w:hAnsi="宋体" w:eastAsia="Times New Roman"/>
                <w:sz w:val="18"/>
                <w:szCs w:val="18"/>
              </w:rPr>
            </w:pPr>
            <w:r>
              <w:rPr>
                <w:rFonts w:hint="eastAsia" w:ascii="宋体" w:hAnsi="宋体" w:eastAsia="Times New Roman" w:cs="宋体"/>
                <w:sz w:val="18"/>
                <w:szCs w:val="18"/>
              </w:rPr>
              <w:t>多点采集，可将同个物表的多个不同位置的采集标本放置在一个采样管中。</w:t>
            </w:r>
          </w:p>
        </w:tc>
      </w:tr>
      <w:tr w14:paraId="0B27EC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0068071F">
            <w:pPr>
              <w:jc w:val="center"/>
              <w:rPr>
                <w:rFonts w:ascii="宋体" w:hAnsi="宋体" w:eastAsia="Times New Roman"/>
                <w:sz w:val="18"/>
                <w:szCs w:val="18"/>
              </w:rPr>
            </w:pPr>
            <w:r>
              <w:rPr>
                <w:rFonts w:hint="eastAsia" w:ascii="宋体" w:hAnsi="宋体" w:eastAsia="Times New Roman"/>
                <w:sz w:val="18"/>
                <w:szCs w:val="18"/>
              </w:rPr>
              <w:t>12</w:t>
            </w:r>
          </w:p>
        </w:tc>
        <w:tc>
          <w:tcPr>
            <w:tcW w:w="850" w:type="dxa"/>
            <w:tcBorders>
              <w:top w:val="single" w:color="auto" w:sz="4" w:space="0"/>
              <w:left w:val="single" w:color="auto" w:sz="4" w:space="0"/>
              <w:bottom w:val="single" w:color="auto" w:sz="4" w:space="0"/>
              <w:right w:val="single" w:color="auto" w:sz="4" w:space="0"/>
            </w:tcBorders>
            <w:vAlign w:val="center"/>
          </w:tcPr>
          <w:p w14:paraId="3A3E00D6">
            <w:pPr>
              <w:jc w:val="center"/>
              <w:rPr>
                <w:rFonts w:ascii="宋体" w:hAnsi="宋体" w:eastAsia="Times New Roman"/>
                <w:sz w:val="18"/>
                <w:szCs w:val="18"/>
              </w:rPr>
            </w:pPr>
            <w:r>
              <w:rPr>
                <w:rFonts w:hint="eastAsia" w:ascii="宋体" w:hAnsi="宋体" w:eastAsia="Times New Roman" w:cs="宋体"/>
                <w:sz w:val="18"/>
                <w:szCs w:val="18"/>
              </w:rPr>
              <w:t>水样</w:t>
            </w:r>
          </w:p>
        </w:tc>
        <w:tc>
          <w:tcPr>
            <w:tcW w:w="5387" w:type="dxa"/>
            <w:tcBorders>
              <w:top w:val="single" w:color="auto" w:sz="4" w:space="0"/>
              <w:left w:val="single" w:color="auto" w:sz="4" w:space="0"/>
              <w:bottom w:val="single" w:color="auto" w:sz="4" w:space="0"/>
              <w:right w:val="single" w:color="auto" w:sz="4" w:space="0"/>
            </w:tcBorders>
            <w:vAlign w:val="center"/>
          </w:tcPr>
          <w:p w14:paraId="2EFC5277">
            <w:pPr>
              <w:rPr>
                <w:rFonts w:ascii="宋体" w:hAnsi="宋体" w:eastAsia="Times New Roman"/>
                <w:sz w:val="18"/>
                <w:szCs w:val="18"/>
              </w:rPr>
            </w:pPr>
            <w:r>
              <w:rPr>
                <w:rFonts w:hint="eastAsia" w:ascii="宋体" w:hAnsi="宋体" w:eastAsia="Times New Roman" w:cs="宋体"/>
                <w:sz w:val="18"/>
                <w:szCs w:val="18"/>
              </w:rPr>
              <w:t>选择玻璃材质和聚乙烯塑料瓶采样容器，容器及塞子、盖子应经灭菌温度并且在此温度下不释放或产生出任何能抑制生物活性、灭活或促进生物生长的化学物质。对生活用水和水源地用水的采集应符合国标</w:t>
            </w:r>
            <w:r>
              <w:rPr>
                <w:rFonts w:ascii="宋体" w:hAnsi="宋体" w:eastAsia="Times New Roman"/>
                <w:sz w:val="18"/>
                <w:szCs w:val="18"/>
              </w:rPr>
              <w:t>GB/T 5750</w:t>
            </w:r>
            <w:r>
              <w:rPr>
                <w:rFonts w:hint="eastAsia" w:ascii="宋体" w:hAnsi="宋体" w:eastAsia="Times New Roman" w:cs="宋体"/>
                <w:sz w:val="18"/>
                <w:szCs w:val="18"/>
              </w:rPr>
              <w:t>的要求。</w:t>
            </w:r>
          </w:p>
          <w:p w14:paraId="7E10818C">
            <w:pPr>
              <w:rPr>
                <w:rFonts w:ascii="宋体" w:hAnsi="宋体" w:eastAsia="Times New Roman"/>
                <w:sz w:val="18"/>
                <w:szCs w:val="18"/>
              </w:rPr>
            </w:pPr>
            <w:r>
              <w:rPr>
                <w:rFonts w:hint="eastAsia" w:ascii="宋体" w:hAnsi="宋体" w:eastAsia="Times New Roman" w:cs="宋体"/>
                <w:sz w:val="18"/>
                <w:szCs w:val="18"/>
              </w:rPr>
              <w:t>可按</w:t>
            </w:r>
            <w:r>
              <w:rPr>
                <w:rFonts w:ascii="宋体" w:hAnsi="宋体" w:eastAsia="Times New Roman"/>
                <w:sz w:val="18"/>
                <w:szCs w:val="18"/>
              </w:rPr>
              <w:t>WS</w:t>
            </w:r>
            <w:r>
              <w:rPr>
                <w:rFonts w:hint="eastAsia" w:ascii="宋体" w:hAnsi="宋体" w:eastAsia="Times New Roman"/>
                <w:sz w:val="18"/>
                <w:szCs w:val="18"/>
              </w:rPr>
              <w:t>/</w:t>
            </w:r>
            <w:r>
              <w:rPr>
                <w:rFonts w:ascii="宋体" w:hAnsi="宋体" w:eastAsia="Times New Roman"/>
                <w:sz w:val="18"/>
                <w:szCs w:val="18"/>
              </w:rPr>
              <w:t>T 799</w:t>
            </w:r>
            <w:r>
              <w:rPr>
                <w:rFonts w:hint="eastAsia" w:ascii="宋体" w:hAnsi="宋体" w:eastAsia="Times New Roman"/>
                <w:sz w:val="18"/>
                <w:szCs w:val="18"/>
              </w:rPr>
              <w:t>-</w:t>
            </w:r>
            <w:r>
              <w:rPr>
                <w:rFonts w:ascii="宋体" w:hAnsi="宋体" w:eastAsia="Times New Roman"/>
                <w:sz w:val="18"/>
                <w:szCs w:val="18"/>
              </w:rPr>
              <w:t>2022</w:t>
            </w:r>
            <w:r>
              <w:rPr>
                <w:rFonts w:hint="eastAsia" w:ascii="宋体" w:hAnsi="宋体" w:eastAsia="Times New Roman" w:cs="宋体"/>
                <w:sz w:val="18"/>
                <w:szCs w:val="18"/>
              </w:rPr>
              <w:t>要求使用</w:t>
            </w:r>
            <w:r>
              <w:rPr>
                <w:rFonts w:hint="eastAsia" w:ascii="宋体" w:hAnsi="宋体" w:eastAsia="Times New Roman"/>
                <w:sz w:val="18"/>
                <w:szCs w:val="18"/>
              </w:rPr>
              <w:t>2</w:t>
            </w:r>
            <w:r>
              <w:rPr>
                <w:rFonts w:ascii="宋体" w:hAnsi="宋体" w:eastAsia="Times New Roman"/>
                <w:sz w:val="18"/>
                <w:szCs w:val="18"/>
              </w:rPr>
              <w:t>4h</w:t>
            </w:r>
            <w:r>
              <w:rPr>
                <w:rFonts w:hint="eastAsia" w:ascii="宋体" w:hAnsi="宋体" w:eastAsia="Times New Roman" w:cs="宋体"/>
                <w:sz w:val="18"/>
                <w:szCs w:val="18"/>
              </w:rPr>
              <w:t>自动采样器，采集</w:t>
            </w:r>
            <w:r>
              <w:rPr>
                <w:rFonts w:hint="eastAsia" w:ascii="宋体" w:hAnsi="宋体" w:eastAsia="Times New Roman"/>
                <w:sz w:val="18"/>
                <w:szCs w:val="18"/>
              </w:rPr>
              <w:t>2</w:t>
            </w:r>
            <w:r>
              <w:rPr>
                <w:rFonts w:ascii="宋体" w:hAnsi="宋体" w:eastAsia="Times New Roman"/>
                <w:sz w:val="18"/>
                <w:szCs w:val="18"/>
              </w:rPr>
              <w:t>4h</w:t>
            </w:r>
            <w:r>
              <w:rPr>
                <w:rFonts w:hint="eastAsia" w:ascii="宋体" w:hAnsi="宋体" w:eastAsia="Times New Roman" w:cs="宋体"/>
                <w:sz w:val="18"/>
                <w:szCs w:val="18"/>
              </w:rPr>
              <w:t>污水用于病原体监测。</w:t>
            </w:r>
          </w:p>
        </w:tc>
        <w:tc>
          <w:tcPr>
            <w:tcW w:w="2681" w:type="dxa"/>
            <w:tcBorders>
              <w:top w:val="single" w:color="auto" w:sz="4" w:space="0"/>
              <w:left w:val="single" w:color="auto" w:sz="4" w:space="0"/>
              <w:bottom w:val="single" w:color="auto" w:sz="4" w:space="0"/>
              <w:right w:val="single" w:color="auto" w:sz="8" w:space="0"/>
            </w:tcBorders>
            <w:vAlign w:val="center"/>
          </w:tcPr>
          <w:p w14:paraId="25521F4A">
            <w:pPr>
              <w:rPr>
                <w:rFonts w:ascii="宋体" w:hAnsi="宋体" w:eastAsia="Times New Roman"/>
                <w:color w:val="000000"/>
                <w:sz w:val="18"/>
                <w:szCs w:val="18"/>
              </w:rPr>
            </w:pPr>
            <w:r>
              <w:rPr>
                <w:rFonts w:hint="eastAsia" w:ascii="宋体" w:hAnsi="宋体" w:eastAsia="Times New Roman" w:cs="宋体"/>
                <w:color w:val="000000"/>
                <w:sz w:val="18"/>
                <w:szCs w:val="18"/>
              </w:rPr>
              <w:t>采集量不少于</w:t>
            </w:r>
            <w:r>
              <w:rPr>
                <w:rFonts w:ascii="宋体" w:hAnsi="宋体" w:eastAsia="Times New Roman"/>
                <w:color w:val="000000"/>
                <w:sz w:val="18"/>
                <w:szCs w:val="18"/>
              </w:rPr>
              <w:t>1000</w:t>
            </w:r>
            <w:r>
              <w:rPr>
                <w:rFonts w:hint="eastAsia" w:ascii="宋体" w:hAnsi="宋体" w:eastAsia="Times New Roman"/>
                <w:color w:val="000000"/>
                <w:sz w:val="18"/>
                <w:szCs w:val="18"/>
              </w:rPr>
              <w:t>mL</w:t>
            </w:r>
            <w:r>
              <w:rPr>
                <w:rFonts w:ascii="宋体" w:hAnsi="宋体" w:eastAsia="Times New Roman"/>
                <w:color w:val="000000"/>
                <w:sz w:val="18"/>
                <w:szCs w:val="18"/>
              </w:rPr>
              <w:t>/</w:t>
            </w:r>
            <w:r>
              <w:rPr>
                <w:rFonts w:hint="eastAsia" w:ascii="宋体" w:hAnsi="宋体" w:eastAsia="Times New Roman" w:cs="宋体"/>
                <w:color w:val="000000"/>
                <w:sz w:val="18"/>
                <w:szCs w:val="18"/>
              </w:rPr>
              <w:t>标本。</w:t>
            </w:r>
          </w:p>
          <w:p w14:paraId="7B74EF4D">
            <w:pPr>
              <w:rPr>
                <w:rFonts w:ascii="宋体" w:hAnsi="宋体" w:eastAsia="Times New Roman"/>
                <w:color w:val="000000"/>
                <w:sz w:val="18"/>
                <w:szCs w:val="18"/>
              </w:rPr>
            </w:pPr>
            <w:r>
              <w:rPr>
                <w:rFonts w:hint="eastAsia" w:ascii="宋体" w:hAnsi="宋体" w:eastAsia="Times New Roman" w:cs="宋体"/>
                <w:color w:val="000000"/>
                <w:sz w:val="18"/>
                <w:szCs w:val="18"/>
              </w:rPr>
              <w:t>采集污水的水体标本时，用聚乙烯塑料瓶收集</w:t>
            </w:r>
            <w:r>
              <w:rPr>
                <w:rFonts w:hint="eastAsia" w:ascii="宋体" w:hAnsi="宋体" w:eastAsia="Times New Roman"/>
                <w:color w:val="000000"/>
                <w:sz w:val="18"/>
                <w:szCs w:val="18"/>
              </w:rPr>
              <w:t>1 L</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1.5L</w:t>
            </w:r>
            <w:r>
              <w:rPr>
                <w:rFonts w:hint="eastAsia" w:ascii="宋体" w:hAnsi="宋体" w:eastAsia="Times New Roman" w:cs="宋体"/>
                <w:color w:val="000000"/>
                <w:sz w:val="18"/>
                <w:szCs w:val="18"/>
              </w:rPr>
              <w:t>污水；大于</w:t>
            </w:r>
            <w:r>
              <w:rPr>
                <w:rFonts w:hint="eastAsia" w:ascii="宋体" w:hAnsi="宋体" w:eastAsia="Times New Roman"/>
                <w:color w:val="000000"/>
                <w:sz w:val="18"/>
                <w:szCs w:val="18"/>
              </w:rPr>
              <w:t>1.5L</w:t>
            </w:r>
            <w:r>
              <w:rPr>
                <w:rFonts w:hint="eastAsia" w:ascii="宋体" w:hAnsi="宋体" w:eastAsia="Times New Roman" w:cs="宋体"/>
                <w:color w:val="000000"/>
                <w:sz w:val="18"/>
                <w:szCs w:val="18"/>
              </w:rPr>
              <w:t>体积的污水采集，可以使用聚乙烯塑料桶或现场水样专用富集设备。污水水体标本采集前，先充分混合均匀后取样；如果污水难以充分混合，出现分层现象时，可按各层水量的比例分层取样。</w:t>
            </w:r>
          </w:p>
        </w:tc>
      </w:tr>
      <w:tr w14:paraId="19CD40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4" w:space="0"/>
              <w:right w:val="single" w:color="auto" w:sz="4" w:space="0"/>
            </w:tcBorders>
            <w:vAlign w:val="center"/>
          </w:tcPr>
          <w:p w14:paraId="206182CB">
            <w:pPr>
              <w:jc w:val="center"/>
              <w:rPr>
                <w:rFonts w:ascii="宋体" w:hAnsi="宋体" w:eastAsia="Times New Roman"/>
                <w:sz w:val="18"/>
                <w:szCs w:val="18"/>
              </w:rPr>
            </w:pPr>
            <w:r>
              <w:rPr>
                <w:rFonts w:hint="eastAsia" w:ascii="宋体" w:hAnsi="宋体" w:eastAsia="Times New Roman"/>
                <w:sz w:val="18"/>
                <w:szCs w:val="18"/>
              </w:rPr>
              <w:t>13</w:t>
            </w:r>
          </w:p>
        </w:tc>
        <w:tc>
          <w:tcPr>
            <w:tcW w:w="850" w:type="dxa"/>
            <w:tcBorders>
              <w:top w:val="single" w:color="auto" w:sz="4" w:space="0"/>
              <w:left w:val="single" w:color="auto" w:sz="4" w:space="0"/>
              <w:bottom w:val="single" w:color="auto" w:sz="4" w:space="0"/>
              <w:right w:val="single" w:color="auto" w:sz="4" w:space="0"/>
            </w:tcBorders>
            <w:vAlign w:val="center"/>
          </w:tcPr>
          <w:p w14:paraId="5E89B147">
            <w:pPr>
              <w:jc w:val="center"/>
              <w:rPr>
                <w:rFonts w:ascii="宋体" w:hAnsi="宋体" w:eastAsia="Times New Roman"/>
                <w:sz w:val="18"/>
                <w:szCs w:val="18"/>
              </w:rPr>
            </w:pPr>
            <w:r>
              <w:rPr>
                <w:rFonts w:hint="eastAsia" w:ascii="宋体" w:hAnsi="宋体" w:eastAsia="Times New Roman" w:cs="宋体"/>
                <w:sz w:val="18"/>
                <w:szCs w:val="18"/>
              </w:rPr>
              <w:t>空气标本</w:t>
            </w:r>
          </w:p>
        </w:tc>
        <w:tc>
          <w:tcPr>
            <w:tcW w:w="5387" w:type="dxa"/>
            <w:tcBorders>
              <w:top w:val="single" w:color="auto" w:sz="4" w:space="0"/>
              <w:left w:val="single" w:color="auto" w:sz="4" w:space="0"/>
              <w:bottom w:val="single" w:color="auto" w:sz="4" w:space="0"/>
              <w:right w:val="single" w:color="auto" w:sz="4" w:space="0"/>
            </w:tcBorders>
            <w:vAlign w:val="center"/>
          </w:tcPr>
          <w:p w14:paraId="0CF4CA21">
            <w:pPr>
              <w:rPr>
                <w:rFonts w:ascii="宋体" w:hAnsi="宋体" w:eastAsia="Times New Roman"/>
                <w:color w:val="000000"/>
                <w:sz w:val="18"/>
                <w:szCs w:val="18"/>
              </w:rPr>
            </w:pPr>
            <w:r>
              <w:rPr>
                <w:rFonts w:hint="eastAsia" w:ascii="宋体" w:hAnsi="宋体" w:eastAsia="Times New Roman"/>
                <w:color w:val="000000"/>
                <w:sz w:val="18"/>
                <w:szCs w:val="18"/>
              </w:rPr>
              <w:t>1</w:t>
            </w:r>
            <w:r>
              <w:rPr>
                <w:rFonts w:ascii="宋体" w:hAnsi="宋体" w:eastAsia="Times New Roman"/>
                <w:color w:val="000000"/>
                <w:sz w:val="18"/>
                <w:szCs w:val="18"/>
              </w:rPr>
              <w:t>.</w:t>
            </w:r>
            <w:r>
              <w:rPr>
                <w:rFonts w:hint="eastAsia" w:ascii="宋体" w:hAnsi="宋体" w:eastAsia="Times New Roman" w:cs="宋体"/>
                <w:color w:val="000000"/>
                <w:sz w:val="18"/>
                <w:szCs w:val="18"/>
              </w:rPr>
              <w:t>自然沉降法。使用相应的培养基的平板，放置在采样点位置，然后空气中的微生物由于其自身重力的作用，自然沉降到平板上，在经过相应时间（至少</w:t>
            </w:r>
            <w:r>
              <w:rPr>
                <w:rFonts w:ascii="宋体" w:hAnsi="宋体" w:eastAsia="Times New Roman"/>
                <w:color w:val="000000"/>
                <w:sz w:val="18"/>
                <w:szCs w:val="18"/>
              </w:rPr>
              <w:t>5min</w:t>
            </w:r>
            <w:r>
              <w:rPr>
                <w:rFonts w:hint="eastAsia" w:ascii="宋体" w:hAnsi="宋体" w:eastAsia="Times New Roman" w:cs="宋体"/>
                <w:color w:val="000000"/>
                <w:sz w:val="18"/>
                <w:szCs w:val="18"/>
              </w:rPr>
              <w:t>）的自然沉降后，将平板在冷藏无菌的状态下运送回到实验室，经过培养和检测，确认其最终的数值。</w:t>
            </w:r>
          </w:p>
          <w:p w14:paraId="262398E7">
            <w:pPr>
              <w:rPr>
                <w:rFonts w:ascii="宋体" w:hAnsi="宋体" w:eastAsia="Times New Roman"/>
                <w:sz w:val="18"/>
                <w:szCs w:val="18"/>
              </w:rPr>
            </w:pPr>
            <w:r>
              <w:rPr>
                <w:rFonts w:hint="eastAsia" w:ascii="宋体" w:hAnsi="宋体" w:eastAsia="Times New Roman"/>
                <w:color w:val="000000"/>
                <w:sz w:val="18"/>
                <w:szCs w:val="18"/>
              </w:rPr>
              <w:t>2</w:t>
            </w:r>
            <w:r>
              <w:rPr>
                <w:rFonts w:ascii="宋体" w:hAnsi="宋体" w:eastAsia="Times New Roman"/>
                <w:color w:val="000000"/>
                <w:sz w:val="18"/>
                <w:szCs w:val="18"/>
              </w:rPr>
              <w:t>.</w:t>
            </w:r>
            <w:r>
              <w:rPr>
                <w:rFonts w:hint="eastAsia" w:ascii="宋体" w:hAnsi="宋体" w:eastAsia="Times New Roman" w:cs="宋体"/>
                <w:color w:val="000000"/>
                <w:sz w:val="18"/>
                <w:szCs w:val="18"/>
              </w:rPr>
              <w:t>撞击法。使用相应的培养基平板，再通过采样的设备，按照一定的抽气流量（如采用</w:t>
            </w:r>
            <w:r>
              <w:rPr>
                <w:rFonts w:hint="eastAsia" w:ascii="宋体" w:hAnsi="宋体" w:eastAsia="Times New Roman"/>
                <w:color w:val="000000"/>
                <w:sz w:val="18"/>
                <w:szCs w:val="18"/>
              </w:rPr>
              <w:t>28.3L/min</w:t>
            </w:r>
            <w:r>
              <w:rPr>
                <w:rFonts w:hint="eastAsia" w:ascii="宋体" w:hAnsi="宋体" w:eastAsia="Times New Roman" w:cs="宋体"/>
                <w:color w:val="000000"/>
                <w:sz w:val="18"/>
                <w:szCs w:val="18"/>
              </w:rPr>
              <w:t>）抽取所在位置的空气，将空气中的微生物撞击到平板上，在连续采集气体</w:t>
            </w:r>
            <w:r>
              <w:rPr>
                <w:rFonts w:hint="eastAsia" w:ascii="宋体" w:hAnsi="宋体" w:eastAsia="Times New Roman"/>
                <w:color w:val="000000"/>
                <w:sz w:val="18"/>
                <w:szCs w:val="18"/>
              </w:rPr>
              <w:t>5min~15min</w:t>
            </w:r>
            <w:r>
              <w:rPr>
                <w:rFonts w:hint="eastAsia" w:ascii="宋体" w:hAnsi="宋体" w:eastAsia="Times New Roman" w:cs="宋体"/>
                <w:color w:val="000000"/>
                <w:sz w:val="18"/>
                <w:szCs w:val="18"/>
              </w:rPr>
              <w:t>后，将平板在冷藏无菌的状态下运送回到实验室，经过培养和检测，确认其最终的数值。</w:t>
            </w:r>
          </w:p>
        </w:tc>
        <w:tc>
          <w:tcPr>
            <w:tcW w:w="2681" w:type="dxa"/>
            <w:tcBorders>
              <w:top w:val="single" w:color="auto" w:sz="4" w:space="0"/>
              <w:left w:val="single" w:color="auto" w:sz="4" w:space="0"/>
              <w:bottom w:val="single" w:color="auto" w:sz="4" w:space="0"/>
              <w:right w:val="single" w:color="auto" w:sz="8" w:space="0"/>
            </w:tcBorders>
            <w:vAlign w:val="center"/>
          </w:tcPr>
          <w:p w14:paraId="3B725515">
            <w:pPr>
              <w:rPr>
                <w:rFonts w:ascii="宋体" w:hAnsi="宋体" w:eastAsia="Times New Roman"/>
                <w:color w:val="000000"/>
                <w:sz w:val="18"/>
                <w:szCs w:val="18"/>
              </w:rPr>
            </w:pPr>
            <w:r>
              <w:rPr>
                <w:rFonts w:hint="eastAsia" w:ascii="宋体" w:hAnsi="宋体" w:eastAsia="Times New Roman" w:cs="宋体"/>
                <w:color w:val="000000"/>
                <w:sz w:val="18"/>
                <w:szCs w:val="18"/>
              </w:rPr>
              <w:t>一般情况下采样器进气口距离地面高度建议为</w:t>
            </w:r>
            <w:r>
              <w:rPr>
                <w:rFonts w:hint="eastAsia" w:ascii="宋体" w:hAnsi="宋体" w:eastAsia="Times New Roman"/>
                <w:color w:val="000000"/>
                <w:sz w:val="18"/>
                <w:szCs w:val="18"/>
              </w:rPr>
              <w:t>1.2 m</w:t>
            </w:r>
            <w:r>
              <w:rPr>
                <w:rFonts w:hint="eastAsia" w:ascii="宋体" w:hAnsi="宋体" w:eastAsia="Times New Roman" w:cs="宋体"/>
                <w:color w:val="000000"/>
                <w:sz w:val="18"/>
                <w:szCs w:val="18"/>
              </w:rPr>
              <w:t>～</w:t>
            </w:r>
            <w:r>
              <w:rPr>
                <w:rFonts w:hint="eastAsia" w:ascii="宋体" w:hAnsi="宋体" w:eastAsia="Times New Roman"/>
                <w:color w:val="000000"/>
                <w:sz w:val="18"/>
                <w:szCs w:val="18"/>
              </w:rPr>
              <w:t>1.5m</w:t>
            </w:r>
            <w:r>
              <w:rPr>
                <w:rFonts w:hint="eastAsia" w:ascii="宋体" w:hAnsi="宋体" w:eastAsia="Times New Roman" w:cs="宋体"/>
                <w:color w:val="000000"/>
                <w:sz w:val="18"/>
                <w:szCs w:val="18"/>
              </w:rPr>
              <w:t>。采样过程中应避免采样器周围有人为因素的气流干扰。采样时间应根据实际环境中病原体的浓度水平进行调整。采样结束时，应记录采样结束时间、采样器流量、实时温度、气压和采样点等信息。</w:t>
            </w:r>
          </w:p>
        </w:tc>
      </w:tr>
      <w:tr w14:paraId="007794D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16" w:type="dxa"/>
            <w:tcBorders>
              <w:top w:val="single" w:color="auto" w:sz="4" w:space="0"/>
              <w:left w:val="single" w:color="auto" w:sz="8" w:space="0"/>
              <w:bottom w:val="single" w:color="auto" w:sz="8" w:space="0"/>
              <w:right w:val="single" w:color="auto" w:sz="4" w:space="0"/>
            </w:tcBorders>
            <w:vAlign w:val="center"/>
          </w:tcPr>
          <w:p w14:paraId="5D83E5AB">
            <w:pPr>
              <w:jc w:val="center"/>
              <w:rPr>
                <w:rFonts w:ascii="宋体" w:hAnsi="宋体" w:eastAsia="Times New Roman"/>
                <w:sz w:val="18"/>
                <w:szCs w:val="18"/>
              </w:rPr>
            </w:pPr>
            <w:r>
              <w:rPr>
                <w:rFonts w:hint="eastAsia" w:ascii="宋体" w:hAnsi="宋体" w:eastAsia="Times New Roman"/>
                <w:sz w:val="18"/>
                <w:szCs w:val="18"/>
              </w:rPr>
              <w:t>14</w:t>
            </w:r>
          </w:p>
        </w:tc>
        <w:tc>
          <w:tcPr>
            <w:tcW w:w="850" w:type="dxa"/>
            <w:tcBorders>
              <w:top w:val="single" w:color="auto" w:sz="4" w:space="0"/>
              <w:left w:val="single" w:color="auto" w:sz="4" w:space="0"/>
              <w:bottom w:val="single" w:color="auto" w:sz="8" w:space="0"/>
              <w:right w:val="single" w:color="auto" w:sz="4" w:space="0"/>
            </w:tcBorders>
            <w:vAlign w:val="center"/>
          </w:tcPr>
          <w:p w14:paraId="75B7425E">
            <w:pPr>
              <w:jc w:val="center"/>
              <w:rPr>
                <w:rFonts w:ascii="宋体" w:hAnsi="宋体" w:eastAsia="Times New Roman"/>
                <w:sz w:val="18"/>
                <w:szCs w:val="18"/>
              </w:rPr>
            </w:pPr>
            <w:r>
              <w:rPr>
                <w:rFonts w:hint="eastAsia" w:ascii="宋体" w:hAnsi="宋体" w:eastAsia="Times New Roman" w:cs="宋体"/>
                <w:sz w:val="18"/>
                <w:szCs w:val="18"/>
              </w:rPr>
              <w:t>啮齿类及节肢动物</w:t>
            </w:r>
          </w:p>
        </w:tc>
        <w:tc>
          <w:tcPr>
            <w:tcW w:w="5387" w:type="dxa"/>
            <w:tcBorders>
              <w:top w:val="single" w:color="auto" w:sz="4" w:space="0"/>
              <w:left w:val="single" w:color="auto" w:sz="4" w:space="0"/>
              <w:bottom w:val="single" w:color="auto" w:sz="8" w:space="0"/>
              <w:right w:val="single" w:color="auto" w:sz="4" w:space="0"/>
            </w:tcBorders>
            <w:vAlign w:val="center"/>
          </w:tcPr>
          <w:p w14:paraId="2B11A8DD">
            <w:pPr>
              <w:rPr>
                <w:rFonts w:ascii="宋体" w:hAnsi="宋体" w:eastAsia="Times New Roman"/>
                <w:sz w:val="18"/>
                <w:szCs w:val="18"/>
              </w:rPr>
            </w:pPr>
            <w:r>
              <w:rPr>
                <w:rFonts w:hint="eastAsia" w:ascii="宋体" w:hAnsi="宋体" w:eastAsia="Times New Roman" w:cs="宋体"/>
                <w:sz w:val="18"/>
                <w:szCs w:val="18"/>
              </w:rPr>
              <w:t>在疫情发生的环境中尽可能多采集对应的啮齿动物或者节肢动物，按照类型和采集地点分类保存。</w:t>
            </w:r>
          </w:p>
        </w:tc>
        <w:tc>
          <w:tcPr>
            <w:tcW w:w="2681" w:type="dxa"/>
            <w:tcBorders>
              <w:top w:val="single" w:color="auto" w:sz="4" w:space="0"/>
              <w:left w:val="single" w:color="auto" w:sz="4" w:space="0"/>
              <w:bottom w:val="single" w:color="auto" w:sz="8" w:space="0"/>
              <w:right w:val="single" w:color="auto" w:sz="8" w:space="0"/>
            </w:tcBorders>
            <w:vAlign w:val="center"/>
          </w:tcPr>
          <w:p w14:paraId="11B170BC">
            <w:pPr>
              <w:rPr>
                <w:rFonts w:ascii="宋体" w:hAnsi="宋体" w:eastAsia="Times New Roman"/>
                <w:color w:val="000000"/>
                <w:sz w:val="18"/>
                <w:szCs w:val="18"/>
              </w:rPr>
            </w:pPr>
            <w:r>
              <w:rPr>
                <w:rFonts w:hint="eastAsia" w:ascii="宋体" w:hAnsi="宋体" w:eastAsia="Times New Roman" w:cs="宋体"/>
                <w:color w:val="000000"/>
                <w:sz w:val="18"/>
                <w:szCs w:val="18"/>
              </w:rPr>
              <w:t>在疫点疫区必须严格做好个人防护，防止咬伤，可与消杀灭同时或单独进行，需遵守疫区规定的防疫消毒程序。</w:t>
            </w:r>
          </w:p>
        </w:tc>
      </w:tr>
    </w:tbl>
    <w:p w14:paraId="61450CC5">
      <w:pPr>
        <w:pStyle w:val="56"/>
        <w:ind w:firstLine="420"/>
      </w:pPr>
    </w:p>
    <w:p w14:paraId="32698528">
      <w:pPr>
        <w:pStyle w:val="56"/>
        <w:ind w:firstLine="420"/>
      </w:pPr>
    </w:p>
    <w:p w14:paraId="33E91370">
      <w:pPr>
        <w:pStyle w:val="56"/>
        <w:ind w:firstLine="420"/>
      </w:pPr>
      <w:r>
        <w:pict>
          <v:rect id="_x0000_i1025" o:spt="1" style="height:1.5pt;width:116.95pt;" fillcolor="#000000" filled="t" stroked="f" coordsize="21600,21600" o:hr="t" o:hrstd="t" o:hrnoshade="t" o:hrpct="250" o:hralign="center">
            <v:path/>
            <v:fill on="t" focussize="0,0"/>
            <v:stroke on="f"/>
            <v:imagedata o:title=""/>
            <o:lock v:ext="edit"/>
            <w10:wrap type="none"/>
            <w10:anchorlock/>
          </v:rect>
        </w:pict>
      </w:r>
    </w:p>
    <w:bookmarkEnd w:id="52"/>
    <w:p w14:paraId="143D9E51">
      <w:pPr>
        <w:pStyle w:val="56"/>
        <w:ind w:firstLine="420"/>
      </w:pPr>
    </w:p>
    <w:p w14:paraId="7D159C7A">
      <w:pPr>
        <w:pStyle w:val="56"/>
        <w:ind w:firstLine="420"/>
      </w:pPr>
    </w:p>
    <w:sectPr>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53E7BB">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8C2372">
    <w:pPr>
      <w:pStyle w:val="17"/>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D306A0">
    <w:pPr>
      <w:pStyle w:val="17"/>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38C5C7">
    <w:pPr>
      <w:pStyle w:val="52"/>
    </w:pPr>
    <w:r>
      <w:fldChar w:fldCharType="begin"/>
    </w:r>
    <w:r>
      <w:instrText xml:space="preserve">PAGE   \* MERGEFORMAT</w:instrText>
    </w:r>
    <w:r>
      <w:fldChar w:fldCharType="separate"/>
    </w:r>
    <w:r>
      <w:rPr>
        <w:lang w:val="zh-CN"/>
      </w:rPr>
      <w:t>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8486D6">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762D43">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AAFEF0">
    <w:pPr>
      <w:pStyle w:val="18"/>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5E8B21">
    <w:pPr>
      <w:pStyle w:val="61"/>
    </w:pPr>
    <w:r>
      <w:fldChar w:fldCharType="begin"/>
    </w:r>
    <w:r>
      <w:instrText xml:space="preserve"> STYLEREF  标准文件_文件编号  \* MERGEFORMAT </w:instrText>
    </w:r>
    <w:r>
      <w:fldChar w:fldCharType="separate"/>
    </w:r>
    <w:r>
      <w:t>DB32/TXXXX—XXXX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43A5CC">
    <w:pPr>
      <w:pStyle w:val="18"/>
      <w:jc w:val="right"/>
      <w:rPr>
        <w:lang w:val="fr-FR"/>
      </w:rPr>
    </w:pPr>
    <w:r>
      <w:fldChar w:fldCharType="begin"/>
    </w:r>
    <w:r>
      <w:instrText xml:space="preserve"> STYLEREF  标准文件_文件编号  \* MERGEFORMAT </w:instrText>
    </w:r>
    <w:r>
      <w:fldChar w:fldCharType="separate"/>
    </w:r>
    <w:r>
      <w:t>DB32/TXXXX—XXXX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65"/>
      <w:suff w:val="nothing"/>
      <w:lvlText w:val="%1%2.%3.%4　"/>
      <w:lvlJc w:val="left"/>
      <w:pPr>
        <w:ind w:left="0" w:firstLine="0"/>
      </w:pPr>
      <w:rPr>
        <w:rFonts w:hint="eastAsia" w:ascii="黑体" w:eastAsia="黑体"/>
        <w:b w:val="0"/>
        <w:i w:val="0"/>
        <w:sz w:val="21"/>
      </w:rPr>
    </w:lvl>
    <w:lvl w:ilvl="4" w:tentative="0">
      <w:start w:val="1"/>
      <w:numFmt w:val="decimal"/>
      <w:pStyle w:val="94"/>
      <w:suff w:val="nothing"/>
      <w:lvlText w:val="%1%2.%3.%4.%5　"/>
      <w:lvlJc w:val="left"/>
      <w:pPr>
        <w:ind w:left="0"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dit="forms"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mMyZDE4ZDYxNWY2N2M2NjRlMDgxNjlkYTdiZjkxMTMifQ=="/>
  </w:docVars>
  <w:rsids>
    <w:rsidRoot w:val="00690E2B"/>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2790"/>
    <w:rsid w:val="000D329A"/>
    <w:rsid w:val="000D4B9C"/>
    <w:rsid w:val="000D4EB6"/>
    <w:rsid w:val="000D753B"/>
    <w:rsid w:val="000E4C9E"/>
    <w:rsid w:val="000E6FD7"/>
    <w:rsid w:val="000F06E1"/>
    <w:rsid w:val="000F0E3C"/>
    <w:rsid w:val="000F19D5"/>
    <w:rsid w:val="000F4AEA"/>
    <w:rsid w:val="000F633F"/>
    <w:rsid w:val="000F67E9"/>
    <w:rsid w:val="00104926"/>
    <w:rsid w:val="00113B1E"/>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96EF5"/>
    <w:rsid w:val="001A1A53"/>
    <w:rsid w:val="001A234A"/>
    <w:rsid w:val="001A4CF3"/>
    <w:rsid w:val="001A7B32"/>
    <w:rsid w:val="001B06E8"/>
    <w:rsid w:val="001B71D0"/>
    <w:rsid w:val="001B71EE"/>
    <w:rsid w:val="001C01FF"/>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746"/>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881"/>
    <w:rsid w:val="002C7EBB"/>
    <w:rsid w:val="002D06C1"/>
    <w:rsid w:val="002D42B5"/>
    <w:rsid w:val="002D4F1A"/>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13CB"/>
    <w:rsid w:val="00313B85"/>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12B5"/>
    <w:rsid w:val="00392AD7"/>
    <w:rsid w:val="003938D9"/>
    <w:rsid w:val="00394376"/>
    <w:rsid w:val="003943FF"/>
    <w:rsid w:val="00395700"/>
    <w:rsid w:val="003974EB"/>
    <w:rsid w:val="00397CC5"/>
    <w:rsid w:val="003A1582"/>
    <w:rsid w:val="003A4077"/>
    <w:rsid w:val="003A703F"/>
    <w:rsid w:val="003B09AD"/>
    <w:rsid w:val="003B1F18"/>
    <w:rsid w:val="003B5BF0"/>
    <w:rsid w:val="003B60BF"/>
    <w:rsid w:val="003B6BE3"/>
    <w:rsid w:val="003C010C"/>
    <w:rsid w:val="003C0A6C"/>
    <w:rsid w:val="003C14F8"/>
    <w:rsid w:val="003C5A43"/>
    <w:rsid w:val="003D0519"/>
    <w:rsid w:val="003D0FF6"/>
    <w:rsid w:val="003D262C"/>
    <w:rsid w:val="003D6D61"/>
    <w:rsid w:val="003D79C6"/>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B7303"/>
    <w:rsid w:val="004C1FBC"/>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5E6B"/>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2E84"/>
    <w:rsid w:val="00555044"/>
    <w:rsid w:val="00561475"/>
    <w:rsid w:val="0056487B"/>
    <w:rsid w:val="00564FB9"/>
    <w:rsid w:val="00573D9E"/>
    <w:rsid w:val="005801E3"/>
    <w:rsid w:val="00581802"/>
    <w:rsid w:val="005836A8"/>
    <w:rsid w:val="0058409C"/>
    <w:rsid w:val="00584262"/>
    <w:rsid w:val="00586630"/>
    <w:rsid w:val="00587ADD"/>
    <w:rsid w:val="00591E27"/>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6015CE"/>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0E2B"/>
    <w:rsid w:val="00695D22"/>
    <w:rsid w:val="0069679B"/>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23EA"/>
    <w:rsid w:val="006F03A8"/>
    <w:rsid w:val="006F2ACA"/>
    <w:rsid w:val="006F2ADC"/>
    <w:rsid w:val="006F2BFE"/>
    <w:rsid w:val="006F31E9"/>
    <w:rsid w:val="006F6284"/>
    <w:rsid w:val="007002C5"/>
    <w:rsid w:val="00704387"/>
    <w:rsid w:val="00706C4A"/>
    <w:rsid w:val="00707669"/>
    <w:rsid w:val="00711CBA"/>
    <w:rsid w:val="00711FB5"/>
    <w:rsid w:val="00712A01"/>
    <w:rsid w:val="00714F58"/>
    <w:rsid w:val="00722FBF"/>
    <w:rsid w:val="00722FC2"/>
    <w:rsid w:val="00724879"/>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8700D"/>
    <w:rsid w:val="007959E8"/>
    <w:rsid w:val="00795E9C"/>
    <w:rsid w:val="007A0521"/>
    <w:rsid w:val="007A2E12"/>
    <w:rsid w:val="007A3475"/>
    <w:rsid w:val="007A41C8"/>
    <w:rsid w:val="007A5444"/>
    <w:rsid w:val="007A54CE"/>
    <w:rsid w:val="007A6FD9"/>
    <w:rsid w:val="007A7FFA"/>
    <w:rsid w:val="007B04EB"/>
    <w:rsid w:val="007B0D4F"/>
    <w:rsid w:val="007B5A3D"/>
    <w:rsid w:val="007B5B95"/>
    <w:rsid w:val="007B68EA"/>
    <w:rsid w:val="007B7453"/>
    <w:rsid w:val="007C1E8B"/>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1747"/>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2D80"/>
    <w:rsid w:val="008A3215"/>
    <w:rsid w:val="008A57E6"/>
    <w:rsid w:val="008A6F81"/>
    <w:rsid w:val="008A769A"/>
    <w:rsid w:val="008B0C9C"/>
    <w:rsid w:val="008B166D"/>
    <w:rsid w:val="008B17F4"/>
    <w:rsid w:val="008B3615"/>
    <w:rsid w:val="008B4AC4"/>
    <w:rsid w:val="008B50C8"/>
    <w:rsid w:val="008B5281"/>
    <w:rsid w:val="008B6D95"/>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53604"/>
    <w:rsid w:val="0095496B"/>
    <w:rsid w:val="009579C8"/>
    <w:rsid w:val="009610DC"/>
    <w:rsid w:val="00961490"/>
    <w:rsid w:val="0096381A"/>
    <w:rsid w:val="00965E04"/>
    <w:rsid w:val="009674AD"/>
    <w:rsid w:val="00970CDC"/>
    <w:rsid w:val="00977010"/>
    <w:rsid w:val="00977D02"/>
    <w:rsid w:val="009809BB"/>
    <w:rsid w:val="0098364B"/>
    <w:rsid w:val="009911AF"/>
    <w:rsid w:val="00991875"/>
    <w:rsid w:val="00991F92"/>
    <w:rsid w:val="00992985"/>
    <w:rsid w:val="00993889"/>
    <w:rsid w:val="0099551B"/>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CFA"/>
    <w:rsid w:val="009C5070"/>
    <w:rsid w:val="009D112C"/>
    <w:rsid w:val="009D47D0"/>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02BC"/>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442"/>
    <w:rsid w:val="00B378E5"/>
    <w:rsid w:val="00B4346D"/>
    <w:rsid w:val="00B440F4"/>
    <w:rsid w:val="00B447A5"/>
    <w:rsid w:val="00B4654C"/>
    <w:rsid w:val="00B46AF0"/>
    <w:rsid w:val="00B47293"/>
    <w:rsid w:val="00B50E50"/>
    <w:rsid w:val="00B52120"/>
    <w:rsid w:val="00B54ABC"/>
    <w:rsid w:val="00B54DDE"/>
    <w:rsid w:val="00B56FBE"/>
    <w:rsid w:val="00B60ACF"/>
    <w:rsid w:val="00B62B58"/>
    <w:rsid w:val="00B65149"/>
    <w:rsid w:val="00B66567"/>
    <w:rsid w:val="00B66F52"/>
    <w:rsid w:val="00B66FE5"/>
    <w:rsid w:val="00B72880"/>
    <w:rsid w:val="00B758BF"/>
    <w:rsid w:val="00B7605B"/>
    <w:rsid w:val="00B77EC8"/>
    <w:rsid w:val="00B81ECB"/>
    <w:rsid w:val="00B827A6"/>
    <w:rsid w:val="00B831CE"/>
    <w:rsid w:val="00B86677"/>
    <w:rsid w:val="00B87131"/>
    <w:rsid w:val="00B939B1"/>
    <w:rsid w:val="00B96D40"/>
    <w:rsid w:val="00B97386"/>
    <w:rsid w:val="00BA2256"/>
    <w:rsid w:val="00BA263B"/>
    <w:rsid w:val="00BA42B2"/>
    <w:rsid w:val="00BA58D4"/>
    <w:rsid w:val="00BA5B9E"/>
    <w:rsid w:val="00BA7C9A"/>
    <w:rsid w:val="00BB203B"/>
    <w:rsid w:val="00BB5F8F"/>
    <w:rsid w:val="00BB657A"/>
    <w:rsid w:val="00BC1A4E"/>
    <w:rsid w:val="00BC4790"/>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2148"/>
    <w:rsid w:val="00C228C5"/>
    <w:rsid w:val="00C24C8D"/>
    <w:rsid w:val="00C25FE2"/>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982"/>
    <w:rsid w:val="00C80CB8"/>
    <w:rsid w:val="00C819F8"/>
    <w:rsid w:val="00C8248C"/>
    <w:rsid w:val="00C84E33"/>
    <w:rsid w:val="00C86D6F"/>
    <w:rsid w:val="00C905FC"/>
    <w:rsid w:val="00C92D03"/>
    <w:rsid w:val="00C9319C"/>
    <w:rsid w:val="00C9435D"/>
    <w:rsid w:val="00C94DF2"/>
    <w:rsid w:val="00C963F2"/>
    <w:rsid w:val="00C96741"/>
    <w:rsid w:val="00CA2D1B"/>
    <w:rsid w:val="00CA375D"/>
    <w:rsid w:val="00CA662A"/>
    <w:rsid w:val="00CA7AFD"/>
    <w:rsid w:val="00CA7C3C"/>
    <w:rsid w:val="00CB0189"/>
    <w:rsid w:val="00CB0BA2"/>
    <w:rsid w:val="00CB1A29"/>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1F42"/>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3660F"/>
    <w:rsid w:val="00D4162B"/>
    <w:rsid w:val="00D4514F"/>
    <w:rsid w:val="00D451E2"/>
    <w:rsid w:val="00D45E89"/>
    <w:rsid w:val="00D45E8D"/>
    <w:rsid w:val="00D466AE"/>
    <w:rsid w:val="00D4734F"/>
    <w:rsid w:val="00D51BF3"/>
    <w:rsid w:val="00D64859"/>
    <w:rsid w:val="00D66846"/>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5191"/>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65D2"/>
    <w:rsid w:val="00E11A85"/>
    <w:rsid w:val="00E121C3"/>
    <w:rsid w:val="00E12495"/>
    <w:rsid w:val="00E15CCD"/>
    <w:rsid w:val="00E202EF"/>
    <w:rsid w:val="00E210B5"/>
    <w:rsid w:val="00E23D99"/>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66B4"/>
    <w:rsid w:val="00E77A03"/>
    <w:rsid w:val="00E822E8"/>
    <w:rsid w:val="00E82554"/>
    <w:rsid w:val="00E82606"/>
    <w:rsid w:val="00E83495"/>
    <w:rsid w:val="00E846C8"/>
    <w:rsid w:val="00E84957"/>
    <w:rsid w:val="00E84A55"/>
    <w:rsid w:val="00E85BFF"/>
    <w:rsid w:val="00E90391"/>
    <w:rsid w:val="00E906C2"/>
    <w:rsid w:val="00E9311F"/>
    <w:rsid w:val="00E934D1"/>
    <w:rsid w:val="00E949FE"/>
    <w:rsid w:val="00E94AF0"/>
    <w:rsid w:val="00E95D13"/>
    <w:rsid w:val="00E95DD3"/>
    <w:rsid w:val="00E969D5"/>
    <w:rsid w:val="00EA58D1"/>
    <w:rsid w:val="00EA61BC"/>
    <w:rsid w:val="00EA681A"/>
    <w:rsid w:val="00EA735B"/>
    <w:rsid w:val="00EB17DE"/>
    <w:rsid w:val="00EB1AA9"/>
    <w:rsid w:val="00EB1E69"/>
    <w:rsid w:val="00EB2086"/>
    <w:rsid w:val="00EB5EDF"/>
    <w:rsid w:val="00EB60FE"/>
    <w:rsid w:val="00EB74DB"/>
    <w:rsid w:val="00EC5359"/>
    <w:rsid w:val="00EC562A"/>
    <w:rsid w:val="00ED067A"/>
    <w:rsid w:val="00ED2B50"/>
    <w:rsid w:val="00EE0350"/>
    <w:rsid w:val="00EE0719"/>
    <w:rsid w:val="00EE0E80"/>
    <w:rsid w:val="00EE54A6"/>
    <w:rsid w:val="00EE613F"/>
    <w:rsid w:val="00EE7295"/>
    <w:rsid w:val="00EE7869"/>
    <w:rsid w:val="00EF054A"/>
    <w:rsid w:val="00EF3235"/>
    <w:rsid w:val="00EF7E72"/>
    <w:rsid w:val="00F06D37"/>
    <w:rsid w:val="00F07B9D"/>
    <w:rsid w:val="00F11586"/>
    <w:rsid w:val="00F1178D"/>
    <w:rsid w:val="00F1183B"/>
    <w:rsid w:val="00F11C9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29BD"/>
    <w:rsid w:val="00F56511"/>
    <w:rsid w:val="00F6194E"/>
    <w:rsid w:val="00F623AC"/>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26D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2785627"/>
    <w:rsid w:val="6D98209D"/>
    <w:rsid w:val="773732D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unhideWhenUsed="0" w:uiPriority="0"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paragraph" w:styleId="5">
    <w:name w:val="heading 4"/>
    <w:basedOn w:val="1"/>
    <w:next w:val="1"/>
    <w:link w:val="37"/>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39"/>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0"/>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1"/>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2"/>
    <w:qFormat/>
    <w:uiPriority w:val="0"/>
    <w:pPr>
      <w:keepNext/>
      <w:keepLines/>
      <w:adjustRightInd/>
      <w:spacing w:before="240" w:after="64" w:line="320" w:lineRule="auto"/>
      <w:outlineLvl w:val="8"/>
    </w:pPr>
    <w:rPr>
      <w:rFonts w:ascii="Arial" w:hAnsi="Arial" w:eastAsia="黑体"/>
    </w:rPr>
  </w:style>
  <w:style w:type="character" w:default="1" w:styleId="28">
    <w:name w:val="Default Paragraph Font"/>
    <w:semiHidden/>
    <w:unhideWhenUsed/>
    <w:uiPriority w:val="1"/>
  </w:style>
  <w:style w:type="table" w:default="1" w:styleId="26">
    <w:name w:val="Normal Table"/>
    <w:semiHidden/>
    <w:unhideWhenUsed/>
    <w:uiPriority w:val="99"/>
    <w:tblPr>
      <w:tblCellMar>
        <w:top w:w="0" w:type="dxa"/>
        <w:left w:w="108" w:type="dxa"/>
        <w:bottom w:w="0" w:type="dxa"/>
        <w:right w:w="108" w:type="dxa"/>
      </w:tblCellMar>
    </w:tblPr>
  </w:style>
  <w:style w:type="paragraph" w:styleId="11">
    <w:name w:val="toc 7"/>
    <w:basedOn w:val="1"/>
    <w:next w:val="1"/>
    <w:autoRedefine/>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6"/>
    <w:qFormat/>
    <w:uiPriority w:val="0"/>
    <w:pPr>
      <w:spacing w:after="120"/>
    </w:pPr>
  </w:style>
  <w:style w:type="paragraph" w:styleId="14">
    <w:name w:val="toc 5"/>
    <w:basedOn w:val="1"/>
    <w:next w:val="1"/>
    <w:autoRedefine/>
    <w:unhideWhenUsed/>
    <w:qFormat/>
    <w:uiPriority w:val="39"/>
    <w:pPr>
      <w:ind w:left="839"/>
    </w:pPr>
    <w:rPr>
      <w:rFonts w:ascii="宋体"/>
    </w:rPr>
  </w:style>
  <w:style w:type="paragraph" w:styleId="15">
    <w:name w:val="toc 3"/>
    <w:basedOn w:val="1"/>
    <w:next w:val="1"/>
    <w:autoRedefine/>
    <w:unhideWhenUsed/>
    <w:qFormat/>
    <w:uiPriority w:val="39"/>
    <w:pPr>
      <w:spacing w:line="300" w:lineRule="exact"/>
      <w:ind w:left="420"/>
    </w:pPr>
    <w:rPr>
      <w:rFonts w:ascii="宋体"/>
    </w:rPr>
  </w:style>
  <w:style w:type="paragraph" w:styleId="16">
    <w:name w:val="Balloon Text"/>
    <w:basedOn w:val="1"/>
    <w:link w:val="45"/>
    <w:semiHidden/>
    <w:unhideWhenUsed/>
    <w:qFormat/>
    <w:uiPriority w:val="99"/>
    <w:rPr>
      <w:sz w:val="18"/>
      <w:szCs w:val="18"/>
    </w:rPr>
  </w:style>
  <w:style w:type="paragraph" w:styleId="17">
    <w:name w:val="footer"/>
    <w:basedOn w:val="1"/>
    <w:link w:val="44"/>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3"/>
    <w:qFormat/>
    <w:uiPriority w:val="99"/>
    <w:pPr>
      <w:tabs>
        <w:tab w:val="center" w:pos="4153"/>
        <w:tab w:val="right" w:pos="8306"/>
      </w:tabs>
      <w:adjustRightInd/>
      <w:snapToGrid w:val="0"/>
      <w:jc w:val="center"/>
    </w:pPr>
    <w:rPr>
      <w:sz w:val="18"/>
      <w:szCs w:val="18"/>
    </w:rPr>
  </w:style>
  <w:style w:type="paragraph" w:styleId="19">
    <w:name w:val="toc 1"/>
    <w:basedOn w:val="1"/>
    <w:next w:val="1"/>
    <w:autoRedefine/>
    <w:unhideWhenUsed/>
    <w:qFormat/>
    <w:uiPriority w:val="39"/>
    <w:rPr>
      <w:rFonts w:ascii="宋体"/>
    </w:rPr>
  </w:style>
  <w:style w:type="paragraph" w:styleId="20">
    <w:name w:val="toc 4"/>
    <w:basedOn w:val="1"/>
    <w:next w:val="1"/>
    <w:autoRedefine/>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autoRedefine/>
    <w:unhideWhenUsed/>
    <w:qFormat/>
    <w:uiPriority w:val="39"/>
    <w:pPr>
      <w:spacing w:line="300" w:lineRule="exact"/>
      <w:ind w:left="1049"/>
    </w:pPr>
    <w:rPr>
      <w:rFonts w:ascii="宋体"/>
    </w:rPr>
  </w:style>
  <w:style w:type="paragraph" w:styleId="23">
    <w:name w:val="table of figures"/>
    <w:basedOn w:val="1"/>
    <w:next w:val="1"/>
    <w:semiHidden/>
    <w:qFormat/>
    <w:uiPriority w:val="0"/>
    <w:pPr>
      <w:adjustRightInd/>
      <w:spacing w:line="240" w:lineRule="auto"/>
      <w:jc w:val="left"/>
    </w:pPr>
    <w:rPr>
      <w:szCs w:val="24"/>
    </w:rPr>
  </w:style>
  <w:style w:type="paragraph" w:styleId="24">
    <w:name w:val="toc 2"/>
    <w:basedOn w:val="1"/>
    <w:next w:val="1"/>
    <w:autoRedefine/>
    <w:unhideWhenUsed/>
    <w:qFormat/>
    <w:uiPriority w:val="39"/>
    <w:pPr>
      <w:tabs>
        <w:tab w:val="right" w:leader="dot" w:pos="9344"/>
      </w:tabs>
      <w:spacing w:line="300" w:lineRule="exact"/>
      <w:ind w:left="210"/>
    </w:pPr>
    <w:rPr>
      <w:rFonts w:ascii="宋体"/>
    </w:rPr>
  </w:style>
  <w:style w:type="paragraph" w:styleId="25">
    <w:name w:val="Title"/>
    <w:basedOn w:val="1"/>
    <w:link w:val="48"/>
    <w:qFormat/>
    <w:uiPriority w:val="0"/>
    <w:pPr>
      <w:spacing w:before="240" w:after="60"/>
      <w:jc w:val="center"/>
      <w:outlineLvl w:val="0"/>
    </w:pPr>
    <w:rPr>
      <w:rFonts w:ascii="Arial" w:hAnsi="Arial" w:cs="Arial"/>
      <w:b/>
      <w:bCs/>
      <w:sz w:val="32"/>
      <w:szCs w:val="32"/>
    </w:rPr>
  </w:style>
  <w:style w:type="table" w:styleId="27">
    <w:name w:val="Table Grid"/>
    <w:basedOn w:val="2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qFormat/>
    <w:uiPriority w:val="22"/>
    <w:rPr>
      <w:b/>
      <w:bCs/>
    </w:rPr>
  </w:style>
  <w:style w:type="character" w:styleId="30">
    <w:name w:val="page number"/>
    <w:uiPriority w:val="0"/>
    <w:rPr>
      <w:rFonts w:ascii="宋体" w:hAnsi="Times New Roman" w:eastAsia="宋体"/>
      <w:sz w:val="18"/>
    </w:rPr>
  </w:style>
  <w:style w:type="character" w:styleId="31">
    <w:name w:val="Emphasis"/>
    <w:qFormat/>
    <w:uiPriority w:val="20"/>
    <w:rPr>
      <w:i/>
      <w:iCs/>
    </w:rPr>
  </w:style>
  <w:style w:type="character" w:styleId="32">
    <w:name w:val="Hyperlink"/>
    <w:qFormat/>
    <w:uiPriority w:val="99"/>
    <w:rPr>
      <w:rFonts w:ascii="宋体" w:hAnsi="Times New Roman" w:eastAsia="宋体"/>
      <w:color w:val="auto"/>
      <w:spacing w:val="0"/>
      <w:w w:val="100"/>
      <w:position w:val="0"/>
      <w:sz w:val="21"/>
      <w:u w:val="none"/>
      <w:vertAlign w:val="baseline"/>
    </w:rPr>
  </w:style>
  <w:style w:type="character" w:styleId="33">
    <w:name w:val="footnote reference"/>
    <w:semiHidden/>
    <w:uiPriority w:val="0"/>
    <w:rPr>
      <w:rFonts w:ascii="宋体" w:hAnsi="宋体" w:eastAsia="宋体" w:cs="Times New Roman"/>
      <w:spacing w:val="0"/>
      <w:sz w:val="18"/>
      <w:vertAlign w:val="superscript"/>
    </w:rPr>
  </w:style>
  <w:style w:type="character" w:customStyle="1" w:styleId="34">
    <w:name w:val="标题 1 Char"/>
    <w:link w:val="2"/>
    <w:qFormat/>
    <w:uiPriority w:val="0"/>
    <w:rPr>
      <w:b/>
      <w:bCs/>
      <w:kern w:val="44"/>
      <w:sz w:val="44"/>
      <w:szCs w:val="44"/>
    </w:rPr>
  </w:style>
  <w:style w:type="character" w:customStyle="1" w:styleId="35">
    <w:name w:val="标题 2 Char"/>
    <w:link w:val="3"/>
    <w:uiPriority w:val="0"/>
    <w:rPr>
      <w:rFonts w:ascii="Arial" w:hAnsi="Arial" w:eastAsia="黑体"/>
      <w:b/>
      <w:bCs/>
      <w:kern w:val="2"/>
      <w:sz w:val="32"/>
      <w:szCs w:val="32"/>
    </w:rPr>
  </w:style>
  <w:style w:type="character" w:customStyle="1" w:styleId="36">
    <w:name w:val="标题 3 Char"/>
    <w:link w:val="4"/>
    <w:uiPriority w:val="0"/>
    <w:rPr>
      <w:b/>
      <w:bCs/>
      <w:kern w:val="2"/>
      <w:sz w:val="32"/>
      <w:szCs w:val="32"/>
    </w:rPr>
  </w:style>
  <w:style w:type="character" w:customStyle="1" w:styleId="37">
    <w:name w:val="标题 4 Char"/>
    <w:link w:val="5"/>
    <w:qFormat/>
    <w:uiPriority w:val="0"/>
    <w:rPr>
      <w:rFonts w:ascii="Arial" w:hAnsi="Arial" w:eastAsia="黑体"/>
      <w:b/>
      <w:bCs/>
      <w:kern w:val="2"/>
      <w:sz w:val="28"/>
      <w:szCs w:val="28"/>
    </w:rPr>
  </w:style>
  <w:style w:type="character" w:customStyle="1" w:styleId="38">
    <w:name w:val="标题 5 Char"/>
    <w:link w:val="6"/>
    <w:uiPriority w:val="0"/>
    <w:rPr>
      <w:b/>
      <w:bCs/>
      <w:kern w:val="2"/>
      <w:sz w:val="28"/>
      <w:szCs w:val="28"/>
    </w:rPr>
  </w:style>
  <w:style w:type="character" w:customStyle="1" w:styleId="39">
    <w:name w:val="标题 6 Char"/>
    <w:link w:val="7"/>
    <w:uiPriority w:val="0"/>
    <w:rPr>
      <w:rFonts w:ascii="Arial" w:hAnsi="Arial" w:eastAsia="黑体"/>
      <w:b/>
      <w:bCs/>
      <w:kern w:val="2"/>
      <w:sz w:val="24"/>
      <w:szCs w:val="24"/>
    </w:rPr>
  </w:style>
  <w:style w:type="character" w:customStyle="1" w:styleId="40">
    <w:name w:val="标题 7 Char"/>
    <w:link w:val="8"/>
    <w:qFormat/>
    <w:uiPriority w:val="0"/>
    <w:rPr>
      <w:b/>
      <w:bCs/>
      <w:kern w:val="2"/>
      <w:sz w:val="24"/>
      <w:szCs w:val="24"/>
    </w:rPr>
  </w:style>
  <w:style w:type="character" w:customStyle="1" w:styleId="41">
    <w:name w:val="标题 8 Char"/>
    <w:link w:val="9"/>
    <w:uiPriority w:val="0"/>
    <w:rPr>
      <w:rFonts w:ascii="Arial" w:hAnsi="Arial" w:eastAsia="黑体"/>
      <w:kern w:val="2"/>
      <w:sz w:val="24"/>
      <w:szCs w:val="24"/>
    </w:rPr>
  </w:style>
  <w:style w:type="character" w:customStyle="1" w:styleId="42">
    <w:name w:val="标题 9 Char"/>
    <w:link w:val="10"/>
    <w:qFormat/>
    <w:uiPriority w:val="0"/>
    <w:rPr>
      <w:rFonts w:ascii="Arial" w:hAnsi="Arial" w:eastAsia="黑体"/>
      <w:kern w:val="2"/>
      <w:sz w:val="21"/>
      <w:szCs w:val="21"/>
    </w:rPr>
  </w:style>
  <w:style w:type="character" w:customStyle="1" w:styleId="43">
    <w:name w:val="页眉 Char"/>
    <w:link w:val="18"/>
    <w:qFormat/>
    <w:uiPriority w:val="99"/>
    <w:rPr>
      <w:kern w:val="2"/>
      <w:sz w:val="18"/>
      <w:szCs w:val="18"/>
    </w:rPr>
  </w:style>
  <w:style w:type="character" w:customStyle="1" w:styleId="44">
    <w:name w:val="页脚 Char"/>
    <w:link w:val="17"/>
    <w:qFormat/>
    <w:uiPriority w:val="99"/>
    <w:rPr>
      <w:rFonts w:ascii="宋体"/>
      <w:kern w:val="2"/>
      <w:sz w:val="18"/>
      <w:szCs w:val="18"/>
    </w:rPr>
  </w:style>
  <w:style w:type="character" w:customStyle="1" w:styleId="45">
    <w:name w:val="批注框文本 Char"/>
    <w:link w:val="16"/>
    <w:semiHidden/>
    <w:qFormat/>
    <w:uiPriority w:val="99"/>
    <w:rPr>
      <w:kern w:val="2"/>
      <w:sz w:val="18"/>
      <w:szCs w:val="18"/>
    </w:rPr>
  </w:style>
  <w:style w:type="paragraph" w:styleId="46">
    <w:name w:val="Quote"/>
    <w:basedOn w:val="1"/>
    <w:next w:val="1"/>
    <w:link w:val="47"/>
    <w:qFormat/>
    <w:uiPriority w:val="29"/>
    <w:rPr>
      <w:i/>
      <w:iCs/>
      <w:color w:val="000000"/>
    </w:rPr>
  </w:style>
  <w:style w:type="character" w:customStyle="1" w:styleId="47">
    <w:name w:val="引用 Char"/>
    <w:link w:val="46"/>
    <w:uiPriority w:val="29"/>
    <w:rPr>
      <w:i/>
      <w:iCs/>
      <w:color w:val="000000"/>
      <w:kern w:val="2"/>
      <w:sz w:val="21"/>
      <w:szCs w:val="21"/>
    </w:rPr>
  </w:style>
  <w:style w:type="character" w:customStyle="1" w:styleId="48">
    <w:name w:val="标题 Char"/>
    <w:link w:val="25"/>
    <w:uiPriority w:val="0"/>
    <w:rPr>
      <w:rFonts w:ascii="Arial" w:hAnsi="Arial" w:cs="Arial"/>
      <w:b/>
      <w:bCs/>
      <w:kern w:val="2"/>
      <w:sz w:val="32"/>
      <w:szCs w:val="32"/>
    </w:rPr>
  </w:style>
  <w:style w:type="paragraph" w:customStyle="1" w:styleId="49">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uiPriority w:val="0"/>
    <w:pPr>
      <w:ind w:left="198"/>
    </w:pPr>
    <w:rPr>
      <w:rFonts w:ascii="宋体" w:hAnsi="Times New Roman" w:eastAsia="宋体" w:cs="Times New Roman"/>
      <w:sz w:val="18"/>
      <w:lang w:val="en-US" w:eastAsia="zh-CN" w:bidi="ar-SA"/>
    </w:rPr>
  </w:style>
  <w:style w:type="paragraph" w:customStyle="1" w:styleId="52">
    <w:name w:val="标准文件_页脚奇数页"/>
    <w:uiPriority w:val="0"/>
    <w:pPr>
      <w:ind w:right="227"/>
      <w:jc w:val="right"/>
    </w:pPr>
    <w:rPr>
      <w:rFonts w:ascii="宋体" w:hAnsi="Times New Roman" w:eastAsia="宋体" w:cs="Times New Roman"/>
      <w:sz w:val="18"/>
      <w:lang w:val="en-US" w:eastAsia="zh-CN" w:bidi="ar-SA"/>
    </w:rPr>
  </w:style>
  <w:style w:type="paragraph" w:customStyle="1" w:styleId="53">
    <w:name w:val="标准书眉一"/>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uiPriority w:val="0"/>
    <w:pPr>
      <w:spacing w:line="0" w:lineRule="atLeast"/>
    </w:pPr>
    <w:rPr>
      <w:rFonts w:ascii="黑体" w:hAnsi="宋体" w:eastAsia="黑体"/>
    </w:rPr>
  </w:style>
  <w:style w:type="paragraph" w:customStyle="1" w:styleId="55">
    <w:name w:val="标准文件_标准正文"/>
    <w:basedOn w:val="1"/>
    <w:next w:val="56"/>
    <w:qFormat/>
    <w:uiPriority w:val="0"/>
    <w:pPr>
      <w:snapToGrid w:val="0"/>
      <w:ind w:firstLine="200" w:firstLineChars="200"/>
    </w:pPr>
    <w:rPr>
      <w:kern w:val="0"/>
    </w:rPr>
  </w:style>
  <w:style w:type="paragraph" w:customStyle="1" w:styleId="56">
    <w:name w:val="标准文件_段"/>
    <w:link w:val="18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7">
    <w:name w:val="标准文件_版本"/>
    <w:basedOn w:val="55"/>
    <w:qFormat/>
    <w:uiPriority w:val="0"/>
    <w:pPr>
      <w:adjustRightInd/>
      <w:snapToGrid/>
      <w:ind w:firstLine="0" w:firstLineChars="0"/>
    </w:pPr>
    <w:rPr>
      <w:rFonts w:ascii="宋体" w:hAnsi="宋体"/>
      <w:kern w:val="2"/>
    </w:rPr>
  </w:style>
  <w:style w:type="paragraph" w:customStyle="1" w:styleId="58">
    <w:name w:val="标准文件_标准部门"/>
    <w:basedOn w:val="1"/>
    <w:qFormat/>
    <w:uiPriority w:val="0"/>
    <w:pPr>
      <w:jc w:val="center"/>
    </w:pPr>
    <w:rPr>
      <w:rFonts w:ascii="黑体" w:eastAsia="黑体"/>
      <w:kern w:val="0"/>
      <w:sz w:val="44"/>
    </w:rPr>
  </w:style>
  <w:style w:type="paragraph" w:customStyle="1" w:styleId="59">
    <w:name w:val="标准文件_标准代替"/>
    <w:basedOn w:val="1"/>
    <w:next w:val="1"/>
    <w:qFormat/>
    <w:uiPriority w:val="0"/>
    <w:pPr>
      <w:spacing w:line="310" w:lineRule="exact"/>
      <w:jc w:val="right"/>
    </w:pPr>
    <w:rPr>
      <w:rFonts w:ascii="宋体" w:hAnsi="宋体"/>
      <w:kern w:val="0"/>
    </w:rPr>
  </w:style>
  <w:style w:type="paragraph" w:customStyle="1" w:styleId="60">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1">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qFormat/>
    <w:uiPriority w:val="0"/>
    <w:pPr>
      <w:jc w:val="left"/>
    </w:pPr>
  </w:style>
  <w:style w:type="paragraph" w:customStyle="1" w:styleId="63">
    <w:name w:val="标准文件_参考文献标题"/>
    <w:basedOn w:val="1"/>
    <w:next w:val="1"/>
    <w:qFormat/>
    <w:uiPriority w:val="0"/>
    <w:pPr>
      <w:widowControl/>
      <w:shd w:val="clear" w:color="FFFFFF" w:fill="FFFFFF"/>
      <w:adjustRightInd/>
      <w:spacing w:before="580" w:afterLines="50" w:line="240" w:lineRule="auto"/>
      <w:jc w:val="center"/>
      <w:outlineLvl w:val="0"/>
    </w:pPr>
    <w:rPr>
      <w:rFonts w:ascii="黑体" w:eastAsia="黑体"/>
      <w:kern w:val="0"/>
    </w:rPr>
  </w:style>
  <w:style w:type="paragraph" w:customStyle="1" w:styleId="64">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qFormat/>
    <w:uiPriority w:val="0"/>
    <w:pPr>
      <w:widowControl w:val="0"/>
      <w:numPr>
        <w:ilvl w:val="3"/>
        <w:numId w:val="2"/>
      </w:numPr>
      <w:spacing w:beforeLines="50" w:afterLines="50"/>
      <w:jc w:val="both"/>
      <w:outlineLvl w:val="2"/>
    </w:pPr>
    <w:rPr>
      <w:rFonts w:ascii="黑体" w:hAnsi="Times New Roman" w:eastAsia="黑体" w:cs="Times New Roman"/>
      <w:sz w:val="21"/>
      <w:lang w:val="en-US" w:eastAsia="zh-CN" w:bidi="ar-SA"/>
    </w:rPr>
  </w:style>
  <w:style w:type="character" w:customStyle="1" w:styleId="66">
    <w:name w:val="标准文件_发布"/>
    <w:qFormat/>
    <w:uiPriority w:val="0"/>
    <w:rPr>
      <w:rFonts w:ascii="黑体" w:eastAsia="黑体"/>
      <w:spacing w:val="0"/>
      <w:w w:val="100"/>
      <w:position w:val="3"/>
      <w:sz w:val="28"/>
    </w:rPr>
  </w:style>
  <w:style w:type="paragraph" w:customStyle="1" w:styleId="67">
    <w:name w:val="标准文件_方框数字列项"/>
    <w:basedOn w:val="56"/>
    <w:qFormat/>
    <w:uiPriority w:val="0"/>
    <w:pPr>
      <w:numPr>
        <w:ilvl w:val="0"/>
        <w:numId w:val="3"/>
      </w:numPr>
      <w:ind w:firstLine="0" w:firstLineChars="0"/>
    </w:pPr>
  </w:style>
  <w:style w:type="paragraph" w:customStyle="1" w:styleId="68">
    <w:name w:val="标准文件_封面标准编号"/>
    <w:basedOn w:val="1"/>
    <w:next w:val="59"/>
    <w:qFormat/>
    <w:uiPriority w:val="0"/>
    <w:pPr>
      <w:spacing w:line="310" w:lineRule="exact"/>
      <w:jc w:val="right"/>
    </w:pPr>
    <w:rPr>
      <w:rFonts w:ascii="黑体" w:eastAsia="黑体"/>
      <w:kern w:val="0"/>
      <w:sz w:val="28"/>
    </w:rPr>
  </w:style>
  <w:style w:type="paragraph" w:customStyle="1" w:styleId="69">
    <w:name w:val="标准文件_封面标准分类号"/>
    <w:basedOn w:val="1"/>
    <w:uiPriority w:val="0"/>
    <w:rPr>
      <w:rFonts w:ascii="黑体" w:eastAsia="黑体"/>
      <w:b/>
      <w:kern w:val="0"/>
      <w:sz w:val="28"/>
    </w:rPr>
  </w:style>
  <w:style w:type="paragraph" w:customStyle="1" w:styleId="70">
    <w:name w:val="标准文件_封面标准名称"/>
    <w:basedOn w:val="1"/>
    <w:uiPriority w:val="0"/>
    <w:pPr>
      <w:spacing w:line="240" w:lineRule="auto"/>
      <w:jc w:val="center"/>
    </w:pPr>
    <w:rPr>
      <w:rFonts w:ascii="黑体" w:eastAsia="黑体"/>
      <w:kern w:val="0"/>
      <w:sz w:val="52"/>
    </w:rPr>
  </w:style>
  <w:style w:type="paragraph" w:customStyle="1" w:styleId="71">
    <w:name w:val="标准文件_封面标准英文名称"/>
    <w:basedOn w:val="1"/>
    <w:uiPriority w:val="0"/>
    <w:pPr>
      <w:spacing w:line="240" w:lineRule="auto"/>
      <w:jc w:val="center"/>
    </w:pPr>
    <w:rPr>
      <w:rFonts w:ascii="黑体" w:eastAsia="黑体"/>
      <w:b/>
      <w:sz w:val="28"/>
    </w:rPr>
  </w:style>
  <w:style w:type="paragraph" w:customStyle="1" w:styleId="72">
    <w:name w:val="标准文件_封面发布日期"/>
    <w:basedOn w:val="1"/>
    <w:qFormat/>
    <w:uiPriority w:val="0"/>
    <w:pPr>
      <w:spacing w:line="310" w:lineRule="exact"/>
    </w:pPr>
    <w:rPr>
      <w:rFonts w:ascii="黑体" w:eastAsia="黑体"/>
      <w:kern w:val="0"/>
      <w:sz w:val="28"/>
    </w:rPr>
  </w:style>
  <w:style w:type="paragraph" w:customStyle="1" w:styleId="73">
    <w:name w:val="标准文件_封面密级"/>
    <w:basedOn w:val="1"/>
    <w:qFormat/>
    <w:uiPriority w:val="0"/>
    <w:rPr>
      <w:rFonts w:eastAsia="黑体"/>
      <w:sz w:val="32"/>
    </w:rPr>
  </w:style>
  <w:style w:type="paragraph" w:customStyle="1" w:styleId="74">
    <w:name w:val="标准文件_封面实施日期"/>
    <w:basedOn w:val="1"/>
    <w:qFormat/>
    <w:uiPriority w:val="0"/>
    <w:pPr>
      <w:spacing w:line="310" w:lineRule="exact"/>
      <w:jc w:val="right"/>
    </w:pPr>
    <w:rPr>
      <w:rFonts w:ascii="黑体" w:eastAsia="黑体"/>
      <w:sz w:val="28"/>
    </w:rPr>
  </w:style>
  <w:style w:type="paragraph" w:customStyle="1" w:styleId="75">
    <w:name w:val="标准文件_封面抬头"/>
    <w:basedOn w:val="56"/>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uiPriority w:val="0"/>
    <w:pPr>
      <w:numPr>
        <w:ilvl w:val="0"/>
        <w:numId w:val="4"/>
      </w:numPr>
      <w:shd w:val="clear" w:color="FFFFFF" w:fill="FFFFFF"/>
      <w:tabs>
        <w:tab w:val="left" w:pos="6406"/>
      </w:tabs>
      <w:spacing w:before="56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uiPriority w:val="0"/>
    <w:pPr>
      <w:numPr>
        <w:ilvl w:val="1"/>
        <w:numId w:val="5"/>
      </w:numPr>
      <w:adjustRightInd w:val="0"/>
      <w:snapToGrid w:val="0"/>
      <w:spacing w:beforeLines="50" w:afterLines="5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uiPriority w:val="0"/>
    <w:pPr>
      <w:widowControl w:val="0"/>
      <w:numPr>
        <w:ilvl w:val="1"/>
        <w:numId w:val="4"/>
      </w:numPr>
      <w:spacing w:beforeLines="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1">
    <w:name w:val="标准文件_附录三级条标题"/>
    <w:next w:val="56"/>
    <w:qFormat/>
    <w:uiPriority w:val="0"/>
    <w:pPr>
      <w:widowControl w:val="0"/>
      <w:numPr>
        <w:ilvl w:val="3"/>
        <w:numId w:val="4"/>
      </w:numPr>
      <w:spacing w:beforeLines="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qFormat/>
    <w:uiPriority w:val="0"/>
    <w:pPr>
      <w:widowControl w:val="0"/>
      <w:numPr>
        <w:ilvl w:val="4"/>
        <w:numId w:val="4"/>
      </w:numPr>
      <w:spacing w:beforeLines="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qFormat/>
    <w:uiPriority w:val="0"/>
    <w:pPr>
      <w:numPr>
        <w:ilvl w:val="1"/>
        <w:numId w:val="6"/>
      </w:numPr>
      <w:adjustRightInd w:val="0"/>
      <w:snapToGrid w:val="0"/>
      <w:spacing w:beforeLines="50" w:afterLines="50"/>
      <w:jc w:val="center"/>
    </w:pPr>
    <w:rPr>
      <w:rFonts w:ascii="黑体" w:hAnsi="Times New Roman" w:eastAsia="黑体" w:cs="Times New Roman"/>
      <w:sz w:val="21"/>
      <w:lang w:val="en-US" w:eastAsia="zh-CN" w:bidi="ar-SA"/>
    </w:rPr>
  </w:style>
  <w:style w:type="paragraph" w:customStyle="1" w:styleId="84">
    <w:name w:val="标准文件_附录五级条标题"/>
    <w:next w:val="56"/>
    <w:qFormat/>
    <w:uiPriority w:val="0"/>
    <w:pPr>
      <w:widowControl w:val="0"/>
      <w:numPr>
        <w:ilvl w:val="5"/>
        <w:numId w:val="4"/>
      </w:numPr>
      <w:spacing w:beforeLines="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Char"/>
    <w:link w:val="13"/>
    <w:qFormat/>
    <w:uiPriority w:val="0"/>
    <w:rPr>
      <w:kern w:val="2"/>
      <w:sz w:val="21"/>
      <w:szCs w:val="21"/>
    </w:rPr>
  </w:style>
  <w:style w:type="paragraph" w:customStyle="1" w:styleId="87">
    <w:name w:val="标准文件_附录章标题"/>
    <w:next w:val="56"/>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qFormat/>
    <w:uiPriority w:val="0"/>
    <w:pPr>
      <w:ind w:left="488" w:leftChars="200" w:hanging="289" w:hangingChars="290"/>
    </w:pPr>
  </w:style>
  <w:style w:type="paragraph" w:customStyle="1" w:styleId="89">
    <w:name w:val="标准文件_前言、引言标题"/>
    <w:next w:val="1"/>
    <w:qFormat/>
    <w:uiPriority w:val="0"/>
    <w:pPr>
      <w:numPr>
        <w:ilvl w:val="0"/>
        <w:numId w:val="8"/>
      </w:numPr>
      <w:shd w:val="clear" w:color="FFFFFF" w:fill="FFFFFF"/>
      <w:spacing w:before="480" w:afterLines="15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qFormat/>
    <w:uiPriority w:val="0"/>
    <w:pPr>
      <w:spacing w:line="460" w:lineRule="exact"/>
      <w:ind w:left="0" w:firstLine="0"/>
    </w:pPr>
  </w:style>
  <w:style w:type="paragraph" w:customStyle="1" w:styleId="91">
    <w:name w:val="标准文件_目录标题"/>
    <w:basedOn w:val="1"/>
    <w:qFormat/>
    <w:uiPriority w:val="0"/>
    <w:pPr>
      <w:spacing w:before="480" w:afterLines="150" w:line="240" w:lineRule="auto"/>
      <w:jc w:val="center"/>
    </w:pPr>
    <w:rPr>
      <w:rFonts w:ascii="黑体" w:eastAsia="黑体"/>
      <w:sz w:val="32"/>
    </w:rPr>
  </w:style>
  <w:style w:type="paragraph" w:customStyle="1" w:styleId="92">
    <w:name w:val="标准文件_破折号列项"/>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uiPriority w:val="0"/>
    <w:pPr>
      <w:numPr>
        <w:numId w:val="10"/>
      </w:numPr>
    </w:pPr>
  </w:style>
  <w:style w:type="paragraph" w:customStyle="1" w:styleId="94">
    <w:name w:val="标准文件_三级条标题"/>
    <w:basedOn w:val="65"/>
    <w:next w:val="56"/>
    <w:uiPriority w:val="0"/>
    <w:pPr>
      <w:widowControl/>
      <w:numPr>
        <w:ilvl w:val="4"/>
      </w:numPr>
      <w:outlineLvl w:val="3"/>
    </w:pPr>
  </w:style>
  <w:style w:type="character" w:customStyle="1" w:styleId="95">
    <w:name w:val="不明显参考1"/>
    <w:qFormat/>
    <w:uiPriority w:val="31"/>
    <w:rPr>
      <w:smallCaps/>
      <w:color w:val="C0504D"/>
      <w:u w:val="single"/>
    </w:rPr>
  </w:style>
  <w:style w:type="paragraph" w:customStyle="1" w:styleId="96">
    <w:name w:val="标准文件_示例后续"/>
    <w:basedOn w:val="1"/>
    <w:uiPriority w:val="0"/>
    <w:pPr>
      <w:adjustRightInd/>
      <w:spacing w:line="240" w:lineRule="auto"/>
      <w:ind w:firstLine="200" w:firstLineChars="200"/>
    </w:pPr>
    <w:rPr>
      <w:sz w:val="18"/>
      <w:szCs w:val="24"/>
    </w:rPr>
  </w:style>
  <w:style w:type="paragraph" w:customStyle="1" w:styleId="97">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qFormat/>
    <w:uiPriority w:val="0"/>
    <w:pPr>
      <w:widowControl w:val="0"/>
      <w:numPr>
        <w:ilvl w:val="5"/>
        <w:numId w:val="2"/>
      </w:numPr>
      <w:spacing w:beforeLines="50" w:afterLines="50"/>
      <w:jc w:val="both"/>
      <w:outlineLvl w:val="4"/>
    </w:pPr>
    <w:rPr>
      <w:rFonts w:ascii="黑体" w:hAnsi="Times New Roman" w:eastAsia="黑体" w:cs="Times New Roman"/>
      <w:sz w:val="21"/>
      <w:lang w:val="en-US" w:eastAsia="zh-CN" w:bidi="ar-SA"/>
    </w:rPr>
  </w:style>
  <w:style w:type="character" w:customStyle="1" w:styleId="99">
    <w:name w:val="脚注文本 Char"/>
    <w:link w:val="21"/>
    <w:semiHidden/>
    <w:qFormat/>
    <w:uiPriority w:val="0"/>
    <w:rPr>
      <w:rFonts w:ascii="宋体"/>
      <w:kern w:val="2"/>
      <w:sz w:val="18"/>
      <w:szCs w:val="18"/>
    </w:rPr>
  </w:style>
  <w:style w:type="paragraph" w:customStyle="1" w:styleId="100">
    <w:name w:val="标准文件_条文脚注"/>
    <w:basedOn w:val="21"/>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uiPriority w:val="0"/>
    <w:pPr>
      <w:numPr>
        <w:ilvl w:val="0"/>
        <w:numId w:val="12"/>
      </w:numPr>
      <w:spacing w:line="240" w:lineRule="auto"/>
      <w:jc w:val="left"/>
    </w:pPr>
    <w:rPr>
      <w:rFonts w:ascii="宋体" w:hAnsi="宋体"/>
      <w:sz w:val="18"/>
    </w:rPr>
  </w:style>
  <w:style w:type="character" w:customStyle="1" w:styleId="102">
    <w:name w:val="标准文件_图表脚注内容"/>
    <w:qFormat/>
    <w:uiPriority w:val="0"/>
    <w:rPr>
      <w:rFonts w:ascii="宋体" w:hAnsi="宋体" w:eastAsia="宋体" w:cs="Times New Roman"/>
      <w:spacing w:val="0"/>
      <w:sz w:val="18"/>
      <w:vertAlign w:val="superscript"/>
    </w:rPr>
  </w:style>
  <w:style w:type="paragraph" w:customStyle="1" w:styleId="103">
    <w:name w:val="标准文件_五级条标题"/>
    <w:next w:val="56"/>
    <w:uiPriority w:val="0"/>
    <w:pPr>
      <w:widowControl w:val="0"/>
      <w:numPr>
        <w:ilvl w:val="6"/>
        <w:numId w:val="2"/>
      </w:numPr>
      <w:spacing w:beforeLines="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uiPriority w:val="0"/>
    <w:pPr>
      <w:numPr>
        <w:ilvl w:val="1"/>
        <w:numId w:val="2"/>
      </w:numPr>
      <w:spacing w:beforeLines="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qFormat/>
    <w:uiPriority w:val="0"/>
    <w:pPr>
      <w:numPr>
        <w:ilvl w:val="2"/>
      </w:numPr>
      <w:spacing w:beforeLines="50" w:afterLines="50"/>
      <w:outlineLvl w:val="1"/>
    </w:pPr>
  </w:style>
  <w:style w:type="paragraph" w:customStyle="1" w:styleId="106">
    <w:name w:val="标准文件_一致程度"/>
    <w:basedOn w:val="1"/>
    <w:uiPriority w:val="0"/>
    <w:pPr>
      <w:spacing w:line="440" w:lineRule="exact"/>
      <w:jc w:val="center"/>
    </w:pPr>
    <w:rPr>
      <w:sz w:val="28"/>
    </w:rPr>
  </w:style>
  <w:style w:type="paragraph" w:customStyle="1" w:styleId="107">
    <w:name w:val="标准文件_引言标题"/>
    <w:next w:val="1"/>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qFormat/>
    <w:uiPriority w:val="0"/>
    <w:pPr>
      <w:widowControl/>
      <w:adjustRightInd/>
      <w:snapToGrid/>
      <w:spacing w:line="240" w:lineRule="auto"/>
      <w:ind w:left="79" w:hanging="79" w:hangingChars="80"/>
    </w:pPr>
    <w:rPr>
      <w:rFonts w:ascii="宋体" w:hAnsi="宋体"/>
    </w:rPr>
  </w:style>
  <w:style w:type="paragraph" w:customStyle="1" w:styleId="109">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0">
    <w:name w:val="标准文件_英文注："/>
    <w:basedOn w:val="1"/>
    <w:next w:val="56"/>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1">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2">
    <w:name w:val="标准文件_正文表标题"/>
    <w:next w:val="56"/>
    <w:uiPriority w:val="0"/>
    <w:pPr>
      <w:numPr>
        <w:ilvl w:val="0"/>
        <w:numId w:val="16"/>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uiPriority w:val="0"/>
    <w:pPr>
      <w:tabs>
        <w:tab w:val="center" w:pos="4678"/>
        <w:tab w:val="right" w:leader="middleDot" w:pos="9356"/>
      </w:tabs>
      <w:spacing w:line="240" w:lineRule="auto"/>
    </w:pPr>
    <w:rPr>
      <w:rFonts w:ascii="宋体" w:hAnsi="宋体"/>
    </w:rPr>
  </w:style>
  <w:style w:type="paragraph" w:customStyle="1" w:styleId="114">
    <w:name w:val="标准文件_正文图标题"/>
    <w:next w:val="56"/>
    <w:qFormat/>
    <w:uiPriority w:val="0"/>
    <w:pPr>
      <w:numPr>
        <w:ilvl w:val="0"/>
        <w:numId w:val="17"/>
      </w:numPr>
      <w:spacing w:beforeLines="50" w:afterLines="50"/>
      <w:jc w:val="center"/>
    </w:pPr>
    <w:rPr>
      <w:rFonts w:ascii="黑体" w:hAnsi="Times New Roman" w:eastAsia="黑体" w:cs="Times New Roman"/>
      <w:sz w:val="21"/>
      <w:lang w:val="en-US" w:eastAsia="zh-CN" w:bidi="ar-SA"/>
    </w:rPr>
  </w:style>
  <w:style w:type="paragraph" w:customStyle="1" w:styleId="115">
    <w:name w:val="标准文件_正文英文表标题"/>
    <w:next w:val="56"/>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18">
    <w:name w:val="二级无标题条"/>
    <w:basedOn w:val="1"/>
    <w:qFormat/>
    <w:uiPriority w:val="0"/>
    <w:pPr>
      <w:numPr>
        <w:ilvl w:val="3"/>
        <w:numId w:val="20"/>
      </w:numPr>
      <w:adjustRightInd/>
      <w:spacing w:line="240" w:lineRule="auto"/>
    </w:pPr>
    <w:rPr>
      <w:rFonts w:ascii="宋体" w:hAnsi="宋体"/>
      <w:szCs w:val="24"/>
    </w:rPr>
  </w:style>
  <w:style w:type="paragraph" w:customStyle="1" w:styleId="119">
    <w:name w:val="发布部门"/>
    <w:next w:val="56"/>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6">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qFormat/>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29">
    <w:name w:val="附录三级无标题条"/>
    <w:basedOn w:val="128"/>
    <w:next w:val="56"/>
    <w:qFormat/>
    <w:uiPriority w:val="0"/>
    <w:pPr>
      <w:outlineLvl w:val="4"/>
    </w:pPr>
  </w:style>
  <w:style w:type="paragraph" w:customStyle="1" w:styleId="130">
    <w:name w:val="附录四级无标题条"/>
    <w:basedOn w:val="129"/>
    <w:next w:val="56"/>
    <w:qFormat/>
    <w:uiPriority w:val="0"/>
    <w:pPr>
      <w:outlineLvl w:val="5"/>
    </w:pPr>
  </w:style>
  <w:style w:type="paragraph" w:customStyle="1" w:styleId="131">
    <w:name w:val="附录图"/>
    <w:next w:val="56"/>
    <w:uiPriority w:val="0"/>
    <w:pPr>
      <w:wordWrap w:val="0"/>
      <w:overflowPunct w:val="0"/>
      <w:autoSpaceDE w:val="0"/>
      <w:spacing w:beforeLines="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qFormat/>
    <w:uiPriority w:val="0"/>
    <w:pPr>
      <w:outlineLvl w:val="6"/>
    </w:pPr>
  </w:style>
  <w:style w:type="paragraph" w:customStyle="1" w:styleId="134">
    <w:name w:val="附录性质"/>
    <w:basedOn w:val="1"/>
    <w:uiPriority w:val="0"/>
    <w:pPr>
      <w:widowControl/>
      <w:adjustRightInd/>
      <w:jc w:val="center"/>
    </w:pPr>
    <w:rPr>
      <w:rFonts w:ascii="黑体" w:eastAsia="黑体"/>
    </w:rPr>
  </w:style>
  <w:style w:type="paragraph" w:customStyle="1" w:styleId="135">
    <w:name w:val="附录一级无标题条"/>
    <w:basedOn w:val="87"/>
    <w:next w:val="56"/>
    <w:qFormat/>
    <w:uiPriority w:val="0"/>
    <w:pPr>
      <w:autoSpaceDN w:val="0"/>
      <w:outlineLvl w:val="2"/>
    </w:pPr>
    <w:rPr>
      <w:rFonts w:ascii="宋体" w:hAnsi="宋体" w:eastAsia="宋体"/>
    </w:rPr>
  </w:style>
  <w:style w:type="character" w:customStyle="1" w:styleId="136">
    <w:name w:val="个人答复风格"/>
    <w:qFormat/>
    <w:uiPriority w:val="0"/>
    <w:rPr>
      <w:rFonts w:ascii="Arial" w:hAnsi="Arial" w:eastAsia="宋体" w:cs="Arial"/>
      <w:color w:val="auto"/>
      <w:spacing w:val="0"/>
      <w:sz w:val="20"/>
    </w:rPr>
  </w:style>
  <w:style w:type="character" w:customStyle="1" w:styleId="137">
    <w:name w:val="个人撰写风格"/>
    <w:qFormat/>
    <w:uiPriority w:val="0"/>
    <w:rPr>
      <w:rFonts w:ascii="Arial" w:hAnsi="Arial" w:eastAsia="宋体" w:cs="Arial"/>
      <w:color w:val="auto"/>
      <w:spacing w:val="0"/>
      <w:sz w:val="20"/>
    </w:rPr>
  </w:style>
  <w:style w:type="paragraph" w:customStyle="1" w:styleId="138">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uiPriority w:val="0"/>
    <w:pPr>
      <w:tabs>
        <w:tab w:val="left" w:pos="840"/>
      </w:tabs>
    </w:pPr>
  </w:style>
  <w:style w:type="paragraph" w:customStyle="1" w:styleId="141">
    <w:name w:val="目次、索引正文"/>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autoRedefine/>
    <w:semiHidden/>
    <w:qFormat/>
    <w:uiPriority w:val="0"/>
    <w:pPr>
      <w:adjustRightInd/>
      <w:spacing w:line="240" w:lineRule="auto"/>
      <w:jc w:val="left"/>
    </w:pPr>
    <w:rPr>
      <w:bCs/>
      <w:iCs/>
    </w:rPr>
  </w:style>
  <w:style w:type="paragraph" w:customStyle="1" w:styleId="143">
    <w:name w:val="目录 31"/>
    <w:basedOn w:val="1"/>
    <w:next w:val="1"/>
    <w:autoRedefine/>
    <w:semiHidden/>
    <w:uiPriority w:val="0"/>
    <w:pPr>
      <w:spacing w:line="240" w:lineRule="auto"/>
    </w:pPr>
    <w:rPr>
      <w:rFonts w:ascii="宋体" w:hAnsi="宋体"/>
      <w:iCs/>
    </w:rPr>
  </w:style>
  <w:style w:type="paragraph" w:customStyle="1" w:styleId="144">
    <w:name w:val="目录 41"/>
    <w:basedOn w:val="1"/>
    <w:next w:val="1"/>
    <w:autoRedefine/>
    <w:semiHidden/>
    <w:qFormat/>
    <w:uiPriority w:val="0"/>
    <w:pPr>
      <w:adjustRightInd/>
      <w:spacing w:line="240" w:lineRule="auto"/>
      <w:jc w:val="left"/>
    </w:pPr>
  </w:style>
  <w:style w:type="paragraph" w:customStyle="1" w:styleId="145">
    <w:name w:val="目录 51"/>
    <w:basedOn w:val="1"/>
    <w:next w:val="1"/>
    <w:autoRedefine/>
    <w:semiHidden/>
    <w:qFormat/>
    <w:uiPriority w:val="0"/>
    <w:pPr>
      <w:spacing w:line="240" w:lineRule="auto"/>
    </w:pPr>
    <w:rPr>
      <w:rFonts w:ascii="宋体" w:hAnsi="宋体"/>
    </w:rPr>
  </w:style>
  <w:style w:type="paragraph" w:customStyle="1" w:styleId="146">
    <w:name w:val="目录 61"/>
    <w:basedOn w:val="1"/>
    <w:next w:val="1"/>
    <w:autoRedefine/>
    <w:semiHidden/>
    <w:qFormat/>
    <w:uiPriority w:val="0"/>
    <w:pPr>
      <w:adjustRightInd/>
      <w:spacing w:line="240" w:lineRule="auto"/>
      <w:jc w:val="left"/>
    </w:pPr>
  </w:style>
  <w:style w:type="paragraph" w:customStyle="1" w:styleId="147">
    <w:name w:val="目录 71"/>
    <w:basedOn w:val="146"/>
    <w:autoRedefine/>
    <w:semiHidden/>
    <w:qFormat/>
    <w:uiPriority w:val="0"/>
    <w:pPr>
      <w:ind w:left="1260"/>
    </w:pPr>
  </w:style>
  <w:style w:type="paragraph" w:customStyle="1" w:styleId="148">
    <w:name w:val="目录 81"/>
    <w:basedOn w:val="147"/>
    <w:autoRedefine/>
    <w:semiHidden/>
    <w:qFormat/>
    <w:uiPriority w:val="0"/>
    <w:pPr>
      <w:ind w:left="1470"/>
    </w:pPr>
  </w:style>
  <w:style w:type="paragraph" w:customStyle="1" w:styleId="149">
    <w:name w:val="目录 91"/>
    <w:basedOn w:val="148"/>
    <w:autoRedefine/>
    <w:semiHidden/>
    <w:qFormat/>
    <w:uiPriority w:val="0"/>
    <w:pPr>
      <w:ind w:left="1680"/>
    </w:pPr>
  </w:style>
  <w:style w:type="paragraph" w:customStyle="1" w:styleId="15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qFormat/>
    <w:uiPriority w:val="0"/>
    <w:pPr>
      <w:framePr w:wrap="around"/>
      <w:spacing w:line="0" w:lineRule="atLeast"/>
    </w:pPr>
    <w:rPr>
      <w:rFonts w:ascii="黑体" w:eastAsia="黑体"/>
      <w:b w:val="0"/>
    </w:rPr>
  </w:style>
  <w:style w:type="paragraph" w:customStyle="1" w:styleId="152">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4">
    <w:name w:val="实施日期"/>
    <w:basedOn w:val="120"/>
    <w:qFormat/>
    <w:uiPriority w:val="0"/>
    <w:pPr>
      <w:framePr w:hSpace="0" w:wrap="around" w:xAlign="right"/>
      <w:jc w:val="right"/>
    </w:pPr>
  </w:style>
  <w:style w:type="paragraph" w:customStyle="1" w:styleId="155">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6">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qFormat/>
    <w:uiPriority w:val="0"/>
    <w:pPr>
      <w:numPr>
        <w:ilvl w:val="6"/>
        <w:numId w:val="20"/>
      </w:numPr>
      <w:adjustRightInd/>
    </w:pPr>
    <w:rPr>
      <w:szCs w:val="24"/>
    </w:rPr>
  </w:style>
  <w:style w:type="paragraph" w:customStyle="1" w:styleId="159">
    <w:name w:val="一级无标题条"/>
    <w:basedOn w:val="1"/>
    <w:uiPriority w:val="0"/>
    <w:pPr>
      <w:numPr>
        <w:ilvl w:val="2"/>
        <w:numId w:val="20"/>
      </w:numPr>
      <w:adjustRightInd/>
      <w:spacing w:before="10" w:after="10" w:line="240" w:lineRule="auto"/>
    </w:pPr>
    <w:rPr>
      <w:rFonts w:ascii="宋体" w:hAnsi="宋体"/>
      <w:szCs w:val="24"/>
    </w:rPr>
  </w:style>
  <w:style w:type="paragraph" w:customStyle="1" w:styleId="160">
    <w:name w:val="注:后续"/>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qFormat/>
    <w:uiPriority w:val="0"/>
    <w:pPr>
      <w:ind w:left="1406" w:leftChars="0" w:hanging="499" w:firstLineChars="0"/>
    </w:pPr>
  </w:style>
  <w:style w:type="paragraph" w:customStyle="1" w:styleId="162">
    <w:name w:val="标准文件_一级无标题"/>
    <w:basedOn w:val="105"/>
    <w:qFormat/>
    <w:uiPriority w:val="0"/>
    <w:pPr>
      <w:spacing w:beforeLines="0" w:afterLines="0"/>
      <w:outlineLvl w:val="9"/>
    </w:pPr>
    <w:rPr>
      <w:rFonts w:ascii="宋体" w:eastAsia="宋体"/>
    </w:rPr>
  </w:style>
  <w:style w:type="paragraph" w:customStyle="1" w:styleId="163">
    <w:name w:val="标准文件_五级无标题"/>
    <w:basedOn w:val="103"/>
    <w:qFormat/>
    <w:uiPriority w:val="0"/>
    <w:pPr>
      <w:spacing w:beforeLines="0" w:afterLines="0"/>
      <w:outlineLvl w:val="9"/>
    </w:pPr>
    <w:rPr>
      <w:rFonts w:ascii="宋体" w:eastAsia="宋体"/>
    </w:rPr>
  </w:style>
  <w:style w:type="paragraph" w:customStyle="1" w:styleId="164">
    <w:name w:val="标准文件_三级无标题"/>
    <w:basedOn w:val="94"/>
    <w:qFormat/>
    <w:uiPriority w:val="0"/>
    <w:pPr>
      <w:spacing w:beforeLines="0" w:afterLines="0"/>
      <w:outlineLvl w:val="9"/>
    </w:pPr>
    <w:rPr>
      <w:rFonts w:ascii="宋体" w:eastAsia="宋体"/>
    </w:rPr>
  </w:style>
  <w:style w:type="paragraph" w:customStyle="1" w:styleId="165">
    <w:name w:val="标准文件_二级无标题"/>
    <w:basedOn w:val="65"/>
    <w:qFormat/>
    <w:uiPriority w:val="0"/>
    <w:pPr>
      <w:spacing w:beforeLines="0" w:afterLines="0"/>
      <w:outlineLvl w:val="9"/>
    </w:pPr>
    <w:rPr>
      <w:rFonts w:ascii="宋体" w:eastAsia="宋体"/>
    </w:rPr>
  </w:style>
  <w:style w:type="paragraph" w:customStyle="1" w:styleId="166">
    <w:name w:val="标准_四级无标题"/>
    <w:basedOn w:val="98"/>
    <w:next w:val="56"/>
    <w:qFormat/>
    <w:uiPriority w:val="0"/>
    <w:rPr>
      <w:rFonts w:eastAsia="宋体"/>
    </w:rPr>
  </w:style>
  <w:style w:type="paragraph" w:customStyle="1" w:styleId="167">
    <w:name w:val="标准文件_四级无标题"/>
    <w:basedOn w:val="98"/>
    <w:qFormat/>
    <w:uiPriority w:val="0"/>
    <w:pPr>
      <w:spacing w:beforeLines="0" w:afterLines="0"/>
      <w:outlineLvl w:val="9"/>
    </w:pPr>
    <w:rPr>
      <w:rFonts w:ascii="宋体" w:hAnsi="黑体" w:eastAsia="宋体"/>
      <w:szCs w:val="52"/>
    </w:rPr>
  </w:style>
  <w:style w:type="paragraph" w:customStyle="1" w:styleId="168">
    <w:name w:val="标准文件_大写罗马数字编号列项"/>
    <w:basedOn w:val="56"/>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uiPriority w:val="0"/>
    <w:pPr>
      <w:numPr>
        <w:ilvl w:val="0"/>
        <w:numId w:val="24"/>
      </w:numPr>
      <w:ind w:firstLine="0" w:firstLineChars="0"/>
    </w:pPr>
    <w:rPr>
      <w:rFonts w:cs="Arial"/>
      <w:szCs w:val="28"/>
    </w:rPr>
  </w:style>
  <w:style w:type="paragraph" w:customStyle="1" w:styleId="170">
    <w:name w:val="标准文件_附录标题"/>
    <w:basedOn w:val="76"/>
    <w:qFormat/>
    <w:uiPriority w:val="0"/>
    <w:pPr>
      <w:numPr>
        <w:numId w:val="0"/>
      </w:numPr>
      <w:spacing w:after="280"/>
      <w:outlineLvl w:val="9"/>
    </w:pPr>
  </w:style>
  <w:style w:type="paragraph" w:customStyle="1" w:styleId="171">
    <w:name w:val="标准文件_二级项"/>
    <w:qFormat/>
    <w:uiPriority w:val="0"/>
    <w:rPr>
      <w:rFonts w:ascii="宋体" w:hAnsi="Times New Roman" w:eastAsia="宋体" w:cs="Times New Roman"/>
      <w:sz w:val="21"/>
      <w:lang w:val="en-US" w:eastAsia="zh-CN" w:bidi="ar-SA"/>
    </w:rPr>
  </w:style>
  <w:style w:type="paragraph" w:customStyle="1" w:styleId="172">
    <w:name w:val="标准文件_三级项"/>
    <w:basedOn w:val="1"/>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uiPriority w:val="0"/>
    <w:pPr>
      <w:numPr>
        <w:ilvl w:val="0"/>
        <w:numId w:val="25"/>
      </w:numPr>
      <w:adjustRightInd/>
      <w:spacing w:line="240" w:lineRule="auto"/>
    </w:pPr>
    <w:rPr>
      <w:rFonts w:ascii="宋体" w:hAnsi="Times New Roman"/>
      <w:sz w:val="18"/>
      <w:szCs w:val="18"/>
    </w:rPr>
  </w:style>
  <w:style w:type="paragraph" w:customStyle="1" w:styleId="174">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qFormat/>
    <w:uiPriority w:val="0"/>
    <w:pPr>
      <w:ind w:firstLine="0" w:firstLineChars="0"/>
      <w:jc w:val="center"/>
    </w:pPr>
    <w:rPr>
      <w:sz w:val="18"/>
    </w:rPr>
  </w:style>
  <w:style w:type="paragraph" w:customStyle="1" w:styleId="179">
    <w:name w:val="标准文件_注："/>
    <w:next w:val="56"/>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qFormat/>
    <w:uiPriority w:val="0"/>
    <w:pPr>
      <w:ind w:firstLine="420"/>
    </w:pPr>
    <w:rPr>
      <w:sz w:val="18"/>
    </w:rPr>
  </w:style>
  <w:style w:type="paragraph" w:customStyle="1" w:styleId="183">
    <w:name w:val="标准文件_示例×："/>
    <w:basedOn w:val="1"/>
    <w:next w:val="182"/>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4">
    <w:name w:val="标准文件_段 Char"/>
    <w:link w:val="56"/>
    <w:qFormat/>
    <w:uiPriority w:val="0"/>
    <w:rPr>
      <w:rFonts w:ascii="宋体" w:hAnsi="Times New Roman"/>
      <w:sz w:val="21"/>
    </w:rPr>
  </w:style>
  <w:style w:type="paragraph" w:customStyle="1" w:styleId="185">
    <w:name w:val="标准文件_表格续"/>
    <w:basedOn w:val="56"/>
    <w:next w:val="56"/>
    <w:qFormat/>
    <w:uiPriority w:val="0"/>
    <w:pPr>
      <w:jc w:val="center"/>
    </w:pPr>
    <w:rPr>
      <w:rFonts w:ascii="黑体" w:hAnsi="黑体" w:eastAsia="黑体"/>
    </w:rPr>
  </w:style>
  <w:style w:type="character" w:styleId="186">
    <w:name w:val="Placeholder Text"/>
    <w:basedOn w:val="28"/>
    <w:semiHidden/>
    <w:qFormat/>
    <w:uiPriority w:val="99"/>
    <w:rPr>
      <w:color w:val="808080"/>
    </w:rPr>
  </w:style>
  <w:style w:type="paragraph" w:customStyle="1" w:styleId="187">
    <w:name w:val="标准文件_二级项2"/>
    <w:basedOn w:val="56"/>
    <w:qFormat/>
    <w:uiPriority w:val="0"/>
    <w:pPr>
      <w:numPr>
        <w:ilvl w:val="1"/>
        <w:numId w:val="21"/>
      </w:numPr>
      <w:ind w:firstLine="0" w:firstLineChars="0"/>
    </w:pPr>
  </w:style>
  <w:style w:type="paragraph" w:customStyle="1" w:styleId="188">
    <w:name w:val="标准文件_三级项2"/>
    <w:basedOn w:val="56"/>
    <w:qFormat/>
    <w:uiPriority w:val="0"/>
    <w:pPr>
      <w:numPr>
        <w:ilvl w:val="0"/>
        <w:numId w:val="30"/>
      </w:numPr>
      <w:spacing w:line="300" w:lineRule="exact"/>
      <w:ind w:firstLineChars="0"/>
    </w:pPr>
    <w:rPr>
      <w:rFonts w:ascii="Times New Roman"/>
    </w:rPr>
  </w:style>
  <w:style w:type="paragraph" w:customStyle="1" w:styleId="189">
    <w:name w:val="标准文件_一级项2"/>
    <w:basedOn w:val="56"/>
    <w:qFormat/>
    <w:uiPriority w:val="0"/>
    <w:pPr>
      <w:numPr>
        <w:ilvl w:val="0"/>
        <w:numId w:val="31"/>
      </w:numPr>
      <w:spacing w:line="300" w:lineRule="exact"/>
      <w:ind w:firstLineChars="0"/>
    </w:pPr>
    <w:rPr>
      <w:rFonts w:ascii="Times New Roman"/>
    </w:rPr>
  </w:style>
  <w:style w:type="paragraph" w:customStyle="1" w:styleId="190">
    <w:name w:val="标准文件_提示"/>
    <w:basedOn w:val="56"/>
    <w:next w:val="56"/>
    <w:qFormat/>
    <w:uiPriority w:val="0"/>
    <w:pPr>
      <w:ind w:firstLine="420"/>
    </w:pPr>
    <w:rPr>
      <w:rFonts w:ascii="黑体" w:eastAsia="黑体"/>
    </w:rPr>
  </w:style>
  <w:style w:type="character" w:customStyle="1" w:styleId="191">
    <w:name w:val="标准文件_来源"/>
    <w:basedOn w:val="28"/>
    <w:qFormat/>
    <w:uiPriority w:val="1"/>
    <w:rPr>
      <w:rFonts w:eastAsia="宋体"/>
      <w:sz w:val="21"/>
    </w:rPr>
  </w:style>
  <w:style w:type="paragraph" w:customStyle="1" w:styleId="192">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qFormat/>
    <w:uiPriority w:val="0"/>
    <w:pPr>
      <w:framePr w:w="3997" w:h="471" w:hRule="exact" w:hSpace="0" w:vSpace="181" w:wrap="around" w:vAnchor="page" w:hAnchor="page" w:x="1419" w:y="14097"/>
    </w:pPr>
  </w:style>
  <w:style w:type="paragraph" w:customStyle="1" w:styleId="194">
    <w:name w:val="其他实施日期"/>
    <w:basedOn w:val="154"/>
    <w:qFormat/>
    <w:uiPriority w:val="0"/>
    <w:pPr>
      <w:framePr w:w="3997" w:h="471" w:hRule="exact" w:vSpace="181" w:wrap="around" w:vAnchor="page" w:hAnchor="page" w:x="7089" w:y="14097"/>
    </w:pPr>
  </w:style>
  <w:style w:type="paragraph" w:customStyle="1" w:styleId="195">
    <w:name w:val="标准文件_文件编号"/>
    <w:basedOn w:val="56"/>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6">
    <w:name w:val="标准文件_替换文件编号"/>
    <w:basedOn w:val="195"/>
    <w:qFormat/>
    <w:uiPriority w:val="0"/>
    <w:pPr>
      <w:framePr/>
      <w:spacing w:before="57"/>
    </w:pPr>
    <w:rPr>
      <w:sz w:val="21"/>
    </w:rPr>
  </w:style>
  <w:style w:type="paragraph" w:customStyle="1" w:styleId="197">
    <w:name w:val="标准文件_文件名称"/>
    <w:basedOn w:val="56"/>
    <w:next w:val="56"/>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qFormat/>
    <w:uiPriority w:val="0"/>
    <w:pPr>
      <w:numPr>
        <w:ilvl w:val="1"/>
        <w:numId w:val="8"/>
      </w:numPr>
      <w:spacing w:beforeLines="50" w:afterLines="50"/>
      <w:ind w:firstLineChars="0"/>
    </w:pPr>
    <w:rPr>
      <w:rFonts w:ascii="黑体" w:eastAsia="黑体"/>
    </w:rPr>
  </w:style>
  <w:style w:type="paragraph" w:customStyle="1" w:styleId="201">
    <w:name w:val="标准文件_引言二级条标题"/>
    <w:basedOn w:val="56"/>
    <w:next w:val="56"/>
    <w:qFormat/>
    <w:uiPriority w:val="0"/>
    <w:pPr>
      <w:numPr>
        <w:ilvl w:val="2"/>
        <w:numId w:val="8"/>
      </w:numPr>
      <w:spacing w:beforeLines="50" w:afterLines="50"/>
      <w:ind w:firstLineChars="0"/>
    </w:pPr>
    <w:rPr>
      <w:rFonts w:ascii="黑体" w:eastAsia="黑体"/>
    </w:rPr>
  </w:style>
  <w:style w:type="paragraph" w:customStyle="1" w:styleId="202">
    <w:name w:val="标准文件_引言三级条标题"/>
    <w:basedOn w:val="56"/>
    <w:next w:val="56"/>
    <w:qFormat/>
    <w:uiPriority w:val="0"/>
    <w:pPr>
      <w:numPr>
        <w:ilvl w:val="3"/>
        <w:numId w:val="8"/>
      </w:numPr>
      <w:spacing w:beforeLines="50" w:afterLines="50"/>
      <w:ind w:firstLineChars="0"/>
    </w:pPr>
    <w:rPr>
      <w:rFonts w:ascii="黑体" w:eastAsia="黑体"/>
    </w:rPr>
  </w:style>
  <w:style w:type="paragraph" w:customStyle="1" w:styleId="203">
    <w:name w:val="标准文件_引言四级条标题"/>
    <w:basedOn w:val="56"/>
    <w:next w:val="56"/>
    <w:qFormat/>
    <w:uiPriority w:val="0"/>
    <w:pPr>
      <w:numPr>
        <w:ilvl w:val="4"/>
        <w:numId w:val="8"/>
      </w:numPr>
      <w:spacing w:beforeLines="50" w:afterLines="50"/>
      <w:ind w:firstLineChars="0"/>
    </w:pPr>
    <w:rPr>
      <w:rFonts w:ascii="黑体" w:eastAsia="黑体"/>
    </w:rPr>
  </w:style>
  <w:style w:type="paragraph" w:customStyle="1" w:styleId="204">
    <w:name w:val="标准文件_引言五级条标题"/>
    <w:basedOn w:val="56"/>
    <w:next w:val="56"/>
    <w:qFormat/>
    <w:uiPriority w:val="0"/>
    <w:pPr>
      <w:numPr>
        <w:ilvl w:val="5"/>
        <w:numId w:val="8"/>
      </w:numPr>
      <w:spacing w:beforeLines="50" w:afterLines="50"/>
      <w:ind w:firstLineChars="0"/>
    </w:pPr>
    <w:rPr>
      <w:rFonts w:ascii="黑体" w:eastAsia="黑体"/>
    </w:rPr>
  </w:style>
  <w:style w:type="paragraph" w:customStyle="1" w:styleId="205">
    <w:name w:val="标准文件_注后"/>
    <w:basedOn w:val="56"/>
    <w:qFormat/>
    <w:uiPriority w:val="0"/>
    <w:pPr>
      <w:ind w:left="811" w:firstLine="0" w:firstLineChars="0"/>
    </w:pPr>
    <w:rPr>
      <w:sz w:val="18"/>
    </w:rPr>
  </w:style>
  <w:style w:type="paragraph" w:customStyle="1" w:styleId="206">
    <w:name w:val="标准文件_注X后"/>
    <w:basedOn w:val="56"/>
    <w:qFormat/>
    <w:uiPriority w:val="0"/>
    <w:pPr>
      <w:ind w:left="811" w:firstLine="0" w:firstLineChars="0"/>
    </w:pPr>
    <w:rPr>
      <w:sz w:val="18"/>
    </w:rPr>
  </w:style>
  <w:style w:type="paragraph" w:customStyle="1" w:styleId="207">
    <w:name w:val="标准文件_示例后"/>
    <w:basedOn w:val="56"/>
    <w:qFormat/>
    <w:uiPriority w:val="0"/>
    <w:pPr>
      <w:ind w:left="964" w:firstLine="0" w:firstLineChars="0"/>
    </w:pPr>
    <w:rPr>
      <w:sz w:val="18"/>
    </w:rPr>
  </w:style>
  <w:style w:type="paragraph" w:customStyle="1" w:styleId="208">
    <w:name w:val="标准文件_示例X后"/>
    <w:basedOn w:val="56"/>
    <w:link w:val="209"/>
    <w:qFormat/>
    <w:uiPriority w:val="0"/>
    <w:pPr>
      <w:ind w:left="1049" w:firstLine="0" w:firstLineChars="0"/>
    </w:pPr>
    <w:rPr>
      <w:sz w:val="18"/>
    </w:rPr>
  </w:style>
  <w:style w:type="character" w:customStyle="1" w:styleId="209">
    <w:name w:val="标准文件_示例X后 字符"/>
    <w:basedOn w:val="184"/>
    <w:link w:val="208"/>
    <w:qFormat/>
    <w:uiPriority w:val="0"/>
    <w:rPr>
      <w:rFonts w:ascii="宋体" w:hAnsi="Times New Roman"/>
      <w:sz w:val="18"/>
    </w:rPr>
  </w:style>
  <w:style w:type="paragraph" w:customStyle="1" w:styleId="210">
    <w:name w:val="标准文件_索引项"/>
    <w:basedOn w:val="56"/>
    <w:next w:val="56"/>
    <w:qFormat/>
    <w:uiPriority w:val="0"/>
    <w:pPr>
      <w:tabs>
        <w:tab w:val="right" w:leader="dot" w:pos="9356"/>
      </w:tabs>
      <w:ind w:left="210" w:hanging="210" w:firstLineChars="0"/>
      <w:jc w:val="left"/>
    </w:pPr>
  </w:style>
  <w:style w:type="paragraph" w:customStyle="1" w:styleId="211">
    <w:name w:val="标准文件_附录一级无标题"/>
    <w:basedOn w:val="78"/>
    <w:qFormat/>
    <w:uiPriority w:val="0"/>
    <w:pPr>
      <w:spacing w:beforeLines="0" w:afterLines="0" w:line="276" w:lineRule="auto"/>
      <w:outlineLvl w:val="9"/>
    </w:pPr>
    <w:rPr>
      <w:rFonts w:ascii="宋体" w:eastAsia="宋体"/>
    </w:rPr>
  </w:style>
  <w:style w:type="paragraph" w:customStyle="1" w:styleId="212">
    <w:name w:val="标准文件_附录二级无标题"/>
    <w:basedOn w:val="79"/>
    <w:qFormat/>
    <w:uiPriority w:val="0"/>
    <w:pPr>
      <w:spacing w:beforeLines="0" w:afterLines="0" w:line="276" w:lineRule="auto"/>
      <w:outlineLvl w:val="9"/>
    </w:pPr>
    <w:rPr>
      <w:rFonts w:ascii="宋体" w:eastAsia="宋体"/>
    </w:rPr>
  </w:style>
  <w:style w:type="paragraph" w:customStyle="1" w:styleId="213">
    <w:name w:val="标准文件_附录三级无标题"/>
    <w:basedOn w:val="81"/>
    <w:qFormat/>
    <w:uiPriority w:val="0"/>
    <w:pPr>
      <w:spacing w:beforeLines="0" w:afterLines="0" w:line="276" w:lineRule="auto"/>
      <w:outlineLvl w:val="9"/>
    </w:pPr>
    <w:rPr>
      <w:rFonts w:ascii="宋体" w:eastAsia="宋体"/>
    </w:rPr>
  </w:style>
  <w:style w:type="paragraph" w:customStyle="1" w:styleId="214">
    <w:name w:val="标准文件_附录四级无标题"/>
    <w:basedOn w:val="82"/>
    <w:qFormat/>
    <w:uiPriority w:val="0"/>
    <w:pPr>
      <w:spacing w:beforeLines="0" w:afterLines="0" w:line="276" w:lineRule="auto"/>
      <w:outlineLvl w:val="9"/>
    </w:pPr>
    <w:rPr>
      <w:rFonts w:ascii="宋体" w:eastAsia="宋体"/>
    </w:rPr>
  </w:style>
  <w:style w:type="paragraph" w:customStyle="1" w:styleId="215">
    <w:name w:val="标准文件_附录五级无标题"/>
    <w:basedOn w:val="84"/>
    <w:qFormat/>
    <w:uiPriority w:val="0"/>
    <w:pPr>
      <w:spacing w:beforeLines="0" w:afterLines="0" w:line="276" w:lineRule="auto"/>
      <w:outlineLvl w:val="9"/>
    </w:pPr>
    <w:rPr>
      <w:rFonts w:ascii="宋体" w:eastAsia="宋体"/>
    </w:rPr>
  </w:style>
  <w:style w:type="paragraph" w:customStyle="1" w:styleId="216">
    <w:name w:val="标准文件_引言一级无标题"/>
    <w:basedOn w:val="200"/>
    <w:next w:val="56"/>
    <w:qFormat/>
    <w:uiPriority w:val="0"/>
    <w:pPr>
      <w:spacing w:beforeLines="0" w:afterLines="0" w:line="276" w:lineRule="auto"/>
    </w:pPr>
    <w:rPr>
      <w:rFonts w:ascii="宋体" w:eastAsia="宋体"/>
    </w:rPr>
  </w:style>
  <w:style w:type="paragraph" w:customStyle="1" w:styleId="217">
    <w:name w:val="标准文件_引言二级无标题"/>
    <w:basedOn w:val="201"/>
    <w:next w:val="56"/>
    <w:qFormat/>
    <w:uiPriority w:val="0"/>
    <w:pPr>
      <w:spacing w:beforeLines="0" w:afterLines="0" w:line="276" w:lineRule="auto"/>
    </w:pPr>
    <w:rPr>
      <w:rFonts w:ascii="宋体" w:eastAsia="宋体"/>
    </w:rPr>
  </w:style>
  <w:style w:type="paragraph" w:customStyle="1" w:styleId="218">
    <w:name w:val="标准文件_引言三级无标题"/>
    <w:basedOn w:val="202"/>
    <w:qFormat/>
    <w:uiPriority w:val="0"/>
    <w:pPr>
      <w:spacing w:beforeLines="0" w:afterLines="0" w:line="276" w:lineRule="auto"/>
    </w:pPr>
    <w:rPr>
      <w:rFonts w:ascii="宋体" w:eastAsia="宋体"/>
    </w:rPr>
  </w:style>
  <w:style w:type="paragraph" w:customStyle="1" w:styleId="219">
    <w:name w:val="标准文件_引言四级无标题"/>
    <w:basedOn w:val="203"/>
    <w:next w:val="56"/>
    <w:qFormat/>
    <w:uiPriority w:val="0"/>
    <w:pPr>
      <w:spacing w:beforeLines="0" w:afterLines="0" w:line="276" w:lineRule="auto"/>
    </w:pPr>
    <w:rPr>
      <w:rFonts w:ascii="宋体" w:eastAsia="宋体"/>
    </w:rPr>
  </w:style>
  <w:style w:type="paragraph" w:customStyle="1" w:styleId="220">
    <w:name w:val="标准文件_引言五级无标题"/>
    <w:basedOn w:val="204"/>
    <w:next w:val="56"/>
    <w:qFormat/>
    <w:uiPriority w:val="0"/>
    <w:pPr>
      <w:spacing w:beforeLines="0" w:afterLines="0" w:line="276" w:lineRule="auto"/>
    </w:pPr>
    <w:rPr>
      <w:rFonts w:ascii="宋体" w:eastAsia="宋体"/>
    </w:rPr>
  </w:style>
  <w:style w:type="paragraph" w:customStyle="1" w:styleId="221">
    <w:name w:val="标准文件_索引标题"/>
    <w:basedOn w:val="63"/>
    <w:next w:val="56"/>
    <w:qFormat/>
    <w:uiPriority w:val="0"/>
    <w:rPr>
      <w:rFonts w:hAnsi="黑体"/>
    </w:rPr>
  </w:style>
  <w:style w:type="paragraph" w:customStyle="1" w:styleId="222">
    <w:name w:val="标准文件_脚注内容"/>
    <w:basedOn w:val="56"/>
    <w:qFormat/>
    <w:uiPriority w:val="0"/>
    <w:pPr>
      <w:ind w:left="400" w:leftChars="200" w:hanging="200" w:hangingChars="200"/>
    </w:pPr>
    <w:rPr>
      <w:sz w:val="15"/>
    </w:rPr>
  </w:style>
  <w:style w:type="paragraph" w:customStyle="1" w:styleId="223">
    <w:name w:val="标准文件_术语条一"/>
    <w:basedOn w:val="162"/>
    <w:next w:val="56"/>
    <w:qFormat/>
    <w:uiPriority w:val="0"/>
  </w:style>
  <w:style w:type="paragraph" w:customStyle="1" w:styleId="224">
    <w:name w:val="标准文件_术语条二"/>
    <w:basedOn w:val="165"/>
    <w:next w:val="56"/>
    <w:qFormat/>
    <w:uiPriority w:val="0"/>
  </w:style>
  <w:style w:type="paragraph" w:customStyle="1" w:styleId="225">
    <w:name w:val="标准文件_术语条三"/>
    <w:basedOn w:val="164"/>
    <w:next w:val="56"/>
    <w:qFormat/>
    <w:uiPriority w:val="0"/>
  </w:style>
  <w:style w:type="paragraph" w:customStyle="1" w:styleId="226">
    <w:name w:val="标准文件_术语条四"/>
    <w:basedOn w:val="167"/>
    <w:next w:val="56"/>
    <w:qFormat/>
    <w:uiPriority w:val="0"/>
  </w:style>
  <w:style w:type="paragraph" w:customStyle="1" w:styleId="227">
    <w:name w:val="标准文件_术语条五"/>
    <w:basedOn w:val="163"/>
    <w:next w:val="56"/>
    <w:qFormat/>
    <w:uiPriority w:val="0"/>
  </w:style>
  <w:style w:type="paragraph" w:customStyle="1" w:styleId="22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uiPriority w:val="0"/>
    <w:rPr>
      <w:rFonts w:ascii="黑体" w:eastAsia="黑体"/>
      <w:spacing w:val="85"/>
      <w:w w:val="100"/>
      <w:position w:val="3"/>
      <w:sz w:val="28"/>
      <w:szCs w:val="28"/>
    </w:rPr>
  </w:style>
  <w:style w:type="table" w:customStyle="1" w:styleId="230">
    <w:name w:val="网格型1"/>
    <w:basedOn w:val="26"/>
    <w:unhideWhenUsed/>
    <w:uiPriority w:val="99"/>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1">
    <w:name w:val="网格型2"/>
    <w:basedOn w:val="26"/>
    <w:unhideWhenUsed/>
    <w:qFormat/>
    <w:uiPriority w:val="99"/>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glossaryDocument" Target="glossary/document.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2.png"/><Relationship Id="rId15" Type="http://schemas.openxmlformats.org/officeDocument/2006/relationships/image" Target="media/image1.tiff"/><Relationship Id="rId14" Type="http://schemas.openxmlformats.org/officeDocument/2006/relationships/theme" Target="theme/theme1.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A3C71F5EC1B54D239C278C60E846D79B"/>
        <w:style w:val=""/>
        <w:category>
          <w:name w:val="常规"/>
          <w:gallery w:val="placeholder"/>
        </w:category>
        <w:types>
          <w:type w:val="bbPlcHdr"/>
        </w:types>
        <w:behaviors>
          <w:behavior w:val="content"/>
        </w:behaviors>
        <w:description w:val=""/>
        <w:guid w:val="{DDD0636C-062E-4467-820C-DCA2A4D7B8DB}"/>
      </w:docPartPr>
      <w:docPartBody>
        <w:p w14:paraId="3E387453">
          <w:pPr>
            <w:pStyle w:val="5"/>
          </w:pPr>
          <w:r>
            <w:rPr>
              <w:rStyle w:val="4"/>
              <w:rFonts w:hint="eastAsia"/>
            </w:rPr>
            <w:t>单击或点击此处输入文字。</w:t>
          </w:r>
        </w:p>
      </w:docPartBody>
    </w:docPart>
    <w:docPart>
      <w:docPartPr>
        <w:name w:val="4E871C34D4554A8AAAF9187787088B7B"/>
        <w:style w:val=""/>
        <w:category>
          <w:name w:val="常规"/>
          <w:gallery w:val="placeholder"/>
        </w:category>
        <w:types>
          <w:type w:val="bbPlcHdr"/>
        </w:types>
        <w:behaviors>
          <w:behavior w:val="content"/>
        </w:behaviors>
        <w:description w:val=""/>
        <w:guid w:val="{B5AAFB52-E472-4191-B35F-8B023991D9F7}"/>
      </w:docPartPr>
      <w:docPartBody>
        <w:p w14:paraId="0FF53038">
          <w:pPr>
            <w:pStyle w:val="6"/>
          </w:pPr>
          <w:r>
            <w:rPr>
              <w:rStyle w:val="4"/>
              <w:rFonts w:hint="eastAsia"/>
            </w:rPr>
            <w:t>选择一项。</w:t>
          </w:r>
        </w:p>
      </w:docPartBody>
    </w:docPart>
    <w:docPart>
      <w:docPartPr>
        <w:name w:val="6CC35CD40F1C4A559934DA32C9A42BE0"/>
        <w:style w:val=""/>
        <w:category>
          <w:name w:val="常规"/>
          <w:gallery w:val="placeholder"/>
        </w:category>
        <w:types>
          <w:type w:val="bbPlcHdr"/>
        </w:types>
        <w:behaviors>
          <w:behavior w:val="content"/>
        </w:behaviors>
        <w:description w:val=""/>
        <w:guid w:val="{94C1C38F-0C94-410C-8540-349E7CEFFF00}"/>
      </w:docPartPr>
      <w:docPartBody>
        <w:p w14:paraId="2A6EBAC8">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508AA"/>
    <w:rsid w:val="00393552"/>
    <w:rsid w:val="006D094E"/>
    <w:rsid w:val="00A106EB"/>
    <w:rsid w:val="00A453C2"/>
    <w:rsid w:val="00A508AA"/>
    <w:rsid w:val="00C93ADB"/>
    <w:rsid w:val="00E34AA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A3C71F5EC1B54D239C278C60E846D79B"/>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4E871C34D4554A8AAAF9187787088B7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6CC35CD40F1C4A559934DA32C9A42BE0"/>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41107CD-9599-49E2-9370-F8BD362A5100}">
  <ds:schemaRefs/>
</ds:datastoreItem>
</file>

<file path=docProps/app.xml><?xml version="1.0" encoding="utf-8"?>
<Properties xmlns="http://schemas.openxmlformats.org/officeDocument/2006/extended-properties" xmlns:vt="http://schemas.openxmlformats.org/officeDocument/2006/docPropsVTypes">
  <Template>地方标准</Template>
  <Company>PCMI</Company>
  <Pages>14</Pages>
  <Words>9023</Words>
  <Characters>9658</Characters>
  <Lines>78</Lines>
  <Paragraphs>22</Paragraphs>
  <TotalTime>3</TotalTime>
  <ScaleCrop>false</ScaleCrop>
  <LinksUpToDate>false</LinksUpToDate>
  <CharactersWithSpaces>9779</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2024-09-11T07:10:00Z</dcterms:created>
  <dc:creator>JSCDC</dc:creator>
  <dc:description>&lt;config cover="true" show_menu="true" version="1.0.0" doctype="SDKXY"&gt;_x000d_
&lt;/config&gt;</dc:description>
  <cp:lastModifiedBy>张楠</cp:lastModifiedBy>
  <cp:lastPrinted>2020-08-30T10:00:00Z</cp:lastPrinted>
  <dcterms:modified xsi:type="dcterms:W3CDTF">2024-09-25T06:34:29Z</dcterms:modified>
  <dc:title>地方标准</dc:title>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2052-12.1.0.18276</vt:lpwstr>
  </property>
  <property fmtid="{D5CDD505-2E9C-101B-9397-08002B2CF9AE}" pid="15" name="ICV">
    <vt:lpwstr>3980558AC0784F409F0439211764F237_12</vt:lpwstr>
  </property>
</Properties>
</file>