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B6A7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5EB2B71">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9EE70CF">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13.100</w:t>
            </w:r>
            <w:r>
              <w:rPr>
                <w:rFonts w:ascii="黑体" w:hAnsi="黑体" w:eastAsia="黑体"/>
                <w:sz w:val="21"/>
                <w:szCs w:val="21"/>
              </w:rPr>
              <w:fldChar w:fldCharType="end"/>
            </w:r>
            <w:bookmarkEnd w:id="0"/>
          </w:p>
        </w:tc>
      </w:tr>
      <w:tr w14:paraId="3B07F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E8EABE2">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264AB30">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50</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89DBFE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BDEACF3">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default w:val="32"/>
                    <w:maxLength w:val="8"/>
                  </w:textInput>
                </w:ffData>
              </w:fldChar>
            </w:r>
            <w:bookmarkStart w:id="3" w:name="c1"/>
            <w:r>
              <w:instrText xml:space="preserve"> FORMTEXT </w:instrText>
            </w:r>
            <w:r>
              <w:fldChar w:fldCharType="separate"/>
            </w:r>
            <w:r>
              <w:t>32</w:t>
            </w:r>
            <w:r>
              <w:fldChar w:fldCharType="end"/>
            </w:r>
            <w:bookmarkEnd w:id="3"/>
          </w:p>
        </w:tc>
      </w:tr>
    </w:tbl>
    <w:p w14:paraId="06D770F6">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2"/>
    <w:p w14:paraId="12154CC2">
      <w:pPr>
        <w:pStyle w:val="198"/>
        <w:rPr>
          <w:lang w:val="fr-FR"/>
        </w:rPr>
      </w:pPr>
      <w:r>
        <w:rPr>
          <w:lang w:val="fr-FR"/>
        </w:rPr>
        <w:t>DB</w:t>
      </w:r>
      <w:r>
        <w:rPr>
          <w:sz w:val="15"/>
          <w:szCs w:val="15"/>
          <w:lang w:val="fr-FR"/>
        </w:rPr>
        <w:t xml:space="preserve"> </w:t>
      </w:r>
      <w:r>
        <w:t>32/T</w:t>
      </w:r>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562E7B94">
      <w:pPr>
        <w:pStyle w:val="199"/>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5047B31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9AE100E">
      <w:pPr>
        <w:pStyle w:val="53"/>
        <w:framePr w:w="9639" w:h="6976" w:hRule="exact" w:hSpace="0" w:vSpace="0" w:wrap="around" w:hAnchor="page" w:y="6408"/>
        <w:jc w:val="center"/>
        <w:rPr>
          <w:rFonts w:ascii="黑体" w:hAnsi="黑体" w:eastAsia="黑体"/>
          <w:b w:val="0"/>
          <w:bCs w:val="0"/>
          <w:w w:val="100"/>
        </w:rPr>
      </w:pPr>
    </w:p>
    <w:p w14:paraId="18FB2B1A">
      <w:pPr>
        <w:pStyle w:val="200"/>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传染病突发公共卫生事件应急处置技术规范</w:t>
      </w:r>
      <w:r>
        <w:rPr>
          <w:rFonts w:hint="eastAsia"/>
          <w:lang w:val="en-US" w:eastAsia="zh-CN"/>
        </w:rPr>
        <w:t xml:space="preserve"> </w:t>
      </w:r>
      <w:r>
        <w:rPr>
          <w:rFonts w:hint="eastAsia"/>
        </w:rPr>
        <w:t>第10部分：病毒类应急检测技术</w:t>
      </w:r>
      <w:r>
        <w:fldChar w:fldCharType="end"/>
      </w:r>
      <w:bookmarkEnd w:id="7"/>
    </w:p>
    <w:p w14:paraId="76B135E5">
      <w:pPr>
        <w:framePr w:w="9639" w:h="6974" w:hRule="exact" w:wrap="around" w:vAnchor="page" w:hAnchor="page" w:x="1419" w:y="6408" w:anchorLock="1"/>
        <w:ind w:left="-1418"/>
      </w:pPr>
    </w:p>
    <w:p w14:paraId="076D8DE7">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8"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Technical specification for emergency response of public health emergent event caused by infectious disease</w:t>
      </w:r>
    </w:p>
    <w:p w14:paraId="10E98633">
      <w:pPr>
        <w:pStyle w:val="128"/>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Part 10：Emergency detection method of pathogenic in viral infectious disease</w:t>
      </w:r>
    </w:p>
    <w:p w14:paraId="69CE1D9A">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end"/>
      </w:r>
      <w:bookmarkEnd w:id="8"/>
    </w:p>
    <w:p w14:paraId="23529D4D">
      <w:pPr>
        <w:framePr w:w="9639" w:h="6974" w:hRule="exact" w:wrap="around" w:vAnchor="page" w:hAnchor="page" w:x="1419" w:y="6408" w:anchorLock="1"/>
        <w:spacing w:line="760" w:lineRule="exact"/>
        <w:ind w:left="-1418"/>
      </w:pPr>
    </w:p>
    <w:p w14:paraId="33694C38">
      <w:pPr>
        <w:pStyle w:val="128"/>
        <w:framePr w:w="9639" w:h="6974" w:hRule="exact" w:wrap="around" w:vAnchor="page" w:hAnchor="page" w:x="1419" w:y="6408" w:anchorLock="1"/>
        <w:textAlignment w:val="bottom"/>
        <w:rPr>
          <w:rFonts w:eastAsia="黑体"/>
          <w:szCs w:val="28"/>
        </w:rPr>
      </w:pPr>
    </w:p>
    <w:p w14:paraId="699DD17D">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667A9DBF">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rFonts w:hint="eastAsia"/>
          <w:sz w:val="21"/>
          <w:szCs w:val="28"/>
        </w:rPr>
        <w:t>（本草案完成时间：2024）</w:t>
      </w:r>
      <w:r>
        <w:rPr>
          <w:sz w:val="21"/>
          <w:szCs w:val="28"/>
        </w:rPr>
        <w:fldChar w:fldCharType="end"/>
      </w:r>
      <w:bookmarkEnd w:id="10"/>
    </w:p>
    <w:p w14:paraId="09029377">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42DFDEFF">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217AC145">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D55255E">
      <w:pPr>
        <w:pStyle w:val="154"/>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426435E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2ABCF0D">
      <w:pPr>
        <w:pStyle w:val="94"/>
        <w:spacing w:after="468"/>
        <w:rPr>
          <w:rFonts w:hint="eastAsia"/>
        </w:rPr>
      </w:pPr>
      <w:bookmarkStart w:id="18" w:name="BookMark1"/>
      <w:bookmarkStart w:id="19" w:name="_Toc177657669"/>
      <w:bookmarkStart w:id="20" w:name="_Toc166248992"/>
      <w:bookmarkStart w:id="21" w:name="_Toc177657580"/>
      <w:r>
        <w:rPr>
          <w:rFonts w:hint="eastAsia"/>
          <w:spacing w:val="320"/>
        </w:rPr>
        <w:t>目</w:t>
      </w:r>
      <w:r>
        <w:rPr>
          <w:rFonts w:hint="eastAsia"/>
        </w:rPr>
        <w:t>次</w:t>
      </w:r>
    </w:p>
    <w:p w14:paraId="0A6ADAC6">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"_Toc177659910" </w:instrText>
      </w:r>
      <w:r>
        <w:fldChar w:fldCharType="separate"/>
      </w:r>
      <w:r>
        <w:rPr>
          <w:rStyle w:val="34"/>
          <w:rFonts w:hint="eastAsia"/>
        </w:rPr>
        <w:t>前言</w:t>
      </w:r>
      <w:r>
        <w:tab/>
      </w:r>
      <w:r>
        <w:fldChar w:fldCharType="begin"/>
      </w:r>
      <w:r>
        <w:instrText xml:space="preserve"> PAGEREF _Toc177659910 \h </w:instrText>
      </w:r>
      <w:r>
        <w:fldChar w:fldCharType="separate"/>
      </w:r>
      <w:r>
        <w:t>II</w:t>
      </w:r>
      <w:r>
        <w:fldChar w:fldCharType="end"/>
      </w:r>
      <w:r>
        <w:fldChar w:fldCharType="end"/>
      </w:r>
    </w:p>
    <w:p w14:paraId="40578D9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"_Toc177659911" </w:instrText>
      </w:r>
      <w:r>
        <w:fldChar w:fldCharType="separate"/>
      </w:r>
      <w:r>
        <w:rPr>
          <w:rStyle w:val="34"/>
          <w:rFonts w:hint="eastAsia"/>
        </w:rPr>
        <w:t>引言</w:t>
      </w:r>
      <w:r>
        <w:tab/>
      </w:r>
      <w:r>
        <w:fldChar w:fldCharType="begin"/>
      </w:r>
      <w:r>
        <w:instrText xml:space="preserve"> PAGEREF _Toc177659911 \h </w:instrText>
      </w:r>
      <w:r>
        <w:fldChar w:fldCharType="separate"/>
      </w:r>
      <w:r>
        <w:t>III</w:t>
      </w:r>
      <w:r>
        <w:fldChar w:fldCharType="end"/>
      </w:r>
      <w:r>
        <w:fldChar w:fldCharType="end"/>
      </w:r>
    </w:p>
    <w:p w14:paraId="79DF7B0C">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"_Toc177659912" </w:instrText>
      </w:r>
      <w:r>
        <w:fldChar w:fldCharType="separate"/>
      </w:r>
      <w:r>
        <w:rPr>
          <w:rStyle w:val="34"/>
        </w:rPr>
        <w:t xml:space="preserve">1 </w:t>
      </w:r>
      <w:r>
        <w:rPr>
          <w:rStyle w:val="34"/>
          <w:rFonts w:hint="eastAsia"/>
        </w:rPr>
        <w:t xml:space="preserve"> 范围</w:t>
      </w:r>
      <w:r>
        <w:tab/>
      </w:r>
      <w:r>
        <w:fldChar w:fldCharType="begin"/>
      </w:r>
      <w:r>
        <w:instrText xml:space="preserve"> PAGEREF _Toc177659912 \h </w:instrText>
      </w:r>
      <w:r>
        <w:fldChar w:fldCharType="separate"/>
      </w:r>
      <w:r>
        <w:t>1</w:t>
      </w:r>
      <w:r>
        <w:fldChar w:fldCharType="end"/>
      </w:r>
      <w:r>
        <w:fldChar w:fldCharType="end"/>
      </w:r>
    </w:p>
    <w:p w14:paraId="0D80671C">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"_Toc177659913"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_Toc177659913 \h </w:instrText>
      </w:r>
      <w:r>
        <w:fldChar w:fldCharType="separate"/>
      </w:r>
      <w:r>
        <w:t>1</w:t>
      </w:r>
      <w:r>
        <w:fldChar w:fldCharType="end"/>
      </w:r>
      <w:r>
        <w:fldChar w:fldCharType="end"/>
      </w:r>
    </w:p>
    <w:p w14:paraId="12005871">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"_Toc177659914"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_Toc177659914 \h </w:instrText>
      </w:r>
      <w:r>
        <w:fldChar w:fldCharType="separate"/>
      </w:r>
      <w:r>
        <w:t>1</w:t>
      </w:r>
      <w:r>
        <w:fldChar w:fldCharType="end"/>
      </w:r>
      <w:r>
        <w:fldChar w:fldCharType="end"/>
      </w:r>
    </w:p>
    <w:p w14:paraId="324DB487">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"_Toc177659915" </w:instrText>
      </w:r>
      <w:r>
        <w:fldChar w:fldCharType="separate"/>
      </w:r>
      <w:r>
        <w:rPr>
          <w:rStyle w:val="34"/>
        </w:rPr>
        <w:t xml:space="preserve">4 </w:t>
      </w:r>
      <w:r>
        <w:rPr>
          <w:rStyle w:val="34"/>
          <w:rFonts w:hint="eastAsia"/>
        </w:rPr>
        <w:t xml:space="preserve"> 生物安全要求</w:t>
      </w:r>
      <w:r>
        <w:tab/>
      </w:r>
      <w:r>
        <w:fldChar w:fldCharType="begin"/>
      </w:r>
      <w:r>
        <w:instrText xml:space="preserve"> PAGEREF _Toc177659915 \h </w:instrText>
      </w:r>
      <w:r>
        <w:fldChar w:fldCharType="separate"/>
      </w:r>
      <w:r>
        <w:t>1</w:t>
      </w:r>
      <w:r>
        <w:fldChar w:fldCharType="end"/>
      </w:r>
      <w:r>
        <w:fldChar w:fldCharType="end"/>
      </w:r>
    </w:p>
    <w:p w14:paraId="6A1371D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"_Toc177659916" </w:instrText>
      </w:r>
      <w:r>
        <w:fldChar w:fldCharType="separate"/>
      </w:r>
      <w:r>
        <w:rPr>
          <w:rStyle w:val="34"/>
        </w:rPr>
        <w:t xml:space="preserve">5 </w:t>
      </w:r>
      <w:r>
        <w:rPr>
          <w:rStyle w:val="34"/>
          <w:rFonts w:hint="eastAsia"/>
        </w:rPr>
        <w:t xml:space="preserve"> 准备工作和质量控制</w:t>
      </w:r>
      <w:r>
        <w:tab/>
      </w:r>
      <w:r>
        <w:fldChar w:fldCharType="begin"/>
      </w:r>
      <w:r>
        <w:instrText xml:space="preserve"> PAGEREF _Toc177659916 \h </w:instrText>
      </w:r>
      <w:r>
        <w:fldChar w:fldCharType="separate"/>
      </w:r>
      <w:r>
        <w:t>1</w:t>
      </w:r>
      <w:r>
        <w:fldChar w:fldCharType="end"/>
      </w:r>
      <w:r>
        <w:fldChar w:fldCharType="end"/>
      </w:r>
    </w:p>
    <w:p w14:paraId="070313EF">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"_Toc177659917" </w:instrText>
      </w:r>
      <w:r>
        <w:fldChar w:fldCharType="separate"/>
      </w:r>
      <w:r>
        <w:rPr>
          <w:rStyle w:val="34"/>
        </w:rPr>
        <w:t xml:space="preserve">6 </w:t>
      </w:r>
      <w:r>
        <w:rPr>
          <w:rStyle w:val="34"/>
          <w:rFonts w:hint="eastAsia"/>
        </w:rPr>
        <w:t xml:space="preserve"> 分子生物学应急检测技术</w:t>
      </w:r>
      <w:r>
        <w:tab/>
      </w:r>
      <w:r>
        <w:fldChar w:fldCharType="begin"/>
      </w:r>
      <w:r>
        <w:instrText xml:space="preserve"> PAGEREF _Toc177659917 \h </w:instrText>
      </w:r>
      <w:r>
        <w:fldChar w:fldCharType="separate"/>
      </w:r>
      <w:r>
        <w:t>2</w:t>
      </w:r>
      <w:r>
        <w:fldChar w:fldCharType="end"/>
      </w:r>
      <w:r>
        <w:fldChar w:fldCharType="end"/>
      </w:r>
    </w:p>
    <w:p w14:paraId="1C206E99">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"_Toc177659918" </w:instrText>
      </w:r>
      <w:r>
        <w:fldChar w:fldCharType="separate"/>
      </w:r>
      <w:r>
        <w:rPr>
          <w:rStyle w:val="34"/>
        </w:rPr>
        <w:t xml:space="preserve">7 </w:t>
      </w:r>
      <w:r>
        <w:rPr>
          <w:rStyle w:val="34"/>
          <w:rFonts w:hint="eastAsia"/>
        </w:rPr>
        <w:t xml:space="preserve"> 免疫学应急检测技术</w:t>
      </w:r>
      <w:r>
        <w:tab/>
      </w:r>
      <w:r>
        <w:fldChar w:fldCharType="begin"/>
      </w:r>
      <w:r>
        <w:instrText xml:space="preserve"> PAGEREF _Toc177659918 \h </w:instrText>
      </w:r>
      <w:r>
        <w:fldChar w:fldCharType="separate"/>
      </w:r>
      <w:r>
        <w:t>2</w:t>
      </w:r>
      <w:r>
        <w:fldChar w:fldCharType="end"/>
      </w:r>
      <w:r>
        <w:fldChar w:fldCharType="end"/>
      </w:r>
    </w:p>
    <w:p w14:paraId="233FB4F5">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"_Toc177659919" </w:instrText>
      </w:r>
      <w:r>
        <w:fldChar w:fldCharType="separate"/>
      </w:r>
      <w:r>
        <w:rPr>
          <w:rStyle w:val="34"/>
          <w:rFonts w:hint="eastAsia"/>
        </w:rPr>
        <w:t>参考文献</w:t>
      </w:r>
      <w:r>
        <w:tab/>
      </w:r>
      <w:r>
        <w:fldChar w:fldCharType="begin"/>
      </w:r>
      <w:r>
        <w:instrText xml:space="preserve"> PAGEREF _Toc177659919 \h </w:instrText>
      </w:r>
      <w:r>
        <w:fldChar w:fldCharType="separate"/>
      </w:r>
      <w:r>
        <w:t>4</w:t>
      </w:r>
      <w:r>
        <w:fldChar w:fldCharType="end"/>
      </w:r>
      <w:r>
        <w:fldChar w:fldCharType="end"/>
      </w:r>
    </w:p>
    <w:p w14:paraId="66C9BC6A">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14:paraId="3F62372E">
      <w:pPr>
        <w:pStyle w:val="92"/>
        <w:spacing w:before="900" w:after="468"/>
      </w:pPr>
      <w:bookmarkStart w:id="22" w:name="_Toc177659910"/>
      <w:bookmarkStart w:id="23" w:name="BookMark2"/>
      <w:r>
        <w:rPr>
          <w:spacing w:val="320"/>
        </w:rPr>
        <w:t>前</w:t>
      </w:r>
      <w:r>
        <w:t>言</w:t>
      </w:r>
      <w:bookmarkEnd w:id="19"/>
      <w:bookmarkEnd w:id="20"/>
      <w:bookmarkEnd w:id="21"/>
      <w:bookmarkEnd w:id="22"/>
    </w:p>
    <w:p w14:paraId="35EBAE16">
      <w:pPr>
        <w:pStyle w:val="59"/>
        <w:ind w:firstLine="420"/>
      </w:pPr>
      <w:r>
        <w:rPr>
          <w:rFonts w:hint="eastAsia"/>
        </w:rPr>
        <w:t>本文件按照GB/T1.1-2020《标准化工作导则  第1部分：标准化文件的结构和起草规则》的规定起草。</w:t>
      </w:r>
    </w:p>
    <w:p w14:paraId="2D825BAF">
      <w:pPr>
        <w:pStyle w:val="59"/>
        <w:ind w:firstLine="420"/>
      </w:pPr>
      <w:r>
        <w:rPr>
          <w:rFonts w:hint="eastAsia"/>
        </w:rPr>
        <w:t>本文件是DB32/T XXX 《传染病突发公共卫生事件应急处置技术规范》的第10部分。DB32/T XXX 已经发布了以下部分：</w:t>
      </w:r>
    </w:p>
    <w:p w14:paraId="7D040C4E">
      <w:pPr>
        <w:pStyle w:val="59"/>
        <w:ind w:firstLine="420"/>
      </w:pPr>
      <w:r>
        <w:rPr>
          <w:rFonts w:hint="eastAsia"/>
        </w:rPr>
        <w:t>——第1部分：监测预警；</w:t>
      </w:r>
    </w:p>
    <w:p w14:paraId="1F591455">
      <w:pPr>
        <w:pStyle w:val="59"/>
        <w:ind w:firstLine="420"/>
      </w:pPr>
      <w:r>
        <w:rPr>
          <w:rFonts w:hint="eastAsia"/>
        </w:rPr>
        <w:t>——第2部分：事件报告和管理；</w:t>
      </w:r>
    </w:p>
    <w:p w14:paraId="376DCE6E">
      <w:pPr>
        <w:pStyle w:val="59"/>
        <w:ind w:firstLine="420"/>
      </w:pPr>
      <w:r>
        <w:rPr>
          <w:rFonts w:hint="eastAsia"/>
        </w:rPr>
        <w:t>——第3部分：风险评估；</w:t>
      </w:r>
    </w:p>
    <w:p w14:paraId="0A952BBB">
      <w:pPr>
        <w:pStyle w:val="59"/>
        <w:ind w:firstLine="420"/>
      </w:pPr>
      <w:r>
        <w:rPr>
          <w:rFonts w:hint="eastAsia"/>
        </w:rPr>
        <w:t>——第4部分：现场流行病学调查；</w:t>
      </w:r>
    </w:p>
    <w:p w14:paraId="17BB4947">
      <w:pPr>
        <w:pStyle w:val="59"/>
        <w:ind w:firstLine="420"/>
      </w:pPr>
      <w:r>
        <w:rPr>
          <w:rFonts w:hint="eastAsia"/>
        </w:rPr>
        <w:t>——第5部分：恢复评估；</w:t>
      </w:r>
    </w:p>
    <w:p w14:paraId="06F6DFF2">
      <w:pPr>
        <w:pStyle w:val="59"/>
        <w:ind w:firstLine="420"/>
      </w:pPr>
      <w:r>
        <w:rPr>
          <w:rFonts w:hint="eastAsia"/>
        </w:rPr>
        <w:t>——第6部分：应急消毒处置及应急人员个人防护；</w:t>
      </w:r>
    </w:p>
    <w:p w14:paraId="47F9EE67">
      <w:pPr>
        <w:pStyle w:val="59"/>
        <w:ind w:firstLine="420"/>
      </w:pPr>
      <w:r>
        <w:rPr>
          <w:rFonts w:hint="eastAsia"/>
        </w:rPr>
        <w:t>——第7部分：媒介生物应急监测、评估与控制；</w:t>
      </w:r>
    </w:p>
    <w:p w14:paraId="5A3BB4B1">
      <w:pPr>
        <w:pStyle w:val="59"/>
        <w:ind w:firstLine="420"/>
      </w:pPr>
      <w:r>
        <w:rPr>
          <w:rFonts w:hint="eastAsia"/>
        </w:rPr>
        <w:t>——第8部分：标本的采集、保存和运输；</w:t>
      </w:r>
    </w:p>
    <w:p w14:paraId="3F8FCAE2">
      <w:pPr>
        <w:pStyle w:val="59"/>
        <w:ind w:firstLine="420"/>
      </w:pPr>
      <w:r>
        <w:rPr>
          <w:rFonts w:hint="eastAsia"/>
        </w:rPr>
        <w:t>——第9部分：应急检测流程；</w:t>
      </w:r>
    </w:p>
    <w:p w14:paraId="0A671F1D">
      <w:pPr>
        <w:pStyle w:val="59"/>
        <w:ind w:firstLine="420"/>
      </w:pPr>
      <w:r>
        <w:rPr>
          <w:rFonts w:hint="eastAsia"/>
        </w:rPr>
        <w:t>——第10部分：病毒类应急检测技术；</w:t>
      </w:r>
    </w:p>
    <w:p w14:paraId="31215B4D">
      <w:pPr>
        <w:pStyle w:val="59"/>
        <w:ind w:firstLine="420"/>
      </w:pPr>
      <w:r>
        <w:rPr>
          <w:rFonts w:hint="eastAsia"/>
        </w:rPr>
        <w:t>——第11部分：细菌类应急检测技术。</w:t>
      </w:r>
    </w:p>
    <w:p w14:paraId="67B8628D">
      <w:pPr>
        <w:pStyle w:val="59"/>
        <w:ind w:firstLine="420"/>
      </w:pPr>
      <w:r>
        <w:rPr>
          <w:rFonts w:hint="eastAsia"/>
        </w:rPr>
        <w:t>请注意本文件的某些内容可能涉及专利。本文件的发布机构不承担识别专利的责任。</w:t>
      </w:r>
    </w:p>
    <w:p w14:paraId="27A9A34D">
      <w:pPr>
        <w:pStyle w:val="59"/>
        <w:ind w:firstLine="420"/>
      </w:pPr>
      <w:r>
        <w:rPr>
          <w:rFonts w:hint="eastAsia"/>
        </w:rPr>
        <w:t>本文件由江苏省卫生健康委员会提出并组织实施。</w:t>
      </w:r>
    </w:p>
    <w:p w14:paraId="31EA7FEA">
      <w:pPr>
        <w:pStyle w:val="59"/>
        <w:ind w:firstLine="420"/>
      </w:pPr>
      <w:r>
        <w:rPr>
          <w:rFonts w:hint="eastAsia"/>
        </w:rPr>
        <w:t>本文件由江苏省卫生健康标准化技术委员会归口。</w:t>
      </w:r>
    </w:p>
    <w:p w14:paraId="0C39FDAA">
      <w:pPr>
        <w:pStyle w:val="59"/>
        <w:ind w:firstLine="420"/>
      </w:pPr>
      <w:r>
        <w:rPr>
          <w:rFonts w:hint="eastAsia"/>
        </w:rPr>
        <w:t>本文件起草单位：</w:t>
      </w:r>
      <w:bookmarkStart w:id="87" w:name="_GoBack"/>
      <w:r>
        <w:rPr>
          <w:rFonts w:hint="eastAsia"/>
        </w:rPr>
        <w:t>江苏省疾病预防控制中心、南京市疾病预防控制中心、盐城市疾病预防控制中心</w:t>
      </w:r>
      <w:bookmarkEnd w:id="87"/>
      <w:r>
        <w:rPr>
          <w:rFonts w:hint="eastAsia"/>
        </w:rPr>
        <w:t>。</w:t>
      </w:r>
    </w:p>
    <w:p w14:paraId="10B5E99C">
      <w:pPr>
        <w:pStyle w:val="59"/>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本文件主要起草人：付建光、樊欢、邓斐、李志锋、王慎骄、王楠、许晓庆、余慧燕、李楚楚、秦圆方、田华、祁贤、彭杰夫</w:t>
      </w:r>
      <w:r>
        <w:rPr>
          <w:rFonts w:hint="eastAsia"/>
          <w:lang w:eastAsia="zh-CN"/>
        </w:rPr>
        <w:t>、</w:t>
      </w:r>
      <w:r>
        <w:rPr>
          <w:rFonts w:hint="eastAsia"/>
          <w:lang w:val="en-US" w:eastAsia="zh-CN"/>
        </w:rPr>
        <w:t>崔仑标</w:t>
      </w:r>
      <w:r>
        <w:rPr>
          <w:rFonts w:hint="eastAsia"/>
        </w:rPr>
        <w:t>。</w:t>
      </w:r>
    </w:p>
    <w:bookmarkEnd w:id="23"/>
    <w:p w14:paraId="522048DE">
      <w:pPr>
        <w:pStyle w:val="92"/>
        <w:spacing w:after="468"/>
      </w:pPr>
      <w:bookmarkStart w:id="24" w:name="_Toc177657670"/>
      <w:bookmarkStart w:id="25" w:name="_Toc177657581"/>
      <w:bookmarkStart w:id="26" w:name="_Toc166248993"/>
      <w:bookmarkStart w:id="27" w:name="_Toc177659911"/>
      <w:bookmarkStart w:id="28" w:name="BookMark3"/>
      <w:r>
        <w:rPr>
          <w:spacing w:val="320"/>
        </w:rPr>
        <w:t>引</w:t>
      </w:r>
      <w:r>
        <w:t>言</w:t>
      </w:r>
      <w:bookmarkEnd w:id="24"/>
      <w:bookmarkEnd w:id="25"/>
      <w:bookmarkEnd w:id="26"/>
      <w:bookmarkEnd w:id="27"/>
    </w:p>
    <w:p w14:paraId="3B985D0B">
      <w:pPr>
        <w:pStyle w:val="59"/>
        <w:ind w:firstLine="420"/>
      </w:pPr>
      <w:r>
        <w:rPr>
          <w:rFonts w:hint="eastAsia"/>
        </w:rPr>
        <w:t>传染病突发公共卫生事件是江苏省公共卫生安全的主要威胁，对社会、经济和人群健康造成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的目标而制定。</w:t>
      </w:r>
    </w:p>
    <w:p w14:paraId="5F363427">
      <w:pPr>
        <w:pStyle w:val="59"/>
        <w:ind w:firstLine="420"/>
      </w:pPr>
      <w:r>
        <w:rPr>
          <w:rFonts w:hint="eastAsia"/>
        </w:rPr>
        <w:t>DB32/T XXX《传染病突发公共卫生事件应急处置技术规范》分为以下11个部分：</w:t>
      </w:r>
    </w:p>
    <w:p w14:paraId="3D7BAF1C">
      <w:pPr>
        <w:pStyle w:val="59"/>
        <w:ind w:firstLine="420"/>
      </w:pPr>
      <w:r>
        <w:rPr>
          <w:rFonts w:hint="eastAsia"/>
        </w:rPr>
        <w:t>——第1部分：监测预警；</w:t>
      </w:r>
    </w:p>
    <w:p w14:paraId="4CF99113">
      <w:pPr>
        <w:pStyle w:val="59"/>
        <w:ind w:firstLine="420"/>
      </w:pPr>
      <w:r>
        <w:rPr>
          <w:rFonts w:hint="eastAsia"/>
        </w:rPr>
        <w:t>——第2部分：事件报告和管理；</w:t>
      </w:r>
    </w:p>
    <w:p w14:paraId="1D3F5FD2">
      <w:pPr>
        <w:pStyle w:val="59"/>
        <w:ind w:firstLine="420"/>
      </w:pPr>
      <w:r>
        <w:rPr>
          <w:rFonts w:hint="eastAsia"/>
        </w:rPr>
        <w:t>——第3部分：风险评估；</w:t>
      </w:r>
    </w:p>
    <w:p w14:paraId="234BAD91">
      <w:pPr>
        <w:pStyle w:val="59"/>
        <w:ind w:firstLine="420"/>
      </w:pPr>
      <w:r>
        <w:rPr>
          <w:rFonts w:hint="eastAsia"/>
        </w:rPr>
        <w:t>——第4部分：现场流行病学调查；</w:t>
      </w:r>
    </w:p>
    <w:p w14:paraId="294E68F2">
      <w:pPr>
        <w:pStyle w:val="59"/>
        <w:ind w:firstLine="420"/>
      </w:pPr>
      <w:r>
        <w:rPr>
          <w:rFonts w:hint="eastAsia"/>
        </w:rPr>
        <w:t>——第5部分：恢复评估；</w:t>
      </w:r>
    </w:p>
    <w:p w14:paraId="401CDA84">
      <w:pPr>
        <w:pStyle w:val="59"/>
        <w:ind w:firstLine="420"/>
      </w:pPr>
      <w:r>
        <w:rPr>
          <w:rFonts w:hint="eastAsia"/>
        </w:rPr>
        <w:t>——第6部分：应急消毒处置及应急人员个人防护；</w:t>
      </w:r>
    </w:p>
    <w:p w14:paraId="2DF7C22F">
      <w:pPr>
        <w:pStyle w:val="59"/>
        <w:ind w:firstLine="420"/>
      </w:pPr>
      <w:r>
        <w:rPr>
          <w:rFonts w:hint="eastAsia"/>
        </w:rPr>
        <w:t>——第7部分：媒介生物应急监测、评估与控制；</w:t>
      </w:r>
    </w:p>
    <w:p w14:paraId="14E162D0">
      <w:pPr>
        <w:pStyle w:val="59"/>
        <w:ind w:firstLine="420"/>
      </w:pPr>
      <w:r>
        <w:rPr>
          <w:rFonts w:hint="eastAsia"/>
        </w:rPr>
        <w:t>——第8部分：标本的采集、保存和运输；</w:t>
      </w:r>
    </w:p>
    <w:p w14:paraId="259881F5">
      <w:pPr>
        <w:pStyle w:val="59"/>
        <w:ind w:firstLine="420"/>
      </w:pPr>
      <w:r>
        <w:rPr>
          <w:rFonts w:hint="eastAsia"/>
        </w:rPr>
        <w:t>——第9部分：应急检测流程；</w:t>
      </w:r>
    </w:p>
    <w:p w14:paraId="66BE56EA">
      <w:pPr>
        <w:pStyle w:val="59"/>
        <w:ind w:firstLine="420"/>
      </w:pPr>
      <w:r>
        <w:rPr>
          <w:rFonts w:hint="eastAsia"/>
        </w:rPr>
        <w:t>——第10部分：病毒类应急检测技术；</w:t>
      </w:r>
    </w:p>
    <w:p w14:paraId="2F1930B7">
      <w:pPr>
        <w:pStyle w:val="59"/>
        <w:ind w:firstLine="420"/>
      </w:pPr>
      <w:r>
        <w:rPr>
          <w:rFonts w:hint="eastAsia"/>
        </w:rPr>
        <w:t>——第11部分：细菌类应急检测技术。</w:t>
      </w:r>
    </w:p>
    <w:p w14:paraId="746EB0EC">
      <w:pPr>
        <w:pStyle w:val="59"/>
        <w:ind w:firstLine="420"/>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p w14:paraId="75EA5F99">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8"/>
    <w:p w14:paraId="1ABC7548">
      <w:pPr>
        <w:spacing w:line="20" w:lineRule="exact"/>
        <w:jc w:val="center"/>
        <w:rPr>
          <w:rFonts w:ascii="黑体" w:hAnsi="黑体" w:eastAsia="黑体"/>
          <w:sz w:val="32"/>
          <w:szCs w:val="32"/>
        </w:rPr>
      </w:pPr>
      <w:bookmarkStart w:id="29" w:name="BookMark4"/>
    </w:p>
    <w:p w14:paraId="4AEC0C58">
      <w:pPr>
        <w:spacing w:line="20" w:lineRule="exact"/>
        <w:jc w:val="center"/>
        <w:rPr>
          <w:rFonts w:ascii="黑体" w:hAnsi="黑体" w:eastAsia="黑体"/>
          <w:sz w:val="32"/>
          <w:szCs w:val="32"/>
        </w:rPr>
      </w:pPr>
    </w:p>
    <w:sdt>
      <w:sdtPr>
        <w:tag w:val="NEW_STAND_NAME"/>
        <w:id w:val="595910757"/>
        <w:lock w:val="sdtLocked"/>
        <w:placeholder>
          <w:docPart w:val="9EF2071DE35D4A3796B74ADBE916DEF0"/>
        </w:placeholder>
      </w:sdtPr>
      <w:sdtContent>
        <w:p w14:paraId="5CA266DB">
          <w:pPr>
            <w:pStyle w:val="180"/>
            <w:spacing w:before="312" w:beforeLines="100" w:after="3" w:afterLines="1"/>
          </w:pPr>
          <w:bookmarkStart w:id="30" w:name="NEW_STAND_NAME"/>
          <w:r>
            <w:rPr>
              <w:rFonts w:hint="eastAsia"/>
            </w:rPr>
            <w:t>传染病突发公共卫生事件应急处置技术规范</w:t>
          </w:r>
        </w:p>
        <w:p w14:paraId="5D50C60F">
          <w:pPr>
            <w:pStyle w:val="180"/>
            <w:spacing w:before="3" w:beforeLines="1" w:after="680"/>
          </w:pPr>
          <w:r>
            <w:rPr>
              <w:rFonts w:hint="eastAsia"/>
            </w:rPr>
            <w:t>第</w:t>
          </w:r>
          <w:r>
            <w:t>10部分：病毒类应急检测技术</w:t>
          </w:r>
        </w:p>
      </w:sdtContent>
    </w:sdt>
    <w:bookmarkEnd w:id="30"/>
    <w:p w14:paraId="7ECB19DE">
      <w:pPr>
        <w:pStyle w:val="107"/>
        <w:spacing w:before="312" w:after="312"/>
      </w:pPr>
      <w:bookmarkStart w:id="31" w:name="_Toc177659912"/>
      <w:bookmarkStart w:id="32" w:name="_Toc26986530"/>
      <w:bookmarkStart w:id="33" w:name="_Toc26718930"/>
      <w:bookmarkStart w:id="34" w:name="_Toc177657671"/>
      <w:bookmarkStart w:id="35" w:name="_Toc17233333"/>
      <w:bookmarkStart w:id="36" w:name="_Toc97191423"/>
      <w:bookmarkStart w:id="37" w:name="_Toc24884211"/>
      <w:bookmarkStart w:id="38" w:name="_Toc24884218"/>
      <w:bookmarkStart w:id="39" w:name="_Toc166247665"/>
      <w:bookmarkStart w:id="40" w:name="_Toc17233325"/>
      <w:bookmarkStart w:id="41" w:name="_Toc26648465"/>
      <w:bookmarkStart w:id="42" w:name="_Toc26986771"/>
      <w:bookmarkStart w:id="43" w:name="_Toc166248994"/>
      <w:bookmarkStart w:id="44" w:name="_Toc177657582"/>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50AC537B">
      <w:pPr>
        <w:pStyle w:val="59"/>
        <w:ind w:firstLine="420"/>
      </w:pPr>
      <w:bookmarkStart w:id="45" w:name="_Toc17233334"/>
      <w:bookmarkStart w:id="46" w:name="_Toc17233326"/>
      <w:bookmarkStart w:id="47" w:name="_Toc24884219"/>
      <w:bookmarkStart w:id="48" w:name="_Toc26648466"/>
      <w:bookmarkStart w:id="49" w:name="_Toc24884212"/>
      <w:r>
        <w:rPr>
          <w:rFonts w:hint="eastAsia"/>
        </w:rPr>
        <w:t>本文件规定了传染病突发公共卫生事件应急处置中病毒类应急检测的生物安全要求、准备工作和质量控制、分子生物学应急检测技术和免疫学应急检测技术等。</w:t>
      </w:r>
    </w:p>
    <w:p w14:paraId="7E0B7D02">
      <w:pPr>
        <w:pStyle w:val="59"/>
        <w:ind w:firstLine="420"/>
      </w:pPr>
      <w:r>
        <w:rPr>
          <w:rFonts w:hint="eastAsia"/>
        </w:rPr>
        <w:t>本文件适用于传染病突发公共卫生事件应急处置中病毒类传染病病原体的应急检测。</w:t>
      </w:r>
    </w:p>
    <w:p w14:paraId="19C7A213">
      <w:pPr>
        <w:pStyle w:val="107"/>
        <w:spacing w:before="312" w:after="312"/>
      </w:pPr>
      <w:bookmarkStart w:id="50" w:name="_Toc26986772"/>
      <w:bookmarkStart w:id="51" w:name="_Toc26718931"/>
      <w:bookmarkStart w:id="52" w:name="_Toc166247666"/>
      <w:bookmarkStart w:id="53" w:name="_Toc26986531"/>
      <w:bookmarkStart w:id="54" w:name="_Toc177657583"/>
      <w:bookmarkStart w:id="55" w:name="_Toc177657672"/>
      <w:bookmarkStart w:id="56" w:name="_Toc177659913"/>
      <w:bookmarkStart w:id="57" w:name="_Toc97191424"/>
      <w:bookmarkStart w:id="58" w:name="_Toc166248995"/>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853BA46A0D884987AFF6EAD551F5A69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AA17F8E">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0A73D75">
      <w:pPr>
        <w:pStyle w:val="59"/>
        <w:ind w:firstLine="420"/>
      </w:pPr>
      <w:r>
        <w:rPr>
          <w:rFonts w:hint="eastAsia"/>
        </w:rPr>
        <w:t>GB</w:t>
      </w:r>
      <w:r>
        <w:t xml:space="preserve"> </w:t>
      </w:r>
      <w:r>
        <w:rPr>
          <w:rFonts w:hint="eastAsia"/>
        </w:rPr>
        <w:t>19489 实验室生物安全通用要求</w:t>
      </w:r>
    </w:p>
    <w:p w14:paraId="6AED874B">
      <w:pPr>
        <w:pStyle w:val="59"/>
        <w:ind w:firstLine="420"/>
      </w:pPr>
      <w:r>
        <w:rPr>
          <w:rFonts w:hint="eastAsia"/>
        </w:rPr>
        <w:t>WS</w:t>
      </w:r>
      <w:r>
        <w:t xml:space="preserve"> </w:t>
      </w:r>
      <w:r>
        <w:rPr>
          <w:rFonts w:hint="eastAsia"/>
        </w:rPr>
        <w:t>233 病原微生物实验室生物安全通用准则</w:t>
      </w:r>
    </w:p>
    <w:p w14:paraId="356C47A0">
      <w:pPr>
        <w:pStyle w:val="107"/>
        <w:spacing w:before="312" w:after="312"/>
      </w:pPr>
      <w:bookmarkStart w:id="59" w:name="_Toc166248996"/>
      <w:bookmarkStart w:id="60" w:name="_Toc166247667"/>
      <w:bookmarkStart w:id="61" w:name="_Toc177657673"/>
      <w:bookmarkStart w:id="62" w:name="_Toc97191425"/>
      <w:bookmarkStart w:id="63" w:name="_Toc177659914"/>
      <w:bookmarkStart w:id="64" w:name="_Toc177657584"/>
      <w:r>
        <w:rPr>
          <w:rFonts w:hint="eastAsia"/>
          <w:szCs w:val="21"/>
        </w:rPr>
        <w:t>术语和定义</w:t>
      </w:r>
      <w:bookmarkEnd w:id="59"/>
      <w:bookmarkEnd w:id="60"/>
      <w:bookmarkEnd w:id="61"/>
      <w:bookmarkEnd w:id="62"/>
      <w:bookmarkEnd w:id="63"/>
      <w:bookmarkEnd w:id="64"/>
    </w:p>
    <w:sdt>
      <w:sdtPr>
        <w:id w:val="-1909835108"/>
        <w:placeholder>
          <w:docPart w:val="828E7551F64342EC900B6F2AAF0B75F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60496E0">
          <w:pPr>
            <w:pStyle w:val="59"/>
            <w:ind w:firstLine="420"/>
          </w:pPr>
          <w:bookmarkStart w:id="65" w:name="_Toc26986532"/>
          <w:bookmarkEnd w:id="65"/>
          <w:r>
            <w:t>下列术语和定义适用于本文件。</w:t>
          </w:r>
        </w:p>
      </w:sdtContent>
    </w:sdt>
    <w:p w14:paraId="491CC95F">
      <w:pPr>
        <w:pStyle w:val="226"/>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高通量测序 high-throughput sequencing</w:t>
      </w:r>
    </w:p>
    <w:p w14:paraId="11012DB0">
      <w:pPr>
        <w:pStyle w:val="59"/>
        <w:ind w:firstLine="420"/>
      </w:pPr>
      <w:r>
        <w:rPr>
          <w:rFonts w:hint="eastAsia"/>
        </w:rPr>
        <w:t>又称下一代测序技术（Next-generation sequencing, NGS），或大规模平行测序（Massively parallel sequencing，MPS）。区别于传统Sanger（双脱氧法）测序，能够一次并行对大量核酸分子进行平行序列测定的技术，通常一次测序反应能产出不低于100兆的测序数据。</w:t>
      </w:r>
    </w:p>
    <w:p w14:paraId="75427CF8">
      <w:pPr>
        <w:pStyle w:val="107"/>
        <w:spacing w:before="312" w:after="312"/>
      </w:pPr>
      <w:bookmarkStart w:id="66" w:name="_Toc177657674"/>
      <w:bookmarkStart w:id="67" w:name="_Toc166248997"/>
      <w:bookmarkStart w:id="68" w:name="_Toc177657585"/>
      <w:bookmarkStart w:id="69" w:name="_Toc177659915"/>
      <w:r>
        <w:rPr>
          <w:rFonts w:hint="eastAsia"/>
        </w:rPr>
        <w:t>生物安全要求</w:t>
      </w:r>
      <w:bookmarkEnd w:id="66"/>
      <w:bookmarkEnd w:id="67"/>
      <w:bookmarkEnd w:id="68"/>
      <w:bookmarkEnd w:id="69"/>
    </w:p>
    <w:p w14:paraId="12C1339A">
      <w:pPr>
        <w:pStyle w:val="165"/>
      </w:pPr>
      <w:r>
        <w:rPr>
          <w:rFonts w:hint="eastAsia"/>
        </w:rPr>
        <w:t>实验人员应根据GB</w:t>
      </w:r>
      <w:r>
        <w:t xml:space="preserve"> </w:t>
      </w:r>
      <w:r>
        <w:rPr>
          <w:rFonts w:hint="eastAsia"/>
        </w:rPr>
        <w:t>19489和风险评估的要求，配备不同类型传染病感染的个人防护装备，包括但不限于防护服、手套、外科口罩或医用防护口罩、防护面屏、防护帽。防护服宜每隔4h更换一次。在发生意外暴露时，根据应急处置预案采取必要措施。</w:t>
      </w:r>
    </w:p>
    <w:p w14:paraId="18E55804">
      <w:pPr>
        <w:pStyle w:val="165"/>
      </w:pPr>
      <w:r>
        <w:rPr>
          <w:rFonts w:hint="eastAsia"/>
        </w:rPr>
        <w:t>实验人员、实验场所、感染性标本处置及消毒灭菌等应符合WS</w:t>
      </w:r>
      <w:r>
        <w:t xml:space="preserve"> </w:t>
      </w:r>
      <w:r>
        <w:rPr>
          <w:rFonts w:hint="eastAsia"/>
        </w:rPr>
        <w:t>233中的实验室生物安全管理要求。</w:t>
      </w:r>
    </w:p>
    <w:p w14:paraId="316E465B">
      <w:pPr>
        <w:pStyle w:val="165"/>
      </w:pPr>
      <w:r>
        <w:rPr>
          <w:rFonts w:hint="eastAsia"/>
        </w:rPr>
        <w:t>依据《医疗废物管理条例》规定处置医疗废物。</w:t>
      </w:r>
    </w:p>
    <w:p w14:paraId="6E8DCDAC">
      <w:pPr>
        <w:pStyle w:val="107"/>
        <w:spacing w:before="312" w:after="312"/>
      </w:pPr>
      <w:bookmarkStart w:id="70" w:name="_Toc166248998"/>
      <w:bookmarkStart w:id="71" w:name="_Toc177657586"/>
      <w:bookmarkStart w:id="72" w:name="_Toc177659916"/>
      <w:bookmarkStart w:id="73" w:name="_Toc177657675"/>
      <w:r>
        <w:rPr>
          <w:rFonts w:hint="eastAsia"/>
        </w:rPr>
        <w:t>准备工作和质量控制</w:t>
      </w:r>
      <w:bookmarkEnd w:id="70"/>
      <w:bookmarkEnd w:id="71"/>
      <w:bookmarkEnd w:id="72"/>
      <w:bookmarkEnd w:id="73"/>
    </w:p>
    <w:p w14:paraId="51183DAA">
      <w:pPr>
        <w:pStyle w:val="108"/>
        <w:spacing w:before="156" w:after="156"/>
      </w:pPr>
      <w:r>
        <w:rPr>
          <w:rFonts w:hint="eastAsia"/>
        </w:rPr>
        <w:t>准备工作</w:t>
      </w:r>
    </w:p>
    <w:p w14:paraId="2A02781A">
      <w:pPr>
        <w:pStyle w:val="168"/>
      </w:pPr>
      <w:r>
        <w:rPr>
          <w:rFonts w:hint="eastAsia"/>
        </w:rPr>
        <w:t>根据实验需要，准备相应的生物安全柜、移液器、漩涡震荡仪、离心机等仪器和检测试剂耗材。</w:t>
      </w:r>
    </w:p>
    <w:p w14:paraId="3BC65304">
      <w:pPr>
        <w:pStyle w:val="168"/>
      </w:pPr>
      <w:r>
        <w:rPr>
          <w:rFonts w:hint="eastAsia"/>
        </w:rPr>
        <w:t>标本震荡后瞬时离心取上清用于病毒类核酸提取及抗原检测。</w:t>
      </w:r>
    </w:p>
    <w:p w14:paraId="426B8490">
      <w:pPr>
        <w:pStyle w:val="168"/>
      </w:pPr>
      <w:r>
        <w:rPr>
          <w:rFonts w:hint="eastAsia"/>
        </w:rPr>
        <w:t>按照病毒R</w:t>
      </w:r>
      <w:r>
        <w:t>NA/DNA</w:t>
      </w:r>
      <w:r>
        <w:rPr>
          <w:rFonts w:hint="eastAsia"/>
        </w:rPr>
        <w:t>核酸提取试剂盒说明书，取适量标本进行核酸提取，提取完成后应立即封盖并马上进行分子生物学检测。剩余的标本和核酸应于-80℃条件下冻存。</w:t>
      </w:r>
    </w:p>
    <w:p w14:paraId="31C9666C">
      <w:pPr>
        <w:pStyle w:val="108"/>
        <w:spacing w:before="156" w:after="156"/>
      </w:pPr>
      <w:r>
        <w:rPr>
          <w:rFonts w:hint="eastAsia"/>
        </w:rPr>
        <w:t>质量控制</w:t>
      </w:r>
    </w:p>
    <w:p w14:paraId="166B1C79">
      <w:pPr>
        <w:pStyle w:val="168"/>
      </w:pPr>
      <w:r>
        <w:rPr>
          <w:rFonts w:hint="eastAsia"/>
        </w:rPr>
        <w:t xml:space="preserve">每一批次反应过程中应至少设置一个阴性和阳性对照，必要时增加空白对照。 </w:t>
      </w:r>
    </w:p>
    <w:p w14:paraId="262FFC44">
      <w:pPr>
        <w:pStyle w:val="168"/>
      </w:pPr>
      <w:r>
        <w:rPr>
          <w:rFonts w:hint="eastAsia"/>
        </w:rPr>
        <w:t>测序过程中数据Q30（用于衡量高通量测序中碱基准确度的指标，测序数据中碱基识别质量值为30，表示其碱基识别准确率为99.9%）应≧80%。</w:t>
      </w:r>
    </w:p>
    <w:p w14:paraId="19ED79EC">
      <w:pPr>
        <w:pStyle w:val="168"/>
      </w:pPr>
      <w:r>
        <w:rPr>
          <w:rFonts w:hint="eastAsia"/>
        </w:rPr>
        <w:t>宏基因组测序提取的核酸中DNA的A260/A280值应&gt;1.8， RNA的A260/A280值应≧2.0。背景核酸模型应每个月更新1次。</w:t>
      </w:r>
    </w:p>
    <w:p w14:paraId="466B1592">
      <w:pPr>
        <w:pStyle w:val="107"/>
        <w:spacing w:before="312" w:after="312"/>
      </w:pPr>
      <w:bookmarkStart w:id="74" w:name="_Toc166248999"/>
      <w:bookmarkStart w:id="75" w:name="_Toc177657587"/>
      <w:bookmarkStart w:id="76" w:name="_Toc177659917"/>
      <w:bookmarkStart w:id="77" w:name="_Toc177657676"/>
      <w:r>
        <w:rPr>
          <w:rFonts w:hint="eastAsia"/>
        </w:rPr>
        <w:t>分子生物学应急检测技术</w:t>
      </w:r>
      <w:bookmarkEnd w:id="74"/>
      <w:bookmarkEnd w:id="75"/>
      <w:bookmarkEnd w:id="76"/>
      <w:bookmarkEnd w:id="77"/>
    </w:p>
    <w:p w14:paraId="15275CC8">
      <w:pPr>
        <w:pStyle w:val="108"/>
        <w:spacing w:before="156" w:after="156"/>
      </w:pPr>
      <w:r>
        <w:rPr>
          <w:rFonts w:hint="eastAsia"/>
        </w:rPr>
        <w:t>实时荧光P</w:t>
      </w:r>
      <w:r>
        <w:t>CR</w:t>
      </w:r>
      <w:r>
        <w:rPr>
          <w:rFonts w:hint="eastAsia"/>
        </w:rPr>
        <w:t>技术（Real</w:t>
      </w:r>
      <w:r>
        <w:t>-</w:t>
      </w:r>
      <w:r>
        <w:rPr>
          <w:rFonts w:hint="eastAsia"/>
        </w:rPr>
        <w:t>time PCR）</w:t>
      </w:r>
    </w:p>
    <w:p w14:paraId="221F16DC">
      <w:pPr>
        <w:pStyle w:val="168"/>
      </w:pPr>
      <w:r>
        <w:rPr>
          <w:rFonts w:hint="eastAsia"/>
        </w:rPr>
        <w:t>反应体系配制（PCR反应液、酶、引物、探针及模板）及反应程序设置（反应温度、循环数及荧光通道）应参照相应病毒核酸检测试剂盒说明书。</w:t>
      </w:r>
    </w:p>
    <w:p w14:paraId="1DBCC439">
      <w:pPr>
        <w:pStyle w:val="168"/>
      </w:pPr>
      <w:r>
        <w:rPr>
          <w:rFonts w:hint="eastAsia"/>
        </w:rPr>
        <w:t>阴性对照、阳性对照、内参（如有）结果成立时，进行结果判断。阴性显示无Ct值、无S形扩增曲线，阳性显示Ct值小于或等于病毒核酸检测试剂盒说明书规定值，且有S形扩增曲线。</w:t>
      </w:r>
    </w:p>
    <w:p w14:paraId="6DC0916D">
      <w:pPr>
        <w:pStyle w:val="108"/>
        <w:spacing w:before="156" w:after="156"/>
      </w:pPr>
      <w:r>
        <w:rPr>
          <w:rFonts w:hint="eastAsia"/>
        </w:rPr>
        <w:t>等温扩增技术</w:t>
      </w:r>
    </w:p>
    <w:p w14:paraId="0F97F0D2">
      <w:pPr>
        <w:pStyle w:val="168"/>
      </w:pPr>
      <w:r>
        <w:rPr>
          <w:rFonts w:hint="eastAsia"/>
        </w:rPr>
        <w:t>将核酸模板（RNA病毒先进行反转录合成第一条cDNA链）或标本上清、引物、DNA合成酶、基质等共同置于商品化试剂盒指定温度下，经一个步骤即可完成。</w:t>
      </w:r>
    </w:p>
    <w:p w14:paraId="52FE6342">
      <w:pPr>
        <w:pStyle w:val="168"/>
      </w:pPr>
      <w:r>
        <w:rPr>
          <w:rFonts w:hint="eastAsia"/>
        </w:rPr>
        <w:t>当阴性对照、阳性对照结果成立时，应使用以下方法进行结果判定：</w:t>
      </w:r>
    </w:p>
    <w:p w14:paraId="0432B2F2">
      <w:pPr>
        <w:pStyle w:val="59"/>
        <w:numPr>
          <w:ilvl w:val="0"/>
          <w:numId w:val="32"/>
        </w:numPr>
        <w:ind w:firstLine="420"/>
      </w:pPr>
      <w:r>
        <w:rPr>
          <w:rFonts w:hint="eastAsia"/>
        </w:rPr>
        <w:t>浊度检测：肉眼观察反应管内出现白色浑浊判定为阳性，未浑浊判为阴性；</w:t>
      </w:r>
    </w:p>
    <w:p w14:paraId="2807AAD5">
      <w:pPr>
        <w:pStyle w:val="59"/>
        <w:numPr>
          <w:ilvl w:val="0"/>
          <w:numId w:val="32"/>
        </w:numPr>
        <w:ind w:firstLine="420"/>
      </w:pPr>
      <w:r>
        <w:rPr>
          <w:rFonts w:hint="eastAsia"/>
        </w:rPr>
        <w:t>荧光检测：加入荧光指示剂后，根据试剂盒说明书判定结果。</w:t>
      </w:r>
    </w:p>
    <w:p w14:paraId="49317AB4">
      <w:pPr>
        <w:pStyle w:val="108"/>
        <w:spacing w:before="156" w:after="156"/>
      </w:pPr>
      <w:r>
        <w:rPr>
          <w:rFonts w:hint="eastAsia"/>
        </w:rPr>
        <w:t>数字PCR技术</w:t>
      </w:r>
    </w:p>
    <w:p w14:paraId="0A3D369E">
      <w:pPr>
        <w:pStyle w:val="168"/>
      </w:pPr>
      <w:r>
        <w:rPr>
          <w:rFonts w:hint="eastAsia"/>
        </w:rPr>
        <w:t>根据PCR仪器和试剂的要求制备反应体系，将体系分配到微小分区或微滴中并封盖，进行PCR反应。使用荧光染料或探针监测目标核酸的扩增，配套软件统计分析各反应中的阳性液滴数。</w:t>
      </w:r>
    </w:p>
    <w:p w14:paraId="6964FC1A">
      <w:pPr>
        <w:pStyle w:val="168"/>
      </w:pPr>
      <w:r>
        <w:rPr>
          <w:rFonts w:hint="eastAsia"/>
        </w:rPr>
        <w:t>当阴性对照、阳性对照、内参（如有）结果成立时，进行结果判断，确定目标核酸及其定量信息，包括标本中每个荧光通道的浓度、精度、误差，依据试剂盒说明书进行结果判读。</w:t>
      </w:r>
    </w:p>
    <w:p w14:paraId="62284DD5">
      <w:pPr>
        <w:pStyle w:val="108"/>
        <w:spacing w:before="156" w:after="156"/>
      </w:pPr>
      <w:r>
        <w:rPr>
          <w:rFonts w:hint="eastAsia"/>
        </w:rPr>
        <w:t>高通量测序技术</w:t>
      </w:r>
    </w:p>
    <w:p w14:paraId="3F3EBCCB">
      <w:pPr>
        <w:pStyle w:val="168"/>
      </w:pPr>
      <w:r>
        <w:rPr>
          <w:rFonts w:hint="eastAsia"/>
        </w:rPr>
        <w:t>单一病原体及靶向测序按照试剂盒说明进行目的基因的扩增富集纯化，纯化后产物进行文库构建、上机测序、数据分析等步骤。宏基因组测序对符合要求的核酸进行文库构建、上机测序、数据分析等。具体反应体系及反应程序参照相应测序平台及试剂盒说明书，根据应急检测实际选择是否执行去宿主操作。</w:t>
      </w:r>
    </w:p>
    <w:p w14:paraId="64DD9E79">
      <w:pPr>
        <w:pStyle w:val="168"/>
      </w:pPr>
      <w:r>
        <w:rPr>
          <w:rFonts w:hint="eastAsia"/>
        </w:rPr>
        <w:t>单一病原体及靶向测序完成后，当序列覆盖度、测序深度满足质控标准时，可进行病毒分型与突变位点分析。宏基因组测序完成后，应先过滤背景核酸模型，找出标本中相对明确检出的微生物列表，分析微生物的序列特征及物种检出情况，最后结合临床资料综合分析判定。</w:t>
      </w:r>
    </w:p>
    <w:p w14:paraId="251562EC">
      <w:pPr>
        <w:pStyle w:val="107"/>
        <w:spacing w:before="312" w:after="312"/>
      </w:pPr>
      <w:bookmarkStart w:id="78" w:name="_Toc166249000"/>
      <w:bookmarkStart w:id="79" w:name="_Toc177659918"/>
      <w:bookmarkStart w:id="80" w:name="_Toc177657677"/>
      <w:bookmarkStart w:id="81" w:name="_Toc177657588"/>
      <w:r>
        <w:rPr>
          <w:rFonts w:hint="eastAsia"/>
        </w:rPr>
        <w:t>免疫学应急检测技术</w:t>
      </w:r>
      <w:bookmarkEnd w:id="78"/>
      <w:bookmarkEnd w:id="79"/>
      <w:bookmarkEnd w:id="80"/>
      <w:bookmarkEnd w:id="81"/>
    </w:p>
    <w:p w14:paraId="4080BED7">
      <w:pPr>
        <w:pStyle w:val="108"/>
        <w:spacing w:before="156" w:after="156"/>
      </w:pPr>
      <w:r>
        <w:rPr>
          <w:rFonts w:hint="eastAsia"/>
        </w:rPr>
        <w:t>免疫胶体金技术</w:t>
      </w:r>
    </w:p>
    <w:p w14:paraId="26262668">
      <w:pPr>
        <w:pStyle w:val="168"/>
      </w:pPr>
      <w:r>
        <w:rPr>
          <w:rFonts w:hint="eastAsia"/>
        </w:rPr>
        <w:t>检测标本的类型、上样体积及操作步骤参照相应的试剂盒说明书。</w:t>
      </w:r>
    </w:p>
    <w:p w14:paraId="209C37A1">
      <w:pPr>
        <w:pStyle w:val="168"/>
      </w:pPr>
      <w:r>
        <w:rPr>
          <w:rFonts w:hint="eastAsia"/>
        </w:rPr>
        <w:t>实验完成后按照试剂盒的要求的时间对结果进行观察，当检测线和质控线均为阳性结果时，判定对应的检测项目阳性；当质控线为阳性，检测线为阴性结果时，判定对应的检测项目为阴性；当质控线为阴性时，判定结果为无效结果，需重复实验。</w:t>
      </w:r>
    </w:p>
    <w:p w14:paraId="240ED8C8">
      <w:pPr>
        <w:pStyle w:val="108"/>
        <w:spacing w:before="156" w:after="156"/>
      </w:pPr>
      <w:r>
        <w:rPr>
          <w:rFonts w:ascii="Arial" w:hAnsi="Arial" w:cs="Arial"/>
          <w:color w:val="333333"/>
          <w:sz w:val="20"/>
          <w:shd w:val="clear" w:color="auto" w:fill="FFFFFF"/>
        </w:rPr>
        <w:t>酶联免疫吸附</w:t>
      </w:r>
      <w:r>
        <w:rPr>
          <w:rFonts w:hint="eastAsia" w:ascii="Arial" w:hAnsi="Arial" w:cs="Arial"/>
          <w:color w:val="333333"/>
          <w:sz w:val="20"/>
          <w:shd w:val="clear" w:color="auto" w:fill="FFFFFF"/>
        </w:rPr>
        <w:t>测定技术（</w:t>
      </w:r>
      <w:r>
        <w:rPr>
          <w:rFonts w:hint="eastAsia"/>
        </w:rPr>
        <w:t>ELISA</w:t>
      </w:r>
      <w:r>
        <w:rPr>
          <w:rFonts w:hint="eastAsia" w:ascii="Arial" w:hAnsi="Arial" w:cs="Arial"/>
          <w:color w:val="333333"/>
          <w:sz w:val="20"/>
          <w:shd w:val="clear" w:color="auto" w:fill="FFFFFF"/>
        </w:rPr>
        <w:t>）</w:t>
      </w:r>
    </w:p>
    <w:p w14:paraId="689F3A75">
      <w:pPr>
        <w:pStyle w:val="168"/>
      </w:pPr>
      <w:r>
        <w:rPr>
          <w:rFonts w:hint="eastAsia"/>
        </w:rPr>
        <w:t>参照试剂盒说明书依次加入抗原包被（如需要）、待检标本上清及对照、酶标记物、底物、终止液，具体流程参照相应病毒ELISA检测试剂盒说明书。</w:t>
      </w:r>
    </w:p>
    <w:p w14:paraId="3F92977C">
      <w:pPr>
        <w:pStyle w:val="168"/>
      </w:pPr>
      <w:r>
        <w:rPr>
          <w:rFonts w:hint="eastAsia"/>
        </w:rPr>
        <w:t>以空白对照调零，读取酶标仪器上各孔450 nm和（或）492 nm等波长的OD值，参照说明书要求设置参比波长并计算阳性值，判定结果。</w:t>
      </w:r>
    </w:p>
    <w:p w14:paraId="75CA48FC">
      <w:pPr>
        <w:pStyle w:val="108"/>
        <w:spacing w:before="156" w:after="156"/>
      </w:pPr>
      <w:r>
        <w:rPr>
          <w:rFonts w:hint="eastAsia"/>
        </w:rPr>
        <w:t>化学发光技术</w:t>
      </w:r>
    </w:p>
    <w:p w14:paraId="6C5EDCB0">
      <w:pPr>
        <w:pStyle w:val="168"/>
      </w:pPr>
      <w:r>
        <w:rPr>
          <w:rFonts w:hint="eastAsia"/>
        </w:rPr>
        <w:t>参照试剂盒说明依次加入磁性颗粒抗原包被、待检及对照血清、碱性磷酸酶标记的蛋白、底物、碱性磷酸酶催化底物液发光，具体流程参照相应病毒化学发光检测试剂盒说明书。</w:t>
      </w:r>
    </w:p>
    <w:p w14:paraId="0E453092">
      <w:pPr>
        <w:pStyle w:val="168"/>
      </w:pPr>
      <w:r>
        <w:rPr>
          <w:rFonts w:hint="eastAsia"/>
        </w:rPr>
        <w:t>根据化学发光试剂盒的生物参考区间判定实验结果。每一批次化学发光实验过程中应做质控品，质控品结果成立时，进行结果判定。</w:t>
      </w:r>
    </w:p>
    <w:p w14:paraId="0F65026C">
      <w:pPr>
        <w:widowControl/>
        <w:adjustRightInd/>
        <w:spacing w:line="240" w:lineRule="auto"/>
        <w:jc w:val="left"/>
        <w:rPr>
          <w:rFonts w:ascii="黑体" w:hAnsi="黑体" w:eastAsia="黑体"/>
          <w:kern w:val="0"/>
          <w:szCs w:val="20"/>
        </w:rPr>
      </w:pPr>
      <w:r>
        <w:rPr>
          <w:rFonts w:ascii="黑体" w:hAnsi="黑体" w:eastAsia="黑体"/>
        </w:rPr>
        <w:br w:type="page"/>
      </w:r>
    </w:p>
    <w:bookmarkEnd w:id="29"/>
    <w:p w14:paraId="16E3D0E6">
      <w:pPr>
        <w:pStyle w:val="66"/>
        <w:spacing w:after="156"/>
      </w:pPr>
      <w:bookmarkStart w:id="82" w:name="_Toc177657589"/>
      <w:bookmarkStart w:id="83" w:name="_Toc177659919"/>
      <w:bookmarkStart w:id="84" w:name="_Toc177657678"/>
      <w:bookmarkStart w:id="85" w:name="BookMark6"/>
      <w:r>
        <w:rPr>
          <w:rFonts w:hint="eastAsia"/>
          <w:spacing w:val="105"/>
        </w:rPr>
        <w:t>参考文</w:t>
      </w:r>
      <w:r>
        <w:rPr>
          <w:rFonts w:hint="eastAsia"/>
        </w:rPr>
        <w:t>献</w:t>
      </w:r>
      <w:bookmarkEnd w:id="82"/>
      <w:bookmarkEnd w:id="83"/>
      <w:bookmarkEnd w:id="84"/>
    </w:p>
    <w:p w14:paraId="3A78418E">
      <w:pPr>
        <w:pStyle w:val="59"/>
        <w:spacing w:line="360" w:lineRule="auto"/>
        <w:ind w:firstLine="420"/>
      </w:pPr>
      <w:r>
        <w:rPr>
          <w:rFonts w:hint="eastAsia"/>
        </w:rPr>
        <w:t>[1]</w:t>
      </w:r>
      <w:r>
        <w:t xml:space="preserve"> </w:t>
      </w:r>
      <w:r>
        <w:rPr>
          <w:rFonts w:hint="eastAsia"/>
        </w:rPr>
        <w:t xml:space="preserve">GB/T 40226-2021 环境微生物宏基因组检测高通量测序法 </w:t>
      </w:r>
    </w:p>
    <w:p w14:paraId="3277C5C5">
      <w:pPr>
        <w:pStyle w:val="59"/>
        <w:spacing w:line="360" w:lineRule="auto"/>
        <w:ind w:firstLine="420"/>
      </w:pPr>
      <w:r>
        <w:rPr>
          <w:rFonts w:hint="eastAsia"/>
        </w:rPr>
        <w:t>[2]</w:t>
      </w:r>
      <w:r>
        <w:t xml:space="preserve"> </w:t>
      </w:r>
      <w:r>
        <w:rPr>
          <w:rFonts w:hint="eastAsia"/>
        </w:rPr>
        <w:t>WS 271-2007 感染性腹泻诊断标准</w:t>
      </w:r>
    </w:p>
    <w:p w14:paraId="37EAE099">
      <w:pPr>
        <w:pStyle w:val="59"/>
        <w:spacing w:line="360" w:lineRule="auto"/>
        <w:ind w:firstLine="420"/>
      </w:pPr>
      <w:r>
        <w:rPr>
          <w:rFonts w:hint="eastAsia"/>
        </w:rPr>
        <w:t>[3]</w:t>
      </w:r>
      <w:r>
        <w:t xml:space="preserve"> </w:t>
      </w:r>
      <w:r>
        <w:rPr>
          <w:rFonts w:hint="eastAsia"/>
        </w:rPr>
        <w:t>WS/T 792-2021 日本血吸虫抗体检测标准酶联免疫吸附试验法</w:t>
      </w:r>
    </w:p>
    <w:p w14:paraId="233E2C05">
      <w:pPr>
        <w:pStyle w:val="59"/>
        <w:ind w:firstLine="420"/>
      </w:pPr>
      <w:r>
        <w:rPr>
          <w:rFonts w:hint="eastAsia"/>
        </w:rPr>
        <w:t>[4]</w:t>
      </w:r>
      <w:r>
        <w:t xml:space="preserve"> </w:t>
      </w:r>
      <w:r>
        <w:rPr>
          <w:rFonts w:hint="eastAsia"/>
        </w:rPr>
        <w:t>WS/T 799-2022 污水中新型冠状病毒富集浓缩和核酸检测方法标准</w:t>
      </w:r>
    </w:p>
    <w:bookmarkEnd w:id="85"/>
    <w:p w14:paraId="57531FA5">
      <w:pPr>
        <w:pStyle w:val="59"/>
        <w:ind w:firstLine="0" w:firstLineChars="0"/>
        <w:jc w:val="center"/>
        <w:rPr>
          <w:szCs w:val="21"/>
        </w:rPr>
      </w:pPr>
      <w:bookmarkStart w:id="86" w:name="BookMark8"/>
      <w:r>
        <w:rPr>
          <w:szCs w:val="21"/>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E5EBA">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978EB">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848B4">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56C1D">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65666">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0C2D7">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A0002">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F027F">
    <w:pPr>
      <w:pStyle w:val="64"/>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67DED">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A616A"/>
    <w:multiLevelType w:val="singleLevel"/>
    <w:tmpl w:val="EEFA616A"/>
    <w:lvl w:ilvl="0" w:tentative="0">
      <w:start w:val="1"/>
      <w:numFmt w:val="lowerLetter"/>
      <w:suff w:val="nothing"/>
      <w:lvlText w:val="%1）"/>
      <w:lvlJc w:val="left"/>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ZDE4ZDYxNWY2N2M2NjRlMDgxNjlkYTdiZjkxMTMifQ=="/>
  </w:docVars>
  <w:rsids>
    <w:rsidRoot w:val="00724B6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1B9"/>
    <w:rsid w:val="0004249A"/>
    <w:rsid w:val="00043282"/>
    <w:rsid w:val="00044286"/>
    <w:rsid w:val="00047E3B"/>
    <w:rsid w:val="00047F28"/>
    <w:rsid w:val="000503AA"/>
    <w:rsid w:val="000506A1"/>
    <w:rsid w:val="000515DD"/>
    <w:rsid w:val="0005265A"/>
    <w:rsid w:val="000539DD"/>
    <w:rsid w:val="00053BD3"/>
    <w:rsid w:val="000556ED"/>
    <w:rsid w:val="00055FE2"/>
    <w:rsid w:val="0005616F"/>
    <w:rsid w:val="000606C7"/>
    <w:rsid w:val="00060C2E"/>
    <w:rsid w:val="00061033"/>
    <w:rsid w:val="000619E9"/>
    <w:rsid w:val="000622D4"/>
    <w:rsid w:val="0006357D"/>
    <w:rsid w:val="00067F1E"/>
    <w:rsid w:val="0007199F"/>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0B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F2C"/>
    <w:rsid w:val="000E4C9E"/>
    <w:rsid w:val="000E6FD7"/>
    <w:rsid w:val="000F06E1"/>
    <w:rsid w:val="000F0E3C"/>
    <w:rsid w:val="000F19D5"/>
    <w:rsid w:val="000F4AEA"/>
    <w:rsid w:val="000F633F"/>
    <w:rsid w:val="000F67E9"/>
    <w:rsid w:val="000F7D40"/>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542"/>
    <w:rsid w:val="00202AA4"/>
    <w:rsid w:val="002031F7"/>
    <w:rsid w:val="002040E6"/>
    <w:rsid w:val="00204583"/>
    <w:rsid w:val="0020527B"/>
    <w:rsid w:val="00205F2C"/>
    <w:rsid w:val="00210B15"/>
    <w:rsid w:val="002142EA"/>
    <w:rsid w:val="002204BB"/>
    <w:rsid w:val="0022174E"/>
    <w:rsid w:val="00221B79"/>
    <w:rsid w:val="00221C6B"/>
    <w:rsid w:val="002253A1"/>
    <w:rsid w:val="00225CF8"/>
    <w:rsid w:val="0022794E"/>
    <w:rsid w:val="00233D64"/>
    <w:rsid w:val="0023482A"/>
    <w:rsid w:val="002359CB"/>
    <w:rsid w:val="00243540"/>
    <w:rsid w:val="0024497B"/>
    <w:rsid w:val="0024515B"/>
    <w:rsid w:val="00245D99"/>
    <w:rsid w:val="00246021"/>
    <w:rsid w:val="0024666E"/>
    <w:rsid w:val="00247F52"/>
    <w:rsid w:val="00250B25"/>
    <w:rsid w:val="00250BBE"/>
    <w:rsid w:val="002515C2"/>
    <w:rsid w:val="0025194F"/>
    <w:rsid w:val="0026148A"/>
    <w:rsid w:val="00262696"/>
    <w:rsid w:val="00263D25"/>
    <w:rsid w:val="002643C3"/>
    <w:rsid w:val="00264A0C"/>
    <w:rsid w:val="00266EEB"/>
    <w:rsid w:val="0026750A"/>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070A"/>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5220"/>
    <w:rsid w:val="00336C64"/>
    <w:rsid w:val="00337162"/>
    <w:rsid w:val="0034194F"/>
    <w:rsid w:val="00344605"/>
    <w:rsid w:val="00345B55"/>
    <w:rsid w:val="003474AA"/>
    <w:rsid w:val="00350D1D"/>
    <w:rsid w:val="00352C83"/>
    <w:rsid w:val="003532F5"/>
    <w:rsid w:val="003540D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EEE"/>
    <w:rsid w:val="00404869"/>
    <w:rsid w:val="00404BE1"/>
    <w:rsid w:val="00405884"/>
    <w:rsid w:val="00407D39"/>
    <w:rsid w:val="0041477A"/>
    <w:rsid w:val="004167A3"/>
    <w:rsid w:val="0042524E"/>
    <w:rsid w:val="00432DAA"/>
    <w:rsid w:val="00434305"/>
    <w:rsid w:val="00435DF7"/>
    <w:rsid w:val="0044083F"/>
    <w:rsid w:val="00441AE7"/>
    <w:rsid w:val="00442B2F"/>
    <w:rsid w:val="00445574"/>
    <w:rsid w:val="004467FB"/>
    <w:rsid w:val="00452D6B"/>
    <w:rsid w:val="00454484"/>
    <w:rsid w:val="0045517B"/>
    <w:rsid w:val="00463B77"/>
    <w:rsid w:val="00463C7B"/>
    <w:rsid w:val="004644A6"/>
    <w:rsid w:val="004659BD"/>
    <w:rsid w:val="00470775"/>
    <w:rsid w:val="00472039"/>
    <w:rsid w:val="004746B1"/>
    <w:rsid w:val="0047583F"/>
    <w:rsid w:val="00475DE8"/>
    <w:rsid w:val="00481C44"/>
    <w:rsid w:val="00484936"/>
    <w:rsid w:val="00485C89"/>
    <w:rsid w:val="00486BE3"/>
    <w:rsid w:val="004905E4"/>
    <w:rsid w:val="00490A89"/>
    <w:rsid w:val="00490AB4"/>
    <w:rsid w:val="004923B9"/>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2393"/>
    <w:rsid w:val="004F391A"/>
    <w:rsid w:val="004F3CFB"/>
    <w:rsid w:val="004F6456"/>
    <w:rsid w:val="004F696E"/>
    <w:rsid w:val="004F6C71"/>
    <w:rsid w:val="00501139"/>
    <w:rsid w:val="0050363E"/>
    <w:rsid w:val="005039BC"/>
    <w:rsid w:val="005043BB"/>
    <w:rsid w:val="00504A3D"/>
    <w:rsid w:val="00505767"/>
    <w:rsid w:val="005073F0"/>
    <w:rsid w:val="00510A7B"/>
    <w:rsid w:val="00510FC1"/>
    <w:rsid w:val="00512F6E"/>
    <w:rsid w:val="00513038"/>
    <w:rsid w:val="00514174"/>
    <w:rsid w:val="00516088"/>
    <w:rsid w:val="00516B0B"/>
    <w:rsid w:val="005220EC"/>
    <w:rsid w:val="00523F95"/>
    <w:rsid w:val="00524D65"/>
    <w:rsid w:val="00525B16"/>
    <w:rsid w:val="0052674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046"/>
    <w:rsid w:val="005836A8"/>
    <w:rsid w:val="0058409C"/>
    <w:rsid w:val="00584262"/>
    <w:rsid w:val="00586630"/>
    <w:rsid w:val="00587ADD"/>
    <w:rsid w:val="00591E27"/>
    <w:rsid w:val="00596160"/>
    <w:rsid w:val="005966E2"/>
    <w:rsid w:val="00597007"/>
    <w:rsid w:val="005A0966"/>
    <w:rsid w:val="005A11B7"/>
    <w:rsid w:val="005A260B"/>
    <w:rsid w:val="005A32F7"/>
    <w:rsid w:val="005A4A1B"/>
    <w:rsid w:val="005A7830"/>
    <w:rsid w:val="005A7FCE"/>
    <w:rsid w:val="005B0F3F"/>
    <w:rsid w:val="005B1FE1"/>
    <w:rsid w:val="005B4903"/>
    <w:rsid w:val="005B51CE"/>
    <w:rsid w:val="005B5885"/>
    <w:rsid w:val="005B5CD7"/>
    <w:rsid w:val="005B5D68"/>
    <w:rsid w:val="005B6CF6"/>
    <w:rsid w:val="005B7422"/>
    <w:rsid w:val="005C0060"/>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561"/>
    <w:rsid w:val="00604784"/>
    <w:rsid w:val="00606419"/>
    <w:rsid w:val="00607D29"/>
    <w:rsid w:val="00612952"/>
    <w:rsid w:val="00614CC1"/>
    <w:rsid w:val="00615A9D"/>
    <w:rsid w:val="00617387"/>
    <w:rsid w:val="006205D6"/>
    <w:rsid w:val="0062086E"/>
    <w:rsid w:val="006252D8"/>
    <w:rsid w:val="006259BC"/>
    <w:rsid w:val="0062636B"/>
    <w:rsid w:val="00632182"/>
    <w:rsid w:val="00632AE0"/>
    <w:rsid w:val="00633C17"/>
    <w:rsid w:val="00634D9E"/>
    <w:rsid w:val="00635E39"/>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B97"/>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B66"/>
    <w:rsid w:val="00724E1B"/>
    <w:rsid w:val="00725949"/>
    <w:rsid w:val="00727DD8"/>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F9E"/>
    <w:rsid w:val="007B5A3D"/>
    <w:rsid w:val="007B5B95"/>
    <w:rsid w:val="007B68EA"/>
    <w:rsid w:val="007B7453"/>
    <w:rsid w:val="007C1E8B"/>
    <w:rsid w:val="007C2D89"/>
    <w:rsid w:val="007C4593"/>
    <w:rsid w:val="007C5309"/>
    <w:rsid w:val="007C6069"/>
    <w:rsid w:val="007C7D60"/>
    <w:rsid w:val="007D06C4"/>
    <w:rsid w:val="007D1352"/>
    <w:rsid w:val="007D2508"/>
    <w:rsid w:val="007D346A"/>
    <w:rsid w:val="007D6518"/>
    <w:rsid w:val="007D76BD"/>
    <w:rsid w:val="007E0BF1"/>
    <w:rsid w:val="007E38EE"/>
    <w:rsid w:val="007F0ED8"/>
    <w:rsid w:val="007F0F63"/>
    <w:rsid w:val="007F75CE"/>
    <w:rsid w:val="008013A4"/>
    <w:rsid w:val="008027CE"/>
    <w:rsid w:val="00802C23"/>
    <w:rsid w:val="00802F42"/>
    <w:rsid w:val="00804383"/>
    <w:rsid w:val="00804BB7"/>
    <w:rsid w:val="00804D41"/>
    <w:rsid w:val="00810257"/>
    <w:rsid w:val="008104F5"/>
    <w:rsid w:val="00811072"/>
    <w:rsid w:val="00811369"/>
    <w:rsid w:val="00813337"/>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19F9"/>
    <w:rsid w:val="008620FC"/>
    <w:rsid w:val="008627A5"/>
    <w:rsid w:val="00863E05"/>
    <w:rsid w:val="00865ACA"/>
    <w:rsid w:val="00865D28"/>
    <w:rsid w:val="00865F85"/>
    <w:rsid w:val="00867C10"/>
    <w:rsid w:val="00870439"/>
    <w:rsid w:val="00870DA1"/>
    <w:rsid w:val="00875077"/>
    <w:rsid w:val="0088354F"/>
    <w:rsid w:val="00883F93"/>
    <w:rsid w:val="00884DB3"/>
    <w:rsid w:val="00885A9D"/>
    <w:rsid w:val="008864F6"/>
    <w:rsid w:val="00890016"/>
    <w:rsid w:val="0089049D"/>
    <w:rsid w:val="008928C9"/>
    <w:rsid w:val="008930CB"/>
    <w:rsid w:val="008938DC"/>
    <w:rsid w:val="00893FD1"/>
    <w:rsid w:val="00894836"/>
    <w:rsid w:val="00895172"/>
    <w:rsid w:val="00895680"/>
    <w:rsid w:val="00896DFF"/>
    <w:rsid w:val="0089762C"/>
    <w:rsid w:val="0089764E"/>
    <w:rsid w:val="008A16E9"/>
    <w:rsid w:val="008A1893"/>
    <w:rsid w:val="008A2D47"/>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55B"/>
    <w:rsid w:val="008E6A84"/>
    <w:rsid w:val="008F0CDC"/>
    <w:rsid w:val="008F17A3"/>
    <w:rsid w:val="008F1ED3"/>
    <w:rsid w:val="008F23A5"/>
    <w:rsid w:val="008F4C29"/>
    <w:rsid w:val="008F70BD"/>
    <w:rsid w:val="008F788F"/>
    <w:rsid w:val="008F7EA2"/>
    <w:rsid w:val="00902722"/>
    <w:rsid w:val="009027BC"/>
    <w:rsid w:val="009062E6"/>
    <w:rsid w:val="00911BE5"/>
    <w:rsid w:val="00911C6E"/>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1DE"/>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18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73C"/>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AC"/>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32C"/>
    <w:rsid w:val="00B147DD"/>
    <w:rsid w:val="00B156FD"/>
    <w:rsid w:val="00B21F61"/>
    <w:rsid w:val="00B261F1"/>
    <w:rsid w:val="00B265BC"/>
    <w:rsid w:val="00B31823"/>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758"/>
    <w:rsid w:val="00B758BF"/>
    <w:rsid w:val="00B7717B"/>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1D66"/>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28F"/>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BA7"/>
    <w:rsid w:val="00CF048A"/>
    <w:rsid w:val="00CF155A"/>
    <w:rsid w:val="00CF2947"/>
    <w:rsid w:val="00CF686F"/>
    <w:rsid w:val="00CF6D1C"/>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5277"/>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62F"/>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2D79"/>
    <w:rsid w:val="00DD4FE5"/>
    <w:rsid w:val="00DD54B0"/>
    <w:rsid w:val="00DD57EE"/>
    <w:rsid w:val="00DD6BCC"/>
    <w:rsid w:val="00DE0A4B"/>
    <w:rsid w:val="00DE2410"/>
    <w:rsid w:val="00DE2939"/>
    <w:rsid w:val="00DE6E81"/>
    <w:rsid w:val="00DE703F"/>
    <w:rsid w:val="00DE7595"/>
    <w:rsid w:val="00DE77FC"/>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6D1C"/>
    <w:rsid w:val="00E44A83"/>
    <w:rsid w:val="00E502C1"/>
    <w:rsid w:val="00E502DD"/>
    <w:rsid w:val="00E50D3A"/>
    <w:rsid w:val="00E51387"/>
    <w:rsid w:val="00E51E68"/>
    <w:rsid w:val="00E521B5"/>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AC8"/>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6810"/>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2EFC"/>
    <w:rsid w:val="00F5609C"/>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C72"/>
    <w:rsid w:val="00F9108B"/>
    <w:rsid w:val="00F91349"/>
    <w:rsid w:val="00F93A8A"/>
    <w:rsid w:val="00F93DC8"/>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197"/>
    <w:rsid w:val="00FD59EB"/>
    <w:rsid w:val="00FD7299"/>
    <w:rsid w:val="00FE1FBE"/>
    <w:rsid w:val="00FE3901"/>
    <w:rsid w:val="00FE39D3"/>
    <w:rsid w:val="00FE4BCE"/>
    <w:rsid w:val="00FE54AE"/>
    <w:rsid w:val="00FE576A"/>
    <w:rsid w:val="00FE7E79"/>
    <w:rsid w:val="00FF3E7D"/>
    <w:rsid w:val="00FF5B99"/>
    <w:rsid w:val="00FF7226"/>
    <w:rsid w:val="00FF730C"/>
    <w:rsid w:val="00FF73F4"/>
    <w:rsid w:val="00FF7CE4"/>
    <w:rsid w:val="00FF7E39"/>
    <w:rsid w:val="068B2110"/>
    <w:rsid w:val="07823A82"/>
    <w:rsid w:val="76E10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 w:type="paragraph" w:customStyle="1" w:styleId="235">
    <w:name w:val="修订1"/>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EF2071DE35D4A3796B74ADBE916DEF0"/>
        <w:style w:val=""/>
        <w:category>
          <w:name w:val="常规"/>
          <w:gallery w:val="placeholder"/>
        </w:category>
        <w:types>
          <w:type w:val="bbPlcHdr"/>
        </w:types>
        <w:behaviors>
          <w:behavior w:val="content"/>
        </w:behaviors>
        <w:description w:val=""/>
        <w:guid w:val="{AFD540DA-EEA7-4C8A-BB14-DC0CED8A7459}"/>
      </w:docPartPr>
      <w:docPartBody>
        <w:p w14:paraId="0FB9B70C">
          <w:pPr>
            <w:pStyle w:val="5"/>
          </w:pPr>
          <w:r>
            <w:rPr>
              <w:rStyle w:val="4"/>
              <w:rFonts w:hint="eastAsia"/>
            </w:rPr>
            <w:t>单击或点击此处输入文字。</w:t>
          </w:r>
        </w:p>
      </w:docPartBody>
    </w:docPart>
    <w:docPart>
      <w:docPartPr>
        <w:name w:val="853BA46A0D884987AFF6EAD551F5A698"/>
        <w:style w:val=""/>
        <w:category>
          <w:name w:val="常规"/>
          <w:gallery w:val="placeholder"/>
        </w:category>
        <w:types>
          <w:type w:val="bbPlcHdr"/>
        </w:types>
        <w:behaviors>
          <w:behavior w:val="content"/>
        </w:behaviors>
        <w:description w:val=""/>
        <w:guid w:val="{8D02997A-E538-4E07-B240-8E7F8589F38E}"/>
      </w:docPartPr>
      <w:docPartBody>
        <w:p w14:paraId="10B3B5B5">
          <w:pPr>
            <w:pStyle w:val="6"/>
          </w:pPr>
          <w:r>
            <w:rPr>
              <w:rStyle w:val="4"/>
              <w:rFonts w:hint="eastAsia"/>
            </w:rPr>
            <w:t>选择一项。</w:t>
          </w:r>
        </w:p>
      </w:docPartBody>
    </w:docPart>
    <w:docPart>
      <w:docPartPr>
        <w:name w:val="828E7551F64342EC900B6F2AAF0B75F6"/>
        <w:style w:val=""/>
        <w:category>
          <w:name w:val="常规"/>
          <w:gallery w:val="placeholder"/>
        </w:category>
        <w:types>
          <w:type w:val="bbPlcHdr"/>
        </w:types>
        <w:behaviors>
          <w:behavior w:val="content"/>
        </w:behaviors>
        <w:description w:val=""/>
        <w:guid w:val="{42088284-BDB4-4039-AAAF-73B8C6614D1C}"/>
      </w:docPartPr>
      <w:docPartBody>
        <w:p w14:paraId="05ECB04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E2F"/>
    <w:rsid w:val="00093EC1"/>
    <w:rsid w:val="000C79AE"/>
    <w:rsid w:val="00267A1A"/>
    <w:rsid w:val="00593FA9"/>
    <w:rsid w:val="00755870"/>
    <w:rsid w:val="00766A60"/>
    <w:rsid w:val="0083193C"/>
    <w:rsid w:val="008C36FD"/>
    <w:rsid w:val="00B7720B"/>
    <w:rsid w:val="00C23320"/>
    <w:rsid w:val="00DE6E2F"/>
    <w:rsid w:val="00FB72C8"/>
    <w:rsid w:val="00FD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EF2071DE35D4A3796B74ADBE916DE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53BA46A0D884987AFF6EAD551F5A6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28E7551F64342EC900B6F2AAF0B75F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3312</Words>
  <Characters>3769</Characters>
  <Lines>34</Lines>
  <Paragraphs>9</Paragraphs>
  <TotalTime>360</TotalTime>
  <ScaleCrop>false</ScaleCrop>
  <LinksUpToDate>false</LinksUpToDate>
  <CharactersWithSpaces>3873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2024-05-10T07:30:00Z</dcterms:created>
  <dc:creator>JSCDC</dc:creator>
  <dc:description>&lt;config cover="true" show_menu="true" version="1.0.0" doctype="SDKXY"&gt;_x000d_
&lt;/config&gt;</dc:description>
  <cp:lastModifiedBy>mmme</cp:lastModifiedBy>
  <cp:lastPrinted>2020-08-30T10:00:00Z</cp:lastPrinted>
  <dcterms:modified xsi:type="dcterms:W3CDTF">2024-11-18T07:58:09Z</dcterms:modified>
  <dc:title>地方标准</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7BAA5172CD464AD2AD3C536232929D31_12</vt:lpwstr>
  </property>
</Properties>
</file>