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3451A">
      <w:pPr>
        <w:pStyle w:val="31"/>
        <w:ind w:firstLine="8000" w:firstLineChars="4000"/>
        <w:jc w:val="center"/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567" w:right="851" w:bottom="1361" w:left="1418" w:header="0" w:footer="0" w:gutter="0"/>
          <w:pgNumType w:start="1"/>
          <w:cols w:space="720" w:num="1"/>
          <w:titlePg/>
          <w:docGrid w:type="linesAndChars" w:linePitch="312" w:charSpace="0"/>
        </w:sectPr>
      </w:pPr>
      <w:bookmarkStart w:id="0" w:name="SectionMark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2599690</wp:posOffset>
                </wp:positionV>
                <wp:extent cx="6121400" cy="0"/>
                <wp:effectExtent l="0" t="0" r="0" b="0"/>
                <wp:wrapNone/>
                <wp:docPr id="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chemeClr val="tx1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2.15pt;margin-top:204.7pt;height:0pt;width:482pt;z-index:251663360;mso-width-relative:page;mso-height-relative:page;" filled="f" stroked="t" coordsize="21600,21600" o:gfxdata="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k4ubZAAAACgEAAA8A&#10;AAAAAAAAAQAgAAAAIgAAAGRycy9kb3ducmV2LnhtbFBLAQIUABQAAAAIAIdO4kD1vDzT3QEAANED&#10;AAAOAAAAAAAAAAEAIAAAACgBAABkcnMvZTJvRG9jLnhtbFBLBQYAAAAABgAGAFkBAAB3BQAAAAA=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pict>
          <v:shape id="_x0000_s2078" o:spid="_x0000_s2078" o:spt="136" type="#_x0000_t136" style="position:absolute;left:0pt;margin-left:350.1pt;margin-top:31.65pt;height:52.05pt;width:126.5pt;z-index:251669504;mso-width-relative:page;mso-height-relative:page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DB32" style="font-family:黑体;font-size:36pt;v-text-align:center;"/>
          </v:shape>
        </w:pic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margin">
                  <wp:posOffset>5081270</wp:posOffset>
                </wp:positionH>
                <wp:positionV relativeFrom="margin">
                  <wp:posOffset>8719185</wp:posOffset>
                </wp:positionV>
                <wp:extent cx="513080" cy="312420"/>
                <wp:effectExtent l="0" t="0" r="1270" b="11430"/>
                <wp:wrapNone/>
                <wp:docPr id="10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1FBC8F">
                            <w:pPr>
                              <w:pStyle w:val="38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发布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400.1pt;margin-top:686.55pt;height:24.6pt;width:40.4pt;mso-position-horizontal-relative:margin;mso-position-vertical-relative:margin;z-index:251668480;mso-width-relative:page;mso-height-relative:page;" fillcolor="#FFFFFF" filled="t" stroked="f" coordsize="21600,21600" o:gfxdata="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w2tg02gAAAA0BAAAPAAAAAAAAAAEAIAAAACIAAABkcnMv&#10;ZG93bnJldi54bWxQSwECFAAUAAAACACHTuJALbw+TMgBAACmAwAADgAAAAAAAAABACAAAAApAQAA&#10;ZHJzL2Uyb0RvYy54bWxQSwUGAAAAAAYABgBZAQAAY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F1FBC8F">
                      <w:pPr>
                        <w:pStyle w:val="38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439420</wp:posOffset>
                </wp:positionH>
                <wp:positionV relativeFrom="margin">
                  <wp:posOffset>8804910</wp:posOffset>
                </wp:positionV>
                <wp:extent cx="4502150" cy="523240"/>
                <wp:effectExtent l="0" t="0" r="12700" b="10160"/>
                <wp:wrapNone/>
                <wp:docPr id="9" name="fm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2150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A4FBA9">
                            <w:pPr>
                              <w:pStyle w:val="30"/>
                              <w:spacing w:line="360" w:lineRule="exact"/>
                              <w:jc w:val="distribute"/>
                              <w:rPr>
                                <w:b/>
                                <w:spacing w:val="0"/>
                                <w:w w:val="1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pacing w:val="0"/>
                                <w:w w:val="100"/>
                                <w:sz w:val="28"/>
                                <w:szCs w:val="28"/>
                              </w:rPr>
                              <w:t>江苏省市场监督管理局</w:t>
                            </w:r>
                          </w:p>
                          <w:p w14:paraId="18573439">
                            <w:pPr>
                              <w:pStyle w:val="30"/>
                              <w:spacing w:line="360" w:lineRule="exact"/>
                              <w:jc w:val="both"/>
                              <w:rPr>
                                <w:spacing w:val="-20"/>
                                <w:w w:val="1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lIns="144000" tIns="0" rIns="144000" bIns="0" upright="1"/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type="#_x0000_t202" style="position:absolute;left:0pt;margin-left:34.6pt;margin-top:693.3pt;height:41.2pt;width:354.5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AP9dx2gAAAAwBAAAPAAAAAAAAAAEAIAAAACIA&#10;AABkcnMvZG93bnJldi54bWxQSwECFAAUAAAACACHTuJAPprlJc4BAACwAwAADgAAAAAAAAABACAA&#10;AAApAQAAZHJzL2Uyb0RvYy54bWxQSwUGAAAAAAYABgBZAQAAaQUAAAAA&#10;">
                <v:fill on="t" focussize="0,0"/>
                <v:stroke on="f"/>
                <v:imagedata o:title=""/>
                <o:lock v:ext="edit" aspectratio="f"/>
                <v:textbox inset="4mm,0mm,4mm,0mm">
                  <w:txbxContent>
                    <w:p w14:paraId="14A4FBA9">
                      <w:pPr>
                        <w:pStyle w:val="30"/>
                        <w:spacing w:line="360" w:lineRule="exact"/>
                        <w:jc w:val="distribute"/>
                        <w:rPr>
                          <w:b/>
                          <w:spacing w:val="0"/>
                          <w:w w:val="1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pacing w:val="0"/>
                          <w:w w:val="100"/>
                          <w:sz w:val="28"/>
                          <w:szCs w:val="28"/>
                        </w:rPr>
                        <w:t>江苏省市场监督管理局</w:t>
                      </w:r>
                    </w:p>
                    <w:p w14:paraId="18573439">
                      <w:pPr>
                        <w:pStyle w:val="30"/>
                        <w:spacing w:line="360" w:lineRule="exact"/>
                        <w:jc w:val="both"/>
                        <w:rPr>
                          <w:spacing w:val="-20"/>
                          <w:w w:val="10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3601720</wp:posOffset>
                </wp:positionV>
                <wp:extent cx="5969000" cy="4200525"/>
                <wp:effectExtent l="0" t="0" r="0" b="9525"/>
                <wp:wrapNone/>
                <wp:docPr id="8" name="fm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420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67625E">
                            <w:pPr>
                              <w:pStyle w:val="39"/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bookmarkStart w:id="34" w:name="OLE_LINK2"/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种鸭旱养饲养管理技术规程</w:t>
                            </w:r>
                          </w:p>
                          <w:bookmarkEnd w:id="34"/>
                          <w:p w14:paraId="02D2E6CA">
                            <w:pPr>
                              <w:pStyle w:val="39"/>
                              <w:spacing w:line="360" w:lineRule="auto"/>
                              <w:rPr>
                                <w:rFonts w:asci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sz w:val="28"/>
                                <w:szCs w:val="28"/>
                              </w:rPr>
                              <w:t>Code of practice for feeding and management of dry-raised breeding ducks</w:t>
                            </w:r>
                          </w:p>
                          <w:p w14:paraId="17C180A4">
                            <w:pPr>
                              <w:pStyle w:val="39"/>
                              <w:spacing w:line="36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(报批稿)</w:t>
                            </w:r>
                          </w:p>
                          <w:p w14:paraId="7570D882">
                            <w:pPr>
                              <w:pStyle w:val="40"/>
                              <w:rPr>
                                <w:b/>
                                <w:bCs/>
                              </w:rPr>
                            </w:pPr>
                          </w:p>
                          <w:p w14:paraId="052EF7A1">
                            <w:pPr>
                              <w:pStyle w:val="41"/>
                            </w:pP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4" o:spid="_x0000_s1026" o:spt="202" type="#_x0000_t202" style="position:absolute;left:0pt;margin-left:1.85pt;margin-top:283.6pt;height:330.75pt;width:470pt;mso-position-horizontal-relative:margin;mso-position-vertical-relative:margin;z-index:251666432;mso-width-relative:page;mso-height-relative:page;" fillcolor="#FFFFFF" filled="t" stroked="f" coordsize="21600,21600" o:gfxdata="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Ohb402AAAAAoBAAAPAAAAAAAAAAEAIAAA&#10;ACIAAABkcnMvZG93bnJldi54bWxQSwECFAAUAAAACACHTuJAmAuwB9MBAADBAwAADgAAAAAAAAAB&#10;ACAAAAAnAQAAZHJzL2Uyb0RvYy54bWxQSwUGAAAAAAYABgBZAQAAb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767625E">
                      <w:pPr>
                        <w:pStyle w:val="39"/>
                        <w:spacing w:line="360" w:lineRule="auto"/>
                        <w:rPr>
                          <w:b/>
                          <w:bCs/>
                        </w:rPr>
                      </w:pPr>
                      <w:bookmarkStart w:id="34" w:name="OLE_LINK2"/>
                      <w:r>
                        <w:rPr>
                          <w:rFonts w:hint="eastAsia"/>
                          <w:sz w:val="32"/>
                          <w:szCs w:val="32"/>
                        </w:rPr>
                        <w:t>种鸭旱养饲养管理技术规程</w:t>
                      </w:r>
                    </w:p>
                    <w:bookmarkEnd w:id="34"/>
                    <w:p w14:paraId="02D2E6CA">
                      <w:pPr>
                        <w:pStyle w:val="39"/>
                        <w:spacing w:line="360" w:lineRule="auto"/>
                        <w:rPr>
                          <w:rFonts w:asci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sz w:val="28"/>
                          <w:szCs w:val="28"/>
                        </w:rPr>
                        <w:t>Code of practice for feeding and management of dry-raised breeding ducks</w:t>
                      </w:r>
                    </w:p>
                    <w:p w14:paraId="17C180A4">
                      <w:pPr>
                        <w:pStyle w:val="39"/>
                        <w:spacing w:line="36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(报批稿)</w:t>
                      </w:r>
                    </w:p>
                    <w:p w14:paraId="7570D882">
                      <w:pPr>
                        <w:pStyle w:val="40"/>
                        <w:rPr>
                          <w:b/>
                          <w:bCs/>
                        </w:rPr>
                      </w:pPr>
                    </w:p>
                    <w:p w14:paraId="052EF7A1">
                      <w:pPr>
                        <w:pStyle w:val="41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477520</wp:posOffset>
                </wp:positionH>
                <wp:positionV relativeFrom="margin">
                  <wp:posOffset>1422400</wp:posOffset>
                </wp:positionV>
                <wp:extent cx="5168900" cy="391160"/>
                <wp:effectExtent l="0" t="0" r="12700" b="8890"/>
                <wp:wrapNone/>
                <wp:docPr id="7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E5EDFC">
                            <w:pPr>
                              <w:pStyle w:val="43"/>
                            </w:pPr>
                            <w:r>
                              <w:rPr>
                                <w:rFonts w:hint="eastAsia"/>
                              </w:rPr>
                              <w:t>江苏省地方标准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37.6pt;margin-top:112pt;height:30.8pt;width:407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KUIj8fYAAAACgEAAA8AAAAAAAAAAQAgAAAAIgAAAGRycy9k&#10;b3ducmV2LnhtbFBLAQIUABQAAAAIAIdO4kCD6/4qyQEAAKYDAAAOAAAAAAAAAAEAIAAAACcBAABk&#10;cnMvZTJvRG9jLnhtbFBLBQYAAAAABgAGAFkBAABi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5E5EDFC">
                      <w:pPr>
                        <w:pStyle w:val="43"/>
                      </w:pPr>
                      <w:r>
                        <w:rPr>
                          <w:rFonts w:hint="eastAsia"/>
                        </w:rPr>
                        <w:t>江苏省地方标准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8420100</wp:posOffset>
                </wp:positionV>
                <wp:extent cx="612140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chemeClr val="tx1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0pt;margin-top:663pt;height:0pt;width:482pt;z-index:251664384;mso-width-relative:page;mso-height-relative:page;" filled="f" stroked="t" coordsize="21600,21600" o:gfxdata="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yhQr31QAAAAoBAAAPAAAA&#10;AAAAAAEAIAAAACIAAABkcnMvZG93bnJldi54bWxQSwECFAAUAAAACACHTuJA6JX+P98BAADRAwAA&#10;DgAAAAAAAAABACAAAAAkAQAAZHJzL2Uyb0RvYy54bWxQSwUGAAAAAAYABgBZAQAAdQUAAAAA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4000500</wp:posOffset>
                </wp:positionH>
                <wp:positionV relativeFrom="margin">
                  <wp:posOffset>8023860</wp:posOffset>
                </wp:positionV>
                <wp:extent cx="2019300" cy="312420"/>
                <wp:effectExtent l="0" t="0" r="0" b="11430"/>
                <wp:wrapNone/>
                <wp:docPr id="4" name="fmFra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DB7A30">
                            <w:pPr>
                              <w:pStyle w:val="37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2024-××-××实施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6" o:spid="_x0000_s1026" o:spt="202" type="#_x0000_t202" style="position:absolute;left:0pt;margin-left:315pt;margin-top:631.8pt;height:24.6pt;width:159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ESply2gAAAA0BAAAPAAAAAAAAAAEAIAAAACIAAABkcnMv&#10;ZG93bnJldi54bWxQSwECFAAUAAAACACHTuJAw/BprMgBAACmAwAADgAAAAAAAAABACAAAAApAQAA&#10;ZHJzL2Uyb0RvYy54bWxQSwUGAAAAAAYABgBZAQAAY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ADB7A30">
                      <w:pPr>
                        <w:pStyle w:val="37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2024-××-××实施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8023860</wp:posOffset>
                </wp:positionV>
                <wp:extent cx="2019300" cy="312420"/>
                <wp:effectExtent l="0" t="0" r="0" b="11430"/>
                <wp:wrapNone/>
                <wp:docPr id="3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2783D8">
                            <w:pPr>
                              <w:pStyle w:val="38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2024-××-××发布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0pt;margin-top:631.8pt;height:24.6pt;width:15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oFh0h1wAAAAoBAAAPAAAAAAAAAAEAIAAAACIAAABkcnMvZG93&#10;bnJldi54bWxQSwECFAAUAAAACACHTuJAUTQcgcgBAACmAwAADgAAAAAAAAABACAAAAAmAQAAZHJz&#10;L2Uyb0RvYy54bWxQSwUGAAAAAAYABgBZAQAAY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D2783D8">
                      <w:pPr>
                        <w:pStyle w:val="38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2024-××-××发布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1658620</wp:posOffset>
                </wp:positionV>
                <wp:extent cx="6172200" cy="860425"/>
                <wp:effectExtent l="0" t="0" r="0" b="15875"/>
                <wp:wrapNone/>
                <wp:docPr id="2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803FB62">
                            <w:pPr>
                              <w:pStyle w:val="42"/>
                              <w:wordWrap w:val="0"/>
                              <w:ind w:right="560" w:firstLine="6015" w:firstLineChars="214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DB 32/T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×××</w:t>
                            </w:r>
                            <w:r>
                              <w:rPr>
                                <w:b/>
                                <w:bCs/>
                              </w:rPr>
                              <w:t>—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0pt;margin-top:130.6pt;height:67.75pt;width:486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lusZfYAAAACAEAAA8AAAAAAAAAAQAgAAAAIgAAAGRycy9kb3du&#10;cmV2LnhtbFBLAQIUABQAAAAIAIdO4kBJP/AhxgEAAKYDAAAOAAAAAAAAAAEAIAAAACcBAABkcnMv&#10;ZTJvRG9jLnhtbFBLBQYAAAAABgAGAFkBAABf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803FB62">
                      <w:pPr>
                        <w:pStyle w:val="42"/>
                        <w:wordWrap w:val="0"/>
                        <w:ind w:right="560" w:firstLine="6015" w:firstLineChars="2140"/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DB 32/T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×××</w:t>
                      </w:r>
                      <w:r>
                        <w:rPr>
                          <w:b/>
                          <w:bCs/>
                        </w:rPr>
                        <w:t>—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2024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12700" b="8890"/>
                <wp:wrapNone/>
                <wp:docPr id="1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91EBED">
                            <w:pPr>
                              <w:pStyle w:val="44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ICS: 65. 020. 30</w:t>
                            </w:r>
                          </w:p>
                          <w:p w14:paraId="652C965F">
                            <w:pPr>
                              <w:pStyle w:val="44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CCS B 43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0pt;margin-top:0pt;height:51.8pt;width:200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Xsy+DTAAAABQEAAA8AAAAAAAAAAQAgAAAAIgAAAGRycy9kb3ducmV2&#10;LnhtbFBLAQIUABQAAAAIAIdO4kDZwOAJyAEAAKYDAAAOAAAAAAAAAAEAIAAAACIBAABkcnMvZTJv&#10;RG9jLnhtbFBLBQYAAAAABgAGAFkBAABc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191EBED">
                      <w:pPr>
                        <w:pStyle w:val="44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ICS: 65. 020. 30</w:t>
                      </w:r>
                    </w:p>
                    <w:p w14:paraId="652C965F">
                      <w:pPr>
                        <w:pStyle w:val="44"/>
                      </w:pPr>
                      <w:r>
                        <w:rPr>
                          <w:rFonts w:hint="eastAsia"/>
                          <w:b/>
                          <w:bCs/>
                        </w:rPr>
                        <w:t>CCS B 43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p w14:paraId="4A28E8F1">
      <w:pPr>
        <w:jc w:val="center"/>
        <w:outlineLvl w:val="0"/>
        <w:rPr>
          <w:rFonts w:hint="eastAsia" w:ascii="黑体" w:hAnsi="黑体" w:eastAsia="黑体"/>
          <w:sz w:val="32"/>
          <w:szCs w:val="32"/>
        </w:rPr>
      </w:pPr>
      <w:bookmarkStart w:id="1" w:name="_Toc162967485"/>
      <w:bookmarkStart w:id="2" w:name="_Toc162967361"/>
      <w:r>
        <w:rPr>
          <w:rFonts w:hint="eastAsia" w:ascii="黑体" w:hAnsi="黑体" w:eastAsia="黑体"/>
          <w:sz w:val="32"/>
          <w:szCs w:val="32"/>
        </w:rPr>
        <w:t>前      言</w:t>
      </w:r>
      <w:bookmarkEnd w:id="1"/>
      <w:bookmarkEnd w:id="2"/>
    </w:p>
    <w:p w14:paraId="46FB453B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本文件按照GB/T 1.1</w:t>
      </w:r>
      <w:r>
        <w:rPr>
          <w:rFonts w:hint="eastAsia" w:ascii="宋体" w:hAnsi="宋体"/>
          <w:szCs w:val="21"/>
        </w:rPr>
        <w:t>—</w:t>
      </w:r>
      <w:r>
        <w:rPr>
          <w:rFonts w:ascii="宋体" w:hAnsi="宋体"/>
          <w:szCs w:val="21"/>
        </w:rPr>
        <w:t>2020《标准化工作导则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第1部分：标准化文件的结构和起草规则》的规定起草。</w:t>
      </w:r>
    </w:p>
    <w:p w14:paraId="309BCA71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请注意本文件的某些内容可能涉及专利。本文件的发布机构不承担识别专利的责任。</w:t>
      </w:r>
    </w:p>
    <w:p w14:paraId="63B21B01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本文件由江苏省畜牧业标准化技术委员会提出、归口</w:t>
      </w:r>
      <w:r>
        <w:rPr>
          <w:rFonts w:hint="eastAsia" w:ascii="宋体" w:hAnsi="宋体"/>
          <w:szCs w:val="21"/>
          <w:lang w:val="en-US" w:eastAsia="zh-CN"/>
        </w:rPr>
        <w:t>并组织实施</w:t>
      </w:r>
      <w:r>
        <w:rPr>
          <w:rFonts w:hint="eastAsia" w:ascii="宋体" w:hAnsi="宋体"/>
          <w:szCs w:val="21"/>
        </w:rPr>
        <w:t>。</w:t>
      </w:r>
    </w:p>
    <w:p w14:paraId="42C2D9EB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本文件起草单位：江苏省家禽科学研究所、</w:t>
      </w:r>
      <w:bookmarkStart w:id="3" w:name="_Hlk177654974"/>
      <w:r>
        <w:rPr>
          <w:rFonts w:hint="eastAsia" w:ascii="宋体" w:hAnsi="宋体"/>
          <w:szCs w:val="21"/>
        </w:rPr>
        <w:t>江苏桂柳牧业集团有限公司</w:t>
      </w:r>
      <w:bookmarkEnd w:id="3"/>
      <w:r>
        <w:rPr>
          <w:rFonts w:hint="eastAsia" w:ascii="宋体" w:hAnsi="宋体"/>
          <w:szCs w:val="21"/>
        </w:rPr>
        <w:t>、山东和康源生物育种股份有限公司。</w:t>
      </w:r>
    </w:p>
    <w:p w14:paraId="482EDD12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bookmarkStart w:id="4" w:name="_Hlk177653587"/>
      <w:r>
        <w:rPr>
          <w:rFonts w:hint="eastAsia" w:ascii="宋体" w:hAnsi="宋体"/>
          <w:szCs w:val="21"/>
        </w:rPr>
        <w:t>本文件主要起草人：王志成、朱春红、宋卫涛、李慧芳、刘宏祥、陶志云、章双杰、徐文娟、张丹、顾昊天、王胜、刘国发、周玮。</w:t>
      </w:r>
    </w:p>
    <w:bookmarkEnd w:id="4"/>
    <w:p w14:paraId="48E3C711">
      <w:pPr>
        <w:spacing w:line="360" w:lineRule="auto"/>
        <w:ind w:firstLine="420" w:firstLineChars="200"/>
        <w:rPr>
          <w:szCs w:val="21"/>
        </w:rPr>
      </w:pPr>
    </w:p>
    <w:p w14:paraId="6558B49C">
      <w:pPr>
        <w:spacing w:line="360" w:lineRule="auto"/>
        <w:ind w:firstLine="420" w:firstLineChars="200"/>
        <w:rPr>
          <w:szCs w:val="21"/>
        </w:rPr>
      </w:pPr>
    </w:p>
    <w:p w14:paraId="1A18F720">
      <w:pPr>
        <w:sectPr>
          <w:headerReference r:id="rId8" w:type="default"/>
          <w:type w:val="continuous"/>
          <w:pgSz w:w="11906" w:h="16838"/>
          <w:pgMar w:top="1440" w:right="1800" w:bottom="1440" w:left="1800" w:header="851" w:footer="992" w:gutter="0"/>
          <w:pgNumType w:fmt="upperRoman" w:start="1"/>
          <w:cols w:space="720" w:num="1"/>
          <w:docGrid w:type="linesAndChars" w:linePitch="312" w:charSpace="0"/>
        </w:sectPr>
      </w:pPr>
    </w:p>
    <w:p w14:paraId="365757C4">
      <w:pPr>
        <w:spacing w:before="312" w:beforeLines="100" w:after="312" w:afterLines="100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种鸭旱养饲养管理技术规程</w:t>
      </w:r>
    </w:p>
    <w:p w14:paraId="4FCEDA69">
      <w:pPr>
        <w:pStyle w:val="50"/>
        <w:outlineLvl w:val="0"/>
        <w:rPr>
          <w:rFonts w:hint="eastAsia" w:ascii="黑体" w:hAnsi="黑体" w:eastAsia="黑体"/>
          <w:b w:val="0"/>
          <w:bCs/>
        </w:rPr>
      </w:pPr>
      <w:bookmarkStart w:id="5" w:name="_Toc162967486"/>
      <w:bookmarkStart w:id="6" w:name="_Toc162967362"/>
      <w:r>
        <w:rPr>
          <w:rFonts w:ascii="黑体" w:hAnsi="黑体" w:eastAsia="黑体"/>
          <w:b w:val="0"/>
          <w:bCs/>
        </w:rPr>
        <w:t>1 范围</w:t>
      </w:r>
      <w:bookmarkEnd w:id="5"/>
      <w:bookmarkEnd w:id="6"/>
    </w:p>
    <w:p w14:paraId="4D9DD0AD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本</w:t>
      </w:r>
      <w:r>
        <w:rPr>
          <w:rFonts w:hint="eastAsia"/>
          <w:szCs w:val="21"/>
        </w:rPr>
        <w:t>文件</w:t>
      </w:r>
      <w:r>
        <w:rPr>
          <w:szCs w:val="21"/>
        </w:rPr>
        <w:t>规定了</w:t>
      </w:r>
      <w:r>
        <w:rPr>
          <w:rFonts w:hint="eastAsia"/>
          <w:szCs w:val="21"/>
        </w:rPr>
        <w:t>种鸭旱养的鸭场选址与布局、饲养方式与制度、种鸭舍建造与配套设施设备要求、饲养管理、卫生防疫、生产记录和档案管理</w:t>
      </w:r>
      <w:r>
        <w:rPr>
          <w:szCs w:val="21"/>
        </w:rPr>
        <w:t>等</w:t>
      </w:r>
      <w:r>
        <w:rPr>
          <w:rFonts w:hint="eastAsia"/>
          <w:szCs w:val="21"/>
        </w:rPr>
        <w:t>技术要求</w:t>
      </w:r>
      <w:r>
        <w:rPr>
          <w:szCs w:val="21"/>
        </w:rPr>
        <w:t>。</w:t>
      </w:r>
    </w:p>
    <w:p w14:paraId="3A5B5138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本</w:t>
      </w:r>
      <w:r>
        <w:rPr>
          <w:rFonts w:hint="eastAsia"/>
          <w:szCs w:val="21"/>
        </w:rPr>
        <w:t>文件</w:t>
      </w:r>
      <w:r>
        <w:rPr>
          <w:szCs w:val="21"/>
        </w:rPr>
        <w:t>适用于</w:t>
      </w:r>
      <w:r>
        <w:rPr>
          <w:rFonts w:hint="eastAsia"/>
          <w:szCs w:val="21"/>
        </w:rPr>
        <w:t>种鸭旱养</w:t>
      </w:r>
      <w:r>
        <w:rPr>
          <w:szCs w:val="21"/>
        </w:rPr>
        <w:t>。</w:t>
      </w:r>
    </w:p>
    <w:p w14:paraId="5C47990C">
      <w:pPr>
        <w:pStyle w:val="50"/>
        <w:outlineLvl w:val="0"/>
        <w:rPr>
          <w:rFonts w:hint="eastAsia" w:ascii="黑体" w:hAnsi="黑体" w:eastAsia="黑体"/>
          <w:b w:val="0"/>
          <w:bCs/>
        </w:rPr>
      </w:pPr>
      <w:bookmarkStart w:id="7" w:name="_Toc162967487"/>
      <w:r>
        <w:rPr>
          <w:rFonts w:ascii="黑体" w:hAnsi="黑体" w:eastAsia="黑体"/>
          <w:b w:val="0"/>
          <w:bCs/>
        </w:rPr>
        <w:t>2 规范性引用文件</w:t>
      </w:r>
      <w:bookmarkEnd w:id="7"/>
    </w:p>
    <w:p w14:paraId="41C75B0B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下列文件中的</w:t>
      </w:r>
      <w:r>
        <w:rPr>
          <w:rFonts w:hint="eastAsia"/>
          <w:szCs w:val="21"/>
        </w:rPr>
        <w:t>内容通过文中的规范性引用而构成本文件必不可少的条款。其中，注日期的引用文件，仅该日期对应的版本适用于本文件；不注日期的引用文件，其最新版本（包括所有的修改单）适用于本文件。</w:t>
      </w:r>
    </w:p>
    <w:p w14:paraId="744ABBA9"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GB 5749</w:t>
      </w:r>
      <w:r>
        <w:rPr>
          <w:rFonts w:hint="eastAsia" w:asciiTheme="minorEastAsia" w:hAnsiTheme="minorEastAsia" w:eastAsiaTheme="minorEastAsia"/>
          <w:szCs w:val="21"/>
        </w:rPr>
        <w:t xml:space="preserve">  生活饮用水卫生标准</w:t>
      </w:r>
    </w:p>
    <w:p w14:paraId="17FC8E3D"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GB</w:t>
      </w:r>
      <w:r>
        <w:rPr>
          <w:rFonts w:hint="eastAsia" w:asciiTheme="minorEastAsia" w:hAnsiTheme="minorEastAsia" w:eastAsiaTheme="minorEastAsia"/>
          <w:szCs w:val="21"/>
        </w:rPr>
        <w:t xml:space="preserve"> 13078  饲料卫生标准</w:t>
      </w:r>
    </w:p>
    <w:p w14:paraId="6E0B61C5"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GB</w:t>
      </w:r>
      <w:r>
        <w:rPr>
          <w:rFonts w:hint="eastAsia" w:asciiTheme="minorEastAsia" w:hAnsiTheme="minorEastAsia" w:eastAsiaTheme="minorEastAsia"/>
          <w:szCs w:val="21"/>
        </w:rPr>
        <w:t xml:space="preserve"> 18596  畜禽养殖业污染物排放标准</w:t>
      </w:r>
    </w:p>
    <w:p w14:paraId="45B2B428"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GB/T</w:t>
      </w:r>
      <w:r>
        <w:rPr>
          <w:rFonts w:hint="eastAsia" w:asciiTheme="minorEastAsia" w:hAnsiTheme="minorEastAsia" w:eastAsiaTheme="minorEastAsia"/>
          <w:szCs w:val="21"/>
        </w:rPr>
        <w:t xml:space="preserve"> 32148  家禽健康养殖规范</w:t>
      </w:r>
    </w:p>
    <w:p w14:paraId="335341DF"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NY/T 388  畜禽场环境质量标准</w:t>
      </w:r>
    </w:p>
    <w:p w14:paraId="4F002678">
      <w:pPr>
        <w:pStyle w:val="50"/>
        <w:outlineLvl w:val="0"/>
        <w:rPr>
          <w:rFonts w:hint="eastAsia" w:ascii="黑体" w:hAnsi="黑体" w:eastAsia="黑体"/>
          <w:b w:val="0"/>
          <w:bCs/>
        </w:rPr>
      </w:pPr>
      <w:bookmarkStart w:id="8" w:name="_Toc162967488"/>
      <w:r>
        <w:rPr>
          <w:rFonts w:ascii="黑体" w:hAnsi="黑体" w:eastAsia="黑体"/>
          <w:b w:val="0"/>
          <w:bCs/>
        </w:rPr>
        <w:t xml:space="preserve">3 </w:t>
      </w:r>
      <w:r>
        <w:rPr>
          <w:rFonts w:hint="eastAsia" w:ascii="黑体" w:hAnsi="黑体" w:eastAsia="黑体"/>
          <w:b w:val="0"/>
          <w:bCs/>
        </w:rPr>
        <w:t>术语和定义</w:t>
      </w:r>
      <w:bookmarkEnd w:id="8"/>
    </w:p>
    <w:p w14:paraId="53D0BA49"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下列术语和定义适用于本文件。</w:t>
      </w:r>
    </w:p>
    <w:p w14:paraId="3398A340">
      <w:pPr>
        <w:pStyle w:val="50"/>
        <w:outlineLvl w:val="0"/>
        <w:rPr>
          <w:rFonts w:hint="eastAsia" w:ascii="黑体" w:hAnsi="黑体" w:eastAsia="黑体"/>
          <w:b w:val="0"/>
          <w:bCs/>
        </w:rPr>
      </w:pPr>
      <w:bookmarkStart w:id="9" w:name="_Toc162967489"/>
      <w:r>
        <w:rPr>
          <w:rFonts w:hint="eastAsia" w:ascii="黑体" w:hAnsi="黑体" w:eastAsia="黑体"/>
          <w:b w:val="0"/>
          <w:bCs/>
        </w:rPr>
        <w:t>3.1</w:t>
      </w:r>
    </w:p>
    <w:p w14:paraId="45521F38">
      <w:pPr>
        <w:pStyle w:val="50"/>
        <w:ind w:firstLine="420" w:firstLineChars="20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 xml:space="preserve">种鸭旱养 </w:t>
      </w:r>
      <w:r>
        <w:rPr>
          <w:rFonts w:ascii="黑体" w:hAnsi="黑体" w:eastAsia="黑体"/>
          <w:b w:val="0"/>
          <w:bCs/>
        </w:rPr>
        <w:t>dry-raised breeding ducks</w:t>
      </w:r>
    </w:p>
    <w:p w14:paraId="09E9ADED"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采用地面平养或网上平养的一种全舍饲种鸭养殖模式。</w:t>
      </w:r>
    </w:p>
    <w:p w14:paraId="0987638E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4 种鸭场选址与布局</w:t>
      </w:r>
      <w:bookmarkEnd w:id="9"/>
    </w:p>
    <w:p w14:paraId="2A02FAAE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4.1 场址要求</w:t>
      </w:r>
    </w:p>
    <w:p w14:paraId="10ACAFF8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bookmarkStart w:id="10" w:name="_Hlk164340138"/>
      <w:r>
        <w:rPr>
          <w:rFonts w:hint="eastAsia" w:ascii="宋体" w:hAnsi="宋体"/>
          <w:szCs w:val="21"/>
        </w:rPr>
        <w:t>种鸭场应选择地势高而平坦、排水良好的地址建造，并按照GB/T 32148的规定执行。</w:t>
      </w:r>
    </w:p>
    <w:bookmarkEnd w:id="10"/>
    <w:p w14:paraId="726BFCDC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4.2</w:t>
      </w:r>
      <w:r>
        <w:rPr>
          <w:rFonts w:ascii="黑体" w:hAnsi="黑体" w:eastAsia="黑体"/>
          <w:b w:val="0"/>
          <w:bCs/>
        </w:rPr>
        <w:t xml:space="preserve"> </w:t>
      </w:r>
      <w:r>
        <w:rPr>
          <w:rFonts w:hint="eastAsia" w:ascii="黑体" w:hAnsi="黑体" w:eastAsia="黑体"/>
          <w:b w:val="0"/>
          <w:bCs/>
        </w:rPr>
        <w:t>布局</w:t>
      </w:r>
      <w:r>
        <w:rPr>
          <w:rFonts w:ascii="黑体" w:hAnsi="黑体" w:eastAsia="黑体"/>
          <w:b w:val="0"/>
          <w:bCs/>
        </w:rPr>
        <w:t>要求</w:t>
      </w:r>
    </w:p>
    <w:p w14:paraId="33D07D3B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应按照GB/T 32148的规定执行。</w:t>
      </w:r>
    </w:p>
    <w:p w14:paraId="60611D45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4</w:t>
      </w:r>
      <w:r>
        <w:rPr>
          <w:rFonts w:ascii="黑体" w:hAnsi="黑体" w:eastAsia="黑体"/>
          <w:b w:val="0"/>
          <w:bCs/>
        </w:rPr>
        <w:t>.</w:t>
      </w:r>
      <w:r>
        <w:rPr>
          <w:rFonts w:hint="eastAsia" w:ascii="黑体" w:hAnsi="黑体" w:eastAsia="黑体"/>
          <w:b w:val="0"/>
          <w:bCs/>
        </w:rPr>
        <w:t xml:space="preserve">3 </w:t>
      </w:r>
      <w:r>
        <w:rPr>
          <w:rFonts w:ascii="黑体" w:hAnsi="黑体" w:eastAsia="黑体"/>
          <w:b w:val="0"/>
          <w:bCs/>
        </w:rPr>
        <w:t>环境</w:t>
      </w:r>
      <w:r>
        <w:rPr>
          <w:rFonts w:hint="eastAsia" w:ascii="黑体" w:hAnsi="黑体" w:eastAsia="黑体"/>
          <w:b w:val="0"/>
          <w:bCs/>
        </w:rPr>
        <w:t>质量</w:t>
      </w:r>
      <w:r>
        <w:rPr>
          <w:rFonts w:ascii="黑体" w:hAnsi="黑体" w:eastAsia="黑体"/>
          <w:b w:val="0"/>
          <w:bCs/>
        </w:rPr>
        <w:t>要求</w:t>
      </w:r>
    </w:p>
    <w:p w14:paraId="08ACBBEF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bookmarkStart w:id="11" w:name="_Hlk164340170"/>
      <w:r>
        <w:rPr>
          <w:rFonts w:hint="eastAsia" w:ascii="宋体" w:hAnsi="宋体"/>
          <w:szCs w:val="21"/>
        </w:rPr>
        <w:t>应按照NY/T 388的规程执行。</w:t>
      </w:r>
    </w:p>
    <w:bookmarkEnd w:id="11"/>
    <w:p w14:paraId="65B26776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 xml:space="preserve">4.4 </w:t>
      </w:r>
      <w:r>
        <w:rPr>
          <w:rFonts w:ascii="黑体" w:hAnsi="黑体" w:eastAsia="黑体"/>
          <w:b w:val="0"/>
          <w:bCs/>
        </w:rPr>
        <w:t>水质质量</w:t>
      </w:r>
      <w:r>
        <w:rPr>
          <w:rFonts w:hint="eastAsia" w:ascii="黑体" w:hAnsi="黑体" w:eastAsia="黑体"/>
          <w:b w:val="0"/>
          <w:bCs/>
        </w:rPr>
        <w:t>要求</w:t>
      </w:r>
    </w:p>
    <w:p w14:paraId="0837F715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应按照GB 5749的规定执行</w:t>
      </w:r>
      <w:r>
        <w:rPr>
          <w:rFonts w:ascii="宋体" w:hAnsi="宋体"/>
          <w:szCs w:val="21"/>
        </w:rPr>
        <w:t>。</w:t>
      </w:r>
    </w:p>
    <w:p w14:paraId="789FF16C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5 饲养方式与制度</w:t>
      </w:r>
    </w:p>
    <w:p w14:paraId="23B2A46F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5.1 饲养方式</w:t>
      </w:r>
    </w:p>
    <w:p w14:paraId="0D98B43A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应采用全舍饲地面平养或网床平养的方式</w:t>
      </w:r>
      <w:r>
        <w:rPr>
          <w:rFonts w:ascii="宋体" w:hAnsi="宋体"/>
          <w:szCs w:val="21"/>
        </w:rPr>
        <w:t>。</w:t>
      </w:r>
    </w:p>
    <w:p w14:paraId="175B0D2B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5.2 饲养制度</w:t>
      </w:r>
    </w:p>
    <w:p w14:paraId="646E5AD8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应按批次或栋实施“全进全出”制度。</w:t>
      </w:r>
    </w:p>
    <w:p w14:paraId="72F271ED">
      <w:pPr>
        <w:pStyle w:val="50"/>
        <w:outlineLvl w:val="0"/>
        <w:rPr>
          <w:rFonts w:hint="eastAsia" w:ascii="黑体" w:hAnsi="黑体" w:eastAsia="黑体"/>
          <w:b w:val="0"/>
          <w:bCs/>
        </w:rPr>
      </w:pPr>
      <w:bookmarkStart w:id="12" w:name="_Toc162967490"/>
      <w:r>
        <w:rPr>
          <w:rFonts w:hint="eastAsia" w:ascii="黑体" w:hAnsi="黑体" w:eastAsia="黑体"/>
          <w:b w:val="0"/>
          <w:bCs/>
        </w:rPr>
        <w:t xml:space="preserve">6 </w:t>
      </w:r>
      <w:bookmarkEnd w:id="12"/>
      <w:r>
        <w:rPr>
          <w:rFonts w:hint="eastAsia" w:ascii="黑体" w:hAnsi="黑体" w:eastAsia="黑体"/>
          <w:b w:val="0"/>
          <w:bCs/>
        </w:rPr>
        <w:t>种鸭舍建造与配套设施设备要求</w:t>
      </w:r>
    </w:p>
    <w:p w14:paraId="581B2411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6.1 种鸭舍建造要求</w:t>
      </w:r>
    </w:p>
    <w:p w14:paraId="4C75F412">
      <w:pPr>
        <w:spacing w:line="360" w:lineRule="auto"/>
        <w:rPr>
          <w:szCs w:val="21"/>
        </w:rPr>
      </w:pPr>
      <w:bookmarkStart w:id="13" w:name="_Hlk164329886"/>
      <w:r>
        <w:rPr>
          <w:rFonts w:hint="eastAsia" w:ascii="黑体" w:hAnsi="黑体" w:eastAsia="黑体"/>
          <w:szCs w:val="21"/>
        </w:rPr>
        <w:t>6</w:t>
      </w:r>
      <w:r>
        <w:rPr>
          <w:rFonts w:ascii="黑体" w:hAnsi="黑体" w:eastAsia="黑体"/>
          <w:szCs w:val="21"/>
        </w:rPr>
        <w:t>.1.1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种</w:t>
      </w:r>
      <w:r>
        <w:rPr>
          <w:szCs w:val="21"/>
        </w:rPr>
        <w:t>鸭舍建</w:t>
      </w:r>
      <w:r>
        <w:rPr>
          <w:rFonts w:hint="eastAsia"/>
          <w:szCs w:val="21"/>
        </w:rPr>
        <w:t>造</w:t>
      </w:r>
      <w:r>
        <w:rPr>
          <w:szCs w:val="21"/>
        </w:rPr>
        <w:t>宜采用砖墙钢构结构，建筑材料应保温、防火、防水</w:t>
      </w:r>
      <w:r>
        <w:rPr>
          <w:rFonts w:hint="eastAsia"/>
          <w:szCs w:val="21"/>
        </w:rPr>
        <w:t>、防鼠</w:t>
      </w:r>
      <w:r>
        <w:rPr>
          <w:szCs w:val="21"/>
        </w:rPr>
        <w:t>。屋檐高</w:t>
      </w:r>
      <w:r>
        <w:rPr>
          <w:rFonts w:hint="eastAsia"/>
          <w:szCs w:val="21"/>
        </w:rPr>
        <w:t>不低于</w:t>
      </w:r>
      <w:r>
        <w:rPr>
          <w:szCs w:val="21"/>
        </w:rPr>
        <w:t>2.8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m，窗高1.5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m，</w:t>
      </w:r>
      <w:r>
        <w:rPr>
          <w:rFonts w:hint="eastAsia"/>
          <w:szCs w:val="21"/>
        </w:rPr>
        <w:t>窗</w:t>
      </w:r>
      <w:r>
        <w:rPr>
          <w:szCs w:val="21"/>
        </w:rPr>
        <w:t>宽1.5</w:t>
      </w:r>
      <w:bookmarkStart w:id="14" w:name="_Hlk177653855"/>
      <w:r>
        <w:rPr>
          <w:rFonts w:hint="eastAsia"/>
          <w:szCs w:val="21"/>
        </w:rPr>
        <w:t xml:space="preserve"> m</w:t>
      </w:r>
      <w:r>
        <w:rPr>
          <w:szCs w:val="21"/>
        </w:rPr>
        <w:t>～</w:t>
      </w:r>
      <w:bookmarkEnd w:id="14"/>
      <w:r>
        <w:rPr>
          <w:szCs w:val="21"/>
        </w:rPr>
        <w:t>1.8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m。鸭舍间距10</w:t>
      </w:r>
      <w:r>
        <w:rPr>
          <w:rFonts w:hint="eastAsia"/>
          <w:szCs w:val="21"/>
        </w:rPr>
        <w:t xml:space="preserve"> m</w:t>
      </w:r>
      <w:r>
        <w:rPr>
          <w:szCs w:val="21"/>
        </w:rPr>
        <w:t>～15</w:t>
      </w:r>
      <w:r>
        <w:rPr>
          <w:rFonts w:hint="eastAsia"/>
          <w:szCs w:val="21"/>
        </w:rPr>
        <w:t xml:space="preserve"> m</w:t>
      </w:r>
      <w:r>
        <w:rPr>
          <w:szCs w:val="21"/>
        </w:rPr>
        <w:t>。</w:t>
      </w:r>
      <w:r>
        <w:rPr>
          <w:rFonts w:hint="eastAsia"/>
          <w:szCs w:val="21"/>
        </w:rPr>
        <w:t>舍内地面高于</w:t>
      </w:r>
      <w:r>
        <w:rPr>
          <w:szCs w:val="21"/>
        </w:rPr>
        <w:t>舍外15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cm以上，呈鱼骨弧度，坡度3</w:t>
      </w:r>
      <w:r>
        <w:rPr>
          <w:rFonts w:hint="eastAsia"/>
          <w:szCs w:val="21"/>
        </w:rPr>
        <w:t>度</w:t>
      </w:r>
      <w:r>
        <w:rPr>
          <w:szCs w:val="21"/>
        </w:rPr>
        <w:t>～5度</w:t>
      </w:r>
      <w:r>
        <w:rPr>
          <w:rFonts w:hint="eastAsia"/>
          <w:szCs w:val="21"/>
        </w:rPr>
        <w:t>。</w:t>
      </w:r>
    </w:p>
    <w:p w14:paraId="0BE297B7">
      <w:pPr>
        <w:spacing w:line="360" w:lineRule="auto"/>
        <w:rPr>
          <w:szCs w:val="21"/>
        </w:rPr>
      </w:pPr>
      <w:r>
        <w:rPr>
          <w:rFonts w:hint="eastAsia" w:ascii="黑体" w:hAnsi="黑体" w:eastAsia="黑体"/>
          <w:szCs w:val="21"/>
        </w:rPr>
        <w:t>6</w:t>
      </w:r>
      <w:r>
        <w:rPr>
          <w:rFonts w:ascii="黑体" w:hAnsi="黑体" w:eastAsia="黑体"/>
          <w:szCs w:val="21"/>
        </w:rPr>
        <w:t>.1.</w:t>
      </w:r>
      <w:r>
        <w:rPr>
          <w:rFonts w:hint="eastAsia" w:ascii="黑体" w:hAnsi="黑体" w:eastAsia="黑体"/>
          <w:szCs w:val="21"/>
        </w:rPr>
        <w:t>2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种鸭舍内应设产蛋区和活动饮食区。产蛋区设于</w:t>
      </w:r>
      <w:r>
        <w:rPr>
          <w:szCs w:val="21"/>
        </w:rPr>
        <w:t>鸭舍南侧</w:t>
      </w:r>
      <w:r>
        <w:rPr>
          <w:rFonts w:hint="eastAsia"/>
          <w:szCs w:val="21"/>
        </w:rPr>
        <w:t>并</w:t>
      </w:r>
      <w:r>
        <w:rPr>
          <w:szCs w:val="21"/>
        </w:rPr>
        <w:t>铺设垫料</w:t>
      </w:r>
      <w:r>
        <w:rPr>
          <w:rFonts w:hint="eastAsia"/>
          <w:szCs w:val="21"/>
        </w:rPr>
        <w:t>，用隔断将鸭群分成300只</w:t>
      </w:r>
      <w:r>
        <w:rPr>
          <w:szCs w:val="21"/>
        </w:rPr>
        <w:t>～</w:t>
      </w:r>
      <w:r>
        <w:rPr>
          <w:rFonts w:hint="eastAsia"/>
          <w:szCs w:val="21"/>
        </w:rPr>
        <w:t>500只一群。每个隔间产蛋区与活动饮食区相通。产蛋区与活动饮食区的面积比例为1:1</w:t>
      </w:r>
      <w:r>
        <w:rPr>
          <w:szCs w:val="21"/>
        </w:rPr>
        <w:t>～</w:t>
      </w:r>
      <w:r>
        <w:rPr>
          <w:rFonts w:hint="eastAsia"/>
          <w:szCs w:val="21"/>
        </w:rPr>
        <w:t>1:1.5。</w:t>
      </w:r>
      <w:r>
        <w:rPr>
          <w:szCs w:val="21"/>
        </w:rPr>
        <w:t>网上平养时，网</w:t>
      </w:r>
      <w:r>
        <w:rPr>
          <w:rFonts w:hint="eastAsia"/>
          <w:szCs w:val="21"/>
        </w:rPr>
        <w:t>架</w:t>
      </w:r>
      <w:r>
        <w:rPr>
          <w:szCs w:val="21"/>
        </w:rPr>
        <w:t>与地面高度0.8</w:t>
      </w:r>
      <w:r>
        <w:rPr>
          <w:rFonts w:hint="eastAsia"/>
          <w:szCs w:val="21"/>
        </w:rPr>
        <w:t xml:space="preserve"> m</w:t>
      </w:r>
      <w:r>
        <w:rPr>
          <w:szCs w:val="21"/>
        </w:rPr>
        <w:t>～1.2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m。</w:t>
      </w:r>
      <w:r>
        <w:rPr>
          <w:rFonts w:hint="eastAsia"/>
          <w:szCs w:val="21"/>
        </w:rPr>
        <w:t>育雏、育成期网架网孔不宜超过1.5 cm，成年期不超过2.5 cm。</w:t>
      </w:r>
    </w:p>
    <w:bookmarkEnd w:id="13"/>
    <w:p w14:paraId="53FD6BCB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6.2 配套设施设备要求</w:t>
      </w:r>
    </w:p>
    <w:p w14:paraId="3C1D263C">
      <w:pPr>
        <w:spacing w:line="360" w:lineRule="auto"/>
        <w:rPr>
          <w:rFonts w:hint="eastAsia" w:ascii="宋体" w:hAnsi="宋体"/>
          <w:szCs w:val="21"/>
        </w:rPr>
      </w:pPr>
      <w:bookmarkStart w:id="15" w:name="_Hlk164340475"/>
      <w:r>
        <w:rPr>
          <w:rFonts w:hint="eastAsia" w:ascii="黑体" w:hAnsi="黑体" w:eastAsia="黑体"/>
          <w:szCs w:val="21"/>
        </w:rPr>
        <w:t>6.2.1</w:t>
      </w:r>
      <w:r>
        <w:rPr>
          <w:rFonts w:hint="eastAsia"/>
          <w:szCs w:val="21"/>
        </w:rPr>
        <w:t xml:space="preserve"> </w:t>
      </w:r>
      <w:r>
        <w:rPr>
          <w:rFonts w:hint="eastAsia" w:ascii="宋体" w:hAnsi="宋体"/>
          <w:szCs w:val="21"/>
        </w:rPr>
        <w:t>种鸭舍内应安装自动喂料、饮水和清粪等系统，配套集水槽、湿帘、风机、光照和产蛋箱等设备。采用加热、湿帘降温等设备调控温湿度，采用自然通风与机械通风相结合调控通风，采用自然光源和人工光源相结合方式调控光照，以保证鸭舍环境满足N</w:t>
      </w:r>
      <w:r>
        <w:rPr>
          <w:rFonts w:ascii="宋体" w:hAnsi="宋体"/>
          <w:szCs w:val="21"/>
        </w:rPr>
        <w:t>Y/T 388</w:t>
      </w:r>
      <w:r>
        <w:rPr>
          <w:rFonts w:hint="eastAsia" w:ascii="宋体" w:hAnsi="宋体"/>
          <w:szCs w:val="21"/>
        </w:rPr>
        <w:t>要求。</w:t>
      </w:r>
    </w:p>
    <w:p w14:paraId="40B01E3E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6.2.2</w:t>
      </w:r>
      <w:r>
        <w:rPr>
          <w:rFonts w:hint="eastAsia"/>
          <w:szCs w:val="21"/>
        </w:rPr>
        <w:t xml:space="preserve"> 种鸭场应配套兽医室、资料室、药品库、蛋库及自动发电应急电源系统。</w:t>
      </w:r>
    </w:p>
    <w:bookmarkEnd w:id="15"/>
    <w:p w14:paraId="17F2BBD1">
      <w:pPr>
        <w:pStyle w:val="50"/>
        <w:outlineLvl w:val="0"/>
        <w:rPr>
          <w:rFonts w:hint="eastAsia" w:ascii="黑体" w:hAnsi="黑体" w:eastAsia="黑体"/>
          <w:b w:val="0"/>
          <w:bCs/>
        </w:rPr>
      </w:pPr>
      <w:bookmarkStart w:id="16" w:name="_Toc162967492"/>
      <w:r>
        <w:rPr>
          <w:rFonts w:hint="eastAsia" w:ascii="黑体" w:hAnsi="黑体" w:eastAsia="黑体"/>
          <w:b w:val="0"/>
          <w:bCs/>
        </w:rPr>
        <w:t>7 饲养管理</w:t>
      </w:r>
      <w:bookmarkEnd w:id="16"/>
      <w:r>
        <w:rPr>
          <w:rFonts w:hint="eastAsia" w:ascii="黑体" w:hAnsi="黑体" w:eastAsia="黑体"/>
          <w:b w:val="0"/>
          <w:bCs/>
        </w:rPr>
        <w:t>要点</w:t>
      </w:r>
    </w:p>
    <w:p w14:paraId="4D5F1650">
      <w:pPr>
        <w:pStyle w:val="50"/>
        <w:outlineLvl w:val="0"/>
      </w:pPr>
      <w:r>
        <w:rPr>
          <w:rFonts w:hint="eastAsia" w:ascii="黑体" w:hAnsi="黑体" w:eastAsia="黑体"/>
          <w:b w:val="0"/>
          <w:bCs/>
        </w:rPr>
        <w:t>7.1 育雏前准备</w:t>
      </w:r>
    </w:p>
    <w:p w14:paraId="53E7D460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bookmarkStart w:id="17" w:name="_Hlk164340547"/>
      <w:r>
        <w:rPr>
          <w:rFonts w:hint="eastAsia" w:ascii="宋体" w:hAnsi="宋体"/>
          <w:szCs w:val="21"/>
        </w:rPr>
        <w:t>育雏前应清洗并消毒鸭舍，进雏前2 d检查所有设备的运转情况；进雏前24 h升温至32 ℃～36 ℃。</w:t>
      </w:r>
    </w:p>
    <w:bookmarkEnd w:id="17"/>
    <w:p w14:paraId="7FCB547E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7.2 育雏期</w:t>
      </w:r>
    </w:p>
    <w:p w14:paraId="39E5C11A">
      <w:pPr>
        <w:spacing w:line="360" w:lineRule="auto"/>
        <w:ind w:firstLine="420" w:firstLineChars="200"/>
        <w:rPr>
          <w:rFonts w:hint="eastAsia" w:ascii="宋体" w:hAnsi="宋体"/>
          <w:color w:val="FF0000"/>
          <w:szCs w:val="21"/>
        </w:rPr>
      </w:pPr>
      <w:bookmarkStart w:id="18" w:name="_Hlk164340559"/>
      <w:r>
        <w:rPr>
          <w:rFonts w:hint="eastAsia" w:ascii="宋体" w:hAnsi="宋体"/>
          <w:szCs w:val="21"/>
        </w:rPr>
        <w:t>肉种鸭育雏期为0 周龄～3 周龄，蛋种鸭育雏期为0 周龄～4 周龄。种雏鸭进舍后及时提供与室温一致的温开水，饮水2 h后喂料。自由采食和饮水。及时淘汰残雏和弱雏，保持鸭群整齐一致。</w:t>
      </w:r>
    </w:p>
    <w:bookmarkEnd w:id="18"/>
    <w:p w14:paraId="4F57AAD7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7.3 育成期</w:t>
      </w:r>
    </w:p>
    <w:p w14:paraId="393DD726">
      <w:pPr>
        <w:spacing w:line="360" w:lineRule="auto"/>
        <w:rPr>
          <w:rFonts w:hint="eastAsia" w:ascii="宋体" w:hAnsi="宋体"/>
          <w:szCs w:val="21"/>
        </w:rPr>
      </w:pPr>
      <w:bookmarkStart w:id="19" w:name="_Hlk164340570"/>
      <w:r>
        <w:rPr>
          <w:rFonts w:hint="eastAsia" w:ascii="黑体" w:hAnsi="黑体" w:eastAsia="黑体"/>
          <w:szCs w:val="21"/>
        </w:rPr>
        <w:t>7.3.1</w:t>
      </w:r>
      <w:r>
        <w:rPr>
          <w:rFonts w:hint="eastAsia" w:ascii="宋体" w:hAnsi="宋体"/>
          <w:szCs w:val="21"/>
        </w:rPr>
        <w:t xml:space="preserve"> 肉种鸭育成期为4周龄～18周龄，蛋种鸭育成期为5周龄～18周龄。</w:t>
      </w:r>
    </w:p>
    <w:p w14:paraId="3DB4B83D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7.3.2</w:t>
      </w:r>
      <w:r>
        <w:rPr>
          <w:rFonts w:hint="eastAsia" w:ascii="宋体" w:hAnsi="宋体"/>
          <w:szCs w:val="21"/>
        </w:rPr>
        <w:t xml:space="preserve"> 公、母鸭分开饲养，更换育成料，并每天固定时间驱赶公鸭活动。</w:t>
      </w:r>
    </w:p>
    <w:p w14:paraId="5838A2D4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7.3.3</w:t>
      </w:r>
      <w:r>
        <w:rPr>
          <w:rFonts w:hint="eastAsia" w:ascii="宋体" w:hAnsi="宋体"/>
          <w:szCs w:val="21"/>
        </w:rPr>
        <w:t xml:space="preserve"> 应采用限饲的方法控制育成期体重。每周龄末随机选取群体数量5%～10%的个体称重，并与品种标准体重对比，及时调整喂料量。</w:t>
      </w:r>
    </w:p>
    <w:p w14:paraId="6DC4872C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7.3.4</w:t>
      </w:r>
      <w:r>
        <w:rPr>
          <w:rFonts w:hint="eastAsia" w:ascii="宋体" w:hAnsi="宋体"/>
          <w:szCs w:val="21"/>
        </w:rPr>
        <w:t xml:space="preserve"> 强弱分群饲养。</w:t>
      </w:r>
    </w:p>
    <w:bookmarkEnd w:id="19"/>
    <w:p w14:paraId="0918B24D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7.4 产蛋期</w:t>
      </w:r>
    </w:p>
    <w:p w14:paraId="137CE235">
      <w:pPr>
        <w:spacing w:line="360" w:lineRule="auto"/>
        <w:rPr>
          <w:szCs w:val="21"/>
        </w:rPr>
      </w:pPr>
      <w:bookmarkStart w:id="20" w:name="_Hlk164427390"/>
      <w:bookmarkStart w:id="21" w:name="_Hlk164340579"/>
      <w:r>
        <w:rPr>
          <w:rFonts w:hint="eastAsia" w:ascii="黑体" w:hAnsi="黑体" w:eastAsia="黑体"/>
          <w:bCs/>
          <w:szCs w:val="21"/>
        </w:rPr>
        <w:t>7.4.1</w:t>
      </w:r>
      <w:r>
        <w:rPr>
          <w:rFonts w:hint="eastAsia"/>
          <w:szCs w:val="21"/>
        </w:rPr>
        <w:t xml:space="preserve"> 产蛋前，选留体重发育正常的个体，淘汰残次公母鸭以及生殖器发育不正常公鸭。</w:t>
      </w:r>
    </w:p>
    <w:bookmarkEnd w:id="20"/>
    <w:p w14:paraId="5B8997C2">
      <w:pPr>
        <w:spacing w:line="360" w:lineRule="auto"/>
        <w:rPr>
          <w:szCs w:val="21"/>
        </w:rPr>
      </w:pPr>
      <w:r>
        <w:rPr>
          <w:rFonts w:hint="eastAsia" w:ascii="黑体" w:hAnsi="黑体" w:eastAsia="黑体"/>
          <w:bCs/>
          <w:szCs w:val="21"/>
        </w:rPr>
        <w:t>7.4.2</w:t>
      </w:r>
      <w:r>
        <w:rPr>
          <w:rFonts w:hint="eastAsia"/>
          <w:szCs w:val="21"/>
        </w:rPr>
        <w:t xml:space="preserve"> </w:t>
      </w:r>
      <w:r>
        <w:rPr>
          <w:rFonts w:hint="eastAsia" w:ascii="宋体" w:hAnsi="宋体"/>
          <w:szCs w:val="21"/>
        </w:rPr>
        <w:t>配种前20 d将公、母鸭混群饲养，肉种鸭公母配比为1:5～1:5.5左右，蛋种鸭公母配比为1:15～1:25。</w:t>
      </w:r>
      <w:r>
        <w:rPr>
          <w:rFonts w:hint="eastAsia"/>
          <w:szCs w:val="21"/>
        </w:rPr>
        <w:t>混群后逐渐更换为产蛋期饲料。</w:t>
      </w:r>
    </w:p>
    <w:bookmarkEnd w:id="21"/>
    <w:p w14:paraId="1866C6D3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7.5 种蛋管理</w:t>
      </w:r>
    </w:p>
    <w:p w14:paraId="19EEECD5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 xml:space="preserve">7.5.1 </w:t>
      </w:r>
      <w:r>
        <w:rPr>
          <w:rFonts w:hint="eastAsia" w:ascii="宋体" w:hAnsi="宋体"/>
          <w:szCs w:val="21"/>
        </w:rPr>
        <w:t>应及时收集种蛋，选择大小和蛋形正常、蛋壳颜色符合品种要求、蛋壳完整无损、无砂皮等缺陷的种蛋。</w:t>
      </w:r>
    </w:p>
    <w:p w14:paraId="4AECDAF9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7.5.2</w:t>
      </w:r>
      <w:r>
        <w:rPr>
          <w:rFonts w:hint="eastAsia" w:ascii="宋体" w:hAnsi="宋体"/>
          <w:szCs w:val="21"/>
        </w:rPr>
        <w:t xml:space="preserve"> 种蛋在运输中应避免剧烈震动和极端温度。</w:t>
      </w:r>
    </w:p>
    <w:p w14:paraId="39EF0A37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7.5.3</w:t>
      </w:r>
      <w:r>
        <w:rPr>
          <w:rFonts w:hint="eastAsia" w:ascii="宋体" w:hAnsi="宋体"/>
          <w:szCs w:val="21"/>
        </w:rPr>
        <w:t xml:space="preserve"> 种蛋保存时应钝端朝上，温度保持在12℃～18</w:t>
      </w:r>
      <w:bookmarkStart w:id="35" w:name="_GoBack"/>
      <w:bookmarkEnd w:id="35"/>
      <w:r>
        <w:rPr>
          <w:rFonts w:hint="eastAsia" w:ascii="宋体" w:hAnsi="宋体"/>
          <w:szCs w:val="21"/>
        </w:rPr>
        <w:t>℃，相对湿度保持在</w:t>
      </w:r>
      <w:r>
        <w:rPr>
          <w:rFonts w:ascii="宋体" w:hAnsi="宋体"/>
          <w:szCs w:val="21"/>
        </w:rPr>
        <w:t>70%</w:t>
      </w:r>
      <w:r>
        <w:rPr>
          <w:rFonts w:hint="eastAsia" w:ascii="宋体" w:hAnsi="宋体"/>
          <w:szCs w:val="21"/>
        </w:rPr>
        <w:t>～</w:t>
      </w:r>
      <w:r>
        <w:rPr>
          <w:rFonts w:ascii="宋体" w:hAnsi="宋体"/>
          <w:szCs w:val="21"/>
        </w:rPr>
        <w:t>80%</w:t>
      </w:r>
      <w:r>
        <w:rPr>
          <w:rFonts w:hint="eastAsia" w:ascii="宋体" w:hAnsi="宋体"/>
          <w:szCs w:val="21"/>
        </w:rPr>
        <w:t>。</w:t>
      </w:r>
    </w:p>
    <w:p w14:paraId="205238D3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7.6 饲料品质控制</w:t>
      </w:r>
    </w:p>
    <w:p w14:paraId="5F15F1E4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bookmarkStart w:id="22" w:name="_Hlk164340603"/>
      <w:r>
        <w:rPr>
          <w:rFonts w:hint="eastAsia" w:ascii="宋体" w:hAnsi="宋体"/>
          <w:szCs w:val="21"/>
        </w:rPr>
        <w:t>应符合种鸭品种标准要求制备各阶段饲料，并按照不同生长阶段及日龄进行分段式、阶段性饲喂。饲料卫生指标应符合GB 13078的要求。</w:t>
      </w:r>
    </w:p>
    <w:bookmarkEnd w:id="22"/>
    <w:p w14:paraId="6A51A4C1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7.7 密度</w:t>
      </w:r>
    </w:p>
    <w:p w14:paraId="592A6304">
      <w:pPr>
        <w:widowControl/>
        <w:ind w:firstLine="420" w:firstLineChars="200"/>
        <w:jc w:val="left"/>
        <w:rPr>
          <w:szCs w:val="21"/>
        </w:rPr>
      </w:pPr>
      <w:bookmarkStart w:id="23" w:name="_Hlk164340618"/>
      <w:r>
        <w:rPr>
          <w:rFonts w:hint="eastAsia"/>
          <w:szCs w:val="21"/>
        </w:rPr>
        <w:t>不同阶段蛋种鸭和肉种鸭的饲养密度见表1和表2。</w:t>
      </w:r>
    </w:p>
    <w:p w14:paraId="4DF03564">
      <w:pPr>
        <w:widowControl/>
        <w:spacing w:before="156" w:beforeLines="50"/>
        <w:ind w:firstLine="420" w:firstLineChars="200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表1 蛋种鸭饲养密度</w:t>
      </w:r>
    </w:p>
    <w:p w14:paraId="4A2587AA">
      <w:pPr>
        <w:widowControl/>
        <w:ind w:firstLine="420" w:firstLineChars="200"/>
        <w:jc w:val="right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单位：（只/m</w:t>
      </w:r>
      <w:r>
        <w:rPr>
          <w:rFonts w:hint="eastAsia" w:ascii="黑体" w:hAnsi="黑体" w:eastAsia="黑体"/>
          <w:szCs w:val="21"/>
          <w:vertAlign w:val="superscript"/>
        </w:rPr>
        <w:t>2</w:t>
      </w:r>
      <w:r>
        <w:rPr>
          <w:rFonts w:hint="eastAsia" w:ascii="黑体" w:hAnsi="黑体" w:eastAsia="黑体"/>
          <w:szCs w:val="21"/>
        </w:rPr>
        <w:t>）</w:t>
      </w:r>
    </w:p>
    <w:tbl>
      <w:tblPr>
        <w:tblStyle w:val="1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705"/>
        <w:gridCol w:w="1706"/>
        <w:gridCol w:w="1706"/>
        <w:gridCol w:w="1706"/>
      </w:tblGrid>
      <w:tr w14:paraId="449496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5" w:type="dxa"/>
            <w:vAlign w:val="center"/>
          </w:tcPr>
          <w:p w14:paraId="1CD25E3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饲养方式</w:t>
            </w:r>
          </w:p>
        </w:tc>
        <w:tc>
          <w:tcPr>
            <w:tcW w:w="1705" w:type="dxa"/>
            <w:vAlign w:val="center"/>
          </w:tcPr>
          <w:p w14:paraId="4D7585E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（0～2）周龄</w:t>
            </w:r>
          </w:p>
        </w:tc>
        <w:tc>
          <w:tcPr>
            <w:tcW w:w="1706" w:type="dxa"/>
            <w:vAlign w:val="center"/>
          </w:tcPr>
          <w:p w14:paraId="309EB68D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（3～4）周龄</w:t>
            </w:r>
          </w:p>
        </w:tc>
        <w:tc>
          <w:tcPr>
            <w:tcW w:w="1706" w:type="dxa"/>
            <w:vAlign w:val="center"/>
          </w:tcPr>
          <w:p w14:paraId="53CE0B93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（5～18）周龄</w:t>
            </w:r>
          </w:p>
        </w:tc>
        <w:tc>
          <w:tcPr>
            <w:tcW w:w="1706" w:type="dxa"/>
            <w:vAlign w:val="center"/>
          </w:tcPr>
          <w:p w14:paraId="229EE3C4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（≥18）周龄</w:t>
            </w:r>
          </w:p>
        </w:tc>
      </w:tr>
      <w:tr w14:paraId="699C2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5" w:type="dxa"/>
            <w:vAlign w:val="center"/>
          </w:tcPr>
          <w:p w14:paraId="134FD46B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地面平养</w:t>
            </w:r>
          </w:p>
        </w:tc>
        <w:tc>
          <w:tcPr>
            <w:tcW w:w="1705" w:type="dxa"/>
            <w:vAlign w:val="center"/>
          </w:tcPr>
          <w:p w14:paraId="7894C657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25～40</w:t>
            </w:r>
          </w:p>
        </w:tc>
        <w:tc>
          <w:tcPr>
            <w:tcW w:w="1706" w:type="dxa"/>
            <w:vAlign w:val="center"/>
          </w:tcPr>
          <w:p w14:paraId="7E89DDA8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10～20</w:t>
            </w:r>
          </w:p>
        </w:tc>
        <w:tc>
          <w:tcPr>
            <w:tcW w:w="1706" w:type="dxa"/>
            <w:vAlign w:val="center"/>
          </w:tcPr>
          <w:p w14:paraId="0A095F2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9～12</w:t>
            </w:r>
          </w:p>
        </w:tc>
        <w:tc>
          <w:tcPr>
            <w:tcW w:w="1706" w:type="dxa"/>
            <w:vAlign w:val="center"/>
          </w:tcPr>
          <w:p w14:paraId="2494556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6～8</w:t>
            </w:r>
          </w:p>
        </w:tc>
      </w:tr>
      <w:tr w14:paraId="13E7F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5" w:type="dxa"/>
            <w:vAlign w:val="center"/>
          </w:tcPr>
          <w:p w14:paraId="26A5563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网上平养</w:t>
            </w:r>
          </w:p>
        </w:tc>
        <w:tc>
          <w:tcPr>
            <w:tcW w:w="1705" w:type="dxa"/>
            <w:vAlign w:val="center"/>
          </w:tcPr>
          <w:p w14:paraId="2FE92C3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35～45</w:t>
            </w:r>
          </w:p>
        </w:tc>
        <w:tc>
          <w:tcPr>
            <w:tcW w:w="1706" w:type="dxa"/>
            <w:vAlign w:val="center"/>
          </w:tcPr>
          <w:p w14:paraId="1F52D2BD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20～25</w:t>
            </w:r>
          </w:p>
        </w:tc>
        <w:tc>
          <w:tcPr>
            <w:tcW w:w="1706" w:type="dxa"/>
            <w:vAlign w:val="center"/>
          </w:tcPr>
          <w:p w14:paraId="476B677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9～12</w:t>
            </w:r>
          </w:p>
        </w:tc>
        <w:tc>
          <w:tcPr>
            <w:tcW w:w="1706" w:type="dxa"/>
            <w:vAlign w:val="center"/>
          </w:tcPr>
          <w:p w14:paraId="7E6C182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6～8</w:t>
            </w:r>
          </w:p>
        </w:tc>
      </w:tr>
    </w:tbl>
    <w:p w14:paraId="1A593653">
      <w:pPr>
        <w:widowControl/>
        <w:spacing w:before="156" w:beforeLines="50"/>
        <w:ind w:firstLine="420" w:firstLineChars="200"/>
        <w:jc w:val="center"/>
        <w:rPr>
          <w:rFonts w:hint="eastAsia" w:ascii="黑体" w:hAnsi="黑体" w:eastAsia="黑体"/>
          <w:szCs w:val="21"/>
        </w:rPr>
      </w:pPr>
    </w:p>
    <w:p w14:paraId="7ED9623D">
      <w:pPr>
        <w:widowControl/>
        <w:spacing w:before="156" w:beforeLines="50"/>
        <w:ind w:firstLine="420" w:firstLineChars="200"/>
        <w:jc w:val="center"/>
        <w:rPr>
          <w:rFonts w:hint="eastAsia" w:ascii="黑体" w:hAnsi="黑体" w:eastAsia="黑体"/>
          <w:szCs w:val="21"/>
        </w:rPr>
      </w:pPr>
    </w:p>
    <w:p w14:paraId="61E3BEA4">
      <w:pPr>
        <w:widowControl/>
        <w:spacing w:before="156" w:beforeLines="50"/>
        <w:ind w:firstLine="420" w:firstLineChars="200"/>
        <w:jc w:val="center"/>
        <w:rPr>
          <w:rFonts w:hint="eastAsia" w:ascii="黑体" w:hAnsi="黑体" w:eastAsia="黑体"/>
          <w:szCs w:val="21"/>
        </w:rPr>
      </w:pPr>
    </w:p>
    <w:p w14:paraId="3D480C13">
      <w:pPr>
        <w:widowControl/>
        <w:spacing w:before="156" w:beforeLines="50"/>
        <w:ind w:firstLine="420" w:firstLineChars="200"/>
        <w:jc w:val="center"/>
        <w:rPr>
          <w:rFonts w:hint="eastAsia" w:ascii="黑体" w:hAnsi="黑体" w:eastAsia="黑体"/>
          <w:szCs w:val="21"/>
        </w:rPr>
      </w:pPr>
    </w:p>
    <w:p w14:paraId="07747409">
      <w:pPr>
        <w:widowControl/>
        <w:spacing w:before="156" w:beforeLines="50"/>
        <w:ind w:firstLine="420" w:firstLineChars="200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表2 肉种鸭饲养密度</w:t>
      </w:r>
    </w:p>
    <w:p w14:paraId="562B26F1">
      <w:pPr>
        <w:widowControl/>
        <w:ind w:firstLine="420" w:firstLineChars="200"/>
        <w:jc w:val="right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单位：（只/m</w:t>
      </w:r>
      <w:r>
        <w:rPr>
          <w:rFonts w:hint="eastAsia" w:ascii="黑体" w:hAnsi="黑体" w:eastAsia="黑体"/>
          <w:szCs w:val="21"/>
          <w:vertAlign w:val="superscript"/>
        </w:rPr>
        <w:t>2</w:t>
      </w:r>
      <w:r>
        <w:rPr>
          <w:rFonts w:hint="eastAsia" w:ascii="黑体" w:hAnsi="黑体" w:eastAsia="黑体"/>
          <w:szCs w:val="21"/>
        </w:rPr>
        <w:t>）</w:t>
      </w:r>
    </w:p>
    <w:tbl>
      <w:tblPr>
        <w:tblStyle w:val="1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705"/>
        <w:gridCol w:w="1706"/>
        <w:gridCol w:w="1706"/>
        <w:gridCol w:w="1706"/>
      </w:tblGrid>
      <w:tr w14:paraId="3DE18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5" w:type="dxa"/>
            <w:vAlign w:val="center"/>
          </w:tcPr>
          <w:p w14:paraId="1994215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饲养方式</w:t>
            </w:r>
          </w:p>
        </w:tc>
        <w:tc>
          <w:tcPr>
            <w:tcW w:w="1705" w:type="dxa"/>
            <w:vAlign w:val="center"/>
          </w:tcPr>
          <w:p w14:paraId="62CEBBB3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（0～1）周龄</w:t>
            </w:r>
          </w:p>
        </w:tc>
        <w:tc>
          <w:tcPr>
            <w:tcW w:w="1706" w:type="dxa"/>
            <w:vAlign w:val="center"/>
          </w:tcPr>
          <w:p w14:paraId="3003A05D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（2～3）周龄</w:t>
            </w:r>
          </w:p>
        </w:tc>
        <w:tc>
          <w:tcPr>
            <w:tcW w:w="1706" w:type="dxa"/>
            <w:vAlign w:val="center"/>
          </w:tcPr>
          <w:p w14:paraId="162BDD9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（4～18）周龄</w:t>
            </w:r>
          </w:p>
        </w:tc>
        <w:tc>
          <w:tcPr>
            <w:tcW w:w="1706" w:type="dxa"/>
            <w:vAlign w:val="center"/>
          </w:tcPr>
          <w:p w14:paraId="2BDFA59F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（≥18）周龄</w:t>
            </w:r>
          </w:p>
        </w:tc>
      </w:tr>
      <w:tr w14:paraId="32FB2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5" w:type="dxa"/>
            <w:vAlign w:val="center"/>
          </w:tcPr>
          <w:p w14:paraId="0F6F5B15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地面平养</w:t>
            </w:r>
          </w:p>
        </w:tc>
        <w:tc>
          <w:tcPr>
            <w:tcW w:w="1705" w:type="dxa"/>
            <w:vAlign w:val="center"/>
          </w:tcPr>
          <w:p w14:paraId="3E05F7E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25～30</w:t>
            </w:r>
          </w:p>
        </w:tc>
        <w:tc>
          <w:tcPr>
            <w:tcW w:w="1706" w:type="dxa"/>
            <w:vAlign w:val="center"/>
          </w:tcPr>
          <w:p w14:paraId="0604AA32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10～25</w:t>
            </w:r>
          </w:p>
        </w:tc>
        <w:tc>
          <w:tcPr>
            <w:tcW w:w="1706" w:type="dxa"/>
            <w:vAlign w:val="center"/>
          </w:tcPr>
          <w:p w14:paraId="7C02000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4～6</w:t>
            </w:r>
          </w:p>
        </w:tc>
        <w:tc>
          <w:tcPr>
            <w:tcW w:w="1706" w:type="dxa"/>
            <w:vAlign w:val="center"/>
          </w:tcPr>
          <w:p w14:paraId="73C6F6E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2～3</w:t>
            </w:r>
          </w:p>
        </w:tc>
      </w:tr>
      <w:tr w14:paraId="19F12A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5" w:type="dxa"/>
            <w:vAlign w:val="center"/>
          </w:tcPr>
          <w:p w14:paraId="68EDAF34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网上平养</w:t>
            </w:r>
          </w:p>
        </w:tc>
        <w:tc>
          <w:tcPr>
            <w:tcW w:w="1705" w:type="dxa"/>
            <w:vAlign w:val="center"/>
          </w:tcPr>
          <w:p w14:paraId="01674D3D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35～50</w:t>
            </w:r>
          </w:p>
        </w:tc>
        <w:tc>
          <w:tcPr>
            <w:tcW w:w="1706" w:type="dxa"/>
            <w:vAlign w:val="center"/>
          </w:tcPr>
          <w:p w14:paraId="730ACD7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15～25</w:t>
            </w:r>
          </w:p>
        </w:tc>
        <w:tc>
          <w:tcPr>
            <w:tcW w:w="1706" w:type="dxa"/>
            <w:vAlign w:val="center"/>
          </w:tcPr>
          <w:p w14:paraId="007A1453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4～6</w:t>
            </w:r>
          </w:p>
        </w:tc>
        <w:tc>
          <w:tcPr>
            <w:tcW w:w="1706" w:type="dxa"/>
            <w:vAlign w:val="center"/>
          </w:tcPr>
          <w:p w14:paraId="666A5FF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2～3</w:t>
            </w:r>
          </w:p>
        </w:tc>
      </w:tr>
      <w:bookmarkEnd w:id="23"/>
    </w:tbl>
    <w:p w14:paraId="1E39E147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7.8</w:t>
      </w:r>
      <w:r>
        <w:rPr>
          <w:rFonts w:ascii="黑体" w:hAnsi="黑体" w:eastAsia="黑体"/>
          <w:b w:val="0"/>
          <w:bCs/>
        </w:rPr>
        <w:t xml:space="preserve"> </w:t>
      </w:r>
      <w:r>
        <w:rPr>
          <w:rFonts w:hint="eastAsia" w:ascii="黑体" w:hAnsi="黑体" w:eastAsia="黑体"/>
          <w:b w:val="0"/>
          <w:bCs/>
        </w:rPr>
        <w:t>光照</w:t>
      </w:r>
    </w:p>
    <w:p w14:paraId="2D8429C6">
      <w:pPr>
        <w:pStyle w:val="50"/>
        <w:outlineLvl w:val="0"/>
        <w:rPr>
          <w:rFonts w:hint="eastAsia" w:ascii="黑体" w:hAnsi="黑体" w:eastAsia="黑体"/>
          <w:b w:val="0"/>
          <w:bCs/>
        </w:rPr>
      </w:pPr>
      <w:bookmarkStart w:id="24" w:name="_Hlk164340645"/>
      <w:r>
        <w:rPr>
          <w:rFonts w:hint="eastAsia" w:ascii="黑体" w:hAnsi="黑体" w:eastAsia="黑体"/>
          <w:b w:val="0"/>
          <w:bCs/>
        </w:rPr>
        <w:t>7.8.1 蛋种鸭</w:t>
      </w:r>
    </w:p>
    <w:p w14:paraId="4243679F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日龄1 d～3 d保持24 h光照，第4 d 23 h光照，以后每两天减少1 h光照，直到降至14 h并保持。17周龄开始每周增加1 h光照，20周龄增至17 h光照并保持。光照强度15 lux～20 lux。</w:t>
      </w:r>
    </w:p>
    <w:p w14:paraId="2EEB1EAC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7.8.2 肉种鸭</w:t>
      </w:r>
    </w:p>
    <w:p w14:paraId="0D047325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0 周龄～3 周龄光照时间为23 h～24 h；4 周龄～18 周龄采用自然光照，原则上不要延长光照时间和光照强度；从18周龄起逐渐增加每天的光照，至开产后达17 h并保持，光照强度为10 lux～15</w:t>
      </w:r>
      <w:r>
        <w:rPr>
          <w:rFonts w:ascii="宋体" w:hAnsi="宋体"/>
        </w:rPr>
        <w:t xml:space="preserve"> </w:t>
      </w:r>
      <w:r>
        <w:rPr>
          <w:rFonts w:ascii="宋体" w:hAnsi="宋体"/>
          <w:szCs w:val="21"/>
        </w:rPr>
        <w:t>lux</w:t>
      </w:r>
      <w:r>
        <w:rPr>
          <w:rFonts w:hint="eastAsia" w:ascii="宋体" w:hAnsi="宋体"/>
          <w:szCs w:val="21"/>
        </w:rPr>
        <w:t>。</w:t>
      </w:r>
    </w:p>
    <w:bookmarkEnd w:id="24"/>
    <w:p w14:paraId="7EC210EE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7.9</w:t>
      </w:r>
      <w:r>
        <w:rPr>
          <w:rFonts w:ascii="黑体" w:hAnsi="黑体" w:eastAsia="黑体"/>
          <w:b w:val="0"/>
          <w:bCs/>
        </w:rPr>
        <w:t xml:space="preserve"> </w:t>
      </w:r>
      <w:r>
        <w:rPr>
          <w:rFonts w:hint="eastAsia" w:ascii="黑体" w:hAnsi="黑体" w:eastAsia="黑体"/>
          <w:b w:val="0"/>
          <w:bCs/>
        </w:rPr>
        <w:t>温度、湿度</w:t>
      </w:r>
    </w:p>
    <w:p w14:paraId="391EC97B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bookmarkStart w:id="25" w:name="_Hlk164340675"/>
      <w:r>
        <w:rPr>
          <w:rFonts w:hint="eastAsia" w:ascii="宋体" w:hAnsi="宋体"/>
          <w:szCs w:val="21"/>
        </w:rPr>
        <w:t>雏鸭1 d～3 d时，舍内温度宜保持在31 ℃～35 ℃。随后，每周下降2 ℃～4 ℃，直至室温。相对湿度宜在50%～70%。</w:t>
      </w:r>
    </w:p>
    <w:bookmarkEnd w:id="25"/>
    <w:p w14:paraId="6E4D7F63">
      <w:pPr>
        <w:pStyle w:val="50"/>
        <w:outlineLvl w:val="0"/>
        <w:rPr>
          <w:rFonts w:hint="eastAsia" w:ascii="黑体" w:hAnsi="黑体" w:eastAsia="黑体"/>
          <w:b w:val="0"/>
          <w:bCs/>
        </w:rPr>
      </w:pPr>
      <w:bookmarkStart w:id="26" w:name="_Toc162967493"/>
      <w:r>
        <w:rPr>
          <w:rFonts w:hint="eastAsia" w:ascii="黑体" w:hAnsi="黑体" w:eastAsia="黑体"/>
          <w:b w:val="0"/>
          <w:bCs/>
        </w:rPr>
        <w:t>8 卫生防疫</w:t>
      </w:r>
      <w:bookmarkEnd w:id="26"/>
    </w:p>
    <w:p w14:paraId="2E1CDEF2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8.1</w:t>
      </w:r>
      <w:r>
        <w:rPr>
          <w:rFonts w:ascii="黑体" w:hAnsi="黑体" w:eastAsia="黑体"/>
          <w:b w:val="0"/>
          <w:bCs/>
        </w:rPr>
        <w:t xml:space="preserve"> </w:t>
      </w:r>
      <w:r>
        <w:rPr>
          <w:rFonts w:hint="eastAsia" w:ascii="黑体" w:hAnsi="黑体" w:eastAsia="黑体"/>
          <w:b w:val="0"/>
          <w:bCs/>
        </w:rPr>
        <w:t>消毒</w:t>
      </w:r>
    </w:p>
    <w:p w14:paraId="24A1A5A2">
      <w:pPr>
        <w:spacing w:line="360" w:lineRule="auto"/>
        <w:ind w:firstLine="420" w:firstLineChars="200"/>
        <w:rPr>
          <w:szCs w:val="21"/>
        </w:rPr>
      </w:pPr>
      <w:bookmarkStart w:id="27" w:name="_Hlk164340691"/>
      <w:r>
        <w:rPr>
          <w:rFonts w:hint="eastAsia"/>
          <w:szCs w:val="21"/>
        </w:rPr>
        <w:t>鸭舍入口处应设置消毒池和洗手盆。生产区环境、鸭舍内环境及设施设备每周最少消毒一次，根据自身条件采用喷雾、熏蒸、浸液、紫外线等方法进行消毒。孵化器、蛋托、出雏器、接雏盘每次用过后应清除污物并消毒清洗。</w:t>
      </w:r>
    </w:p>
    <w:bookmarkEnd w:id="27"/>
    <w:p w14:paraId="685C08C6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8.2</w:t>
      </w:r>
      <w:r>
        <w:rPr>
          <w:rFonts w:ascii="黑体" w:hAnsi="黑体" w:eastAsia="黑体"/>
          <w:b w:val="0"/>
          <w:bCs/>
        </w:rPr>
        <w:t xml:space="preserve"> 兽药使用</w:t>
      </w:r>
    </w:p>
    <w:p w14:paraId="00451645">
      <w:pPr>
        <w:spacing w:line="360" w:lineRule="auto"/>
        <w:ind w:firstLine="420" w:firstLineChars="200"/>
        <w:rPr>
          <w:szCs w:val="21"/>
        </w:rPr>
      </w:pPr>
      <w:bookmarkStart w:id="28" w:name="_Hlk164340699"/>
      <w:r>
        <w:rPr>
          <w:rFonts w:hint="eastAsia"/>
          <w:szCs w:val="21"/>
        </w:rPr>
        <w:t>8.2.1 兽药的使用应符合国家相关法律法规，如《兽药管理条例》，并且应使用经过官方批准的兽药产品。</w:t>
      </w:r>
    </w:p>
    <w:p w14:paraId="019D9579"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8.2.2 应尽量减少兽药使用，确需使用兽药时，应根据鸭只的具体病情和兽医的建议进行用药，避免滥用和误用。优先考虑使用中药和低残留的药物，并不得使用国家明令禁止的药物。</w:t>
      </w:r>
    </w:p>
    <w:bookmarkEnd w:id="28"/>
    <w:p w14:paraId="2481E4DC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8.3</w:t>
      </w:r>
      <w:r>
        <w:rPr>
          <w:rFonts w:ascii="黑体" w:hAnsi="黑体" w:eastAsia="黑体"/>
          <w:b w:val="0"/>
          <w:bCs/>
        </w:rPr>
        <w:t xml:space="preserve"> 病</w:t>
      </w:r>
      <w:r>
        <w:rPr>
          <w:rFonts w:hint="eastAsia" w:ascii="黑体" w:hAnsi="黑体" w:eastAsia="黑体"/>
          <w:b w:val="0"/>
          <w:bCs/>
        </w:rPr>
        <w:t>死鸭和粪污</w:t>
      </w:r>
      <w:r>
        <w:rPr>
          <w:rFonts w:ascii="黑体" w:hAnsi="黑体" w:eastAsia="黑体"/>
          <w:b w:val="0"/>
          <w:bCs/>
        </w:rPr>
        <w:t>无害化处理</w:t>
      </w:r>
    </w:p>
    <w:p w14:paraId="4F93F173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bookmarkStart w:id="29" w:name="_Hlk164340708"/>
      <w:r>
        <w:rPr>
          <w:rFonts w:hint="eastAsia" w:ascii="宋体" w:hAnsi="宋体"/>
          <w:szCs w:val="21"/>
        </w:rPr>
        <w:t>8.3.1 病死鸭应及时收集、低温定点存放，根据《病死畜禽和病害畜禽产品无害化处理管理办法》的要求进行无害化处理。</w:t>
      </w:r>
    </w:p>
    <w:p w14:paraId="049BB30D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8.3.2 粪污应及时清理，密封储存，并进行无害化处理及资源化利用，污染物排放应按照</w:t>
      </w:r>
      <w:r>
        <w:rPr>
          <w:rFonts w:ascii="宋体" w:hAnsi="宋体"/>
          <w:szCs w:val="21"/>
        </w:rPr>
        <w:t xml:space="preserve">GB </w:t>
      </w:r>
      <w:r>
        <w:rPr>
          <w:rFonts w:hint="eastAsia" w:ascii="宋体" w:hAnsi="宋体"/>
          <w:szCs w:val="21"/>
        </w:rPr>
        <w:t>18596的规定执行。</w:t>
      </w:r>
    </w:p>
    <w:bookmarkEnd w:id="29"/>
    <w:p w14:paraId="7078DA4A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8.4</w:t>
      </w:r>
      <w:r>
        <w:rPr>
          <w:rFonts w:ascii="黑体" w:hAnsi="黑体" w:eastAsia="黑体"/>
          <w:b w:val="0"/>
          <w:bCs/>
        </w:rPr>
        <w:t xml:space="preserve"> </w:t>
      </w:r>
      <w:r>
        <w:rPr>
          <w:rFonts w:hint="eastAsia" w:ascii="黑体" w:hAnsi="黑体" w:eastAsia="黑体"/>
          <w:b w:val="0"/>
          <w:bCs/>
        </w:rPr>
        <w:t>免疫</w:t>
      </w:r>
    </w:p>
    <w:p w14:paraId="675B3800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bookmarkStart w:id="30" w:name="_Hlk181974148"/>
      <w:bookmarkStart w:id="31" w:name="_Hlk164340722"/>
      <w:r>
        <w:rPr>
          <w:rFonts w:hint="eastAsia" w:ascii="宋体" w:hAnsi="宋体"/>
          <w:szCs w:val="21"/>
        </w:rPr>
        <w:t>参考免疫程序见附录A</w:t>
      </w:r>
      <w:bookmarkEnd w:id="30"/>
      <w:r>
        <w:rPr>
          <w:rFonts w:hint="eastAsia" w:ascii="宋体" w:hAnsi="宋体"/>
          <w:szCs w:val="21"/>
        </w:rPr>
        <w:t>。</w:t>
      </w:r>
    </w:p>
    <w:bookmarkEnd w:id="31"/>
    <w:p w14:paraId="0C1541DF">
      <w:pPr>
        <w:pStyle w:val="50"/>
        <w:outlineLvl w:val="0"/>
        <w:rPr>
          <w:rFonts w:hint="eastAsia" w:ascii="黑体" w:hAnsi="黑体" w:eastAsia="黑体"/>
          <w:b w:val="0"/>
          <w:bCs/>
        </w:rPr>
      </w:pPr>
      <w:r>
        <w:rPr>
          <w:rFonts w:hint="eastAsia" w:ascii="黑体" w:hAnsi="黑体" w:eastAsia="黑体"/>
          <w:b w:val="0"/>
          <w:bCs/>
        </w:rPr>
        <w:t>8.</w:t>
      </w:r>
      <w:r>
        <w:rPr>
          <w:rFonts w:ascii="黑体" w:hAnsi="黑体" w:eastAsia="黑体"/>
          <w:b w:val="0"/>
          <w:bCs/>
        </w:rPr>
        <w:t xml:space="preserve">5 </w:t>
      </w:r>
      <w:r>
        <w:rPr>
          <w:rFonts w:hint="eastAsia" w:ascii="黑体" w:hAnsi="黑体" w:eastAsia="黑体"/>
          <w:b w:val="0"/>
          <w:bCs/>
        </w:rPr>
        <w:t>疫病监测</w:t>
      </w:r>
    </w:p>
    <w:p w14:paraId="01A80913">
      <w:pPr>
        <w:widowControl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定期开展免疫监测工作。常规监测的疫病包括：高致病性禽流感、鸭病毒性肝炎等。</w:t>
      </w:r>
    </w:p>
    <w:p w14:paraId="2670D8F3">
      <w:pPr>
        <w:pStyle w:val="50"/>
        <w:outlineLvl w:val="0"/>
        <w:rPr>
          <w:rFonts w:hint="eastAsia" w:ascii="黑体" w:hAnsi="黑体" w:eastAsia="黑体"/>
          <w:b w:val="0"/>
          <w:bCs/>
        </w:rPr>
      </w:pPr>
      <w:bookmarkStart w:id="32" w:name="_Toc162967494"/>
      <w:r>
        <w:rPr>
          <w:rFonts w:hint="eastAsia" w:ascii="黑体" w:hAnsi="黑体" w:eastAsia="黑体"/>
          <w:b w:val="0"/>
          <w:bCs/>
        </w:rPr>
        <w:t>9</w:t>
      </w:r>
      <w:r>
        <w:rPr>
          <w:rFonts w:ascii="黑体" w:hAnsi="黑体" w:eastAsia="黑体"/>
          <w:b w:val="0"/>
          <w:bCs/>
        </w:rPr>
        <w:t xml:space="preserve"> </w:t>
      </w:r>
      <w:r>
        <w:rPr>
          <w:rFonts w:hint="eastAsia" w:ascii="黑体" w:hAnsi="黑体" w:eastAsia="黑体"/>
          <w:b w:val="0"/>
          <w:bCs/>
        </w:rPr>
        <w:t>生产记录和档案管理</w:t>
      </w:r>
      <w:bookmarkEnd w:id="32"/>
    </w:p>
    <w:p w14:paraId="523F9AD9">
      <w:pPr>
        <w:spacing w:line="360" w:lineRule="auto"/>
        <w:ind w:firstLine="420" w:firstLineChars="200"/>
        <w:rPr>
          <w:szCs w:val="21"/>
        </w:rPr>
      </w:pPr>
      <w:bookmarkStart w:id="33" w:name="_Hlk164340733"/>
      <w:r>
        <w:rPr>
          <w:rFonts w:hint="eastAsia"/>
          <w:szCs w:val="21"/>
        </w:rPr>
        <w:t>按照《畜禽标识和养殖档案管理办法》</w:t>
      </w:r>
      <w:r>
        <w:rPr>
          <w:szCs w:val="21"/>
        </w:rPr>
        <w:t>建立生产记录档案，</w:t>
      </w:r>
      <w:r>
        <w:rPr>
          <w:rFonts w:hint="eastAsia"/>
          <w:szCs w:val="21"/>
        </w:rPr>
        <w:t>所有记录全面真实可追溯。</w:t>
      </w:r>
      <w:r>
        <w:rPr>
          <w:szCs w:val="21"/>
        </w:rPr>
        <w:t>记录保存两年以上。</w:t>
      </w:r>
    </w:p>
    <w:p w14:paraId="10957E8B">
      <w:pPr>
        <w:spacing w:line="360" w:lineRule="auto"/>
        <w:ind w:firstLine="420" w:firstLineChars="200"/>
        <w:rPr>
          <w:szCs w:val="21"/>
        </w:rPr>
      </w:pPr>
    </w:p>
    <w:p w14:paraId="1E44CA88">
      <w:pPr>
        <w:spacing w:line="360" w:lineRule="auto"/>
        <w:ind w:firstLine="420" w:firstLineChars="200"/>
        <w:rPr>
          <w:szCs w:val="21"/>
        </w:rPr>
      </w:pPr>
    </w:p>
    <w:p w14:paraId="18256A50">
      <w:pPr>
        <w:widowControl/>
        <w:jc w:val="left"/>
        <w:rPr>
          <w:szCs w:val="21"/>
        </w:rPr>
      </w:pPr>
      <w:r>
        <w:rPr>
          <w:szCs w:val="21"/>
        </w:rPr>
        <w:br w:type="page"/>
      </w:r>
      <w:bookmarkEnd w:id="33"/>
    </w:p>
    <w:p w14:paraId="27BCFB16">
      <w:pPr>
        <w:jc w:val="center"/>
        <w:rPr>
          <w:rFonts w:hint="eastAsia"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参考文献</w:t>
      </w:r>
    </w:p>
    <w:p w14:paraId="51F493E5">
      <w:pPr>
        <w:jc w:val="center"/>
        <w:rPr>
          <w:rFonts w:hint="eastAsia" w:ascii="黑体" w:hAnsi="黑体" w:eastAsia="黑体"/>
          <w:sz w:val="21"/>
          <w:szCs w:val="21"/>
        </w:rPr>
      </w:pPr>
    </w:p>
    <w:p w14:paraId="02960CC7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[1]</w:t>
      </w:r>
      <w:r>
        <w:rPr>
          <w:rFonts w:hint="eastAsia" w:ascii="宋体" w:hAnsi="宋体"/>
          <w:szCs w:val="21"/>
        </w:rPr>
        <w:t xml:space="preserve"> 《畜禽标识和养殖档案管理办法》 （</w:t>
      </w:r>
      <w:r>
        <w:rPr>
          <w:rFonts w:hint="eastAsia" w:ascii="宋体" w:hAnsi="宋体"/>
          <w:bCs/>
          <w:szCs w:val="21"/>
        </w:rPr>
        <w:t>中华人民共和国农业部令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第6</w:t>
      </w:r>
      <w:r>
        <w:rPr>
          <w:rFonts w:ascii="宋体" w:hAnsi="宋体"/>
          <w:bCs/>
          <w:szCs w:val="21"/>
        </w:rPr>
        <w:t>7</w:t>
      </w:r>
      <w:r>
        <w:rPr>
          <w:rFonts w:hint="eastAsia" w:ascii="宋体" w:hAnsi="宋体"/>
          <w:bCs/>
          <w:szCs w:val="21"/>
        </w:rPr>
        <w:t>号）</w:t>
      </w:r>
    </w:p>
    <w:p w14:paraId="459CA286">
      <w:pPr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《兽药管理条例》 (中华人民共和国国务院令 第726号）</w:t>
      </w:r>
    </w:p>
    <w:p w14:paraId="40D7793D">
      <w:pPr>
        <w:spacing w:line="360" w:lineRule="auto"/>
        <w:ind w:firstLine="420" w:firstLineChars="200"/>
        <w:jc w:val="left"/>
        <w:rPr>
          <w:rFonts w:ascii="宋体"/>
          <w:szCs w:val="21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1679575</wp:posOffset>
                </wp:positionH>
                <wp:positionV relativeFrom="paragraph">
                  <wp:posOffset>989965</wp:posOffset>
                </wp:positionV>
                <wp:extent cx="1800225" cy="0"/>
                <wp:effectExtent l="0" t="0" r="0" b="0"/>
                <wp:wrapNone/>
                <wp:docPr id="1071082721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chemeClr val="tx1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32.25pt;margin-top:77.95pt;height:0pt;width:141.75pt;z-index:251659264;mso-width-relative:page;mso-height-relative:page;" filled="f" stroked="t" coordsize="21600,21600" o:gfxdata="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mtO/L2AAAAAsB&#10;AAAPAAAAAAAAAAEAIAAAACIAAABkcnMvZG93bnJldi54bWxQSwECFAAUAAAACACHTuJA3RZt5eIB&#10;AADaAwAADgAAAAAAAAABACAAAAAnAQAAZHJzL2Uyb0RvYy54bWxQSwUGAAAAAAYABgBZAQAAewUA&#10;AAAA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/>
          <w:szCs w:val="21"/>
        </w:rPr>
        <w:t>《病死畜禽和病害畜禽产品无害化处理管理办法》 （</w:t>
      </w:r>
      <w:r>
        <w:rPr>
          <w:rFonts w:hint="eastAsia" w:ascii="宋体" w:hAnsi="宋体"/>
          <w:bCs/>
          <w:szCs w:val="21"/>
        </w:rPr>
        <w:t>中华人民共和国农业农村部令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第3号</w:t>
      </w:r>
      <w:r>
        <w:rPr>
          <w:rFonts w:hint="eastAsia" w:ascii="宋体"/>
          <w:szCs w:val="21"/>
        </w:rPr>
        <w:t>）</w:t>
      </w:r>
    </w:p>
    <w:p w14:paraId="65151CF4">
      <w:pPr>
        <w:spacing w:line="360" w:lineRule="auto"/>
        <w:ind w:firstLine="420" w:firstLineChars="200"/>
        <w:jc w:val="left"/>
        <w:rPr>
          <w:rFonts w:ascii="宋体"/>
          <w:szCs w:val="21"/>
        </w:rPr>
      </w:pPr>
    </w:p>
    <w:p w14:paraId="2AC58A92">
      <w:pPr>
        <w:spacing w:line="360" w:lineRule="auto"/>
        <w:ind w:firstLine="420" w:firstLineChars="200"/>
        <w:jc w:val="left"/>
        <w:rPr>
          <w:rFonts w:ascii="宋体"/>
          <w:szCs w:val="21"/>
        </w:rPr>
      </w:pPr>
    </w:p>
    <w:p w14:paraId="7DD412E5">
      <w:pPr>
        <w:spacing w:line="360" w:lineRule="auto"/>
        <w:ind w:firstLine="420" w:firstLineChars="200"/>
        <w:jc w:val="left"/>
        <w:rPr>
          <w:rFonts w:ascii="宋体"/>
          <w:szCs w:val="21"/>
        </w:rPr>
      </w:pPr>
    </w:p>
    <w:p w14:paraId="4927A594">
      <w:pPr>
        <w:spacing w:line="360" w:lineRule="auto"/>
        <w:ind w:firstLine="420" w:firstLineChars="200"/>
        <w:jc w:val="left"/>
        <w:rPr>
          <w:rFonts w:ascii="宋体"/>
          <w:szCs w:val="21"/>
        </w:rPr>
      </w:pPr>
    </w:p>
    <w:p w14:paraId="7CE420EE">
      <w:pPr>
        <w:spacing w:line="360" w:lineRule="auto"/>
        <w:ind w:firstLine="420" w:firstLineChars="200"/>
        <w:jc w:val="left"/>
        <w:rPr>
          <w:rFonts w:ascii="宋体"/>
          <w:szCs w:val="21"/>
        </w:rPr>
      </w:pPr>
    </w:p>
    <w:p w14:paraId="0F181595">
      <w:pPr>
        <w:spacing w:line="360" w:lineRule="auto"/>
        <w:ind w:firstLine="420" w:firstLineChars="200"/>
        <w:jc w:val="left"/>
        <w:rPr>
          <w:rFonts w:ascii="宋体"/>
          <w:szCs w:val="21"/>
        </w:rPr>
      </w:pPr>
    </w:p>
    <w:p w14:paraId="74E9C425">
      <w:pPr>
        <w:widowControl/>
        <w:jc w:val="left"/>
        <w:rPr>
          <w:rFonts w:ascii="宋体"/>
          <w:szCs w:val="21"/>
        </w:rPr>
      </w:pPr>
      <w:r>
        <w:rPr>
          <w:rFonts w:ascii="宋体"/>
          <w:szCs w:val="21"/>
        </w:rPr>
        <w:br w:type="page"/>
      </w:r>
    </w:p>
    <w:p w14:paraId="52469C13">
      <w:pPr>
        <w:spacing w:line="360" w:lineRule="auto"/>
        <w:ind w:firstLine="420" w:firstLineChars="200"/>
        <w:jc w:val="center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附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Cs w:val="21"/>
        </w:rPr>
        <w:t>录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Cs w:val="21"/>
        </w:rPr>
        <w:t>A</w:t>
      </w:r>
    </w:p>
    <w:p w14:paraId="79DE67BB">
      <w:pPr>
        <w:spacing w:line="360" w:lineRule="auto"/>
        <w:ind w:firstLine="420" w:firstLineChars="200"/>
        <w:jc w:val="center"/>
        <w:rPr>
          <w:szCs w:val="21"/>
        </w:rPr>
      </w:pPr>
      <w:r>
        <w:rPr>
          <w:rFonts w:hint="eastAsia" w:ascii="黑体" w:hAnsi="黑体" w:eastAsia="黑体" w:cs="黑体"/>
          <w:szCs w:val="21"/>
        </w:rPr>
        <w:t>（资料性）</w:t>
      </w:r>
    </w:p>
    <w:p w14:paraId="643E612D">
      <w:pPr>
        <w:spacing w:line="360" w:lineRule="auto"/>
        <w:ind w:firstLine="420" w:firstLineChars="200"/>
        <w:jc w:val="center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种鸭参考免疫程序</w:t>
      </w:r>
    </w:p>
    <w:p w14:paraId="4822D915">
      <w:pPr>
        <w:spacing w:line="360" w:lineRule="auto"/>
        <w:rPr>
          <w:szCs w:val="21"/>
        </w:rPr>
      </w:pPr>
      <w:r>
        <w:rPr>
          <w:rFonts w:hint="eastAsia"/>
          <w:szCs w:val="21"/>
        </w:rPr>
        <w:t>A.1 蛋种鸭参考免疫程序，见表A.1。</w:t>
      </w:r>
    </w:p>
    <w:p w14:paraId="7BEEDD62">
      <w:pPr>
        <w:spacing w:before="156" w:beforeLines="50"/>
        <w:ind w:firstLine="420" w:firstLineChars="200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表</w:t>
      </w:r>
      <w:r>
        <w:rPr>
          <w:rFonts w:hint="eastAsia"/>
          <w:szCs w:val="21"/>
        </w:rPr>
        <w:t>A.1</w:t>
      </w:r>
      <w:r>
        <w:rPr>
          <w:rFonts w:hint="eastAsia" w:ascii="黑体" w:hAnsi="黑体" w:eastAsia="黑体"/>
          <w:szCs w:val="21"/>
        </w:rPr>
        <w:t xml:space="preserve"> 蛋种鸭参考免疫程序</w:t>
      </w:r>
    </w:p>
    <w:tbl>
      <w:tblPr>
        <w:tblStyle w:val="1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2468"/>
        <w:gridCol w:w="2523"/>
        <w:gridCol w:w="2407"/>
      </w:tblGrid>
      <w:tr w14:paraId="09E43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vAlign w:val="center"/>
          </w:tcPr>
          <w:p w14:paraId="15AFE1E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日龄/d</w:t>
            </w:r>
          </w:p>
        </w:tc>
        <w:tc>
          <w:tcPr>
            <w:tcW w:w="1447" w:type="pct"/>
            <w:vAlign w:val="center"/>
          </w:tcPr>
          <w:p w14:paraId="17793029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疫苗名称</w:t>
            </w:r>
          </w:p>
        </w:tc>
        <w:tc>
          <w:tcPr>
            <w:tcW w:w="1479" w:type="pct"/>
            <w:vAlign w:val="center"/>
          </w:tcPr>
          <w:p w14:paraId="1F3949F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预防的疾病</w:t>
            </w:r>
          </w:p>
        </w:tc>
        <w:tc>
          <w:tcPr>
            <w:tcW w:w="1411" w:type="pct"/>
            <w:vAlign w:val="center"/>
          </w:tcPr>
          <w:p w14:paraId="73D6937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用法</w:t>
            </w:r>
          </w:p>
        </w:tc>
      </w:tr>
      <w:tr w14:paraId="33034C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vAlign w:val="center"/>
          </w:tcPr>
          <w:p w14:paraId="126571D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447" w:type="pct"/>
            <w:vAlign w:val="center"/>
          </w:tcPr>
          <w:p w14:paraId="58CE07B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鸭病毒性肝炎弱毒苗</w:t>
            </w:r>
          </w:p>
        </w:tc>
        <w:tc>
          <w:tcPr>
            <w:tcW w:w="1479" w:type="pct"/>
            <w:vAlign w:val="center"/>
          </w:tcPr>
          <w:p w14:paraId="730C09C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鸭病毒性肝炎</w:t>
            </w:r>
          </w:p>
        </w:tc>
        <w:tc>
          <w:tcPr>
            <w:tcW w:w="1411" w:type="pct"/>
            <w:vAlign w:val="center"/>
          </w:tcPr>
          <w:p w14:paraId="2FDFAD2C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皮下注射</w:t>
            </w:r>
          </w:p>
        </w:tc>
      </w:tr>
      <w:tr w14:paraId="18C26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vMerge w:val="restart"/>
            <w:vAlign w:val="center"/>
          </w:tcPr>
          <w:p w14:paraId="2093CFBD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1447" w:type="pct"/>
            <w:vAlign w:val="center"/>
          </w:tcPr>
          <w:p w14:paraId="6195595A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鸭黄病毒苗</w:t>
            </w:r>
          </w:p>
        </w:tc>
        <w:tc>
          <w:tcPr>
            <w:tcW w:w="1479" w:type="pct"/>
            <w:vAlign w:val="center"/>
          </w:tcPr>
          <w:p w14:paraId="3991CDC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鸭黄病毒病</w:t>
            </w:r>
          </w:p>
        </w:tc>
        <w:tc>
          <w:tcPr>
            <w:tcW w:w="1411" w:type="pct"/>
            <w:vMerge w:val="restart"/>
            <w:vAlign w:val="center"/>
          </w:tcPr>
          <w:p w14:paraId="29901D5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皮下注射</w:t>
            </w:r>
          </w:p>
        </w:tc>
      </w:tr>
      <w:tr w14:paraId="3B4E3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vMerge w:val="continue"/>
            <w:vAlign w:val="center"/>
          </w:tcPr>
          <w:p w14:paraId="752EC9F0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47" w:type="pct"/>
            <w:vAlign w:val="center"/>
          </w:tcPr>
          <w:p w14:paraId="1F05F02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鸭瘟弱毒苗</w:t>
            </w:r>
          </w:p>
        </w:tc>
        <w:tc>
          <w:tcPr>
            <w:tcW w:w="1479" w:type="pct"/>
            <w:vAlign w:val="center"/>
          </w:tcPr>
          <w:p w14:paraId="41DBCF1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鸭瘟</w:t>
            </w:r>
          </w:p>
        </w:tc>
        <w:tc>
          <w:tcPr>
            <w:tcW w:w="1411" w:type="pct"/>
            <w:vMerge w:val="continue"/>
            <w:vAlign w:val="center"/>
          </w:tcPr>
          <w:p w14:paraId="28A41F37">
            <w:pPr>
              <w:jc w:val="center"/>
              <w:rPr>
                <w:rFonts w:hint="eastAsia" w:ascii="宋体" w:hAnsi="宋体"/>
              </w:rPr>
            </w:pPr>
          </w:p>
        </w:tc>
      </w:tr>
      <w:tr w14:paraId="55608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vAlign w:val="center"/>
          </w:tcPr>
          <w:p w14:paraId="42DA773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1447" w:type="pct"/>
            <w:vAlign w:val="center"/>
          </w:tcPr>
          <w:p w14:paraId="521B73D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禽流感病毒（H5+H7）灭活苗</w:t>
            </w:r>
          </w:p>
        </w:tc>
        <w:tc>
          <w:tcPr>
            <w:tcW w:w="1479" w:type="pct"/>
            <w:vAlign w:val="center"/>
          </w:tcPr>
          <w:p w14:paraId="023794D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禽流感</w:t>
            </w:r>
          </w:p>
        </w:tc>
        <w:tc>
          <w:tcPr>
            <w:tcW w:w="1411" w:type="pct"/>
            <w:vAlign w:val="center"/>
          </w:tcPr>
          <w:p w14:paraId="2955A32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皮下注射</w:t>
            </w:r>
          </w:p>
        </w:tc>
      </w:tr>
      <w:tr w14:paraId="59F75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vAlign w:val="center"/>
          </w:tcPr>
          <w:p w14:paraId="743ED703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28</w:t>
            </w:r>
          </w:p>
        </w:tc>
        <w:tc>
          <w:tcPr>
            <w:tcW w:w="1447" w:type="pct"/>
            <w:vAlign w:val="center"/>
          </w:tcPr>
          <w:p w14:paraId="29CB882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鸭黄病毒苗</w:t>
            </w:r>
          </w:p>
        </w:tc>
        <w:tc>
          <w:tcPr>
            <w:tcW w:w="1479" w:type="pct"/>
            <w:vAlign w:val="center"/>
          </w:tcPr>
          <w:p w14:paraId="0032EF9A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鸭黄病毒病</w:t>
            </w:r>
          </w:p>
        </w:tc>
        <w:tc>
          <w:tcPr>
            <w:tcW w:w="1411" w:type="pct"/>
            <w:vMerge w:val="restart"/>
            <w:vAlign w:val="center"/>
          </w:tcPr>
          <w:p w14:paraId="3D1E9999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肌肉注射</w:t>
            </w:r>
          </w:p>
        </w:tc>
      </w:tr>
      <w:tr w14:paraId="7BDA5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vAlign w:val="center"/>
          </w:tcPr>
          <w:p w14:paraId="006B0944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70</w:t>
            </w:r>
          </w:p>
        </w:tc>
        <w:tc>
          <w:tcPr>
            <w:tcW w:w="1447" w:type="pct"/>
            <w:vAlign w:val="center"/>
          </w:tcPr>
          <w:p w14:paraId="254F14A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鸭瘟弱毒苗</w:t>
            </w:r>
          </w:p>
        </w:tc>
        <w:tc>
          <w:tcPr>
            <w:tcW w:w="1479" w:type="pct"/>
            <w:vAlign w:val="center"/>
          </w:tcPr>
          <w:p w14:paraId="65D7FED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鸭瘟</w:t>
            </w:r>
          </w:p>
        </w:tc>
        <w:tc>
          <w:tcPr>
            <w:tcW w:w="1411" w:type="pct"/>
            <w:vMerge w:val="continue"/>
            <w:vAlign w:val="center"/>
          </w:tcPr>
          <w:p w14:paraId="2A578D74">
            <w:pPr>
              <w:jc w:val="center"/>
              <w:rPr>
                <w:rFonts w:hint="eastAsia" w:ascii="宋体" w:hAnsi="宋体"/>
              </w:rPr>
            </w:pPr>
          </w:p>
        </w:tc>
      </w:tr>
      <w:tr w14:paraId="73932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vAlign w:val="center"/>
          </w:tcPr>
          <w:p w14:paraId="0359DA4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100</w:t>
            </w:r>
          </w:p>
        </w:tc>
        <w:tc>
          <w:tcPr>
            <w:tcW w:w="1447" w:type="pct"/>
            <w:vAlign w:val="center"/>
          </w:tcPr>
          <w:p w14:paraId="29188C5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禽流感（H5+H7）灭活苗</w:t>
            </w:r>
          </w:p>
        </w:tc>
        <w:tc>
          <w:tcPr>
            <w:tcW w:w="1479" w:type="pct"/>
            <w:vAlign w:val="center"/>
          </w:tcPr>
          <w:p w14:paraId="2DCDEE8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禽流感</w:t>
            </w:r>
          </w:p>
        </w:tc>
        <w:tc>
          <w:tcPr>
            <w:tcW w:w="1411" w:type="pct"/>
            <w:vAlign w:val="center"/>
          </w:tcPr>
          <w:p w14:paraId="50449EF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肌肉注射</w:t>
            </w:r>
          </w:p>
        </w:tc>
      </w:tr>
      <w:tr w14:paraId="782E7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4"/>
            <w:vAlign w:val="center"/>
          </w:tcPr>
          <w:p w14:paraId="70834D04">
            <w:pPr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注：</w:t>
            </w:r>
            <w:r>
              <w:rPr>
                <w:rFonts w:hint="eastAsia" w:ascii="宋体" w:hAnsi="宋体"/>
                <w:szCs w:val="21"/>
              </w:rPr>
              <w:t>具体免疫程序和剂量可参考疫苗产品说明书。</w:t>
            </w:r>
          </w:p>
        </w:tc>
      </w:tr>
    </w:tbl>
    <w:p w14:paraId="29CEF60B">
      <w:pPr>
        <w:spacing w:line="360" w:lineRule="auto"/>
        <w:rPr>
          <w:szCs w:val="21"/>
        </w:rPr>
      </w:pPr>
    </w:p>
    <w:p w14:paraId="03C1D4FF">
      <w:pPr>
        <w:spacing w:line="360" w:lineRule="auto"/>
        <w:rPr>
          <w:szCs w:val="21"/>
        </w:rPr>
      </w:pPr>
      <w:r>
        <w:rPr>
          <w:rFonts w:hint="eastAsia"/>
          <w:szCs w:val="21"/>
        </w:rPr>
        <w:t>A.2 肉种鸭参考免疫程序，见表A.2。</w:t>
      </w:r>
    </w:p>
    <w:p w14:paraId="3E14FBAD">
      <w:pPr>
        <w:spacing w:before="156" w:beforeLines="50"/>
        <w:ind w:firstLine="420" w:firstLineChars="200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表</w:t>
      </w:r>
      <w:r>
        <w:rPr>
          <w:rFonts w:hint="eastAsia"/>
          <w:szCs w:val="21"/>
        </w:rPr>
        <w:t>A.2</w:t>
      </w:r>
      <w:r>
        <w:rPr>
          <w:rFonts w:hint="eastAsia" w:ascii="黑体" w:hAnsi="黑体" w:eastAsia="黑体"/>
          <w:szCs w:val="21"/>
        </w:rPr>
        <w:t xml:space="preserve"> 肉种鸭参考免疫程序</w:t>
      </w:r>
    </w:p>
    <w:tbl>
      <w:tblPr>
        <w:tblStyle w:val="1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2468"/>
        <w:gridCol w:w="2523"/>
        <w:gridCol w:w="2407"/>
      </w:tblGrid>
      <w:tr w14:paraId="1A9CF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shd w:val="clear" w:color="auto" w:fill="auto"/>
            <w:vAlign w:val="center"/>
          </w:tcPr>
          <w:p w14:paraId="4607E8CD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日龄/d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387AC8DB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疫苗名称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59783EDE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预防的疾病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7510A529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用法</w:t>
            </w:r>
          </w:p>
        </w:tc>
      </w:tr>
      <w:tr w14:paraId="0B654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shd w:val="clear" w:color="auto" w:fill="auto"/>
            <w:vAlign w:val="center"/>
          </w:tcPr>
          <w:p w14:paraId="1412B51D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2CBACBBD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鸭病毒性肝炎弱毒苗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1526DFF7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鸭病毒性肝炎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0F6AB317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皮下</w:t>
            </w:r>
          </w:p>
        </w:tc>
      </w:tr>
      <w:tr w14:paraId="315FF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shd w:val="clear" w:color="auto" w:fill="auto"/>
            <w:vAlign w:val="center"/>
          </w:tcPr>
          <w:p w14:paraId="468395E0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4119835F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鸭传染性浆膜炎灭活苗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0AD1BAEB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鸭传染性浆膜炎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2AFC6FF6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皮下注射</w:t>
            </w:r>
          </w:p>
        </w:tc>
      </w:tr>
      <w:tr w14:paraId="1AB76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shd w:val="clear" w:color="auto" w:fill="auto"/>
            <w:vAlign w:val="center"/>
          </w:tcPr>
          <w:p w14:paraId="49D6A30F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4A3A50F6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禽流感病毒（H5+H7）灭活苗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3A40D764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禽流感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6493F1FD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皮下注射</w:t>
            </w:r>
          </w:p>
        </w:tc>
      </w:tr>
      <w:tr w14:paraId="0B73C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shd w:val="clear" w:color="auto" w:fill="auto"/>
            <w:vAlign w:val="center"/>
          </w:tcPr>
          <w:p w14:paraId="0A253370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21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5032FBAB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鸭病毒性肝炎弱毒苗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4EEDC0DD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鸭病毒性肝炎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120CADCA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皮下或肌肉注射</w:t>
            </w:r>
          </w:p>
        </w:tc>
      </w:tr>
      <w:tr w14:paraId="70A841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shd w:val="clear" w:color="auto" w:fill="auto"/>
            <w:vAlign w:val="center"/>
          </w:tcPr>
          <w:p w14:paraId="73ABA916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28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1B82983F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鸭传染性浆膜炎灭活苗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7C17680C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鸭传染性浆膜炎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28FF9949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皮下注射</w:t>
            </w:r>
          </w:p>
        </w:tc>
      </w:tr>
      <w:tr w14:paraId="29407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shd w:val="clear" w:color="auto" w:fill="auto"/>
            <w:vAlign w:val="center"/>
          </w:tcPr>
          <w:p w14:paraId="01F850CB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56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2E40331F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鸭黄病毒苗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6FF5E8A7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鸭黄病毒病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7EB4EF2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皮下注射</w:t>
            </w:r>
          </w:p>
        </w:tc>
      </w:tr>
      <w:tr w14:paraId="0AD2A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shd w:val="clear" w:color="auto" w:fill="auto"/>
            <w:vAlign w:val="center"/>
          </w:tcPr>
          <w:p w14:paraId="287786DB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84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0C7D4E29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禽流感（H5+H7）灭活苗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3E2C4320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禽流感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318005C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肌肉注射</w:t>
            </w:r>
          </w:p>
        </w:tc>
      </w:tr>
      <w:tr w14:paraId="34556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shd w:val="clear" w:color="auto" w:fill="auto"/>
            <w:vAlign w:val="center"/>
          </w:tcPr>
          <w:p w14:paraId="4F24239F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133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38776C78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鸭肝炎</w:t>
            </w:r>
            <w:r>
              <w:rPr>
                <w:rFonts w:hint="eastAsia" w:ascii="宋体" w:hAnsi="宋体"/>
              </w:rPr>
              <w:t>灭活苗和</w:t>
            </w:r>
            <w:r>
              <w:rPr>
                <w:rFonts w:ascii="宋体" w:hAnsi="宋体"/>
              </w:rPr>
              <w:t>呼肠孤</w:t>
            </w:r>
            <w:r>
              <w:rPr>
                <w:rFonts w:hint="eastAsia" w:ascii="宋体" w:hAnsi="宋体"/>
              </w:rPr>
              <w:t>灭活苗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58890C09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鸭病毒性肝炎、鸭呼肠孤病毒病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1C9FAA4F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胸肌注射</w:t>
            </w:r>
          </w:p>
        </w:tc>
      </w:tr>
      <w:tr w14:paraId="4BACF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3" w:type="pct"/>
            <w:shd w:val="clear" w:color="auto" w:fill="auto"/>
            <w:vAlign w:val="center"/>
          </w:tcPr>
          <w:p w14:paraId="4B7FBC2B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154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7E62A0BF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鸭肝炎</w:t>
            </w:r>
            <w:r>
              <w:rPr>
                <w:rFonts w:hint="eastAsia" w:ascii="宋体" w:hAnsi="宋体"/>
              </w:rPr>
              <w:t>灭活苗和</w:t>
            </w:r>
            <w:r>
              <w:rPr>
                <w:rFonts w:ascii="宋体" w:hAnsi="宋体"/>
              </w:rPr>
              <w:t>呼肠孤</w:t>
            </w:r>
            <w:r>
              <w:rPr>
                <w:rFonts w:hint="eastAsia" w:ascii="宋体" w:hAnsi="宋体"/>
              </w:rPr>
              <w:t>灭活苗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28BDCB81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鸭病毒性肝炎、鸭呼肠孤病毒病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1434E11E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胸肌注射</w:t>
            </w:r>
          </w:p>
        </w:tc>
      </w:tr>
      <w:tr w14:paraId="4631D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5F79592">
            <w:pPr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黑体" w:hAnsi="黑体" w:eastAsia="黑体"/>
                <w:szCs w:val="21"/>
              </w:rPr>
              <w:t>注：</w:t>
            </w:r>
            <w:r>
              <w:rPr>
                <w:rFonts w:hint="eastAsia" w:ascii="宋体" w:hAnsi="宋体"/>
                <w:szCs w:val="21"/>
              </w:rPr>
              <w:t>具体免疫程序和剂量可参考疫苗产品说明书。</w:t>
            </w:r>
          </w:p>
        </w:tc>
      </w:tr>
    </w:tbl>
    <w:p w14:paraId="022074AA">
      <w:pPr>
        <w:spacing w:line="360" w:lineRule="auto"/>
        <w:ind w:firstLine="420" w:firstLineChars="200"/>
        <w:rPr>
          <w:szCs w:val="21"/>
        </w:rPr>
      </w:pPr>
    </w:p>
    <w:p w14:paraId="32284C5D">
      <w:pPr>
        <w:widowControl/>
        <w:jc w:val="center"/>
        <w:rPr>
          <w:szCs w:val="21"/>
        </w:rPr>
      </w:pPr>
      <w:r>
        <w:rPr>
          <w:rFonts w:hint="eastAsia"/>
        </w:rPr>
        <w:drawing>
          <wp:inline distT="0" distB="0" distL="0" distR="0">
            <wp:extent cx="1485900" cy="317500"/>
            <wp:effectExtent l="0" t="0" r="0" b="0"/>
            <wp:docPr id="1864607168" name="图片 1864607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607168" name="图片 186460716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77548">
      <w:pPr>
        <w:spacing w:line="360" w:lineRule="auto"/>
        <w:ind w:firstLine="420" w:firstLineChars="200"/>
        <w:jc w:val="left"/>
        <w:rPr>
          <w:rFonts w:ascii="宋体"/>
          <w:szCs w:val="21"/>
        </w:rPr>
      </w:pPr>
    </w:p>
    <w:sectPr>
      <w:pgSz w:w="11906" w:h="16838"/>
      <w:pgMar w:top="1134" w:right="1797" w:bottom="1134" w:left="1797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5744B2">
    <w:pPr>
      <w:pStyle w:val="35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II</w:t>
    </w:r>
    <w:r>
      <w:rPr>
        <w:rStyle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D96A1">
    <w:pPr>
      <w:pStyle w:val="34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6</w:t>
    </w:r>
    <w:r>
      <w:rPr>
        <w:rStyle w:val="21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65F44">
    <w:pPr>
      <w:pStyle w:val="33"/>
    </w:pPr>
    <w:r>
      <w:t>GB 19082—2003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9C057">
    <w:pPr>
      <w:pStyle w:val="32"/>
      <w:rPr>
        <w:sz w:val="18"/>
        <w:szCs w:val="18"/>
      </w:rPr>
    </w:pPr>
    <w:r>
      <w:rPr>
        <w:sz w:val="18"/>
        <w:szCs w:val="18"/>
      </w:rPr>
      <w:t>GB</w:t>
    </w:r>
    <w:r>
      <w:rPr>
        <w:rFonts w:hint="eastAsia"/>
        <w:sz w:val="18"/>
        <w:szCs w:val="18"/>
      </w:rPr>
      <w:t>/T</w:t>
    </w:r>
    <w:r>
      <w:rPr>
        <w:sz w:val="18"/>
        <w:szCs w:val="18"/>
      </w:rPr>
      <w:t xml:space="preserve"> </w:t>
    </w:r>
    <w:r>
      <w:rPr>
        <w:rFonts w:hint="eastAsia"/>
        <w:sz w:val="18"/>
        <w:szCs w:val="18"/>
      </w:rPr>
      <w:t>×××－×××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6B1241">
    <w:pPr>
      <w:pStyle w:val="36"/>
      <w:wordWrap w:val="0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1E424">
    <w:pPr>
      <w:pStyle w:val="36"/>
      <w:wordWrap w:val="0"/>
      <w:jc w:val="right"/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 xml:space="preserve">                                                              DB32/T ×××</w:t>
    </w:r>
    <w:r>
      <w:t>—</w:t>
    </w:r>
    <w:r>
      <w:rPr>
        <w:rFonts w:hint="eastAsia"/>
      </w:rPr>
      <w:t>20</w:t>
    </w:r>
    <w:r>
      <w:t>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iNmRiNzg5OGJiZTkwNDliNDY2Zjk3MzRlNDYzYTQifQ=="/>
  </w:docVars>
  <w:rsids>
    <w:rsidRoot w:val="00A11703"/>
    <w:rsid w:val="00002817"/>
    <w:rsid w:val="000042C8"/>
    <w:rsid w:val="000051A2"/>
    <w:rsid w:val="000059C1"/>
    <w:rsid w:val="00011B42"/>
    <w:rsid w:val="00012914"/>
    <w:rsid w:val="00014BBB"/>
    <w:rsid w:val="00015861"/>
    <w:rsid w:val="00016291"/>
    <w:rsid w:val="000200E6"/>
    <w:rsid w:val="0002279A"/>
    <w:rsid w:val="00023C01"/>
    <w:rsid w:val="00027526"/>
    <w:rsid w:val="0002796C"/>
    <w:rsid w:val="00033783"/>
    <w:rsid w:val="00040C66"/>
    <w:rsid w:val="0004188A"/>
    <w:rsid w:val="00043981"/>
    <w:rsid w:val="00056C73"/>
    <w:rsid w:val="00060407"/>
    <w:rsid w:val="00060A05"/>
    <w:rsid w:val="00062F2D"/>
    <w:rsid w:val="00064932"/>
    <w:rsid w:val="000668C5"/>
    <w:rsid w:val="0006788B"/>
    <w:rsid w:val="000679A2"/>
    <w:rsid w:val="00071EF0"/>
    <w:rsid w:val="00072AF9"/>
    <w:rsid w:val="000772C0"/>
    <w:rsid w:val="00086860"/>
    <w:rsid w:val="00087790"/>
    <w:rsid w:val="000939B2"/>
    <w:rsid w:val="00096246"/>
    <w:rsid w:val="000967B7"/>
    <w:rsid w:val="00097390"/>
    <w:rsid w:val="000A104A"/>
    <w:rsid w:val="000A4FCC"/>
    <w:rsid w:val="000A7C3E"/>
    <w:rsid w:val="000B37D2"/>
    <w:rsid w:val="000B3BFA"/>
    <w:rsid w:val="000B4920"/>
    <w:rsid w:val="000B562D"/>
    <w:rsid w:val="000C1278"/>
    <w:rsid w:val="000C34AE"/>
    <w:rsid w:val="000C7CB1"/>
    <w:rsid w:val="000D0C9D"/>
    <w:rsid w:val="000D1844"/>
    <w:rsid w:val="000D6DB2"/>
    <w:rsid w:val="000E347F"/>
    <w:rsid w:val="000F2856"/>
    <w:rsid w:val="000F7D45"/>
    <w:rsid w:val="00100EE4"/>
    <w:rsid w:val="001052FA"/>
    <w:rsid w:val="001071E2"/>
    <w:rsid w:val="00111037"/>
    <w:rsid w:val="00112341"/>
    <w:rsid w:val="00120E73"/>
    <w:rsid w:val="001227E1"/>
    <w:rsid w:val="00130726"/>
    <w:rsid w:val="0013248A"/>
    <w:rsid w:val="00133FD5"/>
    <w:rsid w:val="00137249"/>
    <w:rsid w:val="001404C1"/>
    <w:rsid w:val="0014492C"/>
    <w:rsid w:val="0014507C"/>
    <w:rsid w:val="00151D2C"/>
    <w:rsid w:val="00152F8F"/>
    <w:rsid w:val="00155FC2"/>
    <w:rsid w:val="00160EED"/>
    <w:rsid w:val="00164244"/>
    <w:rsid w:val="001642FA"/>
    <w:rsid w:val="00166821"/>
    <w:rsid w:val="00167E84"/>
    <w:rsid w:val="00173596"/>
    <w:rsid w:val="00174C5C"/>
    <w:rsid w:val="00175684"/>
    <w:rsid w:val="00176CCF"/>
    <w:rsid w:val="001828A4"/>
    <w:rsid w:val="00185C7B"/>
    <w:rsid w:val="001866F7"/>
    <w:rsid w:val="00190109"/>
    <w:rsid w:val="00192E02"/>
    <w:rsid w:val="00197BE1"/>
    <w:rsid w:val="001A17BA"/>
    <w:rsid w:val="001A636D"/>
    <w:rsid w:val="001A7380"/>
    <w:rsid w:val="001A7F98"/>
    <w:rsid w:val="001B0CCA"/>
    <w:rsid w:val="001B6624"/>
    <w:rsid w:val="001C27BB"/>
    <w:rsid w:val="001D1943"/>
    <w:rsid w:val="001D2EC3"/>
    <w:rsid w:val="001E3932"/>
    <w:rsid w:val="001E40C0"/>
    <w:rsid w:val="001E49CE"/>
    <w:rsid w:val="001F0246"/>
    <w:rsid w:val="001F5267"/>
    <w:rsid w:val="001F54B7"/>
    <w:rsid w:val="001F78DE"/>
    <w:rsid w:val="001F79C8"/>
    <w:rsid w:val="00205F29"/>
    <w:rsid w:val="00207966"/>
    <w:rsid w:val="00212318"/>
    <w:rsid w:val="0021456C"/>
    <w:rsid w:val="002146DA"/>
    <w:rsid w:val="002174C0"/>
    <w:rsid w:val="00217A92"/>
    <w:rsid w:val="00223730"/>
    <w:rsid w:val="0022475D"/>
    <w:rsid w:val="002250BB"/>
    <w:rsid w:val="00226754"/>
    <w:rsid w:val="0023146E"/>
    <w:rsid w:val="00237FBA"/>
    <w:rsid w:val="0024293B"/>
    <w:rsid w:val="00244A63"/>
    <w:rsid w:val="002461C5"/>
    <w:rsid w:val="00250741"/>
    <w:rsid w:val="00250C36"/>
    <w:rsid w:val="0025247C"/>
    <w:rsid w:val="002540D5"/>
    <w:rsid w:val="00255516"/>
    <w:rsid w:val="00257D50"/>
    <w:rsid w:val="00260523"/>
    <w:rsid w:val="0026175B"/>
    <w:rsid w:val="00262359"/>
    <w:rsid w:val="002644A2"/>
    <w:rsid w:val="00273259"/>
    <w:rsid w:val="00273E1A"/>
    <w:rsid w:val="002754DF"/>
    <w:rsid w:val="0027638D"/>
    <w:rsid w:val="00284AA4"/>
    <w:rsid w:val="002904B4"/>
    <w:rsid w:val="00290663"/>
    <w:rsid w:val="002920B8"/>
    <w:rsid w:val="0029492F"/>
    <w:rsid w:val="002A1614"/>
    <w:rsid w:val="002A5AEE"/>
    <w:rsid w:val="002A5F90"/>
    <w:rsid w:val="002A78AA"/>
    <w:rsid w:val="002B0256"/>
    <w:rsid w:val="002B054E"/>
    <w:rsid w:val="002B2AAE"/>
    <w:rsid w:val="002B4473"/>
    <w:rsid w:val="002B4AF8"/>
    <w:rsid w:val="002B7583"/>
    <w:rsid w:val="002B7E0A"/>
    <w:rsid w:val="002C13F7"/>
    <w:rsid w:val="002C18C7"/>
    <w:rsid w:val="002C343C"/>
    <w:rsid w:val="002C5157"/>
    <w:rsid w:val="002C6655"/>
    <w:rsid w:val="002D2D87"/>
    <w:rsid w:val="002D3BEF"/>
    <w:rsid w:val="002D46B5"/>
    <w:rsid w:val="002D6248"/>
    <w:rsid w:val="002E0EE3"/>
    <w:rsid w:val="002E1A39"/>
    <w:rsid w:val="002E3005"/>
    <w:rsid w:val="002E638D"/>
    <w:rsid w:val="002E6ADA"/>
    <w:rsid w:val="002F2243"/>
    <w:rsid w:val="002F2FBF"/>
    <w:rsid w:val="002F53BB"/>
    <w:rsid w:val="002F6B47"/>
    <w:rsid w:val="002F6F8A"/>
    <w:rsid w:val="00303143"/>
    <w:rsid w:val="00306429"/>
    <w:rsid w:val="00321487"/>
    <w:rsid w:val="00321783"/>
    <w:rsid w:val="003219A3"/>
    <w:rsid w:val="00326DEC"/>
    <w:rsid w:val="003349BA"/>
    <w:rsid w:val="00335DE6"/>
    <w:rsid w:val="00340B26"/>
    <w:rsid w:val="00340FA7"/>
    <w:rsid w:val="00341770"/>
    <w:rsid w:val="00342407"/>
    <w:rsid w:val="00345142"/>
    <w:rsid w:val="003536EC"/>
    <w:rsid w:val="00354C5C"/>
    <w:rsid w:val="00357630"/>
    <w:rsid w:val="00366045"/>
    <w:rsid w:val="00373D52"/>
    <w:rsid w:val="003750BB"/>
    <w:rsid w:val="00376B5C"/>
    <w:rsid w:val="00385CC8"/>
    <w:rsid w:val="003873BE"/>
    <w:rsid w:val="00387712"/>
    <w:rsid w:val="00387D63"/>
    <w:rsid w:val="00395E47"/>
    <w:rsid w:val="003963CC"/>
    <w:rsid w:val="00397736"/>
    <w:rsid w:val="003A365B"/>
    <w:rsid w:val="003A3AF3"/>
    <w:rsid w:val="003B002E"/>
    <w:rsid w:val="003B5302"/>
    <w:rsid w:val="003B583C"/>
    <w:rsid w:val="003B726B"/>
    <w:rsid w:val="003B786C"/>
    <w:rsid w:val="003C58DA"/>
    <w:rsid w:val="003D0393"/>
    <w:rsid w:val="003D1F44"/>
    <w:rsid w:val="003D43E2"/>
    <w:rsid w:val="003E3DB8"/>
    <w:rsid w:val="003E5BB4"/>
    <w:rsid w:val="003E7AF5"/>
    <w:rsid w:val="003F5104"/>
    <w:rsid w:val="003F5B6F"/>
    <w:rsid w:val="003F6819"/>
    <w:rsid w:val="00400C1C"/>
    <w:rsid w:val="004014A8"/>
    <w:rsid w:val="00405D6B"/>
    <w:rsid w:val="00412914"/>
    <w:rsid w:val="00412EBD"/>
    <w:rsid w:val="00415A36"/>
    <w:rsid w:val="00420F50"/>
    <w:rsid w:val="004215DB"/>
    <w:rsid w:val="00422E3D"/>
    <w:rsid w:val="00430868"/>
    <w:rsid w:val="004435DF"/>
    <w:rsid w:val="00445C0E"/>
    <w:rsid w:val="00447934"/>
    <w:rsid w:val="00447CBC"/>
    <w:rsid w:val="00462E05"/>
    <w:rsid w:val="0046368C"/>
    <w:rsid w:val="00466D3B"/>
    <w:rsid w:val="00467BB4"/>
    <w:rsid w:val="00471290"/>
    <w:rsid w:val="00472391"/>
    <w:rsid w:val="00476BFF"/>
    <w:rsid w:val="00476D40"/>
    <w:rsid w:val="00482324"/>
    <w:rsid w:val="00483E19"/>
    <w:rsid w:val="00484220"/>
    <w:rsid w:val="004864CA"/>
    <w:rsid w:val="00486F59"/>
    <w:rsid w:val="00487C30"/>
    <w:rsid w:val="004902EA"/>
    <w:rsid w:val="00491A14"/>
    <w:rsid w:val="00496A57"/>
    <w:rsid w:val="004A28BB"/>
    <w:rsid w:val="004A63E9"/>
    <w:rsid w:val="004A6F6D"/>
    <w:rsid w:val="004A7039"/>
    <w:rsid w:val="004B10BC"/>
    <w:rsid w:val="004B15B4"/>
    <w:rsid w:val="004B34CB"/>
    <w:rsid w:val="004B4468"/>
    <w:rsid w:val="004B6046"/>
    <w:rsid w:val="004B6AB5"/>
    <w:rsid w:val="004C36A2"/>
    <w:rsid w:val="004C6AC2"/>
    <w:rsid w:val="004D0C41"/>
    <w:rsid w:val="004D116B"/>
    <w:rsid w:val="004D29A3"/>
    <w:rsid w:val="004D5204"/>
    <w:rsid w:val="004E4692"/>
    <w:rsid w:val="004E7ECF"/>
    <w:rsid w:val="004F0393"/>
    <w:rsid w:val="004F6329"/>
    <w:rsid w:val="00501F5F"/>
    <w:rsid w:val="00505ACB"/>
    <w:rsid w:val="0051361C"/>
    <w:rsid w:val="00517FE3"/>
    <w:rsid w:val="005206A4"/>
    <w:rsid w:val="00524125"/>
    <w:rsid w:val="00530512"/>
    <w:rsid w:val="00531511"/>
    <w:rsid w:val="00532383"/>
    <w:rsid w:val="00533175"/>
    <w:rsid w:val="00535638"/>
    <w:rsid w:val="00535B6B"/>
    <w:rsid w:val="00535C69"/>
    <w:rsid w:val="00536D34"/>
    <w:rsid w:val="00537143"/>
    <w:rsid w:val="005418F1"/>
    <w:rsid w:val="0054501E"/>
    <w:rsid w:val="00547293"/>
    <w:rsid w:val="00550475"/>
    <w:rsid w:val="00561A96"/>
    <w:rsid w:val="0056214A"/>
    <w:rsid w:val="00570823"/>
    <w:rsid w:val="00571282"/>
    <w:rsid w:val="00577378"/>
    <w:rsid w:val="005808FF"/>
    <w:rsid w:val="00580F14"/>
    <w:rsid w:val="00583084"/>
    <w:rsid w:val="00584B2A"/>
    <w:rsid w:val="00586123"/>
    <w:rsid w:val="00587F1A"/>
    <w:rsid w:val="0059002D"/>
    <w:rsid w:val="005916F7"/>
    <w:rsid w:val="00594DFA"/>
    <w:rsid w:val="00596E5D"/>
    <w:rsid w:val="005A28CF"/>
    <w:rsid w:val="005A3744"/>
    <w:rsid w:val="005A5188"/>
    <w:rsid w:val="005A52D9"/>
    <w:rsid w:val="005A7807"/>
    <w:rsid w:val="005B0D7E"/>
    <w:rsid w:val="005B1DD1"/>
    <w:rsid w:val="005C06F9"/>
    <w:rsid w:val="005C2FB5"/>
    <w:rsid w:val="005C2FC5"/>
    <w:rsid w:val="005C309E"/>
    <w:rsid w:val="005C3144"/>
    <w:rsid w:val="005C6FE8"/>
    <w:rsid w:val="005C7B4D"/>
    <w:rsid w:val="005D6741"/>
    <w:rsid w:val="005E75B9"/>
    <w:rsid w:val="005F1155"/>
    <w:rsid w:val="005F1A11"/>
    <w:rsid w:val="005F7F45"/>
    <w:rsid w:val="00600ADA"/>
    <w:rsid w:val="00601C94"/>
    <w:rsid w:val="00602F08"/>
    <w:rsid w:val="00604508"/>
    <w:rsid w:val="0060450F"/>
    <w:rsid w:val="00604CE4"/>
    <w:rsid w:val="00604E27"/>
    <w:rsid w:val="006062AA"/>
    <w:rsid w:val="006064AD"/>
    <w:rsid w:val="00606EF0"/>
    <w:rsid w:val="00613372"/>
    <w:rsid w:val="006146AB"/>
    <w:rsid w:val="0061522D"/>
    <w:rsid w:val="0061537D"/>
    <w:rsid w:val="00625D09"/>
    <w:rsid w:val="006304E5"/>
    <w:rsid w:val="00636AC8"/>
    <w:rsid w:val="0064170C"/>
    <w:rsid w:val="0064221B"/>
    <w:rsid w:val="0064361D"/>
    <w:rsid w:val="00645287"/>
    <w:rsid w:val="0065018C"/>
    <w:rsid w:val="00654B3B"/>
    <w:rsid w:val="0066060C"/>
    <w:rsid w:val="0066294D"/>
    <w:rsid w:val="00664CAA"/>
    <w:rsid w:val="00665940"/>
    <w:rsid w:val="006823FD"/>
    <w:rsid w:val="00685DBB"/>
    <w:rsid w:val="00686B16"/>
    <w:rsid w:val="00690936"/>
    <w:rsid w:val="006939BD"/>
    <w:rsid w:val="00693E66"/>
    <w:rsid w:val="006965E5"/>
    <w:rsid w:val="006974B9"/>
    <w:rsid w:val="0069772E"/>
    <w:rsid w:val="00697CC8"/>
    <w:rsid w:val="006A00B2"/>
    <w:rsid w:val="006A404A"/>
    <w:rsid w:val="006A7DF7"/>
    <w:rsid w:val="006B562F"/>
    <w:rsid w:val="006C0096"/>
    <w:rsid w:val="006C2BAE"/>
    <w:rsid w:val="006C5063"/>
    <w:rsid w:val="006C704E"/>
    <w:rsid w:val="006D3FCA"/>
    <w:rsid w:val="006F0147"/>
    <w:rsid w:val="006F1548"/>
    <w:rsid w:val="006F2646"/>
    <w:rsid w:val="006F48C0"/>
    <w:rsid w:val="00700406"/>
    <w:rsid w:val="00704972"/>
    <w:rsid w:val="00705230"/>
    <w:rsid w:val="00705B06"/>
    <w:rsid w:val="00713D71"/>
    <w:rsid w:val="007150B9"/>
    <w:rsid w:val="007155EF"/>
    <w:rsid w:val="00717217"/>
    <w:rsid w:val="00720073"/>
    <w:rsid w:val="007209A6"/>
    <w:rsid w:val="00723839"/>
    <w:rsid w:val="00730AA9"/>
    <w:rsid w:val="00732363"/>
    <w:rsid w:val="00737333"/>
    <w:rsid w:val="00742BFD"/>
    <w:rsid w:val="00753D1A"/>
    <w:rsid w:val="007556E2"/>
    <w:rsid w:val="00757042"/>
    <w:rsid w:val="00757BC6"/>
    <w:rsid w:val="00760DCE"/>
    <w:rsid w:val="0076165D"/>
    <w:rsid w:val="00762933"/>
    <w:rsid w:val="007629BB"/>
    <w:rsid w:val="007629CA"/>
    <w:rsid w:val="00763B77"/>
    <w:rsid w:val="00770AEE"/>
    <w:rsid w:val="00771768"/>
    <w:rsid w:val="00771F87"/>
    <w:rsid w:val="0077340B"/>
    <w:rsid w:val="00773BC0"/>
    <w:rsid w:val="00775FC2"/>
    <w:rsid w:val="0078296D"/>
    <w:rsid w:val="00784D55"/>
    <w:rsid w:val="00785D8E"/>
    <w:rsid w:val="00786F4C"/>
    <w:rsid w:val="00787D3C"/>
    <w:rsid w:val="007908A8"/>
    <w:rsid w:val="007A103C"/>
    <w:rsid w:val="007A2615"/>
    <w:rsid w:val="007A4117"/>
    <w:rsid w:val="007A47D2"/>
    <w:rsid w:val="007A664E"/>
    <w:rsid w:val="007B0EDC"/>
    <w:rsid w:val="007B2B9A"/>
    <w:rsid w:val="007B340A"/>
    <w:rsid w:val="007B4F24"/>
    <w:rsid w:val="007B5E57"/>
    <w:rsid w:val="007C0C20"/>
    <w:rsid w:val="007C2D06"/>
    <w:rsid w:val="007C72FF"/>
    <w:rsid w:val="007C7428"/>
    <w:rsid w:val="007C78CC"/>
    <w:rsid w:val="007D0F10"/>
    <w:rsid w:val="007D3BB3"/>
    <w:rsid w:val="007D4663"/>
    <w:rsid w:val="007E0EE0"/>
    <w:rsid w:val="007E29D5"/>
    <w:rsid w:val="007E61FE"/>
    <w:rsid w:val="007E7FD1"/>
    <w:rsid w:val="007F21ED"/>
    <w:rsid w:val="007F252E"/>
    <w:rsid w:val="0080562E"/>
    <w:rsid w:val="00805C12"/>
    <w:rsid w:val="00810E4D"/>
    <w:rsid w:val="0081189A"/>
    <w:rsid w:val="0081512F"/>
    <w:rsid w:val="00815E95"/>
    <w:rsid w:val="008171A6"/>
    <w:rsid w:val="00822E90"/>
    <w:rsid w:val="00825663"/>
    <w:rsid w:val="00826038"/>
    <w:rsid w:val="00827D82"/>
    <w:rsid w:val="008327EB"/>
    <w:rsid w:val="00833D41"/>
    <w:rsid w:val="008349F0"/>
    <w:rsid w:val="00834FBB"/>
    <w:rsid w:val="0083676C"/>
    <w:rsid w:val="008373F9"/>
    <w:rsid w:val="00837DB2"/>
    <w:rsid w:val="00837F18"/>
    <w:rsid w:val="00840227"/>
    <w:rsid w:val="00840D66"/>
    <w:rsid w:val="008432BB"/>
    <w:rsid w:val="008532A3"/>
    <w:rsid w:val="00853E59"/>
    <w:rsid w:val="00857279"/>
    <w:rsid w:val="00863938"/>
    <w:rsid w:val="00866A8C"/>
    <w:rsid w:val="00874056"/>
    <w:rsid w:val="008756C7"/>
    <w:rsid w:val="00882325"/>
    <w:rsid w:val="00885A1F"/>
    <w:rsid w:val="00895E5E"/>
    <w:rsid w:val="008A0B15"/>
    <w:rsid w:val="008B128D"/>
    <w:rsid w:val="008B2451"/>
    <w:rsid w:val="008B32C7"/>
    <w:rsid w:val="008B571F"/>
    <w:rsid w:val="008C372F"/>
    <w:rsid w:val="008C5AEF"/>
    <w:rsid w:val="008C7331"/>
    <w:rsid w:val="008C7D16"/>
    <w:rsid w:val="008D5479"/>
    <w:rsid w:val="008D618D"/>
    <w:rsid w:val="008D721A"/>
    <w:rsid w:val="008D75FC"/>
    <w:rsid w:val="008E4C53"/>
    <w:rsid w:val="008E5444"/>
    <w:rsid w:val="008F10FD"/>
    <w:rsid w:val="008F794E"/>
    <w:rsid w:val="00907FEC"/>
    <w:rsid w:val="00910D0F"/>
    <w:rsid w:val="00913B18"/>
    <w:rsid w:val="00915A76"/>
    <w:rsid w:val="009166CE"/>
    <w:rsid w:val="009233FB"/>
    <w:rsid w:val="00923B40"/>
    <w:rsid w:val="009241DA"/>
    <w:rsid w:val="00930878"/>
    <w:rsid w:val="009312DA"/>
    <w:rsid w:val="0093200A"/>
    <w:rsid w:val="00933CC6"/>
    <w:rsid w:val="009350C9"/>
    <w:rsid w:val="00946507"/>
    <w:rsid w:val="00946C2F"/>
    <w:rsid w:val="009521A1"/>
    <w:rsid w:val="0095339A"/>
    <w:rsid w:val="00956661"/>
    <w:rsid w:val="00960102"/>
    <w:rsid w:val="00964441"/>
    <w:rsid w:val="0096596D"/>
    <w:rsid w:val="0097042D"/>
    <w:rsid w:val="009711BE"/>
    <w:rsid w:val="0097120F"/>
    <w:rsid w:val="009754FA"/>
    <w:rsid w:val="00976BD8"/>
    <w:rsid w:val="00983FBE"/>
    <w:rsid w:val="00984533"/>
    <w:rsid w:val="00986715"/>
    <w:rsid w:val="0098766C"/>
    <w:rsid w:val="00993EB8"/>
    <w:rsid w:val="0099585C"/>
    <w:rsid w:val="00997520"/>
    <w:rsid w:val="00997757"/>
    <w:rsid w:val="009A0A2E"/>
    <w:rsid w:val="009A3D92"/>
    <w:rsid w:val="009A3F20"/>
    <w:rsid w:val="009A7AB2"/>
    <w:rsid w:val="009B4FDB"/>
    <w:rsid w:val="009B5245"/>
    <w:rsid w:val="009C0D00"/>
    <w:rsid w:val="009C7021"/>
    <w:rsid w:val="009D51C3"/>
    <w:rsid w:val="009D5C44"/>
    <w:rsid w:val="009E1120"/>
    <w:rsid w:val="009E1455"/>
    <w:rsid w:val="009F688F"/>
    <w:rsid w:val="009F71EA"/>
    <w:rsid w:val="009F79E4"/>
    <w:rsid w:val="00A10363"/>
    <w:rsid w:val="00A11703"/>
    <w:rsid w:val="00A137D4"/>
    <w:rsid w:val="00A15A0F"/>
    <w:rsid w:val="00A173FB"/>
    <w:rsid w:val="00A20DF4"/>
    <w:rsid w:val="00A2243D"/>
    <w:rsid w:val="00A24965"/>
    <w:rsid w:val="00A306D0"/>
    <w:rsid w:val="00A31076"/>
    <w:rsid w:val="00A319CF"/>
    <w:rsid w:val="00A32574"/>
    <w:rsid w:val="00A32EBA"/>
    <w:rsid w:val="00A34A7A"/>
    <w:rsid w:val="00A35D8E"/>
    <w:rsid w:val="00A3758B"/>
    <w:rsid w:val="00A42BC7"/>
    <w:rsid w:val="00A464A6"/>
    <w:rsid w:val="00A56702"/>
    <w:rsid w:val="00A66A10"/>
    <w:rsid w:val="00A66A12"/>
    <w:rsid w:val="00A67EF9"/>
    <w:rsid w:val="00A67FE9"/>
    <w:rsid w:val="00A71469"/>
    <w:rsid w:val="00A71696"/>
    <w:rsid w:val="00A77CAB"/>
    <w:rsid w:val="00A80BEE"/>
    <w:rsid w:val="00A83B22"/>
    <w:rsid w:val="00A83EFA"/>
    <w:rsid w:val="00A86A25"/>
    <w:rsid w:val="00A9465D"/>
    <w:rsid w:val="00A9627A"/>
    <w:rsid w:val="00AA3C88"/>
    <w:rsid w:val="00AA5EB0"/>
    <w:rsid w:val="00AB2BEC"/>
    <w:rsid w:val="00AB7A4F"/>
    <w:rsid w:val="00AC23C8"/>
    <w:rsid w:val="00AC25F5"/>
    <w:rsid w:val="00AC5595"/>
    <w:rsid w:val="00AD2DD1"/>
    <w:rsid w:val="00AD31B1"/>
    <w:rsid w:val="00AD4F06"/>
    <w:rsid w:val="00AD613A"/>
    <w:rsid w:val="00AD6420"/>
    <w:rsid w:val="00AE410F"/>
    <w:rsid w:val="00AE7BA9"/>
    <w:rsid w:val="00AE7E71"/>
    <w:rsid w:val="00AF11F3"/>
    <w:rsid w:val="00AF25FD"/>
    <w:rsid w:val="00AF584D"/>
    <w:rsid w:val="00B03CDF"/>
    <w:rsid w:val="00B048F7"/>
    <w:rsid w:val="00B06602"/>
    <w:rsid w:val="00B13191"/>
    <w:rsid w:val="00B17EDE"/>
    <w:rsid w:val="00B22976"/>
    <w:rsid w:val="00B23D5C"/>
    <w:rsid w:val="00B3053E"/>
    <w:rsid w:val="00B306E7"/>
    <w:rsid w:val="00B317B1"/>
    <w:rsid w:val="00B358CC"/>
    <w:rsid w:val="00B375C9"/>
    <w:rsid w:val="00B406BB"/>
    <w:rsid w:val="00B4454A"/>
    <w:rsid w:val="00B44CA0"/>
    <w:rsid w:val="00B47D70"/>
    <w:rsid w:val="00B52296"/>
    <w:rsid w:val="00B54D25"/>
    <w:rsid w:val="00B712F1"/>
    <w:rsid w:val="00B76F05"/>
    <w:rsid w:val="00B80463"/>
    <w:rsid w:val="00B80FDC"/>
    <w:rsid w:val="00B84C1D"/>
    <w:rsid w:val="00B93537"/>
    <w:rsid w:val="00B95877"/>
    <w:rsid w:val="00BA1A97"/>
    <w:rsid w:val="00BA60FA"/>
    <w:rsid w:val="00BA7106"/>
    <w:rsid w:val="00BB1B27"/>
    <w:rsid w:val="00BB2124"/>
    <w:rsid w:val="00BC6338"/>
    <w:rsid w:val="00BD0E7A"/>
    <w:rsid w:val="00BD2265"/>
    <w:rsid w:val="00BD2C10"/>
    <w:rsid w:val="00BD32CD"/>
    <w:rsid w:val="00BD7958"/>
    <w:rsid w:val="00BE0BC5"/>
    <w:rsid w:val="00BE2622"/>
    <w:rsid w:val="00BF35B8"/>
    <w:rsid w:val="00C02C37"/>
    <w:rsid w:val="00C02F73"/>
    <w:rsid w:val="00C03B5C"/>
    <w:rsid w:val="00C073F9"/>
    <w:rsid w:val="00C07769"/>
    <w:rsid w:val="00C10D41"/>
    <w:rsid w:val="00C14FB1"/>
    <w:rsid w:val="00C1656E"/>
    <w:rsid w:val="00C1663A"/>
    <w:rsid w:val="00C2326B"/>
    <w:rsid w:val="00C24221"/>
    <w:rsid w:val="00C24F00"/>
    <w:rsid w:val="00C27886"/>
    <w:rsid w:val="00C307FA"/>
    <w:rsid w:val="00C33D9B"/>
    <w:rsid w:val="00C34E48"/>
    <w:rsid w:val="00C37C36"/>
    <w:rsid w:val="00C37D6B"/>
    <w:rsid w:val="00C40BEF"/>
    <w:rsid w:val="00C4175B"/>
    <w:rsid w:val="00C430FC"/>
    <w:rsid w:val="00C44817"/>
    <w:rsid w:val="00C5102D"/>
    <w:rsid w:val="00C5271B"/>
    <w:rsid w:val="00C52A5E"/>
    <w:rsid w:val="00C6010B"/>
    <w:rsid w:val="00C60642"/>
    <w:rsid w:val="00C6459A"/>
    <w:rsid w:val="00C67C35"/>
    <w:rsid w:val="00C67C42"/>
    <w:rsid w:val="00C706DC"/>
    <w:rsid w:val="00C7432D"/>
    <w:rsid w:val="00C85E70"/>
    <w:rsid w:val="00C9291B"/>
    <w:rsid w:val="00C9675D"/>
    <w:rsid w:val="00C9781E"/>
    <w:rsid w:val="00C97CAB"/>
    <w:rsid w:val="00CA3EB0"/>
    <w:rsid w:val="00CA558A"/>
    <w:rsid w:val="00CA71E8"/>
    <w:rsid w:val="00CC591C"/>
    <w:rsid w:val="00CD1077"/>
    <w:rsid w:val="00CD223D"/>
    <w:rsid w:val="00CD2D76"/>
    <w:rsid w:val="00CD35B0"/>
    <w:rsid w:val="00CD5E23"/>
    <w:rsid w:val="00CE060F"/>
    <w:rsid w:val="00CE1A25"/>
    <w:rsid w:val="00CE49B1"/>
    <w:rsid w:val="00CE4E05"/>
    <w:rsid w:val="00CF0CB0"/>
    <w:rsid w:val="00CF56CE"/>
    <w:rsid w:val="00CF6C77"/>
    <w:rsid w:val="00CF78EB"/>
    <w:rsid w:val="00D00D2E"/>
    <w:rsid w:val="00D00D4A"/>
    <w:rsid w:val="00D016AE"/>
    <w:rsid w:val="00D0554F"/>
    <w:rsid w:val="00D067A2"/>
    <w:rsid w:val="00D1151B"/>
    <w:rsid w:val="00D15E90"/>
    <w:rsid w:val="00D20B3F"/>
    <w:rsid w:val="00D21F44"/>
    <w:rsid w:val="00D23E74"/>
    <w:rsid w:val="00D26CD3"/>
    <w:rsid w:val="00D30FE5"/>
    <w:rsid w:val="00D33152"/>
    <w:rsid w:val="00D3761B"/>
    <w:rsid w:val="00D41F06"/>
    <w:rsid w:val="00D51356"/>
    <w:rsid w:val="00D530B0"/>
    <w:rsid w:val="00D54EC0"/>
    <w:rsid w:val="00D574A5"/>
    <w:rsid w:val="00D6096D"/>
    <w:rsid w:val="00D62453"/>
    <w:rsid w:val="00D656B1"/>
    <w:rsid w:val="00D65925"/>
    <w:rsid w:val="00D66CAE"/>
    <w:rsid w:val="00D675FA"/>
    <w:rsid w:val="00D70A0F"/>
    <w:rsid w:val="00D71A55"/>
    <w:rsid w:val="00D739CA"/>
    <w:rsid w:val="00D76AEB"/>
    <w:rsid w:val="00D81A07"/>
    <w:rsid w:val="00D82D8E"/>
    <w:rsid w:val="00D846B9"/>
    <w:rsid w:val="00D84927"/>
    <w:rsid w:val="00D87699"/>
    <w:rsid w:val="00D90082"/>
    <w:rsid w:val="00D902EB"/>
    <w:rsid w:val="00D959CA"/>
    <w:rsid w:val="00DA0060"/>
    <w:rsid w:val="00DA0620"/>
    <w:rsid w:val="00DA1ECE"/>
    <w:rsid w:val="00DB28E3"/>
    <w:rsid w:val="00DC044B"/>
    <w:rsid w:val="00DC0EF6"/>
    <w:rsid w:val="00DC1DD1"/>
    <w:rsid w:val="00DC62AE"/>
    <w:rsid w:val="00DD0328"/>
    <w:rsid w:val="00DD1332"/>
    <w:rsid w:val="00DD3F6B"/>
    <w:rsid w:val="00DD6484"/>
    <w:rsid w:val="00DD696B"/>
    <w:rsid w:val="00DE46DC"/>
    <w:rsid w:val="00DE4D0D"/>
    <w:rsid w:val="00DE609B"/>
    <w:rsid w:val="00DE73EA"/>
    <w:rsid w:val="00DF07A9"/>
    <w:rsid w:val="00DF13AA"/>
    <w:rsid w:val="00DF3990"/>
    <w:rsid w:val="00DF543E"/>
    <w:rsid w:val="00DF6C18"/>
    <w:rsid w:val="00DF6DA1"/>
    <w:rsid w:val="00DF7067"/>
    <w:rsid w:val="00E02057"/>
    <w:rsid w:val="00E0751F"/>
    <w:rsid w:val="00E07C42"/>
    <w:rsid w:val="00E20000"/>
    <w:rsid w:val="00E23175"/>
    <w:rsid w:val="00E23720"/>
    <w:rsid w:val="00E23886"/>
    <w:rsid w:val="00E420E3"/>
    <w:rsid w:val="00E46E02"/>
    <w:rsid w:val="00E4719F"/>
    <w:rsid w:val="00E51A2D"/>
    <w:rsid w:val="00E5227A"/>
    <w:rsid w:val="00E54B0F"/>
    <w:rsid w:val="00E5523C"/>
    <w:rsid w:val="00E557C2"/>
    <w:rsid w:val="00E6045F"/>
    <w:rsid w:val="00E60E99"/>
    <w:rsid w:val="00E71069"/>
    <w:rsid w:val="00E83ECD"/>
    <w:rsid w:val="00E84872"/>
    <w:rsid w:val="00E84CA5"/>
    <w:rsid w:val="00E86777"/>
    <w:rsid w:val="00E93110"/>
    <w:rsid w:val="00E957F7"/>
    <w:rsid w:val="00E95C42"/>
    <w:rsid w:val="00EA43A7"/>
    <w:rsid w:val="00EA65A3"/>
    <w:rsid w:val="00EB05D1"/>
    <w:rsid w:val="00EB19A2"/>
    <w:rsid w:val="00EB2817"/>
    <w:rsid w:val="00EB2A85"/>
    <w:rsid w:val="00EB2B6E"/>
    <w:rsid w:val="00EB36F6"/>
    <w:rsid w:val="00EB607D"/>
    <w:rsid w:val="00EB6C01"/>
    <w:rsid w:val="00EB6E98"/>
    <w:rsid w:val="00EB7739"/>
    <w:rsid w:val="00EC0253"/>
    <w:rsid w:val="00EC10F2"/>
    <w:rsid w:val="00EC1962"/>
    <w:rsid w:val="00ED021B"/>
    <w:rsid w:val="00ED1632"/>
    <w:rsid w:val="00EE02DC"/>
    <w:rsid w:val="00EE746D"/>
    <w:rsid w:val="00EE76A4"/>
    <w:rsid w:val="00EF122E"/>
    <w:rsid w:val="00EF62B7"/>
    <w:rsid w:val="00F01876"/>
    <w:rsid w:val="00F14211"/>
    <w:rsid w:val="00F165F4"/>
    <w:rsid w:val="00F1676A"/>
    <w:rsid w:val="00F16996"/>
    <w:rsid w:val="00F16DB6"/>
    <w:rsid w:val="00F223B2"/>
    <w:rsid w:val="00F237C5"/>
    <w:rsid w:val="00F272DE"/>
    <w:rsid w:val="00F303FB"/>
    <w:rsid w:val="00F353AE"/>
    <w:rsid w:val="00F35BF2"/>
    <w:rsid w:val="00F35DF7"/>
    <w:rsid w:val="00F43B0C"/>
    <w:rsid w:val="00F47F79"/>
    <w:rsid w:val="00F50997"/>
    <w:rsid w:val="00F5317C"/>
    <w:rsid w:val="00F546FB"/>
    <w:rsid w:val="00F55E35"/>
    <w:rsid w:val="00F56196"/>
    <w:rsid w:val="00F621FB"/>
    <w:rsid w:val="00F64A39"/>
    <w:rsid w:val="00F732B7"/>
    <w:rsid w:val="00F77A91"/>
    <w:rsid w:val="00F77D8A"/>
    <w:rsid w:val="00F77EAE"/>
    <w:rsid w:val="00F8374B"/>
    <w:rsid w:val="00F84AFC"/>
    <w:rsid w:val="00F86A3D"/>
    <w:rsid w:val="00F91DF5"/>
    <w:rsid w:val="00F91E01"/>
    <w:rsid w:val="00FA3D31"/>
    <w:rsid w:val="00FA65BD"/>
    <w:rsid w:val="00FB7208"/>
    <w:rsid w:val="00FC15B2"/>
    <w:rsid w:val="00FC37F1"/>
    <w:rsid w:val="00FC4294"/>
    <w:rsid w:val="00FD03AA"/>
    <w:rsid w:val="00FD6C0E"/>
    <w:rsid w:val="00FE36BE"/>
    <w:rsid w:val="00FF00FA"/>
    <w:rsid w:val="00FF2639"/>
    <w:rsid w:val="00FF5C2B"/>
    <w:rsid w:val="00FF782E"/>
    <w:rsid w:val="2077785B"/>
    <w:rsid w:val="23946FB4"/>
    <w:rsid w:val="6A3B5510"/>
    <w:rsid w:val="6D2B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name="Body Text Indent 2"/>
    <w:lsdException w:qFormat="1" w:unhideWhenUsed="0" w:uiPriority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keepLines/>
      <w:spacing w:before="340" w:after="330" w:line="578" w:lineRule="auto"/>
      <w:jc w:val="center"/>
      <w:outlineLvl w:val="0"/>
    </w:pPr>
    <w:rPr>
      <w:bCs/>
      <w:kern w:val="44"/>
      <w:sz w:val="32"/>
      <w:szCs w:val="44"/>
    </w:rPr>
  </w:style>
  <w:style w:type="paragraph" w:styleId="3">
    <w:name w:val="heading 2"/>
    <w:basedOn w:val="1"/>
    <w:next w:val="1"/>
    <w:link w:val="25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6"/>
    <w:qFormat/>
    <w:uiPriority w:val="0"/>
    <w:pPr>
      <w:jc w:val="left"/>
    </w:pPr>
  </w:style>
  <w:style w:type="paragraph" w:styleId="5">
    <w:name w:val="Body Text"/>
    <w:basedOn w:val="1"/>
    <w:link w:val="27"/>
    <w:qFormat/>
    <w:uiPriority w:val="0"/>
    <w:pPr>
      <w:spacing w:after="120"/>
    </w:pPr>
    <w:rPr>
      <w:szCs w:val="24"/>
    </w:rPr>
  </w:style>
  <w:style w:type="paragraph" w:styleId="6">
    <w:name w:val="Body Text Indent"/>
    <w:basedOn w:val="1"/>
    <w:semiHidden/>
    <w:qFormat/>
    <w:uiPriority w:val="0"/>
    <w:pPr>
      <w:tabs>
        <w:tab w:val="left" w:pos="8505"/>
      </w:tabs>
      <w:spacing w:line="360" w:lineRule="auto"/>
      <w:ind w:firstLine="502" w:firstLineChars="239"/>
    </w:pPr>
    <w:rPr>
      <w:szCs w:val="24"/>
    </w:r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ascii="等线" w:hAnsi="等线" w:eastAsia="等线"/>
      <w:kern w:val="0"/>
      <w:sz w:val="22"/>
      <w:szCs w:val="22"/>
    </w:rPr>
  </w:style>
  <w:style w:type="paragraph" w:styleId="8">
    <w:name w:val="Plain Text"/>
    <w:basedOn w:val="1"/>
    <w:qFormat/>
    <w:uiPriority w:val="0"/>
    <w:rPr>
      <w:rFonts w:ascii="Courier New" w:hAnsi="Courier New"/>
    </w:rPr>
  </w:style>
  <w:style w:type="paragraph" w:styleId="9">
    <w:name w:val="Date"/>
    <w:basedOn w:val="1"/>
    <w:next w:val="1"/>
    <w:link w:val="28"/>
    <w:qFormat/>
    <w:uiPriority w:val="0"/>
    <w:pPr>
      <w:ind w:left="100" w:leftChars="2500"/>
    </w:pPr>
  </w:style>
  <w:style w:type="paragraph" w:styleId="10">
    <w:name w:val="Body Text Indent 2"/>
    <w:basedOn w:val="1"/>
    <w:semiHidden/>
    <w:qFormat/>
    <w:uiPriority w:val="0"/>
    <w:pPr>
      <w:spacing w:line="360" w:lineRule="auto"/>
      <w:ind w:firstLine="425"/>
    </w:pPr>
  </w:style>
  <w:style w:type="paragraph" w:styleId="11">
    <w:name w:val="Balloon Text"/>
    <w:basedOn w:val="1"/>
    <w:semiHidden/>
    <w:qFormat/>
    <w:uiPriority w:val="0"/>
    <w:rPr>
      <w:sz w:val="18"/>
      <w:szCs w:val="18"/>
    </w:rPr>
  </w:style>
  <w:style w:type="paragraph" w:styleId="12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="等线" w:hAnsi="等线" w:eastAsia="等线"/>
      <w:kern w:val="0"/>
      <w:sz w:val="22"/>
      <w:szCs w:val="22"/>
    </w:rPr>
  </w:style>
  <w:style w:type="paragraph" w:styleId="15">
    <w:name w:val="Body Text Indent 3"/>
    <w:basedOn w:val="1"/>
    <w:semiHidden/>
    <w:qFormat/>
    <w:uiPriority w:val="0"/>
    <w:pPr>
      <w:ind w:firstLine="480" w:firstLineChars="200"/>
    </w:pPr>
    <w:rPr>
      <w:sz w:val="24"/>
      <w:szCs w:val="24"/>
    </w:rPr>
  </w:style>
  <w:style w:type="paragraph" w:styleId="16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="等线" w:hAnsi="等线" w:eastAsia="等线"/>
      <w:kern w:val="0"/>
      <w:sz w:val="22"/>
      <w:szCs w:val="22"/>
    </w:rPr>
  </w:style>
  <w:style w:type="paragraph" w:styleId="17">
    <w:name w:val="annotation subject"/>
    <w:basedOn w:val="4"/>
    <w:next w:val="4"/>
    <w:link w:val="29"/>
    <w:qFormat/>
    <w:uiPriority w:val="0"/>
    <w:rPr>
      <w:b/>
      <w:bCs/>
    </w:rPr>
  </w:style>
  <w:style w:type="table" w:styleId="19">
    <w:name w:val="Table Grid"/>
    <w:basedOn w:val="1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1">
    <w:name w:val="page number"/>
    <w:semiHidden/>
    <w:qFormat/>
    <w:uiPriority w:val="0"/>
  </w:style>
  <w:style w:type="character" w:styleId="22">
    <w:name w:val="Hyperlink"/>
    <w:unhideWhenUsed/>
    <w:qFormat/>
    <w:uiPriority w:val="99"/>
    <w:rPr>
      <w:color w:val="0563C1"/>
      <w:u w:val="single"/>
    </w:rPr>
  </w:style>
  <w:style w:type="character" w:styleId="23">
    <w:name w:val="annotation reference"/>
    <w:qFormat/>
    <w:uiPriority w:val="0"/>
    <w:rPr>
      <w:sz w:val="21"/>
      <w:szCs w:val="21"/>
    </w:rPr>
  </w:style>
  <w:style w:type="character" w:customStyle="1" w:styleId="24">
    <w:name w:val="标题 1 字符"/>
    <w:link w:val="2"/>
    <w:qFormat/>
    <w:uiPriority w:val="0"/>
    <w:rPr>
      <w:bCs/>
      <w:kern w:val="44"/>
      <w:sz w:val="32"/>
      <w:szCs w:val="44"/>
    </w:rPr>
  </w:style>
  <w:style w:type="character" w:customStyle="1" w:styleId="25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26">
    <w:name w:val="批注文字 字符"/>
    <w:link w:val="4"/>
    <w:qFormat/>
    <w:uiPriority w:val="0"/>
    <w:rPr>
      <w:kern w:val="2"/>
      <w:sz w:val="21"/>
    </w:rPr>
  </w:style>
  <w:style w:type="character" w:customStyle="1" w:styleId="27">
    <w:name w:val="正文文本 字符"/>
    <w:link w:val="5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8">
    <w:name w:val="日期 字符"/>
    <w:link w:val="9"/>
    <w:qFormat/>
    <w:uiPriority w:val="0"/>
    <w:rPr>
      <w:kern w:val="2"/>
      <w:sz w:val="21"/>
    </w:rPr>
  </w:style>
  <w:style w:type="character" w:customStyle="1" w:styleId="29">
    <w:name w:val="批注主题 字符"/>
    <w:link w:val="17"/>
    <w:qFormat/>
    <w:uiPriority w:val="0"/>
    <w:rPr>
      <w:b/>
      <w:bCs/>
      <w:kern w:val="2"/>
      <w:sz w:val="21"/>
    </w:rPr>
  </w:style>
  <w:style w:type="paragraph" w:customStyle="1" w:styleId="30">
    <w:name w:val="发布部门"/>
    <w:next w:val="1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31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2">
    <w:name w:val="标准书眉_偶数页"/>
    <w:basedOn w:val="33"/>
    <w:next w:val="1"/>
    <w:qFormat/>
    <w:uiPriority w:val="0"/>
    <w:pPr>
      <w:tabs>
        <w:tab w:val="center" w:pos="4154"/>
        <w:tab w:val="right" w:pos="8306"/>
      </w:tabs>
      <w:jc w:val="left"/>
    </w:pPr>
  </w:style>
  <w:style w:type="paragraph" w:customStyle="1" w:styleId="33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4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35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3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实施日期"/>
    <w:basedOn w:val="38"/>
    <w:qFormat/>
    <w:uiPriority w:val="0"/>
    <w:pPr>
      <w:framePr w:hSpace="0" w:wrap="around" w:xAlign="right"/>
      <w:jc w:val="right"/>
    </w:pPr>
  </w:style>
  <w:style w:type="paragraph" w:customStyle="1" w:styleId="38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39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40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41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2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3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44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45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  <w:style w:type="paragraph" w:customStyle="1" w:styleId="46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7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48">
    <w:name w:val="黑体三号居中单倍行距"/>
    <w:basedOn w:val="1"/>
    <w:link w:val="49"/>
    <w:qFormat/>
    <w:uiPriority w:val="0"/>
    <w:pPr>
      <w:jc w:val="center"/>
    </w:pPr>
    <w:rPr>
      <w:rFonts w:ascii="黑体" w:eastAsia="黑体"/>
      <w:bCs/>
      <w:sz w:val="32"/>
    </w:rPr>
  </w:style>
  <w:style w:type="character" w:customStyle="1" w:styleId="49">
    <w:name w:val="黑体三号居中单倍行距 字符"/>
    <w:link w:val="48"/>
    <w:qFormat/>
    <w:uiPriority w:val="0"/>
    <w:rPr>
      <w:rFonts w:ascii="黑体" w:eastAsia="黑体"/>
      <w:bCs/>
      <w:kern w:val="2"/>
      <w:sz w:val="32"/>
    </w:rPr>
  </w:style>
  <w:style w:type="paragraph" w:customStyle="1" w:styleId="50">
    <w:name w:val="2"/>
    <w:basedOn w:val="1"/>
    <w:link w:val="51"/>
    <w:qFormat/>
    <w:uiPriority w:val="0"/>
    <w:pPr>
      <w:widowControl/>
      <w:spacing w:before="156" w:beforeLines="50" w:after="156" w:afterLines="50"/>
      <w:jc w:val="left"/>
    </w:pPr>
    <w:rPr>
      <w:b/>
      <w:szCs w:val="21"/>
    </w:rPr>
  </w:style>
  <w:style w:type="character" w:customStyle="1" w:styleId="51">
    <w:name w:val="2 字符"/>
    <w:link w:val="50"/>
    <w:qFormat/>
    <w:uiPriority w:val="0"/>
    <w:rPr>
      <w:b/>
      <w:kern w:val="2"/>
      <w:sz w:val="21"/>
      <w:szCs w:val="21"/>
    </w:rPr>
  </w:style>
  <w:style w:type="paragraph" w:customStyle="1" w:styleId="52">
    <w:name w:val="_Style 5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Cs w:val="0"/>
      <w:color w:val="2F5496"/>
      <w:kern w:val="0"/>
      <w:szCs w:val="32"/>
    </w:rPr>
  </w:style>
  <w:style w:type="paragraph" w:customStyle="1" w:styleId="53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7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ED52B8-A123-46B7-AD32-3D83893A59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3043</Words>
  <Characters>3430</Characters>
  <Lines>27</Lines>
  <Paragraphs>7</Paragraphs>
  <TotalTime>0</TotalTime>
  <ScaleCrop>false</ScaleCrop>
  <LinksUpToDate>false</LinksUpToDate>
  <CharactersWithSpaces>3581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2021-12-13T04:20:00Z</dcterms:created>
  <dc:creator>微软用户</dc:creator>
  <cp:lastModifiedBy>梁彪</cp:lastModifiedBy>
  <cp:lastPrinted>2024-11-11T02:06:00Z</cp:lastPrinted>
  <dcterms:modified xsi:type="dcterms:W3CDTF">2024-11-27T01:55:07Z</dcterms:modified>
  <dc:title> </dc:title>
  <cp:revision>169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277390A597974119BD3CFE5567DCECD5_12</vt:lpwstr>
  </property>
</Properties>
</file>