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23E71">
      <w:pPr>
        <w:spacing w:line="580" w:lineRule="exact"/>
        <w:ind w:left="-718" w:leftChars="-342"/>
        <w:jc w:val="center"/>
        <w:rPr>
          <w:b/>
          <w:bCs/>
          <w:sz w:val="32"/>
        </w:rPr>
      </w:pPr>
      <w:r>
        <w:rPr>
          <w:b/>
          <w:bCs/>
          <w:sz w:val="32"/>
        </w:rPr>
        <w:t xml:space="preserve">    </w:t>
      </w:r>
    </w:p>
    <w:p w14:paraId="70F4E757">
      <w:pPr>
        <w:spacing w:line="580" w:lineRule="exact"/>
        <w:ind w:left="-342"/>
        <w:jc w:val="center"/>
        <w:rPr>
          <w:rFonts w:eastAsia="方正小标宋_GBK"/>
          <w:bCs/>
          <w:sz w:val="44"/>
          <w:szCs w:val="44"/>
        </w:rPr>
      </w:pPr>
      <w:r>
        <w:rPr>
          <w:rFonts w:eastAsia="方正小标宋_GBK"/>
          <w:bCs/>
          <w:sz w:val="44"/>
          <w:szCs w:val="44"/>
        </w:rPr>
        <w:t>集贸市场电子计价秤使用和管理规范</w:t>
      </w:r>
    </w:p>
    <w:p w14:paraId="1606D3DA">
      <w:pPr>
        <w:spacing w:line="580" w:lineRule="exact"/>
        <w:ind w:left="-342"/>
        <w:jc w:val="center"/>
        <w:rPr>
          <w:rFonts w:eastAsia="方正小标宋_GBK"/>
          <w:bCs/>
          <w:sz w:val="44"/>
          <w:szCs w:val="44"/>
        </w:rPr>
      </w:pPr>
    </w:p>
    <w:p w14:paraId="4BA62D72">
      <w:pPr>
        <w:spacing w:line="580" w:lineRule="exact"/>
        <w:ind w:left="-342"/>
        <w:jc w:val="center"/>
        <w:rPr>
          <w:rFonts w:eastAsia="方正小标宋_GBK"/>
          <w:bCs/>
          <w:sz w:val="44"/>
          <w:szCs w:val="44"/>
        </w:rPr>
      </w:pPr>
      <w:r>
        <w:rPr>
          <w:rFonts w:eastAsia="方正小标宋_GBK"/>
          <w:bCs/>
          <w:sz w:val="44"/>
          <w:szCs w:val="44"/>
        </w:rPr>
        <w:t>编 制 说 明</w:t>
      </w:r>
    </w:p>
    <w:p w14:paraId="2CE23A94">
      <w:pPr>
        <w:spacing w:line="580" w:lineRule="exact"/>
        <w:ind w:left="-342"/>
        <w:jc w:val="center"/>
        <w:rPr>
          <w:b/>
          <w:bCs/>
          <w:sz w:val="44"/>
        </w:rPr>
      </w:pPr>
    </w:p>
    <w:p w14:paraId="178E8DA6">
      <w:pPr>
        <w:spacing w:line="580" w:lineRule="exact"/>
        <w:ind w:left="-342"/>
        <w:jc w:val="center"/>
        <w:rPr>
          <w:b/>
          <w:bCs/>
          <w:sz w:val="44"/>
        </w:rPr>
      </w:pPr>
    </w:p>
    <w:p w14:paraId="2CC4CBF8">
      <w:pPr>
        <w:spacing w:line="580" w:lineRule="exact"/>
        <w:ind w:left="-342"/>
        <w:jc w:val="center"/>
        <w:rPr>
          <w:b/>
          <w:bCs/>
          <w:sz w:val="44"/>
        </w:rPr>
      </w:pPr>
    </w:p>
    <w:p w14:paraId="778BA375">
      <w:pPr>
        <w:spacing w:line="580" w:lineRule="exact"/>
        <w:ind w:left="-342"/>
        <w:jc w:val="center"/>
        <w:rPr>
          <w:b/>
          <w:bCs/>
          <w:sz w:val="44"/>
        </w:rPr>
      </w:pPr>
    </w:p>
    <w:p w14:paraId="39553B1F">
      <w:pPr>
        <w:spacing w:line="580" w:lineRule="exact"/>
        <w:ind w:left="-342"/>
        <w:jc w:val="center"/>
        <w:rPr>
          <w:b/>
          <w:bCs/>
          <w:sz w:val="44"/>
        </w:rPr>
      </w:pPr>
    </w:p>
    <w:p w14:paraId="57C8A61A">
      <w:pPr>
        <w:spacing w:line="580" w:lineRule="exact"/>
        <w:ind w:left="-342"/>
        <w:jc w:val="center"/>
        <w:rPr>
          <w:b/>
          <w:bCs/>
          <w:sz w:val="44"/>
        </w:rPr>
      </w:pPr>
    </w:p>
    <w:p w14:paraId="69798405">
      <w:pPr>
        <w:spacing w:line="580" w:lineRule="exact"/>
        <w:ind w:left="-342"/>
        <w:jc w:val="center"/>
        <w:rPr>
          <w:b/>
          <w:bCs/>
          <w:sz w:val="44"/>
        </w:rPr>
      </w:pPr>
    </w:p>
    <w:p w14:paraId="6E6170D3">
      <w:pPr>
        <w:spacing w:line="580" w:lineRule="exact"/>
        <w:ind w:left="-342"/>
        <w:jc w:val="center"/>
        <w:rPr>
          <w:b/>
          <w:bCs/>
          <w:sz w:val="44"/>
        </w:rPr>
      </w:pPr>
    </w:p>
    <w:p w14:paraId="7134D42F">
      <w:pPr>
        <w:spacing w:line="580" w:lineRule="exact"/>
        <w:ind w:left="-342"/>
        <w:jc w:val="center"/>
        <w:rPr>
          <w:b/>
          <w:bCs/>
          <w:sz w:val="44"/>
        </w:rPr>
      </w:pPr>
    </w:p>
    <w:p w14:paraId="4DF2007F">
      <w:pPr>
        <w:spacing w:line="580" w:lineRule="exact"/>
        <w:ind w:left="-342"/>
        <w:jc w:val="center"/>
        <w:rPr>
          <w:b/>
          <w:bCs/>
          <w:sz w:val="44"/>
        </w:rPr>
      </w:pPr>
    </w:p>
    <w:p w14:paraId="04B5202D">
      <w:pPr>
        <w:spacing w:line="580" w:lineRule="exact"/>
        <w:ind w:left="-342"/>
        <w:jc w:val="center"/>
        <w:rPr>
          <w:sz w:val="32"/>
        </w:rPr>
      </w:pPr>
    </w:p>
    <w:p w14:paraId="515EA703">
      <w:pPr>
        <w:spacing w:line="580" w:lineRule="exact"/>
        <w:ind w:left="-342"/>
        <w:jc w:val="center"/>
        <w:rPr>
          <w:sz w:val="32"/>
        </w:rPr>
      </w:pPr>
    </w:p>
    <w:p w14:paraId="275BD232">
      <w:pPr>
        <w:spacing w:line="580" w:lineRule="exact"/>
        <w:ind w:left="-342"/>
        <w:jc w:val="center"/>
        <w:rPr>
          <w:sz w:val="32"/>
        </w:rPr>
      </w:pPr>
    </w:p>
    <w:p w14:paraId="66140FE7">
      <w:pPr>
        <w:spacing w:line="580" w:lineRule="exact"/>
        <w:ind w:left="-342"/>
        <w:rPr>
          <w:sz w:val="32"/>
        </w:rPr>
      </w:pPr>
    </w:p>
    <w:p w14:paraId="7180E6CB">
      <w:pPr>
        <w:spacing w:line="580" w:lineRule="exact"/>
        <w:jc w:val="center"/>
        <w:rPr>
          <w:rFonts w:eastAsia="方正楷体_GBK"/>
          <w:bCs/>
          <w:sz w:val="32"/>
        </w:rPr>
      </w:pPr>
      <w:r>
        <w:rPr>
          <w:rFonts w:eastAsia="方正楷体_GBK"/>
          <w:bCs/>
          <w:sz w:val="32"/>
        </w:rPr>
        <w:t>集贸市场电子计价秤使用和管理规范起草组</w:t>
      </w:r>
    </w:p>
    <w:p w14:paraId="464F8439">
      <w:pPr>
        <w:spacing w:line="580" w:lineRule="exact"/>
        <w:jc w:val="center"/>
        <w:rPr>
          <w:rFonts w:eastAsia="方正楷体_GBK"/>
          <w:bCs/>
          <w:sz w:val="32"/>
        </w:rPr>
      </w:pPr>
      <w:r>
        <w:rPr>
          <w:rFonts w:eastAsia="方正楷体_GBK"/>
          <w:bCs/>
          <w:sz w:val="32"/>
        </w:rPr>
        <w:t>2024年</w:t>
      </w:r>
      <w:r>
        <w:rPr>
          <w:rFonts w:hint="eastAsia" w:eastAsia="方正楷体_GBK"/>
          <w:bCs/>
          <w:sz w:val="32"/>
          <w:lang w:val="en-US" w:eastAsia="zh-CN"/>
        </w:rPr>
        <w:t>11</w:t>
      </w:r>
      <w:r>
        <w:rPr>
          <w:rFonts w:eastAsia="方正楷体_GBK"/>
          <w:bCs/>
          <w:sz w:val="32"/>
        </w:rPr>
        <w:t>月</w:t>
      </w:r>
    </w:p>
    <w:p w14:paraId="5D9433BC">
      <w:pPr>
        <w:spacing w:line="580" w:lineRule="exact"/>
        <w:ind w:left="-342"/>
        <w:rPr>
          <w:sz w:val="32"/>
        </w:rPr>
      </w:pPr>
    </w:p>
    <w:p w14:paraId="3C428190">
      <w:pPr>
        <w:spacing w:line="580" w:lineRule="exact"/>
        <w:jc w:val="center"/>
        <w:rPr>
          <w:rFonts w:eastAsia="方正小标宋_GBK"/>
          <w:sz w:val="44"/>
          <w:szCs w:val="44"/>
        </w:rPr>
      </w:pPr>
    </w:p>
    <w:p w14:paraId="664CDB6D">
      <w:pPr>
        <w:spacing w:line="580" w:lineRule="exact"/>
        <w:jc w:val="center"/>
        <w:rPr>
          <w:rFonts w:eastAsia="方正小标宋_GBK"/>
          <w:sz w:val="44"/>
          <w:szCs w:val="44"/>
        </w:rPr>
      </w:pPr>
    </w:p>
    <w:p w14:paraId="642432E9">
      <w:pPr>
        <w:spacing w:line="580" w:lineRule="exact"/>
        <w:jc w:val="center"/>
        <w:rPr>
          <w:rFonts w:hint="eastAsia" w:ascii="宋体" w:hAnsi="宋体" w:eastAsia="宋体" w:cs="宋体"/>
          <w:sz w:val="44"/>
          <w:szCs w:val="44"/>
        </w:rPr>
      </w:pPr>
      <w:r>
        <w:rPr>
          <w:rFonts w:hint="eastAsia" w:ascii="宋体" w:hAnsi="宋体" w:eastAsia="宋体" w:cs="宋体"/>
          <w:sz w:val="44"/>
          <w:szCs w:val="44"/>
        </w:rPr>
        <w:t>《集贸市场电子计价秤使用和管理规范》</w:t>
      </w:r>
    </w:p>
    <w:p w14:paraId="44CDA6C4">
      <w:pPr>
        <w:spacing w:line="580" w:lineRule="exact"/>
        <w:jc w:val="center"/>
        <w:rPr>
          <w:rFonts w:hint="eastAsia" w:ascii="宋体" w:hAnsi="宋体" w:eastAsia="宋体" w:cs="宋体"/>
          <w:sz w:val="44"/>
          <w:szCs w:val="44"/>
        </w:rPr>
      </w:pPr>
      <w:r>
        <w:rPr>
          <w:rFonts w:hint="eastAsia" w:ascii="宋体" w:hAnsi="宋体" w:eastAsia="宋体" w:cs="宋体"/>
          <w:sz w:val="44"/>
          <w:szCs w:val="44"/>
        </w:rPr>
        <w:t>江苏省地方标准编制说明</w:t>
      </w:r>
    </w:p>
    <w:p w14:paraId="0EF6D0B4">
      <w:pPr>
        <w:spacing w:line="580" w:lineRule="exact"/>
        <w:jc w:val="center"/>
        <w:rPr>
          <w:rFonts w:hint="eastAsia" w:ascii="宋体" w:hAnsi="宋体" w:eastAsia="宋体" w:cs="宋体"/>
          <w:b/>
          <w:sz w:val="32"/>
          <w:szCs w:val="32"/>
        </w:rPr>
      </w:pPr>
    </w:p>
    <w:p w14:paraId="440B230F">
      <w:pPr>
        <w:spacing w:line="5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一、目的意义</w:t>
      </w:r>
    </w:p>
    <w:p w14:paraId="48C780AC">
      <w:pPr>
        <w:spacing w:line="5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党的二十届三中全会强调，在发展中保障和改善民生是中国式现代化的重大任务；必须加强普惠性、基础性、兜底性民生建设，解决好人民最关心最直接最现实的利益问题，不断满足人民对美好生活的向往。电子计价秤是政府关注、社会关切、人民关心的“关键小事”，关系到群众的切身利益。电子计价秤作弊问题由来已久，近年来全国多地发生“作弊秤”、“短斤缺两”舆情，引起社会关注。</w:t>
      </w:r>
    </w:p>
    <w:p w14:paraId="6DF54403">
      <w:pPr>
        <w:spacing w:line="5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集贸市场是集中使用电子计价秤的主要场所，数量众多，分布广泛，监管难度较大。通过调研发现，部分集贸市场计量管理意识淡薄，电子计价秤入场把关不严格，计量法律法规落实不到位，导致电子计价秤的使用和管理存在较多问题，如公平秤设置不符合要求，电子计价秤摆放混乱，未经检定的电子计价秤仍有使用等，甚至有个别不良商户，使用作弊秤侵害消费者的合法权益。为进一步规范电子计价秤市场秩序，维护消费者合法权益，亟需制定《集贸市场电子计价秤使用和管理规范》。</w:t>
      </w:r>
    </w:p>
    <w:p w14:paraId="250CE910">
      <w:pPr>
        <w:spacing w:line="5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二、任务来源</w:t>
      </w:r>
    </w:p>
    <w:p w14:paraId="043523A2">
      <w:pPr>
        <w:pStyle w:val="8"/>
        <w:spacing w:line="580" w:lineRule="exact"/>
        <w:ind w:firstLine="640"/>
        <w:jc w:val="both"/>
        <w:rPr>
          <w:rFonts w:hint="eastAsia" w:ascii="宋体" w:hAnsi="宋体" w:eastAsia="宋体" w:cs="宋体"/>
          <w:sz w:val="32"/>
          <w:szCs w:val="32"/>
        </w:rPr>
      </w:pPr>
      <w:r>
        <w:rPr>
          <w:rFonts w:hint="eastAsia" w:ascii="宋体" w:hAnsi="宋体" w:eastAsia="宋体" w:cs="宋体"/>
          <w:sz w:val="32"/>
          <w:szCs w:val="32"/>
        </w:rPr>
        <w:t>根据江苏省市场监督管理局《关于下达2024年度江苏省地方标准制修订计划的通知》（苏市监标〔2024〕143号），由江苏省计量科学研究院（江苏省能源计量数据中心）、常州检验检测标准认证研究院、南京市计量监督检测院等单位联合承担《集贸市场电子计价秤使用和管理规范》地方标准的制定工作。</w:t>
      </w:r>
    </w:p>
    <w:p w14:paraId="74347496">
      <w:pPr>
        <w:spacing w:line="5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三、编制过程</w:t>
      </w:r>
    </w:p>
    <w:p w14:paraId="028B35F5">
      <w:pPr>
        <w:widowControl/>
        <w:spacing w:line="58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（一）成立起草组。2024年4月，成立了由江苏省计量科学研究院（江苏省能源计量数据中心）、常州检验检测标准认证研究院、南京市计量监督检测院等单位组成的标准编制起草组。</w:t>
      </w:r>
    </w:p>
    <w:p w14:paraId="7ED6B9D9">
      <w:pPr>
        <w:widowControl/>
        <w:spacing w:line="58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（二）开展调查研究。2024年5月、6月，起草组对省内多个集贸市场进行实地调研，并对目前集贸市场电子计价秤使用管理中存在的问题进行了充分研讨。</w:t>
      </w:r>
    </w:p>
    <w:p w14:paraId="4512E3C0">
      <w:pPr>
        <w:widowControl/>
        <w:spacing w:line="58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三）编制征求意见稿。2024年7月，起草组在广泛调研和收集资料的基础上，按照《集贸市场计量监督管理办法》等法律法规和省局《集贸市场电子计价秤管理十要准则》等文件要求，结合集贸市场电子计价秤的使用特点，制定标准初稿。</w:t>
      </w:r>
    </w:p>
    <w:p w14:paraId="3DCA5707">
      <w:pPr>
        <w:widowControl/>
        <w:spacing w:line="58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2024年8月上旬，就标准的适用范围、术语，以及电子计价秤秤的选配、使用、管理等征询了相关行业专家、集贸市场主办方和部分电子计价秤生产企业的意见和建议。8月下旬，起草组赴常州横山桥农贸批发市场、湖塘农贸市场、梅特勒-托利多等单位，针对标准中的部分内容与市场主办方、生产企业开展面对面交流讨论。针对收集到意见和建议，起草组认真开展分析研究，并对标准进行完善，形成《集贸市场电子计价秤使用和管理规范》地方标准的征求意见稿。</w:t>
      </w:r>
    </w:p>
    <w:p w14:paraId="0CBBBB00">
      <w:pPr>
        <w:widowControl/>
        <w:spacing w:line="580" w:lineRule="exact"/>
        <w:ind w:firstLine="640" w:firstLineChars="200"/>
        <w:jc w:val="left"/>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2024年9月，面向社会公开征求意见，同时定向征集省内市场监督管理行政机关、相关专业技术委员会、计量技术机构的意见和建议。</w:t>
      </w:r>
    </w:p>
    <w:p w14:paraId="2B3713EB">
      <w:pPr>
        <w:widowControl/>
        <w:spacing w:line="580" w:lineRule="exact"/>
        <w:ind w:firstLine="640" w:firstLineChars="200"/>
        <w:jc w:val="left"/>
        <w:rPr>
          <w:rFonts w:hint="eastAsia" w:ascii="宋体" w:hAnsi="宋体" w:eastAsia="宋体" w:cs="宋体"/>
          <w:color w:val="auto"/>
          <w:sz w:val="32"/>
          <w:szCs w:val="32"/>
          <w:lang w:eastAsia="zh-CN"/>
        </w:rPr>
      </w:pPr>
      <w:r>
        <w:rPr>
          <w:rFonts w:hint="eastAsia" w:ascii="宋体" w:hAnsi="宋体" w:eastAsia="宋体" w:cs="宋体"/>
          <w:color w:val="auto"/>
          <w:sz w:val="32"/>
          <w:szCs w:val="32"/>
        </w:rPr>
        <w:t>202</w:t>
      </w:r>
      <w:r>
        <w:rPr>
          <w:rFonts w:hint="eastAsia" w:ascii="宋体" w:hAnsi="宋体" w:eastAsia="宋体" w:cs="宋体"/>
          <w:color w:val="auto"/>
          <w:sz w:val="32"/>
          <w:szCs w:val="32"/>
          <w:lang w:val="en-US" w:eastAsia="zh-CN"/>
        </w:rPr>
        <w:t>4年10月，针对社会各界提出</w:t>
      </w:r>
      <w:r>
        <w:rPr>
          <w:rFonts w:hint="eastAsia" w:ascii="宋体" w:hAnsi="宋体" w:eastAsia="宋体" w:cs="宋体"/>
          <w:color w:val="auto"/>
          <w:sz w:val="32"/>
          <w:szCs w:val="32"/>
        </w:rPr>
        <w:t>的</w:t>
      </w: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rPr>
        <w:t>6条意见</w:t>
      </w:r>
      <w:r>
        <w:rPr>
          <w:rFonts w:hint="eastAsia" w:ascii="宋体" w:hAnsi="宋体" w:eastAsia="宋体" w:cs="宋体"/>
          <w:color w:val="auto"/>
          <w:sz w:val="32"/>
          <w:szCs w:val="32"/>
          <w:lang w:val="en-US" w:eastAsia="zh-CN"/>
        </w:rPr>
        <w:t>起草小组</w:t>
      </w:r>
      <w:r>
        <w:rPr>
          <w:rFonts w:hint="eastAsia" w:ascii="宋体" w:hAnsi="宋体" w:eastAsia="宋体" w:cs="宋体"/>
          <w:color w:val="auto"/>
          <w:sz w:val="32"/>
          <w:szCs w:val="32"/>
        </w:rPr>
        <w:t>进行逐项讨论和修改，形成采纳和不采纳情况分析表，起草</w:t>
      </w:r>
      <w:r>
        <w:rPr>
          <w:rFonts w:hint="eastAsia" w:ascii="宋体" w:hAnsi="宋体" w:eastAsia="宋体" w:cs="宋体"/>
          <w:color w:val="auto"/>
          <w:sz w:val="32"/>
          <w:szCs w:val="32"/>
          <w:lang w:val="en-US" w:eastAsia="zh-CN"/>
        </w:rPr>
        <w:t>小</w:t>
      </w:r>
      <w:r>
        <w:rPr>
          <w:rFonts w:hint="eastAsia" w:ascii="宋体" w:hAnsi="宋体" w:eastAsia="宋体" w:cs="宋体"/>
          <w:color w:val="auto"/>
          <w:sz w:val="32"/>
          <w:szCs w:val="32"/>
        </w:rPr>
        <w:t>组就关键问题进行了调研和论证，并征求了相关专家的意见，对</w:t>
      </w:r>
      <w:r>
        <w:rPr>
          <w:rFonts w:hint="eastAsia" w:ascii="宋体" w:hAnsi="宋体" w:eastAsia="宋体" w:cs="宋体"/>
          <w:color w:val="auto"/>
          <w:sz w:val="32"/>
          <w:szCs w:val="32"/>
          <w:lang w:val="en-US" w:eastAsia="zh-CN"/>
        </w:rPr>
        <w:t>规范</w:t>
      </w:r>
      <w:r>
        <w:rPr>
          <w:rFonts w:hint="eastAsia" w:ascii="宋体" w:hAnsi="宋体" w:eastAsia="宋体" w:cs="宋体"/>
          <w:color w:val="auto"/>
          <w:sz w:val="32"/>
          <w:szCs w:val="32"/>
        </w:rPr>
        <w:t>进行了修改和完善</w:t>
      </w:r>
      <w:r>
        <w:rPr>
          <w:rFonts w:hint="eastAsia" w:ascii="宋体" w:hAnsi="宋体" w:eastAsia="宋体" w:cs="宋体"/>
          <w:color w:val="auto"/>
          <w:sz w:val="32"/>
          <w:szCs w:val="32"/>
          <w:lang w:eastAsia="zh-CN"/>
        </w:rPr>
        <w:t>。</w:t>
      </w:r>
    </w:p>
    <w:p w14:paraId="1951AAD8">
      <w:pPr>
        <w:widowControl/>
        <w:spacing w:line="580" w:lineRule="exact"/>
        <w:ind w:firstLine="640" w:firstLineChars="200"/>
        <w:jc w:val="left"/>
        <w:rPr>
          <w:rFonts w:hint="eastAsia" w:ascii="宋体" w:hAnsi="宋体" w:eastAsia="宋体" w:cs="宋体"/>
          <w:b w:val="0"/>
          <w:bCs w:val="0"/>
          <w:color w:val="auto"/>
          <w:kern w:val="2"/>
          <w:sz w:val="32"/>
          <w:szCs w:val="32"/>
          <w:lang w:val="en-US" w:eastAsia="zh-CN" w:bidi="ar-SA"/>
        </w:rPr>
      </w:pPr>
      <w:r>
        <w:rPr>
          <w:rFonts w:hint="eastAsia" w:ascii="宋体" w:hAnsi="宋体" w:eastAsia="宋体" w:cs="宋体"/>
          <w:b w:val="0"/>
          <w:bCs w:val="0"/>
          <w:color w:val="auto"/>
          <w:kern w:val="2"/>
          <w:sz w:val="32"/>
          <w:szCs w:val="32"/>
          <w:lang w:val="en-US" w:eastAsia="zh-CN" w:bidi="ar-SA"/>
        </w:rPr>
        <w:t>2024年11月初起草小组将完善后的规范定向征求无锡、常州、镇江、淮安等地区36家集贸市场和</w:t>
      </w:r>
      <w:r>
        <w:rPr>
          <w:rFonts w:hint="eastAsia" w:ascii="宋体" w:hAnsi="宋体" w:eastAsia="宋体" w:cs="宋体"/>
          <w:b w:val="0"/>
          <w:bCs w:val="0"/>
          <w:color w:val="auto"/>
          <w:kern w:val="2"/>
          <w:sz w:val="32"/>
          <w:szCs w:val="32"/>
          <w:lang w:val="en-US" w:eastAsia="zh-CN" w:bidi="ar-SA"/>
        </w:rPr>
        <w:fldChar w:fldCharType="begin"/>
      </w:r>
      <w:r>
        <w:rPr>
          <w:rFonts w:hint="eastAsia" w:ascii="宋体" w:hAnsi="宋体" w:eastAsia="宋体" w:cs="宋体"/>
          <w:b w:val="0"/>
          <w:bCs w:val="0"/>
          <w:color w:val="auto"/>
          <w:kern w:val="2"/>
          <w:sz w:val="32"/>
          <w:szCs w:val="32"/>
          <w:lang w:val="en-US" w:eastAsia="zh-CN" w:bidi="ar-SA"/>
        </w:rPr>
        <w:instrText xml:space="preserve"> HYPERLINK "http://www.baidu.com/link?url=le3_RtamwuoEGFbqqcgTZ7xfJNkeOUTouWJgP2Xs2VAK0fwqf5dssoEIajWHwOpJ" \t "https://www.baidu.com/_blank" </w:instrText>
      </w:r>
      <w:r>
        <w:rPr>
          <w:rFonts w:hint="eastAsia" w:ascii="宋体" w:hAnsi="宋体" w:eastAsia="宋体" w:cs="宋体"/>
          <w:b w:val="0"/>
          <w:bCs w:val="0"/>
          <w:color w:val="auto"/>
          <w:kern w:val="2"/>
          <w:sz w:val="32"/>
          <w:szCs w:val="32"/>
          <w:lang w:val="en-US" w:eastAsia="zh-CN" w:bidi="ar-SA"/>
        </w:rPr>
        <w:fldChar w:fldCharType="separate"/>
      </w:r>
      <w:r>
        <w:rPr>
          <w:rFonts w:hint="eastAsia" w:ascii="宋体" w:hAnsi="宋体" w:eastAsia="宋体" w:cs="宋体"/>
          <w:b w:val="0"/>
          <w:bCs w:val="0"/>
          <w:color w:val="auto"/>
          <w:kern w:val="2"/>
          <w:sz w:val="32"/>
          <w:szCs w:val="32"/>
          <w:lang w:val="en-US" w:eastAsia="zh-CN" w:bidi="ar-SA"/>
        </w:rPr>
        <w:t>江苏省商务厅</w:t>
      </w:r>
      <w:r>
        <w:rPr>
          <w:rFonts w:hint="eastAsia" w:ascii="宋体" w:hAnsi="宋体" w:eastAsia="宋体" w:cs="宋体"/>
          <w:b w:val="0"/>
          <w:bCs w:val="0"/>
          <w:color w:val="auto"/>
          <w:kern w:val="2"/>
          <w:sz w:val="32"/>
          <w:szCs w:val="32"/>
          <w:lang w:val="en-US" w:eastAsia="zh-CN" w:bidi="ar-SA"/>
        </w:rPr>
        <w:fldChar w:fldCharType="end"/>
      </w:r>
      <w:r>
        <w:rPr>
          <w:rFonts w:hint="eastAsia" w:ascii="宋体" w:hAnsi="宋体" w:eastAsia="宋体" w:cs="宋体"/>
          <w:b w:val="0"/>
          <w:bCs w:val="0"/>
          <w:color w:val="auto"/>
          <w:kern w:val="2"/>
          <w:sz w:val="32"/>
          <w:szCs w:val="32"/>
          <w:lang w:val="en-US" w:eastAsia="zh-CN" w:bidi="ar-SA"/>
        </w:rPr>
        <w:t>意见和建议，36家集贸市场共收到6条意见建议，江苏省商务厅反馈无意见和建议。起草小组再次对征求的意见建议进行探讨和论证，并最终形成报审稿。</w:t>
      </w:r>
    </w:p>
    <w:p w14:paraId="040AFD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30" w:lineRule="atLeast"/>
        <w:ind w:left="0" w:right="0" w:firstLine="640" w:firstLineChars="200"/>
        <w:rPr>
          <w:rFonts w:hint="eastAsia" w:ascii="宋体" w:hAnsi="宋体" w:eastAsia="宋体" w:cs="宋体"/>
          <w:b w:val="0"/>
          <w:bCs w:val="0"/>
          <w:color w:val="auto"/>
          <w:kern w:val="2"/>
          <w:sz w:val="32"/>
          <w:szCs w:val="32"/>
          <w:lang w:val="en-US" w:eastAsia="zh-CN" w:bidi="ar-SA"/>
        </w:rPr>
      </w:pPr>
      <w:r>
        <w:rPr>
          <w:rFonts w:hint="eastAsia" w:ascii="宋体" w:hAnsi="宋体" w:eastAsia="宋体" w:cs="宋体"/>
          <w:b w:val="0"/>
          <w:bCs w:val="0"/>
          <w:color w:val="auto"/>
          <w:kern w:val="2"/>
          <w:sz w:val="32"/>
          <w:szCs w:val="32"/>
          <w:lang w:val="en-US" w:eastAsia="zh-CN" w:bidi="ar-SA"/>
        </w:rPr>
        <w:t>考虑到市面上目前存在较多电子计价秤无证（型式评价证书）销售和使用，在征求意见中采纳了电子计价秤入场时需核对型评报告与型评证书建议。</w:t>
      </w:r>
    </w:p>
    <w:p w14:paraId="592575EA">
      <w:pPr>
        <w:spacing w:line="5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四、主要内容</w:t>
      </w:r>
    </w:p>
    <w:p w14:paraId="2964022D">
      <w:pPr>
        <w:widowControl/>
        <w:spacing w:line="58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本标准包括7个章节，主要内容为：</w:t>
      </w:r>
    </w:p>
    <w:p w14:paraId="091815CB">
      <w:pPr>
        <w:widowControl/>
        <w:spacing w:line="58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第1章 范围：规定了标准的主要内容和适用范围。</w:t>
      </w:r>
    </w:p>
    <w:p w14:paraId="7D4771DE">
      <w:pPr>
        <w:widowControl/>
        <w:spacing w:line="58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第2章 规范性引用文件：列出了正文中引用的相关文件。</w:t>
      </w:r>
    </w:p>
    <w:p w14:paraId="6161D4F4">
      <w:pPr>
        <w:widowControl/>
        <w:spacing w:line="58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第3章 术语：对电子计价秤、公平秤、“一秤一码”等进行了明确的界定。</w:t>
      </w:r>
    </w:p>
    <w:p w14:paraId="59D43AEC">
      <w:pPr>
        <w:widowControl/>
        <w:spacing w:line="58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第4章 电子计价秤选配：对电子计价秤的生产标准、铭牌信息、二维码张贴等提出明确要求。</w:t>
      </w:r>
    </w:p>
    <w:p w14:paraId="593C7678">
      <w:pPr>
        <w:widowControl/>
        <w:spacing w:line="58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第</w:t>
      </w:r>
      <w:r>
        <w:rPr>
          <w:rFonts w:hint="eastAsia" w:ascii="宋体" w:hAnsi="宋体" w:eastAsia="宋体" w:cs="宋体"/>
          <w:sz w:val="32"/>
          <w:szCs w:val="32"/>
          <w:lang w:val="en-US" w:eastAsia="zh-CN"/>
        </w:rPr>
        <w:t>5</w:t>
      </w:r>
      <w:r>
        <w:rPr>
          <w:rFonts w:hint="eastAsia" w:ascii="宋体" w:hAnsi="宋体" w:eastAsia="宋体" w:cs="宋体"/>
          <w:sz w:val="32"/>
          <w:szCs w:val="32"/>
        </w:rPr>
        <w:t>章 电子计价秤使用：对经营户在电子计价秤使用环节的摆放、称重等提出明确要求。</w:t>
      </w:r>
    </w:p>
    <w:p w14:paraId="2D573106">
      <w:pPr>
        <w:widowControl/>
        <w:spacing w:line="58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第</w:t>
      </w:r>
      <w:r>
        <w:rPr>
          <w:rFonts w:hint="eastAsia" w:ascii="宋体" w:hAnsi="宋体" w:eastAsia="宋体" w:cs="宋体"/>
          <w:sz w:val="32"/>
          <w:szCs w:val="32"/>
          <w:lang w:val="en-US" w:eastAsia="zh-CN"/>
        </w:rPr>
        <w:t>6</w:t>
      </w:r>
      <w:r>
        <w:rPr>
          <w:rFonts w:hint="eastAsia" w:ascii="宋体" w:hAnsi="宋体" w:eastAsia="宋体" w:cs="宋体"/>
          <w:sz w:val="32"/>
          <w:szCs w:val="32"/>
        </w:rPr>
        <w:t>章 日常管理：对市场主办方电子计价秤巡视管理，公平秤设置等提出明确要求。</w:t>
      </w:r>
    </w:p>
    <w:p w14:paraId="4BF0A1B9">
      <w:pPr>
        <w:widowControl/>
        <w:spacing w:line="580" w:lineRule="exact"/>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rPr>
        <w:t>第</w:t>
      </w:r>
      <w:r>
        <w:rPr>
          <w:rFonts w:hint="eastAsia" w:ascii="宋体" w:hAnsi="宋体" w:eastAsia="宋体" w:cs="宋体"/>
          <w:sz w:val="32"/>
          <w:szCs w:val="32"/>
          <w:lang w:val="en-US" w:eastAsia="zh-CN"/>
        </w:rPr>
        <w:t>7</w:t>
      </w:r>
      <w:r>
        <w:rPr>
          <w:rFonts w:hint="eastAsia" w:ascii="宋体" w:hAnsi="宋体" w:eastAsia="宋体" w:cs="宋体"/>
          <w:sz w:val="32"/>
          <w:szCs w:val="32"/>
        </w:rPr>
        <w:t xml:space="preserve">章 </w:t>
      </w:r>
      <w:r>
        <w:rPr>
          <w:rFonts w:hint="eastAsia" w:ascii="宋体" w:hAnsi="宋体" w:eastAsia="宋体" w:cs="宋体"/>
          <w:sz w:val="32"/>
          <w:szCs w:val="32"/>
          <w:lang w:val="en-US" w:eastAsia="zh-CN"/>
        </w:rPr>
        <w:t>投诉处理：对市场内针对电子计价秤失准造成的投诉提出明确要求。</w:t>
      </w:r>
    </w:p>
    <w:p w14:paraId="6C6FA05E">
      <w:pPr>
        <w:spacing w:line="5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五、重大分歧意见的处理过程和依据</w:t>
      </w:r>
    </w:p>
    <w:p w14:paraId="116835E8">
      <w:pPr>
        <w:widowControl/>
        <w:spacing w:line="58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无。</w:t>
      </w:r>
    </w:p>
    <w:p w14:paraId="71CCAC88">
      <w:pPr>
        <w:spacing w:line="5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六、与法律法规和国家</w:t>
      </w:r>
      <w:r>
        <w:rPr>
          <w:rFonts w:hint="eastAsia" w:ascii="宋体" w:hAnsi="宋体" w:eastAsia="宋体" w:cs="宋体"/>
          <w:sz w:val="32"/>
          <w:szCs w:val="32"/>
          <w:lang w:val="en-US" w:eastAsia="zh-CN"/>
        </w:rPr>
        <w:t>行业地方</w:t>
      </w:r>
      <w:r>
        <w:rPr>
          <w:rFonts w:hint="eastAsia" w:ascii="宋体" w:hAnsi="宋体" w:eastAsia="宋体" w:cs="宋体"/>
          <w:sz w:val="32"/>
          <w:szCs w:val="32"/>
        </w:rPr>
        <w:t>标准</w:t>
      </w:r>
      <w:r>
        <w:rPr>
          <w:rFonts w:hint="eastAsia" w:ascii="宋体" w:hAnsi="宋体" w:eastAsia="宋体" w:cs="宋体"/>
          <w:sz w:val="32"/>
          <w:szCs w:val="32"/>
          <w:lang w:val="en-US" w:eastAsia="zh-CN"/>
        </w:rPr>
        <w:t>之间</w:t>
      </w:r>
      <w:r>
        <w:rPr>
          <w:rFonts w:hint="eastAsia" w:ascii="宋体" w:hAnsi="宋体" w:eastAsia="宋体" w:cs="宋体"/>
          <w:sz w:val="32"/>
          <w:szCs w:val="32"/>
        </w:rPr>
        <w:t>的关系</w:t>
      </w:r>
    </w:p>
    <w:p w14:paraId="361AB1A1">
      <w:pPr>
        <w:spacing w:line="580" w:lineRule="exact"/>
        <w:ind w:firstLine="640" w:firstLineChars="200"/>
        <w:rPr>
          <w:rFonts w:hint="default" w:ascii="宋体" w:hAnsi="宋体" w:eastAsia="宋体" w:cs="宋体"/>
          <w:sz w:val="32"/>
          <w:szCs w:val="32"/>
        </w:rPr>
      </w:pPr>
      <w:r>
        <w:rPr>
          <w:rFonts w:hint="eastAsia" w:ascii="宋体" w:hAnsi="宋体" w:eastAsia="宋体" w:cs="宋体"/>
          <w:sz w:val="32"/>
          <w:szCs w:val="32"/>
        </w:rPr>
        <w:t>本标准在制定过程中严格</w:t>
      </w:r>
      <w:r>
        <w:rPr>
          <w:rFonts w:hint="default" w:ascii="宋体" w:hAnsi="宋体" w:eastAsia="宋体" w:cs="宋体"/>
          <w:sz w:val="32"/>
          <w:szCs w:val="32"/>
        </w:rPr>
        <w:t>遵循《</w:t>
      </w:r>
      <w:r>
        <w:rPr>
          <w:rFonts w:hint="eastAsia" w:ascii="宋体" w:hAnsi="宋体" w:eastAsia="宋体" w:cs="宋体"/>
          <w:sz w:val="32"/>
          <w:szCs w:val="32"/>
        </w:rPr>
        <w:t>集贸市场计量监督管理办法</w:t>
      </w:r>
      <w:r>
        <w:rPr>
          <w:rFonts w:hint="default" w:ascii="宋体" w:hAnsi="宋体" w:eastAsia="宋体" w:cs="宋体"/>
          <w:sz w:val="32"/>
          <w:szCs w:val="32"/>
        </w:rPr>
        <w:t>》</w:t>
      </w:r>
      <w:r>
        <w:rPr>
          <w:rFonts w:hint="eastAsia" w:ascii="宋体" w:hAnsi="宋体" w:eastAsia="宋体" w:cs="宋体"/>
          <w:sz w:val="32"/>
          <w:szCs w:val="32"/>
        </w:rPr>
        <w:t>（2002年4月19日国家质量监督检验检疫总局令第17号公布</w:t>
      </w:r>
      <w:r>
        <w:rPr>
          <w:rFonts w:hint="default" w:ascii="宋体" w:hAnsi="宋体" w:eastAsia="宋体" w:cs="宋体"/>
          <w:sz w:val="32"/>
          <w:szCs w:val="32"/>
        </w:rPr>
        <w:t>）</w:t>
      </w:r>
      <w:r>
        <w:rPr>
          <w:rFonts w:hint="eastAsia" w:ascii="宋体" w:hAnsi="宋体" w:eastAsia="宋体" w:cs="宋体"/>
          <w:sz w:val="32"/>
          <w:szCs w:val="32"/>
        </w:rPr>
        <w:t>《零售商品称重计量监督管理办法》</w:t>
      </w:r>
      <w:r>
        <w:rPr>
          <w:rFonts w:hint="default" w:ascii="宋体" w:hAnsi="宋体" w:eastAsia="宋体" w:cs="宋体"/>
          <w:sz w:val="32"/>
          <w:szCs w:val="32"/>
        </w:rPr>
        <w:t>（</w:t>
      </w:r>
      <w:r>
        <w:rPr>
          <w:rFonts w:hint="eastAsia" w:ascii="宋体" w:hAnsi="宋体" w:eastAsia="宋体" w:cs="宋体"/>
          <w:sz w:val="32"/>
          <w:szCs w:val="32"/>
        </w:rPr>
        <w:t>2004年8月10日国家质量监督检验检疫总局、国家工商行政管理总局令第66号发布</w:t>
      </w:r>
      <w:r>
        <w:rPr>
          <w:rFonts w:hint="default" w:ascii="宋体" w:hAnsi="宋体" w:eastAsia="宋体" w:cs="宋体"/>
          <w:sz w:val="32"/>
          <w:szCs w:val="32"/>
        </w:rPr>
        <w:t>）等相关政策法规。本标准与</w:t>
      </w:r>
      <w:r>
        <w:rPr>
          <w:rFonts w:hint="eastAsia" w:ascii="宋体" w:hAnsi="宋体" w:eastAsia="宋体" w:cs="宋体"/>
          <w:sz w:val="32"/>
          <w:szCs w:val="32"/>
        </w:rPr>
        <w:t>GB</w:t>
      </w:r>
      <w:r>
        <w:rPr>
          <w:rFonts w:hint="eastAsia" w:ascii="宋体" w:hAnsi="宋体" w:eastAsia="宋体" w:cs="宋体"/>
          <w:sz w:val="32"/>
          <w:szCs w:val="32"/>
          <w:lang w:val="en-US" w:eastAsia="zh-CN"/>
        </w:rPr>
        <w:t>/</w:t>
      </w:r>
      <w:r>
        <w:rPr>
          <w:rFonts w:hint="eastAsia" w:ascii="宋体" w:hAnsi="宋体" w:eastAsia="宋体" w:cs="宋体"/>
          <w:sz w:val="32"/>
          <w:szCs w:val="32"/>
        </w:rPr>
        <w:t>T 21720</w:t>
      </w:r>
      <w:r>
        <w:rPr>
          <w:rFonts w:hint="default" w:ascii="宋体" w:hAnsi="宋体" w:eastAsia="宋体" w:cs="宋体"/>
          <w:sz w:val="32"/>
          <w:szCs w:val="32"/>
        </w:rPr>
        <w:t>《</w:t>
      </w:r>
      <w:r>
        <w:rPr>
          <w:rFonts w:hint="eastAsia" w:ascii="宋体" w:hAnsi="宋体" w:eastAsia="宋体" w:cs="宋体"/>
          <w:sz w:val="32"/>
          <w:szCs w:val="32"/>
        </w:rPr>
        <w:t>农贸市场管理技术规范</w:t>
      </w:r>
      <w:r>
        <w:rPr>
          <w:rFonts w:hint="default" w:ascii="宋体" w:hAnsi="宋体" w:eastAsia="宋体" w:cs="宋体"/>
          <w:sz w:val="32"/>
          <w:szCs w:val="32"/>
        </w:rPr>
        <w:t>》、GB</w:t>
      </w:r>
      <w:r>
        <w:rPr>
          <w:rFonts w:hint="eastAsia" w:ascii="宋体" w:hAnsi="宋体" w:eastAsia="宋体" w:cs="宋体"/>
          <w:sz w:val="32"/>
          <w:szCs w:val="32"/>
          <w:lang w:val="en-US" w:eastAsia="zh-CN"/>
        </w:rPr>
        <w:t>/</w:t>
      </w:r>
      <w:r>
        <w:rPr>
          <w:rFonts w:hint="default" w:ascii="宋体" w:hAnsi="宋体" w:eastAsia="宋体" w:cs="宋体"/>
          <w:sz w:val="32"/>
          <w:szCs w:val="32"/>
        </w:rPr>
        <w:t>T 33659 《农贸市场计量管理与服务规范》</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DB32/T 4464《零售商品用电子计价秤使用规范》</w:t>
      </w:r>
      <w:r>
        <w:rPr>
          <w:rFonts w:hint="default" w:ascii="宋体" w:hAnsi="宋体" w:eastAsia="宋体" w:cs="宋体"/>
          <w:sz w:val="32"/>
          <w:szCs w:val="32"/>
        </w:rPr>
        <w:t>和其他相关标准保持协调统一。</w:t>
      </w:r>
      <w:r>
        <w:rPr>
          <w:rFonts w:hint="eastAsia" w:ascii="宋体" w:hAnsi="宋体" w:eastAsia="宋体" w:cs="宋体"/>
          <w:sz w:val="32"/>
          <w:szCs w:val="32"/>
        </w:rPr>
        <w:t>根据国务院关于深化标准化工作改革的精神，建议本标准为推荐性标准。</w:t>
      </w:r>
    </w:p>
    <w:p w14:paraId="57921CCD">
      <w:pPr>
        <w:spacing w:line="5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七、推广实施建议</w:t>
      </w:r>
    </w:p>
    <w:p w14:paraId="1A04190A">
      <w:pPr>
        <w:spacing w:line="5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本标</w:t>
      </w:r>
      <w:bookmarkStart w:id="0" w:name="_GoBack"/>
      <w:bookmarkEnd w:id="0"/>
      <w:r>
        <w:rPr>
          <w:rFonts w:hint="eastAsia" w:ascii="宋体" w:hAnsi="宋体" w:eastAsia="宋体" w:cs="宋体"/>
          <w:sz w:val="32"/>
          <w:szCs w:val="32"/>
        </w:rPr>
        <w:t>准明确了集贸市场电子计价秤使用和管理要求,对于规范集贸市场电子计价秤市场秩序，维护消费者合法权益有重要意义。</w:t>
      </w:r>
    </w:p>
    <w:p w14:paraId="490C2037">
      <w:pPr>
        <w:spacing w:line="5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标准发布以后，通过以下方式进行推广实施：一是加强宣传。通过编印宣传资料、张贴宣传横幅、制作专题展板等多种方式开展标准宣传，提升知晓度和认可度。二是开展培训。对集贸市场主办方进行专题宣讲，压实主体责任，推进规范落实。三是跟进检查。持续运用专项检查、随机抽查、暗访巡查等方式开展规范落实情况检查。</w:t>
      </w:r>
    </w:p>
    <w:p w14:paraId="629C5555">
      <w:pPr>
        <w:numPr>
          <w:ilvl w:val="0"/>
          <w:numId w:val="2"/>
        </w:numPr>
        <w:spacing w:line="58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标准起草人及分工</w:t>
      </w:r>
    </w:p>
    <w:p w14:paraId="79B2DA18">
      <w:pPr>
        <w:spacing w:line="560" w:lineRule="exact"/>
        <w:ind w:firstLine="640" w:firstLineChars="200"/>
        <w:rPr>
          <w:rFonts w:hint="eastAsia"/>
          <w:lang w:val="en-US" w:eastAsia="zh-CN"/>
        </w:rPr>
      </w:pPr>
      <w:r>
        <w:rPr>
          <w:rFonts w:hint="eastAsia" w:ascii="宋体" w:hAnsi="宋体" w:eastAsia="宋体" w:cs="宋体"/>
          <w:sz w:val="32"/>
          <w:szCs w:val="32"/>
          <w:lang w:val="en-US" w:eastAsia="zh-CN"/>
        </w:rPr>
        <w:t>本标准主要起草人员及分工详见下表：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1097"/>
        <w:gridCol w:w="3918"/>
        <w:gridCol w:w="1622"/>
        <w:gridCol w:w="1629"/>
      </w:tblGrid>
      <w:tr w14:paraId="4C052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vAlign w:val="center"/>
          </w:tcPr>
          <w:p w14:paraId="7BFA8EAB">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序号</w:t>
            </w:r>
          </w:p>
        </w:tc>
        <w:tc>
          <w:tcPr>
            <w:tcW w:w="1097" w:type="dxa"/>
            <w:vAlign w:val="center"/>
          </w:tcPr>
          <w:p w14:paraId="3635E197">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姓名</w:t>
            </w:r>
          </w:p>
        </w:tc>
        <w:tc>
          <w:tcPr>
            <w:tcW w:w="3918" w:type="dxa"/>
            <w:vAlign w:val="center"/>
          </w:tcPr>
          <w:p w14:paraId="1BACFE5F">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单位</w:t>
            </w:r>
          </w:p>
        </w:tc>
        <w:tc>
          <w:tcPr>
            <w:tcW w:w="1622" w:type="dxa"/>
            <w:vAlign w:val="center"/>
          </w:tcPr>
          <w:p w14:paraId="6E055967">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职称</w:t>
            </w:r>
          </w:p>
        </w:tc>
        <w:tc>
          <w:tcPr>
            <w:tcW w:w="1629" w:type="dxa"/>
            <w:vAlign w:val="center"/>
          </w:tcPr>
          <w:p w14:paraId="3725EC1D">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分工</w:t>
            </w:r>
          </w:p>
        </w:tc>
      </w:tr>
      <w:tr w14:paraId="3E512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vAlign w:val="center"/>
          </w:tcPr>
          <w:p w14:paraId="1167BA32">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1097" w:type="dxa"/>
            <w:vAlign w:val="center"/>
          </w:tcPr>
          <w:p w14:paraId="6CAC15C0">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陈力</w:t>
            </w:r>
          </w:p>
        </w:tc>
        <w:tc>
          <w:tcPr>
            <w:tcW w:w="3918" w:type="dxa"/>
            <w:vAlign w:val="center"/>
          </w:tcPr>
          <w:p w14:paraId="272A2076">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江苏省计量科学研究院</w:t>
            </w:r>
          </w:p>
        </w:tc>
        <w:tc>
          <w:tcPr>
            <w:tcW w:w="1622" w:type="dxa"/>
            <w:vAlign w:val="center"/>
          </w:tcPr>
          <w:p w14:paraId="53ABBEE0">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教授级高工</w:t>
            </w:r>
          </w:p>
        </w:tc>
        <w:tc>
          <w:tcPr>
            <w:tcW w:w="1629" w:type="dxa"/>
            <w:vAlign w:val="center"/>
          </w:tcPr>
          <w:p w14:paraId="06F5723A">
            <w:pPr>
              <w:autoSpaceDE/>
              <w:autoSpaceDN/>
              <w:snapToGrid/>
              <w:spacing w:line="240" w:lineRule="auto"/>
              <w:ind w:firstLine="0" w:firstLineChars="0"/>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项目总负责</w:t>
            </w:r>
          </w:p>
        </w:tc>
      </w:tr>
      <w:tr w14:paraId="53B68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vAlign w:val="center"/>
          </w:tcPr>
          <w:p w14:paraId="26F3020E">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w:t>
            </w:r>
          </w:p>
        </w:tc>
        <w:tc>
          <w:tcPr>
            <w:tcW w:w="1097" w:type="dxa"/>
            <w:vAlign w:val="center"/>
          </w:tcPr>
          <w:p w14:paraId="5248B12D">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杨宇华</w:t>
            </w:r>
          </w:p>
        </w:tc>
        <w:tc>
          <w:tcPr>
            <w:tcW w:w="3918" w:type="dxa"/>
            <w:vAlign w:val="center"/>
          </w:tcPr>
          <w:p w14:paraId="142E4626">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常州检验检测标准认证研究院</w:t>
            </w:r>
          </w:p>
        </w:tc>
        <w:tc>
          <w:tcPr>
            <w:tcW w:w="1622" w:type="dxa"/>
            <w:vAlign w:val="center"/>
          </w:tcPr>
          <w:p w14:paraId="551D34FB">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高级工程师</w:t>
            </w:r>
          </w:p>
        </w:tc>
        <w:tc>
          <w:tcPr>
            <w:tcW w:w="1629" w:type="dxa"/>
            <w:vAlign w:val="center"/>
          </w:tcPr>
          <w:p w14:paraId="53194FFF">
            <w:pPr>
              <w:autoSpaceDE/>
              <w:autoSpaceDN/>
              <w:snapToGrid/>
              <w:spacing w:line="240" w:lineRule="auto"/>
              <w:ind w:firstLine="0" w:firstLineChars="0"/>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标准起草</w:t>
            </w:r>
          </w:p>
        </w:tc>
      </w:tr>
      <w:tr w14:paraId="7E505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vAlign w:val="center"/>
          </w:tcPr>
          <w:p w14:paraId="54A3D4D5">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w:t>
            </w:r>
          </w:p>
        </w:tc>
        <w:tc>
          <w:tcPr>
            <w:tcW w:w="1097" w:type="dxa"/>
            <w:vAlign w:val="center"/>
          </w:tcPr>
          <w:p w14:paraId="795C1194">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任诗波</w:t>
            </w:r>
          </w:p>
        </w:tc>
        <w:tc>
          <w:tcPr>
            <w:tcW w:w="3918" w:type="dxa"/>
            <w:vAlign w:val="center"/>
          </w:tcPr>
          <w:p w14:paraId="7D9D737E">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南京市计量监督检测院</w:t>
            </w:r>
          </w:p>
        </w:tc>
        <w:tc>
          <w:tcPr>
            <w:tcW w:w="1622" w:type="dxa"/>
            <w:vAlign w:val="center"/>
          </w:tcPr>
          <w:p w14:paraId="043AD831">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教授级高工</w:t>
            </w:r>
          </w:p>
        </w:tc>
        <w:tc>
          <w:tcPr>
            <w:tcW w:w="1629" w:type="dxa"/>
            <w:vAlign w:val="center"/>
          </w:tcPr>
          <w:p w14:paraId="19EA3B8E">
            <w:pPr>
              <w:autoSpaceDE/>
              <w:autoSpaceDN/>
              <w:snapToGrid/>
              <w:spacing w:line="240" w:lineRule="auto"/>
              <w:ind w:firstLine="0" w:firstLineChars="0"/>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标准起草</w:t>
            </w:r>
          </w:p>
        </w:tc>
      </w:tr>
      <w:tr w14:paraId="139F7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vAlign w:val="center"/>
          </w:tcPr>
          <w:p w14:paraId="3D752360">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4</w:t>
            </w:r>
          </w:p>
        </w:tc>
        <w:tc>
          <w:tcPr>
            <w:tcW w:w="1097" w:type="dxa"/>
            <w:vAlign w:val="center"/>
          </w:tcPr>
          <w:p w14:paraId="213F669F">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赵伟</w:t>
            </w:r>
          </w:p>
        </w:tc>
        <w:tc>
          <w:tcPr>
            <w:tcW w:w="3918" w:type="dxa"/>
            <w:vAlign w:val="center"/>
          </w:tcPr>
          <w:p w14:paraId="09834C63">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江苏省计量科学研究院</w:t>
            </w:r>
          </w:p>
        </w:tc>
        <w:tc>
          <w:tcPr>
            <w:tcW w:w="1622" w:type="dxa"/>
            <w:vAlign w:val="center"/>
          </w:tcPr>
          <w:p w14:paraId="293EA354">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高级工程师</w:t>
            </w:r>
          </w:p>
        </w:tc>
        <w:tc>
          <w:tcPr>
            <w:tcW w:w="1629" w:type="dxa"/>
            <w:vAlign w:val="center"/>
          </w:tcPr>
          <w:p w14:paraId="50D18616">
            <w:pPr>
              <w:autoSpaceDE/>
              <w:autoSpaceDN/>
              <w:snapToGrid/>
              <w:spacing w:line="240" w:lineRule="auto"/>
              <w:ind w:firstLine="0" w:firstLineChars="0"/>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标准起草</w:t>
            </w:r>
          </w:p>
        </w:tc>
      </w:tr>
      <w:tr w14:paraId="3DD9C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vAlign w:val="center"/>
          </w:tcPr>
          <w:p w14:paraId="1522B3C3">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5</w:t>
            </w:r>
          </w:p>
        </w:tc>
        <w:tc>
          <w:tcPr>
            <w:tcW w:w="1097" w:type="dxa"/>
            <w:vAlign w:val="center"/>
          </w:tcPr>
          <w:p w14:paraId="1C14305F">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吴佳猛</w:t>
            </w:r>
          </w:p>
        </w:tc>
        <w:tc>
          <w:tcPr>
            <w:tcW w:w="3918" w:type="dxa"/>
            <w:vAlign w:val="center"/>
          </w:tcPr>
          <w:p w14:paraId="59F26DE6">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常州检验检测标准认证研究院</w:t>
            </w:r>
          </w:p>
        </w:tc>
        <w:tc>
          <w:tcPr>
            <w:tcW w:w="1622" w:type="dxa"/>
            <w:vAlign w:val="center"/>
          </w:tcPr>
          <w:p w14:paraId="318BD951">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高级工程师</w:t>
            </w:r>
          </w:p>
        </w:tc>
        <w:tc>
          <w:tcPr>
            <w:tcW w:w="1629" w:type="dxa"/>
            <w:vAlign w:val="center"/>
          </w:tcPr>
          <w:p w14:paraId="5D61D40C">
            <w:pPr>
              <w:autoSpaceDE/>
              <w:autoSpaceDN/>
              <w:snapToGrid/>
              <w:spacing w:line="240" w:lineRule="auto"/>
              <w:ind w:firstLine="0" w:firstLineChars="0"/>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标准起草</w:t>
            </w:r>
          </w:p>
        </w:tc>
      </w:tr>
      <w:tr w14:paraId="34C1E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vAlign w:val="center"/>
          </w:tcPr>
          <w:p w14:paraId="1E847F0E">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6</w:t>
            </w:r>
          </w:p>
        </w:tc>
        <w:tc>
          <w:tcPr>
            <w:tcW w:w="1097" w:type="dxa"/>
            <w:vAlign w:val="center"/>
          </w:tcPr>
          <w:p w14:paraId="54E152AC">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陈斌</w:t>
            </w:r>
          </w:p>
        </w:tc>
        <w:tc>
          <w:tcPr>
            <w:tcW w:w="3918" w:type="dxa"/>
            <w:vAlign w:val="center"/>
          </w:tcPr>
          <w:p w14:paraId="4B2B6BC0">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江苏省计量科学研究院</w:t>
            </w:r>
          </w:p>
        </w:tc>
        <w:tc>
          <w:tcPr>
            <w:tcW w:w="1622" w:type="dxa"/>
            <w:vAlign w:val="center"/>
          </w:tcPr>
          <w:p w14:paraId="165C65C9">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工程师</w:t>
            </w:r>
          </w:p>
        </w:tc>
        <w:tc>
          <w:tcPr>
            <w:tcW w:w="1629" w:type="dxa"/>
            <w:vAlign w:val="center"/>
          </w:tcPr>
          <w:p w14:paraId="5A5EE1E7">
            <w:pPr>
              <w:autoSpaceDE/>
              <w:autoSpaceDN/>
              <w:snapToGrid/>
              <w:spacing w:line="240" w:lineRule="auto"/>
              <w:ind w:firstLine="0" w:firstLineChars="0"/>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调研和技术研讨</w:t>
            </w:r>
          </w:p>
        </w:tc>
      </w:tr>
      <w:tr w14:paraId="0ADFA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vAlign w:val="center"/>
          </w:tcPr>
          <w:p w14:paraId="429C9403">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7</w:t>
            </w:r>
          </w:p>
        </w:tc>
        <w:tc>
          <w:tcPr>
            <w:tcW w:w="1097" w:type="dxa"/>
            <w:vAlign w:val="center"/>
          </w:tcPr>
          <w:p w14:paraId="240A90D1">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王亚磊</w:t>
            </w:r>
          </w:p>
        </w:tc>
        <w:tc>
          <w:tcPr>
            <w:tcW w:w="3918" w:type="dxa"/>
            <w:vAlign w:val="center"/>
          </w:tcPr>
          <w:p w14:paraId="57292173">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南京市计量监督检测院</w:t>
            </w:r>
          </w:p>
        </w:tc>
        <w:tc>
          <w:tcPr>
            <w:tcW w:w="1622" w:type="dxa"/>
            <w:vAlign w:val="center"/>
          </w:tcPr>
          <w:p w14:paraId="429F2D77">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高级工程师</w:t>
            </w:r>
          </w:p>
        </w:tc>
        <w:tc>
          <w:tcPr>
            <w:tcW w:w="1629" w:type="dxa"/>
            <w:vAlign w:val="center"/>
          </w:tcPr>
          <w:p w14:paraId="618A3F0C">
            <w:pPr>
              <w:autoSpaceDE/>
              <w:autoSpaceDN/>
              <w:snapToGrid/>
              <w:spacing w:line="240" w:lineRule="auto"/>
              <w:ind w:firstLine="0" w:firstLineChars="0"/>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调研和技术研讨</w:t>
            </w:r>
          </w:p>
        </w:tc>
      </w:tr>
      <w:tr w14:paraId="0AB4C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vAlign w:val="center"/>
          </w:tcPr>
          <w:p w14:paraId="7CA96421">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8</w:t>
            </w:r>
          </w:p>
        </w:tc>
        <w:tc>
          <w:tcPr>
            <w:tcW w:w="1097" w:type="dxa"/>
            <w:vAlign w:val="center"/>
          </w:tcPr>
          <w:p w14:paraId="59F83791">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江亮</w:t>
            </w:r>
          </w:p>
        </w:tc>
        <w:tc>
          <w:tcPr>
            <w:tcW w:w="3918" w:type="dxa"/>
            <w:vAlign w:val="center"/>
          </w:tcPr>
          <w:p w14:paraId="41A438AC">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南京市计量监督检测院</w:t>
            </w:r>
          </w:p>
        </w:tc>
        <w:tc>
          <w:tcPr>
            <w:tcW w:w="1622" w:type="dxa"/>
            <w:vAlign w:val="center"/>
          </w:tcPr>
          <w:p w14:paraId="1676CFA1">
            <w:pPr>
              <w:spacing w:line="580" w:lineRule="exact"/>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工程师</w:t>
            </w:r>
          </w:p>
        </w:tc>
        <w:tc>
          <w:tcPr>
            <w:tcW w:w="1629" w:type="dxa"/>
            <w:vAlign w:val="center"/>
          </w:tcPr>
          <w:p w14:paraId="06A87793">
            <w:pPr>
              <w:autoSpaceDE/>
              <w:autoSpaceDN/>
              <w:snapToGrid/>
              <w:spacing w:line="240" w:lineRule="auto"/>
              <w:ind w:firstLine="0" w:firstLineChars="0"/>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调研和技术研讨</w:t>
            </w:r>
          </w:p>
        </w:tc>
      </w:tr>
    </w:tbl>
    <w:p w14:paraId="1F31FCCE">
      <w:pPr>
        <w:spacing w:line="580" w:lineRule="exact"/>
        <w:ind w:firstLine="640" w:firstLineChars="200"/>
        <w:rPr>
          <w:rFonts w:hint="default" w:eastAsia="方正仿宋_GBK"/>
          <w:sz w:val="32"/>
          <w:szCs w:val="32"/>
          <w:lang w:val="en-US" w:eastAsia="zh-CN"/>
        </w:rPr>
      </w:pPr>
    </w:p>
    <w:sectPr>
      <w:footerReference r:id="rId3" w:type="default"/>
      <w:footerReference r:id="rId4" w:type="even"/>
      <w:pgSz w:w="11906" w:h="16838"/>
      <w:pgMar w:top="2098" w:right="1474" w:bottom="1985" w:left="158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JLJNL+Arial">
    <w:altName w:val="Arial"/>
    <w:panose1 w:val="00000000000000000000"/>
    <w:charset w:val="00"/>
    <w:family w:val="swiss"/>
    <w:pitch w:val="default"/>
    <w:sig w:usb0="00000000" w:usb1="00000000" w:usb2="00000000" w:usb3="00000000" w:csb0="00000001" w:csb1="00000000"/>
  </w:font>
  <w:font w:name="方正小标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黑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5F2F9">
    <w:pPr>
      <w:pStyle w:val="6"/>
      <w:framePr w:wrap="around" w:vAnchor="text" w:hAnchor="margin" w:xAlign="center" w:y="1"/>
      <w:rPr>
        <w:rStyle w:val="13"/>
      </w:rPr>
    </w:pPr>
  </w:p>
  <w:p w14:paraId="67732288">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9F476">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14:paraId="4BC8ACCB">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59F5AD"/>
    <w:multiLevelType w:val="singleLevel"/>
    <w:tmpl w:val="6A59F5AD"/>
    <w:lvl w:ilvl="0" w:tentative="0">
      <w:start w:val="8"/>
      <w:numFmt w:val="chineseCounting"/>
      <w:suff w:val="nothing"/>
      <w:lvlText w:val="%1、"/>
      <w:lvlJc w:val="left"/>
      <w:rPr>
        <w:rFonts w:hint="eastAsia"/>
      </w:rPr>
    </w:lvl>
  </w:abstractNum>
  <w:abstractNum w:abstractNumId="1">
    <w:nsid w:val="6CEA2025"/>
    <w:multiLevelType w:val="multilevel"/>
    <w:tmpl w:val="6CEA2025"/>
    <w:lvl w:ilvl="0" w:tentative="0">
      <w:start w:val="1"/>
      <w:numFmt w:val="none"/>
      <w:pStyle w:val="19"/>
      <w:suff w:val="nothing"/>
      <w:lvlText w:val="%1"/>
      <w:lvlJc w:val="left"/>
      <w:pPr>
        <w:ind w:left="0" w:firstLine="0"/>
      </w:pPr>
      <w:rPr>
        <w:rFonts w:hint="default" w:ascii="Times New Roman" w:hAnsi="Times New Roman"/>
        <w:b/>
        <w:i w:val="0"/>
        <w:sz w:val="21"/>
      </w:rPr>
    </w:lvl>
    <w:lvl w:ilvl="1" w:tentative="0">
      <w:start w:val="7"/>
      <w:numFmt w:val="decimal"/>
      <w:pStyle w:val="16"/>
      <w:suff w:val="nothing"/>
      <w:lvlText w:val="%1%2　"/>
      <w:lvlJc w:val="left"/>
      <w:pPr>
        <w:ind w:left="0" w:firstLine="0"/>
      </w:pPr>
      <w:rPr>
        <w:rFonts w:hint="eastAsia" w:ascii="黑体" w:hAnsi="Times New Roman" w:eastAsia="黑体"/>
        <w:b w:val="0"/>
        <w:i w:val="0"/>
        <w:sz w:val="21"/>
      </w:rPr>
    </w:lvl>
    <w:lvl w:ilvl="2" w:tentative="0">
      <w:start w:val="1"/>
      <w:numFmt w:val="decimal"/>
      <w:pStyle w:val="17"/>
      <w:suff w:val="nothing"/>
      <w:lvlText w:val="%1%2.%3　"/>
      <w:lvlJc w:val="left"/>
      <w:pPr>
        <w:ind w:left="0" w:firstLine="0"/>
      </w:pPr>
      <w:rPr>
        <w:rFonts w:hint="eastAsia" w:ascii="黑体" w:hAnsi="Times New Roman" w:eastAsia="黑体"/>
        <w:b w:val="0"/>
        <w:i w:val="0"/>
        <w:sz w:val="21"/>
      </w:rPr>
    </w:lvl>
    <w:lvl w:ilvl="3" w:tentative="0">
      <w:start w:val="4"/>
      <w:numFmt w:val="none"/>
      <w:pStyle w:val="18"/>
      <w:suff w:val="nothing"/>
      <w:lvlText w:val="7.4.1　"/>
      <w:lvlJc w:val="left"/>
      <w:pPr>
        <w:ind w:left="0" w:firstLine="0"/>
      </w:pPr>
      <w:rPr>
        <w:rFonts w:hint="eastAsia" w:ascii="黑体" w:hAnsi="Times New Roman" w:eastAsia="黑体"/>
        <w:b w:val="0"/>
        <w:i w:val="0"/>
        <w:sz w:val="21"/>
      </w:rPr>
    </w:lvl>
    <w:lvl w:ilvl="4" w:tentative="0">
      <w:start w:val="1"/>
      <w:numFmt w:val="decimal"/>
      <w:pStyle w:val="20"/>
      <w:suff w:val="nothing"/>
      <w:lvlText w:val="%1%2.%3.%4.%5　"/>
      <w:lvlJc w:val="left"/>
      <w:pPr>
        <w:ind w:left="0" w:firstLine="0"/>
      </w:pPr>
      <w:rPr>
        <w:rFonts w:hint="eastAsia" w:ascii="黑体" w:hAnsi="Times New Roman" w:eastAsia="黑体"/>
        <w:b w:val="0"/>
        <w:i w:val="0"/>
        <w:sz w:val="21"/>
      </w:rPr>
    </w:lvl>
    <w:lvl w:ilvl="5" w:tentative="0">
      <w:start w:val="1"/>
      <w:numFmt w:val="decimal"/>
      <w:pStyle w:val="21"/>
      <w:suff w:val="nothing"/>
      <w:lvlText w:val="%1%2.%3.%4.%5.%6　"/>
      <w:lvlJc w:val="left"/>
      <w:pPr>
        <w:ind w:left="0" w:firstLine="0"/>
      </w:pPr>
      <w:rPr>
        <w:rFonts w:hint="eastAsia" w:ascii="黑体" w:hAnsi="Times New Roman" w:eastAsia="黑体"/>
        <w:b w:val="0"/>
        <w:i w:val="0"/>
        <w:sz w:val="21"/>
      </w:rPr>
    </w:lvl>
    <w:lvl w:ilvl="6" w:tentative="0">
      <w:start w:val="1"/>
      <w:numFmt w:val="decimal"/>
      <w:pStyle w:val="2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5OWE3OTdiNGRiYjNjYWE0ZDZiNDY3MjBiMGY2N2EifQ=="/>
  </w:docVars>
  <w:rsids>
    <w:rsidRoot w:val="009C547B"/>
    <w:rsid w:val="00006CCD"/>
    <w:rsid w:val="00017FB3"/>
    <w:rsid w:val="00046F66"/>
    <w:rsid w:val="00086F40"/>
    <w:rsid w:val="001040A5"/>
    <w:rsid w:val="00104AF5"/>
    <w:rsid w:val="001076F9"/>
    <w:rsid w:val="0011203B"/>
    <w:rsid w:val="00124E87"/>
    <w:rsid w:val="00176DD6"/>
    <w:rsid w:val="001A124C"/>
    <w:rsid w:val="001A5393"/>
    <w:rsid w:val="001C07F8"/>
    <w:rsid w:val="001F14FE"/>
    <w:rsid w:val="001F276E"/>
    <w:rsid w:val="00210C53"/>
    <w:rsid w:val="00216B3A"/>
    <w:rsid w:val="00221436"/>
    <w:rsid w:val="002360AC"/>
    <w:rsid w:val="002725B5"/>
    <w:rsid w:val="002A5BA8"/>
    <w:rsid w:val="002A62A0"/>
    <w:rsid w:val="002B0F9A"/>
    <w:rsid w:val="002E0B7D"/>
    <w:rsid w:val="002F05CF"/>
    <w:rsid w:val="002F2A4A"/>
    <w:rsid w:val="00301FF8"/>
    <w:rsid w:val="00342E93"/>
    <w:rsid w:val="00363A7A"/>
    <w:rsid w:val="00397745"/>
    <w:rsid w:val="003C48EB"/>
    <w:rsid w:val="003D1BF3"/>
    <w:rsid w:val="003D4C04"/>
    <w:rsid w:val="004212F2"/>
    <w:rsid w:val="00433CB4"/>
    <w:rsid w:val="004437B0"/>
    <w:rsid w:val="00444BAA"/>
    <w:rsid w:val="0048628E"/>
    <w:rsid w:val="004B35A6"/>
    <w:rsid w:val="004B7FD2"/>
    <w:rsid w:val="004C2B2F"/>
    <w:rsid w:val="004D0024"/>
    <w:rsid w:val="004D2AD3"/>
    <w:rsid w:val="004E4346"/>
    <w:rsid w:val="004E67EC"/>
    <w:rsid w:val="004E6EFD"/>
    <w:rsid w:val="00513ED4"/>
    <w:rsid w:val="0053267D"/>
    <w:rsid w:val="00540717"/>
    <w:rsid w:val="00556660"/>
    <w:rsid w:val="00561B3A"/>
    <w:rsid w:val="0056288D"/>
    <w:rsid w:val="00570906"/>
    <w:rsid w:val="005A25A8"/>
    <w:rsid w:val="005A5313"/>
    <w:rsid w:val="005B5832"/>
    <w:rsid w:val="005C7A53"/>
    <w:rsid w:val="005D69E1"/>
    <w:rsid w:val="00601A5A"/>
    <w:rsid w:val="00623CF3"/>
    <w:rsid w:val="006A1620"/>
    <w:rsid w:val="006D00EF"/>
    <w:rsid w:val="006D2238"/>
    <w:rsid w:val="007122BB"/>
    <w:rsid w:val="007131BA"/>
    <w:rsid w:val="0073329A"/>
    <w:rsid w:val="00782129"/>
    <w:rsid w:val="00787326"/>
    <w:rsid w:val="007A6858"/>
    <w:rsid w:val="007B34F3"/>
    <w:rsid w:val="007B7180"/>
    <w:rsid w:val="007C0C34"/>
    <w:rsid w:val="007C39BF"/>
    <w:rsid w:val="007E7CD5"/>
    <w:rsid w:val="007F2F6A"/>
    <w:rsid w:val="00802921"/>
    <w:rsid w:val="00807163"/>
    <w:rsid w:val="00823766"/>
    <w:rsid w:val="00827553"/>
    <w:rsid w:val="008331F8"/>
    <w:rsid w:val="008407C7"/>
    <w:rsid w:val="0086309D"/>
    <w:rsid w:val="0086534B"/>
    <w:rsid w:val="00866257"/>
    <w:rsid w:val="008848EF"/>
    <w:rsid w:val="008878AD"/>
    <w:rsid w:val="00890D44"/>
    <w:rsid w:val="00895ADC"/>
    <w:rsid w:val="00896452"/>
    <w:rsid w:val="008D3D67"/>
    <w:rsid w:val="008D408E"/>
    <w:rsid w:val="008F243D"/>
    <w:rsid w:val="008F7008"/>
    <w:rsid w:val="00920CE5"/>
    <w:rsid w:val="00930CE1"/>
    <w:rsid w:val="00935E65"/>
    <w:rsid w:val="00967BEA"/>
    <w:rsid w:val="009A03C8"/>
    <w:rsid w:val="009A3043"/>
    <w:rsid w:val="009B7902"/>
    <w:rsid w:val="009C547B"/>
    <w:rsid w:val="00A25580"/>
    <w:rsid w:val="00A335D7"/>
    <w:rsid w:val="00A338B0"/>
    <w:rsid w:val="00A40708"/>
    <w:rsid w:val="00A6537E"/>
    <w:rsid w:val="00A81330"/>
    <w:rsid w:val="00AA3D66"/>
    <w:rsid w:val="00AA3F74"/>
    <w:rsid w:val="00AB210F"/>
    <w:rsid w:val="00B0144A"/>
    <w:rsid w:val="00B11A56"/>
    <w:rsid w:val="00B23424"/>
    <w:rsid w:val="00B2437B"/>
    <w:rsid w:val="00B2598D"/>
    <w:rsid w:val="00B26D3B"/>
    <w:rsid w:val="00B37E0C"/>
    <w:rsid w:val="00B52D73"/>
    <w:rsid w:val="00B715A8"/>
    <w:rsid w:val="00BB0DE3"/>
    <w:rsid w:val="00BB2876"/>
    <w:rsid w:val="00BE1BAD"/>
    <w:rsid w:val="00C00730"/>
    <w:rsid w:val="00C00C64"/>
    <w:rsid w:val="00C10848"/>
    <w:rsid w:val="00C30DB1"/>
    <w:rsid w:val="00C34D83"/>
    <w:rsid w:val="00C64CAD"/>
    <w:rsid w:val="00C7732F"/>
    <w:rsid w:val="00C967EF"/>
    <w:rsid w:val="00CD0BA0"/>
    <w:rsid w:val="00CD21F3"/>
    <w:rsid w:val="00CD73BE"/>
    <w:rsid w:val="00D0376C"/>
    <w:rsid w:val="00D16CB8"/>
    <w:rsid w:val="00D40053"/>
    <w:rsid w:val="00D52146"/>
    <w:rsid w:val="00D80878"/>
    <w:rsid w:val="00D91BA1"/>
    <w:rsid w:val="00DC4FD9"/>
    <w:rsid w:val="00DE6AF4"/>
    <w:rsid w:val="00DE6EFD"/>
    <w:rsid w:val="00DF1529"/>
    <w:rsid w:val="00DF4825"/>
    <w:rsid w:val="00E20E7F"/>
    <w:rsid w:val="00E24129"/>
    <w:rsid w:val="00E34F50"/>
    <w:rsid w:val="00E57E45"/>
    <w:rsid w:val="00E7196C"/>
    <w:rsid w:val="00EC7514"/>
    <w:rsid w:val="00ED07F0"/>
    <w:rsid w:val="00ED3389"/>
    <w:rsid w:val="00EE3C84"/>
    <w:rsid w:val="00EF07A1"/>
    <w:rsid w:val="00EF21D2"/>
    <w:rsid w:val="00F05785"/>
    <w:rsid w:val="00F23BDE"/>
    <w:rsid w:val="00F433F8"/>
    <w:rsid w:val="00F45D3B"/>
    <w:rsid w:val="00F615AC"/>
    <w:rsid w:val="00F7090B"/>
    <w:rsid w:val="00F71828"/>
    <w:rsid w:val="00F72810"/>
    <w:rsid w:val="00FB05BB"/>
    <w:rsid w:val="00FC2ED4"/>
    <w:rsid w:val="00FE1014"/>
    <w:rsid w:val="0BCC535D"/>
    <w:rsid w:val="0F063B12"/>
    <w:rsid w:val="10934315"/>
    <w:rsid w:val="12E003E4"/>
    <w:rsid w:val="16C25D00"/>
    <w:rsid w:val="18C63D8D"/>
    <w:rsid w:val="2D4E51B9"/>
    <w:rsid w:val="37E7324C"/>
    <w:rsid w:val="3A3B2C10"/>
    <w:rsid w:val="3C1C47B1"/>
    <w:rsid w:val="456F5201"/>
    <w:rsid w:val="46965A2C"/>
    <w:rsid w:val="49463965"/>
    <w:rsid w:val="49842A4E"/>
    <w:rsid w:val="53C51369"/>
    <w:rsid w:val="59D50562"/>
    <w:rsid w:val="64551EB5"/>
    <w:rsid w:val="71180998"/>
    <w:rsid w:val="795F18CA"/>
    <w:rsid w:val="79630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492"/>
    </w:pPr>
    <w:rPr>
      <w:rFonts w:ascii="微软雅黑" w:hAnsi="微软雅黑" w:eastAsia="微软雅黑" w:cs="微软雅黑"/>
      <w:b/>
      <w:bCs/>
      <w:sz w:val="32"/>
      <w:szCs w:val="32"/>
      <w:lang w:val="zh-CN" w:bidi="zh-CN"/>
    </w:rPr>
  </w:style>
  <w:style w:type="paragraph" w:styleId="4">
    <w:name w:val="Body Text Indent"/>
    <w:basedOn w:val="1"/>
    <w:autoRedefine/>
    <w:qFormat/>
    <w:uiPriority w:val="0"/>
    <w:pPr>
      <w:ind w:left="-1020"/>
    </w:pPr>
    <w:rPr>
      <w:rFonts w:ascii="宋体" w:hAnsi="宋体"/>
      <w:sz w:val="28"/>
    </w:rPr>
  </w:style>
  <w:style w:type="paragraph" w:styleId="5">
    <w:name w:val="Balloon Text"/>
    <w:basedOn w:val="1"/>
    <w:link w:val="23"/>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link w:val="15"/>
    <w:autoRedefine/>
    <w:qFormat/>
    <w:uiPriority w:val="0"/>
    <w:pPr>
      <w:pBdr>
        <w:bottom w:val="single" w:color="auto" w:sz="6" w:space="1"/>
      </w:pBdr>
      <w:tabs>
        <w:tab w:val="center" w:pos="4153"/>
        <w:tab w:val="right" w:pos="8306"/>
      </w:tabs>
      <w:snapToGrid w:val="0"/>
      <w:jc w:val="center"/>
    </w:pPr>
    <w:rPr>
      <w:sz w:val="18"/>
      <w:szCs w:val="18"/>
      <w:lang w:val="zh-CN"/>
    </w:rPr>
  </w:style>
  <w:style w:type="paragraph" w:styleId="8">
    <w:name w:val="Body Text Indent 3"/>
    <w:basedOn w:val="1"/>
    <w:autoRedefine/>
    <w:qFormat/>
    <w:uiPriority w:val="0"/>
    <w:pPr>
      <w:spacing w:line="360" w:lineRule="auto"/>
      <w:ind w:firstLine="560" w:firstLineChars="200"/>
      <w:jc w:val="left"/>
    </w:pPr>
    <w:rPr>
      <w:rFonts w:ascii="宋体" w:hAnsi="宋体"/>
      <w:sz w:val="28"/>
    </w:rPr>
  </w:style>
  <w:style w:type="table" w:styleId="10">
    <w:name w:val="Table Grid"/>
    <w:basedOn w:val="9"/>
    <w:autoRedefine/>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rFonts w:ascii="黑体" w:hAnsi="宋体" w:eastAsia="黑体"/>
      <w:sz w:val="28"/>
    </w:rPr>
  </w:style>
  <w:style w:type="character" w:styleId="13">
    <w:name w:val="page number"/>
    <w:basedOn w:val="11"/>
    <w:qFormat/>
    <w:uiPriority w:val="0"/>
  </w:style>
  <w:style w:type="character" w:styleId="14">
    <w:name w:val="Hyperlink"/>
    <w:basedOn w:val="11"/>
    <w:semiHidden/>
    <w:unhideWhenUsed/>
    <w:qFormat/>
    <w:uiPriority w:val="0"/>
    <w:rPr>
      <w:color w:val="0000FF"/>
      <w:u w:val="single"/>
    </w:rPr>
  </w:style>
  <w:style w:type="character" w:customStyle="1" w:styleId="15">
    <w:name w:val="页眉 字符"/>
    <w:link w:val="7"/>
    <w:qFormat/>
    <w:uiPriority w:val="0"/>
    <w:rPr>
      <w:kern w:val="2"/>
      <w:sz w:val="18"/>
      <w:szCs w:val="18"/>
    </w:rPr>
  </w:style>
  <w:style w:type="paragraph" w:customStyle="1" w:styleId="16">
    <w:name w:val="标准文件_章标题"/>
    <w:next w:val="1"/>
    <w:autoRedefine/>
    <w:qFormat/>
    <w:uiPriority w:val="0"/>
    <w:pPr>
      <w:numPr>
        <w:ilvl w:val="1"/>
        <w:numId w:val="1"/>
      </w:numPr>
      <w:spacing w:beforeLines="50" w:afterLines="50"/>
      <w:ind w:right="-50" w:rightChars="-50"/>
      <w:jc w:val="both"/>
      <w:outlineLvl w:val="1"/>
    </w:pPr>
    <w:rPr>
      <w:rFonts w:ascii="黑体" w:hAnsi="Times New Roman" w:eastAsia="黑体" w:cs="Times New Roman"/>
      <w:spacing w:val="2"/>
      <w:sz w:val="21"/>
      <w:lang w:val="en-US" w:eastAsia="zh-CN" w:bidi="ar-SA"/>
    </w:rPr>
  </w:style>
  <w:style w:type="paragraph" w:customStyle="1" w:styleId="17">
    <w:name w:val="标准文件_一级条标题"/>
    <w:basedOn w:val="16"/>
    <w:next w:val="1"/>
    <w:qFormat/>
    <w:uiPriority w:val="0"/>
    <w:pPr>
      <w:numPr>
        <w:ilvl w:val="2"/>
      </w:numPr>
      <w:spacing w:beforeLines="0" w:afterLines="0"/>
      <w:outlineLvl w:val="2"/>
    </w:pPr>
  </w:style>
  <w:style w:type="paragraph" w:customStyle="1" w:styleId="18">
    <w:name w:val="标准文件_二级条标题"/>
    <w:basedOn w:val="17"/>
    <w:next w:val="1"/>
    <w:qFormat/>
    <w:uiPriority w:val="0"/>
    <w:pPr>
      <w:numPr>
        <w:ilvl w:val="3"/>
      </w:numPr>
      <w:outlineLvl w:val="3"/>
    </w:pPr>
  </w:style>
  <w:style w:type="paragraph" w:customStyle="1" w:styleId="19">
    <w:name w:val="前言标题"/>
    <w:next w:val="1"/>
    <w:autoRedefine/>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20">
    <w:name w:val="标准文件_三级条标题"/>
    <w:basedOn w:val="18"/>
    <w:next w:val="1"/>
    <w:autoRedefine/>
    <w:qFormat/>
    <w:uiPriority w:val="0"/>
    <w:pPr>
      <w:numPr>
        <w:ilvl w:val="4"/>
      </w:numPr>
      <w:outlineLvl w:val="4"/>
    </w:pPr>
  </w:style>
  <w:style w:type="paragraph" w:customStyle="1" w:styleId="21">
    <w:name w:val="标准文件_四级条标题"/>
    <w:basedOn w:val="20"/>
    <w:next w:val="1"/>
    <w:autoRedefine/>
    <w:qFormat/>
    <w:uiPriority w:val="0"/>
    <w:pPr>
      <w:numPr>
        <w:ilvl w:val="5"/>
      </w:numPr>
      <w:outlineLvl w:val="5"/>
    </w:pPr>
  </w:style>
  <w:style w:type="paragraph" w:customStyle="1" w:styleId="22">
    <w:name w:val="标准文件_五级条标题"/>
    <w:basedOn w:val="21"/>
    <w:next w:val="1"/>
    <w:autoRedefine/>
    <w:qFormat/>
    <w:uiPriority w:val="0"/>
    <w:pPr>
      <w:numPr>
        <w:ilvl w:val="6"/>
      </w:numPr>
      <w:outlineLvl w:val="6"/>
    </w:pPr>
  </w:style>
  <w:style w:type="character" w:customStyle="1" w:styleId="23">
    <w:name w:val="批注框文本 字符"/>
    <w:basedOn w:val="11"/>
    <w:link w:val="5"/>
    <w:autoRedefine/>
    <w:qFormat/>
    <w:uiPriority w:val="0"/>
    <w:rPr>
      <w:kern w:val="2"/>
      <w:sz w:val="18"/>
      <w:szCs w:val="18"/>
    </w:rPr>
  </w:style>
  <w:style w:type="paragraph" w:customStyle="1" w:styleId="24">
    <w:name w:val="Default"/>
    <w:basedOn w:val="1"/>
    <w:autoRedefine/>
    <w:qFormat/>
    <w:uiPriority w:val="0"/>
    <w:pPr>
      <w:widowControl/>
      <w:autoSpaceDE w:val="0"/>
      <w:autoSpaceDN w:val="0"/>
      <w:jc w:val="left"/>
    </w:pPr>
    <w:rPr>
      <w:rFonts w:ascii="DJLJNL+Arial" w:hAnsi="DJLJNL+Arial" w:cs="宋体"/>
      <w:color w:val="000000"/>
      <w:kern w:val="0"/>
      <w:sz w:val="24"/>
    </w:rPr>
  </w:style>
  <w:style w:type="character" w:customStyle="1" w:styleId="25">
    <w:name w:val="translated-span"/>
    <w:basedOn w:val="11"/>
    <w:autoRedefine/>
    <w:qFormat/>
    <w:uiPriority w:val="0"/>
  </w:style>
  <w:style w:type="character" w:customStyle="1" w:styleId="26">
    <w:name w:val="high-light-bg4"/>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MC SYSTEM</Company>
  <Pages>7</Pages>
  <Words>2281</Words>
  <Characters>2319</Characters>
  <Lines>12</Lines>
  <Paragraphs>3</Paragraphs>
  <TotalTime>3</TotalTime>
  <ScaleCrop>false</ScaleCrop>
  <LinksUpToDate>false</LinksUpToDate>
  <CharactersWithSpaces>2333</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2024-02-28T08:32:00Z</dcterms:created>
  <dc:creator>MC SYSTEM</dc:creator>
  <cp:lastModifiedBy>吴佳猛</cp:lastModifiedBy>
  <cp:lastPrinted>2006-07-07T03:21:00Z</cp:lastPrinted>
  <dcterms:modified xsi:type="dcterms:W3CDTF">2024-11-22T00:42:38Z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C2C33D0BE08B416C91A7F12299F57426_13</vt:lpwstr>
  </property>
</Properties>
</file>