
<file path=[Content_Types].xml><?xml version="1.0" encoding="utf-8"?>
<Types xmlns="http://schemas.openxmlformats.org/package/2006/content-types">
  <Default Extension="xml" ContentType="application/xml"/>
  <Default Extension="tiff" ContentType="image/tiff"/>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tbl>
      <w:tblPr>
        <w:tblStyle w:val="31"/>
        <w:tblW w:w="936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0" w:type="dxa"/>
          <w:bottom w:w="0" w:type="dxa"/>
          <w:right w:w="0" w:type="dxa"/>
        </w:tblCellMar>
      </w:tblPr>
      <w:tblGrid>
        <w:gridCol w:w="509"/>
        <w:gridCol w:w="8855"/>
      </w:tblGrid>
      <w:tr w14:paraId="44EFEDC8">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3E9548AE">
            <w:pPr>
              <w:pStyle w:val="20"/>
              <w:framePr w:wrap="notBeside" w:vAnchor="page" w:hAnchor="page" w:x="1372" w:y="568"/>
              <w:tabs>
                <w:tab w:val="clear" w:pos="4153"/>
                <w:tab w:val="clear" w:pos="8306"/>
              </w:tabs>
              <w:spacing w:line="240" w:lineRule="auto"/>
              <w:jc w:val="left"/>
              <w:rPr>
                <w:rFonts w:ascii="黑体" w:hAnsi="黑体" w:eastAsia="黑体"/>
                <w:sz w:val="21"/>
                <w:szCs w:val="21"/>
              </w:rPr>
            </w:pPr>
            <w:r>
              <w:rPr>
                <w:rFonts w:ascii="Times New Roman" w:hAnsi="Times New Roman" w:eastAsia="黑体"/>
                <w:sz w:val="21"/>
                <w:szCs w:val="21"/>
              </w:rPr>
              <w:t>ICS</w:t>
            </w:r>
            <w:r>
              <w:rPr>
                <w:rFonts w:ascii="黑体" w:hAnsi="黑体" w:eastAsia="黑体"/>
                <w:sz w:val="21"/>
                <w:szCs w:val="21"/>
              </w:rPr>
              <w:t xml:space="preserve">  </w:t>
            </w:r>
          </w:p>
        </w:tc>
        <w:tc>
          <w:tcPr>
            <w:tcW w:w="8855" w:type="dxa"/>
          </w:tcPr>
          <w:p w14:paraId="7F6643A7">
            <w:pPr>
              <w:pStyle w:val="20"/>
              <w:framePr w:wrap="notBeside" w:vAnchor="page" w:hAnchor="page" w:x="1372" w:y="568"/>
              <w:tabs>
                <w:tab w:val="clear" w:pos="4153"/>
                <w:tab w:val="clear" w:pos="8306"/>
              </w:tabs>
              <w:spacing w:line="240" w:lineRule="auto"/>
              <w:jc w:val="both"/>
              <w:rPr>
                <w:rFonts w:ascii="黑体" w:hAnsi="黑体" w:eastAsia="黑体"/>
                <w:sz w:val="21"/>
                <w:szCs w:val="21"/>
              </w:rPr>
            </w:pPr>
            <w:r>
              <w:rPr>
                <w:rFonts w:ascii="黑体" w:hAnsi="黑体" w:eastAsia="黑体"/>
                <w:sz w:val="21"/>
                <w:szCs w:val="21"/>
              </w:rPr>
              <w:fldChar w:fldCharType="begin">
                <w:ffData>
                  <w:name w:val="ICS"/>
                  <w:enabled/>
                  <w:calcOnExit w:val="0"/>
                  <w:textInput>
                    <w:default w:val="点击此处添加ICS号"/>
                  </w:textInput>
                </w:ffData>
              </w:fldChar>
            </w:r>
            <w:bookmarkStart w:id="0" w:name="ICS"/>
            <w:r>
              <w:rPr>
                <w:rFonts w:ascii="黑体" w:hAnsi="黑体" w:eastAsia="黑体"/>
                <w:sz w:val="21"/>
                <w:szCs w:val="21"/>
              </w:rPr>
              <w:instrText xml:space="preserve"> FORMTEXT </w:instrText>
            </w:r>
            <w:r>
              <w:rPr>
                <w:rFonts w:ascii="黑体" w:hAnsi="黑体" w:eastAsia="黑体"/>
                <w:sz w:val="21"/>
                <w:szCs w:val="21"/>
              </w:rPr>
              <w:fldChar w:fldCharType="separate"/>
            </w:r>
            <w:r>
              <w:rPr>
                <w:rFonts w:ascii="黑体" w:hAnsi="黑体" w:eastAsia="黑体"/>
                <w:sz w:val="21"/>
                <w:szCs w:val="21"/>
              </w:rPr>
              <w:t xml:space="preserve">17.060 </w:t>
            </w:r>
            <w:r>
              <w:rPr>
                <w:rFonts w:ascii="黑体" w:hAnsi="黑体" w:eastAsia="黑体"/>
                <w:sz w:val="21"/>
                <w:szCs w:val="21"/>
              </w:rPr>
              <w:fldChar w:fldCharType="end"/>
            </w:r>
            <w:bookmarkEnd w:id="0"/>
          </w:p>
        </w:tc>
      </w:tr>
      <w:tr w14:paraId="4109EE04">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0" w:type="dxa"/>
            <w:bottom w:w="0" w:type="dxa"/>
            <w:right w:w="0" w:type="dxa"/>
          </w:tblCellMar>
        </w:tblPrEx>
        <w:tc>
          <w:tcPr>
            <w:tcW w:w="509" w:type="dxa"/>
          </w:tcPr>
          <w:p w14:paraId="460870D6">
            <w:pPr>
              <w:pStyle w:val="20"/>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Times New Roman" w:hAnsi="Times New Roman" w:eastAsia="黑体"/>
                <w:sz w:val="21"/>
                <w:szCs w:val="21"/>
              </w:rPr>
              <w:t xml:space="preserve">CCS </w:t>
            </w:r>
            <w:r>
              <w:rPr>
                <w:rFonts w:ascii="黑体" w:hAnsi="黑体" w:eastAsia="黑体"/>
                <w:sz w:val="21"/>
                <w:szCs w:val="21"/>
              </w:rPr>
              <w:t xml:space="preserve"> </w:t>
            </w:r>
          </w:p>
        </w:tc>
        <w:tc>
          <w:tcPr>
            <w:tcW w:w="8855" w:type="dxa"/>
          </w:tcPr>
          <w:p w14:paraId="62867CBA">
            <w:pPr>
              <w:pStyle w:val="20"/>
              <w:framePr w:wrap="notBeside" w:vAnchor="page" w:hAnchor="page" w:x="1372" w:y="568"/>
              <w:tabs>
                <w:tab w:val="clear" w:pos="4153"/>
                <w:tab w:val="clear" w:pos="8306"/>
              </w:tabs>
              <w:spacing w:before="40" w:line="240" w:lineRule="auto"/>
              <w:jc w:val="left"/>
              <w:rPr>
                <w:rFonts w:ascii="黑体" w:hAnsi="黑体" w:eastAsia="黑体"/>
                <w:sz w:val="21"/>
                <w:szCs w:val="21"/>
              </w:rPr>
            </w:pPr>
            <w:r>
              <w:rPr>
                <w:rFonts w:ascii="黑体" w:hAnsi="黑体" w:eastAsia="黑体"/>
                <w:sz w:val="21"/>
                <w:szCs w:val="21"/>
              </w:rPr>
              <w:fldChar w:fldCharType="begin">
                <w:ffData>
                  <w:name w:val="CSDN"/>
                  <w:enabled/>
                  <w:calcOnExit w:val="0"/>
                  <w:textInput>
                    <w:default w:val="点击此处添加CCS号"/>
                  </w:textInput>
                </w:ffData>
              </w:fldChar>
            </w:r>
            <w:bookmarkStart w:id="1" w:name="CSDN"/>
            <w:r>
              <w:rPr>
                <w:rFonts w:ascii="黑体" w:hAnsi="黑体" w:eastAsia="黑体"/>
                <w:sz w:val="21"/>
                <w:szCs w:val="21"/>
              </w:rPr>
              <w:instrText xml:space="preserve"> FORMTEXT </w:instrText>
            </w:r>
            <w:r>
              <w:rPr>
                <w:rFonts w:ascii="黑体" w:hAnsi="黑体" w:eastAsia="黑体"/>
                <w:sz w:val="21"/>
                <w:szCs w:val="21"/>
              </w:rPr>
              <w:fldChar w:fldCharType="separate"/>
            </w:r>
            <w:r>
              <w:rPr>
                <w:rFonts w:hint="eastAsia" w:ascii="黑体" w:hAnsi="黑体" w:eastAsia="黑体"/>
                <w:sz w:val="21"/>
                <w:szCs w:val="21"/>
              </w:rPr>
              <w:t>N</w:t>
            </w:r>
            <w:r>
              <w:rPr>
                <w:rFonts w:ascii="黑体" w:hAnsi="黑体" w:eastAsia="黑体"/>
                <w:sz w:val="21"/>
                <w:szCs w:val="21"/>
              </w:rPr>
              <w:t xml:space="preserve"> 13</w:t>
            </w:r>
            <w:r>
              <w:rPr>
                <w:rFonts w:ascii="黑体" w:hAnsi="黑体" w:eastAsia="黑体"/>
                <w:sz w:val="21"/>
                <w:szCs w:val="21"/>
              </w:rPr>
              <w:fldChar w:fldCharType="end"/>
            </w:r>
            <w:bookmarkEnd w:id="1"/>
          </w:p>
        </w:tc>
      </w:tr>
    </w:tbl>
    <w:tbl>
      <w:tblPr>
        <w:tblStyle w:val="31"/>
        <w:tblpPr w:leftFromText="180" w:rightFromText="180" w:vertAnchor="text" w:horzAnchor="margin" w:tblpX="2683" w:tblpY="578"/>
        <w:tblW w:w="6407" w:type="dxa"/>
        <w:tblInd w:w="0" w:type="dxa"/>
        <w:tblBorders>
          <w:top w:val="none" w:color="auto" w:sz="0" w:space="0"/>
          <w:left w:val="none" w:color="auto" w:sz="0" w:space="0"/>
          <w:bottom w:val="none" w:color="auto" w:sz="0" w:space="0"/>
          <w:right w:val="none" w:color="auto" w:sz="0" w:space="0"/>
          <w:insideH w:val="single" w:color="auto" w:sz="4" w:space="0"/>
          <w:insideV w:val="single" w:color="auto" w:sz="4" w:space="0"/>
        </w:tblBorders>
        <w:tblLayout w:type="fixed"/>
        <w:tblCellMar>
          <w:top w:w="0" w:type="dxa"/>
          <w:left w:w="108" w:type="dxa"/>
          <w:bottom w:w="0" w:type="dxa"/>
          <w:right w:w="221" w:type="dxa"/>
        </w:tblCellMar>
      </w:tblPr>
      <w:tblGrid>
        <w:gridCol w:w="6407"/>
      </w:tblGrid>
      <w:tr w14:paraId="17EC74D6">
        <w:tblPrEx>
          <w:tblBorders>
            <w:top w:val="none" w:color="auto" w:sz="0" w:space="0"/>
            <w:left w:val="none" w:color="auto" w:sz="0" w:space="0"/>
            <w:bottom w:val="none" w:color="auto" w:sz="0" w:space="0"/>
            <w:right w:val="none" w:color="auto" w:sz="0" w:space="0"/>
            <w:insideH w:val="single" w:color="auto" w:sz="4" w:space="0"/>
            <w:insideV w:val="single" w:color="auto" w:sz="4" w:space="0"/>
          </w:tblBorders>
          <w:tblCellMar>
            <w:top w:w="0" w:type="dxa"/>
            <w:left w:w="108" w:type="dxa"/>
            <w:bottom w:w="0" w:type="dxa"/>
            <w:right w:w="221" w:type="dxa"/>
          </w:tblCellMar>
        </w:tblPrEx>
        <w:tc>
          <w:tcPr>
            <w:tcW w:w="6407" w:type="dxa"/>
          </w:tcPr>
          <w:p w14:paraId="441B0041">
            <w:pPr>
              <w:pStyle w:val="54"/>
              <w:framePr w:w="0" w:hRule="auto" w:wrap="auto" w:vAnchor="margin" w:hAnchor="text" w:xAlign="left" w:yAlign="inline"/>
              <w:rPr>
                <w:rFonts w:ascii="宋体" w:hAnsi="宋体"/>
                <w:sz w:val="28"/>
                <w:szCs w:val="28"/>
              </w:rPr>
            </w:pPr>
            <w:bookmarkStart w:id="2" w:name="_Hlk26473981"/>
            <w:r>
              <w:drawing>
                <wp:inline distT="0" distB="0" distL="0" distR="0">
                  <wp:extent cx="796290" cy="397510"/>
                  <wp:effectExtent l="0" t="0" r="3810" b="25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813958" cy="406373"/>
                          </a:xfrm>
                          <a:prstGeom prst="rect">
                            <a:avLst/>
                          </a:prstGeom>
                        </pic:spPr>
                      </pic:pic>
                    </a:graphicData>
                  </a:graphic>
                </wp:inline>
              </w:drawing>
            </w:r>
            <w:r>
              <w:rPr>
                <w:sz w:val="21"/>
                <w:szCs w:val="21"/>
              </w:rPr>
              <w:t xml:space="preserve"> </w:t>
            </w:r>
            <w:r>
              <w:fldChar w:fldCharType="begin">
                <w:ffData>
                  <w:name w:val="c1"/>
                  <w:enabled/>
                  <w:calcOnExit w:val="0"/>
                  <w:textInput>
                    <w:maxLength w:val="8"/>
                  </w:textInput>
                </w:ffData>
              </w:fldChar>
            </w:r>
            <w:bookmarkStart w:id="3" w:name="c1"/>
            <w:r>
              <w:instrText xml:space="preserve"> FORMTEXT </w:instrText>
            </w:r>
            <w:r>
              <w:fldChar w:fldCharType="separate"/>
            </w:r>
            <w:r>
              <w:t>32</w:t>
            </w:r>
            <w:r>
              <w:fldChar w:fldCharType="end"/>
            </w:r>
            <w:bookmarkEnd w:id="3"/>
          </w:p>
        </w:tc>
      </w:tr>
    </w:tbl>
    <w:p w14:paraId="4CA26624">
      <w:pPr>
        <w:pStyle w:val="55"/>
        <w:framePr w:w="9639" w:h="624" w:hRule="exact" w:hSpace="181" w:vSpace="181" w:wrap="around" w:hAnchor="page" w:x="1305" w:y="2269"/>
        <w:rPr>
          <w:rFonts w:ascii="黑体" w:hAnsi="黑体" w:eastAsia="黑体"/>
          <w:b w:val="0"/>
          <w:bCs w:val="0"/>
          <w:w w:val="100"/>
          <w:sz w:val="48"/>
          <w:szCs w:val="48"/>
        </w:rPr>
      </w:pPr>
      <w:r>
        <w:rPr>
          <w:rFonts w:ascii="黑体" w:eastAsia="黑体"/>
          <w:b w:val="0"/>
          <w:w w:val="100"/>
          <w:sz w:val="48"/>
        </w:rPr>
        <w:fldChar w:fldCharType="begin">
          <w:ffData>
            <w:name w:val="c2"/>
            <w:enabled/>
            <w:calcOnExit w:val="0"/>
            <w:textInput/>
          </w:ffData>
        </w:fldChar>
      </w:r>
      <w:bookmarkStart w:id="4" w:name="c2"/>
      <w:r>
        <w:rPr>
          <w:rFonts w:ascii="黑体" w:eastAsia="黑体"/>
          <w:b w:val="0"/>
          <w:w w:val="100"/>
          <w:sz w:val="48"/>
        </w:rPr>
        <w:instrText xml:space="preserve"> FORMTEXT </w:instrText>
      </w:r>
      <w:r>
        <w:rPr>
          <w:rFonts w:ascii="黑体" w:eastAsia="黑体"/>
          <w:b w:val="0"/>
          <w:w w:val="100"/>
          <w:sz w:val="48"/>
        </w:rPr>
        <w:fldChar w:fldCharType="separate"/>
      </w:r>
      <w:r>
        <w:rPr>
          <w:rFonts w:hint="eastAsia" w:ascii="黑体" w:eastAsia="黑体"/>
          <w:b w:val="0"/>
          <w:w w:val="100"/>
          <w:sz w:val="48"/>
        </w:rPr>
        <w:t>江苏省</w:t>
      </w:r>
      <w:r>
        <w:rPr>
          <w:rFonts w:ascii="黑体" w:eastAsia="黑体"/>
          <w:b w:val="0"/>
          <w:w w:val="100"/>
          <w:sz w:val="48"/>
        </w:rPr>
        <w:fldChar w:fldCharType="end"/>
      </w:r>
      <w:bookmarkEnd w:id="4"/>
      <w:r>
        <w:rPr>
          <w:rFonts w:hint="eastAsia" w:ascii="黑体" w:hAnsi="黑体" w:eastAsia="黑体"/>
          <w:b w:val="0"/>
          <w:bCs w:val="0"/>
          <w:w w:val="100"/>
          <w:sz w:val="48"/>
          <w:szCs w:val="48"/>
        </w:rPr>
        <w:t>地方标准</w:t>
      </w:r>
    </w:p>
    <w:bookmarkEnd w:id="2"/>
    <w:p w14:paraId="69301FE4">
      <w:pPr>
        <w:pStyle w:val="200"/>
        <w:framePr w:wrap="around"/>
        <w:rPr>
          <w:lang w:val="fr-FR"/>
        </w:rPr>
      </w:pPr>
      <w:r>
        <w:rPr>
          <w:lang w:val="fr-FR"/>
        </w:rPr>
        <w:t>DB</w:t>
      </w:r>
      <w:r>
        <w:rPr>
          <w:sz w:val="15"/>
          <w:szCs w:val="15"/>
          <w:lang w:val="fr-FR"/>
        </w:rPr>
        <w:t xml:space="preserve"> </w:t>
      </w:r>
      <w:r>
        <w:fldChar w:fldCharType="begin">
          <w:ffData>
            <w:name w:val="文字1"/>
            <w:enabled/>
            <w:calcOnExit w:val="0"/>
            <w:textInput>
              <w:default w:val="XX/T"/>
            </w:textInput>
          </w:ffData>
        </w:fldChar>
      </w:r>
      <w:bookmarkStart w:id="5" w:name="文字1"/>
      <w:r>
        <w:rPr>
          <w:lang w:val="fr-FR"/>
        </w:rPr>
        <w:instrText xml:space="preserve"> FORMTEXT </w:instrText>
      </w:r>
      <w:r>
        <w:fldChar w:fldCharType="separate"/>
      </w:r>
      <w:r>
        <w:rPr>
          <w:lang w:val="fr-FR"/>
        </w:rPr>
        <w:t>32/T</w:t>
      </w:r>
      <w:r>
        <w:fldChar w:fldCharType="end"/>
      </w:r>
      <w:bookmarkEnd w:id="5"/>
      <w:r>
        <w:rPr>
          <w:lang w:val="fr-FR"/>
        </w:rPr>
        <w:t xml:space="preserve"> </w:t>
      </w:r>
      <w:r>
        <w:fldChar w:fldCharType="begin">
          <w:ffData>
            <w:name w:val="NSTD_CODE_F"/>
            <w:enabled/>
            <w:calcOnExit w:val="0"/>
            <w:textInput>
              <w:default w:val="XXXX"/>
            </w:textInput>
          </w:ffData>
        </w:fldChar>
      </w:r>
      <w:bookmarkStart w:id="6" w:name="NSTD_CODE_F"/>
      <w:r>
        <w:rPr>
          <w:lang w:val="fr-FR"/>
        </w:rPr>
        <w:instrText xml:space="preserve"> FORMTEXT </w:instrText>
      </w:r>
      <w:r>
        <w:fldChar w:fldCharType="separate"/>
      </w:r>
      <w:r>
        <w:rPr>
          <w:lang w:val="fr-FR"/>
        </w:rPr>
        <w:t>XXXX</w:t>
      </w:r>
      <w:r>
        <w:fldChar w:fldCharType="end"/>
      </w:r>
      <w:bookmarkEnd w:id="6"/>
      <w:r>
        <w:rPr>
          <w:rFonts w:hAnsi="黑体"/>
          <w:lang w:val="fr-FR"/>
        </w:rPr>
        <w:t>—</w:t>
      </w:r>
      <w:r>
        <w:fldChar w:fldCharType="begin">
          <w:ffData>
            <w:name w:val="NSTD_CODE_B"/>
            <w:enabled/>
            <w:calcOnExit w:val="0"/>
            <w:textInput>
              <w:default w:val="XXXX"/>
            </w:textInput>
          </w:ffData>
        </w:fldChar>
      </w:r>
      <w:bookmarkStart w:id="7" w:name="NSTD_CODE_B"/>
      <w:r>
        <w:rPr>
          <w:lang w:val="fr-FR"/>
        </w:rPr>
        <w:instrText xml:space="preserve"> FORMTEXT </w:instrText>
      </w:r>
      <w:r>
        <w:fldChar w:fldCharType="separate"/>
      </w:r>
      <w:r>
        <w:rPr>
          <w:lang w:val="fr-FR"/>
        </w:rPr>
        <w:t>XXXX</w:t>
      </w:r>
      <w:r>
        <w:fldChar w:fldCharType="end"/>
      </w:r>
      <w:bookmarkEnd w:id="7"/>
    </w:p>
    <w:p w14:paraId="641F2B8B">
      <w:pPr>
        <w:pStyle w:val="201"/>
        <w:framePr w:wrap="around"/>
        <w:rPr>
          <w:rFonts w:hAnsi="黑体"/>
        </w:rPr>
      </w:pPr>
      <w:r>
        <w:rPr>
          <w:rFonts w:hAnsi="黑体"/>
        </w:rPr>
        <w:fldChar w:fldCharType="begin">
          <w:ffData>
            <w:name w:val="OSTD_CODE"/>
            <w:enabled/>
            <w:calcOnExit w:val="0"/>
            <w:textInput/>
          </w:ffData>
        </w:fldChar>
      </w:r>
      <w:bookmarkStart w:id="8" w:name="OSTD_CODE"/>
      <w:r>
        <w:rPr>
          <w:rFonts w:hAnsi="黑体"/>
        </w:rPr>
        <w:instrText xml:space="preserve"> FORMTEXT </w:instrText>
      </w:r>
      <w:r>
        <w:rPr>
          <w:rFonts w:hAnsi="黑体"/>
        </w:rPr>
        <w:fldChar w:fldCharType="separate"/>
      </w:r>
      <w:r>
        <w:rPr>
          <w:rFonts w:hAnsi="黑体"/>
        </w:rPr>
        <w:t>     </w:t>
      </w:r>
      <w:r>
        <w:rPr>
          <w:rFonts w:hAnsi="黑体"/>
        </w:rPr>
        <w:fldChar w:fldCharType="end"/>
      </w:r>
      <w:bookmarkEnd w:id="8"/>
    </w:p>
    <w:p w14:paraId="7E27D6A7">
      <w:pPr>
        <w:spacing w:line="240" w:lineRule="auto"/>
        <w:rPr>
          <w:rFonts w:ascii="黑体" w:hAnsi="黑体" w:eastAsia="黑体"/>
          <w:kern w:val="0"/>
          <w:sz w:val="10"/>
          <w:szCs w:val="10"/>
        </w:rPr>
      </w:pPr>
      <w:r>
        <w:rPr>
          <w:rFonts w:ascii="黑体" w:hAnsi="黑体" w:eastAsia="黑体"/>
          <w:kern w:val="0"/>
          <w:sz w:val="10"/>
          <w:szCs w:val="10"/>
        </w:rPr>
        <mc:AlternateContent>
          <mc:Choice Requires="wps">
            <w:drawing>
              <wp:anchor distT="0" distB="0" distL="114300" distR="114300" simplePos="0" relativeHeight="251659264" behindDoc="0" locked="0" layoutInCell="1" allowOverlap="0">
                <wp:simplePos x="0" y="0"/>
                <wp:positionH relativeFrom="page">
                  <wp:posOffset>900430</wp:posOffset>
                </wp:positionH>
                <wp:positionV relativeFrom="page">
                  <wp:posOffset>2700655</wp:posOffset>
                </wp:positionV>
                <wp:extent cx="6120130" cy="0"/>
                <wp:effectExtent l="0" t="4445" r="0" b="5080"/>
                <wp:wrapNone/>
                <wp:docPr id="73" name="直接连接符 73"/>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70.9pt;margin-top:212.65pt;height:0pt;width:481.9pt;mso-position-horizontal-relative:page;mso-position-vertical-relative:page;z-index:251659264;mso-width-relative:page;mso-height-relative:page;" filled="f" stroked="t" coordsize="21600,21600" o:allowoverlap="f" o:gfxdata="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">
                <v:fill on="f" focussize="0,0"/>
                <v:stroke color="#000000" joinstyle="round"/>
                <v:imagedata o:title=""/>
                <o:lock v:ext="edit" aspectratio="f"/>
              </v:line>
            </w:pict>
          </mc:Fallback>
        </mc:AlternateContent>
      </w:r>
    </w:p>
    <w:p w14:paraId="09E84942">
      <w:pPr>
        <w:pStyle w:val="55"/>
        <w:framePr w:w="9639" w:h="6976" w:hRule="exact" w:hSpace="0" w:vSpace="0" w:wrap="around" w:hAnchor="page" w:y="6408"/>
        <w:jc w:val="center"/>
        <w:rPr>
          <w:rFonts w:ascii="黑体" w:hAnsi="黑体" w:eastAsia="黑体"/>
          <w:b w:val="0"/>
          <w:bCs w:val="0"/>
          <w:w w:val="100"/>
        </w:rPr>
      </w:pPr>
    </w:p>
    <w:p w14:paraId="25274228">
      <w:pPr>
        <w:pStyle w:val="202"/>
        <w:framePr w:h="6974" w:hRule="exact" w:wrap="around" w:x="1419" w:anchorLock="1"/>
      </w:pPr>
      <w:r>
        <w:fldChar w:fldCharType="begin">
          <w:ffData>
            <w:name w:val="CSTD_NAME"/>
            <w:enabled/>
            <w:calcOnExit w:val="0"/>
            <w:textInput>
              <w:default w:val="点击此处添加标准名称"/>
            </w:textInput>
          </w:ffData>
        </w:fldChar>
      </w:r>
      <w:bookmarkStart w:id="9" w:name="CSTD_NAME"/>
      <w:r>
        <w:instrText xml:space="preserve"> FORMTEXT </w:instrText>
      </w:r>
      <w:r>
        <w:fldChar w:fldCharType="separate"/>
      </w:r>
      <w:r>
        <w:t>集贸市场电子</w:t>
      </w:r>
      <w:r>
        <w:rPr>
          <w:rFonts w:hint="eastAsia"/>
        </w:rPr>
        <w:t>计价秤</w:t>
      </w:r>
      <w:r>
        <w:t>使用</w:t>
      </w:r>
      <w:r>
        <w:rPr>
          <w:rFonts w:hint="eastAsia"/>
        </w:rPr>
        <w:t>和</w:t>
      </w:r>
      <w:r>
        <w:t>管理规范</w:t>
      </w:r>
      <w:r>
        <w:fldChar w:fldCharType="end"/>
      </w:r>
      <w:bookmarkEnd w:id="9"/>
    </w:p>
    <w:p w14:paraId="351AA293">
      <w:pPr>
        <w:framePr w:w="9639" w:h="6974" w:hRule="exact" w:wrap="around" w:vAnchor="page" w:hAnchor="page" w:x="1419" w:y="6408" w:anchorLock="1"/>
        <w:ind w:left="-1418"/>
      </w:pPr>
    </w:p>
    <w:p w14:paraId="27C50F58">
      <w:pPr>
        <w:pStyle w:val="130"/>
        <w:framePr w:w="9639" w:h="6974" w:hRule="exact" w:wrap="around" w:vAnchor="page" w:hAnchor="page" w:x="1419" w:y="6408" w:anchorLock="1"/>
        <w:textAlignment w:val="bottom"/>
        <w:rPr>
          <w:rFonts w:ascii="黑体" w:hAnsi="黑体" w:eastAsia="黑体"/>
          <w:szCs w:val="28"/>
        </w:rPr>
      </w:pPr>
      <w:r>
        <w:rPr>
          <w:rFonts w:ascii="黑体" w:hAnsi="黑体" w:eastAsia="黑体"/>
          <w:szCs w:val="28"/>
        </w:rPr>
        <w:fldChar w:fldCharType="begin">
          <w:ffData>
            <w:name w:val="ESTD_NAME"/>
            <w:enabled/>
            <w:calcOnExit w:val="0"/>
            <w:textInput>
              <w:default w:val="点击此处添加标准名称的英文译名"/>
            </w:textInput>
          </w:ffData>
        </w:fldChar>
      </w:r>
      <w:bookmarkStart w:id="10" w:name="ESTD_NAME"/>
      <w:r>
        <w:rPr>
          <w:rFonts w:ascii="黑体" w:hAnsi="黑体" w:eastAsia="黑体"/>
          <w:szCs w:val="28"/>
        </w:rPr>
        <w:instrText xml:space="preserve"> FORMTEXT </w:instrText>
      </w:r>
      <w:r>
        <w:rPr>
          <w:rFonts w:ascii="黑体" w:hAnsi="黑体" w:eastAsia="黑体"/>
          <w:szCs w:val="28"/>
        </w:rPr>
        <w:fldChar w:fldCharType="separate"/>
      </w:r>
      <w:r>
        <w:rPr>
          <w:rFonts w:hint="eastAsia" w:ascii="黑体" w:hAnsi="黑体" w:eastAsia="黑体"/>
          <w:szCs w:val="28"/>
        </w:rPr>
        <w:t>Specification for usage and management of electronic price scales in  trade markets</w:t>
      </w:r>
      <w:r>
        <w:rPr>
          <w:rFonts w:ascii="黑体" w:hAnsi="黑体" w:eastAsia="黑体"/>
          <w:szCs w:val="28"/>
        </w:rPr>
        <w:fldChar w:fldCharType="end"/>
      </w:r>
      <w:bookmarkEnd w:id="10"/>
    </w:p>
    <w:p w14:paraId="356ACAC6">
      <w:pPr>
        <w:framePr w:w="9639" w:h="6974" w:hRule="exact" w:wrap="around" w:vAnchor="page" w:hAnchor="page" w:x="1419" w:y="6408" w:anchorLock="1"/>
        <w:spacing w:line="760" w:lineRule="exact"/>
        <w:ind w:left="-1418"/>
      </w:pPr>
    </w:p>
    <w:p w14:paraId="2784F6EE">
      <w:pPr>
        <w:pStyle w:val="130"/>
        <w:framePr w:w="9639" w:h="6974" w:hRule="exact" w:wrap="around" w:vAnchor="page" w:hAnchor="page" w:x="1419" w:y="6408" w:anchorLock="1"/>
        <w:textAlignment w:val="bottom"/>
        <w:rPr>
          <w:rFonts w:eastAsia="黑体"/>
          <w:szCs w:val="28"/>
        </w:rPr>
      </w:pPr>
    </w:p>
    <w:p w14:paraId="338FAB68">
      <w:pPr>
        <w:pStyle w:val="130"/>
        <w:framePr w:w="9639" w:h="6974" w:hRule="exact" w:wrap="around" w:vAnchor="page" w:hAnchor="page" w:x="1419" w:y="6408" w:anchorLock="1"/>
        <w:spacing w:before="440" w:after="160"/>
        <w:textAlignment w:val="bottom"/>
        <w:rPr>
          <w:sz w:val="24"/>
          <w:szCs w:val="28"/>
        </w:rPr>
      </w:pPr>
      <w:r>
        <w:rPr>
          <w:sz w:val="24"/>
          <w:szCs w:val="28"/>
        </w:rPr>
        <w:fldChar w:fldCharType="begin">
          <w:ffData>
            <w:name w:val="下拉1"/>
            <w:enabled/>
            <w:calcOnExit w:val="0"/>
            <w:ddList>
              <w:result w:val="4"/>
              <w:listEntry w:val=" "/>
              <w:listEntry w:val="草案版次选择"/>
              <w:listEntry w:val="（工作组讨论稿）"/>
              <w:listEntry w:val="（征求意见稿）"/>
              <w:listEntry w:val="（送审讨论稿）"/>
              <w:listEntry w:val="（送审稿）"/>
              <w:listEntry w:val="（报批稿）"/>
            </w:ddList>
          </w:ffData>
        </w:fldChar>
      </w:r>
      <w:bookmarkStart w:id="11" w:name="下拉1"/>
      <w:r>
        <w:rPr>
          <w:sz w:val="24"/>
          <w:szCs w:val="28"/>
        </w:rPr>
        <w:instrText xml:space="preserve"> FORMDROPDOWN </w:instrText>
      </w:r>
      <w:r>
        <w:rPr>
          <w:sz w:val="24"/>
          <w:szCs w:val="28"/>
        </w:rPr>
        <w:fldChar w:fldCharType="separate"/>
      </w:r>
      <w:r>
        <w:rPr>
          <w:sz w:val="24"/>
          <w:szCs w:val="28"/>
        </w:rPr>
        <w:fldChar w:fldCharType="end"/>
      </w:r>
      <w:bookmarkEnd w:id="11"/>
    </w:p>
    <w:p w14:paraId="5835EDB7">
      <w:pPr>
        <w:pStyle w:val="130"/>
        <w:framePr w:w="9639" w:h="6974" w:hRule="exact" w:wrap="around" w:vAnchor="page" w:hAnchor="page" w:x="1419" w:y="6408" w:anchorLock="1"/>
        <w:spacing w:before="180" w:line="240" w:lineRule="atLeast"/>
        <w:textAlignment w:val="bottom"/>
        <w:rPr>
          <w:sz w:val="21"/>
          <w:szCs w:val="28"/>
        </w:rPr>
      </w:pPr>
      <w:r>
        <w:rPr>
          <w:sz w:val="21"/>
          <w:szCs w:val="28"/>
        </w:rPr>
        <w:fldChar w:fldCharType="begin">
          <w:ffData>
            <w:name w:val="CMPLSH_DATE"/>
            <w:enabled/>
            <w:calcOnExit w:val="0"/>
            <w:textInput/>
          </w:ffData>
        </w:fldChar>
      </w:r>
      <w:bookmarkStart w:id="12" w:name="CMPLSH_DATE"/>
      <w:r>
        <w:rPr>
          <w:sz w:val="21"/>
          <w:szCs w:val="28"/>
        </w:rPr>
        <w:instrText xml:space="preserve"> FORMTEXT </w:instrText>
      </w:r>
      <w:r>
        <w:rPr>
          <w:sz w:val="21"/>
          <w:szCs w:val="28"/>
        </w:rPr>
        <w:fldChar w:fldCharType="separate"/>
      </w:r>
      <w:r>
        <w:rPr>
          <w:sz w:val="21"/>
          <w:szCs w:val="28"/>
        </w:rPr>
        <w:t>     </w:t>
      </w:r>
      <w:r>
        <w:rPr>
          <w:sz w:val="21"/>
          <w:szCs w:val="28"/>
        </w:rPr>
        <w:fldChar w:fldCharType="end"/>
      </w:r>
      <w:bookmarkEnd w:id="12"/>
    </w:p>
    <w:p w14:paraId="364A6A54">
      <w:pPr>
        <w:pStyle w:val="130"/>
        <w:framePr w:w="9639" w:h="6974" w:hRule="exact" w:wrap="around" w:vAnchor="page" w:hAnchor="page" w:x="1419" w:y="6408" w:anchorLock="1"/>
        <w:spacing w:before="720" w:beforeLines="300" w:after="72" w:afterLines="30" w:line="240" w:lineRule="auto"/>
        <w:textAlignment w:val="bottom"/>
        <w:rPr>
          <w:b/>
          <w:sz w:val="21"/>
          <w:szCs w:val="28"/>
        </w:rPr>
      </w:pPr>
      <w:r>
        <w:rPr>
          <w:b/>
          <w:sz w:val="21"/>
          <w:szCs w:val="28"/>
        </w:rPr>
        <w:fldChar w:fldCharType="begin">
          <w:ffData>
            <w:name w:val="下拉2"/>
            <w:enabled/>
            <w:calcOnExit w:val="0"/>
            <w:ddList>
              <w:listEntry w:val=" "/>
              <w:listEntry w:val="在提交反馈意见时，请将您知道的相关专利连同支持性文件一并附上。"/>
            </w:ddList>
          </w:ffData>
        </w:fldChar>
      </w:r>
      <w:bookmarkStart w:id="13" w:name="下拉2"/>
      <w:r>
        <w:rPr>
          <w:b/>
          <w:sz w:val="21"/>
          <w:szCs w:val="28"/>
        </w:rPr>
        <w:instrText xml:space="preserve"> FORMDROPDOWN </w:instrText>
      </w:r>
      <w:r>
        <w:rPr>
          <w:b/>
          <w:sz w:val="21"/>
          <w:szCs w:val="28"/>
        </w:rPr>
        <w:fldChar w:fldCharType="separate"/>
      </w:r>
      <w:r>
        <w:rPr>
          <w:b/>
          <w:sz w:val="21"/>
          <w:szCs w:val="28"/>
        </w:rPr>
        <w:fldChar w:fldCharType="end"/>
      </w:r>
      <w:bookmarkEnd w:id="13"/>
    </w:p>
    <w:p w14:paraId="3DF580D4">
      <w:pPr>
        <w:pStyle w:val="198"/>
        <w:framePr w:wrap="around" w:y="14176"/>
      </w:pPr>
      <w:r>
        <w:rPr>
          <w:rFonts w:ascii="黑体"/>
        </w:rPr>
        <w:fldChar w:fldCharType="begin">
          <w:ffData>
            <w:name w:val="PLSH_DATE_Y"/>
            <w:enabled/>
            <w:calcOnExit w:val="0"/>
            <w:textInput>
              <w:default w:val="XXXX"/>
              <w:maxLength w:val="4"/>
            </w:textInput>
          </w:ffData>
        </w:fldChar>
      </w:r>
      <w:bookmarkStart w:id="14" w:name="PLSH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4"/>
      <w:r>
        <w:t xml:space="preserve"> </w:t>
      </w:r>
      <w:r>
        <w:rPr>
          <w:rFonts w:ascii="黑体"/>
        </w:rPr>
        <w:t>-</w:t>
      </w:r>
      <w:r>
        <w:t xml:space="preserve"> </w:t>
      </w:r>
      <w:r>
        <w:rPr>
          <w:rFonts w:ascii="黑体"/>
        </w:rPr>
        <w:fldChar w:fldCharType="begin">
          <w:ffData>
            <w:name w:val="PLSH_DATE_M"/>
            <w:enabled/>
            <w:calcOnExit w:val="0"/>
            <w:textInput>
              <w:default w:val="XX"/>
              <w:maxLength w:val="2"/>
            </w:textInput>
          </w:ffData>
        </w:fldChar>
      </w:r>
      <w:bookmarkStart w:id="15" w:name="PLSH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5"/>
      <w:r>
        <w:t xml:space="preserve"> </w:t>
      </w:r>
      <w:r>
        <w:rPr>
          <w:rFonts w:ascii="黑体"/>
        </w:rPr>
        <w:t>-</w:t>
      </w:r>
      <w:r>
        <w:t xml:space="preserve"> </w:t>
      </w:r>
      <w:r>
        <w:rPr>
          <w:rFonts w:ascii="黑体"/>
        </w:rPr>
        <w:fldChar w:fldCharType="begin">
          <w:ffData>
            <w:name w:val="PLSH_DATE_D"/>
            <w:enabled/>
            <w:calcOnExit w:val="0"/>
            <w:textInput>
              <w:default w:val="XX"/>
              <w:maxLength w:val="2"/>
            </w:textInput>
          </w:ffData>
        </w:fldChar>
      </w:r>
      <w:bookmarkStart w:id="16" w:name="PLSH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6"/>
      <w:r>
        <w:rPr>
          <w:rFonts w:hint="eastAsia"/>
        </w:rPr>
        <w:t>发布</w:t>
      </w:r>
    </w:p>
    <w:p w14:paraId="1CF573AC">
      <w:pPr>
        <w:pStyle w:val="199"/>
        <w:framePr w:wrap="around" w:y="14176"/>
      </w:pPr>
      <w:r>
        <w:rPr>
          <w:rFonts w:ascii="黑体"/>
        </w:rPr>
        <w:fldChar w:fldCharType="begin">
          <w:ffData>
            <w:name w:val="CROT_DATE_Y"/>
            <w:enabled/>
            <w:calcOnExit w:val="0"/>
            <w:textInput>
              <w:default w:val="XXXX"/>
              <w:maxLength w:val="4"/>
            </w:textInput>
          </w:ffData>
        </w:fldChar>
      </w:r>
      <w:bookmarkStart w:id="17" w:name="CROT_DATE_Y"/>
      <w:r>
        <w:rPr>
          <w:rFonts w:ascii="黑体"/>
        </w:rPr>
        <w:instrText xml:space="preserve"> FORMTEXT </w:instrText>
      </w:r>
      <w:r>
        <w:rPr>
          <w:rFonts w:ascii="黑体"/>
        </w:rPr>
        <w:fldChar w:fldCharType="separate"/>
      </w:r>
      <w:r>
        <w:rPr>
          <w:rFonts w:ascii="黑体"/>
        </w:rPr>
        <w:t>XXXX</w:t>
      </w:r>
      <w:r>
        <w:rPr>
          <w:rFonts w:ascii="黑体"/>
        </w:rPr>
        <w:fldChar w:fldCharType="end"/>
      </w:r>
      <w:bookmarkEnd w:id="17"/>
      <w:r>
        <w:t xml:space="preserve"> </w:t>
      </w:r>
      <w:r>
        <w:rPr>
          <w:rFonts w:ascii="黑体"/>
        </w:rPr>
        <w:t>-</w:t>
      </w:r>
      <w:r>
        <w:t xml:space="preserve"> </w:t>
      </w:r>
      <w:r>
        <w:rPr>
          <w:rFonts w:ascii="黑体"/>
        </w:rPr>
        <w:fldChar w:fldCharType="begin">
          <w:ffData>
            <w:name w:val="CROT_DATE_M"/>
            <w:enabled/>
            <w:calcOnExit w:val="0"/>
            <w:textInput>
              <w:default w:val="XX"/>
              <w:maxLength w:val="2"/>
            </w:textInput>
          </w:ffData>
        </w:fldChar>
      </w:r>
      <w:bookmarkStart w:id="18" w:name="CROT_DATE_M"/>
      <w:r>
        <w:rPr>
          <w:rFonts w:ascii="黑体"/>
        </w:rPr>
        <w:instrText xml:space="preserve"> FORMTEXT </w:instrText>
      </w:r>
      <w:r>
        <w:rPr>
          <w:rFonts w:ascii="黑体"/>
        </w:rPr>
        <w:fldChar w:fldCharType="separate"/>
      </w:r>
      <w:r>
        <w:rPr>
          <w:rFonts w:ascii="黑体"/>
        </w:rPr>
        <w:t>XX</w:t>
      </w:r>
      <w:r>
        <w:rPr>
          <w:rFonts w:ascii="黑体"/>
        </w:rPr>
        <w:fldChar w:fldCharType="end"/>
      </w:r>
      <w:bookmarkEnd w:id="18"/>
      <w:r>
        <w:t xml:space="preserve"> </w:t>
      </w:r>
      <w:r>
        <w:rPr>
          <w:rFonts w:ascii="黑体"/>
        </w:rPr>
        <w:t>-</w:t>
      </w:r>
      <w:r>
        <w:t xml:space="preserve"> </w:t>
      </w:r>
      <w:r>
        <w:rPr>
          <w:rFonts w:ascii="黑体"/>
        </w:rPr>
        <w:fldChar w:fldCharType="begin">
          <w:ffData>
            <w:name w:val="CROT_DATE_D"/>
            <w:enabled/>
            <w:calcOnExit w:val="0"/>
            <w:textInput>
              <w:default w:val="XX"/>
              <w:maxLength w:val="2"/>
            </w:textInput>
          </w:ffData>
        </w:fldChar>
      </w:r>
      <w:bookmarkStart w:id="19" w:name="CROT_DATE_D"/>
      <w:r>
        <w:rPr>
          <w:rFonts w:ascii="黑体"/>
        </w:rPr>
        <w:instrText xml:space="preserve"> FORMTEXT </w:instrText>
      </w:r>
      <w:r>
        <w:rPr>
          <w:rFonts w:ascii="黑体"/>
        </w:rPr>
        <w:fldChar w:fldCharType="separate"/>
      </w:r>
      <w:r>
        <w:rPr>
          <w:rFonts w:ascii="黑体"/>
        </w:rPr>
        <w:t>XX</w:t>
      </w:r>
      <w:r>
        <w:rPr>
          <w:rFonts w:ascii="黑体"/>
        </w:rPr>
        <w:fldChar w:fldCharType="end"/>
      </w:r>
      <w:bookmarkEnd w:id="19"/>
      <w:r>
        <w:rPr>
          <w:rFonts w:hint="eastAsia"/>
        </w:rPr>
        <w:t>实施</w:t>
      </w:r>
    </w:p>
    <w:p w14:paraId="43472426">
      <w:pPr>
        <w:pStyle w:val="156"/>
        <w:framePr w:h="584" w:hRule="exact" w:hSpace="181" w:vSpace="181" w:wrap="around" w:y="15027"/>
        <w:rPr>
          <w:rFonts w:hAnsi="黑体"/>
        </w:rPr>
      </w:pPr>
      <w:r>
        <w:rPr>
          <w:rFonts w:hAnsi="黑体"/>
          <w:w w:val="100"/>
          <w:sz w:val="28"/>
        </w:rPr>
        <w:fldChar w:fldCharType="begin">
          <w:ffData>
            <w:name w:val="fm"/>
            <w:enabled/>
            <w:calcOnExit w:val="0"/>
            <w:textInput/>
          </w:ffData>
        </w:fldChar>
      </w:r>
      <w:bookmarkStart w:id="20" w:name="fm"/>
      <w:r>
        <w:rPr>
          <w:rFonts w:hAnsi="黑体"/>
          <w:w w:val="100"/>
          <w:sz w:val="28"/>
        </w:rPr>
        <w:instrText xml:space="preserve"> FORMTEXT </w:instrText>
      </w:r>
      <w:r>
        <w:rPr>
          <w:rFonts w:hAnsi="黑体"/>
          <w:w w:val="100"/>
          <w:sz w:val="28"/>
        </w:rPr>
        <w:fldChar w:fldCharType="separate"/>
      </w:r>
      <w:r>
        <w:rPr>
          <w:rFonts w:hint="eastAsia" w:hAnsi="黑体"/>
          <w:w w:val="100"/>
          <w:sz w:val="28"/>
        </w:rPr>
        <w:t>江苏省市场监督管理局</w:t>
      </w:r>
      <w:r>
        <w:rPr>
          <w:rFonts w:hAnsi="黑体"/>
          <w:w w:val="100"/>
          <w:sz w:val="28"/>
        </w:rPr>
        <w:fldChar w:fldCharType="end"/>
      </w:r>
      <w:bookmarkEnd w:id="20"/>
      <w:r>
        <w:rPr>
          <w:rFonts w:ascii="Times New Roman"/>
          <w:w w:val="100"/>
          <w:sz w:val="28"/>
        </w:rPr>
        <w:t>  </w:t>
      </w:r>
      <w:r>
        <w:rPr>
          <w:rStyle w:val="234"/>
          <w:rFonts w:hint="eastAsia" w:hAnsi="黑体"/>
          <w:position w:val="0"/>
        </w:rPr>
        <w:t>发</w:t>
      </w:r>
      <w:r>
        <w:rPr>
          <w:rStyle w:val="234"/>
          <w:rFonts w:hint="eastAsia" w:hAnsi="黑体"/>
          <w:spacing w:val="0"/>
          <w:position w:val="0"/>
        </w:rPr>
        <w:t>布</w:t>
      </w:r>
    </w:p>
    <w:p w14:paraId="682852C5">
      <w:pPr>
        <w:rPr>
          <w:rFonts w:ascii="宋体" w:hAnsi="宋体"/>
          <w:sz w:val="28"/>
          <w:szCs w:val="28"/>
        </w:rPr>
        <w:sectPr>
          <w:headerReference r:id="rId7" w:type="first"/>
          <w:footerReference r:id="rId10" w:type="first"/>
          <w:headerReference r:id="rId5" w:type="default"/>
          <w:footerReference r:id="rId8" w:type="default"/>
          <w:headerReference r:id="rId6" w:type="even"/>
          <w:footerReference r:id="rId9" w:type="even"/>
          <w:type w:val="continuous"/>
          <w:pgSz w:w="11906" w:h="16838"/>
          <w:pgMar w:top="-338" w:right="1134" w:bottom="1021" w:left="1134" w:header="0" w:footer="0" w:gutter="284"/>
          <w:cols w:space="425" w:num="1"/>
          <w:titlePg/>
          <w:docGrid w:linePitch="312" w:charSpace="0"/>
        </w:sectPr>
      </w:pPr>
      <w:r>
        <w:rPr>
          <w:rFonts w:ascii="宋体" w:hAnsi="宋体"/>
          <w:sz w:val="28"/>
          <w:szCs w:val="28"/>
        </w:rPr>
        <mc:AlternateContent>
          <mc:Choice Requires="wps">
            <w:drawing>
              <wp:anchor distT="0" distB="0" distL="114300" distR="114300" simplePos="0" relativeHeight="251660288" behindDoc="0" locked="1" layoutInCell="1" allowOverlap="1">
                <wp:simplePos x="0" y="0"/>
                <wp:positionH relativeFrom="page">
                  <wp:posOffset>899795</wp:posOffset>
                </wp:positionH>
                <wp:positionV relativeFrom="page">
                  <wp:posOffset>9253220</wp:posOffset>
                </wp:positionV>
                <wp:extent cx="6120130" cy="0"/>
                <wp:effectExtent l="0" t="4445" r="0" b="5080"/>
                <wp:wrapNone/>
                <wp:docPr id="5" name="直接连接符 5"/>
                <wp:cNvGraphicFramePr/>
                <a:graphic xmlns:a="http://schemas.openxmlformats.org/drawingml/2006/main">
                  <a:graphicData uri="http://schemas.microsoft.com/office/word/2010/wordprocessingShape">
                    <wps:wsp>
                      <wps:cNvCnPr>
                        <a:cxnSpLocks noChangeShapeType="1"/>
                      </wps:cNvCnPr>
                      <wps:spPr bwMode="auto">
                        <a:xfrm>
                          <a:off x="0" y="0"/>
                          <a:ext cx="6120000" cy="0"/>
                        </a:xfrm>
                        <a:prstGeom prst="line">
                          <a:avLst/>
                        </a:prstGeom>
                        <a:noFill/>
                        <a:ln w="9525">
                          <a:solidFill>
                            <a:srgbClr val="000000"/>
                          </a:solidFill>
                          <a:round/>
                        </a:ln>
                        <a:effectLst/>
                      </wps:spPr>
                      <wps:bodyPr/>
                    </wps:wsp>
                  </a:graphicData>
                </a:graphic>
              </wp:anchor>
            </w:drawing>
          </mc:Choice>
          <mc:Fallback>
            <w:pict>
              <v:line id="_x0000_s1026" o:spid="_x0000_s1026" o:spt="20" style="position:absolute;left:0pt;margin-left:70.85pt;margin-top:728.6pt;height:0pt;width:481.9pt;mso-position-horizontal-relative:page;mso-position-vertical-relative:page;z-index:251660288;mso-width-relative:page;mso-height-relative:page;" filled="f" stroked="t" coordsize="21600,21600" o:gfxdata="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">
                <v:fill on="f" focussize="0,0"/>
                <v:stroke color="#000000" joinstyle="round"/>
                <v:imagedata o:title=""/>
                <o:lock v:ext="edit" aspectratio="f"/>
                <w10:anchorlock/>
              </v:line>
            </w:pict>
          </mc:Fallback>
        </mc:AlternateContent>
      </w:r>
    </w:p>
    <w:p w14:paraId="6F5CF2EE">
      <w:pPr>
        <w:pStyle w:val="96"/>
        <w:spacing w:after="468"/>
      </w:pPr>
      <w:bookmarkStart w:id="21" w:name="BookMark1"/>
      <w:r>
        <w:rPr>
          <w:rFonts w:hint="eastAsia"/>
          <w:spacing w:val="320"/>
        </w:rPr>
        <w:t>目</w:t>
      </w:r>
      <w:r>
        <w:rPr>
          <w:rFonts w:hint="eastAsia"/>
        </w:rPr>
        <w:t>次</w:t>
      </w:r>
    </w:p>
    <w:p w14:paraId="6D90DDFA">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TOC \o "1-1" \h </w:instrText>
      </w:r>
      <w:r>
        <w:fldChar w:fldCharType="separate"/>
      </w:r>
      <w:r>
        <w:fldChar w:fldCharType="begin"/>
      </w:r>
      <w:r>
        <w:instrText xml:space="preserve"> HYPERLINK \l "_Toc183011542" </w:instrText>
      </w:r>
      <w:r>
        <w:fldChar w:fldCharType="separate"/>
      </w:r>
      <w:r>
        <w:rPr>
          <w:rStyle w:val="36"/>
          <w:rFonts w:hint="eastAsia"/>
        </w:rPr>
        <w:t>前言</w:t>
      </w:r>
      <w:r>
        <w:rPr>
          <w:rFonts w:hint="eastAsia"/>
        </w:rPr>
        <w:tab/>
      </w:r>
      <w:r>
        <w:rPr>
          <w:rFonts w:hint="eastAsia"/>
        </w:rPr>
        <w:fldChar w:fldCharType="begin"/>
      </w:r>
      <w:r>
        <w:rPr>
          <w:rFonts w:hint="eastAsia"/>
        </w:rPr>
        <w:instrText xml:space="preserve"> </w:instrText>
      </w:r>
      <w:r>
        <w:instrText xml:space="preserve">PAGEREF _Toc183011542 \h</w:instrText>
      </w:r>
      <w:r>
        <w:rPr>
          <w:rFonts w:hint="eastAsia"/>
        </w:rPr>
        <w:instrText xml:space="preserve"> </w:instrText>
      </w:r>
      <w:r>
        <w:rPr>
          <w:rFonts w:hint="eastAsia"/>
        </w:rPr>
        <w:fldChar w:fldCharType="separate"/>
      </w:r>
      <w:r>
        <w:t>II</w:t>
      </w:r>
      <w:r>
        <w:rPr>
          <w:rFonts w:hint="eastAsia"/>
        </w:rPr>
        <w:fldChar w:fldCharType="end"/>
      </w:r>
      <w:r>
        <w:rPr>
          <w:rFonts w:hint="eastAsia"/>
        </w:rPr>
        <w:fldChar w:fldCharType="end"/>
      </w:r>
    </w:p>
    <w:p w14:paraId="1F2721B7">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"_Toc183011543" </w:instrText>
      </w:r>
      <w:r>
        <w:fldChar w:fldCharType="separate"/>
      </w:r>
      <w:r>
        <w:rPr>
          <w:rStyle w:val="36"/>
          <w:rFonts w:hint="eastAsia"/>
        </w:rPr>
        <w:t>1</w:t>
      </w:r>
      <w:r>
        <w:rPr>
          <w:rStyle w:val="36"/>
        </w:rPr>
        <w:t xml:space="preserve"> </w:t>
      </w:r>
      <w:r>
        <w:rPr>
          <w:rStyle w:val="36"/>
          <w:rFonts w:hint="eastAsia"/>
        </w:rPr>
        <w:t xml:space="preserve"> 范围</w:t>
      </w:r>
      <w:r>
        <w:rPr>
          <w:rFonts w:hint="eastAsia"/>
        </w:rPr>
        <w:tab/>
      </w:r>
      <w:r>
        <w:rPr>
          <w:rFonts w:hint="eastAsia"/>
        </w:rPr>
        <w:fldChar w:fldCharType="begin"/>
      </w:r>
      <w:r>
        <w:rPr>
          <w:rFonts w:hint="eastAsia"/>
        </w:rPr>
        <w:instrText xml:space="preserve"> </w:instrText>
      </w:r>
      <w:r>
        <w:instrText xml:space="preserve">PAGEREF _Toc183011543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4BE373F8">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"_Toc183011544" </w:instrText>
      </w:r>
      <w:r>
        <w:fldChar w:fldCharType="separate"/>
      </w:r>
      <w:r>
        <w:rPr>
          <w:rStyle w:val="36"/>
          <w:rFonts w:hint="eastAsia"/>
        </w:rPr>
        <w:t>2</w:t>
      </w:r>
      <w:r>
        <w:rPr>
          <w:rStyle w:val="36"/>
        </w:rPr>
        <w:t xml:space="preserve"> </w:t>
      </w:r>
      <w:r>
        <w:rPr>
          <w:rStyle w:val="36"/>
          <w:rFonts w:hint="eastAsia"/>
        </w:rPr>
        <w:t xml:space="preserve"> 规范性引用文件</w:t>
      </w:r>
      <w:r>
        <w:rPr>
          <w:rFonts w:hint="eastAsia"/>
        </w:rPr>
        <w:tab/>
      </w:r>
      <w:r>
        <w:rPr>
          <w:rFonts w:hint="eastAsia"/>
        </w:rPr>
        <w:fldChar w:fldCharType="begin"/>
      </w:r>
      <w:r>
        <w:rPr>
          <w:rFonts w:hint="eastAsia"/>
        </w:rPr>
        <w:instrText xml:space="preserve"> </w:instrText>
      </w:r>
      <w:r>
        <w:instrText xml:space="preserve">PAGEREF _Toc183011544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04F31A52">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"_Toc183011545" </w:instrText>
      </w:r>
      <w:r>
        <w:fldChar w:fldCharType="separate"/>
      </w:r>
      <w:r>
        <w:rPr>
          <w:rStyle w:val="36"/>
          <w:rFonts w:hint="eastAsia"/>
        </w:rPr>
        <w:t>3</w:t>
      </w:r>
      <w:r>
        <w:rPr>
          <w:rStyle w:val="36"/>
        </w:rPr>
        <w:t xml:space="preserve"> </w:t>
      </w:r>
      <w:r>
        <w:rPr>
          <w:rStyle w:val="36"/>
          <w:rFonts w:hint="eastAsia"/>
        </w:rPr>
        <w:t xml:space="preserve"> 术语和定义</w:t>
      </w:r>
      <w:r>
        <w:rPr>
          <w:rFonts w:hint="eastAsia"/>
        </w:rPr>
        <w:tab/>
      </w:r>
      <w:r>
        <w:rPr>
          <w:rFonts w:hint="eastAsia"/>
        </w:rPr>
        <w:fldChar w:fldCharType="begin"/>
      </w:r>
      <w:r>
        <w:rPr>
          <w:rFonts w:hint="eastAsia"/>
        </w:rPr>
        <w:instrText xml:space="preserve"> </w:instrText>
      </w:r>
      <w:r>
        <w:instrText xml:space="preserve">PAGEREF _Toc183011545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558B6EF0">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"_Toc183011546" </w:instrText>
      </w:r>
      <w:r>
        <w:fldChar w:fldCharType="separate"/>
      </w:r>
      <w:r>
        <w:rPr>
          <w:rStyle w:val="36"/>
          <w:rFonts w:hint="eastAsia"/>
        </w:rPr>
        <w:t>4</w:t>
      </w:r>
      <w:r>
        <w:rPr>
          <w:rStyle w:val="36"/>
        </w:rPr>
        <w:t xml:space="preserve"> </w:t>
      </w:r>
      <w:r>
        <w:rPr>
          <w:rStyle w:val="36"/>
          <w:rFonts w:hint="eastAsia"/>
        </w:rPr>
        <w:t xml:space="preserve"> 电子计价秤选配</w:t>
      </w:r>
      <w:r>
        <w:rPr>
          <w:rFonts w:hint="eastAsia"/>
        </w:rPr>
        <w:tab/>
      </w:r>
      <w:r>
        <w:rPr>
          <w:rFonts w:hint="eastAsia"/>
        </w:rPr>
        <w:fldChar w:fldCharType="begin"/>
      </w:r>
      <w:r>
        <w:rPr>
          <w:rFonts w:hint="eastAsia"/>
        </w:rPr>
        <w:instrText xml:space="preserve"> </w:instrText>
      </w:r>
      <w:r>
        <w:instrText xml:space="preserve">PAGEREF _Toc183011546 \h</w:instrText>
      </w:r>
      <w:r>
        <w:rPr>
          <w:rFonts w:hint="eastAsia"/>
        </w:rPr>
        <w:instrText xml:space="preserve"> </w:instrText>
      </w:r>
      <w:r>
        <w:rPr>
          <w:rFonts w:hint="eastAsia"/>
        </w:rPr>
        <w:fldChar w:fldCharType="separate"/>
      </w:r>
      <w:r>
        <w:t>1</w:t>
      </w:r>
      <w:r>
        <w:rPr>
          <w:rFonts w:hint="eastAsia"/>
        </w:rPr>
        <w:fldChar w:fldCharType="end"/>
      </w:r>
      <w:r>
        <w:rPr>
          <w:rFonts w:hint="eastAsia"/>
        </w:rPr>
        <w:fldChar w:fldCharType="end"/>
      </w:r>
    </w:p>
    <w:p w14:paraId="2B090B6B">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"_Toc183011547" </w:instrText>
      </w:r>
      <w:r>
        <w:fldChar w:fldCharType="separate"/>
      </w:r>
      <w:r>
        <w:rPr>
          <w:rStyle w:val="36"/>
          <w:rFonts w:hint="eastAsia"/>
        </w:rPr>
        <w:t>5</w:t>
      </w:r>
      <w:r>
        <w:rPr>
          <w:rStyle w:val="36"/>
        </w:rPr>
        <w:t xml:space="preserve"> </w:t>
      </w:r>
      <w:r>
        <w:rPr>
          <w:rStyle w:val="36"/>
          <w:rFonts w:hint="eastAsia"/>
        </w:rPr>
        <w:t xml:space="preserve"> 电子计价秤使用</w:t>
      </w:r>
      <w:r>
        <w:rPr>
          <w:rFonts w:hint="eastAsia"/>
        </w:rPr>
        <w:tab/>
      </w:r>
      <w:r>
        <w:rPr>
          <w:rFonts w:hint="eastAsia"/>
        </w:rPr>
        <w:fldChar w:fldCharType="begin"/>
      </w:r>
      <w:r>
        <w:rPr>
          <w:rFonts w:hint="eastAsia"/>
        </w:rPr>
        <w:instrText xml:space="preserve"> </w:instrText>
      </w:r>
      <w:r>
        <w:instrText xml:space="preserve">PAGEREF _Toc183011547 \h</w:instrText>
      </w:r>
      <w:r>
        <w:rPr>
          <w:rFonts w:hint="eastAsia"/>
        </w:rPr>
        <w:instrText xml:space="preserve"> </w:instrText>
      </w:r>
      <w:r>
        <w:rPr>
          <w:rFonts w:hint="eastAsia"/>
        </w:rPr>
        <w:fldChar w:fldCharType="separate"/>
      </w:r>
      <w:r>
        <w:t>2</w:t>
      </w:r>
      <w:r>
        <w:rPr>
          <w:rFonts w:hint="eastAsia"/>
        </w:rPr>
        <w:fldChar w:fldCharType="end"/>
      </w:r>
      <w:r>
        <w:rPr>
          <w:rFonts w:hint="eastAsia"/>
        </w:rPr>
        <w:fldChar w:fldCharType="end"/>
      </w:r>
    </w:p>
    <w:p w14:paraId="27B5287F">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"_Toc183011548" </w:instrText>
      </w:r>
      <w:r>
        <w:fldChar w:fldCharType="separate"/>
      </w:r>
      <w:r>
        <w:rPr>
          <w:rStyle w:val="36"/>
          <w:rFonts w:hint="eastAsia"/>
        </w:rPr>
        <w:t>6</w:t>
      </w:r>
      <w:r>
        <w:rPr>
          <w:rStyle w:val="36"/>
        </w:rPr>
        <w:t xml:space="preserve"> </w:t>
      </w:r>
      <w:r>
        <w:rPr>
          <w:rStyle w:val="36"/>
          <w:rFonts w:hint="eastAsia"/>
        </w:rPr>
        <w:t xml:space="preserve"> 日常管理</w:t>
      </w:r>
      <w:r>
        <w:rPr>
          <w:rFonts w:hint="eastAsia"/>
        </w:rPr>
        <w:tab/>
      </w:r>
      <w:r>
        <w:rPr>
          <w:rFonts w:hint="eastAsia"/>
        </w:rPr>
        <w:fldChar w:fldCharType="begin"/>
      </w:r>
      <w:r>
        <w:rPr>
          <w:rFonts w:hint="eastAsia"/>
        </w:rPr>
        <w:instrText xml:space="preserve"> </w:instrText>
      </w:r>
      <w:r>
        <w:instrText xml:space="preserve">PAGEREF _Toc183011548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14:paraId="614EF59E">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"_Toc183011549" </w:instrText>
      </w:r>
      <w:r>
        <w:fldChar w:fldCharType="separate"/>
      </w:r>
      <w:r>
        <w:rPr>
          <w:rStyle w:val="36"/>
          <w:rFonts w:hint="eastAsia"/>
        </w:rPr>
        <w:t>7</w:t>
      </w:r>
      <w:r>
        <w:rPr>
          <w:rStyle w:val="36"/>
        </w:rPr>
        <w:t xml:space="preserve"> </w:t>
      </w:r>
      <w:r>
        <w:rPr>
          <w:rStyle w:val="36"/>
          <w:rFonts w:hint="eastAsia"/>
        </w:rPr>
        <w:t xml:space="preserve"> 投诉处理</w:t>
      </w:r>
      <w:r>
        <w:rPr>
          <w:rFonts w:hint="eastAsia"/>
        </w:rPr>
        <w:tab/>
      </w:r>
      <w:r>
        <w:rPr>
          <w:rFonts w:hint="eastAsia"/>
        </w:rPr>
        <w:fldChar w:fldCharType="begin"/>
      </w:r>
      <w:r>
        <w:rPr>
          <w:rFonts w:hint="eastAsia"/>
        </w:rPr>
        <w:instrText xml:space="preserve"> </w:instrText>
      </w:r>
      <w:r>
        <w:instrText xml:space="preserve">PAGEREF _Toc183011549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14:paraId="0A1B2CB7">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"_Toc183011550" </w:instrText>
      </w:r>
      <w:r>
        <w:fldChar w:fldCharType="separate"/>
      </w:r>
      <w:r>
        <w:rPr>
          <w:rStyle w:val="36"/>
          <w:rFonts w:hint="eastAsia"/>
        </w:rPr>
        <w:t>附录A（资料性）</w:t>
      </w:r>
      <w:r>
        <w:rPr>
          <w:rStyle w:val="36"/>
        </w:rPr>
        <w:t xml:space="preserve"> </w:t>
      </w:r>
      <w:r>
        <w:rPr>
          <w:rStyle w:val="36"/>
          <w:rFonts w:hint="eastAsia"/>
        </w:rPr>
        <w:t xml:space="preserve"> 消费评价码相关要求</w:t>
      </w:r>
      <w:r>
        <w:rPr>
          <w:rFonts w:hint="eastAsia"/>
        </w:rPr>
        <w:tab/>
      </w:r>
      <w:r>
        <w:rPr>
          <w:rFonts w:hint="eastAsia"/>
        </w:rPr>
        <w:fldChar w:fldCharType="begin"/>
      </w:r>
      <w:r>
        <w:rPr>
          <w:rFonts w:hint="eastAsia"/>
        </w:rPr>
        <w:instrText xml:space="preserve"> </w:instrText>
      </w:r>
      <w:r>
        <w:instrText xml:space="preserve">PAGEREF _Toc183011550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14:paraId="342D2BEA">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"_Toc183011551" </w:instrText>
      </w:r>
      <w:r>
        <w:fldChar w:fldCharType="separate"/>
      </w:r>
      <w:r>
        <w:rPr>
          <w:rStyle w:val="36"/>
          <w:rFonts w:hint="eastAsia"/>
        </w:rPr>
        <w:t>附录B（资料性）</w:t>
      </w:r>
      <w:r>
        <w:rPr>
          <w:rStyle w:val="36"/>
        </w:rPr>
        <w:t xml:space="preserve"> </w:t>
      </w:r>
      <w:r>
        <w:rPr>
          <w:rStyle w:val="36"/>
          <w:rFonts w:hint="eastAsia"/>
        </w:rPr>
        <w:t xml:space="preserve"> 电子计价秤摆放位置示意图</w:t>
      </w:r>
      <w:r>
        <w:rPr>
          <w:rFonts w:hint="eastAsia"/>
        </w:rPr>
        <w:tab/>
      </w:r>
      <w:r>
        <w:rPr>
          <w:rFonts w:hint="eastAsia"/>
        </w:rPr>
        <w:fldChar w:fldCharType="begin"/>
      </w:r>
      <w:r>
        <w:rPr>
          <w:rFonts w:hint="eastAsia"/>
        </w:rPr>
        <w:instrText xml:space="preserve"> </w:instrText>
      </w:r>
      <w:r>
        <w:instrText xml:space="preserve">PAGEREF _Toc183011551 \h</w:instrText>
      </w:r>
      <w:r>
        <w:rPr>
          <w:rFonts w:hint="eastAsia"/>
        </w:rPr>
        <w:instrText xml:space="preserve"> </w:instrText>
      </w:r>
      <w:r>
        <w:rPr>
          <w:rFonts w:hint="eastAsia"/>
        </w:rPr>
        <w:fldChar w:fldCharType="separate"/>
      </w:r>
      <w:r>
        <w:t>11</w:t>
      </w:r>
      <w:r>
        <w:rPr>
          <w:rFonts w:hint="eastAsia"/>
        </w:rPr>
        <w:fldChar w:fldCharType="end"/>
      </w:r>
      <w:r>
        <w:rPr>
          <w:rFonts w:hint="eastAsia"/>
        </w:rPr>
        <w:fldChar w:fldCharType="end"/>
      </w:r>
    </w:p>
    <w:p w14:paraId="08EA7DDB">
      <w:pPr>
        <w:pStyle w:val="21"/>
        <w:tabs>
          <w:tab w:val="right" w:leader="dot" w:pos="9344"/>
        </w:tabs>
        <w:rPr>
          <w:rFonts w:asciiTheme="minorHAnsi" w:hAnsiTheme="minorHAnsi" w:eastAsiaTheme="minorEastAsia" w:cstheme="minorBidi"/>
          <w:szCs w:val="22"/>
          <w14:ligatures w14:val="standardContextual"/>
        </w:rPr>
      </w:pPr>
      <w:r>
        <w:fldChar w:fldCharType="begin"/>
      </w:r>
      <w:r>
        <w:instrText xml:space="preserve"> HYPERLINK \l "_Toc183011552" </w:instrText>
      </w:r>
      <w:r>
        <w:fldChar w:fldCharType="separate"/>
      </w:r>
      <w:r>
        <w:rPr>
          <w:rStyle w:val="36"/>
          <w:rFonts w:hint="eastAsia"/>
        </w:rPr>
        <w:t>参考文献</w:t>
      </w:r>
      <w:r>
        <w:rPr>
          <w:rFonts w:hint="eastAsia"/>
        </w:rPr>
        <w:tab/>
      </w:r>
      <w:r>
        <w:rPr>
          <w:rFonts w:hint="eastAsia"/>
        </w:rPr>
        <w:fldChar w:fldCharType="begin"/>
      </w:r>
      <w:r>
        <w:rPr>
          <w:rFonts w:hint="eastAsia"/>
        </w:rPr>
        <w:instrText xml:space="preserve"> </w:instrText>
      </w:r>
      <w:r>
        <w:instrText xml:space="preserve">PAGEREF _Toc183011552 \h</w:instrText>
      </w:r>
      <w:r>
        <w:rPr>
          <w:rFonts w:hint="eastAsia"/>
        </w:rPr>
        <w:instrText xml:space="preserve"> </w:instrText>
      </w:r>
      <w:r>
        <w:rPr>
          <w:rFonts w:hint="eastAsia"/>
        </w:rPr>
        <w:fldChar w:fldCharType="separate"/>
      </w:r>
      <w:r>
        <w:t>16</w:t>
      </w:r>
      <w:r>
        <w:rPr>
          <w:rFonts w:hint="eastAsia"/>
        </w:rPr>
        <w:fldChar w:fldCharType="end"/>
      </w:r>
      <w:r>
        <w:rPr>
          <w:rFonts w:hint="eastAsia"/>
        </w:rPr>
        <w:fldChar w:fldCharType="end"/>
      </w:r>
    </w:p>
    <w:p w14:paraId="5F0CDF9C">
      <w:pPr>
        <w:pStyle w:val="96"/>
        <w:spacing w:before="900" w:after="468"/>
        <w:sectPr>
          <w:headerReference r:id="rId11" w:type="default"/>
          <w:footerReference r:id="rId13" w:type="default"/>
          <w:headerReference r:id="rId12" w:type="even"/>
          <w:footerReference r:id="rId14" w:type="even"/>
          <w:pgSz w:w="11906" w:h="16838"/>
          <w:pgMar w:top="1928" w:right="1134" w:bottom="1134" w:left="1134" w:header="1418" w:footer="1134" w:gutter="284"/>
          <w:pgNumType w:fmt="upperRoman" w:start="1"/>
          <w:cols w:space="425" w:num="1"/>
          <w:formProt w:val="0"/>
          <w:docGrid w:type="lines" w:linePitch="312" w:charSpace="0"/>
        </w:sectPr>
      </w:pPr>
      <w:r>
        <w:fldChar w:fldCharType="end"/>
      </w:r>
    </w:p>
    <w:bookmarkEnd w:id="21"/>
    <w:p w14:paraId="5C972FC9">
      <w:pPr>
        <w:pStyle w:val="94"/>
        <w:numPr>
          <w:ilvl w:val="0"/>
          <w:numId w:val="0"/>
        </w:numPr>
        <w:spacing w:before="900" w:after="468"/>
        <w:ind w:leftChars="0"/>
        <w:jc w:val="center"/>
      </w:pPr>
      <w:bookmarkStart w:id="22" w:name="BookMark2"/>
      <w:r>
        <w:rPr>
          <w:spacing w:val="320"/>
        </w:rPr>
        <w:t>前</w:t>
      </w:r>
      <w:r>
        <w:t>言</w:t>
      </w:r>
    </w:p>
    <w:p w14:paraId="1CA36C42">
      <w:pPr>
        <w:pStyle w:val="61"/>
        <w:ind w:firstLine="420"/>
      </w:pPr>
      <w:r>
        <w:rPr>
          <w:rFonts w:hint="eastAsia"/>
        </w:rPr>
        <w:t>本文件按照GB/T 1.1—2020《标准化工作导则  第1部分：标准化文件的结构和起草规则》的规定起草。</w:t>
      </w:r>
    </w:p>
    <w:p w14:paraId="1170B64E">
      <w:pPr>
        <w:pStyle w:val="61"/>
        <w:ind w:firstLine="420"/>
      </w:pPr>
      <w:r>
        <w:rPr>
          <w:rFonts w:hint="eastAsia"/>
        </w:rPr>
        <w:t>请注意本文件的某些内容可能涉及专利。本文件的发布机构不承担识别专利的责任。</w:t>
      </w:r>
    </w:p>
    <w:p w14:paraId="3E78DB3C">
      <w:pPr>
        <w:pStyle w:val="61"/>
        <w:ind w:firstLine="420"/>
      </w:pPr>
      <w:r>
        <w:rPr>
          <w:rFonts w:hint="eastAsia"/>
        </w:rPr>
        <w:t>本文件由江苏省市场监督管理局</w:t>
      </w:r>
      <w:r>
        <w:rPr>
          <w:rFonts w:hint="eastAsia"/>
          <w:lang w:val="en-US" w:eastAsia="zh-CN"/>
        </w:rPr>
        <w:t>提出、</w:t>
      </w:r>
      <w:r>
        <w:rPr>
          <w:rFonts w:hint="eastAsia"/>
        </w:rPr>
        <w:t>归口并组织实施。</w:t>
      </w:r>
    </w:p>
    <w:p w14:paraId="514CE3E0">
      <w:pPr>
        <w:pStyle w:val="61"/>
        <w:ind w:firstLine="420"/>
      </w:pPr>
      <w:r>
        <w:rPr>
          <w:rFonts w:hint="eastAsia"/>
        </w:rPr>
        <w:t>本文件起草单位：</w:t>
      </w:r>
      <w:bookmarkStart w:id="106" w:name="_GoBack"/>
      <w:r>
        <w:rPr>
          <w:rFonts w:hint="eastAsia"/>
        </w:rPr>
        <w:t>江苏省计量科学研究院、常州检验检测标准认证研究院、南京市计量监督检测院</w:t>
      </w:r>
      <w:bookmarkEnd w:id="106"/>
      <w:r>
        <w:rPr>
          <w:rFonts w:hint="eastAsia"/>
        </w:rPr>
        <w:t>。</w:t>
      </w:r>
    </w:p>
    <w:p w14:paraId="5A705AC4">
      <w:pPr>
        <w:pStyle w:val="61"/>
        <w:ind w:firstLine="420"/>
        <w:rPr>
          <w:rFonts w:hint="eastAsia"/>
        </w:rPr>
      </w:pPr>
      <w:r>
        <w:rPr>
          <w:rFonts w:hint="eastAsia"/>
        </w:rPr>
        <w:t>本文件主要起草人：陈力、杨宇华、任诗波、赵伟、吴佳猛、陈斌、王亚磊、江亮。</w:t>
      </w:r>
    </w:p>
    <w:p w14:paraId="069DE75A">
      <w:pPr>
        <w:pStyle w:val="61"/>
        <w:ind w:firstLine="420"/>
        <w:rPr>
          <w:rFonts w:hint="eastAsia"/>
        </w:rPr>
      </w:pPr>
    </w:p>
    <w:p w14:paraId="782784FC">
      <w:pPr>
        <w:pStyle w:val="61"/>
        <w:ind w:firstLine="420"/>
        <w:rPr>
          <w:rFonts w:hint="eastAsia"/>
        </w:rPr>
      </w:pPr>
    </w:p>
    <w:p w14:paraId="62633740">
      <w:pPr>
        <w:pStyle w:val="61"/>
        <w:ind w:firstLine="420"/>
        <w:rPr>
          <w:rFonts w:hint="eastAsia"/>
        </w:rPr>
      </w:pPr>
    </w:p>
    <w:p w14:paraId="7CBFB1B7">
      <w:pPr>
        <w:pStyle w:val="61"/>
        <w:ind w:firstLine="420"/>
        <w:rPr>
          <w:rFonts w:hint="eastAsia"/>
        </w:rPr>
      </w:pPr>
    </w:p>
    <w:p w14:paraId="52B9458C">
      <w:pPr>
        <w:pStyle w:val="61"/>
        <w:ind w:firstLine="420"/>
        <w:rPr>
          <w:rFonts w:hint="eastAsia"/>
        </w:rPr>
      </w:pPr>
    </w:p>
    <w:p w14:paraId="418A4B49">
      <w:pPr>
        <w:pStyle w:val="61"/>
        <w:ind w:firstLine="420"/>
        <w:rPr>
          <w:rFonts w:hint="eastAsia"/>
        </w:rPr>
      </w:pPr>
    </w:p>
    <w:p w14:paraId="11DC8911">
      <w:pPr>
        <w:pStyle w:val="61"/>
        <w:ind w:firstLine="420"/>
        <w:rPr>
          <w:rFonts w:hint="eastAsia"/>
        </w:rPr>
      </w:pPr>
    </w:p>
    <w:p w14:paraId="3B4F2A2A">
      <w:pPr>
        <w:pStyle w:val="61"/>
        <w:ind w:firstLine="420"/>
        <w:rPr>
          <w:rFonts w:hint="eastAsia"/>
        </w:rPr>
      </w:pPr>
    </w:p>
    <w:p w14:paraId="70205B9C">
      <w:pPr>
        <w:pStyle w:val="61"/>
        <w:ind w:firstLine="420"/>
        <w:rPr>
          <w:rFonts w:hint="eastAsia"/>
        </w:rPr>
      </w:pPr>
    </w:p>
    <w:p w14:paraId="1B9DD1C1">
      <w:pPr>
        <w:pStyle w:val="61"/>
        <w:ind w:firstLine="420"/>
        <w:rPr>
          <w:rFonts w:hint="eastAsia"/>
        </w:rPr>
      </w:pPr>
    </w:p>
    <w:p w14:paraId="0AE22E12">
      <w:pPr>
        <w:pStyle w:val="61"/>
        <w:ind w:firstLine="420"/>
        <w:rPr>
          <w:rFonts w:hint="eastAsia"/>
        </w:rPr>
      </w:pPr>
    </w:p>
    <w:p w14:paraId="4B7A40ED">
      <w:pPr>
        <w:pStyle w:val="61"/>
        <w:ind w:firstLine="420"/>
        <w:rPr>
          <w:rFonts w:hint="eastAsia"/>
        </w:rPr>
      </w:pPr>
    </w:p>
    <w:p w14:paraId="3B19D08C">
      <w:pPr>
        <w:pStyle w:val="61"/>
        <w:ind w:firstLine="420"/>
        <w:rPr>
          <w:rFonts w:hint="eastAsia"/>
        </w:rPr>
      </w:pPr>
    </w:p>
    <w:p w14:paraId="080D357D">
      <w:pPr>
        <w:pStyle w:val="61"/>
        <w:ind w:firstLine="420"/>
        <w:rPr>
          <w:rFonts w:hint="eastAsia"/>
        </w:rPr>
      </w:pPr>
    </w:p>
    <w:p w14:paraId="33DFF862">
      <w:pPr>
        <w:pStyle w:val="61"/>
        <w:ind w:firstLine="420"/>
        <w:rPr>
          <w:rFonts w:hint="eastAsia"/>
        </w:rPr>
      </w:pPr>
    </w:p>
    <w:p w14:paraId="5A3B7CB8">
      <w:pPr>
        <w:pStyle w:val="61"/>
        <w:ind w:firstLine="420"/>
        <w:rPr>
          <w:rFonts w:hint="eastAsia"/>
        </w:rPr>
      </w:pPr>
    </w:p>
    <w:p w14:paraId="1223A339">
      <w:pPr>
        <w:pStyle w:val="61"/>
        <w:ind w:firstLine="420"/>
        <w:rPr>
          <w:rFonts w:hint="eastAsia"/>
        </w:rPr>
      </w:pPr>
    </w:p>
    <w:p w14:paraId="0937BC2C">
      <w:pPr>
        <w:pStyle w:val="61"/>
        <w:ind w:firstLine="420"/>
        <w:rPr>
          <w:rFonts w:hint="eastAsia"/>
        </w:rPr>
      </w:pPr>
    </w:p>
    <w:p w14:paraId="1464B128">
      <w:pPr>
        <w:pStyle w:val="61"/>
        <w:ind w:firstLine="420"/>
        <w:rPr>
          <w:rFonts w:hint="eastAsia"/>
        </w:rPr>
      </w:pPr>
    </w:p>
    <w:p w14:paraId="4127C2FD">
      <w:pPr>
        <w:pStyle w:val="61"/>
        <w:ind w:firstLine="420"/>
        <w:rPr>
          <w:rFonts w:hint="eastAsia"/>
        </w:rPr>
      </w:pPr>
    </w:p>
    <w:p w14:paraId="1949B050">
      <w:pPr>
        <w:pStyle w:val="61"/>
        <w:ind w:firstLine="420"/>
        <w:rPr>
          <w:rFonts w:hint="eastAsia"/>
        </w:rPr>
      </w:pPr>
    </w:p>
    <w:p w14:paraId="1BDCF7FC">
      <w:pPr>
        <w:pStyle w:val="61"/>
        <w:ind w:firstLine="420"/>
        <w:rPr>
          <w:rFonts w:hint="eastAsia"/>
        </w:rPr>
      </w:pPr>
    </w:p>
    <w:p w14:paraId="4FA171D7">
      <w:pPr>
        <w:pStyle w:val="61"/>
        <w:ind w:firstLine="420"/>
        <w:rPr>
          <w:rFonts w:hint="eastAsia"/>
        </w:rPr>
      </w:pPr>
    </w:p>
    <w:p w14:paraId="3DA958AF">
      <w:pPr>
        <w:pStyle w:val="61"/>
        <w:ind w:firstLine="420"/>
        <w:rPr>
          <w:rFonts w:hint="eastAsia"/>
        </w:rPr>
      </w:pPr>
    </w:p>
    <w:p w14:paraId="4DF69F65">
      <w:pPr>
        <w:pStyle w:val="61"/>
        <w:ind w:firstLine="420"/>
        <w:rPr>
          <w:rFonts w:hint="eastAsia"/>
        </w:rPr>
      </w:pPr>
    </w:p>
    <w:p w14:paraId="376FEEC4">
      <w:pPr>
        <w:pStyle w:val="61"/>
        <w:ind w:firstLine="420"/>
        <w:rPr>
          <w:rFonts w:hint="eastAsia"/>
        </w:rPr>
      </w:pPr>
    </w:p>
    <w:p w14:paraId="1AC4D716">
      <w:pPr>
        <w:pStyle w:val="61"/>
        <w:ind w:firstLine="420"/>
        <w:rPr>
          <w:rFonts w:hint="eastAsia"/>
        </w:rPr>
      </w:pPr>
    </w:p>
    <w:p w14:paraId="7BAEBA44">
      <w:pPr>
        <w:pStyle w:val="61"/>
        <w:ind w:firstLine="420"/>
        <w:rPr>
          <w:rFonts w:hint="eastAsia"/>
        </w:rPr>
      </w:pPr>
    </w:p>
    <w:p w14:paraId="2EA8BC11">
      <w:pPr>
        <w:pStyle w:val="61"/>
        <w:ind w:firstLine="420"/>
        <w:rPr>
          <w:rFonts w:hint="eastAsia"/>
        </w:rPr>
      </w:pPr>
    </w:p>
    <w:p w14:paraId="669A7C55">
      <w:pPr>
        <w:pStyle w:val="61"/>
        <w:ind w:firstLine="420"/>
        <w:rPr>
          <w:rFonts w:hint="eastAsia"/>
        </w:rPr>
      </w:pPr>
    </w:p>
    <w:p w14:paraId="2CF4FB05">
      <w:pPr>
        <w:pStyle w:val="61"/>
        <w:ind w:firstLine="420"/>
        <w:rPr>
          <w:rFonts w:hint="eastAsia"/>
        </w:rPr>
      </w:pPr>
    </w:p>
    <w:p w14:paraId="344832F5">
      <w:pPr>
        <w:pStyle w:val="61"/>
        <w:ind w:firstLine="420"/>
        <w:rPr>
          <w:rFonts w:hint="eastAsia"/>
        </w:rPr>
      </w:pPr>
    </w:p>
    <w:bookmarkEnd w:id="22"/>
    <w:p w14:paraId="40C4F988">
      <w:pPr>
        <w:spacing w:line="20" w:lineRule="exact"/>
        <w:jc w:val="center"/>
        <w:rPr>
          <w:rFonts w:ascii="黑体" w:hAnsi="黑体" w:eastAsia="黑体"/>
          <w:sz w:val="32"/>
          <w:szCs w:val="32"/>
        </w:rPr>
      </w:pPr>
      <w:bookmarkStart w:id="23" w:name="BookMark4"/>
    </w:p>
    <w:p w14:paraId="51D08276">
      <w:pPr>
        <w:spacing w:line="20" w:lineRule="exact"/>
        <w:jc w:val="center"/>
        <w:rPr>
          <w:rFonts w:ascii="黑体" w:hAnsi="黑体" w:eastAsia="黑体"/>
          <w:sz w:val="32"/>
          <w:szCs w:val="32"/>
        </w:rPr>
      </w:pPr>
    </w:p>
    <w:p w14:paraId="2498EBC9">
      <w:pPr>
        <w:spacing w:line="20" w:lineRule="exact"/>
        <w:jc w:val="center"/>
        <w:rPr>
          <w:rFonts w:ascii="黑体" w:hAnsi="黑体" w:eastAsia="黑体"/>
          <w:sz w:val="32"/>
          <w:szCs w:val="32"/>
        </w:rPr>
      </w:pPr>
    </w:p>
    <w:p w14:paraId="5EE0D662">
      <w:pPr>
        <w:spacing w:line="20" w:lineRule="exact"/>
        <w:jc w:val="center"/>
        <w:rPr>
          <w:rFonts w:ascii="黑体" w:hAnsi="黑体" w:eastAsia="黑体"/>
          <w:sz w:val="32"/>
          <w:szCs w:val="32"/>
        </w:rPr>
      </w:pPr>
    </w:p>
    <w:p w14:paraId="0E5AF5BD">
      <w:pPr>
        <w:spacing w:line="20" w:lineRule="exact"/>
        <w:jc w:val="center"/>
        <w:rPr>
          <w:rFonts w:ascii="黑体" w:hAnsi="黑体" w:eastAsia="黑体"/>
          <w:sz w:val="32"/>
          <w:szCs w:val="32"/>
        </w:rPr>
      </w:pPr>
    </w:p>
    <w:p w14:paraId="5A9152B6">
      <w:pPr>
        <w:spacing w:line="20" w:lineRule="exact"/>
        <w:jc w:val="center"/>
        <w:rPr>
          <w:rFonts w:ascii="黑体" w:hAnsi="黑体" w:eastAsia="黑体"/>
          <w:sz w:val="32"/>
          <w:szCs w:val="32"/>
        </w:rPr>
      </w:pPr>
    </w:p>
    <w:sdt>
      <w:sdtPr>
        <w:tag w:val="NEW_STAND_NAME"/>
        <w:id w:val="595910757"/>
        <w:lock w:val="sdtLocked"/>
        <w:placeholder>
          <w:docPart w:val="440338EE363446FAB43A5FE98642D91C"/>
        </w:placeholder>
      </w:sdtPr>
      <w:sdtContent>
        <w:p w14:paraId="07F44496">
          <w:pPr>
            <w:pStyle w:val="182"/>
            <w:spacing w:before="312" w:beforeLines="100" w:after="686" w:afterLines="220"/>
          </w:pPr>
          <w:bookmarkStart w:id="24" w:name="NEW_STAND_NAME"/>
        </w:p>
        <w:p w14:paraId="5C5C02DD">
          <w:pPr>
            <w:pStyle w:val="182"/>
            <w:spacing w:before="312" w:beforeLines="100" w:after="686" w:afterLines="220"/>
          </w:pPr>
          <w:r>
            <w:rPr>
              <w:rFonts w:hint="eastAsia"/>
            </w:rPr>
            <w:t>集贸市场电子计价秤使用和管理规范</w:t>
          </w:r>
        </w:p>
      </w:sdtContent>
    </w:sdt>
    <w:bookmarkEnd w:id="24"/>
    <w:p w14:paraId="3ACA4136">
      <w:pPr>
        <w:pStyle w:val="109"/>
        <w:numPr>
          <w:ilvl w:val="0"/>
          <w:numId w:val="32"/>
        </w:numPr>
        <w:tabs>
          <w:tab w:val="clear" w:pos="360"/>
        </w:tabs>
        <w:spacing w:before="312" w:after="312" w:line="360" w:lineRule="auto"/>
      </w:pPr>
      <w:bookmarkStart w:id="25" w:name="_Toc183011543"/>
      <w:bookmarkStart w:id="26" w:name="_Toc24884218"/>
      <w:bookmarkStart w:id="27" w:name="_Toc26986530"/>
      <w:bookmarkStart w:id="28" w:name="_Toc26648465"/>
      <w:bookmarkStart w:id="29" w:name="_Toc24884211"/>
      <w:bookmarkStart w:id="30" w:name="_Toc97191423"/>
      <w:bookmarkStart w:id="31" w:name="_Toc26718930"/>
      <w:bookmarkStart w:id="32" w:name="_Toc17233325"/>
      <w:bookmarkStart w:id="33" w:name="_Toc17233333"/>
      <w:bookmarkStart w:id="34" w:name="_Toc26986771"/>
      <w:r>
        <w:rPr>
          <w:rFonts w:hint="eastAsia"/>
        </w:rPr>
        <w:t>范围</w:t>
      </w:r>
      <w:bookmarkEnd w:id="25"/>
      <w:bookmarkEnd w:id="26"/>
      <w:bookmarkEnd w:id="27"/>
      <w:bookmarkEnd w:id="28"/>
      <w:bookmarkEnd w:id="29"/>
      <w:bookmarkEnd w:id="30"/>
      <w:bookmarkEnd w:id="31"/>
      <w:bookmarkEnd w:id="32"/>
      <w:bookmarkEnd w:id="33"/>
      <w:bookmarkEnd w:id="34"/>
    </w:p>
    <w:p w14:paraId="14AF6C72">
      <w:pPr>
        <w:pStyle w:val="61"/>
        <w:snapToGrid w:val="0"/>
        <w:spacing w:line="360" w:lineRule="auto"/>
        <w:ind w:firstLine="420"/>
        <w:jc w:val="left"/>
      </w:pPr>
      <w:bookmarkStart w:id="35" w:name="_Toc24884212"/>
      <w:bookmarkStart w:id="36" w:name="_Toc26648466"/>
      <w:bookmarkStart w:id="37" w:name="_Toc17233326"/>
      <w:bookmarkStart w:id="38" w:name="_Toc17233334"/>
      <w:bookmarkStart w:id="39" w:name="_Toc24884219"/>
      <w:r>
        <w:rPr>
          <w:rFonts w:hint="eastAsia"/>
        </w:rPr>
        <w:t>本文件规定了集贸市场电子计价秤选配、称重使用、日常管理、投诉处理。</w:t>
      </w:r>
    </w:p>
    <w:p w14:paraId="70A0CFE0">
      <w:pPr>
        <w:pStyle w:val="61"/>
        <w:snapToGrid w:val="0"/>
        <w:spacing w:line="360" w:lineRule="auto"/>
        <w:ind w:firstLine="420"/>
        <w:jc w:val="left"/>
      </w:pPr>
      <w:r>
        <w:rPr>
          <w:rFonts w:hint="eastAsia"/>
        </w:rPr>
        <w:t>本文件适用于集贸市场电子计价秤使用和管理。</w:t>
      </w:r>
    </w:p>
    <w:p w14:paraId="4F0B5A3C">
      <w:pPr>
        <w:pStyle w:val="109"/>
        <w:numPr>
          <w:ilvl w:val="0"/>
          <w:numId w:val="32"/>
        </w:numPr>
        <w:tabs>
          <w:tab w:val="clear" w:pos="360"/>
        </w:tabs>
        <w:spacing w:before="312" w:after="312" w:line="360" w:lineRule="auto"/>
      </w:pPr>
      <w:bookmarkStart w:id="40" w:name="_Toc97191424"/>
      <w:bookmarkStart w:id="41" w:name="_Toc183011544"/>
      <w:bookmarkStart w:id="42" w:name="_Toc26986531"/>
      <w:bookmarkStart w:id="43" w:name="_Toc26986772"/>
      <w:bookmarkStart w:id="44" w:name="_Toc26718931"/>
      <w:r>
        <w:rPr>
          <w:rFonts w:hint="eastAsia"/>
        </w:rPr>
        <w:t>规范性引用文件</w:t>
      </w:r>
      <w:bookmarkEnd w:id="35"/>
      <w:bookmarkEnd w:id="36"/>
      <w:bookmarkEnd w:id="37"/>
      <w:bookmarkEnd w:id="38"/>
      <w:bookmarkEnd w:id="39"/>
      <w:bookmarkEnd w:id="40"/>
      <w:bookmarkEnd w:id="41"/>
      <w:bookmarkEnd w:id="42"/>
      <w:bookmarkEnd w:id="43"/>
      <w:bookmarkEnd w:id="44"/>
    </w:p>
    <w:p w14:paraId="50037DBB">
      <w:pPr>
        <w:pStyle w:val="61"/>
        <w:snapToGrid w:val="0"/>
        <w:spacing w:line="360" w:lineRule="auto"/>
        <w:ind w:firstLine="420"/>
        <w:jc w:val="left"/>
      </w:pPr>
      <w:r>
        <w:rPr>
          <w:rFonts w:hint="eastAsia"/>
        </w:rPr>
        <w:t>下列文件中的内容通过文中的规范性引用而构成本文件必不可少的条款。其中，注日期的引用文件，仅该日期对应的版本适用于本文件；不注日期的引用文件，其最新版本（包括所有的修改单）适用于本文件。</w:t>
      </w:r>
    </w:p>
    <w:p w14:paraId="3C2ACD3D">
      <w:pPr>
        <w:pStyle w:val="61"/>
        <w:snapToGrid w:val="0"/>
        <w:spacing w:line="360" w:lineRule="auto"/>
        <w:ind w:firstLine="420"/>
        <w:jc w:val="left"/>
      </w:pPr>
      <w:r>
        <w:rPr>
          <w:rFonts w:hint="eastAsia"/>
        </w:rPr>
        <w:t>GB/T 23111 非自动衡器</w:t>
      </w:r>
    </w:p>
    <w:p w14:paraId="2DE9CD59">
      <w:pPr>
        <w:pStyle w:val="109"/>
        <w:numPr>
          <w:ilvl w:val="0"/>
          <w:numId w:val="32"/>
        </w:numPr>
        <w:tabs>
          <w:tab w:val="clear" w:pos="360"/>
        </w:tabs>
        <w:spacing w:before="312" w:after="312" w:line="360" w:lineRule="auto"/>
      </w:pPr>
      <w:bookmarkStart w:id="45" w:name="_Toc168413847"/>
      <w:bookmarkStart w:id="46" w:name="_Toc318398360"/>
      <w:bookmarkStart w:id="47" w:name="_Toc183011545"/>
      <w:r>
        <w:rPr>
          <w:rFonts w:hint="eastAsia"/>
        </w:rPr>
        <w:t>术语</w:t>
      </w:r>
      <w:bookmarkEnd w:id="45"/>
      <w:bookmarkEnd w:id="46"/>
      <w:r>
        <w:rPr>
          <w:rFonts w:hint="eastAsia"/>
        </w:rPr>
        <w:t>和定义</w:t>
      </w:r>
      <w:bookmarkEnd w:id="47"/>
    </w:p>
    <w:p w14:paraId="17DD5F05">
      <w:pPr>
        <w:pStyle w:val="61"/>
        <w:spacing w:line="360" w:lineRule="auto"/>
        <w:ind w:firstLine="420"/>
      </w:pPr>
      <w:r>
        <w:rPr>
          <w:rFonts w:hint="eastAsia"/>
        </w:rPr>
        <w:t>GB/T 23111界定的以及以下列术语适用于本文件。</w:t>
      </w:r>
    </w:p>
    <w:p w14:paraId="240156FE">
      <w:pPr>
        <w:pStyle w:val="228"/>
        <w:numPr>
          <w:ilvl w:val="2"/>
          <w:numId w:val="0"/>
        </w:numPr>
        <w:autoSpaceDE w:val="0"/>
        <w:autoSpaceDN w:val="0"/>
        <w:snapToGrid w:val="0"/>
        <w:spacing w:line="360" w:lineRule="auto"/>
        <w:ind w:left="420" w:leftChars="0" w:hanging="420" w:hangingChars="200"/>
        <w:jc w:val="left"/>
        <w:rPr>
          <w:rFonts w:ascii="黑体" w:hAnsi="黑体" w:eastAsia="黑体"/>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　</w:t>
      </w:r>
      <w:r>
        <w:rPr>
          <w:rFonts w:ascii="黑体" w:hAnsi="黑体" w:eastAsia="黑体"/>
        </w:rPr>
        <w:br w:type="textWrapping"/>
      </w:r>
      <w:r>
        <w:rPr>
          <w:rFonts w:hint="eastAsia" w:ascii="黑体" w:hAnsi="黑体" w:eastAsia="黑体"/>
        </w:rPr>
        <w:t>电子计价秤 electronic price scale</w:t>
      </w:r>
    </w:p>
    <w:p w14:paraId="706D0D16">
      <w:pPr>
        <w:pStyle w:val="61"/>
        <w:snapToGrid w:val="0"/>
        <w:spacing w:line="360" w:lineRule="auto"/>
        <w:ind w:firstLine="420"/>
        <w:jc w:val="left"/>
      </w:pPr>
      <w:r>
        <w:rPr>
          <w:rFonts w:hint="eastAsia"/>
        </w:rPr>
        <w:t>装有电子装置，在整个称量范围或部分称量范围内，根据所称得的重量和一系列单价能计算出被称货物总价的一种商业秤。</w:t>
      </w:r>
    </w:p>
    <w:p w14:paraId="34FE74A0">
      <w:pPr>
        <w:autoSpaceDE w:val="0"/>
        <w:autoSpaceDN w:val="0"/>
        <w:snapToGrid w:val="0"/>
        <w:spacing w:line="360" w:lineRule="auto"/>
        <w:ind w:firstLine="420" w:firstLineChars="200"/>
        <w:jc w:val="left"/>
        <w:rPr>
          <w:kern w:val="0"/>
          <w:sz w:val="24"/>
        </w:rPr>
      </w:pPr>
      <w:r>
        <w:rPr>
          <w:rFonts w:hint="eastAsia" w:ascii="宋体" w:hAnsi="Times New Roman"/>
          <w:kern w:val="0"/>
          <w:szCs w:val="20"/>
        </w:rPr>
        <w:t>[来源：DB32/T 4464-2023，3.1，有修改]</w:t>
      </w:r>
      <w:r>
        <w:rPr>
          <w:rFonts w:hint="eastAsia"/>
          <w:kern w:val="0"/>
          <w:sz w:val="24"/>
        </w:rPr>
        <w:t xml:space="preserve"> </w:t>
      </w:r>
    </w:p>
    <w:p w14:paraId="1A51173D">
      <w:pPr>
        <w:pStyle w:val="228"/>
        <w:numPr>
          <w:ilvl w:val="2"/>
          <w:numId w:val="0"/>
        </w:numPr>
        <w:autoSpaceDE w:val="0"/>
        <w:autoSpaceDN w:val="0"/>
        <w:snapToGrid w:val="0"/>
        <w:spacing w:line="360" w:lineRule="auto"/>
        <w:ind w:left="420" w:leftChars="0" w:hanging="420" w:hangingChars="200"/>
        <w:jc w:val="left"/>
        <w:rPr>
          <w:rFonts w:ascii="黑体" w:hAnsi="黑体" w:eastAsia="黑体"/>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.2　</w:t>
      </w:r>
      <w:r>
        <w:rPr>
          <w:rFonts w:ascii="黑体" w:hAnsi="黑体" w:eastAsia="黑体"/>
        </w:rPr>
        <w:br w:type="textWrapping"/>
      </w:r>
      <w:r>
        <w:rPr>
          <w:rFonts w:hint="eastAsia" w:ascii="黑体" w:hAnsi="黑体" w:eastAsia="黑体"/>
        </w:rPr>
        <w:t>公平秤 fair scale</w:t>
      </w:r>
    </w:p>
    <w:p w14:paraId="70830DDB">
      <w:pPr>
        <w:pStyle w:val="61"/>
        <w:snapToGrid w:val="0"/>
        <w:spacing w:line="360" w:lineRule="auto"/>
        <w:ind w:firstLine="420"/>
        <w:jc w:val="left"/>
      </w:pPr>
      <w:r>
        <w:rPr>
          <w:rFonts w:hint="eastAsia"/>
        </w:rPr>
        <w:t>市场主办方设置，计量性能准确可靠，供消费者对商品重量的称重结果提供复核作用的电子计价秤（3.1）。</w:t>
      </w:r>
    </w:p>
    <w:p w14:paraId="5F070465">
      <w:pPr>
        <w:autoSpaceDE w:val="0"/>
        <w:autoSpaceDN w:val="0"/>
        <w:snapToGrid w:val="0"/>
        <w:spacing w:line="360" w:lineRule="auto"/>
        <w:ind w:firstLine="420" w:firstLineChars="200"/>
        <w:jc w:val="left"/>
        <w:rPr>
          <w:kern w:val="0"/>
          <w:sz w:val="24"/>
        </w:rPr>
      </w:pPr>
      <w:r>
        <w:rPr>
          <w:rFonts w:hint="eastAsia" w:ascii="宋体" w:hAnsi="Times New Roman"/>
          <w:kern w:val="0"/>
          <w:szCs w:val="20"/>
        </w:rPr>
        <w:t>[来源：DB32/T 4464-2023，3.4，有修改]</w:t>
      </w:r>
      <w:r>
        <w:rPr>
          <w:rFonts w:hint="eastAsia"/>
          <w:kern w:val="0"/>
          <w:sz w:val="24"/>
        </w:rPr>
        <w:t xml:space="preserve"> </w:t>
      </w:r>
    </w:p>
    <w:p w14:paraId="65E3B334">
      <w:pPr>
        <w:pStyle w:val="228"/>
        <w:numPr>
          <w:ilvl w:val="2"/>
          <w:numId w:val="0"/>
        </w:numPr>
        <w:autoSpaceDE w:val="0"/>
        <w:autoSpaceDN w:val="0"/>
        <w:snapToGrid w:val="0"/>
        <w:spacing w:line="360" w:lineRule="auto"/>
        <w:ind w:left="420" w:leftChars="0" w:hanging="420" w:hangingChars="200"/>
        <w:jc w:val="left"/>
        <w:rPr>
          <w:rFonts w:ascii="黑体" w:hAnsi="黑体" w:eastAsia="黑体"/>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　</w:t>
      </w:r>
      <w:r>
        <w:rPr>
          <w:rFonts w:ascii="黑体" w:hAnsi="黑体" w:eastAsia="黑体"/>
        </w:rPr>
        <w:br w:type="textWrapping"/>
      </w:r>
      <w:r>
        <w:rPr>
          <w:rFonts w:hint="eastAsia" w:ascii="黑体" w:hAnsi="黑体" w:eastAsia="黑体"/>
        </w:rPr>
        <w:t>消费评价码 c</w:t>
      </w:r>
      <w:r>
        <w:rPr>
          <w:rFonts w:ascii="黑体" w:hAnsi="黑体" w:eastAsia="黑体"/>
        </w:rPr>
        <w:t xml:space="preserve">onsumer </w:t>
      </w:r>
      <w:r>
        <w:rPr>
          <w:rFonts w:hint="eastAsia" w:ascii="黑体" w:hAnsi="黑体" w:eastAsia="黑体"/>
        </w:rPr>
        <w:t>e</w:t>
      </w:r>
      <w:r>
        <w:rPr>
          <w:rFonts w:ascii="黑体" w:hAnsi="黑体" w:eastAsia="黑体"/>
        </w:rPr>
        <w:t xml:space="preserve">valuation </w:t>
      </w:r>
      <w:r>
        <w:rPr>
          <w:rFonts w:hint="eastAsia" w:ascii="黑体" w:hAnsi="黑体" w:eastAsia="黑体"/>
        </w:rPr>
        <w:t>c</w:t>
      </w:r>
      <w:r>
        <w:rPr>
          <w:rFonts w:ascii="黑体" w:hAnsi="黑体" w:eastAsia="黑体"/>
        </w:rPr>
        <w:t>ode</w:t>
      </w:r>
    </w:p>
    <w:p w14:paraId="024A97E0">
      <w:pPr>
        <w:pStyle w:val="61"/>
        <w:snapToGrid w:val="0"/>
        <w:spacing w:line="360" w:lineRule="auto"/>
        <w:ind w:firstLine="420"/>
        <w:jc w:val="left"/>
      </w:pPr>
      <w:r>
        <w:rPr>
          <w:rFonts w:hint="eastAsia"/>
        </w:rPr>
        <w:t>包含电子计价秤（3.1）自身及相关管理信息，并可由消费者通过扫描的方式进行查询、评价的二维码。</w:t>
      </w:r>
      <w:r>
        <w:t xml:space="preserve"> </w:t>
      </w:r>
    </w:p>
    <w:p w14:paraId="0464BA41">
      <w:pPr>
        <w:pStyle w:val="109"/>
        <w:numPr>
          <w:ilvl w:val="0"/>
          <w:numId w:val="32"/>
        </w:numPr>
        <w:tabs>
          <w:tab w:val="clear" w:pos="360"/>
        </w:tabs>
        <w:spacing w:before="312" w:after="312" w:line="360" w:lineRule="auto"/>
      </w:pPr>
      <w:bookmarkStart w:id="48" w:name="_Toc183011546"/>
      <w:r>
        <w:rPr>
          <w:rFonts w:hint="eastAsia"/>
        </w:rPr>
        <w:t>电子计价秤选配</w:t>
      </w:r>
      <w:bookmarkEnd w:id="48"/>
    </w:p>
    <w:p w14:paraId="0B25BB66">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电子计价秤使用的质量单位是：千克（kg）、克（g）。</w:t>
      </w:r>
    </w:p>
    <w:p w14:paraId="03D7D7D5">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2</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电子计价秤应取得计量器具型式批准证书。</w:t>
      </w:r>
    </w:p>
    <w:p w14:paraId="2389D88E">
      <w:pPr>
        <w:pStyle w:val="167"/>
        <w:numPr>
          <w:ilvl w:val="2"/>
          <w:numId w:val="0"/>
        </w:numPr>
        <w:autoSpaceDE w:val="0"/>
        <w:autoSpaceDN w:val="0"/>
        <w:snapToGrid w:val="0"/>
        <w:spacing w:line="360" w:lineRule="auto"/>
        <w:ind w:left="0" w:leftChars="0" w:firstLine="0" w:firstLineChars="0"/>
        <w:jc w:val="left"/>
        <w:rPr>
          <w:rFonts w:hAnsi="宋体"/>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电子计价秤</w:t>
      </w:r>
      <w:r>
        <w:rPr>
          <w:rFonts w:hint="eastAsia" w:hAnsi="宋体"/>
        </w:rPr>
        <w:t>随机文件应包括软件标识的按键获取方法，</w:t>
      </w:r>
      <w:r>
        <w:rPr>
          <w:rFonts w:hint="eastAsia" w:cs="宋体"/>
        </w:rPr>
        <w:t>秤</w:t>
      </w:r>
      <w:r>
        <w:rPr>
          <w:rFonts w:hint="eastAsia" w:hAnsi="宋体"/>
        </w:rPr>
        <w:t>应</w:t>
      </w:r>
      <w:r>
        <w:rPr>
          <w:rFonts w:hint="eastAsia"/>
          <w:szCs w:val="22"/>
        </w:rPr>
        <w:t>能显示或输出软件标识，</w:t>
      </w:r>
      <w:r>
        <w:rPr>
          <w:rFonts w:hint="eastAsia" w:cs="宋体"/>
        </w:rPr>
        <w:t>软件标识</w:t>
      </w:r>
      <w:r>
        <w:rPr>
          <w:rFonts w:hint="eastAsia" w:hAnsi="宋体"/>
        </w:rPr>
        <w:t>应与秤的标识信息一致。</w:t>
      </w:r>
    </w:p>
    <w:p w14:paraId="36232250">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称量水产品类商品，应选具有防水功能的电子计价秤。</w:t>
      </w:r>
    </w:p>
    <w:p w14:paraId="7527B562">
      <w:pPr>
        <w:pStyle w:val="167"/>
        <w:numPr>
          <w:ilvl w:val="2"/>
          <w:numId w:val="0"/>
        </w:numPr>
        <w:autoSpaceDE w:val="0"/>
        <w:autoSpaceDN w:val="0"/>
        <w:snapToGrid w:val="0"/>
        <w:spacing w:line="360" w:lineRule="auto"/>
        <w:ind w:left="0" w:leftChars="0" w:firstLine="0" w:firstLineChars="0"/>
        <w:jc w:val="left"/>
        <w:rPr>
          <w:rFonts w:hAnsi="宋体"/>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称</w:t>
      </w:r>
      <w:r>
        <w:rPr>
          <w:rFonts w:hint="eastAsia" w:hAnsi="宋体"/>
        </w:rPr>
        <w:t>量带有腐蚀性的商品，应选用耐腐蚀工作台面的电子计价秤。</w:t>
      </w:r>
    </w:p>
    <w:p w14:paraId="64282B8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普通商品（食品、粮食、蔬菜、禽肉类等）用电子计价秤按表1规定要求配置。</w:t>
      </w:r>
    </w:p>
    <w:p w14:paraId="3CA32804">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公平秤的配置除满足以上条款外，称量范围应满足市场经营商品称重的需要，分度值应小于或等于商户所用电子计价秤分度值。</w:t>
      </w:r>
    </w:p>
    <w:p w14:paraId="56A2460D">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8</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市场主办方应核对入场使用的电子计价秤型式批准证书，统一登记造册。登记造册的信息至少包括使用者、摊位号、铭牌信息以及销售者的相关信息。同时向</w:t>
      </w:r>
      <w:r>
        <w:t>当地县（市）级人民政府计量行政部门备案</w:t>
      </w:r>
      <w:r>
        <w:rPr>
          <w:rFonts w:hint="eastAsia"/>
        </w:rPr>
        <w:t>，</w:t>
      </w:r>
      <w:r>
        <w:t>并向其指定的计量检定机构申请周期检定。</w:t>
      </w:r>
    </w:p>
    <w:p w14:paraId="409DBCF0">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9</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检定合格的电子计价秤应贴有消费评价码（</w:t>
      </w:r>
      <w:r>
        <w:rPr>
          <w:rFonts w:hint="eastAsia" w:cs="宋体"/>
        </w:rPr>
        <w:t>消费评价码见附录A</w:t>
      </w:r>
      <w:r>
        <w:rPr>
          <w:rFonts w:hint="eastAsia"/>
        </w:rPr>
        <w:t>）。消费评价码应贴在电子计价秤固定结构件上并易于被顾客发现和识别，不应贴在可移除或活动部件（如秤盘、防尘罩等）上。</w:t>
      </w:r>
    </w:p>
    <w:p w14:paraId="0BBEA122">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0</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未经检定、超过检定周期或经检定不合格的电子计价秤不应投入使用。</w:t>
      </w:r>
    </w:p>
    <w:p w14:paraId="7F56E9BD">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w:t>
      </w: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　</w:t>
      </w:r>
      <w:r>
        <w:rPr>
          <w:rFonts w:hint="eastAsia"/>
        </w:rPr>
        <w:t>市场主办方宜统一配置经强制检定合格的电子计价秤。</w:t>
      </w:r>
    </w:p>
    <w:p w14:paraId="555E0306">
      <w:pPr>
        <w:pStyle w:val="240"/>
        <w:spacing w:before="156" w:after="156"/>
      </w:pPr>
      <w:r>
        <w:rPr>
          <w:rFonts w:hint="eastAsia"/>
        </w:rPr>
        <w:t>零售称量用电子计价秤推荐配置</w:t>
      </w:r>
    </w:p>
    <w:tbl>
      <w:tblPr>
        <w:tblStyle w:val="30"/>
        <w:tblW w:w="9570" w:type="dxa"/>
        <w:jc w:val="center"/>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fixed"/>
        <w:tblCellMar>
          <w:top w:w="0" w:type="dxa"/>
          <w:left w:w="108" w:type="dxa"/>
          <w:bottom w:w="0" w:type="dxa"/>
          <w:right w:w="108" w:type="dxa"/>
        </w:tblCellMar>
      </w:tblPr>
      <w:tblGrid>
        <w:gridCol w:w="2375"/>
        <w:gridCol w:w="1702"/>
        <w:gridCol w:w="1259"/>
        <w:gridCol w:w="2144"/>
        <w:gridCol w:w="2090"/>
      </w:tblGrid>
      <w:tr w14:paraId="3F22315A">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tcBorders>
              <w:top w:val="single" w:color="auto" w:sz="8" w:space="0"/>
              <w:bottom w:val="single" w:color="auto" w:sz="4" w:space="0"/>
            </w:tcBorders>
            <w:shd w:val="clear" w:color="auto" w:fill="auto"/>
            <w:vAlign w:val="center"/>
          </w:tcPr>
          <w:p w14:paraId="23838316">
            <w:pPr>
              <w:ind w:left="-92" w:leftChars="-44" w:right="-101" w:rightChars="-48"/>
              <w:jc w:val="center"/>
              <w:rPr>
                <w:rFonts w:ascii="宋体" w:hAnsi="宋体"/>
                <w:kern w:val="0"/>
                <w:sz w:val="18"/>
                <w:szCs w:val="18"/>
              </w:rPr>
            </w:pPr>
            <w:r>
              <w:rPr>
                <w:rFonts w:ascii="宋体" w:hAnsi="宋体"/>
                <w:kern w:val="0"/>
                <w:sz w:val="18"/>
                <w:szCs w:val="18"/>
              </w:rPr>
              <w:t>商品价格（P）范围</w:t>
            </w:r>
          </w:p>
          <w:p w14:paraId="3F445CC6">
            <w:pPr>
              <w:ind w:left="-92" w:leftChars="-44" w:right="-101" w:rightChars="-48"/>
              <w:jc w:val="center"/>
              <w:rPr>
                <w:rFonts w:ascii="宋体" w:hAnsi="宋体"/>
                <w:kern w:val="0"/>
                <w:sz w:val="18"/>
                <w:szCs w:val="18"/>
              </w:rPr>
            </w:pPr>
            <w:r>
              <w:rPr>
                <w:rFonts w:ascii="宋体" w:hAnsi="宋体"/>
                <w:kern w:val="0"/>
                <w:sz w:val="18"/>
                <w:szCs w:val="18"/>
              </w:rPr>
              <w:t>元/kg</w:t>
            </w:r>
          </w:p>
        </w:tc>
        <w:tc>
          <w:tcPr>
            <w:tcW w:w="1702" w:type="dxa"/>
            <w:tcBorders>
              <w:top w:val="single" w:color="auto" w:sz="8" w:space="0"/>
              <w:bottom w:val="single" w:color="auto" w:sz="4" w:space="0"/>
            </w:tcBorders>
            <w:shd w:val="clear" w:color="auto" w:fill="auto"/>
            <w:vAlign w:val="center"/>
          </w:tcPr>
          <w:p w14:paraId="02E4CEAE">
            <w:pPr>
              <w:ind w:left="-97" w:leftChars="-46" w:right="-122" w:rightChars="-58"/>
              <w:jc w:val="center"/>
              <w:rPr>
                <w:rFonts w:ascii="宋体" w:hAnsi="宋体"/>
                <w:kern w:val="0"/>
                <w:sz w:val="18"/>
                <w:szCs w:val="18"/>
              </w:rPr>
            </w:pPr>
            <w:r>
              <w:rPr>
                <w:rFonts w:ascii="宋体" w:hAnsi="宋体"/>
                <w:kern w:val="0"/>
                <w:sz w:val="18"/>
                <w:szCs w:val="18"/>
              </w:rPr>
              <w:t>最大秤量Max</w:t>
            </w:r>
          </w:p>
          <w:p w14:paraId="412E9631">
            <w:pPr>
              <w:ind w:left="-97" w:leftChars="-46" w:right="-122" w:rightChars="-58"/>
              <w:jc w:val="center"/>
              <w:rPr>
                <w:rFonts w:ascii="宋体" w:hAnsi="宋体"/>
                <w:kern w:val="0"/>
                <w:sz w:val="18"/>
                <w:szCs w:val="18"/>
              </w:rPr>
            </w:pPr>
            <w:r>
              <w:rPr>
                <w:rFonts w:ascii="宋体" w:hAnsi="宋体"/>
                <w:kern w:val="0"/>
                <w:sz w:val="18"/>
                <w:szCs w:val="18"/>
              </w:rPr>
              <w:t xml:space="preserve">kg </w:t>
            </w:r>
          </w:p>
        </w:tc>
        <w:tc>
          <w:tcPr>
            <w:tcW w:w="1259" w:type="dxa"/>
            <w:tcBorders>
              <w:top w:val="single" w:color="auto" w:sz="8" w:space="0"/>
              <w:bottom w:val="single" w:color="auto" w:sz="4" w:space="0"/>
            </w:tcBorders>
            <w:shd w:val="clear" w:color="auto" w:fill="auto"/>
            <w:vAlign w:val="center"/>
          </w:tcPr>
          <w:p w14:paraId="4C9995A4">
            <w:pPr>
              <w:ind w:left="-94" w:leftChars="-45" w:right="-97" w:rightChars="-46"/>
              <w:jc w:val="center"/>
              <w:rPr>
                <w:rFonts w:ascii="宋体" w:hAnsi="宋体"/>
                <w:kern w:val="0"/>
                <w:sz w:val="18"/>
                <w:szCs w:val="18"/>
              </w:rPr>
            </w:pPr>
            <w:r>
              <w:rPr>
                <w:rFonts w:hint="eastAsia" w:ascii="宋体" w:hAnsi="宋体"/>
                <w:kern w:val="0"/>
                <w:sz w:val="18"/>
                <w:szCs w:val="18"/>
                <w:lang w:val="en-US" w:eastAsia="zh-CN"/>
              </w:rPr>
              <w:t>检定</w:t>
            </w:r>
            <w:r>
              <w:rPr>
                <w:rFonts w:ascii="宋体" w:hAnsi="宋体"/>
                <w:kern w:val="0"/>
                <w:sz w:val="18"/>
                <w:szCs w:val="18"/>
              </w:rPr>
              <w:t>分度值</w:t>
            </w:r>
          </w:p>
          <w:p w14:paraId="00E5FD01">
            <w:pPr>
              <w:widowControl/>
              <w:ind w:left="-94" w:leftChars="-45" w:right="-97" w:rightChars="-46"/>
              <w:jc w:val="center"/>
              <w:rPr>
                <w:rFonts w:ascii="宋体" w:hAnsi="宋体"/>
                <w:kern w:val="0"/>
                <w:sz w:val="18"/>
                <w:szCs w:val="18"/>
              </w:rPr>
            </w:pPr>
            <w:r>
              <w:rPr>
                <w:rFonts w:ascii="宋体" w:hAnsi="宋体"/>
                <w:kern w:val="0"/>
                <w:sz w:val="18"/>
                <w:szCs w:val="18"/>
              </w:rPr>
              <w:t>g</w:t>
            </w:r>
            <w:r>
              <w:rPr>
                <w:rFonts w:ascii="宋体" w:hAnsi="宋体"/>
                <w:i/>
                <w:kern w:val="0"/>
                <w:sz w:val="18"/>
                <w:szCs w:val="18"/>
              </w:rPr>
              <w:t xml:space="preserve"> </w:t>
            </w:r>
          </w:p>
        </w:tc>
        <w:tc>
          <w:tcPr>
            <w:tcW w:w="2144" w:type="dxa"/>
            <w:tcBorders>
              <w:top w:val="single" w:color="auto" w:sz="8" w:space="0"/>
              <w:bottom w:val="single" w:color="auto" w:sz="8" w:space="0"/>
            </w:tcBorders>
            <w:shd w:val="clear" w:color="auto" w:fill="auto"/>
            <w:vAlign w:val="center"/>
          </w:tcPr>
          <w:p w14:paraId="1A807E8B">
            <w:pPr>
              <w:jc w:val="center"/>
              <w:rPr>
                <w:rFonts w:ascii="宋体" w:hAnsi="宋体"/>
                <w:kern w:val="0"/>
                <w:sz w:val="18"/>
                <w:szCs w:val="18"/>
              </w:rPr>
            </w:pPr>
            <w:r>
              <w:rPr>
                <w:rFonts w:ascii="宋体" w:hAnsi="宋体"/>
                <w:kern w:val="0"/>
                <w:sz w:val="18"/>
                <w:szCs w:val="18"/>
              </w:rPr>
              <w:t>称量范围</w:t>
            </w:r>
            <w:r>
              <w:rPr>
                <w:rFonts w:ascii="宋体" w:hAnsi="宋体"/>
                <w:i/>
                <w:kern w:val="0"/>
                <w:sz w:val="18"/>
                <w:szCs w:val="18"/>
              </w:rPr>
              <w:t>m</w:t>
            </w:r>
          </w:p>
          <w:p w14:paraId="4C4449DC">
            <w:pPr>
              <w:jc w:val="center"/>
              <w:rPr>
                <w:rFonts w:ascii="宋体" w:hAnsi="宋体"/>
                <w:i/>
                <w:kern w:val="0"/>
                <w:sz w:val="18"/>
                <w:szCs w:val="18"/>
              </w:rPr>
            </w:pPr>
            <w:r>
              <w:rPr>
                <w:rFonts w:ascii="宋体" w:hAnsi="宋体"/>
                <w:kern w:val="0"/>
                <w:sz w:val="18"/>
                <w:szCs w:val="18"/>
              </w:rPr>
              <w:t>kg</w:t>
            </w:r>
            <w:r>
              <w:rPr>
                <w:rFonts w:ascii="宋体" w:hAnsi="宋体"/>
                <w:i/>
                <w:kern w:val="0"/>
                <w:sz w:val="18"/>
                <w:szCs w:val="18"/>
              </w:rPr>
              <w:t xml:space="preserve"> </w:t>
            </w:r>
          </w:p>
        </w:tc>
        <w:tc>
          <w:tcPr>
            <w:tcW w:w="2090" w:type="dxa"/>
            <w:tcBorders>
              <w:top w:val="single" w:color="auto" w:sz="8" w:space="0"/>
              <w:bottom w:val="single" w:color="auto" w:sz="8" w:space="0"/>
            </w:tcBorders>
            <w:shd w:val="clear" w:color="auto" w:fill="auto"/>
            <w:vAlign w:val="center"/>
          </w:tcPr>
          <w:p w14:paraId="2F14E22E">
            <w:pPr>
              <w:ind w:left="-92" w:leftChars="-44" w:right="-107" w:rightChars="-51"/>
              <w:jc w:val="center"/>
              <w:rPr>
                <w:rFonts w:ascii="宋体" w:hAnsi="宋体"/>
                <w:kern w:val="0"/>
                <w:sz w:val="18"/>
                <w:szCs w:val="18"/>
              </w:rPr>
            </w:pPr>
            <w:r>
              <w:rPr>
                <w:rFonts w:hint="eastAsia" w:ascii="宋体" w:hAnsi="宋体"/>
                <w:kern w:val="0"/>
                <w:sz w:val="18"/>
                <w:szCs w:val="18"/>
              </w:rPr>
              <w:t>检定</w:t>
            </w:r>
            <w:r>
              <w:rPr>
                <w:rFonts w:ascii="宋体" w:hAnsi="宋体"/>
                <w:kern w:val="0"/>
                <w:sz w:val="18"/>
                <w:szCs w:val="18"/>
              </w:rPr>
              <w:t>最大允许误差</w:t>
            </w:r>
          </w:p>
          <w:p w14:paraId="2C982CA3">
            <w:pPr>
              <w:ind w:left="-92" w:leftChars="-44" w:right="-107" w:rightChars="-51"/>
              <w:jc w:val="center"/>
              <w:rPr>
                <w:rFonts w:ascii="宋体" w:hAnsi="宋体"/>
                <w:kern w:val="0"/>
                <w:sz w:val="18"/>
                <w:szCs w:val="18"/>
              </w:rPr>
            </w:pPr>
            <w:r>
              <w:rPr>
                <w:rFonts w:ascii="宋体" w:hAnsi="宋体"/>
                <w:kern w:val="0"/>
                <w:sz w:val="18"/>
                <w:szCs w:val="18"/>
              </w:rPr>
              <w:t>g</w:t>
            </w:r>
          </w:p>
        </w:tc>
      </w:tr>
      <w:tr w14:paraId="39C5AB95">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restart"/>
            <w:tcBorders>
              <w:top w:val="single" w:color="auto" w:sz="4" w:space="0"/>
              <w:bottom w:val="single" w:color="auto" w:sz="4" w:space="0"/>
            </w:tcBorders>
            <w:shd w:val="clear" w:color="auto" w:fill="auto"/>
            <w:vAlign w:val="center"/>
          </w:tcPr>
          <w:p w14:paraId="5D1362AB">
            <w:pPr>
              <w:ind w:left="-120" w:leftChars="-57" w:right="-101" w:rightChars="-48"/>
              <w:jc w:val="center"/>
              <w:rPr>
                <w:rFonts w:ascii="宋体" w:hAnsi="宋体"/>
                <w:kern w:val="0"/>
                <w:sz w:val="18"/>
                <w:szCs w:val="18"/>
              </w:rPr>
            </w:pPr>
            <w:r>
              <w:rPr>
                <w:rFonts w:ascii="宋体" w:hAnsi="宋体"/>
                <w:kern w:val="0"/>
                <w:sz w:val="18"/>
                <w:szCs w:val="18"/>
              </w:rPr>
              <w:t>P≤6</w:t>
            </w:r>
          </w:p>
        </w:tc>
        <w:tc>
          <w:tcPr>
            <w:tcW w:w="1702" w:type="dxa"/>
            <w:vMerge w:val="restart"/>
            <w:tcBorders>
              <w:top w:val="single" w:color="auto" w:sz="4" w:space="0"/>
              <w:bottom w:val="single" w:color="auto" w:sz="4" w:space="0"/>
            </w:tcBorders>
            <w:shd w:val="clear" w:color="auto" w:fill="auto"/>
            <w:vAlign w:val="center"/>
          </w:tcPr>
          <w:p w14:paraId="230F20F2">
            <w:pPr>
              <w:ind w:left="-97" w:leftChars="-46" w:right="-88" w:rightChars="-42"/>
              <w:jc w:val="center"/>
              <w:rPr>
                <w:rFonts w:ascii="宋体" w:hAnsi="宋体"/>
                <w:kern w:val="0"/>
                <w:sz w:val="18"/>
                <w:szCs w:val="18"/>
              </w:rPr>
            </w:pPr>
            <w:r>
              <w:rPr>
                <w:rFonts w:ascii="宋体" w:hAnsi="宋体"/>
                <w:kern w:val="0"/>
                <w:sz w:val="18"/>
                <w:szCs w:val="18"/>
              </w:rPr>
              <w:t xml:space="preserve">30 </w:t>
            </w:r>
          </w:p>
        </w:tc>
        <w:tc>
          <w:tcPr>
            <w:tcW w:w="1259" w:type="dxa"/>
            <w:vMerge w:val="restart"/>
            <w:tcBorders>
              <w:top w:val="single" w:color="auto" w:sz="4" w:space="0"/>
              <w:bottom w:val="single" w:color="auto" w:sz="4" w:space="0"/>
            </w:tcBorders>
            <w:shd w:val="clear" w:color="auto" w:fill="auto"/>
            <w:vAlign w:val="center"/>
          </w:tcPr>
          <w:p w14:paraId="4DAC01CA">
            <w:pPr>
              <w:ind w:left="-94" w:leftChars="-45" w:right="-97" w:rightChars="-46"/>
              <w:jc w:val="center"/>
              <w:rPr>
                <w:rFonts w:ascii="宋体" w:hAnsi="宋体"/>
                <w:kern w:val="0"/>
                <w:sz w:val="18"/>
                <w:szCs w:val="18"/>
              </w:rPr>
            </w:pPr>
            <w:r>
              <w:rPr>
                <w:rFonts w:ascii="宋体" w:hAnsi="宋体"/>
                <w:kern w:val="0"/>
                <w:sz w:val="18"/>
                <w:szCs w:val="18"/>
              </w:rPr>
              <w:t xml:space="preserve">10 </w:t>
            </w:r>
          </w:p>
        </w:tc>
        <w:tc>
          <w:tcPr>
            <w:tcW w:w="2144" w:type="dxa"/>
            <w:tcBorders>
              <w:top w:val="single" w:color="auto" w:sz="8" w:space="0"/>
            </w:tcBorders>
            <w:shd w:val="clear" w:color="auto" w:fill="auto"/>
            <w:vAlign w:val="center"/>
          </w:tcPr>
          <w:p w14:paraId="25CF1787">
            <w:pPr>
              <w:jc w:val="center"/>
              <w:rPr>
                <w:rFonts w:ascii="宋体" w:hAnsi="宋体"/>
                <w:kern w:val="0"/>
                <w:sz w:val="18"/>
                <w:szCs w:val="18"/>
              </w:rPr>
            </w:pPr>
            <w:r>
              <w:rPr>
                <w:rFonts w:ascii="宋体" w:hAnsi="宋体"/>
                <w:i/>
                <w:kern w:val="0"/>
                <w:sz w:val="18"/>
                <w:szCs w:val="18"/>
              </w:rPr>
              <w:t>m</w:t>
            </w:r>
            <w:r>
              <w:rPr>
                <w:rFonts w:ascii="宋体" w:hAnsi="宋体"/>
                <w:kern w:val="0"/>
                <w:sz w:val="18"/>
                <w:szCs w:val="18"/>
              </w:rPr>
              <w:t>≤</w:t>
            </w:r>
            <w:r>
              <w:rPr>
                <w:rFonts w:hint="eastAsia" w:ascii="宋体" w:hAnsi="宋体"/>
                <w:kern w:val="0"/>
                <w:sz w:val="18"/>
                <w:szCs w:val="18"/>
              </w:rPr>
              <w:t>5</w:t>
            </w:r>
            <w:r>
              <w:rPr>
                <w:rFonts w:ascii="宋体" w:hAnsi="宋体"/>
                <w:kern w:val="0"/>
                <w:sz w:val="18"/>
                <w:szCs w:val="18"/>
              </w:rPr>
              <w:t xml:space="preserve"> </w:t>
            </w:r>
          </w:p>
        </w:tc>
        <w:tc>
          <w:tcPr>
            <w:tcW w:w="2090" w:type="dxa"/>
            <w:tcBorders>
              <w:top w:val="single" w:color="auto" w:sz="8" w:space="0"/>
            </w:tcBorders>
            <w:shd w:val="clear" w:color="auto" w:fill="auto"/>
            <w:vAlign w:val="center"/>
          </w:tcPr>
          <w:p w14:paraId="6C8BF539">
            <w:pPr>
              <w:jc w:val="center"/>
              <w:rPr>
                <w:rFonts w:ascii="宋体" w:hAnsi="宋体"/>
                <w:kern w:val="0"/>
                <w:sz w:val="18"/>
                <w:szCs w:val="18"/>
              </w:rPr>
            </w:pPr>
            <w:r>
              <w:rPr>
                <w:rFonts w:ascii="宋体" w:hAnsi="宋体"/>
                <w:kern w:val="0"/>
                <w:sz w:val="18"/>
                <w:szCs w:val="18"/>
              </w:rPr>
              <w:t xml:space="preserve">±5 </w:t>
            </w:r>
          </w:p>
        </w:tc>
      </w:tr>
      <w:tr w14:paraId="26AF04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tcBorders>
              <w:top w:val="single" w:color="auto" w:sz="4" w:space="0"/>
              <w:bottom w:val="single" w:color="auto" w:sz="4" w:space="0"/>
            </w:tcBorders>
            <w:shd w:val="clear" w:color="auto" w:fill="auto"/>
            <w:vAlign w:val="center"/>
          </w:tcPr>
          <w:p w14:paraId="5ED7C07C">
            <w:pPr>
              <w:ind w:left="-120" w:leftChars="-57" w:right="-101" w:rightChars="-48"/>
              <w:jc w:val="center"/>
              <w:rPr>
                <w:rFonts w:ascii="宋体" w:hAnsi="宋体"/>
                <w:kern w:val="0"/>
                <w:sz w:val="18"/>
                <w:szCs w:val="18"/>
              </w:rPr>
            </w:pPr>
          </w:p>
        </w:tc>
        <w:tc>
          <w:tcPr>
            <w:tcW w:w="1702" w:type="dxa"/>
            <w:vMerge w:val="continue"/>
            <w:tcBorders>
              <w:top w:val="single" w:color="auto" w:sz="4" w:space="0"/>
              <w:bottom w:val="single" w:color="auto" w:sz="4" w:space="0"/>
            </w:tcBorders>
            <w:shd w:val="clear" w:color="auto" w:fill="auto"/>
            <w:vAlign w:val="center"/>
          </w:tcPr>
          <w:p w14:paraId="73530205">
            <w:pPr>
              <w:ind w:left="-97" w:leftChars="-46" w:right="-88" w:rightChars="-42"/>
              <w:jc w:val="center"/>
              <w:rPr>
                <w:rFonts w:ascii="宋体" w:hAnsi="宋体"/>
                <w:kern w:val="0"/>
                <w:sz w:val="18"/>
                <w:szCs w:val="18"/>
              </w:rPr>
            </w:pPr>
          </w:p>
        </w:tc>
        <w:tc>
          <w:tcPr>
            <w:tcW w:w="1259" w:type="dxa"/>
            <w:vMerge w:val="continue"/>
            <w:tcBorders>
              <w:top w:val="single" w:color="auto" w:sz="4" w:space="0"/>
              <w:bottom w:val="single" w:color="auto" w:sz="4" w:space="0"/>
            </w:tcBorders>
            <w:shd w:val="clear" w:color="auto" w:fill="auto"/>
            <w:vAlign w:val="center"/>
          </w:tcPr>
          <w:p w14:paraId="11B6A06A">
            <w:pPr>
              <w:ind w:left="-94" w:leftChars="-45" w:right="-97" w:rightChars="-46"/>
              <w:jc w:val="center"/>
              <w:rPr>
                <w:rFonts w:ascii="宋体" w:hAnsi="宋体"/>
                <w:kern w:val="0"/>
                <w:sz w:val="18"/>
                <w:szCs w:val="18"/>
              </w:rPr>
            </w:pPr>
          </w:p>
        </w:tc>
        <w:tc>
          <w:tcPr>
            <w:tcW w:w="2144" w:type="dxa"/>
            <w:tcBorders>
              <w:top w:val="single" w:color="auto" w:sz="8" w:space="0"/>
            </w:tcBorders>
            <w:shd w:val="clear" w:color="auto" w:fill="auto"/>
            <w:vAlign w:val="center"/>
          </w:tcPr>
          <w:p w14:paraId="5D6E4455">
            <w:pPr>
              <w:jc w:val="center"/>
              <w:rPr>
                <w:rFonts w:ascii="宋体" w:hAnsi="宋体"/>
                <w:i/>
                <w:kern w:val="0"/>
                <w:sz w:val="18"/>
                <w:szCs w:val="18"/>
              </w:rPr>
            </w:pPr>
            <w:r>
              <w:rPr>
                <w:rFonts w:ascii="宋体" w:hAnsi="宋体"/>
                <w:kern w:val="0"/>
                <w:sz w:val="18"/>
                <w:szCs w:val="18"/>
              </w:rPr>
              <w:t>5＜</w:t>
            </w:r>
            <w:r>
              <w:rPr>
                <w:rFonts w:ascii="宋体" w:hAnsi="宋体"/>
                <w:i/>
                <w:kern w:val="0"/>
                <w:sz w:val="18"/>
                <w:szCs w:val="18"/>
              </w:rPr>
              <w:t>m</w:t>
            </w:r>
            <w:r>
              <w:rPr>
                <w:rFonts w:ascii="宋体" w:hAnsi="宋体"/>
                <w:kern w:val="0"/>
                <w:sz w:val="18"/>
                <w:szCs w:val="18"/>
              </w:rPr>
              <w:t xml:space="preserve">≤20 </w:t>
            </w:r>
          </w:p>
        </w:tc>
        <w:tc>
          <w:tcPr>
            <w:tcW w:w="2090" w:type="dxa"/>
            <w:tcBorders>
              <w:top w:val="single" w:color="auto" w:sz="8" w:space="0"/>
            </w:tcBorders>
            <w:shd w:val="clear" w:color="auto" w:fill="auto"/>
            <w:vAlign w:val="center"/>
          </w:tcPr>
          <w:p w14:paraId="431EFA1F">
            <w:pPr>
              <w:jc w:val="center"/>
              <w:rPr>
                <w:rFonts w:ascii="宋体" w:hAnsi="宋体"/>
                <w:kern w:val="0"/>
                <w:sz w:val="18"/>
                <w:szCs w:val="18"/>
              </w:rPr>
            </w:pPr>
            <w:r>
              <w:rPr>
                <w:rFonts w:ascii="宋体" w:hAnsi="宋体"/>
                <w:kern w:val="0"/>
                <w:sz w:val="18"/>
                <w:szCs w:val="18"/>
              </w:rPr>
              <w:t xml:space="preserve">±10 </w:t>
            </w:r>
          </w:p>
        </w:tc>
      </w:tr>
      <w:tr w14:paraId="456E298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tcBorders>
              <w:top w:val="single" w:color="auto" w:sz="4" w:space="0"/>
              <w:bottom w:val="single" w:color="auto" w:sz="4" w:space="0"/>
            </w:tcBorders>
            <w:shd w:val="clear" w:color="auto" w:fill="auto"/>
            <w:vAlign w:val="center"/>
          </w:tcPr>
          <w:p w14:paraId="4DF22E04">
            <w:pPr>
              <w:ind w:left="-120" w:leftChars="-57" w:right="-101" w:rightChars="-48"/>
              <w:jc w:val="center"/>
              <w:rPr>
                <w:rFonts w:ascii="宋体" w:hAnsi="宋体"/>
                <w:kern w:val="0"/>
                <w:sz w:val="18"/>
                <w:szCs w:val="18"/>
              </w:rPr>
            </w:pPr>
          </w:p>
        </w:tc>
        <w:tc>
          <w:tcPr>
            <w:tcW w:w="1702" w:type="dxa"/>
            <w:vMerge w:val="continue"/>
            <w:tcBorders>
              <w:top w:val="single" w:color="auto" w:sz="4" w:space="0"/>
              <w:bottom w:val="single" w:color="auto" w:sz="4" w:space="0"/>
            </w:tcBorders>
            <w:shd w:val="clear" w:color="auto" w:fill="auto"/>
            <w:vAlign w:val="center"/>
          </w:tcPr>
          <w:p w14:paraId="628E888E">
            <w:pPr>
              <w:ind w:left="-97" w:leftChars="-46" w:right="-88" w:rightChars="-42"/>
              <w:jc w:val="center"/>
              <w:rPr>
                <w:rFonts w:ascii="宋体" w:hAnsi="宋体"/>
                <w:kern w:val="0"/>
                <w:sz w:val="18"/>
                <w:szCs w:val="18"/>
              </w:rPr>
            </w:pPr>
          </w:p>
        </w:tc>
        <w:tc>
          <w:tcPr>
            <w:tcW w:w="1259" w:type="dxa"/>
            <w:vMerge w:val="continue"/>
            <w:tcBorders>
              <w:top w:val="single" w:color="auto" w:sz="4" w:space="0"/>
              <w:bottom w:val="single" w:color="auto" w:sz="4" w:space="0"/>
            </w:tcBorders>
            <w:shd w:val="clear" w:color="auto" w:fill="auto"/>
            <w:vAlign w:val="center"/>
          </w:tcPr>
          <w:p w14:paraId="3FD59A4C">
            <w:pPr>
              <w:ind w:left="-94" w:leftChars="-45" w:right="-97" w:rightChars="-46"/>
              <w:jc w:val="center"/>
              <w:rPr>
                <w:rFonts w:ascii="宋体" w:hAnsi="宋体"/>
                <w:kern w:val="0"/>
                <w:sz w:val="18"/>
                <w:szCs w:val="18"/>
              </w:rPr>
            </w:pPr>
          </w:p>
        </w:tc>
        <w:tc>
          <w:tcPr>
            <w:tcW w:w="2144" w:type="dxa"/>
            <w:tcBorders>
              <w:top w:val="single" w:color="auto" w:sz="8" w:space="0"/>
            </w:tcBorders>
            <w:shd w:val="clear" w:color="auto" w:fill="auto"/>
            <w:vAlign w:val="center"/>
          </w:tcPr>
          <w:p w14:paraId="626F78FD">
            <w:pPr>
              <w:jc w:val="center"/>
              <w:rPr>
                <w:rFonts w:ascii="宋体" w:hAnsi="宋体"/>
                <w:i/>
                <w:kern w:val="0"/>
                <w:sz w:val="18"/>
                <w:szCs w:val="18"/>
              </w:rPr>
            </w:pPr>
            <w:r>
              <w:rPr>
                <w:rFonts w:ascii="宋体" w:hAnsi="宋体"/>
                <w:kern w:val="0"/>
                <w:sz w:val="18"/>
                <w:szCs w:val="18"/>
              </w:rPr>
              <w:t>20＜</w:t>
            </w:r>
            <w:r>
              <w:rPr>
                <w:rFonts w:ascii="宋体" w:hAnsi="宋体"/>
                <w:i/>
                <w:kern w:val="0"/>
                <w:sz w:val="18"/>
                <w:szCs w:val="18"/>
              </w:rPr>
              <w:t>m</w:t>
            </w:r>
            <w:r>
              <w:rPr>
                <w:rFonts w:ascii="宋体" w:hAnsi="宋体"/>
                <w:kern w:val="0"/>
                <w:sz w:val="18"/>
                <w:szCs w:val="18"/>
              </w:rPr>
              <w:t>≤30</w:t>
            </w:r>
          </w:p>
        </w:tc>
        <w:tc>
          <w:tcPr>
            <w:tcW w:w="2090" w:type="dxa"/>
            <w:tcBorders>
              <w:top w:val="single" w:color="auto" w:sz="8" w:space="0"/>
            </w:tcBorders>
            <w:shd w:val="clear" w:color="auto" w:fill="auto"/>
            <w:vAlign w:val="center"/>
          </w:tcPr>
          <w:p w14:paraId="251DF169">
            <w:pPr>
              <w:jc w:val="center"/>
              <w:rPr>
                <w:rFonts w:ascii="宋体" w:hAnsi="宋体"/>
                <w:kern w:val="0"/>
                <w:sz w:val="18"/>
                <w:szCs w:val="18"/>
              </w:rPr>
            </w:pPr>
            <w:r>
              <w:rPr>
                <w:rFonts w:ascii="宋体" w:hAnsi="宋体"/>
                <w:kern w:val="0"/>
                <w:sz w:val="18"/>
                <w:szCs w:val="18"/>
              </w:rPr>
              <w:t xml:space="preserve">±15 </w:t>
            </w:r>
          </w:p>
        </w:tc>
      </w:tr>
      <w:tr w14:paraId="6D5B08C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restart"/>
            <w:shd w:val="clear" w:color="auto" w:fill="auto"/>
            <w:vAlign w:val="center"/>
          </w:tcPr>
          <w:p w14:paraId="5F11D023">
            <w:pPr>
              <w:ind w:left="-120" w:leftChars="-57" w:right="-101" w:rightChars="-48"/>
              <w:jc w:val="center"/>
              <w:rPr>
                <w:rFonts w:ascii="宋体" w:hAnsi="宋体"/>
                <w:kern w:val="0"/>
                <w:sz w:val="18"/>
                <w:szCs w:val="18"/>
              </w:rPr>
            </w:pPr>
            <w:r>
              <w:rPr>
                <w:rFonts w:ascii="宋体" w:hAnsi="宋体"/>
                <w:kern w:val="0"/>
                <w:sz w:val="18"/>
                <w:szCs w:val="18"/>
              </w:rPr>
              <w:t>6＜P≤30</w:t>
            </w:r>
          </w:p>
        </w:tc>
        <w:tc>
          <w:tcPr>
            <w:tcW w:w="1702" w:type="dxa"/>
            <w:vMerge w:val="restart"/>
            <w:shd w:val="clear" w:color="auto" w:fill="auto"/>
            <w:vAlign w:val="center"/>
          </w:tcPr>
          <w:p w14:paraId="5FC8C940">
            <w:pPr>
              <w:ind w:left="-97" w:leftChars="-46" w:right="-88" w:rightChars="-42"/>
              <w:jc w:val="center"/>
              <w:rPr>
                <w:rFonts w:ascii="宋体" w:hAnsi="宋体"/>
                <w:kern w:val="0"/>
                <w:sz w:val="18"/>
                <w:szCs w:val="18"/>
              </w:rPr>
            </w:pPr>
            <w:r>
              <w:rPr>
                <w:rFonts w:ascii="宋体" w:hAnsi="宋体"/>
                <w:kern w:val="0"/>
                <w:sz w:val="18"/>
                <w:szCs w:val="18"/>
              </w:rPr>
              <w:t xml:space="preserve">15 </w:t>
            </w:r>
          </w:p>
        </w:tc>
        <w:tc>
          <w:tcPr>
            <w:tcW w:w="1259" w:type="dxa"/>
            <w:vMerge w:val="restart"/>
            <w:shd w:val="clear" w:color="auto" w:fill="auto"/>
            <w:vAlign w:val="center"/>
          </w:tcPr>
          <w:p w14:paraId="4D522403">
            <w:pPr>
              <w:ind w:left="-94" w:leftChars="-45" w:right="-97" w:rightChars="-46"/>
              <w:jc w:val="center"/>
              <w:rPr>
                <w:rFonts w:ascii="宋体" w:hAnsi="宋体"/>
                <w:kern w:val="0"/>
                <w:sz w:val="18"/>
                <w:szCs w:val="18"/>
              </w:rPr>
            </w:pPr>
            <w:r>
              <w:rPr>
                <w:rFonts w:ascii="宋体" w:hAnsi="宋体"/>
                <w:kern w:val="0"/>
                <w:sz w:val="18"/>
                <w:szCs w:val="18"/>
              </w:rPr>
              <w:t xml:space="preserve">5 </w:t>
            </w:r>
          </w:p>
        </w:tc>
        <w:tc>
          <w:tcPr>
            <w:tcW w:w="2144" w:type="dxa"/>
            <w:shd w:val="clear" w:color="auto" w:fill="auto"/>
            <w:vAlign w:val="center"/>
          </w:tcPr>
          <w:p w14:paraId="19C1B6CB">
            <w:pPr>
              <w:jc w:val="center"/>
              <w:rPr>
                <w:rFonts w:ascii="宋体" w:hAnsi="宋体"/>
                <w:kern w:val="0"/>
                <w:sz w:val="18"/>
                <w:szCs w:val="18"/>
              </w:rPr>
            </w:pPr>
            <w:r>
              <w:rPr>
                <w:rFonts w:ascii="宋体" w:hAnsi="宋体"/>
                <w:i/>
                <w:kern w:val="0"/>
                <w:sz w:val="18"/>
                <w:szCs w:val="18"/>
              </w:rPr>
              <w:t>m</w:t>
            </w:r>
            <w:r>
              <w:rPr>
                <w:rFonts w:ascii="宋体" w:hAnsi="宋体"/>
                <w:kern w:val="0"/>
                <w:sz w:val="18"/>
                <w:szCs w:val="18"/>
              </w:rPr>
              <w:t xml:space="preserve">≤2.5 </w:t>
            </w:r>
          </w:p>
        </w:tc>
        <w:tc>
          <w:tcPr>
            <w:tcW w:w="2090" w:type="dxa"/>
            <w:shd w:val="clear" w:color="auto" w:fill="auto"/>
            <w:vAlign w:val="center"/>
          </w:tcPr>
          <w:p w14:paraId="622046B9">
            <w:pPr>
              <w:jc w:val="center"/>
              <w:rPr>
                <w:rFonts w:ascii="宋体" w:hAnsi="宋体"/>
                <w:kern w:val="0"/>
                <w:sz w:val="18"/>
                <w:szCs w:val="18"/>
              </w:rPr>
            </w:pPr>
            <w:r>
              <w:rPr>
                <w:rFonts w:ascii="宋体" w:hAnsi="宋体"/>
                <w:kern w:val="0"/>
                <w:sz w:val="18"/>
                <w:szCs w:val="18"/>
              </w:rPr>
              <w:t>±2.5</w:t>
            </w:r>
          </w:p>
        </w:tc>
      </w:tr>
      <w:tr w14:paraId="0F64560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71C59669">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795BFCBD">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3C207FFA">
            <w:pPr>
              <w:ind w:left="-94" w:leftChars="-45" w:right="-97" w:rightChars="-46"/>
              <w:jc w:val="center"/>
              <w:rPr>
                <w:rFonts w:ascii="宋体" w:hAnsi="宋体"/>
                <w:kern w:val="0"/>
                <w:sz w:val="18"/>
                <w:szCs w:val="18"/>
              </w:rPr>
            </w:pPr>
          </w:p>
        </w:tc>
        <w:tc>
          <w:tcPr>
            <w:tcW w:w="2144" w:type="dxa"/>
            <w:shd w:val="clear" w:color="auto" w:fill="auto"/>
            <w:vAlign w:val="center"/>
          </w:tcPr>
          <w:p w14:paraId="7417C13C">
            <w:pPr>
              <w:jc w:val="center"/>
              <w:rPr>
                <w:rFonts w:ascii="宋体" w:hAnsi="宋体"/>
                <w:i/>
                <w:kern w:val="0"/>
                <w:sz w:val="18"/>
                <w:szCs w:val="18"/>
              </w:rPr>
            </w:pPr>
            <w:r>
              <w:rPr>
                <w:rFonts w:ascii="宋体" w:hAnsi="宋体"/>
                <w:kern w:val="0"/>
                <w:sz w:val="18"/>
                <w:szCs w:val="18"/>
              </w:rPr>
              <w:t>2.5＜</w:t>
            </w:r>
            <w:r>
              <w:rPr>
                <w:rFonts w:ascii="宋体" w:hAnsi="宋体"/>
                <w:i/>
                <w:kern w:val="0"/>
                <w:sz w:val="18"/>
                <w:szCs w:val="18"/>
              </w:rPr>
              <w:t>m</w:t>
            </w:r>
            <w:r>
              <w:rPr>
                <w:rFonts w:ascii="宋体" w:hAnsi="宋体"/>
                <w:kern w:val="0"/>
                <w:sz w:val="18"/>
                <w:szCs w:val="18"/>
              </w:rPr>
              <w:t xml:space="preserve">≤10 </w:t>
            </w:r>
          </w:p>
        </w:tc>
        <w:tc>
          <w:tcPr>
            <w:tcW w:w="2090" w:type="dxa"/>
            <w:shd w:val="clear" w:color="auto" w:fill="auto"/>
            <w:vAlign w:val="center"/>
          </w:tcPr>
          <w:p w14:paraId="41AFA581">
            <w:pPr>
              <w:jc w:val="center"/>
              <w:rPr>
                <w:rFonts w:ascii="宋体" w:hAnsi="宋体"/>
                <w:kern w:val="0"/>
                <w:sz w:val="18"/>
                <w:szCs w:val="18"/>
              </w:rPr>
            </w:pPr>
            <w:r>
              <w:rPr>
                <w:rFonts w:ascii="宋体" w:hAnsi="宋体"/>
                <w:kern w:val="0"/>
                <w:sz w:val="18"/>
                <w:szCs w:val="18"/>
              </w:rPr>
              <w:t xml:space="preserve">±5 </w:t>
            </w:r>
          </w:p>
        </w:tc>
      </w:tr>
      <w:tr w14:paraId="12FB8484">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584DD182">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3F22A440">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684FD6E4">
            <w:pPr>
              <w:ind w:left="-94" w:leftChars="-45" w:right="-97" w:rightChars="-46"/>
              <w:jc w:val="center"/>
              <w:rPr>
                <w:rFonts w:ascii="宋体" w:hAnsi="宋体"/>
                <w:kern w:val="0"/>
                <w:sz w:val="18"/>
                <w:szCs w:val="18"/>
              </w:rPr>
            </w:pPr>
          </w:p>
        </w:tc>
        <w:tc>
          <w:tcPr>
            <w:tcW w:w="2144" w:type="dxa"/>
            <w:shd w:val="clear" w:color="auto" w:fill="auto"/>
            <w:vAlign w:val="center"/>
          </w:tcPr>
          <w:p w14:paraId="3C69596E">
            <w:pPr>
              <w:jc w:val="center"/>
              <w:rPr>
                <w:rFonts w:ascii="宋体" w:hAnsi="宋体"/>
                <w:kern w:val="0"/>
                <w:sz w:val="18"/>
                <w:szCs w:val="18"/>
              </w:rPr>
            </w:pPr>
            <w:r>
              <w:rPr>
                <w:rFonts w:ascii="宋体" w:hAnsi="宋体"/>
                <w:kern w:val="0"/>
                <w:sz w:val="18"/>
                <w:szCs w:val="18"/>
              </w:rPr>
              <w:t>10＜</w:t>
            </w:r>
            <w:r>
              <w:rPr>
                <w:rFonts w:ascii="宋体" w:hAnsi="宋体"/>
                <w:i/>
                <w:kern w:val="0"/>
                <w:sz w:val="18"/>
                <w:szCs w:val="18"/>
              </w:rPr>
              <w:t>m</w:t>
            </w:r>
            <w:r>
              <w:rPr>
                <w:rFonts w:ascii="宋体" w:hAnsi="宋体"/>
                <w:kern w:val="0"/>
                <w:sz w:val="18"/>
                <w:szCs w:val="18"/>
              </w:rPr>
              <w:t xml:space="preserve">≤15 </w:t>
            </w:r>
          </w:p>
        </w:tc>
        <w:tc>
          <w:tcPr>
            <w:tcW w:w="2090" w:type="dxa"/>
            <w:shd w:val="clear" w:color="auto" w:fill="auto"/>
            <w:vAlign w:val="center"/>
          </w:tcPr>
          <w:p w14:paraId="41AF8677">
            <w:pPr>
              <w:jc w:val="center"/>
              <w:rPr>
                <w:rFonts w:ascii="宋体" w:hAnsi="宋体"/>
                <w:kern w:val="0"/>
                <w:sz w:val="18"/>
                <w:szCs w:val="18"/>
              </w:rPr>
            </w:pPr>
            <w:r>
              <w:rPr>
                <w:rFonts w:ascii="宋体" w:hAnsi="宋体"/>
                <w:kern w:val="0"/>
                <w:sz w:val="18"/>
                <w:szCs w:val="18"/>
              </w:rPr>
              <w:t xml:space="preserve">±7.5 </w:t>
            </w:r>
          </w:p>
        </w:tc>
      </w:tr>
      <w:tr w14:paraId="13CF217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restart"/>
            <w:shd w:val="clear" w:color="auto" w:fill="auto"/>
            <w:vAlign w:val="center"/>
          </w:tcPr>
          <w:p w14:paraId="7E78FA2F">
            <w:pPr>
              <w:ind w:left="-120" w:leftChars="-57" w:right="-101" w:rightChars="-48"/>
              <w:jc w:val="center"/>
              <w:rPr>
                <w:rFonts w:ascii="宋体" w:hAnsi="宋体"/>
                <w:kern w:val="0"/>
                <w:sz w:val="18"/>
                <w:szCs w:val="18"/>
              </w:rPr>
            </w:pPr>
            <w:r>
              <w:rPr>
                <w:rFonts w:ascii="宋体" w:hAnsi="宋体"/>
                <w:kern w:val="0"/>
                <w:sz w:val="18"/>
                <w:szCs w:val="18"/>
              </w:rPr>
              <w:t>30＜P≤100</w:t>
            </w:r>
          </w:p>
        </w:tc>
        <w:tc>
          <w:tcPr>
            <w:tcW w:w="1702" w:type="dxa"/>
            <w:vMerge w:val="restart"/>
            <w:shd w:val="clear" w:color="auto" w:fill="auto"/>
            <w:vAlign w:val="center"/>
          </w:tcPr>
          <w:p w14:paraId="7CC570CD">
            <w:pPr>
              <w:ind w:left="-97" w:leftChars="-46" w:right="-88" w:rightChars="-42"/>
              <w:jc w:val="center"/>
              <w:rPr>
                <w:rFonts w:ascii="宋体" w:hAnsi="宋体"/>
                <w:kern w:val="0"/>
                <w:sz w:val="18"/>
                <w:szCs w:val="18"/>
              </w:rPr>
            </w:pPr>
            <w:r>
              <w:rPr>
                <w:rFonts w:ascii="宋体" w:hAnsi="宋体"/>
                <w:kern w:val="0"/>
                <w:sz w:val="18"/>
                <w:szCs w:val="18"/>
              </w:rPr>
              <w:t xml:space="preserve">6 </w:t>
            </w:r>
          </w:p>
        </w:tc>
        <w:tc>
          <w:tcPr>
            <w:tcW w:w="1259" w:type="dxa"/>
            <w:vMerge w:val="restart"/>
            <w:shd w:val="clear" w:color="auto" w:fill="auto"/>
            <w:vAlign w:val="center"/>
          </w:tcPr>
          <w:p w14:paraId="356B0F65">
            <w:pPr>
              <w:ind w:left="-94" w:leftChars="-45" w:right="-97" w:rightChars="-46"/>
              <w:jc w:val="center"/>
              <w:rPr>
                <w:rFonts w:ascii="宋体" w:hAnsi="宋体"/>
                <w:kern w:val="0"/>
                <w:sz w:val="18"/>
                <w:szCs w:val="18"/>
              </w:rPr>
            </w:pPr>
            <w:r>
              <w:rPr>
                <w:rFonts w:ascii="宋体" w:hAnsi="宋体"/>
                <w:kern w:val="0"/>
                <w:sz w:val="18"/>
                <w:szCs w:val="18"/>
              </w:rPr>
              <w:t xml:space="preserve">2 </w:t>
            </w:r>
          </w:p>
        </w:tc>
        <w:tc>
          <w:tcPr>
            <w:tcW w:w="2144" w:type="dxa"/>
            <w:shd w:val="clear" w:color="auto" w:fill="auto"/>
            <w:vAlign w:val="center"/>
          </w:tcPr>
          <w:p w14:paraId="731B838C">
            <w:pPr>
              <w:jc w:val="center"/>
              <w:rPr>
                <w:rFonts w:ascii="宋体" w:hAnsi="宋体"/>
                <w:kern w:val="0"/>
                <w:sz w:val="18"/>
                <w:szCs w:val="18"/>
              </w:rPr>
            </w:pPr>
            <w:r>
              <w:rPr>
                <w:rFonts w:ascii="宋体" w:hAnsi="宋体"/>
                <w:i/>
                <w:kern w:val="0"/>
                <w:sz w:val="18"/>
                <w:szCs w:val="18"/>
              </w:rPr>
              <w:t>m</w:t>
            </w:r>
            <w:r>
              <w:rPr>
                <w:rFonts w:ascii="宋体" w:hAnsi="宋体"/>
                <w:kern w:val="0"/>
                <w:sz w:val="18"/>
                <w:szCs w:val="18"/>
              </w:rPr>
              <w:t xml:space="preserve">≤1 </w:t>
            </w:r>
          </w:p>
        </w:tc>
        <w:tc>
          <w:tcPr>
            <w:tcW w:w="2090" w:type="dxa"/>
            <w:shd w:val="clear" w:color="auto" w:fill="auto"/>
            <w:vAlign w:val="center"/>
          </w:tcPr>
          <w:p w14:paraId="2015647A">
            <w:pPr>
              <w:jc w:val="center"/>
              <w:rPr>
                <w:rFonts w:ascii="宋体" w:hAnsi="宋体"/>
                <w:kern w:val="0"/>
                <w:sz w:val="18"/>
                <w:szCs w:val="18"/>
              </w:rPr>
            </w:pPr>
            <w:r>
              <w:rPr>
                <w:rFonts w:ascii="宋体" w:hAnsi="宋体"/>
                <w:kern w:val="0"/>
                <w:sz w:val="18"/>
                <w:szCs w:val="18"/>
              </w:rPr>
              <w:t xml:space="preserve">±1 </w:t>
            </w:r>
          </w:p>
        </w:tc>
      </w:tr>
      <w:tr w14:paraId="590E4A2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5ED9A2B8">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1F2FE6D5">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020BA8A0">
            <w:pPr>
              <w:ind w:left="-94" w:leftChars="-45" w:right="-97" w:rightChars="-46"/>
              <w:jc w:val="center"/>
              <w:rPr>
                <w:rFonts w:ascii="宋体" w:hAnsi="宋体"/>
                <w:kern w:val="0"/>
                <w:sz w:val="18"/>
                <w:szCs w:val="18"/>
              </w:rPr>
            </w:pPr>
          </w:p>
        </w:tc>
        <w:tc>
          <w:tcPr>
            <w:tcW w:w="2144" w:type="dxa"/>
            <w:shd w:val="clear" w:color="auto" w:fill="auto"/>
            <w:vAlign w:val="center"/>
          </w:tcPr>
          <w:p w14:paraId="7E3441E9">
            <w:pPr>
              <w:jc w:val="center"/>
              <w:rPr>
                <w:rFonts w:ascii="宋体" w:hAnsi="宋体"/>
                <w:kern w:val="0"/>
                <w:sz w:val="18"/>
                <w:szCs w:val="18"/>
              </w:rPr>
            </w:pPr>
            <w:r>
              <w:rPr>
                <w:rFonts w:ascii="宋体" w:hAnsi="宋体"/>
                <w:kern w:val="0"/>
                <w:sz w:val="18"/>
                <w:szCs w:val="18"/>
              </w:rPr>
              <w:t>1＜</w:t>
            </w:r>
            <w:r>
              <w:rPr>
                <w:rFonts w:ascii="宋体" w:hAnsi="宋体"/>
                <w:i/>
                <w:kern w:val="0"/>
                <w:sz w:val="18"/>
                <w:szCs w:val="18"/>
              </w:rPr>
              <w:t>m</w:t>
            </w:r>
            <w:r>
              <w:rPr>
                <w:rFonts w:ascii="宋体" w:hAnsi="宋体"/>
                <w:kern w:val="0"/>
                <w:sz w:val="18"/>
                <w:szCs w:val="18"/>
              </w:rPr>
              <w:t xml:space="preserve">≤4 </w:t>
            </w:r>
          </w:p>
        </w:tc>
        <w:tc>
          <w:tcPr>
            <w:tcW w:w="2090" w:type="dxa"/>
            <w:shd w:val="clear" w:color="auto" w:fill="auto"/>
            <w:vAlign w:val="center"/>
          </w:tcPr>
          <w:p w14:paraId="5779C60C">
            <w:pPr>
              <w:jc w:val="center"/>
              <w:rPr>
                <w:rFonts w:ascii="宋体" w:hAnsi="宋体"/>
                <w:kern w:val="0"/>
                <w:sz w:val="18"/>
                <w:szCs w:val="18"/>
              </w:rPr>
            </w:pPr>
            <w:r>
              <w:rPr>
                <w:rFonts w:ascii="宋体" w:hAnsi="宋体"/>
                <w:kern w:val="0"/>
                <w:sz w:val="18"/>
                <w:szCs w:val="18"/>
              </w:rPr>
              <w:t xml:space="preserve">±2 </w:t>
            </w:r>
          </w:p>
        </w:tc>
      </w:tr>
      <w:tr w14:paraId="2F8149F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504D23C2">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50764043">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70FB75F4">
            <w:pPr>
              <w:ind w:left="-94" w:leftChars="-45" w:right="-97" w:rightChars="-46"/>
              <w:jc w:val="center"/>
              <w:rPr>
                <w:rFonts w:ascii="宋体" w:hAnsi="宋体"/>
                <w:kern w:val="0"/>
                <w:sz w:val="18"/>
                <w:szCs w:val="18"/>
              </w:rPr>
            </w:pPr>
          </w:p>
        </w:tc>
        <w:tc>
          <w:tcPr>
            <w:tcW w:w="2144" w:type="dxa"/>
            <w:shd w:val="clear" w:color="auto" w:fill="auto"/>
            <w:vAlign w:val="center"/>
          </w:tcPr>
          <w:p w14:paraId="0DE1C3B2">
            <w:pPr>
              <w:jc w:val="center"/>
              <w:rPr>
                <w:rFonts w:ascii="宋体" w:hAnsi="宋体"/>
                <w:kern w:val="0"/>
                <w:sz w:val="18"/>
                <w:szCs w:val="18"/>
              </w:rPr>
            </w:pPr>
            <w:r>
              <w:rPr>
                <w:rFonts w:ascii="宋体" w:hAnsi="宋体"/>
                <w:kern w:val="0"/>
                <w:sz w:val="18"/>
                <w:szCs w:val="18"/>
              </w:rPr>
              <w:t>4＜</w:t>
            </w:r>
            <w:r>
              <w:rPr>
                <w:rFonts w:ascii="宋体" w:hAnsi="宋体"/>
                <w:i/>
                <w:kern w:val="0"/>
                <w:sz w:val="18"/>
                <w:szCs w:val="18"/>
              </w:rPr>
              <w:t>m</w:t>
            </w:r>
            <w:r>
              <w:rPr>
                <w:rFonts w:ascii="宋体" w:hAnsi="宋体"/>
                <w:kern w:val="0"/>
                <w:sz w:val="18"/>
                <w:szCs w:val="18"/>
              </w:rPr>
              <w:t xml:space="preserve">≤6 </w:t>
            </w:r>
          </w:p>
        </w:tc>
        <w:tc>
          <w:tcPr>
            <w:tcW w:w="2090" w:type="dxa"/>
            <w:shd w:val="clear" w:color="auto" w:fill="auto"/>
            <w:vAlign w:val="center"/>
          </w:tcPr>
          <w:p w14:paraId="4AA821FE">
            <w:pPr>
              <w:jc w:val="center"/>
              <w:rPr>
                <w:rFonts w:ascii="宋体" w:hAnsi="宋体"/>
                <w:kern w:val="0"/>
                <w:sz w:val="18"/>
                <w:szCs w:val="18"/>
              </w:rPr>
            </w:pPr>
            <w:r>
              <w:rPr>
                <w:rFonts w:ascii="宋体" w:hAnsi="宋体"/>
                <w:kern w:val="0"/>
                <w:sz w:val="18"/>
                <w:szCs w:val="18"/>
              </w:rPr>
              <w:t xml:space="preserve">±3 </w:t>
            </w:r>
          </w:p>
        </w:tc>
      </w:tr>
      <w:tr w14:paraId="732200F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restart"/>
            <w:shd w:val="clear" w:color="auto" w:fill="auto"/>
            <w:vAlign w:val="center"/>
          </w:tcPr>
          <w:p w14:paraId="557789FD">
            <w:pPr>
              <w:ind w:left="-120" w:leftChars="-57" w:right="-101" w:rightChars="-48"/>
              <w:jc w:val="center"/>
              <w:rPr>
                <w:rFonts w:ascii="宋体" w:hAnsi="宋体"/>
                <w:sz w:val="18"/>
                <w:szCs w:val="18"/>
              </w:rPr>
            </w:pPr>
            <w:r>
              <w:rPr>
                <w:rFonts w:ascii="宋体" w:hAnsi="宋体"/>
                <w:sz w:val="18"/>
                <w:szCs w:val="18"/>
              </w:rPr>
              <w:t>P＞100</w:t>
            </w:r>
          </w:p>
        </w:tc>
        <w:tc>
          <w:tcPr>
            <w:tcW w:w="1702" w:type="dxa"/>
            <w:vMerge w:val="restart"/>
            <w:shd w:val="clear" w:color="auto" w:fill="auto"/>
            <w:vAlign w:val="center"/>
          </w:tcPr>
          <w:p w14:paraId="0E648CE7">
            <w:pPr>
              <w:ind w:left="-97" w:leftChars="-46" w:right="-88" w:rightChars="-42"/>
              <w:jc w:val="center"/>
              <w:rPr>
                <w:rFonts w:ascii="宋体" w:hAnsi="宋体"/>
                <w:kern w:val="0"/>
                <w:sz w:val="18"/>
                <w:szCs w:val="18"/>
              </w:rPr>
            </w:pPr>
            <w:r>
              <w:rPr>
                <w:rFonts w:ascii="宋体" w:hAnsi="宋体"/>
                <w:kern w:val="0"/>
                <w:sz w:val="18"/>
                <w:szCs w:val="18"/>
              </w:rPr>
              <w:t xml:space="preserve">3 </w:t>
            </w:r>
          </w:p>
        </w:tc>
        <w:tc>
          <w:tcPr>
            <w:tcW w:w="1259" w:type="dxa"/>
            <w:vMerge w:val="restart"/>
            <w:shd w:val="clear" w:color="auto" w:fill="auto"/>
            <w:vAlign w:val="center"/>
          </w:tcPr>
          <w:p w14:paraId="0E3F07B1">
            <w:pPr>
              <w:ind w:left="-94" w:leftChars="-45" w:right="-97" w:rightChars="-46"/>
              <w:jc w:val="center"/>
              <w:rPr>
                <w:rFonts w:ascii="宋体" w:hAnsi="宋体"/>
                <w:kern w:val="0"/>
                <w:sz w:val="18"/>
                <w:szCs w:val="18"/>
              </w:rPr>
            </w:pPr>
            <w:r>
              <w:rPr>
                <w:rFonts w:ascii="宋体" w:hAnsi="宋体"/>
                <w:kern w:val="0"/>
                <w:sz w:val="18"/>
                <w:szCs w:val="18"/>
              </w:rPr>
              <w:t xml:space="preserve">1 </w:t>
            </w:r>
          </w:p>
        </w:tc>
        <w:tc>
          <w:tcPr>
            <w:tcW w:w="2144" w:type="dxa"/>
            <w:shd w:val="clear" w:color="auto" w:fill="auto"/>
            <w:vAlign w:val="center"/>
          </w:tcPr>
          <w:p w14:paraId="3B097E1B">
            <w:pPr>
              <w:jc w:val="center"/>
              <w:rPr>
                <w:rFonts w:ascii="宋体" w:hAnsi="宋体"/>
                <w:kern w:val="0"/>
                <w:sz w:val="18"/>
                <w:szCs w:val="18"/>
              </w:rPr>
            </w:pPr>
            <w:r>
              <w:rPr>
                <w:rFonts w:ascii="宋体" w:hAnsi="宋体"/>
                <w:i/>
                <w:kern w:val="0"/>
                <w:sz w:val="18"/>
                <w:szCs w:val="18"/>
              </w:rPr>
              <w:t>m</w:t>
            </w:r>
            <w:r>
              <w:rPr>
                <w:rFonts w:ascii="宋体" w:hAnsi="宋体"/>
                <w:kern w:val="0"/>
                <w:sz w:val="18"/>
                <w:szCs w:val="18"/>
              </w:rPr>
              <w:t>≤0.5</w:t>
            </w:r>
          </w:p>
        </w:tc>
        <w:tc>
          <w:tcPr>
            <w:tcW w:w="2090" w:type="dxa"/>
            <w:shd w:val="clear" w:color="auto" w:fill="auto"/>
            <w:vAlign w:val="center"/>
          </w:tcPr>
          <w:p w14:paraId="382F64CC">
            <w:pPr>
              <w:jc w:val="center"/>
              <w:rPr>
                <w:rFonts w:ascii="宋体" w:hAnsi="宋体"/>
                <w:kern w:val="0"/>
                <w:sz w:val="18"/>
                <w:szCs w:val="18"/>
              </w:rPr>
            </w:pPr>
            <w:r>
              <w:rPr>
                <w:rFonts w:ascii="宋体" w:hAnsi="宋体"/>
                <w:kern w:val="0"/>
                <w:sz w:val="18"/>
                <w:szCs w:val="18"/>
              </w:rPr>
              <w:t xml:space="preserve">±0.5 </w:t>
            </w:r>
          </w:p>
        </w:tc>
      </w:tr>
      <w:tr w14:paraId="7915661D">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4194EBD2">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14B05EEC">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7B3AAA38">
            <w:pPr>
              <w:ind w:left="-94" w:leftChars="-45" w:right="-97" w:rightChars="-46"/>
              <w:jc w:val="center"/>
              <w:rPr>
                <w:rFonts w:ascii="宋体" w:hAnsi="宋体"/>
                <w:kern w:val="0"/>
                <w:sz w:val="18"/>
                <w:szCs w:val="18"/>
              </w:rPr>
            </w:pPr>
          </w:p>
        </w:tc>
        <w:tc>
          <w:tcPr>
            <w:tcW w:w="2144" w:type="dxa"/>
            <w:shd w:val="clear" w:color="auto" w:fill="auto"/>
            <w:vAlign w:val="center"/>
          </w:tcPr>
          <w:p w14:paraId="7BD5F058">
            <w:pPr>
              <w:jc w:val="center"/>
              <w:rPr>
                <w:rFonts w:ascii="宋体" w:hAnsi="宋体"/>
                <w:kern w:val="0"/>
                <w:sz w:val="18"/>
                <w:szCs w:val="18"/>
              </w:rPr>
            </w:pPr>
            <w:r>
              <w:rPr>
                <w:rFonts w:ascii="宋体" w:hAnsi="宋体"/>
                <w:kern w:val="0"/>
                <w:sz w:val="18"/>
                <w:szCs w:val="18"/>
              </w:rPr>
              <w:t>0.5＜</w:t>
            </w:r>
            <w:r>
              <w:rPr>
                <w:rFonts w:ascii="宋体" w:hAnsi="宋体"/>
                <w:i/>
                <w:kern w:val="0"/>
                <w:sz w:val="18"/>
                <w:szCs w:val="18"/>
              </w:rPr>
              <w:t>m</w:t>
            </w:r>
            <w:r>
              <w:rPr>
                <w:rFonts w:ascii="宋体" w:hAnsi="宋体"/>
                <w:kern w:val="0"/>
                <w:sz w:val="18"/>
                <w:szCs w:val="18"/>
              </w:rPr>
              <w:t xml:space="preserve">≤2 </w:t>
            </w:r>
          </w:p>
        </w:tc>
        <w:tc>
          <w:tcPr>
            <w:tcW w:w="2090" w:type="dxa"/>
            <w:shd w:val="clear" w:color="auto" w:fill="auto"/>
            <w:vAlign w:val="center"/>
          </w:tcPr>
          <w:p w14:paraId="46915A1A">
            <w:pPr>
              <w:jc w:val="center"/>
              <w:rPr>
                <w:rFonts w:ascii="宋体" w:hAnsi="宋体"/>
                <w:kern w:val="0"/>
                <w:sz w:val="18"/>
                <w:szCs w:val="18"/>
              </w:rPr>
            </w:pPr>
            <w:r>
              <w:rPr>
                <w:rFonts w:ascii="宋体" w:hAnsi="宋体"/>
                <w:kern w:val="0"/>
                <w:sz w:val="18"/>
                <w:szCs w:val="18"/>
              </w:rPr>
              <w:t xml:space="preserve">±1 </w:t>
            </w:r>
          </w:p>
        </w:tc>
      </w:tr>
      <w:tr w14:paraId="63A325D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312" w:hRule="atLeast"/>
          <w:jc w:val="center"/>
        </w:trPr>
        <w:tc>
          <w:tcPr>
            <w:tcW w:w="2375" w:type="dxa"/>
            <w:vMerge w:val="continue"/>
            <w:shd w:val="clear" w:color="auto" w:fill="auto"/>
            <w:vAlign w:val="center"/>
          </w:tcPr>
          <w:p w14:paraId="131E47DE">
            <w:pPr>
              <w:ind w:left="-120" w:leftChars="-57" w:right="-101" w:rightChars="-48"/>
              <w:jc w:val="center"/>
              <w:rPr>
                <w:rFonts w:ascii="宋体" w:hAnsi="宋体"/>
                <w:kern w:val="0"/>
                <w:sz w:val="18"/>
                <w:szCs w:val="18"/>
              </w:rPr>
            </w:pPr>
          </w:p>
        </w:tc>
        <w:tc>
          <w:tcPr>
            <w:tcW w:w="1702" w:type="dxa"/>
            <w:vMerge w:val="continue"/>
            <w:shd w:val="clear" w:color="auto" w:fill="auto"/>
            <w:vAlign w:val="center"/>
          </w:tcPr>
          <w:p w14:paraId="5481132B">
            <w:pPr>
              <w:ind w:left="-97" w:leftChars="-46" w:right="-88" w:rightChars="-42"/>
              <w:jc w:val="center"/>
              <w:rPr>
                <w:rFonts w:ascii="宋体" w:hAnsi="宋体"/>
                <w:kern w:val="0"/>
                <w:sz w:val="18"/>
                <w:szCs w:val="18"/>
              </w:rPr>
            </w:pPr>
          </w:p>
        </w:tc>
        <w:tc>
          <w:tcPr>
            <w:tcW w:w="1259" w:type="dxa"/>
            <w:vMerge w:val="continue"/>
            <w:shd w:val="clear" w:color="auto" w:fill="auto"/>
            <w:vAlign w:val="center"/>
          </w:tcPr>
          <w:p w14:paraId="7E7E99C1">
            <w:pPr>
              <w:ind w:left="-94" w:leftChars="-45" w:right="-97" w:rightChars="-46"/>
              <w:jc w:val="center"/>
              <w:rPr>
                <w:rFonts w:ascii="宋体" w:hAnsi="宋体"/>
                <w:kern w:val="0"/>
                <w:sz w:val="18"/>
                <w:szCs w:val="18"/>
              </w:rPr>
            </w:pPr>
          </w:p>
        </w:tc>
        <w:tc>
          <w:tcPr>
            <w:tcW w:w="2144" w:type="dxa"/>
            <w:shd w:val="clear" w:color="auto" w:fill="auto"/>
            <w:vAlign w:val="center"/>
          </w:tcPr>
          <w:p w14:paraId="3CE69453">
            <w:pPr>
              <w:jc w:val="center"/>
              <w:rPr>
                <w:rFonts w:ascii="宋体" w:hAnsi="宋体"/>
                <w:kern w:val="0"/>
                <w:sz w:val="18"/>
                <w:szCs w:val="18"/>
              </w:rPr>
            </w:pPr>
            <w:r>
              <w:rPr>
                <w:rFonts w:ascii="宋体" w:hAnsi="宋体"/>
                <w:kern w:val="0"/>
                <w:sz w:val="18"/>
                <w:szCs w:val="18"/>
              </w:rPr>
              <w:t>2 ＜</w:t>
            </w:r>
            <w:r>
              <w:rPr>
                <w:rFonts w:ascii="宋体" w:hAnsi="宋体"/>
                <w:i/>
                <w:kern w:val="0"/>
                <w:sz w:val="18"/>
                <w:szCs w:val="18"/>
              </w:rPr>
              <w:t>m</w:t>
            </w:r>
            <w:r>
              <w:rPr>
                <w:rFonts w:ascii="宋体" w:hAnsi="宋体"/>
                <w:kern w:val="0"/>
                <w:sz w:val="18"/>
                <w:szCs w:val="18"/>
              </w:rPr>
              <w:t xml:space="preserve">≤3 </w:t>
            </w:r>
          </w:p>
        </w:tc>
        <w:tc>
          <w:tcPr>
            <w:tcW w:w="2090" w:type="dxa"/>
            <w:shd w:val="clear" w:color="auto" w:fill="auto"/>
            <w:vAlign w:val="center"/>
          </w:tcPr>
          <w:p w14:paraId="693C267B">
            <w:pPr>
              <w:jc w:val="center"/>
              <w:rPr>
                <w:rFonts w:ascii="宋体" w:hAnsi="宋体"/>
                <w:kern w:val="0"/>
                <w:sz w:val="18"/>
                <w:szCs w:val="18"/>
              </w:rPr>
            </w:pPr>
            <w:r>
              <w:rPr>
                <w:rFonts w:ascii="宋体" w:hAnsi="宋体"/>
                <w:kern w:val="0"/>
                <w:sz w:val="18"/>
                <w:szCs w:val="18"/>
              </w:rPr>
              <w:t xml:space="preserve">±1.5 </w:t>
            </w:r>
          </w:p>
        </w:tc>
      </w:tr>
    </w:tbl>
    <w:p w14:paraId="4D00D05F">
      <w:pPr>
        <w:pStyle w:val="109"/>
        <w:numPr>
          <w:ilvl w:val="1"/>
          <w:numId w:val="0"/>
        </w:numPr>
        <w:spacing w:before="312" w:after="312" w:line="360" w:lineRule="auto"/>
        <w:ind w:left="0" w:leftChars="0" w:firstLine="0" w:firstLineChars="0"/>
      </w:pPr>
      <w:bookmarkStart w:id="49" w:name="_Toc183011547"/>
      <w:bookmarkStart w:id="50" w:name="OLE_LINK1"/>
      <w:r>
        <w:rPr>
          <w:rFonts w:hint="eastAsia" w:cs="Times New Roman"/>
          <w:b w:val="0"/>
          <w:i w:val="0"/>
          <w:sz w:val="21"/>
          <w:lang w:val="en-US" w:eastAsia="zh-CN" w:bidi="ar-SA"/>
        </w:rPr>
        <w:t>5</w:t>
      </w:r>
      <w:r>
        <w:rPr>
          <w:rFonts w:hint="eastAsia" w:ascii="黑体" w:hAnsi="Times New Roman" w:eastAsia="黑体" w:cs="Times New Roman"/>
          <w:b w:val="0"/>
          <w:i w:val="0"/>
          <w:sz w:val="21"/>
          <w:lang w:val="en-US" w:eastAsia="zh-CN" w:bidi="ar-SA"/>
        </w:rPr>
        <w:t>　</w:t>
      </w:r>
      <w:r>
        <w:rPr>
          <w:rFonts w:hint="eastAsia"/>
        </w:rPr>
        <w:t>电子计价秤使用</w:t>
      </w:r>
      <w:bookmarkEnd w:id="49"/>
    </w:p>
    <w:p w14:paraId="4F447BF8">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　</w:t>
      </w:r>
      <w:r>
        <w:rPr>
          <w:rFonts w:hint="eastAsia"/>
        </w:rPr>
        <w:t>经营者应根据称量物品的重量和单价，选择合适量程的电子计价秤。</w:t>
      </w:r>
    </w:p>
    <w:p w14:paraId="1056BE72">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.2　</w:t>
      </w:r>
      <w:r>
        <w:rPr>
          <w:rFonts w:hint="eastAsia"/>
        </w:rPr>
        <w:t>经营者应根据自身经营需要合理配备电子计价秤数量。</w:t>
      </w:r>
    </w:p>
    <w:p w14:paraId="2627681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　</w:t>
      </w:r>
      <w:r>
        <w:rPr>
          <w:rFonts w:hint="eastAsia"/>
        </w:rPr>
        <w:t>电子计价秤在搬动和安放时，使用者应轻拿轻放，避免剧烈碰撞和冲击。电子计价秤不应长期受压、超载。</w:t>
      </w:r>
    </w:p>
    <w:p w14:paraId="1CD912F2">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　</w:t>
      </w:r>
      <w:r>
        <w:rPr>
          <w:rFonts w:hint="eastAsia"/>
        </w:rPr>
        <w:t>电子计价秤摆放位置示意图见附录B，前方应无任何遮挡。当电子计价秤有防尘罩时，不应遮挡消费评价码。</w:t>
      </w:r>
    </w:p>
    <w:p w14:paraId="535F6A6F">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　</w:t>
      </w:r>
      <w:r>
        <w:rPr>
          <w:rFonts w:hint="eastAsia"/>
        </w:rPr>
        <w:t>经营者在使用电子计价秤时，应使电子计价秤处于经营者和消费者中间。不带立杆的电子计价秤与消费者水平距离一般不超过</w:t>
      </w:r>
      <w:r>
        <w:rPr>
          <w:rFonts w:ascii="Times New Roman"/>
        </w:rPr>
        <w:t>0.3 m</w:t>
      </w:r>
      <w:r>
        <w:rPr>
          <w:rFonts w:hint="eastAsia"/>
        </w:rPr>
        <w:t>，带立杆的电子计价秤与消费者水平距离一般不超过</w:t>
      </w:r>
      <w:r>
        <w:rPr>
          <w:rFonts w:ascii="Times New Roman"/>
        </w:rPr>
        <w:t>0.5 m</w:t>
      </w:r>
      <w:r>
        <w:rPr>
          <w:rFonts w:hint="eastAsia"/>
        </w:rPr>
        <w:t>。消费者观察到显示屏上零位、质量单位、单价、付款额、皮重、重量等信息。</w:t>
      </w:r>
    </w:p>
    <w:p w14:paraId="7E74263B">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　</w:t>
      </w:r>
      <w:r>
        <w:rPr>
          <w:rFonts w:hint="eastAsia"/>
        </w:rPr>
        <w:t>在使用电子计价秤前，应将其调整至水平位置。经营者需对秤的各零部件进行仔细检查，同时检查各按键及功能是否运作正常；外观是否有开裂或破损；铅封是否完好；活动部件是否灵活；各部位的紧固件是否松动。若发现异常情况需及时处理。</w:t>
      </w:r>
    </w:p>
    <w:p w14:paraId="589BF78C">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　</w:t>
      </w:r>
      <w:r>
        <w:rPr>
          <w:rFonts w:hint="eastAsia"/>
        </w:rPr>
        <w:t>电子计价秤接通电源后，应按照产品说明书规定的预热时间进行预热。</w:t>
      </w:r>
    </w:p>
    <w:p w14:paraId="672AAD1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.8　</w:t>
      </w:r>
      <w:r>
        <w:rPr>
          <w:rFonts w:hint="eastAsia"/>
        </w:rPr>
        <w:t>非防水、防潮型电子计价秤不应长期在淋水、潮湿环境下使用；被称物品不应猛烈抛掷于秤盘上。每次进行新的称量操作前，应确认空秤或净重指示值为零或将空秤重新置零。</w:t>
      </w:r>
    </w:p>
    <w:p w14:paraId="0E2CAE68">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.9　</w:t>
      </w:r>
      <w:r>
        <w:rPr>
          <w:rFonts w:hint="eastAsia"/>
        </w:rPr>
        <w:t>经营者在称重时，被称重物品宜放置在秤台中间位置。应正确输入零售商品的单价。除非付款额为零的情况下，称重时不应以任何方式改变单价示值。</w:t>
      </w:r>
    </w:p>
    <w:p w14:paraId="69C5570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.10　</w:t>
      </w:r>
      <w:r>
        <w:rPr>
          <w:rFonts w:hint="eastAsia"/>
        </w:rPr>
        <w:t>电子计价秤保持干净、整洁，长期不用时，需将电源拔下。</w:t>
      </w:r>
    </w:p>
    <w:p w14:paraId="0A26351F">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.11　</w:t>
      </w:r>
      <w:r>
        <w:rPr>
          <w:rFonts w:hint="eastAsia"/>
        </w:rPr>
        <w:t>经营者应按规定定期到所属辖区内市场监督管理部门指定的法定计量检定机构进行检定。使用中如发现超差、异常（如：称量指示不重复、不同位置差异较大等），铅封破坏等情况，应停止使用。</w:t>
      </w:r>
    </w:p>
    <w:p w14:paraId="49160462">
      <w:pPr>
        <w:pStyle w:val="109"/>
        <w:numPr>
          <w:ilvl w:val="1"/>
          <w:numId w:val="0"/>
        </w:numPr>
        <w:spacing w:before="312" w:after="312" w:line="360" w:lineRule="auto"/>
        <w:ind w:left="0" w:leftChars="0" w:firstLine="0" w:firstLineChars="0"/>
      </w:pPr>
      <w:bookmarkStart w:id="51" w:name="_Toc183011548"/>
      <w:r>
        <w:rPr>
          <w:rFonts w:hint="eastAsia" w:cs="Times New Roman"/>
          <w:b w:val="0"/>
          <w:i w:val="0"/>
          <w:sz w:val="21"/>
          <w:lang w:val="en-US" w:eastAsia="zh-CN" w:bidi="ar-SA"/>
        </w:rPr>
        <w:t>6</w:t>
      </w:r>
      <w:r>
        <w:rPr>
          <w:rFonts w:hint="eastAsia" w:ascii="黑体" w:hAnsi="Times New Roman" w:eastAsia="黑体" w:cs="Times New Roman"/>
          <w:b w:val="0"/>
          <w:i w:val="0"/>
          <w:sz w:val="21"/>
          <w:lang w:val="en-US" w:eastAsia="zh-CN" w:bidi="ar-SA"/>
        </w:rPr>
        <w:t>　</w:t>
      </w:r>
      <w:r>
        <w:rPr>
          <w:rFonts w:hint="eastAsia"/>
        </w:rPr>
        <w:t>日常管理</w:t>
      </w:r>
      <w:bookmarkEnd w:id="51"/>
    </w:p>
    <w:p w14:paraId="6D5CBB8E">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　</w:t>
      </w:r>
      <w:r>
        <w:rPr>
          <w:rFonts w:hint="eastAsia"/>
        </w:rPr>
        <w:t>市场主办方应遵循“谁主办、谁负责”的原则，对场内计量器具和计量活动的日常管理。</w:t>
      </w:r>
    </w:p>
    <w:p w14:paraId="0DDA106A">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.2　</w:t>
      </w:r>
      <w:r>
        <w:rPr>
          <w:rFonts w:hint="eastAsia"/>
        </w:rPr>
        <w:t>市场主办方应在市场主要出入口，以及水产区、活禽区等高价值摊位区域设置经检定合格的公平秤，公平秤配置数量应当科学合理，摆放位置应当方便醒目，放置处加贴明显标志，便于消费者使用，并明确专人管理。</w:t>
      </w:r>
    </w:p>
    <w:p w14:paraId="7A8E817F">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　</w:t>
      </w:r>
      <w:r>
        <w:rPr>
          <w:rFonts w:hint="eastAsia"/>
        </w:rPr>
        <w:t>市场主办方应按销售区域在用电子计价秤数量，配备不少于实际使用数量的5%且经检定合格的备用电子计价秤。</w:t>
      </w:r>
    </w:p>
    <w:p w14:paraId="1B2F74B6">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.4　</w:t>
      </w:r>
      <w:r>
        <w:rPr>
          <w:rFonts w:hint="eastAsia"/>
        </w:rPr>
        <w:t>备用电子计价秤或长时间不用的电子计价秤，应包装在防尘罩内，存放在阴凉、通风、干燥、避光处，设专人保管。任何人不应随意拆装和调修。对装有内置电池的电子计价秤应定期充电维护。</w:t>
      </w:r>
    </w:p>
    <w:p w14:paraId="47F5A85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.5　</w:t>
      </w:r>
      <w:r>
        <w:rPr>
          <w:rFonts w:hint="eastAsia"/>
        </w:rPr>
        <w:t>电子计价秤使用中出现故障时，应立即停止使用，切断电源并及时修理。修理由市场主办方登记后统一送修并做好维修记录，修理不应改变电子计价秤原有计量特征，修理后需经检定合格后方可使用。</w:t>
      </w:r>
    </w:p>
    <w:p w14:paraId="0B42D7CD">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　</w:t>
      </w:r>
      <w:r>
        <w:rPr>
          <w:rFonts w:hint="eastAsia"/>
        </w:rPr>
        <w:t>市场主办方需配备计量专（兼）职管理人员和一定数量的砝码，建立日常巡查制度，对经营者使用的电子计价秤摆放位置、赋码情况和称量示值进行检查，并做好记录。</w:t>
      </w:r>
    </w:p>
    <w:p w14:paraId="5E525EB1">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6</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　</w:t>
      </w:r>
      <w:r>
        <w:rPr>
          <w:rFonts w:hint="eastAsia"/>
        </w:rPr>
        <w:t>市场主办方应当加强对市场内经营者所使用电子计价秤的管理，发现经营者使用未经检定的电子计价秤、具有作弊功能电子计价秤等计量违法行为，应及时予以制止。</w:t>
      </w:r>
    </w:p>
    <w:p w14:paraId="780F4503">
      <w:pPr>
        <w:pStyle w:val="109"/>
        <w:numPr>
          <w:ilvl w:val="1"/>
          <w:numId w:val="0"/>
        </w:numPr>
        <w:spacing w:before="312" w:after="312" w:line="360" w:lineRule="auto"/>
        <w:ind w:left="0" w:leftChars="0" w:firstLine="0" w:firstLineChars="0"/>
      </w:pPr>
      <w:bookmarkStart w:id="52" w:name="_Toc183011549"/>
      <w:r>
        <w:rPr>
          <w:rFonts w:hint="eastAsia" w:cs="Times New Roman"/>
          <w:b w:val="0"/>
          <w:i w:val="0"/>
          <w:sz w:val="21"/>
          <w:lang w:val="en-US" w:eastAsia="zh-CN" w:bidi="ar-SA"/>
        </w:rPr>
        <w:t>7</w:t>
      </w:r>
      <w:r>
        <w:rPr>
          <w:rFonts w:hint="eastAsia" w:ascii="黑体" w:hAnsi="Times New Roman" w:eastAsia="黑体" w:cs="Times New Roman"/>
          <w:b w:val="0"/>
          <w:i w:val="0"/>
          <w:sz w:val="21"/>
          <w:lang w:val="en-US" w:eastAsia="zh-CN" w:bidi="ar-SA"/>
        </w:rPr>
        <w:t>　</w:t>
      </w:r>
      <w:r>
        <w:rPr>
          <w:rFonts w:hint="eastAsia"/>
        </w:rPr>
        <w:t>投诉处理</w:t>
      </w:r>
      <w:bookmarkEnd w:id="52"/>
    </w:p>
    <w:p w14:paraId="7BDB52D3">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.1　</w:t>
      </w:r>
      <w:r>
        <w:rPr>
          <w:rFonts w:hint="eastAsia"/>
        </w:rPr>
        <w:t>对集贸市场受理的投诉，市场主办方应及时处理相关投诉并详细记录消费者的基本信息、投诉内容。</w:t>
      </w:r>
    </w:p>
    <w:p w14:paraId="077EB414">
      <w:pPr>
        <w:pStyle w:val="167"/>
        <w:numPr>
          <w:ilvl w:val="2"/>
          <w:numId w:val="0"/>
        </w:numPr>
        <w:autoSpaceDE w:val="0"/>
        <w:autoSpaceDN w:val="0"/>
        <w:snapToGrid w:val="0"/>
        <w:spacing w:line="360" w:lineRule="auto"/>
        <w:ind w:left="0" w:leftChars="0" w:firstLine="0" w:firstLineChars="0"/>
        <w:jc w:val="left"/>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.2　</w:t>
      </w:r>
      <w:r>
        <w:rPr>
          <w:rFonts w:hint="eastAsia"/>
        </w:rPr>
        <w:t>对市场监督管理部门受理的电子计价秤计量投诉，市场主办方和经营者应积极配合市场监督管理部门的调查，提供真实可靠的信息，协助处理计量纠纷。</w:t>
      </w:r>
      <w:bookmarkEnd w:id="50"/>
      <w:bookmarkStart w:id="53" w:name="_Toc103014167"/>
      <w:bookmarkEnd w:id="53"/>
    </w:p>
    <w:p w14:paraId="45E01F22">
      <w:pPr>
        <w:pStyle w:val="167"/>
        <w:numPr>
          <w:ilvl w:val="2"/>
          <w:numId w:val="0"/>
        </w:numPr>
        <w:ind w:left="0" w:leftChars="0" w:firstLine="0" w:firstLineChars="0"/>
        <w:rPr>
          <w:sz w:val="24"/>
        </w:rPr>
      </w:pPr>
      <w:r>
        <w:rPr>
          <w:rFonts w:hint="eastAsia" w:ascii="黑体"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7</w:t>
      </w:r>
      <w: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lang w:val="en-US" w:eastAsia="zh-CN" w:bidi="ar-SA"/>
        </w:rPr>
        <w:t>.3　</w:t>
      </w:r>
      <w:r>
        <w:rPr>
          <w:rFonts w:hint="eastAsia"/>
        </w:rPr>
        <w:t>市场主办方宜建立先行赔付制度，保障消费者权益。</w:t>
      </w:r>
      <w:r>
        <w:rPr>
          <w:rFonts w:hint="eastAsia"/>
          <w:sz w:val="24"/>
        </w:rPr>
        <w:br w:type="page"/>
      </w:r>
    </w:p>
    <w:p w14:paraId="47DF0F81">
      <w:pPr>
        <w:pStyle w:val="81"/>
        <w:spacing w:after="156"/>
      </w:pPr>
      <w:r>
        <w:br w:type="textWrapping"/>
      </w:r>
      <w:bookmarkStart w:id="54" w:name="_Toc183011550"/>
      <w:r>
        <w:rPr>
          <w:rFonts w:hint="eastAsia"/>
        </w:rPr>
        <w:t>（资料性）</w:t>
      </w:r>
      <w:r>
        <w:br w:type="textWrapping"/>
      </w:r>
      <w:r>
        <w:rPr>
          <w:rFonts w:hint="eastAsia"/>
        </w:rPr>
        <w:t>消费评价码相关要求</w:t>
      </w:r>
      <w:bookmarkEnd w:id="54"/>
    </w:p>
    <w:p w14:paraId="68A856AA">
      <w:pPr>
        <w:pStyle w:val="110"/>
        <w:numPr>
          <w:ilvl w:val="0"/>
          <w:numId w:val="0"/>
        </w:numPr>
        <w:spacing w:before="156" w:after="156"/>
      </w:pPr>
      <w:bookmarkStart w:id="55" w:name="_Toc30778"/>
      <w:r>
        <w:rPr>
          <w:rFonts w:hint="eastAsia"/>
        </w:rPr>
        <w:t>A.1  消费评价码封装要求</w:t>
      </w:r>
      <w:bookmarkEnd w:id="55"/>
    </w:p>
    <w:p w14:paraId="222E1D09">
      <w:pPr>
        <w:pStyle w:val="61"/>
        <w:snapToGrid w:val="0"/>
        <w:spacing w:line="360" w:lineRule="auto"/>
        <w:ind w:firstLine="420"/>
        <w:jc w:val="left"/>
      </w:pPr>
      <w:r>
        <w:rPr>
          <w:rFonts w:hint="eastAsia"/>
        </w:rPr>
        <w:t>消费评价码的封装要求如下：</w:t>
      </w:r>
    </w:p>
    <w:p w14:paraId="66567436">
      <w:pPr>
        <w:pStyle w:val="179"/>
        <w:numPr>
          <w:ilvl w:val="0"/>
          <w:numId w:val="0"/>
        </w:numPr>
        <w:tabs>
          <w:tab w:val="clear" w:pos="851"/>
        </w:tabs>
        <w:autoSpaceDE w:val="0"/>
        <w:autoSpaceDN w:val="0"/>
        <w:snapToGrid w:val="0"/>
        <w:spacing w:line="360" w:lineRule="auto"/>
        <w:ind w:firstLine="420" w:firstLineChars="200"/>
        <w:jc w:val="left"/>
      </w:pPr>
      <w:r>
        <w:rPr>
          <w:rFonts w:hint="eastAsia" w:ascii="宋体" w:hAnsi="Times New Roman" w:eastAsia="宋体" w:cs="Times New Roman"/>
          <w:sz w:val="21"/>
          <w:lang w:val="en-US" w:eastAsia="zh-CN" w:bidi="ar-SA"/>
        </w:rPr>
        <w:t>a)</w:t>
      </w:r>
      <w:r>
        <w:rPr>
          <w:rFonts w:hint="eastAsia" w:cs="Times New Roman"/>
          <w:sz w:val="21"/>
          <w:lang w:val="en-US" w:eastAsia="zh-CN" w:bidi="ar-SA"/>
        </w:rPr>
        <w:t xml:space="preserve"> </w:t>
      </w:r>
      <w:r>
        <w:rPr>
          <w:rFonts w:hint="eastAsia"/>
        </w:rPr>
        <w:t>消费评价码正面印刷图形信息、二维码信息及文字信息；</w:t>
      </w:r>
    </w:p>
    <w:p w14:paraId="1D69C37B">
      <w:pPr>
        <w:pStyle w:val="179"/>
        <w:numPr>
          <w:ilvl w:val="0"/>
          <w:numId w:val="0"/>
        </w:numPr>
        <w:tabs>
          <w:tab w:val="clear" w:pos="851"/>
        </w:tabs>
        <w:autoSpaceDE w:val="0"/>
        <w:autoSpaceDN w:val="0"/>
        <w:snapToGrid w:val="0"/>
        <w:spacing w:line="360" w:lineRule="auto"/>
        <w:ind w:firstLine="420" w:firstLineChars="200"/>
        <w:jc w:val="left"/>
      </w:pPr>
      <w:r>
        <w:rPr>
          <w:rFonts w:hint="eastAsia" w:ascii="宋体" w:hAnsi="Times New Roman" w:eastAsia="宋体" w:cs="Times New Roman"/>
          <w:sz w:val="21"/>
          <w:lang w:val="en-US" w:eastAsia="zh-CN" w:bidi="ar-SA"/>
        </w:rPr>
        <w:t>b)</w:t>
      </w:r>
      <w:r>
        <w:rPr>
          <w:rFonts w:hint="eastAsia" w:cs="Times New Roman"/>
          <w:sz w:val="21"/>
          <w:lang w:val="en-US" w:eastAsia="zh-CN" w:bidi="ar-SA"/>
        </w:rPr>
        <w:t xml:space="preserve"> </w:t>
      </w:r>
      <w:r>
        <w:rPr>
          <w:rFonts w:hint="eastAsia"/>
        </w:rPr>
        <w:t>消费评价码标签背胶采用高粘度自粘结胶，应保证在金属、塑料表面使用时，粘贴可靠，不易脱落。</w:t>
      </w:r>
    </w:p>
    <w:p w14:paraId="386FA910">
      <w:pPr>
        <w:pStyle w:val="179"/>
        <w:numPr>
          <w:ilvl w:val="0"/>
          <w:numId w:val="0"/>
        </w:numPr>
        <w:tabs>
          <w:tab w:val="clear" w:pos="851"/>
        </w:tabs>
        <w:autoSpaceDE w:val="0"/>
        <w:autoSpaceDN w:val="0"/>
        <w:snapToGrid w:val="0"/>
        <w:spacing w:line="360" w:lineRule="auto"/>
        <w:ind w:firstLine="420" w:firstLineChars="200"/>
        <w:jc w:val="left"/>
      </w:pPr>
      <w:r>
        <w:rPr>
          <w:rFonts w:hint="eastAsia" w:ascii="宋体" w:hAnsi="Times New Roman" w:eastAsia="宋体" w:cs="Times New Roman"/>
          <w:sz w:val="21"/>
          <w:lang w:val="en-US" w:eastAsia="zh-CN" w:bidi="ar-SA"/>
        </w:rPr>
        <w:t>c)</w:t>
      </w:r>
      <w:r>
        <w:rPr>
          <w:rFonts w:hint="eastAsia" w:cs="Times New Roman"/>
          <w:sz w:val="21"/>
          <w:lang w:val="en-US" w:eastAsia="zh-CN" w:bidi="ar-SA"/>
        </w:rPr>
        <w:t xml:space="preserve"> </w:t>
      </w:r>
      <w:r>
        <w:rPr>
          <w:rFonts w:hint="eastAsia"/>
        </w:rPr>
        <w:t>为保证消费评价码文字、图形不脱落，应在标签外层增加透明保护层。保护层应抗物理挤压，不易损坏。且应全覆盖内置标签，并能保护内置标签不受损伤和不沾染污秽。</w:t>
      </w:r>
    </w:p>
    <w:p w14:paraId="1B90754A">
      <w:pPr>
        <w:pStyle w:val="110"/>
        <w:numPr>
          <w:ilvl w:val="0"/>
          <w:numId w:val="0"/>
        </w:numPr>
        <w:spacing w:before="156" w:after="156"/>
      </w:pPr>
      <w:bookmarkStart w:id="56" w:name="_Toc11596"/>
      <w:r>
        <w:rPr>
          <w:rFonts w:hint="eastAsia"/>
        </w:rPr>
        <w:t>A.2  消费评价码外观及尺寸</w:t>
      </w:r>
      <w:bookmarkEnd w:id="56"/>
    </w:p>
    <w:p w14:paraId="32655281">
      <w:pPr>
        <w:pStyle w:val="61"/>
        <w:snapToGrid w:val="0"/>
        <w:spacing w:line="360" w:lineRule="auto"/>
        <w:ind w:firstLine="420"/>
        <w:jc w:val="left"/>
      </w:pPr>
      <w:r>
        <w:rPr>
          <w:rFonts w:hint="eastAsia"/>
        </w:rPr>
        <w:t>根据电子计价秤形状不同，消费评价码分为长方形、正方形两种版式，其中长方形又分为横版和竖版。如图</w:t>
      </w:r>
      <w:r>
        <w:rPr>
          <w:rFonts w:hint="eastAsia"/>
          <w:szCs w:val="24"/>
        </w:rPr>
        <w:t>A.1、图A.2</w:t>
      </w:r>
      <w:r>
        <w:rPr>
          <w:rFonts w:hint="eastAsia"/>
        </w:rPr>
        <w:t>。</w:t>
      </w:r>
    </w:p>
    <w:p w14:paraId="527C8C02">
      <w:pPr>
        <w:pStyle w:val="61"/>
        <w:snapToGrid w:val="0"/>
        <w:spacing w:line="360" w:lineRule="auto"/>
        <w:ind w:firstLine="420"/>
        <w:jc w:val="left"/>
      </w:pPr>
      <w:r>
        <w:rPr>
          <w:rFonts w:hint="eastAsia"/>
        </w:rPr>
        <w:t>长方形消费评价码，长度为70</w:t>
      </w:r>
      <w:r>
        <w:t xml:space="preserve"> </w:t>
      </w:r>
      <w:r>
        <w:rPr>
          <w:rFonts w:hint="eastAsia"/>
        </w:rPr>
        <w:t>mm，宽度为35</w:t>
      </w:r>
      <w:r>
        <w:t xml:space="preserve"> </w:t>
      </w:r>
      <w:r>
        <w:rPr>
          <w:rFonts w:hint="eastAsia"/>
        </w:rPr>
        <w:t>mm，MPE：±1</w:t>
      </w:r>
      <w:r>
        <w:t xml:space="preserve"> </w:t>
      </w:r>
      <w:r>
        <w:rPr>
          <w:rFonts w:hint="eastAsia"/>
        </w:rPr>
        <w:t>mm；正方形消费评价码，长度和宽度均为35</w:t>
      </w:r>
      <w:r>
        <w:t xml:space="preserve"> </w:t>
      </w:r>
      <w:r>
        <w:rPr>
          <w:rFonts w:hint="eastAsia"/>
        </w:rPr>
        <w:t>mm，MPE：±1</w:t>
      </w:r>
      <w:r>
        <w:t xml:space="preserve"> </w:t>
      </w:r>
      <w:r>
        <w:rPr>
          <w:rFonts w:hint="eastAsia"/>
        </w:rPr>
        <w:t>mm。两者柔性标签厚度不超过1</w:t>
      </w:r>
      <w:r>
        <w:t xml:space="preserve"> </w:t>
      </w:r>
      <w:r>
        <w:rPr>
          <w:rFonts w:hint="eastAsia"/>
        </w:rPr>
        <w:t>mm。</w:t>
      </w:r>
    </w:p>
    <w:p w14:paraId="29DCD8AB">
      <w:pPr>
        <w:widowControl/>
        <w:tabs>
          <w:tab w:val="center" w:pos="4201"/>
          <w:tab w:val="right" w:leader="dot" w:pos="9298"/>
        </w:tabs>
        <w:autoSpaceDE w:val="0"/>
        <w:autoSpaceDN w:val="0"/>
        <w:spacing w:line="360" w:lineRule="auto"/>
        <w:ind w:firstLine="480" w:firstLineChars="200"/>
        <w:jc w:val="center"/>
        <w:rPr>
          <w:rFonts w:hint="eastAsia" w:ascii="宋体" w:hAnsi="宋体" w:cs="宋体"/>
          <w:sz w:val="24"/>
          <w:szCs w:val="24"/>
          <w:lang w:val="en-US" w:eastAsia="zh-CN"/>
        </w:rPr>
      </w:pPr>
      <w:r>
        <w:rPr>
          <w:rFonts w:hint="eastAsia" w:ascii="宋体" w:hAnsi="宋体" w:cs="宋体"/>
          <w:sz w:val="24"/>
          <w:szCs w:val="24"/>
          <w:lang w:val="en-US" w:eastAsia="zh-CN"/>
        </w:rPr>
        <w:t xml:space="preserve"> </w:t>
      </w:r>
    </w:p>
    <w:p w14:paraId="0701F340">
      <w:pPr>
        <w:widowControl/>
        <w:tabs>
          <w:tab w:val="center" w:pos="4201"/>
          <w:tab w:val="right" w:leader="dot" w:pos="9298"/>
        </w:tabs>
        <w:autoSpaceDE w:val="0"/>
        <w:autoSpaceDN w:val="0"/>
        <w:spacing w:line="360" w:lineRule="auto"/>
        <w:ind w:firstLine="480" w:firstLineChars="20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3189605" cy="1699260"/>
            <wp:effectExtent l="0" t="0" r="10795" b="15240"/>
            <wp:docPr id="4" name="图片 4"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
                    <pic:cNvPicPr>
                      <a:picLocks noChangeAspect="1"/>
                    </pic:cNvPicPr>
                  </pic:nvPicPr>
                  <pic:blipFill>
                    <a:blip r:embed="rId25"/>
                    <a:stretch>
                      <a:fillRect/>
                    </a:stretch>
                  </pic:blipFill>
                  <pic:spPr>
                    <a:xfrm>
                      <a:off x="0" y="0"/>
                      <a:ext cx="3189605" cy="1699260"/>
                    </a:xfrm>
                    <a:prstGeom prst="rect">
                      <a:avLst/>
                    </a:prstGeom>
                  </pic:spPr>
                </pic:pic>
              </a:graphicData>
            </a:graphic>
          </wp:inline>
        </w:drawing>
      </w:r>
    </w:p>
    <w:p w14:paraId="4A7A9547">
      <w:pPr>
        <w:pStyle w:val="119"/>
        <w:autoSpaceDE w:val="0"/>
        <w:autoSpaceDN w:val="0"/>
        <w:rPr>
          <w:rFonts w:hAnsi="宋体" w:cs="宋体"/>
          <w:sz w:val="24"/>
          <w:szCs w:val="24"/>
        </w:rPr>
      </w:pPr>
      <w:r>
        <w:rPr>
          <w:rFonts w:hint="eastAsia"/>
        </w:rPr>
        <w:t>图A.1 长方形消费评价码</w:t>
      </w:r>
    </w:p>
    <w:p w14:paraId="5EDCAEB8">
      <w:pPr>
        <w:widowControl/>
        <w:tabs>
          <w:tab w:val="center" w:pos="4201"/>
          <w:tab w:val="right" w:leader="dot" w:pos="9298"/>
        </w:tabs>
        <w:autoSpaceDE w:val="0"/>
        <w:autoSpaceDN w:val="0"/>
        <w:spacing w:line="360" w:lineRule="auto"/>
        <w:ind w:firstLine="480" w:firstLineChars="20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1123315" cy="1297940"/>
            <wp:effectExtent l="0" t="0" r="635" b="16510"/>
            <wp:docPr id="9" name="图片 9" desc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2"/>
                    <pic:cNvPicPr>
                      <a:picLocks noChangeAspect="1"/>
                    </pic:cNvPicPr>
                  </pic:nvPicPr>
                  <pic:blipFill>
                    <a:blip r:embed="rId26"/>
                    <a:stretch>
                      <a:fillRect/>
                    </a:stretch>
                  </pic:blipFill>
                  <pic:spPr>
                    <a:xfrm>
                      <a:off x="0" y="0"/>
                      <a:ext cx="1123315" cy="1297940"/>
                    </a:xfrm>
                    <a:prstGeom prst="rect">
                      <a:avLst/>
                    </a:prstGeom>
                  </pic:spPr>
                </pic:pic>
              </a:graphicData>
            </a:graphic>
          </wp:inline>
        </w:drawing>
      </w:r>
    </w:p>
    <w:p w14:paraId="1605C7AC">
      <w:pPr>
        <w:pStyle w:val="119"/>
        <w:autoSpaceDE w:val="0"/>
        <w:autoSpaceDN w:val="0"/>
        <w:spacing w:line="360" w:lineRule="auto"/>
        <w:ind w:firstLine="420" w:firstLineChars="200"/>
        <w:rPr>
          <w:rFonts w:hAnsi="宋体" w:cs="宋体"/>
          <w:sz w:val="24"/>
          <w:szCs w:val="24"/>
        </w:rPr>
      </w:pPr>
      <w:r>
        <w:rPr>
          <w:rFonts w:hint="eastAsia"/>
        </w:rPr>
        <w:t>图A.2 正方形消费评价码</w:t>
      </w:r>
    </w:p>
    <w:p w14:paraId="6B0CB7F8">
      <w:pPr>
        <w:pStyle w:val="110"/>
        <w:numPr>
          <w:ilvl w:val="0"/>
          <w:numId w:val="0"/>
        </w:numPr>
        <w:spacing w:before="156" w:after="156"/>
        <w:rPr>
          <w:rFonts w:hint="eastAsia"/>
        </w:rPr>
      </w:pPr>
      <w:bookmarkStart w:id="57" w:name="_Toc9117"/>
      <w:r>
        <w:rPr>
          <w:rFonts w:hint="eastAsia"/>
        </w:rPr>
        <w:t>A.3 消费评价码内容及绑定</w:t>
      </w:r>
      <w:bookmarkEnd w:id="57"/>
    </w:p>
    <w:p w14:paraId="2F19E246">
      <w:pPr>
        <w:pStyle w:val="70"/>
        <w:numPr>
          <w:ilvl w:val="0"/>
          <w:numId w:val="0"/>
        </w:numPr>
        <w:spacing w:before="156" w:after="156"/>
      </w:pPr>
      <w:bookmarkStart w:id="58" w:name="_Toc8650"/>
      <w:r>
        <w:rPr>
          <w:rFonts w:hint="eastAsia"/>
        </w:rPr>
        <w:t>A.3.1 消费评价码内容</w:t>
      </w:r>
      <w:bookmarkEnd w:id="58"/>
    </w:p>
    <w:p w14:paraId="4C14BF44">
      <w:pPr>
        <w:pStyle w:val="61"/>
        <w:spacing w:line="360" w:lineRule="auto"/>
        <w:ind w:firstLine="420"/>
      </w:pPr>
      <w:r>
        <w:rPr>
          <w:rFonts w:hint="eastAsia"/>
        </w:rPr>
        <w:t>消费评价码内容由图形、二维码符号、计量宣传标语及唯一性编码构成。字体醒目，采用红、黄两色。标准色彩为C100 M5 Y50，PANTONE 3292C。印制二维码颜色应为白色，在不同光照条件下均应清晰可识别。如图</w:t>
      </w:r>
      <w:r>
        <w:rPr>
          <w:rFonts w:hint="eastAsia"/>
          <w:szCs w:val="24"/>
        </w:rPr>
        <w:t>A.3、图A.4</w:t>
      </w:r>
      <w:r>
        <w:rPr>
          <w:rFonts w:hint="eastAsia"/>
        </w:rPr>
        <w:t>。</w:t>
      </w:r>
    </w:p>
    <w:p w14:paraId="6CC18238">
      <w:pPr>
        <w:widowControl/>
        <w:tabs>
          <w:tab w:val="center" w:pos="4201"/>
          <w:tab w:val="right" w:leader="dot" w:pos="9298"/>
        </w:tabs>
        <w:autoSpaceDE w:val="0"/>
        <w:autoSpaceDN w:val="0"/>
        <w:spacing w:line="360" w:lineRule="auto"/>
        <w:ind w:firstLine="480" w:firstLineChars="20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3214370" cy="1710055"/>
            <wp:effectExtent l="0" t="0" r="5080" b="4445"/>
            <wp:docPr id="16" name="图片 16"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descr="3"/>
                    <pic:cNvPicPr>
                      <a:picLocks noChangeAspect="1"/>
                    </pic:cNvPicPr>
                  </pic:nvPicPr>
                  <pic:blipFill>
                    <a:blip r:embed="rId27"/>
                    <a:stretch>
                      <a:fillRect/>
                    </a:stretch>
                  </pic:blipFill>
                  <pic:spPr>
                    <a:xfrm>
                      <a:off x="0" y="0"/>
                      <a:ext cx="3214370" cy="1710055"/>
                    </a:xfrm>
                    <a:prstGeom prst="rect">
                      <a:avLst/>
                    </a:prstGeom>
                  </pic:spPr>
                </pic:pic>
              </a:graphicData>
            </a:graphic>
          </wp:inline>
        </w:drawing>
      </w:r>
    </w:p>
    <w:p w14:paraId="58133AC1">
      <w:pPr>
        <w:pStyle w:val="119"/>
        <w:autoSpaceDE w:val="0"/>
        <w:autoSpaceDN w:val="0"/>
      </w:pPr>
      <w:r>
        <w:rPr>
          <w:rFonts w:hint="eastAsia"/>
        </w:rPr>
        <w:t>图A.3 长方形消费评价码内容</w:t>
      </w:r>
    </w:p>
    <w:p w14:paraId="70120A6F">
      <w:pPr>
        <w:widowControl/>
        <w:tabs>
          <w:tab w:val="center" w:pos="4201"/>
          <w:tab w:val="right" w:leader="dot" w:pos="9298"/>
        </w:tabs>
        <w:autoSpaceDE w:val="0"/>
        <w:autoSpaceDN w:val="0"/>
        <w:spacing w:line="360" w:lineRule="auto"/>
        <w:ind w:firstLine="420" w:firstLineChars="200"/>
        <w:jc w:val="center"/>
        <w:rPr>
          <w:rFonts w:hint="eastAsia" w:ascii="宋体" w:hAnsi="Times New Roman" w:eastAsia="宋体"/>
          <w:kern w:val="0"/>
          <w:szCs w:val="20"/>
          <w:lang w:eastAsia="zh-CN"/>
        </w:rPr>
      </w:pPr>
      <w:r>
        <w:rPr>
          <w:rFonts w:hint="eastAsia" w:ascii="宋体" w:hAnsi="Times New Roman" w:eastAsia="宋体"/>
          <w:kern w:val="0"/>
          <w:szCs w:val="20"/>
          <w:lang w:eastAsia="zh-CN"/>
        </w:rPr>
        <w:drawing>
          <wp:inline distT="0" distB="0" distL="114300" distR="114300">
            <wp:extent cx="2784475" cy="1983740"/>
            <wp:effectExtent l="0" t="0" r="15875" b="16510"/>
            <wp:docPr id="20" name="图片 20" descr="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4"/>
                    <pic:cNvPicPr>
                      <a:picLocks noChangeAspect="1"/>
                    </pic:cNvPicPr>
                  </pic:nvPicPr>
                  <pic:blipFill>
                    <a:blip r:embed="rId28"/>
                    <a:stretch>
                      <a:fillRect/>
                    </a:stretch>
                  </pic:blipFill>
                  <pic:spPr>
                    <a:xfrm>
                      <a:off x="0" y="0"/>
                      <a:ext cx="2784475" cy="1983740"/>
                    </a:xfrm>
                    <a:prstGeom prst="rect">
                      <a:avLst/>
                    </a:prstGeom>
                  </pic:spPr>
                </pic:pic>
              </a:graphicData>
            </a:graphic>
          </wp:inline>
        </w:drawing>
      </w:r>
    </w:p>
    <w:p w14:paraId="62B81A1E">
      <w:pPr>
        <w:pStyle w:val="119"/>
        <w:autoSpaceDE w:val="0"/>
        <w:autoSpaceDN w:val="0"/>
        <w:rPr>
          <w:rFonts w:hAnsi="宋体" w:cs="宋体"/>
          <w:sz w:val="24"/>
          <w:szCs w:val="24"/>
        </w:rPr>
      </w:pPr>
      <w:r>
        <w:rPr>
          <w:rFonts w:hint="eastAsia"/>
        </w:rPr>
        <w:t>图A.4 正方形消费评价码内容</w:t>
      </w:r>
    </w:p>
    <w:p w14:paraId="4C9C7D89">
      <w:pPr>
        <w:pStyle w:val="61"/>
        <w:spacing w:line="360" w:lineRule="auto"/>
        <w:ind w:firstLine="420"/>
      </w:pPr>
      <w:r>
        <w:rPr>
          <w:rFonts w:hint="eastAsia"/>
        </w:rPr>
        <w:t>二维码码制应采用快速响应矩阵码（QR码），编制标准参照GB/T 18284，二维码符号大小为22</w:t>
      </w:r>
      <w:r>
        <w:t xml:space="preserve"> </w:t>
      </w:r>
      <w:r>
        <w:rPr>
          <w:rFonts w:hint="eastAsia"/>
        </w:rPr>
        <w:t>mm×22</w:t>
      </w:r>
      <w:r>
        <w:t xml:space="preserve"> </w:t>
      </w:r>
      <w:r>
        <w:rPr>
          <w:rFonts w:hint="eastAsia"/>
        </w:rPr>
        <w:t>mm，MPE：±1</w:t>
      </w:r>
      <w:r>
        <w:t xml:space="preserve"> </w:t>
      </w:r>
      <w:r>
        <w:rPr>
          <w:rFonts w:hint="eastAsia"/>
        </w:rPr>
        <w:t>mm。</w:t>
      </w:r>
    </w:p>
    <w:p w14:paraId="0D160BFD">
      <w:pPr>
        <w:pStyle w:val="61"/>
        <w:spacing w:line="360" w:lineRule="auto"/>
        <w:ind w:firstLine="420"/>
      </w:pPr>
      <w:r>
        <w:rPr>
          <w:rFonts w:hint="eastAsia"/>
        </w:rPr>
        <w:t>消费评价码显示内容应清晰可辨，文字与图形信息不存在缺划、断划现象，表面无剥落、溢胶、糊胶现象。二维码符号应清晰可辨，不应有干扰识读的缺陷。印刷质量参照GB/T 14258有关限定质量等级，印刷的二维码符合等级不低于2.0/05/640。</w:t>
      </w:r>
    </w:p>
    <w:p w14:paraId="52D9D80E">
      <w:pPr>
        <w:pStyle w:val="70"/>
        <w:numPr>
          <w:ilvl w:val="0"/>
          <w:numId w:val="0"/>
        </w:numPr>
        <w:spacing w:before="156" w:after="156"/>
        <w:rPr>
          <w:rFonts w:hint="eastAsia"/>
        </w:rPr>
      </w:pPr>
      <w:bookmarkStart w:id="59" w:name="_Toc11671"/>
      <w:r>
        <w:rPr>
          <w:rFonts w:hint="eastAsia"/>
        </w:rPr>
        <w:t>A.3.2  消费评价码绑定</w:t>
      </w:r>
      <w:bookmarkEnd w:id="59"/>
    </w:p>
    <w:p w14:paraId="17E60E2A">
      <w:pPr>
        <w:pStyle w:val="61"/>
        <w:spacing w:line="360" w:lineRule="auto"/>
        <w:ind w:firstLine="420"/>
      </w:pPr>
      <w:r>
        <w:rPr>
          <w:rFonts w:hint="eastAsia"/>
        </w:rPr>
        <w:t>消费评价码绑定的核心流程包括新增电子计价秤基本信息、新增二维码、新增商家信息，在电子计价秤基本信息、商家信息录入到系统数据后才能进行二维码的绑定，在进行二维码绑定时，需要指定电子计价秤的编号与商家信息等。</w:t>
      </w:r>
    </w:p>
    <w:p w14:paraId="0F4F5629">
      <w:pPr>
        <w:pStyle w:val="61"/>
        <w:spacing w:line="360" w:lineRule="auto"/>
        <w:ind w:firstLine="420"/>
      </w:pPr>
      <w:r>
        <w:rPr>
          <w:rFonts w:hint="eastAsia"/>
        </w:rPr>
        <w:t>在电子计价秤管理流程中，电子计价秤基本信息、二维信息以及商家信息的新增顺序不存在次序关系，只需要最后一步二维码绑定时，系统中应存在电子计价秤编号、商家名称以及二维码信息等。绑</w:t>
      </w:r>
      <w:r>
        <w:rPr>
          <w:rFonts w:hint="eastAsia"/>
          <w:szCs w:val="24"/>
        </w:rPr>
        <w:t>定流程见如图A.5。</w:t>
      </w:r>
    </w:p>
    <w:p w14:paraId="281425DF">
      <w:pPr>
        <w:autoSpaceDE w:val="0"/>
        <w:autoSpaceDN w:val="0"/>
        <w:snapToGrid w:val="0"/>
        <w:spacing w:line="360" w:lineRule="auto"/>
        <w:ind w:firstLine="480" w:firstLineChars="200"/>
        <w:jc w:val="center"/>
        <w:rPr>
          <w:rFonts w:hAnsi="宋体" w:cs="宋体"/>
          <w:sz w:val="24"/>
          <w:szCs w:val="24"/>
        </w:rPr>
      </w:pPr>
      <w:r>
        <w:rPr>
          <w:rFonts w:hAnsi="宋体" w:cs="宋体"/>
          <w:sz w:val="24"/>
          <w:szCs w:val="24"/>
        </w:rPr>
        <w:drawing>
          <wp:inline distT="0" distB="0" distL="114300" distR="114300">
            <wp:extent cx="4214495" cy="2378075"/>
            <wp:effectExtent l="0" t="0" r="14605" b="3175"/>
            <wp:docPr id="4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1" descr="IMG_256"/>
                    <pic:cNvPicPr>
                      <a:picLocks noChangeAspect="1"/>
                    </pic:cNvPicPr>
                  </pic:nvPicPr>
                  <pic:blipFill>
                    <a:blip r:embed="rId29"/>
                    <a:stretch>
                      <a:fillRect/>
                    </a:stretch>
                  </pic:blipFill>
                  <pic:spPr>
                    <a:xfrm>
                      <a:off x="0" y="0"/>
                      <a:ext cx="4214495" cy="2378075"/>
                    </a:xfrm>
                    <a:prstGeom prst="rect">
                      <a:avLst/>
                    </a:prstGeom>
                    <a:noFill/>
                    <a:ln w="9525">
                      <a:noFill/>
                    </a:ln>
                  </pic:spPr>
                </pic:pic>
              </a:graphicData>
            </a:graphic>
          </wp:inline>
        </w:drawing>
      </w:r>
    </w:p>
    <w:p w14:paraId="0379CA1A">
      <w:pPr>
        <w:pStyle w:val="119"/>
        <w:autoSpaceDE w:val="0"/>
        <w:autoSpaceDN w:val="0"/>
        <w:snapToGrid w:val="0"/>
        <w:spacing w:line="360" w:lineRule="auto"/>
        <w:ind w:firstLine="420" w:firstLineChars="200"/>
      </w:pPr>
      <w:r>
        <w:rPr>
          <w:rFonts w:hint="eastAsia"/>
        </w:rPr>
        <w:t>图A.5 消费评价码绑定流程</w:t>
      </w:r>
    </w:p>
    <w:p w14:paraId="3AABC7D1">
      <w:pPr>
        <w:pStyle w:val="70"/>
        <w:numPr>
          <w:ilvl w:val="0"/>
          <w:numId w:val="0"/>
        </w:numPr>
        <w:spacing w:before="156" w:after="156"/>
        <w:rPr>
          <w:rFonts w:hint="eastAsia"/>
        </w:rPr>
      </w:pPr>
      <w:bookmarkStart w:id="60" w:name="_Toc14885"/>
      <w:r>
        <w:rPr>
          <w:rFonts w:hint="eastAsia"/>
        </w:rPr>
        <w:t>A.3.3 消费评价码扫码内容</w:t>
      </w:r>
      <w:bookmarkEnd w:id="60"/>
    </w:p>
    <w:p w14:paraId="06AF0F82">
      <w:pPr>
        <w:pStyle w:val="61"/>
        <w:spacing w:line="360" w:lineRule="auto"/>
        <w:ind w:firstLine="420"/>
      </w:pPr>
      <w:r>
        <w:rPr>
          <w:rFonts w:hint="eastAsia"/>
        </w:rPr>
        <w:t>消费者手机扫描消费评价码，出现智慧315界面，内容包括公平秤指引、检定信息、基本信息、电子计价秤评价。</w:t>
      </w:r>
    </w:p>
    <w:p w14:paraId="3D95C47B">
      <w:pPr>
        <w:pStyle w:val="61"/>
        <w:spacing w:line="360" w:lineRule="auto"/>
        <w:ind w:firstLine="420"/>
      </w:pPr>
      <w:r>
        <w:rPr>
          <w:rFonts w:hint="eastAsia"/>
        </w:rPr>
        <w:t>公平秤指引内容应包括：有疑义必复秤、宰杀前要复秤、付款前先复秤提醒标语。</w:t>
      </w:r>
    </w:p>
    <w:p w14:paraId="34A096CA">
      <w:pPr>
        <w:pStyle w:val="61"/>
        <w:spacing w:line="360" w:lineRule="auto"/>
        <w:ind w:firstLine="420"/>
      </w:pPr>
      <w:r>
        <w:rPr>
          <w:rFonts w:hint="eastAsia"/>
        </w:rPr>
        <w:t>检定信息内容应包括：检定结论、检定机构、检定日期、检定有效期。</w:t>
      </w:r>
    </w:p>
    <w:p w14:paraId="2BFE115C">
      <w:pPr>
        <w:pStyle w:val="61"/>
        <w:spacing w:line="360" w:lineRule="auto"/>
        <w:ind w:firstLine="420"/>
      </w:pPr>
      <w:r>
        <w:rPr>
          <w:rFonts w:hint="eastAsia"/>
        </w:rPr>
        <w:t>基本信息内容应包括：所属地、经营场所名称、商户摊位、生产厂家、型号规格、出厂编号、“一秤一码”编码。</w:t>
      </w:r>
    </w:p>
    <w:p w14:paraId="6945F8E9">
      <w:pPr>
        <w:pStyle w:val="61"/>
        <w:spacing w:line="360" w:lineRule="auto"/>
        <w:ind w:firstLine="420"/>
      </w:pPr>
      <w:r>
        <w:rPr>
          <w:rFonts w:hint="eastAsia"/>
        </w:rPr>
        <w:t>电子计价秤评价内容应包括：扫码次数、满意率、评价次数、不满意次数、提交评价。</w:t>
      </w:r>
    </w:p>
    <w:p w14:paraId="3328B4B0">
      <w:pPr>
        <w:pStyle w:val="70"/>
        <w:numPr>
          <w:ilvl w:val="0"/>
          <w:numId w:val="0"/>
        </w:numPr>
        <w:spacing w:before="156" w:after="156"/>
        <w:rPr>
          <w:rFonts w:hint="eastAsia"/>
        </w:rPr>
      </w:pPr>
      <w:bookmarkStart w:id="61" w:name="_Toc31693"/>
      <w:r>
        <w:rPr>
          <w:rFonts w:hint="eastAsia"/>
        </w:rPr>
        <w:t>A.4  消费评价码粘贴</w:t>
      </w:r>
      <w:bookmarkEnd w:id="61"/>
    </w:p>
    <w:p w14:paraId="0B9C13A8">
      <w:pPr>
        <w:pStyle w:val="70"/>
        <w:numPr>
          <w:ilvl w:val="0"/>
          <w:numId w:val="0"/>
        </w:numPr>
        <w:spacing w:before="156" w:after="156"/>
        <w:rPr>
          <w:rFonts w:hint="eastAsia"/>
        </w:rPr>
      </w:pPr>
      <w:bookmarkStart w:id="62" w:name="_Toc23370"/>
      <w:r>
        <w:rPr>
          <w:rFonts w:hint="eastAsia"/>
        </w:rPr>
        <w:t>A.4.1 消费评价码粘贴要求</w:t>
      </w:r>
      <w:bookmarkEnd w:id="62"/>
    </w:p>
    <w:p w14:paraId="7834D45E">
      <w:pPr>
        <w:pStyle w:val="61"/>
        <w:ind w:firstLine="420"/>
        <w:jc w:val="left"/>
      </w:pPr>
      <w:r>
        <w:rPr>
          <w:rFonts w:hint="eastAsia"/>
        </w:rPr>
        <w:t>消费评价码应牢固粘贴在电子计价秤醒目位置，且不能遮挡铭牌标识，面向消费者，便于公众扫码查询。消费评价码粘贴后，应不易受潮、挤压、碰撞。所</w:t>
      </w:r>
      <w:r>
        <w:rPr>
          <w:rFonts w:hint="eastAsia" w:hAnsi="宋体" w:cs="宋体"/>
          <w:color w:val="000000"/>
          <w:szCs w:val="24"/>
          <w:lang w:bidi="ar"/>
        </w:rPr>
        <w:t>采用的自粘型标贴，在不破坏标贴内容的情况下无法拆下，拆下后不可恢复。</w:t>
      </w:r>
      <w:r>
        <w:rPr>
          <w:rFonts w:hint="eastAsia"/>
        </w:rPr>
        <w:t xml:space="preserve">    </w:t>
      </w:r>
    </w:p>
    <w:p w14:paraId="6BC78FA5">
      <w:pPr>
        <w:pStyle w:val="70"/>
        <w:numPr>
          <w:ilvl w:val="0"/>
          <w:numId w:val="0"/>
        </w:numPr>
        <w:spacing w:before="156" w:after="156"/>
        <w:rPr>
          <w:rFonts w:hint="eastAsia"/>
        </w:rPr>
      </w:pPr>
      <w:bookmarkStart w:id="63" w:name="_Toc38"/>
      <w:r>
        <w:rPr>
          <w:rFonts w:hint="eastAsia"/>
        </w:rPr>
        <w:t>A.4.2  消费评价码粘贴方式</w:t>
      </w:r>
      <w:bookmarkEnd w:id="63"/>
    </w:p>
    <w:p w14:paraId="20DFF4B4">
      <w:pPr>
        <w:pStyle w:val="61"/>
        <w:spacing w:line="360" w:lineRule="auto"/>
        <w:ind w:firstLine="420"/>
      </w:pPr>
      <w:r>
        <w:rPr>
          <w:rFonts w:hint="eastAsia"/>
        </w:rPr>
        <w:t>对具有独立客用显示器的电子计价秤，消费评价码应位于客用显示器侧；对商户和消费者使用同一显示器的电子计价秤，消费评价码应位于显示器侧。</w:t>
      </w:r>
    </w:p>
    <w:p w14:paraId="53A76500">
      <w:pPr>
        <w:pStyle w:val="70"/>
        <w:widowControl/>
        <w:numPr>
          <w:ilvl w:val="0"/>
          <w:numId w:val="0"/>
        </w:numPr>
        <w:autoSpaceDE w:val="0"/>
        <w:autoSpaceDN w:val="0"/>
        <w:spacing w:before="156" w:after="156" w:line="360" w:lineRule="auto"/>
      </w:pPr>
      <w:bookmarkStart w:id="64" w:name="_Toc30089"/>
      <w:r>
        <w:rPr>
          <w:rFonts w:hint="eastAsia"/>
        </w:rPr>
        <w:t>A.4.2.1  普通电子计价秤</w:t>
      </w:r>
      <w:bookmarkEnd w:id="64"/>
      <w:r>
        <w:rPr>
          <w:rFonts w:hint="eastAsia"/>
        </w:rPr>
        <w:t xml:space="preserve">  </w:t>
      </w:r>
    </w:p>
    <w:p w14:paraId="4D8DCF1B">
      <w:pPr>
        <w:pStyle w:val="61"/>
        <w:spacing w:line="360" w:lineRule="auto"/>
        <w:ind w:firstLine="420"/>
      </w:pPr>
      <w:r>
        <w:rPr>
          <w:rFonts w:hint="eastAsia"/>
        </w:rPr>
        <w:t>市面上最常见的普通电子计价秤，根据其尺寸形状不同，粘贴位置为电子计价秤正面及背面。在不影响面板按键操作前提下，应面向消费者一端。根据秤体尺寸不同，选用不同形状的消费</w:t>
      </w:r>
      <w:r>
        <w:rPr>
          <w:rFonts w:hint="eastAsia"/>
          <w:szCs w:val="24"/>
        </w:rPr>
        <w:t>评价码。如图A.6、图A.7</w:t>
      </w:r>
      <w:r>
        <w:rPr>
          <w:rFonts w:hint="eastAsia"/>
        </w:rPr>
        <w:t>。</w:t>
      </w:r>
    </w:p>
    <w:p w14:paraId="430103B0">
      <w:pPr>
        <w:autoSpaceDE w:val="0"/>
        <w:autoSpaceDN w:val="0"/>
        <w:snapToGrid w:val="0"/>
        <w:spacing w:line="360" w:lineRule="auto"/>
        <w:ind w:firstLine="420" w:firstLineChars="200"/>
        <w:jc w:val="center"/>
      </w:pPr>
    </w:p>
    <w:p w14:paraId="1144A19A">
      <w:pPr>
        <w:spacing w:line="360" w:lineRule="auto"/>
        <w:ind w:firstLine="456" w:firstLineChars="190"/>
        <w:jc w:val="center"/>
        <w:rPr>
          <w:rFonts w:ascii="宋体" w:hAnsi="宋体" w:cs="宋体"/>
          <w:sz w:val="24"/>
          <w:szCs w:val="24"/>
        </w:rPr>
      </w:pPr>
    </w:p>
    <w:p w14:paraId="334D10DA">
      <w:pPr>
        <w:spacing w:line="360" w:lineRule="auto"/>
        <w:ind w:firstLine="456" w:firstLineChars="190"/>
        <w:jc w:val="center"/>
        <w:rPr>
          <w:rFonts w:hint="eastAsia" w:ascii="宋体" w:hAnsi="宋体" w:eastAsia="宋体" w:cs="宋体"/>
          <w:sz w:val="24"/>
          <w:szCs w:val="24"/>
          <w:lang w:eastAsia="zh-CN"/>
        </w:rPr>
      </w:pPr>
      <w:r>
        <w:rPr>
          <w:rFonts w:hint="eastAsia" w:ascii="宋体" w:hAnsi="宋体" w:eastAsia="宋体" w:cs="宋体"/>
          <w:sz w:val="24"/>
          <w:szCs w:val="24"/>
          <w:lang w:eastAsia="zh-CN"/>
        </w:rPr>
        <w:drawing>
          <wp:inline distT="0" distB="0" distL="114300" distR="114300">
            <wp:extent cx="3315970" cy="1244600"/>
            <wp:effectExtent l="0" t="0" r="0" b="0"/>
            <wp:docPr id="30" name="图片 30"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30" descr="5"/>
                    <pic:cNvPicPr>
                      <a:picLocks noChangeAspect="1"/>
                    </pic:cNvPicPr>
                  </pic:nvPicPr>
                  <pic:blipFill>
                    <a:blip r:embed="rId30"/>
                    <a:srcRect l="1291" t="2924" r="973" b="1559"/>
                    <a:stretch>
                      <a:fillRect/>
                    </a:stretch>
                  </pic:blipFill>
                  <pic:spPr>
                    <a:xfrm>
                      <a:off x="0" y="0"/>
                      <a:ext cx="3315970" cy="1244600"/>
                    </a:xfrm>
                    <a:prstGeom prst="rect">
                      <a:avLst/>
                    </a:prstGeom>
                  </pic:spPr>
                </pic:pic>
              </a:graphicData>
            </a:graphic>
          </wp:inline>
        </w:drawing>
      </w:r>
    </w:p>
    <w:p w14:paraId="6DC98A64">
      <w:pPr>
        <w:spacing w:line="360" w:lineRule="auto"/>
        <w:ind w:firstLine="456" w:firstLineChars="190"/>
        <w:jc w:val="center"/>
        <w:rPr>
          <w:rFonts w:ascii="宋体" w:hAnsi="宋体" w:cs="宋体"/>
          <w:sz w:val="24"/>
          <w:szCs w:val="24"/>
        </w:rPr>
      </w:pPr>
    </w:p>
    <w:p w14:paraId="123B7955">
      <w:pPr>
        <w:spacing w:line="360" w:lineRule="auto"/>
        <w:ind w:firstLine="458" w:firstLineChars="190"/>
        <w:jc w:val="center"/>
        <w:rPr>
          <w:rFonts w:hint="eastAsia" w:ascii="宋体" w:hAnsi="宋体" w:eastAsia="宋体" w:cs="宋体"/>
          <w:b/>
          <w:bCs/>
          <w:sz w:val="24"/>
          <w:szCs w:val="24"/>
          <w:lang w:eastAsia="zh-CN"/>
        </w:rPr>
      </w:pPr>
      <w:r>
        <w:rPr>
          <w:rFonts w:hint="eastAsia" w:ascii="宋体" w:hAnsi="宋体" w:eastAsia="宋体" w:cs="宋体"/>
          <w:b/>
          <w:bCs/>
          <w:sz w:val="24"/>
          <w:szCs w:val="24"/>
          <w:lang w:eastAsia="zh-CN"/>
        </w:rPr>
        <w:drawing>
          <wp:inline distT="0" distB="0" distL="114300" distR="114300">
            <wp:extent cx="3336290" cy="1268095"/>
            <wp:effectExtent l="0" t="0" r="0" b="0"/>
            <wp:docPr id="31" name="图片 31"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6"/>
                    <pic:cNvPicPr>
                      <a:picLocks noChangeAspect="1"/>
                    </pic:cNvPicPr>
                  </pic:nvPicPr>
                  <pic:blipFill>
                    <a:blip r:embed="rId31"/>
                    <a:srcRect l="1063" t="3621" r="951" b="3668"/>
                    <a:stretch>
                      <a:fillRect/>
                    </a:stretch>
                  </pic:blipFill>
                  <pic:spPr>
                    <a:xfrm>
                      <a:off x="0" y="0"/>
                      <a:ext cx="3336290" cy="1268095"/>
                    </a:xfrm>
                    <a:prstGeom prst="rect">
                      <a:avLst/>
                    </a:prstGeom>
                  </pic:spPr>
                </pic:pic>
              </a:graphicData>
            </a:graphic>
          </wp:inline>
        </w:drawing>
      </w:r>
    </w:p>
    <w:p w14:paraId="3F240E75">
      <w:pPr>
        <w:pStyle w:val="119"/>
        <w:spacing w:line="360" w:lineRule="auto"/>
      </w:pPr>
      <w:r>
        <w:rPr>
          <w:rFonts w:hint="eastAsia"/>
        </w:rPr>
        <w:t>图A.6 长方形消费评价码粘贴方式</w:t>
      </w:r>
    </w:p>
    <w:p w14:paraId="0220DE61">
      <w:pPr>
        <w:spacing w:line="360" w:lineRule="auto"/>
        <w:ind w:firstLine="456" w:firstLineChars="190"/>
        <w:jc w:val="center"/>
        <w:rPr>
          <w:rFonts w:ascii="宋体" w:hAnsi="宋体" w:cs="宋体"/>
          <w:sz w:val="24"/>
          <w:szCs w:val="24"/>
        </w:rPr>
      </w:pPr>
    </w:p>
    <w:p w14:paraId="6961C3AB">
      <w:pPr>
        <w:spacing w:line="360" w:lineRule="auto"/>
        <w:ind w:firstLine="399" w:firstLineChars="190"/>
        <w:jc w:val="center"/>
        <w:rPr>
          <w:rFonts w:hint="eastAsia" w:ascii="宋体" w:hAnsi="Times New Roman" w:eastAsia="宋体"/>
          <w:kern w:val="0"/>
          <w:szCs w:val="20"/>
          <w:lang w:eastAsia="zh-CN"/>
        </w:rPr>
      </w:pPr>
      <w:r>
        <w:rPr>
          <w:rFonts w:hint="eastAsia" w:ascii="宋体" w:hAnsi="Times New Roman" w:eastAsia="宋体"/>
          <w:kern w:val="0"/>
          <w:szCs w:val="20"/>
          <w:lang w:eastAsia="zh-CN"/>
        </w:rPr>
        <w:drawing>
          <wp:inline distT="0" distB="0" distL="114300" distR="114300">
            <wp:extent cx="3456940" cy="1400175"/>
            <wp:effectExtent l="0" t="0" r="10160" b="9525"/>
            <wp:docPr id="32" name="图片 32"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32" descr="7"/>
                    <pic:cNvPicPr>
                      <a:picLocks noChangeAspect="1"/>
                    </pic:cNvPicPr>
                  </pic:nvPicPr>
                  <pic:blipFill>
                    <a:blip r:embed="rId32"/>
                    <a:stretch>
                      <a:fillRect/>
                    </a:stretch>
                  </pic:blipFill>
                  <pic:spPr>
                    <a:xfrm>
                      <a:off x="0" y="0"/>
                      <a:ext cx="3456940" cy="1400175"/>
                    </a:xfrm>
                    <a:prstGeom prst="rect">
                      <a:avLst/>
                    </a:prstGeom>
                  </pic:spPr>
                </pic:pic>
              </a:graphicData>
            </a:graphic>
          </wp:inline>
        </w:drawing>
      </w:r>
    </w:p>
    <w:p w14:paraId="7F2C2243">
      <w:pPr>
        <w:spacing w:line="360" w:lineRule="auto"/>
        <w:ind w:firstLine="456" w:firstLineChars="190"/>
        <w:jc w:val="center"/>
        <w:rPr>
          <w:rFonts w:ascii="宋体" w:hAnsi="宋体" w:cs="宋体"/>
          <w:sz w:val="24"/>
          <w:szCs w:val="24"/>
        </w:rPr>
      </w:pPr>
    </w:p>
    <w:p w14:paraId="18E0719A">
      <w:pPr>
        <w:spacing w:line="360" w:lineRule="auto"/>
        <w:ind w:firstLine="399" w:firstLineChars="190"/>
        <w:jc w:val="center"/>
        <w:rPr>
          <w:rFonts w:hint="eastAsia" w:ascii="宋体" w:hAnsi="Times New Roman" w:eastAsia="宋体"/>
          <w:kern w:val="0"/>
          <w:szCs w:val="20"/>
          <w:lang w:eastAsia="zh-CN"/>
        </w:rPr>
      </w:pPr>
      <w:r>
        <w:rPr>
          <w:rFonts w:hint="eastAsia" w:ascii="宋体" w:hAnsi="Times New Roman"/>
          <w:kern w:val="0"/>
          <w:szCs w:val="20"/>
          <w:lang w:val="en-US" w:eastAsia="zh-CN"/>
        </w:rPr>
        <w:t xml:space="preserve">    </w:t>
      </w:r>
      <w:r>
        <w:rPr>
          <w:rFonts w:hint="eastAsia" w:ascii="宋体" w:hAnsi="Times New Roman" w:eastAsia="宋体"/>
          <w:kern w:val="0"/>
          <w:szCs w:val="20"/>
          <w:lang w:eastAsia="zh-CN"/>
        </w:rPr>
        <w:drawing>
          <wp:inline distT="0" distB="0" distL="114300" distR="114300">
            <wp:extent cx="3495675" cy="1472565"/>
            <wp:effectExtent l="0" t="0" r="9525" b="13335"/>
            <wp:docPr id="33" name="图片 33"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8"/>
                    <pic:cNvPicPr>
                      <a:picLocks noChangeAspect="1"/>
                    </pic:cNvPicPr>
                  </pic:nvPicPr>
                  <pic:blipFill>
                    <a:blip r:embed="rId33"/>
                    <a:stretch>
                      <a:fillRect/>
                    </a:stretch>
                  </pic:blipFill>
                  <pic:spPr>
                    <a:xfrm>
                      <a:off x="0" y="0"/>
                      <a:ext cx="3495675" cy="1472565"/>
                    </a:xfrm>
                    <a:prstGeom prst="rect">
                      <a:avLst/>
                    </a:prstGeom>
                  </pic:spPr>
                </pic:pic>
              </a:graphicData>
            </a:graphic>
          </wp:inline>
        </w:drawing>
      </w:r>
    </w:p>
    <w:p w14:paraId="52488820">
      <w:pPr>
        <w:pStyle w:val="119"/>
        <w:spacing w:line="360" w:lineRule="auto"/>
      </w:pPr>
      <w:r>
        <w:rPr>
          <w:rFonts w:hint="eastAsia"/>
          <w:lang w:val="en-US" w:eastAsia="zh-CN"/>
        </w:rPr>
        <w:t xml:space="preserve">     </w:t>
      </w:r>
      <w:r>
        <w:rPr>
          <w:rFonts w:hint="eastAsia"/>
        </w:rPr>
        <w:t>图A.7 正方形消费评价码粘贴方式</w:t>
      </w:r>
    </w:p>
    <w:p w14:paraId="462565FD">
      <w:pPr>
        <w:pStyle w:val="70"/>
        <w:widowControl/>
        <w:numPr>
          <w:ilvl w:val="0"/>
          <w:numId w:val="0"/>
        </w:numPr>
        <w:autoSpaceDE w:val="0"/>
        <w:autoSpaceDN w:val="0"/>
        <w:spacing w:before="156" w:after="156" w:line="360" w:lineRule="auto"/>
        <w:rPr>
          <w:rFonts w:hint="eastAsia"/>
        </w:rPr>
      </w:pPr>
      <w:bookmarkStart w:id="65" w:name="_Toc8104"/>
      <w:r>
        <w:rPr>
          <w:rFonts w:hint="eastAsia"/>
        </w:rPr>
        <w:t>A.4.2.2 方管电子计价秤</w:t>
      </w:r>
      <w:bookmarkEnd w:id="65"/>
    </w:p>
    <w:p w14:paraId="72ADC763">
      <w:pPr>
        <w:pStyle w:val="61"/>
        <w:spacing w:line="360" w:lineRule="auto"/>
        <w:ind w:firstLine="420"/>
      </w:pPr>
      <w:r>
        <w:rPr>
          <w:rFonts w:hint="eastAsia"/>
        </w:rPr>
        <w:t>方管电子计价秤粘贴位置应在立式连杆上，且面向消费者一侧，距离秤头4</w:t>
      </w:r>
      <w:r>
        <w:t xml:space="preserve"> </w:t>
      </w:r>
      <w:r>
        <w:rPr>
          <w:rFonts w:hint="eastAsia"/>
        </w:rPr>
        <w:t>cm处，左右居中粘贴。</w:t>
      </w:r>
      <w:r>
        <w:rPr>
          <w:rFonts w:hint="eastAsia"/>
          <w:szCs w:val="24"/>
        </w:rPr>
        <w:t>如图A.8</w:t>
      </w:r>
      <w:r>
        <w:rPr>
          <w:rFonts w:hint="eastAsia"/>
        </w:rPr>
        <w:t>。</w:t>
      </w:r>
    </w:p>
    <w:p w14:paraId="078678B7">
      <w:pPr>
        <w:widowControl/>
        <w:tabs>
          <w:tab w:val="center" w:pos="4201"/>
          <w:tab w:val="right" w:leader="dot" w:pos="9298"/>
        </w:tabs>
        <w:autoSpaceDE w:val="0"/>
        <w:autoSpaceDN w:val="0"/>
        <w:spacing w:line="360" w:lineRule="auto"/>
        <w:jc w:val="center"/>
        <w:rPr>
          <w:rFonts w:hint="eastAsia" w:ascii="宋体" w:hAnsi="宋体" w:eastAsia="宋体" w:cs="宋体"/>
          <w:sz w:val="24"/>
          <w:szCs w:val="24"/>
          <w:lang w:eastAsia="zh-CN"/>
        </w:rPr>
      </w:pPr>
      <w:r>
        <w:rPr>
          <w:rFonts w:hint="eastAsia" w:ascii="宋体" w:hAnsi="宋体" w:cs="宋体"/>
          <w:sz w:val="24"/>
          <w:szCs w:val="24"/>
        </w:rPr>
        <w:drawing>
          <wp:inline distT="0" distB="0" distL="114300" distR="114300">
            <wp:extent cx="2040890" cy="3223260"/>
            <wp:effectExtent l="0" t="0" r="16510" b="15240"/>
            <wp:docPr id="21" name="图片 21"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1"/>
                    <pic:cNvPicPr>
                      <a:picLocks noChangeAspect="1"/>
                    </pic:cNvPicPr>
                  </pic:nvPicPr>
                  <pic:blipFill>
                    <a:blip r:embed="rId34"/>
                    <a:stretch>
                      <a:fillRect/>
                    </a:stretch>
                  </pic:blipFill>
                  <pic:spPr>
                    <a:xfrm>
                      <a:off x="0" y="0"/>
                      <a:ext cx="2040890" cy="3223260"/>
                    </a:xfrm>
                    <a:prstGeom prst="rect">
                      <a:avLst/>
                    </a:prstGeom>
                  </pic:spPr>
                </pic:pic>
              </a:graphicData>
            </a:graphic>
          </wp:inline>
        </w:drawing>
      </w:r>
      <w:r>
        <w:rPr>
          <w:rFonts w:hint="eastAsia" w:ascii="宋体" w:hAnsi="宋体" w:eastAsia="宋体" w:cs="宋体"/>
          <w:sz w:val="24"/>
          <w:szCs w:val="24"/>
          <w:lang w:eastAsia="zh-CN"/>
        </w:rPr>
        <w:drawing>
          <wp:inline distT="0" distB="0" distL="114300" distR="114300">
            <wp:extent cx="2040255" cy="3221990"/>
            <wp:effectExtent l="0" t="0" r="17145" b="16510"/>
            <wp:docPr id="34" name="图片 34"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9"/>
                    <pic:cNvPicPr>
                      <a:picLocks noChangeAspect="1"/>
                    </pic:cNvPicPr>
                  </pic:nvPicPr>
                  <pic:blipFill>
                    <a:blip r:embed="rId35"/>
                    <a:stretch>
                      <a:fillRect/>
                    </a:stretch>
                  </pic:blipFill>
                  <pic:spPr>
                    <a:xfrm>
                      <a:off x="0" y="0"/>
                      <a:ext cx="2040255" cy="3221990"/>
                    </a:xfrm>
                    <a:prstGeom prst="rect">
                      <a:avLst/>
                    </a:prstGeom>
                  </pic:spPr>
                </pic:pic>
              </a:graphicData>
            </a:graphic>
          </wp:inline>
        </w:drawing>
      </w:r>
    </w:p>
    <w:p w14:paraId="14314817">
      <w:pPr>
        <w:pStyle w:val="119"/>
        <w:spacing w:line="360" w:lineRule="auto"/>
      </w:pPr>
      <w:r>
        <w:rPr>
          <w:rFonts w:hint="eastAsia"/>
        </w:rPr>
        <w:t>图A.8  方管型电子计价秤消费评价码粘贴位置</w:t>
      </w:r>
    </w:p>
    <w:p w14:paraId="602CB646">
      <w:pPr>
        <w:pStyle w:val="70"/>
        <w:widowControl/>
        <w:numPr>
          <w:ilvl w:val="0"/>
          <w:numId w:val="0"/>
        </w:numPr>
        <w:autoSpaceDE w:val="0"/>
        <w:autoSpaceDN w:val="0"/>
        <w:spacing w:before="156" w:after="156" w:line="360" w:lineRule="auto"/>
        <w:rPr>
          <w:rFonts w:hint="eastAsia"/>
        </w:rPr>
      </w:pPr>
      <w:bookmarkStart w:id="66" w:name="_Toc8163"/>
      <w:r>
        <w:rPr>
          <w:rFonts w:hint="eastAsia"/>
        </w:rPr>
        <w:t>A.4.2.3 互联网电子计价秤</w:t>
      </w:r>
      <w:bookmarkEnd w:id="66"/>
    </w:p>
    <w:p w14:paraId="382F55C9">
      <w:pPr>
        <w:pStyle w:val="61"/>
        <w:spacing w:line="360" w:lineRule="auto"/>
        <w:ind w:firstLine="420"/>
      </w:pPr>
      <w:r>
        <w:rPr>
          <w:rFonts w:hint="eastAsia"/>
        </w:rPr>
        <w:t>互联网电子计价秤粘贴位置应在显示屏与秤体的连接杆上，且面向消费者一侧，距离屏幕显示窗口下边缘4</w:t>
      </w:r>
      <w:r>
        <w:t xml:space="preserve"> </w:t>
      </w:r>
      <w:r>
        <w:rPr>
          <w:rFonts w:hint="eastAsia"/>
        </w:rPr>
        <w:t>cm处，左右居中粘贴。如图A.9。</w:t>
      </w:r>
    </w:p>
    <w:p w14:paraId="4376F303">
      <w:pPr>
        <w:spacing w:line="360" w:lineRule="auto"/>
        <w:ind w:firstLine="399" w:firstLineChars="190"/>
        <w:jc w:val="center"/>
        <w:rPr>
          <w:rFonts w:hint="eastAsia" w:ascii="宋体" w:hAnsi="Times New Roman" w:eastAsia="宋体"/>
          <w:kern w:val="0"/>
          <w:szCs w:val="20"/>
          <w:lang w:eastAsia="zh-CN"/>
        </w:rPr>
      </w:pPr>
      <w:r>
        <w:rPr>
          <w:rFonts w:hint="eastAsia" w:ascii="宋体" w:hAnsi="Times New Roman"/>
          <w:kern w:val="0"/>
          <w:szCs w:val="20"/>
        </w:rPr>
        <w:drawing>
          <wp:inline distT="0" distB="0" distL="114300" distR="114300">
            <wp:extent cx="2185035" cy="3253740"/>
            <wp:effectExtent l="0" t="0" r="0" b="0"/>
            <wp:docPr id="8" name="图片 8"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3"/>
                    <pic:cNvPicPr>
                      <a:picLocks noChangeAspect="1"/>
                    </pic:cNvPicPr>
                  </pic:nvPicPr>
                  <pic:blipFill>
                    <a:blip r:embed="rId36"/>
                    <a:stretch>
                      <a:fillRect/>
                    </a:stretch>
                  </pic:blipFill>
                  <pic:spPr>
                    <a:xfrm>
                      <a:off x="0" y="0"/>
                      <a:ext cx="2185035" cy="3253740"/>
                    </a:xfrm>
                    <a:prstGeom prst="rect">
                      <a:avLst/>
                    </a:prstGeom>
                  </pic:spPr>
                </pic:pic>
              </a:graphicData>
            </a:graphic>
          </wp:inline>
        </w:drawing>
      </w:r>
      <w:r>
        <w:rPr>
          <w:rFonts w:hint="eastAsia" w:ascii="宋体" w:hAnsi="Times New Roman" w:eastAsia="宋体"/>
          <w:kern w:val="0"/>
          <w:szCs w:val="20"/>
          <w:lang w:eastAsia="zh-CN"/>
        </w:rPr>
        <w:drawing>
          <wp:inline distT="0" distB="0" distL="114300" distR="114300">
            <wp:extent cx="2182495" cy="3250565"/>
            <wp:effectExtent l="0" t="0" r="8255" b="6985"/>
            <wp:docPr id="35" name="图片 35"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10"/>
                    <pic:cNvPicPr>
                      <a:picLocks noChangeAspect="1"/>
                    </pic:cNvPicPr>
                  </pic:nvPicPr>
                  <pic:blipFill>
                    <a:blip r:embed="rId37"/>
                    <a:stretch>
                      <a:fillRect/>
                    </a:stretch>
                  </pic:blipFill>
                  <pic:spPr>
                    <a:xfrm>
                      <a:off x="0" y="0"/>
                      <a:ext cx="2182495" cy="3250565"/>
                    </a:xfrm>
                    <a:prstGeom prst="rect">
                      <a:avLst/>
                    </a:prstGeom>
                  </pic:spPr>
                </pic:pic>
              </a:graphicData>
            </a:graphic>
          </wp:inline>
        </w:drawing>
      </w:r>
    </w:p>
    <w:p w14:paraId="15614F70">
      <w:pPr>
        <w:pStyle w:val="119"/>
        <w:spacing w:line="360" w:lineRule="auto"/>
      </w:pPr>
      <w:r>
        <w:rPr>
          <w:rFonts w:hint="eastAsia"/>
        </w:rPr>
        <w:t>图A.9  互联网电子计价秤消费评价码粘贴位置</w:t>
      </w:r>
    </w:p>
    <w:p w14:paraId="15465E99">
      <w:pPr>
        <w:pStyle w:val="61"/>
        <w:ind w:firstLine="399" w:firstLineChars="190"/>
        <w:rPr>
          <w:rFonts w:ascii="黑体" w:eastAsia="黑体"/>
        </w:rPr>
      </w:pPr>
    </w:p>
    <w:p w14:paraId="3D42539A">
      <w:pPr>
        <w:pStyle w:val="70"/>
        <w:widowControl/>
        <w:numPr>
          <w:ilvl w:val="0"/>
          <w:numId w:val="0"/>
        </w:numPr>
        <w:autoSpaceDE w:val="0"/>
        <w:autoSpaceDN w:val="0"/>
        <w:spacing w:before="156" w:after="156" w:line="360" w:lineRule="auto"/>
        <w:rPr>
          <w:rFonts w:hint="eastAsia"/>
        </w:rPr>
      </w:pPr>
      <w:bookmarkStart w:id="67" w:name="_Toc3728"/>
      <w:r>
        <w:rPr>
          <w:rFonts w:hint="eastAsia"/>
        </w:rPr>
        <w:t>A.4.2.5 方管电子计价台秤</w:t>
      </w:r>
      <w:bookmarkEnd w:id="67"/>
    </w:p>
    <w:p w14:paraId="78EF3EB2">
      <w:pPr>
        <w:pStyle w:val="61"/>
        <w:spacing w:line="360" w:lineRule="auto"/>
        <w:ind w:firstLine="420"/>
      </w:pPr>
      <w:r>
        <w:rPr>
          <w:rFonts w:hint="eastAsia"/>
        </w:rPr>
        <w:t>方管电子计价台秤的粘贴位置应在立式连杆上，且面向消费者一侧，距离秤头4</w:t>
      </w:r>
      <w:r>
        <w:t xml:space="preserve"> </w:t>
      </w:r>
      <w:r>
        <w:rPr>
          <w:rFonts w:hint="eastAsia"/>
        </w:rPr>
        <w:t>cm处，左右居中粘贴。如图A.10。</w:t>
      </w:r>
    </w:p>
    <w:p w14:paraId="62B5EF64">
      <w:pPr>
        <w:spacing w:line="360" w:lineRule="auto"/>
        <w:jc w:val="center"/>
        <w:rPr>
          <w:rFonts w:ascii="宋体" w:hAnsi="Times New Roman"/>
          <w:kern w:val="0"/>
          <w:szCs w:val="20"/>
        </w:rPr>
      </w:pPr>
      <w:r>
        <w:rPr>
          <w:rFonts w:hint="eastAsia" w:ascii="宋体" w:hAnsi="宋体" w:cs="宋体"/>
          <w:sz w:val="24"/>
          <w:szCs w:val="24"/>
        </w:rPr>
        <w:drawing>
          <wp:inline distT="0" distB="0" distL="114300" distR="114300">
            <wp:extent cx="1492885" cy="2766695"/>
            <wp:effectExtent l="0" t="0" r="0" b="0"/>
            <wp:docPr id="36" name="图片 36" descr="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descr="11"/>
                    <pic:cNvPicPr>
                      <a:picLocks noChangeAspect="1"/>
                    </pic:cNvPicPr>
                  </pic:nvPicPr>
                  <pic:blipFill>
                    <a:blip r:embed="rId38"/>
                    <a:srcRect l="1408" t="521" r="1242" b="703"/>
                    <a:stretch>
                      <a:fillRect/>
                    </a:stretch>
                  </pic:blipFill>
                  <pic:spPr>
                    <a:xfrm>
                      <a:off x="0" y="0"/>
                      <a:ext cx="1492885" cy="2766695"/>
                    </a:xfrm>
                    <a:prstGeom prst="rect">
                      <a:avLst/>
                    </a:prstGeom>
                  </pic:spPr>
                </pic:pic>
              </a:graphicData>
            </a:graphic>
          </wp:inline>
        </w:drawing>
      </w:r>
      <w:r>
        <w:rPr>
          <w:rFonts w:hint="eastAsia" w:ascii="宋体" w:hAnsi="宋体" w:cs="宋体"/>
          <w:sz w:val="24"/>
          <w:szCs w:val="24"/>
        </w:rPr>
        <w:drawing>
          <wp:inline distT="0" distB="0" distL="114300" distR="114300">
            <wp:extent cx="1471295" cy="2778760"/>
            <wp:effectExtent l="0" t="0" r="0" b="2540"/>
            <wp:docPr id="27" name="图片 27" descr="kappframework-vpzdbv(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kappframework-vpzdbv(1)(1)"/>
                    <pic:cNvPicPr>
                      <a:picLocks noChangeAspect="1"/>
                    </pic:cNvPicPr>
                  </pic:nvPicPr>
                  <pic:blipFill>
                    <a:blip r:embed="rId39"/>
                    <a:srcRect l="475" t="387" r="475" b="387"/>
                    <a:stretch>
                      <a:fillRect/>
                    </a:stretch>
                  </pic:blipFill>
                  <pic:spPr>
                    <a:xfrm>
                      <a:off x="0" y="0"/>
                      <a:ext cx="1472400" cy="2780527"/>
                    </a:xfrm>
                    <a:prstGeom prst="rect">
                      <a:avLst/>
                    </a:prstGeom>
                    <a:ln>
                      <a:noFill/>
                    </a:ln>
                  </pic:spPr>
                </pic:pic>
              </a:graphicData>
            </a:graphic>
          </wp:inline>
        </w:drawing>
      </w:r>
    </w:p>
    <w:p w14:paraId="7F3C6E2E">
      <w:pPr>
        <w:pStyle w:val="119"/>
        <w:spacing w:line="360" w:lineRule="auto"/>
      </w:pPr>
      <w:r>
        <w:rPr>
          <w:rFonts w:hint="eastAsia"/>
        </w:rPr>
        <w:t>图A.10  方管电子计价台秤消费评价码粘贴位置</w:t>
      </w:r>
    </w:p>
    <w:p w14:paraId="67580182">
      <w:pPr>
        <w:pStyle w:val="70"/>
        <w:widowControl/>
        <w:numPr>
          <w:ilvl w:val="0"/>
          <w:numId w:val="0"/>
        </w:numPr>
        <w:autoSpaceDE w:val="0"/>
        <w:autoSpaceDN w:val="0"/>
        <w:spacing w:before="156" w:after="156" w:line="360" w:lineRule="auto"/>
        <w:rPr>
          <w:rFonts w:hint="eastAsia"/>
        </w:rPr>
      </w:pPr>
      <w:bookmarkStart w:id="68" w:name="_Toc23033"/>
      <w:r>
        <w:rPr>
          <w:rFonts w:hint="eastAsia"/>
        </w:rPr>
        <w:t>A.4.2.6 圆管电子计价台秤</w:t>
      </w:r>
      <w:bookmarkEnd w:id="68"/>
    </w:p>
    <w:p w14:paraId="0E0D245C">
      <w:pPr>
        <w:pStyle w:val="61"/>
        <w:spacing w:line="360" w:lineRule="auto"/>
        <w:ind w:firstLine="420"/>
      </w:pPr>
      <w:r>
        <w:rPr>
          <w:rFonts w:hint="eastAsia"/>
        </w:rPr>
        <w:t>圆管电子计价台秤的粘贴位置应在仪表盘面向消费者一侧，且应不遮挡显示窗口。如图A.11。</w:t>
      </w:r>
    </w:p>
    <w:p w14:paraId="54F31D89">
      <w:pPr>
        <w:widowControl/>
        <w:tabs>
          <w:tab w:val="center" w:pos="4201"/>
          <w:tab w:val="right" w:leader="dot" w:pos="9298"/>
        </w:tabs>
        <w:autoSpaceDE w:val="0"/>
        <w:autoSpaceDN w:val="0"/>
        <w:spacing w:line="360" w:lineRule="auto"/>
        <w:ind w:firstLine="480" w:firstLineChars="200"/>
        <w:jc w:val="center"/>
        <w:rPr>
          <w:rFonts w:ascii="宋体" w:hAnsi="宋体" w:cs="宋体"/>
          <w:sz w:val="24"/>
          <w:szCs w:val="24"/>
        </w:rPr>
      </w:pPr>
      <w:r>
        <w:rPr>
          <w:rFonts w:hint="eastAsia" w:ascii="宋体" w:hAnsi="宋体" w:cs="宋体"/>
          <w:sz w:val="24"/>
          <w:szCs w:val="24"/>
        </w:rPr>
        <w:drawing>
          <wp:inline distT="0" distB="0" distL="114300" distR="114300">
            <wp:extent cx="1649095" cy="2867025"/>
            <wp:effectExtent l="0" t="0" r="0" b="0"/>
            <wp:docPr id="37" name="图片 37"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descr="12"/>
                    <pic:cNvPicPr>
                      <a:picLocks noChangeAspect="1"/>
                    </pic:cNvPicPr>
                  </pic:nvPicPr>
                  <pic:blipFill>
                    <a:blip r:embed="rId40"/>
                    <a:srcRect l="1341" t="482" r="1900" b="700"/>
                    <a:stretch>
                      <a:fillRect/>
                    </a:stretch>
                  </pic:blipFill>
                  <pic:spPr>
                    <a:xfrm>
                      <a:off x="0" y="0"/>
                      <a:ext cx="1649095" cy="2867025"/>
                    </a:xfrm>
                    <a:prstGeom prst="rect">
                      <a:avLst/>
                    </a:prstGeom>
                  </pic:spPr>
                </pic:pic>
              </a:graphicData>
            </a:graphic>
          </wp:inline>
        </w:drawing>
      </w:r>
      <w:r>
        <w:rPr>
          <w:rFonts w:hint="eastAsia" w:ascii="宋体" w:hAnsi="宋体" w:cs="宋体"/>
          <w:sz w:val="24"/>
          <w:szCs w:val="24"/>
        </w:rPr>
        <w:t xml:space="preserve">       </w:t>
      </w:r>
      <w:r>
        <w:rPr>
          <w:rFonts w:hint="eastAsia" w:ascii="宋体" w:hAnsi="宋体" w:cs="宋体"/>
          <w:sz w:val="24"/>
          <w:szCs w:val="24"/>
        </w:rPr>
        <w:drawing>
          <wp:inline distT="0" distB="0" distL="114300" distR="114300">
            <wp:extent cx="1539240" cy="2886710"/>
            <wp:effectExtent l="0" t="0" r="3810" b="8890"/>
            <wp:docPr id="29" name="图片 29" descr="kappframework-JaIXoM(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9" descr="kappframework-JaIXoM(1)(1)"/>
                    <pic:cNvPicPr>
                      <a:picLocks noChangeAspect="1"/>
                    </pic:cNvPicPr>
                  </pic:nvPicPr>
                  <pic:blipFill>
                    <a:blip r:embed="rId41"/>
                    <a:srcRect l="418" t="269" r="418" b="269"/>
                    <a:stretch>
                      <a:fillRect/>
                    </a:stretch>
                  </pic:blipFill>
                  <pic:spPr>
                    <a:xfrm>
                      <a:off x="0" y="0"/>
                      <a:ext cx="1542130" cy="2892621"/>
                    </a:xfrm>
                    <a:prstGeom prst="rect">
                      <a:avLst/>
                    </a:prstGeom>
                    <a:ln>
                      <a:noFill/>
                    </a:ln>
                  </pic:spPr>
                </pic:pic>
              </a:graphicData>
            </a:graphic>
          </wp:inline>
        </w:drawing>
      </w:r>
    </w:p>
    <w:p w14:paraId="104FC80C">
      <w:pPr>
        <w:pStyle w:val="119"/>
        <w:spacing w:line="360" w:lineRule="auto"/>
      </w:pPr>
      <w:r>
        <w:rPr>
          <w:rFonts w:hint="eastAsia"/>
        </w:rPr>
        <w:t>图A.11  圆管电子计价台秤消费评价码粘贴位置</w:t>
      </w:r>
    </w:p>
    <w:p w14:paraId="0FF570FB">
      <w:pPr>
        <w:pStyle w:val="110"/>
        <w:numPr>
          <w:ilvl w:val="0"/>
          <w:numId w:val="0"/>
        </w:numPr>
        <w:spacing w:before="156" w:after="156"/>
      </w:pPr>
      <w:bookmarkStart w:id="69" w:name="_Toc18177"/>
      <w:r>
        <w:rPr>
          <w:rFonts w:hint="eastAsia"/>
        </w:rPr>
        <w:t>A.5  环境适应性</w:t>
      </w:r>
      <w:bookmarkEnd w:id="69"/>
      <w:r>
        <w:rPr>
          <w:rFonts w:hint="eastAsia"/>
        </w:rPr>
        <w:t xml:space="preserve"> </w:t>
      </w:r>
    </w:p>
    <w:p w14:paraId="48961211">
      <w:pPr>
        <w:pStyle w:val="70"/>
        <w:widowControl/>
        <w:numPr>
          <w:ilvl w:val="0"/>
          <w:numId w:val="0"/>
        </w:numPr>
        <w:autoSpaceDE w:val="0"/>
        <w:autoSpaceDN w:val="0"/>
        <w:spacing w:before="156" w:after="156" w:line="360" w:lineRule="auto"/>
      </w:pPr>
      <w:bookmarkStart w:id="70" w:name="_Toc24781"/>
      <w:bookmarkStart w:id="71" w:name="_Toc354244090"/>
      <w:bookmarkStart w:id="72" w:name="_Toc354389421"/>
      <w:r>
        <w:rPr>
          <w:rFonts w:hint="eastAsia"/>
        </w:rPr>
        <w:t>A.5.1  工作温度</w:t>
      </w:r>
      <w:bookmarkEnd w:id="70"/>
      <w:bookmarkEnd w:id="71"/>
      <w:bookmarkEnd w:id="72"/>
    </w:p>
    <w:p w14:paraId="6EF54BBF">
      <w:pPr>
        <w:pStyle w:val="61"/>
        <w:spacing w:line="360" w:lineRule="auto"/>
        <w:ind w:firstLine="420"/>
      </w:pPr>
      <w:r>
        <w:rPr>
          <w:rFonts w:hint="eastAsia"/>
        </w:rPr>
        <w:t>在-10℃～+40℃温度范围内，消费评价码应能正常工作。</w:t>
      </w:r>
    </w:p>
    <w:p w14:paraId="0A9C6BC6">
      <w:pPr>
        <w:pStyle w:val="70"/>
        <w:widowControl/>
        <w:numPr>
          <w:ilvl w:val="0"/>
          <w:numId w:val="0"/>
        </w:numPr>
        <w:autoSpaceDE w:val="0"/>
        <w:autoSpaceDN w:val="0"/>
        <w:spacing w:before="156" w:after="156" w:line="360" w:lineRule="auto"/>
      </w:pPr>
      <w:bookmarkStart w:id="73" w:name="_Toc17581"/>
      <w:r>
        <w:rPr>
          <w:rFonts w:hint="eastAsia"/>
        </w:rPr>
        <w:t>A.5.2  工作湿度</w:t>
      </w:r>
      <w:bookmarkEnd w:id="73"/>
    </w:p>
    <w:p w14:paraId="27D35E1F">
      <w:pPr>
        <w:pStyle w:val="61"/>
        <w:spacing w:line="360" w:lineRule="auto"/>
        <w:ind w:firstLine="420"/>
      </w:pPr>
      <w:r>
        <w:rPr>
          <w:rFonts w:hint="eastAsia"/>
        </w:rPr>
        <w:t>在20%～85%相对湿度范围内，消费评价码应能正常工作。</w:t>
      </w:r>
    </w:p>
    <w:p w14:paraId="74A5E960">
      <w:pPr>
        <w:pStyle w:val="70"/>
        <w:widowControl/>
        <w:numPr>
          <w:ilvl w:val="0"/>
          <w:numId w:val="0"/>
        </w:numPr>
        <w:autoSpaceDE w:val="0"/>
        <w:autoSpaceDN w:val="0"/>
        <w:spacing w:before="156" w:after="156" w:line="360" w:lineRule="auto"/>
      </w:pPr>
      <w:bookmarkStart w:id="74" w:name="_Toc18805"/>
      <w:r>
        <w:rPr>
          <w:rFonts w:hint="eastAsia"/>
        </w:rPr>
        <w:t>A.5.3  储存温度</w:t>
      </w:r>
      <w:bookmarkEnd w:id="74"/>
    </w:p>
    <w:p w14:paraId="40EB63D4">
      <w:pPr>
        <w:pStyle w:val="61"/>
        <w:spacing w:line="360" w:lineRule="auto"/>
        <w:ind w:firstLine="420"/>
      </w:pPr>
      <w:r>
        <w:rPr>
          <w:rFonts w:hint="eastAsia"/>
        </w:rPr>
        <w:t>对采用柔性材料封装的消费评价码，在-20℃～+60℃温度范围内储存，消费评价码应不变形，内置数据应保持不变。</w:t>
      </w:r>
    </w:p>
    <w:p w14:paraId="557B0D2B">
      <w:pPr>
        <w:pStyle w:val="70"/>
        <w:widowControl/>
        <w:numPr>
          <w:ilvl w:val="0"/>
          <w:numId w:val="0"/>
        </w:numPr>
        <w:autoSpaceDE w:val="0"/>
        <w:autoSpaceDN w:val="0"/>
        <w:spacing w:before="156" w:after="156" w:line="360" w:lineRule="auto"/>
      </w:pPr>
      <w:bookmarkStart w:id="75" w:name="_Toc7514"/>
      <w:r>
        <w:rPr>
          <w:rFonts w:hint="eastAsia"/>
        </w:rPr>
        <w:t>A.5.4  储存湿度</w:t>
      </w:r>
      <w:bookmarkEnd w:id="75"/>
    </w:p>
    <w:p w14:paraId="0BC28E82">
      <w:pPr>
        <w:pStyle w:val="61"/>
        <w:spacing w:line="360" w:lineRule="auto"/>
        <w:ind w:firstLine="420"/>
      </w:pPr>
      <w:r>
        <w:rPr>
          <w:rFonts w:hint="eastAsia"/>
        </w:rPr>
        <w:t>在20%～85%相对湿度范围内储存，消费评价码应不变形，内置数据应保持不变。</w:t>
      </w:r>
    </w:p>
    <w:p w14:paraId="1D112DFA">
      <w:pPr>
        <w:pStyle w:val="61"/>
        <w:spacing w:line="360" w:lineRule="auto"/>
        <w:ind w:firstLine="420"/>
      </w:pPr>
      <w:r>
        <w:rPr>
          <w:rFonts w:hint="eastAsia"/>
        </w:rPr>
        <w:t>此外，消费评价码温湿度要求还应符合GB/T 4798.4、GB/T 4798.2、GB/T 4798.10中的有关规定。</w:t>
      </w:r>
    </w:p>
    <w:p w14:paraId="25DA01A9">
      <w:pPr>
        <w:pStyle w:val="110"/>
        <w:numPr>
          <w:ilvl w:val="0"/>
          <w:numId w:val="0"/>
        </w:numPr>
        <w:spacing w:before="156" w:after="156"/>
        <w:rPr>
          <w:rFonts w:ascii="Calibri" w:hAnsi="Calibri"/>
          <w:kern w:val="2"/>
        </w:rPr>
      </w:pPr>
      <w:bookmarkStart w:id="76" w:name="_Toc354389430"/>
      <w:bookmarkStart w:id="77" w:name="_Toc26837"/>
      <w:r>
        <w:rPr>
          <w:rFonts w:hint="eastAsia"/>
        </w:rPr>
        <w:t>A.6</w:t>
      </w:r>
      <w:r>
        <w:rPr>
          <w:rFonts w:hint="eastAsia" w:ascii="Calibri" w:hAnsi="Calibri"/>
          <w:kern w:val="2"/>
        </w:rPr>
        <w:t xml:space="preserve">  性能要求</w:t>
      </w:r>
      <w:bookmarkEnd w:id="76"/>
      <w:bookmarkEnd w:id="77"/>
    </w:p>
    <w:p w14:paraId="2BC1CE65">
      <w:pPr>
        <w:pStyle w:val="70"/>
        <w:widowControl/>
        <w:numPr>
          <w:ilvl w:val="0"/>
          <w:numId w:val="0"/>
        </w:numPr>
        <w:autoSpaceDE w:val="0"/>
        <w:autoSpaceDN w:val="0"/>
        <w:spacing w:before="156" w:after="156" w:line="360" w:lineRule="auto"/>
      </w:pPr>
      <w:bookmarkStart w:id="78" w:name="_Toc27979"/>
      <w:r>
        <w:rPr>
          <w:rFonts w:hint="eastAsia"/>
        </w:rPr>
        <w:t>A.6.1 基本要求</w:t>
      </w:r>
      <w:bookmarkEnd w:id="78"/>
    </w:p>
    <w:p w14:paraId="3C03DC4B">
      <w:pPr>
        <w:pStyle w:val="169"/>
        <w:numPr>
          <w:ilvl w:val="0"/>
          <w:numId w:val="0"/>
        </w:numPr>
        <w:autoSpaceDE w:val="0"/>
        <w:autoSpaceDN w:val="0"/>
        <w:spacing w:line="360" w:lineRule="auto"/>
      </w:pPr>
      <w:bookmarkStart w:id="79" w:name="_Toc32738"/>
      <w:bookmarkStart w:id="80" w:name="_Toc14731"/>
      <w:bookmarkStart w:id="81" w:name="_Toc3884"/>
      <w:r>
        <w:rPr>
          <w:rFonts w:hint="eastAsia"/>
        </w:rPr>
        <w:t>A.6.1.1  消费评价码应具有防水、防油污、防伪造、抗冲撞、抗摩擦、抗腐蚀、抗震动、抗电磁干扰等物理方面的安全保证和防护功能。</w:t>
      </w:r>
      <w:bookmarkEnd w:id="79"/>
      <w:bookmarkEnd w:id="80"/>
      <w:bookmarkEnd w:id="81"/>
    </w:p>
    <w:p w14:paraId="4F3993EC">
      <w:pPr>
        <w:pStyle w:val="169"/>
        <w:numPr>
          <w:ilvl w:val="0"/>
          <w:numId w:val="0"/>
        </w:numPr>
        <w:autoSpaceDE w:val="0"/>
        <w:autoSpaceDN w:val="0"/>
        <w:spacing w:line="360" w:lineRule="auto"/>
      </w:pPr>
      <w:bookmarkStart w:id="82" w:name="_Toc29169"/>
      <w:bookmarkStart w:id="83" w:name="_Toc18082"/>
      <w:bookmarkStart w:id="84" w:name="_Toc18543"/>
      <w:r>
        <w:rPr>
          <w:rFonts w:hint="eastAsia"/>
        </w:rPr>
        <w:t>A.6.1.2  消费评价码应具有防数据丢失、防数据篡改、防数据被非法获取等电子方面的安全保证和防护功能。消费评价码应不受关联设备的影响，能被识别和受保护。应能够提供至下次检定或类似官方检查对软件所进行的诸如修改、上传或绕开等干扰的证据。</w:t>
      </w:r>
      <w:bookmarkEnd w:id="82"/>
      <w:bookmarkEnd w:id="83"/>
      <w:bookmarkEnd w:id="84"/>
    </w:p>
    <w:p w14:paraId="21F23F43">
      <w:pPr>
        <w:pStyle w:val="169"/>
        <w:numPr>
          <w:ilvl w:val="0"/>
          <w:numId w:val="0"/>
        </w:numPr>
        <w:autoSpaceDE w:val="0"/>
        <w:autoSpaceDN w:val="0"/>
        <w:spacing w:line="360" w:lineRule="auto"/>
      </w:pPr>
      <w:r>
        <w:rPr>
          <w:rFonts w:hint="eastAsia"/>
        </w:rPr>
        <w:t>A.6.1.3  当消费评价码不慎出现物理性损坏、不能被读取等异常情况时，应有相应的处理办法。可通过消费评价码唯一性编号等信息查询到此计量器具的具体信息并及时更换新消费评价码。</w:t>
      </w:r>
    </w:p>
    <w:p w14:paraId="478DDB7A">
      <w:pPr>
        <w:pStyle w:val="70"/>
        <w:widowControl/>
        <w:numPr>
          <w:ilvl w:val="0"/>
          <w:numId w:val="0"/>
        </w:numPr>
        <w:autoSpaceDE w:val="0"/>
        <w:autoSpaceDN w:val="0"/>
        <w:spacing w:before="156" w:after="156" w:line="360" w:lineRule="auto"/>
      </w:pPr>
      <w:bookmarkStart w:id="85" w:name="_Toc354389431"/>
      <w:bookmarkStart w:id="86" w:name="_Toc31203"/>
      <w:bookmarkStart w:id="87" w:name="_Toc354244100"/>
      <w:r>
        <w:rPr>
          <w:rFonts w:hint="eastAsia"/>
        </w:rPr>
        <w:t>A.6.2 抗静电性能</w:t>
      </w:r>
      <w:bookmarkEnd w:id="85"/>
      <w:bookmarkEnd w:id="86"/>
      <w:bookmarkEnd w:id="87"/>
    </w:p>
    <w:p w14:paraId="655C3E5C">
      <w:pPr>
        <w:pStyle w:val="61"/>
        <w:spacing w:line="360" w:lineRule="auto"/>
        <w:ind w:firstLine="420"/>
      </w:pPr>
      <w:r>
        <w:rPr>
          <w:rFonts w:hint="eastAsia"/>
        </w:rPr>
        <w:t>消费评价码在接触放电（VESD）至6</w:t>
      </w:r>
      <w:r>
        <w:t xml:space="preserve"> </w:t>
      </w:r>
      <w:r>
        <w:rPr>
          <w:rFonts w:hint="eastAsia"/>
        </w:rPr>
        <w:t>kV的情况下，储存在标签内的数据不应改变，并能进行数据的读写。</w:t>
      </w:r>
    </w:p>
    <w:p w14:paraId="00F25EAD">
      <w:pPr>
        <w:pStyle w:val="70"/>
        <w:widowControl/>
        <w:numPr>
          <w:ilvl w:val="0"/>
          <w:numId w:val="0"/>
        </w:numPr>
        <w:autoSpaceDE w:val="0"/>
        <w:autoSpaceDN w:val="0"/>
        <w:spacing w:before="156" w:after="156" w:line="360" w:lineRule="auto"/>
      </w:pPr>
      <w:bookmarkStart w:id="88" w:name="_Toc354244101"/>
      <w:bookmarkStart w:id="89" w:name="_Toc24572"/>
      <w:bookmarkStart w:id="90" w:name="_Toc354389432"/>
      <w:r>
        <w:rPr>
          <w:rFonts w:hint="eastAsia"/>
        </w:rPr>
        <w:t>A.6.3 抗静磁场性能</w:t>
      </w:r>
      <w:bookmarkEnd w:id="88"/>
      <w:bookmarkEnd w:id="89"/>
      <w:bookmarkEnd w:id="90"/>
    </w:p>
    <w:p w14:paraId="04A85A5B">
      <w:pPr>
        <w:pStyle w:val="61"/>
        <w:spacing w:line="360" w:lineRule="auto"/>
        <w:ind w:firstLine="420"/>
      </w:pPr>
      <w:r>
        <w:rPr>
          <w:rFonts w:hint="eastAsia"/>
        </w:rPr>
        <w:t>消费评价码在磁场强度最大峰值达50</w:t>
      </w:r>
      <w:r>
        <w:t xml:space="preserve"> </w:t>
      </w:r>
      <w:r>
        <w:rPr>
          <w:rFonts w:hint="eastAsia"/>
        </w:rPr>
        <w:t>A/m时，储存的信息应当仍能保持完整。</w:t>
      </w:r>
    </w:p>
    <w:p w14:paraId="0EFA61A8">
      <w:pPr>
        <w:pStyle w:val="70"/>
        <w:widowControl/>
        <w:numPr>
          <w:ilvl w:val="0"/>
          <w:numId w:val="0"/>
        </w:numPr>
        <w:autoSpaceDE w:val="0"/>
        <w:autoSpaceDN w:val="0"/>
        <w:spacing w:before="156" w:after="156" w:line="360" w:lineRule="auto"/>
      </w:pPr>
      <w:bookmarkStart w:id="91" w:name="_Toc354389433"/>
      <w:bookmarkStart w:id="92" w:name="_Toc18373"/>
      <w:bookmarkStart w:id="93" w:name="_Toc354244102"/>
      <w:r>
        <w:rPr>
          <w:rFonts w:hint="eastAsia"/>
        </w:rPr>
        <w:t>A.6.4 抗金属屏蔽性能</w:t>
      </w:r>
      <w:bookmarkEnd w:id="91"/>
      <w:bookmarkEnd w:id="92"/>
      <w:bookmarkEnd w:id="93"/>
    </w:p>
    <w:p w14:paraId="284A59C4">
      <w:pPr>
        <w:pStyle w:val="61"/>
        <w:spacing w:line="360" w:lineRule="auto"/>
        <w:ind w:firstLine="420"/>
      </w:pPr>
      <w:r>
        <w:rPr>
          <w:rFonts w:hint="eastAsia"/>
        </w:rPr>
        <w:t>消费评价码应具有良好的抗金属屏蔽性能，当其被固接在金属表面上时，应不影响正常读写。</w:t>
      </w:r>
      <w:bookmarkStart w:id="94" w:name="_Toc229542570"/>
    </w:p>
    <w:bookmarkEnd w:id="94"/>
    <w:p w14:paraId="23A78D32">
      <w:pPr>
        <w:pStyle w:val="70"/>
        <w:widowControl/>
        <w:numPr>
          <w:ilvl w:val="0"/>
          <w:numId w:val="0"/>
        </w:numPr>
        <w:autoSpaceDE w:val="0"/>
        <w:autoSpaceDN w:val="0"/>
        <w:spacing w:before="156" w:after="156" w:line="360" w:lineRule="auto"/>
      </w:pPr>
      <w:bookmarkStart w:id="95" w:name="_Toc232330915"/>
      <w:bookmarkStart w:id="96" w:name="_Toc354244109"/>
      <w:bookmarkStart w:id="97" w:name="_Toc229542571"/>
      <w:bookmarkStart w:id="98" w:name="_Toc26074"/>
      <w:bookmarkStart w:id="99" w:name="_Toc232330135"/>
      <w:bookmarkStart w:id="100" w:name="_Toc354389440"/>
      <w:r>
        <w:rPr>
          <w:rFonts w:hint="eastAsia"/>
        </w:rPr>
        <w:t>A.6.5 存储容量</w:t>
      </w:r>
      <w:bookmarkEnd w:id="95"/>
      <w:bookmarkEnd w:id="96"/>
      <w:bookmarkEnd w:id="97"/>
      <w:bookmarkEnd w:id="98"/>
      <w:bookmarkEnd w:id="99"/>
      <w:bookmarkEnd w:id="100"/>
    </w:p>
    <w:p w14:paraId="4A618D9F">
      <w:pPr>
        <w:pStyle w:val="61"/>
        <w:spacing w:line="360" w:lineRule="auto"/>
        <w:ind w:firstLine="420"/>
      </w:pPr>
      <w:r>
        <w:rPr>
          <w:rFonts w:hint="eastAsia"/>
        </w:rPr>
        <w:t>消费评价码可编码的存储容量应至少为128字节。</w:t>
      </w:r>
      <w:r>
        <w:rPr>
          <w:rFonts w:hint="eastAsia"/>
        </w:rPr>
        <w:br w:type="page"/>
      </w:r>
    </w:p>
    <w:p w14:paraId="7F872E5B">
      <w:pPr>
        <w:pStyle w:val="81"/>
        <w:spacing w:after="156"/>
      </w:pPr>
      <w:r>
        <w:br w:type="textWrapping"/>
      </w:r>
      <w:bookmarkStart w:id="101" w:name="_Toc183011551"/>
      <w:r>
        <w:rPr>
          <w:rFonts w:hint="eastAsia"/>
        </w:rPr>
        <w:t>（资料性）</w:t>
      </w:r>
      <w:r>
        <w:br w:type="textWrapping"/>
      </w:r>
      <w:r>
        <w:rPr>
          <w:rFonts w:hint="eastAsia"/>
        </w:rPr>
        <w:t>电子计价秤摆放位置示意图</w:t>
      </w:r>
      <w:bookmarkEnd w:id="101"/>
    </w:p>
    <w:p w14:paraId="71E68A58">
      <w:pPr>
        <w:widowControl/>
        <w:tabs>
          <w:tab w:val="center" w:pos="4201"/>
          <w:tab w:val="right" w:leader="dot" w:pos="9298"/>
        </w:tabs>
        <w:autoSpaceDE w:val="0"/>
        <w:autoSpaceDN w:val="0"/>
        <w:spacing w:line="360" w:lineRule="auto"/>
        <w:ind w:firstLine="480"/>
        <w:jc w:val="left"/>
        <w:rPr>
          <w:rFonts w:hint="eastAsia" w:ascii="宋体" w:hAnsi="Times New Roman" w:eastAsia="宋体" w:cs="Times New Roman"/>
          <w:kern w:val="0"/>
          <w:sz w:val="21"/>
          <w:szCs w:val="20"/>
          <w:lang w:val="en-US" w:eastAsia="zh-CN" w:bidi="ar-SA"/>
        </w:rPr>
      </w:pPr>
      <w:r>
        <w:rPr>
          <w:rFonts w:hint="eastAsia" w:ascii="宋体" w:hAnsi="Times New Roman" w:eastAsia="宋体" w:cs="Times New Roman"/>
          <w:kern w:val="0"/>
          <w:sz w:val="21"/>
          <w:szCs w:val="20"/>
          <w:lang w:val="en-US" w:eastAsia="zh-CN" w:bidi="ar-SA"/>
        </w:rPr>
        <w:t>本附录提供了针对一字型、扇形、L型、凹字型摊位分别使用一台、二台、三台电子计价秤摆放位置的示意图，其他类型和数量的摊位可参照执行。电子计价秤摆放总体原则为消费评价码需面向消费者一侧，消费评价码如无法直接面向消费者，也应当确保消费评价码能够以侧向的方式让消费者看到，便于其读取并使用。</w:t>
      </w:r>
    </w:p>
    <w:p w14:paraId="3AC68DD1">
      <w:pPr>
        <w:pStyle w:val="110"/>
        <w:numPr>
          <w:ilvl w:val="0"/>
          <w:numId w:val="0"/>
        </w:numPr>
        <w:autoSpaceDE w:val="0"/>
        <w:autoSpaceDN w:val="0"/>
        <w:spacing w:before="156" w:after="156" w:line="360" w:lineRule="auto"/>
      </w:pPr>
      <w:r>
        <w:rPr>
          <w:rFonts w:hint="eastAsia"/>
        </w:rPr>
        <w:t>B.1 一字型摊位电子计价秤摆放位置示意图</w:t>
      </w:r>
    </w:p>
    <w:p w14:paraId="465A0D6A">
      <w:pPr>
        <w:pStyle w:val="170"/>
        <w:widowControl/>
        <w:numPr>
          <w:ilvl w:val="0"/>
          <w:numId w:val="0"/>
        </w:numPr>
        <w:autoSpaceDE w:val="0"/>
        <w:autoSpaceDN w:val="0"/>
        <w:spacing w:line="360" w:lineRule="auto"/>
      </w:pPr>
      <w:r>
        <w:rPr>
          <w:rFonts w:hint="eastAsia"/>
        </w:rPr>
        <w:t>B.1.1 当经营者仅使用一台电子计价秤时，应将其摆放在一字型摊位的正中间位置，具体摆放位置见图B.1</w:t>
      </w:r>
    </w:p>
    <w:p w14:paraId="6BBD4324">
      <w:pPr>
        <w:autoSpaceDE w:val="0"/>
        <w:autoSpaceDN w:val="0"/>
        <w:snapToGrid w:val="0"/>
        <w:spacing w:line="360" w:lineRule="auto"/>
        <w:jc w:val="center"/>
        <w:rPr>
          <w:rFonts w:hint="eastAsia" w:eastAsia="宋体"/>
          <w:kern w:val="0"/>
          <w:sz w:val="24"/>
          <w:lang w:eastAsia="zh-CN"/>
        </w:rPr>
      </w:pPr>
      <w:r>
        <w:rPr>
          <w:rFonts w:hint="eastAsia" w:eastAsia="宋体"/>
          <w:kern w:val="0"/>
          <w:sz w:val="24"/>
          <w:lang w:eastAsia="zh-CN"/>
        </w:rPr>
        <w:drawing>
          <wp:inline distT="0" distB="0" distL="114300" distR="114300">
            <wp:extent cx="5933440" cy="1202690"/>
            <wp:effectExtent l="0" t="0" r="10160" b="16510"/>
            <wp:docPr id="6" name="图片 6" descr="一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一1"/>
                    <pic:cNvPicPr>
                      <a:picLocks noChangeAspect="1"/>
                    </pic:cNvPicPr>
                  </pic:nvPicPr>
                  <pic:blipFill>
                    <a:blip r:embed="rId42"/>
                    <a:stretch>
                      <a:fillRect/>
                    </a:stretch>
                  </pic:blipFill>
                  <pic:spPr>
                    <a:xfrm>
                      <a:off x="0" y="0"/>
                      <a:ext cx="5933440" cy="1202690"/>
                    </a:xfrm>
                    <a:prstGeom prst="rect">
                      <a:avLst/>
                    </a:prstGeom>
                  </pic:spPr>
                </pic:pic>
              </a:graphicData>
            </a:graphic>
          </wp:inline>
        </w:drawing>
      </w:r>
    </w:p>
    <w:p w14:paraId="0EDA98B8">
      <w:pPr>
        <w:pStyle w:val="119"/>
        <w:spacing w:line="360" w:lineRule="auto"/>
      </w:pPr>
      <w:r>
        <w:rPr>
          <w:rFonts w:hint="eastAsia"/>
        </w:rPr>
        <w:t>图B.1  一字型摊位一台电子计价秤摆放位置示意图</w:t>
      </w:r>
    </w:p>
    <w:p w14:paraId="46481BEC">
      <w:pPr>
        <w:pStyle w:val="170"/>
        <w:widowControl/>
        <w:numPr>
          <w:ilvl w:val="0"/>
          <w:numId w:val="0"/>
        </w:numPr>
        <w:autoSpaceDE w:val="0"/>
        <w:autoSpaceDN w:val="0"/>
        <w:spacing w:line="360" w:lineRule="auto"/>
      </w:pPr>
      <w:r>
        <w:rPr>
          <w:rFonts w:hint="eastAsia"/>
        </w:rPr>
        <w:t>B.1.2 经营者使用两台电子计价秤时，应将两台电子计价秤放在一字型摊位三等分点位置，见图B.2</w:t>
      </w:r>
    </w:p>
    <w:p w14:paraId="1423B681">
      <w:pPr>
        <w:autoSpaceDE w:val="0"/>
        <w:autoSpaceDN w:val="0"/>
        <w:snapToGrid w:val="0"/>
        <w:spacing w:line="360" w:lineRule="auto"/>
        <w:jc w:val="center"/>
        <w:rPr>
          <w:rFonts w:hint="eastAsia" w:eastAsia="宋体"/>
          <w:kern w:val="0"/>
          <w:sz w:val="24"/>
          <w:lang w:eastAsia="zh-CN"/>
        </w:rPr>
      </w:pPr>
      <w:r>
        <w:rPr>
          <w:rFonts w:hint="eastAsia" w:eastAsia="宋体"/>
          <w:kern w:val="0"/>
          <w:sz w:val="24"/>
          <w:lang w:eastAsia="zh-CN"/>
        </w:rPr>
        <w:drawing>
          <wp:inline distT="0" distB="0" distL="114300" distR="114300">
            <wp:extent cx="5932805" cy="1208405"/>
            <wp:effectExtent l="0" t="0" r="10795" b="10795"/>
            <wp:docPr id="7" name="图片 7" descr="一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一2"/>
                    <pic:cNvPicPr>
                      <a:picLocks noChangeAspect="1"/>
                    </pic:cNvPicPr>
                  </pic:nvPicPr>
                  <pic:blipFill>
                    <a:blip r:embed="rId43"/>
                    <a:stretch>
                      <a:fillRect/>
                    </a:stretch>
                  </pic:blipFill>
                  <pic:spPr>
                    <a:xfrm>
                      <a:off x="0" y="0"/>
                      <a:ext cx="5932805" cy="1208405"/>
                    </a:xfrm>
                    <a:prstGeom prst="rect">
                      <a:avLst/>
                    </a:prstGeom>
                  </pic:spPr>
                </pic:pic>
              </a:graphicData>
            </a:graphic>
          </wp:inline>
        </w:drawing>
      </w:r>
    </w:p>
    <w:p w14:paraId="10E37B7E">
      <w:pPr>
        <w:pStyle w:val="119"/>
        <w:autoSpaceDE w:val="0"/>
        <w:autoSpaceDN w:val="0"/>
        <w:snapToGrid w:val="0"/>
        <w:spacing w:line="360" w:lineRule="auto"/>
        <w:ind w:firstLine="420" w:firstLineChars="200"/>
      </w:pPr>
      <w:r>
        <w:rPr>
          <w:rFonts w:hint="eastAsia"/>
        </w:rPr>
        <w:t>图B.2  一字型摊位两台电子计价秤摆放位置示意图</w:t>
      </w:r>
    </w:p>
    <w:p w14:paraId="475FA397">
      <w:pPr>
        <w:pStyle w:val="170"/>
        <w:widowControl/>
        <w:numPr>
          <w:ilvl w:val="0"/>
          <w:numId w:val="0"/>
        </w:numPr>
        <w:autoSpaceDE w:val="0"/>
        <w:autoSpaceDN w:val="0"/>
        <w:spacing w:line="360" w:lineRule="auto"/>
      </w:pPr>
      <w:r>
        <w:rPr>
          <w:rFonts w:hint="eastAsia"/>
        </w:rPr>
        <w:t>B.1.3 经营者使用三台电子计价秤时，应将三台电子计价秤放在一字型摊位四等分点位置，见图B.3</w:t>
      </w:r>
    </w:p>
    <w:p w14:paraId="64AF457F">
      <w:pPr>
        <w:autoSpaceDE w:val="0"/>
        <w:autoSpaceDN w:val="0"/>
        <w:snapToGrid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5932170" cy="1213485"/>
            <wp:effectExtent l="0" t="0" r="11430" b="5715"/>
            <wp:docPr id="10" name="图片 10" descr="一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一3"/>
                    <pic:cNvPicPr>
                      <a:picLocks noChangeAspect="1"/>
                    </pic:cNvPicPr>
                  </pic:nvPicPr>
                  <pic:blipFill>
                    <a:blip r:embed="rId44"/>
                    <a:stretch>
                      <a:fillRect/>
                    </a:stretch>
                  </pic:blipFill>
                  <pic:spPr>
                    <a:xfrm>
                      <a:off x="0" y="0"/>
                      <a:ext cx="5932170" cy="1213485"/>
                    </a:xfrm>
                    <a:prstGeom prst="rect">
                      <a:avLst/>
                    </a:prstGeom>
                  </pic:spPr>
                </pic:pic>
              </a:graphicData>
            </a:graphic>
          </wp:inline>
        </w:drawing>
      </w:r>
    </w:p>
    <w:p w14:paraId="4A02CFFA">
      <w:pPr>
        <w:pStyle w:val="119"/>
        <w:autoSpaceDE w:val="0"/>
        <w:autoSpaceDN w:val="0"/>
        <w:snapToGrid w:val="0"/>
        <w:spacing w:line="360" w:lineRule="auto"/>
        <w:ind w:firstLine="420" w:firstLineChars="200"/>
      </w:pPr>
      <w:r>
        <w:rPr>
          <w:rFonts w:hint="eastAsia"/>
        </w:rPr>
        <w:t>图B.3  一字型摊位三台电子计价秤摆放位置示意图</w:t>
      </w:r>
    </w:p>
    <w:p w14:paraId="45224BB4">
      <w:pPr>
        <w:pStyle w:val="110"/>
        <w:numPr>
          <w:ilvl w:val="0"/>
          <w:numId w:val="0"/>
        </w:numPr>
        <w:autoSpaceDE w:val="0"/>
        <w:autoSpaceDN w:val="0"/>
        <w:spacing w:before="156" w:after="156" w:line="360" w:lineRule="auto"/>
      </w:pPr>
      <w:r>
        <w:rPr>
          <w:rFonts w:hint="eastAsia"/>
        </w:rPr>
        <w:t>B.2 扇型摊位电子计价秤摆放位置示意图</w:t>
      </w:r>
    </w:p>
    <w:p w14:paraId="25E32ED4">
      <w:pPr>
        <w:pStyle w:val="170"/>
        <w:widowControl/>
        <w:numPr>
          <w:ilvl w:val="0"/>
          <w:numId w:val="0"/>
        </w:numPr>
        <w:autoSpaceDE w:val="0"/>
        <w:autoSpaceDN w:val="0"/>
        <w:spacing w:line="360" w:lineRule="auto"/>
      </w:pPr>
      <w:r>
        <w:rPr>
          <w:rFonts w:hint="eastAsia"/>
        </w:rPr>
        <w:t>B.2.1 经营者只用一台电子计价秤时，应将其摆放在扇形摊位正中间位置，见图B.4</w:t>
      </w:r>
    </w:p>
    <w:p w14:paraId="68A6DDC3">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5703570" cy="2160270"/>
            <wp:effectExtent l="0" t="0" r="11430" b="11430"/>
            <wp:docPr id="11" name="图片 11" descr="1732504886091"/>
            <wp:cNvGraphicFramePr/>
            <a:graphic xmlns:a="http://schemas.openxmlformats.org/drawingml/2006/main">
              <a:graphicData uri="http://schemas.openxmlformats.org/drawingml/2006/picture">
                <pic:pic xmlns:pic="http://schemas.openxmlformats.org/drawingml/2006/picture">
                  <pic:nvPicPr>
                    <pic:cNvPr id="11" name="图片 11" descr="1732504886091"/>
                    <pic:cNvPicPr/>
                  </pic:nvPicPr>
                  <pic:blipFill>
                    <a:blip r:embed="rId45"/>
                    <a:stretch>
                      <a:fillRect/>
                    </a:stretch>
                  </pic:blipFill>
                  <pic:spPr>
                    <a:xfrm>
                      <a:off x="0" y="0"/>
                      <a:ext cx="5703570" cy="2160270"/>
                    </a:xfrm>
                    <a:prstGeom prst="rect">
                      <a:avLst/>
                    </a:prstGeom>
                  </pic:spPr>
                </pic:pic>
              </a:graphicData>
            </a:graphic>
          </wp:inline>
        </w:drawing>
      </w:r>
    </w:p>
    <w:p w14:paraId="2CCB6823">
      <w:pPr>
        <w:pStyle w:val="119"/>
        <w:autoSpaceDE w:val="0"/>
        <w:autoSpaceDN w:val="0"/>
        <w:spacing w:line="360" w:lineRule="auto"/>
      </w:pPr>
      <w:r>
        <w:rPr>
          <w:rFonts w:hint="eastAsia"/>
        </w:rPr>
        <w:t>图B.4  扇型摊位一台电子计价秤摆放位置示意图</w:t>
      </w:r>
    </w:p>
    <w:p w14:paraId="351F23F0">
      <w:pPr>
        <w:pStyle w:val="170"/>
        <w:widowControl/>
        <w:numPr>
          <w:ilvl w:val="0"/>
          <w:numId w:val="0"/>
        </w:numPr>
        <w:autoSpaceDE w:val="0"/>
        <w:autoSpaceDN w:val="0"/>
        <w:spacing w:line="360" w:lineRule="auto"/>
      </w:pPr>
      <w:r>
        <w:rPr>
          <w:rFonts w:hint="eastAsia"/>
        </w:rPr>
        <w:t>B.2.2 经营者使用两台电子计价秤时，应将两台电子计价秤摆放在扇形摊位三等分点位置，见图B.5</w:t>
      </w:r>
    </w:p>
    <w:p w14:paraId="11C73F20">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5713730" cy="2160270"/>
            <wp:effectExtent l="0" t="0" r="1270" b="11430"/>
            <wp:docPr id="13" name="图片 13" descr="1732504868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732504868183"/>
                    <pic:cNvPicPr>
                      <a:picLocks noChangeAspect="1"/>
                    </pic:cNvPicPr>
                  </pic:nvPicPr>
                  <pic:blipFill>
                    <a:blip r:embed="rId46"/>
                    <a:stretch>
                      <a:fillRect/>
                    </a:stretch>
                  </pic:blipFill>
                  <pic:spPr>
                    <a:xfrm>
                      <a:off x="0" y="0"/>
                      <a:ext cx="5713730" cy="2160270"/>
                    </a:xfrm>
                    <a:prstGeom prst="rect">
                      <a:avLst/>
                    </a:prstGeom>
                  </pic:spPr>
                </pic:pic>
              </a:graphicData>
            </a:graphic>
          </wp:inline>
        </w:drawing>
      </w:r>
    </w:p>
    <w:p w14:paraId="0DBFB99E">
      <w:pPr>
        <w:pStyle w:val="119"/>
        <w:autoSpaceDE w:val="0"/>
        <w:autoSpaceDN w:val="0"/>
        <w:spacing w:line="360" w:lineRule="auto"/>
      </w:pPr>
      <w:r>
        <w:rPr>
          <w:rFonts w:hint="eastAsia"/>
        </w:rPr>
        <w:t>图B.5  扇型摊位两台电子计价秤摆放位置示意图</w:t>
      </w:r>
    </w:p>
    <w:p w14:paraId="214C655C">
      <w:pPr>
        <w:pStyle w:val="170"/>
        <w:widowControl/>
        <w:numPr>
          <w:ilvl w:val="0"/>
          <w:numId w:val="0"/>
        </w:numPr>
        <w:autoSpaceDE w:val="0"/>
        <w:autoSpaceDN w:val="0"/>
        <w:spacing w:line="360" w:lineRule="auto"/>
      </w:pPr>
      <w:r>
        <w:rPr>
          <w:rFonts w:hint="eastAsia"/>
        </w:rPr>
        <w:t>B.2.3 经营者使用三台电子计价秤时，应将三台电子计价秤放在扇字型摊位四等分点位置，见图B.6</w:t>
      </w:r>
    </w:p>
    <w:p w14:paraId="637244F1">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5657850" cy="2160270"/>
            <wp:effectExtent l="0" t="0" r="0" b="11430"/>
            <wp:docPr id="14" name="图片 14" descr="1732504820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descr="1732504820847"/>
                    <pic:cNvPicPr>
                      <a:picLocks noChangeAspect="1"/>
                    </pic:cNvPicPr>
                  </pic:nvPicPr>
                  <pic:blipFill>
                    <a:blip r:embed="rId47"/>
                    <a:stretch>
                      <a:fillRect/>
                    </a:stretch>
                  </pic:blipFill>
                  <pic:spPr>
                    <a:xfrm>
                      <a:off x="0" y="0"/>
                      <a:ext cx="5657850" cy="2160270"/>
                    </a:xfrm>
                    <a:prstGeom prst="rect">
                      <a:avLst/>
                    </a:prstGeom>
                  </pic:spPr>
                </pic:pic>
              </a:graphicData>
            </a:graphic>
          </wp:inline>
        </w:drawing>
      </w:r>
    </w:p>
    <w:p w14:paraId="6A40DC80">
      <w:pPr>
        <w:pStyle w:val="119"/>
        <w:autoSpaceDE w:val="0"/>
        <w:autoSpaceDN w:val="0"/>
        <w:spacing w:line="360" w:lineRule="auto"/>
      </w:pPr>
      <w:r>
        <w:rPr>
          <w:rFonts w:hint="eastAsia"/>
        </w:rPr>
        <w:t>图B.6  扇型摊位三台电子计价秤摆放位置示意图</w:t>
      </w:r>
    </w:p>
    <w:p w14:paraId="217D308E">
      <w:pPr>
        <w:pStyle w:val="110"/>
        <w:numPr>
          <w:ilvl w:val="0"/>
          <w:numId w:val="0"/>
        </w:numPr>
        <w:autoSpaceDE w:val="0"/>
        <w:autoSpaceDN w:val="0"/>
        <w:spacing w:before="156" w:after="156" w:line="360" w:lineRule="auto"/>
      </w:pPr>
      <w:r>
        <w:rPr>
          <w:rFonts w:hint="eastAsia"/>
        </w:rPr>
        <w:t>B.3  L型摊位电子计价秤摆放位置示意图</w:t>
      </w:r>
    </w:p>
    <w:p w14:paraId="6797B52C">
      <w:pPr>
        <w:pStyle w:val="170"/>
        <w:widowControl/>
        <w:numPr>
          <w:ilvl w:val="0"/>
          <w:numId w:val="0"/>
        </w:numPr>
        <w:autoSpaceDE w:val="0"/>
        <w:autoSpaceDN w:val="0"/>
        <w:spacing w:line="360" w:lineRule="auto"/>
      </w:pPr>
      <w:r>
        <w:rPr>
          <w:rFonts w:hint="eastAsia"/>
        </w:rPr>
        <w:t>B.3.1 经营者只用一台电子计价秤时，应将其摆放在L型摊位主摊位正中间位置，见图B.7</w:t>
      </w:r>
    </w:p>
    <w:p w14:paraId="36337EF9">
      <w:pPr>
        <w:autoSpaceDE w:val="0"/>
        <w:autoSpaceDN w:val="0"/>
        <w:snapToGrid w:val="0"/>
        <w:spacing w:line="360" w:lineRule="auto"/>
        <w:jc w:val="center"/>
        <w:rPr>
          <w:rFonts w:hint="eastAsia" w:eastAsia="宋体"/>
          <w:kern w:val="0"/>
          <w:sz w:val="24"/>
          <w:lang w:eastAsia="zh-CN"/>
        </w:rPr>
      </w:pPr>
      <w:r>
        <w:rPr>
          <w:rFonts w:hint="eastAsia" w:eastAsia="宋体"/>
          <w:kern w:val="0"/>
          <w:sz w:val="24"/>
          <w:lang w:eastAsia="zh-CN"/>
        </w:rPr>
        <w:drawing>
          <wp:inline distT="0" distB="0" distL="114300" distR="114300">
            <wp:extent cx="5024755" cy="2879725"/>
            <wp:effectExtent l="0" t="0" r="4445" b="15875"/>
            <wp:docPr id="15" name="图片 15" descr="L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descr="L3"/>
                    <pic:cNvPicPr>
                      <a:picLocks noChangeAspect="1"/>
                    </pic:cNvPicPr>
                  </pic:nvPicPr>
                  <pic:blipFill>
                    <a:blip r:embed="rId48"/>
                    <a:stretch>
                      <a:fillRect/>
                    </a:stretch>
                  </pic:blipFill>
                  <pic:spPr>
                    <a:xfrm>
                      <a:off x="0" y="0"/>
                      <a:ext cx="5024755" cy="2879725"/>
                    </a:xfrm>
                    <a:prstGeom prst="rect">
                      <a:avLst/>
                    </a:prstGeom>
                  </pic:spPr>
                </pic:pic>
              </a:graphicData>
            </a:graphic>
          </wp:inline>
        </w:drawing>
      </w:r>
    </w:p>
    <w:p w14:paraId="33C5550C">
      <w:pPr>
        <w:pStyle w:val="119"/>
        <w:spacing w:line="360" w:lineRule="auto"/>
      </w:pPr>
      <w:r>
        <w:rPr>
          <w:rFonts w:hint="eastAsia"/>
        </w:rPr>
        <w:t>图B.7  L型摊位一台电子计价秤摆放位置示意图</w:t>
      </w:r>
    </w:p>
    <w:p w14:paraId="6ABA0B11">
      <w:pPr>
        <w:pStyle w:val="170"/>
        <w:widowControl/>
        <w:numPr>
          <w:ilvl w:val="0"/>
          <w:numId w:val="0"/>
        </w:numPr>
        <w:autoSpaceDE w:val="0"/>
        <w:autoSpaceDN w:val="0"/>
        <w:spacing w:line="360" w:lineRule="auto"/>
      </w:pPr>
      <w:r>
        <w:rPr>
          <w:rFonts w:hint="eastAsia"/>
        </w:rPr>
        <w:t>B.3.2 经营者使用两台电子计价秤时，应将两台电子计价秤分别放在L型摊位主副摊位正中间位置，见图B.8</w:t>
      </w:r>
    </w:p>
    <w:p w14:paraId="59F6CD65">
      <w:pPr>
        <w:autoSpaceDE w:val="0"/>
        <w:autoSpaceDN w:val="0"/>
        <w:snapToGrid w:val="0"/>
        <w:spacing w:line="360" w:lineRule="auto"/>
        <w:jc w:val="center"/>
        <w:rPr>
          <w:rFonts w:hint="eastAsia" w:eastAsia="宋体"/>
          <w:kern w:val="0"/>
          <w:sz w:val="24"/>
          <w:lang w:eastAsia="zh-CN"/>
        </w:rPr>
      </w:pPr>
      <w:r>
        <w:rPr>
          <w:rFonts w:hint="eastAsia" w:eastAsia="宋体"/>
          <w:kern w:val="0"/>
          <w:sz w:val="24"/>
          <w:lang w:eastAsia="zh-CN"/>
        </w:rPr>
        <w:drawing>
          <wp:inline distT="0" distB="0" distL="114300" distR="114300">
            <wp:extent cx="5007610" cy="2879725"/>
            <wp:effectExtent l="0" t="0" r="2540" b="15875"/>
            <wp:docPr id="17" name="图片 17" descr="L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L2"/>
                    <pic:cNvPicPr>
                      <a:picLocks noChangeAspect="1"/>
                    </pic:cNvPicPr>
                  </pic:nvPicPr>
                  <pic:blipFill>
                    <a:blip r:embed="rId49"/>
                    <a:stretch>
                      <a:fillRect/>
                    </a:stretch>
                  </pic:blipFill>
                  <pic:spPr>
                    <a:xfrm>
                      <a:off x="0" y="0"/>
                      <a:ext cx="5007610" cy="2879725"/>
                    </a:xfrm>
                    <a:prstGeom prst="rect">
                      <a:avLst/>
                    </a:prstGeom>
                  </pic:spPr>
                </pic:pic>
              </a:graphicData>
            </a:graphic>
          </wp:inline>
        </w:drawing>
      </w:r>
    </w:p>
    <w:p w14:paraId="51870E65">
      <w:pPr>
        <w:pStyle w:val="119"/>
        <w:autoSpaceDE w:val="0"/>
        <w:autoSpaceDN w:val="0"/>
        <w:snapToGrid w:val="0"/>
        <w:spacing w:line="360" w:lineRule="auto"/>
        <w:ind w:firstLine="420" w:firstLineChars="200"/>
      </w:pPr>
      <w:r>
        <w:rPr>
          <w:rFonts w:hint="eastAsia"/>
        </w:rPr>
        <w:t>图B.8  L型摊位两台电子计价秤摆放位置示意图</w:t>
      </w:r>
    </w:p>
    <w:p w14:paraId="30A742DF">
      <w:pPr>
        <w:pStyle w:val="170"/>
        <w:widowControl/>
        <w:numPr>
          <w:ilvl w:val="0"/>
          <w:numId w:val="0"/>
        </w:numPr>
        <w:autoSpaceDE w:val="0"/>
        <w:autoSpaceDN w:val="0"/>
        <w:spacing w:line="360" w:lineRule="auto"/>
      </w:pPr>
      <w:r>
        <w:rPr>
          <w:rFonts w:hint="eastAsia"/>
        </w:rPr>
        <w:t>B.3.3 经营者使用三台电子计价秤时，应将两台电子计价秤放在L型摊位主摊位三等分点位置，另一台电子计价秤放在副摊位正中间位置，见图B.9</w:t>
      </w:r>
    </w:p>
    <w:p w14:paraId="10F524BF">
      <w:pPr>
        <w:autoSpaceDE w:val="0"/>
        <w:autoSpaceDN w:val="0"/>
        <w:snapToGrid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5031105" cy="2879725"/>
            <wp:effectExtent l="0" t="0" r="17145" b="15875"/>
            <wp:docPr id="18" name="图片 18" descr="L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L1"/>
                    <pic:cNvPicPr>
                      <a:picLocks noChangeAspect="1"/>
                    </pic:cNvPicPr>
                  </pic:nvPicPr>
                  <pic:blipFill>
                    <a:blip r:embed="rId50"/>
                    <a:stretch>
                      <a:fillRect/>
                    </a:stretch>
                  </pic:blipFill>
                  <pic:spPr>
                    <a:xfrm>
                      <a:off x="0" y="0"/>
                      <a:ext cx="5031105" cy="2879725"/>
                    </a:xfrm>
                    <a:prstGeom prst="rect">
                      <a:avLst/>
                    </a:prstGeom>
                  </pic:spPr>
                </pic:pic>
              </a:graphicData>
            </a:graphic>
          </wp:inline>
        </w:drawing>
      </w:r>
    </w:p>
    <w:p w14:paraId="6ABFAFBC">
      <w:pPr>
        <w:pStyle w:val="119"/>
        <w:autoSpaceDE w:val="0"/>
        <w:autoSpaceDN w:val="0"/>
        <w:snapToGrid w:val="0"/>
        <w:spacing w:line="360" w:lineRule="auto"/>
        <w:ind w:firstLine="420" w:firstLineChars="200"/>
      </w:pPr>
      <w:r>
        <w:rPr>
          <w:rFonts w:hint="eastAsia"/>
        </w:rPr>
        <w:t>图B.9  L型摊位三台电子计价秤摆放位置示意图</w:t>
      </w:r>
    </w:p>
    <w:p w14:paraId="577215D7">
      <w:pPr>
        <w:pStyle w:val="110"/>
        <w:numPr>
          <w:ilvl w:val="0"/>
          <w:numId w:val="0"/>
        </w:numPr>
        <w:autoSpaceDE w:val="0"/>
        <w:autoSpaceDN w:val="0"/>
        <w:spacing w:before="156" w:after="156" w:line="360" w:lineRule="auto"/>
      </w:pPr>
      <w:r>
        <w:rPr>
          <w:rFonts w:hint="eastAsia"/>
        </w:rPr>
        <w:t>B.4 凹字型摊位电子计价秤摆放位置示意图</w:t>
      </w:r>
    </w:p>
    <w:p w14:paraId="08AD9F27">
      <w:pPr>
        <w:pStyle w:val="170"/>
        <w:widowControl/>
        <w:numPr>
          <w:ilvl w:val="0"/>
          <w:numId w:val="0"/>
        </w:numPr>
        <w:autoSpaceDE w:val="0"/>
        <w:autoSpaceDN w:val="0"/>
        <w:spacing w:line="360" w:lineRule="auto"/>
      </w:pPr>
      <w:r>
        <w:rPr>
          <w:rFonts w:hint="eastAsia"/>
        </w:rPr>
        <w:t>B.4.1 经营者只用一台电子计价秤时，应将其摆放在凹字形摊位主摊位位置，见图B.10</w:t>
      </w:r>
    </w:p>
    <w:p w14:paraId="47C50BE1">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3985895" cy="2570480"/>
            <wp:effectExtent l="0" t="0" r="14605" b="1270"/>
            <wp:docPr id="19" name="图片 19" descr="凹1"/>
            <wp:cNvGraphicFramePr/>
            <a:graphic xmlns:a="http://schemas.openxmlformats.org/drawingml/2006/main">
              <a:graphicData uri="http://schemas.openxmlformats.org/drawingml/2006/picture">
                <pic:pic xmlns:pic="http://schemas.openxmlformats.org/drawingml/2006/picture">
                  <pic:nvPicPr>
                    <pic:cNvPr id="19" name="图片 19" descr="凹1"/>
                    <pic:cNvPicPr/>
                  </pic:nvPicPr>
                  <pic:blipFill>
                    <a:blip r:embed="rId51"/>
                    <a:stretch>
                      <a:fillRect/>
                    </a:stretch>
                  </pic:blipFill>
                  <pic:spPr>
                    <a:xfrm>
                      <a:off x="0" y="0"/>
                      <a:ext cx="3985895" cy="2570480"/>
                    </a:xfrm>
                    <a:prstGeom prst="rect">
                      <a:avLst/>
                    </a:prstGeom>
                  </pic:spPr>
                </pic:pic>
              </a:graphicData>
            </a:graphic>
          </wp:inline>
        </w:drawing>
      </w:r>
    </w:p>
    <w:p w14:paraId="5325FA5D">
      <w:pPr>
        <w:pStyle w:val="119"/>
        <w:autoSpaceDE w:val="0"/>
        <w:autoSpaceDN w:val="0"/>
        <w:spacing w:line="360" w:lineRule="auto"/>
      </w:pPr>
      <w:r>
        <w:rPr>
          <w:rFonts w:hint="eastAsia"/>
        </w:rPr>
        <w:t>图B.10  凹字型摊位一台电子计价秤摆放位置示意图</w:t>
      </w:r>
    </w:p>
    <w:p w14:paraId="0C1EB660">
      <w:pPr>
        <w:pStyle w:val="170"/>
        <w:widowControl/>
        <w:numPr>
          <w:ilvl w:val="0"/>
          <w:numId w:val="0"/>
        </w:numPr>
        <w:autoSpaceDE w:val="0"/>
        <w:autoSpaceDN w:val="0"/>
        <w:spacing w:line="360" w:lineRule="auto"/>
      </w:pPr>
      <w:r>
        <w:rPr>
          <w:rFonts w:hint="eastAsia"/>
        </w:rPr>
        <w:t>B.4.2 经营者使用两台电子计价秤时，应将两台电子计价秤摆放在凹字形摊位主摊位三等分点位置，见图B.11</w:t>
      </w:r>
    </w:p>
    <w:p w14:paraId="5663A66A">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3963035" cy="2570480"/>
            <wp:effectExtent l="0" t="0" r="18415" b="1270"/>
            <wp:docPr id="22" name="图片 22" descr="凹2"/>
            <wp:cNvGraphicFramePr/>
            <a:graphic xmlns:a="http://schemas.openxmlformats.org/drawingml/2006/main">
              <a:graphicData uri="http://schemas.openxmlformats.org/drawingml/2006/picture">
                <pic:pic xmlns:pic="http://schemas.openxmlformats.org/drawingml/2006/picture">
                  <pic:nvPicPr>
                    <pic:cNvPr id="22" name="图片 22" descr="凹2"/>
                    <pic:cNvPicPr/>
                  </pic:nvPicPr>
                  <pic:blipFill>
                    <a:blip r:embed="rId52"/>
                    <a:stretch>
                      <a:fillRect/>
                    </a:stretch>
                  </pic:blipFill>
                  <pic:spPr>
                    <a:xfrm>
                      <a:off x="0" y="0"/>
                      <a:ext cx="3963035" cy="2570480"/>
                    </a:xfrm>
                    <a:prstGeom prst="rect">
                      <a:avLst/>
                    </a:prstGeom>
                  </pic:spPr>
                </pic:pic>
              </a:graphicData>
            </a:graphic>
          </wp:inline>
        </w:drawing>
      </w:r>
    </w:p>
    <w:p w14:paraId="0B863323">
      <w:pPr>
        <w:pStyle w:val="119"/>
        <w:autoSpaceDE w:val="0"/>
        <w:autoSpaceDN w:val="0"/>
        <w:spacing w:line="360" w:lineRule="auto"/>
      </w:pPr>
      <w:r>
        <w:rPr>
          <w:rFonts w:hint="eastAsia"/>
        </w:rPr>
        <w:t>图B.11  凹字型摊位两台电子计价秤摆放位置示意图</w:t>
      </w:r>
    </w:p>
    <w:p w14:paraId="144A4BD8">
      <w:pPr>
        <w:pStyle w:val="170"/>
        <w:widowControl/>
        <w:numPr>
          <w:ilvl w:val="0"/>
          <w:numId w:val="0"/>
        </w:numPr>
        <w:autoSpaceDE w:val="0"/>
        <w:autoSpaceDN w:val="0"/>
        <w:spacing w:line="360" w:lineRule="auto"/>
      </w:pPr>
      <w:r>
        <w:rPr>
          <w:rFonts w:hint="eastAsia"/>
        </w:rPr>
        <w:t>B.4.3 经营者使用三台电子计价秤时，应将三台电子计价秤分别放在凹字型摊位一主二副摊位正中间位置，见图B.12</w:t>
      </w:r>
    </w:p>
    <w:p w14:paraId="60684D5C">
      <w:pPr>
        <w:widowControl/>
        <w:tabs>
          <w:tab w:val="center" w:pos="4201"/>
          <w:tab w:val="right" w:leader="dot" w:pos="9298"/>
        </w:tabs>
        <w:autoSpaceDE w:val="0"/>
        <w:autoSpaceDN w:val="0"/>
        <w:spacing w:line="360" w:lineRule="auto"/>
        <w:jc w:val="center"/>
        <w:rPr>
          <w:rFonts w:hint="eastAsia" w:eastAsia="宋体" w:cs="宋体"/>
          <w:kern w:val="0"/>
          <w:sz w:val="24"/>
          <w:lang w:eastAsia="zh-CN"/>
        </w:rPr>
      </w:pPr>
      <w:r>
        <w:rPr>
          <w:rFonts w:hint="eastAsia" w:eastAsia="宋体" w:cs="宋体"/>
          <w:kern w:val="0"/>
          <w:sz w:val="24"/>
          <w:lang w:eastAsia="zh-CN"/>
        </w:rPr>
        <w:drawing>
          <wp:inline distT="0" distB="0" distL="114300" distR="114300">
            <wp:extent cx="3937000" cy="2570480"/>
            <wp:effectExtent l="0" t="0" r="6350" b="1270"/>
            <wp:docPr id="23" name="图片 23" descr="凹3"/>
            <wp:cNvGraphicFramePr/>
            <a:graphic xmlns:a="http://schemas.openxmlformats.org/drawingml/2006/main">
              <a:graphicData uri="http://schemas.openxmlformats.org/drawingml/2006/picture">
                <pic:pic xmlns:pic="http://schemas.openxmlformats.org/drawingml/2006/picture">
                  <pic:nvPicPr>
                    <pic:cNvPr id="23" name="图片 23" descr="凹3"/>
                    <pic:cNvPicPr/>
                  </pic:nvPicPr>
                  <pic:blipFill>
                    <a:blip r:embed="rId53"/>
                    <a:stretch>
                      <a:fillRect/>
                    </a:stretch>
                  </pic:blipFill>
                  <pic:spPr>
                    <a:xfrm>
                      <a:off x="0" y="0"/>
                      <a:ext cx="3937000" cy="2570480"/>
                    </a:xfrm>
                    <a:prstGeom prst="rect">
                      <a:avLst/>
                    </a:prstGeom>
                  </pic:spPr>
                </pic:pic>
              </a:graphicData>
            </a:graphic>
          </wp:inline>
        </w:drawing>
      </w:r>
    </w:p>
    <w:p w14:paraId="52F6E7B3">
      <w:pPr>
        <w:pStyle w:val="119"/>
        <w:autoSpaceDE w:val="0"/>
        <w:autoSpaceDN w:val="0"/>
        <w:spacing w:line="360" w:lineRule="auto"/>
      </w:pPr>
      <w:r>
        <w:rPr>
          <w:rFonts w:hint="eastAsia"/>
        </w:rPr>
        <w:t>图B.12  凹字型摊位三台电子计价秤摆放位置示意图</w:t>
      </w:r>
    </w:p>
    <w:p w14:paraId="53E00814">
      <w:pPr>
        <w:widowControl/>
        <w:tabs>
          <w:tab w:val="center" w:pos="4201"/>
          <w:tab w:val="right" w:leader="dot" w:pos="9298"/>
        </w:tabs>
        <w:autoSpaceDE w:val="0"/>
        <w:autoSpaceDN w:val="0"/>
        <w:spacing w:line="360" w:lineRule="auto"/>
        <w:jc w:val="center"/>
        <w:rPr>
          <w:rFonts w:cs="宋体"/>
          <w:kern w:val="0"/>
          <w:sz w:val="24"/>
        </w:rPr>
        <w:sectPr>
          <w:headerReference r:id="rId15" w:type="default"/>
          <w:footerReference r:id="rId17" w:type="default"/>
          <w:headerReference r:id="rId16" w:type="even"/>
          <w:footerReference r:id="rId18" w:type="even"/>
          <w:pgSz w:w="11906" w:h="16838"/>
          <w:pgMar w:top="1928" w:right="1134" w:bottom="1134" w:left="1134" w:header="1418" w:footer="1134" w:gutter="284"/>
          <w:pgNumType w:start="1"/>
          <w:cols w:space="425" w:num="1"/>
          <w:formProt w:val="0"/>
          <w:docGrid w:type="lines" w:linePitch="312" w:charSpace="0"/>
        </w:sectPr>
      </w:pPr>
    </w:p>
    <w:bookmarkEnd w:id="23"/>
    <w:p w14:paraId="0860831B">
      <w:pPr>
        <w:pStyle w:val="203"/>
        <w:rPr>
          <w:vanish w:val="0"/>
        </w:rPr>
      </w:pPr>
      <w:bookmarkStart w:id="102" w:name="BookMark5"/>
    </w:p>
    <w:p w14:paraId="2A205F5C">
      <w:pPr>
        <w:pStyle w:val="204"/>
        <w:rPr>
          <w:vanish w:val="0"/>
        </w:rPr>
      </w:pPr>
    </w:p>
    <w:bookmarkEnd w:id="102"/>
    <w:p w14:paraId="5551B758">
      <w:pPr>
        <w:pStyle w:val="68"/>
        <w:spacing w:after="156"/>
      </w:pPr>
      <w:bookmarkStart w:id="103" w:name="_Toc183011552"/>
      <w:bookmarkStart w:id="104" w:name="BookMark6"/>
      <w:r>
        <w:rPr>
          <w:rFonts w:hint="eastAsia"/>
          <w:spacing w:val="105"/>
        </w:rPr>
        <w:t>参考文</w:t>
      </w:r>
      <w:r>
        <w:rPr>
          <w:rFonts w:hint="eastAsia"/>
        </w:rPr>
        <w:t>献</w:t>
      </w:r>
      <w:bookmarkEnd w:id="103"/>
    </w:p>
    <w:p w14:paraId="4DEADB6D">
      <w:pPr>
        <w:pStyle w:val="61"/>
        <w:ind w:firstLine="420"/>
      </w:pPr>
      <w:r>
        <w:rPr>
          <w:rFonts w:hint="eastAsia"/>
        </w:rPr>
        <w:t xml:space="preserve">[1] </w:t>
      </w:r>
      <w:r>
        <w:t>GB/T 14258 信息技术 自动识别与数据采集技术条码符号印刷质量的检验</w:t>
      </w:r>
    </w:p>
    <w:p w14:paraId="0E9EAE35">
      <w:pPr>
        <w:pStyle w:val="61"/>
        <w:ind w:firstLine="420"/>
      </w:pPr>
      <w:r>
        <w:rPr>
          <w:rFonts w:hint="eastAsia"/>
        </w:rPr>
        <w:t>[2] GB/T 18284 快速响应矩阵码</w:t>
      </w:r>
    </w:p>
    <w:p w14:paraId="4540EE59">
      <w:pPr>
        <w:pStyle w:val="61"/>
        <w:ind w:firstLine="420"/>
      </w:pPr>
      <w:r>
        <w:rPr>
          <w:rFonts w:hint="eastAsia"/>
        </w:rPr>
        <w:t>[3] DB32/T 4464-2023 零售商品用电子计价秤使用规范</w:t>
      </w:r>
    </w:p>
    <w:p w14:paraId="46F80CAA">
      <w:pPr>
        <w:pStyle w:val="61"/>
        <w:ind w:firstLine="420"/>
      </w:pPr>
    </w:p>
    <w:p w14:paraId="6EAA43D5">
      <w:pPr>
        <w:pStyle w:val="61"/>
        <w:spacing w:line="360" w:lineRule="auto"/>
        <w:ind w:firstLine="420"/>
        <w:jc w:val="center"/>
      </w:pPr>
    </w:p>
    <w:p w14:paraId="15CEAF22">
      <w:pPr>
        <w:widowControl/>
        <w:tabs>
          <w:tab w:val="center" w:pos="4201"/>
          <w:tab w:val="right" w:leader="dot" w:pos="9298"/>
        </w:tabs>
        <w:autoSpaceDE w:val="0"/>
        <w:autoSpaceDN w:val="0"/>
        <w:spacing w:line="360" w:lineRule="auto"/>
        <w:jc w:val="center"/>
        <w:rPr>
          <w:rFonts w:cs="宋体"/>
          <w:kern w:val="0"/>
          <w:sz w:val="24"/>
        </w:rPr>
      </w:pPr>
    </w:p>
    <w:bookmarkEnd w:id="104"/>
    <w:p w14:paraId="71C8C6FA">
      <w:pPr>
        <w:widowControl/>
        <w:tabs>
          <w:tab w:val="center" w:pos="4201"/>
          <w:tab w:val="right" w:leader="dot" w:pos="9298"/>
        </w:tabs>
        <w:autoSpaceDE w:val="0"/>
        <w:autoSpaceDN w:val="0"/>
        <w:spacing w:line="360" w:lineRule="auto"/>
        <w:jc w:val="center"/>
        <w:rPr>
          <w:rFonts w:cs="宋体"/>
          <w:kern w:val="0"/>
          <w:sz w:val="24"/>
        </w:rPr>
      </w:pPr>
    </w:p>
    <w:p w14:paraId="153FD9A8">
      <w:pPr>
        <w:pStyle w:val="61"/>
        <w:spacing w:line="360" w:lineRule="auto"/>
        <w:ind w:firstLine="0" w:firstLineChars="0"/>
        <w:jc w:val="center"/>
      </w:pPr>
      <w:bookmarkStart w:id="105" w:name="BookMark8"/>
      <w:r>
        <w:drawing>
          <wp:inline distT="0" distB="0" distL="0" distR="0">
            <wp:extent cx="1485900" cy="317500"/>
            <wp:effectExtent l="0" t="0" r="0" b="6350"/>
            <wp:docPr id="1975097903" name="图片 3"/>
            <wp:cNvGraphicFramePr/>
            <a:graphic xmlns:a="http://schemas.openxmlformats.org/drawingml/2006/main">
              <a:graphicData uri="http://schemas.openxmlformats.org/drawingml/2006/picture">
                <pic:pic xmlns:pic="http://schemas.openxmlformats.org/drawingml/2006/picture">
                  <pic:nvPicPr>
                    <pic:cNvPr id="1975097903" name="图片 3"/>
                    <pic:cNvPicPr/>
                  </pic:nvPicPr>
                  <pic:blipFill>
                    <a:blip r:embed="rId54">
                      <a:extLst>
                        <a:ext uri="{28A0092B-C50C-407E-A947-70E740481C1C}">
                          <a14:useLocalDpi xmlns:a14="http://schemas.microsoft.com/office/drawing/2010/main" val="0"/>
                        </a:ext>
                      </a:extLst>
                    </a:blip>
                    <a:stretch>
                      <a:fillRect/>
                    </a:stretch>
                  </pic:blipFill>
                  <pic:spPr>
                    <a:xfrm>
                      <a:off x="0" y="0"/>
                      <a:ext cx="1485900" cy="317500"/>
                    </a:xfrm>
                    <a:prstGeom prst="rect">
                      <a:avLst/>
                    </a:prstGeom>
                  </pic:spPr>
                </pic:pic>
              </a:graphicData>
            </a:graphic>
          </wp:inline>
        </w:drawing>
      </w:r>
      <w:bookmarkEnd w:id="105"/>
    </w:p>
    <w:sectPr>
      <w:headerReference r:id="rId19" w:type="default"/>
      <w:footerReference r:id="rId21" w:type="default"/>
      <w:headerReference r:id="rId20" w:type="even"/>
      <w:footerReference r:id="rId22" w:type="even"/>
      <w:pgSz w:w="11906" w:h="16838"/>
      <w:pgMar w:top="1928" w:right="1134" w:bottom="1134" w:left="1134" w:header="1418" w:footer="1134" w:gutter="284"/>
      <w:pgNumType w:start="0"/>
      <w:cols w:space="425" w:num="1"/>
      <w:formProt w:val="0"/>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299A5FA">
    <w:pPr>
      <w:pStyle w:val="1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F124845">
    <w:pPr>
      <w:pStyle w:val="19"/>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4C921B6">
    <w:pPr>
      <w:pStyle w:val="19"/>
      <w:ind w:right="720"/>
      <w:jc w:val="both"/>
      <w:rPr>
        <w:sz w:val="2"/>
        <w:szCs w:val="2"/>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A60F3C5">
    <w:pPr>
      <w:pStyle w:val="57"/>
    </w:pPr>
    <w:r>
      <w:fldChar w:fldCharType="begin"/>
    </w:r>
    <w:r>
      <w:instrText xml:space="preserve">PAGE   \* MERGEFORMAT</w:instrText>
    </w:r>
    <w:r>
      <w:fldChar w:fldCharType="separate"/>
    </w:r>
    <w:r>
      <w:rPr>
        <w:lang w:val="zh-CN"/>
      </w:rPr>
      <w:t>I</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7F4C59">
    <w:pPr>
      <w:pStyle w:val="56"/>
    </w:pPr>
    <w:r>
      <w:fldChar w:fldCharType="begin"/>
    </w:r>
    <w:r>
      <w:instrText xml:space="preserve"> PAGE   \* MERGEFORMAT \* MERGEFORMAT </w:instrText>
    </w:r>
    <w:r>
      <w:fldChar w:fldCharType="separate"/>
    </w:r>
    <w:r>
      <w:t>II</w:t>
    </w:r>
    <w: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E21F9F5">
    <w:pPr>
      <w:pStyle w:val="57"/>
    </w:pPr>
    <w:r>
      <w:fldChar w:fldCharType="begin"/>
    </w:r>
    <w:r>
      <w:instrText xml:space="preserve">PAGE   \* MERGEFORMAT</w:instrText>
    </w:r>
    <w:r>
      <w:fldChar w:fldCharType="separate"/>
    </w:r>
    <w:r>
      <w:rPr>
        <w:lang w:val="zh-CN"/>
      </w:rPr>
      <w:t>11</w:t>
    </w:r>
    <w: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006792E">
    <w:pPr>
      <w:pStyle w:val="56"/>
    </w:pPr>
    <w:r>
      <w:fldChar w:fldCharType="begin"/>
    </w:r>
    <w:r>
      <w:instrText xml:space="preserve"> PAGE   \* MERGEFORMAT \* MERGEFORMAT </w:instrText>
    </w:r>
    <w:r>
      <w:fldChar w:fldCharType="separate"/>
    </w:r>
    <w:r>
      <w:t>10</w:t>
    </w:r>
    <w: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D57BDBD">
    <w:pPr>
      <w:pStyle w:val="57"/>
    </w:pPr>
    <w:r>
      <w:fldChar w:fldCharType="begin"/>
    </w:r>
    <w:r>
      <w:instrText xml:space="preserve">PAGE   \* MERGEFORMAT</w:instrText>
    </w:r>
    <w:r>
      <w:fldChar w:fldCharType="separate"/>
    </w:r>
    <w:r>
      <w:rPr>
        <w:lang w:val="zh-CN"/>
      </w:rPr>
      <w:t>2</w:t>
    </w:r>
    <w: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E75A9DA">
    <w:pPr>
      <w:pStyle w:val="56"/>
    </w:pPr>
    <w:r>
      <w:fldChar w:fldCharType="begin"/>
    </w:r>
    <w:r>
      <w:instrText xml:space="preserve"> PAGE   \* MERGEFORMAT \* MERGEFORMAT </w:instrText>
    </w:r>
    <w:r>
      <w:fldChar w:fldCharType="separate"/>
    </w:r>
    <w:r>
      <w:t>0</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pPr>
      <w:r>
        <w:separator/>
      </w:r>
    </w:p>
  </w:footnote>
  <w:footnote w:type="continuationSeparator" w:id="1">
    <w:p>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B786D68">
    <w:pPr>
      <w:pStyle w:val="20"/>
      <w:wordWrap w:val="0"/>
      <w:jc w:val="right"/>
      <w:rPr>
        <w:rFonts w:ascii="黑体" w:hAnsi="黑体" w:eastAsia="黑体"/>
      </w:rPr>
    </w:pPr>
    <w:r>
      <w:rPr>
        <w:rFonts w:ascii="黑体" w:hAnsi="黑体" w:eastAsia="黑体"/>
      </w:rPr>
      <w:t>Q/LB.</w:t>
    </w:r>
    <w:r>
      <w:rPr>
        <w:rFonts w:hint="eastAsia" w:ascii="黑体" w:hAnsi="黑体" w:eastAsia="黑体"/>
      </w:rPr>
      <w:t>□</w:t>
    </w:r>
    <w:r>
      <w:rPr>
        <w:rFonts w:ascii="黑体" w:hAnsi="黑体" w:eastAsia="黑体"/>
      </w:rPr>
      <w:t>XXXXX-XXXX</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23C461">
    <w:pPr>
      <w:pStyle w:val="2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6CCF28B">
    <w:pPr>
      <w:pStyle w:val="20"/>
      <w:jc w:val="both"/>
      <w:rPr>
        <w:sz w:val="2"/>
        <w:szCs w:val="2"/>
      </w:rP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5CDBFFD2">
    <w:pPr>
      <w:pStyle w:val="66"/>
    </w:pPr>
    <w:r>
      <w:fldChar w:fldCharType="begin"/>
    </w:r>
    <w:r>
      <w:instrText xml:space="preserve"> STYLEREF  标准文件_文件编号  \* MERGEFORMAT </w:instrText>
    </w:r>
    <w:r>
      <w:fldChar w:fldCharType="separate"/>
    </w:r>
    <w:r>
      <w:t>DB 32/T XXXX—XXXX</w:t>
    </w:r>
    <w:r>
      <w:fldChar w:fldCharType="end"/>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489433">
    <w:pPr>
      <w:pStyle w:val="67"/>
      <w:jc w:val="right"/>
      <w:rPr>
        <w:lang w:val="fr-FR"/>
      </w:rPr>
    </w:pPr>
    <w:r>
      <w:rPr>
        <w:rFonts w:hint="eastAsia"/>
      </w:rPr>
      <w:fldChar w:fldCharType="begin"/>
    </w:r>
    <w:r>
      <w:rPr>
        <w:rFonts w:hint="eastAsia"/>
      </w:rPr>
      <w:instrText xml:space="preserve"> </w:instrText>
    </w:r>
    <w:r>
      <w:instrText xml:space="preserve">STYLEREF  标准文件_文件编号 \* MERGEFORMAT</w:instrText>
    </w:r>
    <w:r>
      <w:rPr>
        <w:rFonts w:hint="eastAsia"/>
      </w:rPr>
      <w:instrText xml:space="preserve"> </w:instrText>
    </w:r>
    <w:r>
      <w:rPr>
        <w:rFonts w:hint="eastAsia"/>
      </w:rPr>
      <w:fldChar w:fldCharType="separate"/>
    </w:r>
    <w:r>
      <w:rPr>
        <w:rFonts w:hint="eastAsia"/>
      </w:rPr>
      <w:t>DB 32/T XXXX—XXXX</w:t>
    </w:r>
    <w:r>
      <w:rPr>
        <w:rFonts w:hint="eastAsia"/>
      </w:rPr>
      <w:fldChar w:fldCharType="end"/>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F82F00F">
    <w:pPr>
      <w:pStyle w:val="66"/>
    </w:pPr>
    <w:r>
      <w:fldChar w:fldCharType="begin"/>
    </w:r>
    <w:r>
      <w:instrText xml:space="preserve"> STYLEREF  标准文件_文件编号  \* MERGEFORMAT </w:instrText>
    </w:r>
    <w:r>
      <w:fldChar w:fldCharType="separate"/>
    </w:r>
    <w:r>
      <w:t>DB 32/T XXXX—XXXX</w:t>
    </w:r>
    <w:r>
      <w:fldChar w:fldCharType="end"/>
    </w: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AD98647">
    <w:pPr>
      <w:pStyle w:val="67"/>
      <w:jc w:val="right"/>
      <w:rPr>
        <w:lang w:val="fr-FR"/>
      </w:rPr>
    </w:pPr>
    <w:r>
      <w:rPr>
        <w:rFonts w:hint="eastAsia"/>
      </w:rPr>
      <w:fldChar w:fldCharType="begin"/>
    </w:r>
    <w:r>
      <w:rPr>
        <w:rFonts w:hint="eastAsia"/>
      </w:rPr>
      <w:instrText xml:space="preserve"> STYLEREF  标准文件_文件编号 \* MERGEFORMAT </w:instrText>
    </w:r>
    <w:r>
      <w:rPr>
        <w:rFonts w:hint="eastAsia"/>
      </w:rPr>
      <w:fldChar w:fldCharType="separate"/>
    </w:r>
    <w:r>
      <w:rPr>
        <w:rFonts w:hint="eastAsia"/>
      </w:rPr>
      <w:t>DB 32/T XXXX—XXXX</w:t>
    </w:r>
    <w:r>
      <w:rPr>
        <w:rFonts w:hint="eastAsia"/>
      </w:rPr>
      <w:fldChar w:fldCharType="end"/>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C0A6499">
    <w:pPr>
      <w:pStyle w:val="66"/>
    </w:pPr>
    <w:r>
      <w:fldChar w:fldCharType="begin"/>
    </w:r>
    <w:r>
      <w:instrText xml:space="preserve"> STYLEREF  标准文件_文件编号  \* MERGEFORMAT </w:instrText>
    </w:r>
    <w:r>
      <w:fldChar w:fldCharType="separate"/>
    </w:r>
    <w:r>
      <w:t>DB 32/T XXXX—XXXX</w:t>
    </w:r>
    <w: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C724C43">
    <w:pPr>
      <w:pStyle w:val="67"/>
      <w:jc w:val="right"/>
      <w:rPr>
        <w:lang w:val="fr-FR"/>
      </w:rPr>
    </w:pPr>
    <w:r>
      <w:rPr>
        <w:rFonts w:hint="eastAsia"/>
      </w:rPr>
      <w:fldChar w:fldCharType="begin"/>
    </w:r>
    <w:r>
      <w:rPr>
        <w:rFonts w:hint="eastAsia"/>
      </w:rPr>
      <w:instrText xml:space="preserve"> STYLEREF  标准文件_文件编号 \* MERGEFORMAT </w:instrText>
    </w:r>
    <w:r>
      <w:rPr>
        <w:rFonts w:hint="eastAsia"/>
      </w:rPr>
      <w:fldChar w:fldCharType="separate"/>
    </w:r>
    <w:r>
      <w:rPr>
        <w:rFonts w:hint="eastAsia"/>
      </w:rPr>
      <w:t>DB 32/T XXXX—XXXX</w:t>
    </w:r>
    <w:r>
      <w:rPr>
        <w:rFonts w:hint="eastAsia"/>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2837933"/>
    <w:multiLevelType w:val="multilevel"/>
    <w:tmpl w:val="02837933"/>
    <w:lvl w:ilvl="0" w:tentative="0">
      <w:start w:val="1"/>
      <w:numFmt w:val="decimal"/>
      <w:pStyle w:val="69"/>
      <w:lvlText w:val="[%1]"/>
      <w:lvlJc w:val="left"/>
      <w:pPr>
        <w:tabs>
          <w:tab w:val="left" w:pos="1646"/>
        </w:tabs>
        <w:ind w:left="1646" w:hanging="648"/>
      </w:pPr>
    </w:lvl>
    <w:lvl w:ilvl="1" w:tentative="0">
      <w:start w:val="1"/>
      <w:numFmt w:val="lowerLetter"/>
      <w:lvlText w:val="%2)"/>
      <w:lvlJc w:val="left"/>
      <w:pPr>
        <w:tabs>
          <w:tab w:val="left" w:pos="1838"/>
        </w:tabs>
        <w:ind w:left="1838" w:hanging="420"/>
      </w:pPr>
    </w:lvl>
    <w:lvl w:ilvl="2" w:tentative="0">
      <w:start w:val="1"/>
      <w:numFmt w:val="lowerRoman"/>
      <w:lvlText w:val="%3."/>
      <w:lvlJc w:val="right"/>
      <w:pPr>
        <w:tabs>
          <w:tab w:val="left" w:pos="2258"/>
        </w:tabs>
        <w:ind w:left="2258" w:hanging="420"/>
      </w:pPr>
    </w:lvl>
    <w:lvl w:ilvl="3" w:tentative="0">
      <w:start w:val="1"/>
      <w:numFmt w:val="decimal"/>
      <w:lvlText w:val="%4."/>
      <w:lvlJc w:val="left"/>
      <w:pPr>
        <w:tabs>
          <w:tab w:val="left" w:pos="2678"/>
        </w:tabs>
        <w:ind w:left="2678" w:hanging="420"/>
      </w:pPr>
    </w:lvl>
    <w:lvl w:ilvl="4" w:tentative="0">
      <w:start w:val="1"/>
      <w:numFmt w:val="lowerLetter"/>
      <w:lvlText w:val="%5)"/>
      <w:lvlJc w:val="left"/>
      <w:pPr>
        <w:tabs>
          <w:tab w:val="left" w:pos="3098"/>
        </w:tabs>
        <w:ind w:left="3098" w:hanging="420"/>
      </w:pPr>
    </w:lvl>
    <w:lvl w:ilvl="5" w:tentative="0">
      <w:start w:val="1"/>
      <w:numFmt w:val="lowerRoman"/>
      <w:lvlText w:val="%6."/>
      <w:lvlJc w:val="right"/>
      <w:pPr>
        <w:tabs>
          <w:tab w:val="left" w:pos="3518"/>
        </w:tabs>
        <w:ind w:left="3518" w:hanging="420"/>
      </w:pPr>
    </w:lvl>
    <w:lvl w:ilvl="6" w:tentative="0">
      <w:start w:val="1"/>
      <w:numFmt w:val="decimal"/>
      <w:lvlText w:val="%7."/>
      <w:lvlJc w:val="left"/>
      <w:pPr>
        <w:tabs>
          <w:tab w:val="left" w:pos="3938"/>
        </w:tabs>
        <w:ind w:left="3938" w:hanging="420"/>
      </w:pPr>
    </w:lvl>
    <w:lvl w:ilvl="7" w:tentative="0">
      <w:start w:val="1"/>
      <w:numFmt w:val="lowerLetter"/>
      <w:lvlText w:val="%8)"/>
      <w:lvlJc w:val="left"/>
      <w:pPr>
        <w:tabs>
          <w:tab w:val="left" w:pos="4358"/>
        </w:tabs>
        <w:ind w:left="4358" w:hanging="420"/>
      </w:pPr>
    </w:lvl>
    <w:lvl w:ilvl="8" w:tentative="0">
      <w:start w:val="1"/>
      <w:numFmt w:val="lowerRoman"/>
      <w:lvlText w:val="%9."/>
      <w:lvlJc w:val="right"/>
      <w:pPr>
        <w:tabs>
          <w:tab w:val="left" w:pos="4778"/>
        </w:tabs>
        <w:ind w:left="4778" w:hanging="420"/>
      </w:pPr>
    </w:lvl>
  </w:abstractNum>
  <w:abstractNum w:abstractNumId="1">
    <w:nsid w:val="040A15CD"/>
    <w:multiLevelType w:val="multilevel"/>
    <w:tmpl w:val="040A15CD"/>
    <w:lvl w:ilvl="0" w:tentative="0">
      <w:start w:val="1"/>
      <w:numFmt w:val="none"/>
      <w:suff w:val="nothing"/>
      <w:lvlText w:val="　"/>
      <w:lvlJc w:val="left"/>
      <w:pPr>
        <w:ind w:left="0" w:firstLine="0"/>
      </w:pPr>
    </w:lvl>
    <w:lvl w:ilvl="1" w:tentative="0">
      <w:start w:val="1"/>
      <w:numFmt w:val="decimal"/>
      <w:isLgl/>
      <w:suff w:val="nothing"/>
      <w:lvlText w:val="%2　"/>
      <w:lvlJc w:val="left"/>
      <w:pPr>
        <w:ind w:left="0" w:firstLine="0"/>
      </w:pPr>
    </w:lvl>
    <w:lvl w:ilvl="2" w:tentative="0">
      <w:start w:val="1"/>
      <w:numFmt w:val="decimal"/>
      <w:pStyle w:val="164"/>
      <w:suff w:val="nothing"/>
      <w:lvlText w:val="%1%2.%3　"/>
      <w:lvlJc w:val="left"/>
      <w:pPr>
        <w:ind w:left="0" w:firstLine="0"/>
      </w:pPr>
    </w:lvl>
    <w:lvl w:ilvl="3" w:tentative="0">
      <w:start w:val="1"/>
      <w:numFmt w:val="decimal"/>
      <w:pStyle w:val="123"/>
      <w:suff w:val="nothing"/>
      <w:lvlText w:val="%1%2.%3.%4　"/>
      <w:lvlJc w:val="left"/>
      <w:pPr>
        <w:ind w:left="0" w:firstLine="0"/>
      </w:pPr>
    </w:lvl>
    <w:lvl w:ilvl="4" w:tentative="0">
      <w:start w:val="1"/>
      <w:numFmt w:val="decimal"/>
      <w:pStyle w:val="158"/>
      <w:suff w:val="nothing"/>
      <w:lvlText w:val="%1%2.%3.%4.%5　"/>
      <w:lvlJc w:val="left"/>
      <w:pPr>
        <w:ind w:left="0" w:firstLine="0"/>
      </w:pPr>
    </w:lvl>
    <w:lvl w:ilvl="5" w:tentative="0">
      <w:start w:val="1"/>
      <w:numFmt w:val="decimal"/>
      <w:pStyle w:val="160"/>
      <w:suff w:val="nothing"/>
      <w:lvlText w:val="%1%2.%3.%4.%5.%6　"/>
      <w:lvlJc w:val="left"/>
      <w:pPr>
        <w:ind w:left="0" w:firstLine="0"/>
      </w:pPr>
    </w:lvl>
    <w:lvl w:ilvl="6" w:tentative="0">
      <w:start w:val="1"/>
      <w:numFmt w:val="decimal"/>
      <w:pStyle w:val="163"/>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
    <w:nsid w:val="079102AD"/>
    <w:multiLevelType w:val="multilevel"/>
    <w:tmpl w:val="079102AD"/>
    <w:lvl w:ilvl="0" w:tentative="0">
      <w:start w:val="1"/>
      <w:numFmt w:val="decimal"/>
      <w:pStyle w:val="185"/>
      <w:suff w:val="nothing"/>
      <w:lvlText w:val="注%1："/>
      <w:lvlJc w:val="left"/>
      <w:pPr>
        <w:ind w:left="811" w:hanging="448"/>
      </w:pPr>
      <w:rPr>
        <w:rFonts w:hint="eastAsia" w:ascii="黑体" w:eastAsia="黑体"/>
        <w:b w:val="0"/>
        <w:i w:val="0"/>
        <w:sz w:val="18"/>
      </w:rPr>
    </w:lvl>
    <w:lvl w:ilvl="1" w:tentative="0">
      <w:start w:val="1"/>
      <w:numFmt w:val="lowerLetter"/>
      <w:lvlText w:val="%2)"/>
      <w:lvlJc w:val="left"/>
      <w:pPr>
        <w:tabs>
          <w:tab w:val="left" w:pos="0"/>
        </w:tabs>
        <w:ind w:left="992" w:hanging="629"/>
      </w:pPr>
      <w:rPr>
        <w:rFonts w:hint="eastAsia"/>
      </w:rPr>
    </w:lvl>
    <w:lvl w:ilvl="2" w:tentative="0">
      <w:start w:val="1"/>
      <w:numFmt w:val="lowerRoman"/>
      <w:lvlText w:val="%3."/>
      <w:lvlJc w:val="right"/>
      <w:pPr>
        <w:tabs>
          <w:tab w:val="left" w:pos="0"/>
        </w:tabs>
        <w:ind w:left="992" w:hanging="629"/>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3">
    <w:nsid w:val="07ED3FEA"/>
    <w:multiLevelType w:val="multilevel"/>
    <w:tmpl w:val="07ED3FEA"/>
    <w:lvl w:ilvl="0" w:tentative="0">
      <w:start w:val="1"/>
      <w:numFmt w:val="none"/>
      <w:pStyle w:val="94"/>
      <w:lvlText w:val="%1"/>
      <w:lvlJc w:val="left"/>
      <w:pPr>
        <w:ind w:left="425" w:hanging="425"/>
      </w:pPr>
      <w:rPr>
        <w:rFonts w:hint="eastAsia"/>
      </w:rPr>
    </w:lvl>
    <w:lvl w:ilvl="1" w:tentative="0">
      <w:start w:val="1"/>
      <w:numFmt w:val="decimal"/>
      <w:pStyle w:val="205"/>
      <w:suff w:val="nothing"/>
      <w:lvlText w:val="%10.%2 "/>
      <w:lvlJc w:val="left"/>
      <w:pPr>
        <w:ind w:left="0" w:firstLine="0"/>
      </w:pPr>
      <w:rPr>
        <w:rFonts w:hint="eastAsia" w:ascii="黑体" w:eastAsia="黑体" w:hAnsiTheme="minorHAnsi"/>
        <w:b w:val="0"/>
        <w:i w:val="0"/>
        <w:sz w:val="21"/>
      </w:rPr>
    </w:lvl>
    <w:lvl w:ilvl="2" w:tentative="0">
      <w:start w:val="1"/>
      <w:numFmt w:val="decimal"/>
      <w:pStyle w:val="206"/>
      <w:suff w:val="nothing"/>
      <w:lvlText w:val="%10.%2.%3 "/>
      <w:lvlJc w:val="left"/>
      <w:pPr>
        <w:ind w:left="0" w:firstLine="0"/>
      </w:pPr>
      <w:rPr>
        <w:rFonts w:hint="eastAsia" w:ascii="黑体" w:eastAsia="黑体" w:hAnsiTheme="minorHAnsi"/>
        <w:b w:val="0"/>
        <w:i w:val="0"/>
        <w:sz w:val="21"/>
      </w:rPr>
    </w:lvl>
    <w:lvl w:ilvl="3" w:tentative="0">
      <w:start w:val="1"/>
      <w:numFmt w:val="decimal"/>
      <w:pStyle w:val="207"/>
      <w:suff w:val="nothing"/>
      <w:lvlText w:val="%10.%2.%3.%4 "/>
      <w:lvlJc w:val="left"/>
      <w:pPr>
        <w:ind w:left="0" w:firstLine="0"/>
      </w:pPr>
      <w:rPr>
        <w:rFonts w:hint="eastAsia" w:ascii="黑体" w:eastAsia="黑体" w:hAnsiTheme="minorHAnsi"/>
        <w:b w:val="0"/>
        <w:i w:val="0"/>
        <w:sz w:val="21"/>
      </w:rPr>
    </w:lvl>
    <w:lvl w:ilvl="4" w:tentative="0">
      <w:start w:val="1"/>
      <w:numFmt w:val="decimal"/>
      <w:pStyle w:val="208"/>
      <w:suff w:val="nothing"/>
      <w:lvlText w:val="%10.%2.%3.%4.%5 "/>
      <w:lvlJc w:val="left"/>
      <w:pPr>
        <w:ind w:left="0" w:firstLine="0"/>
      </w:pPr>
      <w:rPr>
        <w:rFonts w:hint="eastAsia" w:ascii="黑体" w:eastAsia="黑体" w:hAnsiTheme="minorHAnsi"/>
        <w:b w:val="0"/>
        <w:i w:val="0"/>
        <w:sz w:val="21"/>
      </w:rPr>
    </w:lvl>
    <w:lvl w:ilvl="5" w:tentative="0">
      <w:start w:val="1"/>
      <w:numFmt w:val="decimal"/>
      <w:pStyle w:val="209"/>
      <w:suff w:val="nothing"/>
      <w:lvlText w:val="%10.%2.%3.%4.%5.%6 "/>
      <w:lvlJc w:val="left"/>
      <w:pPr>
        <w:ind w:left="0" w:firstLine="0"/>
      </w:pPr>
      <w:rPr>
        <w:rFonts w:hint="eastAsia" w:ascii="黑体" w:eastAsia="黑体" w:hAnsiTheme="minorHAnsi"/>
        <w:b w:val="0"/>
        <w:i w:val="0"/>
        <w:sz w:val="21"/>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4">
    <w:nsid w:val="0AE367E9"/>
    <w:multiLevelType w:val="multilevel"/>
    <w:tmpl w:val="0AE367E9"/>
    <w:lvl w:ilvl="0" w:tentative="0">
      <w:start w:val="1"/>
      <w:numFmt w:val="none"/>
      <w:pStyle w:val="186"/>
      <w:suff w:val="nothing"/>
      <w:lvlText w:val="%1示例："/>
      <w:lvlJc w:val="left"/>
      <w:pPr>
        <w:ind w:left="0" w:firstLine="363"/>
      </w:pPr>
      <w:rPr>
        <w:rFonts w:hint="eastAsia" w:ascii="黑体" w:eastAsia="黑体"/>
        <w:b w:val="0"/>
        <w:i w:val="0"/>
        <w:sz w:val="18"/>
      </w:rPr>
    </w:lvl>
    <w:lvl w:ilvl="1" w:tentative="0">
      <w:start w:val="1"/>
      <w:numFmt w:val="lowerLetter"/>
      <w:lvlText w:val="%2)"/>
      <w:lvlJc w:val="left"/>
      <w:pPr>
        <w:tabs>
          <w:tab w:val="left" w:pos="363"/>
        </w:tabs>
        <w:ind w:left="0" w:firstLine="363"/>
      </w:pPr>
      <w:rPr>
        <w:rFonts w:hint="eastAsia"/>
      </w:rPr>
    </w:lvl>
    <w:lvl w:ilvl="2" w:tentative="0">
      <w:start w:val="1"/>
      <w:numFmt w:val="lowerRoman"/>
      <w:lvlText w:val="%3."/>
      <w:lvlJc w:val="right"/>
      <w:pPr>
        <w:tabs>
          <w:tab w:val="left" w:pos="363"/>
        </w:tabs>
        <w:ind w:left="0" w:firstLine="363"/>
      </w:pPr>
      <w:rPr>
        <w:rFonts w:hint="eastAsia"/>
      </w:rPr>
    </w:lvl>
    <w:lvl w:ilvl="3" w:tentative="0">
      <w:start w:val="1"/>
      <w:numFmt w:val="decimal"/>
      <w:lvlText w:val="%4."/>
      <w:lvlJc w:val="left"/>
      <w:pPr>
        <w:tabs>
          <w:tab w:val="left" w:pos="363"/>
        </w:tabs>
        <w:ind w:left="0" w:firstLine="363"/>
      </w:pPr>
      <w:rPr>
        <w:rFonts w:hint="eastAsia"/>
      </w:rPr>
    </w:lvl>
    <w:lvl w:ilvl="4" w:tentative="0">
      <w:start w:val="1"/>
      <w:numFmt w:val="lowerLetter"/>
      <w:lvlText w:val="%5)"/>
      <w:lvlJc w:val="left"/>
      <w:pPr>
        <w:tabs>
          <w:tab w:val="left" w:pos="363"/>
        </w:tabs>
        <w:ind w:left="0" w:firstLine="363"/>
      </w:pPr>
      <w:rPr>
        <w:rFonts w:hint="eastAsia"/>
      </w:rPr>
    </w:lvl>
    <w:lvl w:ilvl="5" w:tentative="0">
      <w:start w:val="1"/>
      <w:numFmt w:val="lowerRoman"/>
      <w:lvlText w:val="%6."/>
      <w:lvlJc w:val="right"/>
      <w:pPr>
        <w:tabs>
          <w:tab w:val="left" w:pos="363"/>
        </w:tabs>
        <w:ind w:left="0" w:firstLine="363"/>
      </w:pPr>
      <w:rPr>
        <w:rFonts w:hint="eastAsia"/>
      </w:rPr>
    </w:lvl>
    <w:lvl w:ilvl="6" w:tentative="0">
      <w:start w:val="1"/>
      <w:numFmt w:val="decimal"/>
      <w:lvlText w:val="%7."/>
      <w:lvlJc w:val="left"/>
      <w:pPr>
        <w:tabs>
          <w:tab w:val="left" w:pos="363"/>
        </w:tabs>
        <w:ind w:left="0" w:firstLine="363"/>
      </w:pPr>
      <w:rPr>
        <w:rFonts w:hint="eastAsia"/>
      </w:rPr>
    </w:lvl>
    <w:lvl w:ilvl="7" w:tentative="0">
      <w:start w:val="1"/>
      <w:numFmt w:val="lowerLetter"/>
      <w:lvlText w:val="%8)"/>
      <w:lvlJc w:val="left"/>
      <w:pPr>
        <w:tabs>
          <w:tab w:val="left" w:pos="363"/>
        </w:tabs>
        <w:ind w:left="0" w:firstLine="363"/>
      </w:pPr>
      <w:rPr>
        <w:rFonts w:hint="eastAsia"/>
      </w:rPr>
    </w:lvl>
    <w:lvl w:ilvl="8" w:tentative="0">
      <w:start w:val="1"/>
      <w:numFmt w:val="lowerRoman"/>
      <w:lvlText w:val="%9."/>
      <w:lvlJc w:val="right"/>
      <w:pPr>
        <w:tabs>
          <w:tab w:val="left" w:pos="363"/>
        </w:tabs>
        <w:ind w:left="0" w:firstLine="363"/>
      </w:pPr>
      <w:rPr>
        <w:rFonts w:hint="eastAsia"/>
      </w:rPr>
    </w:lvl>
  </w:abstractNum>
  <w:abstractNum w:abstractNumId="5">
    <w:nsid w:val="0BDC1670"/>
    <w:multiLevelType w:val="multilevel"/>
    <w:tmpl w:val="0BDC1670"/>
    <w:lvl w:ilvl="0" w:tentative="0">
      <w:start w:val="1"/>
      <w:numFmt w:val="decimal"/>
      <w:pStyle w:val="72"/>
      <w:lvlText w:val="[%1]"/>
      <w:lvlJc w:val="left"/>
      <w:pPr>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
    <w:nsid w:val="0D051F45"/>
    <w:multiLevelType w:val="multilevel"/>
    <w:tmpl w:val="0D051F45"/>
    <w:lvl w:ilvl="0" w:tentative="0">
      <w:start w:val="1"/>
      <w:numFmt w:val="lowerRoman"/>
      <w:pStyle w:val="174"/>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543"/>
        </w:tabs>
        <w:ind w:left="1543" w:hanging="420"/>
      </w:pPr>
      <w:rPr>
        <w:rFonts w:hint="eastAsia"/>
      </w:rPr>
    </w:lvl>
    <w:lvl w:ilvl="2" w:tentative="0">
      <w:start w:val="1"/>
      <w:numFmt w:val="lowerRoman"/>
      <w:lvlText w:val="%3."/>
      <w:lvlJc w:val="right"/>
      <w:pPr>
        <w:tabs>
          <w:tab w:val="left" w:pos="1963"/>
        </w:tabs>
        <w:ind w:left="1963" w:hanging="420"/>
      </w:pPr>
      <w:rPr>
        <w:rFonts w:hint="eastAsia"/>
      </w:rPr>
    </w:lvl>
    <w:lvl w:ilvl="3" w:tentative="0">
      <w:start w:val="1"/>
      <w:numFmt w:val="decimal"/>
      <w:lvlText w:val="%4."/>
      <w:lvlJc w:val="left"/>
      <w:pPr>
        <w:tabs>
          <w:tab w:val="left" w:pos="2383"/>
        </w:tabs>
        <w:ind w:left="2383" w:hanging="420"/>
      </w:pPr>
      <w:rPr>
        <w:rFonts w:hint="eastAsia"/>
      </w:rPr>
    </w:lvl>
    <w:lvl w:ilvl="4" w:tentative="0">
      <w:start w:val="1"/>
      <w:numFmt w:val="lowerLetter"/>
      <w:lvlText w:val="%5)"/>
      <w:lvlJc w:val="left"/>
      <w:pPr>
        <w:tabs>
          <w:tab w:val="left" w:pos="2803"/>
        </w:tabs>
        <w:ind w:left="2803" w:hanging="420"/>
      </w:pPr>
      <w:rPr>
        <w:rFonts w:hint="eastAsia"/>
      </w:rPr>
    </w:lvl>
    <w:lvl w:ilvl="5" w:tentative="0">
      <w:start w:val="1"/>
      <w:numFmt w:val="lowerRoman"/>
      <w:lvlText w:val="%6."/>
      <w:lvlJc w:val="right"/>
      <w:pPr>
        <w:tabs>
          <w:tab w:val="left" w:pos="3223"/>
        </w:tabs>
        <w:ind w:left="3223" w:hanging="420"/>
      </w:pPr>
      <w:rPr>
        <w:rFonts w:hint="eastAsia"/>
      </w:rPr>
    </w:lvl>
    <w:lvl w:ilvl="6" w:tentative="0">
      <w:start w:val="1"/>
      <w:numFmt w:val="decimal"/>
      <w:lvlText w:val="%7."/>
      <w:lvlJc w:val="left"/>
      <w:pPr>
        <w:tabs>
          <w:tab w:val="left" w:pos="3643"/>
        </w:tabs>
        <w:ind w:left="3643" w:hanging="420"/>
      </w:pPr>
      <w:rPr>
        <w:rFonts w:hint="eastAsia"/>
      </w:rPr>
    </w:lvl>
    <w:lvl w:ilvl="7" w:tentative="0">
      <w:start w:val="1"/>
      <w:numFmt w:val="lowerLetter"/>
      <w:lvlText w:val="%8)"/>
      <w:lvlJc w:val="left"/>
      <w:pPr>
        <w:tabs>
          <w:tab w:val="left" w:pos="4063"/>
        </w:tabs>
        <w:ind w:left="4063" w:hanging="420"/>
      </w:pPr>
      <w:rPr>
        <w:rFonts w:hint="eastAsia"/>
      </w:rPr>
    </w:lvl>
    <w:lvl w:ilvl="8" w:tentative="0">
      <w:start w:val="1"/>
      <w:numFmt w:val="lowerRoman"/>
      <w:lvlText w:val="%9."/>
      <w:lvlJc w:val="right"/>
      <w:pPr>
        <w:tabs>
          <w:tab w:val="left" w:pos="4483"/>
        </w:tabs>
        <w:ind w:left="4483" w:hanging="420"/>
      </w:pPr>
      <w:rPr>
        <w:rFonts w:hint="eastAsia"/>
      </w:rPr>
    </w:lvl>
  </w:abstractNum>
  <w:abstractNum w:abstractNumId="7">
    <w:nsid w:val="1AD20F90"/>
    <w:multiLevelType w:val="multilevel"/>
    <w:tmpl w:val="1AD20F90"/>
    <w:lvl w:ilvl="0" w:tentative="0">
      <w:start w:val="1"/>
      <w:numFmt w:val="none"/>
      <w:pStyle w:val="115"/>
      <w:lvlText w:val="%1注："/>
      <w:lvlJc w:val="left"/>
      <w:pPr>
        <w:tabs>
          <w:tab w:val="left" w:pos="845"/>
        </w:tabs>
        <w:ind w:left="-102" w:firstLine="419"/>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
    <w:nsid w:val="1AF15012"/>
    <w:multiLevelType w:val="multilevel"/>
    <w:tmpl w:val="1AF15012"/>
    <w:lvl w:ilvl="0" w:tentative="0">
      <w:start w:val="1"/>
      <w:numFmt w:val="upperLetter"/>
      <w:pStyle w:val="90"/>
      <w:suff w:val="nothing"/>
      <w:lvlText w:val="附 录(Annex) %1"/>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9">
    <w:nsid w:val="1EAA1992"/>
    <w:multiLevelType w:val="multilevel"/>
    <w:tmpl w:val="1EAA1992"/>
    <w:lvl w:ilvl="0" w:tentative="0">
      <w:start w:val="1"/>
      <w:numFmt w:val="none"/>
      <w:pStyle w:val="97"/>
      <w:suff w:val="nothing"/>
      <w:lvlText w:val="——"/>
      <w:lvlJc w:val="left"/>
      <w:pPr>
        <w:ind w:left="794" w:hanging="397"/>
      </w:pPr>
    </w:lvl>
    <w:lvl w:ilvl="1" w:tentative="0">
      <w:start w:val="1"/>
      <w:numFmt w:val="decimal"/>
      <w:suff w:val="nothing"/>
      <w:lvlText w:val="%1.%2　"/>
      <w:lvlJc w:val="left"/>
      <w:pPr>
        <w:ind w:left="397" w:firstLine="0"/>
      </w:pPr>
    </w:lvl>
    <w:lvl w:ilvl="2" w:tentative="0">
      <w:start w:val="1"/>
      <w:numFmt w:val="decimal"/>
      <w:suff w:val="nothing"/>
      <w:lvlText w:val="%1.%2.%3　"/>
      <w:lvlJc w:val="left"/>
      <w:pPr>
        <w:ind w:left="397" w:firstLine="0"/>
      </w:pPr>
    </w:lvl>
    <w:lvl w:ilvl="3" w:tentative="0">
      <w:start w:val="1"/>
      <w:numFmt w:val="decimal"/>
      <w:suff w:val="nothing"/>
      <w:lvlText w:val="%1.%2.%3.%4　"/>
      <w:lvlJc w:val="left"/>
      <w:pPr>
        <w:ind w:left="397" w:firstLine="0"/>
      </w:pPr>
    </w:lvl>
    <w:lvl w:ilvl="4" w:tentative="0">
      <w:start w:val="1"/>
      <w:numFmt w:val="decimal"/>
      <w:suff w:val="nothing"/>
      <w:lvlText w:val="%1.%2.%3.%4.%5　"/>
      <w:lvlJc w:val="left"/>
      <w:pPr>
        <w:ind w:left="397" w:firstLine="0"/>
      </w:pPr>
    </w:lvl>
    <w:lvl w:ilvl="5" w:tentative="0">
      <w:start w:val="1"/>
      <w:numFmt w:val="decimal"/>
      <w:suff w:val="nothing"/>
      <w:lvlText w:val="%1.%2.%3.%4.%5.%6　"/>
      <w:lvlJc w:val="left"/>
      <w:pPr>
        <w:ind w:left="397" w:firstLine="0"/>
      </w:pPr>
    </w:lvl>
    <w:lvl w:ilvl="6" w:tentative="0">
      <w:start w:val="1"/>
      <w:numFmt w:val="decimal"/>
      <w:suff w:val="nothing"/>
      <w:lvlText w:val="%1.%2.%3.%4.%5.%6.%7　"/>
      <w:lvlJc w:val="left"/>
      <w:pPr>
        <w:ind w:left="397" w:firstLine="0"/>
      </w:pPr>
    </w:lvl>
    <w:lvl w:ilvl="7" w:tentative="0">
      <w:start w:val="1"/>
      <w:numFmt w:val="decimal"/>
      <w:lvlText w:val="%1.%2.%3.%4.%5.%6.%7.%8"/>
      <w:lvlJc w:val="left"/>
      <w:pPr>
        <w:tabs>
          <w:tab w:val="left" w:pos="4791"/>
        </w:tabs>
        <w:ind w:left="4791" w:hanging="1418"/>
      </w:pPr>
    </w:lvl>
    <w:lvl w:ilvl="8" w:tentative="0">
      <w:start w:val="1"/>
      <w:numFmt w:val="decimal"/>
      <w:lvlText w:val="%1.%2.%3.%4.%5.%6.%7.%8.%9"/>
      <w:lvlJc w:val="left"/>
      <w:pPr>
        <w:tabs>
          <w:tab w:val="left" w:pos="5499"/>
        </w:tabs>
        <w:ind w:left="5499" w:hanging="1700"/>
      </w:pPr>
    </w:lvl>
  </w:abstractNum>
  <w:abstractNum w:abstractNumId="10">
    <w:nsid w:val="1FC91163"/>
    <w:multiLevelType w:val="multilevel"/>
    <w:tmpl w:val="1FC91163"/>
    <w:lvl w:ilvl="0" w:tentative="0">
      <w:start w:val="1"/>
      <w:numFmt w:val="decimal"/>
      <w:suff w:val="nothing"/>
      <w:lvlText w:val="%1　"/>
      <w:lvlJc w:val="left"/>
      <w:pPr>
        <w:ind w:left="0" w:firstLine="0"/>
      </w:pPr>
      <w:rPr>
        <w:rFonts w:hint="eastAsia" w:ascii="黑体" w:hAnsi="Times New Roman" w:eastAsia="黑体"/>
        <w:b w:val="0"/>
        <w:i w:val="0"/>
        <w:sz w:val="21"/>
        <w:szCs w:val="21"/>
      </w:rPr>
    </w:lvl>
    <w:lvl w:ilvl="1" w:tentative="0">
      <w:start w:val="1"/>
      <w:numFmt w:val="decimal"/>
      <w:pStyle w:val="238"/>
      <w:suff w:val="nothing"/>
      <w:lvlText w:val="%1.%2　"/>
      <w:lvlJc w:val="left"/>
      <w:pPr>
        <w:ind w:left="0" w:firstLine="0"/>
      </w:pPr>
      <w:rPr>
        <w:rFonts w:hint="eastAsia" w:ascii="黑体" w:hAnsi="Times New Roman" w:eastAsia="黑体" w:cs="Times New Roman"/>
        <w:b w:val="0"/>
        <w:bCs w:val="0"/>
        <w:i w:val="0"/>
        <w:iCs w:val="0"/>
        <w:caps w:val="0"/>
        <w:strike w:val="0"/>
        <w:dstrike w:val="0"/>
        <w:vanish w:val="0"/>
        <w:spacing w:val="0"/>
        <w:kern w:val="0"/>
        <w:position w:val="0"/>
        <w:sz w:val="21"/>
        <w:szCs w:val="21"/>
        <w:u w:val="none"/>
        <w:vertAlign w:val="baseline"/>
      </w:rPr>
    </w:lvl>
    <w:lvl w:ilvl="2" w:tentative="0">
      <w:start w:val="1"/>
      <w:numFmt w:val="decimal"/>
      <w:pStyle w:val="241"/>
      <w:suff w:val="nothing"/>
      <w:lvlText w:val="%1.%2.%3　"/>
      <w:lvlJc w:val="left"/>
      <w:pPr>
        <w:ind w:left="1418"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11">
    <w:nsid w:val="2C5917C3"/>
    <w:multiLevelType w:val="multilevel"/>
    <w:tmpl w:val="2C5917C3"/>
    <w:lvl w:ilvl="0" w:tentative="0">
      <w:start w:val="1"/>
      <w:numFmt w:val="none"/>
      <w:pStyle w:val="137"/>
      <w:lvlText w:val="%1——"/>
      <w:lvlJc w:val="left"/>
      <w:pPr>
        <w:tabs>
          <w:tab w:val="left" w:pos="851"/>
        </w:tabs>
        <w:ind w:left="851" w:hanging="426"/>
      </w:pPr>
      <w:rPr>
        <w:rFonts w:hint="eastAsia" w:ascii="宋体" w:hAnsi="Times New Roman" w:eastAsia="宋体"/>
        <w:b w:val="0"/>
        <w:i w:val="0"/>
        <w:sz w:val="21"/>
      </w:rPr>
    </w:lvl>
    <w:lvl w:ilvl="1" w:tentative="0">
      <w:start w:val="1"/>
      <w:numFmt w:val="none"/>
      <w:pStyle w:val="192"/>
      <w:lvlText w:val=""/>
      <w:lvlJc w:val="left"/>
      <w:pPr>
        <w:ind w:left="851" w:hanging="431"/>
      </w:pPr>
      <w:rPr>
        <w:rFonts w:hint="default" w:ascii="Symbol" w:hAnsi="Symbol"/>
        <w:sz w:val="21"/>
      </w:rPr>
    </w:lvl>
    <w:lvl w:ilvl="2" w:tentative="0">
      <w:start w:val="1"/>
      <w:numFmt w:val="bullet"/>
      <w:pStyle w:val="177"/>
      <w:lvlText w:val=""/>
      <w:lvlJc w:val="left"/>
      <w:pPr>
        <w:ind w:left="851" w:hanging="426"/>
      </w:pPr>
      <w:rPr>
        <w:rFonts w:hint="default" w:ascii="Wingdings" w:hAnsi="Wingdings"/>
        <w:sz w:val="21"/>
      </w:rPr>
    </w:lvl>
    <w:lvl w:ilvl="3" w:tentative="0">
      <w:start w:val="1"/>
      <w:numFmt w:val="decimal"/>
      <w:lvlText w:val="%4."/>
      <w:lvlJc w:val="left"/>
      <w:pPr>
        <w:tabs>
          <w:tab w:val="left" w:pos="2071"/>
        </w:tabs>
        <w:ind w:left="1884" w:hanging="528"/>
      </w:pPr>
      <w:rPr>
        <w:rFonts w:hint="eastAsia"/>
      </w:rPr>
    </w:lvl>
    <w:lvl w:ilvl="4" w:tentative="0">
      <w:start w:val="1"/>
      <w:numFmt w:val="lowerLetter"/>
      <w:lvlText w:val="%5)"/>
      <w:lvlJc w:val="left"/>
      <w:pPr>
        <w:tabs>
          <w:tab w:val="left" w:pos="2383"/>
        </w:tabs>
        <w:ind w:left="2196" w:hanging="528"/>
      </w:pPr>
      <w:rPr>
        <w:rFonts w:hint="eastAsia"/>
      </w:rPr>
    </w:lvl>
    <w:lvl w:ilvl="5" w:tentative="0">
      <w:start w:val="1"/>
      <w:numFmt w:val="lowerRoman"/>
      <w:lvlText w:val="%6."/>
      <w:lvlJc w:val="right"/>
      <w:pPr>
        <w:tabs>
          <w:tab w:val="left" w:pos="2695"/>
        </w:tabs>
        <w:ind w:left="2508" w:hanging="528"/>
      </w:pPr>
      <w:rPr>
        <w:rFonts w:hint="eastAsia"/>
      </w:rPr>
    </w:lvl>
    <w:lvl w:ilvl="6" w:tentative="0">
      <w:start w:val="1"/>
      <w:numFmt w:val="decimal"/>
      <w:lvlText w:val="%7."/>
      <w:lvlJc w:val="left"/>
      <w:pPr>
        <w:tabs>
          <w:tab w:val="left" w:pos="3007"/>
        </w:tabs>
        <w:ind w:left="2820" w:hanging="528"/>
      </w:pPr>
      <w:rPr>
        <w:rFonts w:hint="eastAsia"/>
      </w:rPr>
    </w:lvl>
    <w:lvl w:ilvl="7" w:tentative="0">
      <w:start w:val="1"/>
      <w:numFmt w:val="lowerLetter"/>
      <w:lvlText w:val="%8)"/>
      <w:lvlJc w:val="left"/>
      <w:pPr>
        <w:tabs>
          <w:tab w:val="left" w:pos="3319"/>
        </w:tabs>
        <w:ind w:left="3132" w:hanging="528"/>
      </w:pPr>
      <w:rPr>
        <w:rFonts w:hint="eastAsia"/>
      </w:rPr>
    </w:lvl>
    <w:lvl w:ilvl="8" w:tentative="0">
      <w:start w:val="1"/>
      <w:numFmt w:val="lowerRoman"/>
      <w:lvlText w:val="%9."/>
      <w:lvlJc w:val="right"/>
      <w:pPr>
        <w:tabs>
          <w:tab w:val="left" w:pos="3631"/>
        </w:tabs>
        <w:ind w:left="3444" w:hanging="528"/>
      </w:pPr>
      <w:rPr>
        <w:rFonts w:hint="eastAsia"/>
      </w:rPr>
    </w:lvl>
  </w:abstractNum>
  <w:abstractNum w:abstractNumId="12">
    <w:nsid w:val="32F04FB2"/>
    <w:multiLevelType w:val="multilevel"/>
    <w:tmpl w:val="32F04FB2"/>
    <w:lvl w:ilvl="0" w:tentative="0">
      <w:start w:val="1"/>
      <w:numFmt w:val="lowerLetter"/>
      <w:pStyle w:val="106"/>
      <w:lvlText w:val="%1"/>
      <w:lvlJc w:val="left"/>
      <w:pPr>
        <w:tabs>
          <w:tab w:val="left" w:pos="539"/>
        </w:tabs>
        <w:ind w:left="539" w:hanging="119"/>
      </w:pPr>
      <w:rPr>
        <w:rFonts w:hint="eastAsia"/>
        <w:caps w:val="0"/>
        <w:strike w:val="0"/>
        <w:dstrike w:val="0"/>
        <w:vanish w:val="0"/>
        <w:vertAlign w:val="superscript"/>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13">
    <w:nsid w:val="369E0551"/>
    <w:multiLevelType w:val="multilevel"/>
    <w:tmpl w:val="369E0551"/>
    <w:lvl w:ilvl="0" w:tentative="0">
      <w:start w:val="1"/>
      <w:numFmt w:val="decimal"/>
      <w:lvlText w:val="%1"/>
      <w:lvlJc w:val="left"/>
      <w:pPr>
        <w:tabs>
          <w:tab w:val="left" w:pos="360"/>
        </w:tabs>
        <w:ind w:left="360" w:hanging="360"/>
      </w:pPr>
      <w:rPr>
        <w:rFonts w:hint="default"/>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4">
    <w:nsid w:val="44C50F90"/>
    <w:multiLevelType w:val="multilevel"/>
    <w:tmpl w:val="44C50F90"/>
    <w:lvl w:ilvl="0" w:tentative="0">
      <w:start w:val="1"/>
      <w:numFmt w:val="lowerLetter"/>
      <w:pStyle w:val="179"/>
      <w:lvlText w:val="%1)"/>
      <w:lvlJc w:val="left"/>
      <w:pPr>
        <w:tabs>
          <w:tab w:val="left" w:pos="851"/>
        </w:tabs>
        <w:ind w:left="851" w:hanging="426"/>
      </w:pPr>
      <w:rPr>
        <w:rFonts w:hint="eastAsia" w:ascii="宋体" w:hAnsi="Times New Roman" w:eastAsia="宋体"/>
        <w:sz w:val="21"/>
      </w:rPr>
    </w:lvl>
    <w:lvl w:ilvl="1" w:tentative="0">
      <w:start w:val="1"/>
      <w:numFmt w:val="decimal"/>
      <w:pStyle w:val="114"/>
      <w:lvlText w:val="%2)"/>
      <w:lvlJc w:val="left"/>
      <w:pPr>
        <w:tabs>
          <w:tab w:val="left" w:pos="1276"/>
        </w:tabs>
        <w:ind w:left="1276" w:hanging="425"/>
      </w:pPr>
      <w:rPr>
        <w:rFonts w:hint="eastAsia" w:ascii="宋体" w:hAnsi="Times New Roman" w:eastAsia="宋体"/>
        <w:sz w:val="21"/>
      </w:rPr>
    </w:lvl>
    <w:lvl w:ilvl="2" w:tentative="0">
      <w:start w:val="1"/>
      <w:numFmt w:val="decimal"/>
      <w:pStyle w:val="122"/>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15">
    <w:nsid w:val="48802D1C"/>
    <w:multiLevelType w:val="multilevel"/>
    <w:tmpl w:val="48802D1C"/>
    <w:lvl w:ilvl="0" w:tentative="0">
      <w:start w:val="1"/>
      <w:numFmt w:val="upperLetter"/>
      <w:pStyle w:val="203"/>
      <w:lvlText w:val="%1"/>
      <w:lvlJc w:val="left"/>
      <w:pPr>
        <w:ind w:left="420" w:hanging="420"/>
      </w:pPr>
      <w:rPr>
        <w:rFonts w:hint="eastAsia"/>
      </w:rPr>
    </w:lvl>
    <w:lvl w:ilvl="1" w:tentative="0">
      <w:start w:val="1"/>
      <w:numFmt w:val="decimal"/>
      <w:pStyle w:val="88"/>
      <w:suff w:val="space"/>
      <w:lvlText w:val="图%1.%2"/>
      <w:lvlJc w:val="center"/>
      <w:pPr>
        <w:ind w:left="0" w:firstLine="0"/>
      </w:pPr>
      <w:rPr>
        <w:rFonts w:hint="eastAsia"/>
      </w:rPr>
    </w:lvl>
    <w:lvl w:ilvl="2" w:tentative="0">
      <w:start w:val="1"/>
      <w:numFmt w:val="lowerRoman"/>
      <w:lvlText w:val="%3."/>
      <w:lvlJc w:val="right"/>
      <w:pPr>
        <w:ind w:left="1260" w:hanging="420"/>
      </w:pPr>
      <w:rPr>
        <w:rFonts w:hint="eastAsia"/>
      </w:rPr>
    </w:lvl>
    <w:lvl w:ilvl="3" w:tentative="0">
      <w:start w:val="1"/>
      <w:numFmt w:val="decimal"/>
      <w:lvlText w:val="%4."/>
      <w:lvlJc w:val="left"/>
      <w:pPr>
        <w:ind w:left="1680" w:hanging="420"/>
      </w:pPr>
      <w:rPr>
        <w:rFonts w:hint="eastAsia"/>
      </w:rPr>
    </w:lvl>
    <w:lvl w:ilvl="4" w:tentative="0">
      <w:start w:val="1"/>
      <w:numFmt w:val="lowerLetter"/>
      <w:lvlText w:val="%5)"/>
      <w:lvlJc w:val="left"/>
      <w:pPr>
        <w:ind w:left="2100" w:hanging="420"/>
      </w:pPr>
      <w:rPr>
        <w:rFonts w:hint="eastAsia"/>
      </w:rPr>
    </w:lvl>
    <w:lvl w:ilvl="5" w:tentative="0">
      <w:start w:val="1"/>
      <w:numFmt w:val="lowerRoman"/>
      <w:lvlText w:val="%6."/>
      <w:lvlJc w:val="right"/>
      <w:pPr>
        <w:ind w:left="2520" w:hanging="420"/>
      </w:pPr>
      <w:rPr>
        <w:rFonts w:hint="eastAsia"/>
      </w:rPr>
    </w:lvl>
    <w:lvl w:ilvl="6" w:tentative="0">
      <w:start w:val="1"/>
      <w:numFmt w:val="decimal"/>
      <w:lvlText w:val="%7."/>
      <w:lvlJc w:val="left"/>
      <w:pPr>
        <w:ind w:left="2940" w:hanging="420"/>
      </w:pPr>
      <w:rPr>
        <w:rFonts w:hint="eastAsia"/>
      </w:rPr>
    </w:lvl>
    <w:lvl w:ilvl="7" w:tentative="0">
      <w:start w:val="1"/>
      <w:numFmt w:val="lowerLetter"/>
      <w:lvlText w:val="%8)"/>
      <w:lvlJc w:val="left"/>
      <w:pPr>
        <w:ind w:left="3360" w:hanging="420"/>
      </w:pPr>
      <w:rPr>
        <w:rFonts w:hint="eastAsia"/>
      </w:rPr>
    </w:lvl>
    <w:lvl w:ilvl="8" w:tentative="0">
      <w:start w:val="1"/>
      <w:numFmt w:val="lowerRoman"/>
      <w:lvlText w:val="%9."/>
      <w:lvlJc w:val="right"/>
      <w:pPr>
        <w:ind w:left="3780" w:hanging="420"/>
      </w:pPr>
      <w:rPr>
        <w:rFonts w:hint="eastAsia"/>
      </w:rPr>
    </w:lvl>
  </w:abstractNum>
  <w:abstractNum w:abstractNumId="16">
    <w:nsid w:val="4B733A5F"/>
    <w:multiLevelType w:val="multilevel"/>
    <w:tmpl w:val="4B733A5F"/>
    <w:lvl w:ilvl="0" w:tentative="0">
      <w:start w:val="1"/>
      <w:numFmt w:val="decimal"/>
      <w:pStyle w:val="188"/>
      <w:suff w:val="nothing"/>
      <w:lvlText w:val="示例%1："/>
      <w:lvlJc w:val="left"/>
      <w:pPr>
        <w:ind w:left="0" w:firstLine="363"/>
      </w:pPr>
      <w:rPr>
        <w:rFonts w:hint="eastAsia" w:ascii="黑体" w:eastAsia="黑体"/>
        <w:b w:val="0"/>
        <w:i w:val="0"/>
        <w:sz w:val="18"/>
      </w:rPr>
    </w:lvl>
    <w:lvl w:ilvl="1" w:tentative="0">
      <w:start w:val="1"/>
      <w:numFmt w:val="none"/>
      <w:suff w:val="space"/>
      <w:lvlText w:val=""/>
      <w:lvlJc w:val="left"/>
      <w:pPr>
        <w:ind w:left="0" w:firstLine="0"/>
      </w:pPr>
      <w:rPr>
        <w:rFonts w:hint="eastAsia"/>
      </w:rPr>
    </w:lvl>
    <w:lvl w:ilvl="2" w:tentative="0">
      <w:start w:val="1"/>
      <w:numFmt w:val="decimal"/>
      <w:suff w:val="space"/>
      <w:lvlText w:val="2.2.%3"/>
      <w:lvlJc w:val="left"/>
      <w:pPr>
        <w:ind w:left="0" w:firstLine="0"/>
      </w:pPr>
      <w:rPr>
        <w:rFonts w:hint="eastAsia"/>
      </w:rPr>
    </w:lvl>
    <w:lvl w:ilvl="3" w:tentative="0">
      <w:start w:val="1"/>
      <w:numFmt w:val="decimal"/>
      <w:lvlText w:val="%4."/>
      <w:lvlJc w:val="left"/>
      <w:pPr>
        <w:tabs>
          <w:tab w:val="left" w:pos="0"/>
        </w:tabs>
        <w:ind w:left="992" w:hanging="629"/>
      </w:pPr>
      <w:rPr>
        <w:rFonts w:hint="eastAsia"/>
      </w:rPr>
    </w:lvl>
    <w:lvl w:ilvl="4" w:tentative="0">
      <w:start w:val="1"/>
      <w:numFmt w:val="lowerLetter"/>
      <w:lvlText w:val="%5)"/>
      <w:lvlJc w:val="left"/>
      <w:pPr>
        <w:tabs>
          <w:tab w:val="left" w:pos="0"/>
        </w:tabs>
        <w:ind w:left="992" w:hanging="629"/>
      </w:pPr>
      <w:rPr>
        <w:rFonts w:hint="eastAsia"/>
      </w:rPr>
    </w:lvl>
    <w:lvl w:ilvl="5" w:tentative="0">
      <w:start w:val="1"/>
      <w:numFmt w:val="lowerRoman"/>
      <w:lvlText w:val="%6."/>
      <w:lvlJc w:val="right"/>
      <w:pPr>
        <w:tabs>
          <w:tab w:val="left" w:pos="0"/>
        </w:tabs>
        <w:ind w:left="992" w:hanging="629"/>
      </w:pPr>
      <w:rPr>
        <w:rFonts w:hint="eastAsia"/>
      </w:rPr>
    </w:lvl>
    <w:lvl w:ilvl="6" w:tentative="0">
      <w:start w:val="1"/>
      <w:numFmt w:val="decimal"/>
      <w:lvlText w:val="%7."/>
      <w:lvlJc w:val="left"/>
      <w:pPr>
        <w:tabs>
          <w:tab w:val="left" w:pos="0"/>
        </w:tabs>
        <w:ind w:left="992" w:hanging="629"/>
      </w:pPr>
      <w:rPr>
        <w:rFonts w:hint="eastAsia"/>
      </w:rPr>
    </w:lvl>
    <w:lvl w:ilvl="7" w:tentative="0">
      <w:start w:val="1"/>
      <w:numFmt w:val="lowerLetter"/>
      <w:lvlText w:val="%8)"/>
      <w:lvlJc w:val="left"/>
      <w:pPr>
        <w:tabs>
          <w:tab w:val="left" w:pos="0"/>
        </w:tabs>
        <w:ind w:left="992" w:hanging="629"/>
      </w:pPr>
      <w:rPr>
        <w:rFonts w:hint="eastAsia"/>
      </w:rPr>
    </w:lvl>
    <w:lvl w:ilvl="8" w:tentative="0">
      <w:start w:val="1"/>
      <w:numFmt w:val="lowerRoman"/>
      <w:lvlText w:val="%9."/>
      <w:lvlJc w:val="right"/>
      <w:pPr>
        <w:tabs>
          <w:tab w:val="left" w:pos="0"/>
        </w:tabs>
        <w:ind w:left="992" w:hanging="629"/>
      </w:pPr>
      <w:rPr>
        <w:rFonts w:hint="eastAsia"/>
      </w:rPr>
    </w:lvl>
  </w:abstractNum>
  <w:abstractNum w:abstractNumId="17">
    <w:nsid w:val="4E5D0534"/>
    <w:multiLevelType w:val="multilevel"/>
    <w:tmpl w:val="4E5D0534"/>
    <w:lvl w:ilvl="0" w:tentative="0">
      <w:start w:val="1"/>
      <w:numFmt w:val="decimal"/>
      <w:pStyle w:val="121"/>
      <w:suff w:val="nothing"/>
      <w:lvlText w:val="Figur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18">
    <w:nsid w:val="54632751"/>
    <w:multiLevelType w:val="multilevel"/>
    <w:tmpl w:val="54632751"/>
    <w:lvl w:ilvl="0" w:tentative="0">
      <w:start w:val="1"/>
      <w:numFmt w:val="none"/>
      <w:pStyle w:val="98"/>
      <w:suff w:val="nothing"/>
      <w:lvlText w:val="——"/>
      <w:lvlJc w:val="left"/>
      <w:pPr>
        <w:ind w:left="1588" w:firstLine="0"/>
      </w:pPr>
    </w:lvl>
    <w:lvl w:ilvl="1" w:tentative="0">
      <w:start w:val="1"/>
      <w:numFmt w:val="decimal"/>
      <w:suff w:val="nothing"/>
      <w:lvlText w:val="%1.%2　"/>
      <w:lvlJc w:val="left"/>
      <w:pPr>
        <w:ind w:left="1588" w:firstLine="0"/>
      </w:pPr>
    </w:lvl>
    <w:lvl w:ilvl="2" w:tentative="0">
      <w:start w:val="1"/>
      <w:numFmt w:val="decimal"/>
      <w:suff w:val="nothing"/>
      <w:lvlText w:val="%1.%2.%3　"/>
      <w:lvlJc w:val="left"/>
      <w:pPr>
        <w:ind w:left="1588" w:firstLine="0"/>
      </w:pPr>
    </w:lvl>
    <w:lvl w:ilvl="3" w:tentative="0">
      <w:start w:val="1"/>
      <w:numFmt w:val="decimal"/>
      <w:suff w:val="nothing"/>
      <w:lvlText w:val="%1.%2.%3.%4　"/>
      <w:lvlJc w:val="left"/>
      <w:pPr>
        <w:ind w:left="1588" w:firstLine="0"/>
      </w:pPr>
    </w:lvl>
    <w:lvl w:ilvl="4" w:tentative="0">
      <w:start w:val="1"/>
      <w:numFmt w:val="decimal"/>
      <w:suff w:val="nothing"/>
      <w:lvlText w:val="%1.%2.%3.%4.%5　"/>
      <w:lvlJc w:val="left"/>
      <w:pPr>
        <w:ind w:left="1588" w:firstLine="0"/>
      </w:pPr>
    </w:lvl>
    <w:lvl w:ilvl="5" w:tentative="0">
      <w:start w:val="1"/>
      <w:numFmt w:val="decimal"/>
      <w:suff w:val="nothing"/>
      <w:lvlText w:val="%1.%2.%3.%4.%5.%6　"/>
      <w:lvlJc w:val="left"/>
      <w:pPr>
        <w:ind w:left="1588" w:firstLine="0"/>
      </w:pPr>
    </w:lvl>
    <w:lvl w:ilvl="6" w:tentative="0">
      <w:start w:val="1"/>
      <w:numFmt w:val="decimal"/>
      <w:suff w:val="nothing"/>
      <w:lvlText w:val="%1.%2.%3.%4.%5.%6.%7　"/>
      <w:lvlJc w:val="left"/>
      <w:pPr>
        <w:ind w:left="1588" w:firstLine="0"/>
      </w:pPr>
    </w:lvl>
    <w:lvl w:ilvl="7" w:tentative="0">
      <w:start w:val="1"/>
      <w:numFmt w:val="decimal"/>
      <w:lvlText w:val="%1.%2.%3.%4.%5.%6.%7.%8"/>
      <w:lvlJc w:val="left"/>
      <w:pPr>
        <w:tabs>
          <w:tab w:val="left" w:pos="5982"/>
        </w:tabs>
        <w:ind w:left="5982" w:hanging="1418"/>
      </w:pPr>
    </w:lvl>
    <w:lvl w:ilvl="8" w:tentative="0">
      <w:start w:val="1"/>
      <w:numFmt w:val="decimal"/>
      <w:lvlText w:val="%1.%2.%3.%4.%5.%6.%7.%8.%9"/>
      <w:lvlJc w:val="left"/>
      <w:pPr>
        <w:tabs>
          <w:tab w:val="left" w:pos="6690"/>
        </w:tabs>
        <w:ind w:left="6690" w:hanging="1700"/>
      </w:pPr>
    </w:lvl>
  </w:abstractNum>
  <w:abstractNum w:abstractNumId="19">
    <w:nsid w:val="5603797C"/>
    <w:multiLevelType w:val="multilevel"/>
    <w:tmpl w:val="5603797C"/>
    <w:lvl w:ilvl="0" w:tentative="0">
      <w:start w:val="1"/>
      <w:numFmt w:val="upperLetter"/>
      <w:pStyle w:val="204"/>
      <w:suff w:val="space"/>
      <w:lvlText w:val="%1"/>
      <w:lvlJc w:val="left"/>
      <w:pPr>
        <w:ind w:left="425" w:hanging="425"/>
      </w:pPr>
      <w:rPr>
        <w:rFonts w:hint="eastAsia"/>
      </w:rPr>
    </w:lvl>
    <w:lvl w:ilvl="1" w:tentative="0">
      <w:start w:val="1"/>
      <w:numFmt w:val="decimal"/>
      <w:pStyle w:val="82"/>
      <w:suff w:val="space"/>
      <w:lvlText w:val="表%1.%2"/>
      <w:lvlJc w:val="center"/>
      <w:pPr>
        <w:ind w:left="0" w:firstLine="0"/>
      </w:pPr>
      <w:rPr>
        <w:rFonts w:hint="eastAsia" w:ascii="黑体" w:eastAsia="黑体"/>
        <w:sz w:val="21"/>
      </w:rPr>
    </w:lvl>
    <w:lvl w:ilvl="2" w:tentative="0">
      <w:start w:val="1"/>
      <w:numFmt w:val="decima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20">
    <w:nsid w:val="564D2089"/>
    <w:multiLevelType w:val="multilevel"/>
    <w:tmpl w:val="564D2089"/>
    <w:lvl w:ilvl="0" w:tentative="0">
      <w:start w:val="1"/>
      <w:numFmt w:val="none"/>
      <w:pStyle w:val="116"/>
      <w:lvlText w:val="%1注"/>
      <w:lvlJc w:val="left"/>
      <w:pPr>
        <w:tabs>
          <w:tab w:val="left" w:pos="760"/>
        </w:tabs>
        <w:ind w:left="760" w:hanging="284"/>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1">
    <w:nsid w:val="644622F9"/>
    <w:multiLevelType w:val="multilevel"/>
    <w:tmpl w:val="644622F9"/>
    <w:lvl w:ilvl="0" w:tentative="0">
      <w:start w:val="1"/>
      <w:numFmt w:val="upperRoman"/>
      <w:pStyle w:val="173"/>
      <w:lvlText w:val="%1)"/>
      <w:lvlJc w:val="left"/>
      <w:pPr>
        <w:tabs>
          <w:tab w:val="left" w:pos="851"/>
        </w:tabs>
        <w:ind w:left="851" w:hanging="426"/>
      </w:pPr>
      <w:rPr>
        <w:rFonts w:hint="eastAsia" w:ascii="宋体" w:hAnsi="Times New Roman" w:eastAsia="宋体"/>
        <w:sz w:val="21"/>
      </w:rPr>
    </w:lvl>
    <w:lvl w:ilvl="1" w:tentative="0">
      <w:start w:val="1"/>
      <w:numFmt w:val="lowerLetter"/>
      <w:lvlText w:val="%2)"/>
      <w:lvlJc w:val="left"/>
      <w:pPr>
        <w:tabs>
          <w:tab w:val="left" w:pos="1310"/>
        </w:tabs>
        <w:ind w:left="1310" w:hanging="420"/>
      </w:pPr>
      <w:rPr>
        <w:rFonts w:hint="eastAsia"/>
      </w:rPr>
    </w:lvl>
    <w:lvl w:ilvl="2" w:tentative="0">
      <w:start w:val="1"/>
      <w:numFmt w:val="lowerRoman"/>
      <w:lvlText w:val="%3."/>
      <w:lvlJc w:val="right"/>
      <w:pPr>
        <w:tabs>
          <w:tab w:val="left" w:pos="1730"/>
        </w:tabs>
        <w:ind w:left="1730" w:hanging="420"/>
      </w:pPr>
      <w:rPr>
        <w:rFonts w:hint="eastAsia"/>
      </w:rPr>
    </w:lvl>
    <w:lvl w:ilvl="3" w:tentative="0">
      <w:start w:val="1"/>
      <w:numFmt w:val="decimal"/>
      <w:lvlText w:val="%4."/>
      <w:lvlJc w:val="left"/>
      <w:pPr>
        <w:tabs>
          <w:tab w:val="left" w:pos="2150"/>
        </w:tabs>
        <w:ind w:left="2150" w:hanging="420"/>
      </w:pPr>
      <w:rPr>
        <w:rFonts w:hint="eastAsia"/>
      </w:rPr>
    </w:lvl>
    <w:lvl w:ilvl="4" w:tentative="0">
      <w:start w:val="1"/>
      <w:numFmt w:val="lowerLetter"/>
      <w:lvlText w:val="%5)"/>
      <w:lvlJc w:val="left"/>
      <w:pPr>
        <w:tabs>
          <w:tab w:val="left" w:pos="2570"/>
        </w:tabs>
        <w:ind w:left="2570" w:hanging="420"/>
      </w:pPr>
      <w:rPr>
        <w:rFonts w:hint="eastAsia"/>
      </w:rPr>
    </w:lvl>
    <w:lvl w:ilvl="5" w:tentative="0">
      <w:start w:val="1"/>
      <w:numFmt w:val="lowerRoman"/>
      <w:lvlText w:val="%6."/>
      <w:lvlJc w:val="right"/>
      <w:pPr>
        <w:tabs>
          <w:tab w:val="left" w:pos="2990"/>
        </w:tabs>
        <w:ind w:left="2990" w:hanging="420"/>
      </w:pPr>
      <w:rPr>
        <w:rFonts w:hint="eastAsia"/>
      </w:rPr>
    </w:lvl>
    <w:lvl w:ilvl="6" w:tentative="0">
      <w:start w:val="1"/>
      <w:numFmt w:val="decimal"/>
      <w:lvlText w:val="%7."/>
      <w:lvlJc w:val="left"/>
      <w:pPr>
        <w:tabs>
          <w:tab w:val="left" w:pos="3410"/>
        </w:tabs>
        <w:ind w:left="3410" w:hanging="420"/>
      </w:pPr>
      <w:rPr>
        <w:rFonts w:hint="eastAsia"/>
      </w:rPr>
    </w:lvl>
    <w:lvl w:ilvl="7" w:tentative="0">
      <w:start w:val="1"/>
      <w:numFmt w:val="lowerLetter"/>
      <w:lvlText w:val="%8)"/>
      <w:lvlJc w:val="left"/>
      <w:pPr>
        <w:tabs>
          <w:tab w:val="left" w:pos="3830"/>
        </w:tabs>
        <w:ind w:left="3830" w:hanging="420"/>
      </w:pPr>
      <w:rPr>
        <w:rFonts w:hint="eastAsia"/>
      </w:rPr>
    </w:lvl>
    <w:lvl w:ilvl="8" w:tentative="0">
      <w:start w:val="1"/>
      <w:numFmt w:val="lowerRoman"/>
      <w:lvlText w:val="%9."/>
      <w:lvlJc w:val="right"/>
      <w:pPr>
        <w:tabs>
          <w:tab w:val="left" w:pos="4250"/>
        </w:tabs>
        <w:ind w:left="4250" w:hanging="420"/>
      </w:pPr>
      <w:rPr>
        <w:rFonts w:hint="eastAsia"/>
      </w:rPr>
    </w:lvl>
  </w:abstractNum>
  <w:abstractNum w:abstractNumId="22">
    <w:nsid w:val="646260FA"/>
    <w:multiLevelType w:val="multilevel"/>
    <w:tmpl w:val="646260FA"/>
    <w:lvl w:ilvl="0" w:tentative="0">
      <w:start w:val="1"/>
      <w:numFmt w:val="decimal"/>
      <w:pStyle w:val="240"/>
      <w:suff w:val="nothing"/>
      <w:lvlText w:val="表%1　"/>
      <w:lvlJc w:val="left"/>
      <w:pPr>
        <w:ind w:left="0" w:firstLine="0"/>
      </w:pPr>
    </w:lvl>
    <w:lvl w:ilvl="1" w:tentative="0">
      <w:start w:val="1"/>
      <w:numFmt w:val="decimal"/>
      <w:lvlText w:val="%1.%2"/>
      <w:lvlJc w:val="left"/>
      <w:pPr>
        <w:tabs>
          <w:tab w:val="left" w:pos="992"/>
        </w:tabs>
        <w:ind w:left="992" w:hanging="567"/>
      </w:pPr>
    </w:lvl>
    <w:lvl w:ilvl="2" w:tentative="0">
      <w:start w:val="1"/>
      <w:numFmt w:val="decimal"/>
      <w:lvlText w:val="%1.%2.%3"/>
      <w:lvlJc w:val="left"/>
      <w:pPr>
        <w:tabs>
          <w:tab w:val="left" w:pos="1417"/>
        </w:tabs>
        <w:ind w:left="1417" w:hanging="567"/>
      </w:pPr>
    </w:lvl>
    <w:lvl w:ilvl="3" w:tentative="0">
      <w:start w:val="1"/>
      <w:numFmt w:val="decimal"/>
      <w:lvlText w:val="%1.%2.%3.%4"/>
      <w:lvlJc w:val="left"/>
      <w:pPr>
        <w:tabs>
          <w:tab w:val="left" w:pos="1984"/>
        </w:tabs>
        <w:ind w:left="1984" w:hanging="708"/>
      </w:pPr>
    </w:lvl>
    <w:lvl w:ilvl="4" w:tentative="0">
      <w:start w:val="1"/>
      <w:numFmt w:val="decimal"/>
      <w:lvlText w:val="%1.%2.%3.%4.%5"/>
      <w:lvlJc w:val="left"/>
      <w:pPr>
        <w:tabs>
          <w:tab w:val="left" w:pos="2551"/>
        </w:tabs>
        <w:ind w:left="2551" w:hanging="850"/>
      </w:pPr>
    </w:lvl>
    <w:lvl w:ilvl="5" w:tentative="0">
      <w:start w:val="1"/>
      <w:numFmt w:val="decimal"/>
      <w:lvlText w:val="%1.%2.%3.%4.%5.%6"/>
      <w:lvlJc w:val="left"/>
      <w:pPr>
        <w:tabs>
          <w:tab w:val="left" w:pos="3260"/>
        </w:tabs>
        <w:ind w:left="3260" w:hanging="1134"/>
      </w:pPr>
    </w:lvl>
    <w:lvl w:ilvl="6" w:tentative="0">
      <w:start w:val="1"/>
      <w:numFmt w:val="decimal"/>
      <w:lvlText w:val="%1.%2.%3.%4.%5.%6.%7"/>
      <w:lvlJc w:val="left"/>
      <w:pPr>
        <w:tabs>
          <w:tab w:val="left" w:pos="3827"/>
        </w:tabs>
        <w:ind w:left="3827" w:hanging="1276"/>
      </w:pPr>
    </w:lvl>
    <w:lvl w:ilvl="7" w:tentative="0">
      <w:start w:val="1"/>
      <w:numFmt w:val="decimal"/>
      <w:lvlText w:val="%1.%2.%3.%4.%5.%6.%7.%8"/>
      <w:lvlJc w:val="left"/>
      <w:pPr>
        <w:tabs>
          <w:tab w:val="left" w:pos="4394"/>
        </w:tabs>
        <w:ind w:left="4394" w:hanging="1418"/>
      </w:pPr>
    </w:lvl>
    <w:lvl w:ilvl="8" w:tentative="0">
      <w:start w:val="1"/>
      <w:numFmt w:val="decimal"/>
      <w:lvlText w:val="%1.%2.%3.%4.%5.%6.%7.%8.%9"/>
      <w:lvlJc w:val="left"/>
      <w:pPr>
        <w:tabs>
          <w:tab w:val="left" w:pos="5102"/>
        </w:tabs>
        <w:ind w:left="5102" w:hanging="1700"/>
      </w:pPr>
    </w:lvl>
  </w:abstractNum>
  <w:abstractNum w:abstractNumId="23">
    <w:nsid w:val="654A26C9"/>
    <w:multiLevelType w:val="multilevel"/>
    <w:tmpl w:val="654A26C9"/>
    <w:lvl w:ilvl="0" w:tentative="0">
      <w:start w:val="1"/>
      <w:numFmt w:val="none"/>
      <w:pStyle w:val="194"/>
      <w:lvlText w:val="──"/>
      <w:lvlJc w:val="left"/>
      <w:pPr>
        <w:ind w:left="851" w:firstLine="0"/>
      </w:pPr>
      <w:rPr>
        <w:rFonts w:hint="eastAsia" w:ascii="宋体" w:eastAsia="宋体" w:hAnsiTheme="majorHAnsi"/>
        <w:b w:val="0"/>
        <w:i w:val="0"/>
        <w:sz w:val="21"/>
      </w:rPr>
    </w:lvl>
    <w:lvl w:ilvl="1" w:tentative="0">
      <w:start w:val="1"/>
      <w:numFmt w:val="bullet"/>
      <w:lvlText w:val=""/>
      <w:lvlJc w:val="left"/>
      <w:pPr>
        <w:ind w:left="1276" w:hanging="425"/>
      </w:pPr>
      <w:rPr>
        <w:rFonts w:hint="default" w:ascii="Wingdings" w:hAnsi="Wingdings"/>
      </w:rPr>
    </w:lvl>
    <w:lvl w:ilvl="2" w:tentative="0">
      <w:start w:val="1"/>
      <w:numFmt w:val="bullet"/>
      <w:lvlText w:val=""/>
      <w:lvlJc w:val="left"/>
      <w:pPr>
        <w:ind w:left="1276" w:hanging="236"/>
      </w:pPr>
      <w:rPr>
        <w:rFonts w:hint="default" w:ascii="Wingdings" w:hAnsi="Wingdings"/>
      </w:rPr>
    </w:lvl>
    <w:lvl w:ilvl="3" w:tentative="0">
      <w:start w:val="1"/>
      <w:numFmt w:val="bullet"/>
      <w:lvlText w:val=""/>
      <w:lvlJc w:val="left"/>
      <w:pPr>
        <w:ind w:left="1880" w:hanging="420"/>
      </w:pPr>
      <w:rPr>
        <w:rFonts w:hint="default" w:ascii="Wingdings" w:hAnsi="Wingdings"/>
      </w:rPr>
    </w:lvl>
    <w:lvl w:ilvl="4" w:tentative="0">
      <w:start w:val="1"/>
      <w:numFmt w:val="bullet"/>
      <w:lvlText w:val=""/>
      <w:lvlJc w:val="left"/>
      <w:pPr>
        <w:ind w:left="2300" w:hanging="420"/>
      </w:pPr>
      <w:rPr>
        <w:rFonts w:hint="default" w:ascii="Wingdings" w:hAnsi="Wingdings"/>
      </w:rPr>
    </w:lvl>
    <w:lvl w:ilvl="5" w:tentative="0">
      <w:start w:val="1"/>
      <w:numFmt w:val="bullet"/>
      <w:lvlText w:val=""/>
      <w:lvlJc w:val="left"/>
      <w:pPr>
        <w:ind w:left="2720" w:hanging="420"/>
      </w:pPr>
      <w:rPr>
        <w:rFonts w:hint="default" w:ascii="Wingdings" w:hAnsi="Wingdings"/>
      </w:rPr>
    </w:lvl>
    <w:lvl w:ilvl="6" w:tentative="0">
      <w:start w:val="1"/>
      <w:numFmt w:val="bullet"/>
      <w:lvlText w:val=""/>
      <w:lvlJc w:val="left"/>
      <w:pPr>
        <w:ind w:left="3140" w:hanging="420"/>
      </w:pPr>
      <w:rPr>
        <w:rFonts w:hint="default" w:ascii="Wingdings" w:hAnsi="Wingdings"/>
      </w:rPr>
    </w:lvl>
    <w:lvl w:ilvl="7" w:tentative="0">
      <w:start w:val="1"/>
      <w:numFmt w:val="bullet"/>
      <w:lvlText w:val=""/>
      <w:lvlJc w:val="left"/>
      <w:pPr>
        <w:ind w:left="3560" w:hanging="420"/>
      </w:pPr>
      <w:rPr>
        <w:rFonts w:hint="default" w:ascii="Wingdings" w:hAnsi="Wingdings"/>
      </w:rPr>
    </w:lvl>
    <w:lvl w:ilvl="8" w:tentative="0">
      <w:start w:val="1"/>
      <w:numFmt w:val="bullet"/>
      <w:lvlText w:val=""/>
      <w:lvlJc w:val="left"/>
      <w:pPr>
        <w:ind w:left="3980" w:hanging="420"/>
      </w:pPr>
      <w:rPr>
        <w:rFonts w:hint="default" w:ascii="Wingdings" w:hAnsi="Wingdings"/>
      </w:rPr>
    </w:lvl>
  </w:abstractNum>
  <w:abstractNum w:abstractNumId="24">
    <w:nsid w:val="657D3FBC"/>
    <w:multiLevelType w:val="multilevel"/>
    <w:tmpl w:val="657D3FBC"/>
    <w:lvl w:ilvl="0" w:tentative="0">
      <w:start w:val="1"/>
      <w:numFmt w:val="upperLetter"/>
      <w:pStyle w:val="81"/>
      <w:suff w:val="nothing"/>
      <w:lvlText w:val="附录%1"/>
      <w:lvlJc w:val="left"/>
      <w:pPr>
        <w:ind w:left="0" w:firstLine="0"/>
      </w:pPr>
      <w:rPr>
        <w:rFonts w:hint="eastAsia"/>
        <w:spacing w:val="100"/>
      </w:rPr>
    </w:lvl>
    <w:lvl w:ilvl="1" w:tentative="0">
      <w:start w:val="1"/>
      <w:numFmt w:val="decimal"/>
      <w:pStyle w:val="83"/>
      <w:suff w:val="nothing"/>
      <w:lvlText w:val="%1.%2　"/>
      <w:lvlJc w:val="left"/>
      <w:pPr>
        <w:ind w:left="0" w:firstLine="0"/>
      </w:pPr>
      <w:rPr>
        <w:rFonts w:hint="eastAsia" w:ascii="黑体" w:eastAsia="黑体"/>
        <w:b w:val="0"/>
        <w:i w:val="0"/>
        <w:sz w:val="21"/>
      </w:rPr>
    </w:lvl>
    <w:lvl w:ilvl="2" w:tentative="0">
      <w:start w:val="1"/>
      <w:numFmt w:val="decimal"/>
      <w:pStyle w:val="84"/>
      <w:suff w:val="nothing"/>
      <w:lvlText w:val="%1.%2.%3　"/>
      <w:lvlJc w:val="left"/>
      <w:pPr>
        <w:ind w:left="0" w:firstLine="0"/>
      </w:pPr>
      <w:rPr>
        <w:rFonts w:hint="eastAsia" w:ascii="黑体" w:eastAsia="黑体"/>
        <w:b w:val="0"/>
        <w:i w:val="0"/>
        <w:sz w:val="21"/>
      </w:rPr>
    </w:lvl>
    <w:lvl w:ilvl="3" w:tentative="0">
      <w:start w:val="1"/>
      <w:numFmt w:val="decimal"/>
      <w:pStyle w:val="86"/>
      <w:suff w:val="nothing"/>
      <w:lvlText w:val="%1.%2.%3.%4　"/>
      <w:lvlJc w:val="left"/>
      <w:pPr>
        <w:ind w:left="0" w:firstLine="0"/>
      </w:pPr>
      <w:rPr>
        <w:rFonts w:hint="eastAsia" w:ascii="黑体" w:eastAsia="黑体"/>
        <w:b w:val="0"/>
        <w:i w:val="0"/>
        <w:sz w:val="21"/>
      </w:rPr>
    </w:lvl>
    <w:lvl w:ilvl="4" w:tentative="0">
      <w:start w:val="1"/>
      <w:numFmt w:val="decimal"/>
      <w:pStyle w:val="87"/>
      <w:suff w:val="nothing"/>
      <w:lvlText w:val="%1.%2.%3.%4.%5　"/>
      <w:lvlJc w:val="left"/>
      <w:pPr>
        <w:ind w:left="0" w:firstLine="0"/>
      </w:pPr>
      <w:rPr>
        <w:rFonts w:hint="eastAsia" w:ascii="黑体" w:eastAsia="黑体"/>
        <w:b w:val="0"/>
        <w:i w:val="0"/>
        <w:sz w:val="21"/>
      </w:rPr>
    </w:lvl>
    <w:lvl w:ilvl="5" w:tentative="0">
      <w:start w:val="1"/>
      <w:numFmt w:val="decimal"/>
      <w:pStyle w:val="89"/>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25">
    <w:nsid w:val="69506ABF"/>
    <w:multiLevelType w:val="multilevel"/>
    <w:tmpl w:val="69506ABF"/>
    <w:lvl w:ilvl="0" w:tentative="0">
      <w:start w:val="1"/>
      <w:numFmt w:val="bullet"/>
      <w:pStyle w:val="193"/>
      <w:lvlText w:val=""/>
      <w:lvlJc w:val="left"/>
      <w:pPr>
        <w:ind w:left="851" w:firstLine="0"/>
      </w:pPr>
      <w:rPr>
        <w:rFonts w:hint="default" w:ascii="Wingdings" w:hAnsi="Wingdings"/>
        <w:color w:val="auto"/>
      </w:rPr>
    </w:lvl>
    <w:lvl w:ilvl="1" w:tentative="0">
      <w:start w:val="1"/>
      <w:numFmt w:val="lowerLetter"/>
      <w:lvlText w:val="%2)"/>
      <w:lvlJc w:val="left"/>
      <w:pPr>
        <w:ind w:left="1040" w:hanging="420"/>
      </w:pPr>
      <w:rPr>
        <w:rFonts w:hint="eastAsia"/>
      </w:rPr>
    </w:lvl>
    <w:lvl w:ilvl="2" w:tentative="0">
      <w:start w:val="1"/>
      <w:numFmt w:val="lowerRoman"/>
      <w:lvlText w:val="%3."/>
      <w:lvlJc w:val="right"/>
      <w:pPr>
        <w:ind w:left="1460" w:hanging="420"/>
      </w:pPr>
      <w:rPr>
        <w:rFonts w:hint="eastAsia"/>
      </w:rPr>
    </w:lvl>
    <w:lvl w:ilvl="3" w:tentative="0">
      <w:start w:val="1"/>
      <w:numFmt w:val="decimal"/>
      <w:lvlText w:val="%4."/>
      <w:lvlJc w:val="left"/>
      <w:pPr>
        <w:ind w:left="1880" w:hanging="420"/>
      </w:pPr>
      <w:rPr>
        <w:rFonts w:hint="eastAsia"/>
      </w:rPr>
    </w:lvl>
    <w:lvl w:ilvl="4" w:tentative="0">
      <w:start w:val="1"/>
      <w:numFmt w:val="lowerLetter"/>
      <w:lvlText w:val="%5)"/>
      <w:lvlJc w:val="left"/>
      <w:pPr>
        <w:ind w:left="2300" w:hanging="420"/>
      </w:pPr>
      <w:rPr>
        <w:rFonts w:hint="eastAsia"/>
      </w:rPr>
    </w:lvl>
    <w:lvl w:ilvl="5" w:tentative="0">
      <w:start w:val="1"/>
      <w:numFmt w:val="lowerRoman"/>
      <w:lvlText w:val="%6."/>
      <w:lvlJc w:val="right"/>
      <w:pPr>
        <w:ind w:left="2720" w:hanging="420"/>
      </w:pPr>
      <w:rPr>
        <w:rFonts w:hint="eastAsia"/>
      </w:rPr>
    </w:lvl>
    <w:lvl w:ilvl="6" w:tentative="0">
      <w:start w:val="1"/>
      <w:numFmt w:val="decimal"/>
      <w:lvlText w:val="%7."/>
      <w:lvlJc w:val="left"/>
      <w:pPr>
        <w:ind w:left="3140" w:hanging="420"/>
      </w:pPr>
      <w:rPr>
        <w:rFonts w:hint="eastAsia"/>
      </w:rPr>
    </w:lvl>
    <w:lvl w:ilvl="7" w:tentative="0">
      <w:start w:val="1"/>
      <w:numFmt w:val="lowerLetter"/>
      <w:lvlText w:val="%8)"/>
      <w:lvlJc w:val="left"/>
      <w:pPr>
        <w:ind w:left="3560" w:hanging="420"/>
      </w:pPr>
      <w:rPr>
        <w:rFonts w:hint="eastAsia"/>
      </w:rPr>
    </w:lvl>
    <w:lvl w:ilvl="8" w:tentative="0">
      <w:start w:val="1"/>
      <w:numFmt w:val="lowerRoman"/>
      <w:lvlText w:val="%9."/>
      <w:lvlJc w:val="right"/>
      <w:pPr>
        <w:ind w:left="3980" w:hanging="420"/>
      </w:pPr>
      <w:rPr>
        <w:rFonts w:hint="eastAsia"/>
      </w:rPr>
    </w:lvl>
  </w:abstractNum>
  <w:abstractNum w:abstractNumId="26">
    <w:nsid w:val="6CA41985"/>
    <w:multiLevelType w:val="multilevel"/>
    <w:tmpl w:val="6CA41985"/>
    <w:lvl w:ilvl="0" w:tentative="0">
      <w:start w:val="1"/>
      <w:numFmt w:val="decimal"/>
      <w:pStyle w:val="102"/>
      <w:lvlText w:val="%1)"/>
      <w:lvlJc w:val="left"/>
      <w:pPr>
        <w:tabs>
          <w:tab w:val="left" w:pos="823"/>
        </w:tabs>
        <w:ind w:left="823"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7">
    <w:nsid w:val="6CE42AC1"/>
    <w:multiLevelType w:val="multilevel"/>
    <w:tmpl w:val="6CE42AC1"/>
    <w:lvl w:ilvl="0" w:tentative="0">
      <w:start w:val="1"/>
      <w:numFmt w:val="lowerLetter"/>
      <w:pStyle w:val="178"/>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28">
    <w:nsid w:val="6CEA2025"/>
    <w:multiLevelType w:val="multilevel"/>
    <w:tmpl w:val="6CEA2025"/>
    <w:lvl w:ilvl="0" w:tentative="0">
      <w:start w:val="1"/>
      <w:numFmt w:val="none"/>
      <w:pStyle w:val="157"/>
      <w:suff w:val="nothing"/>
      <w:lvlText w:val="%1"/>
      <w:lvlJc w:val="left"/>
      <w:pPr>
        <w:ind w:left="0" w:firstLine="0"/>
      </w:pPr>
      <w:rPr>
        <w:rFonts w:hint="eastAsia"/>
      </w:rPr>
    </w:lvl>
    <w:lvl w:ilvl="1" w:tentative="0">
      <w:start w:val="1"/>
      <w:numFmt w:val="decimal"/>
      <w:pStyle w:val="109"/>
      <w:suff w:val="nothing"/>
      <w:lvlText w:val="%1%2　"/>
      <w:lvlJc w:val="left"/>
      <w:pPr>
        <w:ind w:left="0" w:firstLine="0"/>
      </w:pPr>
      <w:rPr>
        <w:rFonts w:hint="eastAsia" w:ascii="黑体" w:eastAsia="黑体"/>
        <w:b w:val="0"/>
        <w:i w:val="0"/>
        <w:sz w:val="21"/>
      </w:rPr>
    </w:lvl>
    <w:lvl w:ilvl="2" w:tentative="0">
      <w:start w:val="1"/>
      <w:numFmt w:val="decimal"/>
      <w:pStyle w:val="110"/>
      <w:suff w:val="nothing"/>
      <w:lvlText w:val="%1%2.%3　"/>
      <w:lvlJc w:val="left"/>
      <w:pPr>
        <w:ind w:left="2411"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pStyle w:val="70"/>
      <w:suff w:val="nothing"/>
      <w:lvlText w:val="%1%2.%3.%4　"/>
      <w:lvlJc w:val="left"/>
      <w:pPr>
        <w:ind w:left="0" w:firstLine="0"/>
      </w:pPr>
      <w:rPr>
        <w:rFonts w:hint="eastAsia" w:ascii="黑体" w:eastAsia="黑体"/>
        <w:b w:val="0"/>
        <w:i w:val="0"/>
        <w:sz w:val="21"/>
      </w:rPr>
    </w:lvl>
    <w:lvl w:ilvl="4" w:tentative="0">
      <w:start w:val="1"/>
      <w:numFmt w:val="decimal"/>
      <w:pStyle w:val="99"/>
      <w:suff w:val="nothing"/>
      <w:lvlText w:val="%1%2.%3.%4.%5　"/>
      <w:lvlJc w:val="left"/>
      <w:pPr>
        <w:ind w:left="284" w:firstLine="0"/>
      </w:pPr>
      <w:rPr>
        <w:rFonts w:hint="eastAsia" w:ascii="黑体" w:eastAsia="黑体"/>
        <w:b w:val="0"/>
        <w:i w:val="0"/>
        <w:sz w:val="21"/>
      </w:rPr>
    </w:lvl>
    <w:lvl w:ilvl="5" w:tentative="0">
      <w:start w:val="1"/>
      <w:numFmt w:val="decimal"/>
      <w:pStyle w:val="103"/>
      <w:suff w:val="nothing"/>
      <w:lvlText w:val="%1%2.%3.%4.%5.%6　"/>
      <w:lvlJc w:val="left"/>
      <w:pPr>
        <w:ind w:left="0" w:firstLine="0"/>
      </w:pPr>
      <w:rPr>
        <w:rFonts w:hint="eastAsia" w:ascii="黑体" w:eastAsia="黑体"/>
        <w:b w:val="0"/>
        <w:i w:val="0"/>
        <w:sz w:val="21"/>
      </w:rPr>
    </w:lvl>
    <w:lvl w:ilvl="6" w:tentative="0">
      <w:start w:val="1"/>
      <w:numFmt w:val="decimal"/>
      <w:pStyle w:val="108"/>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29">
    <w:nsid w:val="6DBF04F4"/>
    <w:multiLevelType w:val="multilevel"/>
    <w:tmpl w:val="6DBF04F4"/>
    <w:lvl w:ilvl="0" w:tentative="0">
      <w:start w:val="1"/>
      <w:numFmt w:val="none"/>
      <w:pStyle w:val="184"/>
      <w:lvlText w:val="%1注："/>
      <w:lvlJc w:val="left"/>
      <w:pPr>
        <w:ind w:left="737" w:hanging="374"/>
      </w:pPr>
      <w:rPr>
        <w:rFonts w:hint="eastAsia" w:ascii="黑体" w:eastAsia="黑体"/>
        <w:b w:val="0"/>
        <w:i w:val="0"/>
        <w:sz w:val="18"/>
      </w:rPr>
    </w:lvl>
    <w:lvl w:ilvl="1" w:tentative="0">
      <w:start w:val="1"/>
      <w:numFmt w:val="lowerLetter"/>
      <w:lvlText w:val="%2)"/>
      <w:lvlJc w:val="left"/>
      <w:pPr>
        <w:tabs>
          <w:tab w:val="left" w:pos="1140"/>
        </w:tabs>
        <w:ind w:left="726" w:hanging="363"/>
      </w:pPr>
      <w:rPr>
        <w:rFonts w:hint="eastAsia"/>
      </w:rPr>
    </w:lvl>
    <w:lvl w:ilvl="2" w:tentative="0">
      <w:start w:val="1"/>
      <w:numFmt w:val="lowerRoman"/>
      <w:lvlText w:val="%3."/>
      <w:lvlJc w:val="right"/>
      <w:pPr>
        <w:tabs>
          <w:tab w:val="left" w:pos="1140"/>
        </w:tabs>
        <w:ind w:left="726" w:hanging="363"/>
      </w:pPr>
      <w:rPr>
        <w:rFonts w:hint="eastAsia"/>
      </w:rPr>
    </w:lvl>
    <w:lvl w:ilvl="3" w:tentative="0">
      <w:start w:val="1"/>
      <w:numFmt w:val="decimal"/>
      <w:lvlText w:val="%4."/>
      <w:lvlJc w:val="left"/>
      <w:pPr>
        <w:tabs>
          <w:tab w:val="left" w:pos="1140"/>
        </w:tabs>
        <w:ind w:left="726" w:hanging="363"/>
      </w:pPr>
      <w:rPr>
        <w:rFonts w:hint="eastAsia"/>
      </w:rPr>
    </w:lvl>
    <w:lvl w:ilvl="4" w:tentative="0">
      <w:start w:val="1"/>
      <w:numFmt w:val="lowerLetter"/>
      <w:lvlText w:val="%5)"/>
      <w:lvlJc w:val="left"/>
      <w:pPr>
        <w:tabs>
          <w:tab w:val="left" w:pos="1140"/>
        </w:tabs>
        <w:ind w:left="726" w:hanging="363"/>
      </w:pPr>
      <w:rPr>
        <w:rFonts w:hint="eastAsia"/>
      </w:rPr>
    </w:lvl>
    <w:lvl w:ilvl="5" w:tentative="0">
      <w:start w:val="1"/>
      <w:numFmt w:val="lowerRoman"/>
      <w:lvlText w:val="%6."/>
      <w:lvlJc w:val="right"/>
      <w:pPr>
        <w:tabs>
          <w:tab w:val="left" w:pos="1140"/>
        </w:tabs>
        <w:ind w:left="726" w:hanging="363"/>
      </w:pPr>
      <w:rPr>
        <w:rFonts w:hint="eastAsia"/>
      </w:rPr>
    </w:lvl>
    <w:lvl w:ilvl="6" w:tentative="0">
      <w:start w:val="1"/>
      <w:numFmt w:val="decimal"/>
      <w:lvlText w:val="%7."/>
      <w:lvlJc w:val="left"/>
      <w:pPr>
        <w:tabs>
          <w:tab w:val="left" w:pos="1140"/>
        </w:tabs>
        <w:ind w:left="726" w:hanging="363"/>
      </w:pPr>
      <w:rPr>
        <w:rFonts w:hint="eastAsia"/>
      </w:rPr>
    </w:lvl>
    <w:lvl w:ilvl="7" w:tentative="0">
      <w:start w:val="1"/>
      <w:numFmt w:val="lowerLetter"/>
      <w:lvlText w:val="%8)"/>
      <w:lvlJc w:val="left"/>
      <w:pPr>
        <w:tabs>
          <w:tab w:val="left" w:pos="1140"/>
        </w:tabs>
        <w:ind w:left="726" w:hanging="363"/>
      </w:pPr>
      <w:rPr>
        <w:rFonts w:hint="eastAsia"/>
      </w:rPr>
    </w:lvl>
    <w:lvl w:ilvl="8" w:tentative="0">
      <w:start w:val="1"/>
      <w:numFmt w:val="lowerRoman"/>
      <w:lvlText w:val="%9."/>
      <w:lvlJc w:val="right"/>
      <w:pPr>
        <w:tabs>
          <w:tab w:val="left" w:pos="1140"/>
        </w:tabs>
        <w:ind w:left="726" w:hanging="363"/>
      </w:pPr>
      <w:rPr>
        <w:rFonts w:hint="eastAsia"/>
      </w:rPr>
    </w:lvl>
  </w:abstractNum>
  <w:abstractNum w:abstractNumId="30">
    <w:nsid w:val="6DF35F19"/>
    <w:multiLevelType w:val="multilevel"/>
    <w:tmpl w:val="6DF35F19"/>
    <w:lvl w:ilvl="0" w:tentative="0">
      <w:start w:val="1"/>
      <w:numFmt w:val="decimal"/>
      <w:pStyle w:val="120"/>
      <w:suff w:val="nothing"/>
      <w:lvlText w:val="Table %1　"/>
      <w:lvlJc w:val="left"/>
      <w:pPr>
        <w:ind w:left="0" w:firstLine="0"/>
      </w:pPr>
    </w:lvl>
    <w:lvl w:ilvl="1" w:tentative="0">
      <w:start w:val="1"/>
      <w:numFmt w:val="decimal"/>
      <w:suff w:val="nothing"/>
      <w:lvlText w:val="%1%2　"/>
      <w:lvlJc w:val="left"/>
      <w:pPr>
        <w:ind w:left="0" w:firstLine="0"/>
      </w:pPr>
    </w:lvl>
    <w:lvl w:ilvl="2" w:tentative="0">
      <w:start w:val="1"/>
      <w:numFmt w:val="decimal"/>
      <w:suff w:val="nothing"/>
      <w:lvlText w:val="%1%2.%3　"/>
      <w:lvlJc w:val="left"/>
      <w:pPr>
        <w:ind w:left="0" w:firstLine="0"/>
      </w:pPr>
    </w:lvl>
    <w:lvl w:ilvl="3" w:tentative="0">
      <w:start w:val="1"/>
      <w:numFmt w:val="decimal"/>
      <w:suff w:val="nothing"/>
      <w:lvlText w:val="%1%2.%3.%4　"/>
      <w:lvlJc w:val="left"/>
      <w:pPr>
        <w:ind w:left="0" w:firstLine="0"/>
      </w:pPr>
    </w:lvl>
    <w:lvl w:ilvl="4" w:tentative="0">
      <w:start w:val="1"/>
      <w:numFmt w:val="decimal"/>
      <w:suff w:val="nothing"/>
      <w:lvlText w:val="%1%2.%3.%4.%5　"/>
      <w:lvlJc w:val="left"/>
      <w:pPr>
        <w:ind w:left="0" w:firstLine="0"/>
      </w:pPr>
    </w:lvl>
    <w:lvl w:ilvl="5" w:tentative="0">
      <w:start w:val="1"/>
      <w:numFmt w:val="decimal"/>
      <w:suff w:val="nothing"/>
      <w:lvlText w:val="%1%2.%3.%4.%5.%6　"/>
      <w:lvlJc w:val="left"/>
      <w:pPr>
        <w:ind w:left="0" w:firstLine="0"/>
      </w:pPr>
    </w:lvl>
    <w:lvl w:ilvl="6" w:tentative="0">
      <w:start w:val="1"/>
      <w:numFmt w:val="decimal"/>
      <w:suff w:val="nothing"/>
      <w:lvlText w:val="%1%2.%3.%4.%5.%6.%7　"/>
      <w:lvlJc w:val="left"/>
      <w:pPr>
        <w:ind w:left="0" w:firstLine="0"/>
      </w:pPr>
    </w:lvl>
    <w:lvl w:ilvl="7" w:tentative="0">
      <w:start w:val="1"/>
      <w:numFmt w:val="decimal"/>
      <w:lvlText w:val="%1.%2.%3.%4.%5.%6.%7.%8"/>
      <w:lvlJc w:val="left"/>
      <w:pPr>
        <w:tabs>
          <w:tab w:val="left" w:pos="4348"/>
        </w:tabs>
        <w:ind w:left="3969" w:hanging="1418"/>
      </w:pPr>
    </w:lvl>
    <w:lvl w:ilvl="8" w:tentative="0">
      <w:start w:val="1"/>
      <w:numFmt w:val="decimal"/>
      <w:lvlText w:val="%1.%2.%3.%4.%5.%6.%7.%8.%9"/>
      <w:lvlJc w:val="left"/>
      <w:pPr>
        <w:tabs>
          <w:tab w:val="left" w:pos="4774"/>
        </w:tabs>
        <w:ind w:left="4677" w:hanging="1701"/>
      </w:pPr>
    </w:lvl>
  </w:abstractNum>
  <w:abstractNum w:abstractNumId="31">
    <w:nsid w:val="76933334"/>
    <w:multiLevelType w:val="multilevel"/>
    <w:tmpl w:val="76933334"/>
    <w:lvl w:ilvl="0" w:tentative="0">
      <w:start w:val="1"/>
      <w:numFmt w:val="none"/>
      <w:pStyle w:val="144"/>
      <w:lvlText w:val="%1——"/>
      <w:lvlJc w:val="left"/>
      <w:pPr>
        <w:tabs>
          <w:tab w:val="left" w:pos="330"/>
        </w:tabs>
        <w:ind w:left="948"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8"/>
  </w:num>
  <w:num w:numId="3">
    <w:abstractNumId w:val="5"/>
  </w:num>
  <w:num w:numId="4">
    <w:abstractNumId w:val="24"/>
  </w:num>
  <w:num w:numId="5">
    <w:abstractNumId w:val="19"/>
  </w:num>
  <w:num w:numId="6">
    <w:abstractNumId w:val="15"/>
  </w:num>
  <w:num w:numId="7">
    <w:abstractNumId w:val="8"/>
  </w:num>
  <w:num w:numId="8">
    <w:abstractNumId w:val="3"/>
  </w:num>
  <w:num w:numId="9">
    <w:abstractNumId w:val="9"/>
  </w:num>
  <w:num w:numId="10">
    <w:abstractNumId w:val="18"/>
  </w:num>
  <w:num w:numId="11">
    <w:abstractNumId w:val="26"/>
  </w:num>
  <w:num w:numId="12">
    <w:abstractNumId w:val="12"/>
  </w:num>
  <w:num w:numId="13">
    <w:abstractNumId w:val="14"/>
  </w:num>
  <w:num w:numId="14">
    <w:abstractNumId w:val="7"/>
  </w:num>
  <w:num w:numId="15">
    <w:abstractNumId w:val="20"/>
  </w:num>
  <w:num w:numId="16">
    <w:abstractNumId w:val="30"/>
  </w:num>
  <w:num w:numId="17">
    <w:abstractNumId w:val="17"/>
  </w:num>
  <w:num w:numId="18">
    <w:abstractNumId w:val="1"/>
  </w:num>
  <w:num w:numId="19">
    <w:abstractNumId w:val="11"/>
  </w:num>
  <w:num w:numId="20">
    <w:abstractNumId w:val="31"/>
  </w:num>
  <w:num w:numId="21">
    <w:abstractNumId w:val="21"/>
  </w:num>
  <w:num w:numId="22">
    <w:abstractNumId w:val="6"/>
  </w:num>
  <w:num w:numId="23">
    <w:abstractNumId w:val="27"/>
  </w:num>
  <w:num w:numId="24">
    <w:abstractNumId w:val="29"/>
  </w:num>
  <w:num w:numId="25">
    <w:abstractNumId w:val="2"/>
  </w:num>
  <w:num w:numId="26">
    <w:abstractNumId w:val="4"/>
  </w:num>
  <w:num w:numId="27">
    <w:abstractNumId w:val="16"/>
  </w:num>
  <w:num w:numId="28">
    <w:abstractNumId w:val="25"/>
  </w:num>
  <w:num w:numId="29">
    <w:abstractNumId w:val="23"/>
  </w:num>
  <w:num w:numId="30">
    <w:abstractNumId w:val="10"/>
  </w:num>
  <w:num w:numId="31">
    <w:abstractNumId w:val="22"/>
  </w:num>
  <w:num w:numId="3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bordersDoNotSurroundHeader w:val="1"/>
  <w:bordersDoNotSurroundFooter w:val="1"/>
  <w:attachedTemplate r:id="rId1"/>
  <w:documentProtection w:edit="forms" w:enforcement="0"/>
  <w:defaultTabStop w:val="420"/>
  <w:evenAndOddHeaders w:val="1"/>
  <w:drawingGridHorizontalSpacing w:val="105"/>
  <w:drawingGridVerticalSpacing w:val="156"/>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Dg5OWE3OTdiNGRiYjNjYWE0ZDZiNDY3MjBiMGY2N2EifQ=="/>
  </w:docVars>
  <w:rsids>
    <w:rsidRoot w:val="0076712C"/>
    <w:rsid w:val="0000040A"/>
    <w:rsid w:val="00000A94"/>
    <w:rsid w:val="00001972"/>
    <w:rsid w:val="00001D9A"/>
    <w:rsid w:val="000069BA"/>
    <w:rsid w:val="00007B3A"/>
    <w:rsid w:val="000107E0"/>
    <w:rsid w:val="00011FDE"/>
    <w:rsid w:val="00012FFD"/>
    <w:rsid w:val="00014162"/>
    <w:rsid w:val="00014340"/>
    <w:rsid w:val="00016A9C"/>
    <w:rsid w:val="00022184"/>
    <w:rsid w:val="0002259D"/>
    <w:rsid w:val="00022762"/>
    <w:rsid w:val="000238E0"/>
    <w:rsid w:val="000249DB"/>
    <w:rsid w:val="00024B79"/>
    <w:rsid w:val="0002595E"/>
    <w:rsid w:val="00025B68"/>
    <w:rsid w:val="000303C3"/>
    <w:rsid w:val="000331D3"/>
    <w:rsid w:val="000346A5"/>
    <w:rsid w:val="000359C3"/>
    <w:rsid w:val="00035A7D"/>
    <w:rsid w:val="000365ED"/>
    <w:rsid w:val="0004249A"/>
    <w:rsid w:val="00043282"/>
    <w:rsid w:val="00044286"/>
    <w:rsid w:val="00047F28"/>
    <w:rsid w:val="000500C7"/>
    <w:rsid w:val="000503AA"/>
    <w:rsid w:val="000506A1"/>
    <w:rsid w:val="000515DD"/>
    <w:rsid w:val="0005265A"/>
    <w:rsid w:val="000539DD"/>
    <w:rsid w:val="00053BD3"/>
    <w:rsid w:val="000556ED"/>
    <w:rsid w:val="00055FE2"/>
    <w:rsid w:val="0005616F"/>
    <w:rsid w:val="00060C2E"/>
    <w:rsid w:val="00061033"/>
    <w:rsid w:val="000619E9"/>
    <w:rsid w:val="000622D4"/>
    <w:rsid w:val="0006357D"/>
    <w:rsid w:val="00067F1E"/>
    <w:rsid w:val="00071CC0"/>
    <w:rsid w:val="00073C8C"/>
    <w:rsid w:val="00077B64"/>
    <w:rsid w:val="00080A1C"/>
    <w:rsid w:val="00082317"/>
    <w:rsid w:val="00083D2C"/>
    <w:rsid w:val="00086AA1"/>
    <w:rsid w:val="00087A77"/>
    <w:rsid w:val="000902C2"/>
    <w:rsid w:val="00090CA6"/>
    <w:rsid w:val="00092B8A"/>
    <w:rsid w:val="00092FB0"/>
    <w:rsid w:val="000934C5"/>
    <w:rsid w:val="00093D25"/>
    <w:rsid w:val="00093DAB"/>
    <w:rsid w:val="00094D73"/>
    <w:rsid w:val="00096D63"/>
    <w:rsid w:val="000A0B60"/>
    <w:rsid w:val="000A0EB8"/>
    <w:rsid w:val="000A19FC"/>
    <w:rsid w:val="000A264A"/>
    <w:rsid w:val="000A296B"/>
    <w:rsid w:val="000A7311"/>
    <w:rsid w:val="000B060F"/>
    <w:rsid w:val="000B1592"/>
    <w:rsid w:val="000B1FF2"/>
    <w:rsid w:val="000B3CDA"/>
    <w:rsid w:val="000B6A0B"/>
    <w:rsid w:val="000C0F6C"/>
    <w:rsid w:val="000C11DB"/>
    <w:rsid w:val="000C1492"/>
    <w:rsid w:val="000C2FBD"/>
    <w:rsid w:val="000C4B41"/>
    <w:rsid w:val="000C57D6"/>
    <w:rsid w:val="000C6362"/>
    <w:rsid w:val="000C7666"/>
    <w:rsid w:val="000D0A9C"/>
    <w:rsid w:val="000D1795"/>
    <w:rsid w:val="000D329A"/>
    <w:rsid w:val="000D4B9C"/>
    <w:rsid w:val="000D4EB6"/>
    <w:rsid w:val="000D753B"/>
    <w:rsid w:val="000E28A1"/>
    <w:rsid w:val="000E2E7C"/>
    <w:rsid w:val="000E4C9E"/>
    <w:rsid w:val="000E6FD7"/>
    <w:rsid w:val="000F06E1"/>
    <w:rsid w:val="000F0E3C"/>
    <w:rsid w:val="000F19D5"/>
    <w:rsid w:val="000F4AEA"/>
    <w:rsid w:val="000F633F"/>
    <w:rsid w:val="000F67E9"/>
    <w:rsid w:val="000F6D73"/>
    <w:rsid w:val="00104926"/>
    <w:rsid w:val="00113B1E"/>
    <w:rsid w:val="00113CF9"/>
    <w:rsid w:val="00116E3B"/>
    <w:rsid w:val="0011711C"/>
    <w:rsid w:val="0012059C"/>
    <w:rsid w:val="00124E4F"/>
    <w:rsid w:val="001260B7"/>
    <w:rsid w:val="001265CB"/>
    <w:rsid w:val="001321C6"/>
    <w:rsid w:val="001325C4"/>
    <w:rsid w:val="00133010"/>
    <w:rsid w:val="001338EE"/>
    <w:rsid w:val="00133AAE"/>
    <w:rsid w:val="00135323"/>
    <w:rsid w:val="001356C4"/>
    <w:rsid w:val="00141114"/>
    <w:rsid w:val="00142969"/>
    <w:rsid w:val="001446C2"/>
    <w:rsid w:val="001457E7"/>
    <w:rsid w:val="00145D9D"/>
    <w:rsid w:val="00146388"/>
    <w:rsid w:val="001529E5"/>
    <w:rsid w:val="00153C7E"/>
    <w:rsid w:val="00156B25"/>
    <w:rsid w:val="00156E1A"/>
    <w:rsid w:val="00157894"/>
    <w:rsid w:val="00157B55"/>
    <w:rsid w:val="001642FA"/>
    <w:rsid w:val="001649EB"/>
    <w:rsid w:val="00164BAF"/>
    <w:rsid w:val="00164FA8"/>
    <w:rsid w:val="00165065"/>
    <w:rsid w:val="00165434"/>
    <w:rsid w:val="0016580B"/>
    <w:rsid w:val="00165F49"/>
    <w:rsid w:val="00166B88"/>
    <w:rsid w:val="0016770A"/>
    <w:rsid w:val="00170804"/>
    <w:rsid w:val="001708E9"/>
    <w:rsid w:val="0017340B"/>
    <w:rsid w:val="00173FB1"/>
    <w:rsid w:val="00174307"/>
    <w:rsid w:val="00176DFD"/>
    <w:rsid w:val="001852C9"/>
    <w:rsid w:val="00190087"/>
    <w:rsid w:val="001913C4"/>
    <w:rsid w:val="0019271F"/>
    <w:rsid w:val="0019348F"/>
    <w:rsid w:val="00193A07"/>
    <w:rsid w:val="00194C95"/>
    <w:rsid w:val="00195C34"/>
    <w:rsid w:val="00196EF5"/>
    <w:rsid w:val="001A1A53"/>
    <w:rsid w:val="001A234A"/>
    <w:rsid w:val="001A4CF3"/>
    <w:rsid w:val="001B06E8"/>
    <w:rsid w:val="001B508C"/>
    <w:rsid w:val="001B71D0"/>
    <w:rsid w:val="001B71EE"/>
    <w:rsid w:val="001C04A8"/>
    <w:rsid w:val="001C2C03"/>
    <w:rsid w:val="001C42F7"/>
    <w:rsid w:val="001C49E5"/>
    <w:rsid w:val="001C680C"/>
    <w:rsid w:val="001C7056"/>
    <w:rsid w:val="001C7FEA"/>
    <w:rsid w:val="001D027D"/>
    <w:rsid w:val="001D0499"/>
    <w:rsid w:val="001D0BBE"/>
    <w:rsid w:val="001D0ED4"/>
    <w:rsid w:val="001D212F"/>
    <w:rsid w:val="001D29D7"/>
    <w:rsid w:val="001D2DE7"/>
    <w:rsid w:val="001D3D4A"/>
    <w:rsid w:val="001D411C"/>
    <w:rsid w:val="001E1B6A"/>
    <w:rsid w:val="001E2484"/>
    <w:rsid w:val="001E3CC4"/>
    <w:rsid w:val="001E4882"/>
    <w:rsid w:val="001E73AB"/>
    <w:rsid w:val="001F092D"/>
    <w:rsid w:val="001F143A"/>
    <w:rsid w:val="001F1605"/>
    <w:rsid w:val="001F2508"/>
    <w:rsid w:val="001F3A63"/>
    <w:rsid w:val="001F4816"/>
    <w:rsid w:val="001F4EE9"/>
    <w:rsid w:val="001F69B4"/>
    <w:rsid w:val="001F77C7"/>
    <w:rsid w:val="00200183"/>
    <w:rsid w:val="00200333"/>
    <w:rsid w:val="0020107D"/>
    <w:rsid w:val="00202AA4"/>
    <w:rsid w:val="002031F7"/>
    <w:rsid w:val="002040E6"/>
    <w:rsid w:val="00204917"/>
    <w:rsid w:val="0020527B"/>
    <w:rsid w:val="00205F2C"/>
    <w:rsid w:val="00210827"/>
    <w:rsid w:val="00210B15"/>
    <w:rsid w:val="002142EA"/>
    <w:rsid w:val="002204BB"/>
    <w:rsid w:val="00221B79"/>
    <w:rsid w:val="00221C6B"/>
    <w:rsid w:val="002253A1"/>
    <w:rsid w:val="00225CF8"/>
    <w:rsid w:val="0022794E"/>
    <w:rsid w:val="00233D64"/>
    <w:rsid w:val="0023482A"/>
    <w:rsid w:val="002359CB"/>
    <w:rsid w:val="00243540"/>
    <w:rsid w:val="0024497B"/>
    <w:rsid w:val="0024515B"/>
    <w:rsid w:val="00246021"/>
    <w:rsid w:val="0024666E"/>
    <w:rsid w:val="00247F52"/>
    <w:rsid w:val="00250B25"/>
    <w:rsid w:val="00250BBE"/>
    <w:rsid w:val="002515C2"/>
    <w:rsid w:val="0025194F"/>
    <w:rsid w:val="0026148A"/>
    <w:rsid w:val="00262696"/>
    <w:rsid w:val="00263D25"/>
    <w:rsid w:val="002643C3"/>
    <w:rsid w:val="00264A0C"/>
    <w:rsid w:val="00266EEB"/>
    <w:rsid w:val="00267EF4"/>
    <w:rsid w:val="00270CB8"/>
    <w:rsid w:val="00272B08"/>
    <w:rsid w:val="002771AC"/>
    <w:rsid w:val="00277AC3"/>
    <w:rsid w:val="00281BB8"/>
    <w:rsid w:val="00281E9E"/>
    <w:rsid w:val="00282405"/>
    <w:rsid w:val="00283A39"/>
    <w:rsid w:val="00285170"/>
    <w:rsid w:val="00285361"/>
    <w:rsid w:val="00290193"/>
    <w:rsid w:val="00292D60"/>
    <w:rsid w:val="002935CB"/>
    <w:rsid w:val="00293B30"/>
    <w:rsid w:val="00294D34"/>
    <w:rsid w:val="00294E3B"/>
    <w:rsid w:val="00296193"/>
    <w:rsid w:val="00296C66"/>
    <w:rsid w:val="00296EBE"/>
    <w:rsid w:val="002974E3"/>
    <w:rsid w:val="002A084B"/>
    <w:rsid w:val="002A0D38"/>
    <w:rsid w:val="002A1260"/>
    <w:rsid w:val="002A1589"/>
    <w:rsid w:val="002A1608"/>
    <w:rsid w:val="002A25DC"/>
    <w:rsid w:val="002A3AAB"/>
    <w:rsid w:val="002A4CEA"/>
    <w:rsid w:val="002A5977"/>
    <w:rsid w:val="002A5A13"/>
    <w:rsid w:val="002A757F"/>
    <w:rsid w:val="002A7F44"/>
    <w:rsid w:val="002B0C40"/>
    <w:rsid w:val="002B1966"/>
    <w:rsid w:val="002B22F3"/>
    <w:rsid w:val="002B4508"/>
    <w:rsid w:val="002B5779"/>
    <w:rsid w:val="002B7332"/>
    <w:rsid w:val="002B7F51"/>
    <w:rsid w:val="002C09E7"/>
    <w:rsid w:val="002C1E06"/>
    <w:rsid w:val="002C1E1C"/>
    <w:rsid w:val="002C3F07"/>
    <w:rsid w:val="002C5278"/>
    <w:rsid w:val="002C7EBB"/>
    <w:rsid w:val="002D06C1"/>
    <w:rsid w:val="002D42B5"/>
    <w:rsid w:val="002D4F1A"/>
    <w:rsid w:val="002D6EC6"/>
    <w:rsid w:val="002D79AC"/>
    <w:rsid w:val="002E039D"/>
    <w:rsid w:val="002E4D5A"/>
    <w:rsid w:val="002E6326"/>
    <w:rsid w:val="002F30E0"/>
    <w:rsid w:val="002F35E4"/>
    <w:rsid w:val="002F3730"/>
    <w:rsid w:val="002F38E1"/>
    <w:rsid w:val="002F40A0"/>
    <w:rsid w:val="002F7AF6"/>
    <w:rsid w:val="00300E63"/>
    <w:rsid w:val="00302F5F"/>
    <w:rsid w:val="00303E0F"/>
    <w:rsid w:val="0030441D"/>
    <w:rsid w:val="00304F63"/>
    <w:rsid w:val="00305D1B"/>
    <w:rsid w:val="00306063"/>
    <w:rsid w:val="00313B85"/>
    <w:rsid w:val="00317988"/>
    <w:rsid w:val="003221B4"/>
    <w:rsid w:val="0032258D"/>
    <w:rsid w:val="00322E62"/>
    <w:rsid w:val="00324D13"/>
    <w:rsid w:val="00324D2A"/>
    <w:rsid w:val="00324EDD"/>
    <w:rsid w:val="00327B42"/>
    <w:rsid w:val="003331E4"/>
    <w:rsid w:val="00336C64"/>
    <w:rsid w:val="00337162"/>
    <w:rsid w:val="0034194F"/>
    <w:rsid w:val="00344605"/>
    <w:rsid w:val="003474AA"/>
    <w:rsid w:val="00350D1D"/>
    <w:rsid w:val="00352C83"/>
    <w:rsid w:val="003615D2"/>
    <w:rsid w:val="0036429C"/>
    <w:rsid w:val="00364A53"/>
    <w:rsid w:val="003654CB"/>
    <w:rsid w:val="00365AA9"/>
    <w:rsid w:val="00365F86"/>
    <w:rsid w:val="00365F87"/>
    <w:rsid w:val="00366E89"/>
    <w:rsid w:val="003705F4"/>
    <w:rsid w:val="00370D58"/>
    <w:rsid w:val="00371316"/>
    <w:rsid w:val="00376713"/>
    <w:rsid w:val="00381815"/>
    <w:rsid w:val="003819AF"/>
    <w:rsid w:val="003820E9"/>
    <w:rsid w:val="00382DE7"/>
    <w:rsid w:val="00384FFC"/>
    <w:rsid w:val="00386385"/>
    <w:rsid w:val="003872FC"/>
    <w:rsid w:val="00387ADC"/>
    <w:rsid w:val="00390020"/>
    <w:rsid w:val="003903D6"/>
    <w:rsid w:val="00390EE6"/>
    <w:rsid w:val="0039118F"/>
    <w:rsid w:val="00392AD7"/>
    <w:rsid w:val="003938D9"/>
    <w:rsid w:val="00394328"/>
    <w:rsid w:val="00394376"/>
    <w:rsid w:val="003943FF"/>
    <w:rsid w:val="00395700"/>
    <w:rsid w:val="00397400"/>
    <w:rsid w:val="003974EB"/>
    <w:rsid w:val="00397CC5"/>
    <w:rsid w:val="003A0D99"/>
    <w:rsid w:val="003A1582"/>
    <w:rsid w:val="003A4077"/>
    <w:rsid w:val="003A757C"/>
    <w:rsid w:val="003B09AD"/>
    <w:rsid w:val="003B1F18"/>
    <w:rsid w:val="003B5BF0"/>
    <w:rsid w:val="003B60BF"/>
    <w:rsid w:val="003B6BE3"/>
    <w:rsid w:val="003C010C"/>
    <w:rsid w:val="003C0A6C"/>
    <w:rsid w:val="003C14F8"/>
    <w:rsid w:val="003C5A43"/>
    <w:rsid w:val="003D0519"/>
    <w:rsid w:val="003D0FF6"/>
    <w:rsid w:val="003D262C"/>
    <w:rsid w:val="003D6D61"/>
    <w:rsid w:val="003D79C6"/>
    <w:rsid w:val="003E091D"/>
    <w:rsid w:val="003E1C53"/>
    <w:rsid w:val="003E2A69"/>
    <w:rsid w:val="003E2D49"/>
    <w:rsid w:val="003E2FD4"/>
    <w:rsid w:val="003E49F6"/>
    <w:rsid w:val="003E660F"/>
    <w:rsid w:val="003F0841"/>
    <w:rsid w:val="003F23D3"/>
    <w:rsid w:val="003F3F08"/>
    <w:rsid w:val="003F49F1"/>
    <w:rsid w:val="003F6272"/>
    <w:rsid w:val="00400E72"/>
    <w:rsid w:val="00401400"/>
    <w:rsid w:val="00404869"/>
    <w:rsid w:val="00405884"/>
    <w:rsid w:val="00407D39"/>
    <w:rsid w:val="0041477A"/>
    <w:rsid w:val="004167A3"/>
    <w:rsid w:val="004200D9"/>
    <w:rsid w:val="00421390"/>
    <w:rsid w:val="00432DAA"/>
    <w:rsid w:val="00434305"/>
    <w:rsid w:val="00435DF7"/>
    <w:rsid w:val="00437450"/>
    <w:rsid w:val="0044083F"/>
    <w:rsid w:val="00441AE7"/>
    <w:rsid w:val="00445574"/>
    <w:rsid w:val="004467FB"/>
    <w:rsid w:val="00452D6B"/>
    <w:rsid w:val="00454484"/>
    <w:rsid w:val="0045517B"/>
    <w:rsid w:val="00463B77"/>
    <w:rsid w:val="00463C7B"/>
    <w:rsid w:val="004644A6"/>
    <w:rsid w:val="004659BD"/>
    <w:rsid w:val="00470775"/>
    <w:rsid w:val="004746B1"/>
    <w:rsid w:val="00474C10"/>
    <w:rsid w:val="004752CF"/>
    <w:rsid w:val="0047583F"/>
    <w:rsid w:val="00475DE8"/>
    <w:rsid w:val="00476B02"/>
    <w:rsid w:val="00481C44"/>
    <w:rsid w:val="00484936"/>
    <w:rsid w:val="00485C89"/>
    <w:rsid w:val="00486BE3"/>
    <w:rsid w:val="00486FEA"/>
    <w:rsid w:val="004905E4"/>
    <w:rsid w:val="00490A89"/>
    <w:rsid w:val="00490AB4"/>
    <w:rsid w:val="00492F02"/>
    <w:rsid w:val="004939AE"/>
    <w:rsid w:val="004A12DF"/>
    <w:rsid w:val="004A17E6"/>
    <w:rsid w:val="004A1BA8"/>
    <w:rsid w:val="004A4B57"/>
    <w:rsid w:val="004A63FA"/>
    <w:rsid w:val="004B0272"/>
    <w:rsid w:val="004B2701"/>
    <w:rsid w:val="004B2E1B"/>
    <w:rsid w:val="004B3AA8"/>
    <w:rsid w:val="004B3E93"/>
    <w:rsid w:val="004C1FBC"/>
    <w:rsid w:val="004C3F1D"/>
    <w:rsid w:val="004C458D"/>
    <w:rsid w:val="004C7556"/>
    <w:rsid w:val="004C7D2E"/>
    <w:rsid w:val="004C7E8B"/>
    <w:rsid w:val="004C7E9D"/>
    <w:rsid w:val="004C7F67"/>
    <w:rsid w:val="004D076D"/>
    <w:rsid w:val="004D0EF1"/>
    <w:rsid w:val="004D2253"/>
    <w:rsid w:val="004D4406"/>
    <w:rsid w:val="004D7C42"/>
    <w:rsid w:val="004E0465"/>
    <w:rsid w:val="004E127B"/>
    <w:rsid w:val="004E1C0A"/>
    <w:rsid w:val="004E2B06"/>
    <w:rsid w:val="004E30C5"/>
    <w:rsid w:val="004E4AA5"/>
    <w:rsid w:val="004E4AEE"/>
    <w:rsid w:val="004E563E"/>
    <w:rsid w:val="004E59E3"/>
    <w:rsid w:val="004E67C0"/>
    <w:rsid w:val="004F391A"/>
    <w:rsid w:val="004F3CFB"/>
    <w:rsid w:val="004F6456"/>
    <w:rsid w:val="004F696E"/>
    <w:rsid w:val="004F6C71"/>
    <w:rsid w:val="00501139"/>
    <w:rsid w:val="0050363E"/>
    <w:rsid w:val="005039BC"/>
    <w:rsid w:val="005043BB"/>
    <w:rsid w:val="00504A3D"/>
    <w:rsid w:val="00505767"/>
    <w:rsid w:val="005073F0"/>
    <w:rsid w:val="00510A7B"/>
    <w:rsid w:val="00512F6E"/>
    <w:rsid w:val="00513038"/>
    <w:rsid w:val="00514174"/>
    <w:rsid w:val="00516088"/>
    <w:rsid w:val="00516B0B"/>
    <w:rsid w:val="005220EC"/>
    <w:rsid w:val="00523F95"/>
    <w:rsid w:val="00524D65"/>
    <w:rsid w:val="00525B16"/>
    <w:rsid w:val="00533D04"/>
    <w:rsid w:val="00534804"/>
    <w:rsid w:val="00534BDF"/>
    <w:rsid w:val="005354EA"/>
    <w:rsid w:val="0053585F"/>
    <w:rsid w:val="00535EC4"/>
    <w:rsid w:val="00535ED9"/>
    <w:rsid w:val="0053692B"/>
    <w:rsid w:val="00541853"/>
    <w:rsid w:val="00543BDA"/>
    <w:rsid w:val="005441CC"/>
    <w:rsid w:val="005479DA"/>
    <w:rsid w:val="00547BCC"/>
    <w:rsid w:val="0055013B"/>
    <w:rsid w:val="00551F6F"/>
    <w:rsid w:val="00555044"/>
    <w:rsid w:val="00561475"/>
    <w:rsid w:val="0056487B"/>
    <w:rsid w:val="00564FB9"/>
    <w:rsid w:val="00573D9E"/>
    <w:rsid w:val="005801E3"/>
    <w:rsid w:val="00581802"/>
    <w:rsid w:val="005836A8"/>
    <w:rsid w:val="0058409C"/>
    <w:rsid w:val="00584262"/>
    <w:rsid w:val="00586630"/>
    <w:rsid w:val="00587ADD"/>
    <w:rsid w:val="00591E27"/>
    <w:rsid w:val="00596160"/>
    <w:rsid w:val="005966E2"/>
    <w:rsid w:val="00597007"/>
    <w:rsid w:val="005A0966"/>
    <w:rsid w:val="005A11B7"/>
    <w:rsid w:val="005A260B"/>
    <w:rsid w:val="005A4A1B"/>
    <w:rsid w:val="005A50EB"/>
    <w:rsid w:val="005A7830"/>
    <w:rsid w:val="005A7FCE"/>
    <w:rsid w:val="005B0F3F"/>
    <w:rsid w:val="005B4903"/>
    <w:rsid w:val="005B51CE"/>
    <w:rsid w:val="005B5885"/>
    <w:rsid w:val="005B5CD7"/>
    <w:rsid w:val="005B6CF6"/>
    <w:rsid w:val="005B7422"/>
    <w:rsid w:val="005B7AB5"/>
    <w:rsid w:val="005C29B8"/>
    <w:rsid w:val="005C531A"/>
    <w:rsid w:val="005C5F21"/>
    <w:rsid w:val="005C7156"/>
    <w:rsid w:val="005D0C75"/>
    <w:rsid w:val="005D1BA2"/>
    <w:rsid w:val="005D4171"/>
    <w:rsid w:val="005D6A95"/>
    <w:rsid w:val="005D6B2C"/>
    <w:rsid w:val="005D6C53"/>
    <w:rsid w:val="005D6D9C"/>
    <w:rsid w:val="005E2335"/>
    <w:rsid w:val="005E34CA"/>
    <w:rsid w:val="005E3C18"/>
    <w:rsid w:val="005E652B"/>
    <w:rsid w:val="005E6812"/>
    <w:rsid w:val="005E7881"/>
    <w:rsid w:val="005E78E0"/>
    <w:rsid w:val="005F0D9C"/>
    <w:rsid w:val="005F284E"/>
    <w:rsid w:val="005F4712"/>
    <w:rsid w:val="006008B8"/>
    <w:rsid w:val="006015CE"/>
    <w:rsid w:val="00604784"/>
    <w:rsid w:val="00606419"/>
    <w:rsid w:val="00607D29"/>
    <w:rsid w:val="00612952"/>
    <w:rsid w:val="00614CC1"/>
    <w:rsid w:val="00615A9D"/>
    <w:rsid w:val="00617387"/>
    <w:rsid w:val="006205D6"/>
    <w:rsid w:val="00620F8F"/>
    <w:rsid w:val="006246EF"/>
    <w:rsid w:val="006252D8"/>
    <w:rsid w:val="006259BC"/>
    <w:rsid w:val="0062636B"/>
    <w:rsid w:val="00632182"/>
    <w:rsid w:val="00632AE0"/>
    <w:rsid w:val="00633C17"/>
    <w:rsid w:val="00634D9E"/>
    <w:rsid w:val="00636E3E"/>
    <w:rsid w:val="006379F7"/>
    <w:rsid w:val="00637E4D"/>
    <w:rsid w:val="00640620"/>
    <w:rsid w:val="00641A1F"/>
    <w:rsid w:val="00645904"/>
    <w:rsid w:val="00651ACB"/>
    <w:rsid w:val="00651C47"/>
    <w:rsid w:val="00652AB2"/>
    <w:rsid w:val="00653FED"/>
    <w:rsid w:val="00654EC0"/>
    <w:rsid w:val="0065525B"/>
    <w:rsid w:val="00655D4F"/>
    <w:rsid w:val="00656D29"/>
    <w:rsid w:val="006640E5"/>
    <w:rsid w:val="006646F1"/>
    <w:rsid w:val="00664929"/>
    <w:rsid w:val="00664F62"/>
    <w:rsid w:val="006655E1"/>
    <w:rsid w:val="006658DA"/>
    <w:rsid w:val="00672060"/>
    <w:rsid w:val="00672104"/>
    <w:rsid w:val="00672BFD"/>
    <w:rsid w:val="006770F4"/>
    <w:rsid w:val="00677A84"/>
    <w:rsid w:val="0068026D"/>
    <w:rsid w:val="00680A27"/>
    <w:rsid w:val="006816A4"/>
    <w:rsid w:val="006819B8"/>
    <w:rsid w:val="00683211"/>
    <w:rsid w:val="006840A6"/>
    <w:rsid w:val="006850CD"/>
    <w:rsid w:val="00685AAB"/>
    <w:rsid w:val="006870EB"/>
    <w:rsid w:val="00695D22"/>
    <w:rsid w:val="006A07AA"/>
    <w:rsid w:val="006A25E5"/>
    <w:rsid w:val="006A2B46"/>
    <w:rsid w:val="006A336D"/>
    <w:rsid w:val="006A37B9"/>
    <w:rsid w:val="006B2672"/>
    <w:rsid w:val="006B54BF"/>
    <w:rsid w:val="006B5F44"/>
    <w:rsid w:val="006B5F90"/>
    <w:rsid w:val="006B62E4"/>
    <w:rsid w:val="006C1BBA"/>
    <w:rsid w:val="006C2079"/>
    <w:rsid w:val="006C4DD3"/>
    <w:rsid w:val="006C5A62"/>
    <w:rsid w:val="006C5D68"/>
    <w:rsid w:val="006C6976"/>
    <w:rsid w:val="006C6DD0"/>
    <w:rsid w:val="006D04EA"/>
    <w:rsid w:val="006D0AB7"/>
    <w:rsid w:val="006D16C4"/>
    <w:rsid w:val="006D3E96"/>
    <w:rsid w:val="006D4515"/>
    <w:rsid w:val="006D4BB1"/>
    <w:rsid w:val="006D6593"/>
    <w:rsid w:val="006E23EA"/>
    <w:rsid w:val="006E2790"/>
    <w:rsid w:val="006F03A8"/>
    <w:rsid w:val="006F2ACA"/>
    <w:rsid w:val="006F2ADC"/>
    <w:rsid w:val="006F2BFE"/>
    <w:rsid w:val="006F31E9"/>
    <w:rsid w:val="006F6284"/>
    <w:rsid w:val="007002C5"/>
    <w:rsid w:val="00704387"/>
    <w:rsid w:val="00707669"/>
    <w:rsid w:val="00711848"/>
    <w:rsid w:val="00711CBA"/>
    <w:rsid w:val="00711FB5"/>
    <w:rsid w:val="00712A01"/>
    <w:rsid w:val="00714F58"/>
    <w:rsid w:val="007202C6"/>
    <w:rsid w:val="00722FBF"/>
    <w:rsid w:val="00722FC2"/>
    <w:rsid w:val="00724879"/>
    <w:rsid w:val="00724E1B"/>
    <w:rsid w:val="00725949"/>
    <w:rsid w:val="00727FA2"/>
    <w:rsid w:val="007322D9"/>
    <w:rsid w:val="00732BC0"/>
    <w:rsid w:val="0073720F"/>
    <w:rsid w:val="00737796"/>
    <w:rsid w:val="00741514"/>
    <w:rsid w:val="0074165C"/>
    <w:rsid w:val="00742C35"/>
    <w:rsid w:val="007432CA"/>
    <w:rsid w:val="007439EB"/>
    <w:rsid w:val="00743CB4"/>
    <w:rsid w:val="00743F0A"/>
    <w:rsid w:val="007444E8"/>
    <w:rsid w:val="0074548E"/>
    <w:rsid w:val="00745773"/>
    <w:rsid w:val="00746800"/>
    <w:rsid w:val="007501A8"/>
    <w:rsid w:val="00750D61"/>
    <w:rsid w:val="00750EE1"/>
    <w:rsid w:val="00752B4D"/>
    <w:rsid w:val="00755402"/>
    <w:rsid w:val="00756B26"/>
    <w:rsid w:val="00756EDF"/>
    <w:rsid w:val="007600E3"/>
    <w:rsid w:val="00765C43"/>
    <w:rsid w:val="00765EFB"/>
    <w:rsid w:val="0076712C"/>
    <w:rsid w:val="007671CA"/>
    <w:rsid w:val="00767C61"/>
    <w:rsid w:val="0077008A"/>
    <w:rsid w:val="00773C1F"/>
    <w:rsid w:val="00774DA4"/>
    <w:rsid w:val="007760A4"/>
    <w:rsid w:val="00776599"/>
    <w:rsid w:val="0078114B"/>
    <w:rsid w:val="007816C0"/>
    <w:rsid w:val="00781DD2"/>
    <w:rsid w:val="00783ECF"/>
    <w:rsid w:val="0078413A"/>
    <w:rsid w:val="00786EA9"/>
    <w:rsid w:val="007918CB"/>
    <w:rsid w:val="007959E8"/>
    <w:rsid w:val="00795E9C"/>
    <w:rsid w:val="007A0521"/>
    <w:rsid w:val="007A2E12"/>
    <w:rsid w:val="007A3475"/>
    <w:rsid w:val="007A41C8"/>
    <w:rsid w:val="007A54CE"/>
    <w:rsid w:val="007A6FD9"/>
    <w:rsid w:val="007A7FFA"/>
    <w:rsid w:val="007B04EB"/>
    <w:rsid w:val="007B0D4F"/>
    <w:rsid w:val="007B5A3D"/>
    <w:rsid w:val="007B5B95"/>
    <w:rsid w:val="007B68EA"/>
    <w:rsid w:val="007B7453"/>
    <w:rsid w:val="007C1E8B"/>
    <w:rsid w:val="007C24F8"/>
    <w:rsid w:val="007C2D89"/>
    <w:rsid w:val="007C4593"/>
    <w:rsid w:val="007C5309"/>
    <w:rsid w:val="007C6069"/>
    <w:rsid w:val="007D06C4"/>
    <w:rsid w:val="007D1352"/>
    <w:rsid w:val="007D2508"/>
    <w:rsid w:val="007D346A"/>
    <w:rsid w:val="007D6518"/>
    <w:rsid w:val="007D76BD"/>
    <w:rsid w:val="007E0BF1"/>
    <w:rsid w:val="007F0ED8"/>
    <w:rsid w:val="007F0F63"/>
    <w:rsid w:val="007F75CE"/>
    <w:rsid w:val="008013A4"/>
    <w:rsid w:val="00801BA1"/>
    <w:rsid w:val="008027CE"/>
    <w:rsid w:val="00802F42"/>
    <w:rsid w:val="00804383"/>
    <w:rsid w:val="00804BB7"/>
    <w:rsid w:val="00804D41"/>
    <w:rsid w:val="00810257"/>
    <w:rsid w:val="008104F5"/>
    <w:rsid w:val="00811072"/>
    <w:rsid w:val="00811369"/>
    <w:rsid w:val="00815419"/>
    <w:rsid w:val="008163C8"/>
    <w:rsid w:val="008164A1"/>
    <w:rsid w:val="00817325"/>
    <w:rsid w:val="008209E6"/>
    <w:rsid w:val="00823175"/>
    <w:rsid w:val="00823303"/>
    <w:rsid w:val="008233B2"/>
    <w:rsid w:val="00823A9F"/>
    <w:rsid w:val="00823C85"/>
    <w:rsid w:val="00825138"/>
    <w:rsid w:val="008269DD"/>
    <w:rsid w:val="00830621"/>
    <w:rsid w:val="0083348C"/>
    <w:rsid w:val="008373D3"/>
    <w:rsid w:val="00840617"/>
    <w:rsid w:val="00840F84"/>
    <w:rsid w:val="00842A47"/>
    <w:rsid w:val="00843C13"/>
    <w:rsid w:val="008454F8"/>
    <w:rsid w:val="0085173A"/>
    <w:rsid w:val="00856316"/>
    <w:rsid w:val="008603CE"/>
    <w:rsid w:val="008620FC"/>
    <w:rsid w:val="008627A5"/>
    <w:rsid w:val="00863E05"/>
    <w:rsid w:val="00865ACA"/>
    <w:rsid w:val="00865D28"/>
    <w:rsid w:val="00865F85"/>
    <w:rsid w:val="00867C10"/>
    <w:rsid w:val="00870439"/>
    <w:rsid w:val="00870DA1"/>
    <w:rsid w:val="00883F93"/>
    <w:rsid w:val="00884DB3"/>
    <w:rsid w:val="00885A9D"/>
    <w:rsid w:val="008864F6"/>
    <w:rsid w:val="0089049D"/>
    <w:rsid w:val="008928C9"/>
    <w:rsid w:val="00892F02"/>
    <w:rsid w:val="008930CB"/>
    <w:rsid w:val="008938DC"/>
    <w:rsid w:val="00893FD1"/>
    <w:rsid w:val="00894836"/>
    <w:rsid w:val="00895172"/>
    <w:rsid w:val="00895680"/>
    <w:rsid w:val="00896DFF"/>
    <w:rsid w:val="0089762C"/>
    <w:rsid w:val="008A1893"/>
    <w:rsid w:val="008A3215"/>
    <w:rsid w:val="008A4D18"/>
    <w:rsid w:val="008A57E6"/>
    <w:rsid w:val="008A6F81"/>
    <w:rsid w:val="008A769A"/>
    <w:rsid w:val="008B0A6C"/>
    <w:rsid w:val="008B0C9C"/>
    <w:rsid w:val="008B166D"/>
    <w:rsid w:val="008B17F4"/>
    <w:rsid w:val="008B3615"/>
    <w:rsid w:val="008B3948"/>
    <w:rsid w:val="008B4AC4"/>
    <w:rsid w:val="008B50C8"/>
    <w:rsid w:val="008B5281"/>
    <w:rsid w:val="008B7E05"/>
    <w:rsid w:val="008C1797"/>
    <w:rsid w:val="008C219C"/>
    <w:rsid w:val="008C475E"/>
    <w:rsid w:val="008C619A"/>
    <w:rsid w:val="008C6577"/>
    <w:rsid w:val="008D0AEF"/>
    <w:rsid w:val="008D0CE8"/>
    <w:rsid w:val="008D2D1D"/>
    <w:rsid w:val="008D453D"/>
    <w:rsid w:val="008D53AD"/>
    <w:rsid w:val="008D562B"/>
    <w:rsid w:val="008D5733"/>
    <w:rsid w:val="008D622B"/>
    <w:rsid w:val="008D666C"/>
    <w:rsid w:val="008D7B54"/>
    <w:rsid w:val="008E0C9D"/>
    <w:rsid w:val="008E1648"/>
    <w:rsid w:val="008E1B3E"/>
    <w:rsid w:val="008E2319"/>
    <w:rsid w:val="008E41AC"/>
    <w:rsid w:val="008E4BB6"/>
    <w:rsid w:val="008E5518"/>
    <w:rsid w:val="008E68A5"/>
    <w:rsid w:val="008E6A84"/>
    <w:rsid w:val="008E7958"/>
    <w:rsid w:val="008F0CDC"/>
    <w:rsid w:val="008F17A3"/>
    <w:rsid w:val="008F1ED3"/>
    <w:rsid w:val="008F23A5"/>
    <w:rsid w:val="008F4C29"/>
    <w:rsid w:val="008F70BD"/>
    <w:rsid w:val="008F788F"/>
    <w:rsid w:val="008F7EA2"/>
    <w:rsid w:val="00902722"/>
    <w:rsid w:val="009027BC"/>
    <w:rsid w:val="009062E6"/>
    <w:rsid w:val="00911BE5"/>
    <w:rsid w:val="00912741"/>
    <w:rsid w:val="00913CA9"/>
    <w:rsid w:val="009145AE"/>
    <w:rsid w:val="009146CE"/>
    <w:rsid w:val="00914CA7"/>
    <w:rsid w:val="00915C3E"/>
    <w:rsid w:val="009161A8"/>
    <w:rsid w:val="009245F5"/>
    <w:rsid w:val="009249EC"/>
    <w:rsid w:val="00925080"/>
    <w:rsid w:val="009273B3"/>
    <w:rsid w:val="009305B5"/>
    <w:rsid w:val="00941851"/>
    <w:rsid w:val="009429D5"/>
    <w:rsid w:val="00942BF1"/>
    <w:rsid w:val="00945180"/>
    <w:rsid w:val="00945428"/>
    <w:rsid w:val="0094607B"/>
    <w:rsid w:val="00953604"/>
    <w:rsid w:val="0095496B"/>
    <w:rsid w:val="009610DC"/>
    <w:rsid w:val="00961490"/>
    <w:rsid w:val="0096252D"/>
    <w:rsid w:val="0096381A"/>
    <w:rsid w:val="00965E04"/>
    <w:rsid w:val="009674AD"/>
    <w:rsid w:val="00970CDC"/>
    <w:rsid w:val="009728E6"/>
    <w:rsid w:val="00977010"/>
    <w:rsid w:val="00977D02"/>
    <w:rsid w:val="009809BB"/>
    <w:rsid w:val="009835E7"/>
    <w:rsid w:val="0098364B"/>
    <w:rsid w:val="009911AF"/>
    <w:rsid w:val="00991875"/>
    <w:rsid w:val="00991F92"/>
    <w:rsid w:val="00992985"/>
    <w:rsid w:val="00993889"/>
    <w:rsid w:val="0099551B"/>
    <w:rsid w:val="00997BF1"/>
    <w:rsid w:val="009A089C"/>
    <w:rsid w:val="009A118E"/>
    <w:rsid w:val="009A21CD"/>
    <w:rsid w:val="009A278C"/>
    <w:rsid w:val="009A2BC2"/>
    <w:rsid w:val="009A42C1"/>
    <w:rsid w:val="009A5429"/>
    <w:rsid w:val="009A72AD"/>
    <w:rsid w:val="009B09E0"/>
    <w:rsid w:val="009B0BC5"/>
    <w:rsid w:val="009B1247"/>
    <w:rsid w:val="009B46F9"/>
    <w:rsid w:val="009B6029"/>
    <w:rsid w:val="009B6971"/>
    <w:rsid w:val="009C27F1"/>
    <w:rsid w:val="009C3152"/>
    <w:rsid w:val="009C4CFA"/>
    <w:rsid w:val="009C5070"/>
    <w:rsid w:val="009C5D61"/>
    <w:rsid w:val="009D112C"/>
    <w:rsid w:val="009D47FA"/>
    <w:rsid w:val="009D4C5B"/>
    <w:rsid w:val="009D50D2"/>
    <w:rsid w:val="009D6BCA"/>
    <w:rsid w:val="009E0F62"/>
    <w:rsid w:val="009E4A58"/>
    <w:rsid w:val="009E5A2D"/>
    <w:rsid w:val="009E5AB2"/>
    <w:rsid w:val="009E6219"/>
    <w:rsid w:val="009F03B3"/>
    <w:rsid w:val="00A0096C"/>
    <w:rsid w:val="00A01757"/>
    <w:rsid w:val="00A028C0"/>
    <w:rsid w:val="00A02BAE"/>
    <w:rsid w:val="00A06A6B"/>
    <w:rsid w:val="00A07E47"/>
    <w:rsid w:val="00A129D0"/>
    <w:rsid w:val="00A12C33"/>
    <w:rsid w:val="00A138BA"/>
    <w:rsid w:val="00A14C8E"/>
    <w:rsid w:val="00A153D9"/>
    <w:rsid w:val="00A15F09"/>
    <w:rsid w:val="00A169B6"/>
    <w:rsid w:val="00A2271D"/>
    <w:rsid w:val="00A237D5"/>
    <w:rsid w:val="00A30EFC"/>
    <w:rsid w:val="00A31984"/>
    <w:rsid w:val="00A32D73"/>
    <w:rsid w:val="00A3367B"/>
    <w:rsid w:val="00A356D4"/>
    <w:rsid w:val="00A3597D"/>
    <w:rsid w:val="00A36DD1"/>
    <w:rsid w:val="00A4006C"/>
    <w:rsid w:val="00A40091"/>
    <w:rsid w:val="00A4030F"/>
    <w:rsid w:val="00A41C79"/>
    <w:rsid w:val="00A41CB5"/>
    <w:rsid w:val="00A42CDF"/>
    <w:rsid w:val="00A4452E"/>
    <w:rsid w:val="00A4472C"/>
    <w:rsid w:val="00A44E69"/>
    <w:rsid w:val="00A4661E"/>
    <w:rsid w:val="00A55BD6"/>
    <w:rsid w:val="00A55D50"/>
    <w:rsid w:val="00A57130"/>
    <w:rsid w:val="00A57142"/>
    <w:rsid w:val="00A60905"/>
    <w:rsid w:val="00A648CD"/>
    <w:rsid w:val="00A65236"/>
    <w:rsid w:val="00A6537A"/>
    <w:rsid w:val="00A67866"/>
    <w:rsid w:val="00A70B07"/>
    <w:rsid w:val="00A723F8"/>
    <w:rsid w:val="00A77CCB"/>
    <w:rsid w:val="00A83D8D"/>
    <w:rsid w:val="00A8446B"/>
    <w:rsid w:val="00A8473F"/>
    <w:rsid w:val="00A862D6"/>
    <w:rsid w:val="00A8715E"/>
    <w:rsid w:val="00A9295B"/>
    <w:rsid w:val="00A93B09"/>
    <w:rsid w:val="00A94247"/>
    <w:rsid w:val="00A952D7"/>
    <w:rsid w:val="00A963F7"/>
    <w:rsid w:val="00A96AD8"/>
    <w:rsid w:val="00AA052C"/>
    <w:rsid w:val="00AA1D06"/>
    <w:rsid w:val="00AA1E45"/>
    <w:rsid w:val="00AA425C"/>
    <w:rsid w:val="00AA4286"/>
    <w:rsid w:val="00AA456B"/>
    <w:rsid w:val="00AA57F5"/>
    <w:rsid w:val="00AA672E"/>
    <w:rsid w:val="00AA6EC9"/>
    <w:rsid w:val="00AB41D5"/>
    <w:rsid w:val="00AB6309"/>
    <w:rsid w:val="00AB6C5F"/>
    <w:rsid w:val="00AB7129"/>
    <w:rsid w:val="00AC1B3A"/>
    <w:rsid w:val="00AC27A6"/>
    <w:rsid w:val="00AC2EA2"/>
    <w:rsid w:val="00AC30F7"/>
    <w:rsid w:val="00AC3A5A"/>
    <w:rsid w:val="00AC4D95"/>
    <w:rsid w:val="00AC5DF4"/>
    <w:rsid w:val="00AD0AEF"/>
    <w:rsid w:val="00AD11B7"/>
    <w:rsid w:val="00AD1A94"/>
    <w:rsid w:val="00AD1C05"/>
    <w:rsid w:val="00AD4126"/>
    <w:rsid w:val="00AD421C"/>
    <w:rsid w:val="00AD44FA"/>
    <w:rsid w:val="00AE070A"/>
    <w:rsid w:val="00AE101C"/>
    <w:rsid w:val="00AE37E5"/>
    <w:rsid w:val="00AE4BA4"/>
    <w:rsid w:val="00AE5EB4"/>
    <w:rsid w:val="00AF0C18"/>
    <w:rsid w:val="00AF47C5"/>
    <w:rsid w:val="00AF5398"/>
    <w:rsid w:val="00AF7868"/>
    <w:rsid w:val="00B049AF"/>
    <w:rsid w:val="00B07242"/>
    <w:rsid w:val="00B10534"/>
    <w:rsid w:val="00B113DB"/>
    <w:rsid w:val="00B11D8A"/>
    <w:rsid w:val="00B12981"/>
    <w:rsid w:val="00B135FC"/>
    <w:rsid w:val="00B147DD"/>
    <w:rsid w:val="00B156FD"/>
    <w:rsid w:val="00B21F61"/>
    <w:rsid w:val="00B261F1"/>
    <w:rsid w:val="00B265BC"/>
    <w:rsid w:val="00B31FB1"/>
    <w:rsid w:val="00B33952"/>
    <w:rsid w:val="00B33C5E"/>
    <w:rsid w:val="00B342F4"/>
    <w:rsid w:val="00B34369"/>
    <w:rsid w:val="00B34DC2"/>
    <w:rsid w:val="00B378E5"/>
    <w:rsid w:val="00B4346D"/>
    <w:rsid w:val="00B440F4"/>
    <w:rsid w:val="00B447A5"/>
    <w:rsid w:val="00B4654C"/>
    <w:rsid w:val="00B469B0"/>
    <w:rsid w:val="00B46AF0"/>
    <w:rsid w:val="00B47293"/>
    <w:rsid w:val="00B50E50"/>
    <w:rsid w:val="00B52120"/>
    <w:rsid w:val="00B54ABC"/>
    <w:rsid w:val="00B54DDE"/>
    <w:rsid w:val="00B56FBE"/>
    <w:rsid w:val="00B60ACF"/>
    <w:rsid w:val="00B62B58"/>
    <w:rsid w:val="00B65149"/>
    <w:rsid w:val="00B66567"/>
    <w:rsid w:val="00B66F52"/>
    <w:rsid w:val="00B66FE5"/>
    <w:rsid w:val="00B72880"/>
    <w:rsid w:val="00B758BF"/>
    <w:rsid w:val="00B77EC8"/>
    <w:rsid w:val="00B827A6"/>
    <w:rsid w:val="00B831CE"/>
    <w:rsid w:val="00B86677"/>
    <w:rsid w:val="00B87131"/>
    <w:rsid w:val="00B90247"/>
    <w:rsid w:val="00B939B1"/>
    <w:rsid w:val="00B96D40"/>
    <w:rsid w:val="00B97386"/>
    <w:rsid w:val="00BA263B"/>
    <w:rsid w:val="00BA42B2"/>
    <w:rsid w:val="00BA58D4"/>
    <w:rsid w:val="00BA5B9E"/>
    <w:rsid w:val="00BA7C9A"/>
    <w:rsid w:val="00BB203B"/>
    <w:rsid w:val="00BB5F8F"/>
    <w:rsid w:val="00BB657A"/>
    <w:rsid w:val="00BC1A4E"/>
    <w:rsid w:val="00BC4790"/>
    <w:rsid w:val="00BC5DC7"/>
    <w:rsid w:val="00BC6B8B"/>
    <w:rsid w:val="00BC73D8"/>
    <w:rsid w:val="00BD52D7"/>
    <w:rsid w:val="00BD5AD2"/>
    <w:rsid w:val="00BE22F3"/>
    <w:rsid w:val="00BE5B52"/>
    <w:rsid w:val="00BE7B8D"/>
    <w:rsid w:val="00BF0993"/>
    <w:rsid w:val="00BF10A9"/>
    <w:rsid w:val="00BF1703"/>
    <w:rsid w:val="00BF231C"/>
    <w:rsid w:val="00BF51E5"/>
    <w:rsid w:val="00BF74A6"/>
    <w:rsid w:val="00C013AD"/>
    <w:rsid w:val="00C04904"/>
    <w:rsid w:val="00C056B3"/>
    <w:rsid w:val="00C103E5"/>
    <w:rsid w:val="00C13319"/>
    <w:rsid w:val="00C13EE9"/>
    <w:rsid w:val="00C21540"/>
    <w:rsid w:val="00C21906"/>
    <w:rsid w:val="00C21BFA"/>
    <w:rsid w:val="00C22148"/>
    <w:rsid w:val="00C24C8D"/>
    <w:rsid w:val="00C25FE2"/>
    <w:rsid w:val="00C26B53"/>
    <w:rsid w:val="00C279B2"/>
    <w:rsid w:val="00C33E50"/>
    <w:rsid w:val="00C34C20"/>
    <w:rsid w:val="00C35A3E"/>
    <w:rsid w:val="00C42130"/>
    <w:rsid w:val="00C423A4"/>
    <w:rsid w:val="00C44BF5"/>
    <w:rsid w:val="00C475E3"/>
    <w:rsid w:val="00C521D6"/>
    <w:rsid w:val="00C55232"/>
    <w:rsid w:val="00C553A4"/>
    <w:rsid w:val="00C55A06"/>
    <w:rsid w:val="00C55D03"/>
    <w:rsid w:val="00C601BC"/>
    <w:rsid w:val="00C6329F"/>
    <w:rsid w:val="00C63340"/>
    <w:rsid w:val="00C643F9"/>
    <w:rsid w:val="00C64E95"/>
    <w:rsid w:val="00C71372"/>
    <w:rsid w:val="00C72410"/>
    <w:rsid w:val="00C72835"/>
    <w:rsid w:val="00C7287F"/>
    <w:rsid w:val="00C80982"/>
    <w:rsid w:val="00C80CB8"/>
    <w:rsid w:val="00C81419"/>
    <w:rsid w:val="00C819F8"/>
    <w:rsid w:val="00C8248C"/>
    <w:rsid w:val="00C84E33"/>
    <w:rsid w:val="00C86D6F"/>
    <w:rsid w:val="00C905FC"/>
    <w:rsid w:val="00C92D03"/>
    <w:rsid w:val="00C9319C"/>
    <w:rsid w:val="00C9435D"/>
    <w:rsid w:val="00C94363"/>
    <w:rsid w:val="00C94DF2"/>
    <w:rsid w:val="00C950BD"/>
    <w:rsid w:val="00C96741"/>
    <w:rsid w:val="00C97FA2"/>
    <w:rsid w:val="00CA2D1B"/>
    <w:rsid w:val="00CA375D"/>
    <w:rsid w:val="00CA5663"/>
    <w:rsid w:val="00CA662A"/>
    <w:rsid w:val="00CA7AFD"/>
    <w:rsid w:val="00CA7C3C"/>
    <w:rsid w:val="00CB0189"/>
    <w:rsid w:val="00CB0BA2"/>
    <w:rsid w:val="00CB1A42"/>
    <w:rsid w:val="00CB1B0C"/>
    <w:rsid w:val="00CB2C0B"/>
    <w:rsid w:val="00CB517D"/>
    <w:rsid w:val="00CC038D"/>
    <w:rsid w:val="00CC08DB"/>
    <w:rsid w:val="00CC39FF"/>
    <w:rsid w:val="00CC3C2F"/>
    <w:rsid w:val="00CC4AC8"/>
    <w:rsid w:val="00CC5233"/>
    <w:rsid w:val="00CC5DE6"/>
    <w:rsid w:val="00CC6E4E"/>
    <w:rsid w:val="00CC6FE8"/>
    <w:rsid w:val="00CC7202"/>
    <w:rsid w:val="00CD2808"/>
    <w:rsid w:val="00CD28BF"/>
    <w:rsid w:val="00CD4092"/>
    <w:rsid w:val="00CD4A20"/>
    <w:rsid w:val="00CD50A1"/>
    <w:rsid w:val="00CD519E"/>
    <w:rsid w:val="00CD561D"/>
    <w:rsid w:val="00CE0C4F"/>
    <w:rsid w:val="00CE30EA"/>
    <w:rsid w:val="00CF048A"/>
    <w:rsid w:val="00CF155A"/>
    <w:rsid w:val="00CF2947"/>
    <w:rsid w:val="00CF686F"/>
    <w:rsid w:val="00CF6E60"/>
    <w:rsid w:val="00CF7BCA"/>
    <w:rsid w:val="00D008FD"/>
    <w:rsid w:val="00D0321C"/>
    <w:rsid w:val="00D035EC"/>
    <w:rsid w:val="00D04B28"/>
    <w:rsid w:val="00D06258"/>
    <w:rsid w:val="00D06AB1"/>
    <w:rsid w:val="00D072ED"/>
    <w:rsid w:val="00D07A16"/>
    <w:rsid w:val="00D1067E"/>
    <w:rsid w:val="00D10F50"/>
    <w:rsid w:val="00D11272"/>
    <w:rsid w:val="00D126F5"/>
    <w:rsid w:val="00D1489E"/>
    <w:rsid w:val="00D20737"/>
    <w:rsid w:val="00D21E81"/>
    <w:rsid w:val="00D223DE"/>
    <w:rsid w:val="00D25E37"/>
    <w:rsid w:val="00D2661A"/>
    <w:rsid w:val="00D27582"/>
    <w:rsid w:val="00D27EC4"/>
    <w:rsid w:val="00D3194F"/>
    <w:rsid w:val="00D32719"/>
    <w:rsid w:val="00D33333"/>
    <w:rsid w:val="00D33457"/>
    <w:rsid w:val="00D352A2"/>
    <w:rsid w:val="00D3658D"/>
    <w:rsid w:val="00D3660F"/>
    <w:rsid w:val="00D4162B"/>
    <w:rsid w:val="00D4514F"/>
    <w:rsid w:val="00D451E2"/>
    <w:rsid w:val="00D45E89"/>
    <w:rsid w:val="00D45E8D"/>
    <w:rsid w:val="00D466AE"/>
    <w:rsid w:val="00D4734F"/>
    <w:rsid w:val="00D51BF3"/>
    <w:rsid w:val="00D66846"/>
    <w:rsid w:val="00D675FB"/>
    <w:rsid w:val="00D71F25"/>
    <w:rsid w:val="00D72A9C"/>
    <w:rsid w:val="00D76FF8"/>
    <w:rsid w:val="00D77031"/>
    <w:rsid w:val="00D84941"/>
    <w:rsid w:val="00D84FA1"/>
    <w:rsid w:val="00D851F0"/>
    <w:rsid w:val="00D86DB7"/>
    <w:rsid w:val="00D926D0"/>
    <w:rsid w:val="00D93030"/>
    <w:rsid w:val="00D950E1"/>
    <w:rsid w:val="00D952A6"/>
    <w:rsid w:val="00D97F99"/>
    <w:rsid w:val="00DA1E08"/>
    <w:rsid w:val="00DA24F8"/>
    <w:rsid w:val="00DA28E8"/>
    <w:rsid w:val="00DA38D3"/>
    <w:rsid w:val="00DA3932"/>
    <w:rsid w:val="00DA3AFC"/>
    <w:rsid w:val="00DA5191"/>
    <w:rsid w:val="00DA64F8"/>
    <w:rsid w:val="00DA6C15"/>
    <w:rsid w:val="00DB0258"/>
    <w:rsid w:val="00DB38EE"/>
    <w:rsid w:val="00DB498B"/>
    <w:rsid w:val="00DB66CA"/>
    <w:rsid w:val="00DB6BCA"/>
    <w:rsid w:val="00DB73F7"/>
    <w:rsid w:val="00DC0321"/>
    <w:rsid w:val="00DC3067"/>
    <w:rsid w:val="00DC370B"/>
    <w:rsid w:val="00DC5B90"/>
    <w:rsid w:val="00DD00FF"/>
    <w:rsid w:val="00DD0619"/>
    <w:rsid w:val="00DD07FB"/>
    <w:rsid w:val="00DD25C6"/>
    <w:rsid w:val="00DD4FE5"/>
    <w:rsid w:val="00DD54B0"/>
    <w:rsid w:val="00DD57EE"/>
    <w:rsid w:val="00DD6BCC"/>
    <w:rsid w:val="00DE0A4B"/>
    <w:rsid w:val="00DE2410"/>
    <w:rsid w:val="00DE2939"/>
    <w:rsid w:val="00DE6E81"/>
    <w:rsid w:val="00DE703F"/>
    <w:rsid w:val="00DE7595"/>
    <w:rsid w:val="00DF1961"/>
    <w:rsid w:val="00DF44DE"/>
    <w:rsid w:val="00DF5F11"/>
    <w:rsid w:val="00E01138"/>
    <w:rsid w:val="00E02DFB"/>
    <w:rsid w:val="00E030F9"/>
    <w:rsid w:val="00E0311A"/>
    <w:rsid w:val="00E03138"/>
    <w:rsid w:val="00E06404"/>
    <w:rsid w:val="00E065D2"/>
    <w:rsid w:val="00E11A85"/>
    <w:rsid w:val="00E1206F"/>
    <w:rsid w:val="00E12495"/>
    <w:rsid w:val="00E15CCD"/>
    <w:rsid w:val="00E202EF"/>
    <w:rsid w:val="00E210B5"/>
    <w:rsid w:val="00E23D99"/>
    <w:rsid w:val="00E2552F"/>
    <w:rsid w:val="00E3137A"/>
    <w:rsid w:val="00E32CCF"/>
    <w:rsid w:val="00E34A98"/>
    <w:rsid w:val="00E35D1E"/>
    <w:rsid w:val="00E364F9"/>
    <w:rsid w:val="00E365FA"/>
    <w:rsid w:val="00E36789"/>
    <w:rsid w:val="00E408B5"/>
    <w:rsid w:val="00E44A83"/>
    <w:rsid w:val="00E502C1"/>
    <w:rsid w:val="00E502DD"/>
    <w:rsid w:val="00E50D3A"/>
    <w:rsid w:val="00E51387"/>
    <w:rsid w:val="00E51E68"/>
    <w:rsid w:val="00E52EFD"/>
    <w:rsid w:val="00E5408A"/>
    <w:rsid w:val="00E56800"/>
    <w:rsid w:val="00E60C63"/>
    <w:rsid w:val="00E62FF9"/>
    <w:rsid w:val="00E635D6"/>
    <w:rsid w:val="00E639BC"/>
    <w:rsid w:val="00E664CC"/>
    <w:rsid w:val="00E70388"/>
    <w:rsid w:val="00E70F92"/>
    <w:rsid w:val="00E74C54"/>
    <w:rsid w:val="00E77A03"/>
    <w:rsid w:val="00E822E8"/>
    <w:rsid w:val="00E82554"/>
    <w:rsid w:val="00E82606"/>
    <w:rsid w:val="00E846C8"/>
    <w:rsid w:val="00E84957"/>
    <w:rsid w:val="00E84A55"/>
    <w:rsid w:val="00E85BFF"/>
    <w:rsid w:val="00E90391"/>
    <w:rsid w:val="00E906C2"/>
    <w:rsid w:val="00E9311F"/>
    <w:rsid w:val="00E934D1"/>
    <w:rsid w:val="00E94AF0"/>
    <w:rsid w:val="00E95D13"/>
    <w:rsid w:val="00E95DD3"/>
    <w:rsid w:val="00E969D5"/>
    <w:rsid w:val="00EA58D1"/>
    <w:rsid w:val="00EA61BC"/>
    <w:rsid w:val="00EA681A"/>
    <w:rsid w:val="00EA735B"/>
    <w:rsid w:val="00EB17DE"/>
    <w:rsid w:val="00EB1E69"/>
    <w:rsid w:val="00EB2086"/>
    <w:rsid w:val="00EB5EDF"/>
    <w:rsid w:val="00EB60FE"/>
    <w:rsid w:val="00EB74DB"/>
    <w:rsid w:val="00EC5359"/>
    <w:rsid w:val="00EC562A"/>
    <w:rsid w:val="00ED067A"/>
    <w:rsid w:val="00ED2B50"/>
    <w:rsid w:val="00EE0350"/>
    <w:rsid w:val="00EE0719"/>
    <w:rsid w:val="00EE0E80"/>
    <w:rsid w:val="00EE4899"/>
    <w:rsid w:val="00EE54A6"/>
    <w:rsid w:val="00EE613F"/>
    <w:rsid w:val="00EE7295"/>
    <w:rsid w:val="00EE7869"/>
    <w:rsid w:val="00EF054A"/>
    <w:rsid w:val="00EF3235"/>
    <w:rsid w:val="00EF7E72"/>
    <w:rsid w:val="00EF7FC4"/>
    <w:rsid w:val="00F06D37"/>
    <w:rsid w:val="00F07B9D"/>
    <w:rsid w:val="00F11586"/>
    <w:rsid w:val="00F1183B"/>
    <w:rsid w:val="00F11C9F"/>
    <w:rsid w:val="00F12263"/>
    <w:rsid w:val="00F1409D"/>
    <w:rsid w:val="00F14214"/>
    <w:rsid w:val="00F157A9"/>
    <w:rsid w:val="00F24894"/>
    <w:rsid w:val="00F25BB6"/>
    <w:rsid w:val="00F26B7E"/>
    <w:rsid w:val="00F27A3B"/>
    <w:rsid w:val="00F313AB"/>
    <w:rsid w:val="00F33817"/>
    <w:rsid w:val="00F420D5"/>
    <w:rsid w:val="00F451EA"/>
    <w:rsid w:val="00F45447"/>
    <w:rsid w:val="00F456C6"/>
    <w:rsid w:val="00F4577B"/>
    <w:rsid w:val="00F46496"/>
    <w:rsid w:val="00F474D0"/>
    <w:rsid w:val="00F50179"/>
    <w:rsid w:val="00F515EE"/>
    <w:rsid w:val="00F545FE"/>
    <w:rsid w:val="00F56511"/>
    <w:rsid w:val="00F569B0"/>
    <w:rsid w:val="00F56C39"/>
    <w:rsid w:val="00F6194E"/>
    <w:rsid w:val="00F61E20"/>
    <w:rsid w:val="00F623AC"/>
    <w:rsid w:val="00F6412A"/>
    <w:rsid w:val="00F65893"/>
    <w:rsid w:val="00F66A4A"/>
    <w:rsid w:val="00F71E22"/>
    <w:rsid w:val="00F72142"/>
    <w:rsid w:val="00F72AE7"/>
    <w:rsid w:val="00F81141"/>
    <w:rsid w:val="00F833BA"/>
    <w:rsid w:val="00F84FD0"/>
    <w:rsid w:val="00F859A8"/>
    <w:rsid w:val="00F86D87"/>
    <w:rsid w:val="00F9108B"/>
    <w:rsid w:val="00F91349"/>
    <w:rsid w:val="00F93A8A"/>
    <w:rsid w:val="00F95248"/>
    <w:rsid w:val="00F956A9"/>
    <w:rsid w:val="00F963ED"/>
    <w:rsid w:val="00F966CF"/>
    <w:rsid w:val="00F96CAE"/>
    <w:rsid w:val="00F97C99"/>
    <w:rsid w:val="00FA4DAC"/>
    <w:rsid w:val="00FA662D"/>
    <w:rsid w:val="00FA73B1"/>
    <w:rsid w:val="00FB0CB9"/>
    <w:rsid w:val="00FB231D"/>
    <w:rsid w:val="00FB45F1"/>
    <w:rsid w:val="00FB4A72"/>
    <w:rsid w:val="00FB54E8"/>
    <w:rsid w:val="00FB7054"/>
    <w:rsid w:val="00FB76F0"/>
    <w:rsid w:val="00FC17B7"/>
    <w:rsid w:val="00FC2CB7"/>
    <w:rsid w:val="00FC4090"/>
    <w:rsid w:val="00FC55B4"/>
    <w:rsid w:val="00FC70F3"/>
    <w:rsid w:val="00FD00E6"/>
    <w:rsid w:val="00FD09A1"/>
    <w:rsid w:val="00FD2A7C"/>
    <w:rsid w:val="00FD59EB"/>
    <w:rsid w:val="00FD7299"/>
    <w:rsid w:val="00FE1FBE"/>
    <w:rsid w:val="00FE3901"/>
    <w:rsid w:val="00FE39D3"/>
    <w:rsid w:val="00FE4BCE"/>
    <w:rsid w:val="00FE54AE"/>
    <w:rsid w:val="00FE576A"/>
    <w:rsid w:val="00FE7E79"/>
    <w:rsid w:val="00FF3E7D"/>
    <w:rsid w:val="00FF5B99"/>
    <w:rsid w:val="00FF730C"/>
    <w:rsid w:val="00FF73F4"/>
    <w:rsid w:val="00FF7CE4"/>
    <w:rsid w:val="00FF7E39"/>
    <w:rsid w:val="05090109"/>
    <w:rsid w:val="099C3A9B"/>
    <w:rsid w:val="0B661E72"/>
    <w:rsid w:val="0F193CAF"/>
    <w:rsid w:val="11B01F96"/>
    <w:rsid w:val="137C797D"/>
    <w:rsid w:val="14BF71E2"/>
    <w:rsid w:val="14DA7C57"/>
    <w:rsid w:val="15007642"/>
    <w:rsid w:val="17070328"/>
    <w:rsid w:val="1E410AD0"/>
    <w:rsid w:val="21525F33"/>
    <w:rsid w:val="21E779A1"/>
    <w:rsid w:val="22CF4F00"/>
    <w:rsid w:val="256D5B8D"/>
    <w:rsid w:val="2942634E"/>
    <w:rsid w:val="2A58084E"/>
    <w:rsid w:val="2CBC5C6C"/>
    <w:rsid w:val="2CBF5B79"/>
    <w:rsid w:val="2F25597B"/>
    <w:rsid w:val="31C0486E"/>
    <w:rsid w:val="33D062BB"/>
    <w:rsid w:val="343230D5"/>
    <w:rsid w:val="34902095"/>
    <w:rsid w:val="35E43FEA"/>
    <w:rsid w:val="451D4EF5"/>
    <w:rsid w:val="45454DB4"/>
    <w:rsid w:val="47E439FB"/>
    <w:rsid w:val="481D675B"/>
    <w:rsid w:val="490B1325"/>
    <w:rsid w:val="49837CA0"/>
    <w:rsid w:val="4CD0539C"/>
    <w:rsid w:val="50411B4B"/>
    <w:rsid w:val="51022612"/>
    <w:rsid w:val="5445049A"/>
    <w:rsid w:val="56C02500"/>
    <w:rsid w:val="56E772D9"/>
    <w:rsid w:val="585F07C7"/>
    <w:rsid w:val="5A041C37"/>
    <w:rsid w:val="5C9B0200"/>
    <w:rsid w:val="648900AC"/>
    <w:rsid w:val="6B8A321B"/>
    <w:rsid w:val="6E566F21"/>
    <w:rsid w:val="76BB24DB"/>
    <w:rsid w:val="76DA1791"/>
    <w:rsid w:val="772C3D2B"/>
    <w:rsid w:val="77F61835"/>
    <w:rsid w:val="78CB0006"/>
    <w:rsid w:val="7A90158F"/>
    <w:rsid w:val="7AA27F9F"/>
    <w:rsid w:val="7B8B022C"/>
    <w:rsid w:val="7E5F1EE4"/>
    <w:rsid w:val="7E791A60"/>
    <w:rsid w:val="7F791602"/>
    <w:rsid w:val="7FD152A4"/>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nhideWhenUsed="0" w:uiPriority="0" w:semiHidden="0" w:name="heading 4"/>
    <w:lsdException w:qFormat="1" w:unhideWhenUsed="0" w:uiPriority="0" w:semiHidden="0" w:name="heading 5"/>
    <w:lsdException w:qFormat="1" w:unhideWhenUsed="0" w:uiPriority="0" w:semiHidden="0" w:name="heading 6"/>
    <w:lsdException w:qFormat="1" w:unhideWhenUsed="0" w:uiPriority="0" w:semiHidden="0" w:name="heading 7"/>
    <w:lsdException w:qFormat="1" w:unhideWhenUsed="0" w:uiPriority="0" w:semiHidden="0" w:name="heading 8"/>
    <w:lsdException w:qFormat="1" w:unhideWhenUsed="0"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qFormat="1" w:uiPriority="39" w:semiHidden="0" w:name="toc 5"/>
    <w:lsdException w:qFormat="1" w:uiPriority="39" w:semiHidden="0" w:name="toc 6"/>
    <w:lsdException w:qFormat="1" w:uiPriority="39" w:semiHidden="0" w:name="toc 7"/>
    <w:lsdException w:uiPriority="0" w:name="toc 8"/>
    <w:lsdException w:uiPriority="0" w:name="toc 9"/>
    <w:lsdException w:qFormat="1" w:unhideWhenUsed="0" w:uiPriority="0" w:semiHidden="0" w:name="Normal Indent"/>
    <w:lsdException w:qFormat="1" w:unhideWhenUsed="0" w:uiPriority="0" w:name="footnote text"/>
    <w:lsdException w:qFormat="1" w:uiPriority="99" w:name="annotation text"/>
    <w:lsdException w:qFormat="1" w:unhideWhenUsed="0" w:uiPriority="99" w:semiHidden="0" w:name="header"/>
    <w:lsdException w:qFormat="1" w:unhideWhenUsed="0" w:uiPriority="99" w:semiHidden="0" w:name="footer"/>
    <w:lsdException w:uiPriority="99" w:name="index heading"/>
    <w:lsdException w:qFormat="1" w:uiPriority="35" w:name="caption"/>
    <w:lsdException w:qFormat="1" w:unhideWhenUsed="0" w:uiPriority="0" w:name="table of figures"/>
    <w:lsdException w:uiPriority="99" w:name="envelope address"/>
    <w:lsdException w:uiPriority="99" w:name="envelope return"/>
    <w:lsdException w:qFormat="1" w:unhideWhenUsed="0" w:uiPriority="0" w:name="footnote reference"/>
    <w:lsdException w:qFormat="1"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0" w:semiHidden="0"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qFormat="1" w:unhideWhenUsed="0" w:uiPriority="99" w:name="Placeholder Text"/>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adjustRightInd w:val="0"/>
      <w:spacing w:line="400" w:lineRule="exact"/>
      <w:jc w:val="both"/>
    </w:pPr>
    <w:rPr>
      <w:rFonts w:ascii="Calibri" w:hAnsi="Calibri" w:eastAsia="宋体" w:cs="Times New Roman"/>
      <w:kern w:val="2"/>
      <w:sz w:val="21"/>
      <w:szCs w:val="21"/>
      <w:lang w:val="en-US" w:eastAsia="zh-CN" w:bidi="ar-SA"/>
    </w:rPr>
  </w:style>
  <w:style w:type="paragraph" w:styleId="2">
    <w:name w:val="heading 1"/>
    <w:basedOn w:val="1"/>
    <w:next w:val="1"/>
    <w:link w:val="39"/>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40"/>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link w:val="41"/>
    <w:qFormat/>
    <w:uiPriority w:val="0"/>
    <w:pPr>
      <w:keepNext/>
      <w:keepLines/>
      <w:spacing w:before="260" w:after="260" w:line="416" w:lineRule="auto"/>
      <w:outlineLvl w:val="2"/>
    </w:pPr>
    <w:rPr>
      <w:b/>
      <w:bCs/>
      <w:sz w:val="32"/>
      <w:szCs w:val="32"/>
    </w:rPr>
  </w:style>
  <w:style w:type="paragraph" w:styleId="5">
    <w:name w:val="heading 4"/>
    <w:basedOn w:val="1"/>
    <w:next w:val="1"/>
    <w:link w:val="42"/>
    <w:qFormat/>
    <w:uiPriority w:val="0"/>
    <w:pPr>
      <w:keepNext/>
      <w:keepLines/>
      <w:spacing w:before="280" w:after="290" w:line="376" w:lineRule="auto"/>
      <w:outlineLvl w:val="3"/>
    </w:pPr>
    <w:rPr>
      <w:rFonts w:ascii="Arial" w:hAnsi="Arial" w:eastAsia="黑体"/>
      <w:b/>
      <w:bCs/>
      <w:sz w:val="28"/>
      <w:szCs w:val="28"/>
    </w:rPr>
  </w:style>
  <w:style w:type="paragraph" w:styleId="6">
    <w:name w:val="heading 5"/>
    <w:basedOn w:val="1"/>
    <w:next w:val="1"/>
    <w:link w:val="43"/>
    <w:qFormat/>
    <w:uiPriority w:val="0"/>
    <w:pPr>
      <w:keepNext/>
      <w:keepLines/>
      <w:adjustRightInd/>
      <w:spacing w:before="280" w:after="290" w:line="376" w:lineRule="auto"/>
      <w:outlineLvl w:val="4"/>
    </w:pPr>
    <w:rPr>
      <w:b/>
      <w:bCs/>
      <w:sz w:val="28"/>
      <w:szCs w:val="28"/>
    </w:rPr>
  </w:style>
  <w:style w:type="paragraph" w:styleId="7">
    <w:name w:val="heading 6"/>
    <w:basedOn w:val="1"/>
    <w:next w:val="1"/>
    <w:link w:val="44"/>
    <w:qFormat/>
    <w:uiPriority w:val="0"/>
    <w:pPr>
      <w:keepNext/>
      <w:keepLines/>
      <w:adjustRightInd/>
      <w:spacing w:before="240" w:after="64" w:line="320" w:lineRule="auto"/>
      <w:outlineLvl w:val="5"/>
    </w:pPr>
    <w:rPr>
      <w:rFonts w:ascii="Arial" w:hAnsi="Arial" w:eastAsia="黑体"/>
      <w:b/>
      <w:bCs/>
      <w:sz w:val="24"/>
      <w:szCs w:val="24"/>
    </w:rPr>
  </w:style>
  <w:style w:type="paragraph" w:styleId="8">
    <w:name w:val="heading 7"/>
    <w:basedOn w:val="1"/>
    <w:next w:val="1"/>
    <w:link w:val="45"/>
    <w:qFormat/>
    <w:uiPriority w:val="0"/>
    <w:pPr>
      <w:keepNext/>
      <w:keepLines/>
      <w:adjustRightInd/>
      <w:spacing w:before="240" w:after="64" w:line="320" w:lineRule="auto"/>
      <w:outlineLvl w:val="6"/>
    </w:pPr>
    <w:rPr>
      <w:b/>
      <w:bCs/>
      <w:sz w:val="24"/>
      <w:szCs w:val="24"/>
    </w:rPr>
  </w:style>
  <w:style w:type="paragraph" w:styleId="9">
    <w:name w:val="heading 8"/>
    <w:basedOn w:val="1"/>
    <w:next w:val="1"/>
    <w:link w:val="46"/>
    <w:qFormat/>
    <w:uiPriority w:val="0"/>
    <w:pPr>
      <w:keepNext/>
      <w:keepLines/>
      <w:adjustRightInd/>
      <w:spacing w:before="240" w:after="64" w:line="320" w:lineRule="auto"/>
      <w:outlineLvl w:val="7"/>
    </w:pPr>
    <w:rPr>
      <w:rFonts w:ascii="Arial" w:hAnsi="Arial" w:eastAsia="黑体"/>
      <w:sz w:val="24"/>
      <w:szCs w:val="24"/>
    </w:rPr>
  </w:style>
  <w:style w:type="paragraph" w:styleId="10">
    <w:name w:val="heading 9"/>
    <w:basedOn w:val="1"/>
    <w:next w:val="1"/>
    <w:link w:val="47"/>
    <w:qFormat/>
    <w:uiPriority w:val="0"/>
    <w:pPr>
      <w:keepNext/>
      <w:keepLines/>
      <w:adjustRightInd/>
      <w:spacing w:before="240" w:after="64" w:line="320" w:lineRule="auto"/>
      <w:outlineLvl w:val="8"/>
    </w:pPr>
    <w:rPr>
      <w:rFonts w:ascii="Arial" w:hAnsi="Arial" w:eastAsia="黑体"/>
    </w:rPr>
  </w:style>
  <w:style w:type="character" w:default="1" w:styleId="32">
    <w:name w:val="Default Paragraph Font"/>
    <w:semiHidden/>
    <w:unhideWhenUsed/>
    <w:qFormat/>
    <w:uiPriority w:val="1"/>
  </w:style>
  <w:style w:type="table" w:default="1" w:styleId="30">
    <w:name w:val="Normal Table"/>
    <w:semiHidden/>
    <w:unhideWhenUsed/>
    <w:qFormat/>
    <w:uiPriority w:val="99"/>
    <w:tblPr>
      <w:tblCellMar>
        <w:top w:w="0" w:type="dxa"/>
        <w:left w:w="108" w:type="dxa"/>
        <w:bottom w:w="0" w:type="dxa"/>
        <w:right w:w="108" w:type="dxa"/>
      </w:tblCellMar>
    </w:tblPr>
  </w:style>
  <w:style w:type="paragraph" w:styleId="11">
    <w:name w:val="toc 7"/>
    <w:basedOn w:val="1"/>
    <w:next w:val="1"/>
    <w:unhideWhenUsed/>
    <w:qFormat/>
    <w:uiPriority w:val="39"/>
    <w:pPr>
      <w:tabs>
        <w:tab w:val="right" w:leader="dot" w:pos="9344"/>
      </w:tabs>
      <w:spacing w:line="300" w:lineRule="exact"/>
      <w:ind w:left="1259"/>
    </w:pPr>
    <w:rPr>
      <w:rFonts w:ascii="宋体"/>
    </w:rPr>
  </w:style>
  <w:style w:type="paragraph" w:styleId="12">
    <w:name w:val="Normal Indent"/>
    <w:basedOn w:val="1"/>
    <w:qFormat/>
    <w:uiPriority w:val="0"/>
    <w:pPr>
      <w:ind w:firstLine="420"/>
    </w:pPr>
  </w:style>
  <w:style w:type="paragraph" w:styleId="13">
    <w:name w:val="annotation text"/>
    <w:basedOn w:val="1"/>
    <w:link w:val="243"/>
    <w:semiHidden/>
    <w:unhideWhenUsed/>
    <w:qFormat/>
    <w:uiPriority w:val="99"/>
    <w:pPr>
      <w:jc w:val="left"/>
    </w:pPr>
  </w:style>
  <w:style w:type="paragraph" w:styleId="14">
    <w:name w:val="Body Text"/>
    <w:basedOn w:val="1"/>
    <w:link w:val="91"/>
    <w:qFormat/>
    <w:uiPriority w:val="0"/>
    <w:pPr>
      <w:spacing w:after="120"/>
    </w:pPr>
  </w:style>
  <w:style w:type="paragraph" w:styleId="15">
    <w:name w:val="toc 5"/>
    <w:basedOn w:val="1"/>
    <w:next w:val="1"/>
    <w:unhideWhenUsed/>
    <w:qFormat/>
    <w:uiPriority w:val="39"/>
    <w:pPr>
      <w:ind w:left="839"/>
    </w:pPr>
    <w:rPr>
      <w:rFonts w:ascii="宋体"/>
    </w:rPr>
  </w:style>
  <w:style w:type="paragraph" w:styleId="16">
    <w:name w:val="toc 3"/>
    <w:basedOn w:val="1"/>
    <w:next w:val="1"/>
    <w:unhideWhenUsed/>
    <w:qFormat/>
    <w:uiPriority w:val="39"/>
    <w:pPr>
      <w:spacing w:line="300" w:lineRule="exact"/>
      <w:ind w:left="420"/>
    </w:pPr>
    <w:rPr>
      <w:rFonts w:ascii="宋体"/>
    </w:rPr>
  </w:style>
  <w:style w:type="paragraph" w:styleId="17">
    <w:name w:val="Plain Text"/>
    <w:basedOn w:val="1"/>
    <w:qFormat/>
    <w:uiPriority w:val="0"/>
    <w:rPr>
      <w:rFonts w:ascii="宋体" w:hAnsi="Courier New" w:cs="Courier New"/>
    </w:rPr>
  </w:style>
  <w:style w:type="paragraph" w:styleId="18">
    <w:name w:val="Balloon Text"/>
    <w:basedOn w:val="1"/>
    <w:link w:val="50"/>
    <w:semiHidden/>
    <w:unhideWhenUsed/>
    <w:qFormat/>
    <w:uiPriority w:val="99"/>
    <w:rPr>
      <w:sz w:val="18"/>
      <w:szCs w:val="18"/>
    </w:rPr>
  </w:style>
  <w:style w:type="paragraph" w:styleId="19">
    <w:name w:val="footer"/>
    <w:basedOn w:val="1"/>
    <w:link w:val="49"/>
    <w:qFormat/>
    <w:uiPriority w:val="99"/>
    <w:pPr>
      <w:tabs>
        <w:tab w:val="center" w:pos="4153"/>
        <w:tab w:val="right" w:pos="8306"/>
      </w:tabs>
      <w:adjustRightInd/>
      <w:snapToGrid w:val="0"/>
      <w:spacing w:line="240" w:lineRule="auto"/>
      <w:jc w:val="right"/>
    </w:pPr>
    <w:rPr>
      <w:rFonts w:ascii="宋体"/>
      <w:sz w:val="18"/>
      <w:szCs w:val="18"/>
    </w:rPr>
  </w:style>
  <w:style w:type="paragraph" w:styleId="20">
    <w:name w:val="header"/>
    <w:basedOn w:val="1"/>
    <w:link w:val="48"/>
    <w:qFormat/>
    <w:uiPriority w:val="99"/>
    <w:pPr>
      <w:tabs>
        <w:tab w:val="center" w:pos="4153"/>
        <w:tab w:val="right" w:pos="8306"/>
      </w:tabs>
      <w:adjustRightInd/>
      <w:snapToGrid w:val="0"/>
      <w:jc w:val="center"/>
    </w:pPr>
    <w:rPr>
      <w:sz w:val="18"/>
      <w:szCs w:val="18"/>
    </w:rPr>
  </w:style>
  <w:style w:type="paragraph" w:styleId="21">
    <w:name w:val="toc 1"/>
    <w:basedOn w:val="1"/>
    <w:next w:val="1"/>
    <w:unhideWhenUsed/>
    <w:qFormat/>
    <w:uiPriority w:val="39"/>
    <w:rPr>
      <w:rFonts w:ascii="宋体"/>
    </w:rPr>
  </w:style>
  <w:style w:type="paragraph" w:styleId="22">
    <w:name w:val="toc 4"/>
    <w:basedOn w:val="1"/>
    <w:next w:val="1"/>
    <w:unhideWhenUsed/>
    <w:qFormat/>
    <w:uiPriority w:val="39"/>
    <w:pPr>
      <w:tabs>
        <w:tab w:val="right" w:leader="dot" w:pos="9344"/>
      </w:tabs>
      <w:spacing w:line="300" w:lineRule="exact"/>
      <w:ind w:left="629"/>
    </w:pPr>
    <w:rPr>
      <w:rFonts w:ascii="宋体"/>
    </w:rPr>
  </w:style>
  <w:style w:type="paragraph" w:styleId="23">
    <w:name w:val="footnote text"/>
    <w:basedOn w:val="1"/>
    <w:next w:val="1"/>
    <w:link w:val="104"/>
    <w:semiHidden/>
    <w:qFormat/>
    <w:uiPriority w:val="0"/>
    <w:pPr>
      <w:adjustRightInd/>
      <w:snapToGrid w:val="0"/>
      <w:spacing w:line="300" w:lineRule="exact"/>
      <w:ind w:left="400" w:leftChars="200" w:hanging="200" w:hangingChars="200"/>
      <w:jc w:val="left"/>
    </w:pPr>
    <w:rPr>
      <w:rFonts w:ascii="宋体"/>
      <w:sz w:val="18"/>
      <w:szCs w:val="18"/>
    </w:rPr>
  </w:style>
  <w:style w:type="paragraph" w:styleId="24">
    <w:name w:val="toc 6"/>
    <w:basedOn w:val="1"/>
    <w:next w:val="1"/>
    <w:unhideWhenUsed/>
    <w:qFormat/>
    <w:uiPriority w:val="39"/>
    <w:pPr>
      <w:spacing w:line="300" w:lineRule="exact"/>
      <w:ind w:left="1049"/>
    </w:pPr>
    <w:rPr>
      <w:rFonts w:ascii="宋体"/>
    </w:rPr>
  </w:style>
  <w:style w:type="paragraph" w:styleId="25">
    <w:name w:val="table of figures"/>
    <w:basedOn w:val="1"/>
    <w:next w:val="1"/>
    <w:semiHidden/>
    <w:qFormat/>
    <w:uiPriority w:val="0"/>
    <w:pPr>
      <w:adjustRightInd/>
      <w:spacing w:line="240" w:lineRule="auto"/>
      <w:jc w:val="left"/>
    </w:pPr>
    <w:rPr>
      <w:szCs w:val="24"/>
    </w:rPr>
  </w:style>
  <w:style w:type="paragraph" w:styleId="26">
    <w:name w:val="toc 2"/>
    <w:basedOn w:val="1"/>
    <w:next w:val="1"/>
    <w:unhideWhenUsed/>
    <w:qFormat/>
    <w:uiPriority w:val="39"/>
    <w:pPr>
      <w:tabs>
        <w:tab w:val="right" w:leader="dot" w:pos="9344"/>
      </w:tabs>
      <w:spacing w:line="300" w:lineRule="exact"/>
      <w:ind w:left="210"/>
    </w:pPr>
    <w:rPr>
      <w:rFonts w:ascii="宋体"/>
    </w:rPr>
  </w:style>
  <w:style w:type="paragraph" w:styleId="27">
    <w:name w:val="Normal (Web)"/>
    <w:basedOn w:val="1"/>
    <w:semiHidden/>
    <w:unhideWhenUsed/>
    <w:qFormat/>
    <w:uiPriority w:val="99"/>
    <w:pPr>
      <w:widowControl/>
      <w:adjustRightInd/>
      <w:spacing w:before="100" w:beforeAutospacing="1" w:after="100" w:afterAutospacing="1" w:line="240" w:lineRule="auto"/>
      <w:jc w:val="left"/>
    </w:pPr>
    <w:rPr>
      <w:rFonts w:ascii="宋体" w:hAnsi="宋体" w:cs="宋体"/>
      <w:kern w:val="0"/>
      <w:sz w:val="24"/>
      <w:szCs w:val="24"/>
    </w:rPr>
  </w:style>
  <w:style w:type="paragraph" w:styleId="28">
    <w:name w:val="Title"/>
    <w:basedOn w:val="1"/>
    <w:link w:val="53"/>
    <w:qFormat/>
    <w:uiPriority w:val="0"/>
    <w:pPr>
      <w:spacing w:before="240" w:after="60"/>
      <w:jc w:val="center"/>
      <w:outlineLvl w:val="0"/>
    </w:pPr>
    <w:rPr>
      <w:rFonts w:ascii="Arial" w:hAnsi="Arial" w:cs="Arial"/>
      <w:b/>
      <w:bCs/>
      <w:sz w:val="32"/>
      <w:szCs w:val="32"/>
    </w:rPr>
  </w:style>
  <w:style w:type="paragraph" w:styleId="29">
    <w:name w:val="annotation subject"/>
    <w:basedOn w:val="13"/>
    <w:next w:val="13"/>
    <w:link w:val="244"/>
    <w:semiHidden/>
    <w:unhideWhenUsed/>
    <w:qFormat/>
    <w:uiPriority w:val="99"/>
    <w:rPr>
      <w:b/>
      <w:bCs/>
    </w:rPr>
  </w:style>
  <w:style w:type="table" w:styleId="31">
    <w:name w:val="Table Grid"/>
    <w:basedOn w:val="30"/>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33">
    <w:name w:val="Strong"/>
    <w:qFormat/>
    <w:uiPriority w:val="22"/>
    <w:rPr>
      <w:b/>
      <w:bCs/>
    </w:rPr>
  </w:style>
  <w:style w:type="character" w:styleId="34">
    <w:name w:val="page number"/>
    <w:qFormat/>
    <w:uiPriority w:val="0"/>
    <w:rPr>
      <w:rFonts w:ascii="宋体" w:hAnsi="Times New Roman" w:eastAsia="宋体"/>
      <w:sz w:val="18"/>
    </w:rPr>
  </w:style>
  <w:style w:type="character" w:styleId="35">
    <w:name w:val="Emphasis"/>
    <w:qFormat/>
    <w:uiPriority w:val="20"/>
    <w:rPr>
      <w:i/>
      <w:iCs/>
    </w:rPr>
  </w:style>
  <w:style w:type="character" w:styleId="36">
    <w:name w:val="Hyperlink"/>
    <w:qFormat/>
    <w:uiPriority w:val="99"/>
    <w:rPr>
      <w:rFonts w:ascii="宋体" w:hAnsi="Times New Roman" w:eastAsia="宋体"/>
      <w:color w:val="auto"/>
      <w:spacing w:val="0"/>
      <w:w w:val="100"/>
      <w:position w:val="0"/>
      <w:sz w:val="21"/>
      <w:u w:val="none"/>
      <w:vertAlign w:val="baseline"/>
    </w:rPr>
  </w:style>
  <w:style w:type="character" w:styleId="37">
    <w:name w:val="annotation reference"/>
    <w:basedOn w:val="32"/>
    <w:semiHidden/>
    <w:unhideWhenUsed/>
    <w:qFormat/>
    <w:uiPriority w:val="99"/>
    <w:rPr>
      <w:sz w:val="21"/>
      <w:szCs w:val="21"/>
    </w:rPr>
  </w:style>
  <w:style w:type="character" w:styleId="38">
    <w:name w:val="footnote reference"/>
    <w:semiHidden/>
    <w:qFormat/>
    <w:uiPriority w:val="0"/>
    <w:rPr>
      <w:rFonts w:ascii="宋体" w:hAnsi="宋体" w:eastAsia="宋体" w:cs="Times New Roman"/>
      <w:spacing w:val="0"/>
      <w:sz w:val="18"/>
      <w:vertAlign w:val="superscript"/>
    </w:rPr>
  </w:style>
  <w:style w:type="character" w:customStyle="1" w:styleId="39">
    <w:name w:val="标题 1 字符"/>
    <w:link w:val="2"/>
    <w:qFormat/>
    <w:uiPriority w:val="0"/>
    <w:rPr>
      <w:b/>
      <w:bCs/>
      <w:kern w:val="44"/>
      <w:sz w:val="44"/>
      <w:szCs w:val="44"/>
    </w:rPr>
  </w:style>
  <w:style w:type="character" w:customStyle="1" w:styleId="40">
    <w:name w:val="标题 2 字符"/>
    <w:link w:val="3"/>
    <w:qFormat/>
    <w:uiPriority w:val="0"/>
    <w:rPr>
      <w:rFonts w:ascii="Arial" w:hAnsi="Arial" w:eastAsia="黑体"/>
      <w:b/>
      <w:bCs/>
      <w:kern w:val="2"/>
      <w:sz w:val="32"/>
      <w:szCs w:val="32"/>
    </w:rPr>
  </w:style>
  <w:style w:type="character" w:customStyle="1" w:styleId="41">
    <w:name w:val="标题 3 字符"/>
    <w:link w:val="4"/>
    <w:qFormat/>
    <w:uiPriority w:val="0"/>
    <w:rPr>
      <w:b/>
      <w:bCs/>
      <w:kern w:val="2"/>
      <w:sz w:val="32"/>
      <w:szCs w:val="32"/>
    </w:rPr>
  </w:style>
  <w:style w:type="character" w:customStyle="1" w:styleId="42">
    <w:name w:val="标题 4 字符"/>
    <w:link w:val="5"/>
    <w:qFormat/>
    <w:uiPriority w:val="0"/>
    <w:rPr>
      <w:rFonts w:ascii="Arial" w:hAnsi="Arial" w:eastAsia="黑体"/>
      <w:b/>
      <w:bCs/>
      <w:kern w:val="2"/>
      <w:sz w:val="28"/>
      <w:szCs w:val="28"/>
    </w:rPr>
  </w:style>
  <w:style w:type="character" w:customStyle="1" w:styleId="43">
    <w:name w:val="标题 5 字符"/>
    <w:link w:val="6"/>
    <w:qFormat/>
    <w:uiPriority w:val="0"/>
    <w:rPr>
      <w:b/>
      <w:bCs/>
      <w:kern w:val="2"/>
      <w:sz w:val="28"/>
      <w:szCs w:val="28"/>
    </w:rPr>
  </w:style>
  <w:style w:type="character" w:customStyle="1" w:styleId="44">
    <w:name w:val="标题 6 字符"/>
    <w:link w:val="7"/>
    <w:qFormat/>
    <w:uiPriority w:val="0"/>
    <w:rPr>
      <w:rFonts w:ascii="Arial" w:hAnsi="Arial" w:eastAsia="黑体"/>
      <w:b/>
      <w:bCs/>
      <w:kern w:val="2"/>
      <w:sz w:val="24"/>
      <w:szCs w:val="24"/>
    </w:rPr>
  </w:style>
  <w:style w:type="character" w:customStyle="1" w:styleId="45">
    <w:name w:val="标题 7 字符"/>
    <w:link w:val="8"/>
    <w:qFormat/>
    <w:uiPriority w:val="0"/>
    <w:rPr>
      <w:b/>
      <w:bCs/>
      <w:kern w:val="2"/>
      <w:sz w:val="24"/>
      <w:szCs w:val="24"/>
    </w:rPr>
  </w:style>
  <w:style w:type="character" w:customStyle="1" w:styleId="46">
    <w:name w:val="标题 8 字符"/>
    <w:link w:val="9"/>
    <w:qFormat/>
    <w:uiPriority w:val="0"/>
    <w:rPr>
      <w:rFonts w:ascii="Arial" w:hAnsi="Arial" w:eastAsia="黑体"/>
      <w:kern w:val="2"/>
      <w:sz w:val="24"/>
      <w:szCs w:val="24"/>
    </w:rPr>
  </w:style>
  <w:style w:type="character" w:customStyle="1" w:styleId="47">
    <w:name w:val="标题 9 字符"/>
    <w:link w:val="10"/>
    <w:qFormat/>
    <w:uiPriority w:val="0"/>
    <w:rPr>
      <w:rFonts w:ascii="Arial" w:hAnsi="Arial" w:eastAsia="黑体"/>
      <w:kern w:val="2"/>
      <w:sz w:val="21"/>
      <w:szCs w:val="21"/>
    </w:rPr>
  </w:style>
  <w:style w:type="character" w:customStyle="1" w:styleId="48">
    <w:name w:val="页眉 字符"/>
    <w:link w:val="20"/>
    <w:qFormat/>
    <w:uiPriority w:val="99"/>
    <w:rPr>
      <w:kern w:val="2"/>
      <w:sz w:val="18"/>
      <w:szCs w:val="18"/>
    </w:rPr>
  </w:style>
  <w:style w:type="character" w:customStyle="1" w:styleId="49">
    <w:name w:val="页脚 字符"/>
    <w:link w:val="19"/>
    <w:qFormat/>
    <w:uiPriority w:val="99"/>
    <w:rPr>
      <w:rFonts w:ascii="宋体"/>
      <w:kern w:val="2"/>
      <w:sz w:val="18"/>
      <w:szCs w:val="18"/>
    </w:rPr>
  </w:style>
  <w:style w:type="character" w:customStyle="1" w:styleId="50">
    <w:name w:val="批注框文本 字符"/>
    <w:link w:val="18"/>
    <w:semiHidden/>
    <w:qFormat/>
    <w:uiPriority w:val="99"/>
    <w:rPr>
      <w:kern w:val="2"/>
      <w:sz w:val="18"/>
      <w:szCs w:val="18"/>
    </w:rPr>
  </w:style>
  <w:style w:type="paragraph" w:styleId="51">
    <w:name w:val="Quote"/>
    <w:basedOn w:val="1"/>
    <w:next w:val="1"/>
    <w:link w:val="52"/>
    <w:qFormat/>
    <w:uiPriority w:val="29"/>
    <w:rPr>
      <w:i/>
      <w:iCs/>
      <w:color w:val="000000"/>
    </w:rPr>
  </w:style>
  <w:style w:type="character" w:customStyle="1" w:styleId="52">
    <w:name w:val="引用 字符"/>
    <w:link w:val="51"/>
    <w:qFormat/>
    <w:uiPriority w:val="29"/>
    <w:rPr>
      <w:i/>
      <w:iCs/>
      <w:color w:val="000000"/>
      <w:kern w:val="2"/>
      <w:sz w:val="21"/>
      <w:szCs w:val="21"/>
    </w:rPr>
  </w:style>
  <w:style w:type="character" w:customStyle="1" w:styleId="53">
    <w:name w:val="标题 字符"/>
    <w:link w:val="28"/>
    <w:qFormat/>
    <w:uiPriority w:val="0"/>
    <w:rPr>
      <w:rFonts w:ascii="Arial" w:hAnsi="Arial" w:cs="Arial"/>
      <w:b/>
      <w:bCs/>
      <w:kern w:val="2"/>
      <w:sz w:val="32"/>
      <w:szCs w:val="32"/>
    </w:rPr>
  </w:style>
  <w:style w:type="paragraph" w:customStyle="1" w:styleId="54">
    <w:name w:val="标准标志"/>
    <w:next w:val="1"/>
    <w:qFormat/>
    <w:uiPriority w:val="0"/>
    <w:pPr>
      <w:framePr w:w="2268" w:h="1392" w:hRule="exact" w:wrap="around" w:vAnchor="margin" w:hAnchor="margin" w:x="6748" w:y="171" w:anchorLock="1"/>
      <w:shd w:val="solid" w:color="FFFFFF" w:fill="FFFFFF"/>
      <w:spacing w:line="0" w:lineRule="atLeast"/>
      <w:jc w:val="right"/>
    </w:pPr>
    <w:rPr>
      <w:rFonts w:ascii="Times New Roman" w:hAnsi="Times New Roman" w:eastAsia="宋体" w:cs="Times New Roman"/>
      <w:b/>
      <w:w w:val="130"/>
      <w:sz w:val="96"/>
      <w:lang w:val="en-US" w:eastAsia="zh-CN" w:bidi="ar-SA"/>
    </w:rPr>
  </w:style>
  <w:style w:type="paragraph" w:customStyle="1" w:styleId="55">
    <w:name w:val="标准称谓"/>
    <w:next w:val="1"/>
    <w:qFormat/>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jc w:val="distribute"/>
    </w:pPr>
    <w:rPr>
      <w:rFonts w:ascii="宋体" w:hAnsi="Times New Roman" w:eastAsia="宋体" w:cs="Times New Roman"/>
      <w:b/>
      <w:bCs/>
      <w:w w:val="148"/>
      <w:sz w:val="52"/>
      <w:lang w:val="en-US" w:eastAsia="zh-CN" w:bidi="ar-SA"/>
    </w:rPr>
  </w:style>
  <w:style w:type="paragraph" w:customStyle="1" w:styleId="56">
    <w:name w:val="标准文件_页脚偶数页"/>
    <w:qFormat/>
    <w:uiPriority w:val="0"/>
    <w:pPr>
      <w:ind w:left="198"/>
    </w:pPr>
    <w:rPr>
      <w:rFonts w:ascii="宋体" w:hAnsi="Times New Roman" w:eastAsia="宋体" w:cs="Times New Roman"/>
      <w:sz w:val="18"/>
      <w:lang w:val="en-US" w:eastAsia="zh-CN" w:bidi="ar-SA"/>
    </w:rPr>
  </w:style>
  <w:style w:type="paragraph" w:customStyle="1" w:styleId="57">
    <w:name w:val="标准文件_页脚奇数页"/>
    <w:qFormat/>
    <w:uiPriority w:val="0"/>
    <w:pPr>
      <w:ind w:right="227"/>
      <w:jc w:val="right"/>
    </w:pPr>
    <w:rPr>
      <w:rFonts w:ascii="宋体" w:hAnsi="Times New Roman" w:eastAsia="宋体" w:cs="Times New Roman"/>
      <w:sz w:val="18"/>
      <w:lang w:val="en-US" w:eastAsia="zh-CN" w:bidi="ar-SA"/>
    </w:rPr>
  </w:style>
  <w:style w:type="paragraph" w:customStyle="1" w:styleId="58">
    <w:name w:val="标准书眉一"/>
    <w:qFormat/>
    <w:uiPriority w:val="0"/>
    <w:pPr>
      <w:jc w:val="both"/>
    </w:pPr>
    <w:rPr>
      <w:rFonts w:ascii="Times New Roman" w:hAnsi="Times New Roman" w:eastAsia="宋体" w:cs="Times New Roman"/>
      <w:lang w:val="en-US" w:eastAsia="zh-CN" w:bidi="ar-SA"/>
    </w:rPr>
  </w:style>
  <w:style w:type="paragraph" w:customStyle="1" w:styleId="59">
    <w:name w:val="标准文件_ICS"/>
    <w:basedOn w:val="1"/>
    <w:qFormat/>
    <w:uiPriority w:val="0"/>
    <w:pPr>
      <w:spacing w:line="0" w:lineRule="atLeast"/>
    </w:pPr>
    <w:rPr>
      <w:rFonts w:ascii="黑体" w:hAnsi="宋体" w:eastAsia="黑体"/>
    </w:rPr>
  </w:style>
  <w:style w:type="paragraph" w:customStyle="1" w:styleId="60">
    <w:name w:val="标准文件_标准正文"/>
    <w:basedOn w:val="1"/>
    <w:next w:val="61"/>
    <w:qFormat/>
    <w:uiPriority w:val="0"/>
    <w:pPr>
      <w:snapToGrid w:val="0"/>
      <w:ind w:firstLine="200" w:firstLineChars="200"/>
    </w:pPr>
    <w:rPr>
      <w:kern w:val="0"/>
    </w:rPr>
  </w:style>
  <w:style w:type="paragraph" w:customStyle="1" w:styleId="61">
    <w:name w:val="标准文件_段"/>
    <w:link w:val="189"/>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62">
    <w:name w:val="标准文件_版本"/>
    <w:basedOn w:val="60"/>
    <w:qFormat/>
    <w:uiPriority w:val="0"/>
    <w:pPr>
      <w:adjustRightInd/>
      <w:snapToGrid/>
      <w:ind w:firstLine="0" w:firstLineChars="0"/>
    </w:pPr>
    <w:rPr>
      <w:rFonts w:ascii="宋体" w:hAnsi="宋体"/>
      <w:kern w:val="2"/>
    </w:rPr>
  </w:style>
  <w:style w:type="paragraph" w:customStyle="1" w:styleId="63">
    <w:name w:val="标准文件_标准部门"/>
    <w:basedOn w:val="1"/>
    <w:qFormat/>
    <w:uiPriority w:val="0"/>
    <w:pPr>
      <w:jc w:val="center"/>
    </w:pPr>
    <w:rPr>
      <w:rFonts w:ascii="黑体" w:eastAsia="黑体"/>
      <w:kern w:val="0"/>
      <w:sz w:val="44"/>
    </w:rPr>
  </w:style>
  <w:style w:type="paragraph" w:customStyle="1" w:styleId="64">
    <w:name w:val="标准文件_标准代替"/>
    <w:basedOn w:val="1"/>
    <w:next w:val="1"/>
    <w:qFormat/>
    <w:uiPriority w:val="0"/>
    <w:pPr>
      <w:spacing w:line="310" w:lineRule="exact"/>
      <w:jc w:val="right"/>
    </w:pPr>
    <w:rPr>
      <w:rFonts w:ascii="宋体" w:hAnsi="宋体"/>
      <w:kern w:val="0"/>
    </w:rPr>
  </w:style>
  <w:style w:type="paragraph" w:customStyle="1" w:styleId="65">
    <w:name w:val="标准文件_标准名称标题"/>
    <w:basedOn w:val="1"/>
    <w:next w:val="1"/>
    <w:qFormat/>
    <w:uiPriority w:val="0"/>
    <w:pPr>
      <w:widowControl/>
      <w:shd w:val="clear" w:color="FFFFFF" w:fill="FFFFFF"/>
      <w:adjustRightInd/>
      <w:spacing w:before="640" w:after="100"/>
      <w:jc w:val="center"/>
    </w:pPr>
    <w:rPr>
      <w:rFonts w:ascii="黑体" w:eastAsia="黑体"/>
      <w:kern w:val="0"/>
      <w:sz w:val="32"/>
    </w:rPr>
  </w:style>
  <w:style w:type="paragraph" w:customStyle="1" w:styleId="66">
    <w:name w:val="标准文件_页眉奇数页"/>
    <w:next w:val="1"/>
    <w:qFormat/>
    <w:uiPriority w:val="0"/>
    <w:pPr>
      <w:tabs>
        <w:tab w:val="center" w:pos="4154"/>
        <w:tab w:val="right" w:pos="8306"/>
      </w:tabs>
      <w:spacing w:after="120"/>
      <w:jc w:val="right"/>
    </w:pPr>
    <w:rPr>
      <w:rFonts w:ascii="黑体" w:hAnsi="宋体" w:eastAsia="黑体" w:cs="Times New Roman"/>
      <w:sz w:val="21"/>
      <w:lang w:val="en-US" w:eastAsia="zh-CN" w:bidi="ar-SA"/>
    </w:rPr>
  </w:style>
  <w:style w:type="paragraph" w:customStyle="1" w:styleId="67">
    <w:name w:val="标准文件_页眉偶数页"/>
    <w:basedOn w:val="66"/>
    <w:next w:val="1"/>
    <w:qFormat/>
    <w:uiPriority w:val="0"/>
    <w:pPr>
      <w:jc w:val="left"/>
    </w:pPr>
  </w:style>
  <w:style w:type="paragraph" w:customStyle="1" w:styleId="68">
    <w:name w:val="标准文件_参考文献标题"/>
    <w:basedOn w:val="1"/>
    <w:next w:val="1"/>
    <w:qFormat/>
    <w:uiPriority w:val="0"/>
    <w:pPr>
      <w:widowControl/>
      <w:shd w:val="clear" w:color="FFFFFF" w:fill="FFFFFF"/>
      <w:adjustRightInd/>
      <w:spacing w:before="580" w:afterLines="50" w:line="240" w:lineRule="auto"/>
      <w:jc w:val="center"/>
      <w:outlineLvl w:val="0"/>
    </w:pPr>
    <w:rPr>
      <w:rFonts w:ascii="黑体" w:eastAsia="黑体"/>
      <w:kern w:val="0"/>
    </w:rPr>
  </w:style>
  <w:style w:type="paragraph" w:customStyle="1" w:styleId="69">
    <w:name w:val="标准文件_参考文献条目"/>
    <w:qFormat/>
    <w:uiPriority w:val="0"/>
    <w:pPr>
      <w:numPr>
        <w:ilvl w:val="0"/>
        <w:numId w:val="1"/>
      </w:numPr>
    </w:pPr>
    <w:rPr>
      <w:rFonts w:ascii="宋体" w:hAnsi="Times New Roman" w:eastAsia="宋体" w:cs="Times New Roman"/>
      <w:lang w:val="en-US" w:eastAsia="zh-CN" w:bidi="ar-SA"/>
    </w:rPr>
  </w:style>
  <w:style w:type="paragraph" w:customStyle="1" w:styleId="70">
    <w:name w:val="标准文件_二级条标题"/>
    <w:next w:val="61"/>
    <w:qFormat/>
    <w:uiPriority w:val="0"/>
    <w:pPr>
      <w:widowControl w:val="0"/>
      <w:numPr>
        <w:ilvl w:val="3"/>
        <w:numId w:val="2"/>
      </w:numPr>
      <w:spacing w:beforeLines="50" w:afterLines="50"/>
      <w:jc w:val="both"/>
      <w:outlineLvl w:val="2"/>
    </w:pPr>
    <w:rPr>
      <w:rFonts w:ascii="黑体" w:hAnsi="Times New Roman" w:eastAsia="黑体" w:cs="Times New Roman"/>
      <w:sz w:val="21"/>
      <w:lang w:val="en-US" w:eastAsia="zh-CN" w:bidi="ar-SA"/>
    </w:rPr>
  </w:style>
  <w:style w:type="character" w:customStyle="1" w:styleId="71">
    <w:name w:val="标准文件_发布"/>
    <w:qFormat/>
    <w:uiPriority w:val="0"/>
    <w:rPr>
      <w:rFonts w:ascii="黑体" w:eastAsia="黑体"/>
      <w:spacing w:val="0"/>
      <w:w w:val="100"/>
      <w:position w:val="3"/>
      <w:sz w:val="28"/>
    </w:rPr>
  </w:style>
  <w:style w:type="paragraph" w:customStyle="1" w:styleId="72">
    <w:name w:val="标准文件_方框数字列项"/>
    <w:basedOn w:val="61"/>
    <w:qFormat/>
    <w:uiPriority w:val="0"/>
    <w:pPr>
      <w:numPr>
        <w:ilvl w:val="0"/>
        <w:numId w:val="3"/>
      </w:numPr>
      <w:ind w:firstLine="0" w:firstLineChars="0"/>
    </w:pPr>
  </w:style>
  <w:style w:type="paragraph" w:customStyle="1" w:styleId="73">
    <w:name w:val="标准文件_封面标准编号"/>
    <w:basedOn w:val="1"/>
    <w:next w:val="64"/>
    <w:qFormat/>
    <w:uiPriority w:val="0"/>
    <w:pPr>
      <w:spacing w:line="310" w:lineRule="exact"/>
      <w:jc w:val="right"/>
    </w:pPr>
    <w:rPr>
      <w:rFonts w:ascii="黑体" w:eastAsia="黑体"/>
      <w:kern w:val="0"/>
      <w:sz w:val="28"/>
    </w:rPr>
  </w:style>
  <w:style w:type="paragraph" w:customStyle="1" w:styleId="74">
    <w:name w:val="标准文件_封面标准分类号"/>
    <w:basedOn w:val="1"/>
    <w:qFormat/>
    <w:uiPriority w:val="0"/>
    <w:rPr>
      <w:rFonts w:ascii="黑体" w:eastAsia="黑体"/>
      <w:b/>
      <w:kern w:val="0"/>
      <w:sz w:val="28"/>
    </w:rPr>
  </w:style>
  <w:style w:type="paragraph" w:customStyle="1" w:styleId="75">
    <w:name w:val="标准文件_封面标准名称"/>
    <w:basedOn w:val="1"/>
    <w:qFormat/>
    <w:uiPriority w:val="0"/>
    <w:pPr>
      <w:spacing w:line="240" w:lineRule="auto"/>
      <w:jc w:val="center"/>
    </w:pPr>
    <w:rPr>
      <w:rFonts w:ascii="黑体" w:eastAsia="黑体"/>
      <w:kern w:val="0"/>
      <w:sz w:val="52"/>
    </w:rPr>
  </w:style>
  <w:style w:type="paragraph" w:customStyle="1" w:styleId="76">
    <w:name w:val="标准文件_封面标准英文名称"/>
    <w:basedOn w:val="1"/>
    <w:qFormat/>
    <w:uiPriority w:val="0"/>
    <w:pPr>
      <w:spacing w:line="240" w:lineRule="auto"/>
      <w:jc w:val="center"/>
    </w:pPr>
    <w:rPr>
      <w:rFonts w:ascii="黑体" w:eastAsia="黑体"/>
      <w:b/>
      <w:sz w:val="28"/>
    </w:rPr>
  </w:style>
  <w:style w:type="paragraph" w:customStyle="1" w:styleId="77">
    <w:name w:val="标准文件_封面发布日期"/>
    <w:basedOn w:val="1"/>
    <w:qFormat/>
    <w:uiPriority w:val="0"/>
    <w:pPr>
      <w:spacing w:line="310" w:lineRule="exact"/>
    </w:pPr>
    <w:rPr>
      <w:rFonts w:ascii="黑体" w:eastAsia="黑体"/>
      <w:kern w:val="0"/>
      <w:sz w:val="28"/>
    </w:rPr>
  </w:style>
  <w:style w:type="paragraph" w:customStyle="1" w:styleId="78">
    <w:name w:val="标准文件_封面密级"/>
    <w:basedOn w:val="1"/>
    <w:qFormat/>
    <w:uiPriority w:val="0"/>
    <w:rPr>
      <w:rFonts w:eastAsia="黑体"/>
      <w:sz w:val="32"/>
    </w:rPr>
  </w:style>
  <w:style w:type="paragraph" w:customStyle="1" w:styleId="79">
    <w:name w:val="标准文件_封面实施日期"/>
    <w:basedOn w:val="1"/>
    <w:qFormat/>
    <w:uiPriority w:val="0"/>
    <w:pPr>
      <w:spacing w:line="310" w:lineRule="exact"/>
      <w:jc w:val="right"/>
    </w:pPr>
    <w:rPr>
      <w:rFonts w:ascii="黑体" w:eastAsia="黑体"/>
      <w:sz w:val="28"/>
    </w:rPr>
  </w:style>
  <w:style w:type="paragraph" w:customStyle="1" w:styleId="80">
    <w:name w:val="标准文件_封面抬头"/>
    <w:basedOn w:val="61"/>
    <w:qFormat/>
    <w:uiPriority w:val="0"/>
    <w:pPr>
      <w:adjustRightInd w:val="0"/>
      <w:spacing w:line="800" w:lineRule="exact"/>
      <w:ind w:firstLine="0" w:firstLineChars="0"/>
      <w:jc w:val="distribute"/>
    </w:pPr>
    <w:rPr>
      <w:rFonts w:ascii="黑体" w:eastAsia="黑体"/>
      <w:b/>
      <w:sz w:val="64"/>
    </w:rPr>
  </w:style>
  <w:style w:type="paragraph" w:customStyle="1" w:styleId="81">
    <w:name w:val="标准文件_附录标识"/>
    <w:next w:val="61"/>
    <w:qFormat/>
    <w:uiPriority w:val="0"/>
    <w:pPr>
      <w:numPr>
        <w:ilvl w:val="0"/>
        <w:numId w:val="4"/>
      </w:numPr>
      <w:shd w:val="clear" w:color="FFFFFF" w:fill="FFFFFF"/>
      <w:tabs>
        <w:tab w:val="left" w:pos="6406"/>
      </w:tabs>
      <w:spacing w:before="560" w:afterLines="50"/>
      <w:jc w:val="center"/>
      <w:outlineLvl w:val="0"/>
    </w:pPr>
    <w:rPr>
      <w:rFonts w:ascii="黑体" w:hAnsi="Times New Roman" w:eastAsia="黑体" w:cs="Times New Roman"/>
      <w:sz w:val="21"/>
      <w:lang w:val="en-US" w:eastAsia="zh-CN" w:bidi="ar-SA"/>
    </w:rPr>
  </w:style>
  <w:style w:type="paragraph" w:customStyle="1" w:styleId="82">
    <w:name w:val="标准文件_附录表标题"/>
    <w:next w:val="61"/>
    <w:qFormat/>
    <w:uiPriority w:val="0"/>
    <w:pPr>
      <w:numPr>
        <w:ilvl w:val="1"/>
        <w:numId w:val="5"/>
      </w:numPr>
      <w:adjustRightInd w:val="0"/>
      <w:snapToGrid w:val="0"/>
      <w:spacing w:beforeLines="50" w:afterLines="50"/>
      <w:jc w:val="center"/>
      <w:textAlignment w:val="baseline"/>
    </w:pPr>
    <w:rPr>
      <w:rFonts w:ascii="黑体" w:hAnsi="Times New Roman" w:eastAsia="黑体" w:cs="Times New Roman"/>
      <w:kern w:val="21"/>
      <w:sz w:val="21"/>
      <w:lang w:val="en-US" w:eastAsia="zh-CN" w:bidi="ar-SA"/>
    </w:rPr>
  </w:style>
  <w:style w:type="paragraph" w:customStyle="1" w:styleId="83">
    <w:name w:val="标准文件_附录一级条标题"/>
    <w:next w:val="61"/>
    <w:qFormat/>
    <w:uiPriority w:val="0"/>
    <w:pPr>
      <w:widowControl w:val="0"/>
      <w:numPr>
        <w:ilvl w:val="1"/>
        <w:numId w:val="4"/>
      </w:numPr>
      <w:spacing w:beforeLines="50" w:afterLines="50"/>
      <w:jc w:val="both"/>
      <w:outlineLvl w:val="2"/>
    </w:pPr>
    <w:rPr>
      <w:rFonts w:ascii="黑体" w:hAnsi="Times New Roman" w:eastAsia="黑体" w:cs="Times New Roman"/>
      <w:kern w:val="21"/>
      <w:sz w:val="21"/>
      <w:lang w:val="en-US" w:eastAsia="zh-CN" w:bidi="ar-SA"/>
    </w:rPr>
  </w:style>
  <w:style w:type="paragraph" w:customStyle="1" w:styleId="84">
    <w:name w:val="标准文件_附录二级条标题"/>
    <w:basedOn w:val="83"/>
    <w:next w:val="61"/>
    <w:qFormat/>
    <w:uiPriority w:val="0"/>
    <w:pPr>
      <w:widowControl/>
      <w:numPr>
        <w:ilvl w:val="2"/>
      </w:numPr>
      <w:wordWrap w:val="0"/>
      <w:overflowPunct w:val="0"/>
      <w:autoSpaceDE w:val="0"/>
      <w:autoSpaceDN w:val="0"/>
      <w:textAlignment w:val="baseline"/>
      <w:outlineLvl w:val="3"/>
    </w:pPr>
  </w:style>
  <w:style w:type="paragraph" w:customStyle="1" w:styleId="85">
    <w:name w:val="标准文件_附录公式"/>
    <w:basedOn w:val="60"/>
    <w:next w:val="60"/>
    <w:qFormat/>
    <w:uiPriority w:val="0"/>
    <w:pPr>
      <w:tabs>
        <w:tab w:val="center" w:pos="4678"/>
        <w:tab w:val="right" w:leader="middleDot" w:pos="9356"/>
      </w:tabs>
      <w:spacing w:line="240" w:lineRule="auto"/>
      <w:ind w:right="-51" w:firstLine="0" w:firstLineChars="0"/>
    </w:pPr>
    <w:rPr>
      <w:rFonts w:ascii="宋体" w:hAnsi="宋体"/>
    </w:rPr>
  </w:style>
  <w:style w:type="paragraph" w:customStyle="1" w:styleId="86">
    <w:name w:val="标准文件_附录三级条标题"/>
    <w:next w:val="61"/>
    <w:qFormat/>
    <w:uiPriority w:val="0"/>
    <w:pPr>
      <w:widowControl w:val="0"/>
      <w:numPr>
        <w:ilvl w:val="3"/>
        <w:numId w:val="4"/>
      </w:numPr>
      <w:spacing w:beforeLines="50" w:afterLines="50"/>
      <w:jc w:val="both"/>
      <w:outlineLvl w:val="4"/>
    </w:pPr>
    <w:rPr>
      <w:rFonts w:ascii="黑体" w:hAnsi="Times New Roman" w:eastAsia="黑体" w:cs="Times New Roman"/>
      <w:kern w:val="21"/>
      <w:sz w:val="21"/>
      <w:lang w:val="en-US" w:eastAsia="zh-CN" w:bidi="ar-SA"/>
    </w:rPr>
  </w:style>
  <w:style w:type="paragraph" w:customStyle="1" w:styleId="87">
    <w:name w:val="标准文件_附录四级条标题"/>
    <w:next w:val="61"/>
    <w:qFormat/>
    <w:uiPriority w:val="0"/>
    <w:pPr>
      <w:widowControl w:val="0"/>
      <w:numPr>
        <w:ilvl w:val="4"/>
        <w:numId w:val="4"/>
      </w:numPr>
      <w:spacing w:beforeLines="50" w:afterLines="50"/>
      <w:jc w:val="both"/>
      <w:outlineLvl w:val="5"/>
    </w:pPr>
    <w:rPr>
      <w:rFonts w:ascii="黑体" w:hAnsi="Times New Roman" w:eastAsia="黑体" w:cs="Times New Roman"/>
      <w:kern w:val="21"/>
      <w:sz w:val="21"/>
      <w:lang w:val="en-US" w:eastAsia="zh-CN" w:bidi="ar-SA"/>
    </w:rPr>
  </w:style>
  <w:style w:type="paragraph" w:customStyle="1" w:styleId="88">
    <w:name w:val="标准文件_附录图标题"/>
    <w:next w:val="61"/>
    <w:qFormat/>
    <w:uiPriority w:val="0"/>
    <w:pPr>
      <w:numPr>
        <w:ilvl w:val="1"/>
        <w:numId w:val="6"/>
      </w:numPr>
      <w:adjustRightInd w:val="0"/>
      <w:snapToGrid w:val="0"/>
      <w:spacing w:beforeLines="50" w:afterLines="50"/>
      <w:jc w:val="center"/>
    </w:pPr>
    <w:rPr>
      <w:rFonts w:ascii="黑体" w:hAnsi="Times New Roman" w:eastAsia="黑体" w:cs="Times New Roman"/>
      <w:sz w:val="21"/>
      <w:lang w:val="en-US" w:eastAsia="zh-CN" w:bidi="ar-SA"/>
    </w:rPr>
  </w:style>
  <w:style w:type="paragraph" w:customStyle="1" w:styleId="89">
    <w:name w:val="标准文件_附录五级条标题"/>
    <w:next w:val="61"/>
    <w:qFormat/>
    <w:uiPriority w:val="0"/>
    <w:pPr>
      <w:widowControl w:val="0"/>
      <w:numPr>
        <w:ilvl w:val="5"/>
        <w:numId w:val="4"/>
      </w:numPr>
      <w:spacing w:beforeLines="50" w:afterLines="50"/>
      <w:jc w:val="both"/>
      <w:outlineLvl w:val="6"/>
    </w:pPr>
    <w:rPr>
      <w:rFonts w:ascii="黑体" w:hAnsi="Times New Roman" w:eastAsia="黑体" w:cs="Times New Roman"/>
      <w:kern w:val="21"/>
      <w:sz w:val="21"/>
      <w:lang w:val="en-US" w:eastAsia="zh-CN" w:bidi="ar-SA"/>
    </w:rPr>
  </w:style>
  <w:style w:type="paragraph" w:customStyle="1" w:styleId="90">
    <w:name w:val="标准文件_附录英文标识"/>
    <w:next w:val="14"/>
    <w:qFormat/>
    <w:uiPriority w:val="0"/>
    <w:pPr>
      <w:numPr>
        <w:ilvl w:val="0"/>
        <w:numId w:val="7"/>
      </w:numPr>
      <w:tabs>
        <w:tab w:val="left" w:pos="6406"/>
      </w:tabs>
      <w:spacing w:before="220" w:after="320"/>
      <w:jc w:val="center"/>
      <w:outlineLvl w:val="0"/>
    </w:pPr>
    <w:rPr>
      <w:rFonts w:ascii="黑体" w:hAnsi="Times New Roman" w:eastAsia="黑体" w:cs="Times New Roman"/>
      <w:sz w:val="21"/>
      <w:lang w:val="en-US" w:eastAsia="zh-CN" w:bidi="ar-SA"/>
    </w:rPr>
  </w:style>
  <w:style w:type="character" w:customStyle="1" w:styleId="91">
    <w:name w:val="正文文本 字符"/>
    <w:link w:val="14"/>
    <w:qFormat/>
    <w:uiPriority w:val="0"/>
    <w:rPr>
      <w:kern w:val="2"/>
      <w:sz w:val="21"/>
      <w:szCs w:val="21"/>
    </w:rPr>
  </w:style>
  <w:style w:type="paragraph" w:customStyle="1" w:styleId="92">
    <w:name w:val="标准文件_附录章标题"/>
    <w:next w:val="61"/>
    <w:qFormat/>
    <w:uiPriority w:val="0"/>
    <w:pPr>
      <w:wordWrap w:val="0"/>
      <w:overflowPunct w:val="0"/>
      <w:autoSpaceDE w:val="0"/>
      <w:spacing w:beforeLines="50" w:afterLines="50"/>
      <w:jc w:val="both"/>
      <w:textAlignment w:val="baseline"/>
      <w:outlineLvl w:val="1"/>
    </w:pPr>
    <w:rPr>
      <w:rFonts w:ascii="黑体" w:hAnsi="Times New Roman" w:eastAsia="黑体" w:cs="Times New Roman"/>
      <w:kern w:val="21"/>
      <w:sz w:val="21"/>
      <w:lang w:val="en-US" w:eastAsia="zh-CN" w:bidi="ar-SA"/>
    </w:rPr>
  </w:style>
  <w:style w:type="paragraph" w:customStyle="1" w:styleId="93">
    <w:name w:val="标准文件_公式后的破折号"/>
    <w:basedOn w:val="61"/>
    <w:next w:val="61"/>
    <w:qFormat/>
    <w:uiPriority w:val="0"/>
    <w:pPr>
      <w:ind w:left="488" w:leftChars="200" w:hanging="289" w:hangingChars="290"/>
    </w:pPr>
  </w:style>
  <w:style w:type="paragraph" w:customStyle="1" w:styleId="94">
    <w:name w:val="标准文件_前言、引言标题"/>
    <w:next w:val="1"/>
    <w:qFormat/>
    <w:uiPriority w:val="0"/>
    <w:pPr>
      <w:numPr>
        <w:ilvl w:val="0"/>
        <w:numId w:val="8"/>
      </w:numPr>
      <w:shd w:val="clear" w:color="FFFFFF" w:fill="FFFFFF"/>
      <w:spacing w:before="480" w:afterLines="150"/>
      <w:jc w:val="center"/>
      <w:outlineLvl w:val="0"/>
    </w:pPr>
    <w:rPr>
      <w:rFonts w:ascii="黑体" w:hAnsi="Times New Roman" w:eastAsia="黑体" w:cs="Times New Roman"/>
      <w:sz w:val="32"/>
      <w:lang w:val="en-US" w:eastAsia="zh-CN" w:bidi="ar-SA"/>
    </w:rPr>
  </w:style>
  <w:style w:type="paragraph" w:customStyle="1" w:styleId="95">
    <w:name w:val="标准文件_目次、标准名称标题"/>
    <w:basedOn w:val="94"/>
    <w:next w:val="61"/>
    <w:qFormat/>
    <w:uiPriority w:val="0"/>
    <w:pPr>
      <w:spacing w:line="460" w:lineRule="exact"/>
      <w:ind w:left="0" w:firstLine="0"/>
    </w:pPr>
  </w:style>
  <w:style w:type="paragraph" w:customStyle="1" w:styleId="96">
    <w:name w:val="标准文件_目录标题"/>
    <w:basedOn w:val="1"/>
    <w:qFormat/>
    <w:uiPriority w:val="0"/>
    <w:pPr>
      <w:spacing w:before="480" w:afterLines="150" w:line="240" w:lineRule="auto"/>
      <w:jc w:val="center"/>
    </w:pPr>
    <w:rPr>
      <w:rFonts w:ascii="黑体" w:eastAsia="黑体"/>
      <w:sz w:val="32"/>
    </w:rPr>
  </w:style>
  <w:style w:type="paragraph" w:customStyle="1" w:styleId="97">
    <w:name w:val="标准文件_破折号列项"/>
    <w:qFormat/>
    <w:uiPriority w:val="0"/>
    <w:pPr>
      <w:numPr>
        <w:ilvl w:val="0"/>
        <w:numId w:val="9"/>
      </w:numPr>
      <w:adjustRightInd w:val="0"/>
      <w:snapToGrid w:val="0"/>
      <w:ind w:firstLine="200" w:firstLineChars="200"/>
    </w:pPr>
    <w:rPr>
      <w:rFonts w:ascii="Times New Roman" w:hAnsi="Times New Roman" w:eastAsia="宋体" w:cs="Times New Roman"/>
      <w:sz w:val="21"/>
      <w:lang w:val="en-US" w:eastAsia="zh-CN" w:bidi="ar-SA"/>
    </w:rPr>
  </w:style>
  <w:style w:type="paragraph" w:customStyle="1" w:styleId="98">
    <w:name w:val="标准文件_破折号列项（二级）"/>
    <w:basedOn w:val="97"/>
    <w:qFormat/>
    <w:uiPriority w:val="0"/>
    <w:pPr>
      <w:numPr>
        <w:numId w:val="10"/>
      </w:numPr>
    </w:pPr>
  </w:style>
  <w:style w:type="paragraph" w:customStyle="1" w:styleId="99">
    <w:name w:val="标准文件_三级条标题"/>
    <w:basedOn w:val="70"/>
    <w:next w:val="61"/>
    <w:qFormat/>
    <w:uiPriority w:val="0"/>
    <w:pPr>
      <w:widowControl/>
      <w:numPr>
        <w:ilvl w:val="4"/>
      </w:numPr>
      <w:outlineLvl w:val="3"/>
    </w:pPr>
  </w:style>
  <w:style w:type="character" w:customStyle="1" w:styleId="100">
    <w:name w:val="不明显参考1"/>
    <w:qFormat/>
    <w:uiPriority w:val="31"/>
    <w:rPr>
      <w:smallCaps/>
      <w:color w:val="C0504D"/>
      <w:u w:val="single"/>
    </w:rPr>
  </w:style>
  <w:style w:type="paragraph" w:customStyle="1" w:styleId="101">
    <w:name w:val="标准文件_示例后续"/>
    <w:basedOn w:val="1"/>
    <w:qFormat/>
    <w:uiPriority w:val="0"/>
    <w:pPr>
      <w:adjustRightInd/>
      <w:spacing w:line="240" w:lineRule="auto"/>
      <w:ind w:firstLine="200" w:firstLineChars="200"/>
    </w:pPr>
    <w:rPr>
      <w:sz w:val="18"/>
      <w:szCs w:val="24"/>
    </w:rPr>
  </w:style>
  <w:style w:type="paragraph" w:customStyle="1" w:styleId="102">
    <w:name w:val="标准文件_数字编号列项"/>
    <w:qFormat/>
    <w:uiPriority w:val="0"/>
    <w:pPr>
      <w:numPr>
        <w:ilvl w:val="0"/>
        <w:numId w:val="11"/>
      </w:numPr>
      <w:jc w:val="both"/>
    </w:pPr>
    <w:rPr>
      <w:rFonts w:ascii="宋体" w:hAnsi="宋体" w:eastAsia="宋体" w:cs="Times New Roman"/>
      <w:sz w:val="21"/>
      <w:lang w:val="en-US" w:eastAsia="zh-CN" w:bidi="ar-SA"/>
    </w:rPr>
  </w:style>
  <w:style w:type="paragraph" w:customStyle="1" w:styleId="103">
    <w:name w:val="标准文件_四级条标题"/>
    <w:next w:val="61"/>
    <w:qFormat/>
    <w:uiPriority w:val="0"/>
    <w:pPr>
      <w:widowControl w:val="0"/>
      <w:numPr>
        <w:ilvl w:val="5"/>
        <w:numId w:val="2"/>
      </w:numPr>
      <w:spacing w:beforeLines="50" w:afterLines="50"/>
      <w:jc w:val="both"/>
      <w:outlineLvl w:val="4"/>
    </w:pPr>
    <w:rPr>
      <w:rFonts w:ascii="黑体" w:hAnsi="Times New Roman" w:eastAsia="黑体" w:cs="Times New Roman"/>
      <w:sz w:val="21"/>
      <w:lang w:val="en-US" w:eastAsia="zh-CN" w:bidi="ar-SA"/>
    </w:rPr>
  </w:style>
  <w:style w:type="character" w:customStyle="1" w:styleId="104">
    <w:name w:val="脚注文本 字符"/>
    <w:link w:val="23"/>
    <w:semiHidden/>
    <w:qFormat/>
    <w:uiPriority w:val="0"/>
    <w:rPr>
      <w:rFonts w:ascii="宋体"/>
      <w:kern w:val="2"/>
      <w:sz w:val="18"/>
      <w:szCs w:val="18"/>
    </w:rPr>
  </w:style>
  <w:style w:type="paragraph" w:customStyle="1" w:styleId="105">
    <w:name w:val="标准文件_条文脚注"/>
    <w:basedOn w:val="23"/>
    <w:qFormat/>
    <w:uiPriority w:val="0"/>
    <w:pPr>
      <w:adjustRightInd w:val="0"/>
      <w:spacing w:line="240" w:lineRule="auto"/>
      <w:ind w:left="0" w:leftChars="0" w:firstLine="200" w:firstLineChars="200"/>
      <w:jc w:val="both"/>
    </w:pPr>
    <w:rPr>
      <w:rFonts w:hAnsi="宋体"/>
    </w:rPr>
  </w:style>
  <w:style w:type="paragraph" w:customStyle="1" w:styleId="106">
    <w:name w:val="标准文件_图表脚注"/>
    <w:basedOn w:val="1"/>
    <w:next w:val="61"/>
    <w:qFormat/>
    <w:uiPriority w:val="0"/>
    <w:pPr>
      <w:numPr>
        <w:ilvl w:val="0"/>
        <w:numId w:val="12"/>
      </w:numPr>
      <w:spacing w:line="240" w:lineRule="auto"/>
      <w:jc w:val="left"/>
    </w:pPr>
    <w:rPr>
      <w:rFonts w:ascii="宋体" w:hAnsi="宋体"/>
      <w:sz w:val="18"/>
    </w:rPr>
  </w:style>
  <w:style w:type="character" w:customStyle="1" w:styleId="107">
    <w:name w:val="标准文件_图表脚注内容"/>
    <w:qFormat/>
    <w:uiPriority w:val="0"/>
    <w:rPr>
      <w:rFonts w:ascii="宋体" w:hAnsi="宋体" w:eastAsia="宋体" w:cs="Times New Roman"/>
      <w:spacing w:val="0"/>
      <w:sz w:val="18"/>
      <w:vertAlign w:val="superscript"/>
    </w:rPr>
  </w:style>
  <w:style w:type="paragraph" w:customStyle="1" w:styleId="108">
    <w:name w:val="标准文件_五级条标题"/>
    <w:next w:val="61"/>
    <w:qFormat/>
    <w:uiPriority w:val="0"/>
    <w:pPr>
      <w:widowControl w:val="0"/>
      <w:numPr>
        <w:ilvl w:val="6"/>
        <w:numId w:val="2"/>
      </w:numPr>
      <w:spacing w:beforeLines="50" w:afterLines="50"/>
      <w:jc w:val="both"/>
      <w:outlineLvl w:val="5"/>
    </w:pPr>
    <w:rPr>
      <w:rFonts w:ascii="黑体" w:hAnsi="Times New Roman" w:eastAsia="黑体" w:cs="Times New Roman"/>
      <w:sz w:val="21"/>
      <w:lang w:val="en-US" w:eastAsia="zh-CN" w:bidi="ar-SA"/>
    </w:rPr>
  </w:style>
  <w:style w:type="paragraph" w:customStyle="1" w:styleId="109">
    <w:name w:val="标准文件_章标题"/>
    <w:next w:val="61"/>
    <w:qFormat/>
    <w:uiPriority w:val="0"/>
    <w:pPr>
      <w:numPr>
        <w:ilvl w:val="1"/>
        <w:numId w:val="2"/>
      </w:numPr>
      <w:spacing w:beforeLines="100" w:afterLines="100"/>
      <w:jc w:val="both"/>
      <w:outlineLvl w:val="0"/>
    </w:pPr>
    <w:rPr>
      <w:rFonts w:ascii="黑体" w:hAnsi="Times New Roman" w:eastAsia="黑体" w:cs="Times New Roman"/>
      <w:sz w:val="21"/>
      <w:lang w:val="en-US" w:eastAsia="zh-CN" w:bidi="ar-SA"/>
    </w:rPr>
  </w:style>
  <w:style w:type="paragraph" w:customStyle="1" w:styleId="110">
    <w:name w:val="标准文件_一级条标题"/>
    <w:basedOn w:val="109"/>
    <w:next w:val="61"/>
    <w:qFormat/>
    <w:uiPriority w:val="0"/>
    <w:pPr>
      <w:numPr>
        <w:ilvl w:val="2"/>
      </w:numPr>
      <w:spacing w:beforeLines="50" w:afterLines="50"/>
      <w:outlineLvl w:val="1"/>
    </w:pPr>
  </w:style>
  <w:style w:type="paragraph" w:customStyle="1" w:styleId="111">
    <w:name w:val="标准文件_一致程度"/>
    <w:basedOn w:val="1"/>
    <w:qFormat/>
    <w:uiPriority w:val="0"/>
    <w:pPr>
      <w:spacing w:line="440" w:lineRule="exact"/>
      <w:jc w:val="center"/>
    </w:pPr>
    <w:rPr>
      <w:sz w:val="28"/>
    </w:rPr>
  </w:style>
  <w:style w:type="paragraph" w:customStyle="1" w:styleId="112">
    <w:name w:val="标准文件_引言标题"/>
    <w:next w:val="1"/>
    <w:qFormat/>
    <w:uiPriority w:val="0"/>
    <w:p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13">
    <w:name w:val="标准文件_英文图表脚注"/>
    <w:basedOn w:val="60"/>
    <w:qFormat/>
    <w:uiPriority w:val="0"/>
    <w:pPr>
      <w:widowControl/>
      <w:adjustRightInd/>
      <w:snapToGrid/>
      <w:spacing w:line="240" w:lineRule="auto"/>
      <w:ind w:left="79" w:hanging="79" w:hangingChars="80"/>
    </w:pPr>
    <w:rPr>
      <w:rFonts w:ascii="宋体" w:hAnsi="宋体"/>
    </w:rPr>
  </w:style>
  <w:style w:type="paragraph" w:customStyle="1" w:styleId="114">
    <w:name w:val="标准文件_数字编号列项（二级）"/>
    <w:qFormat/>
    <w:uiPriority w:val="0"/>
    <w:pPr>
      <w:numPr>
        <w:ilvl w:val="1"/>
        <w:numId w:val="13"/>
      </w:numPr>
      <w:tabs>
        <w:tab w:val="left" w:pos="851"/>
      </w:tabs>
      <w:jc w:val="both"/>
    </w:pPr>
    <w:rPr>
      <w:rFonts w:ascii="宋体" w:hAnsi="Times New Roman" w:eastAsia="宋体" w:cs="Times New Roman"/>
      <w:sz w:val="21"/>
      <w:lang w:val="en-US" w:eastAsia="zh-CN" w:bidi="ar-SA"/>
    </w:rPr>
  </w:style>
  <w:style w:type="paragraph" w:customStyle="1" w:styleId="115">
    <w:name w:val="标准文件_英文注："/>
    <w:basedOn w:val="1"/>
    <w:next w:val="61"/>
    <w:qFormat/>
    <w:uiPriority w:val="0"/>
    <w:pPr>
      <w:numPr>
        <w:ilvl w:val="0"/>
        <w:numId w:val="14"/>
      </w:numPr>
      <w:tabs>
        <w:tab w:val="left" w:pos="420"/>
      </w:tabs>
      <w:autoSpaceDE w:val="0"/>
      <w:autoSpaceDN w:val="0"/>
      <w:spacing w:line="240" w:lineRule="auto"/>
    </w:pPr>
    <w:rPr>
      <w:rFonts w:ascii="宋体" w:hAnsi="宋体"/>
      <w:kern w:val="0"/>
      <w:sz w:val="18"/>
      <w:szCs w:val="20"/>
    </w:rPr>
  </w:style>
  <w:style w:type="paragraph" w:customStyle="1" w:styleId="116">
    <w:name w:val="标准文件_英文注×："/>
    <w:basedOn w:val="1"/>
    <w:qFormat/>
    <w:uiPriority w:val="0"/>
    <w:pPr>
      <w:numPr>
        <w:ilvl w:val="0"/>
        <w:numId w:val="15"/>
      </w:numPr>
      <w:tabs>
        <w:tab w:val="left" w:pos="210"/>
      </w:tabs>
      <w:autoSpaceDE w:val="0"/>
      <w:autoSpaceDN w:val="0"/>
      <w:spacing w:line="240" w:lineRule="auto"/>
    </w:pPr>
    <w:rPr>
      <w:rFonts w:ascii="宋体" w:hAnsi="宋体"/>
      <w:kern w:val="0"/>
      <w:szCs w:val="20"/>
    </w:rPr>
  </w:style>
  <w:style w:type="paragraph" w:customStyle="1" w:styleId="117">
    <w:name w:val="标准文件_正文表标题"/>
    <w:next w:val="61"/>
    <w:qFormat/>
    <w:uiPriority w:val="0"/>
    <w:pPr>
      <w:tabs>
        <w:tab w:val="left" w:pos="0"/>
      </w:tabs>
      <w:spacing w:beforeLines="50" w:afterLines="50"/>
      <w:jc w:val="center"/>
    </w:pPr>
    <w:rPr>
      <w:rFonts w:ascii="黑体" w:hAnsi="Times New Roman" w:eastAsia="黑体" w:cs="Times New Roman"/>
      <w:sz w:val="21"/>
      <w:lang w:val="en-US" w:eastAsia="zh-CN" w:bidi="ar-SA"/>
    </w:rPr>
  </w:style>
  <w:style w:type="paragraph" w:customStyle="1" w:styleId="118">
    <w:name w:val="标准文件_正文公式"/>
    <w:basedOn w:val="1"/>
    <w:next w:val="60"/>
    <w:qFormat/>
    <w:uiPriority w:val="0"/>
    <w:pPr>
      <w:tabs>
        <w:tab w:val="center" w:pos="4678"/>
        <w:tab w:val="right" w:leader="middleDot" w:pos="9356"/>
      </w:tabs>
      <w:spacing w:line="240" w:lineRule="auto"/>
    </w:pPr>
    <w:rPr>
      <w:rFonts w:ascii="宋体" w:hAnsi="宋体"/>
    </w:rPr>
  </w:style>
  <w:style w:type="paragraph" w:customStyle="1" w:styleId="119">
    <w:name w:val="标准文件_正文图标题"/>
    <w:next w:val="61"/>
    <w:qFormat/>
    <w:uiPriority w:val="0"/>
    <w:pPr>
      <w:spacing w:before="156" w:beforeLines="50" w:after="156" w:afterLines="50"/>
      <w:jc w:val="center"/>
    </w:pPr>
    <w:rPr>
      <w:rFonts w:ascii="黑体" w:hAnsi="Times New Roman" w:eastAsia="黑体" w:cs="Times New Roman"/>
      <w:sz w:val="21"/>
      <w:lang w:val="en-US" w:eastAsia="zh-CN" w:bidi="ar-SA"/>
    </w:rPr>
  </w:style>
  <w:style w:type="paragraph" w:customStyle="1" w:styleId="120">
    <w:name w:val="标准文件_正文英文表标题"/>
    <w:next w:val="61"/>
    <w:qFormat/>
    <w:uiPriority w:val="0"/>
    <w:pPr>
      <w:numPr>
        <w:ilvl w:val="0"/>
        <w:numId w:val="16"/>
      </w:numPr>
      <w:jc w:val="center"/>
    </w:pPr>
    <w:rPr>
      <w:rFonts w:ascii="黑体" w:hAnsi="Times New Roman" w:eastAsia="黑体" w:cs="Times New Roman"/>
      <w:sz w:val="21"/>
      <w:lang w:val="en-US" w:eastAsia="zh-CN" w:bidi="ar-SA"/>
    </w:rPr>
  </w:style>
  <w:style w:type="paragraph" w:customStyle="1" w:styleId="121">
    <w:name w:val="标准文件_正文英文图标题"/>
    <w:next w:val="61"/>
    <w:qFormat/>
    <w:uiPriority w:val="0"/>
    <w:pPr>
      <w:numPr>
        <w:ilvl w:val="0"/>
        <w:numId w:val="17"/>
      </w:numPr>
      <w:jc w:val="center"/>
    </w:pPr>
    <w:rPr>
      <w:rFonts w:ascii="黑体" w:hAnsi="Times New Roman" w:eastAsia="黑体" w:cs="Times New Roman"/>
      <w:sz w:val="21"/>
      <w:lang w:val="en-US" w:eastAsia="zh-CN" w:bidi="ar-SA"/>
    </w:rPr>
  </w:style>
  <w:style w:type="paragraph" w:customStyle="1" w:styleId="122">
    <w:name w:val="标准文件_编号列项（三级）"/>
    <w:qFormat/>
    <w:uiPriority w:val="0"/>
    <w:pPr>
      <w:numPr>
        <w:ilvl w:val="2"/>
        <w:numId w:val="13"/>
      </w:numPr>
      <w:tabs>
        <w:tab w:val="left" w:pos="851"/>
      </w:tabs>
    </w:pPr>
    <w:rPr>
      <w:rFonts w:ascii="宋体" w:hAnsi="Times New Roman" w:eastAsia="宋体" w:cs="Times New Roman"/>
      <w:sz w:val="21"/>
      <w:lang w:val="en-US" w:eastAsia="zh-CN" w:bidi="ar-SA"/>
    </w:rPr>
  </w:style>
  <w:style w:type="paragraph" w:customStyle="1" w:styleId="123">
    <w:name w:val="二级无标题条"/>
    <w:basedOn w:val="1"/>
    <w:qFormat/>
    <w:uiPriority w:val="0"/>
    <w:pPr>
      <w:numPr>
        <w:ilvl w:val="3"/>
        <w:numId w:val="18"/>
      </w:numPr>
      <w:adjustRightInd/>
      <w:spacing w:line="240" w:lineRule="auto"/>
    </w:pPr>
    <w:rPr>
      <w:rFonts w:ascii="宋体" w:hAnsi="宋体"/>
      <w:szCs w:val="24"/>
    </w:rPr>
  </w:style>
  <w:style w:type="paragraph" w:customStyle="1" w:styleId="124">
    <w:name w:val="发布部门"/>
    <w:next w:val="61"/>
    <w:qFormat/>
    <w:uiPriority w:val="0"/>
    <w:pPr>
      <w:framePr w:w="7433" w:h="585" w:hRule="exact" w:hSpace="180" w:vSpace="180" w:wrap="around" w:vAnchor="margin" w:hAnchor="margin" w:xAlign="center" w:y="14401" w:anchorLock="1"/>
      <w:jc w:val="center"/>
    </w:pPr>
    <w:rPr>
      <w:rFonts w:ascii="宋体" w:hAnsi="Times New Roman" w:eastAsia="宋体" w:cs="Times New Roman"/>
      <w:b/>
      <w:w w:val="135"/>
      <w:sz w:val="36"/>
      <w:lang w:val="en-US" w:eastAsia="zh-CN" w:bidi="ar-SA"/>
    </w:rPr>
  </w:style>
  <w:style w:type="paragraph" w:customStyle="1" w:styleId="125">
    <w:name w:val="发布日期"/>
    <w:qFormat/>
    <w:uiPriority w:val="0"/>
    <w:pPr>
      <w:framePr w:w="4000" w:h="473" w:hRule="exact" w:hSpace="180" w:vSpace="180" w:wrap="around" w:vAnchor="margin" w:hAnchor="margin" w:y="13511" w:anchorLock="1"/>
    </w:pPr>
    <w:rPr>
      <w:rFonts w:ascii="Times New Roman" w:hAnsi="Times New Roman" w:eastAsia="黑体" w:cs="Times New Roman"/>
      <w:sz w:val="28"/>
      <w:lang w:val="en-US" w:eastAsia="zh-CN" w:bidi="ar-SA"/>
    </w:rPr>
  </w:style>
  <w:style w:type="paragraph" w:customStyle="1" w:styleId="126">
    <w:name w:val="封面标准代替信息"/>
    <w:basedOn w:val="1"/>
    <w:qFormat/>
    <w:uiPriority w:val="0"/>
    <w:pPr>
      <w:framePr w:w="9138" w:h="1244" w:hRule="exact" w:wrap="around" w:vAnchor="page" w:hAnchor="margin" w:y="2908"/>
      <w:kinsoku w:val="0"/>
      <w:overflowPunct w:val="0"/>
      <w:autoSpaceDE w:val="0"/>
      <w:autoSpaceDN w:val="0"/>
      <w:spacing w:before="57" w:line="280" w:lineRule="exact"/>
      <w:jc w:val="right"/>
      <w:textAlignment w:val="center"/>
    </w:pPr>
    <w:rPr>
      <w:rFonts w:ascii="宋体" w:hAnsi="Times New Roman"/>
      <w:kern w:val="0"/>
      <w:szCs w:val="20"/>
    </w:rPr>
  </w:style>
  <w:style w:type="paragraph" w:customStyle="1" w:styleId="127">
    <w:name w:val="封面标准名称"/>
    <w:qFormat/>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sz w:val="52"/>
      <w:lang w:val="en-US" w:eastAsia="zh-CN" w:bidi="ar-SA"/>
    </w:rPr>
  </w:style>
  <w:style w:type="paragraph" w:customStyle="1" w:styleId="128">
    <w:name w:val="封面标准文稿编辑信息"/>
    <w:qFormat/>
    <w:uiPriority w:val="0"/>
    <w:pPr>
      <w:spacing w:before="180" w:line="180" w:lineRule="exact"/>
      <w:jc w:val="center"/>
    </w:pPr>
    <w:rPr>
      <w:rFonts w:ascii="宋体" w:hAnsi="Times New Roman" w:eastAsia="宋体" w:cs="Times New Roman"/>
      <w:sz w:val="21"/>
      <w:lang w:val="en-US" w:eastAsia="zh-CN" w:bidi="ar-SA"/>
    </w:rPr>
  </w:style>
  <w:style w:type="paragraph" w:customStyle="1" w:styleId="129">
    <w:name w:val="封面标准文稿类别"/>
    <w:qFormat/>
    <w:uiPriority w:val="0"/>
    <w:pPr>
      <w:spacing w:before="440" w:line="400" w:lineRule="exact"/>
      <w:jc w:val="center"/>
    </w:pPr>
    <w:rPr>
      <w:rFonts w:ascii="宋体" w:hAnsi="Times New Roman" w:eastAsia="宋体" w:cs="Times New Roman"/>
      <w:sz w:val="24"/>
      <w:lang w:val="en-US" w:eastAsia="zh-CN" w:bidi="ar-SA"/>
    </w:rPr>
  </w:style>
  <w:style w:type="paragraph" w:customStyle="1" w:styleId="130">
    <w:name w:val="封面标准英文名称"/>
    <w:qFormat/>
    <w:uiPriority w:val="0"/>
    <w:pPr>
      <w:widowControl w:val="0"/>
      <w:spacing w:line="360" w:lineRule="exact"/>
      <w:jc w:val="center"/>
    </w:pPr>
    <w:rPr>
      <w:rFonts w:ascii="Times New Roman" w:hAnsi="Times New Roman" w:eastAsia="宋体" w:cs="Times New Roman"/>
      <w:sz w:val="28"/>
      <w:lang w:val="en-US" w:eastAsia="zh-CN" w:bidi="ar-SA"/>
    </w:rPr>
  </w:style>
  <w:style w:type="paragraph" w:customStyle="1" w:styleId="131">
    <w:name w:val="封面一致性程度标识"/>
    <w:qFormat/>
    <w:uiPriority w:val="0"/>
    <w:pPr>
      <w:spacing w:before="440" w:line="440" w:lineRule="exact"/>
      <w:jc w:val="center"/>
    </w:pPr>
    <w:rPr>
      <w:rFonts w:ascii="Times New Roman" w:hAnsi="Times New Roman" w:eastAsia="宋体" w:cs="Times New Roman"/>
      <w:sz w:val="28"/>
      <w:lang w:val="en-US" w:eastAsia="zh-CN" w:bidi="ar-SA"/>
    </w:rPr>
  </w:style>
  <w:style w:type="paragraph" w:customStyle="1" w:styleId="132">
    <w:name w:val="封面正文"/>
    <w:qFormat/>
    <w:uiPriority w:val="0"/>
    <w:pPr>
      <w:jc w:val="both"/>
    </w:pPr>
    <w:rPr>
      <w:rFonts w:ascii="Times New Roman" w:hAnsi="Times New Roman" w:eastAsia="宋体" w:cs="Times New Roman"/>
      <w:lang w:val="en-US" w:eastAsia="zh-CN" w:bidi="ar-SA"/>
    </w:rPr>
  </w:style>
  <w:style w:type="paragraph" w:customStyle="1" w:styleId="133">
    <w:name w:val="附录二级无标题条"/>
    <w:basedOn w:val="1"/>
    <w:next w:val="61"/>
    <w:qFormat/>
    <w:uiPriority w:val="0"/>
    <w:pPr>
      <w:widowControl/>
      <w:wordWrap w:val="0"/>
      <w:overflowPunct w:val="0"/>
      <w:autoSpaceDE w:val="0"/>
      <w:autoSpaceDN w:val="0"/>
      <w:adjustRightInd/>
      <w:spacing w:line="240" w:lineRule="auto"/>
      <w:textAlignment w:val="baseline"/>
      <w:outlineLvl w:val="3"/>
    </w:pPr>
    <w:rPr>
      <w:rFonts w:ascii="宋体" w:hAnsi="宋体"/>
      <w:kern w:val="21"/>
    </w:rPr>
  </w:style>
  <w:style w:type="paragraph" w:customStyle="1" w:styleId="134">
    <w:name w:val="附录三级无标题条"/>
    <w:basedOn w:val="133"/>
    <w:next w:val="61"/>
    <w:qFormat/>
    <w:uiPriority w:val="0"/>
    <w:pPr>
      <w:outlineLvl w:val="4"/>
    </w:pPr>
  </w:style>
  <w:style w:type="paragraph" w:customStyle="1" w:styleId="135">
    <w:name w:val="附录四级无标题条"/>
    <w:basedOn w:val="134"/>
    <w:next w:val="61"/>
    <w:qFormat/>
    <w:uiPriority w:val="0"/>
    <w:pPr>
      <w:outlineLvl w:val="5"/>
    </w:pPr>
  </w:style>
  <w:style w:type="paragraph" w:customStyle="1" w:styleId="136">
    <w:name w:val="附录图"/>
    <w:next w:val="61"/>
    <w:qFormat/>
    <w:uiPriority w:val="0"/>
    <w:pPr>
      <w:wordWrap w:val="0"/>
      <w:overflowPunct w:val="0"/>
      <w:autoSpaceDE w:val="0"/>
      <w:spacing w:beforeLines="50" w:afterLines="50"/>
      <w:jc w:val="center"/>
      <w:textAlignment w:val="baseline"/>
      <w:outlineLvl w:val="1"/>
    </w:pPr>
    <w:rPr>
      <w:rFonts w:ascii="黑体" w:hAnsi="Times New Roman" w:eastAsia="黑体" w:cs="Times New Roman"/>
      <w:kern w:val="21"/>
      <w:sz w:val="21"/>
      <w:lang w:val="en-US" w:eastAsia="zh-CN" w:bidi="ar-SA"/>
    </w:rPr>
  </w:style>
  <w:style w:type="paragraph" w:customStyle="1" w:styleId="137">
    <w:name w:val="标准文件_一级项"/>
    <w:qFormat/>
    <w:uiPriority w:val="0"/>
    <w:pPr>
      <w:numPr>
        <w:ilvl w:val="0"/>
        <w:numId w:val="19"/>
      </w:numPr>
    </w:pPr>
    <w:rPr>
      <w:rFonts w:ascii="宋体" w:hAnsi="Times New Roman" w:eastAsia="宋体" w:cs="Times New Roman"/>
      <w:sz w:val="21"/>
      <w:lang w:val="en-US" w:eastAsia="zh-CN" w:bidi="ar-SA"/>
    </w:rPr>
  </w:style>
  <w:style w:type="paragraph" w:customStyle="1" w:styleId="138">
    <w:name w:val="附录五级无标题条"/>
    <w:basedOn w:val="135"/>
    <w:next w:val="61"/>
    <w:qFormat/>
    <w:uiPriority w:val="0"/>
    <w:pPr>
      <w:outlineLvl w:val="6"/>
    </w:pPr>
  </w:style>
  <w:style w:type="paragraph" w:customStyle="1" w:styleId="139">
    <w:name w:val="附录性质"/>
    <w:basedOn w:val="1"/>
    <w:qFormat/>
    <w:uiPriority w:val="0"/>
    <w:pPr>
      <w:widowControl/>
      <w:adjustRightInd/>
      <w:jc w:val="center"/>
    </w:pPr>
    <w:rPr>
      <w:rFonts w:ascii="黑体" w:eastAsia="黑体"/>
    </w:rPr>
  </w:style>
  <w:style w:type="paragraph" w:customStyle="1" w:styleId="140">
    <w:name w:val="附录一级无标题条"/>
    <w:basedOn w:val="92"/>
    <w:next w:val="61"/>
    <w:qFormat/>
    <w:uiPriority w:val="0"/>
    <w:pPr>
      <w:autoSpaceDN w:val="0"/>
      <w:outlineLvl w:val="2"/>
    </w:pPr>
    <w:rPr>
      <w:rFonts w:ascii="宋体" w:hAnsi="宋体" w:eastAsia="宋体"/>
    </w:rPr>
  </w:style>
  <w:style w:type="character" w:customStyle="1" w:styleId="141">
    <w:name w:val="个人答复风格"/>
    <w:qFormat/>
    <w:uiPriority w:val="0"/>
    <w:rPr>
      <w:rFonts w:ascii="Arial" w:hAnsi="Arial" w:eastAsia="宋体" w:cs="Arial"/>
      <w:color w:val="auto"/>
      <w:spacing w:val="0"/>
      <w:sz w:val="20"/>
    </w:rPr>
  </w:style>
  <w:style w:type="character" w:customStyle="1" w:styleId="142">
    <w:name w:val="个人撰写风格"/>
    <w:qFormat/>
    <w:uiPriority w:val="0"/>
    <w:rPr>
      <w:rFonts w:ascii="Arial" w:hAnsi="Arial" w:eastAsia="宋体" w:cs="Arial"/>
      <w:color w:val="auto"/>
      <w:spacing w:val="0"/>
      <w:sz w:val="20"/>
    </w:rPr>
  </w:style>
  <w:style w:type="paragraph" w:customStyle="1" w:styleId="143">
    <w:name w:val="脚注后续"/>
    <w:qFormat/>
    <w:uiPriority w:val="0"/>
    <w:pPr>
      <w:ind w:left="350" w:leftChars="350"/>
      <w:jc w:val="both"/>
    </w:pPr>
    <w:rPr>
      <w:rFonts w:ascii="宋体" w:hAnsi="Times New Roman" w:eastAsia="宋体" w:cs="Times New Roman"/>
      <w:sz w:val="18"/>
      <w:lang w:val="en-US" w:eastAsia="zh-CN" w:bidi="ar-SA"/>
    </w:rPr>
  </w:style>
  <w:style w:type="paragraph" w:customStyle="1" w:styleId="144">
    <w:name w:val="列项——"/>
    <w:qFormat/>
    <w:uiPriority w:val="0"/>
    <w:pPr>
      <w:widowControl w:val="0"/>
      <w:numPr>
        <w:ilvl w:val="0"/>
        <w:numId w:val="20"/>
      </w:numPr>
      <w:jc w:val="both"/>
    </w:pPr>
    <w:rPr>
      <w:rFonts w:ascii="宋体" w:hAnsi="宋体" w:eastAsia="宋体" w:cs="Times New Roman"/>
      <w:sz w:val="21"/>
      <w:lang w:val="en-US" w:eastAsia="zh-CN" w:bidi="ar-SA"/>
    </w:rPr>
  </w:style>
  <w:style w:type="paragraph" w:customStyle="1" w:styleId="145">
    <w:name w:val="列项·"/>
    <w:basedOn w:val="61"/>
    <w:qFormat/>
    <w:uiPriority w:val="0"/>
    <w:pPr>
      <w:tabs>
        <w:tab w:val="left" w:pos="840"/>
      </w:tabs>
    </w:pPr>
  </w:style>
  <w:style w:type="paragraph" w:customStyle="1" w:styleId="146">
    <w:name w:val="目次、索引正文"/>
    <w:qFormat/>
    <w:uiPriority w:val="0"/>
    <w:pPr>
      <w:spacing w:line="320" w:lineRule="exact"/>
      <w:jc w:val="both"/>
    </w:pPr>
    <w:rPr>
      <w:rFonts w:ascii="宋体" w:hAnsi="Times New Roman" w:eastAsia="宋体" w:cs="Times New Roman"/>
      <w:sz w:val="21"/>
      <w:lang w:val="en-US" w:eastAsia="zh-CN" w:bidi="ar-SA"/>
    </w:rPr>
  </w:style>
  <w:style w:type="paragraph" w:customStyle="1" w:styleId="147">
    <w:name w:val="目录 21"/>
    <w:basedOn w:val="1"/>
    <w:next w:val="1"/>
    <w:semiHidden/>
    <w:qFormat/>
    <w:uiPriority w:val="0"/>
    <w:pPr>
      <w:adjustRightInd/>
      <w:spacing w:line="240" w:lineRule="auto"/>
      <w:jc w:val="left"/>
    </w:pPr>
    <w:rPr>
      <w:bCs/>
      <w:iCs/>
    </w:rPr>
  </w:style>
  <w:style w:type="paragraph" w:customStyle="1" w:styleId="148">
    <w:name w:val="目录 31"/>
    <w:basedOn w:val="1"/>
    <w:next w:val="1"/>
    <w:semiHidden/>
    <w:qFormat/>
    <w:uiPriority w:val="0"/>
    <w:pPr>
      <w:spacing w:line="240" w:lineRule="auto"/>
    </w:pPr>
    <w:rPr>
      <w:rFonts w:ascii="宋体" w:hAnsi="宋体"/>
      <w:iCs/>
    </w:rPr>
  </w:style>
  <w:style w:type="paragraph" w:customStyle="1" w:styleId="149">
    <w:name w:val="目录 41"/>
    <w:basedOn w:val="1"/>
    <w:next w:val="1"/>
    <w:semiHidden/>
    <w:qFormat/>
    <w:uiPriority w:val="0"/>
    <w:pPr>
      <w:adjustRightInd/>
      <w:spacing w:line="240" w:lineRule="auto"/>
      <w:jc w:val="left"/>
    </w:pPr>
  </w:style>
  <w:style w:type="paragraph" w:customStyle="1" w:styleId="150">
    <w:name w:val="目录 51"/>
    <w:basedOn w:val="1"/>
    <w:next w:val="1"/>
    <w:semiHidden/>
    <w:qFormat/>
    <w:uiPriority w:val="0"/>
    <w:pPr>
      <w:spacing w:line="240" w:lineRule="auto"/>
    </w:pPr>
    <w:rPr>
      <w:rFonts w:ascii="宋体" w:hAnsi="宋体"/>
    </w:rPr>
  </w:style>
  <w:style w:type="paragraph" w:customStyle="1" w:styleId="151">
    <w:name w:val="目录 61"/>
    <w:basedOn w:val="1"/>
    <w:next w:val="1"/>
    <w:semiHidden/>
    <w:qFormat/>
    <w:uiPriority w:val="0"/>
    <w:pPr>
      <w:adjustRightInd/>
      <w:spacing w:line="240" w:lineRule="auto"/>
      <w:jc w:val="left"/>
    </w:pPr>
  </w:style>
  <w:style w:type="paragraph" w:customStyle="1" w:styleId="152">
    <w:name w:val="目录 71"/>
    <w:basedOn w:val="151"/>
    <w:semiHidden/>
    <w:qFormat/>
    <w:uiPriority w:val="0"/>
    <w:pPr>
      <w:ind w:left="1260"/>
    </w:pPr>
  </w:style>
  <w:style w:type="paragraph" w:customStyle="1" w:styleId="153">
    <w:name w:val="目录 81"/>
    <w:basedOn w:val="152"/>
    <w:semiHidden/>
    <w:qFormat/>
    <w:uiPriority w:val="0"/>
    <w:pPr>
      <w:ind w:left="1470"/>
    </w:pPr>
  </w:style>
  <w:style w:type="paragraph" w:customStyle="1" w:styleId="154">
    <w:name w:val="目录 91"/>
    <w:basedOn w:val="153"/>
    <w:semiHidden/>
    <w:qFormat/>
    <w:uiPriority w:val="0"/>
    <w:pPr>
      <w:ind w:left="1680"/>
    </w:pPr>
  </w:style>
  <w:style w:type="paragraph" w:customStyle="1" w:styleId="155">
    <w:name w:val="其他标准称谓"/>
    <w:qFormat/>
    <w:uiPriority w:val="0"/>
    <w:pPr>
      <w:spacing w:line="0" w:lineRule="atLeast"/>
      <w:jc w:val="distribute"/>
    </w:pPr>
    <w:rPr>
      <w:rFonts w:ascii="黑体" w:hAnsi="宋体" w:eastAsia="黑体" w:cs="Times New Roman"/>
      <w:sz w:val="52"/>
      <w:lang w:val="en-US" w:eastAsia="zh-CN" w:bidi="ar-SA"/>
    </w:rPr>
  </w:style>
  <w:style w:type="paragraph" w:customStyle="1" w:styleId="156">
    <w:name w:val="其他发布部门"/>
    <w:basedOn w:val="124"/>
    <w:qFormat/>
    <w:uiPriority w:val="0"/>
    <w:pPr>
      <w:framePr w:wrap="around"/>
      <w:spacing w:line="0" w:lineRule="atLeast"/>
    </w:pPr>
    <w:rPr>
      <w:rFonts w:ascii="黑体" w:eastAsia="黑体"/>
      <w:b w:val="0"/>
    </w:rPr>
  </w:style>
  <w:style w:type="paragraph" w:customStyle="1" w:styleId="157">
    <w:name w:val="前言标题"/>
    <w:next w:val="1"/>
    <w:qFormat/>
    <w:uiPriority w:val="0"/>
    <w:pPr>
      <w:numPr>
        <w:ilvl w:val="0"/>
        <w:numId w:val="2"/>
      </w:numPr>
      <w:shd w:val="clear" w:color="FFFFFF" w:fill="FFFFFF"/>
      <w:spacing w:before="540" w:after="600"/>
      <w:jc w:val="center"/>
      <w:outlineLvl w:val="0"/>
    </w:pPr>
    <w:rPr>
      <w:rFonts w:ascii="黑体" w:hAnsi="Times New Roman" w:eastAsia="黑体" w:cs="Times New Roman"/>
      <w:sz w:val="32"/>
      <w:lang w:val="en-US" w:eastAsia="zh-CN" w:bidi="ar-SA"/>
    </w:rPr>
  </w:style>
  <w:style w:type="paragraph" w:customStyle="1" w:styleId="158">
    <w:name w:val="三级无标题条"/>
    <w:basedOn w:val="1"/>
    <w:qFormat/>
    <w:uiPriority w:val="0"/>
    <w:pPr>
      <w:numPr>
        <w:ilvl w:val="4"/>
        <w:numId w:val="18"/>
      </w:numPr>
      <w:adjustRightInd/>
      <w:spacing w:line="240" w:lineRule="auto"/>
    </w:pPr>
    <w:rPr>
      <w:rFonts w:ascii="宋体" w:hAnsi="宋体"/>
      <w:szCs w:val="24"/>
    </w:rPr>
  </w:style>
  <w:style w:type="paragraph" w:customStyle="1" w:styleId="159">
    <w:name w:val="实施日期"/>
    <w:basedOn w:val="125"/>
    <w:qFormat/>
    <w:uiPriority w:val="0"/>
    <w:pPr>
      <w:framePr w:hSpace="0" w:wrap="around" w:xAlign="right"/>
      <w:jc w:val="right"/>
    </w:pPr>
  </w:style>
  <w:style w:type="paragraph" w:customStyle="1" w:styleId="160">
    <w:name w:val="四级无标题条"/>
    <w:basedOn w:val="1"/>
    <w:qFormat/>
    <w:uiPriority w:val="0"/>
    <w:pPr>
      <w:numPr>
        <w:ilvl w:val="5"/>
        <w:numId w:val="18"/>
      </w:numPr>
      <w:adjustRightInd/>
      <w:spacing w:line="240" w:lineRule="auto"/>
    </w:pPr>
    <w:rPr>
      <w:rFonts w:ascii="宋体" w:hAnsi="宋体"/>
      <w:szCs w:val="24"/>
    </w:rPr>
  </w:style>
  <w:style w:type="paragraph" w:customStyle="1" w:styleId="161">
    <w:name w:val="文献分类号"/>
    <w:qFormat/>
    <w:uiPriority w:val="0"/>
    <w:pPr>
      <w:framePr w:hSpace="180" w:vSpace="180" w:wrap="around" w:vAnchor="margin" w:hAnchor="margin" w:y="1" w:anchorLock="1"/>
      <w:widowControl w:val="0"/>
      <w:textAlignment w:val="center"/>
    </w:pPr>
    <w:rPr>
      <w:rFonts w:ascii="Times New Roman" w:hAnsi="Times New Roman" w:eastAsia="黑体" w:cs="Times New Roman"/>
      <w:sz w:val="21"/>
      <w:lang w:val="en-US" w:eastAsia="zh-CN" w:bidi="ar-SA"/>
    </w:rPr>
  </w:style>
  <w:style w:type="paragraph" w:customStyle="1" w:styleId="162">
    <w:name w:val="无标题条"/>
    <w:next w:val="61"/>
    <w:qFormat/>
    <w:uiPriority w:val="0"/>
    <w:pPr>
      <w:jc w:val="both"/>
    </w:pPr>
    <w:rPr>
      <w:rFonts w:ascii="宋体" w:hAnsi="宋体" w:eastAsia="宋体" w:cs="Times New Roman"/>
      <w:sz w:val="21"/>
      <w:lang w:val="en-US" w:eastAsia="zh-CN" w:bidi="ar-SA"/>
    </w:rPr>
  </w:style>
  <w:style w:type="paragraph" w:customStyle="1" w:styleId="163">
    <w:name w:val="五级无标题条"/>
    <w:basedOn w:val="1"/>
    <w:qFormat/>
    <w:uiPriority w:val="0"/>
    <w:pPr>
      <w:numPr>
        <w:ilvl w:val="6"/>
        <w:numId w:val="18"/>
      </w:numPr>
      <w:adjustRightInd/>
    </w:pPr>
    <w:rPr>
      <w:szCs w:val="24"/>
    </w:rPr>
  </w:style>
  <w:style w:type="paragraph" w:customStyle="1" w:styleId="164">
    <w:name w:val="一级无标题条"/>
    <w:basedOn w:val="1"/>
    <w:qFormat/>
    <w:uiPriority w:val="0"/>
    <w:pPr>
      <w:numPr>
        <w:ilvl w:val="2"/>
        <w:numId w:val="18"/>
      </w:numPr>
      <w:adjustRightInd/>
      <w:spacing w:before="10" w:after="10" w:line="240" w:lineRule="auto"/>
    </w:pPr>
    <w:rPr>
      <w:rFonts w:ascii="宋体" w:hAnsi="宋体"/>
      <w:szCs w:val="24"/>
    </w:rPr>
  </w:style>
  <w:style w:type="paragraph" w:customStyle="1" w:styleId="165">
    <w:name w:val="注:后续"/>
    <w:qFormat/>
    <w:uiPriority w:val="0"/>
    <w:pPr>
      <w:spacing w:line="300" w:lineRule="exact"/>
      <w:ind w:left="600" w:leftChars="400" w:hanging="200" w:hangingChars="200"/>
      <w:jc w:val="both"/>
    </w:pPr>
    <w:rPr>
      <w:rFonts w:ascii="宋体" w:hAnsi="Times New Roman" w:eastAsia="宋体" w:cs="Times New Roman"/>
      <w:sz w:val="18"/>
      <w:lang w:val="en-US" w:eastAsia="zh-CN" w:bidi="ar-SA"/>
    </w:rPr>
  </w:style>
  <w:style w:type="paragraph" w:customStyle="1" w:styleId="166">
    <w:name w:val="注×:后续"/>
    <w:basedOn w:val="165"/>
    <w:qFormat/>
    <w:uiPriority w:val="0"/>
    <w:pPr>
      <w:ind w:left="1406" w:leftChars="0" w:hanging="499" w:firstLineChars="0"/>
    </w:pPr>
  </w:style>
  <w:style w:type="paragraph" w:customStyle="1" w:styleId="167">
    <w:name w:val="标准文件_一级无标题"/>
    <w:basedOn w:val="110"/>
    <w:qFormat/>
    <w:uiPriority w:val="0"/>
    <w:pPr>
      <w:spacing w:beforeLines="0" w:afterLines="0"/>
      <w:outlineLvl w:val="9"/>
    </w:pPr>
    <w:rPr>
      <w:rFonts w:ascii="宋体" w:eastAsia="宋体"/>
    </w:rPr>
  </w:style>
  <w:style w:type="paragraph" w:customStyle="1" w:styleId="168">
    <w:name w:val="标准文件_五级无标题"/>
    <w:basedOn w:val="108"/>
    <w:qFormat/>
    <w:uiPriority w:val="0"/>
    <w:pPr>
      <w:spacing w:beforeLines="0" w:afterLines="0"/>
      <w:outlineLvl w:val="9"/>
    </w:pPr>
    <w:rPr>
      <w:rFonts w:ascii="宋体" w:eastAsia="宋体"/>
    </w:rPr>
  </w:style>
  <w:style w:type="paragraph" w:customStyle="1" w:styleId="169">
    <w:name w:val="标准文件_三级无标题"/>
    <w:basedOn w:val="99"/>
    <w:qFormat/>
    <w:uiPriority w:val="0"/>
    <w:pPr>
      <w:spacing w:beforeLines="0" w:afterLines="0"/>
      <w:outlineLvl w:val="9"/>
    </w:pPr>
    <w:rPr>
      <w:rFonts w:ascii="宋体" w:eastAsia="宋体"/>
    </w:rPr>
  </w:style>
  <w:style w:type="paragraph" w:customStyle="1" w:styleId="170">
    <w:name w:val="标准文件_二级无标题"/>
    <w:basedOn w:val="70"/>
    <w:qFormat/>
    <w:uiPriority w:val="0"/>
    <w:pPr>
      <w:spacing w:beforeLines="0" w:afterLines="0"/>
      <w:outlineLvl w:val="9"/>
    </w:pPr>
    <w:rPr>
      <w:rFonts w:ascii="宋体" w:eastAsia="宋体"/>
    </w:rPr>
  </w:style>
  <w:style w:type="paragraph" w:customStyle="1" w:styleId="171">
    <w:name w:val="标准_四级无标题"/>
    <w:basedOn w:val="103"/>
    <w:next w:val="61"/>
    <w:qFormat/>
    <w:uiPriority w:val="0"/>
    <w:rPr>
      <w:rFonts w:eastAsia="宋体"/>
    </w:rPr>
  </w:style>
  <w:style w:type="paragraph" w:customStyle="1" w:styleId="172">
    <w:name w:val="标准文件_四级无标题"/>
    <w:basedOn w:val="103"/>
    <w:qFormat/>
    <w:uiPriority w:val="0"/>
    <w:pPr>
      <w:spacing w:beforeLines="0" w:afterLines="0"/>
      <w:outlineLvl w:val="9"/>
    </w:pPr>
    <w:rPr>
      <w:rFonts w:ascii="宋体" w:hAnsi="黑体" w:eastAsia="宋体"/>
      <w:szCs w:val="52"/>
    </w:rPr>
  </w:style>
  <w:style w:type="paragraph" w:customStyle="1" w:styleId="173">
    <w:name w:val="标准文件_大写罗马数字编号列项"/>
    <w:basedOn w:val="61"/>
    <w:qFormat/>
    <w:uiPriority w:val="0"/>
    <w:pPr>
      <w:numPr>
        <w:ilvl w:val="0"/>
        <w:numId w:val="21"/>
      </w:numPr>
      <w:ind w:firstLine="0" w:firstLineChars="0"/>
    </w:pPr>
    <w:rPr>
      <w:rFonts w:ascii="Times New Roman" w:cs="Arial"/>
      <w:szCs w:val="28"/>
    </w:rPr>
  </w:style>
  <w:style w:type="paragraph" w:customStyle="1" w:styleId="174">
    <w:name w:val="标准文件_小写罗马数字编号列项"/>
    <w:basedOn w:val="61"/>
    <w:qFormat/>
    <w:uiPriority w:val="0"/>
    <w:pPr>
      <w:numPr>
        <w:ilvl w:val="0"/>
        <w:numId w:val="22"/>
      </w:numPr>
      <w:ind w:firstLine="0" w:firstLineChars="0"/>
    </w:pPr>
    <w:rPr>
      <w:rFonts w:cs="Arial"/>
      <w:szCs w:val="28"/>
    </w:rPr>
  </w:style>
  <w:style w:type="paragraph" w:customStyle="1" w:styleId="175">
    <w:name w:val="标准文件_附录标题"/>
    <w:basedOn w:val="81"/>
    <w:qFormat/>
    <w:uiPriority w:val="0"/>
    <w:pPr>
      <w:numPr>
        <w:numId w:val="0"/>
      </w:numPr>
      <w:spacing w:after="280"/>
      <w:outlineLvl w:val="9"/>
    </w:pPr>
  </w:style>
  <w:style w:type="paragraph" w:customStyle="1" w:styleId="176">
    <w:name w:val="标准文件_二级项"/>
    <w:qFormat/>
    <w:uiPriority w:val="0"/>
    <w:rPr>
      <w:rFonts w:ascii="宋体" w:hAnsi="Times New Roman" w:eastAsia="宋体" w:cs="Times New Roman"/>
      <w:sz w:val="21"/>
      <w:lang w:val="en-US" w:eastAsia="zh-CN" w:bidi="ar-SA"/>
    </w:rPr>
  </w:style>
  <w:style w:type="paragraph" w:customStyle="1" w:styleId="177">
    <w:name w:val="标准文件_三级项"/>
    <w:basedOn w:val="1"/>
    <w:qFormat/>
    <w:uiPriority w:val="0"/>
    <w:pPr>
      <w:numPr>
        <w:ilvl w:val="2"/>
        <w:numId w:val="19"/>
      </w:numPr>
      <w:spacing w:line="536870612" w:lineRule="auto"/>
    </w:pPr>
    <w:rPr>
      <w:rFonts w:ascii="Times New Roman" w:hAnsi="Times New Roman"/>
    </w:rPr>
  </w:style>
  <w:style w:type="paragraph" w:customStyle="1" w:styleId="178">
    <w:name w:val="图表脚注说明"/>
    <w:basedOn w:val="1"/>
    <w:next w:val="61"/>
    <w:qFormat/>
    <w:uiPriority w:val="0"/>
    <w:pPr>
      <w:numPr>
        <w:ilvl w:val="0"/>
        <w:numId w:val="23"/>
      </w:numPr>
      <w:adjustRightInd/>
      <w:spacing w:line="240" w:lineRule="auto"/>
    </w:pPr>
    <w:rPr>
      <w:rFonts w:ascii="宋体" w:hAnsi="Times New Roman"/>
      <w:sz w:val="18"/>
      <w:szCs w:val="18"/>
    </w:rPr>
  </w:style>
  <w:style w:type="paragraph" w:customStyle="1" w:styleId="179">
    <w:name w:val="标准文件_字母编号列项（一级）"/>
    <w:qFormat/>
    <w:uiPriority w:val="0"/>
    <w:pPr>
      <w:numPr>
        <w:ilvl w:val="0"/>
        <w:numId w:val="13"/>
      </w:numPr>
      <w:jc w:val="both"/>
    </w:pPr>
    <w:rPr>
      <w:rFonts w:ascii="宋体" w:hAnsi="Times New Roman" w:eastAsia="宋体" w:cs="Times New Roman"/>
      <w:sz w:val="21"/>
      <w:lang w:val="en-US" w:eastAsia="zh-CN" w:bidi="ar-SA"/>
    </w:rPr>
  </w:style>
  <w:style w:type="paragraph" w:customStyle="1" w:styleId="180">
    <w:name w:val="标准文件_索引字母"/>
    <w:next w:val="61"/>
    <w:qFormat/>
    <w:uiPriority w:val="0"/>
    <w:pPr>
      <w:jc w:val="center"/>
    </w:pPr>
    <w:rPr>
      <w:rFonts w:ascii="宋体" w:hAnsi="宋体" w:eastAsia="Times New Roman" w:cs="Times New Roman"/>
      <w:b/>
      <w:kern w:val="2"/>
      <w:sz w:val="21"/>
      <w:lang w:val="en-US" w:eastAsia="zh-CN" w:bidi="ar-SA"/>
    </w:rPr>
  </w:style>
  <w:style w:type="paragraph" w:customStyle="1" w:styleId="181">
    <w:name w:val="标准文件_附录前"/>
    <w:next w:val="61"/>
    <w:qFormat/>
    <w:uiPriority w:val="0"/>
    <w:pPr>
      <w:spacing w:line="20" w:lineRule="atLeast"/>
      <w:ind w:firstLine="200"/>
    </w:pPr>
    <w:rPr>
      <w:rFonts w:ascii="宋体" w:hAnsi="宋体" w:eastAsia="宋体" w:cs="Times New Roman"/>
      <w:kern w:val="2"/>
      <w:sz w:val="10"/>
      <w:lang w:val="en-US" w:eastAsia="zh-CN" w:bidi="ar-SA"/>
    </w:rPr>
  </w:style>
  <w:style w:type="paragraph" w:customStyle="1" w:styleId="182">
    <w:name w:val="标准文件_正文标准名称"/>
    <w:qFormat/>
    <w:uiPriority w:val="0"/>
    <w:pPr>
      <w:spacing w:before="560" w:after="640" w:line="400" w:lineRule="exact"/>
      <w:jc w:val="center"/>
    </w:pPr>
    <w:rPr>
      <w:rFonts w:ascii="黑体" w:hAnsi="黑体" w:eastAsia="黑体" w:cs="Times New Roman"/>
      <w:kern w:val="2"/>
      <w:sz w:val="32"/>
      <w:szCs w:val="32"/>
      <w:lang w:val="en-US" w:eastAsia="zh-CN" w:bidi="ar-SA"/>
    </w:rPr>
  </w:style>
  <w:style w:type="paragraph" w:customStyle="1" w:styleId="183">
    <w:name w:val="标准文件_表格"/>
    <w:basedOn w:val="61"/>
    <w:qFormat/>
    <w:uiPriority w:val="0"/>
    <w:pPr>
      <w:ind w:firstLine="0" w:firstLineChars="0"/>
      <w:jc w:val="center"/>
    </w:pPr>
    <w:rPr>
      <w:sz w:val="18"/>
    </w:rPr>
  </w:style>
  <w:style w:type="paragraph" w:customStyle="1" w:styleId="184">
    <w:name w:val="标准文件_注："/>
    <w:next w:val="61"/>
    <w:qFormat/>
    <w:uiPriority w:val="0"/>
    <w:pPr>
      <w:widowControl w:val="0"/>
      <w:numPr>
        <w:ilvl w:val="0"/>
        <w:numId w:val="24"/>
      </w:numPr>
      <w:autoSpaceDE w:val="0"/>
      <w:autoSpaceDN w:val="0"/>
      <w:jc w:val="both"/>
    </w:pPr>
    <w:rPr>
      <w:rFonts w:ascii="宋体" w:hAnsi="Times New Roman" w:eastAsia="宋体" w:cs="Times New Roman"/>
      <w:sz w:val="18"/>
      <w:szCs w:val="18"/>
      <w:lang w:val="en-US" w:eastAsia="zh-CN" w:bidi="ar-SA"/>
    </w:rPr>
  </w:style>
  <w:style w:type="paragraph" w:customStyle="1" w:styleId="185">
    <w:name w:val="标准文件_注×："/>
    <w:qFormat/>
    <w:uiPriority w:val="0"/>
    <w:pPr>
      <w:widowControl w:val="0"/>
      <w:numPr>
        <w:ilvl w:val="0"/>
        <w:numId w:val="25"/>
      </w:numPr>
      <w:autoSpaceDE w:val="0"/>
      <w:autoSpaceDN w:val="0"/>
      <w:jc w:val="both"/>
    </w:pPr>
    <w:rPr>
      <w:rFonts w:ascii="宋体" w:hAnsi="Times New Roman" w:eastAsia="宋体" w:cs="Times New Roman"/>
      <w:sz w:val="18"/>
      <w:szCs w:val="18"/>
      <w:lang w:val="en-US" w:eastAsia="zh-CN" w:bidi="ar-SA"/>
    </w:rPr>
  </w:style>
  <w:style w:type="paragraph" w:customStyle="1" w:styleId="186">
    <w:name w:val="标准文件_示例："/>
    <w:next w:val="187"/>
    <w:qFormat/>
    <w:uiPriority w:val="0"/>
    <w:pPr>
      <w:widowControl w:val="0"/>
      <w:numPr>
        <w:ilvl w:val="0"/>
        <w:numId w:val="26"/>
      </w:numPr>
      <w:jc w:val="both"/>
    </w:pPr>
    <w:rPr>
      <w:rFonts w:ascii="宋体" w:hAnsi="Times New Roman" w:eastAsia="宋体" w:cs="Times New Roman"/>
      <w:sz w:val="18"/>
      <w:szCs w:val="18"/>
      <w:lang w:val="en-US" w:eastAsia="zh-CN" w:bidi="ar-SA"/>
    </w:rPr>
  </w:style>
  <w:style w:type="paragraph" w:customStyle="1" w:styleId="187">
    <w:name w:val="标准文件_示例内容"/>
    <w:basedOn w:val="61"/>
    <w:qFormat/>
    <w:uiPriority w:val="0"/>
    <w:pPr>
      <w:ind w:firstLine="420"/>
    </w:pPr>
    <w:rPr>
      <w:sz w:val="18"/>
    </w:rPr>
  </w:style>
  <w:style w:type="paragraph" w:customStyle="1" w:styleId="188">
    <w:name w:val="标准文件_示例×："/>
    <w:basedOn w:val="1"/>
    <w:next w:val="187"/>
    <w:qFormat/>
    <w:uiPriority w:val="0"/>
    <w:pPr>
      <w:widowControl/>
      <w:numPr>
        <w:ilvl w:val="0"/>
        <w:numId w:val="27"/>
      </w:numPr>
      <w:adjustRightInd/>
      <w:spacing w:line="240" w:lineRule="auto"/>
    </w:pPr>
    <w:rPr>
      <w:rFonts w:ascii="宋体" w:hAnsi="Times New Roman"/>
      <w:kern w:val="0"/>
      <w:sz w:val="18"/>
      <w:szCs w:val="18"/>
    </w:rPr>
  </w:style>
  <w:style w:type="character" w:customStyle="1" w:styleId="189">
    <w:name w:val="标准文件_段 Char"/>
    <w:link w:val="61"/>
    <w:qFormat/>
    <w:uiPriority w:val="0"/>
    <w:rPr>
      <w:rFonts w:ascii="宋体" w:hAnsi="Times New Roman"/>
      <w:sz w:val="21"/>
    </w:rPr>
  </w:style>
  <w:style w:type="paragraph" w:customStyle="1" w:styleId="190">
    <w:name w:val="标准文件_表格续"/>
    <w:basedOn w:val="61"/>
    <w:next w:val="61"/>
    <w:qFormat/>
    <w:uiPriority w:val="0"/>
    <w:pPr>
      <w:jc w:val="center"/>
    </w:pPr>
    <w:rPr>
      <w:rFonts w:ascii="黑体" w:hAnsi="黑体" w:eastAsia="黑体"/>
    </w:rPr>
  </w:style>
  <w:style w:type="character" w:styleId="191">
    <w:name w:val="Placeholder Text"/>
    <w:basedOn w:val="32"/>
    <w:semiHidden/>
    <w:qFormat/>
    <w:uiPriority w:val="99"/>
    <w:rPr>
      <w:color w:val="808080"/>
    </w:rPr>
  </w:style>
  <w:style w:type="paragraph" w:customStyle="1" w:styleId="192">
    <w:name w:val="标准文件_二级项2"/>
    <w:basedOn w:val="61"/>
    <w:qFormat/>
    <w:uiPriority w:val="0"/>
    <w:pPr>
      <w:numPr>
        <w:ilvl w:val="1"/>
        <w:numId w:val="19"/>
      </w:numPr>
      <w:ind w:firstLine="0" w:firstLineChars="0"/>
    </w:pPr>
  </w:style>
  <w:style w:type="paragraph" w:customStyle="1" w:styleId="193">
    <w:name w:val="标准文件_三级项2"/>
    <w:basedOn w:val="61"/>
    <w:qFormat/>
    <w:uiPriority w:val="0"/>
    <w:pPr>
      <w:numPr>
        <w:ilvl w:val="0"/>
        <w:numId w:val="28"/>
      </w:numPr>
      <w:spacing w:line="300" w:lineRule="exact"/>
      <w:ind w:firstLineChars="0"/>
    </w:pPr>
    <w:rPr>
      <w:rFonts w:ascii="Times New Roman"/>
    </w:rPr>
  </w:style>
  <w:style w:type="paragraph" w:customStyle="1" w:styleId="194">
    <w:name w:val="标准文件_一级项2"/>
    <w:basedOn w:val="61"/>
    <w:qFormat/>
    <w:uiPriority w:val="0"/>
    <w:pPr>
      <w:numPr>
        <w:ilvl w:val="0"/>
        <w:numId w:val="29"/>
      </w:numPr>
      <w:spacing w:line="300" w:lineRule="exact"/>
      <w:ind w:firstLineChars="0"/>
    </w:pPr>
    <w:rPr>
      <w:rFonts w:ascii="Times New Roman"/>
    </w:rPr>
  </w:style>
  <w:style w:type="paragraph" w:customStyle="1" w:styleId="195">
    <w:name w:val="标准文件_提示"/>
    <w:basedOn w:val="61"/>
    <w:next w:val="61"/>
    <w:qFormat/>
    <w:uiPriority w:val="0"/>
    <w:pPr>
      <w:ind w:firstLine="420"/>
    </w:pPr>
    <w:rPr>
      <w:rFonts w:ascii="黑体" w:eastAsia="黑体"/>
    </w:rPr>
  </w:style>
  <w:style w:type="character" w:customStyle="1" w:styleId="196">
    <w:name w:val="标准文件_来源"/>
    <w:basedOn w:val="32"/>
    <w:qFormat/>
    <w:uiPriority w:val="1"/>
    <w:rPr>
      <w:rFonts w:eastAsia="宋体"/>
      <w:sz w:val="21"/>
    </w:rPr>
  </w:style>
  <w:style w:type="paragraph" w:customStyle="1" w:styleId="197">
    <w:name w:val="标准文件_图表说明"/>
    <w:qFormat/>
    <w:uiPriority w:val="0"/>
    <w:pPr>
      <w:spacing w:line="276" w:lineRule="auto"/>
      <w:ind w:firstLine="420"/>
    </w:pPr>
    <w:rPr>
      <w:rFonts w:ascii="宋体" w:hAnsi="宋体" w:eastAsia="宋体" w:cs="Times New Roman"/>
      <w:kern w:val="2"/>
      <w:sz w:val="18"/>
      <w:lang w:val="en-US" w:eastAsia="zh-CN" w:bidi="ar-SA"/>
    </w:rPr>
  </w:style>
  <w:style w:type="paragraph" w:customStyle="1" w:styleId="198">
    <w:name w:val="其他发布日期"/>
    <w:basedOn w:val="125"/>
    <w:qFormat/>
    <w:uiPriority w:val="0"/>
    <w:pPr>
      <w:framePr w:w="3997" w:h="471" w:hRule="exact" w:hSpace="0" w:vSpace="181" w:wrap="around" w:vAnchor="page" w:hAnchor="page" w:x="1419" w:y="14097"/>
    </w:pPr>
  </w:style>
  <w:style w:type="paragraph" w:customStyle="1" w:styleId="199">
    <w:name w:val="其他实施日期"/>
    <w:basedOn w:val="159"/>
    <w:qFormat/>
    <w:uiPriority w:val="0"/>
    <w:pPr>
      <w:framePr w:w="3997" w:h="471" w:hRule="exact" w:vSpace="181" w:wrap="around" w:vAnchor="page" w:hAnchor="page" w:x="7089" w:y="14097"/>
    </w:pPr>
  </w:style>
  <w:style w:type="paragraph" w:customStyle="1" w:styleId="200">
    <w:name w:val="标准文件_文件编号"/>
    <w:basedOn w:val="61"/>
    <w:qFormat/>
    <w:uiPriority w:val="0"/>
    <w:pPr>
      <w:framePr w:w="9356" w:h="624" w:hRule="exact" w:hSpace="181" w:vSpace="181" w:wrap="around" w:vAnchor="page" w:hAnchor="page" w:x="1419" w:y="3284"/>
      <w:wordWrap w:val="0"/>
      <w:spacing w:line="280" w:lineRule="exact"/>
      <w:ind w:firstLine="0" w:firstLineChars="0"/>
      <w:jc w:val="right"/>
    </w:pPr>
    <w:rPr>
      <w:rFonts w:ascii="黑体" w:eastAsia="黑体"/>
      <w:bCs/>
      <w:sz w:val="28"/>
      <w:szCs w:val="28"/>
    </w:rPr>
  </w:style>
  <w:style w:type="paragraph" w:customStyle="1" w:styleId="201">
    <w:name w:val="标准文件_替换文件编号"/>
    <w:basedOn w:val="200"/>
    <w:qFormat/>
    <w:uiPriority w:val="0"/>
    <w:pPr>
      <w:framePr w:wrap="around"/>
      <w:spacing w:before="57"/>
    </w:pPr>
    <w:rPr>
      <w:sz w:val="21"/>
    </w:rPr>
  </w:style>
  <w:style w:type="paragraph" w:customStyle="1" w:styleId="202">
    <w:name w:val="标准文件_文件名称"/>
    <w:basedOn w:val="61"/>
    <w:next w:val="61"/>
    <w:qFormat/>
    <w:uiPriority w:val="0"/>
    <w:pPr>
      <w:framePr w:w="9639" w:h="6976" w:hRule="exact" w:wrap="around" w:vAnchor="page" w:hAnchor="page" w:y="6408"/>
      <w:autoSpaceDE/>
      <w:autoSpaceDN/>
      <w:spacing w:line="700" w:lineRule="exact"/>
      <w:ind w:firstLine="0" w:firstLineChars="0"/>
      <w:jc w:val="center"/>
    </w:pPr>
    <w:rPr>
      <w:rFonts w:ascii="黑体" w:hAnsi="黑体" w:eastAsia="黑体"/>
      <w:bCs/>
      <w:sz w:val="52"/>
    </w:rPr>
  </w:style>
  <w:style w:type="paragraph" w:customStyle="1" w:styleId="203">
    <w:name w:val="标准文件_附录图标号"/>
    <w:basedOn w:val="61"/>
    <w:next w:val="61"/>
    <w:qFormat/>
    <w:uiPriority w:val="0"/>
    <w:pPr>
      <w:numPr>
        <w:ilvl w:val="0"/>
        <w:numId w:val="6"/>
      </w:numPr>
      <w:spacing w:line="14" w:lineRule="exact"/>
      <w:ind w:firstLine="0" w:firstLineChars="0"/>
      <w:jc w:val="center"/>
    </w:pPr>
    <w:rPr>
      <w:rFonts w:ascii="黑体" w:hAnsi="黑体" w:eastAsia="黑体"/>
      <w:vanish/>
      <w:sz w:val="2"/>
      <w:szCs w:val="21"/>
    </w:rPr>
  </w:style>
  <w:style w:type="paragraph" w:customStyle="1" w:styleId="204">
    <w:name w:val="标准文件_附录表标号"/>
    <w:basedOn w:val="61"/>
    <w:next w:val="61"/>
    <w:qFormat/>
    <w:uiPriority w:val="0"/>
    <w:pPr>
      <w:numPr>
        <w:ilvl w:val="0"/>
        <w:numId w:val="5"/>
      </w:numPr>
      <w:spacing w:line="14" w:lineRule="exact"/>
      <w:ind w:firstLine="0" w:firstLineChars="0"/>
      <w:jc w:val="center"/>
    </w:pPr>
    <w:rPr>
      <w:rFonts w:eastAsia="黑体"/>
      <w:vanish/>
      <w:sz w:val="2"/>
    </w:rPr>
  </w:style>
  <w:style w:type="paragraph" w:customStyle="1" w:styleId="205">
    <w:name w:val="标准文件_引言一级条标题"/>
    <w:basedOn w:val="61"/>
    <w:next w:val="61"/>
    <w:qFormat/>
    <w:uiPriority w:val="0"/>
    <w:pPr>
      <w:numPr>
        <w:ilvl w:val="1"/>
        <w:numId w:val="8"/>
      </w:numPr>
      <w:spacing w:beforeLines="50" w:afterLines="50"/>
      <w:ind w:firstLineChars="0"/>
    </w:pPr>
    <w:rPr>
      <w:rFonts w:ascii="黑体" w:eastAsia="黑体"/>
    </w:rPr>
  </w:style>
  <w:style w:type="paragraph" w:customStyle="1" w:styleId="206">
    <w:name w:val="标准文件_引言二级条标题"/>
    <w:basedOn w:val="61"/>
    <w:next w:val="61"/>
    <w:qFormat/>
    <w:uiPriority w:val="0"/>
    <w:pPr>
      <w:numPr>
        <w:ilvl w:val="2"/>
        <w:numId w:val="8"/>
      </w:numPr>
      <w:spacing w:beforeLines="50" w:afterLines="50"/>
      <w:ind w:firstLineChars="0"/>
    </w:pPr>
    <w:rPr>
      <w:rFonts w:ascii="黑体" w:eastAsia="黑体"/>
    </w:rPr>
  </w:style>
  <w:style w:type="paragraph" w:customStyle="1" w:styleId="207">
    <w:name w:val="标准文件_引言三级条标题"/>
    <w:basedOn w:val="61"/>
    <w:next w:val="61"/>
    <w:qFormat/>
    <w:uiPriority w:val="0"/>
    <w:pPr>
      <w:numPr>
        <w:ilvl w:val="3"/>
        <w:numId w:val="8"/>
      </w:numPr>
      <w:spacing w:beforeLines="50" w:afterLines="50"/>
      <w:ind w:firstLineChars="0"/>
    </w:pPr>
    <w:rPr>
      <w:rFonts w:ascii="黑体" w:eastAsia="黑体"/>
    </w:rPr>
  </w:style>
  <w:style w:type="paragraph" w:customStyle="1" w:styleId="208">
    <w:name w:val="标准文件_引言四级条标题"/>
    <w:basedOn w:val="61"/>
    <w:next w:val="61"/>
    <w:qFormat/>
    <w:uiPriority w:val="0"/>
    <w:pPr>
      <w:numPr>
        <w:ilvl w:val="4"/>
        <w:numId w:val="8"/>
      </w:numPr>
      <w:spacing w:beforeLines="50" w:afterLines="50"/>
      <w:ind w:firstLineChars="0"/>
    </w:pPr>
    <w:rPr>
      <w:rFonts w:ascii="黑体" w:eastAsia="黑体"/>
    </w:rPr>
  </w:style>
  <w:style w:type="paragraph" w:customStyle="1" w:styleId="209">
    <w:name w:val="标准文件_引言五级条标题"/>
    <w:basedOn w:val="61"/>
    <w:next w:val="61"/>
    <w:qFormat/>
    <w:uiPriority w:val="0"/>
    <w:pPr>
      <w:numPr>
        <w:ilvl w:val="5"/>
        <w:numId w:val="8"/>
      </w:numPr>
      <w:spacing w:beforeLines="50" w:afterLines="50"/>
      <w:ind w:firstLineChars="0"/>
    </w:pPr>
    <w:rPr>
      <w:rFonts w:ascii="黑体" w:eastAsia="黑体"/>
    </w:rPr>
  </w:style>
  <w:style w:type="paragraph" w:customStyle="1" w:styleId="210">
    <w:name w:val="标准文件_注后"/>
    <w:basedOn w:val="61"/>
    <w:qFormat/>
    <w:uiPriority w:val="0"/>
    <w:pPr>
      <w:ind w:left="811" w:firstLine="0" w:firstLineChars="0"/>
    </w:pPr>
    <w:rPr>
      <w:sz w:val="18"/>
    </w:rPr>
  </w:style>
  <w:style w:type="paragraph" w:customStyle="1" w:styleId="211">
    <w:name w:val="标准文件_注X后"/>
    <w:basedOn w:val="61"/>
    <w:qFormat/>
    <w:uiPriority w:val="0"/>
    <w:pPr>
      <w:ind w:left="811" w:firstLine="0" w:firstLineChars="0"/>
    </w:pPr>
    <w:rPr>
      <w:sz w:val="18"/>
    </w:rPr>
  </w:style>
  <w:style w:type="paragraph" w:customStyle="1" w:styleId="212">
    <w:name w:val="标准文件_示例后"/>
    <w:basedOn w:val="61"/>
    <w:qFormat/>
    <w:uiPriority w:val="0"/>
    <w:pPr>
      <w:ind w:left="964" w:firstLine="0" w:firstLineChars="0"/>
    </w:pPr>
    <w:rPr>
      <w:sz w:val="18"/>
    </w:rPr>
  </w:style>
  <w:style w:type="paragraph" w:customStyle="1" w:styleId="213">
    <w:name w:val="标准文件_示例X后"/>
    <w:basedOn w:val="61"/>
    <w:link w:val="214"/>
    <w:qFormat/>
    <w:uiPriority w:val="0"/>
    <w:pPr>
      <w:ind w:left="1049" w:firstLine="0" w:firstLineChars="0"/>
    </w:pPr>
    <w:rPr>
      <w:sz w:val="18"/>
    </w:rPr>
  </w:style>
  <w:style w:type="character" w:customStyle="1" w:styleId="214">
    <w:name w:val="标准文件_示例X后 字符"/>
    <w:basedOn w:val="189"/>
    <w:link w:val="213"/>
    <w:qFormat/>
    <w:uiPriority w:val="0"/>
    <w:rPr>
      <w:rFonts w:ascii="宋体" w:hAnsi="Times New Roman"/>
      <w:sz w:val="18"/>
    </w:rPr>
  </w:style>
  <w:style w:type="paragraph" w:customStyle="1" w:styleId="215">
    <w:name w:val="标准文件_索引项"/>
    <w:basedOn w:val="61"/>
    <w:next w:val="61"/>
    <w:qFormat/>
    <w:uiPriority w:val="0"/>
    <w:pPr>
      <w:tabs>
        <w:tab w:val="right" w:leader="dot" w:pos="9356"/>
      </w:tabs>
      <w:ind w:left="210" w:hanging="210" w:firstLineChars="0"/>
      <w:jc w:val="left"/>
    </w:pPr>
  </w:style>
  <w:style w:type="paragraph" w:customStyle="1" w:styleId="216">
    <w:name w:val="标准文件_附录一级无标题"/>
    <w:basedOn w:val="83"/>
    <w:qFormat/>
    <w:uiPriority w:val="0"/>
    <w:pPr>
      <w:spacing w:beforeLines="0" w:afterLines="0" w:line="276" w:lineRule="auto"/>
      <w:outlineLvl w:val="9"/>
    </w:pPr>
    <w:rPr>
      <w:rFonts w:ascii="宋体" w:eastAsia="宋体"/>
    </w:rPr>
  </w:style>
  <w:style w:type="paragraph" w:customStyle="1" w:styleId="217">
    <w:name w:val="标准文件_附录二级无标题"/>
    <w:basedOn w:val="84"/>
    <w:qFormat/>
    <w:uiPriority w:val="0"/>
    <w:pPr>
      <w:spacing w:beforeLines="0" w:afterLines="0" w:line="276" w:lineRule="auto"/>
      <w:outlineLvl w:val="9"/>
    </w:pPr>
    <w:rPr>
      <w:rFonts w:ascii="宋体" w:eastAsia="宋体"/>
    </w:rPr>
  </w:style>
  <w:style w:type="paragraph" w:customStyle="1" w:styleId="218">
    <w:name w:val="标准文件_附录三级无标题"/>
    <w:basedOn w:val="86"/>
    <w:qFormat/>
    <w:uiPriority w:val="0"/>
    <w:pPr>
      <w:spacing w:beforeLines="0" w:afterLines="0" w:line="276" w:lineRule="auto"/>
      <w:outlineLvl w:val="9"/>
    </w:pPr>
    <w:rPr>
      <w:rFonts w:ascii="宋体" w:eastAsia="宋体"/>
    </w:rPr>
  </w:style>
  <w:style w:type="paragraph" w:customStyle="1" w:styleId="219">
    <w:name w:val="标准文件_附录四级无标题"/>
    <w:basedOn w:val="87"/>
    <w:qFormat/>
    <w:uiPriority w:val="0"/>
    <w:pPr>
      <w:spacing w:beforeLines="0" w:afterLines="0" w:line="276" w:lineRule="auto"/>
      <w:outlineLvl w:val="9"/>
    </w:pPr>
    <w:rPr>
      <w:rFonts w:ascii="宋体" w:eastAsia="宋体"/>
    </w:rPr>
  </w:style>
  <w:style w:type="paragraph" w:customStyle="1" w:styleId="220">
    <w:name w:val="标准文件_附录五级无标题"/>
    <w:basedOn w:val="89"/>
    <w:qFormat/>
    <w:uiPriority w:val="0"/>
    <w:pPr>
      <w:spacing w:beforeLines="0" w:afterLines="0" w:line="276" w:lineRule="auto"/>
      <w:outlineLvl w:val="9"/>
    </w:pPr>
    <w:rPr>
      <w:rFonts w:ascii="宋体" w:eastAsia="宋体"/>
    </w:rPr>
  </w:style>
  <w:style w:type="paragraph" w:customStyle="1" w:styleId="221">
    <w:name w:val="标准文件_引言一级无标题"/>
    <w:basedOn w:val="205"/>
    <w:next w:val="61"/>
    <w:qFormat/>
    <w:uiPriority w:val="0"/>
    <w:pPr>
      <w:spacing w:beforeLines="0" w:afterLines="0" w:line="276" w:lineRule="auto"/>
    </w:pPr>
    <w:rPr>
      <w:rFonts w:ascii="宋体" w:eastAsia="宋体"/>
    </w:rPr>
  </w:style>
  <w:style w:type="paragraph" w:customStyle="1" w:styleId="222">
    <w:name w:val="标准文件_引言二级无标题"/>
    <w:basedOn w:val="206"/>
    <w:next w:val="61"/>
    <w:qFormat/>
    <w:uiPriority w:val="0"/>
    <w:pPr>
      <w:spacing w:beforeLines="0" w:afterLines="0" w:line="276" w:lineRule="auto"/>
    </w:pPr>
    <w:rPr>
      <w:rFonts w:ascii="宋体" w:eastAsia="宋体"/>
    </w:rPr>
  </w:style>
  <w:style w:type="paragraph" w:customStyle="1" w:styleId="223">
    <w:name w:val="标准文件_引言三级无标题"/>
    <w:basedOn w:val="207"/>
    <w:qFormat/>
    <w:uiPriority w:val="0"/>
    <w:pPr>
      <w:spacing w:beforeLines="0" w:afterLines="0" w:line="276" w:lineRule="auto"/>
    </w:pPr>
    <w:rPr>
      <w:rFonts w:ascii="宋体" w:eastAsia="宋体"/>
    </w:rPr>
  </w:style>
  <w:style w:type="paragraph" w:customStyle="1" w:styleId="224">
    <w:name w:val="标准文件_引言四级无标题"/>
    <w:basedOn w:val="208"/>
    <w:next w:val="61"/>
    <w:qFormat/>
    <w:uiPriority w:val="0"/>
    <w:pPr>
      <w:spacing w:beforeLines="0" w:afterLines="0" w:line="276" w:lineRule="auto"/>
    </w:pPr>
    <w:rPr>
      <w:rFonts w:ascii="宋体" w:eastAsia="宋体"/>
    </w:rPr>
  </w:style>
  <w:style w:type="paragraph" w:customStyle="1" w:styleId="225">
    <w:name w:val="标准文件_引言五级无标题"/>
    <w:basedOn w:val="209"/>
    <w:next w:val="61"/>
    <w:qFormat/>
    <w:uiPriority w:val="0"/>
    <w:pPr>
      <w:spacing w:beforeLines="0" w:afterLines="0" w:line="276" w:lineRule="auto"/>
    </w:pPr>
    <w:rPr>
      <w:rFonts w:ascii="宋体" w:eastAsia="宋体"/>
    </w:rPr>
  </w:style>
  <w:style w:type="paragraph" w:customStyle="1" w:styleId="226">
    <w:name w:val="标准文件_索引标题"/>
    <w:basedOn w:val="68"/>
    <w:next w:val="61"/>
    <w:qFormat/>
    <w:uiPriority w:val="0"/>
    <w:rPr>
      <w:rFonts w:hAnsi="黑体"/>
    </w:rPr>
  </w:style>
  <w:style w:type="paragraph" w:customStyle="1" w:styleId="227">
    <w:name w:val="标准文件_脚注内容"/>
    <w:basedOn w:val="61"/>
    <w:qFormat/>
    <w:uiPriority w:val="0"/>
    <w:pPr>
      <w:ind w:left="400" w:leftChars="200" w:hanging="200" w:hangingChars="200"/>
    </w:pPr>
    <w:rPr>
      <w:sz w:val="15"/>
    </w:rPr>
  </w:style>
  <w:style w:type="paragraph" w:customStyle="1" w:styleId="228">
    <w:name w:val="标准文件_术语条一"/>
    <w:basedOn w:val="167"/>
    <w:next w:val="61"/>
    <w:qFormat/>
    <w:uiPriority w:val="0"/>
  </w:style>
  <w:style w:type="paragraph" w:customStyle="1" w:styleId="229">
    <w:name w:val="标准文件_术语条二"/>
    <w:basedOn w:val="170"/>
    <w:next w:val="61"/>
    <w:qFormat/>
    <w:uiPriority w:val="0"/>
  </w:style>
  <w:style w:type="paragraph" w:customStyle="1" w:styleId="230">
    <w:name w:val="标准文件_术语条三"/>
    <w:basedOn w:val="169"/>
    <w:next w:val="61"/>
    <w:qFormat/>
    <w:uiPriority w:val="0"/>
  </w:style>
  <w:style w:type="paragraph" w:customStyle="1" w:styleId="231">
    <w:name w:val="标准文件_术语条四"/>
    <w:basedOn w:val="172"/>
    <w:next w:val="61"/>
    <w:qFormat/>
    <w:uiPriority w:val="0"/>
  </w:style>
  <w:style w:type="paragraph" w:customStyle="1" w:styleId="232">
    <w:name w:val="标准文件_术语条五"/>
    <w:basedOn w:val="168"/>
    <w:next w:val="61"/>
    <w:qFormat/>
    <w:uiPriority w:val="0"/>
  </w:style>
  <w:style w:type="paragraph" w:customStyle="1" w:styleId="233">
    <w:name w:val="Default"/>
    <w:qFormat/>
    <w:uiPriority w:val="0"/>
    <w:pPr>
      <w:widowControl w:val="0"/>
      <w:autoSpaceDE w:val="0"/>
      <w:autoSpaceDN w:val="0"/>
      <w:adjustRightInd w:val="0"/>
    </w:pPr>
    <w:rPr>
      <w:rFonts w:ascii="宋体" w:hAnsi="Calibri" w:eastAsia="宋体" w:cs="宋体"/>
      <w:color w:val="000000"/>
      <w:sz w:val="24"/>
      <w:szCs w:val="24"/>
      <w:lang w:val="en-US" w:eastAsia="zh-CN" w:bidi="ar-SA"/>
    </w:rPr>
  </w:style>
  <w:style w:type="character" w:customStyle="1" w:styleId="234">
    <w:name w:val="发布"/>
    <w:basedOn w:val="32"/>
    <w:qFormat/>
    <w:uiPriority w:val="0"/>
    <w:rPr>
      <w:rFonts w:ascii="黑体" w:eastAsia="黑体"/>
      <w:spacing w:val="85"/>
      <w:w w:val="100"/>
      <w:position w:val="3"/>
      <w:sz w:val="28"/>
      <w:szCs w:val="28"/>
    </w:rPr>
  </w:style>
  <w:style w:type="paragraph" w:styleId="235">
    <w:name w:val="No Spacing"/>
    <w:qFormat/>
    <w:uiPriority w:val="1"/>
    <w:pPr>
      <w:widowControl w:val="0"/>
      <w:jc w:val="both"/>
    </w:pPr>
    <w:rPr>
      <w:rFonts w:asciiTheme="minorHAnsi" w:hAnsiTheme="minorHAnsi" w:eastAsiaTheme="minorEastAsia" w:cstheme="minorBidi"/>
      <w:kern w:val="2"/>
      <w:sz w:val="21"/>
      <w:szCs w:val="22"/>
      <w:lang w:val="en-US" w:eastAsia="zh-CN" w:bidi="ar-SA"/>
    </w:rPr>
  </w:style>
  <w:style w:type="character" w:customStyle="1" w:styleId="236">
    <w:name w:val="不明显强调1"/>
    <w:basedOn w:val="32"/>
    <w:qFormat/>
    <w:uiPriority w:val="19"/>
    <w:rPr>
      <w:i/>
      <w:iCs/>
      <w:color w:val="808080" w:themeColor="text1" w:themeTint="80"/>
      <w14:textFill>
        <w14:solidFill>
          <w14:schemeClr w14:val="tx1">
            <w14:lumMod w14:val="50000"/>
            <w14:lumOff w14:val="50000"/>
          </w14:schemeClr>
        </w14:solidFill>
      </w14:textFill>
    </w:rPr>
  </w:style>
  <w:style w:type="paragraph" w:customStyle="1" w:styleId="237">
    <w:name w:val="一级无"/>
    <w:basedOn w:val="238"/>
    <w:qFormat/>
    <w:uiPriority w:val="0"/>
    <w:pPr>
      <w:spacing w:beforeLines="0" w:afterLines="0"/>
    </w:pPr>
    <w:rPr>
      <w:rFonts w:ascii="宋体" w:eastAsia="宋体"/>
    </w:rPr>
  </w:style>
  <w:style w:type="paragraph" w:customStyle="1" w:styleId="238">
    <w:name w:val="一级条标题"/>
    <w:next w:val="239"/>
    <w:qFormat/>
    <w:uiPriority w:val="0"/>
    <w:pPr>
      <w:numPr>
        <w:ilvl w:val="1"/>
        <w:numId w:val="30"/>
      </w:numPr>
      <w:spacing w:beforeLines="50" w:afterLines="50"/>
      <w:outlineLvl w:val="2"/>
    </w:pPr>
    <w:rPr>
      <w:rFonts w:ascii="黑体" w:hAnsi="Times New Roman" w:eastAsia="黑体" w:cs="Times New Roman"/>
      <w:sz w:val="21"/>
      <w:szCs w:val="21"/>
      <w:lang w:val="en-US" w:eastAsia="zh-CN" w:bidi="ar-SA"/>
    </w:rPr>
  </w:style>
  <w:style w:type="paragraph" w:customStyle="1" w:styleId="239">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240">
    <w:name w:val="正文表标题"/>
    <w:next w:val="239"/>
    <w:qFormat/>
    <w:uiPriority w:val="0"/>
    <w:pPr>
      <w:numPr>
        <w:ilvl w:val="0"/>
        <w:numId w:val="31"/>
      </w:numPr>
      <w:tabs>
        <w:tab w:val="left" w:pos="360"/>
      </w:tabs>
      <w:spacing w:beforeLines="50" w:afterLines="50"/>
      <w:jc w:val="center"/>
    </w:pPr>
    <w:rPr>
      <w:rFonts w:ascii="黑体" w:hAnsi="Times New Roman" w:eastAsia="黑体" w:cs="Times New Roman"/>
      <w:sz w:val="21"/>
      <w:lang w:val="en-US" w:eastAsia="zh-CN" w:bidi="ar-SA"/>
    </w:rPr>
  </w:style>
  <w:style w:type="paragraph" w:customStyle="1" w:styleId="241">
    <w:name w:val="二级条标题"/>
    <w:basedOn w:val="238"/>
    <w:next w:val="239"/>
    <w:qFormat/>
    <w:uiPriority w:val="0"/>
    <w:pPr>
      <w:numPr>
        <w:ilvl w:val="2"/>
      </w:numPr>
      <w:spacing w:before="50" w:after="50"/>
      <w:outlineLvl w:val="3"/>
    </w:pPr>
  </w:style>
  <w:style w:type="paragraph" w:customStyle="1" w:styleId="242">
    <w:name w:val="修订1"/>
    <w:hidden/>
    <w:semiHidden/>
    <w:qFormat/>
    <w:uiPriority w:val="99"/>
    <w:rPr>
      <w:rFonts w:ascii="Calibri" w:hAnsi="Calibri" w:eastAsia="宋体" w:cs="Times New Roman"/>
      <w:kern w:val="2"/>
      <w:sz w:val="21"/>
      <w:szCs w:val="21"/>
      <w:lang w:val="en-US" w:eastAsia="zh-CN" w:bidi="ar-SA"/>
    </w:rPr>
  </w:style>
  <w:style w:type="character" w:customStyle="1" w:styleId="243">
    <w:name w:val="批注文字 字符"/>
    <w:basedOn w:val="32"/>
    <w:link w:val="13"/>
    <w:semiHidden/>
    <w:qFormat/>
    <w:uiPriority w:val="99"/>
    <w:rPr>
      <w:rFonts w:ascii="Calibri" w:hAnsi="Calibri"/>
      <w:kern w:val="2"/>
      <w:sz w:val="21"/>
      <w:szCs w:val="21"/>
    </w:rPr>
  </w:style>
  <w:style w:type="character" w:customStyle="1" w:styleId="244">
    <w:name w:val="批注主题 字符"/>
    <w:basedOn w:val="243"/>
    <w:link w:val="29"/>
    <w:semiHidden/>
    <w:qFormat/>
    <w:uiPriority w:val="99"/>
    <w:rPr>
      <w:rFonts w:ascii="Calibri" w:hAnsi="Calibri"/>
      <w:b/>
      <w:bCs/>
      <w:kern w:val="2"/>
      <w:sz w:val="21"/>
      <w:szCs w:val="21"/>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8" Type="http://schemas.openxmlformats.org/officeDocument/2006/relationships/glossaryDocument" Target="glossary/document.xml"/><Relationship Id="rId57" Type="http://schemas.openxmlformats.org/officeDocument/2006/relationships/fontTable" Target="fontTable.xml"/><Relationship Id="rId56" Type="http://schemas.openxmlformats.org/officeDocument/2006/relationships/numbering" Target="numbering.xml"/><Relationship Id="rId55" Type="http://schemas.openxmlformats.org/officeDocument/2006/relationships/customXml" Target="../customXml/item1.xml"/><Relationship Id="rId54" Type="http://schemas.openxmlformats.org/officeDocument/2006/relationships/image" Target="media/image31.jpeg"/><Relationship Id="rId53" Type="http://schemas.openxmlformats.org/officeDocument/2006/relationships/image" Target="media/image30.png"/><Relationship Id="rId52" Type="http://schemas.openxmlformats.org/officeDocument/2006/relationships/image" Target="media/image29.png"/><Relationship Id="rId51" Type="http://schemas.openxmlformats.org/officeDocument/2006/relationships/image" Target="media/image28.png"/><Relationship Id="rId50" Type="http://schemas.openxmlformats.org/officeDocument/2006/relationships/image" Target="media/image27.png"/><Relationship Id="rId5" Type="http://schemas.openxmlformats.org/officeDocument/2006/relationships/header" Target="header1.xml"/><Relationship Id="rId49" Type="http://schemas.openxmlformats.org/officeDocument/2006/relationships/image" Target="media/image26.png"/><Relationship Id="rId48" Type="http://schemas.openxmlformats.org/officeDocument/2006/relationships/image" Target="media/image25.png"/><Relationship Id="rId47" Type="http://schemas.openxmlformats.org/officeDocument/2006/relationships/image" Target="media/image24.png"/><Relationship Id="rId46" Type="http://schemas.openxmlformats.org/officeDocument/2006/relationships/image" Target="media/image23.png"/><Relationship Id="rId45" Type="http://schemas.openxmlformats.org/officeDocument/2006/relationships/image" Target="media/image22.png"/><Relationship Id="rId44" Type="http://schemas.openxmlformats.org/officeDocument/2006/relationships/image" Target="media/image21.png"/><Relationship Id="rId43" Type="http://schemas.openxmlformats.org/officeDocument/2006/relationships/image" Target="media/image20.png"/><Relationship Id="rId42" Type="http://schemas.openxmlformats.org/officeDocument/2006/relationships/image" Target="media/image19.png"/><Relationship Id="rId41" Type="http://schemas.openxmlformats.org/officeDocument/2006/relationships/image" Target="media/image18.png"/><Relationship Id="rId40" Type="http://schemas.openxmlformats.org/officeDocument/2006/relationships/image" Target="media/image17.jpeg"/><Relationship Id="rId4" Type="http://schemas.openxmlformats.org/officeDocument/2006/relationships/endnotes" Target="endnotes.xml"/><Relationship Id="rId39" Type="http://schemas.openxmlformats.org/officeDocument/2006/relationships/image" Target="media/image16.png"/><Relationship Id="rId38" Type="http://schemas.openxmlformats.org/officeDocument/2006/relationships/image" Target="media/image15.jpeg"/><Relationship Id="rId37" Type="http://schemas.openxmlformats.org/officeDocument/2006/relationships/image" Target="media/image14.jpeg"/><Relationship Id="rId36" Type="http://schemas.openxmlformats.org/officeDocument/2006/relationships/image" Target="media/image13.png"/><Relationship Id="rId35" Type="http://schemas.openxmlformats.org/officeDocument/2006/relationships/image" Target="media/image12.jpeg"/><Relationship Id="rId34" Type="http://schemas.openxmlformats.org/officeDocument/2006/relationships/image" Target="media/image11.png"/><Relationship Id="rId33" Type="http://schemas.openxmlformats.org/officeDocument/2006/relationships/image" Target="media/image10.jpeg"/><Relationship Id="rId32" Type="http://schemas.openxmlformats.org/officeDocument/2006/relationships/image" Target="media/image9.jpeg"/><Relationship Id="rId31" Type="http://schemas.openxmlformats.org/officeDocument/2006/relationships/image" Target="media/image8.jpeg"/><Relationship Id="rId30" Type="http://schemas.openxmlformats.org/officeDocument/2006/relationships/image" Target="media/image7.jpeg"/><Relationship Id="rId3" Type="http://schemas.openxmlformats.org/officeDocument/2006/relationships/footnotes" Target="footnotes.xml"/><Relationship Id="rId29" Type="http://schemas.openxmlformats.org/officeDocument/2006/relationships/image" Target="media/image6.png"/><Relationship Id="rId28" Type="http://schemas.openxmlformats.org/officeDocument/2006/relationships/image" Target="media/image5.jpeg"/><Relationship Id="rId27" Type="http://schemas.openxmlformats.org/officeDocument/2006/relationships/image" Target="media/image4.jpeg"/><Relationship Id="rId26" Type="http://schemas.openxmlformats.org/officeDocument/2006/relationships/image" Target="media/image3.jpeg"/><Relationship Id="rId25" Type="http://schemas.openxmlformats.org/officeDocument/2006/relationships/image" Target="media/image2.jpeg"/><Relationship Id="rId24" Type="http://schemas.openxmlformats.org/officeDocument/2006/relationships/image" Target="media/image1.tiff"/><Relationship Id="rId23" Type="http://schemas.openxmlformats.org/officeDocument/2006/relationships/theme" Target="theme/theme1.xml"/><Relationship Id="rId22" Type="http://schemas.openxmlformats.org/officeDocument/2006/relationships/footer" Target="footer9.xml"/><Relationship Id="rId21" Type="http://schemas.openxmlformats.org/officeDocument/2006/relationships/footer" Target="footer8.xml"/><Relationship Id="rId20" Type="http://schemas.openxmlformats.org/officeDocument/2006/relationships/header" Target="header9.xml"/><Relationship Id="rId2" Type="http://schemas.openxmlformats.org/officeDocument/2006/relationships/settings" Target="settings.xml"/><Relationship Id="rId19" Type="http://schemas.openxmlformats.org/officeDocument/2006/relationships/header" Target="header8.xml"/><Relationship Id="rId18" Type="http://schemas.openxmlformats.org/officeDocument/2006/relationships/footer" Target="footer7.xml"/><Relationship Id="rId17" Type="http://schemas.openxmlformats.org/officeDocument/2006/relationships/footer" Target="footer6.xml"/><Relationship Id="rId16" Type="http://schemas.openxmlformats.org/officeDocument/2006/relationships/header" Target="header7.xml"/><Relationship Id="rId15" Type="http://schemas.openxmlformats.org/officeDocument/2006/relationships/header" Target="header6.xml"/><Relationship Id="rId14" Type="http://schemas.openxmlformats.org/officeDocument/2006/relationships/footer" Target="footer5.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header" Target="header4.xml"/><Relationship Id="rId10" Type="http://schemas.openxmlformats.org/officeDocument/2006/relationships/footer" Target="footer3.xml"/><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20(x86)\StandardEditor\template\&#22320;&#26041;&#26631;&#20934;.dotx" TargetMode="Externa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440338EE363446FAB43A5FE98642D91C"/>
        <w:style w:val=""/>
        <w:category>
          <w:name w:val="常规"/>
          <w:gallery w:val="placeholder"/>
        </w:category>
        <w:types>
          <w:type w:val="bbPlcHdr"/>
        </w:types>
        <w:behaviors>
          <w:behavior w:val="content"/>
        </w:behaviors>
        <w:description w:val=""/>
        <w:guid w:val="{8C12D1D6-67EE-4E7F-A903-7CDF6B89F69C}"/>
      </w:docPartPr>
      <w:docPartBody>
        <w:p w14:paraId="05E27088">
          <w:pPr>
            <w:pStyle w:val="5"/>
          </w:pPr>
          <w:r>
            <w:rPr>
              <w:rStyle w:val="4"/>
              <w:rFonts w:hint="eastAsia"/>
            </w:rPr>
            <w:t>单击或点击此处输入文字。</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
  <w:rsids>
    <w:rsidRoot w:val="00136004"/>
    <w:rsid w:val="00136004"/>
    <w:rsid w:val="00177349"/>
    <w:rsid w:val="002F61B7"/>
    <w:rsid w:val="00533798"/>
    <w:rsid w:val="0056386B"/>
    <w:rsid w:val="005C40FA"/>
    <w:rsid w:val="005F06DA"/>
    <w:rsid w:val="005F557C"/>
    <w:rsid w:val="00651E67"/>
    <w:rsid w:val="00714F7B"/>
    <w:rsid w:val="009B0CA0"/>
    <w:rsid w:val="00A63E6C"/>
    <w:rsid w:val="00BF021A"/>
    <w:rsid w:val="00CA3715"/>
    <w:rsid w:val="00CD3F5A"/>
    <w:rsid w:val="00E9190C"/>
    <w:rsid w:val="00EE4899"/>
    <w:rsid w:val="00EF0F41"/>
    <w:rsid w:val="00F5714F"/>
    <w:rsid w:val="00FB7D75"/>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qFormat="1" w:uiPriority="99" w:name="Normal Table"/>
    <w:lsdException w:qFormat="1" w:unhideWhenUsed="0" w:uiPriority="99" w:name="Placeholder Text"/>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uiPriority w:val="1"/>
  </w:style>
  <w:style w:type="table" w:default="1" w:styleId="3">
    <w:name w:val="Normal Table"/>
    <w:semiHidden/>
    <w:unhideWhenUsed/>
    <w:qFormat/>
    <w:uiPriority w:val="99"/>
    <w:tblPr>
      <w:tblCellMar>
        <w:top w:w="0" w:type="dxa"/>
        <w:left w:w="108" w:type="dxa"/>
        <w:bottom w:w="0" w:type="dxa"/>
        <w:right w:w="108" w:type="dxa"/>
      </w:tblCellMar>
    </w:tblPr>
  </w:style>
  <w:style w:type="character" w:styleId="4">
    <w:name w:val="Placeholder Text"/>
    <w:basedOn w:val="2"/>
    <w:semiHidden/>
    <w:qFormat/>
    <w:uiPriority w:val="99"/>
    <w:rPr>
      <w:color w:val="808080"/>
    </w:rPr>
  </w:style>
  <w:style w:type="paragraph" w:customStyle="1" w:styleId="5">
    <w:name w:val="440338EE363446FAB43A5FE98642D91C"/>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bwMode="auto">
        <a:noFill/>
        <a:ln w="9525">
          <a:solidFill>
            <a:srgbClr val="000000"/>
          </a:solidFill>
          <a:round/>
        </a:ln>
      </a:spPr>
      <a:bodyPr/>
      <a:lst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地方标准.dotx</Template>
  <Company>PCMI</Company>
  <Pages>24</Pages>
  <Words>6092</Words>
  <Characters>6837</Characters>
  <Lines>58</Lines>
  <Paragraphs>16</Paragraphs>
  <TotalTime>3</TotalTime>
  <ScaleCrop>false</ScaleCrop>
  <LinksUpToDate>false</LinksUpToDate>
  <CharactersWithSpaces>7145</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2024-05-31T07:31:00Z</dcterms:created>
  <dc:creator>黄朝晖</dc:creator>
  <dc:description>&lt;config cover="true" show_menu="true" version="1.0.0" doctype="SDKXY"&gt;_x000d_
&lt;/config&gt;</dc:description>
  <cp:lastModifiedBy>mmme</cp:lastModifiedBy>
  <cp:lastPrinted>2020-08-30T10:00:00Z</cp:lastPrinted>
  <dcterms:modified xsi:type="dcterms:W3CDTF">2024-11-27T02:23:49Z</dcterms:modified>
  <dc:title>地方标准</dc:title>
  <cp:revision>70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type">
    <vt:lpwstr>SDKXY</vt:lpwstr>
  </property>
  <property fmtid="{D5CDD505-2E9C-101B-9397-08002B2CF9AE}" pid="3" name="cover">
    <vt:lpwstr>true</vt:lpwstr>
  </property>
  <property fmtid="{D5CDD505-2E9C-101B-9397-08002B2CF9AE}" pid="4" name="show_menu">
    <vt:lpwstr>true</vt:lpwstr>
  </property>
  <property fmtid="{D5CDD505-2E9C-101B-9397-08002B2CF9AE}" pid="5" name="version">
    <vt:lpwstr>1.0.0</vt:lpwstr>
  </property>
  <property fmtid="{D5CDD505-2E9C-101B-9397-08002B2CF9AE}" pid="6" name="xmlname">
    <vt:lpwstr>地方标准</vt:lpwstr>
  </property>
  <property fmtid="{D5CDD505-2E9C-101B-9397-08002B2CF9AE}" pid="7" name="NSTD_CODE">
    <vt:lpwstr>GB/T-</vt:lpwstr>
  </property>
  <property fmtid="{D5CDD505-2E9C-101B-9397-08002B2CF9AE}" pid="8" name="OSTD_CODE">
    <vt:lpwstr>代替 GB/T-</vt:lpwstr>
  </property>
  <property fmtid="{D5CDD505-2E9C-101B-9397-08002B2CF9AE}" pid="9" name="flag_zhengwen">
    <vt:lpwstr>-1</vt:lpwstr>
  </property>
  <property fmtid="{D5CDD505-2E9C-101B-9397-08002B2CF9AE}" pid="10" name="flag_fulu">
    <vt:lpwstr>0</vt:lpwstr>
  </property>
  <property fmtid="{D5CDD505-2E9C-101B-9397-08002B2CF9AE}" pid="11" name="flag_pic">
    <vt:lpwstr>False</vt:lpwstr>
  </property>
  <property fmtid="{D5CDD505-2E9C-101B-9397-08002B2CF9AE}" pid="12" name="flag_tab">
    <vt:lpwstr>false</vt:lpwstr>
  </property>
  <property fmtid="{D5CDD505-2E9C-101B-9397-08002B2CF9AE}" pid="13" name="NumList">
    <vt:lpwstr>false</vt:lpwstr>
  </property>
  <property fmtid="{D5CDD505-2E9C-101B-9397-08002B2CF9AE}" pid="14" name="KSOProductBuildVer">
    <vt:lpwstr>2052-12.1.0.18912</vt:lpwstr>
  </property>
  <property fmtid="{D5CDD505-2E9C-101B-9397-08002B2CF9AE}" pid="15" name="ICV">
    <vt:lpwstr>BB8B39B39B784365911D40B0259674AA_13</vt:lpwstr>
  </property>
  <property fmtid="{D5CDD505-2E9C-101B-9397-08002B2CF9AE}" pid="16" name="DoublePage">
    <vt:lpwstr>true</vt:lpwstr>
  </property>
</Properties>
</file>