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2E55F1">
        <w:tc>
          <w:tcPr>
            <w:tcW w:w="509" w:type="dxa"/>
          </w:tcPr>
          <w:p w:rsidR="002E55F1" w:rsidRDefault="007965AB">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2E55F1" w:rsidRDefault="007965AB">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xx.0</w:t>
            </w:r>
            <w:r>
              <w:rPr>
                <w:rFonts w:ascii="黑体" w:eastAsia="黑体" w:hAnsi="黑体" w:hint="eastAsia"/>
                <w:sz w:val="21"/>
                <w:szCs w:val="21"/>
              </w:rPr>
              <w:t>xx</w:t>
            </w:r>
            <w:r>
              <w:rPr>
                <w:rFonts w:ascii="黑体" w:eastAsia="黑体" w:hAnsi="黑体"/>
                <w:sz w:val="21"/>
                <w:szCs w:val="21"/>
              </w:rPr>
              <w:fldChar w:fldCharType="end"/>
            </w:r>
            <w:bookmarkEnd w:id="0"/>
          </w:p>
        </w:tc>
      </w:tr>
      <w:tr w:rsidR="002E55F1">
        <w:tc>
          <w:tcPr>
            <w:tcW w:w="509" w:type="dxa"/>
          </w:tcPr>
          <w:p w:rsidR="002E55F1" w:rsidRDefault="007965AB">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2E55F1" w:rsidRDefault="007965AB">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0</w:t>
            </w:r>
            <w:r>
              <w:rPr>
                <w:rFonts w:ascii="黑体" w:eastAsia="黑体" w:hAnsi="黑体" w:hint="eastAsia"/>
                <w:sz w:val="21"/>
                <w:szCs w:val="21"/>
              </w:rPr>
              <w:t>x</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2E55F1">
        <w:tc>
          <w:tcPr>
            <w:tcW w:w="6407" w:type="dxa"/>
          </w:tcPr>
          <w:p w:rsidR="002E55F1" w:rsidRDefault="007965AB">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rsidR="002E55F1" w:rsidRDefault="007965AB">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2E55F1" w:rsidRDefault="007965AB">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2024</w:t>
      </w:r>
      <w:r>
        <w:fldChar w:fldCharType="end"/>
      </w:r>
      <w:bookmarkEnd w:id="7"/>
    </w:p>
    <w:p w:rsidR="002E55F1" w:rsidRDefault="007965AB">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2E55F1" w:rsidRDefault="007965AB">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2E55F1" w:rsidRDefault="002E55F1">
      <w:pPr>
        <w:pStyle w:val="affff9"/>
        <w:framePr w:w="9639" w:h="6976" w:hRule="exact" w:hSpace="0" w:vSpace="0" w:wrap="around" w:hAnchor="page" w:y="6408"/>
        <w:jc w:val="center"/>
        <w:rPr>
          <w:rFonts w:ascii="黑体" w:eastAsia="黑体" w:hAnsi="黑体"/>
          <w:b w:val="0"/>
          <w:bCs w:val="0"/>
          <w:w w:val="100"/>
        </w:rPr>
      </w:pPr>
    </w:p>
    <w:p w:rsidR="002E55F1" w:rsidRDefault="007965AB">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果园废弃物肥料化利用技术规程</w:t>
      </w:r>
      <w:r>
        <w:fldChar w:fldCharType="end"/>
      </w:r>
      <w:bookmarkEnd w:id="9"/>
    </w:p>
    <w:p w:rsidR="002E55F1" w:rsidRDefault="002E55F1">
      <w:pPr>
        <w:framePr w:w="9639" w:h="6974" w:hRule="exact" w:wrap="around" w:vAnchor="page" w:hAnchor="page" w:x="1419" w:y="6408" w:anchorLock="1"/>
        <w:ind w:left="-1418"/>
      </w:pPr>
    </w:p>
    <w:p w:rsidR="002E55F1" w:rsidRDefault="007965AB">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 xml:space="preserve">    Technical code of practice for Fertilization and Utilization of Orchard Wastes</w:t>
      </w:r>
      <w:r>
        <w:rPr>
          <w:rFonts w:ascii="黑体" w:eastAsia="黑体" w:hAnsi="黑体"/>
          <w:szCs w:val="28"/>
        </w:rPr>
        <w:fldChar w:fldCharType="end"/>
      </w:r>
      <w:bookmarkEnd w:id="10"/>
    </w:p>
    <w:p w:rsidR="002E55F1" w:rsidRDefault="002E55F1">
      <w:pPr>
        <w:framePr w:w="9639" w:h="6974" w:hRule="exact" w:wrap="around" w:vAnchor="page" w:hAnchor="page" w:x="1419" w:y="6408" w:anchorLock="1"/>
        <w:spacing w:line="760" w:lineRule="exact"/>
        <w:ind w:left="-1418"/>
      </w:pPr>
    </w:p>
    <w:p w:rsidR="002E55F1" w:rsidRDefault="002E55F1">
      <w:pPr>
        <w:pStyle w:val="afffffff1"/>
        <w:framePr w:w="9639" w:h="6974" w:hRule="exact" w:wrap="around" w:vAnchor="page" w:hAnchor="page" w:x="1419" w:y="6408" w:anchorLock="1"/>
        <w:textAlignment w:val="bottom"/>
        <w:rPr>
          <w:rFonts w:eastAsia="黑体"/>
          <w:szCs w:val="28"/>
        </w:rPr>
      </w:pPr>
    </w:p>
    <w:p w:rsidR="002E55F1" w:rsidRDefault="007965AB">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rsidR="002E55F1" w:rsidRDefault="007965AB">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2E55F1" w:rsidRDefault="007965AB">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rsidR="002E55F1" w:rsidRDefault="007965AB">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2E55F1" w:rsidRDefault="007965AB">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2E55F1" w:rsidRDefault="007965AB">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2E55F1" w:rsidRDefault="007965AB">
      <w:pPr>
        <w:rPr>
          <w:rFonts w:ascii="宋体" w:hAnsi="宋体"/>
          <w:sz w:val="28"/>
          <w:szCs w:val="28"/>
        </w:rPr>
        <w:sectPr w:rsidR="002E55F1">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2E55F1" w:rsidRDefault="007965AB">
      <w:pPr>
        <w:pStyle w:val="a6"/>
        <w:spacing w:before="900" w:after="468"/>
      </w:pPr>
      <w:bookmarkStart w:id="21" w:name="BookMark2"/>
      <w:bookmarkStart w:id="22" w:name="OLE_LINK1"/>
      <w:r>
        <w:rPr>
          <w:spacing w:val="320"/>
        </w:rPr>
        <w:lastRenderedPageBreak/>
        <w:t>前</w:t>
      </w:r>
      <w:r>
        <w:t>言</w:t>
      </w:r>
    </w:p>
    <w:p w:rsidR="002E55F1" w:rsidRDefault="007965AB">
      <w:pPr>
        <w:pStyle w:val="affffe"/>
        <w:ind w:firstLine="420"/>
      </w:pPr>
      <w:r>
        <w:rPr>
          <w:rFonts w:hint="eastAsia"/>
        </w:rPr>
        <w:t>本文件按照GB/T 1.1—2020《标准化工作导则  第1部分：标准化文件的结构和起草规则》的规定起草。</w:t>
      </w:r>
    </w:p>
    <w:p w:rsidR="003F5710" w:rsidRDefault="003F5710">
      <w:pPr>
        <w:pStyle w:val="affffe"/>
        <w:ind w:firstLine="420"/>
      </w:pPr>
      <w:r w:rsidRPr="003F5710">
        <w:rPr>
          <w:rFonts w:hint="eastAsia"/>
        </w:rPr>
        <w:t>请注意本文件的某些内容可能涉及专利。本文件的发布机构不承担识别专利的责任。</w:t>
      </w:r>
    </w:p>
    <w:p w:rsidR="002E55F1" w:rsidRDefault="007965AB">
      <w:pPr>
        <w:pStyle w:val="affffe"/>
        <w:ind w:firstLine="420"/>
      </w:pPr>
      <w:r>
        <w:rPr>
          <w:rFonts w:hint="eastAsia"/>
        </w:rPr>
        <w:t>本文件由江苏省园艺标准化技术委员会</w:t>
      </w:r>
      <w:r w:rsidR="003F5710">
        <w:rPr>
          <w:rFonts w:hint="eastAsia"/>
        </w:rPr>
        <w:t>提出、</w:t>
      </w:r>
      <w:r>
        <w:rPr>
          <w:rFonts w:hint="eastAsia"/>
        </w:rPr>
        <w:t>归口</w:t>
      </w:r>
      <w:r w:rsidR="003F5710">
        <w:rPr>
          <w:rFonts w:hint="eastAsia"/>
        </w:rPr>
        <w:t>并组织实施</w:t>
      </w:r>
      <w:r>
        <w:rPr>
          <w:rFonts w:hint="eastAsia"/>
        </w:rPr>
        <w:t>。</w:t>
      </w:r>
    </w:p>
    <w:p w:rsidR="002E55F1" w:rsidRDefault="007965AB">
      <w:pPr>
        <w:pStyle w:val="affffe"/>
        <w:ind w:firstLine="420"/>
      </w:pPr>
      <w:r>
        <w:rPr>
          <w:rFonts w:hint="eastAsia"/>
        </w:rPr>
        <w:t>本文件起草单位：南京农业大学、江苏省农业科学院、江苏农林职业技术学院、江苏省耕地质量与农业环境保护站、江苏常熟市农</w:t>
      </w:r>
      <w:bookmarkStart w:id="23" w:name="_GoBack"/>
      <w:bookmarkEnd w:id="23"/>
      <w:r>
        <w:rPr>
          <w:rFonts w:hint="eastAsia"/>
        </w:rPr>
        <w:t>业技术推广中心。</w:t>
      </w:r>
    </w:p>
    <w:p w:rsidR="002E55F1" w:rsidRDefault="007965AB">
      <w:pPr>
        <w:pStyle w:val="affffe"/>
        <w:ind w:firstLine="420"/>
      </w:pPr>
      <w:r>
        <w:rPr>
          <w:rFonts w:hint="eastAsia"/>
        </w:rPr>
        <w:t>本文件主要起草人：董彩霞、徐阳春、杨天杰、王中华、汤英、马艳、王炫清、姜海波、潘云俊。</w:t>
      </w:r>
    </w:p>
    <w:p w:rsidR="002E55F1" w:rsidRDefault="002E55F1">
      <w:pPr>
        <w:pStyle w:val="affffe"/>
        <w:ind w:firstLine="420"/>
        <w:sectPr w:rsidR="002E55F1">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type="lines" w:linePitch="312"/>
        </w:sectPr>
      </w:pPr>
    </w:p>
    <w:p w:rsidR="002E55F1" w:rsidRDefault="002E55F1">
      <w:pPr>
        <w:spacing w:line="20" w:lineRule="exact"/>
        <w:jc w:val="center"/>
        <w:rPr>
          <w:rFonts w:ascii="黑体" w:eastAsia="黑体" w:hAnsi="黑体"/>
          <w:sz w:val="32"/>
          <w:szCs w:val="32"/>
        </w:rPr>
      </w:pPr>
      <w:bookmarkStart w:id="24" w:name="BookMark4"/>
      <w:bookmarkEnd w:id="21"/>
      <w:bookmarkEnd w:id="22"/>
    </w:p>
    <w:p w:rsidR="002E55F1" w:rsidRDefault="002E55F1">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353DC6C1CA8942E4B00E3822002346C3"/>
        </w:placeholder>
      </w:sdtPr>
      <w:sdtEndPr/>
      <w:sdtContent>
        <w:p w:rsidR="002E55F1" w:rsidRDefault="007965AB">
          <w:pPr>
            <w:pStyle w:val="afffffffff1"/>
            <w:spacing w:beforeLines="100" w:before="312" w:afterLines="220" w:after="686"/>
          </w:pPr>
          <w:r>
            <w:rPr>
              <w:rFonts w:hint="eastAsia"/>
            </w:rPr>
            <w:t>果园废弃物肥料化利用技术规程</w:t>
          </w:r>
        </w:p>
      </w:sdtContent>
    </w:sdt>
    <w:p w:rsidR="002E55F1" w:rsidRDefault="007965AB">
      <w:pPr>
        <w:pStyle w:val="affc"/>
        <w:spacing w:before="312" w:after="312"/>
      </w:pPr>
      <w:bookmarkStart w:id="26" w:name="_Toc97191423"/>
      <w:bookmarkStart w:id="27" w:name="_Toc26648465"/>
      <w:bookmarkStart w:id="28" w:name="_Toc17233325"/>
      <w:bookmarkStart w:id="29" w:name="_Toc17233333"/>
      <w:bookmarkStart w:id="30" w:name="_Toc26986771"/>
      <w:bookmarkStart w:id="31" w:name="_Toc26718930"/>
      <w:bookmarkStart w:id="32" w:name="_Toc24884211"/>
      <w:bookmarkStart w:id="33" w:name="_Toc24884218"/>
      <w:bookmarkStart w:id="34" w:name="_Toc26986530"/>
      <w:bookmarkEnd w:id="25"/>
      <w:r>
        <w:rPr>
          <w:rFonts w:hint="eastAsia"/>
        </w:rPr>
        <w:t>范围</w:t>
      </w:r>
      <w:bookmarkEnd w:id="26"/>
      <w:bookmarkEnd w:id="27"/>
      <w:bookmarkEnd w:id="28"/>
      <w:bookmarkEnd w:id="29"/>
      <w:bookmarkEnd w:id="30"/>
      <w:bookmarkEnd w:id="31"/>
      <w:bookmarkEnd w:id="32"/>
      <w:bookmarkEnd w:id="33"/>
      <w:bookmarkEnd w:id="34"/>
    </w:p>
    <w:p w:rsidR="002E55F1" w:rsidRDefault="007965AB">
      <w:pPr>
        <w:pStyle w:val="affffe"/>
        <w:ind w:firstLine="420"/>
      </w:pPr>
      <w:bookmarkStart w:id="35" w:name="_Toc17233334"/>
      <w:bookmarkStart w:id="36" w:name="_Toc24884219"/>
      <w:bookmarkStart w:id="37" w:name="_Toc26648466"/>
      <w:bookmarkStart w:id="38" w:name="_Toc17233326"/>
      <w:bookmarkStart w:id="39" w:name="_Toc24884212"/>
      <w:r>
        <w:rPr>
          <w:rFonts w:hint="eastAsia"/>
        </w:rPr>
        <w:t>本文件规定了果园废弃物肥料化利用的术语和定义、场地选择、废弃物收集、废弃物肥料化、废弃果发酵等技术要求。</w:t>
      </w:r>
    </w:p>
    <w:p w:rsidR="002E55F1" w:rsidRDefault="007965AB">
      <w:pPr>
        <w:pStyle w:val="affffe"/>
        <w:ind w:firstLine="420"/>
      </w:pPr>
      <w:r>
        <w:rPr>
          <w:rFonts w:hint="eastAsia"/>
        </w:rPr>
        <w:t>本文件适用于江苏省梨、桃、葡萄、苹果等果园废弃物的肥料化利用。</w:t>
      </w:r>
    </w:p>
    <w:p w:rsidR="002E55F1" w:rsidRDefault="007965AB">
      <w:pPr>
        <w:pStyle w:val="affc"/>
        <w:spacing w:before="312" w:after="312"/>
      </w:pPr>
      <w:bookmarkStart w:id="40" w:name="_Toc26718931"/>
      <w:bookmarkStart w:id="41" w:name="_Toc26986772"/>
      <w:bookmarkStart w:id="42" w:name="_Toc26986531"/>
      <w:bookmarkStart w:id="43" w:name="_Toc97191424"/>
      <w:r>
        <w:rPr>
          <w:rFonts w:hint="eastAsia"/>
        </w:rPr>
        <w:t>规范性引用文件</w:t>
      </w:r>
      <w:bookmarkEnd w:id="35"/>
      <w:bookmarkEnd w:id="36"/>
      <w:bookmarkEnd w:id="37"/>
      <w:bookmarkEnd w:id="38"/>
      <w:bookmarkEnd w:id="39"/>
      <w:bookmarkEnd w:id="40"/>
      <w:bookmarkEnd w:id="41"/>
      <w:bookmarkEnd w:id="42"/>
      <w:bookmarkEnd w:id="43"/>
    </w:p>
    <w:sdt>
      <w:sdtPr>
        <w:rPr>
          <w:rFonts w:hint="eastAsia"/>
        </w:rPr>
        <w:id w:val="715848253"/>
        <w:placeholder>
          <w:docPart w:val="1EF47CAF03974EC1BF7ACF156C74A46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2E55F1" w:rsidRDefault="007965AB">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E55F1" w:rsidRDefault="007965AB">
      <w:pPr>
        <w:pStyle w:val="affffe"/>
        <w:ind w:firstLine="420"/>
      </w:pPr>
      <w:r>
        <w:rPr>
          <w:rFonts w:hint="eastAsia"/>
        </w:rPr>
        <w:t>GB/T 20287 农用微生物菌剂</w:t>
      </w:r>
    </w:p>
    <w:p w:rsidR="002E55F1" w:rsidRDefault="007965AB">
      <w:pPr>
        <w:pStyle w:val="affffe"/>
        <w:ind w:firstLine="420"/>
      </w:pPr>
      <w:r>
        <w:rPr>
          <w:rFonts w:hint="eastAsia"/>
        </w:rPr>
        <w:t>NY/T 3442 畜禽粪便堆肥技术规范</w:t>
      </w:r>
    </w:p>
    <w:p w:rsidR="002E55F1" w:rsidRDefault="007965AB">
      <w:pPr>
        <w:pStyle w:val="affffe"/>
        <w:ind w:firstLine="420"/>
      </w:pPr>
      <w:r>
        <w:rPr>
          <w:rFonts w:hint="eastAsia"/>
        </w:rPr>
        <w:t>NY/T 525 有机肥料</w:t>
      </w:r>
    </w:p>
    <w:p w:rsidR="002E55F1" w:rsidRDefault="007965AB">
      <w:pPr>
        <w:pStyle w:val="affc"/>
        <w:spacing w:before="312" w:after="312"/>
      </w:pPr>
      <w:bookmarkStart w:id="44" w:name="_Toc97191425"/>
      <w:r>
        <w:rPr>
          <w:rFonts w:hint="eastAsia"/>
          <w:szCs w:val="21"/>
        </w:rPr>
        <w:t>术语和定义</w:t>
      </w:r>
      <w:bookmarkEnd w:id="44"/>
    </w:p>
    <w:bookmarkStart w:id="45" w:name="_Toc26986532" w:displacedByCustomXml="next"/>
    <w:bookmarkEnd w:id="45" w:displacedByCustomXml="next"/>
    <w:sdt>
      <w:sdtPr>
        <w:id w:val="-1909835108"/>
        <w:placeholder>
          <w:docPart w:val="CACFC483D1274BC7BBFFEFBBED5B971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2E55F1" w:rsidRDefault="007965AB">
          <w:pPr>
            <w:pStyle w:val="affffe"/>
            <w:ind w:firstLine="420"/>
          </w:pPr>
          <w:r>
            <w:t>下列术语和定义适用于本文件。</w:t>
          </w:r>
        </w:p>
      </w:sdtContent>
    </w:sdt>
    <w:p w:rsidR="002E55F1" w:rsidRDefault="007965AB">
      <w:pPr>
        <w:pStyle w:val="affd"/>
        <w:spacing w:before="156" w:after="156"/>
      </w:pPr>
      <w:r>
        <w:rPr>
          <w:rFonts w:hint="eastAsia"/>
        </w:rPr>
        <w:t>果园废弃物 Orchard Wastes</w:t>
      </w:r>
    </w:p>
    <w:p w:rsidR="002E55F1" w:rsidRDefault="007965AB">
      <w:pPr>
        <w:pStyle w:val="affffe"/>
        <w:ind w:firstLine="420"/>
      </w:pPr>
      <w:r>
        <w:rPr>
          <w:rFonts w:hint="eastAsia"/>
        </w:rPr>
        <w:t>指果树生产过程中，因整形修剪而产生的枝条以及废弃果、冬季落叶等有机物料。</w:t>
      </w:r>
    </w:p>
    <w:p w:rsidR="002E55F1" w:rsidRDefault="007965AB">
      <w:pPr>
        <w:pStyle w:val="affd"/>
        <w:spacing w:before="156" w:after="156"/>
      </w:pPr>
      <w:r>
        <w:rPr>
          <w:rFonts w:hint="eastAsia"/>
        </w:rPr>
        <w:t xml:space="preserve">肥料化 Fertilization </w:t>
      </w:r>
    </w:p>
    <w:p w:rsidR="002E55F1" w:rsidRDefault="007965AB">
      <w:pPr>
        <w:pStyle w:val="affffe"/>
        <w:ind w:firstLine="420"/>
      </w:pPr>
      <w:r>
        <w:rPr>
          <w:rFonts w:hint="eastAsia"/>
        </w:rPr>
        <w:t>通过堆肥、发酵等措施，把果园废弃物转变为有机类肥料的过程。</w:t>
      </w:r>
    </w:p>
    <w:p w:rsidR="002E55F1" w:rsidRDefault="007965AB">
      <w:pPr>
        <w:pStyle w:val="affd"/>
        <w:spacing w:before="156" w:after="156"/>
      </w:pPr>
      <w:r>
        <w:rPr>
          <w:rFonts w:hint="eastAsia"/>
        </w:rPr>
        <w:t>专用发酵菌 Special Fermentation Microbial Inoculum</w:t>
      </w:r>
    </w:p>
    <w:p w:rsidR="002E55F1" w:rsidRDefault="007965AB">
      <w:pPr>
        <w:pStyle w:val="affffe"/>
        <w:ind w:firstLine="420"/>
      </w:pPr>
      <w:r>
        <w:rPr>
          <w:rFonts w:hint="eastAsia"/>
        </w:rPr>
        <w:t>应符合GB/T 20287的规定，要求对纤维素、木质素有良好的分解作用且为正规厂家生产。</w:t>
      </w:r>
    </w:p>
    <w:p w:rsidR="002E55F1" w:rsidRDefault="007965AB">
      <w:pPr>
        <w:pStyle w:val="affd"/>
        <w:spacing w:before="156" w:after="156"/>
      </w:pPr>
      <w:r>
        <w:rPr>
          <w:rFonts w:hint="eastAsia"/>
        </w:rPr>
        <w:t>糖蜜 Molasses</w:t>
      </w:r>
    </w:p>
    <w:p w:rsidR="002E55F1" w:rsidRDefault="007965AB">
      <w:pPr>
        <w:pStyle w:val="affffe"/>
        <w:ind w:firstLine="420"/>
        <w:rPr>
          <w:color w:val="FF0000"/>
        </w:rPr>
      </w:pPr>
      <w:r>
        <w:rPr>
          <w:rFonts w:hint="eastAsia"/>
        </w:rPr>
        <w:t>甘蔗、甜菜等经制糖工艺提取糖结晶后剩余的粘稠液体。</w:t>
      </w:r>
    </w:p>
    <w:p w:rsidR="002E55F1" w:rsidRDefault="007965AB">
      <w:pPr>
        <w:pStyle w:val="affc"/>
        <w:spacing w:before="312" w:after="312"/>
      </w:pPr>
      <w:r>
        <w:rPr>
          <w:rFonts w:hint="eastAsia"/>
        </w:rPr>
        <w:t>场地要求</w:t>
      </w:r>
    </w:p>
    <w:p w:rsidR="002E55F1" w:rsidRDefault="007965AB">
      <w:pPr>
        <w:pStyle w:val="affffe"/>
        <w:ind w:firstLine="420"/>
      </w:pPr>
      <w:r>
        <w:rPr>
          <w:rFonts w:hint="eastAsia"/>
        </w:rPr>
        <w:t>选择果园内背风向阳、地势平坦、交通便利和取水方便，适合废弃物处理的场所。</w:t>
      </w:r>
    </w:p>
    <w:p w:rsidR="002E55F1" w:rsidRDefault="007965AB">
      <w:pPr>
        <w:pStyle w:val="affc"/>
        <w:spacing w:before="312" w:after="312"/>
      </w:pPr>
      <w:r>
        <w:rPr>
          <w:rFonts w:hint="eastAsia"/>
        </w:rPr>
        <w:t>废弃物收集</w:t>
      </w:r>
    </w:p>
    <w:p w:rsidR="002E55F1" w:rsidRDefault="007965AB">
      <w:pPr>
        <w:pStyle w:val="affffe"/>
        <w:ind w:firstLine="420"/>
        <w:rPr>
          <w:color w:val="FF0000"/>
        </w:rPr>
      </w:pPr>
      <w:r>
        <w:rPr>
          <w:rFonts w:hint="eastAsia"/>
        </w:rPr>
        <w:t>及时收集果园修剪枝条，落叶、废弃果，分拣出扎绳等杂物，运输到堆肥场，堆放整齐备用。</w:t>
      </w:r>
    </w:p>
    <w:p w:rsidR="002E55F1" w:rsidRDefault="007965AB">
      <w:pPr>
        <w:pStyle w:val="affc"/>
        <w:spacing w:before="312" w:after="312"/>
      </w:pPr>
      <w:r>
        <w:rPr>
          <w:rFonts w:hint="eastAsia"/>
        </w:rPr>
        <w:lastRenderedPageBreak/>
        <w:t>废弃物肥料化</w:t>
      </w:r>
    </w:p>
    <w:p w:rsidR="002E55F1" w:rsidRDefault="007965AB">
      <w:pPr>
        <w:pStyle w:val="affd"/>
        <w:spacing w:before="156" w:after="156"/>
      </w:pPr>
      <w:r>
        <w:rPr>
          <w:rFonts w:hint="eastAsia"/>
        </w:rPr>
        <w:t>枝叶堆肥</w:t>
      </w:r>
    </w:p>
    <w:p w:rsidR="002E55F1" w:rsidRDefault="007965AB">
      <w:pPr>
        <w:pStyle w:val="affffe"/>
        <w:spacing w:beforeLines="50" w:before="156" w:afterLines="50" w:after="156"/>
        <w:ind w:firstLineChars="0" w:firstLine="0"/>
        <w:outlineLvl w:val="2"/>
        <w:rPr>
          <w:rFonts w:ascii="黑体" w:eastAsia="黑体" w:hAnsi="黑体" w:cs="黑体"/>
          <w:szCs w:val="21"/>
        </w:rPr>
      </w:pPr>
      <w:r>
        <w:rPr>
          <w:rFonts w:ascii="黑体" w:eastAsia="黑体" w:hAnsi="黑体" w:cs="黑体" w:hint="eastAsia"/>
          <w:szCs w:val="21"/>
        </w:rPr>
        <w:t xml:space="preserve">6.1.1 </w:t>
      </w:r>
      <w:bookmarkStart w:id="46" w:name="_Hlk182580438"/>
      <w:r>
        <w:rPr>
          <w:rFonts w:ascii="黑体" w:eastAsia="黑体" w:hAnsi="黑体" w:cs="黑体" w:hint="eastAsia"/>
          <w:szCs w:val="21"/>
        </w:rPr>
        <w:t>预处理</w:t>
      </w:r>
    </w:p>
    <w:p w:rsidR="002E55F1" w:rsidRDefault="007965AB">
      <w:pPr>
        <w:pStyle w:val="affffe"/>
        <w:ind w:firstLine="420"/>
        <w:rPr>
          <w:rFonts w:ascii="Times New Roman"/>
          <w:color w:val="FF0000"/>
        </w:rPr>
      </w:pPr>
      <w:r>
        <w:rPr>
          <w:rFonts w:ascii="Times New Roman"/>
        </w:rPr>
        <w:t>用</w:t>
      </w:r>
      <w:r>
        <w:rPr>
          <w:rFonts w:ascii="Times New Roman" w:hint="eastAsia"/>
        </w:rPr>
        <w:t>专用</w:t>
      </w:r>
      <w:r>
        <w:rPr>
          <w:rFonts w:ascii="Times New Roman"/>
        </w:rPr>
        <w:t>粉碎机将枝条粉碎为颗粒小于</w:t>
      </w:r>
      <w:r>
        <w:rPr>
          <w:rFonts w:ascii="Times New Roman"/>
        </w:rPr>
        <w:t>2</w:t>
      </w:r>
      <w:r>
        <w:rPr>
          <w:rFonts w:ascii="Times New Roman" w:hint="eastAsia"/>
        </w:rPr>
        <w:t>厘米</w:t>
      </w:r>
      <w:r>
        <w:rPr>
          <w:rFonts w:ascii="Times New Roman"/>
        </w:rPr>
        <w:t>的</w:t>
      </w:r>
      <w:r>
        <w:rPr>
          <w:rFonts w:ascii="Times New Roman" w:hint="eastAsia"/>
        </w:rPr>
        <w:t>粒径，</w:t>
      </w:r>
      <w:r>
        <w:rPr>
          <w:rFonts w:ascii="Times New Roman"/>
        </w:rPr>
        <w:t>落叶</w:t>
      </w:r>
      <w:r>
        <w:rPr>
          <w:rFonts w:ascii="Times New Roman" w:hint="eastAsia"/>
        </w:rPr>
        <w:t>可</w:t>
      </w:r>
      <w:r>
        <w:rPr>
          <w:rFonts w:ascii="Times New Roman"/>
        </w:rPr>
        <w:t>直接与枝条颗粒混合处理。</w:t>
      </w:r>
    </w:p>
    <w:p w:rsidR="002E55F1" w:rsidRDefault="007965AB">
      <w:pPr>
        <w:pStyle w:val="affffe"/>
        <w:spacing w:beforeLines="50" w:before="156" w:afterLines="50" w:after="156"/>
        <w:ind w:firstLineChars="0" w:firstLine="0"/>
        <w:outlineLvl w:val="2"/>
        <w:rPr>
          <w:rFonts w:ascii="黑体" w:eastAsia="黑体" w:hAnsi="黑体" w:cs="黑体"/>
          <w:szCs w:val="21"/>
        </w:rPr>
      </w:pPr>
      <w:r>
        <w:rPr>
          <w:rFonts w:ascii="黑体" w:eastAsia="黑体" w:hAnsi="黑体" w:cs="黑体" w:hint="eastAsia"/>
          <w:szCs w:val="21"/>
        </w:rPr>
        <w:t>6.1.2 调节碳氮比</w:t>
      </w:r>
    </w:p>
    <w:p w:rsidR="002E55F1" w:rsidRDefault="007965AB">
      <w:pPr>
        <w:pStyle w:val="affffe"/>
        <w:ind w:firstLine="420"/>
        <w:rPr>
          <w:rFonts w:ascii="Times New Roman"/>
          <w:color w:val="FF0000"/>
        </w:rPr>
      </w:pPr>
      <w:r>
        <w:rPr>
          <w:rFonts w:ascii="Times New Roman"/>
        </w:rPr>
        <w:t>按</w:t>
      </w:r>
      <w:r>
        <w:rPr>
          <w:rFonts w:ascii="Times New Roman"/>
        </w:rPr>
        <w:t>NY/T 3442</w:t>
      </w:r>
      <w:r>
        <w:rPr>
          <w:rFonts w:ascii="Times New Roman"/>
        </w:rPr>
        <w:t>中的</w:t>
      </w:r>
      <w:r>
        <w:rPr>
          <w:rFonts w:ascii="Times New Roman" w:hint="eastAsia"/>
        </w:rPr>
        <w:t>5.2.1</w:t>
      </w:r>
      <w:r>
        <w:rPr>
          <w:rFonts w:ascii="Times New Roman"/>
        </w:rPr>
        <w:t>规定，</w:t>
      </w:r>
      <w:r>
        <w:rPr>
          <w:rFonts w:ascii="Times New Roman" w:hint="eastAsia"/>
        </w:rPr>
        <w:t>将适量畜禽粪便与待</w:t>
      </w:r>
      <w:r>
        <w:rPr>
          <w:rFonts w:ascii="Times New Roman"/>
        </w:rPr>
        <w:t>处理物料</w:t>
      </w:r>
      <w:r>
        <w:rPr>
          <w:rFonts w:ascii="Times New Roman" w:hint="eastAsia"/>
        </w:rPr>
        <w:t>混合均匀</w:t>
      </w:r>
      <w:r>
        <w:rPr>
          <w:rFonts w:ascii="Times New Roman"/>
        </w:rPr>
        <w:t>，调节物料碳氮比至</w:t>
      </w:r>
      <w:r>
        <w:rPr>
          <w:rFonts w:ascii="Times New Roman"/>
        </w:rPr>
        <w:t>20:1</w:t>
      </w:r>
      <w:r>
        <w:rPr>
          <w:rFonts w:ascii="Times New Roman"/>
        </w:rPr>
        <w:t>～</w:t>
      </w:r>
      <w:r>
        <w:rPr>
          <w:rFonts w:ascii="Times New Roman"/>
        </w:rPr>
        <w:t>40:1</w:t>
      </w:r>
      <w:r>
        <w:rPr>
          <w:rFonts w:ascii="Times New Roman"/>
        </w:rPr>
        <w:t>，可</w:t>
      </w:r>
      <w:r>
        <w:rPr>
          <w:rFonts w:ascii="Times New Roman" w:hint="eastAsia"/>
        </w:rPr>
        <w:t>适量</w:t>
      </w:r>
      <w:r>
        <w:rPr>
          <w:rFonts w:ascii="Times New Roman"/>
        </w:rPr>
        <w:t>加尿素溶液调节。</w:t>
      </w:r>
    </w:p>
    <w:p w:rsidR="002E55F1" w:rsidRDefault="007965AB">
      <w:pPr>
        <w:pStyle w:val="affffe"/>
        <w:spacing w:beforeLines="50" w:before="156" w:afterLines="50" w:after="156"/>
        <w:ind w:firstLineChars="0" w:firstLine="0"/>
        <w:outlineLvl w:val="2"/>
        <w:rPr>
          <w:rFonts w:ascii="黑体" w:eastAsia="黑体" w:hAnsi="黑体" w:cs="黑体"/>
          <w:szCs w:val="21"/>
        </w:rPr>
      </w:pPr>
      <w:r>
        <w:rPr>
          <w:rFonts w:ascii="黑体" w:eastAsia="黑体" w:hAnsi="黑体" w:cs="黑体" w:hint="eastAsia"/>
          <w:szCs w:val="21"/>
        </w:rPr>
        <w:t>6.1.3 调节含水量</w:t>
      </w:r>
    </w:p>
    <w:p w:rsidR="002E55F1" w:rsidRDefault="007965AB">
      <w:pPr>
        <w:pStyle w:val="affffe"/>
        <w:ind w:firstLine="420"/>
        <w:rPr>
          <w:rFonts w:ascii="Times New Roman"/>
          <w:color w:val="FF0000"/>
        </w:rPr>
      </w:pPr>
      <w:r>
        <w:rPr>
          <w:rFonts w:ascii="Times New Roman" w:hint="eastAsia"/>
        </w:rPr>
        <w:t>将待处理物料相对含水量调整到</w:t>
      </w:r>
      <w:r>
        <w:rPr>
          <w:rFonts w:ascii="Times New Roman" w:hint="eastAsia"/>
        </w:rPr>
        <w:t>55 %</w:t>
      </w:r>
      <w:r>
        <w:rPr>
          <w:rFonts w:ascii="Times New Roman" w:hint="eastAsia"/>
        </w:rPr>
        <w:t>～</w:t>
      </w:r>
      <w:r>
        <w:rPr>
          <w:rFonts w:ascii="Times New Roman" w:hint="eastAsia"/>
        </w:rPr>
        <w:t>60 %</w:t>
      </w:r>
      <w:r>
        <w:rPr>
          <w:rFonts w:ascii="Times New Roman" w:hint="eastAsia"/>
        </w:rPr>
        <w:t>。</w:t>
      </w:r>
    </w:p>
    <w:bookmarkEnd w:id="46"/>
    <w:p w:rsidR="002E55F1" w:rsidRDefault="007965AB">
      <w:pPr>
        <w:pStyle w:val="affffe"/>
        <w:spacing w:beforeLines="50" w:before="156" w:afterLines="50" w:after="156"/>
        <w:ind w:firstLineChars="0" w:firstLine="0"/>
        <w:outlineLvl w:val="2"/>
        <w:rPr>
          <w:rFonts w:ascii="黑体" w:eastAsia="黑体" w:hAnsi="黑体" w:cs="黑体"/>
          <w:szCs w:val="21"/>
        </w:rPr>
      </w:pPr>
      <w:r>
        <w:rPr>
          <w:rFonts w:ascii="黑体" w:eastAsia="黑体" w:hAnsi="黑体" w:cs="黑体" w:hint="eastAsia"/>
          <w:szCs w:val="21"/>
        </w:rPr>
        <w:t>6.1.4 接种发酵</w:t>
      </w:r>
      <w:proofErr w:type="gramStart"/>
      <w:r>
        <w:rPr>
          <w:rFonts w:ascii="黑体" w:eastAsia="黑体" w:hAnsi="黑体" w:cs="黑体" w:hint="eastAsia"/>
          <w:szCs w:val="21"/>
        </w:rPr>
        <w:t>菌</w:t>
      </w:r>
      <w:proofErr w:type="gramEnd"/>
    </w:p>
    <w:p w:rsidR="002E55F1" w:rsidRDefault="007965AB">
      <w:pPr>
        <w:pStyle w:val="affffe"/>
        <w:ind w:firstLine="420"/>
        <w:rPr>
          <w:rFonts w:ascii="Times New Roman"/>
          <w:color w:val="FF0000"/>
        </w:rPr>
      </w:pPr>
      <w:r>
        <w:rPr>
          <w:rFonts w:ascii="Times New Roman" w:hint="eastAsia"/>
        </w:rPr>
        <w:t>按待处理物料质量的</w:t>
      </w:r>
      <w:r>
        <w:rPr>
          <w:rFonts w:ascii="Times New Roman" w:hint="eastAsia"/>
        </w:rPr>
        <w:t>0.1 %</w:t>
      </w:r>
      <w:r>
        <w:rPr>
          <w:rFonts w:ascii="Times New Roman" w:hint="eastAsia"/>
        </w:rPr>
        <w:t>～</w:t>
      </w:r>
      <w:r>
        <w:rPr>
          <w:rFonts w:ascii="Times New Roman" w:hint="eastAsia"/>
        </w:rPr>
        <w:t>0.2 %</w:t>
      </w:r>
      <w:r>
        <w:rPr>
          <w:rFonts w:ascii="Times New Roman" w:hint="eastAsia"/>
        </w:rPr>
        <w:t>接种适合枝叶分解的专用发酵菌，充分搅拌混匀。</w:t>
      </w:r>
    </w:p>
    <w:p w:rsidR="002E55F1" w:rsidRDefault="007965AB">
      <w:pPr>
        <w:pStyle w:val="affffe"/>
        <w:spacing w:beforeLines="50" w:before="156" w:afterLines="50" w:after="156"/>
        <w:ind w:firstLineChars="0" w:firstLine="0"/>
        <w:outlineLvl w:val="2"/>
        <w:rPr>
          <w:rFonts w:ascii="黑体" w:eastAsia="黑体" w:hAnsi="黑体" w:cs="黑体"/>
          <w:szCs w:val="21"/>
        </w:rPr>
      </w:pPr>
      <w:r>
        <w:rPr>
          <w:rFonts w:ascii="黑体" w:eastAsia="黑体" w:hAnsi="黑体" w:cs="黑体" w:hint="eastAsia"/>
          <w:szCs w:val="21"/>
        </w:rPr>
        <w:t>6.1.5 堆制</w:t>
      </w:r>
    </w:p>
    <w:p w:rsidR="002E55F1" w:rsidRDefault="007965AB">
      <w:pPr>
        <w:pStyle w:val="affffe"/>
        <w:ind w:firstLine="420"/>
        <w:rPr>
          <w:rFonts w:ascii="Times New Roman"/>
          <w:color w:val="FF0000"/>
        </w:rPr>
      </w:pPr>
      <w:r>
        <w:rPr>
          <w:rFonts w:ascii="Times New Roman" w:hint="eastAsia"/>
        </w:rPr>
        <w:t>将物料堆置底宽</w:t>
      </w:r>
      <w:r>
        <w:rPr>
          <w:rFonts w:ascii="Times New Roman" w:hint="eastAsia"/>
        </w:rPr>
        <w:t>2</w:t>
      </w:r>
      <w:r>
        <w:rPr>
          <w:rFonts w:ascii="Times New Roman" w:hint="eastAsia"/>
        </w:rPr>
        <w:t>米～</w:t>
      </w:r>
      <w:r>
        <w:rPr>
          <w:rFonts w:ascii="Times New Roman" w:hint="eastAsia"/>
        </w:rPr>
        <w:t>3</w:t>
      </w:r>
      <w:r>
        <w:rPr>
          <w:rFonts w:ascii="Times New Roman" w:hint="eastAsia"/>
        </w:rPr>
        <w:t>米，高</w:t>
      </w:r>
      <w:r>
        <w:rPr>
          <w:rFonts w:ascii="Times New Roman" w:hint="eastAsia"/>
        </w:rPr>
        <w:t>1.5</w:t>
      </w:r>
      <w:r>
        <w:rPr>
          <w:rFonts w:ascii="Times New Roman" w:hint="eastAsia"/>
        </w:rPr>
        <w:t>米～</w:t>
      </w:r>
      <w:r>
        <w:rPr>
          <w:rFonts w:ascii="Times New Roman" w:hint="eastAsia"/>
        </w:rPr>
        <w:t>2</w:t>
      </w:r>
      <w:r>
        <w:rPr>
          <w:rFonts w:ascii="Times New Roman" w:hint="eastAsia"/>
        </w:rPr>
        <w:t>米，长度不限的梯形堆，并盖塑料膜防雨。</w:t>
      </w:r>
    </w:p>
    <w:p w:rsidR="002E55F1" w:rsidRDefault="007965AB">
      <w:pPr>
        <w:pStyle w:val="affffe"/>
        <w:spacing w:beforeLines="50" w:before="156" w:afterLines="50" w:after="156"/>
        <w:ind w:firstLineChars="0" w:firstLine="0"/>
        <w:outlineLvl w:val="2"/>
        <w:rPr>
          <w:rFonts w:ascii="黑体" w:eastAsia="黑体" w:hAnsi="黑体" w:cs="黑体"/>
          <w:szCs w:val="21"/>
        </w:rPr>
      </w:pPr>
      <w:r>
        <w:rPr>
          <w:rFonts w:ascii="黑体" w:eastAsia="黑体" w:hAnsi="黑体" w:cs="黑体" w:hint="eastAsia"/>
          <w:szCs w:val="21"/>
        </w:rPr>
        <w:t>6.1.6 测温</w:t>
      </w:r>
    </w:p>
    <w:p w:rsidR="002E55F1" w:rsidRDefault="007965AB">
      <w:pPr>
        <w:pStyle w:val="affffe"/>
        <w:ind w:firstLine="420"/>
        <w:rPr>
          <w:rFonts w:ascii="Times New Roman"/>
          <w:color w:val="FF0000"/>
        </w:rPr>
      </w:pPr>
      <w:r>
        <w:rPr>
          <w:rFonts w:ascii="Times New Roman" w:hint="eastAsia"/>
        </w:rPr>
        <w:t>堆制</w:t>
      </w:r>
      <w:r>
        <w:rPr>
          <w:rFonts w:ascii="Times New Roman" w:hint="eastAsia"/>
        </w:rPr>
        <w:t>24</w:t>
      </w:r>
      <w:r>
        <w:rPr>
          <w:rFonts w:ascii="Times New Roman" w:hint="eastAsia"/>
        </w:rPr>
        <w:t>小时后，每天上午</w:t>
      </w:r>
      <w:r>
        <w:rPr>
          <w:rFonts w:ascii="Times New Roman" w:hint="eastAsia"/>
        </w:rPr>
        <w:t>10:00</w:t>
      </w:r>
      <w:r>
        <w:rPr>
          <w:rFonts w:ascii="Times New Roman" w:hint="eastAsia"/>
        </w:rPr>
        <w:t>或下午</w:t>
      </w:r>
      <w:r>
        <w:rPr>
          <w:rFonts w:ascii="Times New Roman" w:hint="eastAsia"/>
        </w:rPr>
        <w:t>4:00</w:t>
      </w:r>
      <w:r>
        <w:rPr>
          <w:rFonts w:ascii="Times New Roman" w:hint="eastAsia"/>
        </w:rPr>
        <w:t>前后测量并记录肥堆表层下</w:t>
      </w:r>
      <w:r>
        <w:rPr>
          <w:rFonts w:ascii="Times New Roman" w:hint="eastAsia"/>
        </w:rPr>
        <w:t>20</w:t>
      </w:r>
      <w:r>
        <w:rPr>
          <w:rFonts w:ascii="Times New Roman" w:hint="eastAsia"/>
        </w:rPr>
        <w:t>厘米～</w:t>
      </w:r>
      <w:r>
        <w:rPr>
          <w:rFonts w:ascii="Times New Roman" w:hint="eastAsia"/>
        </w:rPr>
        <w:t>25</w:t>
      </w:r>
      <w:r>
        <w:rPr>
          <w:rFonts w:ascii="Times New Roman" w:hint="eastAsia"/>
        </w:rPr>
        <w:t>厘米处温度，每次选择</w:t>
      </w:r>
      <w:r>
        <w:rPr>
          <w:rFonts w:ascii="Times New Roman" w:hint="eastAsia"/>
        </w:rPr>
        <w:t>4</w:t>
      </w:r>
      <w:r>
        <w:rPr>
          <w:rFonts w:ascii="Times New Roman" w:hint="eastAsia"/>
        </w:rPr>
        <w:t>个～</w:t>
      </w:r>
      <w:r>
        <w:rPr>
          <w:rFonts w:ascii="Times New Roman" w:hint="eastAsia"/>
        </w:rPr>
        <w:t>5</w:t>
      </w:r>
      <w:r>
        <w:rPr>
          <w:rFonts w:ascii="Times New Roman" w:hint="eastAsia"/>
        </w:rPr>
        <w:t>个不同的位置测定并求平均值，记录温度达到</w:t>
      </w:r>
      <w:r>
        <w:rPr>
          <w:rFonts w:ascii="Times New Roman" w:hint="eastAsia"/>
        </w:rPr>
        <w:t xml:space="preserve">60 </w:t>
      </w:r>
      <w:r>
        <w:rPr>
          <w:rFonts w:ascii="Times New Roman" w:hint="eastAsia"/>
        </w:rPr>
        <w:t>℃以上的天数。</w:t>
      </w:r>
    </w:p>
    <w:p w:rsidR="002E55F1" w:rsidRDefault="007965AB">
      <w:pPr>
        <w:pStyle w:val="affffe"/>
        <w:spacing w:beforeLines="50" w:before="156" w:afterLines="50" w:after="156"/>
        <w:ind w:firstLineChars="0" w:firstLine="0"/>
        <w:outlineLvl w:val="2"/>
        <w:rPr>
          <w:rFonts w:ascii="黑体" w:eastAsia="黑体" w:hAnsi="黑体" w:cs="黑体"/>
          <w:szCs w:val="21"/>
        </w:rPr>
      </w:pPr>
      <w:r>
        <w:rPr>
          <w:rFonts w:ascii="黑体" w:eastAsia="黑体" w:hAnsi="黑体" w:cs="黑体" w:hint="eastAsia"/>
          <w:szCs w:val="21"/>
        </w:rPr>
        <w:t>6.1.7 翻堆</w:t>
      </w:r>
    </w:p>
    <w:p w:rsidR="002E55F1" w:rsidRDefault="007965AB">
      <w:pPr>
        <w:pStyle w:val="affffe"/>
        <w:ind w:firstLine="420"/>
        <w:rPr>
          <w:rFonts w:ascii="Times New Roman"/>
        </w:rPr>
      </w:pPr>
      <w:r>
        <w:rPr>
          <w:rFonts w:ascii="Times New Roman" w:hint="eastAsia"/>
        </w:rPr>
        <w:t>当堆肥温度开始下降时，翻堆、砌堆，</w:t>
      </w:r>
      <w:proofErr w:type="gramStart"/>
      <w:r>
        <w:rPr>
          <w:rFonts w:ascii="Times New Roman" w:hint="eastAsia"/>
        </w:rPr>
        <w:t>砌堆</w:t>
      </w:r>
      <w:r>
        <w:rPr>
          <w:rFonts w:ascii="Times New Roman" w:hint="eastAsia"/>
        </w:rPr>
        <w:t>24</w:t>
      </w:r>
      <w:r>
        <w:rPr>
          <w:rFonts w:ascii="Times New Roman" w:hint="eastAsia"/>
        </w:rPr>
        <w:t>小时后</w:t>
      </w:r>
      <w:proofErr w:type="gramEnd"/>
      <w:r>
        <w:rPr>
          <w:rFonts w:ascii="Times New Roman" w:hint="eastAsia"/>
        </w:rPr>
        <w:t>测定温度。</w:t>
      </w:r>
      <w:proofErr w:type="gramStart"/>
      <w:r>
        <w:rPr>
          <w:rFonts w:ascii="Times New Roman" w:hint="eastAsia"/>
        </w:rPr>
        <w:t>当堆温再次</w:t>
      </w:r>
      <w:proofErr w:type="gramEnd"/>
      <w:r>
        <w:rPr>
          <w:rFonts w:ascii="Times New Roman" w:hint="eastAsia"/>
        </w:rPr>
        <w:t>下降时，翻堆，翻后砌堆，如此反复；若翻堆后温度上升缓慢，宜补充适量尿素溶液调节碳氮比。</w:t>
      </w:r>
    </w:p>
    <w:p w:rsidR="002E55F1" w:rsidRDefault="007965AB">
      <w:pPr>
        <w:pStyle w:val="affffe"/>
        <w:spacing w:beforeLines="50" w:before="156" w:afterLines="50" w:after="156"/>
        <w:ind w:firstLineChars="0" w:firstLine="0"/>
        <w:outlineLvl w:val="2"/>
        <w:rPr>
          <w:rFonts w:ascii="黑体" w:eastAsia="黑体" w:hAnsi="黑体" w:cs="黑体"/>
          <w:szCs w:val="21"/>
        </w:rPr>
      </w:pPr>
      <w:r>
        <w:rPr>
          <w:rFonts w:ascii="黑体" w:eastAsia="黑体" w:hAnsi="黑体" w:cs="黑体" w:hint="eastAsia"/>
          <w:szCs w:val="21"/>
        </w:rPr>
        <w:t>6.1.8 腐熟</w:t>
      </w:r>
    </w:p>
    <w:p w:rsidR="002E55F1" w:rsidRDefault="007965AB">
      <w:pPr>
        <w:pStyle w:val="affffe"/>
        <w:ind w:firstLine="420"/>
        <w:rPr>
          <w:rFonts w:ascii="Times New Roman"/>
        </w:rPr>
      </w:pPr>
      <w:r>
        <w:rPr>
          <w:rFonts w:ascii="Times New Roman" w:hint="eastAsia"/>
        </w:rPr>
        <w:t>堆肥至</w:t>
      </w:r>
      <w:r>
        <w:rPr>
          <w:rFonts w:ascii="Times New Roman" w:hint="eastAsia"/>
        </w:rPr>
        <w:t>50</w:t>
      </w:r>
      <w:r>
        <w:rPr>
          <w:rFonts w:ascii="Times New Roman" w:hint="eastAsia"/>
        </w:rPr>
        <w:t>天～</w:t>
      </w:r>
      <w:r>
        <w:rPr>
          <w:rFonts w:ascii="Times New Roman" w:hint="eastAsia"/>
        </w:rPr>
        <w:t>60</w:t>
      </w:r>
      <w:r>
        <w:rPr>
          <w:rFonts w:ascii="Times New Roman" w:hint="eastAsia"/>
        </w:rPr>
        <w:t>天，</w:t>
      </w:r>
      <w:proofErr w:type="gramStart"/>
      <w:r>
        <w:rPr>
          <w:rFonts w:ascii="Times New Roman" w:hint="eastAsia"/>
        </w:rPr>
        <w:t>堆温逐渐</w:t>
      </w:r>
      <w:proofErr w:type="gramEnd"/>
      <w:r>
        <w:rPr>
          <w:rFonts w:ascii="Times New Roman" w:hint="eastAsia"/>
        </w:rPr>
        <w:t>下降并稳定在</w:t>
      </w:r>
      <w:r>
        <w:rPr>
          <w:rFonts w:ascii="Times New Roman" w:hint="eastAsia"/>
        </w:rPr>
        <w:t xml:space="preserve">35 </w:t>
      </w:r>
      <w:r>
        <w:rPr>
          <w:rFonts w:ascii="Times New Roman" w:hint="eastAsia"/>
        </w:rPr>
        <w:t>℃</w:t>
      </w:r>
      <w:r>
        <w:rPr>
          <w:rFonts w:ascii="Times New Roman" w:hint="eastAsia"/>
        </w:rPr>
        <w:t xml:space="preserve">~40 </w:t>
      </w:r>
      <w:r>
        <w:rPr>
          <w:rFonts w:ascii="Times New Roman" w:hint="eastAsia"/>
        </w:rPr>
        <w:t>℃，物料颜色呈黑褐色时，表明物料已经腐熟。</w:t>
      </w:r>
    </w:p>
    <w:p w:rsidR="002E55F1" w:rsidRDefault="007965AB">
      <w:pPr>
        <w:pStyle w:val="affffe"/>
        <w:spacing w:beforeLines="50" w:before="156" w:afterLines="50" w:after="156"/>
        <w:ind w:firstLineChars="0" w:firstLine="0"/>
        <w:outlineLvl w:val="2"/>
        <w:rPr>
          <w:rFonts w:ascii="黑体" w:eastAsia="黑体" w:hAnsi="黑体" w:cs="黑体"/>
          <w:szCs w:val="21"/>
        </w:rPr>
      </w:pPr>
      <w:r>
        <w:rPr>
          <w:rFonts w:ascii="黑体" w:eastAsia="黑体" w:hAnsi="黑体" w:cs="黑体" w:hint="eastAsia"/>
          <w:szCs w:val="21"/>
        </w:rPr>
        <w:t>6.1.9 后熟</w:t>
      </w:r>
    </w:p>
    <w:p w:rsidR="002E55F1" w:rsidRDefault="007965AB">
      <w:pPr>
        <w:pStyle w:val="affffe"/>
        <w:ind w:firstLine="420"/>
        <w:rPr>
          <w:rFonts w:ascii="Times New Roman"/>
        </w:rPr>
      </w:pPr>
      <w:r>
        <w:rPr>
          <w:rFonts w:ascii="Times New Roman" w:hint="eastAsia"/>
        </w:rPr>
        <w:t>将肥堆压实，使内部处于厌氧状态。一般</w:t>
      </w:r>
      <w:r>
        <w:rPr>
          <w:rFonts w:ascii="Times New Roman" w:hint="eastAsia"/>
        </w:rPr>
        <w:t>6</w:t>
      </w:r>
      <w:r>
        <w:rPr>
          <w:rFonts w:ascii="Times New Roman" w:hint="eastAsia"/>
        </w:rPr>
        <w:t>个月后堆肥从外观上呈褐色，湿时手感柔软有弹性，干时易破碎，表明堆肥已充分腐熟。堆肥的技术指标按</w:t>
      </w:r>
      <w:r>
        <w:rPr>
          <w:rFonts w:ascii="Times New Roman" w:hint="eastAsia"/>
          <w:szCs w:val="21"/>
        </w:rPr>
        <w:t>NY/T525</w:t>
      </w:r>
      <w:r>
        <w:rPr>
          <w:rFonts w:ascii="Times New Roman" w:hint="eastAsia"/>
          <w:szCs w:val="21"/>
        </w:rPr>
        <w:t>的规定执行。</w:t>
      </w:r>
    </w:p>
    <w:p w:rsidR="002E55F1" w:rsidRDefault="007965AB">
      <w:pPr>
        <w:pStyle w:val="affd"/>
        <w:spacing w:before="156" w:after="156"/>
      </w:pPr>
      <w:r>
        <w:rPr>
          <w:rFonts w:hint="eastAsia"/>
        </w:rPr>
        <w:t>废弃果发酵</w:t>
      </w:r>
    </w:p>
    <w:p w:rsidR="002E55F1" w:rsidRDefault="007965AB">
      <w:pPr>
        <w:pStyle w:val="affffe"/>
        <w:spacing w:beforeLines="50" w:before="156" w:afterLines="50" w:after="156"/>
        <w:ind w:firstLineChars="0" w:firstLine="0"/>
        <w:outlineLvl w:val="2"/>
        <w:rPr>
          <w:rFonts w:ascii="黑体" w:eastAsia="黑体" w:hAnsi="黑体" w:cs="黑体"/>
          <w:szCs w:val="21"/>
        </w:rPr>
      </w:pPr>
      <w:r>
        <w:rPr>
          <w:rFonts w:ascii="黑体" w:eastAsia="黑体" w:hAnsi="黑体" w:cs="黑体" w:hint="eastAsia"/>
          <w:szCs w:val="21"/>
        </w:rPr>
        <w:t>6.2.1 切分</w:t>
      </w:r>
    </w:p>
    <w:p w:rsidR="002E55F1" w:rsidRDefault="007965AB">
      <w:pPr>
        <w:pStyle w:val="affffe"/>
        <w:ind w:firstLine="420"/>
        <w:rPr>
          <w:rFonts w:ascii="Times New Roman"/>
          <w:color w:val="FF0000"/>
        </w:rPr>
      </w:pPr>
      <w:r>
        <w:rPr>
          <w:rFonts w:ascii="Times New Roman" w:hint="eastAsia"/>
        </w:rPr>
        <w:t>将收集的废弃果切成小于</w:t>
      </w:r>
      <w:r>
        <w:rPr>
          <w:rFonts w:ascii="Times New Roman" w:hint="eastAsia"/>
        </w:rPr>
        <w:t>4</w:t>
      </w:r>
      <w:r>
        <w:rPr>
          <w:rFonts w:ascii="Times New Roman" w:hint="eastAsia"/>
        </w:rPr>
        <w:t>厘米备用。</w:t>
      </w:r>
    </w:p>
    <w:p w:rsidR="002E55F1" w:rsidRDefault="007965AB">
      <w:pPr>
        <w:pStyle w:val="affffe"/>
        <w:spacing w:beforeLines="50" w:before="156" w:afterLines="50" w:after="156"/>
        <w:ind w:firstLineChars="0" w:firstLine="0"/>
        <w:outlineLvl w:val="2"/>
        <w:rPr>
          <w:rFonts w:ascii="黑体" w:eastAsia="黑体" w:hAnsi="黑体" w:cs="黑体"/>
          <w:szCs w:val="21"/>
        </w:rPr>
      </w:pPr>
      <w:r>
        <w:rPr>
          <w:rFonts w:ascii="黑体" w:eastAsia="黑体" w:hAnsi="黑体" w:cs="黑体" w:hint="eastAsia"/>
          <w:szCs w:val="21"/>
        </w:rPr>
        <w:t>6.2.2 发酵</w:t>
      </w:r>
    </w:p>
    <w:p w:rsidR="002E55F1" w:rsidRDefault="007965AB">
      <w:pPr>
        <w:pStyle w:val="affffe"/>
        <w:ind w:firstLine="420"/>
        <w:rPr>
          <w:rFonts w:ascii="Times New Roman"/>
          <w:color w:val="FF0000"/>
        </w:rPr>
      </w:pPr>
      <w:r>
        <w:rPr>
          <w:rFonts w:ascii="Times New Roman" w:hint="eastAsia"/>
        </w:rPr>
        <w:lastRenderedPageBreak/>
        <w:t>以果块、糖蜜及清水为原料，宜</w:t>
      </w:r>
      <w:proofErr w:type="gramStart"/>
      <w:r>
        <w:rPr>
          <w:rFonts w:ascii="Times New Roman" w:hint="eastAsia"/>
        </w:rPr>
        <w:t>按果块</w:t>
      </w:r>
      <w:proofErr w:type="gramEnd"/>
      <w:r>
        <w:rPr>
          <w:rFonts w:ascii="Times New Roman" w:hint="eastAsia"/>
        </w:rPr>
        <w:t>︰糖蜜︰清水</w:t>
      </w:r>
      <w:r>
        <w:rPr>
          <w:rFonts w:ascii="Times New Roman" w:hint="eastAsia"/>
        </w:rPr>
        <w:t>=</w:t>
      </w:r>
      <w:r>
        <w:rPr>
          <w:rFonts w:ascii="Times New Roman" w:hint="eastAsia"/>
        </w:rPr>
        <w:t>（</w:t>
      </w:r>
      <w:r>
        <w:rPr>
          <w:rFonts w:ascii="Times New Roman" w:hint="eastAsia"/>
        </w:rPr>
        <w:t>10~20</w:t>
      </w:r>
      <w:r>
        <w:rPr>
          <w:rFonts w:ascii="Times New Roman" w:hint="eastAsia"/>
        </w:rPr>
        <w:t>）</w:t>
      </w:r>
      <w:proofErr w:type="gramStart"/>
      <w:r>
        <w:rPr>
          <w:rFonts w:ascii="Times New Roman" w:hint="eastAsia"/>
        </w:rPr>
        <w:t>公斤∶</w:t>
      </w:r>
      <w:proofErr w:type="gramEnd"/>
      <w:r>
        <w:rPr>
          <w:rFonts w:ascii="Times New Roman" w:hint="eastAsia"/>
        </w:rPr>
        <w:t xml:space="preserve">1 </w:t>
      </w:r>
      <w:r>
        <w:rPr>
          <w:rFonts w:ascii="Times New Roman" w:hint="eastAsia"/>
        </w:rPr>
        <w:t>公斤∶（</w:t>
      </w:r>
      <w:r>
        <w:rPr>
          <w:rFonts w:ascii="Times New Roman" w:hint="eastAsia"/>
        </w:rPr>
        <w:t>20~40</w:t>
      </w:r>
      <w:r>
        <w:rPr>
          <w:rFonts w:ascii="Times New Roman" w:hint="eastAsia"/>
        </w:rPr>
        <w:t>）公斤混合，添加</w:t>
      </w:r>
      <w:r>
        <w:rPr>
          <w:rFonts w:ascii="Times New Roman" w:hint="eastAsia"/>
        </w:rPr>
        <w:t>0.5 %</w:t>
      </w:r>
      <w:r>
        <w:rPr>
          <w:rFonts w:ascii="Times New Roman" w:hint="eastAsia"/>
        </w:rPr>
        <w:t>菌剂，装入相应的容器中，密封后置于遮阴通风的地方进行发酵，</w:t>
      </w:r>
      <w:r>
        <w:rPr>
          <w:rFonts w:ascii="Times New Roman" w:hint="eastAsia"/>
        </w:rPr>
        <w:t>2</w:t>
      </w:r>
      <w:r>
        <w:rPr>
          <w:rFonts w:ascii="Times New Roman" w:hint="eastAsia"/>
        </w:rPr>
        <w:t>天</w:t>
      </w:r>
      <w:r>
        <w:rPr>
          <w:rFonts w:ascii="Times New Roman" w:hint="eastAsia"/>
        </w:rPr>
        <w:t>~3</w:t>
      </w:r>
      <w:r>
        <w:rPr>
          <w:rFonts w:ascii="Times New Roman" w:hint="eastAsia"/>
        </w:rPr>
        <w:t>天充分搅拌一次，</w:t>
      </w:r>
      <w:r>
        <w:rPr>
          <w:rFonts w:ascii="Times New Roman" w:hint="eastAsia"/>
        </w:rPr>
        <w:t>7</w:t>
      </w:r>
      <w:r>
        <w:rPr>
          <w:rFonts w:ascii="Times New Roman" w:hint="eastAsia"/>
        </w:rPr>
        <w:t>周</w:t>
      </w:r>
      <w:r>
        <w:rPr>
          <w:rFonts w:ascii="Times New Roman" w:hint="eastAsia"/>
        </w:rPr>
        <w:t>~8</w:t>
      </w:r>
      <w:r>
        <w:rPr>
          <w:rFonts w:ascii="Times New Roman" w:hint="eastAsia"/>
        </w:rPr>
        <w:t>周完成发酵。一般没有明显可见的果块，且溶液呈棕褐色，表明发酵完成</w:t>
      </w:r>
      <w:r>
        <w:rPr>
          <w:rFonts w:ascii="Times New Roman"/>
        </w:rPr>
        <w:t>。</w:t>
      </w:r>
    </w:p>
    <w:p w:rsidR="002E55F1" w:rsidRDefault="007965AB">
      <w:pPr>
        <w:pStyle w:val="affc"/>
        <w:spacing w:before="312" w:after="312"/>
      </w:pPr>
      <w:r>
        <w:rPr>
          <w:rFonts w:hint="eastAsia"/>
        </w:rPr>
        <w:t>施用</w:t>
      </w:r>
    </w:p>
    <w:p w:rsidR="002E55F1" w:rsidRDefault="007965AB">
      <w:pPr>
        <w:pStyle w:val="affffe"/>
        <w:ind w:firstLine="420"/>
      </w:pPr>
      <w:r>
        <w:rPr>
          <w:rFonts w:hint="eastAsia"/>
        </w:rPr>
        <w:t>堆肥宜作基肥施用，发酵液宜作追肥施用。</w:t>
      </w:r>
      <w:bookmarkEnd w:id="24"/>
    </w:p>
    <w:p w:rsidR="002E55F1" w:rsidRDefault="002E55F1">
      <w:pPr>
        <w:pStyle w:val="affffe"/>
        <w:ind w:firstLine="420"/>
      </w:pPr>
    </w:p>
    <w:p w:rsidR="002E55F1" w:rsidRDefault="007965AB">
      <w:pPr>
        <w:pStyle w:val="affffe"/>
        <w:ind w:firstLine="420"/>
        <w:rPr>
          <w:rFonts w:ascii="黑体" w:eastAsia="黑体" w:hAnsi="黑体"/>
          <w:b/>
        </w:rPr>
      </w:pPr>
      <w:r>
        <w:rPr>
          <w:rFonts w:hint="eastAsia"/>
        </w:rPr>
        <w:t xml:space="preserve"> </w:t>
      </w:r>
      <w:r>
        <w:t xml:space="preserve">                       </w:t>
      </w:r>
      <w:r>
        <w:rPr>
          <w:rFonts w:ascii="黑体" w:eastAsia="黑体" w:hAnsi="黑体" w:hint="eastAsia"/>
          <w:b/>
        </w:rPr>
        <w:t>——</w:t>
      </w:r>
      <w:proofErr w:type="gramStart"/>
      <w:r>
        <w:rPr>
          <w:rFonts w:ascii="黑体" w:eastAsia="黑体" w:hAnsi="黑体" w:hint="eastAsia"/>
          <w:b/>
        </w:rPr>
        <w:t>——————————————</w:t>
      </w:r>
      <w:proofErr w:type="gramEnd"/>
    </w:p>
    <w:p w:rsidR="002E55F1" w:rsidRDefault="002E55F1"/>
    <w:p w:rsidR="002E55F1" w:rsidRDefault="002E55F1"/>
    <w:p w:rsidR="002E55F1" w:rsidRDefault="007965AB">
      <w:pPr>
        <w:tabs>
          <w:tab w:val="left" w:pos="7382"/>
        </w:tabs>
      </w:pPr>
      <w:r>
        <w:tab/>
      </w:r>
    </w:p>
    <w:sectPr w:rsidR="002E55F1">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796" w:rsidRDefault="00422796">
      <w:pPr>
        <w:spacing w:line="240" w:lineRule="auto"/>
      </w:pPr>
      <w:r>
        <w:separator/>
      </w:r>
    </w:p>
  </w:endnote>
  <w:endnote w:type="continuationSeparator" w:id="0">
    <w:p w:rsidR="00422796" w:rsidRDefault="004227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1" w:rsidRDefault="007965AB">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1" w:rsidRDefault="002E55F1">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1" w:rsidRDefault="002E55F1">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1" w:rsidRDefault="007965AB">
    <w:pPr>
      <w:pStyle w:val="affffb"/>
    </w:pPr>
    <w:r>
      <w:fldChar w:fldCharType="begin"/>
    </w:r>
    <w:r>
      <w:instrText>PAGE   \* MERGEFORMAT</w:instrText>
    </w:r>
    <w:r>
      <w:fldChar w:fldCharType="separate"/>
    </w:r>
    <w:r w:rsidR="0036369A" w:rsidRPr="0036369A">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796" w:rsidRDefault="00422796">
      <w:pPr>
        <w:spacing w:line="240" w:lineRule="auto"/>
      </w:pPr>
      <w:r>
        <w:separator/>
      </w:r>
    </w:p>
  </w:footnote>
  <w:footnote w:type="continuationSeparator" w:id="0">
    <w:p w:rsidR="00422796" w:rsidRDefault="004227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1" w:rsidRDefault="002E55F1">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1" w:rsidRDefault="007965AB">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1" w:rsidRDefault="002E55F1">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1" w:rsidRDefault="007965AB">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32/T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F1" w:rsidRDefault="007965AB">
    <w:pPr>
      <w:pStyle w:val="afffff3"/>
    </w:pPr>
    <w:r>
      <w:fldChar w:fldCharType="begin"/>
    </w:r>
    <w:r>
      <w:instrText xml:space="preserve"> STYLEREF  标准文件_文件编号  \* MERGEFORMAT </w:instrText>
    </w:r>
    <w:r>
      <w:fldChar w:fldCharType="separate"/>
    </w:r>
    <w:r w:rsidR="0036369A">
      <w:rPr>
        <w:noProof/>
      </w:rPr>
      <w:t>DB 32/T XXXX</w:t>
    </w:r>
    <w:r w:rsidR="0036369A">
      <w:rPr>
        <w:noProof/>
      </w:rPr>
      <w:t>—</w:t>
    </w:r>
    <w:r w:rsidR="0036369A">
      <w:rPr>
        <w:noProof/>
      </w:rPr>
      <w:t>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Wr17/ztRa0OYU49pi+7o6xYsXG6+GYEaJkeefxNa9UdjuyFA3lTG2wZ25qovsL3T3df2U+v8nv1Ju3ydbXfL3w==" w:salt="0IMg1W8TwlPXut+NxSv6F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1ZWIzNzkzZmMwYzM4ODY5Mjk2NDhlZDVmOGZlNGUifQ=="/>
  </w:docVars>
  <w:rsids>
    <w:rsidRoot w:val="0063301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675F"/>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A1B"/>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0DC2"/>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2F4E"/>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58C2"/>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55F1"/>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03B3"/>
    <w:rsid w:val="003331E4"/>
    <w:rsid w:val="00336C64"/>
    <w:rsid w:val="00337162"/>
    <w:rsid w:val="0034194F"/>
    <w:rsid w:val="00344605"/>
    <w:rsid w:val="003474AA"/>
    <w:rsid w:val="00350D1D"/>
    <w:rsid w:val="00352C83"/>
    <w:rsid w:val="003615D2"/>
    <w:rsid w:val="0036369A"/>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5710"/>
    <w:rsid w:val="003F6272"/>
    <w:rsid w:val="00400E72"/>
    <w:rsid w:val="00401400"/>
    <w:rsid w:val="00404869"/>
    <w:rsid w:val="00405884"/>
    <w:rsid w:val="00407D39"/>
    <w:rsid w:val="0041477A"/>
    <w:rsid w:val="004167A3"/>
    <w:rsid w:val="00422796"/>
    <w:rsid w:val="00432DAA"/>
    <w:rsid w:val="00434305"/>
    <w:rsid w:val="00435DF7"/>
    <w:rsid w:val="00440211"/>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52D8"/>
    <w:rsid w:val="004A63FA"/>
    <w:rsid w:val="004B0272"/>
    <w:rsid w:val="004B2701"/>
    <w:rsid w:val="004B2E1B"/>
    <w:rsid w:val="004B3AA8"/>
    <w:rsid w:val="004B3E93"/>
    <w:rsid w:val="004C1FBC"/>
    <w:rsid w:val="004C2325"/>
    <w:rsid w:val="004C37BF"/>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01F"/>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452"/>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1B56"/>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0FDD"/>
    <w:rsid w:val="0078114B"/>
    <w:rsid w:val="00781DD2"/>
    <w:rsid w:val="00783ECF"/>
    <w:rsid w:val="0078413A"/>
    <w:rsid w:val="00791E48"/>
    <w:rsid w:val="007959E8"/>
    <w:rsid w:val="00795E9C"/>
    <w:rsid w:val="007965AB"/>
    <w:rsid w:val="0079786A"/>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0891"/>
    <w:rsid w:val="00902722"/>
    <w:rsid w:val="009027BC"/>
    <w:rsid w:val="009062E6"/>
    <w:rsid w:val="00911BE5"/>
    <w:rsid w:val="00913CA9"/>
    <w:rsid w:val="009145AE"/>
    <w:rsid w:val="009146CE"/>
    <w:rsid w:val="00914ADD"/>
    <w:rsid w:val="00914CA7"/>
    <w:rsid w:val="00915C3E"/>
    <w:rsid w:val="009161A8"/>
    <w:rsid w:val="009245F5"/>
    <w:rsid w:val="009249EC"/>
    <w:rsid w:val="009273B3"/>
    <w:rsid w:val="009305B5"/>
    <w:rsid w:val="009323B4"/>
    <w:rsid w:val="00934C5E"/>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77F55"/>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0601"/>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58EB"/>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3CE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6FE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7B62"/>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5FEC"/>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77D65"/>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43D0"/>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2FB393A"/>
    <w:rsid w:val="162C7D6D"/>
    <w:rsid w:val="17CE175F"/>
    <w:rsid w:val="275859A0"/>
    <w:rsid w:val="3CF67395"/>
    <w:rsid w:val="455111E9"/>
    <w:rsid w:val="5AF42F80"/>
    <w:rsid w:val="69E668E6"/>
    <w:rsid w:val="69EB3B55"/>
    <w:rsid w:val="715C53A0"/>
    <w:rsid w:val="724712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53DC6C1CA8942E4B00E3822002346C3"/>
        <w:category>
          <w:name w:val="常规"/>
          <w:gallery w:val="placeholder"/>
        </w:category>
        <w:types>
          <w:type w:val="bbPlcHdr"/>
        </w:types>
        <w:behaviors>
          <w:behavior w:val="content"/>
        </w:behaviors>
        <w:guid w:val="{9FD18608-9043-40E0-8027-FD9DF9ECFED3}"/>
      </w:docPartPr>
      <w:docPartBody>
        <w:p w:rsidR="00225868" w:rsidRDefault="00703F16">
          <w:pPr>
            <w:pStyle w:val="353DC6C1CA8942E4B00E3822002346C3"/>
          </w:pPr>
          <w:r>
            <w:rPr>
              <w:rStyle w:val="a3"/>
              <w:rFonts w:hint="eastAsia"/>
            </w:rPr>
            <w:t>单击或点击此处输入文字。</w:t>
          </w:r>
        </w:p>
      </w:docPartBody>
    </w:docPart>
    <w:docPart>
      <w:docPartPr>
        <w:name w:val="1EF47CAF03974EC1BF7ACF156C74A461"/>
        <w:category>
          <w:name w:val="常规"/>
          <w:gallery w:val="placeholder"/>
        </w:category>
        <w:types>
          <w:type w:val="bbPlcHdr"/>
        </w:types>
        <w:behaviors>
          <w:behavior w:val="content"/>
        </w:behaviors>
        <w:guid w:val="{C9A0416E-ED9E-407D-8293-A2864DFAE3B5}"/>
      </w:docPartPr>
      <w:docPartBody>
        <w:p w:rsidR="00225868" w:rsidRDefault="00703F16">
          <w:pPr>
            <w:pStyle w:val="1EF47CAF03974EC1BF7ACF156C74A461"/>
          </w:pPr>
          <w:r>
            <w:rPr>
              <w:rStyle w:val="a3"/>
              <w:rFonts w:hint="eastAsia"/>
            </w:rPr>
            <w:t>选择一项。</w:t>
          </w:r>
        </w:p>
      </w:docPartBody>
    </w:docPart>
    <w:docPart>
      <w:docPartPr>
        <w:name w:val="CACFC483D1274BC7BBFFEFBBED5B971B"/>
        <w:category>
          <w:name w:val="常规"/>
          <w:gallery w:val="placeholder"/>
        </w:category>
        <w:types>
          <w:type w:val="bbPlcHdr"/>
        </w:types>
        <w:behaviors>
          <w:behavior w:val="content"/>
        </w:behaviors>
        <w:guid w:val="{61FCCFC0-3D04-4B8C-8A8A-AB9788359FA1}"/>
      </w:docPartPr>
      <w:docPartBody>
        <w:p w:rsidR="00225868" w:rsidRDefault="00703F16">
          <w:pPr>
            <w:pStyle w:val="CACFC483D1274BC7BBFFEFBBED5B971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oNotDisplayPageBoundaries/>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3E7"/>
    <w:rsid w:val="000700FF"/>
    <w:rsid w:val="000C12FA"/>
    <w:rsid w:val="00225868"/>
    <w:rsid w:val="002470D1"/>
    <w:rsid w:val="003303B3"/>
    <w:rsid w:val="00332CFB"/>
    <w:rsid w:val="00361BCD"/>
    <w:rsid w:val="00422E8A"/>
    <w:rsid w:val="00703F16"/>
    <w:rsid w:val="00AD2932"/>
    <w:rsid w:val="00B333E7"/>
    <w:rsid w:val="00DC5D8D"/>
    <w:rsid w:val="00DD5FEC"/>
    <w:rsid w:val="00EC3CCE"/>
    <w:rsid w:val="00F743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53DC6C1CA8942E4B00E3822002346C3">
    <w:name w:val="353DC6C1CA8942E4B00E3822002346C3"/>
    <w:qFormat/>
    <w:pPr>
      <w:widowControl w:val="0"/>
      <w:jc w:val="both"/>
    </w:pPr>
    <w:rPr>
      <w:kern w:val="2"/>
      <w:sz w:val="21"/>
      <w:szCs w:val="22"/>
    </w:rPr>
  </w:style>
  <w:style w:type="paragraph" w:customStyle="1" w:styleId="1EF47CAF03974EC1BF7ACF156C74A461">
    <w:name w:val="1EF47CAF03974EC1BF7ACF156C74A461"/>
    <w:qFormat/>
    <w:pPr>
      <w:widowControl w:val="0"/>
      <w:jc w:val="both"/>
    </w:pPr>
    <w:rPr>
      <w:kern w:val="2"/>
      <w:sz w:val="21"/>
      <w:szCs w:val="22"/>
    </w:rPr>
  </w:style>
  <w:style w:type="paragraph" w:customStyle="1" w:styleId="CACFC483D1274BC7BBFFEFBBED5B971B">
    <w:name w:val="CACFC483D1274BC7BBFFEFBBED5B971B"/>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53DC6C1CA8942E4B00E3822002346C3">
    <w:name w:val="353DC6C1CA8942E4B00E3822002346C3"/>
    <w:qFormat/>
    <w:pPr>
      <w:widowControl w:val="0"/>
      <w:jc w:val="both"/>
    </w:pPr>
    <w:rPr>
      <w:kern w:val="2"/>
      <w:sz w:val="21"/>
      <w:szCs w:val="22"/>
    </w:rPr>
  </w:style>
  <w:style w:type="paragraph" w:customStyle="1" w:styleId="1EF47CAF03974EC1BF7ACF156C74A461">
    <w:name w:val="1EF47CAF03974EC1BF7ACF156C74A461"/>
    <w:qFormat/>
    <w:pPr>
      <w:widowControl w:val="0"/>
      <w:jc w:val="both"/>
    </w:pPr>
    <w:rPr>
      <w:kern w:val="2"/>
      <w:sz w:val="21"/>
      <w:szCs w:val="22"/>
    </w:rPr>
  </w:style>
  <w:style w:type="paragraph" w:customStyle="1" w:styleId="CACFC483D1274BC7BBFFEFBBED5B971B">
    <w:name w:val="CACFC483D1274BC7BBFFEFBBED5B971B"/>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5D6FBC-DBDE-4780-A7CE-6080A40C8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TotalTime>
  <Pages>1</Pages>
  <Words>331</Words>
  <Characters>1893</Characters>
  <Application>Microsoft Office Word</Application>
  <DocSecurity>0</DocSecurity>
  <Lines>15</Lines>
  <Paragraphs>4</Paragraphs>
  <ScaleCrop>false</ScaleCrop>
  <Company>PCMI</Company>
  <LinksUpToDate>false</LinksUpToDate>
  <CharactersWithSpaces>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梁彪</cp:lastModifiedBy>
  <cp:revision>12</cp:revision>
  <cp:lastPrinted>2020-08-30T10:00:00Z</cp:lastPrinted>
  <dcterms:created xsi:type="dcterms:W3CDTF">2024-11-15T07:56:00Z</dcterms:created>
  <dcterms:modified xsi:type="dcterms:W3CDTF">2024-11-27T01:03:00Z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2052-12.1.0.18345</vt:lpwstr>
  </property>
  <property fmtid="{D5CDD505-2E9C-101B-9397-08002B2CF9AE}" pid="15" name="ICV">
    <vt:lpwstr>C4B0EFF3A1194DE9A385787296D5D01A_13</vt:lpwstr>
  </property>
</Properties>
</file>