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4D" w:rsidRDefault="00994F4D" w:rsidP="00994F4D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94F4D" w:rsidRDefault="00994F4D" w:rsidP="00994F4D">
      <w:pPr>
        <w:spacing w:line="570" w:lineRule="exact"/>
        <w:rPr>
          <w:rFonts w:ascii="宋体" w:eastAsia="方正仿宋_GBK" w:hAnsi="宋体" w:cs="方正仿宋_GBK"/>
          <w:sz w:val="32"/>
          <w:szCs w:val="32"/>
        </w:rPr>
      </w:pPr>
    </w:p>
    <w:p w:rsidR="00994F4D" w:rsidRDefault="00994F4D" w:rsidP="00994F4D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2024年江苏省正高级知识产权师评审通过</w:t>
      </w:r>
    </w:p>
    <w:p w:rsidR="00994F4D" w:rsidRDefault="00994F4D" w:rsidP="00994F4D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人员名单（9人）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龚跃鹏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曹冬梅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蒋海军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江苏瑞途律师事务所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李建芳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南京正律知识产权代理事务所（普通合伙）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吴嘉禄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常州市知识产权保护中心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沈良菊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南京苏科专利代理有限责任公司扬州分公司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韩奎国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江苏汇智知识产权服务有限公司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鞠志平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靖江市市场监督管理局</w:t>
      </w:r>
    </w:p>
    <w:p w:rsidR="00994F4D" w:rsidRDefault="00994F4D" w:rsidP="00994F4D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李海涛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>
        <w:rPr>
          <w:rFonts w:ascii="宋体" w:eastAsia="方正仿宋_GBK" w:hAnsi="宋体" w:cs="方正仿宋_GBK" w:hint="eastAsia"/>
          <w:sz w:val="32"/>
          <w:szCs w:val="32"/>
        </w:rPr>
        <w:t>中国石化集团南京化学工业有限公司</w:t>
      </w:r>
    </w:p>
    <w:p w:rsidR="003A2D67" w:rsidRPr="00994F4D" w:rsidRDefault="003A2D67"/>
    <w:sectPr w:rsidR="003A2D67" w:rsidRPr="00994F4D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F4D"/>
    <w:rsid w:val="00366CCE"/>
    <w:rsid w:val="003A2D67"/>
    <w:rsid w:val="00960B2C"/>
    <w:rsid w:val="009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4D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Win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2024-12-05T02:07:00Z</dcterms:created>
  <dcterms:modified xsi:type="dcterms:W3CDTF">2024-12-05T02:07:00Z</dcterms:modified>
</cp:coreProperties>
</file>