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1E63" w14:textId="77777777" w:rsidR="006C571E" w:rsidRDefault="00000000">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附件3</w:t>
      </w:r>
    </w:p>
    <w:p w14:paraId="34E7A10B" w14:textId="77777777" w:rsidR="006C571E" w:rsidRDefault="00000000">
      <w:pPr>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评分标准</w:t>
      </w:r>
    </w:p>
    <w:p w14:paraId="3519FE1C" w14:textId="77777777" w:rsidR="006C571E" w:rsidRDefault="006C571E">
      <w:pPr>
        <w:rPr>
          <w:rFonts w:ascii="方正仿宋_GBK" w:eastAsia="方正仿宋_GBK" w:hAnsi="方正仿宋_GBK" w:cs="方正仿宋_GBK" w:hint="eastAsia"/>
          <w:sz w:val="32"/>
          <w:szCs w:val="32"/>
        </w:rPr>
      </w:pPr>
    </w:p>
    <w:p w14:paraId="41364D37"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一、单位基本情况（25分）</w:t>
      </w:r>
    </w:p>
    <w:p w14:paraId="5B3D170A" w14:textId="77777777" w:rsidR="006C571E" w:rsidRDefault="00000000">
      <w:pPr>
        <w:ind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（一）员工规模（10分）</w:t>
      </w:r>
    </w:p>
    <w:p w14:paraId="51A9AF3A" w14:textId="77777777" w:rsidR="006C571E" w:rsidRDefault="00000000">
      <w:pPr>
        <w:ind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员工人数≥50人的，计10分；10人≤员工人数＜50人的，计5分；员工人数＜10人的不计分。（需提交2024年任意月份全体员工社保缴纳证明）</w:t>
      </w:r>
    </w:p>
    <w:p w14:paraId="75B420AE" w14:textId="77777777" w:rsidR="006C571E" w:rsidRDefault="00000000">
      <w:pPr>
        <w:ind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（二）本地化服务能力（5分）</w:t>
      </w:r>
    </w:p>
    <w:p w14:paraId="1A56A089" w14:textId="77777777" w:rsidR="006C571E" w:rsidRDefault="00000000">
      <w:pPr>
        <w:ind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单位在江苏注册的，计5分；单位在江苏有注册分支机构的，计3分；否则不计分。（需提交对应的营业执照）</w:t>
      </w:r>
    </w:p>
    <w:p w14:paraId="08595BD9" w14:textId="77777777" w:rsidR="006C571E" w:rsidRDefault="00000000">
      <w:pPr>
        <w:ind w:left="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（三）境外组展能力（10分）</w:t>
      </w:r>
    </w:p>
    <w:p w14:paraId="67255086"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2024年组织境外展会数量≥30个的，计10分；≥20个且＜30个的，计5分；＜20个的不计分。[境外</w:t>
      </w:r>
      <w:proofErr w:type="gramStart"/>
      <w:r>
        <w:rPr>
          <w:rFonts w:ascii="方正仿宋_GBK" w:eastAsia="方正仿宋_GBK" w:hAnsi="方正仿宋_GBK" w:cs="方正仿宋_GBK" w:hint="eastAsia"/>
          <w:sz w:val="32"/>
          <w:szCs w:val="32"/>
        </w:rPr>
        <w:t>展会指</w:t>
      </w:r>
      <w:proofErr w:type="gramEnd"/>
      <w:r>
        <w:rPr>
          <w:rFonts w:ascii="方正仿宋_GBK" w:eastAsia="方正仿宋_GBK" w:hAnsi="方正仿宋_GBK" w:cs="方正仿宋_GBK" w:hint="eastAsia"/>
          <w:sz w:val="32"/>
          <w:szCs w:val="32"/>
        </w:rPr>
        <w:t>在中国大陆以外举办的展会；需提交展会名单，每个</w:t>
      </w:r>
      <w:proofErr w:type="gramStart"/>
      <w:r>
        <w:rPr>
          <w:rFonts w:ascii="方正仿宋_GBK" w:eastAsia="方正仿宋_GBK" w:hAnsi="方正仿宋_GBK" w:cs="方正仿宋_GBK" w:hint="eastAsia"/>
          <w:sz w:val="32"/>
          <w:szCs w:val="32"/>
        </w:rPr>
        <w:t>展会需</w:t>
      </w:r>
      <w:proofErr w:type="gramEnd"/>
      <w:r>
        <w:rPr>
          <w:rFonts w:ascii="方正仿宋_GBK" w:eastAsia="方正仿宋_GBK" w:hAnsi="方正仿宋_GBK" w:cs="方正仿宋_GBK" w:hint="eastAsia"/>
          <w:sz w:val="32"/>
          <w:szCs w:val="32"/>
        </w:rPr>
        <w:t>提交向展会主办方汇款的银行水单或主办方开具的发票，或向一级代理方汇款的银行水单或一级代理方开具的发票（均需提交展会主办方给该代理方的授权证明），不计算向非主办方、非一级代理报名的展会；银行水单、发票原件上需标注展会年度和名称]</w:t>
      </w:r>
    </w:p>
    <w:p w14:paraId="1D8F0377"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二、展会组织能力（江苏省内企业组织能力）（30分）</w:t>
      </w:r>
    </w:p>
    <w:p w14:paraId="1284BD75" w14:textId="77777777" w:rsidR="006C571E" w:rsidRDefault="00000000">
      <w:pPr>
        <w:ind w:left="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（一）上一届展会江苏组展面积（10分）</w:t>
      </w:r>
    </w:p>
    <w:p w14:paraId="0964E116"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上一届</w:t>
      </w:r>
      <w:proofErr w:type="gramStart"/>
      <w:r>
        <w:rPr>
          <w:rFonts w:ascii="方正仿宋_GBK" w:eastAsia="方正仿宋_GBK" w:hAnsi="方正仿宋_GBK" w:cs="方正仿宋_GBK" w:hint="eastAsia"/>
          <w:sz w:val="32"/>
          <w:szCs w:val="32"/>
        </w:rPr>
        <w:t>展会指</w:t>
      </w:r>
      <w:proofErr w:type="gramEnd"/>
      <w:r>
        <w:rPr>
          <w:rFonts w:ascii="方正仿宋_GBK" w:eastAsia="方正仿宋_GBK" w:hAnsi="方正仿宋_GBK" w:cs="方正仿宋_GBK" w:hint="eastAsia"/>
          <w:sz w:val="32"/>
          <w:szCs w:val="32"/>
        </w:rPr>
        <w:t>的是2024年该展会，如系双年展指的是2023年或2024年该展会（下同）。上一届展会江苏组展面积≥90平方米的，计10分；36平方米≤上一届展会江苏组展面积＜90平方米的，计5分；9平方米≤上一届展会江苏组展面积＜36平方米的，计3分；未组织江苏企业参展的不计分。（需提交相关证明）</w:t>
      </w:r>
    </w:p>
    <w:p w14:paraId="7E1BC994" w14:textId="77777777" w:rsidR="006C571E" w:rsidRDefault="00000000">
      <w:pPr>
        <w:ind w:left="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（二）上一届展会江苏组展企业数（10分）</w:t>
      </w:r>
    </w:p>
    <w:p w14:paraId="0B1122A3" w14:textId="77777777" w:rsidR="006C571E" w:rsidRDefault="00000000">
      <w:pPr>
        <w:ind w:firstLine="56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上一届展会江苏组展企业数≥8家的，计10分；4家≤上一届展会江苏组展企业数＜8家的，计5分；1家≤上一届展会江苏组展企业数＜4家的，计3分；未组织江苏企业参展的不计分。（需提交相关证明）</w:t>
      </w:r>
    </w:p>
    <w:p w14:paraId="2B6A8209" w14:textId="77777777" w:rsidR="006C571E" w:rsidRDefault="00000000">
      <w:pPr>
        <w:numPr>
          <w:ilvl w:val="0"/>
          <w:numId w:val="3"/>
        </w:num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上一届展会代理权限（10分）</w:t>
      </w:r>
    </w:p>
    <w:p w14:paraId="300B5D4D"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与展会主办方（主办方以展会目录所列为准，</w:t>
      </w:r>
      <w:proofErr w:type="gramStart"/>
      <w:r>
        <w:rPr>
          <w:rFonts w:ascii="方正仿宋_GBK" w:eastAsia="方正仿宋_GBK" w:hAnsi="方正仿宋_GBK" w:cs="方正仿宋_GBK" w:hint="eastAsia"/>
          <w:sz w:val="32"/>
          <w:szCs w:val="32"/>
        </w:rPr>
        <w:t>含主办</w:t>
      </w:r>
      <w:proofErr w:type="gramEnd"/>
      <w:r>
        <w:rPr>
          <w:rFonts w:ascii="方正仿宋_GBK" w:eastAsia="方正仿宋_GBK" w:hAnsi="方正仿宋_GBK" w:cs="方正仿宋_GBK" w:hint="eastAsia"/>
          <w:sz w:val="32"/>
          <w:szCs w:val="32"/>
        </w:rPr>
        <w:t>方在境内的分支机构）直接签订江苏代理权限的（以下称一级代理），计10分；与一级代理签订江苏代理权限的（以下称二级代理），计5分。没有一级、二级代理权限的不计分。（既是一级代理又是二级代理的不兼得分；一级代理需提供与主办方签订的代理协议或主办方签发的代理授权函，二级代理需提供与一级代理签订的代理协议或代理授权</w:t>
      </w:r>
      <w:proofErr w:type="gramStart"/>
      <w:r>
        <w:rPr>
          <w:rFonts w:ascii="方正仿宋_GBK" w:eastAsia="方正仿宋_GBK" w:hAnsi="方正仿宋_GBK" w:cs="方正仿宋_GBK" w:hint="eastAsia"/>
          <w:sz w:val="32"/>
          <w:szCs w:val="32"/>
        </w:rPr>
        <w:t>函以及</w:t>
      </w:r>
      <w:proofErr w:type="gramEnd"/>
      <w:r>
        <w:rPr>
          <w:rFonts w:ascii="方正仿宋_GBK" w:eastAsia="方正仿宋_GBK" w:hAnsi="方正仿宋_GBK" w:cs="方正仿宋_GBK" w:hint="eastAsia"/>
          <w:sz w:val="32"/>
          <w:szCs w:val="32"/>
        </w:rPr>
        <w:t>该一级代理与主办方签订的代理协议或代理授权函，上述协议实质性内容部分如非中文阐述需提供参考中文译文，否则不计分）</w:t>
      </w:r>
    </w:p>
    <w:p w14:paraId="3F071822" w14:textId="77777777" w:rsidR="006C571E" w:rsidRDefault="00000000">
      <w:pPr>
        <w:numPr>
          <w:ilvl w:val="0"/>
          <w:numId w:val="2"/>
        </w:num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组展方案（45分）</w:t>
      </w:r>
    </w:p>
    <w:p w14:paraId="0E359CEF" w14:textId="77777777" w:rsidR="006C571E" w:rsidRDefault="00000000">
      <w:pPr>
        <w:numPr>
          <w:ilvl w:val="0"/>
          <w:numId w:val="4"/>
        </w:num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展示方案（15分）</w:t>
      </w:r>
    </w:p>
    <w:p w14:paraId="39D2225D"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在展会上展示江苏统一形象的方案。需统一展示江苏服务贸易形象，打造“苏新服务·智惠全球”品牌。方案应包含使用指定名称、标识等开展统一展示的各种方式。</w:t>
      </w:r>
    </w:p>
    <w:p w14:paraId="4D7D23B3"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方案优于项目需求的计15分；符合项目需求的计10分；不符合项目需求或未提供的计0分。</w:t>
      </w:r>
    </w:p>
    <w:p w14:paraId="54CF62AB" w14:textId="77777777" w:rsidR="006C571E" w:rsidRDefault="00000000">
      <w:pPr>
        <w:numPr>
          <w:ilvl w:val="0"/>
          <w:numId w:val="4"/>
        </w:num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招展方案（10分）</w:t>
      </w:r>
    </w:p>
    <w:p w14:paraId="33090F64"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组织江苏单位参加境外展会的方案。方案应包含明确的招展目标、合理的进度安排、有效的招展途径、人员分工等。</w:t>
      </w:r>
    </w:p>
    <w:p w14:paraId="7DA03DED"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方案优于项目需求的计10分；符合项目需求的计5分；不符合项目需求或未提供的计0分。</w:t>
      </w:r>
    </w:p>
    <w:p w14:paraId="07749BB2" w14:textId="77777777" w:rsidR="006C571E" w:rsidRDefault="00000000">
      <w:pPr>
        <w:numPr>
          <w:ilvl w:val="0"/>
          <w:numId w:val="4"/>
        </w:num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参展服务方案（10分）</w:t>
      </w:r>
    </w:p>
    <w:p w14:paraId="1F85B30A"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为参展的江苏单位提供展</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服务的方案。方案应包含展前、展期及展后拟提供的所有参展服务，服务内容全面、进度安排合理、配备的工作人员经验丰富、分工明确等。</w:t>
      </w:r>
    </w:p>
    <w:p w14:paraId="67324306"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方案优于项目需求的计10分；符合项目需求的计5分；不符合项目需求或未提供的计0分。</w:t>
      </w:r>
    </w:p>
    <w:p w14:paraId="0E422675" w14:textId="77777777" w:rsidR="006C571E" w:rsidRDefault="00000000">
      <w:pPr>
        <w:numPr>
          <w:ilvl w:val="0"/>
          <w:numId w:val="4"/>
        </w:num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知识产权保护方案（5分）</w:t>
      </w:r>
    </w:p>
    <w:p w14:paraId="1ACA11DA"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境外展会的知识产权保护方案。方案应包括针对知识产权保护开展培训的具体内容和形式，处理展会知识产权纠纷（投诉）的预案等。</w:t>
      </w:r>
    </w:p>
    <w:p w14:paraId="551B8646"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方案优于项目需求的计5分；符合项目需求的计3分；不符合项目需求或未提供的计0分。</w:t>
      </w:r>
    </w:p>
    <w:p w14:paraId="1BFB2078" w14:textId="77777777" w:rsidR="006C571E" w:rsidRDefault="00000000">
      <w:pPr>
        <w:numPr>
          <w:ilvl w:val="0"/>
          <w:numId w:val="4"/>
        </w:num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绩效评估方案（5分）</w:t>
      </w:r>
    </w:p>
    <w:p w14:paraId="0C196ACC"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展后向本中心提供展会绩效评估的方案。方案应包括展会展后评估的主要内容、提交时间、数据获取方式等，主要内容应涵盖展会的主要成效数据。</w:t>
      </w:r>
    </w:p>
    <w:p w14:paraId="4622C75C" w14:textId="77777777" w:rsidR="006C571E" w:rsidRDefault="00000000">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方案优于项目需求的计5分；符合项目需求的计3分；不符合项目需求或未提供的计0分。</w:t>
      </w:r>
    </w:p>
    <w:p w14:paraId="3F46F78D" w14:textId="77777777" w:rsidR="006C571E" w:rsidRDefault="006C571E">
      <w:pPr>
        <w:rPr>
          <w:rFonts w:ascii="方正仿宋_GBK" w:eastAsia="方正仿宋_GBK" w:hAnsi="方正仿宋_GBK" w:cs="方正仿宋_GBK" w:hint="eastAsia"/>
          <w:sz w:val="32"/>
          <w:szCs w:val="32"/>
        </w:rPr>
      </w:pPr>
    </w:p>
    <w:p w14:paraId="2093C1FA" w14:textId="3B5AFCB0" w:rsidR="006C571E" w:rsidRDefault="006C571E">
      <w:pPr>
        <w:rPr>
          <w:rFonts w:ascii="方正仿宋_GBK" w:eastAsia="方正仿宋_GBK" w:hAnsi="方正仿宋_GBK" w:cs="方正仿宋_GBK" w:hint="eastAsia"/>
          <w:sz w:val="32"/>
          <w:szCs w:val="32"/>
        </w:rPr>
      </w:pPr>
    </w:p>
    <w:sectPr w:rsidR="006C5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18C3" w14:textId="77777777" w:rsidR="00AB43D7" w:rsidRDefault="00AB43D7" w:rsidP="004658E1">
      <w:r>
        <w:separator/>
      </w:r>
    </w:p>
  </w:endnote>
  <w:endnote w:type="continuationSeparator" w:id="0">
    <w:p w14:paraId="2631C96A" w14:textId="77777777" w:rsidR="00AB43D7" w:rsidRDefault="00AB43D7" w:rsidP="0046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86B6" w14:textId="77777777" w:rsidR="00AB43D7" w:rsidRDefault="00AB43D7" w:rsidP="004658E1">
      <w:r>
        <w:separator/>
      </w:r>
    </w:p>
  </w:footnote>
  <w:footnote w:type="continuationSeparator" w:id="0">
    <w:p w14:paraId="7F3B8DA0" w14:textId="77777777" w:rsidR="00AB43D7" w:rsidRDefault="00AB43D7" w:rsidP="0046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691C6D"/>
    <w:multiLevelType w:val="singleLevel"/>
    <w:tmpl w:val="B8691C6D"/>
    <w:lvl w:ilvl="0">
      <w:start w:val="1"/>
      <w:numFmt w:val="chineseCounting"/>
      <w:suff w:val="nothing"/>
      <w:lvlText w:val="（%1）"/>
      <w:lvlJc w:val="left"/>
      <w:pPr>
        <w:ind w:left="560" w:firstLine="0"/>
      </w:pPr>
      <w:rPr>
        <w:rFonts w:hint="eastAsia"/>
      </w:rPr>
    </w:lvl>
  </w:abstractNum>
  <w:abstractNum w:abstractNumId="1" w15:restartNumberingAfterBreak="0">
    <w:nsid w:val="C5690C4A"/>
    <w:multiLevelType w:val="singleLevel"/>
    <w:tmpl w:val="C5690C4A"/>
    <w:lvl w:ilvl="0">
      <w:start w:val="1"/>
      <w:numFmt w:val="chineseCounting"/>
      <w:suff w:val="nothing"/>
      <w:lvlText w:val="%1、"/>
      <w:lvlJc w:val="left"/>
      <w:pPr>
        <w:ind w:left="560" w:firstLine="0"/>
      </w:pPr>
      <w:rPr>
        <w:rFonts w:hint="eastAsia"/>
      </w:rPr>
    </w:lvl>
  </w:abstractNum>
  <w:abstractNum w:abstractNumId="2" w15:restartNumberingAfterBreak="0">
    <w:nsid w:val="1AB1E5AA"/>
    <w:multiLevelType w:val="singleLevel"/>
    <w:tmpl w:val="1AB1E5AA"/>
    <w:lvl w:ilvl="0">
      <w:start w:val="1"/>
      <w:numFmt w:val="chineseCounting"/>
      <w:suff w:val="nothing"/>
      <w:lvlText w:val="（%1）"/>
      <w:lvlJc w:val="left"/>
      <w:rPr>
        <w:rFonts w:hint="eastAsia"/>
      </w:rPr>
    </w:lvl>
  </w:abstractNum>
  <w:abstractNum w:abstractNumId="3" w15:restartNumberingAfterBreak="0">
    <w:nsid w:val="225DE9D3"/>
    <w:multiLevelType w:val="singleLevel"/>
    <w:tmpl w:val="225DE9D3"/>
    <w:lvl w:ilvl="0">
      <w:start w:val="2"/>
      <w:numFmt w:val="decimal"/>
      <w:lvlText w:val="%1."/>
      <w:lvlJc w:val="left"/>
      <w:pPr>
        <w:tabs>
          <w:tab w:val="left" w:pos="312"/>
        </w:tabs>
        <w:ind w:left="1400" w:firstLine="0"/>
      </w:pPr>
    </w:lvl>
  </w:abstractNum>
  <w:num w:numId="1" w16cid:durableId="1516382226">
    <w:abstractNumId w:val="3"/>
  </w:num>
  <w:num w:numId="2" w16cid:durableId="1714191523">
    <w:abstractNumId w:val="1"/>
  </w:num>
  <w:num w:numId="3" w16cid:durableId="584921417">
    <w:abstractNumId w:val="0"/>
  </w:num>
  <w:num w:numId="4" w16cid:durableId="18864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8E4A57"/>
    <w:rsid w:val="003F25AE"/>
    <w:rsid w:val="004658E1"/>
    <w:rsid w:val="006C571E"/>
    <w:rsid w:val="00AB43D7"/>
    <w:rsid w:val="016E60E0"/>
    <w:rsid w:val="020211CF"/>
    <w:rsid w:val="02EB7B45"/>
    <w:rsid w:val="0387616E"/>
    <w:rsid w:val="0859180E"/>
    <w:rsid w:val="0DD029D1"/>
    <w:rsid w:val="120E1BBC"/>
    <w:rsid w:val="12CC70CE"/>
    <w:rsid w:val="1CD62476"/>
    <w:rsid w:val="20485FDF"/>
    <w:rsid w:val="22712C18"/>
    <w:rsid w:val="244E5E57"/>
    <w:rsid w:val="24AA4D43"/>
    <w:rsid w:val="265C2CD7"/>
    <w:rsid w:val="266F6BB0"/>
    <w:rsid w:val="26944644"/>
    <w:rsid w:val="2A8037F4"/>
    <w:rsid w:val="2E4F15FE"/>
    <w:rsid w:val="382C3175"/>
    <w:rsid w:val="39711955"/>
    <w:rsid w:val="3D0B24F5"/>
    <w:rsid w:val="3D184C5A"/>
    <w:rsid w:val="3F576E4F"/>
    <w:rsid w:val="3F6D4E0A"/>
    <w:rsid w:val="42CD0F7D"/>
    <w:rsid w:val="453A08BF"/>
    <w:rsid w:val="480612F6"/>
    <w:rsid w:val="4B26210E"/>
    <w:rsid w:val="4B7B1B36"/>
    <w:rsid w:val="4E5C7880"/>
    <w:rsid w:val="4F517A90"/>
    <w:rsid w:val="50661595"/>
    <w:rsid w:val="54A90390"/>
    <w:rsid w:val="54D444E7"/>
    <w:rsid w:val="5850256E"/>
    <w:rsid w:val="58751331"/>
    <w:rsid w:val="5920724A"/>
    <w:rsid w:val="5C9A6968"/>
    <w:rsid w:val="60B371AC"/>
    <w:rsid w:val="66840D19"/>
    <w:rsid w:val="6C8075C7"/>
    <w:rsid w:val="6C8E4A57"/>
    <w:rsid w:val="6D6C72D3"/>
    <w:rsid w:val="7284250F"/>
    <w:rsid w:val="765D0F84"/>
    <w:rsid w:val="7DB83E91"/>
    <w:rsid w:val="7F57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646B5"/>
  <w15:docId w15:val="{86642074-9D95-4FEB-88A6-99128ECD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sz w:val="24"/>
    </w:rPr>
  </w:style>
  <w:style w:type="character" w:styleId="a4">
    <w:name w:val="Hyperlink"/>
    <w:basedOn w:val="a0"/>
    <w:qFormat/>
    <w:rPr>
      <w:color w:val="0000FF"/>
      <w:u w:val="single"/>
    </w:rPr>
  </w:style>
  <w:style w:type="paragraph" w:styleId="a5">
    <w:name w:val="header"/>
    <w:basedOn w:val="a"/>
    <w:link w:val="a6"/>
    <w:rsid w:val="004658E1"/>
    <w:pPr>
      <w:tabs>
        <w:tab w:val="center" w:pos="4153"/>
        <w:tab w:val="right" w:pos="8306"/>
      </w:tabs>
      <w:snapToGrid w:val="0"/>
      <w:jc w:val="center"/>
    </w:pPr>
    <w:rPr>
      <w:sz w:val="18"/>
      <w:szCs w:val="18"/>
    </w:rPr>
  </w:style>
  <w:style w:type="character" w:customStyle="1" w:styleId="a6">
    <w:name w:val="页眉 字符"/>
    <w:basedOn w:val="a0"/>
    <w:link w:val="a5"/>
    <w:rsid w:val="004658E1"/>
    <w:rPr>
      <w:rFonts w:asciiTheme="minorHAnsi" w:eastAsiaTheme="minorEastAsia" w:hAnsiTheme="minorHAnsi" w:cstheme="minorBidi"/>
      <w:kern w:val="2"/>
      <w:sz w:val="18"/>
      <w:szCs w:val="18"/>
    </w:rPr>
  </w:style>
  <w:style w:type="paragraph" w:styleId="a7">
    <w:name w:val="footer"/>
    <w:basedOn w:val="a"/>
    <w:link w:val="a8"/>
    <w:rsid w:val="004658E1"/>
    <w:pPr>
      <w:tabs>
        <w:tab w:val="center" w:pos="4153"/>
        <w:tab w:val="right" w:pos="8306"/>
      </w:tabs>
      <w:snapToGrid w:val="0"/>
      <w:jc w:val="left"/>
    </w:pPr>
    <w:rPr>
      <w:sz w:val="18"/>
      <w:szCs w:val="18"/>
    </w:rPr>
  </w:style>
  <w:style w:type="character" w:customStyle="1" w:styleId="a8">
    <w:name w:val="页脚 字符"/>
    <w:basedOn w:val="a0"/>
    <w:link w:val="a7"/>
    <w:rsid w:val="004658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李万通</dc:creator>
  <cp:lastModifiedBy>836651927@qq.com</cp:lastModifiedBy>
  <cp:revision>2</cp:revision>
  <dcterms:created xsi:type="dcterms:W3CDTF">2024-11-29T06:47:00Z</dcterms:created>
  <dcterms:modified xsi:type="dcterms:W3CDTF">2024-12-16T09:21:00Z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DA4E4C488CF34BE78AB754722A386E72_13</vt:lpwstr>
  </property>
</Properties>
</file>