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5013" w:hAnchor="page" w:x="5468"/>
        <w:jc w:val="both"/>
      </w:pPr>
      <w:r>
        <w:t>DB32</w:t>
      </w:r>
      <w:r>
        <w:rPr>
          <w:rFonts w:hint="eastAsia"/>
        </w:rPr>
        <w:t>12</w:t>
      </w:r>
    </w:p>
    <w:p>
      <w:pPr>
        <w:pStyle w:val="10"/>
        <w:framePr w:hAnchor="page" w:x="1618"/>
        <w:rPr>
          <w:rFonts w:ascii="黑体"/>
        </w:rPr>
      </w:pPr>
      <w:r>
        <w:rPr>
          <w:rFonts w:hint="eastAsia" w:ascii="黑体"/>
        </w:rPr>
        <w:t>I</w:t>
      </w:r>
      <w:r>
        <w:rPr>
          <w:rFonts w:ascii="黑体"/>
        </w:rPr>
        <w:t>CS</w:t>
      </w:r>
      <w:r>
        <w:rPr>
          <w:rFonts w:hint="eastAsia" w:ascii="黑体"/>
        </w:rPr>
        <w:t xml:space="preserve"> 03.080</w:t>
      </w:r>
    </w:p>
    <w:p>
      <w:pPr>
        <w:pStyle w:val="10"/>
        <w:framePr w:hAnchor="page" w:x="1618"/>
      </w:pPr>
      <w:r>
        <w:rPr>
          <w:rFonts w:hint="eastAsia" w:ascii="黑体"/>
        </w:rPr>
        <w:t>A 12</w:t>
      </w:r>
    </w:p>
    <w:p>
      <w:pPr>
        <w:jc w:val="center"/>
        <w:rPr>
          <w:rFonts w:ascii="黑体" w:hAnsi="黑体" w:eastAsia="黑体" w:cs="黑体"/>
          <w:sz w:val="32"/>
          <w:szCs w:val="32"/>
        </w:rPr>
      </w:pPr>
      <w:r>
        <w:rPr>
          <w:rFonts w:hint="eastAsia" w:ascii="黑体" w:hAnsi="黑体" w:eastAsia="黑体" w:cs="黑体"/>
          <w:sz w:val="32"/>
          <w:szCs w:val="32"/>
        </w:rPr>
        <w:t xml:space="preserve"> </w:t>
      </w:r>
    </w:p>
    <w:p>
      <w:pPr>
        <w:pStyle w:val="12"/>
        <w:widowControl/>
        <w:wordWrap w:val="0"/>
        <w:spacing w:before="0"/>
        <w:jc w:val="center"/>
        <w:textAlignment w:val="auto"/>
        <w:rPr>
          <w:rFonts w:ascii="黑体" w:eastAsia="黑体" w:cs="黑体"/>
        </w:rPr>
      </w:pPr>
      <w:r>
        <w:rPr>
          <w:rFonts w:hint="eastAsia" w:ascii="黑体" w:eastAsia="黑体" w:cs="黑体"/>
        </w:rPr>
        <w:t xml:space="preserve">     </w:t>
      </w:r>
    </w:p>
    <w:p>
      <w:pPr>
        <w:pStyle w:val="12"/>
        <w:widowControl/>
        <w:wordWrap w:val="0"/>
        <w:spacing w:before="0"/>
        <w:ind w:firstLine="520" w:firstLineChars="100"/>
        <w:jc w:val="both"/>
        <w:textAlignment w:val="auto"/>
        <w:rPr>
          <w:rFonts w:ascii="黑体" w:eastAsia="黑体" w:cs="黑体"/>
          <w:sz w:val="52"/>
          <w:szCs w:val="52"/>
        </w:rPr>
      </w:pPr>
      <w:r>
        <w:rPr>
          <w:rFonts w:hint="eastAsia" w:ascii="黑体" w:eastAsia="黑体" w:cs="黑体"/>
          <w:sz w:val="52"/>
          <w:szCs w:val="52"/>
        </w:rPr>
        <w:t>泰  州   市   地   方   标   准</w:t>
      </w:r>
    </w:p>
    <w:p>
      <w:pPr>
        <w:pStyle w:val="12"/>
        <w:widowControl/>
        <w:wordWrap w:val="0"/>
        <w:spacing w:before="0"/>
        <w:jc w:val="both"/>
        <w:textAlignment w:val="auto"/>
        <w:rPr>
          <w:rFonts w:ascii="黑体" w:eastAsia="黑体" w:cs="黑体"/>
        </w:rPr>
      </w:pPr>
      <w:r>
        <w:rPr>
          <w:rFonts w:hint="eastAsia" w:ascii="黑体" w:eastAsia="黑体" w:cs="黑体"/>
        </w:rPr>
        <w:t xml:space="preserve">                                            DB3212/T XXXX-2024</w:t>
      </w:r>
    </w:p>
    <w:p>
      <w:pPr>
        <w:jc w:val="center"/>
        <w:rPr>
          <w:rFonts w:ascii="黑体" w:hAnsi="黑体" w:eastAsia="黑体" w:cs="黑体"/>
          <w:sz w:val="32"/>
          <w:szCs w:val="32"/>
        </w:rPr>
      </w:pPr>
      <w:r>
        <w:rPr>
          <w:sz w:val="32"/>
        </w:rPr>
        <mc:AlternateContent>
          <mc:Choice Requires="wps">
            <w:drawing>
              <wp:anchor distT="0" distB="0" distL="114300" distR="114300" simplePos="0" relativeHeight="251659264" behindDoc="0" locked="0" layoutInCell="1" allowOverlap="1">
                <wp:simplePos x="0" y="0"/>
                <wp:positionH relativeFrom="column">
                  <wp:posOffset>205740</wp:posOffset>
                </wp:positionH>
                <wp:positionV relativeFrom="paragraph">
                  <wp:posOffset>67310</wp:posOffset>
                </wp:positionV>
                <wp:extent cx="5629275" cy="0"/>
                <wp:effectExtent l="0" t="6350" r="0" b="6350"/>
                <wp:wrapNone/>
                <wp:docPr id="2" name="直接连接符 2"/>
                <wp:cNvGraphicFramePr/>
                <a:graphic xmlns:a="http://schemas.openxmlformats.org/drawingml/2006/main">
                  <a:graphicData uri="http://schemas.microsoft.com/office/word/2010/wordprocessingShape">
                    <wps:wsp>
                      <wps:cNvCnPr/>
                      <wps:spPr>
                        <a:xfrm>
                          <a:off x="1070610" y="3098800"/>
                          <a:ext cx="5629275"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6.2pt;margin-top:5.3pt;height:0pt;width:443.25pt;z-index:251659264;mso-width-relative:page;mso-height-relative:page;" filled="f" stroked="t" coordsize="21600,21600" o:gfxdata="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PzQ1zXAAAACAEAAA8AAAAAAAAAAQAg&#10;AAAAIgAAAGRycy9kb3ducmV2LnhtbFBLAQIUABQAAAAIAIdO4kAwn6R21gEAAHADAAAOAAAAAAAA&#10;AAEAIAAAACYBAABkcnMvZTJvRG9jLnhtbFBLBQYAAAAABgAGAFkBAABuBQAAAAA=&#10;">
                <v:fill on="f" focussize="0,0"/>
                <v:stroke weight="1pt" color="#000000 [3213]" miterlimit="8" joinstyle="miter"/>
                <v:imagedata o:title=""/>
                <o:lock v:ext="edit" aspectratio="f"/>
              </v:line>
            </w:pict>
          </mc:Fallback>
        </mc:AlternateContent>
      </w: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Times New Roman" w:eastAsia="黑体" w:cs="Times New Roman"/>
          <w:color w:val="000000"/>
          <w:kern w:val="0"/>
          <w:sz w:val="48"/>
          <w:szCs w:val="48"/>
        </w:rPr>
      </w:pPr>
      <w:r>
        <w:rPr>
          <w:rFonts w:hint="eastAsia" w:ascii="黑体" w:hAnsi="Times New Roman" w:eastAsia="黑体" w:cs="Times New Roman"/>
          <w:color w:val="000000"/>
          <w:kern w:val="0"/>
          <w:sz w:val="48"/>
          <w:szCs w:val="48"/>
        </w:rPr>
        <w:t>不锈钢网络交易经营行为规范</w:t>
      </w:r>
    </w:p>
    <w:p>
      <w:pPr>
        <w:ind w:firstLine="1920" w:firstLineChars="400"/>
        <w:rPr>
          <w:rFonts w:ascii="黑体" w:hAnsi="Times New Roman" w:eastAsia="黑体" w:cs="Times New Roman"/>
          <w:color w:val="000000"/>
          <w:kern w:val="0"/>
          <w:sz w:val="48"/>
          <w:szCs w:val="48"/>
        </w:rPr>
      </w:pPr>
      <w:bookmarkStart w:id="0" w:name="_GoBack"/>
      <w:bookmarkEnd w:id="0"/>
    </w:p>
    <w:p>
      <w:pPr>
        <w:jc w:val="center"/>
        <w:rPr>
          <w:rFonts w:ascii="黑体" w:hAnsi="黑体" w:eastAsia="黑体" w:cs="黑体"/>
          <w:sz w:val="32"/>
          <w:szCs w:val="32"/>
        </w:rPr>
      </w:pPr>
      <w:r>
        <w:rPr>
          <w:rFonts w:hint="eastAsia" w:ascii="黑体" w:hAnsi="黑体" w:eastAsia="黑体" w:cs="黑体"/>
          <w:sz w:val="32"/>
          <w:szCs w:val="32"/>
        </w:rPr>
        <w:t xml:space="preserve">Code of conduct for internet trading of </w:t>
      </w:r>
    </w:p>
    <w:p>
      <w:pPr>
        <w:jc w:val="center"/>
        <w:rPr>
          <w:rFonts w:ascii="黑体" w:hAnsi="黑体" w:eastAsia="黑体" w:cs="黑体"/>
          <w:sz w:val="32"/>
          <w:szCs w:val="32"/>
        </w:rPr>
      </w:pPr>
      <w:r>
        <w:rPr>
          <w:rFonts w:hint="eastAsia" w:ascii="黑体" w:hAnsi="黑体" w:eastAsia="黑体" w:cs="黑体"/>
          <w:sz w:val="32"/>
          <w:szCs w:val="32"/>
        </w:rPr>
        <w:t>Dynan stainless steel</w:t>
      </w: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rPr>
          <w:rFonts w:ascii="黑体" w:hAnsi="黑体" w:eastAsia="黑体" w:cs="黑体"/>
          <w:kern w:val="0"/>
          <w:sz w:val="28"/>
          <w:szCs w:val="20"/>
        </w:rPr>
      </w:pPr>
    </w:p>
    <w:p>
      <w:pPr>
        <w:ind w:firstLine="560" w:firstLineChars="200"/>
        <w:rPr>
          <w:rFonts w:ascii="黑体" w:hAnsi="黑体" w:eastAsia="黑体" w:cs="黑体"/>
          <w:kern w:val="0"/>
          <w:sz w:val="28"/>
          <w:szCs w:val="20"/>
        </w:rPr>
      </w:pPr>
      <w:r>
        <w:rPr>
          <w:rFonts w:hint="eastAsia" w:ascii="黑体" w:hAnsi="黑体" w:eastAsia="黑体" w:cs="黑体"/>
          <w:kern w:val="0"/>
          <w:sz w:val="28"/>
          <w:szCs w:val="20"/>
        </w:rPr>
        <w:t>2024-XX-XX发布                          2024-XX-XX实施</w:t>
      </w:r>
    </w:p>
    <w:p>
      <w:pPr>
        <w:jc w:val="center"/>
        <w:rPr>
          <w:rFonts w:ascii="黑体" w:hAnsi="黑体" w:eastAsia="黑体" w:cs="黑体"/>
          <w:sz w:val="32"/>
          <w:szCs w:val="32"/>
        </w:rPr>
      </w:pPr>
      <w:r>
        <w:rPr>
          <w:sz w:val="32"/>
        </w:rPr>
        <mc:AlternateContent>
          <mc:Choice Requires="wps">
            <w:drawing>
              <wp:anchor distT="0" distB="0" distL="114300" distR="114300" simplePos="0" relativeHeight="251660288" behindDoc="0" locked="0" layoutInCell="1" allowOverlap="1">
                <wp:simplePos x="0" y="0"/>
                <wp:positionH relativeFrom="column">
                  <wp:posOffset>15240</wp:posOffset>
                </wp:positionH>
                <wp:positionV relativeFrom="paragraph">
                  <wp:posOffset>76835</wp:posOffset>
                </wp:positionV>
                <wp:extent cx="5429250" cy="0"/>
                <wp:effectExtent l="0" t="6350" r="0" b="6350"/>
                <wp:wrapNone/>
                <wp:docPr id="3" name="直接连接符 3"/>
                <wp:cNvGraphicFramePr/>
                <a:graphic xmlns:a="http://schemas.openxmlformats.org/drawingml/2006/main">
                  <a:graphicData uri="http://schemas.microsoft.com/office/word/2010/wordprocessingShape">
                    <wps:wsp>
                      <wps:cNvCnPr/>
                      <wps:spPr>
                        <a:xfrm>
                          <a:off x="1022985" y="8926195"/>
                          <a:ext cx="5429250"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2pt;margin-top:6.05pt;height:0pt;width:427.5pt;z-index:251660288;mso-width-relative:page;mso-height-relative:page;" filled="f" stroked="t" coordsize="21600,21600" o:gfxdata="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bv6Rm1QAAAAcBAAAPAAAAAAAAAAEAIAAA&#10;ACIAAABkcnMvZG93bnJldi54bWxQSwECFAAUAAAACACHTuJAzMo039YBAABwAwAADgAAAAAAAAAB&#10;ACAAAAAkAQAAZHJzL2Uyb0RvYy54bWxQSwUGAAAAAAYABgBZAQAAbAUAAAAA&#10;">
                <v:fill on="f" focussize="0,0"/>
                <v:stroke weight="1pt" color="#000000 [3213]" miterlimit="8" joinstyle="miter"/>
                <v:imagedata o:title=""/>
                <o:lock v:ext="edit" aspectratio="f"/>
              </v:line>
            </w:pict>
          </mc:Fallback>
        </mc:AlternateContent>
      </w:r>
    </w:p>
    <w:p>
      <w:pPr>
        <w:jc w:val="center"/>
        <w:rPr>
          <w:rFonts w:ascii="黑体" w:hAnsi="黑体" w:eastAsia="黑体" w:cs="黑体"/>
          <w:sz w:val="32"/>
          <w:szCs w:val="32"/>
        </w:rPr>
      </w:pPr>
      <w:r>
        <w:rPr>
          <w:rFonts w:hint="eastAsia" w:ascii="黑体" w:hAnsi="黑体" w:eastAsia="黑体" w:cs="黑体"/>
          <w:sz w:val="44"/>
          <w:szCs w:val="44"/>
        </w:rPr>
        <w:t>泰州市市场监督管理局</w:t>
      </w:r>
      <w:r>
        <w:rPr>
          <w:rFonts w:hint="eastAsia" w:ascii="黑体" w:hAnsi="黑体" w:eastAsia="黑体" w:cs="黑体"/>
          <w:sz w:val="32"/>
          <w:szCs w:val="32"/>
        </w:rPr>
        <w:t xml:space="preserve">  发布</w:t>
      </w:r>
    </w:p>
    <w:p>
      <w:pPr>
        <w:ind w:firstLine="3534" w:firstLineChars="1100"/>
        <w:rPr>
          <w:rFonts w:ascii="黑体" w:hAnsi="黑体" w:eastAsia="黑体" w:cs="黑体"/>
          <w:b/>
          <w:bCs/>
          <w:sz w:val="32"/>
          <w:szCs w:val="32"/>
        </w:rPr>
        <w:sectPr>
          <w:headerReference r:id="rId3" w:type="default"/>
          <w:footerReference r:id="rId4" w:type="even"/>
          <w:pgSz w:w="11906" w:h="16838"/>
          <w:pgMar w:top="1587" w:right="1587" w:bottom="1587" w:left="1587" w:header="851" w:footer="992" w:gutter="0"/>
          <w:pgNumType w:start="1"/>
          <w:cols w:space="0" w:num="1"/>
          <w:docGrid w:type="lines" w:linePitch="312" w:charSpace="0"/>
        </w:sectPr>
      </w:pPr>
    </w:p>
    <w:p>
      <w:pPr>
        <w:ind w:firstLine="3900" w:firstLineChars="1300"/>
        <w:jc w:val="left"/>
        <w:rPr>
          <w:rFonts w:ascii="仿宋_GB2312" w:hAnsi="仿宋_GB2312" w:eastAsia="仿宋_GB2312" w:cs="仿宋_GB2312"/>
          <w:sz w:val="32"/>
          <w:szCs w:val="32"/>
        </w:rPr>
      </w:pPr>
      <w:r>
        <w:rPr>
          <w:rFonts w:hint="eastAsia" w:asciiTheme="minorEastAsia" w:hAnsiTheme="minorEastAsia" w:cstheme="minorEastAsia"/>
          <w:sz w:val="30"/>
          <w:szCs w:val="30"/>
        </w:rPr>
        <w:t>前  言</w:t>
      </w:r>
    </w:p>
    <w:p>
      <w:pPr>
        <w:ind w:firstLine="560" w:firstLineChars="200"/>
        <w:jc w:val="left"/>
        <w:rPr>
          <w:rFonts w:asciiTheme="minorEastAsia" w:hAnsiTheme="minorEastAsia" w:cstheme="minorEastAsia"/>
          <w:sz w:val="24"/>
        </w:rPr>
      </w:pPr>
      <w:r>
        <w:rPr>
          <w:rFonts w:hint="eastAsia" w:asciiTheme="minorEastAsia" w:hAnsiTheme="minorEastAsia" w:cstheme="minorEastAsia"/>
          <w:sz w:val="28"/>
          <w:szCs w:val="28"/>
        </w:rPr>
        <w:t>本文按照GB/T 1.1-2020《标准化工作导则 第 1 部分：标准化文件的结构和起草规则》给出的规则起草</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本文件由泰州市市场监督管理局提出并归口</w:t>
      </w:r>
    </w:p>
    <w:p>
      <w:pPr>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rPr>
        <w:t>本文件起草单位：兴化市市场监督管理局</w:t>
      </w:r>
      <w:r>
        <w:rPr>
          <w:rFonts w:hint="eastAsia" w:asciiTheme="minorEastAsia" w:hAnsiTheme="minorEastAsia" w:cstheme="minorEastAsia"/>
          <w:sz w:val="28"/>
          <w:szCs w:val="28"/>
          <w:lang w:eastAsia="zh-CN"/>
        </w:rPr>
        <w:t>、国家不锈钢制品综合检验检测中心</w:t>
      </w:r>
      <w:r>
        <w:rPr>
          <w:rFonts w:hint="eastAsia" w:asciiTheme="minorEastAsia" w:hAnsiTheme="minorEastAsia" w:cstheme="minorEastAsia"/>
          <w:sz w:val="28"/>
          <w:szCs w:val="28"/>
          <w:lang w:val="en-US" w:eastAsia="zh-CN"/>
        </w:rPr>
        <w:t>(兴化）</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本标准主要起草人：冯长键、孙金冠、张志刚、</w:t>
      </w:r>
      <w:r>
        <w:rPr>
          <w:rFonts w:hint="eastAsia" w:asciiTheme="minorEastAsia" w:hAnsiTheme="minorEastAsia" w:cstheme="minorEastAsia"/>
          <w:sz w:val="28"/>
          <w:szCs w:val="28"/>
          <w:lang w:eastAsia="zh-CN"/>
        </w:rPr>
        <w:t>许万剑、</w:t>
      </w:r>
      <w:r>
        <w:rPr>
          <w:rFonts w:hint="eastAsia" w:asciiTheme="minorEastAsia" w:hAnsiTheme="minorEastAsia" w:cstheme="minorEastAsia"/>
          <w:sz w:val="28"/>
          <w:szCs w:val="28"/>
        </w:rPr>
        <w:t>王露露、孙小兵</w:t>
      </w:r>
    </w:p>
    <w:p>
      <w:pPr>
        <w:jc w:val="left"/>
        <w:rPr>
          <w:rFonts w:ascii="仿宋_GB2312" w:hAnsi="仿宋_GB2312" w:eastAsia="仿宋_GB2312" w:cs="仿宋_GB2312"/>
          <w:sz w:val="32"/>
          <w:szCs w:val="32"/>
        </w:rPr>
      </w:pPr>
    </w:p>
    <w:p>
      <w:pPr>
        <w:jc w:val="center"/>
        <w:rPr>
          <w:rFonts w:ascii="Times New Roman" w:hAnsi="Times New Roman" w:eastAsia="微软雅黑" w:cs="Times New Roman"/>
          <w:sz w:val="32"/>
          <w:szCs w:val="32"/>
        </w:rPr>
      </w:pPr>
    </w:p>
    <w:p>
      <w:pPr>
        <w:jc w:val="center"/>
        <w:rPr>
          <w:rFonts w:ascii="Times New Roman" w:hAnsi="Times New Roman" w:eastAsia="微软雅黑" w:cs="Times New Roman"/>
          <w:sz w:val="32"/>
          <w:szCs w:val="32"/>
        </w:rPr>
      </w:pPr>
    </w:p>
    <w:p>
      <w:pPr>
        <w:jc w:val="center"/>
        <w:rPr>
          <w:rFonts w:ascii="Times New Roman" w:hAnsi="Times New Roman" w:eastAsia="微软雅黑" w:cs="Times New Roman"/>
          <w:sz w:val="32"/>
          <w:szCs w:val="32"/>
        </w:rPr>
      </w:pPr>
    </w:p>
    <w:p>
      <w:pPr>
        <w:jc w:val="center"/>
        <w:rPr>
          <w:rFonts w:ascii="Times New Roman" w:hAnsi="Times New Roman" w:eastAsia="微软雅黑" w:cs="Times New Roman"/>
          <w:sz w:val="32"/>
          <w:szCs w:val="32"/>
        </w:rPr>
      </w:pPr>
    </w:p>
    <w:p>
      <w:pPr>
        <w:jc w:val="center"/>
        <w:rPr>
          <w:rFonts w:ascii="Times New Roman" w:hAnsi="Times New Roman" w:eastAsia="微软雅黑" w:cs="Times New Roman"/>
          <w:sz w:val="32"/>
          <w:szCs w:val="32"/>
        </w:rPr>
      </w:pPr>
    </w:p>
    <w:p>
      <w:pPr>
        <w:jc w:val="center"/>
        <w:rPr>
          <w:rFonts w:ascii="Times New Roman" w:hAnsi="Times New Roman" w:eastAsia="微软雅黑" w:cs="Times New Roman"/>
          <w:sz w:val="32"/>
          <w:szCs w:val="32"/>
        </w:rPr>
      </w:pPr>
    </w:p>
    <w:p>
      <w:pPr>
        <w:jc w:val="center"/>
        <w:rPr>
          <w:rFonts w:ascii="Times New Roman" w:hAnsi="Times New Roman" w:eastAsia="微软雅黑" w:cs="Times New Roman"/>
          <w:sz w:val="32"/>
          <w:szCs w:val="32"/>
        </w:rPr>
      </w:pPr>
    </w:p>
    <w:p>
      <w:pPr>
        <w:jc w:val="center"/>
        <w:rPr>
          <w:rFonts w:ascii="Times New Roman" w:hAnsi="Times New Roman" w:eastAsia="微软雅黑" w:cs="Times New Roman"/>
          <w:sz w:val="32"/>
          <w:szCs w:val="32"/>
        </w:rPr>
      </w:pPr>
    </w:p>
    <w:p>
      <w:pPr>
        <w:jc w:val="center"/>
        <w:rPr>
          <w:rFonts w:ascii="Times New Roman" w:hAnsi="Times New Roman" w:eastAsia="微软雅黑" w:cs="Times New Roman"/>
          <w:sz w:val="32"/>
          <w:szCs w:val="32"/>
        </w:rPr>
      </w:pPr>
    </w:p>
    <w:p>
      <w:pPr>
        <w:jc w:val="center"/>
        <w:rPr>
          <w:rFonts w:ascii="Times New Roman" w:hAnsi="Times New Roman" w:eastAsia="微软雅黑" w:cs="Times New Roman"/>
          <w:sz w:val="32"/>
          <w:szCs w:val="32"/>
        </w:rPr>
      </w:pPr>
    </w:p>
    <w:p>
      <w:pPr>
        <w:rPr>
          <w:rFonts w:ascii="黑体" w:hAnsi="黑体" w:eastAsia="黑体" w:cs="黑体"/>
          <w:sz w:val="32"/>
          <w:szCs w:val="32"/>
        </w:rPr>
      </w:pPr>
    </w:p>
    <w:p>
      <w:pPr>
        <w:jc w:val="center"/>
        <w:rPr>
          <w:rFonts w:ascii="黑体" w:hAnsi="黑体" w:eastAsia="黑体" w:cs="黑体"/>
          <w:sz w:val="32"/>
          <w:szCs w:val="32"/>
        </w:rPr>
        <w:sectPr>
          <w:footerReference r:id="rId5" w:type="default"/>
          <w:pgSz w:w="11906" w:h="16838"/>
          <w:pgMar w:top="1587" w:right="1587" w:bottom="1587" w:left="1587" w:header="851" w:footer="992" w:gutter="0"/>
          <w:pgNumType w:start="1"/>
          <w:cols w:space="0" w:num="1"/>
          <w:docGrid w:type="lines" w:linePitch="312" w:charSpace="0"/>
        </w:sectPr>
      </w:pPr>
      <w:r>
        <w:rPr>
          <w:rFonts w:hint="eastAsia" w:ascii="黑体" w:hAnsi="黑体" w:eastAsia="黑体" w:cs="黑体"/>
          <w:sz w:val="32"/>
          <w:szCs w:val="32"/>
        </w:rPr>
        <w:t xml:space="preserve">  </w:t>
      </w:r>
    </w:p>
    <w:p>
      <w:pPr>
        <w:jc w:val="center"/>
        <w:rPr>
          <w:rFonts w:asciiTheme="minorEastAsia" w:hAnsiTheme="minorEastAsia" w:cstheme="minorEastAsia"/>
          <w:sz w:val="32"/>
          <w:szCs w:val="32"/>
        </w:rPr>
      </w:pPr>
      <w:r>
        <w:rPr>
          <w:rFonts w:hint="eastAsia" w:asciiTheme="minorEastAsia" w:hAnsiTheme="minorEastAsia" w:cstheme="minorEastAsia"/>
          <w:b/>
          <w:bCs/>
          <w:sz w:val="32"/>
          <w:szCs w:val="32"/>
        </w:rPr>
        <w:t>不锈钢网络交易经营行为规范</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xml:space="preserve"> </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1  范围</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本文件规定了不锈钢网络交易经营行为的范围、术语和定义、经营资质、身份识别、经营责任、经营行为、投诉处理相关要求。</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本文件适用于泰州地区不锈钢网络交易经营，其他单位组织可参照执行。</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2  规范性引用文件</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下列文件对于本文件的应用是必不可少的。凡是注日期的引用文件，仅注日期的版本适用于本文件。凡是不注日期的引用文件，其最新版本（包括所有的修改单）适用于本文件。</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GB/T 17242  投诉处理指南</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GB/T 35411  电子商务平台产品信息展示要求</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SB/T 11134  电子商务商品标价通用技术条件</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3  术语和定义</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3.1 </w:t>
      </w:r>
      <w:r>
        <w:rPr>
          <w:rFonts w:hint="eastAsia" w:asciiTheme="minorEastAsia" w:hAnsiTheme="minorEastAsia" w:cstheme="minorEastAsia"/>
          <w:sz w:val="28"/>
          <w:szCs w:val="28"/>
        </w:rPr>
        <w:t xml:space="preserve"> </w:t>
      </w:r>
    </w:p>
    <w:p>
      <w:pPr>
        <w:ind w:firstLine="562" w:firstLineChars="200"/>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不锈钢Stainless Steel</w:t>
      </w:r>
    </w:p>
    <w:p>
      <w:pPr>
        <w:ind w:firstLine="560" w:firstLineChars="200"/>
        <w:jc w:val="left"/>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eastAsia="zh-CN"/>
        </w:rPr>
        <w:t>铬含量至少为</w:t>
      </w:r>
      <w:r>
        <w:rPr>
          <w:rFonts w:hint="eastAsia" w:asciiTheme="minorEastAsia" w:hAnsiTheme="minorEastAsia" w:cstheme="minorEastAsia"/>
          <w:sz w:val="28"/>
          <w:szCs w:val="28"/>
          <w:lang w:val="en-US" w:eastAsia="zh-CN"/>
        </w:rPr>
        <w:t>10.5%（质量分数），且碳含量不大于1.2%（质量分数）的钢。</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lang w:val="en-US" w:eastAsia="zh-CN"/>
        </w:rPr>
        <w:t>注：不锈钢按主要特性分为耐蚀钢、耐热钢和抗蠕变钢</w:t>
      </w:r>
      <w:r>
        <w:rPr>
          <w:rFonts w:hint="eastAsia" w:asciiTheme="minorEastAsia" w:hAnsiTheme="minorEastAsia" w:cstheme="minorEastAsia"/>
          <w:sz w:val="28"/>
          <w:szCs w:val="28"/>
        </w:rPr>
        <w:t>。</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 xml:space="preserve">3.2  </w:t>
      </w:r>
    </w:p>
    <w:p>
      <w:pPr>
        <w:ind w:firstLine="562" w:firstLineChars="200"/>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网络交易Online transaction</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依托信息网络，通过互联网站、社交平台、应用程序、手机APP销售商品或提供服务的经营活动。</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 xml:space="preserve">3.3  </w:t>
      </w:r>
    </w:p>
    <w:p>
      <w:pPr>
        <w:ind w:firstLine="562" w:firstLineChars="200"/>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网络交易经营者Online transaction operators</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通过网络交易平台、网络社交、网络直播、自建网站的方式从事网络商品销售、提供服务的自然人、法人和非法人组织。</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 xml:space="preserve">3.4  </w:t>
      </w:r>
    </w:p>
    <w:p>
      <w:pPr>
        <w:ind w:firstLine="562" w:firstLineChars="200"/>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网络交易行为Online transaction behavior</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通过网络交易平台、网络社交、网络直播、自建网站的方式从事网络商品销售、提供服务的行为。</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 xml:space="preserve">3.5  </w:t>
      </w:r>
    </w:p>
    <w:p>
      <w:pPr>
        <w:ind w:firstLine="562" w:firstLineChars="200"/>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不锈钢网络交易经营者stainless steel Online transaction operators 以下简称“经营者”</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泰州市行政区域内从事不锈钢网络交易经营者。</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 xml:space="preserve">3.6  </w:t>
      </w:r>
    </w:p>
    <w:p>
      <w:pPr>
        <w:ind w:firstLine="562" w:firstLineChars="200"/>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不锈钢网络交易行为stainless steel Online transaction behavior以下简称“交易行为”</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泰州市行政区域内的网络交易行为。</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4  经营资质</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4.1</w:t>
      </w:r>
      <w:r>
        <w:rPr>
          <w:rFonts w:hint="eastAsia" w:asciiTheme="minorEastAsia" w:hAnsiTheme="minorEastAsia" w:cstheme="minorEastAsia"/>
          <w:sz w:val="28"/>
          <w:szCs w:val="28"/>
        </w:rPr>
        <w:t xml:space="preserve">  经营者从事不锈钢产品、提供与不锈钢产品相关服务应依法办理市场主体登记，不包括法律法规规定不需要办理市场主体登记的情形。</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4.2 </w:t>
      </w:r>
      <w:r>
        <w:rPr>
          <w:rFonts w:hint="eastAsia" w:asciiTheme="minorEastAsia" w:hAnsiTheme="minorEastAsia" w:cstheme="minorEastAsia"/>
          <w:sz w:val="28"/>
          <w:szCs w:val="28"/>
        </w:rPr>
        <w:t xml:space="preserve"> 经营者从事不锈钢产品经营活动，依法需要取得相关行政许可的，应当依法取得行政许可后，方可从事不锈钢产品经营。</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5  身份识别 </w:t>
      </w:r>
      <w:r>
        <w:rPr>
          <w:rFonts w:hint="eastAsia" w:asciiTheme="minorEastAsia" w:hAnsiTheme="minorEastAsia" w:cstheme="minorEastAsia"/>
          <w:sz w:val="28"/>
          <w:szCs w:val="28"/>
        </w:rPr>
        <w:t xml:space="preserve"> </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5.1</w:t>
      </w:r>
      <w:r>
        <w:rPr>
          <w:rFonts w:hint="eastAsia" w:asciiTheme="minorEastAsia" w:hAnsiTheme="minorEastAsia" w:cstheme="minorEastAsia"/>
          <w:sz w:val="28"/>
          <w:szCs w:val="28"/>
        </w:rPr>
        <w:t xml:space="preserve">  经营者应在其首页显著位置，公示营业执照信息、经营业务有关的行政许可信息、不需要办理市场主体登记情形信息、信息的链接标识等内容。</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5.2</w:t>
      </w:r>
      <w:r>
        <w:rPr>
          <w:rFonts w:hint="eastAsia" w:asciiTheme="minorEastAsia" w:hAnsiTheme="minorEastAsia" w:cstheme="minorEastAsia"/>
          <w:color w:val="0000FF"/>
          <w:sz w:val="28"/>
          <w:szCs w:val="28"/>
        </w:rPr>
        <w:t xml:space="preserve">  </w:t>
      </w:r>
      <w:r>
        <w:rPr>
          <w:rFonts w:hint="eastAsia" w:asciiTheme="minorEastAsia" w:hAnsiTheme="minorEastAsia" w:cstheme="minorEastAsia"/>
          <w:sz w:val="28"/>
          <w:szCs w:val="28"/>
        </w:rPr>
        <w:t>信息发生变更时，应及时更新公示信息。</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5.3 </w:t>
      </w:r>
      <w:r>
        <w:rPr>
          <w:rFonts w:hint="eastAsia" w:asciiTheme="minorEastAsia" w:hAnsiTheme="minorEastAsia" w:cstheme="minorEastAsia"/>
          <w:sz w:val="28"/>
          <w:szCs w:val="28"/>
        </w:rPr>
        <w:t xml:space="preserve"> 经营者自行终止从事电子商务的，应提前30日在其首页显著位置公示有关信息,应采取合理、必要、及时的措施保障消费者和相关经营者的合法权益。</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6  经营责任</w:t>
      </w:r>
    </w:p>
    <w:p>
      <w:pPr>
        <w:ind w:firstLine="562" w:firstLineChars="200"/>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6.1 </w:t>
      </w:r>
      <w:r>
        <w:rPr>
          <w:rFonts w:hint="eastAsia" w:asciiTheme="minorEastAsia" w:hAnsiTheme="minorEastAsia" w:cstheme="minorEastAsia"/>
          <w:sz w:val="28"/>
          <w:szCs w:val="28"/>
        </w:rPr>
        <w:t xml:space="preserve"> 经营者销售的不锈钢产品、提供的与不锈钢产品相关服务应符合保障人身、财产安全和环境保护要求。</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6.2 </w:t>
      </w:r>
      <w:r>
        <w:rPr>
          <w:rFonts w:hint="eastAsia" w:asciiTheme="minorEastAsia" w:hAnsiTheme="minorEastAsia" w:cstheme="minorEastAsia"/>
          <w:sz w:val="28"/>
          <w:szCs w:val="28"/>
        </w:rPr>
        <w:t xml:space="preserve"> 经营者销售自产自销的不锈钢产品应遵守下列规定：</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产品应有标识，标识信息应真实、准确、便于识别；</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使用不当，容易造成本身损坏或者可能危及人身、财产安全的，应有明确的警示标志或者中文警示说明；</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建立追溯机制，对库存及销售的产品应进行环节跟踪检查和验收、建立进销台账；</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建立质量安全应急预案，必要时配合有关部门实施召回。</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6.3 </w:t>
      </w:r>
      <w:r>
        <w:rPr>
          <w:rFonts w:hint="eastAsia" w:asciiTheme="minorEastAsia" w:hAnsiTheme="minorEastAsia" w:cstheme="minorEastAsia"/>
          <w:sz w:val="28"/>
          <w:szCs w:val="28"/>
        </w:rPr>
        <w:t xml:space="preserve"> 经营者代销的不锈钢产品应遵守下列规定：</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应当核验供应商的身份、地址、联系方式、行政许可、信用情况等信息，并留存相关记录备查；</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应当履行进货查验义务，验明商品名称、包装、标签、数量、质量、合格证等，并如实记录进货检查验收情况；</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列入目录的不锈钢产品应查验工业产品许可证或CCC认证等标志；</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不应伪造产地、伪造或者冒用他人的厂名、厂址；</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不应伪造、冒用认证标志等质量标志；</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不应掺杂、掺假、以假充真、以次充好；</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不应以不合格产品冒充合格产品。</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6.4</w:t>
      </w:r>
      <w:r>
        <w:rPr>
          <w:rFonts w:hint="eastAsia" w:asciiTheme="minorEastAsia" w:hAnsiTheme="minorEastAsia" w:cstheme="minorEastAsia"/>
          <w:sz w:val="28"/>
          <w:szCs w:val="28"/>
        </w:rPr>
        <w:t xml:space="preserve">  经营者提供与不锈钢产品相关服务应遵守下列规定：</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不应提供国家规定禁止提供的服务；</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服务质量应符合作出的承诺。</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7  经营行为</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7.1  公平竞争</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7.1 .1 </w:t>
      </w:r>
      <w:r>
        <w:rPr>
          <w:rFonts w:hint="eastAsia" w:asciiTheme="minorEastAsia" w:hAnsiTheme="minorEastAsia" w:cstheme="minorEastAsia"/>
          <w:sz w:val="28"/>
          <w:szCs w:val="28"/>
        </w:rPr>
        <w:t>经营者不应存在以下经营行为：</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不应擅自使用与他人有一定影响的商品名称、包装、装潢等相同或者近似的标识；</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不应擅自使用他人有一定影响的企业名称（包括简称、字号等）、社会组织名称（包括简称）、姓名（包括笔名、艺名、译名等）；</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不应擅自使用他人有一定影响的域名主体部分、网站名称、网页等；</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不应对其商品性能、功能、质量、销售状况、用户评价、曾获荣誉等作虚假引人误解的商业宣传，欺骗、误导消费者；</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不应以虚假交易、删除不利评价等形式为自己或者他人提升商业信誉；</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不应以交易达成后违背事实的恶意评价损害对手的商业信誉；</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有奖销售所设奖的种类、兑换条件、奖金金额、奖品等信息应明确；</w:t>
      </w:r>
    </w:p>
    <w:p>
      <w:pPr>
        <w:ind w:firstLine="560" w:firstLineChars="200"/>
        <w:jc w:val="left"/>
        <w:rPr>
          <w:rFonts w:asciiTheme="minorEastAsia" w:hAnsiTheme="minorEastAsia" w:cstheme="minorEastAsia"/>
          <w:sz w:val="28"/>
          <w:szCs w:val="28"/>
        </w:rPr>
      </w:pPr>
      <w:r>
        <w:rPr>
          <w:rFonts w:hint="eastAsia" w:asciiTheme="minorEastAsia" w:hAnsiTheme="minorEastAsia" w:cstheme="minorEastAsia"/>
          <w:sz w:val="28"/>
          <w:szCs w:val="28"/>
        </w:rPr>
        <w:t>--- 不应采用欺骗方式进行有奖销售，抽奖的最高奖金额宜不超过五万元。</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7.2  商标合规</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7.2.1  </w:t>
      </w:r>
      <w:r>
        <w:rPr>
          <w:rFonts w:hint="eastAsia" w:asciiTheme="minorEastAsia" w:hAnsiTheme="minorEastAsia" w:cstheme="minorEastAsia"/>
          <w:sz w:val="28"/>
          <w:szCs w:val="28"/>
        </w:rPr>
        <w:t>经营者在商标使用中不应有以下行为：</w:t>
      </w:r>
    </w:p>
    <w:p>
      <w:pPr>
        <w:ind w:firstLine="560" w:firstLineChars="200"/>
        <w:jc w:val="left"/>
        <w:rPr>
          <w:rFonts w:asciiTheme="minorEastAsia" w:hAnsi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14:textFill>
            <w14:solidFill>
              <w14:schemeClr w14:val="tx1"/>
            </w14:solidFill>
          </w14:textFill>
        </w:rPr>
        <w:t>--- 冒充注册商标；</w:t>
      </w:r>
    </w:p>
    <w:p>
      <w:pPr>
        <w:ind w:firstLine="560" w:firstLineChars="200"/>
        <w:jc w:val="left"/>
        <w:rPr>
          <w:rFonts w:asciiTheme="minorEastAsia" w:hAnsi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14:textFill>
            <w14:solidFill>
              <w14:schemeClr w14:val="tx1"/>
            </w14:solidFill>
          </w14:textFill>
        </w:rPr>
        <w:t>--- 侵犯注册商标专用权；</w:t>
      </w:r>
    </w:p>
    <w:p>
      <w:pPr>
        <w:ind w:firstLine="560" w:firstLineChars="200"/>
        <w:jc w:val="left"/>
        <w:rPr>
          <w:rFonts w:asciiTheme="minorEastAsia" w:hAnsiTheme="minorEastAsia" w:cstheme="minorEastAsia"/>
          <w:color w:val="00B050"/>
          <w:sz w:val="28"/>
          <w:szCs w:val="28"/>
        </w:rPr>
      </w:pPr>
      <w:r>
        <w:rPr>
          <w:rFonts w:hint="eastAsia" w:asciiTheme="minorEastAsia" w:hAnsiTheme="minorEastAsia" w:cstheme="minorEastAsia"/>
          <w:color w:val="000000" w:themeColor="text1"/>
          <w:sz w:val="28"/>
          <w:szCs w:val="28"/>
          <w14:textFill>
            <w14:solidFill>
              <w14:schemeClr w14:val="tx1"/>
            </w14:solidFill>
          </w14:textFill>
        </w:rPr>
        <w:t>--- 将“驰名商标”字样用于商品、商品包装或者容器上，或者用于广告宣传、展览以及其他商业活动中。</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7.3  广告合规</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7.3.1 </w:t>
      </w:r>
      <w:r>
        <w:rPr>
          <w:rFonts w:hint="eastAsia" w:asciiTheme="minorEastAsia" w:hAnsiTheme="minorEastAsia" w:cstheme="minorEastAsia"/>
          <w:sz w:val="28"/>
          <w:szCs w:val="28"/>
        </w:rPr>
        <w:t xml:space="preserve"> 经营者在销售不锈钢产品中发布的宣传构成商业广告的，应履行广告主、广告发布者、广告经营者的责任和义务。</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7.3.2 </w:t>
      </w:r>
      <w:r>
        <w:rPr>
          <w:rFonts w:hint="eastAsia" w:asciiTheme="minorEastAsia" w:hAnsiTheme="minorEastAsia" w:cstheme="minorEastAsia"/>
          <w:sz w:val="28"/>
          <w:szCs w:val="28"/>
        </w:rPr>
        <w:t xml:space="preserve"> 经营者不应未经审查发布依法应当审查的广告，并严格按照审查内容发布广告。</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7.3.3 </w:t>
      </w:r>
      <w:r>
        <w:rPr>
          <w:rFonts w:hint="eastAsia" w:asciiTheme="minorEastAsia" w:hAnsiTheme="minorEastAsia" w:cstheme="minorEastAsia"/>
          <w:sz w:val="28"/>
          <w:szCs w:val="28"/>
        </w:rPr>
        <w:t xml:space="preserve"> 经营者发布广告不应使用绝对化用语，不得存在误导性用语、夸大性用语等不规范性用语情况。</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7.3.4</w:t>
      </w:r>
      <w:r>
        <w:rPr>
          <w:rFonts w:hint="eastAsia" w:asciiTheme="minorEastAsia" w:hAnsiTheme="minorEastAsia" w:cstheme="minorEastAsia"/>
          <w:sz w:val="28"/>
          <w:szCs w:val="28"/>
        </w:rPr>
        <w:t xml:space="preserve">  经营者在自建网站页面以弹出等形式宣传不锈钢产品的，应当显著标明关闭标志，确保一键关闭，不应影响消费者正常使用网络。应当具有可识别性，能够使消费者明其为广告，不得欺骗、误导用户点击、浏览广告。</w:t>
      </w:r>
    </w:p>
    <w:p>
      <w:pPr>
        <w:jc w:val="left"/>
        <w:rPr>
          <w:rFonts w:asciiTheme="minorEastAsia" w:hAnsiTheme="minorEastAsia" w:cstheme="minorEastAsia"/>
          <w:color w:val="FF0000"/>
          <w:sz w:val="28"/>
          <w:szCs w:val="28"/>
        </w:rPr>
      </w:pPr>
      <w:r>
        <w:rPr>
          <w:rFonts w:hint="eastAsia" w:asciiTheme="minorEastAsia" w:hAnsiTheme="minorEastAsia" w:cstheme="minorEastAsia"/>
          <w:b/>
          <w:bCs/>
          <w:sz w:val="28"/>
          <w:szCs w:val="28"/>
        </w:rPr>
        <w:t>7.3.5</w:t>
      </w:r>
      <w:r>
        <w:rPr>
          <w:rFonts w:hint="eastAsia" w:asciiTheme="minorEastAsia" w:hAnsiTheme="minorEastAsia" w:cstheme="minorEastAsia"/>
          <w:sz w:val="28"/>
          <w:szCs w:val="28"/>
        </w:rPr>
        <w:t xml:space="preserve">  发布含有链接的互联网广告，广告主、广告经营者和广告发布者应当核对下一级链接中与前端广告相关的广告内容。</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7.4  合同合规</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7.4.1 </w:t>
      </w:r>
      <w:r>
        <w:rPr>
          <w:rFonts w:hint="eastAsia" w:asciiTheme="minorEastAsia" w:hAnsiTheme="minorEastAsia" w:cstheme="minorEastAsia"/>
          <w:sz w:val="28"/>
          <w:szCs w:val="28"/>
        </w:rPr>
        <w:t xml:space="preserve"> 经营者应按照承诺或者与消费者约定的方式、时限向消费者交付不锈钢产品或者提供与不锈钢产品相关服务，并承担运输中的风险和责任，消费者另行选择快递物流服务提供者的除外。</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7.4.2  </w:t>
      </w:r>
      <w:r>
        <w:rPr>
          <w:rFonts w:hint="eastAsia" w:asciiTheme="minorEastAsia" w:hAnsiTheme="minorEastAsia" w:cstheme="minorEastAsia"/>
          <w:sz w:val="28"/>
          <w:szCs w:val="28"/>
        </w:rPr>
        <w:t>经营者应在格式合同中写明与消费者有重大利害关系的条款。</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7.4.3</w:t>
      </w:r>
      <w:r>
        <w:rPr>
          <w:rFonts w:hint="eastAsia" w:asciiTheme="minorEastAsia" w:hAnsiTheme="minorEastAsia" w:cstheme="minorEastAsia"/>
          <w:sz w:val="28"/>
          <w:szCs w:val="28"/>
        </w:rPr>
        <w:t xml:space="preserve">  经营者不应在格式合同中做出排除或者限制消费者权利、减轻或者免除责任、加重消费者责任的规定。</w:t>
      </w:r>
    </w:p>
    <w:p>
      <w:pPr>
        <w:jc w:val="left"/>
        <w:rPr>
          <w:rFonts w:asciiTheme="minorEastAsia" w:hAnsiTheme="minorEastAsia" w:cstheme="minorEastAsia"/>
          <w:sz w:val="28"/>
          <w:szCs w:val="28"/>
        </w:rPr>
      </w:pPr>
      <w:r>
        <w:rPr>
          <w:rFonts w:hint="eastAsia" w:asciiTheme="minorEastAsia" w:hAnsiTheme="minorEastAsia" w:cstheme="minorEastAsia"/>
          <w:sz w:val="28"/>
          <w:szCs w:val="28"/>
        </w:rPr>
        <w:t>7.4.4  经营者不应利用合同格式条款并借助各类技术手段强制交易、诱导交易。</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7.5  价格合规</w:t>
      </w:r>
    </w:p>
    <w:p>
      <w:pPr>
        <w:jc w:val="left"/>
        <w:rPr>
          <w:rFonts w:asciiTheme="minorEastAsia" w:hAnsiTheme="minorEastAsia" w:cstheme="minorEastAsia"/>
          <w:sz w:val="28"/>
          <w:szCs w:val="28"/>
        </w:rPr>
      </w:pPr>
      <w:r>
        <w:rPr>
          <w:rFonts w:hint="eastAsia" w:asciiTheme="minorEastAsia" w:hAnsiTheme="minorEastAsia" w:cstheme="minorEastAsia"/>
          <w:sz w:val="28"/>
          <w:szCs w:val="28"/>
        </w:rPr>
        <w:t>7.5.1  经营者销售不锈钢产品时应依法标注价格，并符合SB/T 11134的相关要求。</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7.5.2  </w:t>
      </w:r>
      <w:r>
        <w:rPr>
          <w:rFonts w:hint="eastAsia" w:asciiTheme="minorEastAsia" w:hAnsiTheme="minorEastAsia" w:cstheme="minorEastAsia"/>
          <w:sz w:val="28"/>
          <w:szCs w:val="28"/>
        </w:rPr>
        <w:t>标价内容应真实准确，清晰醒目、规范用语，价格变动要及时调整。</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7.5.3  </w:t>
      </w:r>
      <w:r>
        <w:rPr>
          <w:rFonts w:hint="eastAsia" w:asciiTheme="minorEastAsia" w:hAnsiTheme="minorEastAsia" w:cstheme="minorEastAsia"/>
          <w:sz w:val="28"/>
          <w:szCs w:val="28"/>
        </w:rPr>
        <w:t>经营者开展促销活动，应明确标示活动信息，不应利用虚假或者引人误导的价格手段，诱骗消费者与其进行交易。</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7.5.4  </w:t>
      </w:r>
      <w:r>
        <w:rPr>
          <w:rFonts w:hint="eastAsia" w:asciiTheme="minorEastAsia" w:hAnsiTheme="minorEastAsia" w:cstheme="minorEastAsia"/>
          <w:sz w:val="28"/>
          <w:szCs w:val="28"/>
        </w:rPr>
        <w:t>不应采取价格先涨后降行为吸引消费者。</w:t>
      </w:r>
    </w:p>
    <w:p>
      <w:pPr>
        <w:jc w:val="left"/>
        <w:rPr>
          <w:rFonts w:asciiTheme="minorEastAsia" w:hAnsiTheme="minorEastAsia" w:cstheme="minorEastAsia"/>
          <w:color w:val="0000FF"/>
          <w:sz w:val="28"/>
          <w:szCs w:val="28"/>
        </w:rPr>
      </w:pPr>
      <w:r>
        <w:rPr>
          <w:rFonts w:hint="eastAsia" w:asciiTheme="minorEastAsia" w:hAnsiTheme="minorEastAsia" w:cstheme="minorEastAsia"/>
          <w:b/>
          <w:bCs/>
          <w:sz w:val="28"/>
          <w:szCs w:val="28"/>
        </w:rPr>
        <w:t xml:space="preserve">7.5.5  </w:t>
      </w:r>
      <w:r>
        <w:rPr>
          <w:rFonts w:hint="eastAsia" w:asciiTheme="minorEastAsia" w:hAnsiTheme="minorEastAsia" w:cstheme="minorEastAsia"/>
          <w:sz w:val="28"/>
          <w:szCs w:val="28"/>
        </w:rPr>
        <w:t>对未销售过的不锈钢产品开展促销活动时，不应使用原价、原售价等类似概念。</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7.5.6  </w:t>
      </w:r>
      <w:r>
        <w:rPr>
          <w:rFonts w:hint="eastAsia" w:asciiTheme="minorEastAsia" w:hAnsiTheme="minorEastAsia" w:cstheme="minorEastAsia"/>
          <w:sz w:val="28"/>
          <w:szCs w:val="28"/>
        </w:rPr>
        <w:t>经营者通过商业广告、商品说明、销售推介、实物样品或者通知、声明、店铺告示等方式对不锈钢产品价格作出优惠承诺的，应履行承诺。</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7.6  保障消费者权益</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7.6.1</w:t>
      </w:r>
      <w:r>
        <w:rPr>
          <w:rFonts w:hint="eastAsia" w:asciiTheme="minorEastAsia" w:hAnsiTheme="minorEastAsia" w:cstheme="minorEastAsia"/>
          <w:sz w:val="28"/>
          <w:szCs w:val="28"/>
        </w:rPr>
        <w:t xml:space="preserve">  经营者应全面、真实、准确、及时地披露不锈钢产品或者提供与不锈钢产品相关服务信息，保障消费者的知情权和选择权。</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7.6.2  </w:t>
      </w:r>
      <w:r>
        <w:rPr>
          <w:rFonts w:hint="eastAsia" w:asciiTheme="minorEastAsia" w:hAnsiTheme="minorEastAsia" w:cstheme="minorEastAsia"/>
          <w:sz w:val="28"/>
          <w:szCs w:val="28"/>
        </w:rPr>
        <w:t>经营者能根据消费者的兴趣爱好、消费习惯等特征向其提供不锈钢产品或者提供与不锈钢产品相关服务搜索结果的，应同时向该消费者提供不针对其个人特征的选项，尊重和平等保护消费者合法权益。</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7.6.3  </w:t>
      </w:r>
      <w:r>
        <w:rPr>
          <w:rFonts w:hint="eastAsia" w:asciiTheme="minorEastAsia" w:hAnsiTheme="minorEastAsia" w:cstheme="minorEastAsia"/>
          <w:sz w:val="28"/>
          <w:szCs w:val="28"/>
        </w:rPr>
        <w:t>经营者搭售不锈钢产品或者提供与不锈钢产品相关服务，应以显著方式提醒消费者注意，不应将搭售不锈钢产品或者提供与不锈钢产品相关服务作为默认同意的选项。</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7.6.4  </w:t>
      </w:r>
      <w:r>
        <w:rPr>
          <w:rFonts w:hint="eastAsia" w:asciiTheme="minorEastAsia" w:hAnsiTheme="minorEastAsia" w:cstheme="minorEastAsia"/>
          <w:sz w:val="28"/>
          <w:szCs w:val="28"/>
        </w:rPr>
        <w:t>经营者按照约定向消费者收取押金的，应明示押金退还的方式、程序，不应对押金退还设置不合理条件。</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7.6.5  </w:t>
      </w:r>
      <w:r>
        <w:rPr>
          <w:rFonts w:hint="eastAsia" w:asciiTheme="minorEastAsia" w:hAnsiTheme="minorEastAsia" w:cstheme="minorEastAsia"/>
          <w:sz w:val="28"/>
          <w:szCs w:val="28"/>
        </w:rPr>
        <w:t>消费者申请退还押金，符合押金退还条件的，应及时退还。</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7.6.6</w:t>
      </w:r>
      <w:r>
        <w:rPr>
          <w:rFonts w:hint="eastAsia" w:asciiTheme="minorEastAsia" w:hAnsiTheme="minorEastAsia" w:cstheme="minorEastAsia"/>
          <w:sz w:val="28"/>
          <w:szCs w:val="28"/>
        </w:rPr>
        <w:t xml:space="preserve">  经营者应向消费者提供经营地址、联系方式、不锈钢产品服务数量和质量、价款或者费用、履行期限或者方式、支付形式、退换货方式、安全注意事项和风险警示、售后服务、民事责任等信息，并履行承诺。</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7.6.7  </w:t>
      </w:r>
      <w:r>
        <w:rPr>
          <w:rFonts w:hint="eastAsia" w:asciiTheme="minorEastAsia" w:hAnsiTheme="minorEastAsia" w:cstheme="minorEastAsia"/>
          <w:sz w:val="28"/>
          <w:szCs w:val="28"/>
        </w:rPr>
        <w:t>经营者不应将不锈钢产品或者提供与不锈钢产品相关服务不合理拆分出售，不应确定最低消费标准或者收取不合理的费用。</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7.6.8  </w:t>
      </w:r>
      <w:r>
        <w:rPr>
          <w:rFonts w:hint="eastAsia" w:asciiTheme="minorEastAsia" w:hAnsiTheme="minorEastAsia" w:cstheme="minorEastAsia"/>
          <w:sz w:val="28"/>
          <w:szCs w:val="28"/>
        </w:rPr>
        <w:t>经营者应履行七日无理由退货义务，法律法规规定不适用七日无理由退货的情形除外。</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7.6.9</w:t>
      </w:r>
      <w:r>
        <w:rPr>
          <w:rFonts w:hint="eastAsia" w:asciiTheme="minorEastAsia" w:hAnsiTheme="minorEastAsia" w:cstheme="minorEastAsia"/>
          <w:sz w:val="28"/>
          <w:szCs w:val="28"/>
        </w:rPr>
        <w:t xml:space="preserve">  经营者售卖的不锈钢产品适用七日无理由退货的，应在收到退货通知后及时向消费者提供真实、准确的联系信息。</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7.6.10  </w:t>
      </w:r>
      <w:r>
        <w:rPr>
          <w:rFonts w:hint="eastAsia" w:asciiTheme="minorEastAsia" w:hAnsiTheme="minorEastAsia" w:cstheme="minorEastAsia"/>
          <w:sz w:val="28"/>
          <w:szCs w:val="28"/>
        </w:rPr>
        <w:t>消费者退回不锈钢产品完好的，应在收到退回不锈钢产品之日起七日内向消费者返还已支付的商品价款。</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7.6.11  </w:t>
      </w:r>
      <w:r>
        <w:rPr>
          <w:rFonts w:hint="eastAsia" w:asciiTheme="minorEastAsia" w:hAnsiTheme="minorEastAsia" w:cstheme="minorEastAsia"/>
          <w:sz w:val="28"/>
          <w:szCs w:val="28"/>
        </w:rPr>
        <w:t>对不适应七日无理由退货的不锈钢产品，应明确标注，或者在不锈钢产品销售必经流程中设置显著准确标识。</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7.6.12 </w:t>
      </w:r>
      <w:r>
        <w:rPr>
          <w:rFonts w:hint="eastAsia" w:asciiTheme="minorEastAsia" w:hAnsiTheme="minorEastAsia" w:cstheme="minorEastAsia"/>
          <w:sz w:val="28"/>
          <w:szCs w:val="28"/>
        </w:rPr>
        <w:t xml:space="preserve"> 经营者销售不锈钢产品或者提供与不锈钢产品相关服务应出具纸质发票、电子发票、服务单据等购货凭证。</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7.6.13</w:t>
      </w:r>
      <w:r>
        <w:rPr>
          <w:rFonts w:hint="eastAsia" w:asciiTheme="minorEastAsia" w:hAnsiTheme="minorEastAsia" w:cstheme="minorEastAsia"/>
          <w:sz w:val="28"/>
          <w:szCs w:val="28"/>
        </w:rPr>
        <w:t xml:space="preserve">  经营者不应非法收集、出卖、泄露、篡改、毁损消费者个人信息。</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7.6.14</w:t>
      </w:r>
      <w:r>
        <w:rPr>
          <w:rFonts w:hint="eastAsia" w:asciiTheme="minorEastAsia" w:hAnsiTheme="minorEastAsia" w:cstheme="minorEastAsia"/>
          <w:sz w:val="28"/>
          <w:szCs w:val="28"/>
        </w:rPr>
        <w:t xml:space="preserve">  经营者提供不锈钢产品或者提供与不锈钢产品相关服务有欺诈行为的，应赔偿消费者受到的损失。</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7.6.15</w:t>
      </w:r>
      <w:r>
        <w:rPr>
          <w:rFonts w:hint="eastAsia" w:asciiTheme="minorEastAsia" w:hAnsiTheme="minorEastAsia" w:cstheme="minorEastAsia"/>
          <w:sz w:val="28"/>
          <w:szCs w:val="28"/>
        </w:rPr>
        <w:t xml:space="preserve">  经营者不应拒绝或者拖延执行有关行政部门责令对缺陷不锈钢产品或者提供与不锈钢产品相关服务采取停止销售、警示、召回、无害化处理、销毁、停止服务的措施。</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7.6.16 </w:t>
      </w:r>
      <w:r>
        <w:rPr>
          <w:rFonts w:hint="eastAsia" w:asciiTheme="minorEastAsia" w:hAnsiTheme="minorEastAsia" w:cstheme="minorEastAsia"/>
          <w:sz w:val="28"/>
          <w:szCs w:val="28"/>
        </w:rPr>
        <w:t xml:space="preserve"> 经营者不应故意拖延或者无理拒绝消费者提出的更换、退货、补足不锈钢产品数量、退还货款、赔偿经济损失等合法要求。</w:t>
      </w:r>
    </w:p>
    <w:p>
      <w:pPr>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8  投诉处理</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 xml:space="preserve">8.1  </w:t>
      </w:r>
      <w:r>
        <w:rPr>
          <w:rFonts w:hint="eastAsia" w:asciiTheme="minorEastAsia" w:hAnsiTheme="minorEastAsia" w:cstheme="minorEastAsia"/>
          <w:sz w:val="28"/>
          <w:szCs w:val="28"/>
        </w:rPr>
        <w:t>经营者应自觉接受社会和媒体监督。</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8.2</w:t>
      </w:r>
      <w:r>
        <w:rPr>
          <w:rFonts w:hint="eastAsia" w:asciiTheme="minorEastAsia" w:hAnsiTheme="minorEastAsia" w:cstheme="minorEastAsia"/>
          <w:sz w:val="28"/>
          <w:szCs w:val="28"/>
        </w:rPr>
        <w:t xml:space="preserve">  畅通投诉渠道，宜建立投诉、反馈、处理机制，主动自行协商和解消费争议。</w:t>
      </w:r>
    </w:p>
    <w:p>
      <w:pPr>
        <w:jc w:val="left"/>
        <w:rPr>
          <w:rFonts w:asciiTheme="minorEastAsia" w:hAnsiTheme="minorEastAsia" w:cstheme="minorEastAsia"/>
          <w:sz w:val="28"/>
          <w:szCs w:val="28"/>
        </w:rPr>
      </w:pPr>
      <w:r>
        <w:rPr>
          <w:rFonts w:hint="eastAsia" w:asciiTheme="minorEastAsia" w:hAnsiTheme="minorEastAsia" w:cstheme="minorEastAsia"/>
          <w:b/>
          <w:bCs/>
          <w:sz w:val="28"/>
          <w:szCs w:val="28"/>
        </w:rPr>
        <w:t>8.3</w:t>
      </w:r>
      <w:r>
        <w:rPr>
          <w:rFonts w:hint="eastAsia" w:asciiTheme="minorEastAsia" w:hAnsiTheme="minorEastAsia" w:cstheme="minorEastAsia"/>
          <w:sz w:val="28"/>
          <w:szCs w:val="28"/>
        </w:rPr>
        <w:t xml:space="preserve">  建立完善的售后服务制度，积极做好售后服务。</w:t>
      </w: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ind w:firstLine="560" w:firstLineChars="200"/>
        <w:jc w:val="left"/>
        <w:rPr>
          <w:rFonts w:asciiTheme="minorEastAsia" w:hAnsiTheme="minorEastAsia" w:cstheme="minorEastAsia"/>
          <w:sz w:val="28"/>
          <w:szCs w:val="28"/>
        </w:rPr>
      </w:pPr>
    </w:p>
    <w:p>
      <w:pP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p>
    <w:p>
      <w:pPr>
        <w:rPr>
          <w:rFonts w:ascii="仿宋_GB2312" w:hAnsi="仿宋_GB2312" w:eastAsia="仿宋_GB2312" w:cs="仿宋_GB2312"/>
          <w:sz w:val="32"/>
          <w:szCs w:val="32"/>
        </w:rPr>
      </w:pP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参考文献</w:t>
      </w:r>
    </w:p>
    <w:p>
      <w:pPr>
        <w:jc w:val="center"/>
        <w:rPr>
          <w:rFonts w:ascii="仿宋_GB2312" w:hAnsi="仿宋_GB2312" w:eastAsia="仿宋_GB2312" w:cs="仿宋_GB2312"/>
          <w:sz w:val="32"/>
          <w:szCs w:val="32"/>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［1］中华人民共和国电子商务法（2018年8月31日第十三届全国人民代表大会常务委员会第五次会议通过）</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［2］市场监管总局关于做好电子商务经营者登记工作的意见（国市监注〔2018〕236号）</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［3］网络购买商品七日无理由退货暂行办法（国家市场监督总局令第31号）</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［4］规范促销行为暂行规定（国家市场监督总局令第32号）</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［5］互联网广告管理办法（国家市场监督总局令第72号）</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［6］网络交易监督管理办法（国家市场监督总局令第37号）</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［7］市场监督管理投诉举报处理暂行办法（国家市场监督管理总局令第20号）</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r>
        <w:rPr>
          <w:sz w:val="32"/>
        </w:rPr>
        <mc:AlternateContent>
          <mc:Choice Requires="wps">
            <w:drawing>
              <wp:anchor distT="0" distB="0" distL="114300" distR="114300" simplePos="0" relativeHeight="251662336" behindDoc="0" locked="0" layoutInCell="1" allowOverlap="1">
                <wp:simplePos x="0" y="0"/>
                <wp:positionH relativeFrom="column">
                  <wp:posOffset>1120140</wp:posOffset>
                </wp:positionH>
                <wp:positionV relativeFrom="paragraph">
                  <wp:posOffset>108585</wp:posOffset>
                </wp:positionV>
                <wp:extent cx="3267075"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3267075" cy="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88.2pt;margin-top:8.55pt;height:0pt;width:257.25pt;z-index:251662336;mso-width-relative:page;mso-height-relative:page;" filled="f" stroked="t" coordsize="21600,21600" o:gfxdata="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20EJNcAAAAJAQAADwAAAAAAAAABACAAAAAiAAAAZHJzL2Rv&#10;d25yZXYueG1sUEsBAhQAFAAAAAgAh07iQKKOLKfJAQAAZgMAAA4AAAAAAAAAAQAgAAAAJgEAAGRy&#10;cy9lMm9Eb2MueG1sUEsFBgAAAAAGAAYAWQEAAGEFAAAAAA==&#10;">
                <v:fill on="f" focussize="0,0"/>
                <v:stroke weight="1pt" color="#000000 [3213]" miterlimit="8" joinstyle="miter"/>
                <v:imagedata o:title=""/>
                <o:lock v:ext="edit" aspectratio="f"/>
              </v:line>
            </w:pict>
          </mc:Fallback>
        </mc:AlternateContent>
      </w: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sectPr>
      <w:headerReference r:id="rId6" w:type="default"/>
      <w:footerReference r:id="rId7" w:type="default"/>
      <w:pgSz w:w="11906" w:h="16838"/>
      <w:pgMar w:top="1587" w:right="1587" w:bottom="1587" w:left="1587"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2646FB-2604-40A4-9E27-1D48359D730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5252BB8A-8F63-46A3-ACD5-EDEB5A425AF3}"/>
  </w:font>
  <w:font w:name="微软雅黑">
    <w:panose1 w:val="020B0503020204020204"/>
    <w:charset w:val="86"/>
    <w:family w:val="swiss"/>
    <w:pitch w:val="default"/>
    <w:sig w:usb0="80000287" w:usb1="280F3C52" w:usb2="00000016" w:usb3="00000000" w:csb0="0004001F" w:csb1="00000000"/>
    <w:embedRegular r:id="rId3" w:fontKey="{EA175D0D-F581-4547-A827-AB95FF5D0C7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2</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LOYfwO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&#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ss5h/A4CAAAJBAAADgAAAAAAAAABACAAAAAf&#10;AQAAZHJzL2Uyb0RvYy54bWxQSwUGAAAAAAYABgBZAQAAnwUAAAAA&#10;">
              <v:fill on="f" focussize="0,0"/>
              <v:stroke on="f" weight="0.5pt"/>
              <v:imagedata o:title=""/>
              <o:lock v:ext="edit" aspectratio="f"/>
              <v:textbox inset="0mm,0mm,0mm,0mm" style="mso-fit-shape-to-text:t;">
                <w:txbxContent>
                  <w:p>
                    <w:pPr>
                      <w:pStyle w:val="4"/>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2</w:t>
                    </w:r>
                    <w:r>
                      <w:rPr>
                        <w:rFonts w:hint="eastAsia" w:asciiTheme="minorEastAsia" w:hAnsi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widowControl/>
      <w:wordWrap w:val="0"/>
      <w:spacing w:before="0"/>
      <w:jc w:val="both"/>
      <w:textAlignment w:val="auto"/>
      <w:rPr>
        <w:rFonts w:ascii="黑体" w:eastAsia="黑体" w:cs="黑体"/>
        <w:sz w:val="24"/>
        <w:szCs w:val="24"/>
      </w:rPr>
    </w:pPr>
    <w:r>
      <w:rPr>
        <w:rFonts w:hint="eastAsia" w:ascii="黑体" w:eastAsia="黑体" w:cs="黑体"/>
      </w:rPr>
      <w:t xml:space="preserve">                                             </w:t>
    </w:r>
  </w:p>
  <w:p>
    <w:pPr>
      <w:pStyle w:val="12"/>
      <w:widowControl/>
      <w:wordWrap w:val="0"/>
      <w:spacing w:before="0"/>
      <w:jc w:val="both"/>
      <w:textAlignment w:val="auto"/>
      <w:rPr>
        <w:rFonts w:ascii="黑体" w:eastAsia="黑体" w:cs="黑体"/>
        <w:sz w:val="24"/>
        <w:szCs w:val="24"/>
      </w:rPr>
    </w:pPr>
    <w:r>
      <w:rPr>
        <w:rFonts w:hint="eastAsia"/>
      </w:rPr>
      <w:tab/>
    </w:r>
    <w:r>
      <w:rPr>
        <w:rFonts w:hint="eastAsia" w:ascii="黑体" w:eastAsia="黑体" w:cs="黑体"/>
        <w:sz w:val="24"/>
        <w:szCs w:val="24"/>
      </w:rPr>
      <w:t xml:space="preserve">                                                 </w:t>
    </w:r>
  </w:p>
  <w:p>
    <w:pPr>
      <w:pStyle w:val="5"/>
      <w:tabs>
        <w:tab w:val="left" w:pos="7434"/>
        <w:tab w:val="clear" w:pos="4153"/>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widowControl/>
      <w:wordWrap w:val="0"/>
      <w:spacing w:before="0"/>
      <w:jc w:val="both"/>
      <w:textAlignment w:val="auto"/>
      <w:rPr>
        <w:rFonts w:ascii="黑体" w:eastAsia="黑体" w:cs="黑体"/>
        <w:sz w:val="24"/>
        <w:szCs w:val="24"/>
      </w:rPr>
    </w:pPr>
    <w:r>
      <w:rPr>
        <w:rFonts w:hint="eastAsia" w:ascii="黑体" w:eastAsia="黑体" w:cs="黑体"/>
      </w:rPr>
      <w:t xml:space="preserve">                                   </w:t>
    </w:r>
    <w:r>
      <w:rPr>
        <w:rFonts w:hint="eastAsia" w:ascii="黑体" w:eastAsia="黑体" w:cs="黑体"/>
        <w:sz w:val="24"/>
        <w:szCs w:val="24"/>
      </w:rPr>
      <w:t xml:space="preserve">           DB3212/T XXXX-2024</w:t>
    </w:r>
    <w:r>
      <w:rPr>
        <w:rFonts w:hint="eastAsia" w:ascii="黑体" w:eastAsia="黑体" w:cs="黑体"/>
      </w:rPr>
      <w:t xml:space="preserve">          </w:t>
    </w:r>
  </w:p>
  <w:p>
    <w:pPr>
      <w:pStyle w:val="12"/>
      <w:widowControl/>
      <w:wordWrap w:val="0"/>
      <w:spacing w:before="0"/>
      <w:jc w:val="both"/>
      <w:textAlignment w:val="auto"/>
      <w:rPr>
        <w:rFonts w:ascii="黑体" w:eastAsia="黑体" w:cs="黑体"/>
        <w:sz w:val="24"/>
        <w:szCs w:val="24"/>
      </w:rPr>
    </w:pPr>
    <w:r>
      <w:rPr>
        <w:rFonts w:hint="eastAsia"/>
      </w:rPr>
      <w:tab/>
    </w:r>
    <w:r>
      <w:rPr>
        <w:rFonts w:hint="eastAsia" w:ascii="黑体" w:eastAsia="黑体" w:cs="黑体"/>
        <w:sz w:val="24"/>
        <w:szCs w:val="24"/>
      </w:rPr>
      <w:t xml:space="preserve">                                                 </w:t>
    </w:r>
  </w:p>
  <w:p>
    <w:pPr>
      <w:pStyle w:val="5"/>
      <w:tabs>
        <w:tab w:val="left" w:pos="7434"/>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3NTg5OTYxMzZiOTZiYjQxMmNiMTdiYzExYTYzMzAifQ=="/>
  </w:docVars>
  <w:rsids>
    <w:rsidRoot w:val="2D1A1082"/>
    <w:rsid w:val="0004261F"/>
    <w:rsid w:val="003E15FA"/>
    <w:rsid w:val="009E729A"/>
    <w:rsid w:val="00BF1DA5"/>
    <w:rsid w:val="018A2DDF"/>
    <w:rsid w:val="066B282A"/>
    <w:rsid w:val="06EC635C"/>
    <w:rsid w:val="0B070E1D"/>
    <w:rsid w:val="0BBF2489"/>
    <w:rsid w:val="0BDF5858"/>
    <w:rsid w:val="0CD05058"/>
    <w:rsid w:val="0DA538CD"/>
    <w:rsid w:val="0FE82569"/>
    <w:rsid w:val="111A00E9"/>
    <w:rsid w:val="112B46D9"/>
    <w:rsid w:val="14300DF8"/>
    <w:rsid w:val="14642847"/>
    <w:rsid w:val="151E05CA"/>
    <w:rsid w:val="18FD3BF6"/>
    <w:rsid w:val="1AF278AA"/>
    <w:rsid w:val="1D394AD6"/>
    <w:rsid w:val="1D65240B"/>
    <w:rsid w:val="1DFD5311"/>
    <w:rsid w:val="1E3612C3"/>
    <w:rsid w:val="1EA756DA"/>
    <w:rsid w:val="1F2F00EC"/>
    <w:rsid w:val="1F4C629E"/>
    <w:rsid w:val="1FD13864"/>
    <w:rsid w:val="20E568E1"/>
    <w:rsid w:val="21AD3BDC"/>
    <w:rsid w:val="23A0333D"/>
    <w:rsid w:val="263A4B87"/>
    <w:rsid w:val="27D51356"/>
    <w:rsid w:val="29263C42"/>
    <w:rsid w:val="2AB42F40"/>
    <w:rsid w:val="2C315B3D"/>
    <w:rsid w:val="2C990F68"/>
    <w:rsid w:val="2D1A1082"/>
    <w:rsid w:val="2EAB2B9C"/>
    <w:rsid w:val="2F293810"/>
    <w:rsid w:val="32C46AAD"/>
    <w:rsid w:val="340E0B5D"/>
    <w:rsid w:val="35C4748D"/>
    <w:rsid w:val="35E47503"/>
    <w:rsid w:val="36415FC1"/>
    <w:rsid w:val="37436852"/>
    <w:rsid w:val="3B195A9B"/>
    <w:rsid w:val="3C9C54C1"/>
    <w:rsid w:val="3CC818D2"/>
    <w:rsid w:val="3D236A00"/>
    <w:rsid w:val="3D546430"/>
    <w:rsid w:val="424D1692"/>
    <w:rsid w:val="42DB6F91"/>
    <w:rsid w:val="43C31F9B"/>
    <w:rsid w:val="4504135E"/>
    <w:rsid w:val="453103A9"/>
    <w:rsid w:val="46913A79"/>
    <w:rsid w:val="46E4232F"/>
    <w:rsid w:val="47FC3D76"/>
    <w:rsid w:val="49C57A95"/>
    <w:rsid w:val="4AB86C59"/>
    <w:rsid w:val="4BF9302B"/>
    <w:rsid w:val="4C142028"/>
    <w:rsid w:val="4D051FAF"/>
    <w:rsid w:val="4DA01449"/>
    <w:rsid w:val="4F8E3AE8"/>
    <w:rsid w:val="55EB6C11"/>
    <w:rsid w:val="56755CE1"/>
    <w:rsid w:val="567F095C"/>
    <w:rsid w:val="595D1513"/>
    <w:rsid w:val="5A04502E"/>
    <w:rsid w:val="5CB95582"/>
    <w:rsid w:val="5EC244F3"/>
    <w:rsid w:val="5F272838"/>
    <w:rsid w:val="61686808"/>
    <w:rsid w:val="632C0BAC"/>
    <w:rsid w:val="63B40099"/>
    <w:rsid w:val="63D81AAA"/>
    <w:rsid w:val="6479787B"/>
    <w:rsid w:val="659A5027"/>
    <w:rsid w:val="66E525B7"/>
    <w:rsid w:val="68F835E5"/>
    <w:rsid w:val="692E0A8E"/>
    <w:rsid w:val="6AAA2C98"/>
    <w:rsid w:val="6CC62031"/>
    <w:rsid w:val="6CFD12E0"/>
    <w:rsid w:val="6F6D69D3"/>
    <w:rsid w:val="703B055E"/>
    <w:rsid w:val="71BE0EE4"/>
    <w:rsid w:val="76167392"/>
    <w:rsid w:val="78D917E3"/>
    <w:rsid w:val="79F14C65"/>
    <w:rsid w:val="7C071241"/>
    <w:rsid w:val="7C497FA6"/>
    <w:rsid w:val="7D2B0BEB"/>
    <w:rsid w:val="7D642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Body Text"/>
    <w:basedOn w:val="1"/>
    <w:next w:val="1"/>
    <w:qFormat/>
    <w:uiPriority w:val="0"/>
    <w:pPr>
      <w:spacing w:after="12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customStyle="1" w:styleId="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5">
    <w:name w:val="其他发布部门"/>
    <w:basedOn w:val="16"/>
    <w:qFormat/>
    <w:uiPriority w:val="0"/>
    <w:pPr>
      <w:tabs>
        <w:tab w:val="left" w:pos="360"/>
        <w:tab w:val="left" w:pos="500"/>
      </w:tabs>
      <w:spacing w:line="0" w:lineRule="atLeast"/>
    </w:pPr>
    <w:rPr>
      <w:rFonts w:ascii="黑体" w:eastAsia="黑体"/>
      <w:b w:val="0"/>
    </w:rPr>
  </w:style>
  <w:style w:type="paragraph" w:customStyle="1" w:styleId="16">
    <w:name w:val="发布部门"/>
    <w:next w:val="17"/>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8">
    <w:name w:val="发布"/>
    <w:basedOn w:val="8"/>
    <w:qFormat/>
    <w:uiPriority w:val="0"/>
    <w:rPr>
      <w:rFonts w:ascii="黑体" w:eastAsia="黑体"/>
      <w:spacing w:val="22"/>
      <w:w w:val="100"/>
      <w:position w:val="3"/>
      <w:sz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714</Words>
  <Characters>4074</Characters>
  <Lines>33</Lines>
  <Paragraphs>9</Paragraphs>
  <TotalTime>23</TotalTime>
  <ScaleCrop>false</ScaleCrop>
  <LinksUpToDate>false</LinksUpToDate>
  <CharactersWithSpaces>4779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2023-08-03T06:05:00Z</dcterms:created>
  <dc:creator>rongking</dc:creator>
  <cp:lastModifiedBy>Administrator</cp:lastModifiedBy>
  <cp:lastPrinted>2024-08-02T01:04:00Z</cp:lastPrinted>
  <dcterms:modified xsi:type="dcterms:W3CDTF">2024-12-13T06:48:37Z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B88CF2DCBCF54BF99717655AA4E8FA53_13</vt:lpwstr>
  </property>
</Properties>
</file>